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34"/>
        <w:gridCol w:w="1842"/>
      </w:tblGrid>
      <w:tr w:rsidR="000A03B2" w:rsidRPr="00B57B36" w14:paraId="2A131A54" w14:textId="77777777" w:rsidTr="00221CDE">
        <w:trPr>
          <w:trHeight w:val="852"/>
          <w:jc w:val="center"/>
        </w:trPr>
        <w:tc>
          <w:tcPr>
            <w:tcW w:w="6934" w:type="dxa"/>
            <w:vMerge w:val="restart"/>
            <w:tcBorders>
              <w:right w:val="single" w:sz="4" w:space="0" w:color="auto"/>
            </w:tcBorders>
          </w:tcPr>
          <w:p w14:paraId="38C3D2BA" w14:textId="77777777" w:rsidR="000A03B2" w:rsidRPr="00B57B36" w:rsidRDefault="000A03B2" w:rsidP="00DE264A">
            <w:pPr>
              <w:tabs>
                <w:tab w:val="left" w:pos="-108"/>
              </w:tabs>
              <w:ind w:left="-108"/>
              <w:rPr>
                <w:rFonts w:cs="Arial"/>
                <w:b/>
                <w:bCs/>
                <w:i/>
                <w:iCs/>
                <w:color w:val="000066"/>
                <w:sz w:val="12"/>
                <w:szCs w:val="12"/>
              </w:rPr>
            </w:pPr>
            <w:r w:rsidRPr="00B57B36">
              <w:rPr>
                <w:rFonts w:ascii="AdvP6960" w:hAnsi="AdvP6960" w:cs="AdvP6960"/>
                <w:noProof/>
                <w:color w:val="241F20"/>
                <w:szCs w:val="18"/>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rPr>
              <w:t xml:space="preserve"> </w:t>
            </w:r>
            <w:r w:rsidRPr="00B57B36">
              <w:rPr>
                <w:rFonts w:cs="Arial"/>
                <w:b/>
                <w:bCs/>
                <w:i/>
                <w:iCs/>
                <w:color w:val="000066"/>
              </w:rPr>
              <w:t>CHEMICAL ENGINEERING</w:t>
            </w:r>
            <w:r w:rsidRPr="00B57B36">
              <w:rPr>
                <w:rFonts w:cs="Arial"/>
                <w:b/>
                <w:bCs/>
                <w:i/>
                <w:iCs/>
                <w:color w:val="0033FF"/>
              </w:rPr>
              <w:t xml:space="preserve"> </w:t>
            </w:r>
            <w:r w:rsidRPr="00B57B36">
              <w:rPr>
                <w:rFonts w:cs="Arial"/>
                <w:b/>
                <w:bCs/>
                <w:i/>
                <w:iCs/>
                <w:color w:val="666666"/>
              </w:rPr>
              <w:t>TRANSACTIONS</w:t>
            </w:r>
            <w:r w:rsidRPr="00B57B36">
              <w:rPr>
                <w:color w:val="333333"/>
              </w:rPr>
              <w:t xml:space="preserve"> </w:t>
            </w:r>
            <w:r w:rsidRPr="00B57B36">
              <w:rPr>
                <w:rFonts w:cs="Arial"/>
                <w:b/>
                <w:bCs/>
                <w:i/>
                <w:iCs/>
                <w:color w:val="000066"/>
                <w:sz w:val="27"/>
                <w:szCs w:val="27"/>
              </w:rPr>
              <w:br/>
            </w:r>
          </w:p>
          <w:p w14:paraId="4B780582" w14:textId="0DAB3DDA" w:rsidR="000A03B2" w:rsidRPr="00B57B36" w:rsidRDefault="00A76EFC" w:rsidP="001D21AF">
            <w:pPr>
              <w:tabs>
                <w:tab w:val="left" w:pos="-108"/>
              </w:tabs>
              <w:ind w:left="-108"/>
              <w:rPr>
                <w:rFonts w:cs="Arial"/>
                <w:b/>
                <w:bCs/>
                <w:i/>
                <w:iCs/>
                <w:color w:val="000066"/>
                <w:sz w:val="22"/>
                <w:szCs w:val="22"/>
              </w:rPr>
            </w:pPr>
            <w:r w:rsidRPr="00B57B36">
              <w:rPr>
                <w:rFonts w:cs="Arial"/>
                <w:b/>
                <w:bCs/>
                <w:i/>
                <w:iCs/>
                <w:color w:val="000066"/>
                <w:sz w:val="22"/>
                <w:szCs w:val="22"/>
              </w:rPr>
              <w:t xml:space="preserve">VOL. </w:t>
            </w:r>
            <w:r w:rsidR="0030152C">
              <w:rPr>
                <w:rFonts w:cs="Arial"/>
                <w:b/>
                <w:bCs/>
                <w:i/>
                <w:iCs/>
                <w:color w:val="000066"/>
                <w:sz w:val="22"/>
                <w:szCs w:val="22"/>
              </w:rPr>
              <w:t xml:space="preserve"> </w:t>
            </w:r>
            <w:proofErr w:type="gramStart"/>
            <w:r w:rsidR="0030152C">
              <w:rPr>
                <w:rFonts w:cs="Arial"/>
                <w:b/>
                <w:bCs/>
                <w:i/>
                <w:iCs/>
                <w:color w:val="000066"/>
                <w:sz w:val="22"/>
                <w:szCs w:val="22"/>
              </w:rPr>
              <w:t xml:space="preserve">  </w:t>
            </w:r>
            <w:r w:rsidR="007B48F9">
              <w:rPr>
                <w:rFonts w:cs="Arial"/>
                <w:b/>
                <w:bCs/>
                <w:i/>
                <w:iCs/>
                <w:color w:val="000066"/>
                <w:sz w:val="22"/>
                <w:szCs w:val="22"/>
              </w:rPr>
              <w:t>,</w:t>
            </w:r>
            <w:proofErr w:type="gramEnd"/>
            <w:r w:rsidR="00FA5F5F">
              <w:rPr>
                <w:rFonts w:cs="Arial"/>
                <w:b/>
                <w:bCs/>
                <w:i/>
                <w:iCs/>
                <w:color w:val="000066"/>
                <w:sz w:val="22"/>
                <w:szCs w:val="22"/>
              </w:rPr>
              <w:t xml:space="preserve"> </w:t>
            </w:r>
            <w:r w:rsidR="0030152C">
              <w:rPr>
                <w:rFonts w:cs="Arial"/>
                <w:b/>
                <w:bCs/>
                <w:i/>
                <w:iCs/>
                <w:color w:val="000066"/>
                <w:sz w:val="22"/>
                <w:szCs w:val="22"/>
              </w:rPr>
              <w:t>202</w:t>
            </w:r>
            <w:r w:rsidR="00C24AF1">
              <w:rPr>
                <w:rFonts w:cs="Arial"/>
                <w:b/>
                <w:bCs/>
                <w:i/>
                <w:iCs/>
                <w:color w:val="000066"/>
                <w:sz w:val="22"/>
                <w:szCs w:val="22"/>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 xml:space="preserve">A </w:t>
            </w:r>
            <w:proofErr w:type="spellStart"/>
            <w:r w:rsidRPr="00B57B36">
              <w:rPr>
                <w:rFonts w:cs="Arial"/>
                <w:sz w:val="14"/>
                <w:szCs w:val="14"/>
              </w:rPr>
              <w:t>publication</w:t>
            </w:r>
            <w:proofErr w:type="spellEnd"/>
            <w:r w:rsidRPr="00B57B36">
              <w:rPr>
                <w:rFonts w:cs="Arial"/>
                <w:sz w:val="14"/>
                <w:szCs w:val="14"/>
              </w:rPr>
              <w:t xml:space="preserve"> of</w:t>
            </w:r>
          </w:p>
          <w:p w14:paraId="599E5441" w14:textId="77777777" w:rsidR="000A03B2" w:rsidRPr="00B57B36" w:rsidRDefault="000A03B2" w:rsidP="00CD5FE2">
            <w:pPr>
              <w:jc w:val="right"/>
            </w:pPr>
            <w:r w:rsidRPr="00B57B36">
              <w:rPr>
                <w:noProof/>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6F2398" w14:paraId="380FA3CD" w14:textId="77777777" w:rsidTr="00221CDE">
        <w:trPr>
          <w:trHeight w:val="567"/>
          <w:jc w:val="center"/>
        </w:trPr>
        <w:tc>
          <w:tcPr>
            <w:tcW w:w="6934"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9477FA" w:rsidRDefault="000A03B2" w:rsidP="00CD5FE2">
            <w:pPr>
              <w:spacing w:line="140" w:lineRule="atLeast"/>
              <w:jc w:val="right"/>
              <w:rPr>
                <w:rFonts w:cs="Arial"/>
                <w:sz w:val="14"/>
                <w:szCs w:val="14"/>
                <w:lang w:val="en-US"/>
              </w:rPr>
            </w:pPr>
            <w:r w:rsidRPr="009477FA">
              <w:rPr>
                <w:rFonts w:cs="Arial"/>
                <w:sz w:val="14"/>
                <w:szCs w:val="14"/>
                <w:lang w:val="en-US"/>
              </w:rPr>
              <w:t>The Italian Association</w:t>
            </w:r>
          </w:p>
          <w:p w14:paraId="7522B1D2" w14:textId="77777777" w:rsidR="000A03B2" w:rsidRPr="009477FA" w:rsidRDefault="000A03B2" w:rsidP="00CD5FE2">
            <w:pPr>
              <w:spacing w:line="140" w:lineRule="atLeast"/>
              <w:jc w:val="right"/>
              <w:rPr>
                <w:rFonts w:cs="Arial"/>
                <w:sz w:val="14"/>
                <w:szCs w:val="14"/>
                <w:lang w:val="en-US"/>
              </w:rPr>
            </w:pPr>
            <w:r w:rsidRPr="009477FA">
              <w:rPr>
                <w:rFonts w:cs="Arial"/>
                <w:sz w:val="14"/>
                <w:szCs w:val="14"/>
                <w:lang w:val="en-US"/>
              </w:rPr>
              <w:t>of Chemical Engineering</w:t>
            </w:r>
          </w:p>
          <w:p w14:paraId="4F0CC5DE" w14:textId="47FDB2FC" w:rsidR="000A03B2" w:rsidRPr="009477FA" w:rsidRDefault="000D0268" w:rsidP="00CD5FE2">
            <w:pPr>
              <w:spacing w:line="140" w:lineRule="atLeast"/>
              <w:jc w:val="right"/>
              <w:rPr>
                <w:rFonts w:cs="Arial"/>
                <w:sz w:val="13"/>
                <w:szCs w:val="13"/>
                <w:lang w:val="en-US"/>
              </w:rPr>
            </w:pPr>
            <w:r w:rsidRPr="009477FA">
              <w:rPr>
                <w:rFonts w:cs="Arial"/>
                <w:sz w:val="13"/>
                <w:szCs w:val="13"/>
                <w:lang w:val="en-US"/>
              </w:rPr>
              <w:t>Online at www.cetjournal.it</w:t>
            </w:r>
          </w:p>
        </w:tc>
      </w:tr>
      <w:tr w:rsidR="000A03B2" w:rsidRPr="006F2398" w14:paraId="2D1B7169" w14:textId="77777777" w:rsidTr="00221CDE">
        <w:trPr>
          <w:trHeight w:val="68"/>
          <w:jc w:val="center"/>
        </w:trPr>
        <w:tc>
          <w:tcPr>
            <w:tcW w:w="8776" w:type="dxa"/>
            <w:gridSpan w:val="2"/>
          </w:tcPr>
          <w:p w14:paraId="1D8DD3C9" w14:textId="62C05688" w:rsidR="00AA7D26" w:rsidRPr="00A0035F" w:rsidRDefault="00AA7D26" w:rsidP="00AA7D26">
            <w:pPr>
              <w:ind w:left="-107"/>
              <w:outlineLvl w:val="2"/>
              <w:rPr>
                <w:rFonts w:ascii="Tahoma" w:hAnsi="Tahoma" w:cs="Tahoma"/>
                <w:bCs/>
                <w:color w:val="000000"/>
                <w:sz w:val="14"/>
                <w:szCs w:val="14"/>
              </w:rPr>
            </w:pPr>
            <w:r w:rsidRPr="00A0035F">
              <w:rPr>
                <w:rFonts w:ascii="Tahoma" w:hAnsi="Tahoma" w:cs="Tahoma"/>
                <w:iCs/>
                <w:color w:val="333333"/>
                <w:sz w:val="14"/>
                <w:szCs w:val="14"/>
              </w:rPr>
              <w:t>Guest Editors:</w:t>
            </w:r>
            <w:r w:rsidRPr="00A0035F">
              <w:rPr>
                <w:rFonts w:ascii="Tahoma" w:hAnsi="Tahoma" w:cs="Tahoma"/>
                <w:color w:val="000000"/>
                <w:sz w:val="14"/>
                <w:szCs w:val="14"/>
                <w:shd w:val="clear" w:color="auto" w:fill="FFFFFF"/>
              </w:rPr>
              <w:t xml:space="preserve"> </w:t>
            </w:r>
            <w:r w:rsidR="00A0035F" w:rsidRPr="005E72C6">
              <w:rPr>
                <w:rFonts w:ascii="Tahoma" w:hAnsi="Tahoma" w:cs="Tahoma"/>
                <w:color w:val="000000"/>
                <w:sz w:val="14"/>
                <w:szCs w:val="14"/>
                <w:shd w:val="clear" w:color="auto" w:fill="FFFFFF"/>
              </w:rPr>
              <w:t xml:space="preserve">Laura Piazza, Francesco </w:t>
            </w:r>
            <w:proofErr w:type="spellStart"/>
            <w:r w:rsidR="00A0035F" w:rsidRPr="005E72C6">
              <w:rPr>
                <w:rFonts w:ascii="Tahoma" w:hAnsi="Tahoma" w:cs="Tahoma"/>
                <w:color w:val="000000"/>
                <w:sz w:val="14"/>
                <w:szCs w:val="14"/>
                <w:shd w:val="clear" w:color="auto" w:fill="FFFFFF"/>
              </w:rPr>
              <w:t>Donsì</w:t>
            </w:r>
            <w:proofErr w:type="spellEnd"/>
            <w:r w:rsidR="005E72C6" w:rsidRPr="005E72C6">
              <w:rPr>
                <w:rFonts w:ascii="Tahoma" w:hAnsi="Tahoma" w:cs="Tahoma"/>
                <w:color w:val="000000"/>
                <w:sz w:val="14"/>
                <w:szCs w:val="14"/>
                <w:shd w:val="clear" w:color="auto" w:fill="FFFFFF"/>
              </w:rPr>
              <w:t>,</w:t>
            </w:r>
            <w:r w:rsidR="00A0035F" w:rsidRPr="005E72C6">
              <w:rPr>
                <w:rFonts w:ascii="Tahoma" w:hAnsi="Tahoma" w:cs="Tahoma"/>
                <w:color w:val="000000"/>
                <w:sz w:val="14"/>
                <w:szCs w:val="14"/>
                <w:shd w:val="clear" w:color="auto" w:fill="FFFFFF"/>
              </w:rPr>
              <w:t xml:space="preserve"> Giorgia Spigno</w:t>
            </w:r>
          </w:p>
          <w:p w14:paraId="1B0F1814" w14:textId="7ED5C289" w:rsidR="000A03B2" w:rsidRPr="009477FA" w:rsidRDefault="00AA7D26" w:rsidP="00AA7D26">
            <w:pPr>
              <w:tabs>
                <w:tab w:val="left" w:pos="-108"/>
              </w:tabs>
              <w:spacing w:line="140" w:lineRule="atLeast"/>
              <w:ind w:left="-107"/>
              <w:rPr>
                <w:lang w:val="en-US"/>
              </w:rPr>
            </w:pPr>
            <w:r w:rsidRPr="009477FA">
              <w:rPr>
                <w:rFonts w:ascii="Tahoma" w:hAnsi="Tahoma" w:cs="Tahoma"/>
                <w:iCs/>
                <w:color w:val="333333"/>
                <w:sz w:val="14"/>
                <w:szCs w:val="14"/>
                <w:lang w:val="en-US"/>
              </w:rPr>
              <w:t>Copyright © 202</w:t>
            </w:r>
            <w:r w:rsidR="00C24AF1" w:rsidRPr="009477FA">
              <w:rPr>
                <w:rFonts w:ascii="Tahoma" w:hAnsi="Tahoma" w:cs="Tahoma"/>
                <w:iCs/>
                <w:color w:val="333333"/>
                <w:sz w:val="14"/>
                <w:szCs w:val="14"/>
                <w:lang w:val="en-US"/>
              </w:rPr>
              <w:t>5</w:t>
            </w:r>
            <w:r w:rsidRPr="009477FA">
              <w:rPr>
                <w:rFonts w:ascii="Tahoma" w:hAnsi="Tahoma" w:cs="Tahoma"/>
                <w:iCs/>
                <w:color w:val="333333"/>
                <w:sz w:val="14"/>
                <w:szCs w:val="14"/>
                <w:lang w:val="en-US"/>
              </w:rPr>
              <w:t xml:space="preserve">, AIDIC </w:t>
            </w:r>
            <w:proofErr w:type="spellStart"/>
            <w:r w:rsidRPr="009477FA">
              <w:rPr>
                <w:rFonts w:ascii="Tahoma" w:hAnsi="Tahoma" w:cs="Tahoma"/>
                <w:iCs/>
                <w:color w:val="333333"/>
                <w:sz w:val="14"/>
                <w:szCs w:val="14"/>
                <w:lang w:val="en-US"/>
              </w:rPr>
              <w:t>Servizi</w:t>
            </w:r>
            <w:proofErr w:type="spellEnd"/>
            <w:r w:rsidRPr="009477FA">
              <w:rPr>
                <w:rFonts w:ascii="Tahoma" w:hAnsi="Tahoma" w:cs="Tahoma"/>
                <w:iCs/>
                <w:color w:val="333333"/>
                <w:sz w:val="14"/>
                <w:szCs w:val="14"/>
                <w:lang w:val="en-US"/>
              </w:rPr>
              <w:t xml:space="preserve"> </w:t>
            </w:r>
            <w:proofErr w:type="spellStart"/>
            <w:r w:rsidRPr="009477FA">
              <w:rPr>
                <w:rFonts w:ascii="Tahoma" w:hAnsi="Tahoma" w:cs="Tahoma"/>
                <w:iCs/>
                <w:color w:val="333333"/>
                <w:sz w:val="14"/>
                <w:szCs w:val="14"/>
                <w:lang w:val="en-US"/>
              </w:rPr>
              <w:t>S.r.l</w:t>
            </w:r>
            <w:proofErr w:type="spellEnd"/>
            <w:r w:rsidRPr="009477FA">
              <w:rPr>
                <w:rFonts w:ascii="Tahoma" w:hAnsi="Tahoma" w:cs="Tahoma"/>
                <w:iCs/>
                <w:color w:val="333333"/>
                <w:sz w:val="14"/>
                <w:szCs w:val="14"/>
                <w:lang w:val="en-US"/>
              </w:rPr>
              <w:t>.</w:t>
            </w:r>
            <w:r w:rsidRPr="009477FA">
              <w:rPr>
                <w:rFonts w:ascii="Tahoma" w:hAnsi="Tahoma" w:cs="Tahoma"/>
                <w:iCs/>
                <w:color w:val="333333"/>
                <w:sz w:val="14"/>
                <w:szCs w:val="14"/>
                <w:lang w:val="en-US"/>
              </w:rPr>
              <w:br/>
            </w:r>
            <w:r w:rsidRPr="009477FA">
              <w:rPr>
                <w:rFonts w:ascii="Tahoma" w:hAnsi="Tahoma" w:cs="Tahoma"/>
                <w:b/>
                <w:iCs/>
                <w:color w:val="000000"/>
                <w:sz w:val="14"/>
                <w:szCs w:val="14"/>
                <w:lang w:val="en-US"/>
              </w:rPr>
              <w:t>ISBN</w:t>
            </w:r>
            <w:r w:rsidRPr="009477FA">
              <w:rPr>
                <w:rFonts w:ascii="Tahoma" w:hAnsi="Tahoma" w:cs="Tahoma"/>
                <w:iCs/>
                <w:color w:val="000000"/>
                <w:sz w:val="14"/>
                <w:szCs w:val="14"/>
                <w:lang w:val="en-US"/>
              </w:rPr>
              <w:t xml:space="preserve"> </w:t>
            </w:r>
            <w:r w:rsidR="00D2582C" w:rsidRPr="009477FA">
              <w:rPr>
                <w:rFonts w:ascii="Tahoma" w:hAnsi="Tahoma" w:cs="Tahoma"/>
                <w:sz w:val="14"/>
                <w:szCs w:val="14"/>
                <w:lang w:val="en-US"/>
              </w:rPr>
              <w:t>979-12-81206-</w:t>
            </w:r>
            <w:r w:rsidR="003312AE" w:rsidRPr="009477FA">
              <w:rPr>
                <w:rFonts w:ascii="Tahoma" w:hAnsi="Tahoma" w:cs="Tahoma"/>
                <w:sz w:val="14"/>
                <w:szCs w:val="14"/>
                <w:lang w:val="en-US"/>
              </w:rPr>
              <w:t>19</w:t>
            </w:r>
            <w:r w:rsidR="00D2582C" w:rsidRPr="009477FA">
              <w:rPr>
                <w:rFonts w:ascii="Tahoma" w:hAnsi="Tahoma" w:cs="Tahoma"/>
                <w:sz w:val="14"/>
                <w:szCs w:val="14"/>
                <w:lang w:val="en-US"/>
              </w:rPr>
              <w:t>-</w:t>
            </w:r>
            <w:r w:rsidR="003312AE" w:rsidRPr="009477FA">
              <w:rPr>
                <w:rFonts w:ascii="Tahoma" w:hAnsi="Tahoma" w:cs="Tahoma"/>
                <w:sz w:val="14"/>
                <w:szCs w:val="14"/>
                <w:lang w:val="en-US"/>
              </w:rPr>
              <w:t>9</w:t>
            </w:r>
            <w:r w:rsidRPr="009477FA">
              <w:rPr>
                <w:rFonts w:ascii="Tahoma" w:hAnsi="Tahoma" w:cs="Tahoma"/>
                <w:iCs/>
                <w:color w:val="333333"/>
                <w:sz w:val="14"/>
                <w:szCs w:val="14"/>
                <w:lang w:val="en-US"/>
              </w:rPr>
              <w:t xml:space="preserve">; </w:t>
            </w:r>
            <w:r w:rsidRPr="009477FA">
              <w:rPr>
                <w:rFonts w:ascii="Tahoma" w:hAnsi="Tahoma" w:cs="Tahoma"/>
                <w:b/>
                <w:iCs/>
                <w:color w:val="333333"/>
                <w:sz w:val="14"/>
                <w:szCs w:val="14"/>
                <w:lang w:val="en-US"/>
              </w:rPr>
              <w:t>ISSN</w:t>
            </w:r>
            <w:r w:rsidRPr="009477FA">
              <w:rPr>
                <w:rFonts w:ascii="Tahoma" w:hAnsi="Tahoma" w:cs="Tahoma"/>
                <w:iCs/>
                <w:color w:val="333333"/>
                <w:sz w:val="14"/>
                <w:szCs w:val="14"/>
                <w:lang w:val="en-US"/>
              </w:rPr>
              <w:t xml:space="preserve"> 2283-9216</w:t>
            </w:r>
          </w:p>
        </w:tc>
      </w:tr>
    </w:tbl>
    <w:p w14:paraId="6CE624B6" w14:textId="6D39CD47" w:rsidR="00221CDE" w:rsidRPr="00221CDE" w:rsidRDefault="00221CDE" w:rsidP="00130F8D">
      <w:pPr>
        <w:pStyle w:val="CETTitle"/>
      </w:pPr>
      <w:r w:rsidRPr="00221CDE">
        <w:t>Transient changes in oil quality under frying</w:t>
      </w:r>
      <w:r w:rsidR="00EE6190">
        <w:t xml:space="preserve">: </w:t>
      </w:r>
      <w:r w:rsidRPr="00221CDE">
        <w:t>effect of β-carotene and BHT</w:t>
      </w:r>
    </w:p>
    <w:p w14:paraId="0CCFAE50" w14:textId="1E4BB0CB" w:rsidR="00534687" w:rsidRPr="009477FA" w:rsidRDefault="00534687" w:rsidP="00130F8D">
      <w:pPr>
        <w:pStyle w:val="CETAuthors"/>
      </w:pPr>
      <w:r w:rsidRPr="009477FA">
        <w:t>Yana Madonna</w:t>
      </w:r>
      <w:r w:rsidRPr="009477FA">
        <w:rPr>
          <w:vertAlign w:val="superscript"/>
        </w:rPr>
        <w:t>a</w:t>
      </w:r>
      <w:r w:rsidRPr="009477FA">
        <w:t>, Giorgia Spigno</w:t>
      </w:r>
      <w:r w:rsidRPr="009477FA">
        <w:rPr>
          <w:vertAlign w:val="superscript"/>
        </w:rPr>
        <w:t>a</w:t>
      </w:r>
      <w:r w:rsidR="001B75D1">
        <w:rPr>
          <w:vertAlign w:val="superscript"/>
        </w:rPr>
        <w:t>,</w:t>
      </w:r>
      <w:r w:rsidR="001B75D1" w:rsidRPr="00130F8D">
        <w:t>*</w:t>
      </w:r>
      <w:r w:rsidRPr="009477FA">
        <w:t>, Rahul Kumar</w:t>
      </w:r>
      <w:r w:rsidRPr="009477FA">
        <w:rPr>
          <w:vertAlign w:val="superscript"/>
        </w:rPr>
        <w:t>b</w:t>
      </w:r>
      <w:r w:rsidRPr="009477FA">
        <w:t>, Keshavan Niranjan</w:t>
      </w:r>
      <w:r w:rsidRPr="009477FA">
        <w:rPr>
          <w:vertAlign w:val="superscript"/>
        </w:rPr>
        <w:t>b</w:t>
      </w:r>
      <w:r w:rsidRPr="009477FA">
        <w:t>, Maria Jose Oruna-Concha</w:t>
      </w:r>
      <w:r w:rsidRPr="009477FA">
        <w:rPr>
          <w:vertAlign w:val="superscript"/>
        </w:rPr>
        <w:t xml:space="preserve">b </w:t>
      </w:r>
    </w:p>
    <w:p w14:paraId="0F1EC326" w14:textId="77777777" w:rsidR="00534687" w:rsidRPr="00567B3D" w:rsidRDefault="00534687" w:rsidP="001B75D1">
      <w:pPr>
        <w:pStyle w:val="CETAddress"/>
        <w:rPr>
          <w:lang w:val="it-IT"/>
        </w:rPr>
      </w:pPr>
      <w:r w:rsidRPr="00567B3D">
        <w:rPr>
          <w:vertAlign w:val="superscript"/>
          <w:lang w:val="it-IT"/>
        </w:rPr>
        <w:t>a</w:t>
      </w:r>
      <w:r w:rsidRPr="00567B3D">
        <w:rPr>
          <w:lang w:val="it-IT"/>
        </w:rPr>
        <w:t>Department for Sustainable Food Process, Università Cattolica del Sacro Cuore, Piacenza, Italy.</w:t>
      </w:r>
    </w:p>
    <w:p w14:paraId="4F5DA235" w14:textId="74BCB38D" w:rsidR="00534687" w:rsidRPr="001B75D1" w:rsidRDefault="00534687" w:rsidP="001B75D1">
      <w:pPr>
        <w:pStyle w:val="CETAddress"/>
      </w:pPr>
      <w:r w:rsidRPr="001B75D1">
        <w:rPr>
          <w:vertAlign w:val="superscript"/>
        </w:rPr>
        <w:t>b</w:t>
      </w:r>
      <w:r w:rsidRPr="001B75D1">
        <w:t>Department of Food and Nutritional Sciences, University of Reading, Reading, United Kingdom</w:t>
      </w:r>
    </w:p>
    <w:p w14:paraId="7FE499FF" w14:textId="1B347FBB" w:rsidR="009477FA" w:rsidRPr="001B75D1" w:rsidRDefault="009477FA" w:rsidP="001B75D1">
      <w:pPr>
        <w:pStyle w:val="CETAddress"/>
      </w:pPr>
      <w:r w:rsidRPr="001B75D1">
        <w:t>giorgia.spigno@unicatt.it</w:t>
      </w:r>
    </w:p>
    <w:p w14:paraId="7024FC72" w14:textId="77777777" w:rsidR="00534687" w:rsidRPr="00534687" w:rsidRDefault="00534687" w:rsidP="00534687">
      <w:pPr>
        <w:pStyle w:val="CETAddress"/>
        <w:rPr>
          <w:rFonts w:cs="Arial"/>
          <w:szCs w:val="16"/>
        </w:rPr>
      </w:pPr>
    </w:p>
    <w:p w14:paraId="04EA03EF" w14:textId="503AEBF4" w:rsidR="000E5143" w:rsidRPr="000E5143" w:rsidRDefault="000E5143" w:rsidP="000E5143">
      <w:pPr>
        <w:pStyle w:val="CETBodytext"/>
        <w:rPr>
          <w:lang w:val="en-GB"/>
        </w:rPr>
      </w:pPr>
      <w:r w:rsidRPr="000E5143">
        <w:rPr>
          <w:lang w:val="en-GB"/>
        </w:rPr>
        <w:t xml:space="preserve">β-carotene is a carotenoid, known as one of the main sources of provitamin A and its </w:t>
      </w:r>
      <w:r w:rsidR="001B75D1">
        <w:rPr>
          <w:lang w:val="en-GB"/>
        </w:rPr>
        <w:t xml:space="preserve">low </w:t>
      </w:r>
      <w:r w:rsidRPr="000E5143">
        <w:rPr>
          <w:lang w:val="en-GB"/>
        </w:rPr>
        <w:t xml:space="preserve">diet assumption is one of the major deficiencies among children in Africa and Asia. Even when incorporated into oils, it degrades at high temperatures, which leads to the loss of its antioxidant properties, affecting the nutritional quality and shelf life of the oil. </w:t>
      </w:r>
    </w:p>
    <w:p w14:paraId="20A59FA6" w14:textId="58CA1284" w:rsidR="000E5143" w:rsidRPr="000E5143" w:rsidRDefault="000E5143" w:rsidP="000E5143">
      <w:pPr>
        <w:pStyle w:val="CETBodytext"/>
        <w:rPr>
          <w:lang w:val="en-GB"/>
        </w:rPr>
      </w:pPr>
      <w:r w:rsidRPr="000E5143">
        <w:rPr>
          <w:lang w:val="en-GB"/>
        </w:rPr>
        <w:t>The objectives of this research were (1) to study the degradation kinetics of β-carotene in selected commercial</w:t>
      </w:r>
      <w:r w:rsidR="001B75D1">
        <w:rPr>
          <w:lang w:val="en-GB"/>
        </w:rPr>
        <w:t xml:space="preserve"> </w:t>
      </w:r>
      <w:r w:rsidRPr="000E5143">
        <w:rPr>
          <w:lang w:val="en-GB"/>
        </w:rPr>
        <w:t>cooking oils at frying temperatures (180°C) over time (up to 30</w:t>
      </w:r>
      <w:r w:rsidR="001B75D1">
        <w:rPr>
          <w:lang w:val="en-GB"/>
        </w:rPr>
        <w:t xml:space="preserve"> </w:t>
      </w:r>
      <w:r w:rsidRPr="000E5143">
        <w:rPr>
          <w:lang w:val="en-GB"/>
        </w:rPr>
        <w:t xml:space="preserve">min); and (2) to investigate the effect of the addition of the synthetic antioxidant BHT (butylated hydroxytoluene) on preventing the degradation of β-carotene during frying. </w:t>
      </w:r>
    </w:p>
    <w:p w14:paraId="183B015A" w14:textId="2000AA6F" w:rsidR="000E5143" w:rsidRDefault="000E5143" w:rsidP="000E5143">
      <w:pPr>
        <w:pStyle w:val="CETBodytext"/>
        <w:rPr>
          <w:lang w:val="en-GB"/>
        </w:rPr>
      </w:pPr>
      <w:r w:rsidRPr="000E5143">
        <w:rPr>
          <w:lang w:val="en-GB"/>
        </w:rPr>
        <w:t>Five different oils</w:t>
      </w:r>
      <w:r w:rsidR="001B75D1">
        <w:rPr>
          <w:lang w:val="en-GB"/>
        </w:rPr>
        <w:t xml:space="preserve"> (</w:t>
      </w:r>
      <w:r w:rsidRPr="000E5143">
        <w:rPr>
          <w:lang w:val="en-GB"/>
        </w:rPr>
        <w:t>olive oil, extra virgin olive oil, sunflower oil, rapeseed oil and coconut oil</w:t>
      </w:r>
      <w:r w:rsidR="001B75D1">
        <w:rPr>
          <w:lang w:val="en-GB"/>
        </w:rPr>
        <w:t xml:space="preserve">) </w:t>
      </w:r>
      <w:r w:rsidRPr="000E5143">
        <w:rPr>
          <w:lang w:val="en-GB"/>
        </w:rPr>
        <w:t xml:space="preserve">were </w:t>
      </w:r>
      <w:r w:rsidR="001B75D1" w:rsidRPr="000E5143">
        <w:rPr>
          <w:lang w:val="en-GB"/>
        </w:rPr>
        <w:t>analysed</w:t>
      </w:r>
      <w:r w:rsidRPr="000E5143">
        <w:rPr>
          <w:lang w:val="en-GB"/>
        </w:rPr>
        <w:t>, and degradation of β-carotene was monitored based on a spectrophotomet</w:t>
      </w:r>
      <w:r w:rsidR="001B75D1">
        <w:rPr>
          <w:lang w:val="en-GB"/>
        </w:rPr>
        <w:t>ric</w:t>
      </w:r>
      <w:r w:rsidRPr="000E5143">
        <w:rPr>
          <w:lang w:val="en-GB"/>
        </w:rPr>
        <w:t xml:space="preserve"> method. </w:t>
      </w:r>
      <w:r w:rsidR="00B21BD9">
        <w:rPr>
          <w:lang w:val="en-GB"/>
        </w:rPr>
        <w:t>T</w:t>
      </w:r>
      <w:r w:rsidRPr="000E5143">
        <w:rPr>
          <w:lang w:val="en-GB"/>
        </w:rPr>
        <w:t xml:space="preserve">he oxidative state of the oils was assessed by measuring the acidity and peroxide values. Finally, the fatty acid profile of sunflower and coconut oil was evaluated through GC-FID. The findings revealed that BHT does not significantly protect β-carotene from thermal degradation in all oils. Notably, β-carotene degraded faster in coconut oil, which is rich in saturated fatty acids, compared to sunflower oil, which contains a higher proportion of polyunsaturated fatty acids. </w:t>
      </w:r>
      <w:r w:rsidR="00B21BD9">
        <w:rPr>
          <w:lang w:val="en-GB"/>
        </w:rPr>
        <w:t xml:space="preserve">So, </w:t>
      </w:r>
      <w:r w:rsidRPr="000E5143">
        <w:rPr>
          <w:lang w:val="en-GB"/>
        </w:rPr>
        <w:t xml:space="preserve">the fatty acid composition of the oil plays a crucial role in the degradation process. </w:t>
      </w:r>
    </w:p>
    <w:p w14:paraId="476B2F2E" w14:textId="0738B66B" w:rsidR="00600535" w:rsidRPr="00024768" w:rsidRDefault="00302693" w:rsidP="00302693">
      <w:pPr>
        <w:pStyle w:val="CETHeading1"/>
        <w:rPr>
          <w:lang w:val="en-GB"/>
        </w:rPr>
      </w:pPr>
      <w:r>
        <w:rPr>
          <w:lang w:val="en-GB"/>
        </w:rPr>
        <w:t xml:space="preserve">1. </w:t>
      </w:r>
      <w:r w:rsidR="00600535" w:rsidRPr="00024768">
        <w:rPr>
          <w:lang w:val="en-GB"/>
        </w:rPr>
        <w:t>Introduction</w:t>
      </w:r>
    </w:p>
    <w:p w14:paraId="4BA6D312" w14:textId="7B5D32DC" w:rsidR="00024768" w:rsidRDefault="00A80D23" w:rsidP="00024768">
      <w:pPr>
        <w:pStyle w:val="CETBodytext"/>
      </w:pPr>
      <w:r w:rsidRPr="00024768">
        <w:t>The Food and Agriculture Organization of the United Nations (FAO) used data on food composition analysis to create the World Food Survey. The primary energy source is represented by macronutrients or carbohydrates, lipids and proteins. Edible oils contain special lipid components, of which triglycerides are the main and significant ones. The degree of health benefits of different oils has been a highly debated area of research (Xiang et al., 2024).</w:t>
      </w:r>
    </w:p>
    <w:p w14:paraId="16DC1C4F" w14:textId="3C8BC64A" w:rsidR="00A80D23" w:rsidRPr="00024768" w:rsidRDefault="00A80D23" w:rsidP="00024768">
      <w:pPr>
        <w:pStyle w:val="CETBodytext"/>
      </w:pPr>
      <w:r w:rsidRPr="00024768">
        <w:t>Global production of vegetable oils has increased by 240%</w:t>
      </w:r>
      <w:r w:rsidR="00721FAB">
        <w:t xml:space="preserve">, </w:t>
      </w:r>
      <w:r w:rsidRPr="00024768">
        <w:t xml:space="preserve">reaching over 219 million </w:t>
      </w:r>
      <w:r w:rsidR="001B75D1" w:rsidRPr="00024768">
        <w:t>tons</w:t>
      </w:r>
      <w:r w:rsidRPr="00024768">
        <w:t xml:space="preserve"> worldwide in 2023 (USDA). The major oils are olive oil, coconut oil, </w:t>
      </w:r>
      <w:r w:rsidR="001B75D1" w:rsidRPr="00024768">
        <w:t>cotton-seed</w:t>
      </w:r>
      <w:r w:rsidRPr="00024768">
        <w:t xml:space="preserve"> oil, peanut oil, palm kernel oil, sunflower oil, rapeseed oil and soybean oil, whose global production (× 100,000 tons) in </w:t>
      </w:r>
      <w:proofErr w:type="gramStart"/>
      <w:r w:rsidRPr="00024768">
        <w:t>2022</w:t>
      </w:r>
      <w:r w:rsidR="001B75D1">
        <w:t xml:space="preserve"> </w:t>
      </w:r>
      <w:r w:rsidRPr="00024768">
        <w:t xml:space="preserve"> was</w:t>
      </w:r>
      <w:proofErr w:type="gramEnd"/>
      <w:r w:rsidRPr="00024768">
        <w:t xml:space="preserve"> 28.21, 35.9, 50.10, 64.99, 88.26, 200.61, 316.52 and 618.75, respectively (USDA, </w:t>
      </w:r>
      <w:r w:rsidR="001B75D1">
        <w:t>202</w:t>
      </w:r>
      <w:r w:rsidR="00FC4F3C">
        <w:t>5</w:t>
      </w:r>
      <w:r w:rsidR="00B62E63">
        <w:t>)</w:t>
      </w:r>
      <w:r w:rsidRPr="00024768">
        <w:t>.</w:t>
      </w:r>
    </w:p>
    <w:p w14:paraId="1536C264" w14:textId="7E057D67" w:rsidR="00A80D23" w:rsidRPr="00024768" w:rsidRDefault="00A80D23" w:rsidP="00024768">
      <w:pPr>
        <w:pStyle w:val="CETBodytext"/>
      </w:pPr>
      <w:r w:rsidRPr="00024768">
        <w:t xml:space="preserve">Edible oils are an important component of food processing </w:t>
      </w:r>
      <w:r w:rsidR="00744550">
        <w:t xml:space="preserve">which significantly </w:t>
      </w:r>
      <w:r w:rsidRPr="00024768">
        <w:t>modif</w:t>
      </w:r>
      <w:r w:rsidR="00744550">
        <w:t xml:space="preserve">y </w:t>
      </w:r>
      <w:r w:rsidRPr="00024768">
        <w:t>the</w:t>
      </w:r>
      <w:r w:rsidR="00744550">
        <w:t xml:space="preserve"> </w:t>
      </w:r>
      <w:r w:rsidRPr="00024768">
        <w:t>raw material</w:t>
      </w:r>
      <w:r w:rsidR="00744550">
        <w:t xml:space="preserve">s and ingredients of the recipes, </w:t>
      </w:r>
      <w:r w:rsidRPr="00024768">
        <w:t xml:space="preserve">increasing the caloric content, </w:t>
      </w:r>
      <w:r w:rsidR="00744550">
        <w:t xml:space="preserve">and </w:t>
      </w:r>
      <w:r w:rsidRPr="00024768">
        <w:t>promoting the sensor</w:t>
      </w:r>
      <w:r w:rsidR="00744550">
        <w:t>y</w:t>
      </w:r>
      <w:r w:rsidRPr="00024768">
        <w:t xml:space="preserve">, taste and </w:t>
      </w:r>
      <w:r w:rsidR="00744550">
        <w:t>texture</w:t>
      </w:r>
      <w:r w:rsidR="00744550" w:rsidRPr="00024768">
        <w:t xml:space="preserve"> </w:t>
      </w:r>
      <w:r w:rsidRPr="00024768">
        <w:t>of finished products (Xiang et al., 2024).</w:t>
      </w:r>
    </w:p>
    <w:p w14:paraId="70CC38F0" w14:textId="33A8E07D" w:rsidR="00A80D23" w:rsidRPr="00266A0C" w:rsidRDefault="00A80D23" w:rsidP="00024768">
      <w:pPr>
        <w:pStyle w:val="CETBodytext"/>
      </w:pPr>
      <w:r w:rsidRPr="00024768">
        <w:t xml:space="preserve">One of the most used and oldest methods in the world for preparing food is frying which is carried out at high temperatures. </w:t>
      </w:r>
      <w:r w:rsidR="00744550">
        <w:t>D</w:t>
      </w:r>
      <w:r w:rsidRPr="00024768">
        <w:t xml:space="preserve">ue to the high temperatures that occur in the frying process, a series of complex reactions such as hydrolysis, oxidation and polymerization occur. Furthermore, hydroperoxides are formed which are important oxidation products formed during frying. The latter decomposes to give secondary </w:t>
      </w:r>
      <w:r w:rsidRPr="00266A0C">
        <w:t>products such as esters, aldehydes, alcohols, ketones, lactones and hydrocarbons. Due to the formation of these secondary products, there is a loss of nutritional value and the formation of compounds that influence flavor. To prevent and slow down these reactions, synthetic antioxidants such as BHT, the subject of this study, are used (Cui et al., 2017).</w:t>
      </w:r>
    </w:p>
    <w:p w14:paraId="6C980864" w14:textId="1C8DCB33" w:rsidR="00A80D23" w:rsidRPr="00024768" w:rsidRDefault="00A80D23" w:rsidP="00024768">
      <w:pPr>
        <w:pStyle w:val="CETBodytext"/>
      </w:pPr>
      <w:r w:rsidRPr="00266A0C">
        <w:lastRenderedPageBreak/>
        <w:t xml:space="preserve">In some vegetable oils there is a pigment that gives an orange color, </w:t>
      </w:r>
      <w:r>
        <w:t>β</w:t>
      </w:r>
      <w:r w:rsidRPr="00266A0C">
        <w:t>-carotene. It is a</w:t>
      </w:r>
      <w:r w:rsidRPr="00024768">
        <w:t xml:space="preserve"> </w:t>
      </w:r>
      <w:r w:rsidRPr="00266A0C">
        <w:t xml:space="preserve">molecule that degrades in the presence of light and </w:t>
      </w:r>
      <w:r w:rsidR="00744550" w:rsidRPr="00266A0C">
        <w:t>heat;</w:t>
      </w:r>
      <w:r w:rsidRPr="00266A0C">
        <w:t xml:space="preserve"> </w:t>
      </w:r>
      <w:r w:rsidR="00744550" w:rsidRPr="00266A0C">
        <w:t>therefore,</w:t>
      </w:r>
      <w:r w:rsidRPr="00266A0C">
        <w:t xml:space="preserve"> it is lost in the oil refining processes. </w:t>
      </w:r>
      <w:r>
        <w:t>β</w:t>
      </w:r>
      <w:r w:rsidRPr="00266A0C">
        <w:t>-carotene is widely used as a natural colorant and preservative in the food industry (Yilmaz et al., 2017)</w:t>
      </w:r>
      <w:r w:rsidR="00744550">
        <w:t xml:space="preserve">, since </w:t>
      </w:r>
      <w:r w:rsidRPr="00266A0C">
        <w:t>it has antioxidant properties that protect against damage caused by other molecules such as free radicals (Elik et al., 2020).</w:t>
      </w:r>
      <w:r>
        <w:t xml:space="preserve"> β</w:t>
      </w:r>
      <w:r w:rsidRPr="00266A0C">
        <w:t>-carotene</w:t>
      </w:r>
      <w:r w:rsidRPr="00024768">
        <w:t xml:space="preserve"> </w:t>
      </w:r>
      <w:r w:rsidRPr="00266A0C">
        <w:t>can</w:t>
      </w:r>
      <w:r w:rsidRPr="00024768">
        <w:t xml:space="preserve"> </w:t>
      </w:r>
      <w:r w:rsidRPr="00266A0C">
        <w:t>be</w:t>
      </w:r>
      <w:r w:rsidRPr="00024768">
        <w:t xml:space="preserve"> </w:t>
      </w:r>
      <w:r w:rsidRPr="00266A0C">
        <w:t>consumed</w:t>
      </w:r>
      <w:r w:rsidRPr="00024768">
        <w:t xml:space="preserve"> </w:t>
      </w:r>
      <w:r w:rsidRPr="00266A0C">
        <w:t>to</w:t>
      </w:r>
      <w:r w:rsidRPr="00024768">
        <w:t xml:space="preserve"> </w:t>
      </w:r>
      <w:r w:rsidRPr="00266A0C">
        <w:t>make</w:t>
      </w:r>
      <w:r w:rsidRPr="00024768">
        <w:t xml:space="preserve"> </w:t>
      </w:r>
      <w:r w:rsidRPr="00266A0C">
        <w:t>up</w:t>
      </w:r>
      <w:r w:rsidRPr="00024768">
        <w:t xml:space="preserve"> </w:t>
      </w:r>
      <w:r w:rsidRPr="00266A0C">
        <w:t>for</w:t>
      </w:r>
      <w:r w:rsidRPr="00024768">
        <w:t xml:space="preserve"> </w:t>
      </w:r>
      <w:r w:rsidRPr="00266A0C">
        <w:t>vitamin</w:t>
      </w:r>
      <w:r w:rsidRPr="00024768">
        <w:t xml:space="preserve"> </w:t>
      </w:r>
      <w:r w:rsidRPr="00266A0C">
        <w:t>A</w:t>
      </w:r>
      <w:r w:rsidRPr="00024768">
        <w:t xml:space="preserve"> </w:t>
      </w:r>
      <w:r w:rsidRPr="00266A0C">
        <w:t>deficiency</w:t>
      </w:r>
      <w:r w:rsidRPr="00024768">
        <w:t xml:space="preserve"> </w:t>
      </w:r>
      <w:r w:rsidRPr="00266A0C">
        <w:t>as</w:t>
      </w:r>
      <w:r w:rsidRPr="00024768">
        <w:t xml:space="preserve"> </w:t>
      </w:r>
      <w:r w:rsidRPr="00266A0C">
        <w:t>it</w:t>
      </w:r>
      <w:r w:rsidRPr="00024768">
        <w:t xml:space="preserve"> </w:t>
      </w:r>
      <w:r w:rsidRPr="00266A0C">
        <w:t>is</w:t>
      </w:r>
      <w:r w:rsidRPr="00024768">
        <w:t xml:space="preserve"> </w:t>
      </w:r>
      <w:r w:rsidRPr="00266A0C">
        <w:t>a</w:t>
      </w:r>
      <w:r w:rsidRPr="00024768">
        <w:t xml:space="preserve"> </w:t>
      </w:r>
      <w:r w:rsidRPr="00266A0C">
        <w:t>pro-vitamin.</w:t>
      </w:r>
      <w:r w:rsidRPr="00024768">
        <w:t xml:space="preserve"> </w:t>
      </w:r>
      <w:r w:rsidRPr="00266A0C">
        <w:t>Vitamin</w:t>
      </w:r>
      <w:r w:rsidRPr="00024768">
        <w:t xml:space="preserve"> </w:t>
      </w:r>
      <w:r w:rsidRPr="00266A0C">
        <w:t>A deficiency</w:t>
      </w:r>
      <w:r w:rsidRPr="00024768">
        <w:t xml:space="preserve"> </w:t>
      </w:r>
      <w:r w:rsidRPr="00266A0C">
        <w:t>is</w:t>
      </w:r>
      <w:r w:rsidRPr="00024768">
        <w:t xml:space="preserve"> </w:t>
      </w:r>
      <w:r w:rsidRPr="00266A0C">
        <w:t>a</w:t>
      </w:r>
      <w:r w:rsidRPr="00024768">
        <w:t xml:space="preserve"> </w:t>
      </w:r>
      <w:r w:rsidRPr="00266A0C">
        <w:t>major</w:t>
      </w:r>
      <w:r w:rsidRPr="00024768">
        <w:t xml:space="preserve"> </w:t>
      </w:r>
      <w:r w:rsidRPr="00266A0C">
        <w:t>public</w:t>
      </w:r>
      <w:r w:rsidRPr="00024768">
        <w:t xml:space="preserve"> </w:t>
      </w:r>
      <w:r w:rsidRPr="00266A0C">
        <w:t>health</w:t>
      </w:r>
      <w:r w:rsidRPr="00024768">
        <w:t xml:space="preserve"> </w:t>
      </w:r>
      <w:r w:rsidRPr="00266A0C">
        <w:t>problem</w:t>
      </w:r>
      <w:r w:rsidRPr="00024768">
        <w:t xml:space="preserve"> </w:t>
      </w:r>
      <w:r w:rsidRPr="00266A0C">
        <w:t>worldwide,</w:t>
      </w:r>
      <w:r w:rsidRPr="00024768">
        <w:t xml:space="preserve"> </w:t>
      </w:r>
      <w:r w:rsidRPr="00266A0C">
        <w:t>particularly</w:t>
      </w:r>
      <w:r w:rsidRPr="00024768">
        <w:t xml:space="preserve"> </w:t>
      </w:r>
      <w:r w:rsidRPr="00266A0C">
        <w:t>in</w:t>
      </w:r>
      <w:r w:rsidRPr="00024768">
        <w:t xml:space="preserve"> </w:t>
      </w:r>
      <w:r w:rsidRPr="00266A0C">
        <w:t>Asia</w:t>
      </w:r>
      <w:r w:rsidRPr="00024768">
        <w:t xml:space="preserve"> </w:t>
      </w:r>
      <w:r w:rsidRPr="00266A0C">
        <w:t>and</w:t>
      </w:r>
      <w:r w:rsidRPr="00024768">
        <w:t xml:space="preserve"> </w:t>
      </w:r>
      <w:r w:rsidRPr="00266A0C">
        <w:t>Africa.</w:t>
      </w:r>
      <w:r w:rsidRPr="00024768">
        <w:t xml:space="preserve"> </w:t>
      </w:r>
      <w:r w:rsidRPr="00266A0C">
        <w:t>Alon</w:t>
      </w:r>
      <w:r>
        <w:t xml:space="preserve">g </w:t>
      </w:r>
      <w:r w:rsidRPr="00266A0C">
        <w:t>with zinc and iron deficiencies, it is one of the three most chronic</w:t>
      </w:r>
      <w:r w:rsidR="00744550">
        <w:t xml:space="preserve"> nutritional deficiencies</w:t>
      </w:r>
      <w:r w:rsidR="00721FAB">
        <w:t xml:space="preserve">. </w:t>
      </w:r>
      <w:r w:rsidRPr="00266A0C">
        <w:t>Globally, an estimated 250 million preschool children are vitamin</w:t>
      </w:r>
      <w:r w:rsidRPr="00024768">
        <w:t xml:space="preserve"> </w:t>
      </w:r>
      <w:r w:rsidRPr="00266A0C">
        <w:t>A</w:t>
      </w:r>
      <w:r w:rsidRPr="00024768">
        <w:t xml:space="preserve"> </w:t>
      </w:r>
      <w:r w:rsidRPr="00266A0C">
        <w:t>deficient (</w:t>
      </w:r>
      <w:r w:rsidR="00744550" w:rsidRPr="00266A0C">
        <w:t>Chen</w:t>
      </w:r>
      <w:r w:rsidR="00744550" w:rsidRPr="00024768">
        <w:t xml:space="preserve"> </w:t>
      </w:r>
      <w:r w:rsidR="00744550" w:rsidRPr="00266A0C">
        <w:t>et</w:t>
      </w:r>
      <w:r w:rsidR="00744550" w:rsidRPr="00024768">
        <w:t xml:space="preserve"> </w:t>
      </w:r>
      <w:r w:rsidR="00744550" w:rsidRPr="00266A0C">
        <w:t>al.,</w:t>
      </w:r>
      <w:r w:rsidR="00744550" w:rsidRPr="00024768">
        <w:t xml:space="preserve"> </w:t>
      </w:r>
      <w:r w:rsidR="00744550" w:rsidRPr="00266A0C">
        <w:t>2021</w:t>
      </w:r>
      <w:r w:rsidR="00744550">
        <w:t xml:space="preserve">; </w:t>
      </w:r>
      <w:r w:rsidRPr="00266A0C">
        <w:t>Kumar et al., 202</w:t>
      </w:r>
      <w:r w:rsidR="00AA0B27">
        <w:t>4</w:t>
      </w:r>
      <w:r w:rsidRPr="00266A0C">
        <w:t>;</w:t>
      </w:r>
      <w:r w:rsidRPr="00024768">
        <w:t>).</w:t>
      </w:r>
    </w:p>
    <w:p w14:paraId="153C7DC4" w14:textId="4D98ED69" w:rsidR="00A80D23" w:rsidRDefault="00A80D23" w:rsidP="00024768">
      <w:pPr>
        <w:pStyle w:val="CETBodytext"/>
      </w:pPr>
      <w:r w:rsidRPr="00266A0C">
        <w:t>The objective</w:t>
      </w:r>
      <w:r>
        <w:t>s</w:t>
      </w:r>
      <w:r w:rsidRPr="00266A0C">
        <w:t xml:space="preserve"> of this research were (1) to study the degradation kinetics of </w:t>
      </w:r>
      <w:r>
        <w:t>β</w:t>
      </w:r>
      <w:r w:rsidRPr="00266A0C">
        <w:t>-carotene in selected commercially</w:t>
      </w:r>
      <w:r w:rsidRPr="00024768">
        <w:t xml:space="preserve"> </w:t>
      </w:r>
      <w:r w:rsidRPr="00266A0C">
        <w:t>available</w:t>
      </w:r>
      <w:r w:rsidRPr="00024768">
        <w:t xml:space="preserve"> </w:t>
      </w:r>
      <w:r w:rsidRPr="00266A0C">
        <w:t>cooking</w:t>
      </w:r>
      <w:r w:rsidRPr="00024768">
        <w:t xml:space="preserve"> </w:t>
      </w:r>
      <w:r w:rsidRPr="00266A0C">
        <w:t>oils</w:t>
      </w:r>
      <w:r w:rsidRPr="00024768">
        <w:t xml:space="preserve"> </w:t>
      </w:r>
      <w:r w:rsidRPr="00266A0C">
        <w:t>at</w:t>
      </w:r>
      <w:r w:rsidRPr="00024768">
        <w:t xml:space="preserve"> </w:t>
      </w:r>
      <w:r w:rsidRPr="00266A0C">
        <w:t>frying</w:t>
      </w:r>
      <w:r w:rsidRPr="00024768">
        <w:t xml:space="preserve"> </w:t>
      </w:r>
      <w:r w:rsidRPr="00266A0C">
        <w:t>temperatures</w:t>
      </w:r>
      <w:r w:rsidRPr="00024768">
        <w:t xml:space="preserve"> </w:t>
      </w:r>
      <w:r w:rsidRPr="00266A0C">
        <w:t>(180</w:t>
      </w:r>
      <w:r w:rsidRPr="00024768">
        <w:t>°</w:t>
      </w:r>
      <w:r w:rsidRPr="00266A0C">
        <w:t>C)</w:t>
      </w:r>
      <w:r w:rsidRPr="00024768">
        <w:t xml:space="preserve"> </w:t>
      </w:r>
      <w:r w:rsidRPr="00266A0C">
        <w:t>over</w:t>
      </w:r>
      <w:r w:rsidRPr="00024768">
        <w:t xml:space="preserve"> </w:t>
      </w:r>
      <w:r w:rsidRPr="00266A0C">
        <w:t>time</w:t>
      </w:r>
      <w:r w:rsidRPr="00024768">
        <w:t xml:space="preserve"> </w:t>
      </w:r>
      <w:r w:rsidRPr="00266A0C">
        <w:t>(up</w:t>
      </w:r>
      <w:r w:rsidRPr="00024768">
        <w:t xml:space="preserve"> </w:t>
      </w:r>
      <w:r w:rsidRPr="00266A0C">
        <w:t>to</w:t>
      </w:r>
      <w:r w:rsidRPr="00024768">
        <w:t xml:space="preserve"> </w:t>
      </w:r>
      <w:r w:rsidRPr="00266A0C">
        <w:t>30</w:t>
      </w:r>
      <w:r w:rsidR="00744550">
        <w:t xml:space="preserve"> </w:t>
      </w:r>
      <w:r w:rsidRPr="00266A0C">
        <w:t>min);</w:t>
      </w:r>
      <w:r w:rsidRPr="00024768">
        <w:t xml:space="preserve"> and</w:t>
      </w:r>
      <w:r>
        <w:t xml:space="preserve"> </w:t>
      </w:r>
      <w:r w:rsidRPr="00266A0C">
        <w:t xml:space="preserve">(2) to investigate the effect of BHT on preventing the degradation of </w:t>
      </w:r>
      <w:r>
        <w:t>β</w:t>
      </w:r>
      <w:r w:rsidRPr="00266A0C">
        <w:t>-carotene under those conditions.</w:t>
      </w:r>
      <w:r w:rsidRPr="00024768">
        <w:t xml:space="preserve"> </w:t>
      </w:r>
      <w:r w:rsidRPr="00266A0C">
        <w:t>Five</w:t>
      </w:r>
      <w:r w:rsidRPr="00024768">
        <w:t xml:space="preserve"> </w:t>
      </w:r>
      <w:r w:rsidRPr="00266A0C">
        <w:t>commercial</w:t>
      </w:r>
      <w:r w:rsidR="00744550">
        <w:t xml:space="preserve"> </w:t>
      </w:r>
      <w:r w:rsidRPr="00266A0C">
        <w:t>cooking</w:t>
      </w:r>
      <w:r w:rsidRPr="00024768">
        <w:t xml:space="preserve"> </w:t>
      </w:r>
      <w:r w:rsidRPr="00266A0C">
        <w:t>oils</w:t>
      </w:r>
      <w:r w:rsidRPr="00024768">
        <w:t xml:space="preserve"> </w:t>
      </w:r>
      <w:r w:rsidRPr="00266A0C">
        <w:t>were</w:t>
      </w:r>
      <w:r w:rsidRPr="00024768">
        <w:t xml:space="preserve"> </w:t>
      </w:r>
      <w:r w:rsidR="00744550">
        <w:t>tested</w:t>
      </w:r>
      <w:r w:rsidR="00744550" w:rsidRPr="00024768">
        <w:t xml:space="preserve"> </w:t>
      </w:r>
      <w:r w:rsidRPr="00266A0C">
        <w:t>including</w:t>
      </w:r>
      <w:r w:rsidRPr="00024768">
        <w:t xml:space="preserve"> </w:t>
      </w:r>
      <w:r w:rsidRPr="00266A0C">
        <w:t>olive</w:t>
      </w:r>
      <w:r w:rsidRPr="00024768">
        <w:t xml:space="preserve"> </w:t>
      </w:r>
      <w:r w:rsidRPr="00266A0C">
        <w:t>oil,</w:t>
      </w:r>
      <w:r w:rsidRPr="00024768">
        <w:t xml:space="preserve"> </w:t>
      </w:r>
      <w:r w:rsidRPr="00266A0C">
        <w:t>extra</w:t>
      </w:r>
      <w:r w:rsidRPr="00024768">
        <w:t xml:space="preserve"> </w:t>
      </w:r>
      <w:r w:rsidRPr="00266A0C">
        <w:t>virgin olive oil, rapeseed oil, sunflower oil and coconut oil</w:t>
      </w:r>
      <w:r w:rsidRPr="00024768">
        <w:t xml:space="preserve"> </w:t>
      </w:r>
      <w:r w:rsidRPr="00266A0C">
        <w:t>at frying condition.</w:t>
      </w:r>
      <w:r w:rsidRPr="00024768">
        <w:t xml:space="preserve"> </w:t>
      </w:r>
      <w:r w:rsidRPr="00266A0C">
        <w:t xml:space="preserve">Analysis of </w:t>
      </w:r>
      <w:r>
        <w:t>β</w:t>
      </w:r>
      <w:r w:rsidRPr="00266A0C">
        <w:t>-carotene as well as determination of acid and peroxide values and free fatty acid profiles of the treated oils were carried out</w:t>
      </w:r>
      <w:r>
        <w:t>.</w:t>
      </w:r>
    </w:p>
    <w:p w14:paraId="3072F461" w14:textId="6B06642D" w:rsidR="00A80D23" w:rsidRDefault="00281B9B" w:rsidP="002274E1">
      <w:pPr>
        <w:pStyle w:val="CETHeading1"/>
        <w:tabs>
          <w:tab w:val="num" w:pos="360"/>
        </w:tabs>
      </w:pPr>
      <w:r>
        <w:t xml:space="preserve">2. </w:t>
      </w:r>
      <w:r w:rsidR="00A80D23" w:rsidRPr="00A80D23">
        <w:t xml:space="preserve">Materials and </w:t>
      </w:r>
      <w:r w:rsidR="00A80D23">
        <w:t>m</w:t>
      </w:r>
      <w:r w:rsidR="00A80D23" w:rsidRPr="00A80D23">
        <w:t>ethods</w:t>
      </w:r>
    </w:p>
    <w:p w14:paraId="607D6151" w14:textId="7ED8BA5F" w:rsidR="00281B9B" w:rsidRPr="00024768" w:rsidRDefault="00BB29FB" w:rsidP="00024768">
      <w:pPr>
        <w:pStyle w:val="CETheadingx"/>
        <w:rPr>
          <w:b/>
          <w:bCs w:val="0"/>
        </w:rPr>
      </w:pPr>
      <w:bookmarkStart w:id="0" w:name="7.3_Oil_Samples"/>
      <w:bookmarkStart w:id="1" w:name="_bookmark29"/>
      <w:bookmarkStart w:id="2" w:name="7.4_Sample_Preparation"/>
      <w:bookmarkStart w:id="3" w:name="_bookmark30"/>
      <w:bookmarkEnd w:id="0"/>
      <w:bookmarkEnd w:id="1"/>
      <w:bookmarkEnd w:id="2"/>
      <w:bookmarkEnd w:id="3"/>
      <w:r>
        <w:rPr>
          <w:b/>
          <w:bCs w:val="0"/>
        </w:rPr>
        <w:t xml:space="preserve">2.1 </w:t>
      </w:r>
      <w:r w:rsidR="00CC273F">
        <w:rPr>
          <w:b/>
          <w:bCs w:val="0"/>
        </w:rPr>
        <w:t>Experimental plan</w:t>
      </w:r>
    </w:p>
    <w:p w14:paraId="450B4488" w14:textId="5B72B78F" w:rsidR="00281B9B" w:rsidRPr="00E72F8D" w:rsidRDefault="00281B9B" w:rsidP="00A770DC">
      <w:pPr>
        <w:pStyle w:val="CETBodytext"/>
      </w:pPr>
      <w:r w:rsidRPr="00E72F8D">
        <w:t xml:space="preserve">Stock solutions of </w:t>
      </w:r>
      <w:r w:rsidRPr="00281B9B">
        <w:t>β</w:t>
      </w:r>
      <w:r w:rsidRPr="00E72F8D">
        <w:t xml:space="preserve">-carotene and BHT were prepared as follows: 10 µg of </w:t>
      </w:r>
      <w:r w:rsidRPr="00281B9B">
        <w:t>β</w:t>
      </w:r>
      <w:r w:rsidRPr="00E72F8D">
        <w:t>-carotene were dissolved in each of the cooking oils (100 mL)</w:t>
      </w:r>
      <w:r w:rsidRPr="00281B9B">
        <w:t xml:space="preserve"> </w:t>
      </w:r>
      <w:r w:rsidRPr="00E72F8D">
        <w:t>under stirring with the help of a magnetic bar and away from the natural light using aluminum foil to cover the flask. The same protocol was followed</w:t>
      </w:r>
      <w:r w:rsidRPr="00281B9B">
        <w:t xml:space="preserve"> </w:t>
      </w:r>
      <w:r w:rsidRPr="00E72F8D">
        <w:t>to</w:t>
      </w:r>
      <w:r w:rsidRPr="00281B9B">
        <w:t xml:space="preserve"> </w:t>
      </w:r>
      <w:r w:rsidRPr="00E72F8D">
        <w:t>prepare</w:t>
      </w:r>
      <w:r w:rsidRPr="00281B9B">
        <w:t xml:space="preserve"> </w:t>
      </w:r>
      <w:r w:rsidRPr="00E72F8D">
        <w:t>the</w:t>
      </w:r>
      <w:r w:rsidRPr="00281B9B">
        <w:t xml:space="preserve"> </w:t>
      </w:r>
      <w:r w:rsidRPr="00E72F8D">
        <w:t>BHT</w:t>
      </w:r>
      <w:r w:rsidRPr="00281B9B">
        <w:t xml:space="preserve"> </w:t>
      </w:r>
      <w:r w:rsidRPr="00E72F8D">
        <w:t>stock</w:t>
      </w:r>
      <w:r w:rsidRPr="00281B9B">
        <w:t xml:space="preserve"> </w:t>
      </w:r>
      <w:r w:rsidRPr="00E72F8D">
        <w:t>solution</w:t>
      </w:r>
      <w:r w:rsidRPr="00281B9B">
        <w:t xml:space="preserve"> </w:t>
      </w:r>
      <w:r w:rsidRPr="00E72F8D">
        <w:t>but</w:t>
      </w:r>
      <w:r w:rsidRPr="00281B9B">
        <w:t xml:space="preserve"> </w:t>
      </w:r>
      <w:r w:rsidRPr="00E72F8D">
        <w:t>in</w:t>
      </w:r>
      <w:r w:rsidRPr="00281B9B">
        <w:t xml:space="preserve"> </w:t>
      </w:r>
      <w:r w:rsidRPr="00E72F8D">
        <w:t>this</w:t>
      </w:r>
      <w:r w:rsidRPr="00281B9B">
        <w:t xml:space="preserve"> </w:t>
      </w:r>
      <w:r w:rsidRPr="00E72F8D">
        <w:t>case</w:t>
      </w:r>
      <w:r w:rsidRPr="00281B9B">
        <w:t xml:space="preserve"> </w:t>
      </w:r>
      <w:r w:rsidRPr="00E72F8D">
        <w:t>2</w:t>
      </w:r>
      <w:r w:rsidRPr="00281B9B">
        <w:t xml:space="preserve"> </w:t>
      </w:r>
      <w:r w:rsidRPr="00E72F8D">
        <w:t>g</w:t>
      </w:r>
      <w:r w:rsidRPr="00281B9B">
        <w:t xml:space="preserve"> </w:t>
      </w:r>
      <w:r w:rsidRPr="00E72F8D">
        <w:t>of</w:t>
      </w:r>
      <w:r w:rsidRPr="00281B9B">
        <w:t xml:space="preserve"> </w:t>
      </w:r>
      <w:r w:rsidRPr="00E72F8D">
        <w:t>BHT</w:t>
      </w:r>
      <w:r w:rsidRPr="00281B9B">
        <w:t xml:space="preserve"> </w:t>
      </w:r>
      <w:r w:rsidRPr="00E72F8D">
        <w:t>were</w:t>
      </w:r>
      <w:r w:rsidRPr="00281B9B">
        <w:t xml:space="preserve"> </w:t>
      </w:r>
      <w:r w:rsidRPr="00E72F8D">
        <w:t>dissolved</w:t>
      </w:r>
      <w:r w:rsidRPr="00281B9B">
        <w:t xml:space="preserve"> </w:t>
      </w:r>
      <w:r w:rsidRPr="00E72F8D">
        <w:t>in</w:t>
      </w:r>
      <w:r w:rsidRPr="00281B9B">
        <w:t xml:space="preserve"> </w:t>
      </w:r>
      <w:r w:rsidRPr="00E72F8D">
        <w:t>100</w:t>
      </w:r>
      <w:r w:rsidRPr="00281B9B">
        <w:t xml:space="preserve"> </w:t>
      </w:r>
      <w:r w:rsidRPr="00E72F8D">
        <w:t>mL of oil. This amount of BHT was used because</w:t>
      </w:r>
      <w:r w:rsidR="00CC273F">
        <w:t xml:space="preserve"> it</w:t>
      </w:r>
      <w:r w:rsidRPr="00E72F8D">
        <w:t xml:space="preserve"> is the maximum amount of this antioxidant</w:t>
      </w:r>
      <w:r w:rsidRPr="00281B9B">
        <w:t xml:space="preserve"> </w:t>
      </w:r>
      <w:r w:rsidRPr="00E72F8D">
        <w:t>reported in the regulation (EC) N</w:t>
      </w:r>
      <w:r w:rsidRPr="00281B9B">
        <w:t xml:space="preserve">o </w:t>
      </w:r>
      <w:r w:rsidRPr="00E72F8D">
        <w:t>1333/2008.</w:t>
      </w:r>
    </w:p>
    <w:p w14:paraId="26142B4A" w14:textId="6E26CDFC" w:rsidR="00281B9B" w:rsidRPr="00E72F8D" w:rsidRDefault="00CC273F" w:rsidP="00A770DC">
      <w:pPr>
        <w:pStyle w:val="CETBodytext"/>
      </w:pPr>
      <w:r>
        <w:t>S</w:t>
      </w:r>
      <w:r w:rsidR="00281B9B" w:rsidRPr="00E72F8D">
        <w:t>amples of cooking oil (90 m</w:t>
      </w:r>
      <w:r w:rsidR="00A770DC">
        <w:t>L</w:t>
      </w:r>
      <w:r w:rsidR="00281B9B" w:rsidRPr="00E72F8D">
        <w:t xml:space="preserve">) were transferred </w:t>
      </w:r>
      <w:r>
        <w:t>in</w:t>
      </w:r>
      <w:r w:rsidR="00281B9B" w:rsidRPr="00E72F8D">
        <w:t>to Duran bottle (200 m</w:t>
      </w:r>
      <w:r w:rsidR="00A770DC">
        <w:t>L</w:t>
      </w:r>
      <w:r w:rsidR="00281B9B" w:rsidRPr="00E72F8D">
        <w:t xml:space="preserve">) and added </w:t>
      </w:r>
      <w:r>
        <w:t xml:space="preserve">with </w:t>
      </w:r>
      <w:r w:rsidR="00281B9B" w:rsidRPr="00E72F8D">
        <w:t xml:space="preserve">either 10 mL of </w:t>
      </w:r>
      <w:r w:rsidR="00281B9B" w:rsidRPr="00281B9B">
        <w:t>β</w:t>
      </w:r>
      <w:r w:rsidR="00281B9B" w:rsidRPr="00E72F8D">
        <w:t>-carotene stock solution or 1 mL of BHT stock solution</w:t>
      </w:r>
      <w:r>
        <w:t xml:space="preserve"> to get f</w:t>
      </w:r>
      <w:r w:rsidR="00281B9B" w:rsidRPr="00E72F8D">
        <w:t xml:space="preserve">inal concentration of BHT and </w:t>
      </w:r>
      <w:r w:rsidR="00281B9B" w:rsidRPr="00281B9B">
        <w:t>β</w:t>
      </w:r>
      <w:r w:rsidR="00281B9B" w:rsidRPr="00E72F8D">
        <w:t>-carotene in the oil samples 0.02% and 0.01%, respectively. Three different samples were prepared for each treatment for each cooking oil.</w:t>
      </w:r>
      <w:r>
        <w:t xml:space="preserve"> </w:t>
      </w:r>
    </w:p>
    <w:p w14:paraId="75AB0BDA" w14:textId="06FB9FAD" w:rsidR="00281B9B" w:rsidRPr="00E72F8D" w:rsidRDefault="00281B9B" w:rsidP="00A770DC">
      <w:pPr>
        <w:pStyle w:val="CETBodytext"/>
      </w:pPr>
      <w:r w:rsidRPr="00E72F8D">
        <w:t>To simulate frying conditions,</w:t>
      </w:r>
      <w:r w:rsidRPr="00281B9B">
        <w:t xml:space="preserve"> </w:t>
      </w:r>
      <w:r w:rsidRPr="00E72F8D">
        <w:t>90 mL of oil w</w:t>
      </w:r>
      <w:r w:rsidR="00CC273F">
        <w:t>ere</w:t>
      </w:r>
      <w:r w:rsidRPr="00E72F8D">
        <w:t xml:space="preserve"> </w:t>
      </w:r>
      <w:r w:rsidR="00CC273F" w:rsidRPr="00E72F8D">
        <w:t>transferred</w:t>
      </w:r>
      <w:r w:rsidRPr="00E72F8D">
        <w:t xml:space="preserve"> to a beaker (100 mL) and placed on a heating plate with the temperature set at 180 °C. This temperature was chosen because 180°C is a classic frying temperature used for cooking and frying. Once the temperature of 180°C was reached</w:t>
      </w:r>
      <w:r w:rsidR="00CC273F">
        <w:t xml:space="preserve">, </w:t>
      </w:r>
      <w:r w:rsidRPr="00E72F8D">
        <w:t xml:space="preserve">10 mL of </w:t>
      </w:r>
      <w:r w:rsidRPr="00281B9B">
        <w:t>β</w:t>
      </w:r>
      <w:r w:rsidRPr="00E72F8D">
        <w:t>-carotene stock solution were</w:t>
      </w:r>
      <w:r w:rsidRPr="00281B9B">
        <w:t xml:space="preserve"> </w:t>
      </w:r>
      <w:r w:rsidRPr="00E72F8D">
        <w:t>added to the oil monitoring that the temperature remained constant at 180 °C</w:t>
      </w:r>
      <w:r w:rsidR="00CC273F">
        <w:t xml:space="preserve"> (a</w:t>
      </w:r>
      <w:r w:rsidRPr="00E72F8D">
        <w:t xml:space="preserve"> thermometer was used to check and record the temperature immediately after the addition of the stock solution and throughout the duration</w:t>
      </w:r>
      <w:r w:rsidRPr="00281B9B">
        <w:t xml:space="preserve"> </w:t>
      </w:r>
      <w:r w:rsidRPr="00E72F8D">
        <w:t>of the experiment</w:t>
      </w:r>
      <w:r w:rsidR="00CC273F">
        <w:t>)</w:t>
      </w:r>
      <w:r w:rsidRPr="00E72F8D">
        <w:t xml:space="preserve">. The same procedure was followed when adding 1 mL from the BHT stock </w:t>
      </w:r>
      <w:r w:rsidRPr="00281B9B">
        <w:t>solution.</w:t>
      </w:r>
    </w:p>
    <w:p w14:paraId="088754B9" w14:textId="3FD1C2F4" w:rsidR="00281B9B" w:rsidRPr="00E72F8D" w:rsidRDefault="00281B9B" w:rsidP="00A770DC">
      <w:pPr>
        <w:pStyle w:val="CETBodytext"/>
      </w:pPr>
      <w:r w:rsidRPr="00E72F8D">
        <w:t>After adding the stock solution, samples were taken from the oil at various time intervals (0, 5,</w:t>
      </w:r>
      <w:r w:rsidRPr="00281B9B">
        <w:t xml:space="preserve"> </w:t>
      </w:r>
      <w:r w:rsidRPr="00E72F8D">
        <w:t xml:space="preserve">10, 20, 25, 30 min). </w:t>
      </w:r>
      <w:r w:rsidR="005F5909">
        <w:t xml:space="preserve">The temperature of 180°C and the selected times were chosen because they are values observed during deep-fat frying (Totani et al., 2013; </w:t>
      </w:r>
      <w:r w:rsidR="005F5909" w:rsidRPr="00266A0C">
        <w:t>Kumar et al., 202</w:t>
      </w:r>
      <w:r w:rsidR="005F5909">
        <w:t xml:space="preserve">4). </w:t>
      </w:r>
      <w:r w:rsidRPr="00E72F8D">
        <w:t xml:space="preserve">Each sample was immediately placed in an ice bath to bring the temperature down and prevent the degradation of </w:t>
      </w:r>
      <w:r w:rsidRPr="00281B9B">
        <w:t>β</w:t>
      </w:r>
      <w:r w:rsidRPr="00E72F8D">
        <w:t>-carotene.</w:t>
      </w:r>
      <w:r w:rsidR="00534687">
        <w:t xml:space="preserve"> </w:t>
      </w:r>
      <w:r w:rsidRPr="00E72F8D">
        <w:t>The</w:t>
      </w:r>
      <w:r w:rsidRPr="00281B9B">
        <w:t xml:space="preserve"> </w:t>
      </w:r>
      <w:r w:rsidRPr="00E72F8D">
        <w:t>experiments</w:t>
      </w:r>
      <w:r w:rsidRPr="00281B9B">
        <w:t xml:space="preserve"> </w:t>
      </w:r>
      <w:r w:rsidRPr="00E72F8D">
        <w:t>were</w:t>
      </w:r>
      <w:r w:rsidRPr="00281B9B">
        <w:t xml:space="preserve"> </w:t>
      </w:r>
      <w:r w:rsidRPr="00E72F8D">
        <w:t>performed</w:t>
      </w:r>
      <w:r w:rsidRPr="00281B9B">
        <w:t xml:space="preserve"> </w:t>
      </w:r>
      <w:r w:rsidRPr="00E72F8D">
        <w:t>in</w:t>
      </w:r>
      <w:r w:rsidRPr="00281B9B">
        <w:t xml:space="preserve"> </w:t>
      </w:r>
      <w:r w:rsidRPr="00E72F8D">
        <w:t>triplicate</w:t>
      </w:r>
      <w:r w:rsidRPr="00281B9B">
        <w:t xml:space="preserve"> </w:t>
      </w:r>
      <w:r w:rsidRPr="00E72F8D">
        <w:t>for</w:t>
      </w:r>
      <w:r w:rsidRPr="00281B9B">
        <w:t xml:space="preserve"> </w:t>
      </w:r>
      <w:r w:rsidRPr="00E72F8D">
        <w:t>each</w:t>
      </w:r>
      <w:r w:rsidRPr="00281B9B">
        <w:t xml:space="preserve"> </w:t>
      </w:r>
      <w:r w:rsidRPr="00E72F8D">
        <w:t>oil</w:t>
      </w:r>
      <w:r w:rsidRPr="00281B9B">
        <w:t xml:space="preserve"> </w:t>
      </w:r>
      <w:r w:rsidRPr="00E72F8D">
        <w:t>for</w:t>
      </w:r>
      <w:r w:rsidRPr="00281B9B">
        <w:t xml:space="preserve"> </w:t>
      </w:r>
      <w:r w:rsidRPr="00E72F8D">
        <w:t>each</w:t>
      </w:r>
      <w:r w:rsidRPr="00281B9B">
        <w:t xml:space="preserve"> </w:t>
      </w:r>
      <w:r w:rsidRPr="00E72F8D">
        <w:t>of</w:t>
      </w:r>
      <w:r w:rsidRPr="00281B9B">
        <w:t xml:space="preserve"> </w:t>
      </w:r>
      <w:r w:rsidRPr="00E72F8D">
        <w:t>the</w:t>
      </w:r>
      <w:r w:rsidRPr="00281B9B">
        <w:t xml:space="preserve"> treatments.</w:t>
      </w:r>
    </w:p>
    <w:p w14:paraId="4AC9E73E" w14:textId="7E2971EE" w:rsidR="00281B9B" w:rsidRPr="00024768" w:rsidRDefault="00024768" w:rsidP="00024768">
      <w:pPr>
        <w:pStyle w:val="CETheadingx"/>
        <w:rPr>
          <w:b/>
          <w:bCs w:val="0"/>
        </w:rPr>
      </w:pPr>
      <w:r>
        <w:rPr>
          <w:b/>
          <w:bCs w:val="0"/>
        </w:rPr>
        <w:t>2</w:t>
      </w:r>
      <w:r w:rsidR="00281B9B" w:rsidRPr="00024768">
        <w:rPr>
          <w:b/>
          <w:bCs w:val="0"/>
        </w:rPr>
        <w:t>.</w:t>
      </w:r>
      <w:r w:rsidR="00BB29FB">
        <w:rPr>
          <w:b/>
          <w:bCs w:val="0"/>
        </w:rPr>
        <w:t>2</w:t>
      </w:r>
      <w:r w:rsidR="00301143">
        <w:rPr>
          <w:b/>
          <w:bCs w:val="0"/>
        </w:rPr>
        <w:t xml:space="preserve"> </w:t>
      </w:r>
      <w:r w:rsidR="00CC273F">
        <w:rPr>
          <w:b/>
          <w:bCs w:val="0"/>
        </w:rPr>
        <w:t>Analyses</w:t>
      </w:r>
    </w:p>
    <w:p w14:paraId="376BF32E" w14:textId="77777777" w:rsidR="00B62E63" w:rsidRDefault="00BE10E0" w:rsidP="00E172BD">
      <w:pPr>
        <w:pStyle w:val="CETBodytext"/>
      </w:pPr>
      <w:r w:rsidRPr="00B62E63">
        <w:t>A spectrophotometer (JENWAY 6315 Spectrophotometer) was used to measure the levels of β-carotene in the samples. To do this, the spectrophotometer was calibrated by initially measuring the absorbance of the blank, hexane. Subsequently, samples containing known amounts of β-carotene or BHT (0.2 mL of each sample) were mixed with 3.8 mL of hexane, and the absorbance was measured at 450 nm. The obtained re</w:t>
      </w:r>
      <w:r w:rsidR="00B62E63">
        <w:t>sults</w:t>
      </w:r>
      <w:r w:rsidRPr="00B62E63">
        <w:t xml:space="preserve"> were used to construct the calibration curve.</w:t>
      </w:r>
    </w:p>
    <w:p w14:paraId="0D3E2210" w14:textId="1820B525" w:rsidR="00BE10E0" w:rsidRDefault="00E172BD" w:rsidP="00E172BD">
      <w:pPr>
        <w:pStyle w:val="CETBodytext"/>
      </w:pPr>
      <w:r w:rsidRPr="00E72F8D">
        <w:t>Analysis of the acid value of the oil sample preparations was done using the ISO 660:2020.</w:t>
      </w:r>
      <w:r w:rsidRPr="00281B9B">
        <w:t xml:space="preserve"> </w:t>
      </w:r>
      <w:r w:rsidR="006F2398">
        <w:t>T</w:t>
      </w:r>
      <w:r w:rsidRPr="00E72F8D">
        <w:t>reated oil</w:t>
      </w:r>
      <w:r w:rsidR="006F2398">
        <w:t xml:space="preserve"> (1 g)</w:t>
      </w:r>
      <w:r w:rsidRPr="00E72F8D">
        <w:t xml:space="preserve"> was weighed into a 50 mL flask containing 5 mL of </w:t>
      </w:r>
      <w:proofErr w:type="spellStart"/>
      <w:proofErr w:type="gramStart"/>
      <w:r w:rsidRPr="00E72F8D">
        <w:t>alcohol:diethyl</w:t>
      </w:r>
      <w:proofErr w:type="spellEnd"/>
      <w:proofErr w:type="gramEnd"/>
      <w:r w:rsidRPr="00E72F8D">
        <w:t xml:space="preserve"> ether (1:1)</w:t>
      </w:r>
      <w:r w:rsidR="006F2398">
        <w:t>, added with</w:t>
      </w:r>
      <w:r w:rsidRPr="00281B9B">
        <w:t xml:space="preserve"> </w:t>
      </w:r>
      <w:r w:rsidRPr="00E72F8D">
        <w:t>two drops of phenolphthalein</w:t>
      </w:r>
      <w:r w:rsidR="006F2398">
        <w:t xml:space="preserve"> and </w:t>
      </w:r>
      <w:r w:rsidRPr="00E72F8D">
        <w:t>then titrated</w:t>
      </w:r>
      <w:r w:rsidRPr="00281B9B">
        <w:t xml:space="preserve"> </w:t>
      </w:r>
      <w:r w:rsidRPr="00E72F8D">
        <w:t>with 0.1 N KOH</w:t>
      </w:r>
      <w:r w:rsidR="006F2398">
        <w:t xml:space="preserve">. </w:t>
      </w:r>
      <w:r>
        <w:t xml:space="preserve">The acid value is expressed as </w:t>
      </w:r>
      <w:proofErr w:type="spellStart"/>
      <w:r>
        <w:t>mg</w:t>
      </w:r>
      <w:r w:rsidRPr="00E172BD">
        <w:rPr>
          <w:vertAlign w:val="subscript"/>
        </w:rPr>
        <w:t>KOH</w:t>
      </w:r>
      <w:proofErr w:type="spellEnd"/>
      <w:r>
        <w:t>/g.</w:t>
      </w:r>
    </w:p>
    <w:p w14:paraId="6A0270E3" w14:textId="058232DD" w:rsidR="00E172BD" w:rsidRPr="00E72F8D" w:rsidRDefault="00BE10E0" w:rsidP="00E172BD">
      <w:pPr>
        <w:pStyle w:val="CETBodytext"/>
      </w:pPr>
      <w:r w:rsidRPr="00BE10E0">
        <w:t xml:space="preserve">The peroxide value </w:t>
      </w:r>
      <w:r w:rsidR="006F2398">
        <w:t xml:space="preserve">(PV) </w:t>
      </w:r>
      <w:r w:rsidRPr="00BE10E0">
        <w:t xml:space="preserve">analysis was performed </w:t>
      </w:r>
      <w:r>
        <w:t>and expressed as meq</w:t>
      </w:r>
      <w:r w:rsidRPr="00BE10E0">
        <w:rPr>
          <w:vertAlign w:val="subscript"/>
        </w:rPr>
        <w:t>O2</w:t>
      </w:r>
      <w:r>
        <w:t xml:space="preserve">/kg </w:t>
      </w:r>
      <w:r w:rsidRPr="00BE10E0">
        <w:t xml:space="preserve">according to the modified AOCS Cd 8b-90 method. </w:t>
      </w:r>
      <w:r w:rsidR="006F2398">
        <w:t>T</w:t>
      </w:r>
      <w:r w:rsidRPr="00BE10E0">
        <w:t xml:space="preserve">reated oil </w:t>
      </w:r>
      <w:r w:rsidR="006F2398">
        <w:t xml:space="preserve">(1 g) </w:t>
      </w:r>
      <w:r w:rsidRPr="00BE10E0">
        <w:t xml:space="preserve">was dissolved in a mixture of acetic acid and chloroform (3:2 </w:t>
      </w:r>
      <w:proofErr w:type="gramStart"/>
      <w:r w:rsidRPr="00BE10E0">
        <w:t>V:V</w:t>
      </w:r>
      <w:proofErr w:type="gramEnd"/>
      <w:r w:rsidRPr="00BE10E0">
        <w:t xml:space="preserve">). After adding potassium iodide (KI), the solution was kept in the dark for 5 min. Then, 15 mL of distilled water were added and stirred to prevent phase separation. The developed iodine was titrated with </w:t>
      </w:r>
      <w:proofErr w:type="spellStart"/>
      <w:r w:rsidRPr="00BE10E0">
        <w:t>Na</w:t>
      </w:r>
      <w:r w:rsidRPr="00BE10E0">
        <w:rPr>
          <w:rFonts w:ascii="Cambria Math" w:hAnsi="Cambria Math" w:cs="Cambria Math"/>
        </w:rPr>
        <w:t>₂</w:t>
      </w:r>
      <w:r w:rsidRPr="00BE10E0">
        <w:t>S</w:t>
      </w:r>
      <w:r w:rsidRPr="00BE10E0">
        <w:rPr>
          <w:rFonts w:ascii="Cambria Math" w:hAnsi="Cambria Math" w:cs="Cambria Math"/>
        </w:rPr>
        <w:t>₂</w:t>
      </w:r>
      <w:r w:rsidRPr="00BE10E0">
        <w:t>O</w:t>
      </w:r>
      <w:proofErr w:type="spellEnd"/>
      <w:r w:rsidRPr="00BE10E0">
        <w:rPr>
          <w:rFonts w:ascii="Cambria Math" w:hAnsi="Cambria Math" w:cs="Cambria Math"/>
        </w:rPr>
        <w:t>₃</w:t>
      </w:r>
      <w:r w:rsidRPr="00BE10E0">
        <w:t xml:space="preserve"> · 5H</w:t>
      </w:r>
      <w:r w:rsidRPr="00BE10E0">
        <w:rPr>
          <w:rFonts w:ascii="Cambria Math" w:hAnsi="Cambria Math" w:cs="Cambria Math"/>
        </w:rPr>
        <w:t>₂</w:t>
      </w:r>
      <w:r w:rsidRPr="00BE10E0">
        <w:t>O 0.01 N, using 1% starch as an indicator.</w:t>
      </w:r>
      <w:r>
        <w:t xml:space="preserve"> </w:t>
      </w:r>
    </w:p>
    <w:p w14:paraId="477D6E48" w14:textId="68935E1F" w:rsidR="004D40C1" w:rsidRDefault="00281B9B" w:rsidP="00BB47D1">
      <w:pPr>
        <w:pStyle w:val="CETBodytext"/>
      </w:pPr>
      <w:r w:rsidRPr="00266A0C">
        <w:t>Analysis of the free fatty acids in the treated oils was carried by Gas Chromatography – Flame Ionization</w:t>
      </w:r>
      <w:r w:rsidRPr="00281B9B">
        <w:t xml:space="preserve"> </w:t>
      </w:r>
      <w:r w:rsidRPr="00266A0C">
        <w:t>Detection</w:t>
      </w:r>
      <w:r w:rsidRPr="00281B9B">
        <w:t xml:space="preserve"> </w:t>
      </w:r>
      <w:r w:rsidRPr="00266A0C">
        <w:t>using</w:t>
      </w:r>
      <w:r w:rsidRPr="00281B9B">
        <w:t xml:space="preserve"> </w:t>
      </w:r>
      <w:r w:rsidRPr="00266A0C">
        <w:t>an</w:t>
      </w:r>
      <w:r w:rsidRPr="00281B9B">
        <w:t xml:space="preserve"> </w:t>
      </w:r>
      <w:r w:rsidRPr="00266A0C">
        <w:t>Agilent</w:t>
      </w:r>
      <w:r w:rsidRPr="00281B9B">
        <w:t xml:space="preserve"> </w:t>
      </w:r>
      <w:r w:rsidRPr="00266A0C">
        <w:t>Technologies</w:t>
      </w:r>
      <w:r w:rsidRPr="00281B9B">
        <w:t xml:space="preserve"> </w:t>
      </w:r>
      <w:r w:rsidRPr="00266A0C">
        <w:t>7890B</w:t>
      </w:r>
      <w:r w:rsidRPr="00281B9B">
        <w:t xml:space="preserve"> </w:t>
      </w:r>
      <w:r w:rsidRPr="00266A0C">
        <w:t>GC</w:t>
      </w:r>
      <w:r w:rsidRPr="00281B9B">
        <w:t xml:space="preserve"> </w:t>
      </w:r>
      <w:r w:rsidRPr="00266A0C">
        <w:t>System.</w:t>
      </w:r>
      <w:r w:rsidRPr="00281B9B">
        <w:t xml:space="preserve"> </w:t>
      </w:r>
      <w:r w:rsidRPr="00266A0C">
        <w:t>Treated</w:t>
      </w:r>
      <w:r w:rsidRPr="00281B9B">
        <w:t xml:space="preserve"> </w:t>
      </w:r>
      <w:r w:rsidRPr="00266A0C">
        <w:t>oil</w:t>
      </w:r>
      <w:r w:rsidRPr="00281B9B">
        <w:t xml:space="preserve"> </w:t>
      </w:r>
      <w:r w:rsidRPr="00266A0C">
        <w:t>(0.1</w:t>
      </w:r>
      <w:r w:rsidRPr="00281B9B">
        <w:t xml:space="preserve"> </w:t>
      </w:r>
      <w:r w:rsidRPr="00266A0C">
        <w:t>g)</w:t>
      </w:r>
      <w:r w:rsidRPr="00281B9B">
        <w:t xml:space="preserve"> was </w:t>
      </w:r>
      <w:r w:rsidRPr="00266A0C">
        <w:t>carefully</w:t>
      </w:r>
      <w:r>
        <w:t xml:space="preserve"> </w:t>
      </w:r>
      <w:r w:rsidRPr="00266A0C">
        <w:t>weighed</w:t>
      </w:r>
      <w:r>
        <w:t xml:space="preserve"> </w:t>
      </w:r>
      <w:r w:rsidRPr="00266A0C">
        <w:t xml:space="preserve">into a test tube, then 5 mL of hexane was added to the oil and mixed well to dissolve the oil. </w:t>
      </w:r>
      <w:r w:rsidR="008C4B4E">
        <w:t>The</w:t>
      </w:r>
      <w:r w:rsidR="00EE6190">
        <w:t>n,</w:t>
      </w:r>
      <w:r w:rsidR="008C4B4E">
        <w:t xml:space="preserve"> </w:t>
      </w:r>
      <w:r w:rsidRPr="00266A0C">
        <w:t>1.0 mL of methanolic potassium hydroxide solution (2 M) was added to each</w:t>
      </w:r>
      <w:r w:rsidRPr="00281B9B">
        <w:t xml:space="preserve"> </w:t>
      </w:r>
      <w:r w:rsidRPr="00266A0C">
        <w:t xml:space="preserve">tube </w:t>
      </w:r>
      <w:r w:rsidR="008C4B4E">
        <w:t>and t</w:t>
      </w:r>
      <w:r w:rsidRPr="00266A0C">
        <w:t>he tube was shaken for 30 sec to obtain a clear solution. For each sample</w:t>
      </w:r>
      <w:r w:rsidR="008C4B4E">
        <w:t>,</w:t>
      </w:r>
      <w:r w:rsidR="00DA26B4">
        <w:t xml:space="preserve"> </w:t>
      </w:r>
      <w:r w:rsidRPr="00266A0C">
        <w:t>0.5 mL of the fatty acid methyl esters</w:t>
      </w:r>
      <w:r w:rsidRPr="00281B9B">
        <w:t xml:space="preserve"> </w:t>
      </w:r>
      <w:r w:rsidRPr="00266A0C">
        <w:t>(FAMEs) solution contained in the top layer of hexane w</w:t>
      </w:r>
      <w:r w:rsidR="008C4B4E">
        <w:t>ere</w:t>
      </w:r>
      <w:r w:rsidRPr="00266A0C">
        <w:t xml:space="preserve"> transferred to a vial and diluted to a total volume of 1.0 </w:t>
      </w:r>
      <w:proofErr w:type="spellStart"/>
      <w:r w:rsidRPr="00266A0C">
        <w:t>m</w:t>
      </w:r>
      <w:r w:rsidR="008C4B4E">
        <w:t>L</w:t>
      </w:r>
      <w:r w:rsidRPr="00266A0C">
        <w:t>.</w:t>
      </w:r>
      <w:proofErr w:type="spellEnd"/>
      <w:r w:rsidRPr="00266A0C">
        <w:t xml:space="preserve"> The FAMEs samples</w:t>
      </w:r>
      <w:r w:rsidRPr="00281B9B">
        <w:t xml:space="preserve"> </w:t>
      </w:r>
      <w:r w:rsidRPr="00266A0C">
        <w:t>(1</w:t>
      </w:r>
      <w:r w:rsidRPr="00281B9B">
        <w:t xml:space="preserve"> </w:t>
      </w:r>
      <w:r w:rsidRPr="00266A0C">
        <w:t>µL)</w:t>
      </w:r>
      <w:r w:rsidRPr="00281B9B">
        <w:t xml:space="preserve"> </w:t>
      </w:r>
      <w:r w:rsidRPr="00266A0C">
        <w:lastRenderedPageBreak/>
        <w:t>were</w:t>
      </w:r>
      <w:r w:rsidRPr="00281B9B">
        <w:t xml:space="preserve"> </w:t>
      </w:r>
      <w:r w:rsidRPr="00266A0C">
        <w:t>injected</w:t>
      </w:r>
      <w:r w:rsidRPr="00281B9B">
        <w:t xml:space="preserve"> </w:t>
      </w:r>
      <w:r w:rsidRPr="00266A0C">
        <w:t>into</w:t>
      </w:r>
      <w:r w:rsidRPr="00281B9B">
        <w:t xml:space="preserve"> </w:t>
      </w:r>
      <w:r w:rsidRPr="00266A0C">
        <w:t>a</w:t>
      </w:r>
      <w:r w:rsidRPr="00281B9B">
        <w:t xml:space="preserve"> </w:t>
      </w:r>
      <w:r w:rsidRPr="00266A0C">
        <w:t>gas</w:t>
      </w:r>
      <w:r w:rsidRPr="00281B9B">
        <w:t xml:space="preserve"> </w:t>
      </w:r>
      <w:r w:rsidRPr="00266A0C">
        <w:t>chromatograph</w:t>
      </w:r>
      <w:r w:rsidRPr="00281B9B">
        <w:t xml:space="preserve"> </w:t>
      </w:r>
      <w:r w:rsidRPr="00266A0C">
        <w:t>equipped</w:t>
      </w:r>
      <w:r w:rsidRPr="00281B9B">
        <w:t xml:space="preserve"> </w:t>
      </w:r>
      <w:r w:rsidRPr="00266A0C">
        <w:t>with</w:t>
      </w:r>
      <w:r w:rsidRPr="00281B9B">
        <w:t xml:space="preserve"> </w:t>
      </w:r>
      <w:r w:rsidRPr="00266A0C">
        <w:t>a</w:t>
      </w:r>
      <w:r w:rsidRPr="00281B9B">
        <w:t xml:space="preserve"> </w:t>
      </w:r>
      <w:r w:rsidRPr="00266A0C">
        <w:t>flame</w:t>
      </w:r>
      <w:r w:rsidRPr="00281B9B">
        <w:t xml:space="preserve"> </w:t>
      </w:r>
      <w:r w:rsidRPr="00266A0C">
        <w:t>ionization</w:t>
      </w:r>
      <w:r w:rsidRPr="00281B9B">
        <w:t xml:space="preserve"> </w:t>
      </w:r>
      <w:r w:rsidRPr="00266A0C">
        <w:t>detector. The column used was BPX-70 Capillary Column (12 m × 0.25 mm, 0.25 µm film thickness).</w:t>
      </w:r>
      <w:r w:rsidRPr="00281B9B">
        <w:t xml:space="preserve"> </w:t>
      </w:r>
      <w:r w:rsidRPr="00266A0C">
        <w:t>The flow rate of the carrier gas (helium) was 1.0 mL/min.</w:t>
      </w:r>
      <w:r w:rsidRPr="00281B9B">
        <w:t xml:space="preserve"> </w:t>
      </w:r>
      <w:r w:rsidRPr="00266A0C">
        <w:t>The injector and detector temperatures were 220 and 250°C, respectively. The column oven temperature was programmed with an initial temperature of 120°C and then increased to 170°C at a rate of 10°C/min</w:t>
      </w:r>
      <w:r w:rsidR="008C4B4E">
        <w:t>, and</w:t>
      </w:r>
      <w:r w:rsidRPr="00266A0C">
        <w:t xml:space="preserve"> maintained for 5 min. The identities of FAMEs were confirmed by conducting gas</w:t>
      </w:r>
      <w:r w:rsidRPr="00281B9B">
        <w:t xml:space="preserve"> </w:t>
      </w:r>
      <w:r w:rsidRPr="00266A0C">
        <w:t>chromatography</w:t>
      </w:r>
      <w:r w:rsidRPr="00281B9B">
        <w:t xml:space="preserve"> </w:t>
      </w:r>
      <w:r w:rsidRPr="00266A0C">
        <w:t>under</w:t>
      </w:r>
      <w:r w:rsidRPr="00281B9B">
        <w:t xml:space="preserve"> </w:t>
      </w:r>
      <w:r w:rsidRPr="00266A0C">
        <w:t>conditions</w:t>
      </w:r>
      <w:r w:rsidRPr="00281B9B">
        <w:t xml:space="preserve"> </w:t>
      </w:r>
      <w:r w:rsidRPr="00266A0C">
        <w:t>identical</w:t>
      </w:r>
      <w:r w:rsidRPr="00281B9B">
        <w:t xml:space="preserve"> </w:t>
      </w:r>
      <w:r w:rsidRPr="00266A0C">
        <w:t>to</w:t>
      </w:r>
      <w:r w:rsidRPr="00281B9B">
        <w:t xml:space="preserve"> </w:t>
      </w:r>
      <w:r w:rsidRPr="00266A0C">
        <w:t>those</w:t>
      </w:r>
      <w:r w:rsidRPr="00281B9B">
        <w:t xml:space="preserve"> </w:t>
      </w:r>
      <w:r w:rsidRPr="00266A0C">
        <w:t>for</w:t>
      </w:r>
      <w:r w:rsidRPr="00281B9B">
        <w:t xml:space="preserve"> </w:t>
      </w:r>
      <w:r w:rsidRPr="00266A0C">
        <w:t>authentic</w:t>
      </w:r>
      <w:r w:rsidRPr="00281B9B">
        <w:t xml:space="preserve"> </w:t>
      </w:r>
      <w:r w:rsidRPr="00266A0C">
        <w:t>FAMEs</w:t>
      </w:r>
      <w:r w:rsidR="00B62E63">
        <w:t xml:space="preserve"> </w:t>
      </w:r>
      <w:r w:rsidR="00B62E63" w:rsidRPr="002274E1">
        <w:t xml:space="preserve">(CRM47885, </w:t>
      </w:r>
      <w:proofErr w:type="spellStart"/>
      <w:r w:rsidR="00B62E63" w:rsidRPr="002274E1">
        <w:t>Supelco</w:t>
      </w:r>
      <w:proofErr w:type="spellEnd"/>
      <w:r w:rsidR="00B62E63" w:rsidRPr="002274E1">
        <w:t xml:space="preserve"> 37 Component FAME Mix)</w:t>
      </w:r>
      <w:r w:rsidR="00B62E63">
        <w:t xml:space="preserve">. </w:t>
      </w:r>
    </w:p>
    <w:p w14:paraId="603A8D82" w14:textId="452154EC" w:rsidR="0095496A" w:rsidRPr="004D40C1" w:rsidRDefault="004D40C1" w:rsidP="00BB47D1">
      <w:pPr>
        <w:pStyle w:val="CETBodytext"/>
      </w:pPr>
      <w:r w:rsidRPr="004D40C1">
        <w:t>All the results obtained were performed in triplicate and reported in this report as mean values ± standard deviation of the technical and analytical replicates performed. The influence of β-carotene and BHT on the various quality characteristics of the oils was assessed by two-way analysis of variance (ANOVA) using XLSTAT Statistics Software 2024.2.2 (</w:t>
      </w:r>
      <w:proofErr w:type="spellStart"/>
      <w:r w:rsidRPr="004D40C1">
        <w:t>Lumivero</w:t>
      </w:r>
      <w:proofErr w:type="spellEnd"/>
      <w:r w:rsidRPr="004D40C1">
        <w:t>, Denver, CO, USA). In the case of significant influence, the means were discriminated using Tukey’s post-hoc test,</w:t>
      </w:r>
      <w:r>
        <w:t xml:space="preserve"> </w:t>
      </w:r>
      <w:r w:rsidRPr="004D40C1">
        <w:t>at a 95% confidence level.</w:t>
      </w:r>
    </w:p>
    <w:p w14:paraId="34B15E6A" w14:textId="6993E750" w:rsidR="00281B9B" w:rsidRPr="00BB47D1" w:rsidRDefault="00301143" w:rsidP="00567B3D">
      <w:pPr>
        <w:pStyle w:val="CETheadingx"/>
      </w:pPr>
      <w:r w:rsidRPr="00301143">
        <w:rPr>
          <w:b/>
        </w:rPr>
        <w:t>2</w:t>
      </w:r>
      <w:r w:rsidR="00281B9B" w:rsidRPr="00301143">
        <w:rPr>
          <w:b/>
        </w:rPr>
        <w:t>.</w:t>
      </w:r>
      <w:r w:rsidR="00BB29FB">
        <w:rPr>
          <w:b/>
        </w:rPr>
        <w:t>4</w:t>
      </w:r>
      <w:r w:rsidR="00281B9B" w:rsidRPr="00301143">
        <w:rPr>
          <w:b/>
        </w:rPr>
        <w:t xml:space="preserve"> Degradation of β-carotene </w:t>
      </w:r>
    </w:p>
    <w:p w14:paraId="7AF7A9A4" w14:textId="2E522B04" w:rsidR="00281B9B" w:rsidRDefault="00281B9B" w:rsidP="00D84224">
      <w:pPr>
        <w:pStyle w:val="CETBodytext"/>
      </w:pPr>
      <w:r w:rsidRPr="00266A0C">
        <w:t xml:space="preserve">One of the objectives of this research was to investigate the degradation of </w:t>
      </w:r>
      <w:r w:rsidRPr="00281B9B">
        <w:t>β</w:t>
      </w:r>
      <w:r w:rsidRPr="00266A0C">
        <w:t xml:space="preserve">-carotene in oils enriched with </w:t>
      </w:r>
      <w:r w:rsidRPr="00281B9B">
        <w:t>β</w:t>
      </w:r>
      <w:r w:rsidRPr="00266A0C">
        <w:t>-carotene at frying temperatures of 180°C and whether BHT</w:t>
      </w:r>
      <w:r w:rsidRPr="00281B9B">
        <w:t xml:space="preserve"> </w:t>
      </w:r>
      <w:r w:rsidRPr="00266A0C">
        <w:t>offered an</w:t>
      </w:r>
      <w:r>
        <w:t>y</w:t>
      </w:r>
      <w:r w:rsidRPr="00266A0C">
        <w:t xml:space="preserve"> protection.</w:t>
      </w:r>
      <w:r w:rsidRPr="00281B9B">
        <w:t xml:space="preserve"> </w:t>
      </w:r>
      <w:r w:rsidRPr="00266A0C">
        <w:t xml:space="preserve">The </w:t>
      </w:r>
      <w:r w:rsidR="008C4B4E">
        <w:t>evolution</w:t>
      </w:r>
      <w:r w:rsidR="008C4B4E" w:rsidRPr="00266A0C">
        <w:t xml:space="preserve"> </w:t>
      </w:r>
      <w:r w:rsidRPr="00266A0C">
        <w:t xml:space="preserve">of </w:t>
      </w:r>
      <w:r w:rsidRPr="00281B9B">
        <w:t>β</w:t>
      </w:r>
      <w:r w:rsidRPr="00266A0C">
        <w:t>-carotene content following heat exposure of oils with and without the antioxidant BHT was then carried out</w:t>
      </w:r>
      <w:r w:rsidR="008C4B4E">
        <w:t xml:space="preserve">, was elaborated according to a </w:t>
      </w:r>
      <w:r w:rsidRPr="00266A0C">
        <w:t>first-order</w:t>
      </w:r>
      <w:r w:rsidRPr="00281B9B">
        <w:t xml:space="preserve"> </w:t>
      </w:r>
      <w:r w:rsidRPr="00266A0C">
        <w:t>kinetic</w:t>
      </w:r>
      <w:r w:rsidR="008C4B4E">
        <w:t>s model</w:t>
      </w:r>
      <w:r w:rsidRPr="00281B9B">
        <w:t xml:space="preserve"> </w:t>
      </w:r>
      <w:proofErr w:type="gramStart"/>
      <w:r w:rsidR="00BB29FB">
        <w:t>Eq(</w:t>
      </w:r>
      <w:proofErr w:type="gramEnd"/>
      <w:r w:rsidR="00BB29FB">
        <w:t>1)</w:t>
      </w:r>
      <w:r w:rsidRPr="00281B9B">
        <w:t xml:space="preserve"> </w:t>
      </w:r>
      <w:proofErr w:type="gramStart"/>
      <w:r w:rsidRPr="00266A0C">
        <w:t>in</w:t>
      </w:r>
      <w:r w:rsidRPr="00281B9B">
        <w:t xml:space="preserve"> </w:t>
      </w:r>
      <w:r w:rsidRPr="00266A0C">
        <w:t>order</w:t>
      </w:r>
      <w:r w:rsidRPr="00281B9B">
        <w:t xml:space="preserve"> </w:t>
      </w:r>
      <w:r w:rsidRPr="00266A0C">
        <w:t>to</w:t>
      </w:r>
      <w:proofErr w:type="gramEnd"/>
      <w:r w:rsidRPr="00281B9B">
        <w:t xml:space="preserve"> </w:t>
      </w:r>
      <w:r w:rsidRPr="00266A0C">
        <w:t>deduce</w:t>
      </w:r>
      <w:r w:rsidRPr="00281B9B">
        <w:t xml:space="preserve"> </w:t>
      </w:r>
      <w:r w:rsidRPr="00266A0C">
        <w:t>the</w:t>
      </w:r>
      <w:r w:rsidRPr="00281B9B">
        <w:t xml:space="preserve"> </w:t>
      </w:r>
      <w:r w:rsidR="008C4B4E">
        <w:t xml:space="preserve">degradation </w:t>
      </w:r>
      <w:r w:rsidRPr="00266A0C">
        <w:t>rate</w:t>
      </w:r>
      <w:r w:rsidRPr="00281B9B">
        <w:t xml:space="preserve"> </w:t>
      </w:r>
      <w:r w:rsidRPr="00266A0C">
        <w:t>constant.</w:t>
      </w:r>
    </w:p>
    <w:p w14:paraId="2BEF8BB2" w14:textId="31E38C68" w:rsidR="00BB29FB" w:rsidRPr="007F0175" w:rsidRDefault="00BB29FB" w:rsidP="00130F8D">
      <w:pPr>
        <w:pStyle w:val="CETEquation"/>
      </w:pPr>
      <m:oMath>
        <m:r>
          <w:rPr>
            <w:rFonts w:ascii="Cambria Math" w:hAnsi="Cambria Math"/>
          </w:rPr>
          <m:t>ln</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C</m:t>
                    </m:r>
                  </m:e>
                  <m:sub>
                    <m:r>
                      <m:rPr>
                        <m:sty m:val="p"/>
                      </m:rPr>
                      <w:rPr>
                        <w:rFonts w:ascii="Cambria Math" w:hAnsi="Cambria Math"/>
                      </w:rPr>
                      <m:t>0</m:t>
                    </m:r>
                  </m:sub>
                </m:sSub>
              </m:num>
              <m:den>
                <m:sSub>
                  <m:sSubPr>
                    <m:ctrlPr>
                      <w:rPr>
                        <w:rFonts w:ascii="Cambria Math" w:hAnsi="Cambria Math"/>
                      </w:rPr>
                    </m:ctrlPr>
                  </m:sSubPr>
                  <m:e>
                    <m:r>
                      <w:rPr>
                        <w:rFonts w:ascii="Cambria Math" w:hAnsi="Cambria Math"/>
                      </w:rPr>
                      <m:t>C</m:t>
                    </m:r>
                  </m:e>
                  <m:sub>
                    <m:r>
                      <w:rPr>
                        <w:rFonts w:ascii="Cambria Math" w:hAnsi="Cambria Math"/>
                      </w:rPr>
                      <m:t>t</m:t>
                    </m:r>
                  </m:sub>
                </m:sSub>
              </m:den>
            </m:f>
          </m:e>
        </m:d>
        <m:r>
          <m:rPr>
            <m:sty m:val="p"/>
          </m:rPr>
          <w:rPr>
            <w:rFonts w:ascii="Cambria Math" w:hAnsi="Cambria Math"/>
          </w:rPr>
          <m:t>=</m:t>
        </m:r>
        <m:r>
          <w:rPr>
            <w:rFonts w:ascii="Cambria Math" w:hAnsi="Cambria Math"/>
          </w:rPr>
          <m:t>kt</m:t>
        </m:r>
      </m:oMath>
      <w:r>
        <w:t xml:space="preserve"> </w:t>
      </w:r>
      <w:r>
        <w:tab/>
      </w:r>
      <w:r>
        <w:tab/>
      </w:r>
      <w:r>
        <w:tab/>
        <w:t>(1)</w:t>
      </w:r>
    </w:p>
    <w:p w14:paraId="7727BC97" w14:textId="5BC29674" w:rsidR="00BB29FB" w:rsidRDefault="00281B9B" w:rsidP="00130F8D">
      <w:pPr>
        <w:pStyle w:val="CETBodytext"/>
      </w:pPr>
      <w:r w:rsidRPr="00281B9B">
        <w:t>Where C</w:t>
      </w:r>
      <w:r w:rsidRPr="00130F8D">
        <w:rPr>
          <w:vertAlign w:val="subscript"/>
        </w:rPr>
        <w:t>t</w:t>
      </w:r>
      <w:r w:rsidRPr="00281B9B">
        <w:t xml:space="preserve"> and C</w:t>
      </w:r>
      <w:r w:rsidRPr="00130F8D">
        <w:rPr>
          <w:vertAlign w:val="subscript"/>
        </w:rPr>
        <w:t>0</w:t>
      </w:r>
      <w:r w:rsidRPr="00281B9B">
        <w:t xml:space="preserve"> are β-carotene</w:t>
      </w:r>
      <w:r w:rsidR="008C4B4E">
        <w:t xml:space="preserve"> concentration at the beginning and at time t of a given frying experiment,</w:t>
      </w:r>
      <w:r w:rsidRPr="00266A0C">
        <w:t xml:space="preserve"> k is the first order isothermal rate constant</w:t>
      </w:r>
      <w:r w:rsidR="0095496A">
        <w:t xml:space="preserve"> (</w:t>
      </w:r>
      <w:r w:rsidR="006B6F28">
        <w:t>h</w:t>
      </w:r>
      <w:r w:rsidR="0095496A" w:rsidRPr="00130F8D">
        <w:rPr>
          <w:vertAlign w:val="superscript"/>
        </w:rPr>
        <w:t>-1</w:t>
      </w:r>
      <w:r w:rsidR="0095496A">
        <w:t>).</w:t>
      </w:r>
      <w:r w:rsidR="00BB29FB">
        <w:tab/>
      </w:r>
      <w:r w:rsidR="00BB29FB">
        <w:tab/>
      </w:r>
    </w:p>
    <w:p w14:paraId="0DB907F8" w14:textId="2B59D605" w:rsidR="000E3E95" w:rsidRPr="000E3E95" w:rsidRDefault="00301143" w:rsidP="000E3E95">
      <w:pPr>
        <w:pStyle w:val="CETHeading1"/>
      </w:pPr>
      <w:r>
        <w:t>3</w:t>
      </w:r>
      <w:r w:rsidR="00DA69E6">
        <w:t>.</w:t>
      </w:r>
      <w:r w:rsidR="000E3E95" w:rsidRPr="000E3E95">
        <w:t xml:space="preserve"> Results and </w:t>
      </w:r>
      <w:r>
        <w:t>d</w:t>
      </w:r>
      <w:r w:rsidR="000E3E95" w:rsidRPr="000E3E95">
        <w:t>iscussion</w:t>
      </w:r>
    </w:p>
    <w:p w14:paraId="3F633FDA" w14:textId="07B0073F" w:rsidR="005135A9" w:rsidRDefault="00301143" w:rsidP="00425BE1">
      <w:pPr>
        <w:pStyle w:val="CETheadingx"/>
        <w:rPr>
          <w:b/>
          <w:bCs w:val="0"/>
        </w:rPr>
      </w:pPr>
      <w:bookmarkStart w:id="4" w:name="8.1_Efficiency_of_BHT_on_β-carotene_degr"/>
      <w:bookmarkStart w:id="5" w:name="_bookmark39"/>
      <w:bookmarkEnd w:id="4"/>
      <w:bookmarkEnd w:id="5"/>
      <w:r>
        <w:rPr>
          <w:b/>
          <w:bCs w:val="0"/>
        </w:rPr>
        <w:t>3</w:t>
      </w:r>
      <w:r w:rsidR="000E3E95" w:rsidRPr="00301143">
        <w:rPr>
          <w:b/>
          <w:bCs w:val="0"/>
        </w:rPr>
        <w:t>.1 Efficiency of BHT on β-carotene degradation in five different oils</w:t>
      </w:r>
    </w:p>
    <w:p w14:paraId="0F3E04EE" w14:textId="77777777" w:rsidR="00903A68" w:rsidRDefault="00072194" w:rsidP="00903A68">
      <w:pPr>
        <w:pStyle w:val="CETBodytext"/>
      </w:pPr>
      <w:r w:rsidRPr="001563A6">
        <w:t xml:space="preserve">Table 1 shows the β-carotene </w:t>
      </w:r>
      <w:r>
        <w:t xml:space="preserve">content </w:t>
      </w:r>
      <w:r w:rsidRPr="001563A6">
        <w:t xml:space="preserve">over </w:t>
      </w:r>
      <w:r>
        <w:t xml:space="preserve">frying </w:t>
      </w:r>
      <w:r w:rsidRPr="001563A6">
        <w:t xml:space="preserve">time, in the presence or absence of the antioxidant BHT, in different oils. </w:t>
      </w:r>
    </w:p>
    <w:p w14:paraId="70B38D6A" w14:textId="6C34F8C0" w:rsidR="00425BE1" w:rsidRPr="00DC4E5B" w:rsidRDefault="00DC4E5B" w:rsidP="00903A68">
      <w:pPr>
        <w:pStyle w:val="CETTabletitle"/>
      </w:pPr>
      <w:r w:rsidRPr="00DC4E5B">
        <w:t>Table 1:</w:t>
      </w:r>
      <w:r>
        <w:t xml:space="preserve"> </w:t>
      </w:r>
      <w:r w:rsidR="0095496A">
        <w:t xml:space="preserve">Evolution of </w:t>
      </w:r>
      <w:r w:rsidRPr="00554E53">
        <w:t xml:space="preserve">β-carotene </w:t>
      </w:r>
      <w:r w:rsidR="0095496A">
        <w:t xml:space="preserve">content </w:t>
      </w:r>
      <w:r w:rsidR="00E75FB8" w:rsidRPr="00E75FB8">
        <w:rPr>
          <w:szCs w:val="18"/>
        </w:rPr>
        <w:t>as µg/mL</w:t>
      </w:r>
      <w:r w:rsidR="0095496A" w:rsidRPr="00E75FB8">
        <w:rPr>
          <w:szCs w:val="18"/>
        </w:rPr>
        <w:t xml:space="preserve"> during</w:t>
      </w:r>
      <w:r w:rsidR="0095496A">
        <w:t xml:space="preserve"> frying of different oils with or without BHT addition and values of degradation rate constants (k) for a first order degradation kinetics model. </w:t>
      </w:r>
      <w:r>
        <w:t xml:space="preserve"> O</w:t>
      </w:r>
      <w:r w:rsidR="0095496A">
        <w:t xml:space="preserve">: </w:t>
      </w:r>
      <w:r>
        <w:t>Olive oil; EVO: Extra Virgin Olive Oil; S: Sunflower oil; R: Rapeseed oil; C: Coconut oil.</w:t>
      </w:r>
      <w:r w:rsidR="007D67C4">
        <w:t xml:space="preserve"> V</w:t>
      </w:r>
      <w:r w:rsidR="000961A3">
        <w:t xml:space="preserve">alues are reported as means </w:t>
      </w:r>
      <w:r w:rsidR="000961A3">
        <w:rPr>
          <w:rFonts w:cs="Arial"/>
        </w:rPr>
        <w:t>±</w:t>
      </w:r>
      <w:r w:rsidR="000961A3">
        <w:t xml:space="preserve"> </w:t>
      </w:r>
      <w:proofErr w:type="spellStart"/>
      <w:r w:rsidR="000961A3">
        <w:t>s.d.</w:t>
      </w:r>
      <w:proofErr w:type="spellEnd"/>
      <w:r w:rsidR="006F2398">
        <w:t xml:space="preserve"> Same letters in the same column indicate means not statistically different</w:t>
      </w:r>
      <w:r w:rsidR="00567B3D">
        <w:t>.</w:t>
      </w:r>
    </w:p>
    <w:tbl>
      <w:tblPr>
        <w:tblW w:w="8505" w:type="dxa"/>
        <w:shd w:val="clear" w:color="auto" w:fill="FFFFFF" w:themeFill="background1"/>
        <w:tblCellMar>
          <w:left w:w="28" w:type="dxa"/>
          <w:right w:w="28" w:type="dxa"/>
        </w:tblCellMar>
        <w:tblLook w:val="04A0" w:firstRow="1" w:lastRow="0" w:firstColumn="1" w:lastColumn="0" w:noHBand="0" w:noVBand="1"/>
      </w:tblPr>
      <w:tblGrid>
        <w:gridCol w:w="1134"/>
        <w:gridCol w:w="1701"/>
        <w:gridCol w:w="1418"/>
        <w:gridCol w:w="1417"/>
        <w:gridCol w:w="1418"/>
        <w:gridCol w:w="1417"/>
      </w:tblGrid>
      <w:tr w:rsidR="007D67C4" w:rsidRPr="00227D4F" w14:paraId="2F27093B" w14:textId="77777777" w:rsidTr="00903A68">
        <w:trPr>
          <w:trHeight w:val="20"/>
        </w:trPr>
        <w:tc>
          <w:tcPr>
            <w:tcW w:w="8505" w:type="dxa"/>
            <w:gridSpan w:val="6"/>
            <w:tcBorders>
              <w:top w:val="single" w:sz="18" w:space="0" w:color="008000"/>
              <w:bottom w:val="single" w:sz="4" w:space="0" w:color="008000"/>
            </w:tcBorders>
            <w:shd w:val="clear" w:color="auto" w:fill="FFFFFF" w:themeFill="background1"/>
            <w:noWrap/>
            <w:vAlign w:val="center"/>
            <w:hideMark/>
          </w:tcPr>
          <w:p w14:paraId="3E1E6575" w14:textId="6EE5F46A" w:rsidR="007D67C4" w:rsidRPr="00227D4F" w:rsidRDefault="007D67C4" w:rsidP="00E10E3A">
            <w:pPr>
              <w:jc w:val="center"/>
              <w:rPr>
                <w:rFonts w:ascii="Arial" w:hAnsi="Arial" w:cs="Arial"/>
                <w:color w:val="000000"/>
                <w:sz w:val="18"/>
                <w:szCs w:val="18"/>
              </w:rPr>
            </w:pPr>
            <w:r w:rsidRPr="00227D4F">
              <w:rPr>
                <w:rFonts w:ascii="Arial" w:hAnsi="Arial" w:cs="Arial"/>
                <w:color w:val="000000"/>
                <w:sz w:val="18"/>
                <w:szCs w:val="18"/>
              </w:rPr>
              <w:t xml:space="preserve">β-carotene </w:t>
            </w:r>
            <w:proofErr w:type="spellStart"/>
            <w:r w:rsidR="006F2398" w:rsidRPr="00227D4F">
              <w:rPr>
                <w:rFonts w:ascii="Arial" w:hAnsi="Arial" w:cs="Arial"/>
                <w:color w:val="000000"/>
                <w:sz w:val="18"/>
                <w:szCs w:val="18"/>
              </w:rPr>
              <w:t>concentration</w:t>
            </w:r>
            <w:proofErr w:type="spellEnd"/>
            <w:r w:rsidR="006F2398" w:rsidRPr="00227D4F">
              <w:rPr>
                <w:rFonts w:ascii="Arial" w:hAnsi="Arial" w:cs="Arial"/>
                <w:color w:val="000000"/>
                <w:sz w:val="18"/>
                <w:szCs w:val="18"/>
              </w:rPr>
              <w:t xml:space="preserve"> </w:t>
            </w:r>
            <w:r w:rsidRPr="00227D4F">
              <w:rPr>
                <w:rFonts w:ascii="Arial" w:hAnsi="Arial" w:cs="Arial"/>
                <w:color w:val="000000"/>
                <w:sz w:val="18"/>
                <w:szCs w:val="18"/>
              </w:rPr>
              <w:t>(</w:t>
            </w:r>
            <w:r w:rsidRPr="00567B3D">
              <w:rPr>
                <w:rFonts w:ascii="Arial" w:hAnsi="Arial" w:cs="Arial"/>
                <w:sz w:val="18"/>
                <w:szCs w:val="18"/>
              </w:rPr>
              <w:t>µg/</w:t>
            </w:r>
            <w:proofErr w:type="spellStart"/>
            <w:r w:rsidRPr="00567B3D">
              <w:rPr>
                <w:rFonts w:ascii="Arial" w:hAnsi="Arial" w:cs="Arial"/>
                <w:sz w:val="18"/>
                <w:szCs w:val="18"/>
              </w:rPr>
              <w:t>mL</w:t>
            </w:r>
            <w:proofErr w:type="spellEnd"/>
            <w:r w:rsidRPr="00567B3D">
              <w:rPr>
                <w:rFonts w:ascii="Arial" w:hAnsi="Arial" w:cs="Arial"/>
                <w:sz w:val="18"/>
                <w:szCs w:val="18"/>
              </w:rPr>
              <w:t>)</w:t>
            </w:r>
          </w:p>
        </w:tc>
      </w:tr>
      <w:tr w:rsidR="007D67C4" w:rsidRPr="00227D4F" w14:paraId="75D8BB01" w14:textId="77777777" w:rsidTr="00903A68">
        <w:trPr>
          <w:trHeight w:val="20"/>
        </w:trPr>
        <w:tc>
          <w:tcPr>
            <w:tcW w:w="1134" w:type="dxa"/>
            <w:tcBorders>
              <w:top w:val="single" w:sz="4" w:space="0" w:color="008000"/>
            </w:tcBorders>
            <w:shd w:val="clear" w:color="auto" w:fill="FFFFFF" w:themeFill="background1"/>
            <w:noWrap/>
            <w:vAlign w:val="center"/>
            <w:hideMark/>
          </w:tcPr>
          <w:p w14:paraId="0799DA1A" w14:textId="47676E35" w:rsidR="007D67C4" w:rsidRPr="00227D4F" w:rsidRDefault="007D67C4" w:rsidP="007D67C4">
            <w:pPr>
              <w:jc w:val="center"/>
              <w:rPr>
                <w:rFonts w:ascii="Arial" w:hAnsi="Arial" w:cs="Arial"/>
                <w:color w:val="000000"/>
                <w:sz w:val="18"/>
                <w:szCs w:val="18"/>
              </w:rPr>
            </w:pPr>
            <w:r w:rsidRPr="00227D4F">
              <w:rPr>
                <w:rFonts w:ascii="Arial" w:hAnsi="Arial" w:cs="Arial"/>
                <w:color w:val="000000"/>
                <w:sz w:val="18"/>
                <w:szCs w:val="18"/>
              </w:rPr>
              <w:t>Time (</w:t>
            </w:r>
            <w:r w:rsidR="006F2398" w:rsidRPr="00227D4F">
              <w:rPr>
                <w:rFonts w:ascii="Arial" w:hAnsi="Arial" w:cs="Arial"/>
                <w:color w:val="000000"/>
                <w:sz w:val="18"/>
                <w:szCs w:val="18"/>
              </w:rPr>
              <w:t>min</w:t>
            </w:r>
            <w:r w:rsidRPr="00227D4F">
              <w:rPr>
                <w:rFonts w:ascii="Arial" w:hAnsi="Arial" w:cs="Arial"/>
                <w:color w:val="000000"/>
                <w:sz w:val="18"/>
                <w:szCs w:val="18"/>
              </w:rPr>
              <w:t>)</w:t>
            </w:r>
          </w:p>
        </w:tc>
        <w:tc>
          <w:tcPr>
            <w:tcW w:w="1701" w:type="dxa"/>
            <w:tcBorders>
              <w:top w:val="single" w:sz="4" w:space="0" w:color="008000"/>
            </w:tcBorders>
            <w:shd w:val="clear" w:color="auto" w:fill="FFFFFF" w:themeFill="background1"/>
            <w:noWrap/>
            <w:vAlign w:val="center"/>
            <w:hideMark/>
          </w:tcPr>
          <w:p w14:paraId="3450DDBB" w14:textId="77777777" w:rsidR="007D67C4" w:rsidRPr="00227D4F" w:rsidRDefault="007D67C4" w:rsidP="007D67C4">
            <w:pPr>
              <w:jc w:val="center"/>
              <w:rPr>
                <w:rFonts w:ascii="Arial" w:hAnsi="Arial" w:cs="Arial"/>
                <w:color w:val="000000"/>
                <w:sz w:val="18"/>
                <w:szCs w:val="18"/>
              </w:rPr>
            </w:pPr>
            <w:r w:rsidRPr="00227D4F">
              <w:rPr>
                <w:rFonts w:ascii="Arial" w:hAnsi="Arial" w:cs="Arial"/>
                <w:color w:val="000000"/>
                <w:sz w:val="18"/>
                <w:szCs w:val="18"/>
              </w:rPr>
              <w:t>O</w:t>
            </w:r>
          </w:p>
        </w:tc>
        <w:tc>
          <w:tcPr>
            <w:tcW w:w="1418" w:type="dxa"/>
            <w:tcBorders>
              <w:top w:val="single" w:sz="4" w:space="0" w:color="008000"/>
            </w:tcBorders>
            <w:shd w:val="clear" w:color="auto" w:fill="FFFFFF" w:themeFill="background1"/>
            <w:noWrap/>
            <w:vAlign w:val="center"/>
            <w:hideMark/>
          </w:tcPr>
          <w:p w14:paraId="1D5710F3" w14:textId="77777777" w:rsidR="007D67C4" w:rsidRPr="00227D4F" w:rsidRDefault="007D67C4" w:rsidP="007D67C4">
            <w:pPr>
              <w:jc w:val="center"/>
              <w:rPr>
                <w:rFonts w:ascii="Arial" w:hAnsi="Arial" w:cs="Arial"/>
                <w:color w:val="000000"/>
                <w:sz w:val="18"/>
                <w:szCs w:val="18"/>
              </w:rPr>
            </w:pPr>
            <w:r w:rsidRPr="00227D4F">
              <w:rPr>
                <w:rFonts w:ascii="Arial" w:hAnsi="Arial" w:cs="Arial"/>
                <w:color w:val="000000"/>
                <w:sz w:val="18"/>
                <w:szCs w:val="18"/>
              </w:rPr>
              <w:t>EVO</w:t>
            </w:r>
          </w:p>
        </w:tc>
        <w:tc>
          <w:tcPr>
            <w:tcW w:w="1417" w:type="dxa"/>
            <w:tcBorders>
              <w:top w:val="single" w:sz="4" w:space="0" w:color="008000"/>
            </w:tcBorders>
            <w:shd w:val="clear" w:color="auto" w:fill="FFFFFF" w:themeFill="background1"/>
            <w:noWrap/>
            <w:vAlign w:val="center"/>
            <w:hideMark/>
          </w:tcPr>
          <w:p w14:paraId="3031EEBA" w14:textId="77777777" w:rsidR="007D67C4" w:rsidRPr="00227D4F" w:rsidRDefault="007D67C4" w:rsidP="007D67C4">
            <w:pPr>
              <w:jc w:val="center"/>
              <w:rPr>
                <w:rFonts w:ascii="Arial" w:hAnsi="Arial" w:cs="Arial"/>
                <w:color w:val="000000"/>
                <w:sz w:val="18"/>
                <w:szCs w:val="18"/>
              </w:rPr>
            </w:pPr>
            <w:r w:rsidRPr="00227D4F">
              <w:rPr>
                <w:rFonts w:ascii="Arial" w:hAnsi="Arial" w:cs="Arial"/>
                <w:color w:val="000000"/>
                <w:sz w:val="18"/>
                <w:szCs w:val="18"/>
              </w:rPr>
              <w:t>S</w:t>
            </w:r>
          </w:p>
        </w:tc>
        <w:tc>
          <w:tcPr>
            <w:tcW w:w="1418" w:type="dxa"/>
            <w:tcBorders>
              <w:top w:val="single" w:sz="4" w:space="0" w:color="008000"/>
            </w:tcBorders>
            <w:shd w:val="clear" w:color="auto" w:fill="FFFFFF" w:themeFill="background1"/>
            <w:noWrap/>
            <w:vAlign w:val="center"/>
            <w:hideMark/>
          </w:tcPr>
          <w:p w14:paraId="06A0351C" w14:textId="77777777" w:rsidR="007D67C4" w:rsidRPr="00227D4F" w:rsidRDefault="007D67C4" w:rsidP="007D67C4">
            <w:pPr>
              <w:jc w:val="center"/>
              <w:rPr>
                <w:rFonts w:ascii="Arial" w:hAnsi="Arial" w:cs="Arial"/>
                <w:color w:val="000000"/>
                <w:sz w:val="18"/>
                <w:szCs w:val="18"/>
              </w:rPr>
            </w:pPr>
            <w:r w:rsidRPr="00227D4F">
              <w:rPr>
                <w:rFonts w:ascii="Arial" w:hAnsi="Arial" w:cs="Arial"/>
                <w:color w:val="000000"/>
                <w:sz w:val="18"/>
                <w:szCs w:val="18"/>
              </w:rPr>
              <w:t>R</w:t>
            </w:r>
          </w:p>
        </w:tc>
        <w:tc>
          <w:tcPr>
            <w:tcW w:w="1417" w:type="dxa"/>
            <w:tcBorders>
              <w:top w:val="single" w:sz="4" w:space="0" w:color="008000"/>
            </w:tcBorders>
            <w:shd w:val="clear" w:color="auto" w:fill="FFFFFF" w:themeFill="background1"/>
            <w:noWrap/>
            <w:vAlign w:val="center"/>
            <w:hideMark/>
          </w:tcPr>
          <w:p w14:paraId="4B2216FD" w14:textId="77777777" w:rsidR="007D67C4" w:rsidRPr="00227D4F" w:rsidRDefault="007D67C4" w:rsidP="007D67C4">
            <w:pPr>
              <w:jc w:val="center"/>
              <w:rPr>
                <w:rFonts w:ascii="Arial" w:hAnsi="Arial" w:cs="Arial"/>
                <w:color w:val="000000"/>
                <w:sz w:val="18"/>
                <w:szCs w:val="18"/>
              </w:rPr>
            </w:pPr>
            <w:r w:rsidRPr="00227D4F">
              <w:rPr>
                <w:rFonts w:ascii="Arial" w:hAnsi="Arial" w:cs="Arial"/>
                <w:color w:val="000000"/>
                <w:sz w:val="18"/>
                <w:szCs w:val="18"/>
              </w:rPr>
              <w:t>C</w:t>
            </w:r>
          </w:p>
        </w:tc>
      </w:tr>
      <w:tr w:rsidR="007D67C4" w:rsidRPr="00227D4F" w14:paraId="2871FF60" w14:textId="77777777" w:rsidTr="00903A68">
        <w:trPr>
          <w:trHeight w:val="20"/>
        </w:trPr>
        <w:tc>
          <w:tcPr>
            <w:tcW w:w="1134" w:type="dxa"/>
            <w:shd w:val="clear" w:color="auto" w:fill="FFFFFF" w:themeFill="background1"/>
            <w:noWrap/>
            <w:vAlign w:val="center"/>
            <w:hideMark/>
          </w:tcPr>
          <w:p w14:paraId="168B0010" w14:textId="77777777" w:rsidR="007D67C4" w:rsidRPr="00227D4F" w:rsidRDefault="007D67C4" w:rsidP="007D67C4">
            <w:pPr>
              <w:rPr>
                <w:rFonts w:ascii="Arial" w:hAnsi="Arial" w:cs="Arial"/>
                <w:color w:val="000000"/>
                <w:sz w:val="18"/>
                <w:szCs w:val="18"/>
              </w:rPr>
            </w:pPr>
            <w:r w:rsidRPr="00227D4F">
              <w:rPr>
                <w:rFonts w:ascii="Arial" w:hAnsi="Arial" w:cs="Arial"/>
                <w:color w:val="000000"/>
                <w:sz w:val="18"/>
                <w:szCs w:val="18"/>
              </w:rPr>
              <w:t>0-βc</w:t>
            </w:r>
          </w:p>
        </w:tc>
        <w:tc>
          <w:tcPr>
            <w:tcW w:w="1701" w:type="dxa"/>
            <w:shd w:val="clear" w:color="auto" w:fill="FFFFFF" w:themeFill="background1"/>
            <w:noWrap/>
            <w:vAlign w:val="center"/>
            <w:hideMark/>
          </w:tcPr>
          <w:p w14:paraId="6D8E3276" w14:textId="77777777" w:rsidR="007D67C4" w:rsidRPr="00227D4F" w:rsidRDefault="007D67C4" w:rsidP="007D67C4">
            <w:pPr>
              <w:jc w:val="center"/>
              <w:rPr>
                <w:rFonts w:ascii="Arial" w:hAnsi="Arial" w:cs="Arial"/>
                <w:color w:val="000000"/>
                <w:sz w:val="18"/>
                <w:szCs w:val="18"/>
              </w:rPr>
            </w:pPr>
            <w:r w:rsidRPr="00227D4F">
              <w:rPr>
                <w:rFonts w:ascii="Arial" w:hAnsi="Arial" w:cs="Arial"/>
                <w:color w:val="000000"/>
                <w:sz w:val="18"/>
                <w:szCs w:val="18"/>
              </w:rPr>
              <w:t>0.505 ± 0.041</w:t>
            </w:r>
            <w:r w:rsidRPr="00567B3D">
              <w:rPr>
                <w:rFonts w:ascii="Arial" w:hAnsi="Arial" w:cs="Arial"/>
                <w:color w:val="000000"/>
                <w:sz w:val="18"/>
                <w:szCs w:val="18"/>
                <w:vertAlign w:val="superscript"/>
              </w:rPr>
              <w:t>a</w:t>
            </w:r>
          </w:p>
        </w:tc>
        <w:tc>
          <w:tcPr>
            <w:tcW w:w="1418" w:type="dxa"/>
            <w:shd w:val="clear" w:color="auto" w:fill="FFFFFF" w:themeFill="background1"/>
            <w:noWrap/>
            <w:vAlign w:val="center"/>
            <w:hideMark/>
          </w:tcPr>
          <w:p w14:paraId="0332D21B" w14:textId="77777777" w:rsidR="007D67C4" w:rsidRPr="00227D4F" w:rsidRDefault="007D67C4" w:rsidP="007D67C4">
            <w:pPr>
              <w:jc w:val="center"/>
              <w:rPr>
                <w:rFonts w:ascii="Arial" w:hAnsi="Arial" w:cs="Arial"/>
                <w:color w:val="000000"/>
                <w:sz w:val="18"/>
                <w:szCs w:val="18"/>
              </w:rPr>
            </w:pPr>
            <w:r w:rsidRPr="00227D4F">
              <w:rPr>
                <w:rFonts w:ascii="Arial" w:hAnsi="Arial" w:cs="Arial"/>
                <w:color w:val="000000"/>
                <w:sz w:val="18"/>
                <w:szCs w:val="18"/>
              </w:rPr>
              <w:t>0.564 ± 0.034</w:t>
            </w:r>
            <w:r w:rsidRPr="00567B3D">
              <w:rPr>
                <w:rFonts w:ascii="Arial" w:hAnsi="Arial" w:cs="Arial"/>
                <w:color w:val="000000"/>
                <w:sz w:val="18"/>
                <w:szCs w:val="18"/>
                <w:vertAlign w:val="superscript"/>
              </w:rPr>
              <w:t>a</w:t>
            </w:r>
          </w:p>
        </w:tc>
        <w:tc>
          <w:tcPr>
            <w:tcW w:w="1417" w:type="dxa"/>
            <w:shd w:val="clear" w:color="auto" w:fill="FFFFFF" w:themeFill="background1"/>
            <w:noWrap/>
            <w:vAlign w:val="center"/>
            <w:hideMark/>
          </w:tcPr>
          <w:p w14:paraId="4FB3053D" w14:textId="77777777" w:rsidR="007D67C4" w:rsidRPr="00227D4F" w:rsidRDefault="007D67C4" w:rsidP="007D67C4">
            <w:pPr>
              <w:jc w:val="center"/>
              <w:rPr>
                <w:rFonts w:ascii="Arial" w:hAnsi="Arial" w:cs="Arial"/>
                <w:color w:val="000000"/>
                <w:sz w:val="18"/>
                <w:szCs w:val="18"/>
              </w:rPr>
            </w:pPr>
            <w:r w:rsidRPr="00227D4F">
              <w:rPr>
                <w:rFonts w:ascii="Arial" w:hAnsi="Arial" w:cs="Arial"/>
                <w:color w:val="000000"/>
                <w:sz w:val="18"/>
                <w:szCs w:val="18"/>
              </w:rPr>
              <w:t>0.502 ± 0.018</w:t>
            </w:r>
            <w:r w:rsidRPr="00567B3D">
              <w:rPr>
                <w:rFonts w:ascii="Arial" w:hAnsi="Arial" w:cs="Arial"/>
                <w:color w:val="000000"/>
                <w:sz w:val="18"/>
                <w:szCs w:val="18"/>
                <w:vertAlign w:val="superscript"/>
              </w:rPr>
              <w:t>a</w:t>
            </w:r>
          </w:p>
        </w:tc>
        <w:tc>
          <w:tcPr>
            <w:tcW w:w="1418" w:type="dxa"/>
            <w:shd w:val="clear" w:color="auto" w:fill="FFFFFF" w:themeFill="background1"/>
            <w:noWrap/>
            <w:vAlign w:val="center"/>
            <w:hideMark/>
          </w:tcPr>
          <w:p w14:paraId="21DCCE2E" w14:textId="77777777" w:rsidR="007D67C4" w:rsidRPr="00227D4F" w:rsidRDefault="007D67C4" w:rsidP="007D67C4">
            <w:pPr>
              <w:jc w:val="center"/>
              <w:rPr>
                <w:rFonts w:ascii="Arial" w:hAnsi="Arial" w:cs="Arial"/>
                <w:color w:val="000000"/>
                <w:sz w:val="18"/>
                <w:szCs w:val="18"/>
              </w:rPr>
            </w:pPr>
            <w:r w:rsidRPr="00227D4F">
              <w:rPr>
                <w:rFonts w:ascii="Arial" w:hAnsi="Arial" w:cs="Arial"/>
                <w:color w:val="000000"/>
                <w:sz w:val="18"/>
                <w:szCs w:val="18"/>
              </w:rPr>
              <w:t>0.514 ± 0.006</w:t>
            </w:r>
            <w:r w:rsidRPr="00567B3D">
              <w:rPr>
                <w:rFonts w:ascii="Arial" w:hAnsi="Arial" w:cs="Arial"/>
                <w:color w:val="000000"/>
                <w:sz w:val="18"/>
                <w:szCs w:val="18"/>
                <w:vertAlign w:val="superscript"/>
              </w:rPr>
              <w:t>a</w:t>
            </w:r>
          </w:p>
        </w:tc>
        <w:tc>
          <w:tcPr>
            <w:tcW w:w="1417" w:type="dxa"/>
            <w:shd w:val="clear" w:color="auto" w:fill="FFFFFF" w:themeFill="background1"/>
            <w:noWrap/>
            <w:vAlign w:val="center"/>
            <w:hideMark/>
          </w:tcPr>
          <w:p w14:paraId="2EDE7D19" w14:textId="77777777" w:rsidR="007D67C4" w:rsidRPr="00227D4F" w:rsidRDefault="007D67C4" w:rsidP="007D67C4">
            <w:pPr>
              <w:jc w:val="center"/>
              <w:rPr>
                <w:rFonts w:ascii="Arial" w:hAnsi="Arial" w:cs="Arial"/>
                <w:color w:val="000000"/>
                <w:sz w:val="18"/>
                <w:szCs w:val="18"/>
              </w:rPr>
            </w:pPr>
            <w:r w:rsidRPr="00227D4F">
              <w:rPr>
                <w:rFonts w:ascii="Arial" w:hAnsi="Arial" w:cs="Arial"/>
                <w:color w:val="000000"/>
                <w:sz w:val="18"/>
                <w:szCs w:val="18"/>
              </w:rPr>
              <w:t>0.475 ± 0.048</w:t>
            </w:r>
            <w:r w:rsidRPr="00567B3D">
              <w:rPr>
                <w:rFonts w:ascii="Arial" w:hAnsi="Arial" w:cs="Arial"/>
                <w:color w:val="000000"/>
                <w:sz w:val="18"/>
                <w:szCs w:val="18"/>
                <w:vertAlign w:val="superscript"/>
              </w:rPr>
              <w:t>b</w:t>
            </w:r>
          </w:p>
        </w:tc>
      </w:tr>
      <w:tr w:rsidR="007D67C4" w:rsidRPr="00227D4F" w14:paraId="23CD3262" w14:textId="77777777" w:rsidTr="00903A68">
        <w:trPr>
          <w:trHeight w:val="20"/>
        </w:trPr>
        <w:tc>
          <w:tcPr>
            <w:tcW w:w="1134" w:type="dxa"/>
            <w:shd w:val="clear" w:color="auto" w:fill="FFFFFF" w:themeFill="background1"/>
            <w:noWrap/>
            <w:vAlign w:val="center"/>
            <w:hideMark/>
          </w:tcPr>
          <w:p w14:paraId="385ED0CE" w14:textId="77777777" w:rsidR="007D67C4" w:rsidRPr="00227D4F" w:rsidRDefault="007D67C4" w:rsidP="007D67C4">
            <w:pPr>
              <w:rPr>
                <w:rFonts w:ascii="Arial" w:hAnsi="Arial" w:cs="Arial"/>
                <w:color w:val="000000"/>
                <w:sz w:val="18"/>
                <w:szCs w:val="18"/>
              </w:rPr>
            </w:pPr>
            <w:r w:rsidRPr="00227D4F">
              <w:rPr>
                <w:rFonts w:ascii="Arial" w:hAnsi="Arial" w:cs="Arial"/>
                <w:color w:val="000000"/>
                <w:sz w:val="18"/>
                <w:szCs w:val="18"/>
              </w:rPr>
              <w:t>0-βc-BHT</w:t>
            </w:r>
          </w:p>
        </w:tc>
        <w:tc>
          <w:tcPr>
            <w:tcW w:w="1701" w:type="dxa"/>
            <w:shd w:val="clear" w:color="auto" w:fill="FFFFFF" w:themeFill="background1"/>
            <w:noWrap/>
            <w:vAlign w:val="center"/>
            <w:hideMark/>
          </w:tcPr>
          <w:p w14:paraId="287D3AE4" w14:textId="77777777" w:rsidR="007D67C4" w:rsidRPr="00227D4F" w:rsidRDefault="007D67C4" w:rsidP="007D67C4">
            <w:pPr>
              <w:jc w:val="center"/>
              <w:rPr>
                <w:rFonts w:ascii="Arial" w:hAnsi="Arial" w:cs="Arial"/>
                <w:color w:val="000000"/>
                <w:sz w:val="18"/>
                <w:szCs w:val="18"/>
              </w:rPr>
            </w:pPr>
            <w:r w:rsidRPr="00227D4F">
              <w:rPr>
                <w:rFonts w:ascii="Arial" w:hAnsi="Arial" w:cs="Arial"/>
                <w:color w:val="000000"/>
                <w:sz w:val="18"/>
                <w:szCs w:val="18"/>
              </w:rPr>
              <w:t>0.526 ± 0.028</w:t>
            </w:r>
            <w:r w:rsidRPr="00567B3D">
              <w:rPr>
                <w:rFonts w:ascii="Arial" w:hAnsi="Arial" w:cs="Arial"/>
                <w:color w:val="000000"/>
                <w:sz w:val="18"/>
                <w:szCs w:val="18"/>
                <w:vertAlign w:val="superscript"/>
              </w:rPr>
              <w:t>a</w:t>
            </w:r>
          </w:p>
        </w:tc>
        <w:tc>
          <w:tcPr>
            <w:tcW w:w="1418" w:type="dxa"/>
            <w:shd w:val="clear" w:color="auto" w:fill="FFFFFF" w:themeFill="background1"/>
            <w:noWrap/>
            <w:vAlign w:val="center"/>
            <w:hideMark/>
          </w:tcPr>
          <w:p w14:paraId="6748FE50" w14:textId="77777777" w:rsidR="007D67C4" w:rsidRPr="00227D4F" w:rsidRDefault="007D67C4" w:rsidP="007D67C4">
            <w:pPr>
              <w:jc w:val="center"/>
              <w:rPr>
                <w:rFonts w:ascii="Arial" w:hAnsi="Arial" w:cs="Arial"/>
                <w:color w:val="000000"/>
                <w:sz w:val="18"/>
                <w:szCs w:val="18"/>
              </w:rPr>
            </w:pPr>
            <w:r w:rsidRPr="00227D4F">
              <w:rPr>
                <w:rFonts w:ascii="Arial" w:hAnsi="Arial" w:cs="Arial"/>
                <w:color w:val="000000"/>
                <w:sz w:val="18"/>
                <w:szCs w:val="18"/>
              </w:rPr>
              <w:t>0.575 ± 0.024</w:t>
            </w:r>
            <w:r w:rsidRPr="00567B3D">
              <w:rPr>
                <w:rFonts w:ascii="Arial" w:hAnsi="Arial" w:cs="Arial"/>
                <w:color w:val="000000"/>
                <w:sz w:val="18"/>
                <w:szCs w:val="18"/>
                <w:vertAlign w:val="superscript"/>
              </w:rPr>
              <w:t>a</w:t>
            </w:r>
          </w:p>
        </w:tc>
        <w:tc>
          <w:tcPr>
            <w:tcW w:w="1417" w:type="dxa"/>
            <w:shd w:val="clear" w:color="auto" w:fill="FFFFFF" w:themeFill="background1"/>
            <w:noWrap/>
            <w:vAlign w:val="center"/>
            <w:hideMark/>
          </w:tcPr>
          <w:p w14:paraId="765139D2" w14:textId="77777777" w:rsidR="007D67C4" w:rsidRPr="00227D4F" w:rsidRDefault="007D67C4" w:rsidP="007D67C4">
            <w:pPr>
              <w:jc w:val="center"/>
              <w:rPr>
                <w:rFonts w:ascii="Arial" w:hAnsi="Arial" w:cs="Arial"/>
                <w:color w:val="000000"/>
                <w:sz w:val="18"/>
                <w:szCs w:val="18"/>
              </w:rPr>
            </w:pPr>
            <w:r w:rsidRPr="00227D4F">
              <w:rPr>
                <w:rFonts w:ascii="Arial" w:hAnsi="Arial" w:cs="Arial"/>
                <w:color w:val="000000"/>
                <w:sz w:val="18"/>
                <w:szCs w:val="18"/>
              </w:rPr>
              <w:t>0.508 ± 0.016</w:t>
            </w:r>
            <w:r w:rsidRPr="00567B3D">
              <w:rPr>
                <w:rFonts w:ascii="Arial" w:hAnsi="Arial" w:cs="Arial"/>
                <w:color w:val="000000"/>
                <w:sz w:val="18"/>
                <w:szCs w:val="18"/>
                <w:vertAlign w:val="superscript"/>
              </w:rPr>
              <w:t>a</w:t>
            </w:r>
          </w:p>
        </w:tc>
        <w:tc>
          <w:tcPr>
            <w:tcW w:w="1418" w:type="dxa"/>
            <w:shd w:val="clear" w:color="auto" w:fill="FFFFFF" w:themeFill="background1"/>
            <w:noWrap/>
            <w:vAlign w:val="center"/>
            <w:hideMark/>
          </w:tcPr>
          <w:p w14:paraId="252429AC" w14:textId="77777777" w:rsidR="007D67C4" w:rsidRPr="00227D4F" w:rsidRDefault="007D67C4" w:rsidP="007D67C4">
            <w:pPr>
              <w:jc w:val="center"/>
              <w:rPr>
                <w:rFonts w:ascii="Arial" w:hAnsi="Arial" w:cs="Arial"/>
                <w:color w:val="000000"/>
                <w:sz w:val="18"/>
                <w:szCs w:val="18"/>
              </w:rPr>
            </w:pPr>
            <w:r w:rsidRPr="00227D4F">
              <w:rPr>
                <w:rFonts w:ascii="Arial" w:hAnsi="Arial" w:cs="Arial"/>
                <w:color w:val="000000"/>
                <w:sz w:val="18"/>
                <w:szCs w:val="18"/>
              </w:rPr>
              <w:t>0.490 ± 0.003</w:t>
            </w:r>
            <w:r w:rsidRPr="00567B3D">
              <w:rPr>
                <w:rFonts w:ascii="Arial" w:hAnsi="Arial" w:cs="Arial"/>
                <w:color w:val="000000"/>
                <w:sz w:val="18"/>
                <w:szCs w:val="18"/>
                <w:vertAlign w:val="superscript"/>
              </w:rPr>
              <w:t>b</w:t>
            </w:r>
          </w:p>
        </w:tc>
        <w:tc>
          <w:tcPr>
            <w:tcW w:w="1417" w:type="dxa"/>
            <w:shd w:val="clear" w:color="auto" w:fill="FFFFFF" w:themeFill="background1"/>
            <w:noWrap/>
            <w:vAlign w:val="center"/>
            <w:hideMark/>
          </w:tcPr>
          <w:p w14:paraId="775F730A" w14:textId="77777777" w:rsidR="007D67C4" w:rsidRPr="00227D4F" w:rsidRDefault="007D67C4" w:rsidP="007D67C4">
            <w:pPr>
              <w:jc w:val="center"/>
              <w:rPr>
                <w:rFonts w:ascii="Arial" w:hAnsi="Arial" w:cs="Arial"/>
                <w:color w:val="000000"/>
                <w:sz w:val="18"/>
                <w:szCs w:val="18"/>
              </w:rPr>
            </w:pPr>
            <w:r w:rsidRPr="00227D4F">
              <w:rPr>
                <w:rFonts w:ascii="Arial" w:hAnsi="Arial" w:cs="Arial"/>
                <w:color w:val="000000"/>
                <w:sz w:val="18"/>
                <w:szCs w:val="18"/>
              </w:rPr>
              <w:t>0.545 ± 0.020</w:t>
            </w:r>
            <w:r w:rsidRPr="00567B3D">
              <w:rPr>
                <w:rFonts w:ascii="Arial" w:hAnsi="Arial" w:cs="Arial"/>
                <w:color w:val="000000"/>
                <w:sz w:val="18"/>
                <w:szCs w:val="18"/>
                <w:vertAlign w:val="superscript"/>
              </w:rPr>
              <w:t>b</w:t>
            </w:r>
          </w:p>
        </w:tc>
      </w:tr>
      <w:tr w:rsidR="007D67C4" w:rsidRPr="00227D4F" w14:paraId="4B37EF28" w14:textId="77777777" w:rsidTr="00903A68">
        <w:trPr>
          <w:trHeight w:val="20"/>
        </w:trPr>
        <w:tc>
          <w:tcPr>
            <w:tcW w:w="1134" w:type="dxa"/>
            <w:shd w:val="clear" w:color="auto" w:fill="FFFFFF" w:themeFill="background1"/>
            <w:noWrap/>
            <w:vAlign w:val="center"/>
            <w:hideMark/>
          </w:tcPr>
          <w:p w14:paraId="121294B9" w14:textId="3644A09E" w:rsidR="007D67C4" w:rsidRPr="00227D4F" w:rsidRDefault="006F2398" w:rsidP="007D67C4">
            <w:pPr>
              <w:rPr>
                <w:rFonts w:ascii="Arial" w:hAnsi="Arial" w:cs="Arial"/>
                <w:color w:val="000000"/>
                <w:sz w:val="18"/>
                <w:szCs w:val="18"/>
              </w:rPr>
            </w:pPr>
            <w:r w:rsidRPr="00227D4F">
              <w:rPr>
                <w:rFonts w:ascii="Arial" w:hAnsi="Arial" w:cs="Arial"/>
                <w:color w:val="000000"/>
                <w:sz w:val="18"/>
                <w:szCs w:val="18"/>
              </w:rPr>
              <w:t>5</w:t>
            </w:r>
            <w:r w:rsidR="007D67C4" w:rsidRPr="00227D4F">
              <w:rPr>
                <w:rFonts w:ascii="Arial" w:hAnsi="Arial" w:cs="Arial"/>
                <w:color w:val="000000"/>
                <w:sz w:val="18"/>
                <w:szCs w:val="18"/>
              </w:rPr>
              <w:t>-βc</w:t>
            </w:r>
          </w:p>
        </w:tc>
        <w:tc>
          <w:tcPr>
            <w:tcW w:w="1701" w:type="dxa"/>
            <w:shd w:val="clear" w:color="auto" w:fill="FFFFFF" w:themeFill="background1"/>
            <w:noWrap/>
            <w:vAlign w:val="center"/>
            <w:hideMark/>
          </w:tcPr>
          <w:p w14:paraId="6DE03CBE" w14:textId="77777777" w:rsidR="007D67C4" w:rsidRPr="00227D4F" w:rsidRDefault="007D67C4" w:rsidP="007D67C4">
            <w:pPr>
              <w:jc w:val="center"/>
              <w:rPr>
                <w:rFonts w:ascii="Arial" w:hAnsi="Arial" w:cs="Arial"/>
                <w:color w:val="000000"/>
                <w:sz w:val="18"/>
                <w:szCs w:val="18"/>
              </w:rPr>
            </w:pPr>
            <w:r w:rsidRPr="00227D4F">
              <w:rPr>
                <w:rFonts w:ascii="Arial" w:hAnsi="Arial" w:cs="Arial"/>
                <w:color w:val="000000"/>
                <w:sz w:val="18"/>
                <w:szCs w:val="18"/>
              </w:rPr>
              <w:t>0.436 ± 0.047</w:t>
            </w:r>
            <w:r w:rsidRPr="00567B3D">
              <w:rPr>
                <w:rFonts w:ascii="Arial" w:hAnsi="Arial" w:cs="Arial"/>
                <w:color w:val="000000"/>
                <w:sz w:val="18"/>
                <w:szCs w:val="18"/>
                <w:vertAlign w:val="superscript"/>
              </w:rPr>
              <w:t>b</w:t>
            </w:r>
          </w:p>
        </w:tc>
        <w:tc>
          <w:tcPr>
            <w:tcW w:w="1418" w:type="dxa"/>
            <w:shd w:val="clear" w:color="auto" w:fill="FFFFFF" w:themeFill="background1"/>
            <w:noWrap/>
            <w:vAlign w:val="center"/>
            <w:hideMark/>
          </w:tcPr>
          <w:p w14:paraId="4E87466D" w14:textId="77777777" w:rsidR="007D67C4" w:rsidRPr="00227D4F" w:rsidRDefault="007D67C4" w:rsidP="007D67C4">
            <w:pPr>
              <w:jc w:val="center"/>
              <w:rPr>
                <w:rFonts w:ascii="Arial" w:hAnsi="Arial" w:cs="Arial"/>
                <w:color w:val="000000"/>
                <w:sz w:val="18"/>
                <w:szCs w:val="18"/>
              </w:rPr>
            </w:pPr>
            <w:r w:rsidRPr="00227D4F">
              <w:rPr>
                <w:rFonts w:ascii="Arial" w:hAnsi="Arial" w:cs="Arial"/>
                <w:color w:val="000000"/>
                <w:sz w:val="18"/>
                <w:szCs w:val="18"/>
              </w:rPr>
              <w:t>0.500 ± 0.022</w:t>
            </w:r>
            <w:r w:rsidRPr="00567B3D">
              <w:rPr>
                <w:rFonts w:ascii="Arial" w:hAnsi="Arial" w:cs="Arial"/>
                <w:color w:val="000000"/>
                <w:sz w:val="18"/>
                <w:szCs w:val="18"/>
                <w:vertAlign w:val="superscript"/>
              </w:rPr>
              <w:t>b</w:t>
            </w:r>
          </w:p>
        </w:tc>
        <w:tc>
          <w:tcPr>
            <w:tcW w:w="1417" w:type="dxa"/>
            <w:shd w:val="clear" w:color="auto" w:fill="FFFFFF" w:themeFill="background1"/>
            <w:noWrap/>
            <w:vAlign w:val="center"/>
            <w:hideMark/>
          </w:tcPr>
          <w:p w14:paraId="36A591C0" w14:textId="77777777" w:rsidR="007D67C4" w:rsidRPr="00227D4F" w:rsidRDefault="007D67C4" w:rsidP="007D67C4">
            <w:pPr>
              <w:jc w:val="center"/>
              <w:rPr>
                <w:rFonts w:ascii="Arial" w:hAnsi="Arial" w:cs="Arial"/>
                <w:color w:val="000000"/>
                <w:sz w:val="18"/>
                <w:szCs w:val="18"/>
              </w:rPr>
            </w:pPr>
            <w:r w:rsidRPr="00227D4F">
              <w:rPr>
                <w:rFonts w:ascii="Arial" w:hAnsi="Arial" w:cs="Arial"/>
                <w:color w:val="000000"/>
                <w:sz w:val="18"/>
                <w:szCs w:val="18"/>
              </w:rPr>
              <w:t>0.427 ± 0.021</w:t>
            </w:r>
            <w:r w:rsidRPr="00567B3D">
              <w:rPr>
                <w:rFonts w:ascii="Arial" w:hAnsi="Arial" w:cs="Arial"/>
                <w:color w:val="000000"/>
                <w:sz w:val="18"/>
                <w:szCs w:val="18"/>
                <w:vertAlign w:val="superscript"/>
              </w:rPr>
              <w:t>b</w:t>
            </w:r>
          </w:p>
        </w:tc>
        <w:tc>
          <w:tcPr>
            <w:tcW w:w="1418" w:type="dxa"/>
            <w:shd w:val="clear" w:color="auto" w:fill="FFFFFF" w:themeFill="background1"/>
            <w:noWrap/>
            <w:vAlign w:val="center"/>
            <w:hideMark/>
          </w:tcPr>
          <w:p w14:paraId="08D5378A" w14:textId="77777777" w:rsidR="007D67C4" w:rsidRPr="00227D4F" w:rsidRDefault="007D67C4" w:rsidP="007D67C4">
            <w:pPr>
              <w:jc w:val="center"/>
              <w:rPr>
                <w:rFonts w:ascii="Arial" w:hAnsi="Arial" w:cs="Arial"/>
                <w:color w:val="000000"/>
                <w:sz w:val="18"/>
                <w:szCs w:val="18"/>
              </w:rPr>
            </w:pPr>
            <w:r w:rsidRPr="00227D4F">
              <w:rPr>
                <w:rFonts w:ascii="Arial" w:hAnsi="Arial" w:cs="Arial"/>
                <w:color w:val="000000"/>
                <w:sz w:val="18"/>
                <w:szCs w:val="18"/>
              </w:rPr>
              <w:t>0.459 ± 0.007</w:t>
            </w:r>
            <w:r w:rsidRPr="00567B3D">
              <w:rPr>
                <w:rFonts w:ascii="Arial" w:hAnsi="Arial" w:cs="Arial"/>
                <w:color w:val="000000"/>
                <w:sz w:val="18"/>
                <w:szCs w:val="18"/>
                <w:vertAlign w:val="superscript"/>
              </w:rPr>
              <w:t>c</w:t>
            </w:r>
          </w:p>
        </w:tc>
        <w:tc>
          <w:tcPr>
            <w:tcW w:w="1417" w:type="dxa"/>
            <w:shd w:val="clear" w:color="auto" w:fill="FFFFFF" w:themeFill="background1"/>
            <w:noWrap/>
            <w:vAlign w:val="center"/>
            <w:hideMark/>
          </w:tcPr>
          <w:p w14:paraId="76C052DD" w14:textId="77777777" w:rsidR="007D67C4" w:rsidRPr="00227D4F" w:rsidRDefault="007D67C4" w:rsidP="007D67C4">
            <w:pPr>
              <w:jc w:val="center"/>
              <w:rPr>
                <w:rFonts w:ascii="Arial" w:hAnsi="Arial" w:cs="Arial"/>
                <w:color w:val="000000"/>
                <w:sz w:val="18"/>
                <w:szCs w:val="18"/>
              </w:rPr>
            </w:pPr>
            <w:r w:rsidRPr="00227D4F">
              <w:rPr>
                <w:rFonts w:ascii="Arial" w:hAnsi="Arial" w:cs="Arial"/>
                <w:color w:val="000000"/>
                <w:sz w:val="18"/>
                <w:szCs w:val="18"/>
              </w:rPr>
              <w:t>0.251 ± 0.048</w:t>
            </w:r>
            <w:r w:rsidRPr="00567B3D">
              <w:rPr>
                <w:rFonts w:ascii="Arial" w:hAnsi="Arial" w:cs="Arial"/>
                <w:color w:val="000000"/>
                <w:sz w:val="18"/>
                <w:szCs w:val="18"/>
                <w:vertAlign w:val="superscript"/>
              </w:rPr>
              <w:t>c</w:t>
            </w:r>
          </w:p>
        </w:tc>
      </w:tr>
      <w:tr w:rsidR="007D67C4" w:rsidRPr="00227D4F" w14:paraId="2237F0D1" w14:textId="77777777" w:rsidTr="00903A68">
        <w:trPr>
          <w:trHeight w:val="20"/>
        </w:trPr>
        <w:tc>
          <w:tcPr>
            <w:tcW w:w="1134" w:type="dxa"/>
            <w:shd w:val="clear" w:color="auto" w:fill="FFFFFF" w:themeFill="background1"/>
            <w:noWrap/>
            <w:vAlign w:val="center"/>
            <w:hideMark/>
          </w:tcPr>
          <w:p w14:paraId="3BDEA993" w14:textId="1C35240E" w:rsidR="007D67C4" w:rsidRPr="00227D4F" w:rsidRDefault="006F2398" w:rsidP="007D67C4">
            <w:pPr>
              <w:rPr>
                <w:rFonts w:ascii="Arial" w:hAnsi="Arial" w:cs="Arial"/>
                <w:color w:val="000000"/>
                <w:sz w:val="18"/>
                <w:szCs w:val="18"/>
              </w:rPr>
            </w:pPr>
            <w:r w:rsidRPr="00227D4F">
              <w:rPr>
                <w:rFonts w:ascii="Arial" w:hAnsi="Arial" w:cs="Arial"/>
                <w:color w:val="000000"/>
                <w:sz w:val="18"/>
                <w:szCs w:val="18"/>
              </w:rPr>
              <w:t>5</w:t>
            </w:r>
            <w:r w:rsidR="007D67C4" w:rsidRPr="00227D4F">
              <w:rPr>
                <w:rFonts w:ascii="Arial" w:hAnsi="Arial" w:cs="Arial"/>
                <w:color w:val="000000"/>
                <w:sz w:val="18"/>
                <w:szCs w:val="18"/>
              </w:rPr>
              <w:t>-βc-BHT</w:t>
            </w:r>
          </w:p>
        </w:tc>
        <w:tc>
          <w:tcPr>
            <w:tcW w:w="1701" w:type="dxa"/>
            <w:shd w:val="clear" w:color="auto" w:fill="FFFFFF" w:themeFill="background1"/>
            <w:noWrap/>
            <w:vAlign w:val="center"/>
            <w:hideMark/>
          </w:tcPr>
          <w:p w14:paraId="681C3049" w14:textId="77777777" w:rsidR="007D67C4" w:rsidRPr="00227D4F" w:rsidRDefault="007D67C4" w:rsidP="007D67C4">
            <w:pPr>
              <w:jc w:val="center"/>
              <w:rPr>
                <w:rFonts w:ascii="Arial" w:hAnsi="Arial" w:cs="Arial"/>
                <w:color w:val="000000"/>
                <w:sz w:val="18"/>
                <w:szCs w:val="18"/>
              </w:rPr>
            </w:pPr>
            <w:r w:rsidRPr="00227D4F">
              <w:rPr>
                <w:rFonts w:ascii="Arial" w:hAnsi="Arial" w:cs="Arial"/>
                <w:color w:val="000000"/>
                <w:sz w:val="18"/>
                <w:szCs w:val="18"/>
              </w:rPr>
              <w:t>0.453 ± 0.043</w:t>
            </w:r>
            <w:r w:rsidRPr="00567B3D">
              <w:rPr>
                <w:rFonts w:ascii="Arial" w:hAnsi="Arial" w:cs="Arial"/>
                <w:color w:val="000000"/>
                <w:sz w:val="18"/>
                <w:szCs w:val="18"/>
                <w:vertAlign w:val="superscript"/>
              </w:rPr>
              <w:t>b</w:t>
            </w:r>
          </w:p>
        </w:tc>
        <w:tc>
          <w:tcPr>
            <w:tcW w:w="1418" w:type="dxa"/>
            <w:shd w:val="clear" w:color="auto" w:fill="FFFFFF" w:themeFill="background1"/>
            <w:noWrap/>
            <w:vAlign w:val="center"/>
            <w:hideMark/>
          </w:tcPr>
          <w:p w14:paraId="1C755017" w14:textId="77777777" w:rsidR="007D67C4" w:rsidRPr="00227D4F" w:rsidRDefault="007D67C4" w:rsidP="007D67C4">
            <w:pPr>
              <w:jc w:val="center"/>
              <w:rPr>
                <w:rFonts w:ascii="Arial" w:hAnsi="Arial" w:cs="Arial"/>
                <w:color w:val="000000"/>
                <w:sz w:val="18"/>
                <w:szCs w:val="18"/>
              </w:rPr>
            </w:pPr>
            <w:r w:rsidRPr="00227D4F">
              <w:rPr>
                <w:rFonts w:ascii="Arial" w:hAnsi="Arial" w:cs="Arial"/>
                <w:color w:val="000000"/>
                <w:sz w:val="18"/>
                <w:szCs w:val="18"/>
              </w:rPr>
              <w:t>0.502 ± 0.007</w:t>
            </w:r>
            <w:r w:rsidRPr="00567B3D">
              <w:rPr>
                <w:rFonts w:ascii="Arial" w:hAnsi="Arial" w:cs="Arial"/>
                <w:color w:val="000000"/>
                <w:sz w:val="18"/>
                <w:szCs w:val="18"/>
                <w:vertAlign w:val="superscript"/>
              </w:rPr>
              <w:t>b</w:t>
            </w:r>
          </w:p>
        </w:tc>
        <w:tc>
          <w:tcPr>
            <w:tcW w:w="1417" w:type="dxa"/>
            <w:shd w:val="clear" w:color="auto" w:fill="FFFFFF" w:themeFill="background1"/>
            <w:noWrap/>
            <w:vAlign w:val="center"/>
            <w:hideMark/>
          </w:tcPr>
          <w:p w14:paraId="5B8E4796" w14:textId="77777777" w:rsidR="007D67C4" w:rsidRPr="00227D4F" w:rsidRDefault="007D67C4" w:rsidP="007D67C4">
            <w:pPr>
              <w:jc w:val="center"/>
              <w:rPr>
                <w:rFonts w:ascii="Arial" w:hAnsi="Arial" w:cs="Arial"/>
                <w:color w:val="000000"/>
                <w:sz w:val="18"/>
                <w:szCs w:val="18"/>
              </w:rPr>
            </w:pPr>
            <w:r w:rsidRPr="00227D4F">
              <w:rPr>
                <w:rFonts w:ascii="Arial" w:hAnsi="Arial" w:cs="Arial"/>
                <w:color w:val="000000"/>
                <w:sz w:val="18"/>
                <w:szCs w:val="18"/>
              </w:rPr>
              <w:t>0.422 ± 0.020</w:t>
            </w:r>
            <w:r w:rsidRPr="00567B3D">
              <w:rPr>
                <w:rFonts w:ascii="Arial" w:hAnsi="Arial" w:cs="Arial"/>
                <w:color w:val="000000"/>
                <w:sz w:val="18"/>
                <w:szCs w:val="18"/>
                <w:vertAlign w:val="superscript"/>
              </w:rPr>
              <w:t>b</w:t>
            </w:r>
          </w:p>
        </w:tc>
        <w:tc>
          <w:tcPr>
            <w:tcW w:w="1418" w:type="dxa"/>
            <w:shd w:val="clear" w:color="auto" w:fill="FFFFFF" w:themeFill="background1"/>
            <w:noWrap/>
            <w:vAlign w:val="center"/>
            <w:hideMark/>
          </w:tcPr>
          <w:p w14:paraId="7C5D3F66" w14:textId="77777777" w:rsidR="007D67C4" w:rsidRPr="00227D4F" w:rsidRDefault="007D67C4" w:rsidP="007D67C4">
            <w:pPr>
              <w:jc w:val="center"/>
              <w:rPr>
                <w:rFonts w:ascii="Arial" w:hAnsi="Arial" w:cs="Arial"/>
                <w:color w:val="000000"/>
                <w:sz w:val="18"/>
                <w:szCs w:val="18"/>
              </w:rPr>
            </w:pPr>
            <w:r w:rsidRPr="00227D4F">
              <w:rPr>
                <w:rFonts w:ascii="Arial" w:hAnsi="Arial" w:cs="Arial"/>
                <w:color w:val="000000"/>
                <w:sz w:val="18"/>
                <w:szCs w:val="18"/>
              </w:rPr>
              <w:t>0.436 ± 0.007</w:t>
            </w:r>
            <w:r w:rsidRPr="00567B3D">
              <w:rPr>
                <w:rFonts w:ascii="Arial" w:hAnsi="Arial" w:cs="Arial"/>
                <w:color w:val="000000"/>
                <w:sz w:val="18"/>
                <w:szCs w:val="18"/>
                <w:vertAlign w:val="superscript"/>
              </w:rPr>
              <w:t>d</w:t>
            </w:r>
          </w:p>
        </w:tc>
        <w:tc>
          <w:tcPr>
            <w:tcW w:w="1417" w:type="dxa"/>
            <w:shd w:val="clear" w:color="auto" w:fill="FFFFFF" w:themeFill="background1"/>
            <w:noWrap/>
            <w:vAlign w:val="center"/>
            <w:hideMark/>
          </w:tcPr>
          <w:p w14:paraId="20561A34" w14:textId="77777777" w:rsidR="007D67C4" w:rsidRPr="00227D4F" w:rsidRDefault="007D67C4" w:rsidP="007D67C4">
            <w:pPr>
              <w:jc w:val="center"/>
              <w:rPr>
                <w:rFonts w:ascii="Arial" w:hAnsi="Arial" w:cs="Arial"/>
                <w:color w:val="000000"/>
                <w:sz w:val="18"/>
                <w:szCs w:val="18"/>
              </w:rPr>
            </w:pPr>
            <w:r w:rsidRPr="00227D4F">
              <w:rPr>
                <w:rFonts w:ascii="Arial" w:hAnsi="Arial" w:cs="Arial"/>
                <w:color w:val="000000"/>
                <w:sz w:val="18"/>
                <w:szCs w:val="18"/>
              </w:rPr>
              <w:t>0.266 ± 0.013</w:t>
            </w:r>
            <w:r w:rsidRPr="00567B3D">
              <w:rPr>
                <w:rFonts w:ascii="Arial" w:hAnsi="Arial" w:cs="Arial"/>
                <w:color w:val="000000"/>
                <w:sz w:val="18"/>
                <w:szCs w:val="18"/>
                <w:vertAlign w:val="superscript"/>
              </w:rPr>
              <w:t>c</w:t>
            </w:r>
          </w:p>
        </w:tc>
      </w:tr>
      <w:tr w:rsidR="007D67C4" w:rsidRPr="00227D4F" w14:paraId="6B11F4A7" w14:textId="77777777" w:rsidTr="00903A68">
        <w:trPr>
          <w:trHeight w:val="20"/>
        </w:trPr>
        <w:tc>
          <w:tcPr>
            <w:tcW w:w="1134" w:type="dxa"/>
            <w:shd w:val="clear" w:color="auto" w:fill="FFFFFF" w:themeFill="background1"/>
            <w:noWrap/>
            <w:vAlign w:val="center"/>
            <w:hideMark/>
          </w:tcPr>
          <w:p w14:paraId="571E570B" w14:textId="0D81EF71" w:rsidR="007D67C4" w:rsidRPr="00227D4F" w:rsidRDefault="006F2398" w:rsidP="007D67C4">
            <w:pPr>
              <w:rPr>
                <w:rFonts w:ascii="Arial" w:hAnsi="Arial" w:cs="Arial"/>
                <w:color w:val="000000"/>
                <w:sz w:val="18"/>
                <w:szCs w:val="18"/>
              </w:rPr>
            </w:pPr>
            <w:r w:rsidRPr="00227D4F">
              <w:rPr>
                <w:rFonts w:ascii="Arial" w:hAnsi="Arial" w:cs="Arial"/>
                <w:color w:val="000000"/>
                <w:sz w:val="18"/>
                <w:szCs w:val="18"/>
              </w:rPr>
              <w:t>10</w:t>
            </w:r>
            <w:r w:rsidR="007D67C4" w:rsidRPr="00227D4F">
              <w:rPr>
                <w:rFonts w:ascii="Arial" w:hAnsi="Arial" w:cs="Arial"/>
                <w:color w:val="000000"/>
                <w:sz w:val="18"/>
                <w:szCs w:val="18"/>
              </w:rPr>
              <w:t>-βc</w:t>
            </w:r>
          </w:p>
        </w:tc>
        <w:tc>
          <w:tcPr>
            <w:tcW w:w="1701" w:type="dxa"/>
            <w:shd w:val="clear" w:color="auto" w:fill="FFFFFF" w:themeFill="background1"/>
            <w:noWrap/>
            <w:vAlign w:val="center"/>
            <w:hideMark/>
          </w:tcPr>
          <w:p w14:paraId="41FE2806" w14:textId="77777777" w:rsidR="007D67C4" w:rsidRPr="00227D4F" w:rsidRDefault="007D67C4" w:rsidP="007D67C4">
            <w:pPr>
              <w:jc w:val="center"/>
              <w:rPr>
                <w:rFonts w:ascii="Arial" w:hAnsi="Arial" w:cs="Arial"/>
                <w:color w:val="000000"/>
                <w:sz w:val="18"/>
                <w:szCs w:val="18"/>
              </w:rPr>
            </w:pPr>
            <w:r w:rsidRPr="00227D4F">
              <w:rPr>
                <w:rFonts w:ascii="Arial" w:hAnsi="Arial" w:cs="Arial"/>
                <w:color w:val="000000"/>
                <w:sz w:val="18"/>
                <w:szCs w:val="18"/>
              </w:rPr>
              <w:t>0.359 ± 0.012</w:t>
            </w:r>
            <w:r w:rsidRPr="00567B3D">
              <w:rPr>
                <w:rFonts w:ascii="Arial" w:hAnsi="Arial" w:cs="Arial"/>
                <w:color w:val="000000"/>
                <w:sz w:val="18"/>
                <w:szCs w:val="18"/>
                <w:vertAlign w:val="superscript"/>
              </w:rPr>
              <w:t>c</w:t>
            </w:r>
          </w:p>
        </w:tc>
        <w:tc>
          <w:tcPr>
            <w:tcW w:w="1418" w:type="dxa"/>
            <w:shd w:val="clear" w:color="auto" w:fill="FFFFFF" w:themeFill="background1"/>
            <w:noWrap/>
            <w:vAlign w:val="center"/>
            <w:hideMark/>
          </w:tcPr>
          <w:p w14:paraId="4E523EA7" w14:textId="77777777" w:rsidR="007D67C4" w:rsidRPr="00227D4F" w:rsidRDefault="007D67C4" w:rsidP="007D67C4">
            <w:pPr>
              <w:jc w:val="center"/>
              <w:rPr>
                <w:rFonts w:ascii="Arial" w:hAnsi="Arial" w:cs="Arial"/>
                <w:color w:val="000000"/>
                <w:sz w:val="18"/>
                <w:szCs w:val="18"/>
              </w:rPr>
            </w:pPr>
            <w:r w:rsidRPr="00227D4F">
              <w:rPr>
                <w:rFonts w:ascii="Arial" w:hAnsi="Arial" w:cs="Arial"/>
                <w:color w:val="000000"/>
                <w:sz w:val="18"/>
                <w:szCs w:val="18"/>
              </w:rPr>
              <w:t>0.416 ± 0.016</w:t>
            </w:r>
            <w:r w:rsidRPr="00567B3D">
              <w:rPr>
                <w:rFonts w:ascii="Arial" w:hAnsi="Arial" w:cs="Arial"/>
                <w:color w:val="000000"/>
                <w:sz w:val="18"/>
                <w:szCs w:val="18"/>
                <w:vertAlign w:val="superscript"/>
              </w:rPr>
              <w:t>c</w:t>
            </w:r>
          </w:p>
        </w:tc>
        <w:tc>
          <w:tcPr>
            <w:tcW w:w="1417" w:type="dxa"/>
            <w:shd w:val="clear" w:color="auto" w:fill="FFFFFF" w:themeFill="background1"/>
            <w:noWrap/>
            <w:vAlign w:val="center"/>
            <w:hideMark/>
          </w:tcPr>
          <w:p w14:paraId="443A69A7" w14:textId="77777777" w:rsidR="007D67C4" w:rsidRPr="00227D4F" w:rsidRDefault="007D67C4" w:rsidP="007D67C4">
            <w:pPr>
              <w:jc w:val="center"/>
              <w:rPr>
                <w:rFonts w:ascii="Arial" w:hAnsi="Arial" w:cs="Arial"/>
                <w:color w:val="000000"/>
                <w:sz w:val="18"/>
                <w:szCs w:val="18"/>
              </w:rPr>
            </w:pPr>
            <w:r w:rsidRPr="00227D4F">
              <w:rPr>
                <w:rFonts w:ascii="Arial" w:hAnsi="Arial" w:cs="Arial"/>
                <w:color w:val="000000"/>
                <w:sz w:val="18"/>
                <w:szCs w:val="18"/>
              </w:rPr>
              <w:t>0.380 ± 0.020</w:t>
            </w:r>
            <w:r w:rsidRPr="00567B3D">
              <w:rPr>
                <w:rFonts w:ascii="Arial" w:hAnsi="Arial" w:cs="Arial"/>
                <w:color w:val="000000"/>
                <w:sz w:val="18"/>
                <w:szCs w:val="18"/>
                <w:vertAlign w:val="superscript"/>
              </w:rPr>
              <w:t>c</w:t>
            </w:r>
          </w:p>
        </w:tc>
        <w:tc>
          <w:tcPr>
            <w:tcW w:w="1418" w:type="dxa"/>
            <w:shd w:val="clear" w:color="auto" w:fill="FFFFFF" w:themeFill="background1"/>
            <w:noWrap/>
            <w:vAlign w:val="center"/>
            <w:hideMark/>
          </w:tcPr>
          <w:p w14:paraId="0FF41578" w14:textId="77777777" w:rsidR="007D67C4" w:rsidRPr="00227D4F" w:rsidRDefault="007D67C4" w:rsidP="007D67C4">
            <w:pPr>
              <w:jc w:val="center"/>
              <w:rPr>
                <w:rFonts w:ascii="Arial" w:hAnsi="Arial" w:cs="Arial"/>
                <w:color w:val="000000"/>
                <w:sz w:val="18"/>
                <w:szCs w:val="18"/>
              </w:rPr>
            </w:pPr>
            <w:r w:rsidRPr="00227D4F">
              <w:rPr>
                <w:rFonts w:ascii="Arial" w:hAnsi="Arial" w:cs="Arial"/>
                <w:color w:val="000000"/>
                <w:sz w:val="18"/>
                <w:szCs w:val="18"/>
              </w:rPr>
              <w:t>0.399 ± 0.008</w:t>
            </w:r>
            <w:r w:rsidRPr="00567B3D">
              <w:rPr>
                <w:rFonts w:ascii="Arial" w:hAnsi="Arial" w:cs="Arial"/>
                <w:color w:val="000000"/>
                <w:sz w:val="18"/>
                <w:szCs w:val="18"/>
                <w:vertAlign w:val="superscript"/>
              </w:rPr>
              <w:t>e</w:t>
            </w:r>
          </w:p>
        </w:tc>
        <w:tc>
          <w:tcPr>
            <w:tcW w:w="1417" w:type="dxa"/>
            <w:shd w:val="clear" w:color="auto" w:fill="FFFFFF" w:themeFill="background1"/>
            <w:noWrap/>
            <w:vAlign w:val="center"/>
            <w:hideMark/>
          </w:tcPr>
          <w:p w14:paraId="21E8625B" w14:textId="77777777" w:rsidR="007D67C4" w:rsidRPr="00227D4F" w:rsidRDefault="007D67C4" w:rsidP="007D67C4">
            <w:pPr>
              <w:jc w:val="center"/>
              <w:rPr>
                <w:rFonts w:ascii="Arial" w:hAnsi="Arial" w:cs="Arial"/>
                <w:color w:val="000000"/>
                <w:sz w:val="18"/>
                <w:szCs w:val="18"/>
              </w:rPr>
            </w:pPr>
            <w:r w:rsidRPr="00227D4F">
              <w:rPr>
                <w:rFonts w:ascii="Arial" w:hAnsi="Arial" w:cs="Arial"/>
                <w:color w:val="000000"/>
                <w:sz w:val="18"/>
                <w:szCs w:val="18"/>
              </w:rPr>
              <w:t>0.132 ± 0.016</w:t>
            </w:r>
            <w:r w:rsidRPr="00567B3D">
              <w:rPr>
                <w:rFonts w:ascii="Arial" w:hAnsi="Arial" w:cs="Arial"/>
                <w:color w:val="000000"/>
                <w:sz w:val="18"/>
                <w:szCs w:val="18"/>
                <w:vertAlign w:val="superscript"/>
              </w:rPr>
              <w:t>d</w:t>
            </w:r>
          </w:p>
        </w:tc>
      </w:tr>
      <w:tr w:rsidR="007D67C4" w:rsidRPr="00227D4F" w14:paraId="49E79952" w14:textId="77777777" w:rsidTr="00903A68">
        <w:trPr>
          <w:trHeight w:val="20"/>
        </w:trPr>
        <w:tc>
          <w:tcPr>
            <w:tcW w:w="1134" w:type="dxa"/>
            <w:shd w:val="clear" w:color="auto" w:fill="FFFFFF" w:themeFill="background1"/>
            <w:noWrap/>
            <w:vAlign w:val="center"/>
            <w:hideMark/>
          </w:tcPr>
          <w:p w14:paraId="2AE3A254" w14:textId="6BCBEC65" w:rsidR="007D67C4" w:rsidRPr="00227D4F" w:rsidRDefault="006F2398" w:rsidP="007D67C4">
            <w:pPr>
              <w:rPr>
                <w:rFonts w:ascii="Arial" w:hAnsi="Arial" w:cs="Arial"/>
                <w:color w:val="000000"/>
                <w:sz w:val="18"/>
                <w:szCs w:val="18"/>
              </w:rPr>
            </w:pPr>
            <w:r w:rsidRPr="00227D4F">
              <w:rPr>
                <w:rFonts w:ascii="Arial" w:hAnsi="Arial" w:cs="Arial"/>
                <w:color w:val="000000"/>
                <w:sz w:val="18"/>
                <w:szCs w:val="18"/>
              </w:rPr>
              <w:t>10</w:t>
            </w:r>
            <w:r w:rsidR="007D67C4" w:rsidRPr="00227D4F">
              <w:rPr>
                <w:rFonts w:ascii="Arial" w:hAnsi="Arial" w:cs="Arial"/>
                <w:color w:val="000000"/>
                <w:sz w:val="18"/>
                <w:szCs w:val="18"/>
              </w:rPr>
              <w:t>-βc-BHT</w:t>
            </w:r>
          </w:p>
        </w:tc>
        <w:tc>
          <w:tcPr>
            <w:tcW w:w="1701" w:type="dxa"/>
            <w:shd w:val="clear" w:color="auto" w:fill="FFFFFF" w:themeFill="background1"/>
            <w:noWrap/>
            <w:vAlign w:val="center"/>
            <w:hideMark/>
          </w:tcPr>
          <w:p w14:paraId="79D74D80" w14:textId="77777777" w:rsidR="007D67C4" w:rsidRPr="00227D4F" w:rsidRDefault="007D67C4" w:rsidP="007D67C4">
            <w:pPr>
              <w:jc w:val="center"/>
              <w:rPr>
                <w:rFonts w:ascii="Arial" w:hAnsi="Arial" w:cs="Arial"/>
                <w:color w:val="000000"/>
                <w:sz w:val="18"/>
                <w:szCs w:val="18"/>
              </w:rPr>
            </w:pPr>
            <w:r w:rsidRPr="00227D4F">
              <w:rPr>
                <w:rFonts w:ascii="Arial" w:hAnsi="Arial" w:cs="Arial"/>
                <w:color w:val="000000"/>
                <w:sz w:val="18"/>
                <w:szCs w:val="18"/>
              </w:rPr>
              <w:t>0.377 ± 0.033</w:t>
            </w:r>
            <w:r w:rsidRPr="00567B3D">
              <w:rPr>
                <w:rFonts w:ascii="Arial" w:hAnsi="Arial" w:cs="Arial"/>
                <w:color w:val="000000"/>
                <w:sz w:val="18"/>
                <w:szCs w:val="18"/>
                <w:vertAlign w:val="superscript"/>
              </w:rPr>
              <w:t>c</w:t>
            </w:r>
          </w:p>
        </w:tc>
        <w:tc>
          <w:tcPr>
            <w:tcW w:w="1418" w:type="dxa"/>
            <w:shd w:val="clear" w:color="auto" w:fill="FFFFFF" w:themeFill="background1"/>
            <w:noWrap/>
            <w:vAlign w:val="center"/>
            <w:hideMark/>
          </w:tcPr>
          <w:p w14:paraId="53C5114C" w14:textId="77777777" w:rsidR="007D67C4" w:rsidRPr="00227D4F" w:rsidRDefault="007D67C4" w:rsidP="007D67C4">
            <w:pPr>
              <w:jc w:val="center"/>
              <w:rPr>
                <w:rFonts w:ascii="Arial" w:hAnsi="Arial" w:cs="Arial"/>
                <w:color w:val="000000"/>
                <w:sz w:val="18"/>
                <w:szCs w:val="18"/>
              </w:rPr>
            </w:pPr>
            <w:r w:rsidRPr="00227D4F">
              <w:rPr>
                <w:rFonts w:ascii="Arial" w:hAnsi="Arial" w:cs="Arial"/>
                <w:color w:val="000000"/>
                <w:sz w:val="18"/>
                <w:szCs w:val="18"/>
              </w:rPr>
              <w:t>0.435 ± 0.010</w:t>
            </w:r>
            <w:r w:rsidRPr="00567B3D">
              <w:rPr>
                <w:rFonts w:ascii="Arial" w:hAnsi="Arial" w:cs="Arial"/>
                <w:color w:val="000000"/>
                <w:sz w:val="18"/>
                <w:szCs w:val="18"/>
                <w:vertAlign w:val="superscript"/>
              </w:rPr>
              <w:t>c</w:t>
            </w:r>
          </w:p>
        </w:tc>
        <w:tc>
          <w:tcPr>
            <w:tcW w:w="1417" w:type="dxa"/>
            <w:shd w:val="clear" w:color="auto" w:fill="FFFFFF" w:themeFill="background1"/>
            <w:noWrap/>
            <w:vAlign w:val="center"/>
            <w:hideMark/>
          </w:tcPr>
          <w:p w14:paraId="4A357CBB" w14:textId="77777777" w:rsidR="007D67C4" w:rsidRPr="00227D4F" w:rsidRDefault="007D67C4" w:rsidP="007D67C4">
            <w:pPr>
              <w:jc w:val="center"/>
              <w:rPr>
                <w:rFonts w:ascii="Arial" w:hAnsi="Arial" w:cs="Arial"/>
                <w:color w:val="000000"/>
                <w:sz w:val="18"/>
                <w:szCs w:val="18"/>
              </w:rPr>
            </w:pPr>
            <w:r w:rsidRPr="00227D4F">
              <w:rPr>
                <w:rFonts w:ascii="Arial" w:hAnsi="Arial" w:cs="Arial"/>
                <w:color w:val="000000"/>
                <w:sz w:val="18"/>
                <w:szCs w:val="18"/>
              </w:rPr>
              <w:t>0.387 ± 0.016</w:t>
            </w:r>
            <w:r w:rsidRPr="00567B3D">
              <w:rPr>
                <w:rFonts w:ascii="Arial" w:hAnsi="Arial" w:cs="Arial"/>
                <w:color w:val="000000"/>
                <w:sz w:val="18"/>
                <w:szCs w:val="18"/>
                <w:vertAlign w:val="superscript"/>
              </w:rPr>
              <w:t>c</w:t>
            </w:r>
          </w:p>
        </w:tc>
        <w:tc>
          <w:tcPr>
            <w:tcW w:w="1418" w:type="dxa"/>
            <w:shd w:val="clear" w:color="auto" w:fill="FFFFFF" w:themeFill="background1"/>
            <w:noWrap/>
            <w:vAlign w:val="center"/>
            <w:hideMark/>
          </w:tcPr>
          <w:p w14:paraId="00FEEFE6" w14:textId="77777777" w:rsidR="007D67C4" w:rsidRPr="00227D4F" w:rsidRDefault="007D67C4" w:rsidP="007D67C4">
            <w:pPr>
              <w:jc w:val="center"/>
              <w:rPr>
                <w:rFonts w:ascii="Arial" w:hAnsi="Arial" w:cs="Arial"/>
                <w:color w:val="000000"/>
                <w:sz w:val="18"/>
                <w:szCs w:val="18"/>
              </w:rPr>
            </w:pPr>
            <w:r w:rsidRPr="00227D4F">
              <w:rPr>
                <w:rFonts w:ascii="Arial" w:hAnsi="Arial" w:cs="Arial"/>
                <w:color w:val="000000"/>
                <w:sz w:val="18"/>
                <w:szCs w:val="18"/>
              </w:rPr>
              <w:t>0.391 ± 0.016</w:t>
            </w:r>
            <w:r w:rsidRPr="00567B3D">
              <w:rPr>
                <w:rFonts w:ascii="Arial" w:hAnsi="Arial" w:cs="Arial"/>
                <w:color w:val="000000"/>
                <w:sz w:val="18"/>
                <w:szCs w:val="18"/>
                <w:vertAlign w:val="superscript"/>
              </w:rPr>
              <w:t>e</w:t>
            </w:r>
          </w:p>
        </w:tc>
        <w:tc>
          <w:tcPr>
            <w:tcW w:w="1417" w:type="dxa"/>
            <w:shd w:val="clear" w:color="auto" w:fill="FFFFFF" w:themeFill="background1"/>
            <w:noWrap/>
            <w:vAlign w:val="center"/>
            <w:hideMark/>
          </w:tcPr>
          <w:p w14:paraId="4F45F57D" w14:textId="77777777" w:rsidR="007D67C4" w:rsidRPr="00227D4F" w:rsidRDefault="007D67C4" w:rsidP="007D67C4">
            <w:pPr>
              <w:jc w:val="center"/>
              <w:rPr>
                <w:rFonts w:ascii="Arial" w:hAnsi="Arial" w:cs="Arial"/>
                <w:color w:val="000000"/>
                <w:sz w:val="18"/>
                <w:szCs w:val="18"/>
              </w:rPr>
            </w:pPr>
            <w:r w:rsidRPr="00227D4F">
              <w:rPr>
                <w:rFonts w:ascii="Arial" w:hAnsi="Arial" w:cs="Arial"/>
                <w:color w:val="000000"/>
                <w:sz w:val="18"/>
                <w:szCs w:val="18"/>
              </w:rPr>
              <w:t>0.143 ± 0.011</w:t>
            </w:r>
            <w:r w:rsidRPr="00567B3D">
              <w:rPr>
                <w:rFonts w:ascii="Arial" w:hAnsi="Arial" w:cs="Arial"/>
                <w:color w:val="000000"/>
                <w:sz w:val="18"/>
                <w:szCs w:val="18"/>
                <w:vertAlign w:val="superscript"/>
              </w:rPr>
              <w:t>d</w:t>
            </w:r>
          </w:p>
        </w:tc>
      </w:tr>
      <w:tr w:rsidR="007D67C4" w:rsidRPr="00227D4F" w14:paraId="447D3407" w14:textId="77777777" w:rsidTr="00903A68">
        <w:trPr>
          <w:trHeight w:val="20"/>
        </w:trPr>
        <w:tc>
          <w:tcPr>
            <w:tcW w:w="1134" w:type="dxa"/>
            <w:shd w:val="clear" w:color="auto" w:fill="FFFFFF" w:themeFill="background1"/>
            <w:noWrap/>
            <w:vAlign w:val="center"/>
            <w:hideMark/>
          </w:tcPr>
          <w:p w14:paraId="54F1CD15" w14:textId="2E5A0B69" w:rsidR="007D67C4" w:rsidRPr="00227D4F" w:rsidRDefault="006F2398" w:rsidP="007D67C4">
            <w:pPr>
              <w:rPr>
                <w:rFonts w:ascii="Arial" w:hAnsi="Arial" w:cs="Arial"/>
                <w:color w:val="000000"/>
                <w:sz w:val="18"/>
                <w:szCs w:val="18"/>
              </w:rPr>
            </w:pPr>
            <w:r w:rsidRPr="00227D4F">
              <w:rPr>
                <w:rFonts w:ascii="Arial" w:hAnsi="Arial" w:cs="Arial"/>
                <w:color w:val="000000"/>
                <w:sz w:val="18"/>
                <w:szCs w:val="18"/>
              </w:rPr>
              <w:t>15</w:t>
            </w:r>
            <w:r w:rsidR="007D67C4" w:rsidRPr="00227D4F">
              <w:rPr>
                <w:rFonts w:ascii="Arial" w:hAnsi="Arial" w:cs="Arial"/>
                <w:color w:val="000000"/>
                <w:sz w:val="18"/>
                <w:szCs w:val="18"/>
              </w:rPr>
              <w:t>-βc</w:t>
            </w:r>
          </w:p>
        </w:tc>
        <w:tc>
          <w:tcPr>
            <w:tcW w:w="1701" w:type="dxa"/>
            <w:shd w:val="clear" w:color="auto" w:fill="FFFFFF" w:themeFill="background1"/>
            <w:noWrap/>
            <w:vAlign w:val="center"/>
            <w:hideMark/>
          </w:tcPr>
          <w:p w14:paraId="5B5586DA" w14:textId="77777777" w:rsidR="007D67C4" w:rsidRPr="00227D4F" w:rsidRDefault="007D67C4" w:rsidP="007D67C4">
            <w:pPr>
              <w:jc w:val="center"/>
              <w:rPr>
                <w:rFonts w:ascii="Arial" w:hAnsi="Arial" w:cs="Arial"/>
                <w:color w:val="000000"/>
                <w:sz w:val="18"/>
                <w:szCs w:val="18"/>
              </w:rPr>
            </w:pPr>
            <w:r w:rsidRPr="00227D4F">
              <w:rPr>
                <w:rFonts w:ascii="Arial" w:hAnsi="Arial" w:cs="Arial"/>
                <w:color w:val="000000"/>
                <w:sz w:val="18"/>
                <w:szCs w:val="18"/>
              </w:rPr>
              <w:t>0.297 ± 0.022</w:t>
            </w:r>
            <w:r w:rsidRPr="00567B3D">
              <w:rPr>
                <w:rFonts w:ascii="Arial" w:hAnsi="Arial" w:cs="Arial"/>
                <w:color w:val="000000"/>
                <w:sz w:val="18"/>
                <w:szCs w:val="18"/>
                <w:vertAlign w:val="superscript"/>
              </w:rPr>
              <w:t>d</w:t>
            </w:r>
          </w:p>
        </w:tc>
        <w:tc>
          <w:tcPr>
            <w:tcW w:w="1418" w:type="dxa"/>
            <w:shd w:val="clear" w:color="auto" w:fill="FFFFFF" w:themeFill="background1"/>
            <w:noWrap/>
            <w:vAlign w:val="center"/>
            <w:hideMark/>
          </w:tcPr>
          <w:p w14:paraId="7B234C6F" w14:textId="50820000" w:rsidR="007D67C4" w:rsidRPr="00227D4F" w:rsidRDefault="007D67C4" w:rsidP="007D67C4">
            <w:pPr>
              <w:jc w:val="center"/>
              <w:rPr>
                <w:rFonts w:ascii="Arial" w:hAnsi="Arial" w:cs="Arial"/>
                <w:color w:val="000000"/>
                <w:sz w:val="18"/>
                <w:szCs w:val="18"/>
              </w:rPr>
            </w:pPr>
            <w:r w:rsidRPr="00227D4F">
              <w:rPr>
                <w:rFonts w:ascii="Arial" w:hAnsi="Arial" w:cs="Arial"/>
                <w:color w:val="000000"/>
                <w:sz w:val="18"/>
                <w:szCs w:val="18"/>
              </w:rPr>
              <w:t>0.344 ± 0.007</w:t>
            </w:r>
            <w:r w:rsidRPr="00567B3D">
              <w:rPr>
                <w:rFonts w:ascii="Arial" w:hAnsi="Arial" w:cs="Arial"/>
                <w:color w:val="000000"/>
                <w:sz w:val="18"/>
                <w:szCs w:val="18"/>
                <w:vertAlign w:val="superscript"/>
              </w:rPr>
              <w:t>c</w:t>
            </w:r>
          </w:p>
        </w:tc>
        <w:tc>
          <w:tcPr>
            <w:tcW w:w="1417" w:type="dxa"/>
            <w:shd w:val="clear" w:color="auto" w:fill="FFFFFF" w:themeFill="background1"/>
            <w:noWrap/>
            <w:vAlign w:val="center"/>
            <w:hideMark/>
          </w:tcPr>
          <w:p w14:paraId="1438261A" w14:textId="77777777" w:rsidR="007D67C4" w:rsidRPr="00227D4F" w:rsidRDefault="007D67C4" w:rsidP="007D67C4">
            <w:pPr>
              <w:jc w:val="center"/>
              <w:rPr>
                <w:rFonts w:ascii="Arial" w:hAnsi="Arial" w:cs="Arial"/>
                <w:color w:val="000000"/>
                <w:sz w:val="18"/>
                <w:szCs w:val="18"/>
              </w:rPr>
            </w:pPr>
            <w:r w:rsidRPr="00227D4F">
              <w:rPr>
                <w:rFonts w:ascii="Arial" w:hAnsi="Arial" w:cs="Arial"/>
                <w:color w:val="000000"/>
                <w:sz w:val="18"/>
                <w:szCs w:val="18"/>
              </w:rPr>
              <w:t>0.339 ± 0.010</w:t>
            </w:r>
            <w:r w:rsidRPr="00567B3D">
              <w:rPr>
                <w:rFonts w:ascii="Arial" w:hAnsi="Arial" w:cs="Arial"/>
                <w:color w:val="000000"/>
                <w:sz w:val="18"/>
                <w:szCs w:val="18"/>
                <w:vertAlign w:val="superscript"/>
              </w:rPr>
              <w:t>d</w:t>
            </w:r>
          </w:p>
        </w:tc>
        <w:tc>
          <w:tcPr>
            <w:tcW w:w="1418" w:type="dxa"/>
            <w:shd w:val="clear" w:color="auto" w:fill="FFFFFF" w:themeFill="background1"/>
            <w:noWrap/>
            <w:vAlign w:val="center"/>
            <w:hideMark/>
          </w:tcPr>
          <w:p w14:paraId="491A7CF3" w14:textId="77777777" w:rsidR="007D67C4" w:rsidRPr="00227D4F" w:rsidRDefault="007D67C4" w:rsidP="007D67C4">
            <w:pPr>
              <w:jc w:val="center"/>
              <w:rPr>
                <w:rFonts w:ascii="Arial" w:hAnsi="Arial" w:cs="Arial"/>
                <w:color w:val="000000"/>
                <w:sz w:val="18"/>
                <w:szCs w:val="18"/>
              </w:rPr>
            </w:pPr>
            <w:r w:rsidRPr="00227D4F">
              <w:rPr>
                <w:rFonts w:ascii="Arial" w:hAnsi="Arial" w:cs="Arial"/>
                <w:color w:val="000000"/>
                <w:sz w:val="18"/>
                <w:szCs w:val="18"/>
              </w:rPr>
              <w:t>0.344 ± 0.011</w:t>
            </w:r>
            <w:r w:rsidRPr="00567B3D">
              <w:rPr>
                <w:rFonts w:ascii="Arial" w:hAnsi="Arial" w:cs="Arial"/>
                <w:color w:val="000000"/>
                <w:sz w:val="18"/>
                <w:szCs w:val="18"/>
                <w:vertAlign w:val="superscript"/>
              </w:rPr>
              <w:t>f</w:t>
            </w:r>
          </w:p>
        </w:tc>
        <w:tc>
          <w:tcPr>
            <w:tcW w:w="1417" w:type="dxa"/>
            <w:shd w:val="clear" w:color="auto" w:fill="FFFFFF" w:themeFill="background1"/>
            <w:noWrap/>
            <w:vAlign w:val="center"/>
            <w:hideMark/>
          </w:tcPr>
          <w:p w14:paraId="18385763" w14:textId="77777777" w:rsidR="007D67C4" w:rsidRPr="00227D4F" w:rsidRDefault="007D67C4" w:rsidP="007D67C4">
            <w:pPr>
              <w:jc w:val="center"/>
              <w:rPr>
                <w:rFonts w:ascii="Arial" w:hAnsi="Arial" w:cs="Arial"/>
                <w:color w:val="000000"/>
                <w:sz w:val="18"/>
                <w:szCs w:val="18"/>
              </w:rPr>
            </w:pPr>
            <w:r w:rsidRPr="00227D4F">
              <w:rPr>
                <w:rFonts w:ascii="Arial" w:hAnsi="Arial" w:cs="Arial"/>
                <w:color w:val="000000"/>
                <w:sz w:val="18"/>
                <w:szCs w:val="18"/>
              </w:rPr>
              <w:t>0.064 ± 0.016</w:t>
            </w:r>
            <w:r w:rsidRPr="00567B3D">
              <w:rPr>
                <w:rFonts w:ascii="Arial" w:hAnsi="Arial" w:cs="Arial"/>
                <w:color w:val="000000"/>
                <w:sz w:val="18"/>
                <w:szCs w:val="18"/>
                <w:vertAlign w:val="superscript"/>
              </w:rPr>
              <w:t>ef</w:t>
            </w:r>
          </w:p>
        </w:tc>
      </w:tr>
      <w:tr w:rsidR="007D67C4" w:rsidRPr="00227D4F" w14:paraId="52F5F392" w14:textId="77777777" w:rsidTr="00903A68">
        <w:trPr>
          <w:trHeight w:val="20"/>
        </w:trPr>
        <w:tc>
          <w:tcPr>
            <w:tcW w:w="1134" w:type="dxa"/>
            <w:shd w:val="clear" w:color="auto" w:fill="FFFFFF" w:themeFill="background1"/>
            <w:noWrap/>
            <w:vAlign w:val="center"/>
            <w:hideMark/>
          </w:tcPr>
          <w:p w14:paraId="1241B9D3" w14:textId="6D497DA2" w:rsidR="007D67C4" w:rsidRPr="00227D4F" w:rsidRDefault="006F2398" w:rsidP="007D67C4">
            <w:pPr>
              <w:rPr>
                <w:rFonts w:ascii="Arial" w:hAnsi="Arial" w:cs="Arial"/>
                <w:color w:val="000000"/>
                <w:sz w:val="18"/>
                <w:szCs w:val="18"/>
              </w:rPr>
            </w:pPr>
            <w:r w:rsidRPr="00227D4F">
              <w:rPr>
                <w:rFonts w:ascii="Arial" w:hAnsi="Arial" w:cs="Arial"/>
                <w:color w:val="000000"/>
                <w:sz w:val="18"/>
                <w:szCs w:val="18"/>
              </w:rPr>
              <w:t>15</w:t>
            </w:r>
            <w:r w:rsidR="007D67C4" w:rsidRPr="00227D4F">
              <w:rPr>
                <w:rFonts w:ascii="Arial" w:hAnsi="Arial" w:cs="Arial"/>
                <w:color w:val="000000"/>
                <w:sz w:val="18"/>
                <w:szCs w:val="18"/>
              </w:rPr>
              <w:t>-βc-BHT</w:t>
            </w:r>
          </w:p>
        </w:tc>
        <w:tc>
          <w:tcPr>
            <w:tcW w:w="1701" w:type="dxa"/>
            <w:shd w:val="clear" w:color="auto" w:fill="FFFFFF" w:themeFill="background1"/>
            <w:noWrap/>
            <w:vAlign w:val="center"/>
            <w:hideMark/>
          </w:tcPr>
          <w:p w14:paraId="7E829FDA" w14:textId="77777777" w:rsidR="007D67C4" w:rsidRPr="00227D4F" w:rsidRDefault="007D67C4" w:rsidP="007D67C4">
            <w:pPr>
              <w:jc w:val="center"/>
              <w:rPr>
                <w:rFonts w:ascii="Arial" w:hAnsi="Arial" w:cs="Arial"/>
                <w:color w:val="000000"/>
                <w:sz w:val="18"/>
                <w:szCs w:val="18"/>
              </w:rPr>
            </w:pPr>
            <w:r w:rsidRPr="00227D4F">
              <w:rPr>
                <w:rFonts w:ascii="Arial" w:hAnsi="Arial" w:cs="Arial"/>
                <w:color w:val="000000"/>
                <w:sz w:val="18"/>
                <w:szCs w:val="18"/>
              </w:rPr>
              <w:t>0.278 ± 0.016</w:t>
            </w:r>
            <w:r w:rsidRPr="00567B3D">
              <w:rPr>
                <w:rFonts w:ascii="Arial" w:hAnsi="Arial" w:cs="Arial"/>
                <w:color w:val="000000"/>
                <w:sz w:val="18"/>
                <w:szCs w:val="18"/>
                <w:vertAlign w:val="superscript"/>
              </w:rPr>
              <w:t>d</w:t>
            </w:r>
          </w:p>
        </w:tc>
        <w:tc>
          <w:tcPr>
            <w:tcW w:w="1418" w:type="dxa"/>
            <w:shd w:val="clear" w:color="auto" w:fill="FFFFFF" w:themeFill="background1"/>
            <w:noWrap/>
            <w:vAlign w:val="center"/>
            <w:hideMark/>
          </w:tcPr>
          <w:p w14:paraId="743B63FB" w14:textId="77777777" w:rsidR="007D67C4" w:rsidRPr="00227D4F" w:rsidRDefault="007D67C4" w:rsidP="007D67C4">
            <w:pPr>
              <w:jc w:val="center"/>
              <w:rPr>
                <w:rFonts w:ascii="Arial" w:hAnsi="Arial" w:cs="Arial"/>
                <w:color w:val="000000"/>
                <w:sz w:val="18"/>
                <w:szCs w:val="18"/>
              </w:rPr>
            </w:pPr>
            <w:r w:rsidRPr="00227D4F">
              <w:rPr>
                <w:rFonts w:ascii="Arial" w:hAnsi="Arial" w:cs="Arial"/>
                <w:color w:val="000000"/>
                <w:sz w:val="18"/>
                <w:szCs w:val="18"/>
              </w:rPr>
              <w:t>0.371 ± 0.024</w:t>
            </w:r>
            <w:r w:rsidRPr="00567B3D">
              <w:rPr>
                <w:rFonts w:ascii="Arial" w:hAnsi="Arial" w:cs="Arial"/>
                <w:color w:val="000000"/>
                <w:sz w:val="18"/>
                <w:szCs w:val="18"/>
                <w:vertAlign w:val="superscript"/>
              </w:rPr>
              <w:t>d</w:t>
            </w:r>
          </w:p>
        </w:tc>
        <w:tc>
          <w:tcPr>
            <w:tcW w:w="1417" w:type="dxa"/>
            <w:shd w:val="clear" w:color="auto" w:fill="FFFFFF" w:themeFill="background1"/>
            <w:noWrap/>
            <w:vAlign w:val="center"/>
            <w:hideMark/>
          </w:tcPr>
          <w:p w14:paraId="257782B4" w14:textId="77777777" w:rsidR="007D67C4" w:rsidRPr="00227D4F" w:rsidRDefault="007D67C4" w:rsidP="007D67C4">
            <w:pPr>
              <w:jc w:val="center"/>
              <w:rPr>
                <w:rFonts w:ascii="Arial" w:hAnsi="Arial" w:cs="Arial"/>
                <w:color w:val="000000"/>
                <w:sz w:val="18"/>
                <w:szCs w:val="18"/>
              </w:rPr>
            </w:pPr>
            <w:r w:rsidRPr="00227D4F">
              <w:rPr>
                <w:rFonts w:ascii="Arial" w:hAnsi="Arial" w:cs="Arial"/>
                <w:color w:val="000000"/>
                <w:sz w:val="18"/>
                <w:szCs w:val="18"/>
              </w:rPr>
              <w:t>0.344 ± 0.013</w:t>
            </w:r>
            <w:r w:rsidRPr="00567B3D">
              <w:rPr>
                <w:rFonts w:ascii="Arial" w:hAnsi="Arial" w:cs="Arial"/>
                <w:color w:val="000000"/>
                <w:sz w:val="18"/>
                <w:szCs w:val="18"/>
                <w:vertAlign w:val="superscript"/>
              </w:rPr>
              <w:t>d</w:t>
            </w:r>
          </w:p>
        </w:tc>
        <w:tc>
          <w:tcPr>
            <w:tcW w:w="1418" w:type="dxa"/>
            <w:shd w:val="clear" w:color="auto" w:fill="FFFFFF" w:themeFill="background1"/>
            <w:noWrap/>
            <w:vAlign w:val="center"/>
            <w:hideMark/>
          </w:tcPr>
          <w:p w14:paraId="74DE0A3B" w14:textId="77777777" w:rsidR="007D67C4" w:rsidRPr="00227D4F" w:rsidRDefault="007D67C4" w:rsidP="007D67C4">
            <w:pPr>
              <w:jc w:val="center"/>
              <w:rPr>
                <w:rFonts w:ascii="Arial" w:hAnsi="Arial" w:cs="Arial"/>
                <w:color w:val="000000"/>
                <w:sz w:val="18"/>
                <w:szCs w:val="18"/>
              </w:rPr>
            </w:pPr>
            <w:r w:rsidRPr="00227D4F">
              <w:rPr>
                <w:rFonts w:ascii="Arial" w:hAnsi="Arial" w:cs="Arial"/>
                <w:color w:val="000000"/>
                <w:sz w:val="18"/>
                <w:szCs w:val="18"/>
              </w:rPr>
              <w:t>0.357 ± 0.007</w:t>
            </w:r>
            <w:r w:rsidRPr="00567B3D">
              <w:rPr>
                <w:rFonts w:ascii="Arial" w:hAnsi="Arial" w:cs="Arial"/>
                <w:color w:val="000000"/>
                <w:sz w:val="18"/>
                <w:szCs w:val="18"/>
                <w:vertAlign w:val="superscript"/>
              </w:rPr>
              <w:t>f</w:t>
            </w:r>
          </w:p>
        </w:tc>
        <w:tc>
          <w:tcPr>
            <w:tcW w:w="1417" w:type="dxa"/>
            <w:shd w:val="clear" w:color="auto" w:fill="FFFFFF" w:themeFill="background1"/>
            <w:noWrap/>
            <w:vAlign w:val="center"/>
            <w:hideMark/>
          </w:tcPr>
          <w:p w14:paraId="053B6748" w14:textId="77777777" w:rsidR="007D67C4" w:rsidRPr="00227D4F" w:rsidRDefault="007D67C4" w:rsidP="007D67C4">
            <w:pPr>
              <w:jc w:val="center"/>
              <w:rPr>
                <w:rFonts w:ascii="Arial" w:hAnsi="Arial" w:cs="Arial"/>
                <w:color w:val="000000"/>
                <w:sz w:val="18"/>
                <w:szCs w:val="18"/>
              </w:rPr>
            </w:pPr>
            <w:r w:rsidRPr="00227D4F">
              <w:rPr>
                <w:rFonts w:ascii="Arial" w:hAnsi="Arial" w:cs="Arial"/>
                <w:color w:val="000000"/>
                <w:sz w:val="18"/>
                <w:szCs w:val="18"/>
              </w:rPr>
              <w:t>0.092 ± 0.005</w:t>
            </w:r>
            <w:r w:rsidRPr="00567B3D">
              <w:rPr>
                <w:rFonts w:ascii="Arial" w:hAnsi="Arial" w:cs="Arial"/>
                <w:color w:val="000000"/>
                <w:sz w:val="18"/>
                <w:szCs w:val="18"/>
                <w:vertAlign w:val="superscript"/>
              </w:rPr>
              <w:t>e</w:t>
            </w:r>
          </w:p>
        </w:tc>
      </w:tr>
      <w:tr w:rsidR="007D67C4" w:rsidRPr="00227D4F" w14:paraId="1CD6DF78" w14:textId="77777777" w:rsidTr="00903A68">
        <w:trPr>
          <w:trHeight w:val="20"/>
        </w:trPr>
        <w:tc>
          <w:tcPr>
            <w:tcW w:w="1134" w:type="dxa"/>
            <w:shd w:val="clear" w:color="auto" w:fill="FFFFFF" w:themeFill="background1"/>
            <w:noWrap/>
            <w:vAlign w:val="center"/>
            <w:hideMark/>
          </w:tcPr>
          <w:p w14:paraId="408E0DA4" w14:textId="1B92D585" w:rsidR="007D67C4" w:rsidRPr="00567B3D" w:rsidRDefault="006F2398" w:rsidP="00E10E3A">
            <w:pPr>
              <w:rPr>
                <w:rFonts w:ascii="Arial" w:hAnsi="Arial" w:cs="Arial"/>
                <w:color w:val="000000"/>
                <w:sz w:val="18"/>
                <w:szCs w:val="18"/>
              </w:rPr>
            </w:pPr>
            <w:r w:rsidRPr="00567B3D">
              <w:rPr>
                <w:rFonts w:ascii="Arial" w:hAnsi="Arial" w:cs="Arial"/>
                <w:color w:val="000000"/>
                <w:sz w:val="18"/>
                <w:szCs w:val="18"/>
              </w:rPr>
              <w:t>20</w:t>
            </w:r>
            <w:r w:rsidR="007D67C4" w:rsidRPr="00567B3D">
              <w:rPr>
                <w:rFonts w:ascii="Arial" w:hAnsi="Arial" w:cs="Arial"/>
                <w:color w:val="000000"/>
                <w:sz w:val="18"/>
                <w:szCs w:val="18"/>
              </w:rPr>
              <w:t>-βc</w:t>
            </w:r>
          </w:p>
        </w:tc>
        <w:tc>
          <w:tcPr>
            <w:tcW w:w="1701" w:type="dxa"/>
            <w:shd w:val="clear" w:color="auto" w:fill="FFFFFF" w:themeFill="background1"/>
            <w:noWrap/>
            <w:vAlign w:val="center"/>
            <w:hideMark/>
          </w:tcPr>
          <w:p w14:paraId="24AE321C" w14:textId="77777777" w:rsidR="007D67C4" w:rsidRPr="00567B3D" w:rsidRDefault="007D67C4" w:rsidP="00E10E3A">
            <w:pPr>
              <w:jc w:val="center"/>
              <w:rPr>
                <w:rFonts w:ascii="Arial" w:hAnsi="Arial" w:cs="Arial"/>
                <w:color w:val="000000"/>
                <w:sz w:val="18"/>
                <w:szCs w:val="18"/>
              </w:rPr>
            </w:pPr>
            <w:r w:rsidRPr="00567B3D">
              <w:rPr>
                <w:rFonts w:ascii="Arial" w:hAnsi="Arial" w:cs="Arial"/>
                <w:color w:val="000000"/>
                <w:sz w:val="18"/>
                <w:szCs w:val="18"/>
              </w:rPr>
              <w:t>0.175 ± 0.030</w:t>
            </w:r>
            <w:r w:rsidRPr="00567B3D">
              <w:rPr>
                <w:rFonts w:ascii="Arial" w:hAnsi="Arial" w:cs="Arial"/>
                <w:color w:val="000000"/>
                <w:sz w:val="18"/>
                <w:szCs w:val="18"/>
                <w:vertAlign w:val="superscript"/>
              </w:rPr>
              <w:t>e</w:t>
            </w:r>
          </w:p>
        </w:tc>
        <w:tc>
          <w:tcPr>
            <w:tcW w:w="1418" w:type="dxa"/>
            <w:shd w:val="clear" w:color="auto" w:fill="FFFFFF" w:themeFill="background1"/>
            <w:noWrap/>
            <w:vAlign w:val="center"/>
            <w:hideMark/>
          </w:tcPr>
          <w:p w14:paraId="49C5145E" w14:textId="77777777" w:rsidR="007D67C4" w:rsidRPr="00567B3D" w:rsidRDefault="007D67C4" w:rsidP="00E10E3A">
            <w:pPr>
              <w:jc w:val="center"/>
              <w:rPr>
                <w:rFonts w:ascii="Arial" w:hAnsi="Arial" w:cs="Arial"/>
                <w:color w:val="000000"/>
                <w:sz w:val="18"/>
                <w:szCs w:val="18"/>
              </w:rPr>
            </w:pPr>
            <w:r w:rsidRPr="00567B3D">
              <w:rPr>
                <w:rFonts w:ascii="Arial" w:hAnsi="Arial" w:cs="Arial"/>
                <w:color w:val="000000"/>
                <w:sz w:val="18"/>
                <w:szCs w:val="18"/>
              </w:rPr>
              <w:t>0.280 ± 0.020</w:t>
            </w:r>
            <w:r w:rsidRPr="00567B3D">
              <w:rPr>
                <w:rFonts w:ascii="Arial" w:hAnsi="Arial" w:cs="Arial"/>
                <w:color w:val="000000"/>
                <w:sz w:val="18"/>
                <w:szCs w:val="18"/>
                <w:vertAlign w:val="superscript"/>
              </w:rPr>
              <w:t>d</w:t>
            </w:r>
          </w:p>
        </w:tc>
        <w:tc>
          <w:tcPr>
            <w:tcW w:w="1417" w:type="dxa"/>
            <w:shd w:val="clear" w:color="auto" w:fill="FFFFFF" w:themeFill="background1"/>
            <w:noWrap/>
            <w:vAlign w:val="center"/>
            <w:hideMark/>
          </w:tcPr>
          <w:p w14:paraId="28AB3CD5" w14:textId="77777777" w:rsidR="007D67C4" w:rsidRPr="00567B3D" w:rsidRDefault="007D67C4" w:rsidP="00E10E3A">
            <w:pPr>
              <w:jc w:val="center"/>
              <w:rPr>
                <w:rFonts w:ascii="Arial" w:hAnsi="Arial" w:cs="Arial"/>
                <w:color w:val="000000"/>
                <w:sz w:val="18"/>
                <w:szCs w:val="18"/>
              </w:rPr>
            </w:pPr>
            <w:r w:rsidRPr="00567B3D">
              <w:rPr>
                <w:rFonts w:ascii="Arial" w:hAnsi="Arial" w:cs="Arial"/>
                <w:color w:val="000000"/>
                <w:sz w:val="18"/>
                <w:szCs w:val="18"/>
              </w:rPr>
              <w:t>0.27 ± 0.008</w:t>
            </w:r>
            <w:r w:rsidRPr="00567B3D">
              <w:rPr>
                <w:rFonts w:ascii="Arial" w:hAnsi="Arial" w:cs="Arial"/>
                <w:color w:val="000000"/>
                <w:sz w:val="18"/>
                <w:szCs w:val="18"/>
                <w:vertAlign w:val="superscript"/>
              </w:rPr>
              <w:t>e</w:t>
            </w:r>
          </w:p>
        </w:tc>
        <w:tc>
          <w:tcPr>
            <w:tcW w:w="1418" w:type="dxa"/>
            <w:shd w:val="clear" w:color="auto" w:fill="FFFFFF" w:themeFill="background1"/>
            <w:noWrap/>
            <w:vAlign w:val="center"/>
            <w:hideMark/>
          </w:tcPr>
          <w:p w14:paraId="4C497352" w14:textId="77777777" w:rsidR="007D67C4" w:rsidRPr="00567B3D" w:rsidRDefault="007D67C4" w:rsidP="00E10E3A">
            <w:pPr>
              <w:jc w:val="center"/>
              <w:rPr>
                <w:rFonts w:ascii="Arial" w:hAnsi="Arial" w:cs="Arial"/>
                <w:color w:val="000000"/>
                <w:sz w:val="18"/>
                <w:szCs w:val="18"/>
              </w:rPr>
            </w:pPr>
            <w:r w:rsidRPr="00567B3D">
              <w:rPr>
                <w:rFonts w:ascii="Arial" w:hAnsi="Arial" w:cs="Arial"/>
                <w:color w:val="000000"/>
                <w:sz w:val="18"/>
                <w:szCs w:val="18"/>
              </w:rPr>
              <w:t>0.313 ± 0.015</w:t>
            </w:r>
            <w:r w:rsidRPr="00567B3D">
              <w:rPr>
                <w:rFonts w:ascii="Arial" w:hAnsi="Arial" w:cs="Arial"/>
                <w:color w:val="000000"/>
                <w:sz w:val="18"/>
                <w:szCs w:val="18"/>
                <w:vertAlign w:val="superscript"/>
              </w:rPr>
              <w:t>g</w:t>
            </w:r>
          </w:p>
        </w:tc>
        <w:tc>
          <w:tcPr>
            <w:tcW w:w="1417" w:type="dxa"/>
            <w:shd w:val="clear" w:color="auto" w:fill="FFFFFF" w:themeFill="background1"/>
            <w:noWrap/>
            <w:vAlign w:val="center"/>
            <w:hideMark/>
          </w:tcPr>
          <w:p w14:paraId="38D9F69E" w14:textId="77777777" w:rsidR="007D67C4" w:rsidRPr="00567B3D" w:rsidRDefault="007D67C4" w:rsidP="00E10E3A">
            <w:pPr>
              <w:jc w:val="center"/>
              <w:rPr>
                <w:rFonts w:ascii="Arial" w:hAnsi="Arial" w:cs="Arial"/>
                <w:color w:val="000000"/>
                <w:sz w:val="18"/>
                <w:szCs w:val="18"/>
              </w:rPr>
            </w:pPr>
            <w:r w:rsidRPr="00567B3D">
              <w:rPr>
                <w:rFonts w:ascii="Arial" w:hAnsi="Arial" w:cs="Arial"/>
                <w:color w:val="000000"/>
                <w:sz w:val="18"/>
                <w:szCs w:val="18"/>
              </w:rPr>
              <w:t>0.031 ± 0.012</w:t>
            </w:r>
            <w:r w:rsidRPr="00567B3D">
              <w:rPr>
                <w:rFonts w:ascii="Arial" w:hAnsi="Arial" w:cs="Arial"/>
                <w:color w:val="000000"/>
                <w:sz w:val="18"/>
                <w:szCs w:val="18"/>
                <w:vertAlign w:val="superscript"/>
              </w:rPr>
              <w:t>gh</w:t>
            </w:r>
          </w:p>
        </w:tc>
      </w:tr>
      <w:tr w:rsidR="007D67C4" w:rsidRPr="00227D4F" w14:paraId="5817CB54" w14:textId="77777777" w:rsidTr="00903A68">
        <w:trPr>
          <w:trHeight w:val="20"/>
        </w:trPr>
        <w:tc>
          <w:tcPr>
            <w:tcW w:w="1134" w:type="dxa"/>
            <w:shd w:val="clear" w:color="auto" w:fill="FFFFFF" w:themeFill="background1"/>
            <w:noWrap/>
            <w:vAlign w:val="center"/>
            <w:hideMark/>
          </w:tcPr>
          <w:p w14:paraId="7A47D0C9" w14:textId="06E7C033" w:rsidR="007D67C4" w:rsidRPr="00567B3D" w:rsidRDefault="007D67C4" w:rsidP="00E10E3A">
            <w:pPr>
              <w:rPr>
                <w:rFonts w:ascii="Arial" w:hAnsi="Arial" w:cs="Arial"/>
                <w:color w:val="000000"/>
                <w:sz w:val="18"/>
                <w:szCs w:val="18"/>
              </w:rPr>
            </w:pPr>
            <w:r w:rsidRPr="00567B3D">
              <w:rPr>
                <w:rFonts w:ascii="Arial" w:hAnsi="Arial" w:cs="Arial"/>
                <w:color w:val="000000"/>
                <w:sz w:val="18"/>
                <w:szCs w:val="18"/>
              </w:rPr>
              <w:t>20-βc-BHT</w:t>
            </w:r>
          </w:p>
        </w:tc>
        <w:tc>
          <w:tcPr>
            <w:tcW w:w="1701" w:type="dxa"/>
            <w:shd w:val="clear" w:color="auto" w:fill="FFFFFF" w:themeFill="background1"/>
            <w:noWrap/>
            <w:vAlign w:val="center"/>
            <w:hideMark/>
          </w:tcPr>
          <w:p w14:paraId="3021B930" w14:textId="77777777" w:rsidR="007D67C4" w:rsidRPr="00567B3D" w:rsidRDefault="007D67C4" w:rsidP="00E10E3A">
            <w:pPr>
              <w:jc w:val="center"/>
              <w:rPr>
                <w:rFonts w:ascii="Arial" w:hAnsi="Arial" w:cs="Arial"/>
                <w:color w:val="000000"/>
                <w:sz w:val="18"/>
                <w:szCs w:val="18"/>
              </w:rPr>
            </w:pPr>
            <w:r w:rsidRPr="00567B3D">
              <w:rPr>
                <w:rFonts w:ascii="Arial" w:hAnsi="Arial" w:cs="Arial"/>
                <w:color w:val="000000"/>
                <w:sz w:val="18"/>
                <w:szCs w:val="18"/>
              </w:rPr>
              <w:t>0.245 ± 0.024</w:t>
            </w:r>
            <w:r w:rsidRPr="00567B3D">
              <w:rPr>
                <w:rFonts w:ascii="Arial" w:hAnsi="Arial" w:cs="Arial"/>
                <w:color w:val="000000"/>
                <w:sz w:val="18"/>
                <w:szCs w:val="18"/>
                <w:vertAlign w:val="superscript"/>
              </w:rPr>
              <w:t>d</w:t>
            </w:r>
          </w:p>
        </w:tc>
        <w:tc>
          <w:tcPr>
            <w:tcW w:w="1418" w:type="dxa"/>
            <w:shd w:val="clear" w:color="auto" w:fill="FFFFFF" w:themeFill="background1"/>
            <w:noWrap/>
            <w:vAlign w:val="center"/>
            <w:hideMark/>
          </w:tcPr>
          <w:p w14:paraId="18CA3E2E" w14:textId="77777777" w:rsidR="007D67C4" w:rsidRPr="00567B3D" w:rsidRDefault="007D67C4" w:rsidP="00E10E3A">
            <w:pPr>
              <w:jc w:val="center"/>
              <w:rPr>
                <w:rFonts w:ascii="Arial" w:hAnsi="Arial" w:cs="Arial"/>
                <w:color w:val="000000"/>
                <w:sz w:val="18"/>
                <w:szCs w:val="18"/>
              </w:rPr>
            </w:pPr>
            <w:r w:rsidRPr="00567B3D">
              <w:rPr>
                <w:rFonts w:ascii="Arial" w:hAnsi="Arial" w:cs="Arial"/>
                <w:color w:val="000000"/>
                <w:sz w:val="18"/>
                <w:szCs w:val="18"/>
              </w:rPr>
              <w:t>0.322 ± 0.005</w:t>
            </w:r>
            <w:r w:rsidRPr="00567B3D">
              <w:rPr>
                <w:rFonts w:ascii="Arial" w:hAnsi="Arial" w:cs="Arial"/>
                <w:color w:val="000000"/>
                <w:sz w:val="18"/>
                <w:szCs w:val="18"/>
                <w:vertAlign w:val="superscript"/>
              </w:rPr>
              <w:t>e</w:t>
            </w:r>
          </w:p>
        </w:tc>
        <w:tc>
          <w:tcPr>
            <w:tcW w:w="1417" w:type="dxa"/>
            <w:shd w:val="clear" w:color="auto" w:fill="FFFFFF" w:themeFill="background1"/>
            <w:noWrap/>
            <w:vAlign w:val="center"/>
            <w:hideMark/>
          </w:tcPr>
          <w:p w14:paraId="21C03917" w14:textId="77777777" w:rsidR="007D67C4" w:rsidRPr="00567B3D" w:rsidRDefault="007D67C4" w:rsidP="00E10E3A">
            <w:pPr>
              <w:jc w:val="center"/>
              <w:rPr>
                <w:rFonts w:ascii="Arial" w:hAnsi="Arial" w:cs="Arial"/>
                <w:color w:val="000000"/>
                <w:sz w:val="18"/>
                <w:szCs w:val="18"/>
              </w:rPr>
            </w:pPr>
            <w:r w:rsidRPr="00567B3D">
              <w:rPr>
                <w:rFonts w:ascii="Arial" w:hAnsi="Arial" w:cs="Arial"/>
                <w:color w:val="000000"/>
                <w:sz w:val="18"/>
                <w:szCs w:val="18"/>
              </w:rPr>
              <w:t>0.304 ± 0.005</w:t>
            </w:r>
            <w:r w:rsidRPr="00567B3D">
              <w:rPr>
                <w:rFonts w:ascii="Arial" w:hAnsi="Arial" w:cs="Arial"/>
                <w:color w:val="000000"/>
                <w:sz w:val="18"/>
                <w:szCs w:val="18"/>
                <w:vertAlign w:val="superscript"/>
              </w:rPr>
              <w:t>f</w:t>
            </w:r>
          </w:p>
        </w:tc>
        <w:tc>
          <w:tcPr>
            <w:tcW w:w="1418" w:type="dxa"/>
            <w:shd w:val="clear" w:color="auto" w:fill="FFFFFF" w:themeFill="background1"/>
            <w:noWrap/>
            <w:vAlign w:val="center"/>
            <w:hideMark/>
          </w:tcPr>
          <w:p w14:paraId="665ADAAE" w14:textId="77777777" w:rsidR="007D67C4" w:rsidRPr="00567B3D" w:rsidRDefault="007D67C4" w:rsidP="00E10E3A">
            <w:pPr>
              <w:jc w:val="center"/>
              <w:rPr>
                <w:rFonts w:ascii="Arial" w:hAnsi="Arial" w:cs="Arial"/>
                <w:color w:val="000000"/>
                <w:sz w:val="18"/>
                <w:szCs w:val="18"/>
              </w:rPr>
            </w:pPr>
            <w:r w:rsidRPr="00567B3D">
              <w:rPr>
                <w:rFonts w:ascii="Arial" w:hAnsi="Arial" w:cs="Arial"/>
                <w:color w:val="000000"/>
                <w:sz w:val="18"/>
                <w:szCs w:val="18"/>
              </w:rPr>
              <w:t>0.303 ± 0.016</w:t>
            </w:r>
            <w:r w:rsidRPr="00567B3D">
              <w:rPr>
                <w:rFonts w:ascii="Arial" w:hAnsi="Arial" w:cs="Arial"/>
                <w:color w:val="000000"/>
                <w:sz w:val="18"/>
                <w:szCs w:val="18"/>
                <w:vertAlign w:val="superscript"/>
              </w:rPr>
              <w:t>g</w:t>
            </w:r>
          </w:p>
        </w:tc>
        <w:tc>
          <w:tcPr>
            <w:tcW w:w="1417" w:type="dxa"/>
            <w:shd w:val="clear" w:color="auto" w:fill="FFFFFF" w:themeFill="background1"/>
            <w:noWrap/>
            <w:vAlign w:val="center"/>
            <w:hideMark/>
          </w:tcPr>
          <w:p w14:paraId="46842F4F" w14:textId="77777777" w:rsidR="007D67C4" w:rsidRPr="00567B3D" w:rsidRDefault="007D67C4" w:rsidP="00E10E3A">
            <w:pPr>
              <w:jc w:val="center"/>
              <w:rPr>
                <w:rFonts w:ascii="Arial" w:hAnsi="Arial" w:cs="Arial"/>
                <w:color w:val="000000"/>
                <w:sz w:val="18"/>
                <w:szCs w:val="18"/>
              </w:rPr>
            </w:pPr>
            <w:r w:rsidRPr="00567B3D">
              <w:rPr>
                <w:rFonts w:ascii="Arial" w:hAnsi="Arial" w:cs="Arial"/>
                <w:color w:val="000000"/>
                <w:sz w:val="18"/>
                <w:szCs w:val="18"/>
              </w:rPr>
              <w:t>0.058 ± 0.005</w:t>
            </w:r>
            <w:r w:rsidRPr="00567B3D">
              <w:rPr>
                <w:rFonts w:ascii="Arial" w:hAnsi="Arial" w:cs="Arial"/>
                <w:color w:val="000000"/>
                <w:sz w:val="18"/>
                <w:szCs w:val="18"/>
                <w:vertAlign w:val="superscript"/>
              </w:rPr>
              <w:t>ef</w:t>
            </w:r>
          </w:p>
        </w:tc>
      </w:tr>
      <w:tr w:rsidR="007D67C4" w:rsidRPr="00227D4F" w14:paraId="46990DBB" w14:textId="77777777" w:rsidTr="00903A68">
        <w:trPr>
          <w:trHeight w:val="20"/>
        </w:trPr>
        <w:tc>
          <w:tcPr>
            <w:tcW w:w="1134" w:type="dxa"/>
            <w:shd w:val="clear" w:color="auto" w:fill="FFFFFF" w:themeFill="background1"/>
            <w:noWrap/>
            <w:vAlign w:val="center"/>
            <w:hideMark/>
          </w:tcPr>
          <w:p w14:paraId="23E0495B" w14:textId="665B2E00" w:rsidR="007D67C4" w:rsidRPr="00567B3D" w:rsidRDefault="006F2398" w:rsidP="00E10E3A">
            <w:pPr>
              <w:rPr>
                <w:rFonts w:ascii="Arial" w:hAnsi="Arial" w:cs="Arial"/>
                <w:color w:val="000000"/>
                <w:sz w:val="18"/>
                <w:szCs w:val="18"/>
              </w:rPr>
            </w:pPr>
            <w:r w:rsidRPr="00567B3D">
              <w:rPr>
                <w:rFonts w:ascii="Arial" w:hAnsi="Arial" w:cs="Arial"/>
                <w:color w:val="000000"/>
                <w:sz w:val="18"/>
                <w:szCs w:val="18"/>
              </w:rPr>
              <w:t>25</w:t>
            </w:r>
            <w:r w:rsidR="007D67C4" w:rsidRPr="00567B3D">
              <w:rPr>
                <w:rFonts w:ascii="Arial" w:hAnsi="Arial" w:cs="Arial"/>
                <w:color w:val="000000"/>
                <w:sz w:val="18"/>
                <w:szCs w:val="18"/>
              </w:rPr>
              <w:t>-βc</w:t>
            </w:r>
          </w:p>
        </w:tc>
        <w:tc>
          <w:tcPr>
            <w:tcW w:w="1701" w:type="dxa"/>
            <w:shd w:val="clear" w:color="auto" w:fill="FFFFFF" w:themeFill="background1"/>
            <w:noWrap/>
            <w:vAlign w:val="center"/>
            <w:hideMark/>
          </w:tcPr>
          <w:p w14:paraId="6E6AFADA" w14:textId="77777777" w:rsidR="007D67C4" w:rsidRPr="00567B3D" w:rsidRDefault="007D67C4" w:rsidP="00E10E3A">
            <w:pPr>
              <w:jc w:val="center"/>
              <w:rPr>
                <w:rFonts w:ascii="Arial" w:hAnsi="Arial" w:cs="Arial"/>
                <w:color w:val="000000"/>
                <w:sz w:val="18"/>
                <w:szCs w:val="18"/>
              </w:rPr>
            </w:pPr>
            <w:r w:rsidRPr="00567B3D">
              <w:rPr>
                <w:rFonts w:ascii="Arial" w:hAnsi="Arial" w:cs="Arial"/>
                <w:color w:val="000000"/>
                <w:sz w:val="18"/>
                <w:szCs w:val="18"/>
              </w:rPr>
              <w:t>0.147 ± 0.036</w:t>
            </w:r>
            <w:r w:rsidRPr="00567B3D">
              <w:rPr>
                <w:rFonts w:ascii="Arial" w:hAnsi="Arial" w:cs="Arial"/>
                <w:color w:val="000000"/>
                <w:sz w:val="18"/>
                <w:szCs w:val="18"/>
                <w:vertAlign w:val="superscript"/>
              </w:rPr>
              <w:t>ef</w:t>
            </w:r>
          </w:p>
        </w:tc>
        <w:tc>
          <w:tcPr>
            <w:tcW w:w="1418" w:type="dxa"/>
            <w:shd w:val="clear" w:color="auto" w:fill="FFFFFF" w:themeFill="background1"/>
            <w:noWrap/>
            <w:vAlign w:val="center"/>
            <w:hideMark/>
          </w:tcPr>
          <w:p w14:paraId="19267263" w14:textId="77777777" w:rsidR="007D67C4" w:rsidRPr="00567B3D" w:rsidRDefault="007D67C4" w:rsidP="00E10E3A">
            <w:pPr>
              <w:jc w:val="center"/>
              <w:rPr>
                <w:rFonts w:ascii="Arial" w:hAnsi="Arial" w:cs="Arial"/>
                <w:color w:val="000000"/>
                <w:sz w:val="18"/>
                <w:szCs w:val="18"/>
              </w:rPr>
            </w:pPr>
            <w:r w:rsidRPr="00567B3D">
              <w:rPr>
                <w:rFonts w:ascii="Arial" w:hAnsi="Arial" w:cs="Arial"/>
                <w:color w:val="000000"/>
                <w:sz w:val="18"/>
                <w:szCs w:val="18"/>
              </w:rPr>
              <w:t>0.227 ± 0.011</w:t>
            </w:r>
            <w:r w:rsidRPr="00567B3D">
              <w:rPr>
                <w:rFonts w:ascii="Arial" w:hAnsi="Arial" w:cs="Arial"/>
                <w:color w:val="000000"/>
                <w:sz w:val="18"/>
                <w:szCs w:val="18"/>
                <w:vertAlign w:val="superscript"/>
              </w:rPr>
              <w:t>e</w:t>
            </w:r>
          </w:p>
        </w:tc>
        <w:tc>
          <w:tcPr>
            <w:tcW w:w="1417" w:type="dxa"/>
            <w:shd w:val="clear" w:color="auto" w:fill="FFFFFF" w:themeFill="background1"/>
            <w:noWrap/>
            <w:vAlign w:val="center"/>
            <w:hideMark/>
          </w:tcPr>
          <w:p w14:paraId="72FEF6BC" w14:textId="77777777" w:rsidR="007D67C4" w:rsidRPr="00567B3D" w:rsidRDefault="007D67C4" w:rsidP="00E10E3A">
            <w:pPr>
              <w:jc w:val="center"/>
              <w:rPr>
                <w:rFonts w:ascii="Arial" w:hAnsi="Arial" w:cs="Arial"/>
                <w:color w:val="000000"/>
                <w:sz w:val="18"/>
                <w:szCs w:val="18"/>
              </w:rPr>
            </w:pPr>
            <w:r w:rsidRPr="00567B3D">
              <w:rPr>
                <w:rFonts w:ascii="Arial" w:hAnsi="Arial" w:cs="Arial"/>
                <w:color w:val="000000"/>
                <w:sz w:val="18"/>
                <w:szCs w:val="18"/>
              </w:rPr>
              <w:t>0.238 ± 0.022</w:t>
            </w:r>
            <w:r w:rsidRPr="00567B3D">
              <w:rPr>
                <w:rFonts w:ascii="Arial" w:hAnsi="Arial" w:cs="Arial"/>
                <w:color w:val="000000"/>
                <w:sz w:val="18"/>
                <w:szCs w:val="18"/>
                <w:vertAlign w:val="superscript"/>
              </w:rPr>
              <w:t>g</w:t>
            </w:r>
          </w:p>
        </w:tc>
        <w:tc>
          <w:tcPr>
            <w:tcW w:w="1418" w:type="dxa"/>
            <w:shd w:val="clear" w:color="auto" w:fill="FFFFFF" w:themeFill="background1"/>
            <w:noWrap/>
            <w:vAlign w:val="center"/>
            <w:hideMark/>
          </w:tcPr>
          <w:p w14:paraId="3A4C8208" w14:textId="77777777" w:rsidR="007D67C4" w:rsidRPr="00567B3D" w:rsidRDefault="007D67C4" w:rsidP="00E10E3A">
            <w:pPr>
              <w:jc w:val="center"/>
              <w:rPr>
                <w:rFonts w:ascii="Arial" w:hAnsi="Arial" w:cs="Arial"/>
                <w:color w:val="000000"/>
                <w:sz w:val="18"/>
                <w:szCs w:val="18"/>
              </w:rPr>
            </w:pPr>
            <w:r w:rsidRPr="00567B3D">
              <w:rPr>
                <w:rFonts w:ascii="Arial" w:hAnsi="Arial" w:cs="Arial"/>
                <w:color w:val="000000"/>
                <w:sz w:val="18"/>
                <w:szCs w:val="18"/>
              </w:rPr>
              <w:t>0.266 ± 0.015</w:t>
            </w:r>
            <w:r w:rsidRPr="00567B3D">
              <w:rPr>
                <w:rFonts w:ascii="Arial" w:hAnsi="Arial" w:cs="Arial"/>
                <w:color w:val="000000"/>
                <w:sz w:val="18"/>
                <w:szCs w:val="18"/>
                <w:vertAlign w:val="superscript"/>
              </w:rPr>
              <w:t>h</w:t>
            </w:r>
          </w:p>
        </w:tc>
        <w:tc>
          <w:tcPr>
            <w:tcW w:w="1417" w:type="dxa"/>
            <w:shd w:val="clear" w:color="auto" w:fill="FFFFFF" w:themeFill="background1"/>
            <w:noWrap/>
            <w:vAlign w:val="center"/>
            <w:hideMark/>
          </w:tcPr>
          <w:p w14:paraId="242550CA" w14:textId="77777777" w:rsidR="007D67C4" w:rsidRPr="00567B3D" w:rsidRDefault="007D67C4" w:rsidP="00E10E3A">
            <w:pPr>
              <w:jc w:val="center"/>
              <w:rPr>
                <w:rFonts w:ascii="Arial" w:hAnsi="Arial" w:cs="Arial"/>
                <w:color w:val="000000"/>
                <w:sz w:val="18"/>
                <w:szCs w:val="18"/>
              </w:rPr>
            </w:pPr>
            <w:r w:rsidRPr="00567B3D">
              <w:rPr>
                <w:rFonts w:ascii="Arial" w:hAnsi="Arial" w:cs="Arial"/>
                <w:color w:val="000000"/>
                <w:sz w:val="18"/>
                <w:szCs w:val="18"/>
              </w:rPr>
              <w:t>0.019 ± 0.010</w:t>
            </w:r>
            <w:r w:rsidRPr="00567B3D">
              <w:rPr>
                <w:rFonts w:ascii="Arial" w:hAnsi="Arial" w:cs="Arial"/>
                <w:color w:val="000000"/>
                <w:sz w:val="18"/>
                <w:szCs w:val="18"/>
                <w:vertAlign w:val="superscript"/>
              </w:rPr>
              <w:t>g</w:t>
            </w:r>
          </w:p>
        </w:tc>
      </w:tr>
      <w:tr w:rsidR="007D67C4" w:rsidRPr="00227D4F" w14:paraId="1734B375" w14:textId="77777777" w:rsidTr="00903A68">
        <w:trPr>
          <w:trHeight w:val="20"/>
        </w:trPr>
        <w:tc>
          <w:tcPr>
            <w:tcW w:w="1134" w:type="dxa"/>
            <w:shd w:val="clear" w:color="auto" w:fill="FFFFFF" w:themeFill="background1"/>
            <w:noWrap/>
            <w:vAlign w:val="center"/>
            <w:hideMark/>
          </w:tcPr>
          <w:p w14:paraId="78B0892F" w14:textId="77D411B0" w:rsidR="007D67C4" w:rsidRPr="00567B3D" w:rsidRDefault="006F2398" w:rsidP="00E10E3A">
            <w:pPr>
              <w:rPr>
                <w:rFonts w:ascii="Arial" w:hAnsi="Arial" w:cs="Arial"/>
                <w:color w:val="000000"/>
                <w:sz w:val="18"/>
                <w:szCs w:val="18"/>
              </w:rPr>
            </w:pPr>
            <w:r w:rsidRPr="00567B3D">
              <w:rPr>
                <w:rFonts w:ascii="Arial" w:hAnsi="Arial" w:cs="Arial"/>
                <w:color w:val="000000"/>
                <w:sz w:val="18"/>
                <w:szCs w:val="18"/>
              </w:rPr>
              <w:t>25</w:t>
            </w:r>
            <w:r w:rsidR="007D67C4" w:rsidRPr="00567B3D">
              <w:rPr>
                <w:rFonts w:ascii="Arial" w:hAnsi="Arial" w:cs="Arial"/>
                <w:color w:val="000000"/>
                <w:sz w:val="18"/>
                <w:szCs w:val="18"/>
              </w:rPr>
              <w:t>-βc-BHT</w:t>
            </w:r>
          </w:p>
        </w:tc>
        <w:tc>
          <w:tcPr>
            <w:tcW w:w="1701" w:type="dxa"/>
            <w:shd w:val="clear" w:color="auto" w:fill="FFFFFF" w:themeFill="background1"/>
            <w:noWrap/>
            <w:vAlign w:val="center"/>
            <w:hideMark/>
          </w:tcPr>
          <w:p w14:paraId="278BD081" w14:textId="77777777" w:rsidR="007D67C4" w:rsidRPr="00567B3D" w:rsidRDefault="007D67C4" w:rsidP="00E10E3A">
            <w:pPr>
              <w:jc w:val="center"/>
              <w:rPr>
                <w:rFonts w:ascii="Arial" w:hAnsi="Arial" w:cs="Arial"/>
                <w:color w:val="000000"/>
                <w:sz w:val="18"/>
                <w:szCs w:val="18"/>
              </w:rPr>
            </w:pPr>
            <w:r w:rsidRPr="00567B3D">
              <w:rPr>
                <w:rFonts w:ascii="Arial" w:hAnsi="Arial" w:cs="Arial"/>
                <w:color w:val="000000"/>
                <w:sz w:val="18"/>
                <w:szCs w:val="18"/>
              </w:rPr>
              <w:t>0.168 ± 0.020</w:t>
            </w:r>
            <w:r w:rsidRPr="00567B3D">
              <w:rPr>
                <w:rFonts w:ascii="Arial" w:hAnsi="Arial" w:cs="Arial"/>
                <w:color w:val="000000"/>
                <w:sz w:val="18"/>
                <w:szCs w:val="18"/>
                <w:vertAlign w:val="superscript"/>
              </w:rPr>
              <w:t>de</w:t>
            </w:r>
          </w:p>
        </w:tc>
        <w:tc>
          <w:tcPr>
            <w:tcW w:w="1418" w:type="dxa"/>
            <w:shd w:val="clear" w:color="auto" w:fill="FFFFFF" w:themeFill="background1"/>
            <w:noWrap/>
            <w:vAlign w:val="center"/>
            <w:hideMark/>
          </w:tcPr>
          <w:p w14:paraId="39CAA514" w14:textId="77777777" w:rsidR="007D67C4" w:rsidRPr="00567B3D" w:rsidRDefault="007D67C4" w:rsidP="00E10E3A">
            <w:pPr>
              <w:jc w:val="center"/>
              <w:rPr>
                <w:rFonts w:ascii="Arial" w:hAnsi="Arial" w:cs="Arial"/>
                <w:color w:val="000000"/>
                <w:sz w:val="18"/>
                <w:szCs w:val="18"/>
              </w:rPr>
            </w:pPr>
            <w:r w:rsidRPr="00567B3D">
              <w:rPr>
                <w:rFonts w:ascii="Arial" w:hAnsi="Arial" w:cs="Arial"/>
                <w:color w:val="000000"/>
                <w:sz w:val="18"/>
                <w:szCs w:val="18"/>
              </w:rPr>
              <w:t>0.275 ± 0.011</w:t>
            </w:r>
            <w:r w:rsidRPr="00567B3D">
              <w:rPr>
                <w:rFonts w:ascii="Arial" w:hAnsi="Arial" w:cs="Arial"/>
                <w:color w:val="000000"/>
                <w:sz w:val="18"/>
                <w:szCs w:val="18"/>
                <w:vertAlign w:val="superscript"/>
              </w:rPr>
              <w:t>f</w:t>
            </w:r>
          </w:p>
        </w:tc>
        <w:tc>
          <w:tcPr>
            <w:tcW w:w="1417" w:type="dxa"/>
            <w:shd w:val="clear" w:color="auto" w:fill="FFFFFF" w:themeFill="background1"/>
            <w:noWrap/>
            <w:vAlign w:val="center"/>
            <w:hideMark/>
          </w:tcPr>
          <w:p w14:paraId="2E2BBD4B" w14:textId="77777777" w:rsidR="007D67C4" w:rsidRPr="00567B3D" w:rsidRDefault="007D67C4" w:rsidP="00E10E3A">
            <w:pPr>
              <w:jc w:val="center"/>
              <w:rPr>
                <w:rFonts w:ascii="Arial" w:hAnsi="Arial" w:cs="Arial"/>
                <w:color w:val="000000"/>
                <w:sz w:val="18"/>
                <w:szCs w:val="18"/>
              </w:rPr>
            </w:pPr>
            <w:r w:rsidRPr="00567B3D">
              <w:rPr>
                <w:rFonts w:ascii="Arial" w:hAnsi="Arial" w:cs="Arial"/>
                <w:color w:val="000000"/>
                <w:sz w:val="18"/>
                <w:szCs w:val="18"/>
              </w:rPr>
              <w:t>0.27 ± 0.003</w:t>
            </w:r>
            <w:r w:rsidRPr="00567B3D">
              <w:rPr>
                <w:rFonts w:ascii="Arial" w:hAnsi="Arial" w:cs="Arial"/>
                <w:color w:val="000000"/>
                <w:sz w:val="18"/>
                <w:szCs w:val="18"/>
                <w:vertAlign w:val="superscript"/>
              </w:rPr>
              <w:t>f</w:t>
            </w:r>
          </w:p>
        </w:tc>
        <w:tc>
          <w:tcPr>
            <w:tcW w:w="1418" w:type="dxa"/>
            <w:shd w:val="clear" w:color="auto" w:fill="FFFFFF" w:themeFill="background1"/>
            <w:noWrap/>
            <w:vAlign w:val="center"/>
            <w:hideMark/>
          </w:tcPr>
          <w:p w14:paraId="5F09B598" w14:textId="77777777" w:rsidR="007D67C4" w:rsidRPr="00567B3D" w:rsidRDefault="007D67C4" w:rsidP="00E10E3A">
            <w:pPr>
              <w:jc w:val="center"/>
              <w:rPr>
                <w:rFonts w:ascii="Arial" w:hAnsi="Arial" w:cs="Arial"/>
                <w:color w:val="000000"/>
                <w:sz w:val="18"/>
                <w:szCs w:val="18"/>
              </w:rPr>
            </w:pPr>
            <w:r w:rsidRPr="00567B3D">
              <w:rPr>
                <w:rFonts w:ascii="Arial" w:hAnsi="Arial" w:cs="Arial"/>
                <w:color w:val="000000"/>
                <w:sz w:val="18"/>
                <w:szCs w:val="18"/>
              </w:rPr>
              <w:t>0.259 ± 0.017</w:t>
            </w:r>
            <w:r w:rsidRPr="00567B3D">
              <w:rPr>
                <w:rFonts w:ascii="Arial" w:hAnsi="Arial" w:cs="Arial"/>
                <w:color w:val="000000"/>
                <w:sz w:val="18"/>
                <w:szCs w:val="18"/>
                <w:vertAlign w:val="superscript"/>
              </w:rPr>
              <w:t>h</w:t>
            </w:r>
          </w:p>
        </w:tc>
        <w:tc>
          <w:tcPr>
            <w:tcW w:w="1417" w:type="dxa"/>
            <w:shd w:val="clear" w:color="auto" w:fill="FFFFFF" w:themeFill="background1"/>
            <w:noWrap/>
            <w:vAlign w:val="center"/>
            <w:hideMark/>
          </w:tcPr>
          <w:p w14:paraId="12886FC6" w14:textId="77777777" w:rsidR="007D67C4" w:rsidRPr="00567B3D" w:rsidRDefault="007D67C4" w:rsidP="00E10E3A">
            <w:pPr>
              <w:jc w:val="center"/>
              <w:rPr>
                <w:rFonts w:ascii="Arial" w:hAnsi="Arial" w:cs="Arial"/>
                <w:color w:val="000000"/>
                <w:sz w:val="18"/>
                <w:szCs w:val="18"/>
              </w:rPr>
            </w:pPr>
            <w:r w:rsidRPr="00567B3D">
              <w:rPr>
                <w:rFonts w:ascii="Arial" w:hAnsi="Arial" w:cs="Arial"/>
                <w:color w:val="000000"/>
                <w:sz w:val="18"/>
                <w:szCs w:val="18"/>
              </w:rPr>
              <w:t>0.044 ± 0.000</w:t>
            </w:r>
            <w:r w:rsidRPr="00567B3D">
              <w:rPr>
                <w:rFonts w:ascii="Arial" w:hAnsi="Arial" w:cs="Arial"/>
                <w:color w:val="000000"/>
                <w:sz w:val="18"/>
                <w:szCs w:val="18"/>
                <w:vertAlign w:val="superscript"/>
              </w:rPr>
              <w:t>gh</w:t>
            </w:r>
          </w:p>
        </w:tc>
      </w:tr>
      <w:tr w:rsidR="007D67C4" w:rsidRPr="00227D4F" w14:paraId="7B2C5CDB" w14:textId="77777777" w:rsidTr="00903A68">
        <w:trPr>
          <w:trHeight w:val="20"/>
        </w:trPr>
        <w:tc>
          <w:tcPr>
            <w:tcW w:w="1134" w:type="dxa"/>
            <w:shd w:val="clear" w:color="auto" w:fill="FFFFFF" w:themeFill="background1"/>
            <w:noWrap/>
            <w:vAlign w:val="center"/>
            <w:hideMark/>
          </w:tcPr>
          <w:p w14:paraId="5BD54FA4" w14:textId="139716DF" w:rsidR="007D67C4" w:rsidRPr="00567B3D" w:rsidRDefault="006F2398" w:rsidP="00E10E3A">
            <w:pPr>
              <w:rPr>
                <w:rFonts w:ascii="Arial" w:hAnsi="Arial" w:cs="Arial"/>
                <w:color w:val="000000"/>
                <w:sz w:val="18"/>
                <w:szCs w:val="18"/>
              </w:rPr>
            </w:pPr>
            <w:r w:rsidRPr="00567B3D">
              <w:rPr>
                <w:rFonts w:ascii="Arial" w:hAnsi="Arial" w:cs="Arial"/>
                <w:color w:val="000000"/>
                <w:sz w:val="18"/>
                <w:szCs w:val="18"/>
              </w:rPr>
              <w:t>30</w:t>
            </w:r>
            <w:r w:rsidR="007D67C4" w:rsidRPr="00567B3D">
              <w:rPr>
                <w:rFonts w:ascii="Arial" w:hAnsi="Arial" w:cs="Arial"/>
                <w:color w:val="000000"/>
                <w:sz w:val="18"/>
                <w:szCs w:val="18"/>
              </w:rPr>
              <w:t>-βc</w:t>
            </w:r>
          </w:p>
        </w:tc>
        <w:tc>
          <w:tcPr>
            <w:tcW w:w="1701" w:type="dxa"/>
            <w:shd w:val="clear" w:color="auto" w:fill="FFFFFF" w:themeFill="background1"/>
            <w:noWrap/>
            <w:vAlign w:val="center"/>
            <w:hideMark/>
          </w:tcPr>
          <w:p w14:paraId="215D3300" w14:textId="77777777" w:rsidR="007D67C4" w:rsidRPr="00567B3D" w:rsidRDefault="007D67C4" w:rsidP="00E10E3A">
            <w:pPr>
              <w:jc w:val="center"/>
              <w:rPr>
                <w:rFonts w:ascii="Arial" w:hAnsi="Arial" w:cs="Arial"/>
                <w:color w:val="000000"/>
                <w:sz w:val="18"/>
                <w:szCs w:val="18"/>
              </w:rPr>
            </w:pPr>
            <w:r w:rsidRPr="00567B3D">
              <w:rPr>
                <w:rFonts w:ascii="Arial" w:hAnsi="Arial" w:cs="Arial"/>
                <w:color w:val="000000"/>
                <w:sz w:val="18"/>
                <w:szCs w:val="18"/>
              </w:rPr>
              <w:t>0.113 ± 0.027</w:t>
            </w:r>
            <w:r w:rsidRPr="00567B3D">
              <w:rPr>
                <w:rFonts w:ascii="Arial" w:hAnsi="Arial" w:cs="Arial"/>
                <w:color w:val="000000"/>
                <w:sz w:val="18"/>
                <w:szCs w:val="18"/>
                <w:vertAlign w:val="superscript"/>
              </w:rPr>
              <w:t>f</w:t>
            </w:r>
          </w:p>
        </w:tc>
        <w:tc>
          <w:tcPr>
            <w:tcW w:w="1418" w:type="dxa"/>
            <w:shd w:val="clear" w:color="auto" w:fill="FFFFFF" w:themeFill="background1"/>
            <w:noWrap/>
            <w:vAlign w:val="center"/>
            <w:hideMark/>
          </w:tcPr>
          <w:p w14:paraId="0F7A5A79" w14:textId="77777777" w:rsidR="007D67C4" w:rsidRPr="00567B3D" w:rsidRDefault="007D67C4" w:rsidP="00E10E3A">
            <w:pPr>
              <w:jc w:val="center"/>
              <w:rPr>
                <w:rFonts w:ascii="Arial" w:hAnsi="Arial" w:cs="Arial"/>
                <w:color w:val="000000"/>
                <w:sz w:val="18"/>
                <w:szCs w:val="18"/>
              </w:rPr>
            </w:pPr>
            <w:r w:rsidRPr="00567B3D">
              <w:rPr>
                <w:rFonts w:ascii="Arial" w:hAnsi="Arial" w:cs="Arial"/>
                <w:color w:val="000000"/>
                <w:sz w:val="18"/>
                <w:szCs w:val="18"/>
              </w:rPr>
              <w:t>0.184 ± 0.015</w:t>
            </w:r>
            <w:r w:rsidRPr="00567B3D">
              <w:rPr>
                <w:rFonts w:ascii="Arial" w:hAnsi="Arial" w:cs="Arial"/>
                <w:color w:val="000000"/>
                <w:sz w:val="18"/>
                <w:szCs w:val="18"/>
                <w:vertAlign w:val="superscript"/>
              </w:rPr>
              <w:t>f</w:t>
            </w:r>
          </w:p>
        </w:tc>
        <w:tc>
          <w:tcPr>
            <w:tcW w:w="1417" w:type="dxa"/>
            <w:shd w:val="clear" w:color="auto" w:fill="FFFFFF" w:themeFill="background1"/>
            <w:noWrap/>
            <w:vAlign w:val="center"/>
            <w:hideMark/>
          </w:tcPr>
          <w:p w14:paraId="63ED94C5" w14:textId="77777777" w:rsidR="007D67C4" w:rsidRPr="00567B3D" w:rsidRDefault="007D67C4" w:rsidP="00E10E3A">
            <w:pPr>
              <w:jc w:val="center"/>
              <w:rPr>
                <w:rFonts w:ascii="Arial" w:hAnsi="Arial" w:cs="Arial"/>
                <w:color w:val="000000"/>
                <w:sz w:val="18"/>
                <w:szCs w:val="18"/>
              </w:rPr>
            </w:pPr>
            <w:r w:rsidRPr="00567B3D">
              <w:rPr>
                <w:rFonts w:ascii="Arial" w:hAnsi="Arial" w:cs="Arial"/>
                <w:color w:val="000000"/>
                <w:sz w:val="18"/>
                <w:szCs w:val="18"/>
              </w:rPr>
              <w:t>0.219 ± 0.030</w:t>
            </w:r>
            <w:r w:rsidRPr="00567B3D">
              <w:rPr>
                <w:rFonts w:ascii="Arial" w:hAnsi="Arial" w:cs="Arial"/>
                <w:color w:val="000000"/>
                <w:sz w:val="18"/>
                <w:szCs w:val="18"/>
                <w:vertAlign w:val="superscript"/>
              </w:rPr>
              <w:t>g</w:t>
            </w:r>
          </w:p>
        </w:tc>
        <w:tc>
          <w:tcPr>
            <w:tcW w:w="1418" w:type="dxa"/>
            <w:shd w:val="clear" w:color="auto" w:fill="FFFFFF" w:themeFill="background1"/>
            <w:noWrap/>
            <w:vAlign w:val="center"/>
            <w:hideMark/>
          </w:tcPr>
          <w:p w14:paraId="2C7127FA" w14:textId="77777777" w:rsidR="007D67C4" w:rsidRPr="00567B3D" w:rsidRDefault="007D67C4" w:rsidP="00E10E3A">
            <w:pPr>
              <w:jc w:val="center"/>
              <w:rPr>
                <w:rFonts w:ascii="Arial" w:hAnsi="Arial" w:cs="Arial"/>
                <w:color w:val="000000"/>
                <w:sz w:val="18"/>
                <w:szCs w:val="18"/>
              </w:rPr>
            </w:pPr>
            <w:r w:rsidRPr="00567B3D">
              <w:rPr>
                <w:rFonts w:ascii="Arial" w:hAnsi="Arial" w:cs="Arial"/>
                <w:color w:val="000000"/>
                <w:sz w:val="18"/>
                <w:szCs w:val="18"/>
              </w:rPr>
              <w:t>0.224 ± 0.013</w:t>
            </w:r>
            <w:r w:rsidRPr="00567B3D">
              <w:rPr>
                <w:rFonts w:ascii="Arial" w:hAnsi="Arial" w:cs="Arial"/>
                <w:color w:val="000000"/>
                <w:sz w:val="18"/>
                <w:szCs w:val="18"/>
                <w:vertAlign w:val="superscript"/>
              </w:rPr>
              <w:t>i</w:t>
            </w:r>
          </w:p>
        </w:tc>
        <w:tc>
          <w:tcPr>
            <w:tcW w:w="1417" w:type="dxa"/>
            <w:shd w:val="clear" w:color="auto" w:fill="FFFFFF" w:themeFill="background1"/>
            <w:noWrap/>
            <w:vAlign w:val="center"/>
            <w:hideMark/>
          </w:tcPr>
          <w:p w14:paraId="0C177691" w14:textId="77777777" w:rsidR="007D67C4" w:rsidRPr="00567B3D" w:rsidRDefault="007D67C4" w:rsidP="00E10E3A">
            <w:pPr>
              <w:jc w:val="center"/>
              <w:rPr>
                <w:rFonts w:ascii="Arial" w:hAnsi="Arial" w:cs="Arial"/>
                <w:color w:val="000000"/>
                <w:sz w:val="18"/>
                <w:szCs w:val="18"/>
              </w:rPr>
            </w:pPr>
            <w:r w:rsidRPr="00567B3D">
              <w:rPr>
                <w:rFonts w:ascii="Arial" w:hAnsi="Arial" w:cs="Arial"/>
                <w:color w:val="000000"/>
                <w:sz w:val="18"/>
                <w:szCs w:val="18"/>
              </w:rPr>
              <w:t>0.011 ± 0.006</w:t>
            </w:r>
            <w:r w:rsidRPr="00567B3D">
              <w:rPr>
                <w:rFonts w:ascii="Arial" w:hAnsi="Arial" w:cs="Arial"/>
                <w:color w:val="000000"/>
                <w:sz w:val="18"/>
                <w:szCs w:val="18"/>
                <w:vertAlign w:val="superscript"/>
              </w:rPr>
              <w:t>g</w:t>
            </w:r>
          </w:p>
        </w:tc>
      </w:tr>
      <w:tr w:rsidR="007D67C4" w:rsidRPr="00227D4F" w14:paraId="2444119B" w14:textId="77777777" w:rsidTr="00903A68">
        <w:trPr>
          <w:trHeight w:val="20"/>
        </w:trPr>
        <w:tc>
          <w:tcPr>
            <w:tcW w:w="1134" w:type="dxa"/>
            <w:shd w:val="clear" w:color="auto" w:fill="FFFFFF" w:themeFill="background1"/>
            <w:noWrap/>
            <w:vAlign w:val="center"/>
            <w:hideMark/>
          </w:tcPr>
          <w:p w14:paraId="6FF348FF" w14:textId="71F6F2EC" w:rsidR="007D67C4" w:rsidRPr="00567B3D" w:rsidRDefault="006F2398" w:rsidP="00E10E3A">
            <w:pPr>
              <w:rPr>
                <w:rFonts w:ascii="Arial" w:hAnsi="Arial" w:cs="Arial"/>
                <w:color w:val="000000"/>
                <w:sz w:val="18"/>
                <w:szCs w:val="18"/>
              </w:rPr>
            </w:pPr>
            <w:r w:rsidRPr="00567B3D">
              <w:rPr>
                <w:rFonts w:ascii="Arial" w:hAnsi="Arial" w:cs="Arial"/>
                <w:color w:val="000000"/>
                <w:sz w:val="18"/>
                <w:szCs w:val="18"/>
              </w:rPr>
              <w:t>30</w:t>
            </w:r>
            <w:r w:rsidR="007D67C4" w:rsidRPr="00567B3D">
              <w:rPr>
                <w:rFonts w:ascii="Arial" w:hAnsi="Arial" w:cs="Arial"/>
                <w:color w:val="000000"/>
                <w:sz w:val="18"/>
                <w:szCs w:val="18"/>
              </w:rPr>
              <w:t>-βc-BHT</w:t>
            </w:r>
          </w:p>
        </w:tc>
        <w:tc>
          <w:tcPr>
            <w:tcW w:w="1701" w:type="dxa"/>
            <w:shd w:val="clear" w:color="auto" w:fill="FFFFFF" w:themeFill="background1"/>
            <w:noWrap/>
            <w:vAlign w:val="center"/>
            <w:hideMark/>
          </w:tcPr>
          <w:p w14:paraId="63446030" w14:textId="77777777" w:rsidR="007D67C4" w:rsidRPr="00567B3D" w:rsidRDefault="007D67C4" w:rsidP="00E10E3A">
            <w:pPr>
              <w:jc w:val="center"/>
              <w:rPr>
                <w:rFonts w:ascii="Arial" w:hAnsi="Arial" w:cs="Arial"/>
                <w:color w:val="000000"/>
                <w:sz w:val="18"/>
                <w:szCs w:val="18"/>
              </w:rPr>
            </w:pPr>
            <w:r w:rsidRPr="00567B3D">
              <w:rPr>
                <w:rFonts w:ascii="Arial" w:hAnsi="Arial" w:cs="Arial"/>
                <w:color w:val="000000"/>
                <w:sz w:val="18"/>
                <w:szCs w:val="18"/>
              </w:rPr>
              <w:t>0.138 ± 0.019</w:t>
            </w:r>
            <w:r w:rsidRPr="00567B3D">
              <w:rPr>
                <w:rFonts w:ascii="Arial" w:hAnsi="Arial" w:cs="Arial"/>
                <w:color w:val="000000"/>
                <w:sz w:val="18"/>
                <w:szCs w:val="18"/>
                <w:vertAlign w:val="superscript"/>
              </w:rPr>
              <w:t>de</w:t>
            </w:r>
          </w:p>
        </w:tc>
        <w:tc>
          <w:tcPr>
            <w:tcW w:w="1418" w:type="dxa"/>
            <w:shd w:val="clear" w:color="auto" w:fill="FFFFFF" w:themeFill="background1"/>
            <w:noWrap/>
            <w:vAlign w:val="center"/>
            <w:hideMark/>
          </w:tcPr>
          <w:p w14:paraId="512AED86" w14:textId="77777777" w:rsidR="007D67C4" w:rsidRPr="00567B3D" w:rsidRDefault="007D67C4" w:rsidP="00E10E3A">
            <w:pPr>
              <w:jc w:val="center"/>
              <w:rPr>
                <w:rFonts w:ascii="Arial" w:hAnsi="Arial" w:cs="Arial"/>
                <w:color w:val="000000"/>
                <w:sz w:val="18"/>
                <w:szCs w:val="18"/>
              </w:rPr>
            </w:pPr>
            <w:r w:rsidRPr="00567B3D">
              <w:rPr>
                <w:rFonts w:ascii="Arial" w:hAnsi="Arial" w:cs="Arial"/>
                <w:color w:val="000000"/>
                <w:sz w:val="18"/>
                <w:szCs w:val="18"/>
              </w:rPr>
              <w:t>0.212 ± 0.011</w:t>
            </w:r>
            <w:r w:rsidRPr="00567B3D">
              <w:rPr>
                <w:rFonts w:ascii="Arial" w:hAnsi="Arial" w:cs="Arial"/>
                <w:color w:val="000000"/>
                <w:sz w:val="18"/>
                <w:szCs w:val="18"/>
                <w:vertAlign w:val="superscript"/>
              </w:rPr>
              <w:t>gf</w:t>
            </w:r>
          </w:p>
        </w:tc>
        <w:tc>
          <w:tcPr>
            <w:tcW w:w="1417" w:type="dxa"/>
            <w:shd w:val="clear" w:color="auto" w:fill="FFFFFF" w:themeFill="background1"/>
            <w:noWrap/>
            <w:vAlign w:val="center"/>
            <w:hideMark/>
          </w:tcPr>
          <w:p w14:paraId="76E71095" w14:textId="77777777" w:rsidR="007D67C4" w:rsidRPr="00567B3D" w:rsidRDefault="007D67C4" w:rsidP="00E10E3A">
            <w:pPr>
              <w:jc w:val="center"/>
              <w:rPr>
                <w:rFonts w:ascii="Arial" w:hAnsi="Arial" w:cs="Arial"/>
                <w:color w:val="000000"/>
                <w:sz w:val="18"/>
                <w:szCs w:val="18"/>
              </w:rPr>
            </w:pPr>
            <w:r w:rsidRPr="00567B3D">
              <w:rPr>
                <w:rFonts w:ascii="Arial" w:hAnsi="Arial" w:cs="Arial"/>
                <w:color w:val="000000"/>
                <w:sz w:val="18"/>
                <w:szCs w:val="18"/>
              </w:rPr>
              <w:t>0.225 ± 0.013</w:t>
            </w:r>
            <w:r w:rsidRPr="00567B3D">
              <w:rPr>
                <w:rFonts w:ascii="Arial" w:hAnsi="Arial" w:cs="Arial"/>
                <w:color w:val="000000"/>
                <w:sz w:val="18"/>
                <w:szCs w:val="18"/>
                <w:vertAlign w:val="superscript"/>
              </w:rPr>
              <w:t>g</w:t>
            </w:r>
          </w:p>
        </w:tc>
        <w:tc>
          <w:tcPr>
            <w:tcW w:w="1418" w:type="dxa"/>
            <w:shd w:val="clear" w:color="auto" w:fill="FFFFFF" w:themeFill="background1"/>
            <w:noWrap/>
            <w:vAlign w:val="center"/>
            <w:hideMark/>
          </w:tcPr>
          <w:p w14:paraId="19741B58" w14:textId="77777777" w:rsidR="007D67C4" w:rsidRPr="00567B3D" w:rsidRDefault="007D67C4" w:rsidP="00E10E3A">
            <w:pPr>
              <w:jc w:val="center"/>
              <w:rPr>
                <w:rFonts w:ascii="Arial" w:hAnsi="Arial" w:cs="Arial"/>
                <w:color w:val="000000"/>
                <w:sz w:val="18"/>
                <w:szCs w:val="18"/>
              </w:rPr>
            </w:pPr>
            <w:r w:rsidRPr="00567B3D">
              <w:rPr>
                <w:rFonts w:ascii="Arial" w:hAnsi="Arial" w:cs="Arial"/>
                <w:color w:val="000000"/>
                <w:sz w:val="18"/>
                <w:szCs w:val="18"/>
              </w:rPr>
              <w:t>0.238 ± 0.015</w:t>
            </w:r>
            <w:r w:rsidRPr="00567B3D">
              <w:rPr>
                <w:rFonts w:ascii="Arial" w:hAnsi="Arial" w:cs="Arial"/>
                <w:color w:val="000000"/>
                <w:sz w:val="18"/>
                <w:szCs w:val="18"/>
                <w:vertAlign w:val="superscript"/>
              </w:rPr>
              <w:t>i</w:t>
            </w:r>
          </w:p>
        </w:tc>
        <w:tc>
          <w:tcPr>
            <w:tcW w:w="1417" w:type="dxa"/>
            <w:shd w:val="clear" w:color="auto" w:fill="FFFFFF" w:themeFill="background1"/>
            <w:noWrap/>
            <w:vAlign w:val="center"/>
            <w:hideMark/>
          </w:tcPr>
          <w:p w14:paraId="1649B226" w14:textId="77777777" w:rsidR="007D67C4" w:rsidRPr="00567B3D" w:rsidRDefault="007D67C4" w:rsidP="00E10E3A">
            <w:pPr>
              <w:jc w:val="center"/>
              <w:rPr>
                <w:rFonts w:ascii="Arial" w:hAnsi="Arial" w:cs="Arial"/>
                <w:color w:val="000000"/>
                <w:sz w:val="18"/>
                <w:szCs w:val="18"/>
              </w:rPr>
            </w:pPr>
            <w:r w:rsidRPr="00567B3D">
              <w:rPr>
                <w:rFonts w:ascii="Arial" w:hAnsi="Arial" w:cs="Arial"/>
                <w:color w:val="000000"/>
                <w:sz w:val="18"/>
                <w:szCs w:val="18"/>
              </w:rPr>
              <w:t>0.018 ± 0.003</w:t>
            </w:r>
            <w:r w:rsidRPr="00567B3D">
              <w:rPr>
                <w:rFonts w:ascii="Arial" w:hAnsi="Arial" w:cs="Arial"/>
                <w:color w:val="000000"/>
                <w:sz w:val="18"/>
                <w:szCs w:val="18"/>
                <w:vertAlign w:val="superscript"/>
              </w:rPr>
              <w:t>g</w:t>
            </w:r>
          </w:p>
        </w:tc>
      </w:tr>
      <w:tr w:rsidR="007D67C4" w:rsidRPr="00227D4F" w14:paraId="172296EE" w14:textId="77777777" w:rsidTr="00903A68">
        <w:trPr>
          <w:trHeight w:val="20"/>
        </w:trPr>
        <w:tc>
          <w:tcPr>
            <w:tcW w:w="1134" w:type="dxa"/>
            <w:shd w:val="clear" w:color="auto" w:fill="FFFFFF" w:themeFill="background1"/>
            <w:noWrap/>
            <w:vAlign w:val="center"/>
            <w:hideMark/>
          </w:tcPr>
          <w:p w14:paraId="62642AD1" w14:textId="7E6DB806" w:rsidR="007D67C4" w:rsidRPr="00567B3D" w:rsidRDefault="007D67C4" w:rsidP="00E10E3A">
            <w:pPr>
              <w:rPr>
                <w:rFonts w:ascii="Arial" w:hAnsi="Arial" w:cs="Arial"/>
                <w:color w:val="000000"/>
                <w:sz w:val="18"/>
                <w:szCs w:val="18"/>
              </w:rPr>
            </w:pPr>
            <w:r w:rsidRPr="00567B3D">
              <w:rPr>
                <w:rFonts w:ascii="Arial" w:hAnsi="Arial" w:cs="Arial"/>
                <w:color w:val="000000"/>
                <w:sz w:val="18"/>
                <w:szCs w:val="18"/>
              </w:rPr>
              <w:t>K h</w:t>
            </w:r>
            <w:r w:rsidRPr="00567B3D">
              <w:rPr>
                <w:rFonts w:ascii="Arial" w:hAnsi="Arial" w:cs="Arial"/>
                <w:color w:val="000000"/>
                <w:sz w:val="18"/>
                <w:szCs w:val="18"/>
                <w:vertAlign w:val="superscript"/>
              </w:rPr>
              <w:t>-1</w:t>
            </w:r>
            <w:r w:rsidRPr="00567B3D">
              <w:rPr>
                <w:rFonts w:ascii="Arial" w:hAnsi="Arial" w:cs="Arial"/>
                <w:color w:val="000000"/>
                <w:sz w:val="18"/>
                <w:szCs w:val="18"/>
              </w:rPr>
              <w:t>-βc</w:t>
            </w:r>
          </w:p>
        </w:tc>
        <w:tc>
          <w:tcPr>
            <w:tcW w:w="1701" w:type="dxa"/>
            <w:shd w:val="clear" w:color="auto" w:fill="FFFFFF" w:themeFill="background1"/>
            <w:noWrap/>
            <w:vAlign w:val="center"/>
            <w:hideMark/>
          </w:tcPr>
          <w:p w14:paraId="37CB8704" w14:textId="77777777" w:rsidR="007D67C4" w:rsidRPr="00567B3D" w:rsidRDefault="007D67C4" w:rsidP="00E10E3A">
            <w:pPr>
              <w:jc w:val="center"/>
              <w:rPr>
                <w:rFonts w:ascii="Arial" w:hAnsi="Arial" w:cs="Arial"/>
                <w:color w:val="000000"/>
                <w:sz w:val="18"/>
                <w:szCs w:val="18"/>
              </w:rPr>
            </w:pPr>
            <w:r w:rsidRPr="00567B3D">
              <w:rPr>
                <w:rFonts w:ascii="Arial" w:hAnsi="Arial" w:cs="Arial"/>
                <w:color w:val="000000"/>
                <w:sz w:val="18"/>
                <w:szCs w:val="18"/>
              </w:rPr>
              <w:t>2.88</w:t>
            </w:r>
          </w:p>
        </w:tc>
        <w:tc>
          <w:tcPr>
            <w:tcW w:w="1418" w:type="dxa"/>
            <w:shd w:val="clear" w:color="auto" w:fill="FFFFFF" w:themeFill="background1"/>
            <w:noWrap/>
            <w:vAlign w:val="center"/>
            <w:hideMark/>
          </w:tcPr>
          <w:p w14:paraId="16077E4C" w14:textId="77777777" w:rsidR="007D67C4" w:rsidRPr="00567B3D" w:rsidRDefault="007D67C4" w:rsidP="00E10E3A">
            <w:pPr>
              <w:jc w:val="center"/>
              <w:rPr>
                <w:rFonts w:ascii="Arial" w:hAnsi="Arial" w:cs="Arial"/>
                <w:color w:val="000000"/>
                <w:sz w:val="18"/>
                <w:szCs w:val="18"/>
              </w:rPr>
            </w:pPr>
            <w:r w:rsidRPr="00567B3D">
              <w:rPr>
                <w:rFonts w:ascii="Arial" w:hAnsi="Arial" w:cs="Arial"/>
                <w:color w:val="000000"/>
                <w:sz w:val="18"/>
                <w:szCs w:val="18"/>
              </w:rPr>
              <w:t>2.16</w:t>
            </w:r>
          </w:p>
        </w:tc>
        <w:tc>
          <w:tcPr>
            <w:tcW w:w="1417" w:type="dxa"/>
            <w:shd w:val="clear" w:color="auto" w:fill="FFFFFF" w:themeFill="background1"/>
            <w:noWrap/>
            <w:vAlign w:val="center"/>
            <w:hideMark/>
          </w:tcPr>
          <w:p w14:paraId="3884D4EB" w14:textId="77777777" w:rsidR="007D67C4" w:rsidRPr="00567B3D" w:rsidRDefault="007D67C4" w:rsidP="00E10E3A">
            <w:pPr>
              <w:jc w:val="center"/>
              <w:rPr>
                <w:rFonts w:ascii="Arial" w:hAnsi="Arial" w:cs="Arial"/>
                <w:color w:val="000000"/>
                <w:sz w:val="18"/>
                <w:szCs w:val="18"/>
              </w:rPr>
            </w:pPr>
            <w:r w:rsidRPr="00567B3D">
              <w:rPr>
                <w:rFonts w:ascii="Arial" w:hAnsi="Arial" w:cs="Arial"/>
                <w:color w:val="000000"/>
                <w:sz w:val="18"/>
                <w:szCs w:val="18"/>
              </w:rPr>
              <w:t>1.8</w:t>
            </w:r>
          </w:p>
        </w:tc>
        <w:tc>
          <w:tcPr>
            <w:tcW w:w="1418" w:type="dxa"/>
            <w:shd w:val="clear" w:color="auto" w:fill="FFFFFF" w:themeFill="background1"/>
            <w:noWrap/>
            <w:vAlign w:val="center"/>
            <w:hideMark/>
          </w:tcPr>
          <w:p w14:paraId="5AE914C2" w14:textId="77777777" w:rsidR="007D67C4" w:rsidRPr="00567B3D" w:rsidRDefault="007D67C4" w:rsidP="00E10E3A">
            <w:pPr>
              <w:jc w:val="center"/>
              <w:rPr>
                <w:rFonts w:ascii="Arial" w:hAnsi="Arial" w:cs="Arial"/>
                <w:color w:val="000000"/>
                <w:sz w:val="18"/>
                <w:szCs w:val="18"/>
              </w:rPr>
            </w:pPr>
            <w:r w:rsidRPr="00567B3D">
              <w:rPr>
                <w:rFonts w:ascii="Arial" w:hAnsi="Arial" w:cs="Arial"/>
                <w:color w:val="000000"/>
                <w:sz w:val="18"/>
                <w:szCs w:val="18"/>
              </w:rPr>
              <w:t>1.44</w:t>
            </w:r>
          </w:p>
        </w:tc>
        <w:tc>
          <w:tcPr>
            <w:tcW w:w="1417" w:type="dxa"/>
            <w:shd w:val="clear" w:color="auto" w:fill="FFFFFF" w:themeFill="background1"/>
            <w:noWrap/>
            <w:vAlign w:val="center"/>
            <w:hideMark/>
          </w:tcPr>
          <w:p w14:paraId="3ACE4B11" w14:textId="77777777" w:rsidR="007D67C4" w:rsidRPr="00567B3D" w:rsidRDefault="007D67C4" w:rsidP="00E10E3A">
            <w:pPr>
              <w:jc w:val="center"/>
              <w:rPr>
                <w:rFonts w:ascii="Arial" w:hAnsi="Arial" w:cs="Arial"/>
                <w:color w:val="000000"/>
                <w:sz w:val="18"/>
                <w:szCs w:val="18"/>
              </w:rPr>
            </w:pPr>
            <w:r w:rsidRPr="00567B3D">
              <w:rPr>
                <w:rFonts w:ascii="Arial" w:hAnsi="Arial" w:cs="Arial"/>
                <w:color w:val="000000"/>
                <w:sz w:val="18"/>
                <w:szCs w:val="18"/>
              </w:rPr>
              <w:t>7.56</w:t>
            </w:r>
          </w:p>
        </w:tc>
      </w:tr>
      <w:tr w:rsidR="007D67C4" w:rsidRPr="00227D4F" w14:paraId="7730F530" w14:textId="77777777" w:rsidTr="00903A68">
        <w:trPr>
          <w:trHeight w:val="20"/>
        </w:trPr>
        <w:tc>
          <w:tcPr>
            <w:tcW w:w="1134" w:type="dxa"/>
            <w:shd w:val="clear" w:color="auto" w:fill="FFFFFF" w:themeFill="background1"/>
            <w:noWrap/>
            <w:vAlign w:val="center"/>
            <w:hideMark/>
          </w:tcPr>
          <w:p w14:paraId="2504F471" w14:textId="0AA1E2A2" w:rsidR="007D67C4" w:rsidRPr="00567B3D" w:rsidRDefault="007D67C4" w:rsidP="00E10E3A">
            <w:pPr>
              <w:rPr>
                <w:rFonts w:ascii="Arial" w:hAnsi="Arial" w:cs="Arial"/>
                <w:color w:val="000000"/>
                <w:sz w:val="18"/>
                <w:szCs w:val="18"/>
              </w:rPr>
            </w:pPr>
            <w:r w:rsidRPr="00567B3D">
              <w:rPr>
                <w:rFonts w:ascii="Arial" w:hAnsi="Arial" w:cs="Arial"/>
                <w:color w:val="000000"/>
                <w:sz w:val="18"/>
                <w:szCs w:val="18"/>
              </w:rPr>
              <w:t>K h</w:t>
            </w:r>
            <w:r w:rsidRPr="00567B3D">
              <w:rPr>
                <w:rFonts w:ascii="Arial" w:hAnsi="Arial" w:cs="Arial"/>
                <w:color w:val="000000"/>
                <w:sz w:val="18"/>
                <w:szCs w:val="18"/>
                <w:vertAlign w:val="superscript"/>
              </w:rPr>
              <w:t>-1</w:t>
            </w:r>
            <w:r w:rsidRPr="00567B3D">
              <w:rPr>
                <w:rFonts w:ascii="Arial" w:hAnsi="Arial" w:cs="Arial"/>
                <w:color w:val="000000"/>
                <w:sz w:val="18"/>
                <w:szCs w:val="18"/>
              </w:rPr>
              <w:t>-βc-BHT</w:t>
            </w:r>
          </w:p>
        </w:tc>
        <w:tc>
          <w:tcPr>
            <w:tcW w:w="1701" w:type="dxa"/>
            <w:shd w:val="clear" w:color="auto" w:fill="FFFFFF" w:themeFill="background1"/>
            <w:noWrap/>
            <w:vAlign w:val="center"/>
            <w:hideMark/>
          </w:tcPr>
          <w:p w14:paraId="4A224D92" w14:textId="77777777" w:rsidR="007D67C4" w:rsidRPr="00567B3D" w:rsidRDefault="007D67C4" w:rsidP="00E10E3A">
            <w:pPr>
              <w:jc w:val="center"/>
              <w:rPr>
                <w:rFonts w:ascii="Arial" w:hAnsi="Arial" w:cs="Arial"/>
                <w:color w:val="000000"/>
                <w:sz w:val="18"/>
                <w:szCs w:val="18"/>
              </w:rPr>
            </w:pPr>
            <w:r w:rsidRPr="00567B3D">
              <w:rPr>
                <w:rFonts w:ascii="Arial" w:hAnsi="Arial" w:cs="Arial"/>
                <w:color w:val="000000"/>
                <w:sz w:val="18"/>
                <w:szCs w:val="18"/>
              </w:rPr>
              <w:t>2.52</w:t>
            </w:r>
          </w:p>
        </w:tc>
        <w:tc>
          <w:tcPr>
            <w:tcW w:w="1418" w:type="dxa"/>
            <w:shd w:val="clear" w:color="auto" w:fill="FFFFFF" w:themeFill="background1"/>
            <w:noWrap/>
            <w:vAlign w:val="center"/>
            <w:hideMark/>
          </w:tcPr>
          <w:p w14:paraId="2106AE8F" w14:textId="77777777" w:rsidR="007D67C4" w:rsidRPr="00567B3D" w:rsidRDefault="007D67C4" w:rsidP="00E10E3A">
            <w:pPr>
              <w:jc w:val="center"/>
              <w:rPr>
                <w:rFonts w:ascii="Arial" w:hAnsi="Arial" w:cs="Arial"/>
                <w:color w:val="000000"/>
                <w:sz w:val="18"/>
                <w:szCs w:val="18"/>
              </w:rPr>
            </w:pPr>
            <w:r w:rsidRPr="00567B3D">
              <w:rPr>
                <w:rFonts w:ascii="Arial" w:hAnsi="Arial" w:cs="Arial"/>
                <w:color w:val="000000"/>
                <w:sz w:val="18"/>
                <w:szCs w:val="18"/>
              </w:rPr>
              <w:t>1.8</w:t>
            </w:r>
          </w:p>
        </w:tc>
        <w:tc>
          <w:tcPr>
            <w:tcW w:w="1417" w:type="dxa"/>
            <w:shd w:val="clear" w:color="auto" w:fill="FFFFFF" w:themeFill="background1"/>
            <w:noWrap/>
            <w:vAlign w:val="center"/>
            <w:hideMark/>
          </w:tcPr>
          <w:p w14:paraId="18637998" w14:textId="77777777" w:rsidR="007D67C4" w:rsidRPr="00567B3D" w:rsidRDefault="007D67C4" w:rsidP="00E10E3A">
            <w:pPr>
              <w:jc w:val="center"/>
              <w:rPr>
                <w:rFonts w:ascii="Arial" w:hAnsi="Arial" w:cs="Arial"/>
                <w:color w:val="000000"/>
                <w:sz w:val="18"/>
                <w:szCs w:val="18"/>
              </w:rPr>
            </w:pPr>
            <w:r w:rsidRPr="00567B3D">
              <w:rPr>
                <w:rFonts w:ascii="Arial" w:hAnsi="Arial" w:cs="Arial"/>
                <w:color w:val="000000"/>
                <w:sz w:val="18"/>
                <w:szCs w:val="18"/>
              </w:rPr>
              <w:t>1.44</w:t>
            </w:r>
          </w:p>
        </w:tc>
        <w:tc>
          <w:tcPr>
            <w:tcW w:w="1418" w:type="dxa"/>
            <w:shd w:val="clear" w:color="auto" w:fill="FFFFFF" w:themeFill="background1"/>
            <w:noWrap/>
          </w:tcPr>
          <w:p w14:paraId="3B3C874C" w14:textId="77777777" w:rsidR="007D67C4" w:rsidRPr="00567B3D" w:rsidRDefault="007D67C4" w:rsidP="00E10E3A">
            <w:pPr>
              <w:jc w:val="center"/>
              <w:rPr>
                <w:rFonts w:ascii="Arial" w:hAnsi="Arial" w:cs="Arial"/>
                <w:color w:val="000000"/>
                <w:sz w:val="18"/>
                <w:szCs w:val="18"/>
              </w:rPr>
            </w:pPr>
            <w:r w:rsidRPr="00567B3D">
              <w:rPr>
                <w:rFonts w:ascii="Arial" w:hAnsi="Arial" w:cs="Arial"/>
                <w:color w:val="000000"/>
                <w:sz w:val="18"/>
                <w:szCs w:val="18"/>
              </w:rPr>
              <w:t>1.44</w:t>
            </w:r>
          </w:p>
        </w:tc>
        <w:tc>
          <w:tcPr>
            <w:tcW w:w="1417" w:type="dxa"/>
            <w:shd w:val="clear" w:color="auto" w:fill="FFFFFF" w:themeFill="background1"/>
            <w:noWrap/>
            <w:vAlign w:val="center"/>
            <w:hideMark/>
          </w:tcPr>
          <w:p w14:paraId="1C1F489A" w14:textId="77777777" w:rsidR="007D67C4" w:rsidRPr="00567B3D" w:rsidRDefault="007D67C4" w:rsidP="00E10E3A">
            <w:pPr>
              <w:jc w:val="center"/>
              <w:rPr>
                <w:rFonts w:ascii="Arial" w:hAnsi="Arial" w:cs="Arial"/>
                <w:color w:val="000000"/>
                <w:sz w:val="18"/>
                <w:szCs w:val="18"/>
              </w:rPr>
            </w:pPr>
            <w:r w:rsidRPr="00567B3D">
              <w:rPr>
                <w:rFonts w:ascii="Arial" w:hAnsi="Arial" w:cs="Arial"/>
                <w:color w:val="000000"/>
                <w:sz w:val="18"/>
                <w:szCs w:val="18"/>
              </w:rPr>
              <w:t>6.84</w:t>
            </w:r>
          </w:p>
        </w:tc>
      </w:tr>
      <w:tr w:rsidR="007D67C4" w:rsidRPr="00227D4F" w14:paraId="18F36B41" w14:textId="77777777" w:rsidTr="00903A68">
        <w:trPr>
          <w:trHeight w:val="20"/>
        </w:trPr>
        <w:tc>
          <w:tcPr>
            <w:tcW w:w="1134" w:type="dxa"/>
            <w:shd w:val="clear" w:color="auto" w:fill="FFFFFF" w:themeFill="background1"/>
            <w:noWrap/>
            <w:vAlign w:val="center"/>
            <w:hideMark/>
          </w:tcPr>
          <w:p w14:paraId="2C3B29F3" w14:textId="77777777" w:rsidR="007D67C4" w:rsidRPr="00567B3D" w:rsidRDefault="007D67C4" w:rsidP="00E10E3A">
            <w:pPr>
              <w:rPr>
                <w:rFonts w:ascii="Arial" w:hAnsi="Arial" w:cs="Arial"/>
                <w:color w:val="000000"/>
                <w:sz w:val="18"/>
                <w:szCs w:val="18"/>
              </w:rPr>
            </w:pPr>
            <w:r w:rsidRPr="00567B3D">
              <w:rPr>
                <w:rFonts w:ascii="Arial" w:hAnsi="Arial" w:cs="Arial"/>
                <w:color w:val="000000"/>
                <w:sz w:val="18"/>
                <w:szCs w:val="18"/>
                <w:lang w:val="en-GB"/>
              </w:rPr>
              <w:t>R</w:t>
            </w:r>
            <w:r w:rsidRPr="00567B3D">
              <w:rPr>
                <w:rFonts w:ascii="Arial" w:hAnsi="Arial" w:cs="Arial"/>
                <w:color w:val="000000"/>
                <w:sz w:val="18"/>
                <w:szCs w:val="18"/>
                <w:vertAlign w:val="superscript"/>
                <w:lang w:val="en-GB"/>
              </w:rPr>
              <w:t>2</w:t>
            </w:r>
            <w:r w:rsidRPr="00567B3D">
              <w:rPr>
                <w:rFonts w:ascii="Arial" w:hAnsi="Arial" w:cs="Arial"/>
                <w:color w:val="000000"/>
                <w:sz w:val="18"/>
                <w:szCs w:val="18"/>
                <w:lang w:val="en-GB"/>
              </w:rPr>
              <w:t>-βc</w:t>
            </w:r>
          </w:p>
        </w:tc>
        <w:tc>
          <w:tcPr>
            <w:tcW w:w="1701" w:type="dxa"/>
            <w:shd w:val="clear" w:color="auto" w:fill="FFFFFF" w:themeFill="background1"/>
            <w:noWrap/>
            <w:vAlign w:val="center"/>
            <w:hideMark/>
          </w:tcPr>
          <w:p w14:paraId="74C51E53" w14:textId="77777777" w:rsidR="007D67C4" w:rsidRPr="00567B3D" w:rsidRDefault="007D67C4" w:rsidP="00E10E3A">
            <w:pPr>
              <w:jc w:val="center"/>
              <w:rPr>
                <w:rFonts w:ascii="Arial" w:hAnsi="Arial" w:cs="Arial"/>
                <w:color w:val="000000"/>
                <w:sz w:val="18"/>
                <w:szCs w:val="18"/>
              </w:rPr>
            </w:pPr>
            <w:r w:rsidRPr="00567B3D">
              <w:rPr>
                <w:rFonts w:ascii="Arial" w:hAnsi="Arial" w:cs="Arial"/>
                <w:color w:val="000000"/>
                <w:sz w:val="18"/>
                <w:szCs w:val="18"/>
                <w:lang w:val="en-US"/>
              </w:rPr>
              <w:t>0.985</w:t>
            </w:r>
          </w:p>
        </w:tc>
        <w:tc>
          <w:tcPr>
            <w:tcW w:w="1418" w:type="dxa"/>
            <w:shd w:val="clear" w:color="auto" w:fill="FFFFFF" w:themeFill="background1"/>
            <w:noWrap/>
            <w:vAlign w:val="center"/>
            <w:hideMark/>
          </w:tcPr>
          <w:p w14:paraId="49294831" w14:textId="77777777" w:rsidR="007D67C4" w:rsidRPr="00567B3D" w:rsidRDefault="007D67C4" w:rsidP="00E10E3A">
            <w:pPr>
              <w:jc w:val="center"/>
              <w:rPr>
                <w:rFonts w:ascii="Arial" w:hAnsi="Arial" w:cs="Arial"/>
                <w:color w:val="000000"/>
                <w:sz w:val="18"/>
                <w:szCs w:val="18"/>
              </w:rPr>
            </w:pPr>
            <w:r w:rsidRPr="00567B3D">
              <w:rPr>
                <w:rFonts w:ascii="Arial" w:hAnsi="Arial" w:cs="Arial"/>
                <w:color w:val="000000"/>
                <w:sz w:val="18"/>
                <w:szCs w:val="18"/>
                <w:lang w:val="en-US"/>
              </w:rPr>
              <w:t>0.996</w:t>
            </w:r>
          </w:p>
        </w:tc>
        <w:tc>
          <w:tcPr>
            <w:tcW w:w="1417" w:type="dxa"/>
            <w:shd w:val="clear" w:color="auto" w:fill="FFFFFF" w:themeFill="background1"/>
            <w:noWrap/>
            <w:vAlign w:val="center"/>
            <w:hideMark/>
          </w:tcPr>
          <w:p w14:paraId="4FC36B2C" w14:textId="77777777" w:rsidR="007D67C4" w:rsidRPr="00567B3D" w:rsidRDefault="007D67C4" w:rsidP="00E10E3A">
            <w:pPr>
              <w:jc w:val="center"/>
              <w:rPr>
                <w:rFonts w:ascii="Arial" w:hAnsi="Arial" w:cs="Arial"/>
                <w:color w:val="000000"/>
                <w:sz w:val="18"/>
                <w:szCs w:val="18"/>
              </w:rPr>
            </w:pPr>
            <w:r w:rsidRPr="00567B3D">
              <w:rPr>
                <w:rFonts w:ascii="Arial" w:hAnsi="Arial" w:cs="Arial"/>
                <w:color w:val="000000"/>
                <w:sz w:val="18"/>
                <w:szCs w:val="18"/>
                <w:lang w:val="en-US"/>
              </w:rPr>
              <w:t>0.997</w:t>
            </w:r>
          </w:p>
        </w:tc>
        <w:tc>
          <w:tcPr>
            <w:tcW w:w="1418" w:type="dxa"/>
            <w:shd w:val="clear" w:color="auto" w:fill="FFFFFF" w:themeFill="background1"/>
            <w:noWrap/>
            <w:vAlign w:val="center"/>
            <w:hideMark/>
          </w:tcPr>
          <w:p w14:paraId="16F35BFE" w14:textId="77777777" w:rsidR="007D67C4" w:rsidRPr="00567B3D" w:rsidRDefault="007D67C4" w:rsidP="00E10E3A">
            <w:pPr>
              <w:jc w:val="center"/>
              <w:rPr>
                <w:rFonts w:ascii="Arial" w:hAnsi="Arial" w:cs="Arial"/>
                <w:color w:val="000000"/>
                <w:sz w:val="18"/>
                <w:szCs w:val="18"/>
              </w:rPr>
            </w:pPr>
            <w:r w:rsidRPr="00567B3D">
              <w:rPr>
                <w:rFonts w:ascii="Arial" w:hAnsi="Arial" w:cs="Arial"/>
                <w:color w:val="000000"/>
                <w:sz w:val="18"/>
                <w:szCs w:val="18"/>
                <w:lang w:val="en-US"/>
              </w:rPr>
              <w:t>0.998</w:t>
            </w:r>
          </w:p>
        </w:tc>
        <w:tc>
          <w:tcPr>
            <w:tcW w:w="1417" w:type="dxa"/>
            <w:shd w:val="clear" w:color="auto" w:fill="FFFFFF" w:themeFill="background1"/>
            <w:noWrap/>
            <w:vAlign w:val="center"/>
            <w:hideMark/>
          </w:tcPr>
          <w:p w14:paraId="111CCD0F" w14:textId="77777777" w:rsidR="007D67C4" w:rsidRPr="00567B3D" w:rsidRDefault="007D67C4" w:rsidP="00E10E3A">
            <w:pPr>
              <w:jc w:val="center"/>
              <w:rPr>
                <w:rFonts w:ascii="Arial" w:hAnsi="Arial" w:cs="Arial"/>
                <w:color w:val="000000"/>
                <w:sz w:val="18"/>
                <w:szCs w:val="18"/>
              </w:rPr>
            </w:pPr>
            <w:r w:rsidRPr="00567B3D">
              <w:rPr>
                <w:rFonts w:ascii="Arial" w:hAnsi="Arial" w:cs="Arial"/>
                <w:color w:val="000000"/>
                <w:sz w:val="18"/>
                <w:szCs w:val="18"/>
                <w:lang w:val="en-US"/>
              </w:rPr>
              <w:t>0.999</w:t>
            </w:r>
          </w:p>
        </w:tc>
      </w:tr>
      <w:tr w:rsidR="007D67C4" w:rsidRPr="00227D4F" w14:paraId="4C29168A" w14:textId="77777777" w:rsidTr="00903A68">
        <w:trPr>
          <w:trHeight w:val="20"/>
        </w:trPr>
        <w:tc>
          <w:tcPr>
            <w:tcW w:w="1134" w:type="dxa"/>
            <w:tcBorders>
              <w:bottom w:val="single" w:sz="18" w:space="0" w:color="008000"/>
            </w:tcBorders>
            <w:shd w:val="clear" w:color="auto" w:fill="FFFFFF" w:themeFill="background1"/>
            <w:noWrap/>
            <w:vAlign w:val="center"/>
            <w:hideMark/>
          </w:tcPr>
          <w:p w14:paraId="4D6655EF" w14:textId="77777777" w:rsidR="007D67C4" w:rsidRPr="00567B3D" w:rsidRDefault="007D67C4" w:rsidP="00E10E3A">
            <w:pPr>
              <w:rPr>
                <w:rFonts w:ascii="Arial" w:hAnsi="Arial" w:cs="Arial"/>
                <w:color w:val="000000"/>
                <w:sz w:val="18"/>
                <w:szCs w:val="18"/>
              </w:rPr>
            </w:pPr>
            <w:r w:rsidRPr="00567B3D">
              <w:rPr>
                <w:rFonts w:ascii="Arial" w:hAnsi="Arial" w:cs="Arial"/>
                <w:color w:val="000000"/>
                <w:sz w:val="18"/>
                <w:szCs w:val="18"/>
              </w:rPr>
              <w:t>R</w:t>
            </w:r>
            <w:r w:rsidRPr="00567B3D">
              <w:rPr>
                <w:rFonts w:ascii="Arial" w:hAnsi="Arial" w:cs="Arial"/>
                <w:color w:val="000000"/>
                <w:sz w:val="18"/>
                <w:szCs w:val="18"/>
                <w:vertAlign w:val="superscript"/>
              </w:rPr>
              <w:t>2</w:t>
            </w:r>
            <w:r w:rsidRPr="00567B3D">
              <w:rPr>
                <w:rFonts w:ascii="Arial" w:hAnsi="Arial" w:cs="Arial"/>
                <w:color w:val="000000"/>
                <w:sz w:val="18"/>
                <w:szCs w:val="18"/>
              </w:rPr>
              <w:t>-βc-BHT</w:t>
            </w:r>
          </w:p>
        </w:tc>
        <w:tc>
          <w:tcPr>
            <w:tcW w:w="1701" w:type="dxa"/>
            <w:tcBorders>
              <w:bottom w:val="single" w:sz="18" w:space="0" w:color="008000"/>
            </w:tcBorders>
            <w:shd w:val="clear" w:color="auto" w:fill="FFFFFF" w:themeFill="background1"/>
            <w:noWrap/>
            <w:vAlign w:val="center"/>
            <w:hideMark/>
          </w:tcPr>
          <w:p w14:paraId="69FB89F0" w14:textId="77777777" w:rsidR="007D67C4" w:rsidRPr="00567B3D" w:rsidRDefault="007D67C4" w:rsidP="00E10E3A">
            <w:pPr>
              <w:jc w:val="center"/>
              <w:rPr>
                <w:rFonts w:ascii="Arial" w:hAnsi="Arial" w:cs="Arial"/>
                <w:color w:val="000000"/>
                <w:sz w:val="18"/>
                <w:szCs w:val="18"/>
              </w:rPr>
            </w:pPr>
            <w:r w:rsidRPr="00567B3D">
              <w:rPr>
                <w:rFonts w:ascii="Arial" w:hAnsi="Arial" w:cs="Arial"/>
                <w:color w:val="000000"/>
                <w:sz w:val="18"/>
                <w:szCs w:val="18"/>
                <w:lang w:val="en-US"/>
              </w:rPr>
              <w:t>0.993</w:t>
            </w:r>
          </w:p>
        </w:tc>
        <w:tc>
          <w:tcPr>
            <w:tcW w:w="1418" w:type="dxa"/>
            <w:tcBorders>
              <w:bottom w:val="single" w:sz="18" w:space="0" w:color="008000"/>
            </w:tcBorders>
            <w:shd w:val="clear" w:color="auto" w:fill="FFFFFF" w:themeFill="background1"/>
            <w:noWrap/>
            <w:vAlign w:val="center"/>
            <w:hideMark/>
          </w:tcPr>
          <w:p w14:paraId="71E7AD67" w14:textId="77777777" w:rsidR="007D67C4" w:rsidRPr="00567B3D" w:rsidRDefault="007D67C4" w:rsidP="00E10E3A">
            <w:pPr>
              <w:jc w:val="center"/>
              <w:rPr>
                <w:rFonts w:ascii="Arial" w:hAnsi="Arial" w:cs="Arial"/>
                <w:color w:val="000000"/>
                <w:sz w:val="18"/>
                <w:szCs w:val="18"/>
              </w:rPr>
            </w:pPr>
            <w:r w:rsidRPr="00567B3D">
              <w:rPr>
                <w:rFonts w:ascii="Arial" w:hAnsi="Arial" w:cs="Arial"/>
                <w:color w:val="000000"/>
                <w:sz w:val="18"/>
                <w:szCs w:val="18"/>
                <w:lang w:val="en-US"/>
              </w:rPr>
              <w:t>0.996</w:t>
            </w:r>
          </w:p>
        </w:tc>
        <w:tc>
          <w:tcPr>
            <w:tcW w:w="1417" w:type="dxa"/>
            <w:tcBorders>
              <w:bottom w:val="single" w:sz="18" w:space="0" w:color="008000"/>
            </w:tcBorders>
            <w:shd w:val="clear" w:color="auto" w:fill="FFFFFF" w:themeFill="background1"/>
            <w:noWrap/>
            <w:vAlign w:val="center"/>
            <w:hideMark/>
          </w:tcPr>
          <w:p w14:paraId="5FF433DD" w14:textId="77777777" w:rsidR="007D67C4" w:rsidRPr="00567B3D" w:rsidRDefault="007D67C4" w:rsidP="00E10E3A">
            <w:pPr>
              <w:jc w:val="center"/>
              <w:rPr>
                <w:rFonts w:ascii="Arial" w:hAnsi="Arial" w:cs="Arial"/>
                <w:color w:val="000000"/>
                <w:sz w:val="18"/>
                <w:szCs w:val="18"/>
              </w:rPr>
            </w:pPr>
            <w:r w:rsidRPr="00567B3D">
              <w:rPr>
                <w:rFonts w:ascii="Arial" w:hAnsi="Arial" w:cs="Arial"/>
                <w:color w:val="000000"/>
                <w:sz w:val="18"/>
                <w:szCs w:val="18"/>
                <w:lang w:val="en-US"/>
              </w:rPr>
              <w:t>0.997</w:t>
            </w:r>
          </w:p>
        </w:tc>
        <w:tc>
          <w:tcPr>
            <w:tcW w:w="1418" w:type="dxa"/>
            <w:tcBorders>
              <w:bottom w:val="single" w:sz="18" w:space="0" w:color="008000"/>
            </w:tcBorders>
            <w:shd w:val="clear" w:color="auto" w:fill="FFFFFF" w:themeFill="background1"/>
            <w:noWrap/>
            <w:vAlign w:val="center"/>
            <w:hideMark/>
          </w:tcPr>
          <w:p w14:paraId="36769142" w14:textId="77777777" w:rsidR="007D67C4" w:rsidRPr="00567B3D" w:rsidRDefault="007D67C4" w:rsidP="00E10E3A">
            <w:pPr>
              <w:jc w:val="center"/>
              <w:rPr>
                <w:rFonts w:ascii="Arial" w:hAnsi="Arial" w:cs="Arial"/>
                <w:color w:val="000000"/>
                <w:sz w:val="18"/>
                <w:szCs w:val="18"/>
              </w:rPr>
            </w:pPr>
            <w:r w:rsidRPr="00567B3D">
              <w:rPr>
                <w:rFonts w:ascii="Arial" w:hAnsi="Arial" w:cs="Arial"/>
                <w:color w:val="000000"/>
                <w:sz w:val="18"/>
                <w:szCs w:val="18"/>
                <w:lang w:val="en-US"/>
              </w:rPr>
              <w:t>0.997</w:t>
            </w:r>
          </w:p>
        </w:tc>
        <w:tc>
          <w:tcPr>
            <w:tcW w:w="1417" w:type="dxa"/>
            <w:tcBorders>
              <w:bottom w:val="single" w:sz="18" w:space="0" w:color="008000"/>
            </w:tcBorders>
            <w:shd w:val="clear" w:color="auto" w:fill="FFFFFF" w:themeFill="background1"/>
            <w:noWrap/>
            <w:vAlign w:val="center"/>
            <w:hideMark/>
          </w:tcPr>
          <w:p w14:paraId="7DAF60FF" w14:textId="77777777" w:rsidR="007D67C4" w:rsidRPr="00567B3D" w:rsidRDefault="007D67C4" w:rsidP="00E10E3A">
            <w:pPr>
              <w:jc w:val="center"/>
              <w:rPr>
                <w:rFonts w:ascii="Arial" w:hAnsi="Arial" w:cs="Arial"/>
                <w:color w:val="000000"/>
                <w:sz w:val="18"/>
                <w:szCs w:val="18"/>
              </w:rPr>
            </w:pPr>
            <w:r w:rsidRPr="00567B3D">
              <w:rPr>
                <w:rFonts w:ascii="Arial" w:hAnsi="Arial" w:cs="Arial"/>
                <w:color w:val="000000"/>
                <w:sz w:val="18"/>
                <w:szCs w:val="18"/>
                <w:lang w:val="en-US"/>
              </w:rPr>
              <w:t>0.994</w:t>
            </w:r>
          </w:p>
        </w:tc>
      </w:tr>
    </w:tbl>
    <w:p w14:paraId="3C0A32ED" w14:textId="77777777" w:rsidR="00425BE1" w:rsidRDefault="00425BE1" w:rsidP="005135A9">
      <w:pPr>
        <w:pStyle w:val="CETBodytext"/>
      </w:pPr>
    </w:p>
    <w:p w14:paraId="56EB768A" w14:textId="6D30EEF8" w:rsidR="00903A68" w:rsidRDefault="00903A68" w:rsidP="00903A68">
      <w:pPr>
        <w:pStyle w:val="CETBodytext"/>
      </w:pPr>
      <w:r w:rsidRPr="001563A6">
        <w:t xml:space="preserve">For all oils, regardless of the presence of BHT, a significant decrease (p &lt; 0.05) in β-carotene levels is observed. However, statistically significant differences are observed in olive oil and sunflower oil at 20 and </w:t>
      </w:r>
      <w:r w:rsidR="00EA38B8">
        <w:t>30 min.</w:t>
      </w:r>
      <w:r w:rsidRPr="001563A6">
        <w:t xml:space="preserve">, and in </w:t>
      </w:r>
      <w:r>
        <w:t>EVO</w:t>
      </w:r>
      <w:r w:rsidRPr="001563A6">
        <w:t xml:space="preserve"> at 20, </w:t>
      </w:r>
      <w:r w:rsidR="00EA38B8">
        <w:t>25</w:t>
      </w:r>
      <w:r w:rsidRPr="001563A6">
        <w:t xml:space="preserve">, and </w:t>
      </w:r>
      <w:r w:rsidR="00EA38B8">
        <w:t>30 min</w:t>
      </w:r>
      <w:r w:rsidRPr="001563A6">
        <w:t>.</w:t>
      </w:r>
      <w:r w:rsidR="00AA0B27">
        <w:t xml:space="preserve"> </w:t>
      </w:r>
      <w:r w:rsidRPr="001563A6">
        <w:t>This behavior shows that, overall, BHT does not have a protective effect against β-carotene degradation. This phenomenon, as reported by Zeb et al. (2013), is due to the low resistance of BHT to temperatures above 140°C.</w:t>
      </w:r>
      <w:r>
        <w:t xml:space="preserve"> </w:t>
      </w:r>
      <w:r w:rsidRPr="001563A6">
        <w:t>The behavior of liquid oils is very similar, with the kinetic</w:t>
      </w:r>
      <w:r>
        <w:t>s</w:t>
      </w:r>
      <w:r w:rsidRPr="001563A6">
        <w:t xml:space="preserve"> constant k values ranging from </w:t>
      </w:r>
      <w:r>
        <w:t>1.44</w:t>
      </w:r>
      <w:r w:rsidRPr="001563A6">
        <w:t xml:space="preserve"> </w:t>
      </w:r>
      <w:r>
        <w:t>h</w:t>
      </w:r>
      <w:r w:rsidRPr="00130F8D">
        <w:rPr>
          <w:vertAlign w:val="superscript"/>
        </w:rPr>
        <w:t>-1</w:t>
      </w:r>
      <w:r w:rsidRPr="001563A6">
        <w:t xml:space="preserve"> for rapeseed oil to </w:t>
      </w:r>
      <w:r>
        <w:t>2.88</w:t>
      </w:r>
      <w:r w:rsidRPr="001563A6">
        <w:t xml:space="preserve"> </w:t>
      </w:r>
      <w:r>
        <w:t>h</w:t>
      </w:r>
      <w:r w:rsidRPr="00130F8D">
        <w:rPr>
          <w:vertAlign w:val="superscript"/>
        </w:rPr>
        <w:t>-1</w:t>
      </w:r>
      <w:r w:rsidRPr="001563A6">
        <w:t xml:space="preserve"> for olive oil. Coconut oil, however, shows a completely different </w:t>
      </w:r>
      <w:r w:rsidRPr="001563A6">
        <w:lastRenderedPageBreak/>
        <w:t xml:space="preserve">behavior, with k equal to </w:t>
      </w:r>
      <w:r>
        <w:t>7.56</w:t>
      </w:r>
      <w:r w:rsidRPr="001563A6">
        <w:t xml:space="preserve"> </w:t>
      </w:r>
      <w:r>
        <w:t>h</w:t>
      </w:r>
      <w:r w:rsidRPr="00072194">
        <w:rPr>
          <w:vertAlign w:val="superscript"/>
        </w:rPr>
        <w:t xml:space="preserve">-1 </w:t>
      </w:r>
      <w:r w:rsidRPr="001563A6">
        <w:t xml:space="preserve">in the absence of BHT and </w:t>
      </w:r>
      <w:r>
        <w:t>6.84</w:t>
      </w:r>
      <w:r w:rsidRPr="001563A6">
        <w:t xml:space="preserve"> </w:t>
      </w:r>
      <w:r>
        <w:t>h</w:t>
      </w:r>
      <w:r w:rsidRPr="00072194">
        <w:rPr>
          <w:vertAlign w:val="superscript"/>
        </w:rPr>
        <w:t>-1</w:t>
      </w:r>
      <w:r w:rsidRPr="001563A6">
        <w:t xml:space="preserve"> in the presence of BHT. These values indicate that β-carotene degrades much faster in coconut oil than in liquid oils.</w:t>
      </w:r>
      <w:r>
        <w:t xml:space="preserve"> </w:t>
      </w:r>
      <w:r w:rsidRPr="001563A6">
        <w:t>This different behavior and the resulting degradation of β-carotene are due to the different composition of the oils. Coconut oil is made up of 96% saturated fatty acids, while only 4% consists of monounsaturated fatty acids. Sunflower oil, on the other hand, is composed of 86.8% polyunsaturated fatty acids, with the remainder split between monounsaturated and saturated (O’Brien, 2009). β-carotene degrades with heat mainly due to the instability of its conjugated double bonds.</w:t>
      </w:r>
    </w:p>
    <w:p w14:paraId="3C3FAEBD" w14:textId="7EF9F558" w:rsidR="0033616F" w:rsidRPr="009C7F74" w:rsidRDefault="0033616F" w:rsidP="0033616F">
      <w:pPr>
        <w:pStyle w:val="CETBodytext"/>
      </w:pPr>
      <w:r>
        <w:t>Based on the first results,</w:t>
      </w:r>
      <w:r w:rsidRPr="00266A0C">
        <w:t xml:space="preserve"> two oils were selected for further analysis due to their very different behaviors: coconut oil and sunflower oil. It was hypothesized that the behavior of these two oils was different because their fatty acid compositions were different, therefor</w:t>
      </w:r>
      <w:r>
        <w:t>e</w:t>
      </w:r>
      <w:r w:rsidRPr="00266A0C">
        <w:t xml:space="preserve"> analysis of</w:t>
      </w:r>
      <w:r w:rsidRPr="00CB295E">
        <w:t xml:space="preserve"> </w:t>
      </w:r>
      <w:r w:rsidRPr="00266A0C">
        <w:t>the acid value and peroxide value were conducted to help explain this.</w:t>
      </w:r>
      <w:r>
        <w:t xml:space="preserve"> </w:t>
      </w:r>
      <w:r w:rsidR="002A1906">
        <w:t>As shown in Table 2, a</w:t>
      </w:r>
      <w:r w:rsidRPr="009C7F74">
        <w:t xml:space="preserve">cid values showed no significant differences up to </w:t>
      </w:r>
      <w:r w:rsidR="00EA38B8">
        <w:t>15 min.</w:t>
      </w:r>
      <w:r w:rsidRPr="009C7F74">
        <w:t xml:space="preserve"> but became statistically different at </w:t>
      </w:r>
      <w:r w:rsidR="00EA38B8">
        <w:t>20</w:t>
      </w:r>
      <w:r w:rsidRPr="009C7F74">
        <w:t xml:space="preserve">, </w:t>
      </w:r>
      <w:r w:rsidR="00EA38B8">
        <w:t>25</w:t>
      </w:r>
      <w:r w:rsidRPr="009C7F74">
        <w:t xml:space="preserve">, and </w:t>
      </w:r>
      <w:r w:rsidR="00EA38B8">
        <w:t>30</w:t>
      </w:r>
      <w:r w:rsidRPr="009C7F74">
        <w:t xml:space="preserve"> </w:t>
      </w:r>
      <w:r w:rsidR="00EA38B8">
        <w:t>min</w:t>
      </w:r>
      <w:r w:rsidRPr="009C7F74">
        <w:t xml:space="preserve">. Notably, coconut oil samples enriched with β-carotene and BHT had lower values at </w:t>
      </w:r>
      <w:proofErr w:type="gramStart"/>
      <w:r w:rsidR="00EA38B8">
        <w:t>25</w:t>
      </w:r>
      <w:r w:rsidRPr="009C7F74">
        <w:t xml:space="preserve"> and </w:t>
      </w:r>
      <w:r w:rsidR="00EA38B8">
        <w:t>30</w:t>
      </w:r>
      <w:r w:rsidRPr="009C7F74">
        <w:t xml:space="preserve"> </w:t>
      </w:r>
      <w:r w:rsidR="00EA38B8">
        <w:t>min</w:t>
      </w:r>
      <w:r w:rsidRPr="009C7F74">
        <w:t>.</w:t>
      </w:r>
      <w:proofErr w:type="gramEnd"/>
      <w:r>
        <w:t xml:space="preserve"> </w:t>
      </w:r>
      <w:r w:rsidRPr="009C7F74">
        <w:t xml:space="preserve">Peroxide levels increased in all samples at 180°C, with a significant rise at </w:t>
      </w:r>
      <w:r w:rsidR="00EA38B8">
        <w:t>30</w:t>
      </w:r>
      <w:r w:rsidRPr="009C7F74">
        <w:t xml:space="preserve"> </w:t>
      </w:r>
      <w:r w:rsidR="00EA38B8">
        <w:t>min</w:t>
      </w:r>
      <w:r w:rsidRPr="009C7F74">
        <w:t xml:space="preserve">. After </w:t>
      </w:r>
      <w:r w:rsidR="00EA38B8">
        <w:t>15</w:t>
      </w:r>
      <w:r w:rsidRPr="009C7F74">
        <w:t xml:space="preserve"> </w:t>
      </w:r>
      <w:r w:rsidR="00EA38B8">
        <w:t>min.</w:t>
      </w:r>
      <w:r w:rsidRPr="009C7F74">
        <w:t>, statistical differences emerged: pure coconut oil had similar peroxide levels to BHT-enriched oil, while coconut oil with β-carotene had lower levels compared to the other groups</w:t>
      </w:r>
      <w:r w:rsidR="00A9435B">
        <w:t>.</w:t>
      </w:r>
    </w:p>
    <w:p w14:paraId="71EBA041" w14:textId="57E2C848" w:rsidR="00B2751D" w:rsidRDefault="00AD0802" w:rsidP="00A9435B">
      <w:pPr>
        <w:pStyle w:val="CETTabletitle"/>
      </w:pPr>
      <w:r w:rsidRPr="00DC4E5B">
        <w:t xml:space="preserve">Table </w:t>
      </w:r>
      <w:r w:rsidR="00903A68">
        <w:t>2</w:t>
      </w:r>
      <w:r w:rsidRPr="00DC4E5B">
        <w:t>:</w:t>
      </w:r>
      <w:r>
        <w:t xml:space="preserve"> Acid value and peroxide value of coconut oil</w:t>
      </w:r>
      <w:r w:rsidR="00B2751D">
        <w:rPr>
          <w:spacing w:val="-2"/>
        </w:rPr>
        <w:t xml:space="preserve"> </w:t>
      </w:r>
      <w:r w:rsidR="00B2751D">
        <w:rPr>
          <w:spacing w:val="-5"/>
        </w:rPr>
        <w:t xml:space="preserve">during frying at 180°C, as it is or with addition of </w:t>
      </w:r>
      <w:r w:rsidR="00227D4F">
        <w:rPr>
          <w:rFonts w:cs="Arial"/>
          <w:spacing w:val="-5"/>
        </w:rPr>
        <w:t>β</w:t>
      </w:r>
      <w:r w:rsidR="00B2751D">
        <w:rPr>
          <w:spacing w:val="-5"/>
        </w:rPr>
        <w:t>-carotene &amp;/or BHT</w:t>
      </w:r>
      <w:r w:rsidR="00B2751D">
        <w:t xml:space="preserve">. Values are reported as means </w:t>
      </w:r>
      <w:r w:rsidR="00B2751D">
        <w:rPr>
          <w:rFonts w:cs="Arial"/>
        </w:rPr>
        <w:t>±</w:t>
      </w:r>
      <w:r w:rsidR="00B2751D">
        <w:t xml:space="preserve"> </w:t>
      </w:r>
      <w:proofErr w:type="spellStart"/>
      <w:r w:rsidR="00B2751D">
        <w:t>s.d.</w:t>
      </w:r>
      <w:proofErr w:type="spellEnd"/>
      <w:r w:rsidR="00903A68">
        <w:t xml:space="preserve"> Same letters in the same column indicate means not statistically different</w:t>
      </w:r>
      <w:r w:rsidR="00A9435B">
        <w:t>.</w:t>
      </w:r>
    </w:p>
    <w:tbl>
      <w:tblPr>
        <w:tblpPr w:leftFromText="142" w:rightFromText="142" w:vertAnchor="text" w:horzAnchor="margin" w:tblpY="1"/>
        <w:tblW w:w="8789" w:type="dxa"/>
        <w:tblBorders>
          <w:top w:val="single" w:sz="8" w:space="0" w:color="008000"/>
          <w:bottom w:val="single" w:sz="4" w:space="0" w:color="008000"/>
        </w:tblBorders>
        <w:tblLayout w:type="fixed"/>
        <w:tblCellMar>
          <w:left w:w="0" w:type="dxa"/>
          <w:right w:w="0" w:type="dxa"/>
        </w:tblCellMar>
        <w:tblLook w:val="04A0" w:firstRow="1" w:lastRow="0" w:firstColumn="1" w:lastColumn="0" w:noHBand="0" w:noVBand="1"/>
      </w:tblPr>
      <w:tblGrid>
        <w:gridCol w:w="284"/>
        <w:gridCol w:w="1134"/>
        <w:gridCol w:w="1098"/>
        <w:gridCol w:w="1046"/>
        <w:gridCol w:w="974"/>
        <w:gridCol w:w="1116"/>
        <w:gridCol w:w="1046"/>
        <w:gridCol w:w="1045"/>
        <w:gridCol w:w="1046"/>
      </w:tblGrid>
      <w:tr w:rsidR="00993954" w:rsidRPr="00A9435B" w14:paraId="3F9C7922" w14:textId="77777777" w:rsidTr="00DA69E6">
        <w:trPr>
          <w:trHeight w:val="239"/>
        </w:trPr>
        <w:tc>
          <w:tcPr>
            <w:tcW w:w="284" w:type="dxa"/>
            <w:tcBorders>
              <w:top w:val="single" w:sz="18" w:space="0" w:color="008000"/>
              <w:bottom w:val="single" w:sz="8" w:space="0" w:color="008000"/>
            </w:tcBorders>
            <w:shd w:val="clear" w:color="auto" w:fill="auto"/>
            <w:noWrap/>
            <w:vAlign w:val="center"/>
            <w:hideMark/>
          </w:tcPr>
          <w:p w14:paraId="7376B5D2" w14:textId="5E3B4E49" w:rsidR="00993954" w:rsidRPr="00DA69E6" w:rsidRDefault="00993954" w:rsidP="00371063">
            <w:pPr>
              <w:pStyle w:val="CETBodytext"/>
              <w:spacing w:line="240" w:lineRule="atLeast"/>
              <w:rPr>
                <w:sz w:val="17"/>
                <w:szCs w:val="17"/>
                <w:lang w:val="en-GB"/>
              </w:rPr>
            </w:pPr>
            <w:r w:rsidRPr="00DA69E6">
              <w:rPr>
                <w:sz w:val="17"/>
                <w:szCs w:val="17"/>
                <w:lang w:val="en-GB"/>
              </w:rPr>
              <w:t>Min</w:t>
            </w:r>
          </w:p>
        </w:tc>
        <w:tc>
          <w:tcPr>
            <w:tcW w:w="4252" w:type="dxa"/>
            <w:gridSpan w:val="4"/>
            <w:tcBorders>
              <w:top w:val="single" w:sz="18" w:space="0" w:color="008000"/>
              <w:bottom w:val="single" w:sz="8" w:space="0" w:color="008000"/>
            </w:tcBorders>
            <w:shd w:val="clear" w:color="auto" w:fill="auto"/>
            <w:noWrap/>
            <w:vAlign w:val="center"/>
            <w:hideMark/>
          </w:tcPr>
          <w:p w14:paraId="2C2A3945" w14:textId="2253E309" w:rsidR="00993954" w:rsidRPr="00DA69E6" w:rsidRDefault="00993954" w:rsidP="00371063">
            <w:pPr>
              <w:pStyle w:val="CETBodytext"/>
              <w:spacing w:line="240" w:lineRule="atLeast"/>
              <w:jc w:val="center"/>
              <w:rPr>
                <w:sz w:val="17"/>
                <w:szCs w:val="17"/>
                <w:lang w:val="en-GB"/>
              </w:rPr>
            </w:pPr>
            <w:r w:rsidRPr="00DA69E6">
              <w:rPr>
                <w:sz w:val="17"/>
                <w:szCs w:val="17"/>
                <w:lang w:val="en-GB"/>
              </w:rPr>
              <w:t xml:space="preserve">Acid Value </w:t>
            </w:r>
            <w:proofErr w:type="spellStart"/>
            <w:r w:rsidRPr="00DA69E6">
              <w:rPr>
                <w:sz w:val="17"/>
                <w:szCs w:val="17"/>
                <w:lang w:val="en-GB"/>
              </w:rPr>
              <w:t>mg</w:t>
            </w:r>
            <w:r w:rsidRPr="00DA69E6">
              <w:rPr>
                <w:sz w:val="17"/>
                <w:szCs w:val="17"/>
                <w:vertAlign w:val="subscript"/>
                <w:lang w:val="en-GB"/>
              </w:rPr>
              <w:t>KOH</w:t>
            </w:r>
            <w:proofErr w:type="spellEnd"/>
            <w:r w:rsidRPr="00DA69E6">
              <w:rPr>
                <w:sz w:val="17"/>
                <w:szCs w:val="17"/>
                <w:lang w:val="en-GB"/>
              </w:rPr>
              <w:t>/g</w:t>
            </w:r>
          </w:p>
        </w:tc>
        <w:tc>
          <w:tcPr>
            <w:tcW w:w="4253" w:type="dxa"/>
            <w:gridSpan w:val="4"/>
            <w:tcBorders>
              <w:top w:val="single" w:sz="18" w:space="0" w:color="008000"/>
              <w:bottom w:val="single" w:sz="8" w:space="0" w:color="008000"/>
            </w:tcBorders>
            <w:shd w:val="clear" w:color="auto" w:fill="auto"/>
            <w:noWrap/>
            <w:vAlign w:val="center"/>
            <w:hideMark/>
          </w:tcPr>
          <w:p w14:paraId="6AE3C8D5" w14:textId="25CC8137" w:rsidR="00993954" w:rsidRPr="00DA69E6" w:rsidRDefault="00993954" w:rsidP="00371063">
            <w:pPr>
              <w:pStyle w:val="CETBodytext"/>
              <w:spacing w:line="240" w:lineRule="atLeast"/>
              <w:jc w:val="center"/>
              <w:rPr>
                <w:sz w:val="17"/>
                <w:szCs w:val="17"/>
                <w:lang w:val="en-GB"/>
              </w:rPr>
            </w:pPr>
            <w:r w:rsidRPr="00DA69E6">
              <w:rPr>
                <w:sz w:val="17"/>
                <w:szCs w:val="17"/>
                <w:lang w:val="en-GB"/>
              </w:rPr>
              <w:t>Peroxide Value meq</w:t>
            </w:r>
            <w:r w:rsidRPr="00DA69E6">
              <w:rPr>
                <w:sz w:val="17"/>
                <w:szCs w:val="17"/>
                <w:vertAlign w:val="subscript"/>
                <w:lang w:val="en-GB"/>
              </w:rPr>
              <w:t>O2</w:t>
            </w:r>
            <w:r w:rsidRPr="00DA69E6">
              <w:rPr>
                <w:sz w:val="17"/>
                <w:szCs w:val="17"/>
                <w:lang w:val="en-GB"/>
              </w:rPr>
              <w:t>/kg</w:t>
            </w:r>
          </w:p>
        </w:tc>
      </w:tr>
      <w:tr w:rsidR="0033616F" w:rsidRPr="00A9435B" w14:paraId="299C86C9" w14:textId="77777777" w:rsidTr="00A9435B">
        <w:trPr>
          <w:trHeight w:val="57"/>
        </w:trPr>
        <w:tc>
          <w:tcPr>
            <w:tcW w:w="284" w:type="dxa"/>
            <w:tcBorders>
              <w:top w:val="single" w:sz="8" w:space="0" w:color="008000"/>
            </w:tcBorders>
            <w:shd w:val="clear" w:color="auto" w:fill="auto"/>
            <w:noWrap/>
            <w:vAlign w:val="center"/>
            <w:hideMark/>
          </w:tcPr>
          <w:p w14:paraId="70DFDA73" w14:textId="77777777" w:rsidR="007D67C4" w:rsidRPr="00A9435B" w:rsidRDefault="007D67C4" w:rsidP="00993954">
            <w:pPr>
              <w:pStyle w:val="CETBodytext"/>
              <w:jc w:val="left"/>
              <w:rPr>
                <w:sz w:val="16"/>
                <w:szCs w:val="16"/>
                <w:lang w:val="en-GB"/>
              </w:rPr>
            </w:pPr>
          </w:p>
        </w:tc>
        <w:tc>
          <w:tcPr>
            <w:tcW w:w="1134" w:type="dxa"/>
            <w:tcBorders>
              <w:top w:val="single" w:sz="8" w:space="0" w:color="008000"/>
            </w:tcBorders>
            <w:shd w:val="clear" w:color="auto" w:fill="auto"/>
            <w:noWrap/>
            <w:vAlign w:val="center"/>
            <w:hideMark/>
          </w:tcPr>
          <w:p w14:paraId="56CC6A75" w14:textId="77777777" w:rsidR="007D67C4" w:rsidRPr="00A9435B" w:rsidRDefault="007D67C4" w:rsidP="007D67C4">
            <w:pPr>
              <w:pStyle w:val="CETBodytext"/>
              <w:jc w:val="center"/>
              <w:rPr>
                <w:sz w:val="16"/>
                <w:szCs w:val="16"/>
                <w:lang w:val="en-GB"/>
              </w:rPr>
            </w:pPr>
            <w:r w:rsidRPr="00A9435B">
              <w:rPr>
                <w:sz w:val="16"/>
                <w:szCs w:val="16"/>
                <w:lang w:val="en-GB"/>
              </w:rPr>
              <w:t>C</w:t>
            </w:r>
          </w:p>
        </w:tc>
        <w:tc>
          <w:tcPr>
            <w:tcW w:w="1098" w:type="dxa"/>
            <w:tcBorders>
              <w:top w:val="single" w:sz="8" w:space="0" w:color="008000"/>
            </w:tcBorders>
            <w:shd w:val="clear" w:color="auto" w:fill="auto"/>
            <w:noWrap/>
            <w:vAlign w:val="center"/>
            <w:hideMark/>
          </w:tcPr>
          <w:p w14:paraId="7B1CEDEE" w14:textId="77777777" w:rsidR="007D67C4" w:rsidRPr="00A9435B" w:rsidRDefault="007D67C4" w:rsidP="007D67C4">
            <w:pPr>
              <w:pStyle w:val="CETBodytext"/>
              <w:jc w:val="center"/>
              <w:rPr>
                <w:sz w:val="16"/>
                <w:szCs w:val="16"/>
                <w:lang w:val="en-GB"/>
              </w:rPr>
            </w:pPr>
            <w:r w:rsidRPr="00A9435B">
              <w:rPr>
                <w:sz w:val="16"/>
                <w:szCs w:val="16"/>
                <w:lang w:val="en-GB"/>
              </w:rPr>
              <w:t>C-BHT</w:t>
            </w:r>
          </w:p>
        </w:tc>
        <w:tc>
          <w:tcPr>
            <w:tcW w:w="1046" w:type="dxa"/>
            <w:tcBorders>
              <w:top w:val="single" w:sz="8" w:space="0" w:color="008000"/>
            </w:tcBorders>
            <w:shd w:val="clear" w:color="auto" w:fill="auto"/>
            <w:noWrap/>
            <w:vAlign w:val="center"/>
            <w:hideMark/>
          </w:tcPr>
          <w:p w14:paraId="1FE0C517" w14:textId="77777777" w:rsidR="007D67C4" w:rsidRPr="00A9435B" w:rsidRDefault="007D67C4" w:rsidP="007D67C4">
            <w:pPr>
              <w:pStyle w:val="CETBodytext"/>
              <w:jc w:val="center"/>
              <w:rPr>
                <w:sz w:val="16"/>
                <w:szCs w:val="16"/>
                <w:lang w:val="en-GB"/>
              </w:rPr>
            </w:pPr>
            <w:r w:rsidRPr="00A9435B">
              <w:rPr>
                <w:sz w:val="16"/>
                <w:szCs w:val="16"/>
                <w:lang w:val="en-GB"/>
              </w:rPr>
              <w:t>C-βc</w:t>
            </w:r>
          </w:p>
        </w:tc>
        <w:tc>
          <w:tcPr>
            <w:tcW w:w="974" w:type="dxa"/>
            <w:tcBorders>
              <w:top w:val="single" w:sz="8" w:space="0" w:color="008000"/>
            </w:tcBorders>
            <w:shd w:val="clear" w:color="auto" w:fill="auto"/>
            <w:noWrap/>
            <w:vAlign w:val="center"/>
            <w:hideMark/>
          </w:tcPr>
          <w:p w14:paraId="0CF5BFFA" w14:textId="77777777" w:rsidR="007D67C4" w:rsidRPr="00A9435B" w:rsidRDefault="007D67C4" w:rsidP="007D67C4">
            <w:pPr>
              <w:pStyle w:val="CETBodytext"/>
              <w:jc w:val="center"/>
              <w:rPr>
                <w:sz w:val="16"/>
                <w:szCs w:val="16"/>
                <w:lang w:val="en-GB"/>
              </w:rPr>
            </w:pPr>
            <w:r w:rsidRPr="00A9435B">
              <w:rPr>
                <w:sz w:val="16"/>
                <w:szCs w:val="16"/>
                <w:lang w:val="en-GB"/>
              </w:rPr>
              <w:t>C-βc-BHT</w:t>
            </w:r>
          </w:p>
        </w:tc>
        <w:tc>
          <w:tcPr>
            <w:tcW w:w="1116" w:type="dxa"/>
            <w:tcBorders>
              <w:top w:val="single" w:sz="8" w:space="0" w:color="008000"/>
            </w:tcBorders>
            <w:shd w:val="clear" w:color="auto" w:fill="auto"/>
            <w:noWrap/>
            <w:vAlign w:val="center"/>
            <w:hideMark/>
          </w:tcPr>
          <w:p w14:paraId="4AD28B46" w14:textId="77777777" w:rsidR="007D67C4" w:rsidRPr="00A9435B" w:rsidRDefault="007D67C4" w:rsidP="007D67C4">
            <w:pPr>
              <w:pStyle w:val="CETBodytext"/>
              <w:jc w:val="center"/>
              <w:rPr>
                <w:sz w:val="16"/>
                <w:szCs w:val="16"/>
                <w:lang w:val="en-GB"/>
              </w:rPr>
            </w:pPr>
            <w:r w:rsidRPr="00A9435B">
              <w:rPr>
                <w:sz w:val="16"/>
                <w:szCs w:val="16"/>
                <w:lang w:val="en-GB"/>
              </w:rPr>
              <w:t>C</w:t>
            </w:r>
          </w:p>
        </w:tc>
        <w:tc>
          <w:tcPr>
            <w:tcW w:w="1046" w:type="dxa"/>
            <w:tcBorders>
              <w:top w:val="single" w:sz="8" w:space="0" w:color="008000"/>
            </w:tcBorders>
            <w:shd w:val="clear" w:color="auto" w:fill="auto"/>
            <w:noWrap/>
            <w:vAlign w:val="center"/>
            <w:hideMark/>
          </w:tcPr>
          <w:p w14:paraId="0A35D1C7" w14:textId="77777777" w:rsidR="007D67C4" w:rsidRPr="00A9435B" w:rsidRDefault="007D67C4" w:rsidP="007D67C4">
            <w:pPr>
              <w:pStyle w:val="CETBodytext"/>
              <w:jc w:val="center"/>
              <w:rPr>
                <w:sz w:val="16"/>
                <w:szCs w:val="16"/>
                <w:lang w:val="en-GB"/>
              </w:rPr>
            </w:pPr>
            <w:r w:rsidRPr="00A9435B">
              <w:rPr>
                <w:sz w:val="16"/>
                <w:szCs w:val="16"/>
                <w:lang w:val="en-GB"/>
              </w:rPr>
              <w:t>C-BHT</w:t>
            </w:r>
          </w:p>
        </w:tc>
        <w:tc>
          <w:tcPr>
            <w:tcW w:w="1045" w:type="dxa"/>
            <w:tcBorders>
              <w:top w:val="single" w:sz="8" w:space="0" w:color="008000"/>
            </w:tcBorders>
            <w:shd w:val="clear" w:color="auto" w:fill="auto"/>
            <w:noWrap/>
            <w:vAlign w:val="center"/>
            <w:hideMark/>
          </w:tcPr>
          <w:p w14:paraId="4DBD6E7F" w14:textId="77777777" w:rsidR="007D67C4" w:rsidRPr="00A9435B" w:rsidRDefault="007D67C4" w:rsidP="007D67C4">
            <w:pPr>
              <w:pStyle w:val="CETBodytext"/>
              <w:jc w:val="center"/>
              <w:rPr>
                <w:sz w:val="16"/>
                <w:szCs w:val="16"/>
                <w:lang w:val="en-GB"/>
              </w:rPr>
            </w:pPr>
            <w:r w:rsidRPr="00A9435B">
              <w:rPr>
                <w:sz w:val="16"/>
                <w:szCs w:val="16"/>
                <w:lang w:val="en-GB"/>
              </w:rPr>
              <w:t>C-βc</w:t>
            </w:r>
          </w:p>
        </w:tc>
        <w:tc>
          <w:tcPr>
            <w:tcW w:w="1046" w:type="dxa"/>
            <w:tcBorders>
              <w:top w:val="single" w:sz="8" w:space="0" w:color="008000"/>
            </w:tcBorders>
            <w:shd w:val="clear" w:color="auto" w:fill="auto"/>
            <w:noWrap/>
            <w:vAlign w:val="center"/>
            <w:hideMark/>
          </w:tcPr>
          <w:p w14:paraId="7744E89B" w14:textId="77777777" w:rsidR="007D67C4" w:rsidRPr="00A9435B" w:rsidRDefault="007D67C4" w:rsidP="007D67C4">
            <w:pPr>
              <w:pStyle w:val="CETBodytext"/>
              <w:jc w:val="center"/>
              <w:rPr>
                <w:sz w:val="16"/>
                <w:szCs w:val="16"/>
                <w:lang w:val="en-GB"/>
              </w:rPr>
            </w:pPr>
            <w:r w:rsidRPr="00A9435B">
              <w:rPr>
                <w:sz w:val="16"/>
                <w:szCs w:val="16"/>
                <w:lang w:val="en-GB"/>
              </w:rPr>
              <w:t>C-βc-BHT</w:t>
            </w:r>
          </w:p>
        </w:tc>
      </w:tr>
      <w:tr w:rsidR="0033616F" w:rsidRPr="00A9435B" w14:paraId="49347DCF" w14:textId="77777777" w:rsidTr="00A9435B">
        <w:trPr>
          <w:trHeight w:val="109"/>
        </w:trPr>
        <w:tc>
          <w:tcPr>
            <w:tcW w:w="284" w:type="dxa"/>
            <w:shd w:val="clear" w:color="auto" w:fill="auto"/>
            <w:noWrap/>
            <w:vAlign w:val="center"/>
            <w:hideMark/>
          </w:tcPr>
          <w:p w14:paraId="74EB85E3" w14:textId="77777777" w:rsidR="007D67C4" w:rsidRPr="00A9435B" w:rsidRDefault="007D67C4" w:rsidP="00993954">
            <w:pPr>
              <w:pStyle w:val="CETBodytext"/>
              <w:jc w:val="left"/>
              <w:rPr>
                <w:sz w:val="16"/>
                <w:szCs w:val="16"/>
                <w:lang w:val="en-GB"/>
              </w:rPr>
            </w:pPr>
            <w:r w:rsidRPr="00A9435B">
              <w:rPr>
                <w:sz w:val="16"/>
                <w:szCs w:val="16"/>
                <w:lang w:val="en-GB"/>
              </w:rPr>
              <w:t>0</w:t>
            </w:r>
          </w:p>
        </w:tc>
        <w:tc>
          <w:tcPr>
            <w:tcW w:w="1134" w:type="dxa"/>
            <w:shd w:val="clear" w:color="auto" w:fill="auto"/>
            <w:noWrap/>
            <w:vAlign w:val="center"/>
            <w:hideMark/>
          </w:tcPr>
          <w:p w14:paraId="0A7C5080" w14:textId="1987A1F5" w:rsidR="007D67C4" w:rsidRPr="00A9435B" w:rsidRDefault="007D67C4" w:rsidP="007D67C4">
            <w:pPr>
              <w:pStyle w:val="CETBodytext"/>
              <w:rPr>
                <w:sz w:val="16"/>
                <w:szCs w:val="16"/>
                <w:lang w:val="en-GB"/>
              </w:rPr>
            </w:pPr>
            <w:r w:rsidRPr="00A9435B">
              <w:rPr>
                <w:sz w:val="16"/>
                <w:szCs w:val="16"/>
                <w:lang w:val="en-GB"/>
              </w:rPr>
              <w:t>0.15±0.04</w:t>
            </w:r>
            <w:r w:rsidRPr="00A9435B">
              <w:rPr>
                <w:sz w:val="16"/>
                <w:szCs w:val="16"/>
                <w:vertAlign w:val="superscript"/>
                <w:lang w:val="en-GB"/>
              </w:rPr>
              <w:t>ab</w:t>
            </w:r>
          </w:p>
        </w:tc>
        <w:tc>
          <w:tcPr>
            <w:tcW w:w="1098" w:type="dxa"/>
            <w:shd w:val="clear" w:color="auto" w:fill="auto"/>
            <w:noWrap/>
            <w:vAlign w:val="center"/>
            <w:hideMark/>
          </w:tcPr>
          <w:p w14:paraId="5E28FBB7" w14:textId="27C8DA9C" w:rsidR="007D67C4" w:rsidRPr="00A9435B" w:rsidRDefault="007D67C4" w:rsidP="007D67C4">
            <w:pPr>
              <w:pStyle w:val="CETBodytext"/>
              <w:rPr>
                <w:sz w:val="16"/>
                <w:szCs w:val="16"/>
                <w:lang w:val="en-GB"/>
              </w:rPr>
            </w:pPr>
            <w:r w:rsidRPr="00A9435B">
              <w:rPr>
                <w:sz w:val="16"/>
                <w:szCs w:val="16"/>
                <w:lang w:val="en-GB"/>
              </w:rPr>
              <w:t>0.15±0.01</w:t>
            </w:r>
            <w:r w:rsidRPr="00A9435B">
              <w:rPr>
                <w:sz w:val="16"/>
                <w:szCs w:val="16"/>
                <w:vertAlign w:val="superscript"/>
                <w:lang w:val="en-GB"/>
              </w:rPr>
              <w:t>a</w:t>
            </w:r>
          </w:p>
        </w:tc>
        <w:tc>
          <w:tcPr>
            <w:tcW w:w="1046" w:type="dxa"/>
            <w:shd w:val="clear" w:color="auto" w:fill="auto"/>
            <w:noWrap/>
            <w:vAlign w:val="center"/>
            <w:hideMark/>
          </w:tcPr>
          <w:p w14:paraId="654D84AE" w14:textId="27A1E94D" w:rsidR="007D67C4" w:rsidRPr="00A9435B" w:rsidRDefault="007D67C4" w:rsidP="007D67C4">
            <w:pPr>
              <w:pStyle w:val="CETBodytext"/>
              <w:rPr>
                <w:sz w:val="16"/>
                <w:szCs w:val="16"/>
                <w:lang w:val="en-GB"/>
              </w:rPr>
            </w:pPr>
            <w:r w:rsidRPr="00A9435B">
              <w:rPr>
                <w:sz w:val="16"/>
                <w:szCs w:val="16"/>
                <w:lang w:val="en-GB"/>
              </w:rPr>
              <w:t>0.14±0.01</w:t>
            </w:r>
            <w:r w:rsidRPr="00A9435B">
              <w:rPr>
                <w:sz w:val="16"/>
                <w:szCs w:val="16"/>
                <w:vertAlign w:val="superscript"/>
                <w:lang w:val="en-GB"/>
              </w:rPr>
              <w:t>a</w:t>
            </w:r>
          </w:p>
        </w:tc>
        <w:tc>
          <w:tcPr>
            <w:tcW w:w="974" w:type="dxa"/>
            <w:shd w:val="clear" w:color="auto" w:fill="auto"/>
            <w:noWrap/>
            <w:vAlign w:val="center"/>
            <w:hideMark/>
          </w:tcPr>
          <w:p w14:paraId="69E7E1F2" w14:textId="1FA4EBFB" w:rsidR="007D67C4" w:rsidRPr="00A9435B" w:rsidRDefault="007D67C4" w:rsidP="007D67C4">
            <w:pPr>
              <w:pStyle w:val="CETBodytext"/>
              <w:rPr>
                <w:sz w:val="16"/>
                <w:szCs w:val="16"/>
                <w:lang w:val="en-GB"/>
              </w:rPr>
            </w:pPr>
            <w:r w:rsidRPr="00A9435B">
              <w:rPr>
                <w:sz w:val="16"/>
                <w:szCs w:val="16"/>
                <w:lang w:val="en-GB"/>
              </w:rPr>
              <w:t>0.14±0.01</w:t>
            </w:r>
            <w:r w:rsidRPr="00A9435B">
              <w:rPr>
                <w:sz w:val="16"/>
                <w:szCs w:val="16"/>
                <w:vertAlign w:val="superscript"/>
                <w:lang w:val="en-GB"/>
              </w:rPr>
              <w:t>a</w:t>
            </w:r>
          </w:p>
        </w:tc>
        <w:tc>
          <w:tcPr>
            <w:tcW w:w="1116" w:type="dxa"/>
            <w:shd w:val="clear" w:color="auto" w:fill="auto"/>
            <w:noWrap/>
            <w:vAlign w:val="center"/>
            <w:hideMark/>
          </w:tcPr>
          <w:p w14:paraId="7FD3FFD7" w14:textId="60774737" w:rsidR="007D67C4" w:rsidRPr="00A9435B" w:rsidRDefault="007D67C4" w:rsidP="007D67C4">
            <w:pPr>
              <w:pStyle w:val="CETBodytext"/>
              <w:rPr>
                <w:sz w:val="16"/>
                <w:szCs w:val="16"/>
                <w:lang w:val="en-GB"/>
              </w:rPr>
            </w:pPr>
            <w:r w:rsidRPr="00A9435B">
              <w:rPr>
                <w:sz w:val="16"/>
                <w:szCs w:val="16"/>
                <w:lang w:val="en-GB"/>
              </w:rPr>
              <w:t>86.67±15.28</w:t>
            </w:r>
            <w:r w:rsidRPr="00A9435B">
              <w:rPr>
                <w:sz w:val="16"/>
                <w:szCs w:val="16"/>
                <w:vertAlign w:val="superscript"/>
                <w:lang w:val="en-GB"/>
              </w:rPr>
              <w:t>a</w:t>
            </w:r>
          </w:p>
        </w:tc>
        <w:tc>
          <w:tcPr>
            <w:tcW w:w="1046" w:type="dxa"/>
            <w:shd w:val="clear" w:color="auto" w:fill="auto"/>
            <w:noWrap/>
            <w:vAlign w:val="center"/>
            <w:hideMark/>
          </w:tcPr>
          <w:p w14:paraId="030ACFC6" w14:textId="65D30F74" w:rsidR="007D67C4" w:rsidRPr="00A9435B" w:rsidRDefault="007D67C4" w:rsidP="007D67C4">
            <w:pPr>
              <w:pStyle w:val="CETBodytext"/>
              <w:rPr>
                <w:sz w:val="16"/>
                <w:szCs w:val="16"/>
                <w:lang w:val="en-GB"/>
              </w:rPr>
            </w:pPr>
            <w:r w:rsidRPr="00A9435B">
              <w:rPr>
                <w:sz w:val="16"/>
                <w:szCs w:val="16"/>
                <w:lang w:val="en-GB"/>
              </w:rPr>
              <w:t>50.00±11.55</w:t>
            </w:r>
            <w:r w:rsidRPr="00A9435B">
              <w:rPr>
                <w:sz w:val="16"/>
                <w:szCs w:val="16"/>
                <w:vertAlign w:val="superscript"/>
                <w:lang w:val="en-GB"/>
              </w:rPr>
              <w:t>a</w:t>
            </w:r>
          </w:p>
        </w:tc>
        <w:tc>
          <w:tcPr>
            <w:tcW w:w="1045" w:type="dxa"/>
            <w:shd w:val="clear" w:color="auto" w:fill="auto"/>
            <w:noWrap/>
            <w:vAlign w:val="center"/>
            <w:hideMark/>
          </w:tcPr>
          <w:p w14:paraId="50D18B5D" w14:textId="2809C85F" w:rsidR="007D67C4" w:rsidRPr="00A9435B" w:rsidRDefault="007D67C4" w:rsidP="007D67C4">
            <w:pPr>
              <w:pStyle w:val="CETBodytext"/>
              <w:rPr>
                <w:sz w:val="16"/>
                <w:szCs w:val="16"/>
                <w:lang w:val="en-GB"/>
              </w:rPr>
            </w:pPr>
            <w:r w:rsidRPr="00A9435B">
              <w:rPr>
                <w:sz w:val="16"/>
                <w:szCs w:val="16"/>
                <w:lang w:val="en-GB"/>
              </w:rPr>
              <w:t>46.67±5.77</w:t>
            </w:r>
            <w:r w:rsidRPr="00A9435B">
              <w:rPr>
                <w:sz w:val="16"/>
                <w:szCs w:val="16"/>
                <w:vertAlign w:val="superscript"/>
                <w:lang w:val="en-GB"/>
              </w:rPr>
              <w:t>a</w:t>
            </w:r>
          </w:p>
        </w:tc>
        <w:tc>
          <w:tcPr>
            <w:tcW w:w="1046" w:type="dxa"/>
            <w:shd w:val="clear" w:color="auto" w:fill="auto"/>
            <w:noWrap/>
            <w:vAlign w:val="center"/>
            <w:hideMark/>
          </w:tcPr>
          <w:p w14:paraId="11DC3D9D" w14:textId="312DA325" w:rsidR="007D67C4" w:rsidRPr="00A9435B" w:rsidRDefault="007D67C4" w:rsidP="007D67C4">
            <w:pPr>
              <w:pStyle w:val="CETBodytext"/>
              <w:rPr>
                <w:sz w:val="16"/>
                <w:szCs w:val="16"/>
                <w:lang w:val="en-GB"/>
              </w:rPr>
            </w:pPr>
            <w:r w:rsidRPr="00A9435B">
              <w:rPr>
                <w:sz w:val="16"/>
                <w:szCs w:val="16"/>
                <w:lang w:val="en-GB"/>
              </w:rPr>
              <w:t>50.00±10.00</w:t>
            </w:r>
            <w:r w:rsidRPr="00A9435B">
              <w:rPr>
                <w:sz w:val="16"/>
                <w:szCs w:val="16"/>
                <w:vertAlign w:val="superscript"/>
                <w:lang w:val="en-GB"/>
              </w:rPr>
              <w:t>a</w:t>
            </w:r>
          </w:p>
        </w:tc>
      </w:tr>
      <w:tr w:rsidR="0033616F" w:rsidRPr="00A9435B" w14:paraId="12D93DE1" w14:textId="77777777" w:rsidTr="00A9435B">
        <w:trPr>
          <w:trHeight w:val="155"/>
        </w:trPr>
        <w:tc>
          <w:tcPr>
            <w:tcW w:w="284" w:type="dxa"/>
            <w:shd w:val="clear" w:color="auto" w:fill="auto"/>
            <w:noWrap/>
            <w:vAlign w:val="center"/>
            <w:hideMark/>
          </w:tcPr>
          <w:p w14:paraId="7DCB5CDD" w14:textId="0E36DCD0" w:rsidR="007D67C4" w:rsidRPr="00A9435B" w:rsidRDefault="00903A68" w:rsidP="00993954">
            <w:pPr>
              <w:pStyle w:val="CETBodytext"/>
              <w:jc w:val="left"/>
              <w:rPr>
                <w:sz w:val="16"/>
                <w:szCs w:val="16"/>
                <w:lang w:val="en-GB"/>
              </w:rPr>
            </w:pPr>
            <w:r w:rsidRPr="00A9435B">
              <w:rPr>
                <w:sz w:val="16"/>
                <w:szCs w:val="16"/>
                <w:lang w:val="en-GB"/>
              </w:rPr>
              <w:t>5</w:t>
            </w:r>
          </w:p>
        </w:tc>
        <w:tc>
          <w:tcPr>
            <w:tcW w:w="1134" w:type="dxa"/>
            <w:shd w:val="clear" w:color="auto" w:fill="auto"/>
            <w:noWrap/>
            <w:vAlign w:val="center"/>
            <w:hideMark/>
          </w:tcPr>
          <w:p w14:paraId="7DB69559" w14:textId="77777777" w:rsidR="007D67C4" w:rsidRPr="00A9435B" w:rsidRDefault="007D67C4" w:rsidP="007D67C4">
            <w:pPr>
              <w:pStyle w:val="CETBodytext"/>
              <w:rPr>
                <w:sz w:val="16"/>
                <w:szCs w:val="16"/>
                <w:lang w:val="en-GB"/>
              </w:rPr>
            </w:pPr>
            <w:r w:rsidRPr="00A9435B">
              <w:rPr>
                <w:sz w:val="16"/>
                <w:szCs w:val="16"/>
                <w:lang w:val="en-GB"/>
              </w:rPr>
              <w:t>0.16 ± 0.05</w:t>
            </w:r>
            <w:r w:rsidRPr="00A9435B">
              <w:rPr>
                <w:sz w:val="16"/>
                <w:szCs w:val="16"/>
                <w:vertAlign w:val="superscript"/>
                <w:lang w:val="en-GB"/>
              </w:rPr>
              <w:t>ab</w:t>
            </w:r>
          </w:p>
        </w:tc>
        <w:tc>
          <w:tcPr>
            <w:tcW w:w="1098" w:type="dxa"/>
            <w:shd w:val="clear" w:color="auto" w:fill="auto"/>
            <w:noWrap/>
            <w:vAlign w:val="center"/>
            <w:hideMark/>
          </w:tcPr>
          <w:p w14:paraId="608C7C54" w14:textId="77777777" w:rsidR="007D67C4" w:rsidRPr="00A9435B" w:rsidRDefault="007D67C4" w:rsidP="007D67C4">
            <w:pPr>
              <w:pStyle w:val="CETBodytext"/>
              <w:rPr>
                <w:sz w:val="16"/>
                <w:szCs w:val="16"/>
                <w:lang w:val="en-GB"/>
              </w:rPr>
            </w:pPr>
            <w:r w:rsidRPr="00A9435B">
              <w:rPr>
                <w:sz w:val="16"/>
                <w:szCs w:val="16"/>
                <w:lang w:val="en-GB"/>
              </w:rPr>
              <w:t>0.16 ± 0.02</w:t>
            </w:r>
            <w:r w:rsidRPr="00A9435B">
              <w:rPr>
                <w:sz w:val="16"/>
                <w:szCs w:val="16"/>
                <w:vertAlign w:val="superscript"/>
                <w:lang w:val="en-GB"/>
              </w:rPr>
              <w:t>ab</w:t>
            </w:r>
          </w:p>
        </w:tc>
        <w:tc>
          <w:tcPr>
            <w:tcW w:w="1046" w:type="dxa"/>
            <w:shd w:val="clear" w:color="auto" w:fill="auto"/>
            <w:noWrap/>
            <w:vAlign w:val="center"/>
            <w:hideMark/>
          </w:tcPr>
          <w:p w14:paraId="088A8C3E" w14:textId="77777777" w:rsidR="007D67C4" w:rsidRPr="00A9435B" w:rsidRDefault="007D67C4" w:rsidP="007D67C4">
            <w:pPr>
              <w:pStyle w:val="CETBodytext"/>
              <w:rPr>
                <w:sz w:val="16"/>
                <w:szCs w:val="16"/>
                <w:lang w:val="en-GB"/>
              </w:rPr>
            </w:pPr>
            <w:r w:rsidRPr="00A9435B">
              <w:rPr>
                <w:sz w:val="16"/>
                <w:szCs w:val="16"/>
                <w:lang w:val="en-GB"/>
              </w:rPr>
              <w:t>0.14 ± 0.01</w:t>
            </w:r>
            <w:r w:rsidRPr="00A9435B">
              <w:rPr>
                <w:sz w:val="16"/>
                <w:szCs w:val="16"/>
                <w:vertAlign w:val="superscript"/>
                <w:lang w:val="en-GB"/>
              </w:rPr>
              <w:t>a</w:t>
            </w:r>
          </w:p>
        </w:tc>
        <w:tc>
          <w:tcPr>
            <w:tcW w:w="974" w:type="dxa"/>
            <w:shd w:val="clear" w:color="auto" w:fill="auto"/>
            <w:noWrap/>
            <w:vAlign w:val="center"/>
            <w:hideMark/>
          </w:tcPr>
          <w:p w14:paraId="4632E550" w14:textId="77777777" w:rsidR="007D67C4" w:rsidRPr="00A9435B" w:rsidRDefault="007D67C4" w:rsidP="007D67C4">
            <w:pPr>
              <w:pStyle w:val="CETBodytext"/>
              <w:rPr>
                <w:sz w:val="16"/>
                <w:szCs w:val="16"/>
                <w:lang w:val="en-GB"/>
              </w:rPr>
            </w:pPr>
            <w:r w:rsidRPr="00A9435B">
              <w:rPr>
                <w:sz w:val="16"/>
                <w:szCs w:val="16"/>
                <w:lang w:val="en-GB"/>
              </w:rPr>
              <w:t>0.14 ± 0.01</w:t>
            </w:r>
            <w:r w:rsidRPr="00A9435B">
              <w:rPr>
                <w:sz w:val="16"/>
                <w:szCs w:val="16"/>
                <w:vertAlign w:val="superscript"/>
                <w:lang w:val="en-GB"/>
              </w:rPr>
              <w:t>a</w:t>
            </w:r>
          </w:p>
        </w:tc>
        <w:tc>
          <w:tcPr>
            <w:tcW w:w="1116" w:type="dxa"/>
            <w:shd w:val="clear" w:color="auto" w:fill="auto"/>
            <w:noWrap/>
            <w:vAlign w:val="center"/>
            <w:hideMark/>
          </w:tcPr>
          <w:p w14:paraId="29941025" w14:textId="146071FF" w:rsidR="007D67C4" w:rsidRPr="00A9435B" w:rsidRDefault="007D67C4" w:rsidP="007D67C4">
            <w:pPr>
              <w:pStyle w:val="CETBodytext"/>
              <w:rPr>
                <w:sz w:val="16"/>
                <w:szCs w:val="16"/>
                <w:lang w:val="en-GB"/>
              </w:rPr>
            </w:pPr>
            <w:r w:rsidRPr="00A9435B">
              <w:rPr>
                <w:sz w:val="16"/>
                <w:szCs w:val="16"/>
                <w:lang w:val="en-GB"/>
              </w:rPr>
              <w:t>103.33±20.82</w:t>
            </w:r>
            <w:r w:rsidRPr="00A9435B">
              <w:rPr>
                <w:sz w:val="16"/>
                <w:szCs w:val="16"/>
                <w:vertAlign w:val="superscript"/>
                <w:lang w:val="en-GB"/>
              </w:rPr>
              <w:t>b</w:t>
            </w:r>
          </w:p>
        </w:tc>
        <w:tc>
          <w:tcPr>
            <w:tcW w:w="1046" w:type="dxa"/>
            <w:shd w:val="clear" w:color="auto" w:fill="auto"/>
            <w:noWrap/>
            <w:vAlign w:val="center"/>
            <w:hideMark/>
          </w:tcPr>
          <w:p w14:paraId="303C2C5E" w14:textId="17E76A8D" w:rsidR="007D67C4" w:rsidRPr="00A9435B" w:rsidRDefault="007D67C4" w:rsidP="007D67C4">
            <w:pPr>
              <w:pStyle w:val="CETBodytext"/>
              <w:rPr>
                <w:sz w:val="16"/>
                <w:szCs w:val="16"/>
                <w:lang w:val="en-GB"/>
              </w:rPr>
            </w:pPr>
            <w:r w:rsidRPr="00A9435B">
              <w:rPr>
                <w:sz w:val="16"/>
                <w:szCs w:val="16"/>
                <w:lang w:val="en-GB"/>
              </w:rPr>
              <w:t>63.33 ±15.28</w:t>
            </w:r>
            <w:r w:rsidRPr="00A9435B">
              <w:rPr>
                <w:sz w:val="16"/>
                <w:szCs w:val="16"/>
                <w:vertAlign w:val="superscript"/>
                <w:lang w:val="en-GB"/>
              </w:rPr>
              <w:t>b</w:t>
            </w:r>
          </w:p>
        </w:tc>
        <w:tc>
          <w:tcPr>
            <w:tcW w:w="1045" w:type="dxa"/>
            <w:shd w:val="clear" w:color="auto" w:fill="auto"/>
            <w:noWrap/>
            <w:vAlign w:val="center"/>
            <w:hideMark/>
          </w:tcPr>
          <w:p w14:paraId="0F7ECC39" w14:textId="77777777" w:rsidR="007D67C4" w:rsidRPr="00A9435B" w:rsidRDefault="007D67C4" w:rsidP="007D67C4">
            <w:pPr>
              <w:pStyle w:val="CETBodytext"/>
              <w:rPr>
                <w:sz w:val="16"/>
                <w:szCs w:val="16"/>
                <w:lang w:val="en-GB"/>
              </w:rPr>
            </w:pPr>
            <w:r w:rsidRPr="00A9435B">
              <w:rPr>
                <w:sz w:val="16"/>
                <w:szCs w:val="16"/>
                <w:lang w:val="en-GB"/>
              </w:rPr>
              <w:t>56.67 ± 5.77</w:t>
            </w:r>
            <w:r w:rsidRPr="00A9435B">
              <w:rPr>
                <w:sz w:val="16"/>
                <w:szCs w:val="16"/>
                <w:vertAlign w:val="superscript"/>
                <w:lang w:val="en-GB"/>
              </w:rPr>
              <w:t>ab</w:t>
            </w:r>
          </w:p>
        </w:tc>
        <w:tc>
          <w:tcPr>
            <w:tcW w:w="1046" w:type="dxa"/>
            <w:shd w:val="clear" w:color="auto" w:fill="auto"/>
            <w:noWrap/>
            <w:vAlign w:val="center"/>
            <w:hideMark/>
          </w:tcPr>
          <w:p w14:paraId="0E6D516B" w14:textId="6316B5D1" w:rsidR="007D67C4" w:rsidRPr="00A9435B" w:rsidRDefault="007D67C4" w:rsidP="007D67C4">
            <w:pPr>
              <w:pStyle w:val="CETBodytext"/>
              <w:rPr>
                <w:sz w:val="16"/>
                <w:szCs w:val="16"/>
                <w:lang w:val="en-GB"/>
              </w:rPr>
            </w:pPr>
            <w:r w:rsidRPr="00A9435B">
              <w:rPr>
                <w:sz w:val="16"/>
                <w:szCs w:val="16"/>
                <w:lang w:val="en-GB"/>
              </w:rPr>
              <w:t>56.67±15.28</w:t>
            </w:r>
            <w:r w:rsidR="00A9435B" w:rsidRPr="00A9435B">
              <w:rPr>
                <w:sz w:val="16"/>
                <w:szCs w:val="16"/>
                <w:vertAlign w:val="superscript"/>
                <w:lang w:val="en-GB"/>
              </w:rPr>
              <w:t>a</w:t>
            </w:r>
            <w:r w:rsidRPr="00A9435B">
              <w:rPr>
                <w:sz w:val="16"/>
                <w:szCs w:val="16"/>
                <w:vertAlign w:val="superscript"/>
                <w:lang w:val="en-GB"/>
              </w:rPr>
              <w:t>b</w:t>
            </w:r>
          </w:p>
        </w:tc>
      </w:tr>
      <w:tr w:rsidR="0033616F" w:rsidRPr="00A9435B" w14:paraId="5E0E4F39" w14:textId="77777777" w:rsidTr="00A9435B">
        <w:trPr>
          <w:trHeight w:val="51"/>
        </w:trPr>
        <w:tc>
          <w:tcPr>
            <w:tcW w:w="284" w:type="dxa"/>
            <w:shd w:val="clear" w:color="auto" w:fill="auto"/>
            <w:noWrap/>
            <w:vAlign w:val="center"/>
            <w:hideMark/>
          </w:tcPr>
          <w:p w14:paraId="3327A992" w14:textId="5B0F5C48" w:rsidR="007D67C4" w:rsidRPr="00A9435B" w:rsidRDefault="00903A68" w:rsidP="00993954">
            <w:pPr>
              <w:pStyle w:val="CETBodytext"/>
              <w:jc w:val="left"/>
              <w:rPr>
                <w:sz w:val="16"/>
                <w:szCs w:val="16"/>
                <w:lang w:val="en-GB"/>
              </w:rPr>
            </w:pPr>
            <w:r w:rsidRPr="00A9435B">
              <w:rPr>
                <w:sz w:val="16"/>
                <w:szCs w:val="16"/>
                <w:lang w:val="en-GB"/>
              </w:rPr>
              <w:t>10</w:t>
            </w:r>
          </w:p>
        </w:tc>
        <w:tc>
          <w:tcPr>
            <w:tcW w:w="1134" w:type="dxa"/>
            <w:shd w:val="clear" w:color="auto" w:fill="auto"/>
            <w:noWrap/>
            <w:vAlign w:val="center"/>
            <w:hideMark/>
          </w:tcPr>
          <w:p w14:paraId="13A10ECC" w14:textId="73ADDD6F" w:rsidR="007D67C4" w:rsidRPr="00A9435B" w:rsidRDefault="007D67C4" w:rsidP="007D67C4">
            <w:pPr>
              <w:pStyle w:val="CETBodytext"/>
              <w:rPr>
                <w:sz w:val="16"/>
                <w:szCs w:val="16"/>
                <w:lang w:val="en-GB"/>
              </w:rPr>
            </w:pPr>
            <w:r w:rsidRPr="00A9435B">
              <w:rPr>
                <w:sz w:val="16"/>
                <w:szCs w:val="16"/>
                <w:lang w:val="en-GB"/>
              </w:rPr>
              <w:t>0.18± 0.02</w:t>
            </w:r>
            <w:r w:rsidRPr="00A9435B">
              <w:rPr>
                <w:sz w:val="16"/>
                <w:szCs w:val="16"/>
                <w:vertAlign w:val="superscript"/>
                <w:lang w:val="en-GB"/>
              </w:rPr>
              <w:t>abc</w:t>
            </w:r>
          </w:p>
        </w:tc>
        <w:tc>
          <w:tcPr>
            <w:tcW w:w="1098" w:type="dxa"/>
            <w:shd w:val="clear" w:color="auto" w:fill="auto"/>
            <w:noWrap/>
            <w:vAlign w:val="center"/>
            <w:hideMark/>
          </w:tcPr>
          <w:p w14:paraId="24C169E6" w14:textId="77777777" w:rsidR="007D67C4" w:rsidRPr="00A9435B" w:rsidRDefault="007D67C4" w:rsidP="007D67C4">
            <w:pPr>
              <w:pStyle w:val="CETBodytext"/>
              <w:rPr>
                <w:sz w:val="16"/>
                <w:szCs w:val="16"/>
                <w:lang w:val="en-GB"/>
              </w:rPr>
            </w:pPr>
            <w:r w:rsidRPr="00A9435B">
              <w:rPr>
                <w:sz w:val="16"/>
                <w:szCs w:val="16"/>
                <w:lang w:val="en-GB"/>
              </w:rPr>
              <w:t>0.20 ± 0.02</w:t>
            </w:r>
            <w:r w:rsidRPr="00A9435B">
              <w:rPr>
                <w:sz w:val="16"/>
                <w:szCs w:val="16"/>
                <w:vertAlign w:val="superscript"/>
                <w:lang w:val="en-GB"/>
              </w:rPr>
              <w:t>bcd</w:t>
            </w:r>
          </w:p>
        </w:tc>
        <w:tc>
          <w:tcPr>
            <w:tcW w:w="1046" w:type="dxa"/>
            <w:shd w:val="clear" w:color="auto" w:fill="auto"/>
            <w:noWrap/>
            <w:vAlign w:val="center"/>
            <w:hideMark/>
          </w:tcPr>
          <w:p w14:paraId="2B086277" w14:textId="77777777" w:rsidR="007D67C4" w:rsidRPr="00A9435B" w:rsidRDefault="007D67C4" w:rsidP="007D67C4">
            <w:pPr>
              <w:pStyle w:val="CETBodytext"/>
              <w:rPr>
                <w:sz w:val="16"/>
                <w:szCs w:val="16"/>
                <w:lang w:val="en-GB"/>
              </w:rPr>
            </w:pPr>
            <w:r w:rsidRPr="00A9435B">
              <w:rPr>
                <w:sz w:val="16"/>
                <w:szCs w:val="16"/>
                <w:lang w:val="en-GB"/>
              </w:rPr>
              <w:t>0.18 ± 0.04</w:t>
            </w:r>
            <w:r w:rsidRPr="00A9435B">
              <w:rPr>
                <w:sz w:val="16"/>
                <w:szCs w:val="16"/>
                <w:vertAlign w:val="superscript"/>
                <w:lang w:val="en-GB"/>
              </w:rPr>
              <w:t>abc</w:t>
            </w:r>
          </w:p>
        </w:tc>
        <w:tc>
          <w:tcPr>
            <w:tcW w:w="974" w:type="dxa"/>
            <w:shd w:val="clear" w:color="auto" w:fill="auto"/>
            <w:noWrap/>
            <w:vAlign w:val="center"/>
            <w:hideMark/>
          </w:tcPr>
          <w:p w14:paraId="7BB634C3" w14:textId="77777777" w:rsidR="007D67C4" w:rsidRPr="00A9435B" w:rsidRDefault="007D67C4" w:rsidP="007D67C4">
            <w:pPr>
              <w:pStyle w:val="CETBodytext"/>
              <w:rPr>
                <w:sz w:val="16"/>
                <w:szCs w:val="16"/>
                <w:lang w:val="en-GB"/>
              </w:rPr>
            </w:pPr>
            <w:r w:rsidRPr="00A9435B">
              <w:rPr>
                <w:sz w:val="16"/>
                <w:szCs w:val="16"/>
                <w:lang w:val="en-GB"/>
              </w:rPr>
              <w:t>0.14 ± 0.01</w:t>
            </w:r>
            <w:r w:rsidRPr="00A9435B">
              <w:rPr>
                <w:sz w:val="16"/>
                <w:szCs w:val="16"/>
                <w:vertAlign w:val="superscript"/>
                <w:lang w:val="en-GB"/>
              </w:rPr>
              <w:t>a</w:t>
            </w:r>
          </w:p>
        </w:tc>
        <w:tc>
          <w:tcPr>
            <w:tcW w:w="1116" w:type="dxa"/>
            <w:shd w:val="clear" w:color="auto" w:fill="auto"/>
            <w:noWrap/>
            <w:vAlign w:val="center"/>
            <w:hideMark/>
          </w:tcPr>
          <w:p w14:paraId="18130C43" w14:textId="0EF03403" w:rsidR="007D67C4" w:rsidRPr="00A9435B" w:rsidRDefault="007D67C4" w:rsidP="007D67C4">
            <w:pPr>
              <w:pStyle w:val="CETBodytext"/>
              <w:rPr>
                <w:sz w:val="16"/>
                <w:szCs w:val="16"/>
                <w:lang w:val="en-GB"/>
              </w:rPr>
            </w:pPr>
            <w:r w:rsidRPr="00A9435B">
              <w:rPr>
                <w:sz w:val="16"/>
                <w:szCs w:val="16"/>
                <w:lang w:val="en-GB"/>
              </w:rPr>
              <w:t>106.67±26.46</w:t>
            </w:r>
            <w:r w:rsidRPr="00A9435B">
              <w:rPr>
                <w:sz w:val="16"/>
                <w:szCs w:val="16"/>
                <w:vertAlign w:val="superscript"/>
                <w:lang w:val="en-GB"/>
              </w:rPr>
              <w:t>b</w:t>
            </w:r>
          </w:p>
        </w:tc>
        <w:tc>
          <w:tcPr>
            <w:tcW w:w="1046" w:type="dxa"/>
            <w:shd w:val="clear" w:color="auto" w:fill="auto"/>
            <w:noWrap/>
            <w:vAlign w:val="center"/>
            <w:hideMark/>
          </w:tcPr>
          <w:p w14:paraId="2DCA1DB7" w14:textId="23EF60BE" w:rsidR="007D67C4" w:rsidRPr="00A9435B" w:rsidRDefault="007D67C4" w:rsidP="007D67C4">
            <w:pPr>
              <w:pStyle w:val="CETBodytext"/>
              <w:rPr>
                <w:sz w:val="16"/>
                <w:szCs w:val="16"/>
                <w:lang w:val="en-GB"/>
              </w:rPr>
            </w:pPr>
            <w:r w:rsidRPr="00A9435B">
              <w:rPr>
                <w:sz w:val="16"/>
                <w:szCs w:val="16"/>
                <w:lang w:val="en-GB"/>
              </w:rPr>
              <w:t>80.00± 15.28</w:t>
            </w:r>
            <w:r w:rsidRPr="00A9435B">
              <w:rPr>
                <w:sz w:val="16"/>
                <w:szCs w:val="16"/>
                <w:vertAlign w:val="superscript"/>
                <w:lang w:val="en-GB"/>
              </w:rPr>
              <w:t>c</w:t>
            </w:r>
          </w:p>
        </w:tc>
        <w:tc>
          <w:tcPr>
            <w:tcW w:w="1045" w:type="dxa"/>
            <w:shd w:val="clear" w:color="auto" w:fill="auto"/>
            <w:noWrap/>
            <w:vAlign w:val="center"/>
            <w:hideMark/>
          </w:tcPr>
          <w:p w14:paraId="3DE2B1E0" w14:textId="77777777" w:rsidR="007D67C4" w:rsidRPr="00A9435B" w:rsidRDefault="007D67C4" w:rsidP="007D67C4">
            <w:pPr>
              <w:pStyle w:val="CETBodytext"/>
              <w:rPr>
                <w:sz w:val="16"/>
                <w:szCs w:val="16"/>
                <w:lang w:val="en-GB"/>
              </w:rPr>
            </w:pPr>
            <w:r w:rsidRPr="00A9435B">
              <w:rPr>
                <w:sz w:val="16"/>
                <w:szCs w:val="16"/>
                <w:lang w:val="en-GB"/>
              </w:rPr>
              <w:t>66.67 ± 5.77</w:t>
            </w:r>
            <w:r w:rsidRPr="00A9435B">
              <w:rPr>
                <w:sz w:val="16"/>
                <w:szCs w:val="16"/>
                <w:vertAlign w:val="superscript"/>
                <w:lang w:val="en-GB"/>
              </w:rPr>
              <w:t>ab</w:t>
            </w:r>
          </w:p>
        </w:tc>
        <w:tc>
          <w:tcPr>
            <w:tcW w:w="1046" w:type="dxa"/>
            <w:shd w:val="clear" w:color="auto" w:fill="auto"/>
            <w:noWrap/>
            <w:vAlign w:val="center"/>
            <w:hideMark/>
          </w:tcPr>
          <w:p w14:paraId="3CCEA149" w14:textId="7DE38823" w:rsidR="007D67C4" w:rsidRPr="00A9435B" w:rsidRDefault="007D67C4" w:rsidP="007D67C4">
            <w:pPr>
              <w:pStyle w:val="CETBodytext"/>
              <w:rPr>
                <w:sz w:val="16"/>
                <w:szCs w:val="16"/>
                <w:lang w:val="en-GB"/>
              </w:rPr>
            </w:pPr>
            <w:r w:rsidRPr="00A9435B">
              <w:rPr>
                <w:sz w:val="16"/>
                <w:szCs w:val="16"/>
                <w:lang w:val="en-GB"/>
              </w:rPr>
              <w:t>66.67±15.28</w:t>
            </w:r>
            <w:r w:rsidR="00764EFD" w:rsidRPr="00A9435B">
              <w:rPr>
                <w:sz w:val="16"/>
                <w:szCs w:val="16"/>
                <w:vertAlign w:val="superscript"/>
                <w:lang w:val="en-GB"/>
              </w:rPr>
              <w:t>a</w:t>
            </w:r>
            <w:r w:rsidRPr="00A9435B">
              <w:rPr>
                <w:sz w:val="16"/>
                <w:szCs w:val="16"/>
                <w:vertAlign w:val="superscript"/>
                <w:lang w:val="en-GB"/>
              </w:rPr>
              <w:t>b</w:t>
            </w:r>
          </w:p>
        </w:tc>
      </w:tr>
      <w:tr w:rsidR="0033616F" w:rsidRPr="00A9435B" w14:paraId="334B7593" w14:textId="77777777" w:rsidTr="00A9435B">
        <w:trPr>
          <w:trHeight w:val="91"/>
        </w:trPr>
        <w:tc>
          <w:tcPr>
            <w:tcW w:w="284" w:type="dxa"/>
            <w:shd w:val="clear" w:color="auto" w:fill="auto"/>
            <w:noWrap/>
            <w:vAlign w:val="center"/>
            <w:hideMark/>
          </w:tcPr>
          <w:p w14:paraId="66023883" w14:textId="71A20A2F" w:rsidR="007D67C4" w:rsidRPr="00A9435B" w:rsidRDefault="00903A68" w:rsidP="00993954">
            <w:pPr>
              <w:pStyle w:val="CETBodytext"/>
              <w:jc w:val="left"/>
              <w:rPr>
                <w:sz w:val="16"/>
                <w:szCs w:val="16"/>
                <w:lang w:val="en-GB"/>
              </w:rPr>
            </w:pPr>
            <w:r w:rsidRPr="00A9435B">
              <w:rPr>
                <w:sz w:val="16"/>
                <w:szCs w:val="16"/>
                <w:lang w:val="en-GB"/>
              </w:rPr>
              <w:t>15</w:t>
            </w:r>
          </w:p>
        </w:tc>
        <w:tc>
          <w:tcPr>
            <w:tcW w:w="1134" w:type="dxa"/>
            <w:shd w:val="clear" w:color="auto" w:fill="auto"/>
            <w:noWrap/>
            <w:vAlign w:val="center"/>
            <w:hideMark/>
          </w:tcPr>
          <w:p w14:paraId="7E3EEEA0" w14:textId="77777777" w:rsidR="007D67C4" w:rsidRPr="00A9435B" w:rsidRDefault="007D67C4" w:rsidP="007D67C4">
            <w:pPr>
              <w:pStyle w:val="CETBodytext"/>
              <w:rPr>
                <w:sz w:val="16"/>
                <w:szCs w:val="16"/>
                <w:lang w:val="en-GB"/>
              </w:rPr>
            </w:pPr>
            <w:r w:rsidRPr="00A9435B">
              <w:rPr>
                <w:sz w:val="16"/>
                <w:szCs w:val="16"/>
                <w:lang w:val="en-GB"/>
              </w:rPr>
              <w:t>0.23 ± 0.04</w:t>
            </w:r>
            <w:r w:rsidRPr="00A9435B">
              <w:rPr>
                <w:sz w:val="16"/>
                <w:szCs w:val="16"/>
                <w:vertAlign w:val="superscript"/>
                <w:lang w:val="en-GB"/>
              </w:rPr>
              <w:t>def</w:t>
            </w:r>
          </w:p>
        </w:tc>
        <w:tc>
          <w:tcPr>
            <w:tcW w:w="1098" w:type="dxa"/>
            <w:shd w:val="clear" w:color="auto" w:fill="auto"/>
            <w:noWrap/>
            <w:vAlign w:val="center"/>
            <w:hideMark/>
          </w:tcPr>
          <w:p w14:paraId="4F5565B0" w14:textId="77777777" w:rsidR="007D67C4" w:rsidRPr="00A9435B" w:rsidRDefault="007D67C4" w:rsidP="007D67C4">
            <w:pPr>
              <w:pStyle w:val="CETBodytext"/>
              <w:rPr>
                <w:sz w:val="16"/>
                <w:szCs w:val="16"/>
                <w:lang w:val="en-GB"/>
              </w:rPr>
            </w:pPr>
            <w:r w:rsidRPr="00A9435B">
              <w:rPr>
                <w:sz w:val="16"/>
                <w:szCs w:val="16"/>
                <w:lang w:val="en-GB"/>
              </w:rPr>
              <w:t>0.21 ± 0.01</w:t>
            </w:r>
            <w:r w:rsidRPr="00A9435B">
              <w:rPr>
                <w:sz w:val="16"/>
                <w:szCs w:val="16"/>
                <w:vertAlign w:val="superscript"/>
                <w:lang w:val="en-GB"/>
              </w:rPr>
              <w:t>cd</w:t>
            </w:r>
          </w:p>
        </w:tc>
        <w:tc>
          <w:tcPr>
            <w:tcW w:w="1046" w:type="dxa"/>
            <w:shd w:val="clear" w:color="auto" w:fill="auto"/>
            <w:noWrap/>
            <w:vAlign w:val="center"/>
            <w:hideMark/>
          </w:tcPr>
          <w:p w14:paraId="1A2AEAA1" w14:textId="77777777" w:rsidR="007D67C4" w:rsidRPr="00A9435B" w:rsidRDefault="007D67C4" w:rsidP="007D67C4">
            <w:pPr>
              <w:pStyle w:val="CETBodytext"/>
              <w:rPr>
                <w:sz w:val="16"/>
                <w:szCs w:val="16"/>
                <w:lang w:val="en-GB"/>
              </w:rPr>
            </w:pPr>
            <w:r w:rsidRPr="00A9435B">
              <w:rPr>
                <w:sz w:val="16"/>
                <w:szCs w:val="16"/>
                <w:lang w:val="en-GB"/>
              </w:rPr>
              <w:t>0.20 ± 0.02</w:t>
            </w:r>
            <w:r w:rsidRPr="00A9435B">
              <w:rPr>
                <w:sz w:val="16"/>
                <w:szCs w:val="16"/>
                <w:vertAlign w:val="superscript"/>
                <w:lang w:val="en-GB"/>
              </w:rPr>
              <w:t>bcd</w:t>
            </w:r>
          </w:p>
        </w:tc>
        <w:tc>
          <w:tcPr>
            <w:tcW w:w="974" w:type="dxa"/>
            <w:shd w:val="clear" w:color="auto" w:fill="auto"/>
            <w:noWrap/>
            <w:vAlign w:val="center"/>
            <w:hideMark/>
          </w:tcPr>
          <w:p w14:paraId="7B77E638" w14:textId="77777777" w:rsidR="007D67C4" w:rsidRPr="00A9435B" w:rsidRDefault="007D67C4" w:rsidP="007D67C4">
            <w:pPr>
              <w:pStyle w:val="CETBodytext"/>
              <w:rPr>
                <w:sz w:val="16"/>
                <w:szCs w:val="16"/>
                <w:lang w:val="en-GB"/>
              </w:rPr>
            </w:pPr>
            <w:r w:rsidRPr="00A9435B">
              <w:rPr>
                <w:sz w:val="16"/>
                <w:szCs w:val="16"/>
                <w:lang w:val="en-GB"/>
              </w:rPr>
              <w:t>0.16 ± 0.02</w:t>
            </w:r>
            <w:r w:rsidRPr="00A9435B">
              <w:rPr>
                <w:sz w:val="16"/>
                <w:szCs w:val="16"/>
                <w:vertAlign w:val="superscript"/>
                <w:lang w:val="en-GB"/>
              </w:rPr>
              <w:t>ab</w:t>
            </w:r>
          </w:p>
        </w:tc>
        <w:tc>
          <w:tcPr>
            <w:tcW w:w="1116" w:type="dxa"/>
            <w:shd w:val="clear" w:color="auto" w:fill="auto"/>
            <w:noWrap/>
            <w:vAlign w:val="center"/>
            <w:hideMark/>
          </w:tcPr>
          <w:p w14:paraId="41C7FA57" w14:textId="3DD26223" w:rsidR="007D67C4" w:rsidRPr="00A9435B" w:rsidRDefault="007D67C4" w:rsidP="007D67C4">
            <w:pPr>
              <w:pStyle w:val="CETBodytext"/>
              <w:rPr>
                <w:sz w:val="16"/>
                <w:szCs w:val="16"/>
                <w:lang w:val="en-GB"/>
              </w:rPr>
            </w:pPr>
            <w:r w:rsidRPr="00A9435B">
              <w:rPr>
                <w:sz w:val="16"/>
                <w:szCs w:val="16"/>
                <w:lang w:val="en-GB"/>
              </w:rPr>
              <w:t>116.67±26.46</w:t>
            </w:r>
            <w:r w:rsidRPr="00A9435B">
              <w:rPr>
                <w:sz w:val="16"/>
                <w:szCs w:val="16"/>
                <w:vertAlign w:val="superscript"/>
                <w:lang w:val="en-GB"/>
              </w:rPr>
              <w:t>c</w:t>
            </w:r>
          </w:p>
        </w:tc>
        <w:tc>
          <w:tcPr>
            <w:tcW w:w="1046" w:type="dxa"/>
            <w:shd w:val="clear" w:color="auto" w:fill="auto"/>
            <w:noWrap/>
            <w:vAlign w:val="center"/>
            <w:hideMark/>
          </w:tcPr>
          <w:p w14:paraId="2FDBA928" w14:textId="272A33C4" w:rsidR="007D67C4" w:rsidRPr="00A9435B" w:rsidRDefault="007D67C4" w:rsidP="007D67C4">
            <w:pPr>
              <w:pStyle w:val="CETBodytext"/>
              <w:rPr>
                <w:sz w:val="16"/>
                <w:szCs w:val="16"/>
                <w:lang w:val="en-GB"/>
              </w:rPr>
            </w:pPr>
            <w:r w:rsidRPr="00A9435B">
              <w:rPr>
                <w:sz w:val="16"/>
                <w:szCs w:val="16"/>
                <w:lang w:val="en-GB"/>
              </w:rPr>
              <w:t>93.33±15.28</w:t>
            </w:r>
            <w:r w:rsidRPr="00A9435B">
              <w:rPr>
                <w:sz w:val="16"/>
                <w:szCs w:val="16"/>
                <w:vertAlign w:val="superscript"/>
                <w:lang w:val="en-GB"/>
              </w:rPr>
              <w:t>c</w:t>
            </w:r>
          </w:p>
        </w:tc>
        <w:tc>
          <w:tcPr>
            <w:tcW w:w="1045" w:type="dxa"/>
            <w:shd w:val="clear" w:color="auto" w:fill="auto"/>
            <w:noWrap/>
            <w:vAlign w:val="center"/>
            <w:hideMark/>
          </w:tcPr>
          <w:p w14:paraId="18F53D4C" w14:textId="0A25B17D" w:rsidR="007D67C4" w:rsidRPr="00A9435B" w:rsidRDefault="007D67C4" w:rsidP="007D67C4">
            <w:pPr>
              <w:pStyle w:val="CETBodytext"/>
              <w:rPr>
                <w:sz w:val="16"/>
                <w:szCs w:val="16"/>
                <w:lang w:val="en-GB"/>
              </w:rPr>
            </w:pPr>
            <w:r w:rsidRPr="00A9435B">
              <w:rPr>
                <w:sz w:val="16"/>
                <w:szCs w:val="16"/>
                <w:lang w:val="en-GB"/>
              </w:rPr>
              <w:t>80.00±10.00</w:t>
            </w:r>
            <w:r w:rsidR="00A9435B" w:rsidRPr="00A9435B">
              <w:rPr>
                <w:sz w:val="16"/>
                <w:szCs w:val="16"/>
                <w:vertAlign w:val="superscript"/>
                <w:lang w:val="en-GB"/>
              </w:rPr>
              <w:t>a</w:t>
            </w:r>
            <w:r w:rsidRPr="00A9435B">
              <w:rPr>
                <w:sz w:val="16"/>
                <w:szCs w:val="16"/>
                <w:vertAlign w:val="superscript"/>
                <w:lang w:val="en-GB"/>
              </w:rPr>
              <w:t>b</w:t>
            </w:r>
          </w:p>
        </w:tc>
        <w:tc>
          <w:tcPr>
            <w:tcW w:w="1046" w:type="dxa"/>
            <w:shd w:val="clear" w:color="auto" w:fill="auto"/>
            <w:noWrap/>
            <w:vAlign w:val="center"/>
            <w:hideMark/>
          </w:tcPr>
          <w:p w14:paraId="133D5751" w14:textId="6F660A4F" w:rsidR="007D67C4" w:rsidRPr="00A9435B" w:rsidRDefault="007D67C4" w:rsidP="007D67C4">
            <w:pPr>
              <w:pStyle w:val="CETBodytext"/>
              <w:rPr>
                <w:sz w:val="16"/>
                <w:szCs w:val="16"/>
                <w:lang w:val="en-GB"/>
              </w:rPr>
            </w:pPr>
            <w:r w:rsidRPr="00A9435B">
              <w:rPr>
                <w:sz w:val="16"/>
                <w:szCs w:val="16"/>
                <w:lang w:val="en-GB"/>
              </w:rPr>
              <w:t>80.00±20.00</w:t>
            </w:r>
            <w:r w:rsidRPr="00A9435B">
              <w:rPr>
                <w:sz w:val="16"/>
                <w:szCs w:val="16"/>
                <w:vertAlign w:val="superscript"/>
                <w:lang w:val="en-GB"/>
              </w:rPr>
              <w:t>b</w:t>
            </w:r>
          </w:p>
        </w:tc>
      </w:tr>
      <w:tr w:rsidR="0033616F" w:rsidRPr="00A9435B" w14:paraId="4D502841" w14:textId="77777777" w:rsidTr="00A9435B">
        <w:trPr>
          <w:trHeight w:val="51"/>
        </w:trPr>
        <w:tc>
          <w:tcPr>
            <w:tcW w:w="284" w:type="dxa"/>
            <w:shd w:val="clear" w:color="auto" w:fill="auto"/>
            <w:noWrap/>
            <w:vAlign w:val="center"/>
            <w:hideMark/>
          </w:tcPr>
          <w:p w14:paraId="70EA5640" w14:textId="550CA47F" w:rsidR="007D67C4" w:rsidRPr="00A9435B" w:rsidRDefault="00903A68" w:rsidP="00993954">
            <w:pPr>
              <w:pStyle w:val="CETBodytext"/>
              <w:jc w:val="left"/>
              <w:rPr>
                <w:sz w:val="16"/>
                <w:szCs w:val="16"/>
                <w:lang w:val="en-GB"/>
              </w:rPr>
            </w:pPr>
            <w:r w:rsidRPr="00A9435B">
              <w:rPr>
                <w:sz w:val="16"/>
                <w:szCs w:val="16"/>
                <w:lang w:val="en-GB"/>
              </w:rPr>
              <w:t>20</w:t>
            </w:r>
          </w:p>
        </w:tc>
        <w:tc>
          <w:tcPr>
            <w:tcW w:w="1134" w:type="dxa"/>
            <w:shd w:val="clear" w:color="auto" w:fill="auto"/>
            <w:noWrap/>
            <w:vAlign w:val="center"/>
            <w:hideMark/>
          </w:tcPr>
          <w:p w14:paraId="68FBCAE3" w14:textId="77777777" w:rsidR="007D67C4" w:rsidRPr="00A9435B" w:rsidRDefault="007D67C4" w:rsidP="007D67C4">
            <w:pPr>
              <w:pStyle w:val="CETBodytext"/>
              <w:rPr>
                <w:sz w:val="16"/>
                <w:szCs w:val="16"/>
                <w:lang w:val="en-GB"/>
              </w:rPr>
            </w:pPr>
            <w:r w:rsidRPr="00A9435B">
              <w:rPr>
                <w:sz w:val="16"/>
                <w:szCs w:val="16"/>
                <w:lang w:val="en-GB"/>
              </w:rPr>
              <w:t>0.23 ± 0.04</w:t>
            </w:r>
            <w:r w:rsidRPr="00A9435B">
              <w:rPr>
                <w:sz w:val="16"/>
                <w:szCs w:val="16"/>
                <w:vertAlign w:val="superscript"/>
                <w:lang w:val="en-GB"/>
              </w:rPr>
              <w:t>def</w:t>
            </w:r>
          </w:p>
        </w:tc>
        <w:tc>
          <w:tcPr>
            <w:tcW w:w="1098" w:type="dxa"/>
            <w:shd w:val="clear" w:color="auto" w:fill="auto"/>
            <w:noWrap/>
            <w:vAlign w:val="center"/>
            <w:hideMark/>
          </w:tcPr>
          <w:p w14:paraId="1EA3470D" w14:textId="77777777" w:rsidR="007D67C4" w:rsidRPr="00A9435B" w:rsidRDefault="007D67C4" w:rsidP="007D67C4">
            <w:pPr>
              <w:pStyle w:val="CETBodytext"/>
              <w:rPr>
                <w:sz w:val="16"/>
                <w:szCs w:val="16"/>
                <w:lang w:val="en-GB"/>
              </w:rPr>
            </w:pPr>
            <w:r w:rsidRPr="00A9435B">
              <w:rPr>
                <w:sz w:val="16"/>
                <w:szCs w:val="16"/>
                <w:lang w:val="en-GB"/>
              </w:rPr>
              <w:t>0.21 ± 0.01</w:t>
            </w:r>
            <w:r w:rsidRPr="00A9435B">
              <w:rPr>
                <w:sz w:val="16"/>
                <w:szCs w:val="16"/>
                <w:vertAlign w:val="superscript"/>
                <w:lang w:val="en-GB"/>
              </w:rPr>
              <w:t>cd</w:t>
            </w:r>
          </w:p>
        </w:tc>
        <w:tc>
          <w:tcPr>
            <w:tcW w:w="1046" w:type="dxa"/>
            <w:shd w:val="clear" w:color="auto" w:fill="auto"/>
            <w:noWrap/>
            <w:vAlign w:val="center"/>
            <w:hideMark/>
          </w:tcPr>
          <w:p w14:paraId="78E9765E" w14:textId="77777777" w:rsidR="007D67C4" w:rsidRPr="00A9435B" w:rsidRDefault="007D67C4" w:rsidP="007D67C4">
            <w:pPr>
              <w:pStyle w:val="CETBodytext"/>
              <w:rPr>
                <w:sz w:val="16"/>
                <w:szCs w:val="16"/>
                <w:lang w:val="en-GB"/>
              </w:rPr>
            </w:pPr>
            <w:r w:rsidRPr="00A9435B">
              <w:rPr>
                <w:sz w:val="16"/>
                <w:szCs w:val="16"/>
                <w:lang w:val="en-GB"/>
              </w:rPr>
              <w:t>0.23 ± 0.02</w:t>
            </w:r>
            <w:r w:rsidRPr="00A9435B">
              <w:rPr>
                <w:sz w:val="16"/>
                <w:szCs w:val="16"/>
                <w:vertAlign w:val="superscript"/>
                <w:lang w:val="en-GB"/>
              </w:rPr>
              <w:t>be</w:t>
            </w:r>
          </w:p>
        </w:tc>
        <w:tc>
          <w:tcPr>
            <w:tcW w:w="974" w:type="dxa"/>
            <w:shd w:val="clear" w:color="auto" w:fill="auto"/>
            <w:noWrap/>
            <w:vAlign w:val="center"/>
            <w:hideMark/>
          </w:tcPr>
          <w:p w14:paraId="2F6EDA47" w14:textId="7014DB90" w:rsidR="007D67C4" w:rsidRPr="00A9435B" w:rsidRDefault="007D67C4" w:rsidP="007D67C4">
            <w:pPr>
              <w:pStyle w:val="CETBodytext"/>
              <w:rPr>
                <w:sz w:val="16"/>
                <w:szCs w:val="16"/>
                <w:lang w:val="en-GB"/>
              </w:rPr>
            </w:pPr>
            <w:r w:rsidRPr="00A9435B">
              <w:rPr>
                <w:sz w:val="16"/>
                <w:szCs w:val="16"/>
                <w:lang w:val="en-GB"/>
              </w:rPr>
              <w:t>0.20± 0.02</w:t>
            </w:r>
            <w:r w:rsidRPr="00A9435B">
              <w:rPr>
                <w:sz w:val="16"/>
                <w:szCs w:val="16"/>
                <w:vertAlign w:val="superscript"/>
                <w:lang w:val="en-GB"/>
              </w:rPr>
              <w:t>bcd</w:t>
            </w:r>
          </w:p>
        </w:tc>
        <w:tc>
          <w:tcPr>
            <w:tcW w:w="1116" w:type="dxa"/>
            <w:shd w:val="clear" w:color="auto" w:fill="auto"/>
            <w:noWrap/>
            <w:vAlign w:val="center"/>
            <w:hideMark/>
          </w:tcPr>
          <w:p w14:paraId="4AB89F72" w14:textId="177DC969" w:rsidR="007D67C4" w:rsidRPr="00A9435B" w:rsidRDefault="007D67C4" w:rsidP="007D67C4">
            <w:pPr>
              <w:pStyle w:val="CETBodytext"/>
              <w:rPr>
                <w:sz w:val="16"/>
                <w:szCs w:val="16"/>
                <w:lang w:val="en-GB"/>
              </w:rPr>
            </w:pPr>
            <w:r w:rsidRPr="00A9435B">
              <w:rPr>
                <w:sz w:val="16"/>
                <w:szCs w:val="16"/>
                <w:lang w:val="en-GB"/>
              </w:rPr>
              <w:t>130.00±15.28</w:t>
            </w:r>
            <w:r w:rsidRPr="00A9435B">
              <w:rPr>
                <w:sz w:val="16"/>
                <w:szCs w:val="16"/>
                <w:vertAlign w:val="superscript"/>
                <w:lang w:val="en-GB"/>
              </w:rPr>
              <w:t>d</w:t>
            </w:r>
          </w:p>
        </w:tc>
        <w:tc>
          <w:tcPr>
            <w:tcW w:w="1046" w:type="dxa"/>
            <w:shd w:val="clear" w:color="auto" w:fill="auto"/>
            <w:noWrap/>
            <w:vAlign w:val="center"/>
            <w:hideMark/>
          </w:tcPr>
          <w:p w14:paraId="27C9C776" w14:textId="08BD9F25" w:rsidR="007D67C4" w:rsidRPr="00A9435B" w:rsidRDefault="007D67C4" w:rsidP="007D67C4">
            <w:pPr>
              <w:pStyle w:val="CETBodytext"/>
              <w:rPr>
                <w:sz w:val="16"/>
                <w:szCs w:val="16"/>
                <w:lang w:val="en-GB"/>
              </w:rPr>
            </w:pPr>
            <w:r w:rsidRPr="00A9435B">
              <w:rPr>
                <w:sz w:val="16"/>
                <w:szCs w:val="16"/>
                <w:lang w:val="en-GB"/>
              </w:rPr>
              <w:t>123.33</w:t>
            </w:r>
            <w:r w:rsidR="00764EFD" w:rsidRPr="00A9435B">
              <w:rPr>
                <w:sz w:val="16"/>
                <w:szCs w:val="16"/>
                <w:lang w:val="en-GB"/>
              </w:rPr>
              <w:t>±</w:t>
            </w:r>
            <w:r w:rsidRPr="00A9435B">
              <w:rPr>
                <w:sz w:val="16"/>
                <w:szCs w:val="16"/>
                <w:lang w:val="en-GB"/>
              </w:rPr>
              <w:t>10.0</w:t>
            </w:r>
            <w:r w:rsidR="00A9435B">
              <w:rPr>
                <w:sz w:val="16"/>
                <w:szCs w:val="16"/>
                <w:lang w:val="en-GB"/>
              </w:rPr>
              <w:t>0</w:t>
            </w:r>
            <w:r w:rsidRPr="00A9435B">
              <w:rPr>
                <w:sz w:val="16"/>
                <w:szCs w:val="16"/>
                <w:vertAlign w:val="superscript"/>
                <w:lang w:val="en-GB"/>
              </w:rPr>
              <w:t>d</w:t>
            </w:r>
          </w:p>
        </w:tc>
        <w:tc>
          <w:tcPr>
            <w:tcW w:w="1045" w:type="dxa"/>
            <w:shd w:val="clear" w:color="auto" w:fill="auto"/>
            <w:noWrap/>
            <w:vAlign w:val="center"/>
            <w:hideMark/>
          </w:tcPr>
          <w:p w14:paraId="02F5B4B1" w14:textId="4EC51498" w:rsidR="007D67C4" w:rsidRPr="00A9435B" w:rsidRDefault="007D67C4" w:rsidP="007D67C4">
            <w:pPr>
              <w:pStyle w:val="CETBodytext"/>
              <w:rPr>
                <w:sz w:val="16"/>
                <w:szCs w:val="16"/>
                <w:lang w:val="en-GB"/>
              </w:rPr>
            </w:pPr>
            <w:r w:rsidRPr="00A9435B">
              <w:rPr>
                <w:sz w:val="16"/>
                <w:szCs w:val="16"/>
                <w:lang w:val="en-GB"/>
              </w:rPr>
              <w:t>93.33 ±15.28</w:t>
            </w:r>
            <w:r w:rsidRPr="00A9435B">
              <w:rPr>
                <w:sz w:val="16"/>
                <w:szCs w:val="16"/>
                <w:vertAlign w:val="superscript"/>
                <w:lang w:val="en-GB"/>
              </w:rPr>
              <w:t>b</w:t>
            </w:r>
          </w:p>
        </w:tc>
        <w:tc>
          <w:tcPr>
            <w:tcW w:w="1046" w:type="dxa"/>
            <w:shd w:val="clear" w:color="auto" w:fill="auto"/>
            <w:noWrap/>
            <w:vAlign w:val="center"/>
            <w:hideMark/>
          </w:tcPr>
          <w:p w14:paraId="27218DF8" w14:textId="657067FA" w:rsidR="007D67C4" w:rsidRPr="00A9435B" w:rsidRDefault="007D67C4" w:rsidP="007D67C4">
            <w:pPr>
              <w:pStyle w:val="CETBodytext"/>
              <w:rPr>
                <w:sz w:val="16"/>
                <w:szCs w:val="16"/>
                <w:lang w:val="en-GB"/>
              </w:rPr>
            </w:pPr>
            <w:r w:rsidRPr="00A9435B">
              <w:rPr>
                <w:sz w:val="16"/>
                <w:szCs w:val="16"/>
                <w:lang w:val="en-GB"/>
              </w:rPr>
              <w:t>93.33±25.17</w:t>
            </w:r>
            <w:r w:rsidRPr="00A9435B">
              <w:rPr>
                <w:sz w:val="16"/>
                <w:szCs w:val="16"/>
                <w:vertAlign w:val="superscript"/>
                <w:lang w:val="en-GB"/>
              </w:rPr>
              <w:t>b</w:t>
            </w:r>
          </w:p>
        </w:tc>
      </w:tr>
      <w:tr w:rsidR="0033616F" w:rsidRPr="00A9435B" w14:paraId="00856620" w14:textId="77777777" w:rsidTr="00A9435B">
        <w:trPr>
          <w:trHeight w:val="51"/>
        </w:trPr>
        <w:tc>
          <w:tcPr>
            <w:tcW w:w="284" w:type="dxa"/>
            <w:tcBorders>
              <w:bottom w:val="nil"/>
            </w:tcBorders>
            <w:shd w:val="clear" w:color="auto" w:fill="auto"/>
            <w:noWrap/>
            <w:vAlign w:val="center"/>
            <w:hideMark/>
          </w:tcPr>
          <w:p w14:paraId="17252932" w14:textId="2118E033" w:rsidR="007D67C4" w:rsidRPr="00A9435B" w:rsidRDefault="00903A68" w:rsidP="00993954">
            <w:pPr>
              <w:pStyle w:val="CETBodytext"/>
              <w:jc w:val="left"/>
              <w:rPr>
                <w:sz w:val="16"/>
                <w:szCs w:val="16"/>
                <w:lang w:val="en-GB"/>
              </w:rPr>
            </w:pPr>
            <w:r w:rsidRPr="00A9435B">
              <w:rPr>
                <w:sz w:val="16"/>
                <w:szCs w:val="16"/>
                <w:lang w:val="en-GB"/>
              </w:rPr>
              <w:t>25</w:t>
            </w:r>
          </w:p>
        </w:tc>
        <w:tc>
          <w:tcPr>
            <w:tcW w:w="1134" w:type="dxa"/>
            <w:tcBorders>
              <w:bottom w:val="nil"/>
            </w:tcBorders>
            <w:shd w:val="clear" w:color="auto" w:fill="auto"/>
            <w:noWrap/>
            <w:vAlign w:val="center"/>
            <w:hideMark/>
          </w:tcPr>
          <w:p w14:paraId="07AA2601" w14:textId="77777777" w:rsidR="007D67C4" w:rsidRPr="00A9435B" w:rsidRDefault="007D67C4" w:rsidP="007D67C4">
            <w:pPr>
              <w:pStyle w:val="CETBodytext"/>
              <w:rPr>
                <w:sz w:val="16"/>
                <w:szCs w:val="16"/>
                <w:lang w:val="en-GB"/>
              </w:rPr>
            </w:pPr>
            <w:r w:rsidRPr="00A9435B">
              <w:rPr>
                <w:sz w:val="16"/>
                <w:szCs w:val="16"/>
                <w:lang w:val="en-GB"/>
              </w:rPr>
              <w:t>0.26 ± 0.02</w:t>
            </w:r>
            <w:r w:rsidRPr="00A9435B">
              <w:rPr>
                <w:sz w:val="16"/>
                <w:szCs w:val="16"/>
                <w:vertAlign w:val="superscript"/>
                <w:lang w:val="en-GB"/>
              </w:rPr>
              <w:t>efg</w:t>
            </w:r>
          </w:p>
        </w:tc>
        <w:tc>
          <w:tcPr>
            <w:tcW w:w="1098" w:type="dxa"/>
            <w:tcBorders>
              <w:bottom w:val="nil"/>
            </w:tcBorders>
            <w:shd w:val="clear" w:color="auto" w:fill="auto"/>
            <w:noWrap/>
            <w:vAlign w:val="center"/>
            <w:hideMark/>
          </w:tcPr>
          <w:p w14:paraId="2580A8BD" w14:textId="77777777" w:rsidR="007D67C4" w:rsidRPr="00A9435B" w:rsidRDefault="007D67C4" w:rsidP="007D67C4">
            <w:pPr>
              <w:pStyle w:val="CETBodytext"/>
              <w:rPr>
                <w:sz w:val="16"/>
                <w:szCs w:val="16"/>
                <w:lang w:val="en-GB"/>
              </w:rPr>
            </w:pPr>
            <w:r w:rsidRPr="00A9435B">
              <w:rPr>
                <w:sz w:val="16"/>
                <w:szCs w:val="16"/>
                <w:lang w:val="en-GB"/>
              </w:rPr>
              <w:t>0.28 ± 0.01</w:t>
            </w:r>
            <w:r w:rsidRPr="00A9435B">
              <w:rPr>
                <w:sz w:val="16"/>
                <w:szCs w:val="16"/>
                <w:vertAlign w:val="superscript"/>
                <w:lang w:val="en-GB"/>
              </w:rPr>
              <w:t>gh</w:t>
            </w:r>
          </w:p>
        </w:tc>
        <w:tc>
          <w:tcPr>
            <w:tcW w:w="1046" w:type="dxa"/>
            <w:tcBorders>
              <w:bottom w:val="nil"/>
            </w:tcBorders>
            <w:shd w:val="clear" w:color="auto" w:fill="auto"/>
            <w:noWrap/>
            <w:vAlign w:val="center"/>
            <w:hideMark/>
          </w:tcPr>
          <w:p w14:paraId="53D63339" w14:textId="77777777" w:rsidR="007D67C4" w:rsidRPr="00A9435B" w:rsidRDefault="007D67C4" w:rsidP="007D67C4">
            <w:pPr>
              <w:pStyle w:val="CETBodytext"/>
              <w:rPr>
                <w:sz w:val="16"/>
                <w:szCs w:val="16"/>
                <w:lang w:val="en-GB"/>
              </w:rPr>
            </w:pPr>
            <w:r w:rsidRPr="00A9435B">
              <w:rPr>
                <w:sz w:val="16"/>
                <w:szCs w:val="16"/>
                <w:lang w:val="en-GB"/>
              </w:rPr>
              <w:t>0.26 ± 0.02</w:t>
            </w:r>
            <w:r w:rsidRPr="00A9435B">
              <w:rPr>
                <w:sz w:val="16"/>
                <w:szCs w:val="16"/>
                <w:vertAlign w:val="superscript"/>
                <w:lang w:val="en-GB"/>
              </w:rPr>
              <w:t>fgh</w:t>
            </w:r>
          </w:p>
        </w:tc>
        <w:tc>
          <w:tcPr>
            <w:tcW w:w="974" w:type="dxa"/>
            <w:tcBorders>
              <w:bottom w:val="nil"/>
            </w:tcBorders>
            <w:shd w:val="clear" w:color="auto" w:fill="auto"/>
            <w:noWrap/>
            <w:vAlign w:val="center"/>
            <w:hideMark/>
          </w:tcPr>
          <w:p w14:paraId="5B78065E" w14:textId="6B382742" w:rsidR="007D67C4" w:rsidRPr="00A9435B" w:rsidRDefault="007D67C4" w:rsidP="007D67C4">
            <w:pPr>
              <w:pStyle w:val="CETBodytext"/>
              <w:rPr>
                <w:sz w:val="16"/>
                <w:szCs w:val="16"/>
                <w:lang w:val="en-GB"/>
              </w:rPr>
            </w:pPr>
            <w:r w:rsidRPr="00A9435B">
              <w:rPr>
                <w:sz w:val="16"/>
                <w:szCs w:val="16"/>
                <w:lang w:val="en-GB"/>
              </w:rPr>
              <w:t>0.20± 0.03</w:t>
            </w:r>
            <w:r w:rsidRPr="00A9435B">
              <w:rPr>
                <w:sz w:val="16"/>
                <w:szCs w:val="16"/>
                <w:vertAlign w:val="superscript"/>
                <w:lang w:val="en-GB"/>
              </w:rPr>
              <w:t>bcd</w:t>
            </w:r>
          </w:p>
        </w:tc>
        <w:tc>
          <w:tcPr>
            <w:tcW w:w="1116" w:type="dxa"/>
            <w:tcBorders>
              <w:bottom w:val="nil"/>
            </w:tcBorders>
            <w:shd w:val="clear" w:color="auto" w:fill="auto"/>
            <w:noWrap/>
            <w:vAlign w:val="center"/>
            <w:hideMark/>
          </w:tcPr>
          <w:p w14:paraId="26993D3C" w14:textId="77003C8E" w:rsidR="007D67C4" w:rsidRPr="00A9435B" w:rsidRDefault="007D67C4" w:rsidP="007D67C4">
            <w:pPr>
              <w:pStyle w:val="CETBodytext"/>
              <w:rPr>
                <w:sz w:val="16"/>
                <w:szCs w:val="16"/>
                <w:lang w:val="en-GB"/>
              </w:rPr>
            </w:pPr>
            <w:r w:rsidRPr="00A9435B">
              <w:rPr>
                <w:sz w:val="16"/>
                <w:szCs w:val="16"/>
                <w:lang w:val="en-GB"/>
              </w:rPr>
              <w:t>143.33±25.17</w:t>
            </w:r>
            <w:r w:rsidRPr="00A9435B">
              <w:rPr>
                <w:sz w:val="16"/>
                <w:szCs w:val="16"/>
                <w:vertAlign w:val="superscript"/>
                <w:lang w:val="en-GB"/>
              </w:rPr>
              <w:t>e</w:t>
            </w:r>
          </w:p>
        </w:tc>
        <w:tc>
          <w:tcPr>
            <w:tcW w:w="1046" w:type="dxa"/>
            <w:tcBorders>
              <w:bottom w:val="nil"/>
            </w:tcBorders>
            <w:shd w:val="clear" w:color="auto" w:fill="auto"/>
            <w:noWrap/>
            <w:vAlign w:val="center"/>
            <w:hideMark/>
          </w:tcPr>
          <w:p w14:paraId="5FCEEEA7" w14:textId="6D8F10FA" w:rsidR="007D67C4" w:rsidRPr="00A9435B" w:rsidRDefault="007D67C4" w:rsidP="007D67C4">
            <w:pPr>
              <w:pStyle w:val="CETBodytext"/>
              <w:rPr>
                <w:sz w:val="16"/>
                <w:szCs w:val="16"/>
                <w:lang w:val="en-GB"/>
              </w:rPr>
            </w:pPr>
            <w:r w:rsidRPr="00A9435B">
              <w:rPr>
                <w:sz w:val="16"/>
                <w:szCs w:val="16"/>
                <w:lang w:val="en-GB"/>
              </w:rPr>
              <w:t>140.00±15.2</w:t>
            </w:r>
            <w:r w:rsidR="00A9435B">
              <w:rPr>
                <w:sz w:val="16"/>
                <w:szCs w:val="16"/>
                <w:lang w:val="en-GB"/>
              </w:rPr>
              <w:t>8</w:t>
            </w:r>
            <w:r w:rsidRPr="00A9435B">
              <w:rPr>
                <w:sz w:val="16"/>
                <w:szCs w:val="16"/>
                <w:vertAlign w:val="superscript"/>
                <w:lang w:val="en-GB"/>
              </w:rPr>
              <w:t>e</w:t>
            </w:r>
          </w:p>
        </w:tc>
        <w:tc>
          <w:tcPr>
            <w:tcW w:w="1045" w:type="dxa"/>
            <w:tcBorders>
              <w:bottom w:val="nil"/>
            </w:tcBorders>
            <w:shd w:val="clear" w:color="auto" w:fill="auto"/>
            <w:noWrap/>
            <w:vAlign w:val="center"/>
            <w:hideMark/>
          </w:tcPr>
          <w:p w14:paraId="20A65DED" w14:textId="6589815D" w:rsidR="007D67C4" w:rsidRPr="00A9435B" w:rsidRDefault="007D67C4" w:rsidP="007D67C4">
            <w:pPr>
              <w:pStyle w:val="CETBodytext"/>
              <w:rPr>
                <w:sz w:val="16"/>
                <w:szCs w:val="16"/>
                <w:lang w:val="en-GB"/>
              </w:rPr>
            </w:pPr>
            <w:r w:rsidRPr="00A9435B">
              <w:rPr>
                <w:sz w:val="16"/>
                <w:szCs w:val="16"/>
                <w:lang w:val="en-GB"/>
              </w:rPr>
              <w:t>106.67±20.8</w:t>
            </w:r>
            <w:r w:rsidR="00A9435B" w:rsidRPr="00A9435B">
              <w:rPr>
                <w:sz w:val="16"/>
                <w:szCs w:val="16"/>
                <w:lang w:val="en-GB"/>
              </w:rPr>
              <w:t>2</w:t>
            </w:r>
            <w:r w:rsidRPr="00A9435B">
              <w:rPr>
                <w:sz w:val="16"/>
                <w:szCs w:val="16"/>
                <w:vertAlign w:val="superscript"/>
                <w:lang w:val="en-GB"/>
              </w:rPr>
              <w:t>c</w:t>
            </w:r>
          </w:p>
        </w:tc>
        <w:tc>
          <w:tcPr>
            <w:tcW w:w="1046" w:type="dxa"/>
            <w:tcBorders>
              <w:bottom w:val="nil"/>
            </w:tcBorders>
            <w:shd w:val="clear" w:color="auto" w:fill="auto"/>
            <w:noWrap/>
            <w:vAlign w:val="center"/>
            <w:hideMark/>
          </w:tcPr>
          <w:p w14:paraId="296E1E19" w14:textId="7949EF9C" w:rsidR="007D67C4" w:rsidRPr="00A9435B" w:rsidRDefault="007D67C4" w:rsidP="007D67C4">
            <w:pPr>
              <w:pStyle w:val="CETBodytext"/>
              <w:rPr>
                <w:sz w:val="16"/>
                <w:szCs w:val="16"/>
                <w:lang w:val="en-GB"/>
              </w:rPr>
            </w:pPr>
            <w:r w:rsidRPr="00A9435B">
              <w:rPr>
                <w:sz w:val="16"/>
                <w:szCs w:val="16"/>
                <w:lang w:val="en-GB"/>
              </w:rPr>
              <w:t>113.33±25.1</w:t>
            </w:r>
            <w:r w:rsidR="00A9435B">
              <w:rPr>
                <w:sz w:val="16"/>
                <w:szCs w:val="16"/>
                <w:lang w:val="en-GB"/>
              </w:rPr>
              <w:t>7</w:t>
            </w:r>
            <w:r w:rsidRPr="00A9435B">
              <w:rPr>
                <w:sz w:val="16"/>
                <w:szCs w:val="16"/>
                <w:vertAlign w:val="superscript"/>
                <w:lang w:val="en-GB"/>
              </w:rPr>
              <w:t>c</w:t>
            </w:r>
          </w:p>
        </w:tc>
      </w:tr>
      <w:tr w:rsidR="0033616F" w:rsidRPr="00A9435B" w14:paraId="24A3AD3F" w14:textId="77777777" w:rsidTr="00A9435B">
        <w:trPr>
          <w:trHeight w:val="51"/>
        </w:trPr>
        <w:tc>
          <w:tcPr>
            <w:tcW w:w="284" w:type="dxa"/>
            <w:tcBorders>
              <w:top w:val="nil"/>
              <w:bottom w:val="single" w:sz="18" w:space="0" w:color="008000"/>
            </w:tcBorders>
            <w:shd w:val="clear" w:color="auto" w:fill="auto"/>
            <w:noWrap/>
            <w:vAlign w:val="center"/>
            <w:hideMark/>
          </w:tcPr>
          <w:p w14:paraId="18AB8037" w14:textId="7B6D8297" w:rsidR="007D67C4" w:rsidRPr="00A9435B" w:rsidRDefault="00903A68" w:rsidP="00993954">
            <w:pPr>
              <w:pStyle w:val="CETBodytext"/>
              <w:jc w:val="left"/>
              <w:rPr>
                <w:sz w:val="16"/>
                <w:szCs w:val="16"/>
                <w:lang w:val="en-GB"/>
              </w:rPr>
            </w:pPr>
            <w:r w:rsidRPr="00A9435B">
              <w:rPr>
                <w:sz w:val="16"/>
                <w:szCs w:val="16"/>
                <w:lang w:val="en-GB"/>
              </w:rPr>
              <w:t>30</w:t>
            </w:r>
          </w:p>
        </w:tc>
        <w:tc>
          <w:tcPr>
            <w:tcW w:w="1134" w:type="dxa"/>
            <w:tcBorders>
              <w:top w:val="nil"/>
              <w:bottom w:val="single" w:sz="18" w:space="0" w:color="008000"/>
            </w:tcBorders>
            <w:shd w:val="clear" w:color="auto" w:fill="auto"/>
            <w:noWrap/>
            <w:vAlign w:val="center"/>
            <w:hideMark/>
          </w:tcPr>
          <w:p w14:paraId="0662865E" w14:textId="77777777" w:rsidR="007D67C4" w:rsidRPr="00A9435B" w:rsidRDefault="007D67C4" w:rsidP="007D67C4">
            <w:pPr>
              <w:pStyle w:val="CETBodytext"/>
              <w:rPr>
                <w:sz w:val="16"/>
                <w:szCs w:val="16"/>
                <w:lang w:val="en-GB"/>
              </w:rPr>
            </w:pPr>
            <w:r w:rsidRPr="00A9435B">
              <w:rPr>
                <w:sz w:val="16"/>
                <w:szCs w:val="16"/>
                <w:lang w:val="en-GB"/>
              </w:rPr>
              <w:t>0.31 ± 0.04</w:t>
            </w:r>
            <w:r w:rsidRPr="00A9435B">
              <w:rPr>
                <w:sz w:val="16"/>
                <w:szCs w:val="16"/>
                <w:vertAlign w:val="superscript"/>
                <w:lang w:val="en-GB"/>
              </w:rPr>
              <w:t>h</w:t>
            </w:r>
          </w:p>
        </w:tc>
        <w:tc>
          <w:tcPr>
            <w:tcW w:w="1098" w:type="dxa"/>
            <w:tcBorders>
              <w:top w:val="nil"/>
              <w:bottom w:val="single" w:sz="18" w:space="0" w:color="008000"/>
            </w:tcBorders>
            <w:shd w:val="clear" w:color="auto" w:fill="auto"/>
            <w:noWrap/>
            <w:vAlign w:val="center"/>
            <w:hideMark/>
          </w:tcPr>
          <w:p w14:paraId="0CC96E99" w14:textId="77777777" w:rsidR="007D67C4" w:rsidRPr="00A9435B" w:rsidRDefault="007D67C4" w:rsidP="007D67C4">
            <w:pPr>
              <w:pStyle w:val="CETBodytext"/>
              <w:rPr>
                <w:sz w:val="16"/>
                <w:szCs w:val="16"/>
                <w:lang w:val="en-GB"/>
              </w:rPr>
            </w:pPr>
            <w:r w:rsidRPr="00A9435B">
              <w:rPr>
                <w:sz w:val="16"/>
                <w:szCs w:val="16"/>
                <w:lang w:val="en-GB"/>
              </w:rPr>
              <w:t>0.29 ± 0.01</w:t>
            </w:r>
            <w:r w:rsidRPr="00A9435B">
              <w:rPr>
                <w:sz w:val="16"/>
                <w:szCs w:val="16"/>
                <w:vertAlign w:val="superscript"/>
                <w:lang w:val="en-GB"/>
              </w:rPr>
              <w:t>gh</w:t>
            </w:r>
          </w:p>
        </w:tc>
        <w:tc>
          <w:tcPr>
            <w:tcW w:w="1046" w:type="dxa"/>
            <w:tcBorders>
              <w:top w:val="nil"/>
              <w:bottom w:val="single" w:sz="18" w:space="0" w:color="008000"/>
            </w:tcBorders>
            <w:shd w:val="clear" w:color="auto" w:fill="auto"/>
            <w:noWrap/>
            <w:vAlign w:val="center"/>
            <w:hideMark/>
          </w:tcPr>
          <w:p w14:paraId="26A4A662" w14:textId="77777777" w:rsidR="007D67C4" w:rsidRPr="00A9435B" w:rsidRDefault="007D67C4" w:rsidP="007D67C4">
            <w:pPr>
              <w:pStyle w:val="CETBodytext"/>
              <w:rPr>
                <w:sz w:val="16"/>
                <w:szCs w:val="16"/>
                <w:lang w:val="en-GB"/>
              </w:rPr>
            </w:pPr>
            <w:r w:rsidRPr="00A9435B">
              <w:rPr>
                <w:sz w:val="16"/>
                <w:szCs w:val="16"/>
                <w:lang w:val="en-GB"/>
              </w:rPr>
              <w:t>0.26 ± 0.02</w:t>
            </w:r>
            <w:r w:rsidRPr="00A9435B">
              <w:rPr>
                <w:sz w:val="16"/>
                <w:szCs w:val="16"/>
                <w:vertAlign w:val="superscript"/>
                <w:lang w:val="en-GB"/>
              </w:rPr>
              <w:t>fgh</w:t>
            </w:r>
          </w:p>
        </w:tc>
        <w:tc>
          <w:tcPr>
            <w:tcW w:w="974" w:type="dxa"/>
            <w:tcBorders>
              <w:top w:val="nil"/>
              <w:bottom w:val="single" w:sz="18" w:space="0" w:color="008000"/>
            </w:tcBorders>
            <w:shd w:val="clear" w:color="auto" w:fill="auto"/>
            <w:noWrap/>
            <w:vAlign w:val="center"/>
            <w:hideMark/>
          </w:tcPr>
          <w:p w14:paraId="158FC1AD" w14:textId="77777777" w:rsidR="007D67C4" w:rsidRPr="00A9435B" w:rsidRDefault="007D67C4" w:rsidP="007D67C4">
            <w:pPr>
              <w:pStyle w:val="CETBodytext"/>
              <w:rPr>
                <w:sz w:val="16"/>
                <w:szCs w:val="16"/>
                <w:lang w:val="en-GB"/>
              </w:rPr>
            </w:pPr>
            <w:r w:rsidRPr="00A9435B">
              <w:rPr>
                <w:sz w:val="16"/>
                <w:szCs w:val="16"/>
                <w:lang w:val="en-GB"/>
              </w:rPr>
              <w:t>0.23 ± 0.02</w:t>
            </w:r>
            <w:r w:rsidRPr="00A9435B">
              <w:rPr>
                <w:sz w:val="16"/>
                <w:szCs w:val="16"/>
                <w:vertAlign w:val="superscript"/>
                <w:lang w:val="en-GB"/>
              </w:rPr>
              <w:t>de</w:t>
            </w:r>
          </w:p>
        </w:tc>
        <w:tc>
          <w:tcPr>
            <w:tcW w:w="1116" w:type="dxa"/>
            <w:tcBorders>
              <w:top w:val="nil"/>
              <w:bottom w:val="single" w:sz="18" w:space="0" w:color="008000"/>
            </w:tcBorders>
            <w:shd w:val="clear" w:color="auto" w:fill="auto"/>
            <w:noWrap/>
            <w:vAlign w:val="center"/>
            <w:hideMark/>
          </w:tcPr>
          <w:p w14:paraId="4705D14B" w14:textId="6AFD7110" w:rsidR="007D67C4" w:rsidRPr="00A9435B" w:rsidRDefault="007D67C4" w:rsidP="007D67C4">
            <w:pPr>
              <w:pStyle w:val="CETBodytext"/>
              <w:rPr>
                <w:sz w:val="16"/>
                <w:szCs w:val="16"/>
                <w:lang w:val="en-GB"/>
              </w:rPr>
            </w:pPr>
            <w:r w:rsidRPr="00A9435B">
              <w:rPr>
                <w:sz w:val="16"/>
                <w:szCs w:val="16"/>
                <w:lang w:val="en-GB"/>
              </w:rPr>
              <w:t>180.00±15.28</w:t>
            </w:r>
            <w:r w:rsidRPr="00A9435B">
              <w:rPr>
                <w:sz w:val="16"/>
                <w:szCs w:val="16"/>
                <w:vertAlign w:val="superscript"/>
                <w:lang w:val="en-GB"/>
              </w:rPr>
              <w:t>f</w:t>
            </w:r>
          </w:p>
        </w:tc>
        <w:tc>
          <w:tcPr>
            <w:tcW w:w="1046" w:type="dxa"/>
            <w:tcBorders>
              <w:top w:val="nil"/>
              <w:bottom w:val="single" w:sz="18" w:space="0" w:color="008000"/>
            </w:tcBorders>
            <w:shd w:val="clear" w:color="auto" w:fill="auto"/>
            <w:noWrap/>
            <w:vAlign w:val="center"/>
            <w:hideMark/>
          </w:tcPr>
          <w:p w14:paraId="453AF85C" w14:textId="248B2C0D" w:rsidR="007D67C4" w:rsidRPr="00A9435B" w:rsidRDefault="007D67C4" w:rsidP="007D67C4">
            <w:pPr>
              <w:pStyle w:val="CETBodytext"/>
              <w:rPr>
                <w:sz w:val="16"/>
                <w:szCs w:val="16"/>
                <w:lang w:val="en-GB"/>
              </w:rPr>
            </w:pPr>
            <w:r w:rsidRPr="00A9435B">
              <w:rPr>
                <w:sz w:val="16"/>
                <w:szCs w:val="16"/>
                <w:lang w:val="en-GB"/>
              </w:rPr>
              <w:t>150.00±10.0</w:t>
            </w:r>
            <w:r w:rsidR="00A9435B">
              <w:rPr>
                <w:sz w:val="16"/>
                <w:szCs w:val="16"/>
                <w:lang w:val="en-GB"/>
              </w:rPr>
              <w:t>0</w:t>
            </w:r>
            <w:r w:rsidRPr="00A9435B">
              <w:rPr>
                <w:sz w:val="16"/>
                <w:szCs w:val="16"/>
                <w:vertAlign w:val="superscript"/>
                <w:lang w:val="en-GB"/>
              </w:rPr>
              <w:t>f</w:t>
            </w:r>
          </w:p>
        </w:tc>
        <w:tc>
          <w:tcPr>
            <w:tcW w:w="1045" w:type="dxa"/>
            <w:tcBorders>
              <w:top w:val="nil"/>
              <w:bottom w:val="single" w:sz="18" w:space="0" w:color="008000"/>
            </w:tcBorders>
            <w:shd w:val="clear" w:color="auto" w:fill="auto"/>
            <w:noWrap/>
            <w:vAlign w:val="center"/>
            <w:hideMark/>
          </w:tcPr>
          <w:p w14:paraId="0256B5F2" w14:textId="7551FDFB" w:rsidR="007D67C4" w:rsidRPr="00A9435B" w:rsidRDefault="007D67C4" w:rsidP="007D67C4">
            <w:pPr>
              <w:pStyle w:val="CETBodytext"/>
              <w:rPr>
                <w:sz w:val="16"/>
                <w:szCs w:val="16"/>
                <w:lang w:val="en-GB"/>
              </w:rPr>
            </w:pPr>
            <w:r w:rsidRPr="00A9435B">
              <w:rPr>
                <w:sz w:val="16"/>
                <w:szCs w:val="16"/>
                <w:lang w:val="en-GB"/>
              </w:rPr>
              <w:t>120.00±22.</w:t>
            </w:r>
            <w:r w:rsidR="00A9435B" w:rsidRPr="00A9435B">
              <w:rPr>
                <w:sz w:val="16"/>
                <w:szCs w:val="16"/>
                <w:lang w:val="en-GB"/>
              </w:rPr>
              <w:t>5</w:t>
            </w:r>
            <w:r w:rsidRPr="00A9435B">
              <w:rPr>
                <w:sz w:val="16"/>
                <w:szCs w:val="16"/>
                <w:lang w:val="en-GB"/>
              </w:rPr>
              <w:t>5</w:t>
            </w:r>
            <w:r w:rsidRPr="00A9435B">
              <w:rPr>
                <w:sz w:val="16"/>
                <w:szCs w:val="16"/>
                <w:vertAlign w:val="superscript"/>
                <w:lang w:val="en-GB"/>
              </w:rPr>
              <w:t>c</w:t>
            </w:r>
          </w:p>
        </w:tc>
        <w:tc>
          <w:tcPr>
            <w:tcW w:w="1046" w:type="dxa"/>
            <w:tcBorders>
              <w:top w:val="nil"/>
              <w:bottom w:val="single" w:sz="18" w:space="0" w:color="008000"/>
            </w:tcBorders>
            <w:shd w:val="clear" w:color="auto" w:fill="auto"/>
            <w:noWrap/>
            <w:vAlign w:val="center"/>
            <w:hideMark/>
          </w:tcPr>
          <w:p w14:paraId="538EB431" w14:textId="2B3E6E33" w:rsidR="007D67C4" w:rsidRPr="00A9435B" w:rsidRDefault="007D67C4" w:rsidP="007D67C4">
            <w:pPr>
              <w:pStyle w:val="CETBodytext"/>
              <w:rPr>
                <w:sz w:val="16"/>
                <w:szCs w:val="16"/>
                <w:lang w:val="en-GB"/>
              </w:rPr>
            </w:pPr>
            <w:r w:rsidRPr="00A9435B">
              <w:rPr>
                <w:sz w:val="16"/>
                <w:szCs w:val="16"/>
                <w:lang w:val="en-GB"/>
              </w:rPr>
              <w:t>130.00±20.8</w:t>
            </w:r>
            <w:r w:rsidR="00764EFD" w:rsidRPr="00A9435B">
              <w:rPr>
                <w:sz w:val="16"/>
                <w:szCs w:val="16"/>
                <w:lang w:val="en-GB"/>
              </w:rPr>
              <w:t>2</w:t>
            </w:r>
            <w:r w:rsidRPr="00A9435B">
              <w:rPr>
                <w:sz w:val="16"/>
                <w:szCs w:val="16"/>
                <w:vertAlign w:val="superscript"/>
                <w:lang w:val="en-GB"/>
              </w:rPr>
              <w:t>c</w:t>
            </w:r>
          </w:p>
        </w:tc>
      </w:tr>
    </w:tbl>
    <w:p w14:paraId="0146370C" w14:textId="10364311" w:rsidR="00AD4AEC" w:rsidRDefault="00DC4E5B" w:rsidP="00130F8D">
      <w:pPr>
        <w:pStyle w:val="CETTabletitle"/>
      </w:pPr>
      <w:r w:rsidRPr="009C7F74">
        <w:t xml:space="preserve">Table </w:t>
      </w:r>
      <w:r w:rsidR="00903A68">
        <w:t>3</w:t>
      </w:r>
      <w:r w:rsidRPr="009C7F74">
        <w:t>:</w:t>
      </w:r>
      <w:r>
        <w:t xml:space="preserve"> </w:t>
      </w:r>
      <w:r w:rsidR="009C7F74">
        <w:t>Acid value and peroxide value of sunflower oil</w:t>
      </w:r>
      <w:r w:rsidR="00E4528F">
        <w:t xml:space="preserve"> </w:t>
      </w:r>
      <w:r w:rsidR="00E4528F">
        <w:rPr>
          <w:spacing w:val="-5"/>
        </w:rPr>
        <w:t>during frying at 180°C, as it is or with addition of b-carotene &amp;/or BHT</w:t>
      </w:r>
      <w:r w:rsidR="00E4528F">
        <w:t xml:space="preserve">. Values are reported as means </w:t>
      </w:r>
      <w:r w:rsidR="00E4528F">
        <w:rPr>
          <w:rFonts w:cs="Arial"/>
        </w:rPr>
        <w:t>±</w:t>
      </w:r>
      <w:r w:rsidR="00E4528F">
        <w:t xml:space="preserve"> </w:t>
      </w:r>
      <w:proofErr w:type="spellStart"/>
      <w:r w:rsidR="00E4528F">
        <w:t>s.d.</w:t>
      </w:r>
      <w:proofErr w:type="spellEnd"/>
    </w:p>
    <w:tbl>
      <w:tblPr>
        <w:tblpPr w:leftFromText="142" w:rightFromText="142" w:vertAnchor="text" w:horzAnchor="margin" w:tblpY="1"/>
        <w:tblW w:w="8781" w:type="dxa"/>
        <w:tblBorders>
          <w:top w:val="single" w:sz="8" w:space="0" w:color="008000"/>
          <w:bottom w:val="single" w:sz="4" w:space="0" w:color="008000"/>
        </w:tblBorders>
        <w:tblLayout w:type="fixed"/>
        <w:tblCellMar>
          <w:left w:w="28" w:type="dxa"/>
          <w:right w:w="28" w:type="dxa"/>
        </w:tblCellMar>
        <w:tblLook w:val="04A0" w:firstRow="1" w:lastRow="0" w:firstColumn="1" w:lastColumn="0" w:noHBand="0" w:noVBand="1"/>
      </w:tblPr>
      <w:tblGrid>
        <w:gridCol w:w="422"/>
        <w:gridCol w:w="1044"/>
        <w:gridCol w:w="1045"/>
        <w:gridCol w:w="1045"/>
        <w:gridCol w:w="1045"/>
        <w:gridCol w:w="1045"/>
        <w:gridCol w:w="1045"/>
        <w:gridCol w:w="1045"/>
        <w:gridCol w:w="1045"/>
      </w:tblGrid>
      <w:tr w:rsidR="00FA1437" w:rsidRPr="00FA1437" w14:paraId="340ACE81" w14:textId="77777777" w:rsidTr="00431B90">
        <w:trPr>
          <w:trHeight w:val="20"/>
        </w:trPr>
        <w:tc>
          <w:tcPr>
            <w:tcW w:w="422" w:type="dxa"/>
            <w:tcBorders>
              <w:top w:val="single" w:sz="18" w:space="0" w:color="008000"/>
              <w:bottom w:val="single" w:sz="8" w:space="0" w:color="008000"/>
            </w:tcBorders>
            <w:shd w:val="clear" w:color="auto" w:fill="auto"/>
            <w:noWrap/>
            <w:vAlign w:val="center"/>
            <w:hideMark/>
          </w:tcPr>
          <w:p w14:paraId="1BBEC9EB" w14:textId="78D82AC5" w:rsidR="00FA1437" w:rsidRPr="00FA1437" w:rsidRDefault="00DA69E6" w:rsidP="00E10E3A">
            <w:pPr>
              <w:pStyle w:val="CETBodytext"/>
              <w:spacing w:line="240" w:lineRule="atLeast"/>
              <w:rPr>
                <w:sz w:val="17"/>
                <w:szCs w:val="17"/>
                <w:lang w:val="en-GB"/>
              </w:rPr>
            </w:pPr>
            <w:r>
              <w:rPr>
                <w:sz w:val="17"/>
                <w:szCs w:val="17"/>
                <w:lang w:val="en-GB"/>
              </w:rPr>
              <w:t>M</w:t>
            </w:r>
            <w:r w:rsidR="00FA1437" w:rsidRPr="00FA1437">
              <w:rPr>
                <w:sz w:val="17"/>
                <w:szCs w:val="17"/>
                <w:lang w:val="en-GB"/>
              </w:rPr>
              <w:t>in</w:t>
            </w:r>
          </w:p>
        </w:tc>
        <w:tc>
          <w:tcPr>
            <w:tcW w:w="4179" w:type="dxa"/>
            <w:gridSpan w:val="4"/>
            <w:tcBorders>
              <w:top w:val="single" w:sz="18" w:space="0" w:color="008000"/>
              <w:bottom w:val="single" w:sz="8" w:space="0" w:color="008000"/>
            </w:tcBorders>
            <w:shd w:val="clear" w:color="auto" w:fill="auto"/>
            <w:noWrap/>
            <w:vAlign w:val="center"/>
            <w:hideMark/>
          </w:tcPr>
          <w:p w14:paraId="01550D26" w14:textId="7E199F6C" w:rsidR="00FA1437" w:rsidRPr="00FA1437" w:rsidRDefault="00FA1437" w:rsidP="00E10E3A">
            <w:pPr>
              <w:pStyle w:val="CETBodytext"/>
              <w:spacing w:line="240" w:lineRule="atLeast"/>
              <w:jc w:val="center"/>
              <w:rPr>
                <w:sz w:val="17"/>
                <w:szCs w:val="17"/>
                <w:lang w:val="en-GB"/>
              </w:rPr>
            </w:pPr>
            <w:r w:rsidRPr="00FA1437">
              <w:rPr>
                <w:sz w:val="17"/>
                <w:szCs w:val="17"/>
                <w:lang w:val="en-GB"/>
              </w:rPr>
              <w:t xml:space="preserve">Acid Value </w:t>
            </w:r>
            <w:proofErr w:type="spellStart"/>
            <w:r w:rsidRPr="00FA1437">
              <w:rPr>
                <w:sz w:val="17"/>
                <w:szCs w:val="17"/>
                <w:lang w:val="en-GB"/>
              </w:rPr>
              <w:t>mg</w:t>
            </w:r>
            <w:r w:rsidRPr="00FA1437">
              <w:rPr>
                <w:sz w:val="17"/>
                <w:szCs w:val="17"/>
                <w:vertAlign w:val="subscript"/>
                <w:lang w:val="en-GB"/>
              </w:rPr>
              <w:t>KOH</w:t>
            </w:r>
            <w:proofErr w:type="spellEnd"/>
            <w:r w:rsidRPr="00FA1437">
              <w:rPr>
                <w:sz w:val="17"/>
                <w:szCs w:val="17"/>
                <w:lang w:val="en-GB"/>
              </w:rPr>
              <w:t>/g</w:t>
            </w:r>
          </w:p>
        </w:tc>
        <w:tc>
          <w:tcPr>
            <w:tcW w:w="4180" w:type="dxa"/>
            <w:gridSpan w:val="4"/>
            <w:tcBorders>
              <w:top w:val="single" w:sz="18" w:space="0" w:color="008000"/>
              <w:bottom w:val="single" w:sz="8" w:space="0" w:color="008000"/>
            </w:tcBorders>
            <w:shd w:val="clear" w:color="auto" w:fill="auto"/>
            <w:noWrap/>
            <w:vAlign w:val="center"/>
            <w:hideMark/>
          </w:tcPr>
          <w:p w14:paraId="36E616F0" w14:textId="4D135D4D" w:rsidR="00FA1437" w:rsidRPr="00FA1437" w:rsidRDefault="00FA1437" w:rsidP="00E10E3A">
            <w:pPr>
              <w:pStyle w:val="CETBodytext"/>
              <w:spacing w:line="240" w:lineRule="atLeast"/>
              <w:jc w:val="center"/>
              <w:rPr>
                <w:sz w:val="17"/>
                <w:szCs w:val="17"/>
                <w:lang w:val="en-GB"/>
              </w:rPr>
            </w:pPr>
            <w:r w:rsidRPr="00FA1437">
              <w:rPr>
                <w:sz w:val="17"/>
                <w:szCs w:val="17"/>
                <w:lang w:val="en-GB"/>
              </w:rPr>
              <w:t>Peroxide Value meq</w:t>
            </w:r>
            <w:r w:rsidRPr="00FA1437">
              <w:rPr>
                <w:sz w:val="17"/>
                <w:szCs w:val="17"/>
                <w:vertAlign w:val="subscript"/>
                <w:lang w:val="en-GB"/>
              </w:rPr>
              <w:t>O2</w:t>
            </w:r>
            <w:r w:rsidRPr="00FA1437">
              <w:rPr>
                <w:sz w:val="17"/>
                <w:szCs w:val="17"/>
                <w:lang w:val="en-GB"/>
              </w:rPr>
              <w:t>/kg</w:t>
            </w:r>
          </w:p>
        </w:tc>
      </w:tr>
      <w:tr w:rsidR="00FA1437" w:rsidRPr="00FA1437" w14:paraId="43FFEF9B" w14:textId="77777777" w:rsidTr="00FA1437">
        <w:trPr>
          <w:trHeight w:val="20"/>
        </w:trPr>
        <w:tc>
          <w:tcPr>
            <w:tcW w:w="422" w:type="dxa"/>
            <w:tcBorders>
              <w:top w:val="single" w:sz="8" w:space="0" w:color="008000"/>
            </w:tcBorders>
            <w:shd w:val="clear" w:color="auto" w:fill="auto"/>
            <w:noWrap/>
            <w:vAlign w:val="center"/>
            <w:hideMark/>
          </w:tcPr>
          <w:p w14:paraId="1DA0FD96" w14:textId="77777777" w:rsidR="007D67C4" w:rsidRPr="00FA1437" w:rsidRDefault="007D67C4" w:rsidP="00903A68">
            <w:pPr>
              <w:pStyle w:val="CETBodytext"/>
              <w:spacing w:line="240" w:lineRule="atLeast"/>
              <w:jc w:val="left"/>
              <w:rPr>
                <w:sz w:val="17"/>
                <w:szCs w:val="17"/>
                <w:lang w:val="en-GB"/>
              </w:rPr>
            </w:pPr>
          </w:p>
        </w:tc>
        <w:tc>
          <w:tcPr>
            <w:tcW w:w="1044" w:type="dxa"/>
            <w:tcBorders>
              <w:top w:val="single" w:sz="8" w:space="0" w:color="008000"/>
            </w:tcBorders>
            <w:shd w:val="clear" w:color="auto" w:fill="auto"/>
            <w:noWrap/>
            <w:vAlign w:val="center"/>
            <w:hideMark/>
          </w:tcPr>
          <w:p w14:paraId="442D2B59" w14:textId="77777777" w:rsidR="007D67C4" w:rsidRPr="00FA1437" w:rsidRDefault="007D67C4" w:rsidP="00E10E3A">
            <w:pPr>
              <w:pStyle w:val="CETBodytext"/>
              <w:spacing w:line="240" w:lineRule="atLeast"/>
              <w:jc w:val="center"/>
              <w:rPr>
                <w:sz w:val="17"/>
                <w:szCs w:val="17"/>
                <w:lang w:val="en-GB"/>
              </w:rPr>
            </w:pPr>
            <w:r w:rsidRPr="00FA1437">
              <w:rPr>
                <w:color w:val="000000"/>
                <w:sz w:val="17"/>
                <w:szCs w:val="17"/>
              </w:rPr>
              <w:t>S</w:t>
            </w:r>
          </w:p>
        </w:tc>
        <w:tc>
          <w:tcPr>
            <w:tcW w:w="1045" w:type="dxa"/>
            <w:tcBorders>
              <w:top w:val="single" w:sz="8" w:space="0" w:color="008000"/>
            </w:tcBorders>
            <w:shd w:val="clear" w:color="auto" w:fill="auto"/>
            <w:noWrap/>
            <w:vAlign w:val="center"/>
            <w:hideMark/>
          </w:tcPr>
          <w:p w14:paraId="13E4D698" w14:textId="77777777" w:rsidR="007D67C4" w:rsidRPr="00FA1437" w:rsidRDefault="007D67C4" w:rsidP="00E10E3A">
            <w:pPr>
              <w:pStyle w:val="CETBodytext"/>
              <w:spacing w:line="240" w:lineRule="atLeast"/>
              <w:jc w:val="center"/>
              <w:rPr>
                <w:sz w:val="17"/>
                <w:szCs w:val="17"/>
                <w:lang w:val="en-GB"/>
              </w:rPr>
            </w:pPr>
            <w:r w:rsidRPr="00FA1437">
              <w:rPr>
                <w:color w:val="000000"/>
                <w:sz w:val="17"/>
                <w:szCs w:val="17"/>
              </w:rPr>
              <w:t>S-BHT</w:t>
            </w:r>
          </w:p>
        </w:tc>
        <w:tc>
          <w:tcPr>
            <w:tcW w:w="1045" w:type="dxa"/>
            <w:tcBorders>
              <w:top w:val="single" w:sz="8" w:space="0" w:color="008000"/>
            </w:tcBorders>
            <w:shd w:val="clear" w:color="auto" w:fill="auto"/>
            <w:noWrap/>
            <w:vAlign w:val="center"/>
            <w:hideMark/>
          </w:tcPr>
          <w:p w14:paraId="4D092FDA" w14:textId="77777777" w:rsidR="007D67C4" w:rsidRPr="00FA1437" w:rsidRDefault="007D67C4" w:rsidP="00E10E3A">
            <w:pPr>
              <w:pStyle w:val="CETBodytext"/>
              <w:spacing w:line="240" w:lineRule="atLeast"/>
              <w:jc w:val="center"/>
              <w:rPr>
                <w:sz w:val="17"/>
                <w:szCs w:val="17"/>
                <w:lang w:val="en-GB"/>
              </w:rPr>
            </w:pPr>
            <w:r w:rsidRPr="00FA1437">
              <w:rPr>
                <w:color w:val="000000"/>
                <w:sz w:val="17"/>
                <w:szCs w:val="17"/>
              </w:rPr>
              <w:t>S-βc</w:t>
            </w:r>
          </w:p>
        </w:tc>
        <w:tc>
          <w:tcPr>
            <w:tcW w:w="1045" w:type="dxa"/>
            <w:tcBorders>
              <w:top w:val="single" w:sz="8" w:space="0" w:color="008000"/>
            </w:tcBorders>
            <w:shd w:val="clear" w:color="auto" w:fill="auto"/>
            <w:noWrap/>
            <w:vAlign w:val="center"/>
            <w:hideMark/>
          </w:tcPr>
          <w:p w14:paraId="747DA598" w14:textId="77777777" w:rsidR="007D67C4" w:rsidRPr="00FA1437" w:rsidRDefault="007D67C4" w:rsidP="00E10E3A">
            <w:pPr>
              <w:pStyle w:val="CETBodytext"/>
              <w:spacing w:line="240" w:lineRule="atLeast"/>
              <w:jc w:val="center"/>
              <w:rPr>
                <w:sz w:val="17"/>
                <w:szCs w:val="17"/>
                <w:lang w:val="en-GB"/>
              </w:rPr>
            </w:pPr>
            <w:r w:rsidRPr="00FA1437">
              <w:rPr>
                <w:color w:val="000000"/>
                <w:sz w:val="17"/>
                <w:szCs w:val="17"/>
              </w:rPr>
              <w:t>S-βc-BHT</w:t>
            </w:r>
          </w:p>
        </w:tc>
        <w:tc>
          <w:tcPr>
            <w:tcW w:w="1045" w:type="dxa"/>
            <w:tcBorders>
              <w:top w:val="single" w:sz="8" w:space="0" w:color="008000"/>
            </w:tcBorders>
            <w:shd w:val="clear" w:color="auto" w:fill="auto"/>
            <w:noWrap/>
            <w:vAlign w:val="center"/>
            <w:hideMark/>
          </w:tcPr>
          <w:p w14:paraId="1346AB89" w14:textId="77777777" w:rsidR="007D67C4" w:rsidRPr="00FA1437" w:rsidRDefault="007D67C4" w:rsidP="00E10E3A">
            <w:pPr>
              <w:pStyle w:val="CETBodytext"/>
              <w:spacing w:line="240" w:lineRule="atLeast"/>
              <w:jc w:val="center"/>
              <w:rPr>
                <w:sz w:val="17"/>
                <w:szCs w:val="17"/>
                <w:lang w:val="en-GB"/>
              </w:rPr>
            </w:pPr>
            <w:r w:rsidRPr="00FA1437">
              <w:rPr>
                <w:color w:val="000000"/>
                <w:sz w:val="17"/>
                <w:szCs w:val="17"/>
              </w:rPr>
              <w:t>S</w:t>
            </w:r>
          </w:p>
        </w:tc>
        <w:tc>
          <w:tcPr>
            <w:tcW w:w="1045" w:type="dxa"/>
            <w:tcBorders>
              <w:top w:val="single" w:sz="8" w:space="0" w:color="008000"/>
            </w:tcBorders>
            <w:shd w:val="clear" w:color="auto" w:fill="auto"/>
            <w:noWrap/>
            <w:vAlign w:val="center"/>
            <w:hideMark/>
          </w:tcPr>
          <w:p w14:paraId="192F6F3A" w14:textId="77777777" w:rsidR="007D67C4" w:rsidRPr="00FA1437" w:rsidRDefault="007D67C4" w:rsidP="00E10E3A">
            <w:pPr>
              <w:pStyle w:val="CETBodytext"/>
              <w:spacing w:line="240" w:lineRule="atLeast"/>
              <w:jc w:val="center"/>
              <w:rPr>
                <w:sz w:val="17"/>
                <w:szCs w:val="17"/>
                <w:lang w:val="en-GB"/>
              </w:rPr>
            </w:pPr>
            <w:r w:rsidRPr="00FA1437">
              <w:rPr>
                <w:color w:val="000000"/>
                <w:sz w:val="17"/>
                <w:szCs w:val="17"/>
              </w:rPr>
              <w:t>S-BHT</w:t>
            </w:r>
          </w:p>
        </w:tc>
        <w:tc>
          <w:tcPr>
            <w:tcW w:w="1045" w:type="dxa"/>
            <w:tcBorders>
              <w:top w:val="single" w:sz="8" w:space="0" w:color="008000"/>
            </w:tcBorders>
            <w:shd w:val="clear" w:color="auto" w:fill="auto"/>
            <w:noWrap/>
            <w:vAlign w:val="center"/>
            <w:hideMark/>
          </w:tcPr>
          <w:p w14:paraId="4BCAD059" w14:textId="77777777" w:rsidR="007D67C4" w:rsidRPr="00FA1437" w:rsidRDefault="007D67C4" w:rsidP="00E10E3A">
            <w:pPr>
              <w:pStyle w:val="CETBodytext"/>
              <w:spacing w:line="240" w:lineRule="atLeast"/>
              <w:jc w:val="center"/>
              <w:rPr>
                <w:sz w:val="17"/>
                <w:szCs w:val="17"/>
                <w:lang w:val="en-GB"/>
              </w:rPr>
            </w:pPr>
            <w:r w:rsidRPr="00FA1437">
              <w:rPr>
                <w:color w:val="000000"/>
                <w:sz w:val="17"/>
                <w:szCs w:val="17"/>
              </w:rPr>
              <w:t>S-βc</w:t>
            </w:r>
          </w:p>
        </w:tc>
        <w:tc>
          <w:tcPr>
            <w:tcW w:w="1045" w:type="dxa"/>
            <w:tcBorders>
              <w:top w:val="single" w:sz="8" w:space="0" w:color="008000"/>
            </w:tcBorders>
            <w:shd w:val="clear" w:color="auto" w:fill="auto"/>
            <w:noWrap/>
            <w:vAlign w:val="center"/>
            <w:hideMark/>
          </w:tcPr>
          <w:p w14:paraId="3EA7BCBA" w14:textId="77777777" w:rsidR="007D67C4" w:rsidRPr="00FA1437" w:rsidRDefault="007D67C4" w:rsidP="00E10E3A">
            <w:pPr>
              <w:pStyle w:val="CETBodytext"/>
              <w:spacing w:line="240" w:lineRule="atLeast"/>
              <w:jc w:val="center"/>
              <w:rPr>
                <w:sz w:val="17"/>
                <w:szCs w:val="17"/>
                <w:lang w:val="en-GB"/>
              </w:rPr>
            </w:pPr>
            <w:r w:rsidRPr="00FA1437">
              <w:rPr>
                <w:color w:val="000000"/>
                <w:sz w:val="17"/>
                <w:szCs w:val="17"/>
              </w:rPr>
              <w:t>S-βc-BHT</w:t>
            </w:r>
          </w:p>
        </w:tc>
      </w:tr>
      <w:tr w:rsidR="00FA1437" w:rsidRPr="00FA1437" w14:paraId="76D6C144" w14:textId="77777777" w:rsidTr="00FA1437">
        <w:trPr>
          <w:trHeight w:val="20"/>
        </w:trPr>
        <w:tc>
          <w:tcPr>
            <w:tcW w:w="422" w:type="dxa"/>
            <w:shd w:val="clear" w:color="auto" w:fill="auto"/>
            <w:noWrap/>
            <w:vAlign w:val="center"/>
            <w:hideMark/>
          </w:tcPr>
          <w:p w14:paraId="4C97E473" w14:textId="77777777" w:rsidR="007D67C4" w:rsidRPr="00FA1437" w:rsidRDefault="007D67C4" w:rsidP="00903A68">
            <w:pPr>
              <w:pStyle w:val="CETBodytext"/>
              <w:spacing w:line="240" w:lineRule="atLeast"/>
              <w:jc w:val="left"/>
              <w:rPr>
                <w:sz w:val="17"/>
                <w:szCs w:val="17"/>
                <w:lang w:val="en-GB"/>
              </w:rPr>
            </w:pPr>
            <w:r w:rsidRPr="00FA1437">
              <w:rPr>
                <w:sz w:val="17"/>
                <w:szCs w:val="17"/>
                <w:lang w:val="en-GB"/>
              </w:rPr>
              <w:t>0</w:t>
            </w:r>
          </w:p>
        </w:tc>
        <w:tc>
          <w:tcPr>
            <w:tcW w:w="1044" w:type="dxa"/>
            <w:shd w:val="clear" w:color="auto" w:fill="auto"/>
            <w:noWrap/>
            <w:vAlign w:val="center"/>
            <w:hideMark/>
          </w:tcPr>
          <w:p w14:paraId="7A23F321" w14:textId="20027D44" w:rsidR="007D67C4" w:rsidRPr="00FA1437" w:rsidRDefault="007D67C4" w:rsidP="00E10E3A">
            <w:pPr>
              <w:pStyle w:val="CETBodytext"/>
              <w:spacing w:line="240" w:lineRule="atLeast"/>
              <w:rPr>
                <w:sz w:val="17"/>
                <w:szCs w:val="17"/>
                <w:lang w:val="en-GB"/>
              </w:rPr>
            </w:pPr>
            <w:r w:rsidRPr="00FA1437">
              <w:rPr>
                <w:color w:val="000000"/>
                <w:sz w:val="17"/>
                <w:szCs w:val="17"/>
              </w:rPr>
              <w:t>0.26±0.01</w:t>
            </w:r>
            <w:r w:rsidRPr="00FA1437">
              <w:rPr>
                <w:color w:val="000000"/>
                <w:sz w:val="17"/>
                <w:szCs w:val="17"/>
                <w:vertAlign w:val="superscript"/>
              </w:rPr>
              <w:t>ab</w:t>
            </w:r>
          </w:p>
        </w:tc>
        <w:tc>
          <w:tcPr>
            <w:tcW w:w="1045" w:type="dxa"/>
            <w:shd w:val="clear" w:color="auto" w:fill="auto"/>
            <w:noWrap/>
            <w:vAlign w:val="center"/>
            <w:hideMark/>
          </w:tcPr>
          <w:p w14:paraId="503333A5" w14:textId="159AA002" w:rsidR="007D67C4" w:rsidRPr="00FA1437" w:rsidRDefault="007D67C4" w:rsidP="00E10E3A">
            <w:pPr>
              <w:pStyle w:val="CETBodytext"/>
              <w:spacing w:line="240" w:lineRule="atLeast"/>
              <w:rPr>
                <w:sz w:val="17"/>
                <w:szCs w:val="17"/>
                <w:lang w:val="en-GB"/>
              </w:rPr>
            </w:pPr>
            <w:r w:rsidRPr="00FA1437">
              <w:rPr>
                <w:color w:val="000000"/>
                <w:sz w:val="17"/>
                <w:szCs w:val="17"/>
              </w:rPr>
              <w:t>0.25±0.01</w:t>
            </w:r>
            <w:r w:rsidRPr="00FA1437">
              <w:rPr>
                <w:color w:val="000000"/>
                <w:sz w:val="17"/>
                <w:szCs w:val="17"/>
                <w:vertAlign w:val="superscript"/>
              </w:rPr>
              <w:t>ab</w:t>
            </w:r>
          </w:p>
        </w:tc>
        <w:tc>
          <w:tcPr>
            <w:tcW w:w="1045" w:type="dxa"/>
            <w:shd w:val="clear" w:color="auto" w:fill="auto"/>
            <w:noWrap/>
            <w:vAlign w:val="center"/>
            <w:hideMark/>
          </w:tcPr>
          <w:p w14:paraId="5751281E" w14:textId="176DC885" w:rsidR="007D67C4" w:rsidRPr="00FA1437" w:rsidRDefault="007D67C4" w:rsidP="00E10E3A">
            <w:pPr>
              <w:pStyle w:val="CETBodytext"/>
              <w:spacing w:line="240" w:lineRule="atLeast"/>
              <w:rPr>
                <w:sz w:val="17"/>
                <w:szCs w:val="17"/>
                <w:lang w:val="en-GB"/>
              </w:rPr>
            </w:pPr>
            <w:r w:rsidRPr="00FA1437">
              <w:rPr>
                <w:color w:val="000000"/>
                <w:sz w:val="17"/>
                <w:szCs w:val="17"/>
              </w:rPr>
              <w:t>0.25±0.01</w:t>
            </w:r>
            <w:r w:rsidRPr="00FA1437">
              <w:rPr>
                <w:color w:val="000000"/>
                <w:sz w:val="17"/>
                <w:szCs w:val="17"/>
                <w:vertAlign w:val="superscript"/>
              </w:rPr>
              <w:t>a</w:t>
            </w:r>
          </w:p>
        </w:tc>
        <w:tc>
          <w:tcPr>
            <w:tcW w:w="1045" w:type="dxa"/>
            <w:shd w:val="clear" w:color="auto" w:fill="auto"/>
            <w:noWrap/>
            <w:vAlign w:val="center"/>
            <w:hideMark/>
          </w:tcPr>
          <w:p w14:paraId="5F7CE54E" w14:textId="5C554C79" w:rsidR="007D67C4" w:rsidRPr="00FA1437" w:rsidRDefault="007D67C4" w:rsidP="00E10E3A">
            <w:pPr>
              <w:pStyle w:val="CETBodytext"/>
              <w:spacing w:line="240" w:lineRule="atLeast"/>
              <w:rPr>
                <w:sz w:val="17"/>
                <w:szCs w:val="17"/>
                <w:lang w:val="en-GB"/>
              </w:rPr>
            </w:pPr>
            <w:r w:rsidRPr="00FA1437">
              <w:rPr>
                <w:color w:val="000000"/>
                <w:sz w:val="17"/>
                <w:szCs w:val="17"/>
              </w:rPr>
              <w:t>0.25±0.01</w:t>
            </w:r>
            <w:r w:rsidRPr="00FA1437">
              <w:rPr>
                <w:color w:val="000000"/>
                <w:sz w:val="17"/>
                <w:szCs w:val="17"/>
                <w:vertAlign w:val="superscript"/>
              </w:rPr>
              <w:t>ab</w:t>
            </w:r>
          </w:p>
        </w:tc>
        <w:tc>
          <w:tcPr>
            <w:tcW w:w="1045" w:type="dxa"/>
            <w:shd w:val="clear" w:color="auto" w:fill="auto"/>
            <w:noWrap/>
            <w:vAlign w:val="center"/>
            <w:hideMark/>
          </w:tcPr>
          <w:p w14:paraId="5575DC71" w14:textId="78F5FC0C" w:rsidR="007D67C4" w:rsidRPr="00FA1437" w:rsidRDefault="007D67C4" w:rsidP="00E10E3A">
            <w:pPr>
              <w:pStyle w:val="CETBodytext"/>
              <w:spacing w:line="240" w:lineRule="atLeast"/>
              <w:rPr>
                <w:sz w:val="17"/>
                <w:szCs w:val="17"/>
                <w:lang w:val="en-GB"/>
              </w:rPr>
            </w:pPr>
            <w:r w:rsidRPr="00FA1437">
              <w:rPr>
                <w:color w:val="000000"/>
                <w:sz w:val="17"/>
                <w:szCs w:val="17"/>
              </w:rPr>
              <w:t>56.67±5.77</w:t>
            </w:r>
            <w:r w:rsidRPr="00FA1437">
              <w:rPr>
                <w:color w:val="000000"/>
                <w:sz w:val="17"/>
                <w:szCs w:val="17"/>
                <w:vertAlign w:val="superscript"/>
              </w:rPr>
              <w:t>ab</w:t>
            </w:r>
          </w:p>
        </w:tc>
        <w:tc>
          <w:tcPr>
            <w:tcW w:w="1045" w:type="dxa"/>
            <w:shd w:val="clear" w:color="auto" w:fill="auto"/>
            <w:noWrap/>
            <w:vAlign w:val="center"/>
            <w:hideMark/>
          </w:tcPr>
          <w:p w14:paraId="2596C59A" w14:textId="5DB520D2" w:rsidR="007D67C4" w:rsidRPr="00FA1437" w:rsidRDefault="007D67C4" w:rsidP="00E10E3A">
            <w:pPr>
              <w:pStyle w:val="CETBodytext"/>
              <w:spacing w:line="240" w:lineRule="atLeast"/>
              <w:rPr>
                <w:sz w:val="17"/>
                <w:szCs w:val="17"/>
                <w:lang w:val="en-GB"/>
              </w:rPr>
            </w:pPr>
            <w:r w:rsidRPr="00FA1437">
              <w:rPr>
                <w:color w:val="000000"/>
                <w:sz w:val="17"/>
                <w:szCs w:val="17"/>
              </w:rPr>
              <w:t>40.00±0.01</w:t>
            </w:r>
            <w:r w:rsidRPr="00FA1437">
              <w:rPr>
                <w:color w:val="000000"/>
                <w:sz w:val="17"/>
                <w:szCs w:val="17"/>
                <w:vertAlign w:val="superscript"/>
              </w:rPr>
              <w:t>de</w:t>
            </w:r>
          </w:p>
        </w:tc>
        <w:tc>
          <w:tcPr>
            <w:tcW w:w="1045" w:type="dxa"/>
            <w:shd w:val="clear" w:color="auto" w:fill="auto"/>
            <w:noWrap/>
            <w:vAlign w:val="center"/>
            <w:hideMark/>
          </w:tcPr>
          <w:p w14:paraId="242763AA" w14:textId="33B43AC1" w:rsidR="007D67C4" w:rsidRPr="00FA1437" w:rsidRDefault="007D67C4" w:rsidP="00E10E3A">
            <w:pPr>
              <w:pStyle w:val="CETBodytext"/>
              <w:spacing w:line="240" w:lineRule="atLeast"/>
              <w:rPr>
                <w:sz w:val="17"/>
                <w:szCs w:val="17"/>
                <w:lang w:val="en-GB"/>
              </w:rPr>
            </w:pPr>
            <w:r w:rsidRPr="00FA1437">
              <w:rPr>
                <w:color w:val="000000"/>
                <w:sz w:val="17"/>
                <w:szCs w:val="17"/>
              </w:rPr>
              <w:t>43.33±5.77</w:t>
            </w:r>
            <w:r w:rsidRPr="00FA1437">
              <w:rPr>
                <w:color w:val="000000"/>
                <w:sz w:val="17"/>
                <w:szCs w:val="17"/>
                <w:vertAlign w:val="superscript"/>
              </w:rPr>
              <w:t>ab</w:t>
            </w:r>
          </w:p>
        </w:tc>
        <w:tc>
          <w:tcPr>
            <w:tcW w:w="1045" w:type="dxa"/>
            <w:shd w:val="clear" w:color="auto" w:fill="auto"/>
            <w:noWrap/>
            <w:vAlign w:val="center"/>
            <w:hideMark/>
          </w:tcPr>
          <w:p w14:paraId="16272583" w14:textId="181C1469" w:rsidR="007D67C4" w:rsidRPr="00FA1437" w:rsidRDefault="007D67C4" w:rsidP="00E10E3A">
            <w:pPr>
              <w:pStyle w:val="CETBodytext"/>
              <w:spacing w:line="240" w:lineRule="atLeast"/>
              <w:rPr>
                <w:sz w:val="17"/>
                <w:szCs w:val="17"/>
                <w:lang w:val="en-GB"/>
              </w:rPr>
            </w:pPr>
            <w:r w:rsidRPr="00FA1437">
              <w:rPr>
                <w:color w:val="000000"/>
                <w:sz w:val="17"/>
                <w:szCs w:val="17"/>
              </w:rPr>
              <w:t>36.67±5.77</w:t>
            </w:r>
            <w:r w:rsidRPr="00FA1437">
              <w:rPr>
                <w:color w:val="000000"/>
                <w:sz w:val="17"/>
                <w:szCs w:val="17"/>
                <w:vertAlign w:val="superscript"/>
              </w:rPr>
              <w:t>a</w:t>
            </w:r>
          </w:p>
        </w:tc>
      </w:tr>
      <w:tr w:rsidR="00FA1437" w:rsidRPr="00FA1437" w14:paraId="5E912482" w14:textId="77777777" w:rsidTr="00FA1437">
        <w:trPr>
          <w:trHeight w:val="20"/>
        </w:trPr>
        <w:tc>
          <w:tcPr>
            <w:tcW w:w="422" w:type="dxa"/>
            <w:shd w:val="clear" w:color="auto" w:fill="auto"/>
            <w:noWrap/>
            <w:vAlign w:val="center"/>
            <w:hideMark/>
          </w:tcPr>
          <w:p w14:paraId="27C15420" w14:textId="126957FC" w:rsidR="007D67C4" w:rsidRPr="00FA1437" w:rsidRDefault="00903A68" w:rsidP="00903A68">
            <w:pPr>
              <w:pStyle w:val="CETBodytext"/>
              <w:spacing w:line="240" w:lineRule="atLeast"/>
              <w:jc w:val="left"/>
              <w:rPr>
                <w:sz w:val="17"/>
                <w:szCs w:val="17"/>
                <w:lang w:val="en-GB"/>
              </w:rPr>
            </w:pPr>
            <w:r w:rsidRPr="00FA1437">
              <w:rPr>
                <w:sz w:val="17"/>
                <w:szCs w:val="17"/>
                <w:lang w:val="en-GB"/>
              </w:rPr>
              <w:t>5</w:t>
            </w:r>
          </w:p>
        </w:tc>
        <w:tc>
          <w:tcPr>
            <w:tcW w:w="1044" w:type="dxa"/>
            <w:shd w:val="clear" w:color="auto" w:fill="auto"/>
            <w:noWrap/>
            <w:vAlign w:val="center"/>
            <w:hideMark/>
          </w:tcPr>
          <w:p w14:paraId="3EC52438" w14:textId="7FDF03A1" w:rsidR="007D67C4" w:rsidRPr="00FA1437" w:rsidRDefault="007D67C4" w:rsidP="00E10E3A">
            <w:pPr>
              <w:pStyle w:val="CETBodytext"/>
              <w:spacing w:line="240" w:lineRule="atLeast"/>
              <w:rPr>
                <w:sz w:val="17"/>
                <w:szCs w:val="17"/>
                <w:lang w:val="en-GB"/>
              </w:rPr>
            </w:pPr>
            <w:r w:rsidRPr="00FA1437">
              <w:rPr>
                <w:color w:val="000000"/>
                <w:sz w:val="17"/>
                <w:szCs w:val="17"/>
              </w:rPr>
              <w:t>0.26±0.01</w:t>
            </w:r>
            <w:r w:rsidRPr="00FA1437">
              <w:rPr>
                <w:color w:val="000000"/>
                <w:sz w:val="17"/>
                <w:szCs w:val="17"/>
                <w:vertAlign w:val="superscript"/>
              </w:rPr>
              <w:t>abc</w:t>
            </w:r>
          </w:p>
        </w:tc>
        <w:tc>
          <w:tcPr>
            <w:tcW w:w="1045" w:type="dxa"/>
            <w:shd w:val="clear" w:color="auto" w:fill="auto"/>
            <w:noWrap/>
            <w:vAlign w:val="center"/>
            <w:hideMark/>
          </w:tcPr>
          <w:p w14:paraId="2C0B54F5" w14:textId="6F07B8E4" w:rsidR="007D67C4" w:rsidRPr="00FA1437" w:rsidRDefault="007D67C4" w:rsidP="00E10E3A">
            <w:pPr>
              <w:pStyle w:val="CETBodytext"/>
              <w:spacing w:line="240" w:lineRule="atLeast"/>
              <w:rPr>
                <w:sz w:val="17"/>
                <w:szCs w:val="17"/>
                <w:lang w:val="en-GB"/>
              </w:rPr>
            </w:pPr>
            <w:r w:rsidRPr="00FA1437">
              <w:rPr>
                <w:color w:val="000000"/>
                <w:sz w:val="17"/>
                <w:szCs w:val="17"/>
              </w:rPr>
              <w:t>0.27±0.01</w:t>
            </w:r>
            <w:r w:rsidRPr="00FA1437">
              <w:rPr>
                <w:color w:val="000000"/>
                <w:sz w:val="17"/>
                <w:szCs w:val="17"/>
                <w:vertAlign w:val="superscript"/>
              </w:rPr>
              <w:t>bc</w:t>
            </w:r>
          </w:p>
        </w:tc>
        <w:tc>
          <w:tcPr>
            <w:tcW w:w="1045" w:type="dxa"/>
            <w:shd w:val="clear" w:color="auto" w:fill="auto"/>
            <w:noWrap/>
            <w:vAlign w:val="center"/>
            <w:hideMark/>
          </w:tcPr>
          <w:p w14:paraId="49C701F6" w14:textId="6E1A1A73" w:rsidR="007D67C4" w:rsidRPr="00FA1437" w:rsidRDefault="007D67C4" w:rsidP="00E10E3A">
            <w:pPr>
              <w:pStyle w:val="CETBodytext"/>
              <w:spacing w:line="240" w:lineRule="atLeast"/>
              <w:rPr>
                <w:sz w:val="17"/>
                <w:szCs w:val="17"/>
                <w:lang w:val="en-GB"/>
              </w:rPr>
            </w:pPr>
            <w:r w:rsidRPr="00FA1437">
              <w:rPr>
                <w:color w:val="000000"/>
                <w:sz w:val="17"/>
                <w:szCs w:val="17"/>
              </w:rPr>
              <w:t>0.26±0.01</w:t>
            </w:r>
            <w:r w:rsidRPr="00FA1437">
              <w:rPr>
                <w:color w:val="000000"/>
                <w:sz w:val="17"/>
                <w:szCs w:val="17"/>
                <w:vertAlign w:val="superscript"/>
              </w:rPr>
              <w:t>abc</w:t>
            </w:r>
          </w:p>
        </w:tc>
        <w:tc>
          <w:tcPr>
            <w:tcW w:w="1045" w:type="dxa"/>
            <w:shd w:val="clear" w:color="auto" w:fill="auto"/>
            <w:noWrap/>
            <w:vAlign w:val="center"/>
            <w:hideMark/>
          </w:tcPr>
          <w:p w14:paraId="72A314BA" w14:textId="33F76A59" w:rsidR="007D67C4" w:rsidRPr="00FA1437" w:rsidRDefault="007D67C4" w:rsidP="00E10E3A">
            <w:pPr>
              <w:pStyle w:val="CETBodytext"/>
              <w:spacing w:line="240" w:lineRule="atLeast"/>
              <w:rPr>
                <w:sz w:val="17"/>
                <w:szCs w:val="17"/>
                <w:lang w:val="en-GB"/>
              </w:rPr>
            </w:pPr>
            <w:r w:rsidRPr="00FA1437">
              <w:rPr>
                <w:color w:val="000000"/>
                <w:sz w:val="17"/>
                <w:szCs w:val="17"/>
              </w:rPr>
              <w:t>0.27±0.01</w:t>
            </w:r>
            <w:r w:rsidRPr="00FA1437">
              <w:rPr>
                <w:color w:val="000000"/>
                <w:sz w:val="17"/>
                <w:szCs w:val="17"/>
                <w:vertAlign w:val="superscript"/>
              </w:rPr>
              <w:t>cd</w:t>
            </w:r>
          </w:p>
        </w:tc>
        <w:tc>
          <w:tcPr>
            <w:tcW w:w="1045" w:type="dxa"/>
            <w:shd w:val="clear" w:color="auto" w:fill="auto"/>
            <w:noWrap/>
            <w:vAlign w:val="center"/>
            <w:hideMark/>
          </w:tcPr>
          <w:p w14:paraId="755F2604" w14:textId="4CD42540" w:rsidR="007D67C4" w:rsidRPr="00FA1437" w:rsidRDefault="007D67C4" w:rsidP="00E10E3A">
            <w:pPr>
              <w:pStyle w:val="CETBodytext"/>
              <w:spacing w:line="240" w:lineRule="atLeast"/>
              <w:rPr>
                <w:sz w:val="17"/>
                <w:szCs w:val="17"/>
                <w:lang w:val="en-GB"/>
              </w:rPr>
            </w:pPr>
            <w:r w:rsidRPr="00FA1437">
              <w:rPr>
                <w:color w:val="000000"/>
                <w:sz w:val="17"/>
                <w:szCs w:val="17"/>
              </w:rPr>
              <w:t>63.33±5.77</w:t>
            </w:r>
            <w:r w:rsidRPr="00FA1437">
              <w:rPr>
                <w:color w:val="000000"/>
                <w:sz w:val="17"/>
                <w:szCs w:val="17"/>
                <w:vertAlign w:val="superscript"/>
              </w:rPr>
              <w:t>b</w:t>
            </w:r>
          </w:p>
        </w:tc>
        <w:tc>
          <w:tcPr>
            <w:tcW w:w="1045" w:type="dxa"/>
            <w:shd w:val="clear" w:color="auto" w:fill="auto"/>
            <w:noWrap/>
            <w:vAlign w:val="center"/>
            <w:hideMark/>
          </w:tcPr>
          <w:p w14:paraId="5E4270CC" w14:textId="3E832F52" w:rsidR="007D67C4" w:rsidRPr="00FA1437" w:rsidRDefault="007D67C4" w:rsidP="00E10E3A">
            <w:pPr>
              <w:pStyle w:val="CETBodytext"/>
              <w:spacing w:line="240" w:lineRule="atLeast"/>
              <w:rPr>
                <w:sz w:val="17"/>
                <w:szCs w:val="17"/>
                <w:lang w:val="en-GB"/>
              </w:rPr>
            </w:pPr>
            <w:r w:rsidRPr="00FA1437">
              <w:rPr>
                <w:color w:val="000000"/>
                <w:sz w:val="17"/>
                <w:szCs w:val="17"/>
              </w:rPr>
              <w:t>43.33±5.77</w:t>
            </w:r>
            <w:r w:rsidRPr="00FA1437">
              <w:rPr>
                <w:color w:val="000000"/>
                <w:sz w:val="17"/>
                <w:szCs w:val="17"/>
                <w:vertAlign w:val="superscript"/>
              </w:rPr>
              <w:t>ef</w:t>
            </w:r>
          </w:p>
        </w:tc>
        <w:tc>
          <w:tcPr>
            <w:tcW w:w="1045" w:type="dxa"/>
            <w:shd w:val="clear" w:color="auto" w:fill="auto"/>
            <w:noWrap/>
            <w:vAlign w:val="center"/>
            <w:hideMark/>
          </w:tcPr>
          <w:p w14:paraId="35EE1A00" w14:textId="3CBE7BD2" w:rsidR="007D67C4" w:rsidRPr="00FA1437" w:rsidRDefault="007D67C4" w:rsidP="00E10E3A">
            <w:pPr>
              <w:pStyle w:val="CETBodytext"/>
              <w:spacing w:line="240" w:lineRule="atLeast"/>
              <w:rPr>
                <w:sz w:val="17"/>
                <w:szCs w:val="17"/>
                <w:lang w:val="en-GB"/>
              </w:rPr>
            </w:pPr>
            <w:r w:rsidRPr="00FA1437">
              <w:rPr>
                <w:color w:val="000000"/>
                <w:sz w:val="17"/>
                <w:szCs w:val="17"/>
              </w:rPr>
              <w:t>46.67±5.77</w:t>
            </w:r>
            <w:r w:rsidRPr="00FA1437">
              <w:rPr>
                <w:color w:val="000000"/>
                <w:sz w:val="17"/>
                <w:szCs w:val="17"/>
                <w:vertAlign w:val="superscript"/>
              </w:rPr>
              <w:t>bc</w:t>
            </w:r>
          </w:p>
        </w:tc>
        <w:tc>
          <w:tcPr>
            <w:tcW w:w="1045" w:type="dxa"/>
            <w:shd w:val="clear" w:color="auto" w:fill="auto"/>
            <w:noWrap/>
            <w:vAlign w:val="center"/>
            <w:hideMark/>
          </w:tcPr>
          <w:p w14:paraId="0A684E51" w14:textId="46153151" w:rsidR="007D67C4" w:rsidRPr="00FA1437" w:rsidRDefault="007D67C4" w:rsidP="00E10E3A">
            <w:pPr>
              <w:pStyle w:val="CETBodytext"/>
              <w:spacing w:line="240" w:lineRule="atLeast"/>
              <w:rPr>
                <w:sz w:val="17"/>
                <w:szCs w:val="17"/>
                <w:lang w:val="en-GB"/>
              </w:rPr>
            </w:pPr>
            <w:r w:rsidRPr="00FA1437">
              <w:rPr>
                <w:color w:val="000000"/>
                <w:sz w:val="17"/>
                <w:szCs w:val="17"/>
              </w:rPr>
              <w:t>46.67±5.77</w:t>
            </w:r>
            <w:r w:rsidRPr="00FA1437">
              <w:rPr>
                <w:color w:val="000000"/>
                <w:sz w:val="17"/>
                <w:szCs w:val="17"/>
                <w:vertAlign w:val="superscript"/>
              </w:rPr>
              <w:t>bc</w:t>
            </w:r>
          </w:p>
        </w:tc>
      </w:tr>
      <w:tr w:rsidR="00FA1437" w:rsidRPr="00FA1437" w14:paraId="403D2027" w14:textId="77777777" w:rsidTr="00FA1437">
        <w:trPr>
          <w:trHeight w:val="20"/>
        </w:trPr>
        <w:tc>
          <w:tcPr>
            <w:tcW w:w="422" w:type="dxa"/>
            <w:shd w:val="clear" w:color="auto" w:fill="auto"/>
            <w:noWrap/>
            <w:vAlign w:val="center"/>
            <w:hideMark/>
          </w:tcPr>
          <w:p w14:paraId="01327A14" w14:textId="1B233135" w:rsidR="007D67C4" w:rsidRPr="00FA1437" w:rsidRDefault="00903A68" w:rsidP="00903A68">
            <w:pPr>
              <w:pStyle w:val="CETBodytext"/>
              <w:spacing w:line="240" w:lineRule="atLeast"/>
              <w:jc w:val="left"/>
              <w:rPr>
                <w:sz w:val="17"/>
                <w:szCs w:val="17"/>
                <w:lang w:val="en-GB"/>
              </w:rPr>
            </w:pPr>
            <w:r w:rsidRPr="00FA1437">
              <w:rPr>
                <w:sz w:val="17"/>
                <w:szCs w:val="17"/>
                <w:lang w:val="en-GB"/>
              </w:rPr>
              <w:t>10</w:t>
            </w:r>
          </w:p>
        </w:tc>
        <w:tc>
          <w:tcPr>
            <w:tcW w:w="1044" w:type="dxa"/>
            <w:shd w:val="clear" w:color="auto" w:fill="auto"/>
            <w:noWrap/>
            <w:vAlign w:val="center"/>
            <w:hideMark/>
          </w:tcPr>
          <w:p w14:paraId="0882057F" w14:textId="2BDC10E5" w:rsidR="007D67C4" w:rsidRPr="00FA1437" w:rsidRDefault="007D67C4" w:rsidP="00E10E3A">
            <w:pPr>
              <w:pStyle w:val="CETBodytext"/>
              <w:spacing w:line="240" w:lineRule="atLeast"/>
              <w:rPr>
                <w:sz w:val="17"/>
                <w:szCs w:val="17"/>
                <w:lang w:val="en-GB"/>
              </w:rPr>
            </w:pPr>
            <w:r w:rsidRPr="00FA1437">
              <w:rPr>
                <w:color w:val="000000"/>
                <w:sz w:val="17"/>
                <w:szCs w:val="17"/>
              </w:rPr>
              <w:t>0.28±0.01</w:t>
            </w:r>
            <w:r w:rsidRPr="00FA1437">
              <w:rPr>
                <w:color w:val="000000"/>
                <w:sz w:val="17"/>
                <w:szCs w:val="17"/>
                <w:vertAlign w:val="superscript"/>
              </w:rPr>
              <w:t>fg</w:t>
            </w:r>
          </w:p>
        </w:tc>
        <w:tc>
          <w:tcPr>
            <w:tcW w:w="1045" w:type="dxa"/>
            <w:shd w:val="clear" w:color="auto" w:fill="auto"/>
            <w:noWrap/>
            <w:vAlign w:val="center"/>
            <w:hideMark/>
          </w:tcPr>
          <w:p w14:paraId="7F197D66" w14:textId="33AF92DA" w:rsidR="007D67C4" w:rsidRPr="00FA1437" w:rsidRDefault="007D67C4" w:rsidP="00E10E3A">
            <w:pPr>
              <w:pStyle w:val="CETBodytext"/>
              <w:spacing w:line="240" w:lineRule="atLeast"/>
              <w:rPr>
                <w:sz w:val="17"/>
                <w:szCs w:val="17"/>
                <w:lang w:val="en-GB"/>
              </w:rPr>
            </w:pPr>
            <w:r w:rsidRPr="00FA1437">
              <w:rPr>
                <w:color w:val="000000"/>
                <w:sz w:val="17"/>
                <w:szCs w:val="17"/>
              </w:rPr>
              <w:t>0.27±0.01</w:t>
            </w:r>
            <w:r w:rsidRPr="00FA1437">
              <w:rPr>
                <w:color w:val="000000"/>
                <w:sz w:val="17"/>
                <w:szCs w:val="17"/>
                <w:vertAlign w:val="superscript"/>
              </w:rPr>
              <w:t>de</w:t>
            </w:r>
          </w:p>
        </w:tc>
        <w:tc>
          <w:tcPr>
            <w:tcW w:w="1045" w:type="dxa"/>
            <w:shd w:val="clear" w:color="auto" w:fill="auto"/>
            <w:noWrap/>
            <w:vAlign w:val="center"/>
            <w:hideMark/>
          </w:tcPr>
          <w:p w14:paraId="0FECBA77" w14:textId="3AB0CC97" w:rsidR="007D67C4" w:rsidRPr="00FA1437" w:rsidRDefault="007D67C4" w:rsidP="00E10E3A">
            <w:pPr>
              <w:pStyle w:val="CETBodytext"/>
              <w:spacing w:line="240" w:lineRule="atLeast"/>
              <w:rPr>
                <w:sz w:val="17"/>
                <w:szCs w:val="17"/>
                <w:lang w:val="en-GB"/>
              </w:rPr>
            </w:pPr>
            <w:r w:rsidRPr="00FA1437">
              <w:rPr>
                <w:color w:val="000000"/>
                <w:sz w:val="17"/>
                <w:szCs w:val="17"/>
              </w:rPr>
              <w:t>0.28±0.01</w:t>
            </w:r>
            <w:r w:rsidRPr="00FA1437">
              <w:rPr>
                <w:color w:val="000000"/>
                <w:sz w:val="17"/>
                <w:szCs w:val="17"/>
                <w:vertAlign w:val="superscript"/>
              </w:rPr>
              <w:t>fg</w:t>
            </w:r>
          </w:p>
        </w:tc>
        <w:tc>
          <w:tcPr>
            <w:tcW w:w="1045" w:type="dxa"/>
            <w:shd w:val="clear" w:color="auto" w:fill="auto"/>
            <w:noWrap/>
            <w:vAlign w:val="center"/>
            <w:hideMark/>
          </w:tcPr>
          <w:p w14:paraId="07BA2174" w14:textId="57032262" w:rsidR="007D67C4" w:rsidRPr="00FA1437" w:rsidRDefault="007D67C4" w:rsidP="00E10E3A">
            <w:pPr>
              <w:pStyle w:val="CETBodytext"/>
              <w:spacing w:line="240" w:lineRule="atLeast"/>
              <w:rPr>
                <w:sz w:val="17"/>
                <w:szCs w:val="17"/>
                <w:lang w:val="en-GB"/>
              </w:rPr>
            </w:pPr>
            <w:r w:rsidRPr="00FA1437">
              <w:rPr>
                <w:color w:val="000000"/>
                <w:sz w:val="17"/>
                <w:szCs w:val="17"/>
              </w:rPr>
              <w:t>0.28±0.01</w:t>
            </w:r>
            <w:r w:rsidRPr="00FA1437">
              <w:rPr>
                <w:color w:val="000000"/>
                <w:sz w:val="17"/>
                <w:szCs w:val="17"/>
                <w:vertAlign w:val="superscript"/>
              </w:rPr>
              <w:t>ef</w:t>
            </w:r>
          </w:p>
        </w:tc>
        <w:tc>
          <w:tcPr>
            <w:tcW w:w="1045" w:type="dxa"/>
            <w:shd w:val="clear" w:color="auto" w:fill="auto"/>
            <w:noWrap/>
            <w:vAlign w:val="center"/>
            <w:hideMark/>
          </w:tcPr>
          <w:p w14:paraId="0AA217CA" w14:textId="2209CEE5" w:rsidR="007D67C4" w:rsidRPr="00FA1437" w:rsidRDefault="007D67C4" w:rsidP="00E10E3A">
            <w:pPr>
              <w:pStyle w:val="CETBodytext"/>
              <w:spacing w:line="240" w:lineRule="atLeast"/>
              <w:rPr>
                <w:sz w:val="17"/>
                <w:szCs w:val="17"/>
                <w:lang w:val="en-GB"/>
              </w:rPr>
            </w:pPr>
            <w:r w:rsidRPr="00FA1437">
              <w:rPr>
                <w:color w:val="000000"/>
                <w:sz w:val="17"/>
                <w:szCs w:val="17"/>
              </w:rPr>
              <w:t>63.33±5.77</w:t>
            </w:r>
            <w:r w:rsidRPr="00FA1437">
              <w:rPr>
                <w:color w:val="000000"/>
                <w:sz w:val="17"/>
                <w:szCs w:val="17"/>
                <w:vertAlign w:val="superscript"/>
              </w:rPr>
              <w:t>bc</w:t>
            </w:r>
          </w:p>
        </w:tc>
        <w:tc>
          <w:tcPr>
            <w:tcW w:w="1045" w:type="dxa"/>
            <w:shd w:val="clear" w:color="auto" w:fill="auto"/>
            <w:noWrap/>
            <w:vAlign w:val="center"/>
            <w:hideMark/>
          </w:tcPr>
          <w:p w14:paraId="07776027" w14:textId="15A8F716" w:rsidR="007D67C4" w:rsidRPr="00FA1437" w:rsidRDefault="007D67C4" w:rsidP="00E10E3A">
            <w:pPr>
              <w:pStyle w:val="CETBodytext"/>
              <w:spacing w:line="240" w:lineRule="atLeast"/>
              <w:rPr>
                <w:sz w:val="17"/>
                <w:szCs w:val="17"/>
                <w:lang w:val="en-GB"/>
              </w:rPr>
            </w:pPr>
            <w:r w:rsidRPr="00FA1437">
              <w:rPr>
                <w:color w:val="000000"/>
                <w:sz w:val="17"/>
                <w:szCs w:val="17"/>
              </w:rPr>
              <w:t>46.67±5.77</w:t>
            </w:r>
            <w:r w:rsidRPr="00FA1437">
              <w:rPr>
                <w:color w:val="000000"/>
                <w:sz w:val="17"/>
                <w:szCs w:val="17"/>
                <w:vertAlign w:val="superscript"/>
              </w:rPr>
              <w:t>ef</w:t>
            </w:r>
          </w:p>
        </w:tc>
        <w:tc>
          <w:tcPr>
            <w:tcW w:w="1045" w:type="dxa"/>
            <w:shd w:val="clear" w:color="auto" w:fill="auto"/>
            <w:noWrap/>
            <w:vAlign w:val="center"/>
            <w:hideMark/>
          </w:tcPr>
          <w:p w14:paraId="09B05B63" w14:textId="32EDC2E9" w:rsidR="007D67C4" w:rsidRPr="00FA1437" w:rsidRDefault="007D67C4" w:rsidP="00E10E3A">
            <w:pPr>
              <w:pStyle w:val="CETBodytext"/>
              <w:spacing w:line="240" w:lineRule="atLeast"/>
              <w:rPr>
                <w:sz w:val="17"/>
                <w:szCs w:val="17"/>
                <w:lang w:val="en-GB"/>
              </w:rPr>
            </w:pPr>
            <w:r w:rsidRPr="00FA1437">
              <w:rPr>
                <w:color w:val="000000"/>
                <w:sz w:val="17"/>
                <w:szCs w:val="17"/>
              </w:rPr>
              <w:t>50.00±0.01</w:t>
            </w:r>
            <w:r w:rsidRPr="00FA1437">
              <w:rPr>
                <w:color w:val="000000"/>
                <w:sz w:val="17"/>
                <w:szCs w:val="17"/>
                <w:vertAlign w:val="superscript"/>
              </w:rPr>
              <w:t>cd</w:t>
            </w:r>
          </w:p>
        </w:tc>
        <w:tc>
          <w:tcPr>
            <w:tcW w:w="1045" w:type="dxa"/>
            <w:shd w:val="clear" w:color="auto" w:fill="auto"/>
            <w:noWrap/>
            <w:vAlign w:val="center"/>
            <w:hideMark/>
          </w:tcPr>
          <w:p w14:paraId="4DAEA6AD" w14:textId="17CF5D99" w:rsidR="007D67C4" w:rsidRPr="00FA1437" w:rsidRDefault="007D67C4" w:rsidP="00E10E3A">
            <w:pPr>
              <w:pStyle w:val="CETBodytext"/>
              <w:spacing w:line="240" w:lineRule="atLeast"/>
              <w:rPr>
                <w:sz w:val="17"/>
                <w:szCs w:val="17"/>
                <w:lang w:val="en-GB"/>
              </w:rPr>
            </w:pPr>
            <w:r w:rsidRPr="00FA1437">
              <w:rPr>
                <w:color w:val="000000"/>
                <w:sz w:val="17"/>
                <w:szCs w:val="17"/>
              </w:rPr>
              <w:t>46.67±5.77</w:t>
            </w:r>
            <w:r w:rsidRPr="00FA1437">
              <w:rPr>
                <w:color w:val="000000"/>
                <w:sz w:val="17"/>
                <w:szCs w:val="17"/>
                <w:vertAlign w:val="superscript"/>
              </w:rPr>
              <w:t>bc</w:t>
            </w:r>
          </w:p>
        </w:tc>
      </w:tr>
      <w:tr w:rsidR="00FA1437" w:rsidRPr="00FA1437" w14:paraId="3684090A" w14:textId="77777777" w:rsidTr="00FA1437">
        <w:trPr>
          <w:trHeight w:val="20"/>
        </w:trPr>
        <w:tc>
          <w:tcPr>
            <w:tcW w:w="422" w:type="dxa"/>
            <w:shd w:val="clear" w:color="auto" w:fill="auto"/>
            <w:noWrap/>
            <w:vAlign w:val="center"/>
            <w:hideMark/>
          </w:tcPr>
          <w:p w14:paraId="040741D4" w14:textId="5015B7ED" w:rsidR="007D67C4" w:rsidRPr="00FA1437" w:rsidRDefault="00903A68" w:rsidP="00903A68">
            <w:pPr>
              <w:pStyle w:val="CETBodytext"/>
              <w:spacing w:line="240" w:lineRule="atLeast"/>
              <w:jc w:val="left"/>
              <w:rPr>
                <w:sz w:val="17"/>
                <w:szCs w:val="17"/>
                <w:lang w:val="en-GB"/>
              </w:rPr>
            </w:pPr>
            <w:r w:rsidRPr="00FA1437">
              <w:rPr>
                <w:sz w:val="17"/>
                <w:szCs w:val="17"/>
                <w:lang w:val="en-GB"/>
              </w:rPr>
              <w:t>15</w:t>
            </w:r>
          </w:p>
        </w:tc>
        <w:tc>
          <w:tcPr>
            <w:tcW w:w="1044" w:type="dxa"/>
            <w:shd w:val="clear" w:color="auto" w:fill="auto"/>
            <w:noWrap/>
            <w:vAlign w:val="center"/>
            <w:hideMark/>
          </w:tcPr>
          <w:p w14:paraId="25750456" w14:textId="3481449E" w:rsidR="007D67C4" w:rsidRPr="00FA1437" w:rsidRDefault="007D67C4" w:rsidP="00E10E3A">
            <w:pPr>
              <w:pStyle w:val="CETBodytext"/>
              <w:spacing w:line="240" w:lineRule="atLeast"/>
              <w:rPr>
                <w:sz w:val="17"/>
                <w:szCs w:val="17"/>
                <w:lang w:val="en-GB"/>
              </w:rPr>
            </w:pPr>
            <w:r w:rsidRPr="00FA1437">
              <w:rPr>
                <w:color w:val="000000"/>
                <w:sz w:val="17"/>
                <w:szCs w:val="17"/>
              </w:rPr>
              <w:t>0.29±0.01</w:t>
            </w:r>
            <w:r w:rsidRPr="00FA1437">
              <w:rPr>
                <w:color w:val="000000"/>
                <w:sz w:val="17"/>
                <w:szCs w:val="17"/>
                <w:vertAlign w:val="superscript"/>
              </w:rPr>
              <w:t>gh</w:t>
            </w:r>
          </w:p>
        </w:tc>
        <w:tc>
          <w:tcPr>
            <w:tcW w:w="1045" w:type="dxa"/>
            <w:shd w:val="clear" w:color="auto" w:fill="auto"/>
            <w:noWrap/>
            <w:vAlign w:val="center"/>
            <w:hideMark/>
          </w:tcPr>
          <w:p w14:paraId="15341210" w14:textId="0272744E" w:rsidR="007D67C4" w:rsidRPr="00FA1437" w:rsidRDefault="007D67C4" w:rsidP="00E10E3A">
            <w:pPr>
              <w:pStyle w:val="CETBodytext"/>
              <w:spacing w:line="240" w:lineRule="atLeast"/>
              <w:rPr>
                <w:sz w:val="17"/>
                <w:szCs w:val="17"/>
                <w:lang w:val="en-GB"/>
              </w:rPr>
            </w:pPr>
            <w:r w:rsidRPr="00FA1437">
              <w:rPr>
                <w:color w:val="000000"/>
                <w:sz w:val="17"/>
                <w:szCs w:val="17"/>
              </w:rPr>
              <w:t>0.29±0.01</w:t>
            </w:r>
            <w:r w:rsidRPr="00FA1437">
              <w:rPr>
                <w:color w:val="000000"/>
                <w:sz w:val="17"/>
                <w:szCs w:val="17"/>
                <w:vertAlign w:val="superscript"/>
              </w:rPr>
              <w:t>g</w:t>
            </w:r>
          </w:p>
        </w:tc>
        <w:tc>
          <w:tcPr>
            <w:tcW w:w="1045" w:type="dxa"/>
            <w:shd w:val="clear" w:color="auto" w:fill="auto"/>
            <w:noWrap/>
            <w:vAlign w:val="center"/>
            <w:hideMark/>
          </w:tcPr>
          <w:p w14:paraId="09A5B9D8" w14:textId="391BBDA9" w:rsidR="007D67C4" w:rsidRPr="00FA1437" w:rsidRDefault="007D67C4" w:rsidP="00E10E3A">
            <w:pPr>
              <w:pStyle w:val="CETBodytext"/>
              <w:spacing w:line="240" w:lineRule="atLeast"/>
              <w:rPr>
                <w:sz w:val="17"/>
                <w:szCs w:val="17"/>
                <w:lang w:val="en-GB"/>
              </w:rPr>
            </w:pPr>
            <w:r w:rsidRPr="00FA1437">
              <w:rPr>
                <w:color w:val="000000"/>
                <w:sz w:val="17"/>
                <w:szCs w:val="17"/>
              </w:rPr>
              <w:t>0.29±0.01</w:t>
            </w:r>
            <w:r w:rsidRPr="00FA1437">
              <w:rPr>
                <w:color w:val="000000"/>
                <w:sz w:val="17"/>
                <w:szCs w:val="17"/>
                <w:vertAlign w:val="superscript"/>
              </w:rPr>
              <w:t>g</w:t>
            </w:r>
          </w:p>
        </w:tc>
        <w:tc>
          <w:tcPr>
            <w:tcW w:w="1045" w:type="dxa"/>
            <w:shd w:val="clear" w:color="auto" w:fill="auto"/>
            <w:noWrap/>
            <w:vAlign w:val="center"/>
            <w:hideMark/>
          </w:tcPr>
          <w:p w14:paraId="35D758A1" w14:textId="235EDEFF" w:rsidR="007D67C4" w:rsidRPr="00FA1437" w:rsidRDefault="007D67C4" w:rsidP="00E10E3A">
            <w:pPr>
              <w:pStyle w:val="CETBodytext"/>
              <w:spacing w:line="240" w:lineRule="atLeast"/>
              <w:rPr>
                <w:sz w:val="17"/>
                <w:szCs w:val="17"/>
                <w:lang w:val="en-GB"/>
              </w:rPr>
            </w:pPr>
            <w:r w:rsidRPr="00FA1437">
              <w:rPr>
                <w:color w:val="000000"/>
                <w:sz w:val="17"/>
                <w:szCs w:val="17"/>
              </w:rPr>
              <w:t>0.29±0.01</w:t>
            </w:r>
            <w:r w:rsidRPr="00FA1437">
              <w:rPr>
                <w:color w:val="000000"/>
                <w:sz w:val="17"/>
                <w:szCs w:val="17"/>
                <w:vertAlign w:val="superscript"/>
              </w:rPr>
              <w:t>gh</w:t>
            </w:r>
          </w:p>
        </w:tc>
        <w:tc>
          <w:tcPr>
            <w:tcW w:w="1045" w:type="dxa"/>
            <w:shd w:val="clear" w:color="auto" w:fill="auto"/>
            <w:noWrap/>
            <w:vAlign w:val="center"/>
            <w:hideMark/>
          </w:tcPr>
          <w:p w14:paraId="216FE511" w14:textId="52D66883" w:rsidR="007D67C4" w:rsidRPr="00FA1437" w:rsidRDefault="007D67C4" w:rsidP="00E10E3A">
            <w:pPr>
              <w:pStyle w:val="CETBodytext"/>
              <w:spacing w:line="240" w:lineRule="atLeast"/>
              <w:rPr>
                <w:sz w:val="17"/>
                <w:szCs w:val="17"/>
                <w:lang w:val="en-GB"/>
              </w:rPr>
            </w:pPr>
            <w:r w:rsidRPr="00FA1437">
              <w:rPr>
                <w:color w:val="000000"/>
                <w:sz w:val="17"/>
                <w:szCs w:val="17"/>
              </w:rPr>
              <w:t>73.33±5.77</w:t>
            </w:r>
            <w:r w:rsidRPr="00FA1437">
              <w:rPr>
                <w:color w:val="000000"/>
                <w:sz w:val="17"/>
                <w:szCs w:val="17"/>
                <w:vertAlign w:val="superscript"/>
              </w:rPr>
              <w:t>bc</w:t>
            </w:r>
          </w:p>
        </w:tc>
        <w:tc>
          <w:tcPr>
            <w:tcW w:w="1045" w:type="dxa"/>
            <w:shd w:val="clear" w:color="auto" w:fill="auto"/>
            <w:noWrap/>
            <w:vAlign w:val="center"/>
            <w:hideMark/>
          </w:tcPr>
          <w:p w14:paraId="5CB38914" w14:textId="070EEAE8" w:rsidR="007D67C4" w:rsidRPr="00FA1437" w:rsidRDefault="007D67C4" w:rsidP="00E10E3A">
            <w:pPr>
              <w:pStyle w:val="CETBodytext"/>
              <w:spacing w:line="240" w:lineRule="atLeast"/>
              <w:rPr>
                <w:sz w:val="17"/>
                <w:szCs w:val="17"/>
                <w:lang w:val="en-GB"/>
              </w:rPr>
            </w:pPr>
            <w:r w:rsidRPr="00FA1437">
              <w:rPr>
                <w:color w:val="000000"/>
                <w:sz w:val="17"/>
                <w:szCs w:val="17"/>
              </w:rPr>
              <w:t>50.00±0.01</w:t>
            </w:r>
            <w:r w:rsidRPr="00FA1437">
              <w:rPr>
                <w:color w:val="000000"/>
                <w:sz w:val="17"/>
                <w:szCs w:val="17"/>
                <w:vertAlign w:val="superscript"/>
              </w:rPr>
              <w:t>gh</w:t>
            </w:r>
          </w:p>
        </w:tc>
        <w:tc>
          <w:tcPr>
            <w:tcW w:w="1045" w:type="dxa"/>
            <w:shd w:val="clear" w:color="auto" w:fill="auto"/>
            <w:noWrap/>
            <w:vAlign w:val="center"/>
            <w:hideMark/>
          </w:tcPr>
          <w:p w14:paraId="6E9E9E2D" w14:textId="43D774F0" w:rsidR="007D67C4" w:rsidRPr="00FA1437" w:rsidRDefault="007D67C4" w:rsidP="00E10E3A">
            <w:pPr>
              <w:pStyle w:val="CETBodytext"/>
              <w:spacing w:line="240" w:lineRule="atLeast"/>
              <w:rPr>
                <w:sz w:val="17"/>
                <w:szCs w:val="17"/>
                <w:lang w:val="en-GB"/>
              </w:rPr>
            </w:pPr>
            <w:r w:rsidRPr="00FA1437">
              <w:rPr>
                <w:color w:val="000000"/>
                <w:sz w:val="17"/>
                <w:szCs w:val="17"/>
              </w:rPr>
              <w:t>60.00±0.01</w:t>
            </w:r>
            <w:r w:rsidRPr="00FA1437">
              <w:rPr>
                <w:color w:val="000000"/>
                <w:sz w:val="17"/>
                <w:szCs w:val="17"/>
                <w:vertAlign w:val="superscript"/>
              </w:rPr>
              <w:t>e</w:t>
            </w:r>
          </w:p>
        </w:tc>
        <w:tc>
          <w:tcPr>
            <w:tcW w:w="1045" w:type="dxa"/>
            <w:shd w:val="clear" w:color="auto" w:fill="auto"/>
            <w:noWrap/>
            <w:vAlign w:val="center"/>
            <w:hideMark/>
          </w:tcPr>
          <w:p w14:paraId="5627235A" w14:textId="027332A3" w:rsidR="007D67C4" w:rsidRPr="00FA1437" w:rsidRDefault="007D67C4" w:rsidP="00E10E3A">
            <w:pPr>
              <w:pStyle w:val="CETBodytext"/>
              <w:spacing w:line="240" w:lineRule="atLeast"/>
              <w:rPr>
                <w:sz w:val="17"/>
                <w:szCs w:val="17"/>
                <w:lang w:val="en-GB"/>
              </w:rPr>
            </w:pPr>
            <w:r w:rsidRPr="00FA1437">
              <w:rPr>
                <w:color w:val="000000"/>
                <w:sz w:val="17"/>
                <w:szCs w:val="17"/>
              </w:rPr>
              <w:t>50.00±5.77</w:t>
            </w:r>
            <w:r w:rsidRPr="00FA1437">
              <w:rPr>
                <w:color w:val="000000"/>
                <w:sz w:val="17"/>
                <w:szCs w:val="17"/>
                <w:vertAlign w:val="superscript"/>
              </w:rPr>
              <w:t>cd</w:t>
            </w:r>
          </w:p>
        </w:tc>
      </w:tr>
      <w:tr w:rsidR="00FA1437" w:rsidRPr="00FA1437" w14:paraId="73D77613" w14:textId="77777777" w:rsidTr="00FA1437">
        <w:trPr>
          <w:trHeight w:val="20"/>
        </w:trPr>
        <w:tc>
          <w:tcPr>
            <w:tcW w:w="422" w:type="dxa"/>
            <w:shd w:val="clear" w:color="auto" w:fill="auto"/>
            <w:noWrap/>
            <w:vAlign w:val="center"/>
            <w:hideMark/>
          </w:tcPr>
          <w:p w14:paraId="025B9A34" w14:textId="55285499" w:rsidR="00903A68" w:rsidRPr="00FA1437" w:rsidRDefault="00903A68" w:rsidP="00903A68">
            <w:pPr>
              <w:pStyle w:val="CETBodytext"/>
              <w:spacing w:line="240" w:lineRule="atLeast"/>
              <w:jc w:val="left"/>
              <w:rPr>
                <w:sz w:val="17"/>
                <w:szCs w:val="17"/>
                <w:lang w:val="en-GB"/>
              </w:rPr>
            </w:pPr>
            <w:r w:rsidRPr="00FA1437">
              <w:rPr>
                <w:sz w:val="17"/>
                <w:szCs w:val="17"/>
                <w:lang w:val="en-GB"/>
              </w:rPr>
              <w:t>20</w:t>
            </w:r>
          </w:p>
        </w:tc>
        <w:tc>
          <w:tcPr>
            <w:tcW w:w="1044" w:type="dxa"/>
            <w:shd w:val="clear" w:color="auto" w:fill="auto"/>
            <w:noWrap/>
            <w:vAlign w:val="center"/>
            <w:hideMark/>
          </w:tcPr>
          <w:p w14:paraId="0F378101" w14:textId="141AC179" w:rsidR="007D67C4" w:rsidRPr="00FA1437" w:rsidRDefault="007D67C4" w:rsidP="00E10E3A">
            <w:pPr>
              <w:pStyle w:val="CETBodytext"/>
              <w:spacing w:line="240" w:lineRule="atLeast"/>
              <w:rPr>
                <w:sz w:val="17"/>
                <w:szCs w:val="17"/>
                <w:lang w:val="en-GB"/>
              </w:rPr>
            </w:pPr>
            <w:r w:rsidRPr="00FA1437">
              <w:rPr>
                <w:color w:val="000000"/>
                <w:sz w:val="17"/>
                <w:szCs w:val="17"/>
              </w:rPr>
              <w:t>0.30±0.01</w:t>
            </w:r>
            <w:r w:rsidRPr="00FA1437">
              <w:rPr>
                <w:color w:val="000000"/>
                <w:sz w:val="17"/>
                <w:szCs w:val="17"/>
                <w:vertAlign w:val="superscript"/>
              </w:rPr>
              <w:t>hi</w:t>
            </w:r>
          </w:p>
        </w:tc>
        <w:tc>
          <w:tcPr>
            <w:tcW w:w="1045" w:type="dxa"/>
            <w:shd w:val="clear" w:color="auto" w:fill="auto"/>
            <w:noWrap/>
            <w:vAlign w:val="center"/>
            <w:hideMark/>
          </w:tcPr>
          <w:p w14:paraId="5F5CBB1C" w14:textId="6573E1AC" w:rsidR="007D67C4" w:rsidRPr="00FA1437" w:rsidRDefault="007D67C4" w:rsidP="00E10E3A">
            <w:pPr>
              <w:pStyle w:val="CETBodytext"/>
              <w:spacing w:line="240" w:lineRule="atLeast"/>
              <w:rPr>
                <w:sz w:val="17"/>
                <w:szCs w:val="17"/>
                <w:lang w:val="en-GB"/>
              </w:rPr>
            </w:pPr>
            <w:r w:rsidRPr="00FA1437">
              <w:rPr>
                <w:color w:val="000000"/>
                <w:sz w:val="17"/>
                <w:szCs w:val="17"/>
              </w:rPr>
              <w:t>0.31±0.01</w:t>
            </w:r>
            <w:r w:rsidRPr="00FA1437">
              <w:rPr>
                <w:color w:val="000000"/>
                <w:sz w:val="17"/>
                <w:szCs w:val="17"/>
                <w:vertAlign w:val="superscript"/>
              </w:rPr>
              <w:t>ij</w:t>
            </w:r>
          </w:p>
        </w:tc>
        <w:tc>
          <w:tcPr>
            <w:tcW w:w="1045" w:type="dxa"/>
            <w:shd w:val="clear" w:color="auto" w:fill="auto"/>
            <w:noWrap/>
            <w:vAlign w:val="center"/>
            <w:hideMark/>
          </w:tcPr>
          <w:p w14:paraId="0383176A" w14:textId="17F09296" w:rsidR="007D67C4" w:rsidRPr="00FA1437" w:rsidRDefault="007D67C4" w:rsidP="00E10E3A">
            <w:pPr>
              <w:pStyle w:val="CETBodytext"/>
              <w:spacing w:line="240" w:lineRule="atLeast"/>
              <w:rPr>
                <w:sz w:val="17"/>
                <w:szCs w:val="17"/>
                <w:lang w:val="en-GB"/>
              </w:rPr>
            </w:pPr>
            <w:r w:rsidRPr="00FA1437">
              <w:rPr>
                <w:color w:val="000000"/>
                <w:sz w:val="17"/>
                <w:szCs w:val="17"/>
              </w:rPr>
              <w:t>0.31± 0.01</w:t>
            </w:r>
            <w:r w:rsidRPr="00FA1437">
              <w:rPr>
                <w:color w:val="000000"/>
                <w:sz w:val="17"/>
                <w:szCs w:val="17"/>
                <w:vertAlign w:val="superscript"/>
              </w:rPr>
              <w:t>ij</w:t>
            </w:r>
          </w:p>
        </w:tc>
        <w:tc>
          <w:tcPr>
            <w:tcW w:w="1045" w:type="dxa"/>
            <w:shd w:val="clear" w:color="auto" w:fill="auto"/>
            <w:noWrap/>
            <w:vAlign w:val="center"/>
            <w:hideMark/>
          </w:tcPr>
          <w:p w14:paraId="5725E2BF" w14:textId="28404347" w:rsidR="007D67C4" w:rsidRPr="00FA1437" w:rsidRDefault="007D67C4" w:rsidP="00E10E3A">
            <w:pPr>
              <w:pStyle w:val="CETBodytext"/>
              <w:spacing w:line="240" w:lineRule="atLeast"/>
              <w:rPr>
                <w:sz w:val="17"/>
                <w:szCs w:val="17"/>
                <w:lang w:val="en-GB"/>
              </w:rPr>
            </w:pPr>
            <w:r w:rsidRPr="00FA1437">
              <w:rPr>
                <w:color w:val="000000"/>
                <w:sz w:val="17"/>
                <w:szCs w:val="17"/>
              </w:rPr>
              <w:t>0.31±0.01</w:t>
            </w:r>
            <w:r w:rsidRPr="00FA1437">
              <w:rPr>
                <w:color w:val="000000"/>
                <w:sz w:val="17"/>
                <w:szCs w:val="17"/>
                <w:vertAlign w:val="superscript"/>
              </w:rPr>
              <w:t>ij</w:t>
            </w:r>
          </w:p>
        </w:tc>
        <w:tc>
          <w:tcPr>
            <w:tcW w:w="1045" w:type="dxa"/>
            <w:shd w:val="clear" w:color="auto" w:fill="auto"/>
            <w:noWrap/>
            <w:vAlign w:val="center"/>
            <w:hideMark/>
          </w:tcPr>
          <w:p w14:paraId="63789DCA" w14:textId="275E1ED0" w:rsidR="007D67C4" w:rsidRPr="00FA1437" w:rsidRDefault="007D67C4" w:rsidP="00E10E3A">
            <w:pPr>
              <w:pStyle w:val="CETBodytext"/>
              <w:spacing w:line="240" w:lineRule="atLeast"/>
              <w:rPr>
                <w:sz w:val="17"/>
                <w:szCs w:val="17"/>
                <w:lang w:val="en-GB"/>
              </w:rPr>
            </w:pPr>
            <w:r w:rsidRPr="00FA1437">
              <w:rPr>
                <w:color w:val="000000"/>
                <w:sz w:val="17"/>
                <w:szCs w:val="17"/>
              </w:rPr>
              <w:t>73.33±5.77</w:t>
            </w:r>
            <w:r w:rsidRPr="00FA1437">
              <w:rPr>
                <w:color w:val="000000"/>
                <w:sz w:val="17"/>
                <w:szCs w:val="17"/>
                <w:vertAlign w:val="superscript"/>
              </w:rPr>
              <w:t>cd</w:t>
            </w:r>
          </w:p>
        </w:tc>
        <w:tc>
          <w:tcPr>
            <w:tcW w:w="1045" w:type="dxa"/>
            <w:shd w:val="clear" w:color="auto" w:fill="auto"/>
            <w:noWrap/>
            <w:vAlign w:val="center"/>
            <w:hideMark/>
          </w:tcPr>
          <w:p w14:paraId="254A3782" w14:textId="54EA7CB1" w:rsidR="007D67C4" w:rsidRPr="00FA1437" w:rsidRDefault="007D67C4" w:rsidP="00E10E3A">
            <w:pPr>
              <w:pStyle w:val="CETBodytext"/>
              <w:spacing w:line="240" w:lineRule="atLeast"/>
              <w:rPr>
                <w:sz w:val="17"/>
                <w:szCs w:val="17"/>
                <w:lang w:val="en-GB"/>
              </w:rPr>
            </w:pPr>
            <w:r w:rsidRPr="00FA1437">
              <w:rPr>
                <w:color w:val="000000"/>
                <w:sz w:val="17"/>
                <w:szCs w:val="17"/>
              </w:rPr>
              <w:t>50.00±0.01</w:t>
            </w:r>
            <w:r w:rsidRPr="00FA1437">
              <w:rPr>
                <w:color w:val="000000"/>
                <w:sz w:val="17"/>
                <w:szCs w:val="17"/>
                <w:vertAlign w:val="superscript"/>
              </w:rPr>
              <w:t>gh</w:t>
            </w:r>
          </w:p>
        </w:tc>
        <w:tc>
          <w:tcPr>
            <w:tcW w:w="1045" w:type="dxa"/>
            <w:shd w:val="clear" w:color="auto" w:fill="auto"/>
            <w:noWrap/>
            <w:vAlign w:val="center"/>
            <w:hideMark/>
          </w:tcPr>
          <w:p w14:paraId="2B4049FF" w14:textId="091F3C7D" w:rsidR="007D67C4" w:rsidRPr="00FA1437" w:rsidRDefault="007D67C4" w:rsidP="00E10E3A">
            <w:pPr>
              <w:pStyle w:val="CETBodytext"/>
              <w:spacing w:line="240" w:lineRule="atLeast"/>
              <w:rPr>
                <w:sz w:val="17"/>
                <w:szCs w:val="17"/>
                <w:lang w:val="en-GB"/>
              </w:rPr>
            </w:pPr>
            <w:r w:rsidRPr="00FA1437">
              <w:rPr>
                <w:color w:val="000000"/>
                <w:sz w:val="17"/>
                <w:szCs w:val="17"/>
              </w:rPr>
              <w:t>70.00± 0.01</w:t>
            </w:r>
            <w:r w:rsidRPr="00FA1437">
              <w:rPr>
                <w:color w:val="000000"/>
                <w:sz w:val="17"/>
                <w:szCs w:val="17"/>
                <w:vertAlign w:val="superscript"/>
              </w:rPr>
              <w:t>fg</w:t>
            </w:r>
          </w:p>
        </w:tc>
        <w:tc>
          <w:tcPr>
            <w:tcW w:w="1045" w:type="dxa"/>
            <w:shd w:val="clear" w:color="auto" w:fill="auto"/>
            <w:noWrap/>
            <w:vAlign w:val="center"/>
            <w:hideMark/>
          </w:tcPr>
          <w:p w14:paraId="5C639852" w14:textId="047A9D91" w:rsidR="007D67C4" w:rsidRPr="00FA1437" w:rsidRDefault="007D67C4" w:rsidP="00E10E3A">
            <w:pPr>
              <w:pStyle w:val="CETBodytext"/>
              <w:spacing w:line="240" w:lineRule="atLeast"/>
              <w:rPr>
                <w:sz w:val="17"/>
                <w:szCs w:val="17"/>
                <w:lang w:val="en-GB"/>
              </w:rPr>
            </w:pPr>
            <w:r w:rsidRPr="00FA1437">
              <w:rPr>
                <w:color w:val="000000"/>
                <w:sz w:val="17"/>
                <w:szCs w:val="17"/>
              </w:rPr>
              <w:t>50.00±0.01</w:t>
            </w:r>
            <w:r w:rsidRPr="00FA1437">
              <w:rPr>
                <w:color w:val="000000"/>
                <w:sz w:val="17"/>
                <w:szCs w:val="17"/>
                <w:vertAlign w:val="superscript"/>
              </w:rPr>
              <w:t>cd</w:t>
            </w:r>
          </w:p>
        </w:tc>
      </w:tr>
      <w:tr w:rsidR="00FA1437" w:rsidRPr="00FA1437" w14:paraId="391A96D2" w14:textId="77777777" w:rsidTr="00FA1437">
        <w:trPr>
          <w:trHeight w:val="20"/>
        </w:trPr>
        <w:tc>
          <w:tcPr>
            <w:tcW w:w="422" w:type="dxa"/>
            <w:tcBorders>
              <w:bottom w:val="nil"/>
            </w:tcBorders>
            <w:shd w:val="clear" w:color="auto" w:fill="auto"/>
            <w:noWrap/>
            <w:vAlign w:val="center"/>
            <w:hideMark/>
          </w:tcPr>
          <w:p w14:paraId="2BD9B382" w14:textId="4BE5141A" w:rsidR="007D67C4" w:rsidRPr="00FA1437" w:rsidRDefault="00903A68" w:rsidP="00903A68">
            <w:pPr>
              <w:pStyle w:val="CETBodytext"/>
              <w:spacing w:line="240" w:lineRule="atLeast"/>
              <w:jc w:val="left"/>
              <w:rPr>
                <w:sz w:val="17"/>
                <w:szCs w:val="17"/>
                <w:lang w:val="en-GB"/>
              </w:rPr>
            </w:pPr>
            <w:r w:rsidRPr="00FA1437">
              <w:rPr>
                <w:sz w:val="17"/>
                <w:szCs w:val="17"/>
                <w:lang w:val="en-GB"/>
              </w:rPr>
              <w:t>25</w:t>
            </w:r>
          </w:p>
        </w:tc>
        <w:tc>
          <w:tcPr>
            <w:tcW w:w="1044" w:type="dxa"/>
            <w:tcBorders>
              <w:bottom w:val="nil"/>
            </w:tcBorders>
            <w:shd w:val="clear" w:color="auto" w:fill="auto"/>
            <w:noWrap/>
            <w:vAlign w:val="center"/>
            <w:hideMark/>
          </w:tcPr>
          <w:p w14:paraId="59C85EC3" w14:textId="60287FE8" w:rsidR="007D67C4" w:rsidRPr="00FA1437" w:rsidRDefault="007D67C4" w:rsidP="00E10E3A">
            <w:pPr>
              <w:pStyle w:val="CETBodytext"/>
              <w:spacing w:line="240" w:lineRule="atLeast"/>
              <w:rPr>
                <w:sz w:val="17"/>
                <w:szCs w:val="17"/>
                <w:lang w:val="en-GB"/>
              </w:rPr>
            </w:pPr>
            <w:r w:rsidRPr="00FA1437">
              <w:rPr>
                <w:color w:val="000000"/>
                <w:sz w:val="17"/>
                <w:szCs w:val="17"/>
              </w:rPr>
              <w:t>0.32±0.01</w:t>
            </w:r>
            <w:r w:rsidRPr="00FA1437">
              <w:rPr>
                <w:color w:val="000000"/>
                <w:sz w:val="17"/>
                <w:szCs w:val="17"/>
                <w:vertAlign w:val="superscript"/>
              </w:rPr>
              <w:t>jk</w:t>
            </w:r>
          </w:p>
        </w:tc>
        <w:tc>
          <w:tcPr>
            <w:tcW w:w="1045" w:type="dxa"/>
            <w:tcBorders>
              <w:bottom w:val="nil"/>
            </w:tcBorders>
            <w:shd w:val="clear" w:color="auto" w:fill="auto"/>
            <w:noWrap/>
            <w:vAlign w:val="center"/>
            <w:hideMark/>
          </w:tcPr>
          <w:p w14:paraId="76E84530" w14:textId="1C4AD0D6" w:rsidR="007D67C4" w:rsidRPr="00FA1437" w:rsidRDefault="007D67C4" w:rsidP="00E10E3A">
            <w:pPr>
              <w:pStyle w:val="CETBodytext"/>
              <w:spacing w:line="240" w:lineRule="atLeast"/>
              <w:rPr>
                <w:sz w:val="17"/>
                <w:szCs w:val="17"/>
                <w:lang w:val="en-GB"/>
              </w:rPr>
            </w:pPr>
            <w:r w:rsidRPr="00FA1437">
              <w:rPr>
                <w:color w:val="000000"/>
                <w:sz w:val="17"/>
                <w:szCs w:val="17"/>
              </w:rPr>
              <w:t>0.32±0.01</w:t>
            </w:r>
            <w:r w:rsidRPr="00FA1437">
              <w:rPr>
                <w:color w:val="000000"/>
                <w:sz w:val="17"/>
                <w:szCs w:val="17"/>
                <w:vertAlign w:val="superscript"/>
              </w:rPr>
              <w:t>kl</w:t>
            </w:r>
          </w:p>
        </w:tc>
        <w:tc>
          <w:tcPr>
            <w:tcW w:w="1045" w:type="dxa"/>
            <w:tcBorders>
              <w:bottom w:val="nil"/>
            </w:tcBorders>
            <w:shd w:val="clear" w:color="auto" w:fill="auto"/>
            <w:noWrap/>
            <w:vAlign w:val="center"/>
            <w:hideMark/>
          </w:tcPr>
          <w:p w14:paraId="47B34749" w14:textId="0993CDC9" w:rsidR="007D67C4" w:rsidRPr="00FA1437" w:rsidRDefault="007D67C4" w:rsidP="00E10E3A">
            <w:pPr>
              <w:pStyle w:val="CETBodytext"/>
              <w:spacing w:line="240" w:lineRule="atLeast"/>
              <w:rPr>
                <w:sz w:val="17"/>
                <w:szCs w:val="17"/>
                <w:lang w:val="en-GB"/>
              </w:rPr>
            </w:pPr>
            <w:r w:rsidRPr="00FA1437">
              <w:rPr>
                <w:color w:val="000000"/>
                <w:sz w:val="17"/>
                <w:szCs w:val="17"/>
              </w:rPr>
              <w:t>0.32±0.01</w:t>
            </w:r>
            <w:r w:rsidRPr="00FA1437">
              <w:rPr>
                <w:color w:val="000000"/>
                <w:sz w:val="17"/>
                <w:szCs w:val="17"/>
                <w:vertAlign w:val="superscript"/>
              </w:rPr>
              <w:t>lm</w:t>
            </w:r>
          </w:p>
        </w:tc>
        <w:tc>
          <w:tcPr>
            <w:tcW w:w="1045" w:type="dxa"/>
            <w:tcBorders>
              <w:bottom w:val="nil"/>
            </w:tcBorders>
            <w:shd w:val="clear" w:color="auto" w:fill="auto"/>
            <w:noWrap/>
            <w:vAlign w:val="center"/>
            <w:hideMark/>
          </w:tcPr>
          <w:p w14:paraId="43C2974F" w14:textId="2E71BFE0" w:rsidR="007D67C4" w:rsidRPr="00FA1437" w:rsidRDefault="007D67C4" w:rsidP="00E10E3A">
            <w:pPr>
              <w:pStyle w:val="CETBodytext"/>
              <w:spacing w:line="240" w:lineRule="atLeast"/>
              <w:rPr>
                <w:sz w:val="17"/>
                <w:szCs w:val="17"/>
                <w:lang w:val="en-GB"/>
              </w:rPr>
            </w:pPr>
            <w:r w:rsidRPr="00FA1437">
              <w:rPr>
                <w:color w:val="000000"/>
                <w:sz w:val="17"/>
                <w:szCs w:val="17"/>
              </w:rPr>
              <w:t>0.32±0.01</w:t>
            </w:r>
            <w:r w:rsidRPr="00FA1437">
              <w:rPr>
                <w:color w:val="000000"/>
                <w:sz w:val="17"/>
                <w:szCs w:val="17"/>
                <w:vertAlign w:val="superscript"/>
              </w:rPr>
              <w:t>kl</w:t>
            </w:r>
          </w:p>
        </w:tc>
        <w:tc>
          <w:tcPr>
            <w:tcW w:w="1045" w:type="dxa"/>
            <w:tcBorders>
              <w:bottom w:val="nil"/>
            </w:tcBorders>
            <w:shd w:val="clear" w:color="auto" w:fill="auto"/>
            <w:noWrap/>
            <w:vAlign w:val="center"/>
            <w:hideMark/>
          </w:tcPr>
          <w:p w14:paraId="1B3378BC" w14:textId="60D5DDDD" w:rsidR="007D67C4" w:rsidRPr="00FA1437" w:rsidRDefault="007D67C4" w:rsidP="00E10E3A">
            <w:pPr>
              <w:pStyle w:val="CETBodytext"/>
              <w:spacing w:line="240" w:lineRule="atLeast"/>
              <w:rPr>
                <w:sz w:val="17"/>
                <w:szCs w:val="17"/>
                <w:lang w:val="en-GB"/>
              </w:rPr>
            </w:pPr>
            <w:r w:rsidRPr="00FA1437">
              <w:rPr>
                <w:color w:val="000000"/>
                <w:sz w:val="17"/>
                <w:szCs w:val="17"/>
              </w:rPr>
              <w:t>80.00±0.01</w:t>
            </w:r>
            <w:r w:rsidRPr="00FA1437">
              <w:rPr>
                <w:color w:val="000000"/>
                <w:sz w:val="17"/>
                <w:szCs w:val="17"/>
                <w:vertAlign w:val="superscript"/>
              </w:rPr>
              <w:t>cd</w:t>
            </w:r>
          </w:p>
        </w:tc>
        <w:tc>
          <w:tcPr>
            <w:tcW w:w="1045" w:type="dxa"/>
            <w:tcBorders>
              <w:bottom w:val="nil"/>
            </w:tcBorders>
            <w:shd w:val="clear" w:color="auto" w:fill="auto"/>
            <w:noWrap/>
            <w:vAlign w:val="center"/>
            <w:hideMark/>
          </w:tcPr>
          <w:p w14:paraId="20AB7F45" w14:textId="480E12EF" w:rsidR="007D67C4" w:rsidRPr="00FA1437" w:rsidRDefault="007D67C4" w:rsidP="00E10E3A">
            <w:pPr>
              <w:pStyle w:val="CETBodytext"/>
              <w:spacing w:line="240" w:lineRule="atLeast"/>
              <w:rPr>
                <w:sz w:val="17"/>
                <w:szCs w:val="17"/>
                <w:lang w:val="en-GB"/>
              </w:rPr>
            </w:pPr>
            <w:r w:rsidRPr="00FA1437">
              <w:rPr>
                <w:color w:val="000000"/>
                <w:sz w:val="17"/>
                <w:szCs w:val="17"/>
              </w:rPr>
              <w:t>50.0</w:t>
            </w:r>
            <w:r w:rsidR="00FA1437" w:rsidRPr="00FA1437">
              <w:rPr>
                <w:color w:val="000000"/>
                <w:sz w:val="17"/>
                <w:szCs w:val="17"/>
              </w:rPr>
              <w:t>0</w:t>
            </w:r>
            <w:r w:rsidRPr="00FA1437">
              <w:rPr>
                <w:color w:val="000000"/>
                <w:sz w:val="17"/>
                <w:szCs w:val="17"/>
              </w:rPr>
              <w:t>±0.01</w:t>
            </w:r>
            <w:r w:rsidRPr="00FA1437">
              <w:rPr>
                <w:color w:val="000000"/>
                <w:sz w:val="17"/>
                <w:szCs w:val="17"/>
                <w:vertAlign w:val="superscript"/>
              </w:rPr>
              <w:t>hi</w:t>
            </w:r>
          </w:p>
        </w:tc>
        <w:tc>
          <w:tcPr>
            <w:tcW w:w="1045" w:type="dxa"/>
            <w:tcBorders>
              <w:bottom w:val="nil"/>
            </w:tcBorders>
            <w:shd w:val="clear" w:color="auto" w:fill="auto"/>
            <w:noWrap/>
            <w:vAlign w:val="center"/>
            <w:hideMark/>
          </w:tcPr>
          <w:p w14:paraId="6E3E2BAB" w14:textId="278DA219" w:rsidR="007D67C4" w:rsidRPr="00FA1437" w:rsidRDefault="007D67C4" w:rsidP="00E10E3A">
            <w:pPr>
              <w:pStyle w:val="CETBodytext"/>
              <w:spacing w:line="240" w:lineRule="atLeast"/>
              <w:rPr>
                <w:sz w:val="17"/>
                <w:szCs w:val="17"/>
                <w:lang w:val="en-GB"/>
              </w:rPr>
            </w:pPr>
            <w:r w:rsidRPr="00FA1437">
              <w:rPr>
                <w:color w:val="000000"/>
                <w:sz w:val="17"/>
                <w:szCs w:val="17"/>
              </w:rPr>
              <w:t>70.00±0.01</w:t>
            </w:r>
            <w:r w:rsidRPr="00FA1437">
              <w:rPr>
                <w:color w:val="000000"/>
                <w:sz w:val="17"/>
                <w:szCs w:val="17"/>
                <w:vertAlign w:val="superscript"/>
              </w:rPr>
              <w:t>fg</w:t>
            </w:r>
          </w:p>
        </w:tc>
        <w:tc>
          <w:tcPr>
            <w:tcW w:w="1045" w:type="dxa"/>
            <w:tcBorders>
              <w:bottom w:val="nil"/>
            </w:tcBorders>
            <w:shd w:val="clear" w:color="auto" w:fill="auto"/>
            <w:noWrap/>
            <w:vAlign w:val="center"/>
            <w:hideMark/>
          </w:tcPr>
          <w:p w14:paraId="621E2266" w14:textId="3AAA8EE7" w:rsidR="007D67C4" w:rsidRPr="00FA1437" w:rsidRDefault="007D67C4" w:rsidP="00E10E3A">
            <w:pPr>
              <w:pStyle w:val="CETBodytext"/>
              <w:spacing w:line="240" w:lineRule="atLeast"/>
              <w:rPr>
                <w:sz w:val="17"/>
                <w:szCs w:val="17"/>
                <w:lang w:val="en-GB"/>
              </w:rPr>
            </w:pPr>
            <w:r w:rsidRPr="00FA1437">
              <w:rPr>
                <w:color w:val="000000"/>
                <w:sz w:val="17"/>
                <w:szCs w:val="17"/>
              </w:rPr>
              <w:t>56.67±0.01</w:t>
            </w:r>
            <w:r w:rsidRPr="00FA1437">
              <w:rPr>
                <w:color w:val="000000"/>
                <w:sz w:val="17"/>
                <w:szCs w:val="17"/>
                <w:vertAlign w:val="superscript"/>
              </w:rPr>
              <w:t>de</w:t>
            </w:r>
          </w:p>
        </w:tc>
      </w:tr>
      <w:tr w:rsidR="00FA1437" w:rsidRPr="00FA1437" w14:paraId="436C2FE3" w14:textId="77777777" w:rsidTr="00FA1437">
        <w:trPr>
          <w:trHeight w:val="20"/>
        </w:trPr>
        <w:tc>
          <w:tcPr>
            <w:tcW w:w="422" w:type="dxa"/>
            <w:tcBorders>
              <w:top w:val="nil"/>
              <w:bottom w:val="single" w:sz="18" w:space="0" w:color="008000"/>
            </w:tcBorders>
            <w:shd w:val="clear" w:color="auto" w:fill="auto"/>
            <w:noWrap/>
            <w:vAlign w:val="center"/>
            <w:hideMark/>
          </w:tcPr>
          <w:p w14:paraId="4C18C21E" w14:textId="4A84D46B" w:rsidR="007D67C4" w:rsidRPr="00FA1437" w:rsidRDefault="00903A68" w:rsidP="00903A68">
            <w:pPr>
              <w:pStyle w:val="CETBodytext"/>
              <w:spacing w:line="240" w:lineRule="atLeast"/>
              <w:jc w:val="left"/>
              <w:rPr>
                <w:sz w:val="17"/>
                <w:szCs w:val="17"/>
                <w:lang w:val="en-GB"/>
              </w:rPr>
            </w:pPr>
            <w:r w:rsidRPr="00FA1437">
              <w:rPr>
                <w:sz w:val="17"/>
                <w:szCs w:val="17"/>
                <w:lang w:val="en-GB"/>
              </w:rPr>
              <w:t>30</w:t>
            </w:r>
          </w:p>
        </w:tc>
        <w:tc>
          <w:tcPr>
            <w:tcW w:w="1044" w:type="dxa"/>
            <w:tcBorders>
              <w:top w:val="nil"/>
              <w:bottom w:val="single" w:sz="18" w:space="0" w:color="008000"/>
            </w:tcBorders>
            <w:shd w:val="clear" w:color="auto" w:fill="auto"/>
            <w:noWrap/>
            <w:vAlign w:val="center"/>
            <w:hideMark/>
          </w:tcPr>
          <w:p w14:paraId="6CDBCBD7" w14:textId="3FCFA49B" w:rsidR="007D67C4" w:rsidRPr="00FA1437" w:rsidRDefault="007D67C4" w:rsidP="00E10E3A">
            <w:pPr>
              <w:pStyle w:val="CETBodytext"/>
              <w:spacing w:line="240" w:lineRule="atLeast"/>
              <w:rPr>
                <w:sz w:val="17"/>
                <w:szCs w:val="17"/>
                <w:lang w:val="en-GB"/>
              </w:rPr>
            </w:pPr>
            <w:r w:rsidRPr="00FA1437">
              <w:rPr>
                <w:color w:val="000000"/>
                <w:sz w:val="17"/>
                <w:szCs w:val="17"/>
              </w:rPr>
              <w:t>0.33±0.01</w:t>
            </w:r>
            <w:r w:rsidRPr="00FA1437">
              <w:rPr>
                <w:color w:val="000000"/>
                <w:sz w:val="17"/>
                <w:szCs w:val="17"/>
                <w:vertAlign w:val="superscript"/>
              </w:rPr>
              <w:t>l</w:t>
            </w:r>
          </w:p>
        </w:tc>
        <w:tc>
          <w:tcPr>
            <w:tcW w:w="1045" w:type="dxa"/>
            <w:tcBorders>
              <w:top w:val="nil"/>
              <w:bottom w:val="single" w:sz="18" w:space="0" w:color="008000"/>
            </w:tcBorders>
            <w:shd w:val="clear" w:color="auto" w:fill="auto"/>
            <w:noWrap/>
            <w:vAlign w:val="center"/>
            <w:hideMark/>
          </w:tcPr>
          <w:p w14:paraId="4727FA3B" w14:textId="3281F84F" w:rsidR="007D67C4" w:rsidRPr="00FA1437" w:rsidRDefault="007D67C4" w:rsidP="00E10E3A">
            <w:pPr>
              <w:pStyle w:val="CETBodytext"/>
              <w:spacing w:line="240" w:lineRule="atLeast"/>
              <w:rPr>
                <w:sz w:val="17"/>
                <w:szCs w:val="17"/>
                <w:lang w:val="en-GB"/>
              </w:rPr>
            </w:pPr>
            <w:r w:rsidRPr="00FA1437">
              <w:rPr>
                <w:color w:val="000000"/>
                <w:sz w:val="17"/>
                <w:szCs w:val="17"/>
              </w:rPr>
              <w:t>0.34±0.01</w:t>
            </w:r>
            <w:r w:rsidRPr="00FA1437">
              <w:rPr>
                <w:color w:val="000000"/>
                <w:sz w:val="17"/>
                <w:szCs w:val="17"/>
                <w:vertAlign w:val="superscript"/>
              </w:rPr>
              <w:t>m</w:t>
            </w:r>
          </w:p>
        </w:tc>
        <w:tc>
          <w:tcPr>
            <w:tcW w:w="1045" w:type="dxa"/>
            <w:tcBorders>
              <w:top w:val="nil"/>
              <w:bottom w:val="single" w:sz="18" w:space="0" w:color="008000"/>
            </w:tcBorders>
            <w:shd w:val="clear" w:color="auto" w:fill="auto"/>
            <w:noWrap/>
            <w:vAlign w:val="center"/>
            <w:hideMark/>
          </w:tcPr>
          <w:p w14:paraId="63B77E53" w14:textId="70DF2ADB" w:rsidR="007D67C4" w:rsidRPr="00FA1437" w:rsidRDefault="007D67C4" w:rsidP="00E10E3A">
            <w:pPr>
              <w:pStyle w:val="CETBodytext"/>
              <w:spacing w:line="240" w:lineRule="atLeast"/>
              <w:rPr>
                <w:sz w:val="17"/>
                <w:szCs w:val="17"/>
                <w:lang w:val="en-GB"/>
              </w:rPr>
            </w:pPr>
            <w:r w:rsidRPr="00FA1437">
              <w:rPr>
                <w:color w:val="000000"/>
                <w:sz w:val="17"/>
                <w:szCs w:val="17"/>
              </w:rPr>
              <w:t>0.34±0.01</w:t>
            </w:r>
            <w:r w:rsidRPr="00FA1437">
              <w:rPr>
                <w:color w:val="000000"/>
                <w:sz w:val="17"/>
                <w:szCs w:val="17"/>
                <w:vertAlign w:val="superscript"/>
              </w:rPr>
              <w:t>lm</w:t>
            </w:r>
          </w:p>
        </w:tc>
        <w:tc>
          <w:tcPr>
            <w:tcW w:w="1045" w:type="dxa"/>
            <w:tcBorders>
              <w:top w:val="nil"/>
              <w:bottom w:val="single" w:sz="18" w:space="0" w:color="008000"/>
            </w:tcBorders>
            <w:shd w:val="clear" w:color="auto" w:fill="auto"/>
            <w:noWrap/>
            <w:vAlign w:val="center"/>
            <w:hideMark/>
          </w:tcPr>
          <w:p w14:paraId="11762EA4" w14:textId="22683BE4" w:rsidR="007D67C4" w:rsidRPr="00FA1437" w:rsidRDefault="007D67C4" w:rsidP="00E10E3A">
            <w:pPr>
              <w:pStyle w:val="CETBodytext"/>
              <w:spacing w:line="240" w:lineRule="atLeast"/>
              <w:rPr>
                <w:sz w:val="17"/>
                <w:szCs w:val="17"/>
                <w:lang w:val="en-GB"/>
              </w:rPr>
            </w:pPr>
            <w:r w:rsidRPr="00FA1437">
              <w:rPr>
                <w:color w:val="000000"/>
                <w:sz w:val="17"/>
                <w:szCs w:val="17"/>
              </w:rPr>
              <w:t>0.34±0.01</w:t>
            </w:r>
            <w:r w:rsidRPr="00FA1437">
              <w:rPr>
                <w:color w:val="000000"/>
                <w:sz w:val="17"/>
                <w:szCs w:val="17"/>
                <w:vertAlign w:val="superscript"/>
              </w:rPr>
              <w:t>m</w:t>
            </w:r>
          </w:p>
        </w:tc>
        <w:tc>
          <w:tcPr>
            <w:tcW w:w="1045" w:type="dxa"/>
            <w:tcBorders>
              <w:top w:val="nil"/>
              <w:bottom w:val="single" w:sz="18" w:space="0" w:color="008000"/>
            </w:tcBorders>
            <w:shd w:val="clear" w:color="auto" w:fill="auto"/>
            <w:noWrap/>
            <w:vAlign w:val="center"/>
            <w:hideMark/>
          </w:tcPr>
          <w:p w14:paraId="7DE8000C" w14:textId="055FE434" w:rsidR="007D67C4" w:rsidRPr="00FA1437" w:rsidRDefault="007D67C4" w:rsidP="00E10E3A">
            <w:pPr>
              <w:pStyle w:val="CETBodytext"/>
              <w:spacing w:line="240" w:lineRule="atLeast"/>
              <w:rPr>
                <w:sz w:val="17"/>
                <w:szCs w:val="17"/>
                <w:lang w:val="en-GB"/>
              </w:rPr>
            </w:pPr>
            <w:r w:rsidRPr="00FA1437">
              <w:rPr>
                <w:color w:val="000000"/>
                <w:sz w:val="17"/>
                <w:szCs w:val="17"/>
              </w:rPr>
              <w:t>86.67±5.77</w:t>
            </w:r>
            <w:r w:rsidRPr="00FA1437">
              <w:rPr>
                <w:color w:val="000000"/>
                <w:sz w:val="17"/>
                <w:szCs w:val="17"/>
                <w:vertAlign w:val="superscript"/>
              </w:rPr>
              <w:t>e</w:t>
            </w:r>
          </w:p>
        </w:tc>
        <w:tc>
          <w:tcPr>
            <w:tcW w:w="1045" w:type="dxa"/>
            <w:tcBorders>
              <w:top w:val="nil"/>
              <w:bottom w:val="single" w:sz="18" w:space="0" w:color="008000"/>
            </w:tcBorders>
            <w:shd w:val="clear" w:color="auto" w:fill="auto"/>
            <w:noWrap/>
            <w:vAlign w:val="center"/>
            <w:hideMark/>
          </w:tcPr>
          <w:p w14:paraId="4856CE96" w14:textId="2D591ACF" w:rsidR="007D67C4" w:rsidRPr="00FA1437" w:rsidRDefault="007D67C4" w:rsidP="00E10E3A">
            <w:pPr>
              <w:pStyle w:val="CETBodytext"/>
              <w:spacing w:line="240" w:lineRule="atLeast"/>
              <w:rPr>
                <w:sz w:val="17"/>
                <w:szCs w:val="17"/>
                <w:lang w:val="en-GB"/>
              </w:rPr>
            </w:pPr>
            <w:r w:rsidRPr="00FA1437">
              <w:rPr>
                <w:color w:val="000000"/>
                <w:sz w:val="17"/>
                <w:szCs w:val="17"/>
              </w:rPr>
              <w:t>60.00±0.01</w:t>
            </w:r>
            <w:r w:rsidRPr="00FA1437">
              <w:rPr>
                <w:color w:val="000000"/>
                <w:sz w:val="17"/>
                <w:szCs w:val="17"/>
                <w:vertAlign w:val="superscript"/>
              </w:rPr>
              <w:t>fg</w:t>
            </w:r>
          </w:p>
        </w:tc>
        <w:tc>
          <w:tcPr>
            <w:tcW w:w="1045" w:type="dxa"/>
            <w:tcBorders>
              <w:top w:val="nil"/>
              <w:bottom w:val="single" w:sz="18" w:space="0" w:color="008000"/>
            </w:tcBorders>
            <w:shd w:val="clear" w:color="auto" w:fill="auto"/>
            <w:noWrap/>
            <w:vAlign w:val="center"/>
            <w:hideMark/>
          </w:tcPr>
          <w:p w14:paraId="45401E7E" w14:textId="13495B25" w:rsidR="007D67C4" w:rsidRPr="00FA1437" w:rsidRDefault="007D67C4" w:rsidP="00E10E3A">
            <w:pPr>
              <w:pStyle w:val="CETBodytext"/>
              <w:spacing w:line="240" w:lineRule="atLeast"/>
              <w:rPr>
                <w:sz w:val="17"/>
                <w:szCs w:val="17"/>
                <w:lang w:val="en-GB"/>
              </w:rPr>
            </w:pPr>
            <w:r w:rsidRPr="00FA1437">
              <w:rPr>
                <w:color w:val="000000"/>
                <w:sz w:val="17"/>
                <w:szCs w:val="17"/>
              </w:rPr>
              <w:t>70.00±0.01</w:t>
            </w:r>
            <w:r w:rsidRPr="00FA1437">
              <w:rPr>
                <w:color w:val="000000"/>
                <w:sz w:val="17"/>
                <w:szCs w:val="17"/>
                <w:vertAlign w:val="superscript"/>
              </w:rPr>
              <w:t>fg</w:t>
            </w:r>
          </w:p>
        </w:tc>
        <w:tc>
          <w:tcPr>
            <w:tcW w:w="1045" w:type="dxa"/>
            <w:tcBorders>
              <w:top w:val="nil"/>
              <w:bottom w:val="single" w:sz="18" w:space="0" w:color="008000"/>
            </w:tcBorders>
            <w:shd w:val="clear" w:color="auto" w:fill="auto"/>
            <w:noWrap/>
            <w:vAlign w:val="center"/>
            <w:hideMark/>
          </w:tcPr>
          <w:p w14:paraId="47DEA4FC" w14:textId="6E530D5A" w:rsidR="007D67C4" w:rsidRPr="00FA1437" w:rsidRDefault="007D67C4" w:rsidP="00E10E3A">
            <w:pPr>
              <w:pStyle w:val="CETBodytext"/>
              <w:spacing w:line="240" w:lineRule="atLeast"/>
              <w:rPr>
                <w:sz w:val="17"/>
                <w:szCs w:val="17"/>
                <w:lang w:val="en-GB"/>
              </w:rPr>
            </w:pPr>
            <w:r w:rsidRPr="00FA1437">
              <w:rPr>
                <w:color w:val="000000"/>
                <w:sz w:val="17"/>
                <w:szCs w:val="17"/>
              </w:rPr>
              <w:t>60.00±0.01</w:t>
            </w:r>
            <w:r w:rsidRPr="00FA1437">
              <w:rPr>
                <w:color w:val="000000"/>
                <w:sz w:val="17"/>
                <w:szCs w:val="17"/>
                <w:vertAlign w:val="superscript"/>
              </w:rPr>
              <w:t>d</w:t>
            </w:r>
          </w:p>
        </w:tc>
      </w:tr>
    </w:tbl>
    <w:p w14:paraId="413EDE93" w14:textId="77777777" w:rsidR="0033616F" w:rsidRDefault="0033616F" w:rsidP="00AD4AEC">
      <w:pPr>
        <w:pStyle w:val="CETBodytext"/>
      </w:pPr>
    </w:p>
    <w:p w14:paraId="509BE245" w14:textId="02135E82" w:rsidR="0033616F" w:rsidRDefault="00AD4AEC" w:rsidP="0033616F">
      <w:pPr>
        <w:pStyle w:val="CETBodytext"/>
      </w:pPr>
      <w:r>
        <w:t xml:space="preserve">There </w:t>
      </w:r>
      <w:r w:rsidR="00E4528F">
        <w:t>wa</w:t>
      </w:r>
      <w:r>
        <w:t>s a statistically significant increase in the acid value in sunflower oil for all samples at a frying temperature of 180°C</w:t>
      </w:r>
      <w:r w:rsidR="002A1906">
        <w:t xml:space="preserve"> as shown in Table 3</w:t>
      </w:r>
      <w:r>
        <w:t>. For this oil</w:t>
      </w:r>
      <w:r w:rsidR="00E4528F">
        <w:t xml:space="preserve">, </w:t>
      </w:r>
      <w:r>
        <w:t>unlike coconut oil, the</w:t>
      </w:r>
      <w:r w:rsidR="0033616F">
        <w:t xml:space="preserve">re </w:t>
      </w:r>
      <w:r w:rsidR="00E4528F">
        <w:t>was</w:t>
      </w:r>
      <w:r>
        <w:t xml:space="preserve"> no statistically significant difference between the samples to which antioxidants were added. </w:t>
      </w:r>
      <w:r w:rsidR="00E4528F">
        <w:t>T</w:t>
      </w:r>
      <w:r>
        <w:t>he peroxide values for the samples enriched with β-carotene and those enriched with both β-carotene and BHT show similar values, and close to those of the oil with no antioxidants. The samples of pure oil and oil enriched with only BHT show no statistically significant differences, and the values are higher than those of the samples enriched with β-carotene. This is due to the low heat resistance of BHT, as it degrades at temperatures above 140°C, losing its antioxidant effect</w:t>
      </w:r>
      <w:r w:rsidR="0033616F">
        <w:t>.</w:t>
      </w:r>
    </w:p>
    <w:p w14:paraId="0D4D9897" w14:textId="628FE5BA" w:rsidR="002274E1" w:rsidRPr="00227D4F" w:rsidRDefault="00301143" w:rsidP="00227D4F">
      <w:pPr>
        <w:pStyle w:val="CETheadingx"/>
        <w:rPr>
          <w:b/>
          <w:bCs w:val="0"/>
        </w:rPr>
      </w:pPr>
      <w:r w:rsidRPr="00227D4F">
        <w:rPr>
          <w:b/>
          <w:bCs w:val="0"/>
        </w:rPr>
        <w:t>3</w:t>
      </w:r>
      <w:r w:rsidR="002274E1" w:rsidRPr="00227D4F">
        <w:rPr>
          <w:b/>
          <w:bCs w:val="0"/>
        </w:rPr>
        <w:t>.</w:t>
      </w:r>
      <w:r w:rsidR="00BB47D1" w:rsidRPr="00227D4F">
        <w:rPr>
          <w:b/>
          <w:bCs w:val="0"/>
        </w:rPr>
        <w:t>2</w:t>
      </w:r>
      <w:r w:rsidR="002274E1" w:rsidRPr="00227D4F">
        <w:rPr>
          <w:b/>
          <w:bCs w:val="0"/>
        </w:rPr>
        <w:t xml:space="preserve"> Influence of β-carotene and BHT on the free fatty </w:t>
      </w:r>
      <w:r w:rsidR="00227D4F" w:rsidRPr="00227D4F">
        <w:rPr>
          <w:b/>
          <w:bCs w:val="0"/>
        </w:rPr>
        <w:t>composition</w:t>
      </w:r>
    </w:p>
    <w:p w14:paraId="2B71A0C9" w14:textId="0FDDCA8A" w:rsidR="0033616F" w:rsidRPr="0033616F" w:rsidRDefault="0033616F" w:rsidP="0033616F">
      <w:pPr>
        <w:pStyle w:val="CETBodytext"/>
      </w:pPr>
      <w:r>
        <w:t xml:space="preserve">Figure </w:t>
      </w:r>
      <w:r w:rsidR="00227D4F">
        <w:t xml:space="preserve">1 </w:t>
      </w:r>
      <w:r>
        <w:t xml:space="preserve">shows that coconut oil exposed to 180°C presents an increase in the percentage of saturated fatty acids (SFA) and a decrease in mono (MUFA) and polyunsaturated fatty acids (PUFA) compared to the initial conditions at room temperature. Samples containing only coconut oil and those enriched with BHT show the same behavior, with an increase in SFA and a decrease in MUFA and PUFA. When coconut oil is enriched with β-carotene or with both β-carotene and BHT, the same trend of increased SFA and decreased MUFA and PUFA is observed, but in these cases, the changes are minimal and statistically not significant, </w:t>
      </w:r>
      <w:r w:rsidR="00227D4F">
        <w:t>like</w:t>
      </w:r>
      <w:r>
        <w:t xml:space="preserve"> the conditions of crude oil. This suggests that BHT has no significant effect, as it loses its antioxidant activity at high temperatures. </w:t>
      </w:r>
      <w:r>
        <w:lastRenderedPageBreak/>
        <w:t>In contrast, β-carotene, being an antioxidant, shows a significant protective effect against thermal oxidation by oxidizing itself.</w:t>
      </w:r>
    </w:p>
    <w:p w14:paraId="6C82B6BC" w14:textId="77777777" w:rsidR="00227D4F" w:rsidRDefault="004877AA" w:rsidP="00227D4F">
      <w:pPr>
        <w:pStyle w:val="CETBodytext"/>
        <w:keepNext/>
      </w:pPr>
      <w:r>
        <w:rPr>
          <w:noProof/>
        </w:rPr>
        <w:drawing>
          <wp:inline distT="0" distB="0" distL="0" distR="0" wp14:anchorId="337B05D9" wp14:editId="73562954">
            <wp:extent cx="5575935" cy="2495550"/>
            <wp:effectExtent l="0" t="0" r="5715" b="0"/>
            <wp:docPr id="2015889309" name="Grafico 1">
              <a:extLst xmlns:a="http://schemas.openxmlformats.org/drawingml/2006/main">
                <a:ext uri="{FF2B5EF4-FFF2-40B4-BE49-F238E27FC236}">
                  <a16:creationId xmlns:a16="http://schemas.microsoft.com/office/drawing/2014/main" id="{361F7D4D-4BDC-131B-F584-8C82AB82ED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E30799E" w14:textId="1E41A9D3" w:rsidR="00227D4F" w:rsidRPr="004877AA" w:rsidRDefault="00227D4F" w:rsidP="00227D4F">
      <w:pPr>
        <w:pStyle w:val="CETCaption"/>
        <w:rPr>
          <w:i w:val="0"/>
          <w:lang w:eastAsia="it-IT"/>
        </w:rPr>
      </w:pPr>
      <w:r>
        <w:t xml:space="preserve">Figure </w:t>
      </w:r>
      <w:r>
        <w:fldChar w:fldCharType="begin"/>
      </w:r>
      <w:r>
        <w:instrText xml:space="preserve"> SEQ Figure \* ARABIC </w:instrText>
      </w:r>
      <w:r>
        <w:fldChar w:fldCharType="separate"/>
      </w:r>
      <w:r>
        <w:rPr>
          <w:noProof/>
        </w:rPr>
        <w:t>1</w:t>
      </w:r>
      <w:r>
        <w:fldChar w:fldCharType="end"/>
      </w:r>
      <w:r>
        <w:t xml:space="preserve"> </w:t>
      </w:r>
      <w:r w:rsidRPr="00072194">
        <w:rPr>
          <w:rStyle w:val="CETCaptionCarattere"/>
          <w:i/>
        </w:rPr>
        <w:t>Comparative protective activity of BHT at concentration of 0.02% and of β-carotene at concentration of 0.01% on the changes in fatty acid composition in coconut oil. SFA means saturated fatty acid; MUFA: monounsaturated fatty acid; PUFA: polyunsaturated fatty acid.</w:t>
      </w:r>
      <w:r w:rsidR="00A9435B" w:rsidRPr="004877AA">
        <w:rPr>
          <w:i w:val="0"/>
          <w:lang w:eastAsia="it-IT"/>
        </w:rPr>
        <w:t xml:space="preserve"> </w:t>
      </w:r>
    </w:p>
    <w:p w14:paraId="7ABD505E" w14:textId="77777777" w:rsidR="00227D4F" w:rsidRDefault="004877AA" w:rsidP="00227D4F">
      <w:pPr>
        <w:pStyle w:val="CETCaption"/>
        <w:keepNext/>
        <w:spacing w:line="240" w:lineRule="auto"/>
      </w:pPr>
      <w:r>
        <w:rPr>
          <w:noProof/>
        </w:rPr>
        <w:drawing>
          <wp:inline distT="0" distB="0" distL="0" distR="0" wp14:anchorId="3BFEF034" wp14:editId="6E2D54DA">
            <wp:extent cx="5575935" cy="2721428"/>
            <wp:effectExtent l="0" t="0" r="5715" b="3175"/>
            <wp:docPr id="1985105581" name="Grafico 1">
              <a:extLst xmlns:a="http://schemas.openxmlformats.org/drawingml/2006/main">
                <a:ext uri="{FF2B5EF4-FFF2-40B4-BE49-F238E27FC236}">
                  <a16:creationId xmlns:a16="http://schemas.microsoft.com/office/drawing/2014/main" id="{4925E614-833F-434C-86FB-1EA497F500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17C8C27" w14:textId="4AAFDBBC" w:rsidR="00227D4F" w:rsidRPr="007D67C4" w:rsidRDefault="00227D4F" w:rsidP="00227D4F">
      <w:pPr>
        <w:pStyle w:val="CETCaption"/>
      </w:pPr>
      <w:r w:rsidRPr="007D67C4">
        <w:t xml:space="preserve">Figure </w:t>
      </w:r>
      <w:r>
        <w:t>2</w:t>
      </w:r>
      <w:r w:rsidRPr="007D67C4">
        <w:t>:</w:t>
      </w:r>
      <w:r w:rsidRPr="007D67C4">
        <w:rPr>
          <w:spacing w:val="80"/>
          <w:w w:val="150"/>
        </w:rPr>
        <w:t xml:space="preserve"> </w:t>
      </w:r>
      <w:r w:rsidRPr="007D67C4">
        <w:t>Comparative protective activity of BHT at concentration of 0.02% and of β-carotene at concentration of 0.01% on the changes in fatty acid composition in sunflower oil. SFA</w:t>
      </w:r>
      <w:r w:rsidRPr="007D67C4">
        <w:rPr>
          <w:spacing w:val="-15"/>
        </w:rPr>
        <w:t xml:space="preserve"> </w:t>
      </w:r>
      <w:r w:rsidRPr="007D67C4">
        <w:t>means</w:t>
      </w:r>
      <w:r w:rsidRPr="007D67C4">
        <w:rPr>
          <w:spacing w:val="-7"/>
        </w:rPr>
        <w:t xml:space="preserve"> </w:t>
      </w:r>
      <w:r w:rsidRPr="007D67C4">
        <w:t>saturated</w:t>
      </w:r>
      <w:r w:rsidRPr="007D67C4">
        <w:rPr>
          <w:spacing w:val="-6"/>
        </w:rPr>
        <w:t xml:space="preserve"> </w:t>
      </w:r>
      <w:r w:rsidRPr="007D67C4">
        <w:t>fatty</w:t>
      </w:r>
      <w:r w:rsidRPr="007D67C4">
        <w:rPr>
          <w:spacing w:val="-6"/>
        </w:rPr>
        <w:t xml:space="preserve"> </w:t>
      </w:r>
      <w:r w:rsidRPr="007D67C4">
        <w:t>acid;</w:t>
      </w:r>
      <w:r w:rsidRPr="007D67C4">
        <w:rPr>
          <w:spacing w:val="-6"/>
        </w:rPr>
        <w:t xml:space="preserve"> </w:t>
      </w:r>
      <w:r w:rsidRPr="007D67C4">
        <w:t>MUFA:</w:t>
      </w:r>
      <w:r w:rsidRPr="007D67C4">
        <w:rPr>
          <w:spacing w:val="-6"/>
        </w:rPr>
        <w:t xml:space="preserve"> </w:t>
      </w:r>
      <w:r w:rsidRPr="007D67C4">
        <w:t>monounsaturated</w:t>
      </w:r>
      <w:r w:rsidRPr="007D67C4">
        <w:rPr>
          <w:spacing w:val="-6"/>
        </w:rPr>
        <w:t xml:space="preserve"> </w:t>
      </w:r>
      <w:r w:rsidRPr="007D67C4">
        <w:t>fatty</w:t>
      </w:r>
      <w:r w:rsidRPr="007D67C4">
        <w:rPr>
          <w:spacing w:val="-6"/>
        </w:rPr>
        <w:t xml:space="preserve"> </w:t>
      </w:r>
      <w:r w:rsidRPr="007D67C4">
        <w:t>acid;</w:t>
      </w:r>
      <w:r w:rsidRPr="007D67C4">
        <w:rPr>
          <w:spacing w:val="-6"/>
        </w:rPr>
        <w:t xml:space="preserve"> </w:t>
      </w:r>
      <w:r w:rsidRPr="007D67C4">
        <w:t>PUFA:</w:t>
      </w:r>
      <w:r w:rsidRPr="007D67C4">
        <w:rPr>
          <w:spacing w:val="-6"/>
        </w:rPr>
        <w:t xml:space="preserve"> </w:t>
      </w:r>
      <w:r w:rsidRPr="007D67C4">
        <w:t>polyunsaturated</w:t>
      </w:r>
      <w:r w:rsidRPr="007D67C4">
        <w:rPr>
          <w:spacing w:val="-6"/>
        </w:rPr>
        <w:t xml:space="preserve"> </w:t>
      </w:r>
      <w:r w:rsidRPr="007D67C4">
        <w:t xml:space="preserve">fatty </w:t>
      </w:r>
      <w:r w:rsidRPr="007D67C4">
        <w:rPr>
          <w:spacing w:val="-2"/>
        </w:rPr>
        <w:t>acid.</w:t>
      </w:r>
    </w:p>
    <w:p w14:paraId="406A71F8" w14:textId="0F313A43" w:rsidR="00227D4F" w:rsidRDefault="00227D4F" w:rsidP="00227D4F">
      <w:pPr>
        <w:pStyle w:val="CETBodytext"/>
      </w:pPr>
      <w:r>
        <w:t>Figure 2</w:t>
      </w:r>
      <w:r w:rsidRPr="00266A0C">
        <w:t xml:space="preserve"> </w:t>
      </w:r>
      <w:r>
        <w:t xml:space="preserve">reports </w:t>
      </w:r>
      <w:r w:rsidRPr="00266A0C">
        <w:t xml:space="preserve">the values of fatty acids of sunflower oil at room temperature and the values of fatty acids of sunflower oil at frying temperature of 180°C. </w:t>
      </w:r>
      <w:r>
        <w:t>T</w:t>
      </w:r>
      <w:r w:rsidRPr="00266A0C">
        <w:t xml:space="preserve">he percentage of saturated fatty acids SFA increased after exposure of sunflower oil samples to </w:t>
      </w:r>
      <w:r>
        <w:t xml:space="preserve">high </w:t>
      </w:r>
      <w:r w:rsidRPr="00266A0C">
        <w:t xml:space="preserve">temperature. </w:t>
      </w:r>
      <w:r>
        <w:t>However, t</w:t>
      </w:r>
      <w:r w:rsidRPr="00266A0C">
        <w:t>he values of MUFA</w:t>
      </w:r>
      <w:r w:rsidRPr="00A31486">
        <w:t xml:space="preserve"> </w:t>
      </w:r>
      <w:r w:rsidRPr="00266A0C">
        <w:t>and PUFA</w:t>
      </w:r>
      <w:r w:rsidRPr="00A31486">
        <w:t xml:space="preserve"> </w:t>
      </w:r>
      <w:r w:rsidRPr="00266A0C">
        <w:t xml:space="preserve">decreased compared to the starting conditions of the oil at room temperature and decreased after </w:t>
      </w:r>
      <w:r w:rsidR="00EA38B8">
        <w:t>30 min.</w:t>
      </w:r>
      <w:r w:rsidRPr="00266A0C">
        <w:t xml:space="preserve"> of heat exposure. </w:t>
      </w:r>
      <w:proofErr w:type="spellStart"/>
      <w:r>
        <w:t>Analysing</w:t>
      </w:r>
      <w:proofErr w:type="spellEnd"/>
      <w:r w:rsidRPr="00266A0C">
        <w:t xml:space="preserve"> the SFA, MUFA</w:t>
      </w:r>
      <w:r w:rsidRPr="00A31486">
        <w:t xml:space="preserve"> </w:t>
      </w:r>
      <w:r w:rsidRPr="00266A0C">
        <w:t>and PUFA</w:t>
      </w:r>
      <w:r w:rsidRPr="00A31486">
        <w:t xml:space="preserve"> </w:t>
      </w:r>
      <w:r w:rsidRPr="00266A0C">
        <w:t>values of the different treatments</w:t>
      </w:r>
      <w:r>
        <w:t>,</w:t>
      </w:r>
      <w:r w:rsidRPr="00266A0C">
        <w:t xml:space="preserve"> </w:t>
      </w:r>
      <w:r>
        <w:t xml:space="preserve">it was found </w:t>
      </w:r>
      <w:r w:rsidRPr="00266A0C">
        <w:t xml:space="preserve">no significant statistical difference, therefore in sunflower oil there is no antioxidant effect </w:t>
      </w:r>
      <w:r>
        <w:t xml:space="preserve">given </w:t>
      </w:r>
      <w:proofErr w:type="gramStart"/>
      <w:r>
        <w:t xml:space="preserve">by </w:t>
      </w:r>
      <w:r w:rsidRPr="00266A0C">
        <w:t xml:space="preserve"> </w:t>
      </w:r>
      <w:r>
        <w:t>β</w:t>
      </w:r>
      <w:proofErr w:type="gramEnd"/>
      <w:r w:rsidRPr="00266A0C">
        <w:t>-carotene and BHT.</w:t>
      </w:r>
      <w:r>
        <w:t xml:space="preserve"> The antioxidant BHT was added to test its effectiveness in preventing β-carotene degradation, but it proved ineffective due to high temperatures, as previously reported by </w:t>
      </w:r>
      <w:proofErr w:type="spellStart"/>
      <w:r>
        <w:t>Yehye</w:t>
      </w:r>
      <w:proofErr w:type="spellEnd"/>
      <w:r>
        <w:t xml:space="preserve"> et al. (2015). β-carotene, although an antioxidant, also degrades rapidly, thus losing its antioxidant properties due to its chemical structure, which is vulnerable to heat and oxidation (</w:t>
      </w:r>
      <w:proofErr w:type="spellStart"/>
      <w:r>
        <w:t>Donhowe</w:t>
      </w:r>
      <w:proofErr w:type="spellEnd"/>
      <w:r>
        <w:t xml:space="preserve"> and Kong, 2014). Despite this, β-carotene had a significant protective effect in coconut </w:t>
      </w:r>
      <w:r>
        <w:lastRenderedPageBreak/>
        <w:t xml:space="preserve">oil, slowing down the oxidation of fatty acids, but not in sunflower oil. This is because sunflower oil contains polyunsaturated fatty acids, particularly linoleic acid, which are more susceptible to oxidation at high temperatures (Xiang et al., 2024). </w:t>
      </w:r>
    </w:p>
    <w:p w14:paraId="31BE359D" w14:textId="5F11DAFC" w:rsidR="004446AD" w:rsidRDefault="004446AD" w:rsidP="00227D4F">
      <w:pPr>
        <w:pStyle w:val="CETHeading1"/>
      </w:pPr>
      <w:r>
        <w:t>4 Conclusion</w:t>
      </w:r>
      <w:r w:rsidR="0033616F">
        <w:t>s</w:t>
      </w:r>
    </w:p>
    <w:p w14:paraId="243A2D34" w14:textId="3DA53122" w:rsidR="007D67C4" w:rsidRDefault="004446AD" w:rsidP="007D67C4">
      <w:pPr>
        <w:pStyle w:val="CETBodytext"/>
      </w:pPr>
      <w:r w:rsidRPr="00266A0C">
        <w:t>One of the objectives of the research was to study the behavior of BHT</w:t>
      </w:r>
      <w:r w:rsidRPr="002274E1">
        <w:t xml:space="preserve"> </w:t>
      </w:r>
      <w:r w:rsidRPr="00266A0C">
        <w:t xml:space="preserve">as a protection against the degradation of </w:t>
      </w:r>
      <w:r w:rsidRPr="002274E1">
        <w:t>β</w:t>
      </w:r>
      <w:r w:rsidRPr="00266A0C">
        <w:t xml:space="preserve">-carotene. It is possible to note that BHT at frying conditions of 180°C did not have a protective effect against the degradation of </w:t>
      </w:r>
      <w:bookmarkStart w:id="6" w:name="OLE_LINK1"/>
      <w:r w:rsidRPr="002274E1">
        <w:t>β</w:t>
      </w:r>
      <w:r w:rsidRPr="00266A0C">
        <w:t>-carotene</w:t>
      </w:r>
      <w:bookmarkEnd w:id="6"/>
      <w:r w:rsidRPr="00266A0C">
        <w:t xml:space="preserve">. In addition, the degradation of </w:t>
      </w:r>
      <w:r w:rsidRPr="002274E1">
        <w:t>β</w:t>
      </w:r>
      <w:r w:rsidRPr="00266A0C">
        <w:t xml:space="preserve">-carotene in the oils </w:t>
      </w:r>
      <w:r>
        <w:t xml:space="preserve">seemed dependent on the fatty acid composition of each oil as </w:t>
      </w:r>
      <w:r w:rsidRPr="00266A0C">
        <w:t xml:space="preserve">the degradation </w:t>
      </w:r>
      <w:r>
        <w:t xml:space="preserve">of </w:t>
      </w:r>
      <w:r w:rsidRPr="002274E1">
        <w:t>β</w:t>
      </w:r>
      <w:r w:rsidRPr="00266A0C">
        <w:t xml:space="preserve">-carotene </w:t>
      </w:r>
      <w:r>
        <w:t xml:space="preserve">was observed to be </w:t>
      </w:r>
      <w:r w:rsidRPr="00266A0C">
        <w:t>faster</w:t>
      </w:r>
      <w:r>
        <w:t xml:space="preserve"> in </w:t>
      </w:r>
      <w:r w:rsidRPr="00266A0C">
        <w:t>coconut oil</w:t>
      </w:r>
      <w:r>
        <w:t xml:space="preserve">, </w:t>
      </w:r>
      <w:r w:rsidRPr="00266A0C">
        <w:t xml:space="preserve">mostly </w:t>
      </w:r>
      <w:r>
        <w:t xml:space="preserve">composed </w:t>
      </w:r>
      <w:r w:rsidRPr="00266A0C">
        <w:t xml:space="preserve">of saturated fatty acids </w:t>
      </w:r>
      <w:r>
        <w:t xml:space="preserve">when compared to sunflower oil, </w:t>
      </w:r>
      <w:r w:rsidRPr="00266A0C">
        <w:t xml:space="preserve">high </w:t>
      </w:r>
      <w:r>
        <w:t xml:space="preserve">in </w:t>
      </w:r>
      <w:r w:rsidRPr="00266A0C">
        <w:t>polyunsaturated fatty acids</w:t>
      </w:r>
      <w:r>
        <w:t xml:space="preserve">, resulting in a </w:t>
      </w:r>
      <w:r w:rsidRPr="00266A0C">
        <w:t xml:space="preserve">much </w:t>
      </w:r>
      <w:r>
        <w:t xml:space="preserve">slower </w:t>
      </w:r>
      <w:r w:rsidRPr="00266A0C">
        <w:t xml:space="preserve">degradation of </w:t>
      </w:r>
      <w:r w:rsidRPr="002274E1">
        <w:t>β</w:t>
      </w:r>
      <w:r w:rsidRPr="00266A0C">
        <w:t>-carotene</w:t>
      </w:r>
      <w:r>
        <w:t>.</w:t>
      </w:r>
      <w:r w:rsidR="00D84224">
        <w:t xml:space="preserve"> </w:t>
      </w:r>
      <w:r w:rsidRPr="00266A0C">
        <w:t>Another objective of the research was to study the behavior of coconut oil and sunflower oil in</w:t>
      </w:r>
      <w:r w:rsidRPr="002274E1">
        <w:t xml:space="preserve"> </w:t>
      </w:r>
      <w:r w:rsidRPr="00266A0C">
        <w:t xml:space="preserve">the presence of the antioxidants </w:t>
      </w:r>
      <w:r w:rsidRPr="002274E1">
        <w:t>β</w:t>
      </w:r>
      <w:r w:rsidRPr="00266A0C">
        <w:t>-carotene and BHT at frying conditions at a temperature of 180°C.</w:t>
      </w:r>
      <w:r w:rsidRPr="002274E1">
        <w:t xml:space="preserve">  </w:t>
      </w:r>
      <w:r w:rsidRPr="00266A0C">
        <w:t>A</w:t>
      </w:r>
      <w:r w:rsidR="00475A2A">
        <w:t>n</w:t>
      </w:r>
      <w:r w:rsidRPr="002274E1">
        <w:t xml:space="preserve"> </w:t>
      </w:r>
      <w:r w:rsidR="00475A2A">
        <w:t>increase</w:t>
      </w:r>
      <w:r w:rsidRPr="002274E1">
        <w:t xml:space="preserve"> </w:t>
      </w:r>
      <w:r w:rsidRPr="00266A0C">
        <w:t>in</w:t>
      </w:r>
      <w:r w:rsidRPr="002274E1">
        <w:t xml:space="preserve"> </w:t>
      </w:r>
      <w:r w:rsidRPr="00266A0C">
        <w:t>saturated</w:t>
      </w:r>
      <w:r w:rsidRPr="002274E1">
        <w:t xml:space="preserve"> </w:t>
      </w:r>
      <w:r w:rsidRPr="00266A0C">
        <w:t>fatty</w:t>
      </w:r>
      <w:r w:rsidRPr="002274E1">
        <w:t xml:space="preserve"> </w:t>
      </w:r>
      <w:r w:rsidRPr="00266A0C">
        <w:t>acids</w:t>
      </w:r>
      <w:r w:rsidR="00E537D6">
        <w:t>,</w:t>
      </w:r>
      <w:r w:rsidRPr="002274E1">
        <w:t xml:space="preserve"> </w:t>
      </w:r>
      <w:r w:rsidR="00E537D6" w:rsidRPr="00266A0C">
        <w:t>and</w:t>
      </w:r>
      <w:r w:rsidR="00E537D6" w:rsidRPr="002274E1">
        <w:t xml:space="preserve"> a</w:t>
      </w:r>
      <w:r w:rsidR="00475A2A">
        <w:t xml:space="preserve"> </w:t>
      </w:r>
      <w:proofErr w:type="gramStart"/>
      <w:r w:rsidR="00475A2A">
        <w:t>decrease</w:t>
      </w:r>
      <w:r w:rsidRPr="002274E1">
        <w:t xml:space="preserve">  </w:t>
      </w:r>
      <w:r w:rsidRPr="00266A0C">
        <w:t>in</w:t>
      </w:r>
      <w:proofErr w:type="gramEnd"/>
      <w:r w:rsidRPr="002274E1">
        <w:t xml:space="preserve">  </w:t>
      </w:r>
      <w:proofErr w:type="gramStart"/>
      <w:r w:rsidRPr="00266A0C">
        <w:t>monounsaturated</w:t>
      </w:r>
      <w:r w:rsidRPr="002274E1">
        <w:t xml:space="preserve">  and</w:t>
      </w:r>
      <w:proofErr w:type="gramEnd"/>
      <w:r>
        <w:t xml:space="preserve"> </w:t>
      </w:r>
      <w:r w:rsidRPr="00266A0C">
        <w:t>polyunsaturated fatty acids can be observed in both oils. The presence of BHT was insignificant</w:t>
      </w:r>
      <w:r w:rsidRPr="002274E1">
        <w:t xml:space="preserve"> </w:t>
      </w:r>
      <w:r w:rsidRPr="00266A0C">
        <w:t xml:space="preserve">in both oils, but it was possible to note that </w:t>
      </w:r>
      <w:r w:rsidRPr="002274E1">
        <w:t>β</w:t>
      </w:r>
      <w:r w:rsidRPr="00266A0C">
        <w:t>-carotene had positive effects against the oxidation</w:t>
      </w:r>
      <w:r w:rsidRPr="002274E1">
        <w:t xml:space="preserve"> </w:t>
      </w:r>
      <w:r w:rsidRPr="00266A0C">
        <w:t>of the coconut oil sa</w:t>
      </w:r>
      <w:r>
        <w:t>mple</w:t>
      </w:r>
      <w:r w:rsidR="007619EC">
        <w:t>.</w:t>
      </w:r>
    </w:p>
    <w:p w14:paraId="1588BE96" w14:textId="08C9AF5E" w:rsidR="00B7090E" w:rsidRPr="007D67C4" w:rsidRDefault="00B7090E" w:rsidP="007D67C4">
      <w:pPr>
        <w:pStyle w:val="CETAcknowledgementstitle"/>
      </w:pPr>
      <w:r w:rsidRPr="007D67C4">
        <w:t>Acknowledgments</w:t>
      </w:r>
    </w:p>
    <w:p w14:paraId="40C30AF9" w14:textId="516F5E8E" w:rsidR="00B7090E" w:rsidRDefault="00B7090E" w:rsidP="007619EC">
      <w:pPr>
        <w:pStyle w:val="CETBodytext"/>
      </w:pPr>
      <w:r w:rsidRPr="00DB1CEA">
        <w:t>Part of the research has received funding from “Ecosystem for Sustainable Transition in Emilia-Romagna”, project funded by European Union under the National Recovery and Resilience Plan (NRRP), Mission 04 Component 2 Investment 1.5—</w:t>
      </w:r>
      <w:proofErr w:type="spellStart"/>
      <w:r w:rsidRPr="00DB1CEA">
        <w:t>NextGenerationEU</w:t>
      </w:r>
      <w:proofErr w:type="spellEnd"/>
      <w:r w:rsidRPr="00DB1CEA">
        <w:t xml:space="preserve">, </w:t>
      </w:r>
      <w:proofErr w:type="gramStart"/>
      <w:r w:rsidRPr="00DB1CEA">
        <w:t>Call</w:t>
      </w:r>
      <w:proofErr w:type="gramEnd"/>
      <w:r w:rsidRPr="00DB1CEA">
        <w:t xml:space="preserve"> for tender n. 3277 dated 30/12/2021, Award Number: 0001052 dated 23/06/2022.</w:t>
      </w:r>
    </w:p>
    <w:p w14:paraId="77C88EEB" w14:textId="0A4E642D" w:rsidR="00D808F0" w:rsidRDefault="007619EC" w:rsidP="00130F8D">
      <w:pPr>
        <w:pStyle w:val="CETReference"/>
      </w:pPr>
      <w:r>
        <w:t>References</w:t>
      </w:r>
    </w:p>
    <w:p w14:paraId="50B059DC" w14:textId="5FE4D9B4" w:rsidR="00D808F0" w:rsidRPr="005057B6" w:rsidRDefault="00D808F0" w:rsidP="00DB429E">
      <w:pPr>
        <w:pStyle w:val="CETReferencetext"/>
      </w:pPr>
      <w:r w:rsidRPr="005057B6">
        <w:t>Chen, Q., Liu, Y., Chen, L., Chen, J., Yang, T., Cheng, Q., &amp; Li, T</w:t>
      </w:r>
      <w:r w:rsidR="00DB429E">
        <w:t>.,</w:t>
      </w:r>
      <w:r w:rsidRPr="005057B6">
        <w:t xml:space="preserve"> 2021</w:t>
      </w:r>
      <w:r w:rsidR="00DB429E">
        <w:t>,</w:t>
      </w:r>
      <w:r w:rsidRPr="005057B6">
        <w:t xml:space="preserve"> Vitamin A levels among pre-school children of central and western China. Frontiers in Public Health, 9, 1–9. </w:t>
      </w:r>
    </w:p>
    <w:p w14:paraId="3D4A3E21" w14:textId="6D9EA2F5" w:rsidR="00D808F0" w:rsidRPr="002E4D2C" w:rsidRDefault="00D808F0" w:rsidP="00DB429E">
      <w:pPr>
        <w:pStyle w:val="CETReferencetext"/>
      </w:pPr>
      <w:r w:rsidRPr="00567B3D">
        <w:t>Cui, Y., Hao, P., Liu, B., &amp; Meng, X.</w:t>
      </w:r>
      <w:r w:rsidR="00DB429E">
        <w:t xml:space="preserve">, </w:t>
      </w:r>
      <w:r w:rsidRPr="00567B3D">
        <w:t>2017</w:t>
      </w:r>
      <w:r w:rsidR="00DB429E">
        <w:t>,</w:t>
      </w:r>
      <w:r w:rsidRPr="00567B3D">
        <w:t xml:space="preserve"> </w:t>
      </w:r>
      <w:r w:rsidRPr="005057B6">
        <w:t xml:space="preserve">Effect of traditional Chinese cooking methods on fatty acid profiles of vegetable oils. Food </w:t>
      </w:r>
      <w:r w:rsidR="00EE6190">
        <w:t>C</w:t>
      </w:r>
      <w:r w:rsidRPr="005057B6">
        <w:t>hemistry, 233, 77–84</w:t>
      </w:r>
      <w:r w:rsidRPr="002E4D2C">
        <w:t>.</w:t>
      </w:r>
    </w:p>
    <w:p w14:paraId="643E54AC" w14:textId="60012480" w:rsidR="00D808F0" w:rsidRPr="005057B6" w:rsidRDefault="00D808F0" w:rsidP="00130F8D">
      <w:pPr>
        <w:pStyle w:val="CETReferencetext"/>
      </w:pPr>
      <w:proofErr w:type="spellStart"/>
      <w:r w:rsidRPr="005057B6">
        <w:t>Donhowe</w:t>
      </w:r>
      <w:proofErr w:type="spellEnd"/>
      <w:r w:rsidRPr="005057B6">
        <w:t>, E. G., &amp; Kong, F.</w:t>
      </w:r>
      <w:r w:rsidR="00DB429E">
        <w:t xml:space="preserve">, </w:t>
      </w:r>
      <w:r w:rsidRPr="005057B6">
        <w:t>2014</w:t>
      </w:r>
      <w:r w:rsidR="00DB429E">
        <w:t>,</w:t>
      </w:r>
      <w:r w:rsidRPr="005057B6">
        <w:t xml:space="preserve"> Beta-carotene: Digestion, microencapsulation, and in vitro bioavailability. Food and Bioprocess Technology, 7, 338–354. </w:t>
      </w:r>
    </w:p>
    <w:p w14:paraId="2819D8CC" w14:textId="0FA58327" w:rsidR="00AA0B27" w:rsidRDefault="00D808F0" w:rsidP="00AA0B27">
      <w:pPr>
        <w:pStyle w:val="CETReferencetext"/>
      </w:pPr>
      <w:r w:rsidRPr="005057B6">
        <w:t xml:space="preserve">Elik, A., </w:t>
      </w:r>
      <w:proofErr w:type="spellStart"/>
      <w:r w:rsidRPr="005057B6">
        <w:t>Yanık</w:t>
      </w:r>
      <w:proofErr w:type="spellEnd"/>
      <w:r w:rsidRPr="005057B6">
        <w:t xml:space="preserve">, D. K., &amp; </w:t>
      </w:r>
      <w:proofErr w:type="spellStart"/>
      <w:r w:rsidRPr="005057B6">
        <w:t>Göğüş</w:t>
      </w:r>
      <w:proofErr w:type="spellEnd"/>
      <w:r w:rsidRPr="005057B6">
        <w:t>, F.</w:t>
      </w:r>
      <w:r w:rsidR="00DB429E">
        <w:t xml:space="preserve">, </w:t>
      </w:r>
      <w:r w:rsidRPr="005057B6">
        <w:t>2020</w:t>
      </w:r>
      <w:r w:rsidR="00DB429E">
        <w:t>,</w:t>
      </w:r>
      <w:r w:rsidRPr="005057B6">
        <w:t xml:space="preserve"> Microwave-assisted extraction of carotenoids from carrot juice processing waste using flaxseed oil as a solvent. LWT</w:t>
      </w:r>
      <w:r w:rsidR="005F5909">
        <w:t>- Food Science and Technology</w:t>
      </w:r>
      <w:r w:rsidRPr="005057B6">
        <w:t xml:space="preserve">, 123(2), 109100. </w:t>
      </w:r>
    </w:p>
    <w:p w14:paraId="66711DB6" w14:textId="26473D80" w:rsidR="00AA0B27" w:rsidRPr="005057B6" w:rsidRDefault="00AA0B27" w:rsidP="00AA0B27">
      <w:pPr>
        <w:pStyle w:val="CETReferencetext"/>
      </w:pPr>
      <w:r>
        <w:t>Kumar,</w:t>
      </w:r>
      <w:r w:rsidR="00DB429E">
        <w:t xml:space="preserve"> </w:t>
      </w:r>
      <w:r>
        <w:t xml:space="preserve">R., </w:t>
      </w:r>
      <w:proofErr w:type="spellStart"/>
      <w:r>
        <w:t>Oruna</w:t>
      </w:r>
      <w:proofErr w:type="spellEnd"/>
      <w:r>
        <w:t>-Concha,</w:t>
      </w:r>
      <w:r w:rsidR="00DB429E">
        <w:t xml:space="preserve"> </w:t>
      </w:r>
      <w:r>
        <w:t>M.</w:t>
      </w:r>
      <w:r w:rsidR="00DB429E">
        <w:t xml:space="preserve"> </w:t>
      </w:r>
      <w:r>
        <w:t>J.,</w:t>
      </w:r>
      <w:r w:rsidR="00DB429E">
        <w:t xml:space="preserve"> </w:t>
      </w:r>
      <w:proofErr w:type="spellStart"/>
      <w:r>
        <w:t>Balagiannis</w:t>
      </w:r>
      <w:proofErr w:type="spellEnd"/>
      <w:r>
        <w:t>,</w:t>
      </w:r>
      <w:r w:rsidR="00DB429E">
        <w:t xml:space="preserve"> </w:t>
      </w:r>
      <w:proofErr w:type="gramStart"/>
      <w:r>
        <w:t>D.P.,&amp;</w:t>
      </w:r>
      <w:proofErr w:type="gramEnd"/>
      <w:r>
        <w:t xml:space="preserve"> Niranjan,</w:t>
      </w:r>
      <w:r w:rsidR="00DB429E">
        <w:t xml:space="preserve"> </w:t>
      </w:r>
      <w:r>
        <w:t>K.</w:t>
      </w:r>
      <w:r w:rsidR="00DB429E">
        <w:t xml:space="preserve">, </w:t>
      </w:r>
      <w:r>
        <w:t>2024</w:t>
      </w:r>
      <w:r w:rsidR="00DB429E">
        <w:t>,</w:t>
      </w:r>
      <w:r>
        <w:t xml:space="preserve"> Elevated temperature extraction of </w:t>
      </w:r>
      <w:r w:rsidRPr="00DB429E">
        <w:t>β-carotene</w:t>
      </w:r>
      <w:r w:rsidR="00DB429E" w:rsidRPr="00DB429E">
        <w:t xml:space="preserve"> </w:t>
      </w:r>
      <w:r>
        <w:t>from</w:t>
      </w:r>
      <w:r w:rsidR="00DB429E">
        <w:t xml:space="preserve"> </w:t>
      </w:r>
      <w:r>
        <w:t xml:space="preserve">freeze-dried carrot powder into sunflower oil: Extraction kinetics and thermal stability. </w:t>
      </w:r>
      <w:r w:rsidRPr="00DB429E">
        <w:t>Journal of Food Science</w:t>
      </w:r>
      <w:r>
        <w:t>,1–16.</w:t>
      </w:r>
    </w:p>
    <w:p w14:paraId="05A801D0" w14:textId="41EE4B36" w:rsidR="00D808F0" w:rsidRDefault="00D808F0" w:rsidP="000547DA">
      <w:pPr>
        <w:pStyle w:val="CETReferencetext"/>
      </w:pPr>
      <w:r w:rsidRPr="005057B6">
        <w:t>O’Brien, R., D.</w:t>
      </w:r>
      <w:r w:rsidR="00DB429E">
        <w:t>, 2009,</w:t>
      </w:r>
      <w:r w:rsidRPr="005057B6">
        <w:t xml:space="preserve"> Fats and Oils Formulating and Processing for Application. 3rd. United States of America; CRC Press, Taylor &amp; Francis Group.</w:t>
      </w:r>
    </w:p>
    <w:p w14:paraId="24161284" w14:textId="5814D406" w:rsidR="00AA0B27" w:rsidRDefault="00AA0B27" w:rsidP="00AA0B27">
      <w:pPr>
        <w:pStyle w:val="CETReferencetext"/>
      </w:pPr>
      <w:r w:rsidRPr="00AA0B27">
        <w:t>Totani,</w:t>
      </w:r>
      <w:r w:rsidR="00DB429E">
        <w:t xml:space="preserve"> </w:t>
      </w:r>
      <w:r w:rsidRPr="00AA0B27">
        <w:t>N.,</w:t>
      </w:r>
      <w:r w:rsidR="00DB429E">
        <w:t xml:space="preserve"> </w:t>
      </w:r>
      <w:r w:rsidRPr="00AA0B27">
        <w:t>Yawata,</w:t>
      </w:r>
      <w:r w:rsidR="00DB429E">
        <w:t xml:space="preserve"> </w:t>
      </w:r>
      <w:r w:rsidRPr="00AA0B27">
        <w:t>M.,</w:t>
      </w:r>
      <w:r w:rsidR="00DB429E">
        <w:t xml:space="preserve"> </w:t>
      </w:r>
      <w:r w:rsidRPr="00AA0B27">
        <w:t>Mori,</w:t>
      </w:r>
      <w:r w:rsidR="00DB429E">
        <w:t xml:space="preserve"> </w:t>
      </w:r>
      <w:r w:rsidRPr="00AA0B27">
        <w:t>T.,</w:t>
      </w:r>
      <w:r w:rsidR="00DB429E">
        <w:t xml:space="preserve"> </w:t>
      </w:r>
      <w:r w:rsidRPr="00AA0B27">
        <w:t>&amp;</w:t>
      </w:r>
      <w:r w:rsidR="00DB429E">
        <w:t xml:space="preserve"> </w:t>
      </w:r>
      <w:r w:rsidRPr="00AA0B27">
        <w:t>Hammond,</w:t>
      </w:r>
      <w:r w:rsidR="00DB429E">
        <w:t xml:space="preserve"> </w:t>
      </w:r>
      <w:r w:rsidRPr="00AA0B27">
        <w:t>E.</w:t>
      </w:r>
      <w:r w:rsidR="00DB429E">
        <w:t xml:space="preserve"> </w:t>
      </w:r>
      <w:r w:rsidRPr="00AA0B27">
        <w:t>G.</w:t>
      </w:r>
      <w:r w:rsidR="00DB429E">
        <w:t xml:space="preserve">, </w:t>
      </w:r>
      <w:r w:rsidRPr="00AA0B27">
        <w:t>2013</w:t>
      </w:r>
      <w:r w:rsidR="00DB429E">
        <w:t xml:space="preserve">, </w:t>
      </w:r>
      <w:r w:rsidRPr="00AA0B27">
        <w:t>Oxygen</w:t>
      </w:r>
      <w:r>
        <w:t xml:space="preserve"> </w:t>
      </w:r>
      <w:r w:rsidRPr="00AA0B27">
        <w:t>content</w:t>
      </w:r>
      <w:r>
        <w:t xml:space="preserve"> </w:t>
      </w:r>
      <w:r w:rsidRPr="00AA0B27">
        <w:t>and</w:t>
      </w:r>
      <w:r>
        <w:t xml:space="preserve"> </w:t>
      </w:r>
      <w:r w:rsidRPr="00AA0B27">
        <w:t>oxidation</w:t>
      </w:r>
      <w:r>
        <w:t xml:space="preserve"> </w:t>
      </w:r>
      <w:r w:rsidRPr="00AA0B27">
        <w:t>in</w:t>
      </w:r>
      <w:r>
        <w:t xml:space="preserve"> </w:t>
      </w:r>
      <w:r w:rsidRPr="00AA0B27">
        <w:t>frying</w:t>
      </w:r>
      <w:r>
        <w:t xml:space="preserve"> </w:t>
      </w:r>
      <w:r w:rsidRPr="00AA0B27">
        <w:t>oil</w:t>
      </w:r>
      <w:r>
        <w:t xml:space="preserve">. </w:t>
      </w:r>
      <w:r w:rsidRPr="00AA0B27">
        <w:t>Journal</w:t>
      </w:r>
      <w:r>
        <w:t xml:space="preserve"> </w:t>
      </w:r>
      <w:r w:rsidRPr="00AA0B27">
        <w:t>of</w:t>
      </w:r>
      <w:r>
        <w:t xml:space="preserve"> </w:t>
      </w:r>
      <w:r w:rsidRPr="00AA0B27">
        <w:t>Oleo</w:t>
      </w:r>
      <w:r>
        <w:t xml:space="preserve"> </w:t>
      </w:r>
      <w:r w:rsidRPr="00AA0B27">
        <w:t>Science,</w:t>
      </w:r>
      <w:r>
        <w:t xml:space="preserve"> </w:t>
      </w:r>
      <w:r w:rsidRPr="00AA0B27">
        <w:t>62(12),</w:t>
      </w:r>
      <w:r>
        <w:t xml:space="preserve"> </w:t>
      </w:r>
      <w:r w:rsidRPr="00AA0B27">
        <w:t>989–995.</w:t>
      </w:r>
    </w:p>
    <w:p w14:paraId="3631E302" w14:textId="20F0E7C7" w:rsidR="000547DA" w:rsidRDefault="000547DA" w:rsidP="00130F8D">
      <w:pPr>
        <w:pStyle w:val="CETReferencetext"/>
      </w:pPr>
      <w:r>
        <w:t>USDA</w:t>
      </w:r>
      <w:r w:rsidR="00DB429E">
        <w:t xml:space="preserve">, </w:t>
      </w:r>
      <w:r>
        <w:t>2025</w:t>
      </w:r>
      <w:r w:rsidR="00DB429E">
        <w:t>,</w:t>
      </w:r>
      <w:r>
        <w:t xml:space="preserve"> </w:t>
      </w:r>
      <w:r w:rsidRPr="000547DA">
        <w:t>Oilseeds: World Markets and Trade</w:t>
      </w:r>
      <w:r>
        <w:t xml:space="preserve">, </w:t>
      </w:r>
      <w:r w:rsidRPr="000547DA">
        <w:t>United States Department of Agriculture Foreign Agricultural Service</w:t>
      </w:r>
      <w:r>
        <w:t xml:space="preserve"> &lt;</w:t>
      </w:r>
      <w:r w:rsidR="00B62E63" w:rsidRPr="00B62E63">
        <w:t>apps.fas.usda.gov/</w:t>
      </w:r>
      <w:proofErr w:type="spellStart"/>
      <w:r w:rsidR="00B62E63" w:rsidRPr="00B62E63">
        <w:t>psdonline</w:t>
      </w:r>
      <w:proofErr w:type="spellEnd"/>
      <w:r w:rsidR="00B62E63" w:rsidRPr="00B62E63">
        <w:t>/app/index.html#/app/</w:t>
      </w:r>
      <w:proofErr w:type="spellStart"/>
      <w:r w:rsidR="00B62E63" w:rsidRPr="00B62E63">
        <w:t>compositeViz</w:t>
      </w:r>
      <w:proofErr w:type="spellEnd"/>
      <w:r>
        <w:t xml:space="preserve">&gt; accessed </w:t>
      </w:r>
      <w:r w:rsidR="00744550">
        <w:t>14.03.2025</w:t>
      </w:r>
      <w:r w:rsidR="00B62E63">
        <w:t>.</w:t>
      </w:r>
    </w:p>
    <w:p w14:paraId="3A6E7D6B" w14:textId="403654F1" w:rsidR="00D808F0" w:rsidRPr="005057B6" w:rsidRDefault="00D808F0" w:rsidP="00130F8D">
      <w:pPr>
        <w:pStyle w:val="CETReferencetext"/>
      </w:pPr>
      <w:r w:rsidRPr="005057B6">
        <w:t xml:space="preserve">Xiang, F., Ding, C. X., Wang, M., Hu, H., Ma, X. J., Xu, X. B., Zaki Abubakar, B., </w:t>
      </w:r>
      <w:proofErr w:type="spellStart"/>
      <w:r w:rsidRPr="005057B6">
        <w:t>Pignitter</w:t>
      </w:r>
      <w:proofErr w:type="spellEnd"/>
      <w:r w:rsidRPr="005057B6">
        <w:t>, M., Wei, K. N., Shi, A. M., &amp; Wang, Q.</w:t>
      </w:r>
      <w:r w:rsidR="00DB429E">
        <w:t xml:space="preserve">, </w:t>
      </w:r>
      <w:r w:rsidRPr="005057B6">
        <w:t>2024</w:t>
      </w:r>
      <w:r w:rsidR="00DB429E">
        <w:t>,</w:t>
      </w:r>
      <w:r w:rsidRPr="005057B6">
        <w:t xml:space="preserve"> Vegetable oils: Classification, quality analysis, nutritional value and </w:t>
      </w:r>
      <w:proofErr w:type="spellStart"/>
      <w:r w:rsidRPr="005057B6">
        <w:t>lipidomics</w:t>
      </w:r>
      <w:proofErr w:type="spellEnd"/>
      <w:r w:rsidRPr="005057B6">
        <w:t xml:space="preserve"> applications. Food Chemistry, 439, Article 138059.</w:t>
      </w:r>
    </w:p>
    <w:p w14:paraId="781148F9" w14:textId="2CC0FC96" w:rsidR="00D808F0" w:rsidRPr="005057B6" w:rsidRDefault="00D808F0" w:rsidP="00130F8D">
      <w:pPr>
        <w:pStyle w:val="CETReferencetext"/>
      </w:pPr>
      <w:r w:rsidRPr="005057B6">
        <w:t xml:space="preserve">Yehye, W. A., Rahman, N. A., Ariffin, A., Abd Hamid, S. B., Alhadi, A. A., Kadir, F. A., &amp; </w:t>
      </w:r>
      <w:proofErr w:type="spellStart"/>
      <w:r w:rsidRPr="005057B6">
        <w:t>Yaeghoobi</w:t>
      </w:r>
      <w:proofErr w:type="spellEnd"/>
      <w:r w:rsidRPr="005057B6">
        <w:t>, M.</w:t>
      </w:r>
      <w:r w:rsidR="00DB429E">
        <w:t xml:space="preserve">, </w:t>
      </w:r>
      <w:r w:rsidRPr="005057B6">
        <w:t>2015</w:t>
      </w:r>
      <w:r w:rsidR="00DB429E">
        <w:t>,</w:t>
      </w:r>
      <w:r w:rsidRPr="005057B6">
        <w:t xml:space="preserve"> Understanding the chemistry behind the antioxidant activities of butylated hydroxytoluene (BHT): a review. European </w:t>
      </w:r>
      <w:r w:rsidR="00EE6190">
        <w:t>J</w:t>
      </w:r>
      <w:r w:rsidRPr="005057B6">
        <w:t xml:space="preserve">ournal of </w:t>
      </w:r>
      <w:r w:rsidR="005F5909">
        <w:t>M</w:t>
      </w:r>
      <w:r w:rsidRPr="005057B6">
        <w:t xml:space="preserve">edicinal </w:t>
      </w:r>
      <w:r w:rsidR="005F5909">
        <w:t>C</w:t>
      </w:r>
      <w:r w:rsidRPr="005057B6">
        <w:t xml:space="preserve">hemistry, 101, 295–312. </w:t>
      </w:r>
    </w:p>
    <w:p w14:paraId="4A29810D" w14:textId="6BBFCAC8" w:rsidR="00D808F0" w:rsidRPr="005057B6" w:rsidRDefault="00D808F0" w:rsidP="00130F8D">
      <w:pPr>
        <w:pStyle w:val="CETReferencetext"/>
      </w:pPr>
      <w:r w:rsidRPr="005057B6">
        <w:t xml:space="preserve">Yilmaz, T., </w:t>
      </w:r>
      <w:proofErr w:type="spellStart"/>
      <w:r w:rsidRPr="005057B6">
        <w:t>Kumcuoglu</w:t>
      </w:r>
      <w:proofErr w:type="spellEnd"/>
      <w:r w:rsidRPr="005057B6">
        <w:t xml:space="preserve">, S., &amp; </w:t>
      </w:r>
      <w:proofErr w:type="spellStart"/>
      <w:r w:rsidRPr="005057B6">
        <w:t>Tavman</w:t>
      </w:r>
      <w:proofErr w:type="spellEnd"/>
      <w:r w:rsidRPr="005057B6">
        <w:t>, S.</w:t>
      </w:r>
      <w:r w:rsidR="00DB429E">
        <w:t xml:space="preserve">, </w:t>
      </w:r>
      <w:r w:rsidRPr="005057B6">
        <w:t>2017</w:t>
      </w:r>
      <w:r w:rsidR="00DB429E">
        <w:t>,</w:t>
      </w:r>
      <w:r w:rsidRPr="005057B6">
        <w:t xml:space="preserve"> Ultrasound-assisted extraction of lycopene and β-carotene from tomato-processing wastes. Italian Journal of Food Science, 29, 186–194</w:t>
      </w:r>
      <w:r w:rsidR="00E172BD">
        <w:t>.</w:t>
      </w:r>
    </w:p>
    <w:p w14:paraId="14E389D4" w14:textId="1F556D26" w:rsidR="00DB1CEA" w:rsidRPr="007D67C4" w:rsidRDefault="00D808F0" w:rsidP="007D67C4">
      <w:pPr>
        <w:pStyle w:val="CETReferencetext"/>
      </w:pPr>
      <w:r w:rsidRPr="005057B6">
        <w:t xml:space="preserve">Zeb, A., </w:t>
      </w:r>
      <w:proofErr w:type="spellStart"/>
      <w:r w:rsidRPr="005057B6">
        <w:t>Murkovic</w:t>
      </w:r>
      <w:proofErr w:type="spellEnd"/>
      <w:r w:rsidRPr="005057B6">
        <w:t>, M.</w:t>
      </w:r>
      <w:r w:rsidR="00DB429E">
        <w:t>, 2013,</w:t>
      </w:r>
      <w:r w:rsidRPr="005057B6">
        <w:t xml:space="preserve"> Pro-Oxidant Effects of β-Carotene During Thermal Oxidation of Edible Oils. J</w:t>
      </w:r>
      <w:r w:rsidR="005F5909">
        <w:t xml:space="preserve">ournal of the </w:t>
      </w:r>
      <w:r w:rsidRPr="005057B6">
        <w:t>Am</w:t>
      </w:r>
      <w:r w:rsidR="005F5909">
        <w:t>erican</w:t>
      </w:r>
      <w:r w:rsidRPr="005057B6">
        <w:t xml:space="preserve"> Oil</w:t>
      </w:r>
      <w:r w:rsidR="005F5909">
        <w:t xml:space="preserve"> </w:t>
      </w:r>
      <w:r w:rsidRPr="005057B6">
        <w:t>Chem</w:t>
      </w:r>
      <w:r w:rsidR="005F5909">
        <w:t>ists’</w:t>
      </w:r>
      <w:r w:rsidRPr="005057B6">
        <w:t xml:space="preserve"> Soc</w:t>
      </w:r>
      <w:r w:rsidR="005F5909">
        <w:t>iety,</w:t>
      </w:r>
      <w:r w:rsidRPr="005057B6">
        <w:t xml:space="preserve"> 90, 881–889. </w:t>
      </w:r>
    </w:p>
    <w:sectPr w:rsidR="00DB1CEA" w:rsidRPr="007D67C4" w:rsidSect="00301143">
      <w:footerReference w:type="default" r:id="rId12"/>
      <w:pgSz w:w="11900" w:h="16840"/>
      <w:pgMar w:top="1701" w:right="1418" w:bottom="1701" w:left="1701" w:header="0" w:footer="902"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6836F" w14:textId="77777777" w:rsidR="00524216" w:rsidRDefault="00524216" w:rsidP="004F5E36">
      <w:r>
        <w:separator/>
      </w:r>
    </w:p>
  </w:endnote>
  <w:endnote w:type="continuationSeparator" w:id="0">
    <w:p w14:paraId="3B1F129A" w14:textId="77777777" w:rsidR="00524216" w:rsidRDefault="0052421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aramond Bold">
    <w:altName w:val="Garamond"/>
    <w:panose1 w:val="020B0604020202020204"/>
    <w:charset w:val="00"/>
    <w:family w:val="auto"/>
    <w:pitch w:val="default"/>
  </w:font>
  <w:font w:name="STIX Two Text">
    <w:panose1 w:val="00000000000000000000"/>
    <w:charset w:val="00"/>
    <w:family w:val="auto"/>
    <w:pitch w:val="variable"/>
    <w:sig w:usb0="A00002FF" w:usb1="0000001F" w:usb2="00000000" w:usb3="00000000" w:csb0="0000019F" w:csb1="00000000"/>
  </w:font>
  <w:font w:name="AdvP6960">
    <w:altName w:val="Cambria"/>
    <w:panose1 w:val="020B0604020202020204"/>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307763053"/>
      <w:docPartObj>
        <w:docPartGallery w:val="Page Numbers (Bottom of Page)"/>
        <w:docPartUnique/>
      </w:docPartObj>
    </w:sdtPr>
    <w:sdtContent>
      <w:p w14:paraId="7A6A02EA" w14:textId="77777777" w:rsidR="00A80D23" w:rsidRDefault="00A80D23" w:rsidP="00A24DED">
        <w:pPr>
          <w:pStyle w:val="Pidipagina"/>
          <w:framePr w:wrap="none" w:vAnchor="text" w:hAnchor="page" w:x="10721" w:y="-67"/>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4</w:t>
        </w:r>
        <w:r>
          <w:rPr>
            <w:rStyle w:val="Numeropagina"/>
          </w:rPr>
          <w:fldChar w:fldCharType="end"/>
        </w:r>
      </w:p>
    </w:sdtContent>
  </w:sdt>
  <w:p w14:paraId="4FFEC7B0" w14:textId="77777777" w:rsidR="00A80D23" w:rsidRDefault="00A80D23" w:rsidP="007E45A0">
    <w:pPr>
      <w:pStyle w:val="Corpotesto"/>
      <w:spacing w:line="14" w:lineRule="auto"/>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EC066" w14:textId="77777777" w:rsidR="00524216" w:rsidRDefault="00524216" w:rsidP="004F5E36">
      <w:r>
        <w:separator/>
      </w:r>
    </w:p>
  </w:footnote>
  <w:footnote w:type="continuationSeparator" w:id="0">
    <w:p w14:paraId="25131A9C" w14:textId="77777777" w:rsidR="00524216" w:rsidRDefault="00524216"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57C6593"/>
    <w:multiLevelType w:val="hybridMultilevel"/>
    <w:tmpl w:val="C978BD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A810DCF"/>
    <w:multiLevelType w:val="hybridMultilevel"/>
    <w:tmpl w:val="15FEFD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2D5A144E"/>
    <w:multiLevelType w:val="hybridMultilevel"/>
    <w:tmpl w:val="9C2024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37D12B6"/>
    <w:multiLevelType w:val="hybridMultilevel"/>
    <w:tmpl w:val="68C015D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351E0394"/>
    <w:multiLevelType w:val="hybridMultilevel"/>
    <w:tmpl w:val="806658E2"/>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55F6EC8"/>
    <w:multiLevelType w:val="hybridMultilevel"/>
    <w:tmpl w:val="67EE8F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3"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B0900A8"/>
    <w:multiLevelType w:val="multilevel"/>
    <w:tmpl w:val="CD9ED5A2"/>
    <w:lvl w:ilvl="0">
      <w:start w:val="8"/>
      <w:numFmt w:val="decimal"/>
      <w:lvlText w:val="%1"/>
      <w:lvlJc w:val="left"/>
      <w:pPr>
        <w:ind w:left="426" w:hanging="210"/>
      </w:pPr>
      <w:rPr>
        <w:rFonts w:ascii="Times New Roman" w:eastAsia="Times New Roman" w:hAnsi="Times New Roman" w:cs="Times New Roman" w:hint="default"/>
        <w:b w:val="0"/>
        <w:bCs w:val="0"/>
        <w:i w:val="0"/>
        <w:iCs w:val="0"/>
        <w:spacing w:val="0"/>
        <w:w w:val="100"/>
        <w:sz w:val="28"/>
        <w:szCs w:val="28"/>
        <w:lang w:val="it-IT" w:eastAsia="en-US" w:bidi="ar-SA"/>
      </w:rPr>
    </w:lvl>
    <w:lvl w:ilvl="1">
      <w:start w:val="1"/>
      <w:numFmt w:val="decimal"/>
      <w:lvlText w:val="%1.%2"/>
      <w:lvlJc w:val="left"/>
      <w:pPr>
        <w:ind w:left="1356" w:hanging="420"/>
      </w:pPr>
      <w:rPr>
        <w:rFonts w:ascii="Times New Roman" w:eastAsia="Times New Roman" w:hAnsi="Times New Roman" w:cs="Times New Roman" w:hint="default"/>
        <w:b w:val="0"/>
        <w:bCs w:val="0"/>
        <w:i w:val="0"/>
        <w:iCs w:val="0"/>
        <w:spacing w:val="0"/>
        <w:w w:val="100"/>
        <w:sz w:val="28"/>
        <w:szCs w:val="28"/>
        <w:lang w:val="it-IT" w:eastAsia="en-US" w:bidi="ar-SA"/>
      </w:rPr>
    </w:lvl>
    <w:lvl w:ilvl="2">
      <w:numFmt w:val="bullet"/>
      <w:lvlText w:val="•"/>
      <w:lvlJc w:val="left"/>
      <w:pPr>
        <w:ind w:left="2304" w:hanging="420"/>
      </w:pPr>
      <w:rPr>
        <w:rFonts w:hint="default"/>
        <w:lang w:val="it-IT" w:eastAsia="en-US" w:bidi="ar-SA"/>
      </w:rPr>
    </w:lvl>
    <w:lvl w:ilvl="3">
      <w:numFmt w:val="bullet"/>
      <w:lvlText w:val="•"/>
      <w:lvlJc w:val="left"/>
      <w:pPr>
        <w:ind w:left="3248" w:hanging="420"/>
      </w:pPr>
      <w:rPr>
        <w:rFonts w:hint="default"/>
        <w:lang w:val="it-IT" w:eastAsia="en-US" w:bidi="ar-SA"/>
      </w:rPr>
    </w:lvl>
    <w:lvl w:ilvl="4">
      <w:numFmt w:val="bullet"/>
      <w:lvlText w:val="•"/>
      <w:lvlJc w:val="left"/>
      <w:pPr>
        <w:ind w:left="4193" w:hanging="420"/>
      </w:pPr>
      <w:rPr>
        <w:rFonts w:hint="default"/>
        <w:lang w:val="it-IT" w:eastAsia="en-US" w:bidi="ar-SA"/>
      </w:rPr>
    </w:lvl>
    <w:lvl w:ilvl="5">
      <w:numFmt w:val="bullet"/>
      <w:lvlText w:val="•"/>
      <w:lvlJc w:val="left"/>
      <w:pPr>
        <w:ind w:left="5137" w:hanging="420"/>
      </w:pPr>
      <w:rPr>
        <w:rFonts w:hint="default"/>
        <w:lang w:val="it-IT" w:eastAsia="en-US" w:bidi="ar-SA"/>
      </w:rPr>
    </w:lvl>
    <w:lvl w:ilvl="6">
      <w:numFmt w:val="bullet"/>
      <w:lvlText w:val="•"/>
      <w:lvlJc w:val="left"/>
      <w:pPr>
        <w:ind w:left="6082" w:hanging="420"/>
      </w:pPr>
      <w:rPr>
        <w:rFonts w:hint="default"/>
        <w:lang w:val="it-IT" w:eastAsia="en-US" w:bidi="ar-SA"/>
      </w:rPr>
    </w:lvl>
    <w:lvl w:ilvl="7">
      <w:numFmt w:val="bullet"/>
      <w:lvlText w:val="•"/>
      <w:lvlJc w:val="left"/>
      <w:pPr>
        <w:ind w:left="7026" w:hanging="420"/>
      </w:pPr>
      <w:rPr>
        <w:rFonts w:hint="default"/>
        <w:lang w:val="it-IT" w:eastAsia="en-US" w:bidi="ar-SA"/>
      </w:rPr>
    </w:lvl>
    <w:lvl w:ilvl="8">
      <w:numFmt w:val="bullet"/>
      <w:lvlText w:val="•"/>
      <w:lvlJc w:val="left"/>
      <w:pPr>
        <w:ind w:left="7971" w:hanging="420"/>
      </w:pPr>
      <w:rPr>
        <w:rFonts w:hint="default"/>
        <w:lang w:val="it-IT" w:eastAsia="en-US" w:bidi="ar-SA"/>
      </w:rPr>
    </w:lvl>
  </w:abstractNum>
  <w:abstractNum w:abstractNumId="27" w15:restartNumberingAfterBreak="0">
    <w:nsid w:val="785A635E"/>
    <w:multiLevelType w:val="hybridMultilevel"/>
    <w:tmpl w:val="94949204"/>
    <w:lvl w:ilvl="0" w:tplc="458A2BB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BAE1493"/>
    <w:multiLevelType w:val="hybridMultilevel"/>
    <w:tmpl w:val="8DD6C0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16882765">
    <w:abstractNumId w:val="12"/>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22"/>
  </w:num>
  <w:num w:numId="13" w16cid:durableId="695733619">
    <w:abstractNumId w:val="16"/>
  </w:num>
  <w:num w:numId="14" w16cid:durableId="145903400">
    <w:abstractNumId w:val="23"/>
  </w:num>
  <w:num w:numId="15" w16cid:durableId="19162326">
    <w:abstractNumId w:val="25"/>
  </w:num>
  <w:num w:numId="16" w16cid:durableId="1977102699">
    <w:abstractNumId w:val="24"/>
  </w:num>
  <w:num w:numId="17" w16cid:durableId="860774865">
    <w:abstractNumId w:val="14"/>
  </w:num>
  <w:num w:numId="18" w16cid:durableId="313221457">
    <w:abstractNumId w:val="16"/>
    <w:lvlOverride w:ilvl="0">
      <w:startOverride w:val="1"/>
    </w:lvlOverride>
  </w:num>
  <w:num w:numId="19" w16cid:durableId="534971577">
    <w:abstractNumId w:val="20"/>
  </w:num>
  <w:num w:numId="20" w16cid:durableId="1150947773">
    <w:abstractNumId w:val="19"/>
  </w:num>
  <w:num w:numId="21" w16cid:durableId="124660497">
    <w:abstractNumId w:val="18"/>
  </w:num>
  <w:num w:numId="22" w16cid:durableId="2099861471">
    <w:abstractNumId w:val="17"/>
  </w:num>
  <w:num w:numId="23" w16cid:durableId="862211310">
    <w:abstractNumId w:val="26"/>
  </w:num>
  <w:num w:numId="24" w16cid:durableId="336005793">
    <w:abstractNumId w:val="12"/>
  </w:num>
  <w:num w:numId="25" w16cid:durableId="276571456">
    <w:abstractNumId w:val="16"/>
  </w:num>
  <w:num w:numId="26" w16cid:durableId="1932350476">
    <w:abstractNumId w:val="16"/>
  </w:num>
  <w:num w:numId="27" w16cid:durableId="1080250583">
    <w:abstractNumId w:val="12"/>
  </w:num>
  <w:num w:numId="28" w16cid:durableId="2082436394">
    <w:abstractNumId w:val="16"/>
  </w:num>
  <w:num w:numId="29" w16cid:durableId="1296175012">
    <w:abstractNumId w:val="16"/>
  </w:num>
  <w:num w:numId="30" w16cid:durableId="34476527">
    <w:abstractNumId w:val="16"/>
  </w:num>
  <w:num w:numId="31" w16cid:durableId="1568804488">
    <w:abstractNumId w:val="16"/>
  </w:num>
  <w:num w:numId="32" w16cid:durableId="357269491">
    <w:abstractNumId w:val="16"/>
  </w:num>
  <w:num w:numId="33" w16cid:durableId="1392774351">
    <w:abstractNumId w:val="16"/>
  </w:num>
  <w:num w:numId="34" w16cid:durableId="1991669005">
    <w:abstractNumId w:val="28"/>
  </w:num>
  <w:num w:numId="35" w16cid:durableId="1194612957">
    <w:abstractNumId w:val="10"/>
  </w:num>
  <w:num w:numId="36" w16cid:durableId="1491797613">
    <w:abstractNumId w:val="21"/>
  </w:num>
  <w:num w:numId="37" w16cid:durableId="1132940656">
    <w:abstractNumId w:val="11"/>
  </w:num>
  <w:num w:numId="38" w16cid:durableId="478158261">
    <w:abstractNumId w:val="13"/>
  </w:num>
  <w:num w:numId="39" w16cid:durableId="656229024">
    <w:abstractNumId w:val="27"/>
  </w:num>
  <w:num w:numId="40" w16cid:durableId="5554300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24768"/>
    <w:rsid w:val="0003148D"/>
    <w:rsid w:val="00031EEC"/>
    <w:rsid w:val="00051566"/>
    <w:rsid w:val="00054288"/>
    <w:rsid w:val="000547DA"/>
    <w:rsid w:val="000562A9"/>
    <w:rsid w:val="00062A9A"/>
    <w:rsid w:val="00065058"/>
    <w:rsid w:val="00072194"/>
    <w:rsid w:val="00086C39"/>
    <w:rsid w:val="000961A3"/>
    <w:rsid w:val="000A03B2"/>
    <w:rsid w:val="000B2489"/>
    <w:rsid w:val="000C3137"/>
    <w:rsid w:val="000D0268"/>
    <w:rsid w:val="000D34BE"/>
    <w:rsid w:val="000E102F"/>
    <w:rsid w:val="000E36F1"/>
    <w:rsid w:val="000E3A73"/>
    <w:rsid w:val="000E3E95"/>
    <w:rsid w:val="000E414A"/>
    <w:rsid w:val="000E5143"/>
    <w:rsid w:val="000F093C"/>
    <w:rsid w:val="000F4580"/>
    <w:rsid w:val="000F787B"/>
    <w:rsid w:val="0012091F"/>
    <w:rsid w:val="00126BC2"/>
    <w:rsid w:val="001308B6"/>
    <w:rsid w:val="00130F8D"/>
    <w:rsid w:val="0013121F"/>
    <w:rsid w:val="00131FE6"/>
    <w:rsid w:val="0013263F"/>
    <w:rsid w:val="001331DF"/>
    <w:rsid w:val="00134DE4"/>
    <w:rsid w:val="0014034D"/>
    <w:rsid w:val="00144D16"/>
    <w:rsid w:val="00150E59"/>
    <w:rsid w:val="00152DE3"/>
    <w:rsid w:val="001563A6"/>
    <w:rsid w:val="001642E7"/>
    <w:rsid w:val="00164CF9"/>
    <w:rsid w:val="001667A6"/>
    <w:rsid w:val="001716A7"/>
    <w:rsid w:val="00183D21"/>
    <w:rsid w:val="00184AD6"/>
    <w:rsid w:val="001A4AF7"/>
    <w:rsid w:val="001B0349"/>
    <w:rsid w:val="001B1E93"/>
    <w:rsid w:val="001B6068"/>
    <w:rsid w:val="001B65C1"/>
    <w:rsid w:val="001B75D1"/>
    <w:rsid w:val="001C684B"/>
    <w:rsid w:val="001D0CFB"/>
    <w:rsid w:val="001D21AF"/>
    <w:rsid w:val="001D53FC"/>
    <w:rsid w:val="001F42A5"/>
    <w:rsid w:val="001F7B9D"/>
    <w:rsid w:val="001F7F35"/>
    <w:rsid w:val="00201C93"/>
    <w:rsid w:val="00221CDE"/>
    <w:rsid w:val="002224B4"/>
    <w:rsid w:val="002274E1"/>
    <w:rsid w:val="00227D4F"/>
    <w:rsid w:val="00236923"/>
    <w:rsid w:val="002447EF"/>
    <w:rsid w:val="00251550"/>
    <w:rsid w:val="00263B05"/>
    <w:rsid w:val="0027221A"/>
    <w:rsid w:val="00275B61"/>
    <w:rsid w:val="00280FAF"/>
    <w:rsid w:val="00281B9B"/>
    <w:rsid w:val="00282656"/>
    <w:rsid w:val="00296B83"/>
    <w:rsid w:val="002A1750"/>
    <w:rsid w:val="002A1906"/>
    <w:rsid w:val="002A57B2"/>
    <w:rsid w:val="002B04A7"/>
    <w:rsid w:val="002B4015"/>
    <w:rsid w:val="002B78CE"/>
    <w:rsid w:val="002C2FB6"/>
    <w:rsid w:val="002C59C2"/>
    <w:rsid w:val="002D12E2"/>
    <w:rsid w:val="002E4D2C"/>
    <w:rsid w:val="002E5FA7"/>
    <w:rsid w:val="002F3309"/>
    <w:rsid w:val="002F712E"/>
    <w:rsid w:val="003008CE"/>
    <w:rsid w:val="003009B7"/>
    <w:rsid w:val="00300E56"/>
    <w:rsid w:val="00301143"/>
    <w:rsid w:val="0030152C"/>
    <w:rsid w:val="00302693"/>
    <w:rsid w:val="0030469C"/>
    <w:rsid w:val="00321CA6"/>
    <w:rsid w:val="00323763"/>
    <w:rsid w:val="00323C5F"/>
    <w:rsid w:val="00330250"/>
    <w:rsid w:val="003312AE"/>
    <w:rsid w:val="00331FCD"/>
    <w:rsid w:val="00334C09"/>
    <w:rsid w:val="0033616F"/>
    <w:rsid w:val="00371063"/>
    <w:rsid w:val="003723D4"/>
    <w:rsid w:val="00373CCD"/>
    <w:rsid w:val="00374F0E"/>
    <w:rsid w:val="00381905"/>
    <w:rsid w:val="00384CC8"/>
    <w:rsid w:val="003871FD"/>
    <w:rsid w:val="003A1E30"/>
    <w:rsid w:val="003A2829"/>
    <w:rsid w:val="003A7D1C"/>
    <w:rsid w:val="003B304B"/>
    <w:rsid w:val="003B3146"/>
    <w:rsid w:val="003F015E"/>
    <w:rsid w:val="00400414"/>
    <w:rsid w:val="0041446B"/>
    <w:rsid w:val="00422B76"/>
    <w:rsid w:val="00425BE1"/>
    <w:rsid w:val="00430D25"/>
    <w:rsid w:val="00431D67"/>
    <w:rsid w:val="0044071E"/>
    <w:rsid w:val="0044329C"/>
    <w:rsid w:val="004446AD"/>
    <w:rsid w:val="00453E24"/>
    <w:rsid w:val="00457456"/>
    <w:rsid w:val="004577FE"/>
    <w:rsid w:val="00457B9C"/>
    <w:rsid w:val="0046164A"/>
    <w:rsid w:val="004628D2"/>
    <w:rsid w:val="00462DCD"/>
    <w:rsid w:val="004648AD"/>
    <w:rsid w:val="004703A9"/>
    <w:rsid w:val="00475A2A"/>
    <w:rsid w:val="004760DE"/>
    <w:rsid w:val="004763D7"/>
    <w:rsid w:val="004877AA"/>
    <w:rsid w:val="004971DF"/>
    <w:rsid w:val="004A004E"/>
    <w:rsid w:val="004A24CF"/>
    <w:rsid w:val="004B29CD"/>
    <w:rsid w:val="004B6CD1"/>
    <w:rsid w:val="004C3D1D"/>
    <w:rsid w:val="004C3D84"/>
    <w:rsid w:val="004C7913"/>
    <w:rsid w:val="004D04FC"/>
    <w:rsid w:val="004D40C1"/>
    <w:rsid w:val="004D482F"/>
    <w:rsid w:val="004E4DD6"/>
    <w:rsid w:val="004F353B"/>
    <w:rsid w:val="004F5E36"/>
    <w:rsid w:val="005057B6"/>
    <w:rsid w:val="00507B47"/>
    <w:rsid w:val="00507BEF"/>
    <w:rsid w:val="00507CC9"/>
    <w:rsid w:val="005119A5"/>
    <w:rsid w:val="005135A9"/>
    <w:rsid w:val="00524216"/>
    <w:rsid w:val="005278B7"/>
    <w:rsid w:val="00532016"/>
    <w:rsid w:val="00534687"/>
    <w:rsid w:val="005346C8"/>
    <w:rsid w:val="00543E7D"/>
    <w:rsid w:val="00547A68"/>
    <w:rsid w:val="005531C9"/>
    <w:rsid w:val="00554E53"/>
    <w:rsid w:val="00557E00"/>
    <w:rsid w:val="00567B3D"/>
    <w:rsid w:val="00570C43"/>
    <w:rsid w:val="005B2110"/>
    <w:rsid w:val="005B61E6"/>
    <w:rsid w:val="005C523E"/>
    <w:rsid w:val="005C77E1"/>
    <w:rsid w:val="005D5D51"/>
    <w:rsid w:val="005D668A"/>
    <w:rsid w:val="005D6A2F"/>
    <w:rsid w:val="005E1A82"/>
    <w:rsid w:val="005E2CB4"/>
    <w:rsid w:val="005E72C6"/>
    <w:rsid w:val="005E794C"/>
    <w:rsid w:val="005F0A28"/>
    <w:rsid w:val="005F0E5E"/>
    <w:rsid w:val="005F5909"/>
    <w:rsid w:val="00600535"/>
    <w:rsid w:val="006027FB"/>
    <w:rsid w:val="00610CD6"/>
    <w:rsid w:val="00620DEE"/>
    <w:rsid w:val="00621F92"/>
    <w:rsid w:val="0062280A"/>
    <w:rsid w:val="00625639"/>
    <w:rsid w:val="00631B33"/>
    <w:rsid w:val="0064184D"/>
    <w:rsid w:val="00641C61"/>
    <w:rsid w:val="006422CC"/>
    <w:rsid w:val="00651478"/>
    <w:rsid w:val="00656667"/>
    <w:rsid w:val="00660E3E"/>
    <w:rsid w:val="00662E74"/>
    <w:rsid w:val="006750CD"/>
    <w:rsid w:val="00680C23"/>
    <w:rsid w:val="00681460"/>
    <w:rsid w:val="006869FA"/>
    <w:rsid w:val="00693766"/>
    <w:rsid w:val="006A3281"/>
    <w:rsid w:val="006B4888"/>
    <w:rsid w:val="006B6F28"/>
    <w:rsid w:val="006C2E45"/>
    <w:rsid w:val="006C359C"/>
    <w:rsid w:val="006C5579"/>
    <w:rsid w:val="006D6E8B"/>
    <w:rsid w:val="006E58A3"/>
    <w:rsid w:val="006E737D"/>
    <w:rsid w:val="006F2398"/>
    <w:rsid w:val="00707DD1"/>
    <w:rsid w:val="00713973"/>
    <w:rsid w:val="00720A24"/>
    <w:rsid w:val="00721FAB"/>
    <w:rsid w:val="00732386"/>
    <w:rsid w:val="0073514D"/>
    <w:rsid w:val="00744550"/>
    <w:rsid w:val="007447F3"/>
    <w:rsid w:val="0075499F"/>
    <w:rsid w:val="007619EC"/>
    <w:rsid w:val="00762D28"/>
    <w:rsid w:val="00764EFD"/>
    <w:rsid w:val="007661C8"/>
    <w:rsid w:val="0077098D"/>
    <w:rsid w:val="00783408"/>
    <w:rsid w:val="007931FA"/>
    <w:rsid w:val="007A4861"/>
    <w:rsid w:val="007A7BBA"/>
    <w:rsid w:val="007B0C50"/>
    <w:rsid w:val="007B48F9"/>
    <w:rsid w:val="007C1A43"/>
    <w:rsid w:val="007D0951"/>
    <w:rsid w:val="007D67C4"/>
    <w:rsid w:val="007D7E7B"/>
    <w:rsid w:val="0080013E"/>
    <w:rsid w:val="0081257A"/>
    <w:rsid w:val="00813288"/>
    <w:rsid w:val="008168FC"/>
    <w:rsid w:val="00826933"/>
    <w:rsid w:val="00830996"/>
    <w:rsid w:val="008345F1"/>
    <w:rsid w:val="008379D5"/>
    <w:rsid w:val="00843DED"/>
    <w:rsid w:val="00865B07"/>
    <w:rsid w:val="008667EA"/>
    <w:rsid w:val="00870AF6"/>
    <w:rsid w:val="0087637F"/>
    <w:rsid w:val="00892AD5"/>
    <w:rsid w:val="008A1512"/>
    <w:rsid w:val="008B7FDC"/>
    <w:rsid w:val="008C4B4E"/>
    <w:rsid w:val="008C7456"/>
    <w:rsid w:val="008D14EF"/>
    <w:rsid w:val="008D32B9"/>
    <w:rsid w:val="008D433B"/>
    <w:rsid w:val="008D4A16"/>
    <w:rsid w:val="008E0D9D"/>
    <w:rsid w:val="008E566E"/>
    <w:rsid w:val="008E58F7"/>
    <w:rsid w:val="008E6CD4"/>
    <w:rsid w:val="0090161A"/>
    <w:rsid w:val="00901EB6"/>
    <w:rsid w:val="00903A68"/>
    <w:rsid w:val="00904C62"/>
    <w:rsid w:val="00922BA8"/>
    <w:rsid w:val="00924DAC"/>
    <w:rsid w:val="00927058"/>
    <w:rsid w:val="00942750"/>
    <w:rsid w:val="009450CE"/>
    <w:rsid w:val="009459BB"/>
    <w:rsid w:val="00947179"/>
    <w:rsid w:val="009477FA"/>
    <w:rsid w:val="0095164B"/>
    <w:rsid w:val="00954090"/>
    <w:rsid w:val="0095496A"/>
    <w:rsid w:val="009573E7"/>
    <w:rsid w:val="00961AF0"/>
    <w:rsid w:val="00963E05"/>
    <w:rsid w:val="00964A45"/>
    <w:rsid w:val="00967843"/>
    <w:rsid w:val="00967D54"/>
    <w:rsid w:val="00971028"/>
    <w:rsid w:val="00981809"/>
    <w:rsid w:val="00993954"/>
    <w:rsid w:val="00993B84"/>
    <w:rsid w:val="00996483"/>
    <w:rsid w:val="00996F5A"/>
    <w:rsid w:val="009B041A"/>
    <w:rsid w:val="009C37C3"/>
    <w:rsid w:val="009C37D9"/>
    <w:rsid w:val="009C7C86"/>
    <w:rsid w:val="009C7F74"/>
    <w:rsid w:val="009D2FF7"/>
    <w:rsid w:val="009D3EB8"/>
    <w:rsid w:val="009E7884"/>
    <w:rsid w:val="009E788A"/>
    <w:rsid w:val="009F0E08"/>
    <w:rsid w:val="00A0035F"/>
    <w:rsid w:val="00A1763D"/>
    <w:rsid w:val="00A17CEC"/>
    <w:rsid w:val="00A27EF0"/>
    <w:rsid w:val="00A31486"/>
    <w:rsid w:val="00A42361"/>
    <w:rsid w:val="00A45664"/>
    <w:rsid w:val="00A50B20"/>
    <w:rsid w:val="00A51390"/>
    <w:rsid w:val="00A60D13"/>
    <w:rsid w:val="00A714EF"/>
    <w:rsid w:val="00A7223D"/>
    <w:rsid w:val="00A72272"/>
    <w:rsid w:val="00A72745"/>
    <w:rsid w:val="00A76EFC"/>
    <w:rsid w:val="00A770DC"/>
    <w:rsid w:val="00A80D23"/>
    <w:rsid w:val="00A87D50"/>
    <w:rsid w:val="00A91010"/>
    <w:rsid w:val="00A9435B"/>
    <w:rsid w:val="00A97F29"/>
    <w:rsid w:val="00AA0B27"/>
    <w:rsid w:val="00AA702E"/>
    <w:rsid w:val="00AA7D26"/>
    <w:rsid w:val="00AB0964"/>
    <w:rsid w:val="00AB5011"/>
    <w:rsid w:val="00AC7368"/>
    <w:rsid w:val="00AD0802"/>
    <w:rsid w:val="00AD16B9"/>
    <w:rsid w:val="00AD4506"/>
    <w:rsid w:val="00AD4AEC"/>
    <w:rsid w:val="00AE377D"/>
    <w:rsid w:val="00AF0EBA"/>
    <w:rsid w:val="00AF46C8"/>
    <w:rsid w:val="00B02C8A"/>
    <w:rsid w:val="00B17FBD"/>
    <w:rsid w:val="00B21BD9"/>
    <w:rsid w:val="00B2751D"/>
    <w:rsid w:val="00B315A6"/>
    <w:rsid w:val="00B31813"/>
    <w:rsid w:val="00B33365"/>
    <w:rsid w:val="00B37BBD"/>
    <w:rsid w:val="00B57B36"/>
    <w:rsid w:val="00B57E6F"/>
    <w:rsid w:val="00B62E63"/>
    <w:rsid w:val="00B7090E"/>
    <w:rsid w:val="00B81AC9"/>
    <w:rsid w:val="00B8686D"/>
    <w:rsid w:val="00B93F69"/>
    <w:rsid w:val="00B9452D"/>
    <w:rsid w:val="00BB1DDC"/>
    <w:rsid w:val="00BB29FB"/>
    <w:rsid w:val="00BB47D1"/>
    <w:rsid w:val="00BC30C9"/>
    <w:rsid w:val="00BD077D"/>
    <w:rsid w:val="00BE10E0"/>
    <w:rsid w:val="00BE28FD"/>
    <w:rsid w:val="00BE3E58"/>
    <w:rsid w:val="00BF6E87"/>
    <w:rsid w:val="00C01616"/>
    <w:rsid w:val="00C0162B"/>
    <w:rsid w:val="00C068ED"/>
    <w:rsid w:val="00C13D22"/>
    <w:rsid w:val="00C22E0C"/>
    <w:rsid w:val="00C24AF1"/>
    <w:rsid w:val="00C345B1"/>
    <w:rsid w:val="00C40142"/>
    <w:rsid w:val="00C52C3C"/>
    <w:rsid w:val="00C57182"/>
    <w:rsid w:val="00C57863"/>
    <w:rsid w:val="00C640AF"/>
    <w:rsid w:val="00C655FD"/>
    <w:rsid w:val="00C75407"/>
    <w:rsid w:val="00C841C6"/>
    <w:rsid w:val="00C870A8"/>
    <w:rsid w:val="00C94434"/>
    <w:rsid w:val="00CA0D75"/>
    <w:rsid w:val="00CA1C95"/>
    <w:rsid w:val="00CA5A9C"/>
    <w:rsid w:val="00CB295E"/>
    <w:rsid w:val="00CC273F"/>
    <w:rsid w:val="00CC4C20"/>
    <w:rsid w:val="00CC702D"/>
    <w:rsid w:val="00CD3517"/>
    <w:rsid w:val="00CD5FE2"/>
    <w:rsid w:val="00CE1D44"/>
    <w:rsid w:val="00CE4CBC"/>
    <w:rsid w:val="00CE7C68"/>
    <w:rsid w:val="00D02B4C"/>
    <w:rsid w:val="00D040C4"/>
    <w:rsid w:val="00D20AD1"/>
    <w:rsid w:val="00D2582C"/>
    <w:rsid w:val="00D46B7E"/>
    <w:rsid w:val="00D57C84"/>
    <w:rsid w:val="00D6057D"/>
    <w:rsid w:val="00D67A08"/>
    <w:rsid w:val="00D71640"/>
    <w:rsid w:val="00D72172"/>
    <w:rsid w:val="00D808F0"/>
    <w:rsid w:val="00D836C5"/>
    <w:rsid w:val="00D84224"/>
    <w:rsid w:val="00D84576"/>
    <w:rsid w:val="00D92799"/>
    <w:rsid w:val="00DA0D51"/>
    <w:rsid w:val="00DA1399"/>
    <w:rsid w:val="00DA24C6"/>
    <w:rsid w:val="00DA26B4"/>
    <w:rsid w:val="00DA4D7B"/>
    <w:rsid w:val="00DA69E6"/>
    <w:rsid w:val="00DB1CEA"/>
    <w:rsid w:val="00DB429E"/>
    <w:rsid w:val="00DC4E5B"/>
    <w:rsid w:val="00DD271C"/>
    <w:rsid w:val="00DE264A"/>
    <w:rsid w:val="00DF5072"/>
    <w:rsid w:val="00E02D18"/>
    <w:rsid w:val="00E041E7"/>
    <w:rsid w:val="00E172BD"/>
    <w:rsid w:val="00E23CA1"/>
    <w:rsid w:val="00E409A8"/>
    <w:rsid w:val="00E4528F"/>
    <w:rsid w:val="00E50C12"/>
    <w:rsid w:val="00E537D6"/>
    <w:rsid w:val="00E65B91"/>
    <w:rsid w:val="00E7209D"/>
    <w:rsid w:val="00E72EAD"/>
    <w:rsid w:val="00E75FB8"/>
    <w:rsid w:val="00E77223"/>
    <w:rsid w:val="00E8528B"/>
    <w:rsid w:val="00E85B94"/>
    <w:rsid w:val="00E978D0"/>
    <w:rsid w:val="00EA38B8"/>
    <w:rsid w:val="00EA4613"/>
    <w:rsid w:val="00EA7F91"/>
    <w:rsid w:val="00EB1523"/>
    <w:rsid w:val="00EB3D0D"/>
    <w:rsid w:val="00EC0E49"/>
    <w:rsid w:val="00EC101F"/>
    <w:rsid w:val="00EC1D9F"/>
    <w:rsid w:val="00EE0131"/>
    <w:rsid w:val="00EE17B0"/>
    <w:rsid w:val="00EE6190"/>
    <w:rsid w:val="00EF06D9"/>
    <w:rsid w:val="00F3049E"/>
    <w:rsid w:val="00F30C64"/>
    <w:rsid w:val="00F32BA2"/>
    <w:rsid w:val="00F32CDB"/>
    <w:rsid w:val="00F565FE"/>
    <w:rsid w:val="00F63A70"/>
    <w:rsid w:val="00F63D8C"/>
    <w:rsid w:val="00F6647F"/>
    <w:rsid w:val="00F66807"/>
    <w:rsid w:val="00F7534E"/>
    <w:rsid w:val="00F92E71"/>
    <w:rsid w:val="00F93EDF"/>
    <w:rsid w:val="00FA1437"/>
    <w:rsid w:val="00FA1802"/>
    <w:rsid w:val="00FA21D0"/>
    <w:rsid w:val="00FA5F5F"/>
    <w:rsid w:val="00FB730C"/>
    <w:rsid w:val="00FC2695"/>
    <w:rsid w:val="00FC3E03"/>
    <w:rsid w:val="00FC3FC1"/>
    <w:rsid w:val="00FC4F3C"/>
    <w:rsid w:val="00FC7408"/>
    <w:rsid w:val="00FD65D6"/>
    <w:rsid w:val="00FE5D19"/>
    <w:rsid w:val="00FF3F4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qFormat/>
    <w:rsid w:val="002B04A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tabs>
        <w:tab w:val="right" w:pos="7100"/>
      </w:tabs>
      <w:spacing w:before="200" w:line="264" w:lineRule="auto"/>
      <w:jc w:val="both"/>
      <w:outlineLvl w:val="1"/>
    </w:pPr>
    <w:rPr>
      <w:rFonts w:asciiTheme="majorHAnsi" w:eastAsiaTheme="majorEastAsia" w:hAnsiTheme="majorHAnsi" w:cstheme="majorBidi"/>
      <w:b/>
      <w:bCs/>
      <w:color w:val="4F81BD" w:themeColor="accent1"/>
      <w:sz w:val="26"/>
      <w:szCs w:val="26"/>
      <w:lang w:val="en-GB" w:eastAsia="en-US"/>
    </w:rPr>
  </w:style>
  <w:style w:type="paragraph" w:styleId="Titolo3">
    <w:name w:val="heading 3"/>
    <w:basedOn w:val="Normale"/>
    <w:next w:val="Normale"/>
    <w:link w:val="Titolo3Carattere"/>
    <w:uiPriority w:val="9"/>
    <w:semiHidden/>
    <w:unhideWhenUsed/>
    <w:qFormat/>
    <w:rsid w:val="0003148D"/>
    <w:pPr>
      <w:keepNext/>
      <w:keepLines/>
      <w:tabs>
        <w:tab w:val="right" w:pos="7100"/>
      </w:tabs>
      <w:spacing w:before="200" w:line="264" w:lineRule="auto"/>
      <w:jc w:val="both"/>
      <w:outlineLvl w:val="2"/>
    </w:pPr>
    <w:rPr>
      <w:rFonts w:asciiTheme="majorHAnsi" w:eastAsiaTheme="majorEastAsia" w:hAnsiTheme="majorHAnsi" w:cstheme="majorBidi"/>
      <w:b/>
      <w:bCs/>
      <w:color w:val="4F81BD" w:themeColor="accent1"/>
      <w:sz w:val="18"/>
      <w:szCs w:val="20"/>
      <w:lang w:val="en-GB" w:eastAsia="en-US"/>
    </w:rPr>
  </w:style>
  <w:style w:type="paragraph" w:styleId="Titolo4">
    <w:name w:val="heading 4"/>
    <w:basedOn w:val="Normale"/>
    <w:next w:val="Normale"/>
    <w:link w:val="Titolo4Carattere"/>
    <w:uiPriority w:val="9"/>
    <w:semiHidden/>
    <w:unhideWhenUsed/>
    <w:qFormat/>
    <w:rsid w:val="0003148D"/>
    <w:pPr>
      <w:keepNext/>
      <w:keepLines/>
      <w:tabs>
        <w:tab w:val="right" w:pos="7100"/>
      </w:tabs>
      <w:spacing w:before="200" w:line="264" w:lineRule="auto"/>
      <w:jc w:val="both"/>
      <w:outlineLvl w:val="3"/>
    </w:pPr>
    <w:rPr>
      <w:rFonts w:asciiTheme="majorHAnsi" w:eastAsiaTheme="majorEastAsia" w:hAnsiTheme="majorHAnsi" w:cstheme="majorBidi"/>
      <w:b/>
      <w:bCs/>
      <w:i/>
      <w:iCs/>
      <w:color w:val="4F81BD" w:themeColor="accent1"/>
      <w:sz w:val="18"/>
      <w:szCs w:val="20"/>
      <w:lang w:val="en-GB" w:eastAsia="en-US"/>
    </w:rPr>
  </w:style>
  <w:style w:type="paragraph" w:styleId="Titolo5">
    <w:name w:val="heading 5"/>
    <w:basedOn w:val="Normale"/>
    <w:next w:val="Normale"/>
    <w:link w:val="Titolo5Carattere"/>
    <w:uiPriority w:val="9"/>
    <w:semiHidden/>
    <w:unhideWhenUsed/>
    <w:qFormat/>
    <w:rsid w:val="0003148D"/>
    <w:pPr>
      <w:keepNext/>
      <w:keepLines/>
      <w:tabs>
        <w:tab w:val="right" w:pos="7100"/>
      </w:tabs>
      <w:spacing w:before="200" w:line="264" w:lineRule="auto"/>
      <w:jc w:val="both"/>
      <w:outlineLvl w:val="4"/>
    </w:pPr>
    <w:rPr>
      <w:rFonts w:asciiTheme="majorHAnsi" w:eastAsiaTheme="majorEastAsia" w:hAnsiTheme="majorHAnsi" w:cstheme="majorBidi"/>
      <w:color w:val="243F60" w:themeColor="accent1" w:themeShade="7F"/>
      <w:sz w:val="18"/>
      <w:szCs w:val="20"/>
      <w:lang w:val="en-GB" w:eastAsia="en-US"/>
    </w:rPr>
  </w:style>
  <w:style w:type="paragraph" w:styleId="Titolo6">
    <w:name w:val="heading 6"/>
    <w:basedOn w:val="Normale"/>
    <w:next w:val="Normale"/>
    <w:link w:val="Titolo6Carattere"/>
    <w:uiPriority w:val="9"/>
    <w:semiHidden/>
    <w:unhideWhenUsed/>
    <w:qFormat/>
    <w:rsid w:val="0003148D"/>
    <w:pPr>
      <w:keepNext/>
      <w:keepLines/>
      <w:tabs>
        <w:tab w:val="right" w:pos="7100"/>
      </w:tabs>
      <w:spacing w:before="200" w:line="264" w:lineRule="auto"/>
      <w:jc w:val="both"/>
      <w:outlineLvl w:val="5"/>
    </w:pPr>
    <w:rPr>
      <w:rFonts w:asciiTheme="majorHAnsi" w:eastAsiaTheme="majorEastAsia" w:hAnsiTheme="majorHAnsi" w:cstheme="majorBidi"/>
      <w:i/>
      <w:iCs/>
      <w:color w:val="243F60" w:themeColor="accent1" w:themeShade="7F"/>
      <w:sz w:val="18"/>
      <w:szCs w:val="20"/>
      <w:lang w:val="en-GB" w:eastAsia="en-US"/>
    </w:rPr>
  </w:style>
  <w:style w:type="paragraph" w:styleId="Titolo7">
    <w:name w:val="heading 7"/>
    <w:basedOn w:val="Normale"/>
    <w:next w:val="Normale"/>
    <w:link w:val="Titolo7Carattere"/>
    <w:uiPriority w:val="9"/>
    <w:semiHidden/>
    <w:unhideWhenUsed/>
    <w:qFormat/>
    <w:rsid w:val="0003148D"/>
    <w:pPr>
      <w:keepNext/>
      <w:keepLines/>
      <w:tabs>
        <w:tab w:val="right" w:pos="7100"/>
      </w:tabs>
      <w:spacing w:before="200" w:line="264" w:lineRule="auto"/>
      <w:jc w:val="both"/>
      <w:outlineLvl w:val="6"/>
    </w:pPr>
    <w:rPr>
      <w:rFonts w:asciiTheme="majorHAnsi" w:eastAsiaTheme="majorEastAsia" w:hAnsiTheme="majorHAnsi" w:cstheme="majorBidi"/>
      <w:i/>
      <w:iCs/>
      <w:color w:val="404040" w:themeColor="text1" w:themeTint="BF"/>
      <w:sz w:val="18"/>
      <w:szCs w:val="20"/>
      <w:lang w:val="en-GB" w:eastAsia="en-US"/>
    </w:rPr>
  </w:style>
  <w:style w:type="paragraph" w:styleId="Titolo8">
    <w:name w:val="heading 8"/>
    <w:basedOn w:val="Normale"/>
    <w:next w:val="Normale"/>
    <w:link w:val="Titolo8Carattere"/>
    <w:uiPriority w:val="9"/>
    <w:semiHidden/>
    <w:unhideWhenUsed/>
    <w:qFormat/>
    <w:rsid w:val="0003148D"/>
    <w:pPr>
      <w:keepNext/>
      <w:keepLines/>
      <w:tabs>
        <w:tab w:val="right" w:pos="7100"/>
      </w:tabs>
      <w:spacing w:before="200" w:line="264" w:lineRule="auto"/>
      <w:jc w:val="both"/>
      <w:outlineLvl w:val="7"/>
    </w:pPr>
    <w:rPr>
      <w:rFonts w:asciiTheme="majorHAnsi" w:eastAsiaTheme="majorEastAsia" w:hAnsiTheme="majorHAnsi" w:cstheme="majorBidi"/>
      <w:color w:val="404040" w:themeColor="text1" w:themeTint="BF"/>
      <w:sz w:val="18"/>
      <w:szCs w:val="20"/>
      <w:lang w:val="en-GB" w:eastAsia="en-US"/>
    </w:rPr>
  </w:style>
  <w:style w:type="paragraph" w:styleId="Titolo9">
    <w:name w:val="heading 9"/>
    <w:basedOn w:val="Normale"/>
    <w:next w:val="Normale"/>
    <w:link w:val="Titolo9Carattere"/>
    <w:uiPriority w:val="9"/>
    <w:semiHidden/>
    <w:unhideWhenUsed/>
    <w:qFormat/>
    <w:rsid w:val="0003148D"/>
    <w:pPr>
      <w:keepNext/>
      <w:keepLines/>
      <w:tabs>
        <w:tab w:val="right" w:pos="7100"/>
      </w:tabs>
      <w:spacing w:before="200" w:line="264" w:lineRule="auto"/>
      <w:jc w:val="both"/>
      <w:outlineLvl w:val="8"/>
    </w:pPr>
    <w:rPr>
      <w:rFonts w:asciiTheme="majorHAnsi" w:eastAsiaTheme="majorEastAsia" w:hAnsiTheme="majorHAnsi" w:cstheme="majorBidi"/>
      <w:i/>
      <w:iCs/>
      <w:color w:val="404040" w:themeColor="text1" w:themeTint="BF"/>
      <w:sz w:val="18"/>
      <w:szCs w:val="20"/>
      <w:lang w:val="en-GB"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024768"/>
    <w:pPr>
      <w:keepNext/>
      <w:suppressAutoHyphens/>
      <w:spacing w:before="120" w:after="120" w:line="240" w:lineRule="auto"/>
    </w:pPr>
    <w:rPr>
      <w:rFonts w:ascii="Arial" w:eastAsia="Times New Roman" w:hAnsi="Arial" w:cs="Times New Roman"/>
      <w:bCs/>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024768"/>
    <w:rPr>
      <w:rFonts w:ascii="Arial" w:eastAsia="Times New Roman" w:hAnsi="Arial" w:cs="Times New Roman"/>
      <w:bCs/>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tabs>
        <w:tab w:val="right" w:pos="7100"/>
      </w:tabs>
      <w:jc w:val="both"/>
    </w:pPr>
    <w:rPr>
      <w:rFonts w:ascii="Tahoma" w:hAnsi="Tahoma" w:cs="Tahoma"/>
      <w:sz w:val="16"/>
      <w:szCs w:val="16"/>
      <w:lang w:val="en-GB" w:eastAsia="en-US"/>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tabs>
        <w:tab w:val="right" w:pos="7100"/>
      </w:tabs>
      <w:spacing w:after="120" w:line="480" w:lineRule="auto"/>
      <w:jc w:val="both"/>
    </w:pPr>
    <w:rPr>
      <w:rFonts w:ascii="Arial" w:hAnsi="Arial"/>
      <w:sz w:val="18"/>
      <w:szCs w:val="20"/>
      <w:lang w:val="en-GB" w:eastAsia="en-US"/>
    </w:r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tabs>
        <w:tab w:val="right" w:pos="7100"/>
      </w:tabs>
      <w:spacing w:after="120" w:line="264" w:lineRule="auto"/>
      <w:jc w:val="both"/>
    </w:pPr>
    <w:rPr>
      <w:rFonts w:ascii="Arial" w:hAnsi="Arial"/>
      <w:sz w:val="16"/>
      <w:szCs w:val="16"/>
      <w:lang w:val="en-GB" w:eastAsia="en-US"/>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unhideWhenUsed/>
    <w:rsid w:val="0003148D"/>
    <w:pPr>
      <w:tabs>
        <w:tab w:val="right" w:pos="7100"/>
      </w:tabs>
      <w:spacing w:after="120" w:line="264" w:lineRule="auto"/>
      <w:jc w:val="both"/>
    </w:pPr>
    <w:rPr>
      <w:rFonts w:ascii="Arial" w:hAnsi="Arial"/>
      <w:sz w:val="18"/>
      <w:szCs w:val="20"/>
      <w:lang w:val="en-GB" w:eastAsia="en-US"/>
    </w:rPr>
  </w:style>
  <w:style w:type="character" w:customStyle="1" w:styleId="CorpotestoCarattere">
    <w:name w:val="Corpo testo Carattere"/>
    <w:basedOn w:val="Carpredefinitoparagrafo"/>
    <w:link w:val="Corpotesto"/>
    <w:uiPriority w:val="99"/>
    <w:rsid w:val="0003148D"/>
  </w:style>
  <w:style w:type="paragraph" w:styleId="Data">
    <w:name w:val="Date"/>
    <w:basedOn w:val="Normale"/>
    <w:next w:val="Normale"/>
    <w:link w:val="DataCarattere"/>
    <w:uiPriority w:val="99"/>
    <w:semiHidden/>
    <w:unhideWhenUsed/>
    <w:rsid w:val="0003148D"/>
    <w:pPr>
      <w:tabs>
        <w:tab w:val="right" w:pos="7100"/>
      </w:tabs>
      <w:spacing w:line="264" w:lineRule="auto"/>
      <w:jc w:val="both"/>
    </w:pPr>
    <w:rPr>
      <w:rFonts w:ascii="Arial" w:hAnsi="Arial"/>
      <w:sz w:val="18"/>
      <w:szCs w:val="20"/>
      <w:lang w:val="en-GB" w:eastAsia="en-US"/>
    </w:rPr>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tabs>
        <w:tab w:val="right" w:pos="7100"/>
      </w:tabs>
      <w:jc w:val="both"/>
    </w:pPr>
    <w:rPr>
      <w:rFonts w:ascii="Arial" w:hAnsi="Arial"/>
      <w:b/>
      <w:bCs/>
      <w:color w:val="4F81BD" w:themeColor="accent1"/>
      <w:sz w:val="18"/>
      <w:szCs w:val="18"/>
      <w:lang w:val="en-GB" w:eastAsia="en-US"/>
    </w:rPr>
  </w:style>
  <w:style w:type="paragraph" w:styleId="Elenco">
    <w:name w:val="List"/>
    <w:basedOn w:val="Normale"/>
    <w:uiPriority w:val="99"/>
    <w:semiHidden/>
    <w:unhideWhenUsed/>
    <w:rsid w:val="0003148D"/>
    <w:pPr>
      <w:tabs>
        <w:tab w:val="right" w:pos="7100"/>
      </w:tabs>
      <w:spacing w:line="264" w:lineRule="auto"/>
      <w:ind w:left="283" w:hanging="283"/>
      <w:contextualSpacing/>
      <w:jc w:val="both"/>
    </w:pPr>
    <w:rPr>
      <w:rFonts w:ascii="Arial" w:hAnsi="Arial"/>
      <w:sz w:val="18"/>
      <w:szCs w:val="20"/>
      <w:lang w:val="en-GB" w:eastAsia="en-US"/>
    </w:rPr>
  </w:style>
  <w:style w:type="paragraph" w:styleId="Elenco2">
    <w:name w:val="List 2"/>
    <w:basedOn w:val="Normale"/>
    <w:uiPriority w:val="99"/>
    <w:semiHidden/>
    <w:unhideWhenUsed/>
    <w:rsid w:val="0003148D"/>
    <w:pPr>
      <w:tabs>
        <w:tab w:val="right" w:pos="7100"/>
      </w:tabs>
      <w:spacing w:line="264" w:lineRule="auto"/>
      <w:ind w:left="566" w:hanging="283"/>
      <w:contextualSpacing/>
      <w:jc w:val="both"/>
    </w:pPr>
    <w:rPr>
      <w:rFonts w:ascii="Arial" w:hAnsi="Arial"/>
      <w:sz w:val="18"/>
      <w:szCs w:val="20"/>
      <w:lang w:val="en-GB" w:eastAsia="en-US"/>
    </w:rPr>
  </w:style>
  <w:style w:type="paragraph" w:styleId="Elenco3">
    <w:name w:val="List 3"/>
    <w:basedOn w:val="Normale"/>
    <w:uiPriority w:val="99"/>
    <w:semiHidden/>
    <w:unhideWhenUsed/>
    <w:rsid w:val="0003148D"/>
    <w:pPr>
      <w:tabs>
        <w:tab w:val="right" w:pos="7100"/>
      </w:tabs>
      <w:spacing w:line="264" w:lineRule="auto"/>
      <w:ind w:left="849" w:hanging="283"/>
      <w:contextualSpacing/>
      <w:jc w:val="both"/>
    </w:pPr>
    <w:rPr>
      <w:rFonts w:ascii="Arial" w:hAnsi="Arial"/>
      <w:sz w:val="18"/>
      <w:szCs w:val="20"/>
      <w:lang w:val="en-GB" w:eastAsia="en-US"/>
    </w:rPr>
  </w:style>
  <w:style w:type="paragraph" w:styleId="Elenco4">
    <w:name w:val="List 4"/>
    <w:basedOn w:val="Normale"/>
    <w:uiPriority w:val="99"/>
    <w:semiHidden/>
    <w:unhideWhenUsed/>
    <w:rsid w:val="0003148D"/>
    <w:pPr>
      <w:tabs>
        <w:tab w:val="right" w:pos="7100"/>
      </w:tabs>
      <w:spacing w:line="264" w:lineRule="auto"/>
      <w:ind w:left="1132" w:hanging="283"/>
      <w:contextualSpacing/>
      <w:jc w:val="both"/>
    </w:pPr>
    <w:rPr>
      <w:rFonts w:ascii="Arial" w:hAnsi="Arial"/>
      <w:sz w:val="18"/>
      <w:szCs w:val="20"/>
      <w:lang w:val="en-GB" w:eastAsia="en-US"/>
    </w:rPr>
  </w:style>
  <w:style w:type="paragraph" w:styleId="Elenco5">
    <w:name w:val="List 5"/>
    <w:basedOn w:val="Normale"/>
    <w:uiPriority w:val="99"/>
    <w:semiHidden/>
    <w:unhideWhenUsed/>
    <w:rsid w:val="0003148D"/>
    <w:pPr>
      <w:tabs>
        <w:tab w:val="right" w:pos="7100"/>
      </w:tabs>
      <w:spacing w:line="264" w:lineRule="auto"/>
      <w:ind w:left="1415" w:hanging="283"/>
      <w:contextualSpacing/>
      <w:jc w:val="both"/>
    </w:pPr>
    <w:rPr>
      <w:rFonts w:ascii="Arial" w:hAnsi="Arial"/>
      <w:sz w:val="18"/>
      <w:szCs w:val="20"/>
      <w:lang w:val="en-GB" w:eastAsia="en-US"/>
    </w:rPr>
  </w:style>
  <w:style w:type="paragraph" w:styleId="Elencocontinua">
    <w:name w:val="List Continue"/>
    <w:basedOn w:val="Normale"/>
    <w:uiPriority w:val="99"/>
    <w:semiHidden/>
    <w:unhideWhenUsed/>
    <w:rsid w:val="0003148D"/>
    <w:pPr>
      <w:tabs>
        <w:tab w:val="right" w:pos="7100"/>
      </w:tabs>
      <w:spacing w:after="120" w:line="264" w:lineRule="auto"/>
      <w:ind w:left="283"/>
      <w:contextualSpacing/>
      <w:jc w:val="both"/>
    </w:pPr>
    <w:rPr>
      <w:rFonts w:ascii="Arial" w:hAnsi="Arial"/>
      <w:sz w:val="18"/>
      <w:szCs w:val="20"/>
      <w:lang w:val="en-GB" w:eastAsia="en-US"/>
    </w:rPr>
  </w:style>
  <w:style w:type="paragraph" w:styleId="Elencocontinua2">
    <w:name w:val="List Continue 2"/>
    <w:basedOn w:val="Normale"/>
    <w:uiPriority w:val="99"/>
    <w:semiHidden/>
    <w:unhideWhenUsed/>
    <w:rsid w:val="0003148D"/>
    <w:pPr>
      <w:tabs>
        <w:tab w:val="right" w:pos="7100"/>
      </w:tabs>
      <w:spacing w:after="120" w:line="264" w:lineRule="auto"/>
      <w:ind w:left="566"/>
      <w:contextualSpacing/>
      <w:jc w:val="both"/>
    </w:pPr>
    <w:rPr>
      <w:rFonts w:ascii="Arial" w:hAnsi="Arial"/>
      <w:sz w:val="18"/>
      <w:szCs w:val="20"/>
      <w:lang w:val="en-GB" w:eastAsia="en-US"/>
    </w:rPr>
  </w:style>
  <w:style w:type="paragraph" w:styleId="Elencocontinua3">
    <w:name w:val="List Continue 3"/>
    <w:basedOn w:val="Normale"/>
    <w:uiPriority w:val="99"/>
    <w:semiHidden/>
    <w:unhideWhenUsed/>
    <w:rsid w:val="0003148D"/>
    <w:pPr>
      <w:tabs>
        <w:tab w:val="right" w:pos="7100"/>
      </w:tabs>
      <w:spacing w:after="120" w:line="264" w:lineRule="auto"/>
      <w:ind w:left="849"/>
      <w:contextualSpacing/>
      <w:jc w:val="both"/>
    </w:pPr>
    <w:rPr>
      <w:rFonts w:ascii="Arial" w:hAnsi="Arial"/>
      <w:sz w:val="18"/>
      <w:szCs w:val="20"/>
      <w:lang w:val="en-GB" w:eastAsia="en-US"/>
    </w:rPr>
  </w:style>
  <w:style w:type="paragraph" w:styleId="Elencocontinua4">
    <w:name w:val="List Continue 4"/>
    <w:basedOn w:val="Normale"/>
    <w:uiPriority w:val="99"/>
    <w:semiHidden/>
    <w:unhideWhenUsed/>
    <w:rsid w:val="0003148D"/>
    <w:pPr>
      <w:tabs>
        <w:tab w:val="right" w:pos="7100"/>
      </w:tabs>
      <w:spacing w:after="120" w:line="264" w:lineRule="auto"/>
      <w:ind w:left="1132"/>
      <w:contextualSpacing/>
      <w:jc w:val="both"/>
    </w:pPr>
    <w:rPr>
      <w:rFonts w:ascii="Arial" w:hAnsi="Arial"/>
      <w:sz w:val="18"/>
      <w:szCs w:val="20"/>
      <w:lang w:val="en-GB" w:eastAsia="en-US"/>
    </w:rPr>
  </w:style>
  <w:style w:type="paragraph" w:styleId="Elencocontinua5">
    <w:name w:val="List Continue 5"/>
    <w:basedOn w:val="Normale"/>
    <w:uiPriority w:val="99"/>
    <w:semiHidden/>
    <w:unhideWhenUsed/>
    <w:rsid w:val="0003148D"/>
    <w:pPr>
      <w:tabs>
        <w:tab w:val="right" w:pos="7100"/>
      </w:tabs>
      <w:spacing w:after="120" w:line="264" w:lineRule="auto"/>
      <w:ind w:left="1415"/>
      <w:contextualSpacing/>
      <w:jc w:val="both"/>
    </w:pPr>
    <w:rPr>
      <w:rFonts w:ascii="Arial" w:hAnsi="Arial"/>
      <w:sz w:val="18"/>
      <w:szCs w:val="20"/>
      <w:lang w:val="en-GB" w:eastAsia="en-US"/>
    </w:rPr>
  </w:style>
  <w:style w:type="paragraph" w:styleId="Firma">
    <w:name w:val="Signature"/>
    <w:basedOn w:val="Normale"/>
    <w:link w:val="FirmaCarattere"/>
    <w:uiPriority w:val="99"/>
    <w:semiHidden/>
    <w:unhideWhenUsed/>
    <w:rsid w:val="0003148D"/>
    <w:pPr>
      <w:tabs>
        <w:tab w:val="right" w:pos="7100"/>
      </w:tabs>
      <w:ind w:left="4252"/>
      <w:jc w:val="both"/>
    </w:pPr>
    <w:rPr>
      <w:rFonts w:ascii="Arial" w:hAnsi="Arial"/>
      <w:sz w:val="18"/>
      <w:szCs w:val="20"/>
      <w:lang w:val="en-GB" w:eastAsia="en-US"/>
    </w:r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tabs>
        <w:tab w:val="right" w:pos="7100"/>
      </w:tabs>
      <w:jc w:val="both"/>
    </w:pPr>
    <w:rPr>
      <w:rFonts w:ascii="Arial" w:hAnsi="Arial"/>
      <w:sz w:val="18"/>
      <w:szCs w:val="20"/>
      <w:lang w:val="en-GB" w:eastAsia="en-US"/>
    </w:r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pPr>
      <w:tabs>
        <w:tab w:val="right" w:pos="7100"/>
      </w:tabs>
      <w:spacing w:line="264" w:lineRule="auto"/>
      <w:jc w:val="both"/>
    </w:pPr>
    <w:rPr>
      <w:rFonts w:ascii="Arial" w:hAnsi="Arial"/>
      <w:sz w:val="18"/>
      <w:szCs w:val="20"/>
      <w:lang w:val="en-GB" w:eastAsia="en-US"/>
    </w:rPr>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tabs>
        <w:tab w:val="right" w:pos="7100"/>
      </w:tabs>
      <w:ind w:left="4252"/>
      <w:jc w:val="both"/>
    </w:pPr>
    <w:rPr>
      <w:rFonts w:ascii="Arial" w:hAnsi="Arial"/>
      <w:sz w:val="18"/>
      <w:szCs w:val="20"/>
      <w:lang w:val="en-GB" w:eastAsia="en-US"/>
    </w:r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tabs>
        <w:tab w:val="right" w:pos="7100"/>
      </w:tabs>
      <w:ind w:left="220" w:hanging="220"/>
      <w:jc w:val="both"/>
    </w:pPr>
    <w:rPr>
      <w:rFonts w:ascii="Arial" w:hAnsi="Arial"/>
      <w:sz w:val="18"/>
      <w:szCs w:val="20"/>
      <w:lang w:val="en-GB" w:eastAsia="en-US"/>
    </w:rPr>
  </w:style>
  <w:style w:type="paragraph" w:styleId="Indice2">
    <w:name w:val="index 2"/>
    <w:basedOn w:val="Normale"/>
    <w:next w:val="Normale"/>
    <w:autoRedefine/>
    <w:uiPriority w:val="99"/>
    <w:semiHidden/>
    <w:unhideWhenUsed/>
    <w:rsid w:val="0003148D"/>
    <w:pPr>
      <w:tabs>
        <w:tab w:val="right" w:pos="7100"/>
      </w:tabs>
      <w:ind w:left="440" w:hanging="220"/>
      <w:jc w:val="both"/>
    </w:pPr>
    <w:rPr>
      <w:rFonts w:ascii="Arial" w:hAnsi="Arial"/>
      <w:sz w:val="18"/>
      <w:szCs w:val="20"/>
      <w:lang w:val="en-GB" w:eastAsia="en-US"/>
    </w:rPr>
  </w:style>
  <w:style w:type="paragraph" w:styleId="Indice3">
    <w:name w:val="index 3"/>
    <w:basedOn w:val="Normale"/>
    <w:next w:val="Normale"/>
    <w:autoRedefine/>
    <w:uiPriority w:val="99"/>
    <w:semiHidden/>
    <w:unhideWhenUsed/>
    <w:rsid w:val="0003148D"/>
    <w:pPr>
      <w:tabs>
        <w:tab w:val="right" w:pos="7100"/>
      </w:tabs>
      <w:ind w:left="660" w:hanging="220"/>
      <w:jc w:val="both"/>
    </w:pPr>
    <w:rPr>
      <w:rFonts w:ascii="Arial" w:hAnsi="Arial"/>
      <w:sz w:val="18"/>
      <w:szCs w:val="20"/>
      <w:lang w:val="en-GB" w:eastAsia="en-US"/>
    </w:rPr>
  </w:style>
  <w:style w:type="paragraph" w:styleId="Indice4">
    <w:name w:val="index 4"/>
    <w:basedOn w:val="Normale"/>
    <w:next w:val="Normale"/>
    <w:autoRedefine/>
    <w:uiPriority w:val="99"/>
    <w:semiHidden/>
    <w:unhideWhenUsed/>
    <w:rsid w:val="0003148D"/>
    <w:pPr>
      <w:tabs>
        <w:tab w:val="right" w:pos="7100"/>
      </w:tabs>
      <w:ind w:left="880" w:hanging="220"/>
      <w:jc w:val="both"/>
    </w:pPr>
    <w:rPr>
      <w:rFonts w:ascii="Arial" w:hAnsi="Arial"/>
      <w:sz w:val="18"/>
      <w:szCs w:val="20"/>
      <w:lang w:val="en-GB" w:eastAsia="en-US"/>
    </w:rPr>
  </w:style>
  <w:style w:type="paragraph" w:styleId="Indice5">
    <w:name w:val="index 5"/>
    <w:basedOn w:val="Normale"/>
    <w:next w:val="Normale"/>
    <w:autoRedefine/>
    <w:uiPriority w:val="99"/>
    <w:semiHidden/>
    <w:unhideWhenUsed/>
    <w:rsid w:val="0003148D"/>
    <w:pPr>
      <w:tabs>
        <w:tab w:val="right" w:pos="7100"/>
      </w:tabs>
      <w:ind w:left="1100" w:hanging="220"/>
      <w:jc w:val="both"/>
    </w:pPr>
    <w:rPr>
      <w:rFonts w:ascii="Arial" w:hAnsi="Arial"/>
      <w:sz w:val="18"/>
      <w:szCs w:val="20"/>
      <w:lang w:val="en-GB" w:eastAsia="en-US"/>
    </w:rPr>
  </w:style>
  <w:style w:type="paragraph" w:styleId="Indice6">
    <w:name w:val="index 6"/>
    <w:basedOn w:val="Normale"/>
    <w:next w:val="Normale"/>
    <w:autoRedefine/>
    <w:uiPriority w:val="99"/>
    <w:semiHidden/>
    <w:unhideWhenUsed/>
    <w:rsid w:val="0003148D"/>
    <w:pPr>
      <w:tabs>
        <w:tab w:val="right" w:pos="7100"/>
      </w:tabs>
      <w:ind w:left="1320" w:hanging="220"/>
      <w:jc w:val="both"/>
    </w:pPr>
    <w:rPr>
      <w:rFonts w:ascii="Arial" w:hAnsi="Arial"/>
      <w:sz w:val="18"/>
      <w:szCs w:val="20"/>
      <w:lang w:val="en-GB" w:eastAsia="en-US"/>
    </w:rPr>
  </w:style>
  <w:style w:type="paragraph" w:styleId="Indice7">
    <w:name w:val="index 7"/>
    <w:basedOn w:val="Normale"/>
    <w:next w:val="Normale"/>
    <w:autoRedefine/>
    <w:uiPriority w:val="99"/>
    <w:semiHidden/>
    <w:unhideWhenUsed/>
    <w:rsid w:val="0003148D"/>
    <w:pPr>
      <w:tabs>
        <w:tab w:val="right" w:pos="7100"/>
      </w:tabs>
      <w:ind w:left="1540" w:hanging="220"/>
      <w:jc w:val="both"/>
    </w:pPr>
    <w:rPr>
      <w:rFonts w:ascii="Arial" w:hAnsi="Arial"/>
      <w:sz w:val="18"/>
      <w:szCs w:val="20"/>
      <w:lang w:val="en-GB" w:eastAsia="en-US"/>
    </w:rPr>
  </w:style>
  <w:style w:type="paragraph" w:styleId="Indice8">
    <w:name w:val="index 8"/>
    <w:basedOn w:val="Normale"/>
    <w:next w:val="Normale"/>
    <w:autoRedefine/>
    <w:uiPriority w:val="99"/>
    <w:semiHidden/>
    <w:unhideWhenUsed/>
    <w:rsid w:val="0003148D"/>
    <w:pPr>
      <w:tabs>
        <w:tab w:val="right" w:pos="7100"/>
      </w:tabs>
      <w:ind w:left="1760" w:hanging="220"/>
      <w:jc w:val="both"/>
    </w:pPr>
    <w:rPr>
      <w:rFonts w:ascii="Arial" w:hAnsi="Arial"/>
      <w:sz w:val="18"/>
      <w:szCs w:val="20"/>
      <w:lang w:val="en-GB" w:eastAsia="en-US"/>
    </w:rPr>
  </w:style>
  <w:style w:type="paragraph" w:styleId="Indice9">
    <w:name w:val="index 9"/>
    <w:basedOn w:val="Normale"/>
    <w:next w:val="Normale"/>
    <w:autoRedefine/>
    <w:uiPriority w:val="99"/>
    <w:semiHidden/>
    <w:unhideWhenUsed/>
    <w:rsid w:val="0003148D"/>
    <w:pPr>
      <w:tabs>
        <w:tab w:val="right" w:pos="7100"/>
      </w:tabs>
      <w:ind w:left="1980" w:hanging="220"/>
      <w:jc w:val="both"/>
    </w:pPr>
    <w:rPr>
      <w:rFonts w:ascii="Arial" w:hAnsi="Arial"/>
      <w:sz w:val="18"/>
      <w:szCs w:val="20"/>
      <w:lang w:val="en-GB" w:eastAsia="en-US"/>
    </w:rPr>
  </w:style>
  <w:style w:type="paragraph" w:styleId="Indicedellefigure">
    <w:name w:val="table of figures"/>
    <w:basedOn w:val="Normale"/>
    <w:next w:val="Normale"/>
    <w:uiPriority w:val="99"/>
    <w:semiHidden/>
    <w:unhideWhenUsed/>
    <w:rsid w:val="0003148D"/>
    <w:pPr>
      <w:tabs>
        <w:tab w:val="right" w:pos="7100"/>
      </w:tabs>
      <w:spacing w:line="264" w:lineRule="auto"/>
      <w:jc w:val="both"/>
    </w:pPr>
    <w:rPr>
      <w:rFonts w:ascii="Arial" w:hAnsi="Arial"/>
      <w:sz w:val="18"/>
      <w:szCs w:val="20"/>
      <w:lang w:val="en-GB" w:eastAsia="en-US"/>
    </w:rPr>
  </w:style>
  <w:style w:type="paragraph" w:styleId="Indicefonti">
    <w:name w:val="table of authorities"/>
    <w:basedOn w:val="Normale"/>
    <w:next w:val="Normale"/>
    <w:uiPriority w:val="99"/>
    <w:semiHidden/>
    <w:unhideWhenUsed/>
    <w:rsid w:val="0003148D"/>
    <w:pPr>
      <w:tabs>
        <w:tab w:val="right" w:pos="7100"/>
      </w:tabs>
      <w:spacing w:line="264" w:lineRule="auto"/>
      <w:ind w:left="220" w:hanging="220"/>
      <w:jc w:val="both"/>
    </w:pPr>
    <w:rPr>
      <w:rFonts w:ascii="Arial" w:hAnsi="Arial"/>
      <w:sz w:val="18"/>
      <w:szCs w:val="20"/>
      <w:lang w:val="en-GB" w:eastAsia="en-US"/>
    </w:rPr>
  </w:style>
  <w:style w:type="paragraph" w:styleId="Indirizzodestinatario">
    <w:name w:val="envelope address"/>
    <w:basedOn w:val="Normale"/>
    <w:uiPriority w:val="99"/>
    <w:semiHidden/>
    <w:unhideWhenUsed/>
    <w:rsid w:val="0003148D"/>
    <w:pPr>
      <w:framePr w:w="7920" w:h="1980" w:hRule="exact" w:hSpace="180" w:wrap="auto" w:hAnchor="page" w:xAlign="center" w:yAlign="bottom"/>
      <w:tabs>
        <w:tab w:val="right" w:pos="7100"/>
      </w:tabs>
      <w:ind w:left="2880"/>
      <w:jc w:val="both"/>
    </w:pPr>
    <w:rPr>
      <w:rFonts w:asciiTheme="majorHAnsi" w:eastAsiaTheme="majorEastAsia" w:hAnsiTheme="majorHAnsi" w:cstheme="majorBidi"/>
      <w:lang w:val="en-GB" w:eastAsia="en-US"/>
    </w:rPr>
  </w:style>
  <w:style w:type="paragraph" w:styleId="IndirizzoHTML">
    <w:name w:val="HTML Address"/>
    <w:basedOn w:val="Normale"/>
    <w:link w:val="IndirizzoHTMLCarattere"/>
    <w:uiPriority w:val="99"/>
    <w:semiHidden/>
    <w:unhideWhenUsed/>
    <w:rsid w:val="0003148D"/>
    <w:pPr>
      <w:tabs>
        <w:tab w:val="right" w:pos="7100"/>
      </w:tabs>
      <w:jc w:val="both"/>
    </w:pPr>
    <w:rPr>
      <w:rFonts w:ascii="Arial" w:hAnsi="Arial"/>
      <w:i/>
      <w:iCs/>
      <w:sz w:val="18"/>
      <w:szCs w:val="20"/>
      <w:lang w:val="en-GB" w:eastAsia="en-U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tabs>
        <w:tab w:val="right" w:pos="7100"/>
      </w:tabs>
      <w:jc w:val="both"/>
    </w:pPr>
    <w:rPr>
      <w:rFonts w:asciiTheme="majorHAnsi" w:eastAsiaTheme="majorEastAsia" w:hAnsiTheme="majorHAnsi" w:cstheme="majorBidi"/>
      <w:sz w:val="18"/>
      <w:szCs w:val="20"/>
      <w:lang w:val="en-GB" w:eastAsia="en-US"/>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tabs>
        <w:tab w:val="right" w:pos="7100"/>
      </w:tabs>
      <w:ind w:left="1134" w:hanging="1134"/>
      <w:jc w:val="both"/>
    </w:pPr>
    <w:rPr>
      <w:rFonts w:asciiTheme="majorHAnsi" w:eastAsiaTheme="majorEastAsia" w:hAnsiTheme="majorHAnsi" w:cstheme="majorBidi"/>
      <w:lang w:val="en-GB" w:eastAsia="en-US"/>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tabs>
        <w:tab w:val="right" w:pos="7100"/>
      </w:tabs>
      <w:jc w:val="both"/>
    </w:pPr>
    <w:rPr>
      <w:rFonts w:ascii="Arial" w:hAnsi="Arial"/>
      <w:sz w:val="18"/>
      <w:szCs w:val="20"/>
      <w:lang w:val="en-GB" w:eastAsia="en-US"/>
    </w:r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tabs>
        <w:tab w:val="right" w:pos="7100"/>
      </w:tabs>
      <w:jc w:val="both"/>
    </w:pPr>
    <w:rPr>
      <w:rFonts w:ascii="Tahoma" w:hAnsi="Tahoma" w:cs="Tahoma"/>
      <w:sz w:val="16"/>
      <w:szCs w:val="16"/>
      <w:lang w:val="en-GB" w:eastAsia="en-US"/>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pPr>
      <w:tabs>
        <w:tab w:val="right" w:pos="7100"/>
      </w:tabs>
      <w:spacing w:line="264" w:lineRule="auto"/>
      <w:jc w:val="both"/>
    </w:pPr>
    <w:rPr>
      <w:rFonts w:ascii="Arial" w:hAnsi="Arial"/>
      <w:lang w:val="en-GB" w:eastAsia="en-US"/>
    </w:rPr>
  </w:style>
  <w:style w:type="paragraph" w:styleId="Numeroelenco">
    <w:name w:val="List Number"/>
    <w:basedOn w:val="Normale"/>
    <w:uiPriority w:val="99"/>
    <w:semiHidden/>
    <w:unhideWhenUsed/>
    <w:rsid w:val="0003148D"/>
    <w:pPr>
      <w:numPr>
        <w:numId w:val="2"/>
      </w:numPr>
      <w:tabs>
        <w:tab w:val="right" w:pos="7100"/>
      </w:tabs>
      <w:spacing w:line="264" w:lineRule="auto"/>
      <w:contextualSpacing/>
      <w:jc w:val="both"/>
    </w:pPr>
    <w:rPr>
      <w:rFonts w:ascii="Arial" w:hAnsi="Arial"/>
      <w:sz w:val="18"/>
      <w:szCs w:val="20"/>
      <w:lang w:val="en-GB" w:eastAsia="en-US"/>
    </w:rPr>
  </w:style>
  <w:style w:type="paragraph" w:styleId="Numeroelenco2">
    <w:name w:val="List Number 2"/>
    <w:basedOn w:val="Normale"/>
    <w:uiPriority w:val="99"/>
    <w:semiHidden/>
    <w:unhideWhenUsed/>
    <w:rsid w:val="0003148D"/>
    <w:pPr>
      <w:numPr>
        <w:numId w:val="3"/>
      </w:numPr>
      <w:tabs>
        <w:tab w:val="right" w:pos="7100"/>
      </w:tabs>
      <w:spacing w:line="264" w:lineRule="auto"/>
      <w:contextualSpacing/>
      <w:jc w:val="both"/>
    </w:pPr>
    <w:rPr>
      <w:rFonts w:ascii="Arial" w:hAnsi="Arial"/>
      <w:sz w:val="18"/>
      <w:szCs w:val="20"/>
      <w:lang w:val="en-GB" w:eastAsia="en-US"/>
    </w:rPr>
  </w:style>
  <w:style w:type="paragraph" w:styleId="Numeroelenco3">
    <w:name w:val="List Number 3"/>
    <w:basedOn w:val="Normale"/>
    <w:uiPriority w:val="99"/>
    <w:semiHidden/>
    <w:unhideWhenUsed/>
    <w:rsid w:val="0003148D"/>
    <w:pPr>
      <w:numPr>
        <w:numId w:val="4"/>
      </w:numPr>
      <w:tabs>
        <w:tab w:val="right" w:pos="7100"/>
      </w:tabs>
      <w:spacing w:line="264" w:lineRule="auto"/>
      <w:contextualSpacing/>
      <w:jc w:val="both"/>
    </w:pPr>
    <w:rPr>
      <w:rFonts w:ascii="Arial" w:hAnsi="Arial"/>
      <w:sz w:val="18"/>
      <w:szCs w:val="20"/>
      <w:lang w:val="en-GB" w:eastAsia="en-US"/>
    </w:rPr>
  </w:style>
  <w:style w:type="paragraph" w:styleId="Numeroelenco4">
    <w:name w:val="List Number 4"/>
    <w:basedOn w:val="Normale"/>
    <w:uiPriority w:val="99"/>
    <w:semiHidden/>
    <w:unhideWhenUsed/>
    <w:rsid w:val="0003148D"/>
    <w:pPr>
      <w:numPr>
        <w:numId w:val="5"/>
      </w:numPr>
      <w:tabs>
        <w:tab w:val="right" w:pos="7100"/>
      </w:tabs>
      <w:spacing w:line="264" w:lineRule="auto"/>
      <w:contextualSpacing/>
      <w:jc w:val="both"/>
    </w:pPr>
    <w:rPr>
      <w:rFonts w:ascii="Arial" w:hAnsi="Arial"/>
      <w:sz w:val="18"/>
      <w:szCs w:val="20"/>
      <w:lang w:val="en-GB" w:eastAsia="en-US"/>
    </w:rPr>
  </w:style>
  <w:style w:type="paragraph" w:styleId="Numeroelenco5">
    <w:name w:val="List Number 5"/>
    <w:basedOn w:val="Normale"/>
    <w:uiPriority w:val="99"/>
    <w:semiHidden/>
    <w:unhideWhenUsed/>
    <w:rsid w:val="0003148D"/>
    <w:pPr>
      <w:numPr>
        <w:numId w:val="6"/>
      </w:numPr>
      <w:tabs>
        <w:tab w:val="right" w:pos="7100"/>
      </w:tabs>
      <w:spacing w:line="264" w:lineRule="auto"/>
      <w:contextualSpacing/>
      <w:jc w:val="both"/>
    </w:pPr>
    <w:rPr>
      <w:rFonts w:ascii="Arial" w:hAnsi="Arial"/>
      <w:sz w:val="18"/>
      <w:szCs w:val="20"/>
      <w:lang w:val="en-GB" w:eastAsia="en-US"/>
    </w:rPr>
  </w:style>
  <w:style w:type="paragraph" w:styleId="PreformattatoHTML">
    <w:name w:val="HTML Preformatted"/>
    <w:basedOn w:val="Normale"/>
    <w:link w:val="PreformattatoHTMLCarattere"/>
    <w:uiPriority w:val="99"/>
    <w:semiHidden/>
    <w:unhideWhenUsed/>
    <w:rsid w:val="0003148D"/>
    <w:pPr>
      <w:tabs>
        <w:tab w:val="right" w:pos="7100"/>
      </w:tabs>
      <w:jc w:val="both"/>
    </w:pPr>
    <w:rPr>
      <w:rFonts w:ascii="Consolas" w:hAnsi="Consolas" w:cs="Consolas"/>
      <w:sz w:val="18"/>
      <w:szCs w:val="20"/>
      <w:lang w:val="en-GB" w:eastAsia="en-U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tabs>
        <w:tab w:val="right" w:pos="7100"/>
      </w:tabs>
      <w:spacing w:after="120" w:line="264" w:lineRule="auto"/>
      <w:ind w:left="283"/>
      <w:jc w:val="both"/>
    </w:pPr>
    <w:rPr>
      <w:rFonts w:ascii="Arial" w:hAnsi="Arial"/>
      <w:sz w:val="18"/>
      <w:szCs w:val="20"/>
      <w:lang w:val="en-GB" w:eastAsia="en-US"/>
    </w:r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tabs>
        <w:tab w:val="right" w:pos="7100"/>
      </w:tabs>
      <w:spacing w:line="264" w:lineRule="auto"/>
      <w:contextualSpacing/>
      <w:jc w:val="both"/>
    </w:pPr>
    <w:rPr>
      <w:rFonts w:ascii="Arial" w:hAnsi="Arial"/>
      <w:sz w:val="18"/>
      <w:szCs w:val="20"/>
      <w:lang w:val="en-GB" w:eastAsia="en-US"/>
    </w:rPr>
  </w:style>
  <w:style w:type="paragraph" w:styleId="Puntoelenco2">
    <w:name w:val="List Bullet 2"/>
    <w:basedOn w:val="Normale"/>
    <w:uiPriority w:val="99"/>
    <w:semiHidden/>
    <w:unhideWhenUsed/>
    <w:rsid w:val="0003148D"/>
    <w:pPr>
      <w:numPr>
        <w:numId w:val="8"/>
      </w:numPr>
      <w:tabs>
        <w:tab w:val="right" w:pos="7100"/>
      </w:tabs>
      <w:spacing w:line="264" w:lineRule="auto"/>
      <w:contextualSpacing/>
      <w:jc w:val="both"/>
    </w:pPr>
    <w:rPr>
      <w:rFonts w:ascii="Arial" w:hAnsi="Arial"/>
      <w:sz w:val="18"/>
      <w:szCs w:val="20"/>
      <w:lang w:val="en-GB" w:eastAsia="en-US"/>
    </w:rPr>
  </w:style>
  <w:style w:type="paragraph" w:styleId="Puntoelenco3">
    <w:name w:val="List Bullet 3"/>
    <w:basedOn w:val="Normale"/>
    <w:uiPriority w:val="99"/>
    <w:semiHidden/>
    <w:unhideWhenUsed/>
    <w:rsid w:val="0003148D"/>
    <w:pPr>
      <w:numPr>
        <w:numId w:val="9"/>
      </w:numPr>
      <w:tabs>
        <w:tab w:val="right" w:pos="7100"/>
      </w:tabs>
      <w:spacing w:line="264" w:lineRule="auto"/>
      <w:contextualSpacing/>
      <w:jc w:val="both"/>
    </w:pPr>
    <w:rPr>
      <w:rFonts w:ascii="Arial" w:hAnsi="Arial"/>
      <w:sz w:val="18"/>
      <w:szCs w:val="20"/>
      <w:lang w:val="en-GB" w:eastAsia="en-US"/>
    </w:rPr>
  </w:style>
  <w:style w:type="paragraph" w:styleId="Puntoelenco4">
    <w:name w:val="List Bullet 4"/>
    <w:basedOn w:val="Normale"/>
    <w:uiPriority w:val="99"/>
    <w:semiHidden/>
    <w:unhideWhenUsed/>
    <w:rsid w:val="0003148D"/>
    <w:pPr>
      <w:numPr>
        <w:numId w:val="10"/>
      </w:numPr>
      <w:tabs>
        <w:tab w:val="right" w:pos="7100"/>
      </w:tabs>
      <w:spacing w:line="264" w:lineRule="auto"/>
      <w:contextualSpacing/>
      <w:jc w:val="both"/>
    </w:pPr>
    <w:rPr>
      <w:rFonts w:ascii="Arial" w:hAnsi="Arial"/>
      <w:sz w:val="18"/>
      <w:szCs w:val="20"/>
      <w:lang w:val="en-GB" w:eastAsia="en-US"/>
    </w:rPr>
  </w:style>
  <w:style w:type="paragraph" w:styleId="Puntoelenco5">
    <w:name w:val="List Bullet 5"/>
    <w:basedOn w:val="Normale"/>
    <w:uiPriority w:val="99"/>
    <w:semiHidden/>
    <w:unhideWhenUsed/>
    <w:rsid w:val="0003148D"/>
    <w:pPr>
      <w:numPr>
        <w:numId w:val="11"/>
      </w:numPr>
      <w:tabs>
        <w:tab w:val="right" w:pos="7100"/>
      </w:tabs>
      <w:spacing w:line="264" w:lineRule="auto"/>
      <w:contextualSpacing/>
      <w:jc w:val="both"/>
    </w:pPr>
    <w:rPr>
      <w:rFonts w:ascii="Arial" w:hAnsi="Arial"/>
      <w:sz w:val="18"/>
      <w:szCs w:val="20"/>
      <w:lang w:val="en-GB" w:eastAsia="en-US"/>
    </w:rPr>
  </w:style>
  <w:style w:type="paragraph" w:styleId="Rientrocorpodeltesto2">
    <w:name w:val="Body Text Indent 2"/>
    <w:basedOn w:val="Normale"/>
    <w:link w:val="Rientrocorpodeltesto2Carattere"/>
    <w:uiPriority w:val="99"/>
    <w:semiHidden/>
    <w:unhideWhenUsed/>
    <w:rsid w:val="0003148D"/>
    <w:pPr>
      <w:tabs>
        <w:tab w:val="right" w:pos="7100"/>
      </w:tabs>
      <w:spacing w:after="120" w:line="480" w:lineRule="auto"/>
      <w:ind w:left="283"/>
      <w:jc w:val="both"/>
    </w:pPr>
    <w:rPr>
      <w:rFonts w:ascii="Arial" w:hAnsi="Arial"/>
      <w:sz w:val="18"/>
      <w:szCs w:val="20"/>
      <w:lang w:val="en-GB" w:eastAsia="en-US"/>
    </w:r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tabs>
        <w:tab w:val="right" w:pos="7100"/>
      </w:tabs>
      <w:spacing w:after="120" w:line="264" w:lineRule="auto"/>
      <w:ind w:left="283"/>
      <w:jc w:val="both"/>
    </w:pPr>
    <w:rPr>
      <w:rFonts w:ascii="Arial" w:hAnsi="Arial"/>
      <w:sz w:val="16"/>
      <w:szCs w:val="16"/>
      <w:lang w:val="en-GB" w:eastAsia="en-US"/>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tabs>
        <w:tab w:val="right" w:pos="7100"/>
      </w:tabs>
      <w:spacing w:line="264" w:lineRule="auto"/>
      <w:ind w:left="720"/>
      <w:jc w:val="both"/>
    </w:pPr>
    <w:rPr>
      <w:rFonts w:ascii="Arial" w:hAnsi="Arial"/>
      <w:sz w:val="18"/>
      <w:szCs w:val="20"/>
      <w:lang w:val="en-GB" w:eastAsia="en-US"/>
    </w:rPr>
  </w:style>
  <w:style w:type="paragraph" w:styleId="Testocommento">
    <w:name w:val="annotation text"/>
    <w:basedOn w:val="Normale"/>
    <w:link w:val="TestocommentoCarattere"/>
    <w:uiPriority w:val="99"/>
    <w:unhideWhenUsed/>
    <w:rsid w:val="0003148D"/>
    <w:pPr>
      <w:tabs>
        <w:tab w:val="right" w:pos="7100"/>
      </w:tabs>
      <w:jc w:val="both"/>
    </w:pPr>
    <w:rPr>
      <w:rFonts w:ascii="Arial" w:hAnsi="Arial"/>
      <w:sz w:val="18"/>
      <w:szCs w:val="20"/>
      <w:lang w:val="en-GB" w:eastAsia="en-US"/>
    </w:r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tabs>
        <w:tab w:val="right" w:pos="7100"/>
      </w:tabs>
      <w:spacing w:after="100" w:line="264" w:lineRule="auto"/>
      <w:jc w:val="both"/>
    </w:pPr>
    <w:rPr>
      <w:rFonts w:ascii="Arial" w:hAnsi="Arial"/>
      <w:sz w:val="18"/>
      <w:szCs w:val="20"/>
      <w:lang w:val="en-GB" w:eastAsia="en-US"/>
    </w:rPr>
  </w:style>
  <w:style w:type="paragraph" w:styleId="Sommario2">
    <w:name w:val="toc 2"/>
    <w:basedOn w:val="Normale"/>
    <w:next w:val="Normale"/>
    <w:autoRedefine/>
    <w:uiPriority w:val="39"/>
    <w:semiHidden/>
    <w:unhideWhenUsed/>
    <w:rsid w:val="0003148D"/>
    <w:pPr>
      <w:tabs>
        <w:tab w:val="right" w:pos="7100"/>
      </w:tabs>
      <w:spacing w:after="100" w:line="264" w:lineRule="auto"/>
      <w:ind w:left="220"/>
      <w:jc w:val="both"/>
    </w:pPr>
    <w:rPr>
      <w:rFonts w:ascii="Arial" w:hAnsi="Arial"/>
      <w:sz w:val="18"/>
      <w:szCs w:val="20"/>
      <w:lang w:val="en-GB" w:eastAsia="en-US"/>
    </w:rPr>
  </w:style>
  <w:style w:type="paragraph" w:styleId="Sommario3">
    <w:name w:val="toc 3"/>
    <w:basedOn w:val="Normale"/>
    <w:next w:val="Normale"/>
    <w:autoRedefine/>
    <w:uiPriority w:val="39"/>
    <w:semiHidden/>
    <w:unhideWhenUsed/>
    <w:rsid w:val="0003148D"/>
    <w:pPr>
      <w:tabs>
        <w:tab w:val="right" w:pos="7100"/>
      </w:tabs>
      <w:spacing w:after="100" w:line="264" w:lineRule="auto"/>
      <w:ind w:left="440"/>
      <w:jc w:val="both"/>
    </w:pPr>
    <w:rPr>
      <w:rFonts w:ascii="Arial" w:hAnsi="Arial"/>
      <w:sz w:val="18"/>
      <w:szCs w:val="20"/>
      <w:lang w:val="en-GB" w:eastAsia="en-US"/>
    </w:rPr>
  </w:style>
  <w:style w:type="paragraph" w:styleId="Sommario4">
    <w:name w:val="toc 4"/>
    <w:basedOn w:val="Normale"/>
    <w:next w:val="Normale"/>
    <w:autoRedefine/>
    <w:uiPriority w:val="39"/>
    <w:semiHidden/>
    <w:unhideWhenUsed/>
    <w:rsid w:val="0003148D"/>
    <w:pPr>
      <w:tabs>
        <w:tab w:val="right" w:pos="7100"/>
      </w:tabs>
      <w:spacing w:after="100" w:line="264" w:lineRule="auto"/>
      <w:ind w:left="660"/>
      <w:jc w:val="both"/>
    </w:pPr>
    <w:rPr>
      <w:rFonts w:ascii="Arial" w:hAnsi="Arial"/>
      <w:sz w:val="18"/>
      <w:szCs w:val="20"/>
      <w:lang w:val="en-GB" w:eastAsia="en-US"/>
    </w:rPr>
  </w:style>
  <w:style w:type="paragraph" w:styleId="Sommario5">
    <w:name w:val="toc 5"/>
    <w:basedOn w:val="Normale"/>
    <w:next w:val="Normale"/>
    <w:autoRedefine/>
    <w:uiPriority w:val="39"/>
    <w:semiHidden/>
    <w:unhideWhenUsed/>
    <w:rsid w:val="0003148D"/>
    <w:pPr>
      <w:tabs>
        <w:tab w:val="right" w:pos="7100"/>
      </w:tabs>
      <w:spacing w:after="100" w:line="264" w:lineRule="auto"/>
      <w:ind w:left="880"/>
      <w:jc w:val="both"/>
    </w:pPr>
    <w:rPr>
      <w:rFonts w:ascii="Arial" w:hAnsi="Arial"/>
      <w:sz w:val="18"/>
      <w:szCs w:val="20"/>
      <w:lang w:val="en-GB" w:eastAsia="en-US"/>
    </w:rPr>
  </w:style>
  <w:style w:type="paragraph" w:styleId="Sommario6">
    <w:name w:val="toc 6"/>
    <w:basedOn w:val="Normale"/>
    <w:next w:val="Normale"/>
    <w:autoRedefine/>
    <w:uiPriority w:val="39"/>
    <w:semiHidden/>
    <w:unhideWhenUsed/>
    <w:rsid w:val="0003148D"/>
    <w:pPr>
      <w:tabs>
        <w:tab w:val="right" w:pos="7100"/>
      </w:tabs>
      <w:spacing w:after="100" w:line="264" w:lineRule="auto"/>
      <w:ind w:left="1100"/>
      <w:jc w:val="both"/>
    </w:pPr>
    <w:rPr>
      <w:rFonts w:ascii="Arial" w:hAnsi="Arial"/>
      <w:sz w:val="18"/>
      <w:szCs w:val="20"/>
      <w:lang w:val="en-GB" w:eastAsia="en-US"/>
    </w:rPr>
  </w:style>
  <w:style w:type="paragraph" w:styleId="Sommario7">
    <w:name w:val="toc 7"/>
    <w:basedOn w:val="Normale"/>
    <w:next w:val="Normale"/>
    <w:autoRedefine/>
    <w:uiPriority w:val="39"/>
    <w:semiHidden/>
    <w:unhideWhenUsed/>
    <w:rsid w:val="0003148D"/>
    <w:pPr>
      <w:tabs>
        <w:tab w:val="right" w:pos="7100"/>
      </w:tabs>
      <w:spacing w:after="100" w:line="264" w:lineRule="auto"/>
      <w:ind w:left="1320"/>
      <w:jc w:val="both"/>
    </w:pPr>
    <w:rPr>
      <w:rFonts w:ascii="Arial" w:hAnsi="Arial"/>
      <w:sz w:val="18"/>
      <w:szCs w:val="20"/>
      <w:lang w:val="en-GB" w:eastAsia="en-US"/>
    </w:rPr>
  </w:style>
  <w:style w:type="paragraph" w:styleId="Sommario8">
    <w:name w:val="toc 8"/>
    <w:basedOn w:val="Normale"/>
    <w:next w:val="Normale"/>
    <w:autoRedefine/>
    <w:uiPriority w:val="39"/>
    <w:semiHidden/>
    <w:unhideWhenUsed/>
    <w:rsid w:val="0003148D"/>
    <w:pPr>
      <w:tabs>
        <w:tab w:val="right" w:pos="7100"/>
      </w:tabs>
      <w:spacing w:after="100" w:line="264" w:lineRule="auto"/>
      <w:ind w:left="1540"/>
      <w:jc w:val="both"/>
    </w:pPr>
    <w:rPr>
      <w:rFonts w:ascii="Arial" w:hAnsi="Arial"/>
      <w:sz w:val="18"/>
      <w:szCs w:val="20"/>
      <w:lang w:val="en-GB" w:eastAsia="en-US"/>
    </w:rPr>
  </w:style>
  <w:style w:type="paragraph" w:styleId="Sommario9">
    <w:name w:val="toc 9"/>
    <w:basedOn w:val="Normale"/>
    <w:next w:val="Normale"/>
    <w:autoRedefine/>
    <w:uiPriority w:val="39"/>
    <w:semiHidden/>
    <w:unhideWhenUsed/>
    <w:rsid w:val="0003148D"/>
    <w:pPr>
      <w:tabs>
        <w:tab w:val="right" w:pos="7100"/>
      </w:tabs>
      <w:spacing w:after="100" w:line="264" w:lineRule="auto"/>
      <w:ind w:left="1760"/>
      <w:jc w:val="both"/>
    </w:pPr>
    <w:rPr>
      <w:rFonts w:ascii="Arial" w:hAnsi="Arial"/>
      <w:sz w:val="18"/>
      <w:szCs w:val="20"/>
      <w:lang w:val="en-GB" w:eastAsia="en-US"/>
    </w:r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tabs>
        <w:tab w:val="right" w:pos="7100"/>
      </w:tabs>
      <w:spacing w:line="264" w:lineRule="auto"/>
      <w:ind w:left="1152" w:right="1152"/>
      <w:jc w:val="both"/>
    </w:pPr>
    <w:rPr>
      <w:rFonts w:ascii="Arial" w:eastAsiaTheme="minorEastAsia" w:hAnsi="Arial"/>
      <w:i/>
      <w:iCs/>
      <w:color w:val="4F81BD" w:themeColor="accent1"/>
      <w:sz w:val="18"/>
      <w:szCs w:val="20"/>
      <w:lang w:val="en-GB" w:eastAsia="en-US"/>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tabs>
        <w:tab w:val="right" w:pos="7100"/>
      </w:tabs>
      <w:jc w:val="both"/>
    </w:pPr>
    <w:rPr>
      <w:rFonts w:ascii="Consolas" w:hAnsi="Consolas" w:cs="Consolas"/>
      <w:sz w:val="21"/>
      <w:szCs w:val="21"/>
      <w:lang w:val="en-GB" w:eastAsia="en-US"/>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tabs>
        <w:tab w:val="right" w:pos="7100"/>
      </w:tabs>
      <w:jc w:val="both"/>
    </w:pPr>
    <w:rPr>
      <w:rFonts w:ascii="Arial" w:hAnsi="Arial"/>
      <w:sz w:val="18"/>
      <w:szCs w:val="20"/>
      <w:lang w:val="en-GB" w:eastAsia="en-US"/>
    </w:r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tabs>
        <w:tab w:val="right" w:pos="7100"/>
      </w:tabs>
      <w:jc w:val="both"/>
    </w:pPr>
    <w:rPr>
      <w:rFonts w:ascii="Arial" w:hAnsi="Arial"/>
      <w:sz w:val="18"/>
      <w:szCs w:val="20"/>
      <w:lang w:val="en-GB" w:eastAsia="en-US"/>
    </w:r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pPr>
      <w:tabs>
        <w:tab w:val="right" w:pos="7100"/>
      </w:tabs>
      <w:spacing w:line="264" w:lineRule="auto"/>
      <w:jc w:val="both"/>
    </w:pPr>
    <w:rPr>
      <w:rFonts w:asciiTheme="majorHAnsi" w:eastAsiaTheme="majorEastAsia" w:hAnsiTheme="majorHAnsi" w:cstheme="majorBidi"/>
      <w:b/>
      <w:bCs/>
      <w:sz w:val="18"/>
      <w:szCs w:val="20"/>
      <w:lang w:val="en-GB" w:eastAsia="en-US"/>
    </w:rPr>
  </w:style>
  <w:style w:type="paragraph" w:styleId="Titoloindicefonti">
    <w:name w:val="toa heading"/>
    <w:basedOn w:val="Normale"/>
    <w:next w:val="Normale"/>
    <w:uiPriority w:val="99"/>
    <w:semiHidden/>
    <w:unhideWhenUsed/>
    <w:rsid w:val="0003148D"/>
    <w:pPr>
      <w:tabs>
        <w:tab w:val="right" w:pos="7100"/>
      </w:tabs>
      <w:spacing w:before="120" w:line="264" w:lineRule="auto"/>
      <w:jc w:val="both"/>
    </w:pPr>
    <w:rPr>
      <w:rFonts w:asciiTheme="majorHAnsi" w:eastAsiaTheme="majorEastAsia" w:hAnsiTheme="majorHAnsi" w:cstheme="majorBidi"/>
      <w:b/>
      <w:bCs/>
      <w:lang w:val="en-GB" w:eastAsia="en-US"/>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enter" w:pos="4819"/>
        <w:tab w:val="right" w:pos="9638"/>
      </w:tabs>
      <w:jc w:val="both"/>
    </w:pPr>
    <w:rPr>
      <w:rFonts w:ascii="Arial" w:hAnsi="Arial"/>
      <w:sz w:val="18"/>
      <w:szCs w:val="20"/>
      <w:lang w:val="en-GB" w:eastAsia="en-US"/>
    </w:r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enter" w:pos="4819"/>
        <w:tab w:val="right" w:pos="9638"/>
      </w:tabs>
      <w:jc w:val="both"/>
    </w:pPr>
    <w:rPr>
      <w:rFonts w:ascii="Arial" w:hAnsi="Arial"/>
      <w:sz w:val="18"/>
      <w:szCs w:val="20"/>
      <w:lang w:val="en-GB" w:eastAsia="en-US"/>
    </w:r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val="0"/>
      <w:bCs/>
      <w:sz w:val="18"/>
      <w:szCs w:val="20"/>
      <w:lang w:val="en-US"/>
    </w:rPr>
  </w:style>
  <w:style w:type="paragraph" w:styleId="Paragrafoelenco">
    <w:name w:val="List Paragraph"/>
    <w:basedOn w:val="Normale"/>
    <w:uiPriority w:val="34"/>
    <w:qFormat/>
    <w:rsid w:val="00280FAF"/>
    <w:pPr>
      <w:tabs>
        <w:tab w:val="right" w:pos="7100"/>
      </w:tabs>
      <w:spacing w:line="264" w:lineRule="auto"/>
      <w:ind w:left="720"/>
      <w:contextualSpacing/>
      <w:jc w:val="both"/>
    </w:pPr>
    <w:rPr>
      <w:rFonts w:ascii="Arial" w:hAnsi="Arial"/>
      <w:sz w:val="18"/>
      <w:szCs w:val="20"/>
      <w:lang w:val="en-GB" w:eastAsia="en-US"/>
    </w:rPr>
  </w:style>
  <w:style w:type="character" w:customStyle="1" w:styleId="gmail-apple-converted-space">
    <w:name w:val="gmail-apple-converted-space"/>
    <w:basedOn w:val="Carpredefinitoparagrafo"/>
    <w:rsid w:val="00005A19"/>
  </w:style>
  <w:style w:type="paragraph" w:styleId="Titolo">
    <w:name w:val="Title"/>
    <w:basedOn w:val="Normale"/>
    <w:link w:val="TitoloCarattere"/>
    <w:uiPriority w:val="10"/>
    <w:qFormat/>
    <w:rsid w:val="005D5D51"/>
    <w:pPr>
      <w:widowControl w:val="0"/>
      <w:autoSpaceDE w:val="0"/>
      <w:autoSpaceDN w:val="0"/>
      <w:ind w:left="114"/>
    </w:pPr>
    <w:rPr>
      <w:rFonts w:ascii="Garamond Bold" w:eastAsia="Garamond Bold" w:hAnsi="Garamond Bold" w:cs="Garamond Bold"/>
      <w:b/>
      <w:bCs/>
      <w:sz w:val="48"/>
      <w:szCs w:val="48"/>
      <w:lang w:eastAsia="en-US"/>
    </w:rPr>
  </w:style>
  <w:style w:type="character" w:customStyle="1" w:styleId="TitoloCarattere">
    <w:name w:val="Titolo Carattere"/>
    <w:basedOn w:val="Carpredefinitoparagrafo"/>
    <w:link w:val="Titolo"/>
    <w:uiPriority w:val="10"/>
    <w:rsid w:val="005D5D51"/>
    <w:rPr>
      <w:rFonts w:ascii="Garamond Bold" w:eastAsia="Garamond Bold" w:hAnsi="Garamond Bold" w:cs="Garamond Bold"/>
      <w:b/>
      <w:bCs/>
      <w:sz w:val="48"/>
      <w:szCs w:val="48"/>
    </w:rPr>
  </w:style>
  <w:style w:type="character" w:styleId="Numeropagina">
    <w:name w:val="page number"/>
    <w:basedOn w:val="Carpredefinitoparagrafo"/>
    <w:uiPriority w:val="99"/>
    <w:semiHidden/>
    <w:unhideWhenUsed/>
    <w:rsid w:val="00A80D23"/>
  </w:style>
  <w:style w:type="paragraph" w:customStyle="1" w:styleId="xmsonormal">
    <w:name w:val="x_msonormal"/>
    <w:basedOn w:val="Normale"/>
    <w:rsid w:val="00DB1CEA"/>
    <w:pPr>
      <w:spacing w:before="100" w:beforeAutospacing="1" w:after="100" w:afterAutospacing="1"/>
    </w:pPr>
  </w:style>
  <w:style w:type="paragraph" w:styleId="Revisione">
    <w:name w:val="Revision"/>
    <w:hidden/>
    <w:uiPriority w:val="99"/>
    <w:semiHidden/>
    <w:rsid w:val="001B75D1"/>
    <w:pPr>
      <w:spacing w:after="0" w:line="240" w:lineRule="auto"/>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0547DA"/>
    <w:rPr>
      <w:color w:val="605E5C"/>
      <w:shd w:val="clear" w:color="auto" w:fill="E1DFDD"/>
    </w:rPr>
  </w:style>
  <w:style w:type="character" w:styleId="Collegamentovisitato">
    <w:name w:val="FollowedHyperlink"/>
    <w:basedOn w:val="Carpredefinitoparagrafo"/>
    <w:uiPriority w:val="99"/>
    <w:semiHidden/>
    <w:unhideWhenUsed/>
    <w:rsid w:val="00E172BD"/>
    <w:rPr>
      <w:color w:val="800080" w:themeColor="followedHyperlink"/>
      <w:u w:val="single"/>
    </w:rPr>
  </w:style>
  <w:style w:type="paragraph" w:customStyle="1" w:styleId="p1">
    <w:name w:val="p1"/>
    <w:basedOn w:val="Normale"/>
    <w:rsid w:val="00AA0B27"/>
    <w:rPr>
      <w:rFonts w:ascii="STIX Two Text" w:hAnsi="STIX Two Text"/>
      <w:color w:val="000000"/>
      <w:sz w:val="15"/>
      <w:szCs w:val="15"/>
    </w:rPr>
  </w:style>
  <w:style w:type="paragraph" w:customStyle="1" w:styleId="p2">
    <w:name w:val="p2"/>
    <w:basedOn w:val="Normale"/>
    <w:rsid w:val="00AA0B27"/>
    <w:rPr>
      <w:rFonts w:ascii="STIX Two Text" w:hAnsi="STIX Two Text"/>
      <w:color w:val="1D4D9A"/>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6721">
      <w:bodyDiv w:val="1"/>
      <w:marLeft w:val="0"/>
      <w:marRight w:val="0"/>
      <w:marTop w:val="0"/>
      <w:marBottom w:val="0"/>
      <w:divBdr>
        <w:top w:val="none" w:sz="0" w:space="0" w:color="auto"/>
        <w:left w:val="none" w:sz="0" w:space="0" w:color="auto"/>
        <w:bottom w:val="none" w:sz="0" w:space="0" w:color="auto"/>
        <w:right w:val="none" w:sz="0" w:space="0" w:color="auto"/>
      </w:divBdr>
      <w:divsChild>
        <w:div w:id="1221481621">
          <w:marLeft w:val="0"/>
          <w:marRight w:val="0"/>
          <w:marTop w:val="0"/>
          <w:marBottom w:val="0"/>
          <w:divBdr>
            <w:top w:val="none" w:sz="0" w:space="0" w:color="auto"/>
            <w:left w:val="none" w:sz="0" w:space="0" w:color="auto"/>
            <w:bottom w:val="none" w:sz="0" w:space="0" w:color="auto"/>
            <w:right w:val="none" w:sz="0" w:space="0" w:color="auto"/>
          </w:divBdr>
          <w:divsChild>
            <w:div w:id="1732340992">
              <w:marLeft w:val="0"/>
              <w:marRight w:val="0"/>
              <w:marTop w:val="0"/>
              <w:marBottom w:val="0"/>
              <w:divBdr>
                <w:top w:val="none" w:sz="0" w:space="0" w:color="auto"/>
                <w:left w:val="none" w:sz="0" w:space="0" w:color="auto"/>
                <w:bottom w:val="none" w:sz="0" w:space="0" w:color="auto"/>
                <w:right w:val="none" w:sz="0" w:space="0" w:color="auto"/>
              </w:divBdr>
              <w:divsChild>
                <w:div w:id="126059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5757">
      <w:bodyDiv w:val="1"/>
      <w:marLeft w:val="0"/>
      <w:marRight w:val="0"/>
      <w:marTop w:val="0"/>
      <w:marBottom w:val="0"/>
      <w:divBdr>
        <w:top w:val="none" w:sz="0" w:space="0" w:color="auto"/>
        <w:left w:val="none" w:sz="0" w:space="0" w:color="auto"/>
        <w:bottom w:val="none" w:sz="0" w:space="0" w:color="auto"/>
        <w:right w:val="none" w:sz="0" w:space="0" w:color="auto"/>
      </w:divBdr>
      <w:divsChild>
        <w:div w:id="1517503499">
          <w:marLeft w:val="0"/>
          <w:marRight w:val="0"/>
          <w:marTop w:val="0"/>
          <w:marBottom w:val="0"/>
          <w:divBdr>
            <w:top w:val="none" w:sz="0" w:space="0" w:color="auto"/>
            <w:left w:val="none" w:sz="0" w:space="0" w:color="auto"/>
            <w:bottom w:val="none" w:sz="0" w:space="0" w:color="auto"/>
            <w:right w:val="none" w:sz="0" w:space="0" w:color="auto"/>
          </w:divBdr>
          <w:divsChild>
            <w:div w:id="1391658310">
              <w:marLeft w:val="0"/>
              <w:marRight w:val="0"/>
              <w:marTop w:val="0"/>
              <w:marBottom w:val="0"/>
              <w:divBdr>
                <w:top w:val="none" w:sz="0" w:space="0" w:color="auto"/>
                <w:left w:val="none" w:sz="0" w:space="0" w:color="auto"/>
                <w:bottom w:val="none" w:sz="0" w:space="0" w:color="auto"/>
                <w:right w:val="none" w:sz="0" w:space="0" w:color="auto"/>
              </w:divBdr>
              <w:divsChild>
                <w:div w:id="250117624">
                  <w:marLeft w:val="0"/>
                  <w:marRight w:val="0"/>
                  <w:marTop w:val="0"/>
                  <w:marBottom w:val="0"/>
                  <w:divBdr>
                    <w:top w:val="none" w:sz="0" w:space="0" w:color="auto"/>
                    <w:left w:val="none" w:sz="0" w:space="0" w:color="auto"/>
                    <w:bottom w:val="none" w:sz="0" w:space="0" w:color="auto"/>
                    <w:right w:val="none" w:sz="0" w:space="0" w:color="auto"/>
                  </w:divBdr>
                  <w:divsChild>
                    <w:div w:id="150982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955675">
      <w:bodyDiv w:val="1"/>
      <w:marLeft w:val="0"/>
      <w:marRight w:val="0"/>
      <w:marTop w:val="0"/>
      <w:marBottom w:val="0"/>
      <w:divBdr>
        <w:top w:val="none" w:sz="0" w:space="0" w:color="auto"/>
        <w:left w:val="none" w:sz="0" w:space="0" w:color="auto"/>
        <w:bottom w:val="none" w:sz="0" w:space="0" w:color="auto"/>
        <w:right w:val="none" w:sz="0" w:space="0" w:color="auto"/>
      </w:divBdr>
    </w:div>
    <w:div w:id="379936137">
      <w:bodyDiv w:val="1"/>
      <w:marLeft w:val="0"/>
      <w:marRight w:val="0"/>
      <w:marTop w:val="0"/>
      <w:marBottom w:val="0"/>
      <w:divBdr>
        <w:top w:val="none" w:sz="0" w:space="0" w:color="auto"/>
        <w:left w:val="none" w:sz="0" w:space="0" w:color="auto"/>
        <w:bottom w:val="none" w:sz="0" w:space="0" w:color="auto"/>
        <w:right w:val="none" w:sz="0" w:space="0" w:color="auto"/>
      </w:divBdr>
    </w:div>
    <w:div w:id="669259370">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550">
      <w:bodyDiv w:val="1"/>
      <w:marLeft w:val="0"/>
      <w:marRight w:val="0"/>
      <w:marTop w:val="0"/>
      <w:marBottom w:val="0"/>
      <w:divBdr>
        <w:top w:val="none" w:sz="0" w:space="0" w:color="auto"/>
        <w:left w:val="none" w:sz="0" w:space="0" w:color="auto"/>
        <w:bottom w:val="none" w:sz="0" w:space="0" w:color="auto"/>
        <w:right w:val="none" w:sz="0" w:space="0" w:color="auto"/>
      </w:divBdr>
    </w:div>
    <w:div w:id="862665739">
      <w:bodyDiv w:val="1"/>
      <w:marLeft w:val="0"/>
      <w:marRight w:val="0"/>
      <w:marTop w:val="0"/>
      <w:marBottom w:val="0"/>
      <w:divBdr>
        <w:top w:val="none" w:sz="0" w:space="0" w:color="auto"/>
        <w:left w:val="none" w:sz="0" w:space="0" w:color="auto"/>
        <w:bottom w:val="none" w:sz="0" w:space="0" w:color="auto"/>
        <w:right w:val="none" w:sz="0" w:space="0" w:color="auto"/>
      </w:divBdr>
      <w:divsChild>
        <w:div w:id="488063325">
          <w:marLeft w:val="0"/>
          <w:marRight w:val="0"/>
          <w:marTop w:val="0"/>
          <w:marBottom w:val="0"/>
          <w:divBdr>
            <w:top w:val="none" w:sz="0" w:space="0" w:color="auto"/>
            <w:left w:val="none" w:sz="0" w:space="0" w:color="auto"/>
            <w:bottom w:val="none" w:sz="0" w:space="0" w:color="auto"/>
            <w:right w:val="none" w:sz="0" w:space="0" w:color="auto"/>
          </w:divBdr>
          <w:divsChild>
            <w:div w:id="2101096088">
              <w:marLeft w:val="0"/>
              <w:marRight w:val="0"/>
              <w:marTop w:val="0"/>
              <w:marBottom w:val="0"/>
              <w:divBdr>
                <w:top w:val="none" w:sz="0" w:space="0" w:color="auto"/>
                <w:left w:val="none" w:sz="0" w:space="0" w:color="auto"/>
                <w:bottom w:val="none" w:sz="0" w:space="0" w:color="auto"/>
                <w:right w:val="none" w:sz="0" w:space="0" w:color="auto"/>
              </w:divBdr>
              <w:divsChild>
                <w:div w:id="539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54314">
      <w:bodyDiv w:val="1"/>
      <w:marLeft w:val="0"/>
      <w:marRight w:val="0"/>
      <w:marTop w:val="0"/>
      <w:marBottom w:val="0"/>
      <w:divBdr>
        <w:top w:val="none" w:sz="0" w:space="0" w:color="auto"/>
        <w:left w:val="none" w:sz="0" w:space="0" w:color="auto"/>
        <w:bottom w:val="none" w:sz="0" w:space="0" w:color="auto"/>
        <w:right w:val="none" w:sz="0" w:space="0" w:color="auto"/>
      </w:divBdr>
    </w:div>
    <w:div w:id="1116949252">
      <w:bodyDiv w:val="1"/>
      <w:marLeft w:val="0"/>
      <w:marRight w:val="0"/>
      <w:marTop w:val="0"/>
      <w:marBottom w:val="0"/>
      <w:divBdr>
        <w:top w:val="none" w:sz="0" w:space="0" w:color="auto"/>
        <w:left w:val="none" w:sz="0" w:space="0" w:color="auto"/>
        <w:bottom w:val="none" w:sz="0" w:space="0" w:color="auto"/>
        <w:right w:val="none" w:sz="0" w:space="0" w:color="auto"/>
      </w:divBdr>
    </w:div>
    <w:div w:id="1189567432">
      <w:bodyDiv w:val="1"/>
      <w:marLeft w:val="0"/>
      <w:marRight w:val="0"/>
      <w:marTop w:val="0"/>
      <w:marBottom w:val="0"/>
      <w:divBdr>
        <w:top w:val="none" w:sz="0" w:space="0" w:color="auto"/>
        <w:left w:val="none" w:sz="0" w:space="0" w:color="auto"/>
        <w:bottom w:val="none" w:sz="0" w:space="0" w:color="auto"/>
        <w:right w:val="none" w:sz="0" w:space="0" w:color="auto"/>
      </w:divBdr>
    </w:div>
    <w:div w:id="1208102001">
      <w:bodyDiv w:val="1"/>
      <w:marLeft w:val="0"/>
      <w:marRight w:val="0"/>
      <w:marTop w:val="0"/>
      <w:marBottom w:val="0"/>
      <w:divBdr>
        <w:top w:val="none" w:sz="0" w:space="0" w:color="auto"/>
        <w:left w:val="none" w:sz="0" w:space="0" w:color="auto"/>
        <w:bottom w:val="none" w:sz="0" w:space="0" w:color="auto"/>
        <w:right w:val="none" w:sz="0" w:space="0" w:color="auto"/>
      </w:divBdr>
    </w:div>
    <w:div w:id="1422215875">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49618530">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16723958">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56524">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Users\yana.madonna\Desktop\Oils,%20beta-carotene\olio_grafico_completo.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yana.madonna\Desktop\Oils,%20beta-carotene\olio_grafico_completo.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solidFill>
                <a:latin typeface="Arial" panose="020B0604020202020204" pitchFamily="34" charset="0"/>
                <a:ea typeface="+mn-ea"/>
                <a:cs typeface="Arial" panose="020B0604020202020204" pitchFamily="34" charset="0"/>
              </a:defRPr>
            </a:pPr>
            <a:r>
              <a:rPr lang="en-US" sz="900" b="0">
                <a:solidFill>
                  <a:schemeClr val="tx1"/>
                </a:solidFill>
                <a:latin typeface="Arial" panose="020B0604020202020204" pitchFamily="34" charset="0"/>
                <a:cs typeface="Arial" panose="020B0604020202020204" pitchFamily="34" charset="0"/>
              </a:rPr>
              <a:t>Fatty</a:t>
            </a:r>
            <a:r>
              <a:rPr lang="en-US" sz="900" b="0" baseline="0">
                <a:solidFill>
                  <a:schemeClr val="tx1"/>
                </a:solidFill>
                <a:latin typeface="Arial" panose="020B0604020202020204" pitchFamily="34" charset="0"/>
                <a:cs typeface="Arial" panose="020B0604020202020204" pitchFamily="34" charset="0"/>
              </a:rPr>
              <a:t> acids Coconut oil</a:t>
            </a:r>
            <a:endParaRPr lang="en-US" sz="900" b="0">
              <a:solidFill>
                <a:schemeClr val="tx1"/>
              </a:solidFill>
              <a:latin typeface="Arial" panose="020B0604020202020204" pitchFamily="34" charset="0"/>
              <a:cs typeface="Arial" panose="020B0604020202020204" pitchFamily="34" charset="0"/>
            </a:endParaRPr>
          </a:p>
        </c:rich>
      </c:tx>
      <c:layout>
        <c:manualLayout>
          <c:xMode val="edge"/>
          <c:yMode val="edge"/>
          <c:x val="0.38948857904548745"/>
          <c:y val="2.5445292620865138E-2"/>
        </c:manualLayout>
      </c:layout>
      <c:overlay val="0"/>
      <c:spPr>
        <a:noFill/>
        <a:ln>
          <a:noFill/>
        </a:ln>
        <a:effectLst/>
      </c:spPr>
      <c:txPr>
        <a:bodyPr rot="0" spcFirstLastPara="1" vertOverflow="ellipsis" vert="horz" wrap="square" anchor="ctr" anchorCtr="1"/>
        <a:lstStyle/>
        <a:p>
          <a:pPr>
            <a:defRPr sz="9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0902888932528805"/>
          <c:y val="0.10274297324754487"/>
          <c:w val="0.66346200233682784"/>
          <c:h val="0.83595462695875888"/>
        </c:manualLayout>
      </c:layout>
      <c:barChart>
        <c:barDir val="col"/>
        <c:grouping val="clustered"/>
        <c:varyColors val="0"/>
        <c:ser>
          <c:idx val="1"/>
          <c:order val="1"/>
          <c:tx>
            <c:v>SFA Oil </c:v>
          </c:tx>
          <c:spPr>
            <a:solidFill>
              <a:srgbClr val="9437FF"/>
            </a:solidFill>
            <a:ln>
              <a:solidFill>
                <a:schemeClr val="tx1"/>
              </a:solidFill>
            </a:ln>
            <a:effectLst/>
          </c:spPr>
          <c:invertIfNegative val="0"/>
          <c:val>
            <c:numRef>
              <c:f>'Coconut oil'!$X$10</c:f>
              <c:numCache>
                <c:formatCode>General</c:formatCode>
                <c:ptCount val="1"/>
                <c:pt idx="0">
                  <c:v>0</c:v>
                </c:pt>
              </c:numCache>
            </c:numRef>
          </c:val>
          <c:extLst>
            <c:ext xmlns:c16="http://schemas.microsoft.com/office/drawing/2014/chart" uri="{C3380CC4-5D6E-409C-BE32-E72D297353CC}">
              <c16:uniqueId val="{00000000-C92F-AB44-9649-6520C43A544F}"/>
            </c:ext>
          </c:extLst>
        </c:ser>
        <c:dLbls>
          <c:showLegendKey val="0"/>
          <c:showVal val="0"/>
          <c:showCatName val="0"/>
          <c:showSerName val="0"/>
          <c:showPercent val="0"/>
          <c:showBubbleSize val="0"/>
        </c:dLbls>
        <c:gapWidth val="0"/>
        <c:overlap val="-27"/>
        <c:axId val="606158576"/>
        <c:axId val="606160304"/>
      </c:barChart>
      <c:barChart>
        <c:barDir val="col"/>
        <c:grouping val="clustered"/>
        <c:varyColors val="0"/>
        <c:ser>
          <c:idx val="0"/>
          <c:order val="0"/>
          <c:tx>
            <c:strRef>
              <c:f>'Coconut oil'!$D$1</c:f>
              <c:strCache>
                <c:ptCount val="1"/>
                <c:pt idx="0">
                  <c:v>Valore</c:v>
                </c:pt>
              </c:strCache>
            </c:strRef>
          </c:tx>
          <c:spPr>
            <a:solidFill>
              <a:srgbClr val="6CC5E2"/>
            </a:solidFill>
            <a:ln w="15875">
              <a:solidFill>
                <a:schemeClr val="tx1"/>
              </a:solidFill>
            </a:ln>
            <a:effectLst/>
          </c:spPr>
          <c:invertIfNegative val="0"/>
          <c:dPt>
            <c:idx val="0"/>
            <c:invertIfNegative val="0"/>
            <c:bubble3D val="0"/>
            <c:spPr>
              <a:solidFill>
                <a:srgbClr val="9437FF"/>
              </a:solidFill>
              <a:ln w="15875">
                <a:solidFill>
                  <a:schemeClr val="tx1"/>
                </a:solidFill>
              </a:ln>
              <a:effectLst/>
            </c:spPr>
            <c:extLst>
              <c:ext xmlns:c16="http://schemas.microsoft.com/office/drawing/2014/chart" uri="{C3380CC4-5D6E-409C-BE32-E72D297353CC}">
                <c16:uniqueId val="{00000002-C92F-AB44-9649-6520C43A544F}"/>
              </c:ext>
            </c:extLst>
          </c:dPt>
          <c:dPt>
            <c:idx val="1"/>
            <c:invertIfNegative val="0"/>
            <c:bubble3D val="0"/>
            <c:spPr>
              <a:solidFill>
                <a:srgbClr val="9437FF"/>
              </a:solidFill>
              <a:ln w="15875">
                <a:solidFill>
                  <a:schemeClr val="tx1"/>
                </a:solidFill>
              </a:ln>
              <a:effectLst/>
            </c:spPr>
            <c:extLst>
              <c:ext xmlns:c16="http://schemas.microsoft.com/office/drawing/2014/chart" uri="{C3380CC4-5D6E-409C-BE32-E72D297353CC}">
                <c16:uniqueId val="{00000004-C92F-AB44-9649-6520C43A544F}"/>
              </c:ext>
            </c:extLst>
          </c:dPt>
          <c:dPt>
            <c:idx val="2"/>
            <c:invertIfNegative val="0"/>
            <c:bubble3D val="0"/>
            <c:spPr>
              <a:solidFill>
                <a:srgbClr val="9437FF"/>
              </a:solidFill>
              <a:ln w="15875">
                <a:solidFill>
                  <a:schemeClr val="tx1"/>
                </a:solidFill>
              </a:ln>
              <a:effectLst/>
            </c:spPr>
            <c:extLst>
              <c:ext xmlns:c16="http://schemas.microsoft.com/office/drawing/2014/chart" uri="{C3380CC4-5D6E-409C-BE32-E72D297353CC}">
                <c16:uniqueId val="{00000006-C92F-AB44-9649-6520C43A544F}"/>
              </c:ext>
            </c:extLst>
          </c:dPt>
          <c:dPt>
            <c:idx val="3"/>
            <c:invertIfNegative val="0"/>
            <c:bubble3D val="0"/>
            <c:spPr>
              <a:solidFill>
                <a:srgbClr val="9437FF"/>
              </a:solidFill>
              <a:ln w="15875">
                <a:solidFill>
                  <a:schemeClr val="tx1"/>
                </a:solidFill>
              </a:ln>
              <a:effectLst/>
            </c:spPr>
            <c:extLst>
              <c:ext xmlns:c16="http://schemas.microsoft.com/office/drawing/2014/chart" uri="{C3380CC4-5D6E-409C-BE32-E72D297353CC}">
                <c16:uniqueId val="{00000008-C92F-AB44-9649-6520C43A544F}"/>
              </c:ext>
            </c:extLst>
          </c:dPt>
          <c:dPt>
            <c:idx val="4"/>
            <c:invertIfNegative val="0"/>
            <c:bubble3D val="0"/>
            <c:spPr>
              <a:solidFill>
                <a:srgbClr val="9437FF"/>
              </a:solidFill>
              <a:ln w="15875">
                <a:solidFill>
                  <a:schemeClr val="tx1"/>
                </a:solidFill>
              </a:ln>
              <a:effectLst/>
            </c:spPr>
            <c:extLst>
              <c:ext xmlns:c16="http://schemas.microsoft.com/office/drawing/2014/chart" uri="{C3380CC4-5D6E-409C-BE32-E72D297353CC}">
                <c16:uniqueId val="{0000000A-C92F-AB44-9649-6520C43A544F}"/>
              </c:ext>
            </c:extLst>
          </c:dPt>
          <c:dPt>
            <c:idx val="5"/>
            <c:invertIfNegative val="0"/>
            <c:bubble3D val="0"/>
            <c:spPr>
              <a:solidFill>
                <a:srgbClr val="9437FF"/>
              </a:solidFill>
              <a:ln w="15875">
                <a:solidFill>
                  <a:schemeClr val="tx1"/>
                </a:solidFill>
              </a:ln>
              <a:effectLst/>
            </c:spPr>
            <c:extLst>
              <c:ext xmlns:c16="http://schemas.microsoft.com/office/drawing/2014/chart" uri="{C3380CC4-5D6E-409C-BE32-E72D297353CC}">
                <c16:uniqueId val="{0000000C-C92F-AB44-9649-6520C43A544F}"/>
              </c:ext>
            </c:extLst>
          </c:dPt>
          <c:dPt>
            <c:idx val="6"/>
            <c:invertIfNegative val="0"/>
            <c:bubble3D val="0"/>
            <c:spPr>
              <a:solidFill>
                <a:srgbClr val="9437FF"/>
              </a:solidFill>
              <a:ln w="15875">
                <a:solidFill>
                  <a:schemeClr val="tx1"/>
                </a:solidFill>
              </a:ln>
              <a:effectLst/>
            </c:spPr>
            <c:extLst>
              <c:ext xmlns:c16="http://schemas.microsoft.com/office/drawing/2014/chart" uri="{C3380CC4-5D6E-409C-BE32-E72D297353CC}">
                <c16:uniqueId val="{0000000E-C92F-AB44-9649-6520C43A544F}"/>
              </c:ext>
            </c:extLst>
          </c:dPt>
          <c:dPt>
            <c:idx val="7"/>
            <c:invertIfNegative val="0"/>
            <c:bubble3D val="0"/>
            <c:spPr>
              <a:solidFill>
                <a:srgbClr val="9437FF">
                  <a:alpha val="60000"/>
                </a:srgbClr>
              </a:solidFill>
              <a:ln w="15875">
                <a:solidFill>
                  <a:schemeClr val="tx1"/>
                </a:solidFill>
              </a:ln>
              <a:effectLst/>
            </c:spPr>
            <c:extLst>
              <c:ext xmlns:c16="http://schemas.microsoft.com/office/drawing/2014/chart" uri="{C3380CC4-5D6E-409C-BE32-E72D297353CC}">
                <c16:uniqueId val="{00000010-C92F-AB44-9649-6520C43A544F}"/>
              </c:ext>
            </c:extLst>
          </c:dPt>
          <c:dPt>
            <c:idx val="8"/>
            <c:invertIfNegative val="0"/>
            <c:bubble3D val="0"/>
            <c:spPr>
              <a:solidFill>
                <a:srgbClr val="9437FF">
                  <a:alpha val="60000"/>
                </a:srgbClr>
              </a:solidFill>
              <a:ln w="15875">
                <a:solidFill>
                  <a:schemeClr val="tx1"/>
                </a:solidFill>
              </a:ln>
              <a:effectLst/>
            </c:spPr>
            <c:extLst>
              <c:ext xmlns:c16="http://schemas.microsoft.com/office/drawing/2014/chart" uri="{C3380CC4-5D6E-409C-BE32-E72D297353CC}">
                <c16:uniqueId val="{00000012-C92F-AB44-9649-6520C43A544F}"/>
              </c:ext>
            </c:extLst>
          </c:dPt>
          <c:dPt>
            <c:idx val="9"/>
            <c:invertIfNegative val="0"/>
            <c:bubble3D val="0"/>
            <c:spPr>
              <a:solidFill>
                <a:srgbClr val="BF87FF"/>
              </a:solidFill>
              <a:ln w="15875">
                <a:solidFill>
                  <a:schemeClr val="tx1"/>
                </a:solidFill>
              </a:ln>
              <a:effectLst/>
            </c:spPr>
            <c:extLst>
              <c:ext xmlns:c16="http://schemas.microsoft.com/office/drawing/2014/chart" uri="{C3380CC4-5D6E-409C-BE32-E72D297353CC}">
                <c16:uniqueId val="{00000014-C92F-AB44-9649-6520C43A544F}"/>
              </c:ext>
            </c:extLst>
          </c:dPt>
          <c:dPt>
            <c:idx val="10"/>
            <c:invertIfNegative val="0"/>
            <c:bubble3D val="0"/>
            <c:spPr>
              <a:solidFill>
                <a:srgbClr val="BF87FF"/>
              </a:solidFill>
              <a:ln w="15875">
                <a:solidFill>
                  <a:schemeClr val="tx1"/>
                </a:solidFill>
              </a:ln>
              <a:effectLst/>
            </c:spPr>
            <c:extLst>
              <c:ext xmlns:c16="http://schemas.microsoft.com/office/drawing/2014/chart" uri="{C3380CC4-5D6E-409C-BE32-E72D297353CC}">
                <c16:uniqueId val="{00000016-C92F-AB44-9649-6520C43A544F}"/>
              </c:ext>
            </c:extLst>
          </c:dPt>
          <c:dPt>
            <c:idx val="11"/>
            <c:invertIfNegative val="0"/>
            <c:bubble3D val="0"/>
            <c:spPr>
              <a:solidFill>
                <a:srgbClr val="BF87FF"/>
              </a:solidFill>
              <a:ln w="15875">
                <a:solidFill>
                  <a:schemeClr val="tx1"/>
                </a:solidFill>
              </a:ln>
              <a:effectLst/>
            </c:spPr>
            <c:extLst>
              <c:ext xmlns:c16="http://schemas.microsoft.com/office/drawing/2014/chart" uri="{C3380CC4-5D6E-409C-BE32-E72D297353CC}">
                <c16:uniqueId val="{00000018-C92F-AB44-9649-6520C43A544F}"/>
              </c:ext>
            </c:extLst>
          </c:dPt>
          <c:dPt>
            <c:idx val="12"/>
            <c:invertIfNegative val="0"/>
            <c:bubble3D val="0"/>
            <c:spPr>
              <a:solidFill>
                <a:srgbClr val="BF87FF"/>
              </a:solidFill>
              <a:ln w="15875">
                <a:solidFill>
                  <a:schemeClr val="tx1"/>
                </a:solidFill>
              </a:ln>
              <a:effectLst/>
            </c:spPr>
            <c:extLst>
              <c:ext xmlns:c16="http://schemas.microsoft.com/office/drawing/2014/chart" uri="{C3380CC4-5D6E-409C-BE32-E72D297353CC}">
                <c16:uniqueId val="{0000001A-C92F-AB44-9649-6520C43A544F}"/>
              </c:ext>
            </c:extLst>
          </c:dPt>
          <c:dPt>
            <c:idx val="13"/>
            <c:invertIfNegative val="0"/>
            <c:bubble3D val="0"/>
            <c:spPr>
              <a:solidFill>
                <a:srgbClr val="BF87FF"/>
              </a:solidFill>
              <a:ln w="15875">
                <a:solidFill>
                  <a:schemeClr val="tx1"/>
                </a:solidFill>
              </a:ln>
              <a:effectLst/>
            </c:spPr>
            <c:extLst>
              <c:ext xmlns:c16="http://schemas.microsoft.com/office/drawing/2014/chart" uri="{C3380CC4-5D6E-409C-BE32-E72D297353CC}">
                <c16:uniqueId val="{0000001C-C92F-AB44-9649-6520C43A544F}"/>
              </c:ext>
            </c:extLst>
          </c:dPt>
          <c:dPt>
            <c:idx val="14"/>
            <c:invertIfNegative val="0"/>
            <c:bubble3D val="0"/>
            <c:spPr>
              <a:solidFill>
                <a:srgbClr val="BF87FF">
                  <a:alpha val="40000"/>
                </a:srgbClr>
              </a:solidFill>
              <a:ln w="15875">
                <a:solidFill>
                  <a:schemeClr val="tx1"/>
                </a:solidFill>
              </a:ln>
              <a:effectLst/>
            </c:spPr>
            <c:extLst>
              <c:ext xmlns:c16="http://schemas.microsoft.com/office/drawing/2014/chart" uri="{C3380CC4-5D6E-409C-BE32-E72D297353CC}">
                <c16:uniqueId val="{0000001E-C92F-AB44-9649-6520C43A544F}"/>
              </c:ext>
            </c:extLst>
          </c:dPt>
          <c:dPt>
            <c:idx val="15"/>
            <c:invertIfNegative val="0"/>
            <c:bubble3D val="0"/>
            <c:spPr>
              <a:solidFill>
                <a:srgbClr val="E5CFFF"/>
              </a:solidFill>
              <a:ln w="15875">
                <a:solidFill>
                  <a:schemeClr val="tx1"/>
                </a:solidFill>
              </a:ln>
              <a:effectLst/>
            </c:spPr>
            <c:extLst>
              <c:ext xmlns:c16="http://schemas.microsoft.com/office/drawing/2014/chart" uri="{C3380CC4-5D6E-409C-BE32-E72D297353CC}">
                <c16:uniqueId val="{00000020-C92F-AB44-9649-6520C43A544F}"/>
              </c:ext>
            </c:extLst>
          </c:dPt>
          <c:dPt>
            <c:idx val="16"/>
            <c:invertIfNegative val="0"/>
            <c:bubble3D val="0"/>
            <c:spPr>
              <a:solidFill>
                <a:srgbClr val="E5CFFF"/>
              </a:solidFill>
              <a:ln w="15875">
                <a:solidFill>
                  <a:schemeClr val="tx1"/>
                </a:solidFill>
              </a:ln>
              <a:effectLst/>
            </c:spPr>
            <c:extLst>
              <c:ext xmlns:c16="http://schemas.microsoft.com/office/drawing/2014/chart" uri="{C3380CC4-5D6E-409C-BE32-E72D297353CC}">
                <c16:uniqueId val="{00000022-C92F-AB44-9649-6520C43A544F}"/>
              </c:ext>
            </c:extLst>
          </c:dPt>
          <c:dPt>
            <c:idx val="17"/>
            <c:invertIfNegative val="0"/>
            <c:bubble3D val="0"/>
            <c:spPr>
              <a:solidFill>
                <a:srgbClr val="E5CFFF"/>
              </a:solidFill>
              <a:ln w="15875">
                <a:solidFill>
                  <a:schemeClr val="tx1"/>
                </a:solidFill>
              </a:ln>
              <a:effectLst/>
            </c:spPr>
            <c:extLst>
              <c:ext xmlns:c16="http://schemas.microsoft.com/office/drawing/2014/chart" uri="{C3380CC4-5D6E-409C-BE32-E72D297353CC}">
                <c16:uniqueId val="{00000024-C92F-AB44-9649-6520C43A544F}"/>
              </c:ext>
            </c:extLst>
          </c:dPt>
          <c:dPt>
            <c:idx val="18"/>
            <c:invertIfNegative val="0"/>
            <c:bubble3D val="0"/>
            <c:spPr>
              <a:solidFill>
                <a:srgbClr val="E5CFFF"/>
              </a:solidFill>
              <a:ln w="15875">
                <a:solidFill>
                  <a:schemeClr val="tx1"/>
                </a:solidFill>
              </a:ln>
              <a:effectLst/>
            </c:spPr>
            <c:extLst>
              <c:ext xmlns:c16="http://schemas.microsoft.com/office/drawing/2014/chart" uri="{C3380CC4-5D6E-409C-BE32-E72D297353CC}">
                <c16:uniqueId val="{00000026-C92F-AB44-9649-6520C43A544F}"/>
              </c:ext>
            </c:extLst>
          </c:dPt>
          <c:dPt>
            <c:idx val="19"/>
            <c:invertIfNegative val="0"/>
            <c:bubble3D val="0"/>
            <c:spPr>
              <a:solidFill>
                <a:srgbClr val="E5CFFF"/>
              </a:solidFill>
              <a:ln w="15875">
                <a:solidFill>
                  <a:schemeClr val="tx1"/>
                </a:solidFill>
              </a:ln>
              <a:effectLst/>
            </c:spPr>
            <c:extLst>
              <c:ext xmlns:c16="http://schemas.microsoft.com/office/drawing/2014/chart" uri="{C3380CC4-5D6E-409C-BE32-E72D297353CC}">
                <c16:uniqueId val="{00000028-C92F-AB44-9649-6520C43A544F}"/>
              </c:ext>
            </c:extLst>
          </c:dPt>
          <c:dPt>
            <c:idx val="20"/>
            <c:invertIfNegative val="0"/>
            <c:bubble3D val="0"/>
            <c:spPr>
              <a:solidFill>
                <a:srgbClr val="E5CFFF"/>
              </a:solidFill>
              <a:ln w="15875">
                <a:solidFill>
                  <a:schemeClr val="tx1"/>
                </a:solidFill>
              </a:ln>
              <a:effectLst/>
            </c:spPr>
            <c:extLst>
              <c:ext xmlns:c16="http://schemas.microsoft.com/office/drawing/2014/chart" uri="{C3380CC4-5D6E-409C-BE32-E72D297353CC}">
                <c16:uniqueId val="{0000002A-C92F-AB44-9649-6520C43A544F}"/>
              </c:ext>
            </c:extLst>
          </c:dPt>
          <c:dPt>
            <c:idx val="23"/>
            <c:invertIfNegative val="0"/>
            <c:bubble3D val="0"/>
            <c:spPr>
              <a:solidFill>
                <a:schemeClr val="accent6">
                  <a:lumMod val="75000"/>
                </a:schemeClr>
              </a:solidFill>
              <a:ln w="15875">
                <a:solidFill>
                  <a:schemeClr val="tx1"/>
                </a:solidFill>
              </a:ln>
              <a:effectLst/>
            </c:spPr>
            <c:extLst>
              <c:ext xmlns:c16="http://schemas.microsoft.com/office/drawing/2014/chart" uri="{C3380CC4-5D6E-409C-BE32-E72D297353CC}">
                <c16:uniqueId val="{0000002C-C92F-AB44-9649-6520C43A544F}"/>
              </c:ext>
            </c:extLst>
          </c:dPt>
          <c:dPt>
            <c:idx val="24"/>
            <c:invertIfNegative val="0"/>
            <c:bubble3D val="0"/>
            <c:spPr>
              <a:solidFill>
                <a:schemeClr val="accent6">
                  <a:lumMod val="75000"/>
                </a:schemeClr>
              </a:solidFill>
              <a:ln w="15875">
                <a:solidFill>
                  <a:schemeClr val="tx1"/>
                </a:solidFill>
              </a:ln>
              <a:effectLst/>
            </c:spPr>
            <c:extLst>
              <c:ext xmlns:c16="http://schemas.microsoft.com/office/drawing/2014/chart" uri="{C3380CC4-5D6E-409C-BE32-E72D297353CC}">
                <c16:uniqueId val="{0000002E-C92F-AB44-9649-6520C43A544F}"/>
              </c:ext>
            </c:extLst>
          </c:dPt>
          <c:dPt>
            <c:idx val="25"/>
            <c:invertIfNegative val="0"/>
            <c:bubble3D val="0"/>
            <c:spPr>
              <a:solidFill>
                <a:schemeClr val="accent6">
                  <a:lumMod val="75000"/>
                </a:schemeClr>
              </a:solidFill>
              <a:ln w="15875">
                <a:solidFill>
                  <a:schemeClr val="tx1"/>
                </a:solidFill>
              </a:ln>
              <a:effectLst/>
            </c:spPr>
            <c:extLst>
              <c:ext xmlns:c16="http://schemas.microsoft.com/office/drawing/2014/chart" uri="{C3380CC4-5D6E-409C-BE32-E72D297353CC}">
                <c16:uniqueId val="{00000030-C92F-AB44-9649-6520C43A544F}"/>
              </c:ext>
            </c:extLst>
          </c:dPt>
          <c:dPt>
            <c:idx val="26"/>
            <c:invertIfNegative val="0"/>
            <c:bubble3D val="0"/>
            <c:spPr>
              <a:solidFill>
                <a:schemeClr val="accent6">
                  <a:lumMod val="75000"/>
                </a:schemeClr>
              </a:solidFill>
              <a:ln w="15875">
                <a:solidFill>
                  <a:schemeClr val="tx1"/>
                </a:solidFill>
              </a:ln>
              <a:effectLst/>
            </c:spPr>
            <c:extLst>
              <c:ext xmlns:c16="http://schemas.microsoft.com/office/drawing/2014/chart" uri="{C3380CC4-5D6E-409C-BE32-E72D297353CC}">
                <c16:uniqueId val="{00000032-C92F-AB44-9649-6520C43A544F}"/>
              </c:ext>
            </c:extLst>
          </c:dPt>
          <c:dPt>
            <c:idx val="27"/>
            <c:invertIfNegative val="0"/>
            <c:bubble3D val="0"/>
            <c:spPr>
              <a:solidFill>
                <a:schemeClr val="accent6">
                  <a:lumMod val="75000"/>
                </a:schemeClr>
              </a:solidFill>
              <a:ln w="15875">
                <a:solidFill>
                  <a:schemeClr val="tx1"/>
                </a:solidFill>
              </a:ln>
              <a:effectLst/>
            </c:spPr>
            <c:extLst>
              <c:ext xmlns:c16="http://schemas.microsoft.com/office/drawing/2014/chart" uri="{C3380CC4-5D6E-409C-BE32-E72D297353CC}">
                <c16:uniqueId val="{00000034-C92F-AB44-9649-6520C43A544F}"/>
              </c:ext>
            </c:extLst>
          </c:dPt>
          <c:dPt>
            <c:idx val="28"/>
            <c:invertIfNegative val="0"/>
            <c:bubble3D val="0"/>
            <c:spPr>
              <a:solidFill>
                <a:schemeClr val="accent6">
                  <a:lumMod val="75000"/>
                </a:schemeClr>
              </a:solidFill>
              <a:ln w="15875">
                <a:solidFill>
                  <a:schemeClr val="tx1"/>
                </a:solidFill>
              </a:ln>
              <a:effectLst/>
            </c:spPr>
            <c:extLst>
              <c:ext xmlns:c16="http://schemas.microsoft.com/office/drawing/2014/chart" uri="{C3380CC4-5D6E-409C-BE32-E72D297353CC}">
                <c16:uniqueId val="{00000036-C92F-AB44-9649-6520C43A544F}"/>
              </c:ext>
            </c:extLst>
          </c:dPt>
          <c:dPt>
            <c:idx val="29"/>
            <c:invertIfNegative val="0"/>
            <c:bubble3D val="0"/>
            <c:spPr>
              <a:solidFill>
                <a:schemeClr val="accent6">
                  <a:lumMod val="75000"/>
                </a:schemeClr>
              </a:solidFill>
              <a:ln w="15875">
                <a:solidFill>
                  <a:schemeClr val="tx1"/>
                </a:solidFill>
              </a:ln>
              <a:effectLst/>
            </c:spPr>
            <c:extLst>
              <c:ext xmlns:c16="http://schemas.microsoft.com/office/drawing/2014/chart" uri="{C3380CC4-5D6E-409C-BE32-E72D297353CC}">
                <c16:uniqueId val="{00000038-C92F-AB44-9649-6520C43A544F}"/>
              </c:ext>
            </c:extLst>
          </c:dPt>
          <c:dPt>
            <c:idx val="30"/>
            <c:invertIfNegative val="0"/>
            <c:bubble3D val="0"/>
            <c:spPr>
              <a:solidFill>
                <a:schemeClr val="accent6">
                  <a:lumMod val="60000"/>
                  <a:lumOff val="40000"/>
                </a:schemeClr>
              </a:solidFill>
              <a:ln w="15875">
                <a:solidFill>
                  <a:schemeClr val="tx1"/>
                </a:solidFill>
              </a:ln>
              <a:effectLst/>
            </c:spPr>
            <c:extLst>
              <c:ext xmlns:c16="http://schemas.microsoft.com/office/drawing/2014/chart" uri="{C3380CC4-5D6E-409C-BE32-E72D297353CC}">
                <c16:uniqueId val="{0000003A-C92F-AB44-9649-6520C43A544F}"/>
              </c:ext>
            </c:extLst>
          </c:dPt>
          <c:dPt>
            <c:idx val="31"/>
            <c:invertIfNegative val="0"/>
            <c:bubble3D val="0"/>
            <c:spPr>
              <a:solidFill>
                <a:schemeClr val="accent6">
                  <a:lumMod val="60000"/>
                  <a:lumOff val="40000"/>
                </a:schemeClr>
              </a:solidFill>
              <a:ln w="15875">
                <a:solidFill>
                  <a:schemeClr val="tx1"/>
                </a:solidFill>
              </a:ln>
              <a:effectLst/>
            </c:spPr>
            <c:extLst>
              <c:ext xmlns:c16="http://schemas.microsoft.com/office/drawing/2014/chart" uri="{C3380CC4-5D6E-409C-BE32-E72D297353CC}">
                <c16:uniqueId val="{0000003C-C92F-AB44-9649-6520C43A544F}"/>
              </c:ext>
            </c:extLst>
          </c:dPt>
          <c:dPt>
            <c:idx val="32"/>
            <c:invertIfNegative val="0"/>
            <c:bubble3D val="0"/>
            <c:spPr>
              <a:solidFill>
                <a:schemeClr val="accent6">
                  <a:lumMod val="60000"/>
                  <a:lumOff val="40000"/>
                </a:schemeClr>
              </a:solidFill>
              <a:ln w="15875">
                <a:solidFill>
                  <a:schemeClr val="tx1"/>
                </a:solidFill>
              </a:ln>
              <a:effectLst/>
            </c:spPr>
            <c:extLst>
              <c:ext xmlns:c16="http://schemas.microsoft.com/office/drawing/2014/chart" uri="{C3380CC4-5D6E-409C-BE32-E72D297353CC}">
                <c16:uniqueId val="{0000003E-C92F-AB44-9649-6520C43A544F}"/>
              </c:ext>
            </c:extLst>
          </c:dPt>
          <c:dPt>
            <c:idx val="33"/>
            <c:invertIfNegative val="0"/>
            <c:bubble3D val="0"/>
            <c:spPr>
              <a:solidFill>
                <a:schemeClr val="accent6">
                  <a:lumMod val="60000"/>
                  <a:lumOff val="40000"/>
                </a:schemeClr>
              </a:solidFill>
              <a:ln w="15875">
                <a:solidFill>
                  <a:schemeClr val="tx1"/>
                </a:solidFill>
              </a:ln>
              <a:effectLst/>
            </c:spPr>
            <c:extLst>
              <c:ext xmlns:c16="http://schemas.microsoft.com/office/drawing/2014/chart" uri="{C3380CC4-5D6E-409C-BE32-E72D297353CC}">
                <c16:uniqueId val="{00000040-C92F-AB44-9649-6520C43A544F}"/>
              </c:ext>
            </c:extLst>
          </c:dPt>
          <c:dPt>
            <c:idx val="34"/>
            <c:invertIfNegative val="0"/>
            <c:bubble3D val="0"/>
            <c:spPr>
              <a:solidFill>
                <a:schemeClr val="accent6">
                  <a:lumMod val="60000"/>
                  <a:lumOff val="40000"/>
                </a:schemeClr>
              </a:solidFill>
              <a:ln w="15875">
                <a:solidFill>
                  <a:schemeClr val="tx1"/>
                </a:solidFill>
              </a:ln>
              <a:effectLst/>
            </c:spPr>
            <c:extLst>
              <c:ext xmlns:c16="http://schemas.microsoft.com/office/drawing/2014/chart" uri="{C3380CC4-5D6E-409C-BE32-E72D297353CC}">
                <c16:uniqueId val="{00000042-C92F-AB44-9649-6520C43A544F}"/>
              </c:ext>
            </c:extLst>
          </c:dPt>
          <c:dPt>
            <c:idx val="35"/>
            <c:invertIfNegative val="0"/>
            <c:bubble3D val="0"/>
            <c:spPr>
              <a:solidFill>
                <a:schemeClr val="accent6">
                  <a:lumMod val="60000"/>
                  <a:lumOff val="40000"/>
                </a:schemeClr>
              </a:solidFill>
              <a:ln w="15875">
                <a:solidFill>
                  <a:schemeClr val="tx1"/>
                </a:solidFill>
              </a:ln>
              <a:effectLst/>
            </c:spPr>
            <c:extLst>
              <c:ext xmlns:c16="http://schemas.microsoft.com/office/drawing/2014/chart" uri="{C3380CC4-5D6E-409C-BE32-E72D297353CC}">
                <c16:uniqueId val="{00000044-C92F-AB44-9649-6520C43A544F}"/>
              </c:ext>
            </c:extLst>
          </c:dPt>
          <c:dPt>
            <c:idx val="36"/>
            <c:invertIfNegative val="0"/>
            <c:bubble3D val="0"/>
            <c:spPr>
              <a:solidFill>
                <a:schemeClr val="accent6">
                  <a:lumMod val="60000"/>
                  <a:lumOff val="40000"/>
                </a:schemeClr>
              </a:solidFill>
              <a:ln w="15875">
                <a:solidFill>
                  <a:schemeClr val="tx1"/>
                </a:solidFill>
              </a:ln>
              <a:effectLst/>
            </c:spPr>
            <c:extLst>
              <c:ext xmlns:c16="http://schemas.microsoft.com/office/drawing/2014/chart" uri="{C3380CC4-5D6E-409C-BE32-E72D297353CC}">
                <c16:uniqueId val="{00000046-C92F-AB44-9649-6520C43A544F}"/>
              </c:ext>
            </c:extLst>
          </c:dPt>
          <c:dPt>
            <c:idx val="37"/>
            <c:invertIfNegative val="0"/>
            <c:bubble3D val="0"/>
            <c:spPr>
              <a:solidFill>
                <a:schemeClr val="accent6">
                  <a:lumMod val="20000"/>
                  <a:lumOff val="80000"/>
                </a:schemeClr>
              </a:solidFill>
              <a:ln w="15875">
                <a:solidFill>
                  <a:schemeClr val="tx1"/>
                </a:solidFill>
              </a:ln>
              <a:effectLst/>
            </c:spPr>
            <c:extLst>
              <c:ext xmlns:c16="http://schemas.microsoft.com/office/drawing/2014/chart" uri="{C3380CC4-5D6E-409C-BE32-E72D297353CC}">
                <c16:uniqueId val="{00000048-C92F-AB44-9649-6520C43A544F}"/>
              </c:ext>
            </c:extLst>
          </c:dPt>
          <c:dPt>
            <c:idx val="38"/>
            <c:invertIfNegative val="0"/>
            <c:bubble3D val="0"/>
            <c:spPr>
              <a:solidFill>
                <a:schemeClr val="accent6">
                  <a:lumMod val="20000"/>
                  <a:lumOff val="80000"/>
                </a:schemeClr>
              </a:solidFill>
              <a:ln w="15875">
                <a:solidFill>
                  <a:schemeClr val="tx1"/>
                </a:solidFill>
              </a:ln>
              <a:effectLst/>
            </c:spPr>
            <c:extLst>
              <c:ext xmlns:c16="http://schemas.microsoft.com/office/drawing/2014/chart" uri="{C3380CC4-5D6E-409C-BE32-E72D297353CC}">
                <c16:uniqueId val="{0000004A-C92F-AB44-9649-6520C43A544F}"/>
              </c:ext>
            </c:extLst>
          </c:dPt>
          <c:dPt>
            <c:idx val="39"/>
            <c:invertIfNegative val="0"/>
            <c:bubble3D val="0"/>
            <c:spPr>
              <a:solidFill>
                <a:schemeClr val="accent6">
                  <a:lumMod val="20000"/>
                  <a:lumOff val="80000"/>
                </a:schemeClr>
              </a:solidFill>
              <a:ln w="15875">
                <a:solidFill>
                  <a:schemeClr val="tx1"/>
                </a:solidFill>
              </a:ln>
              <a:effectLst/>
            </c:spPr>
            <c:extLst>
              <c:ext xmlns:c16="http://schemas.microsoft.com/office/drawing/2014/chart" uri="{C3380CC4-5D6E-409C-BE32-E72D297353CC}">
                <c16:uniqueId val="{0000004C-C92F-AB44-9649-6520C43A544F}"/>
              </c:ext>
            </c:extLst>
          </c:dPt>
          <c:dPt>
            <c:idx val="40"/>
            <c:invertIfNegative val="0"/>
            <c:bubble3D val="0"/>
            <c:spPr>
              <a:solidFill>
                <a:schemeClr val="accent6">
                  <a:lumMod val="20000"/>
                  <a:lumOff val="80000"/>
                </a:schemeClr>
              </a:solidFill>
              <a:ln w="15875">
                <a:solidFill>
                  <a:schemeClr val="tx1"/>
                </a:solidFill>
              </a:ln>
              <a:effectLst/>
            </c:spPr>
            <c:extLst>
              <c:ext xmlns:c16="http://schemas.microsoft.com/office/drawing/2014/chart" uri="{C3380CC4-5D6E-409C-BE32-E72D297353CC}">
                <c16:uniqueId val="{0000004E-C92F-AB44-9649-6520C43A544F}"/>
              </c:ext>
            </c:extLst>
          </c:dPt>
          <c:dPt>
            <c:idx val="41"/>
            <c:invertIfNegative val="0"/>
            <c:bubble3D val="0"/>
            <c:spPr>
              <a:solidFill>
                <a:schemeClr val="accent6">
                  <a:lumMod val="20000"/>
                  <a:lumOff val="80000"/>
                </a:schemeClr>
              </a:solidFill>
              <a:ln w="15875">
                <a:solidFill>
                  <a:schemeClr val="tx1"/>
                </a:solidFill>
              </a:ln>
              <a:effectLst/>
            </c:spPr>
            <c:extLst>
              <c:ext xmlns:c16="http://schemas.microsoft.com/office/drawing/2014/chart" uri="{C3380CC4-5D6E-409C-BE32-E72D297353CC}">
                <c16:uniqueId val="{00000050-C92F-AB44-9649-6520C43A544F}"/>
              </c:ext>
            </c:extLst>
          </c:dPt>
          <c:dPt>
            <c:idx val="42"/>
            <c:invertIfNegative val="0"/>
            <c:bubble3D val="0"/>
            <c:spPr>
              <a:solidFill>
                <a:schemeClr val="accent6">
                  <a:lumMod val="20000"/>
                  <a:lumOff val="80000"/>
                </a:schemeClr>
              </a:solidFill>
              <a:ln w="15875">
                <a:solidFill>
                  <a:schemeClr val="tx1"/>
                </a:solidFill>
              </a:ln>
              <a:effectLst/>
            </c:spPr>
            <c:extLst>
              <c:ext xmlns:c16="http://schemas.microsoft.com/office/drawing/2014/chart" uri="{C3380CC4-5D6E-409C-BE32-E72D297353CC}">
                <c16:uniqueId val="{00000052-C92F-AB44-9649-6520C43A544F}"/>
              </c:ext>
            </c:extLst>
          </c:dPt>
          <c:dPt>
            <c:idx val="43"/>
            <c:invertIfNegative val="0"/>
            <c:bubble3D val="0"/>
            <c:spPr>
              <a:solidFill>
                <a:schemeClr val="accent6">
                  <a:lumMod val="20000"/>
                  <a:lumOff val="80000"/>
                </a:schemeClr>
              </a:solidFill>
              <a:ln w="15875">
                <a:solidFill>
                  <a:schemeClr val="tx1"/>
                </a:solidFill>
              </a:ln>
              <a:effectLst/>
            </c:spPr>
            <c:extLst>
              <c:ext xmlns:c16="http://schemas.microsoft.com/office/drawing/2014/chart" uri="{C3380CC4-5D6E-409C-BE32-E72D297353CC}">
                <c16:uniqueId val="{00000054-C92F-AB44-9649-6520C43A544F}"/>
              </c:ext>
            </c:extLst>
          </c:dPt>
          <c:dPt>
            <c:idx val="44"/>
            <c:invertIfNegative val="0"/>
            <c:bubble3D val="0"/>
            <c:spPr>
              <a:solidFill>
                <a:schemeClr val="accent6">
                  <a:lumMod val="60000"/>
                  <a:lumOff val="40000"/>
                </a:schemeClr>
              </a:solidFill>
              <a:ln w="15875">
                <a:solidFill>
                  <a:schemeClr val="tx1"/>
                </a:solidFill>
              </a:ln>
              <a:effectLst/>
            </c:spPr>
            <c:extLst>
              <c:ext xmlns:c16="http://schemas.microsoft.com/office/drawing/2014/chart" uri="{C3380CC4-5D6E-409C-BE32-E72D297353CC}">
                <c16:uniqueId val="{00000056-C92F-AB44-9649-6520C43A544F}"/>
              </c:ext>
            </c:extLst>
          </c:dPt>
          <c:dPt>
            <c:idx val="45"/>
            <c:invertIfNegative val="0"/>
            <c:bubble3D val="0"/>
            <c:spPr>
              <a:solidFill>
                <a:schemeClr val="accent6">
                  <a:lumMod val="60000"/>
                  <a:lumOff val="40000"/>
                </a:schemeClr>
              </a:solidFill>
              <a:ln w="15875">
                <a:solidFill>
                  <a:schemeClr val="tx1"/>
                </a:solidFill>
              </a:ln>
              <a:effectLst/>
            </c:spPr>
            <c:extLst>
              <c:ext xmlns:c16="http://schemas.microsoft.com/office/drawing/2014/chart" uri="{C3380CC4-5D6E-409C-BE32-E72D297353CC}">
                <c16:uniqueId val="{00000058-C92F-AB44-9649-6520C43A544F}"/>
              </c:ext>
            </c:extLst>
          </c:dPt>
          <c:dPt>
            <c:idx val="46"/>
            <c:invertIfNegative val="0"/>
            <c:bubble3D val="0"/>
            <c:spPr>
              <a:solidFill>
                <a:schemeClr val="accent3">
                  <a:lumMod val="75000"/>
                </a:schemeClr>
              </a:solidFill>
              <a:ln w="15875">
                <a:solidFill>
                  <a:schemeClr val="tx1"/>
                </a:solidFill>
              </a:ln>
              <a:effectLst/>
            </c:spPr>
            <c:extLst>
              <c:ext xmlns:c16="http://schemas.microsoft.com/office/drawing/2014/chart" uri="{C3380CC4-5D6E-409C-BE32-E72D297353CC}">
                <c16:uniqueId val="{0000005A-C92F-AB44-9649-6520C43A544F}"/>
              </c:ext>
            </c:extLst>
          </c:dPt>
          <c:dPt>
            <c:idx val="47"/>
            <c:invertIfNegative val="0"/>
            <c:bubble3D val="0"/>
            <c:spPr>
              <a:solidFill>
                <a:schemeClr val="accent3">
                  <a:lumMod val="75000"/>
                </a:schemeClr>
              </a:solidFill>
              <a:ln w="15875">
                <a:solidFill>
                  <a:schemeClr val="tx1"/>
                </a:solidFill>
              </a:ln>
              <a:effectLst/>
            </c:spPr>
            <c:extLst>
              <c:ext xmlns:c16="http://schemas.microsoft.com/office/drawing/2014/chart" uri="{C3380CC4-5D6E-409C-BE32-E72D297353CC}">
                <c16:uniqueId val="{0000005C-C92F-AB44-9649-6520C43A544F}"/>
              </c:ext>
            </c:extLst>
          </c:dPt>
          <c:dPt>
            <c:idx val="48"/>
            <c:invertIfNegative val="0"/>
            <c:bubble3D val="0"/>
            <c:spPr>
              <a:solidFill>
                <a:schemeClr val="accent3">
                  <a:lumMod val="75000"/>
                </a:schemeClr>
              </a:solidFill>
              <a:ln w="15875">
                <a:solidFill>
                  <a:schemeClr val="tx1"/>
                </a:solidFill>
              </a:ln>
              <a:effectLst/>
            </c:spPr>
            <c:extLst>
              <c:ext xmlns:c16="http://schemas.microsoft.com/office/drawing/2014/chart" uri="{C3380CC4-5D6E-409C-BE32-E72D297353CC}">
                <c16:uniqueId val="{0000005E-C92F-AB44-9649-6520C43A544F}"/>
              </c:ext>
            </c:extLst>
          </c:dPt>
          <c:dPt>
            <c:idx val="49"/>
            <c:invertIfNegative val="0"/>
            <c:bubble3D val="0"/>
            <c:spPr>
              <a:solidFill>
                <a:schemeClr val="accent3">
                  <a:lumMod val="75000"/>
                </a:schemeClr>
              </a:solidFill>
              <a:ln w="15875">
                <a:solidFill>
                  <a:schemeClr val="tx1"/>
                </a:solidFill>
              </a:ln>
              <a:effectLst/>
            </c:spPr>
            <c:extLst>
              <c:ext xmlns:c16="http://schemas.microsoft.com/office/drawing/2014/chart" uri="{C3380CC4-5D6E-409C-BE32-E72D297353CC}">
                <c16:uniqueId val="{00000060-C92F-AB44-9649-6520C43A544F}"/>
              </c:ext>
            </c:extLst>
          </c:dPt>
          <c:dPt>
            <c:idx val="50"/>
            <c:invertIfNegative val="0"/>
            <c:bubble3D val="0"/>
            <c:spPr>
              <a:solidFill>
                <a:schemeClr val="accent3">
                  <a:lumMod val="75000"/>
                </a:schemeClr>
              </a:solidFill>
              <a:ln w="15875">
                <a:solidFill>
                  <a:schemeClr val="tx1"/>
                </a:solidFill>
              </a:ln>
              <a:effectLst/>
            </c:spPr>
            <c:extLst>
              <c:ext xmlns:c16="http://schemas.microsoft.com/office/drawing/2014/chart" uri="{C3380CC4-5D6E-409C-BE32-E72D297353CC}">
                <c16:uniqueId val="{00000062-C92F-AB44-9649-6520C43A544F}"/>
              </c:ext>
            </c:extLst>
          </c:dPt>
          <c:dPt>
            <c:idx val="51"/>
            <c:invertIfNegative val="0"/>
            <c:bubble3D val="0"/>
            <c:spPr>
              <a:solidFill>
                <a:schemeClr val="accent3">
                  <a:lumMod val="75000"/>
                </a:schemeClr>
              </a:solidFill>
              <a:ln w="15875">
                <a:solidFill>
                  <a:schemeClr val="tx1"/>
                </a:solidFill>
              </a:ln>
              <a:effectLst/>
            </c:spPr>
            <c:extLst>
              <c:ext xmlns:c16="http://schemas.microsoft.com/office/drawing/2014/chart" uri="{C3380CC4-5D6E-409C-BE32-E72D297353CC}">
                <c16:uniqueId val="{00000064-C92F-AB44-9649-6520C43A544F}"/>
              </c:ext>
            </c:extLst>
          </c:dPt>
          <c:dPt>
            <c:idx val="52"/>
            <c:invertIfNegative val="0"/>
            <c:bubble3D val="0"/>
            <c:spPr>
              <a:solidFill>
                <a:schemeClr val="accent3">
                  <a:lumMod val="75000"/>
                </a:schemeClr>
              </a:solidFill>
              <a:ln w="15875">
                <a:solidFill>
                  <a:schemeClr val="tx1"/>
                </a:solidFill>
              </a:ln>
              <a:effectLst/>
            </c:spPr>
            <c:extLst>
              <c:ext xmlns:c16="http://schemas.microsoft.com/office/drawing/2014/chart" uri="{C3380CC4-5D6E-409C-BE32-E72D297353CC}">
                <c16:uniqueId val="{00000066-C92F-AB44-9649-6520C43A544F}"/>
              </c:ext>
            </c:extLst>
          </c:dPt>
          <c:dPt>
            <c:idx val="53"/>
            <c:invertIfNegative val="0"/>
            <c:bubble3D val="0"/>
            <c:spPr>
              <a:solidFill>
                <a:schemeClr val="accent3">
                  <a:lumMod val="60000"/>
                  <a:lumOff val="40000"/>
                </a:schemeClr>
              </a:solidFill>
              <a:ln w="15875">
                <a:solidFill>
                  <a:schemeClr val="tx1"/>
                </a:solidFill>
              </a:ln>
              <a:effectLst/>
            </c:spPr>
            <c:extLst>
              <c:ext xmlns:c16="http://schemas.microsoft.com/office/drawing/2014/chart" uri="{C3380CC4-5D6E-409C-BE32-E72D297353CC}">
                <c16:uniqueId val="{00000068-C92F-AB44-9649-6520C43A544F}"/>
              </c:ext>
            </c:extLst>
          </c:dPt>
          <c:dPt>
            <c:idx val="54"/>
            <c:invertIfNegative val="0"/>
            <c:bubble3D val="0"/>
            <c:spPr>
              <a:solidFill>
                <a:schemeClr val="accent3">
                  <a:lumMod val="60000"/>
                  <a:lumOff val="40000"/>
                </a:schemeClr>
              </a:solidFill>
              <a:ln w="15875">
                <a:solidFill>
                  <a:schemeClr val="tx1"/>
                </a:solidFill>
              </a:ln>
              <a:effectLst/>
            </c:spPr>
            <c:extLst>
              <c:ext xmlns:c16="http://schemas.microsoft.com/office/drawing/2014/chart" uri="{C3380CC4-5D6E-409C-BE32-E72D297353CC}">
                <c16:uniqueId val="{0000006A-C92F-AB44-9649-6520C43A544F}"/>
              </c:ext>
            </c:extLst>
          </c:dPt>
          <c:dPt>
            <c:idx val="55"/>
            <c:invertIfNegative val="0"/>
            <c:bubble3D val="0"/>
            <c:spPr>
              <a:solidFill>
                <a:schemeClr val="accent3">
                  <a:lumMod val="60000"/>
                  <a:lumOff val="40000"/>
                </a:schemeClr>
              </a:solidFill>
              <a:ln w="15875">
                <a:solidFill>
                  <a:schemeClr val="tx1"/>
                </a:solidFill>
              </a:ln>
              <a:effectLst/>
            </c:spPr>
            <c:extLst>
              <c:ext xmlns:c16="http://schemas.microsoft.com/office/drawing/2014/chart" uri="{C3380CC4-5D6E-409C-BE32-E72D297353CC}">
                <c16:uniqueId val="{0000006C-C92F-AB44-9649-6520C43A544F}"/>
              </c:ext>
            </c:extLst>
          </c:dPt>
          <c:dPt>
            <c:idx val="56"/>
            <c:invertIfNegative val="0"/>
            <c:bubble3D val="0"/>
            <c:spPr>
              <a:solidFill>
                <a:schemeClr val="accent3">
                  <a:lumMod val="60000"/>
                  <a:lumOff val="40000"/>
                </a:schemeClr>
              </a:solidFill>
              <a:ln w="15875">
                <a:solidFill>
                  <a:schemeClr val="tx1"/>
                </a:solidFill>
              </a:ln>
              <a:effectLst/>
            </c:spPr>
            <c:extLst>
              <c:ext xmlns:c16="http://schemas.microsoft.com/office/drawing/2014/chart" uri="{C3380CC4-5D6E-409C-BE32-E72D297353CC}">
                <c16:uniqueId val="{0000006E-C92F-AB44-9649-6520C43A544F}"/>
              </c:ext>
            </c:extLst>
          </c:dPt>
          <c:dPt>
            <c:idx val="57"/>
            <c:invertIfNegative val="0"/>
            <c:bubble3D val="0"/>
            <c:spPr>
              <a:solidFill>
                <a:schemeClr val="accent3">
                  <a:lumMod val="60000"/>
                  <a:lumOff val="40000"/>
                </a:schemeClr>
              </a:solidFill>
              <a:ln w="15875">
                <a:solidFill>
                  <a:schemeClr val="tx1"/>
                </a:solidFill>
              </a:ln>
              <a:effectLst/>
            </c:spPr>
            <c:extLst>
              <c:ext xmlns:c16="http://schemas.microsoft.com/office/drawing/2014/chart" uri="{C3380CC4-5D6E-409C-BE32-E72D297353CC}">
                <c16:uniqueId val="{00000070-C92F-AB44-9649-6520C43A544F}"/>
              </c:ext>
            </c:extLst>
          </c:dPt>
          <c:dPt>
            <c:idx val="58"/>
            <c:invertIfNegative val="0"/>
            <c:bubble3D val="0"/>
            <c:spPr>
              <a:solidFill>
                <a:schemeClr val="accent3">
                  <a:lumMod val="60000"/>
                  <a:lumOff val="40000"/>
                </a:schemeClr>
              </a:solidFill>
              <a:ln w="15875">
                <a:solidFill>
                  <a:schemeClr val="tx1"/>
                </a:solidFill>
              </a:ln>
              <a:effectLst/>
            </c:spPr>
            <c:extLst>
              <c:ext xmlns:c16="http://schemas.microsoft.com/office/drawing/2014/chart" uri="{C3380CC4-5D6E-409C-BE32-E72D297353CC}">
                <c16:uniqueId val="{00000072-C92F-AB44-9649-6520C43A544F}"/>
              </c:ext>
            </c:extLst>
          </c:dPt>
          <c:dPt>
            <c:idx val="59"/>
            <c:invertIfNegative val="0"/>
            <c:bubble3D val="0"/>
            <c:spPr>
              <a:solidFill>
                <a:schemeClr val="accent3">
                  <a:lumMod val="60000"/>
                  <a:lumOff val="40000"/>
                </a:schemeClr>
              </a:solidFill>
              <a:ln w="15875">
                <a:solidFill>
                  <a:schemeClr val="tx1"/>
                </a:solidFill>
              </a:ln>
              <a:effectLst/>
            </c:spPr>
            <c:extLst>
              <c:ext xmlns:c16="http://schemas.microsoft.com/office/drawing/2014/chart" uri="{C3380CC4-5D6E-409C-BE32-E72D297353CC}">
                <c16:uniqueId val="{00000074-C92F-AB44-9649-6520C43A544F}"/>
              </c:ext>
            </c:extLst>
          </c:dPt>
          <c:dPt>
            <c:idx val="60"/>
            <c:invertIfNegative val="0"/>
            <c:bubble3D val="0"/>
            <c:spPr>
              <a:solidFill>
                <a:schemeClr val="accent3">
                  <a:lumMod val="20000"/>
                  <a:lumOff val="80000"/>
                </a:schemeClr>
              </a:solidFill>
              <a:ln w="15875">
                <a:solidFill>
                  <a:schemeClr val="tx1"/>
                </a:solidFill>
              </a:ln>
              <a:effectLst/>
            </c:spPr>
            <c:extLst>
              <c:ext xmlns:c16="http://schemas.microsoft.com/office/drawing/2014/chart" uri="{C3380CC4-5D6E-409C-BE32-E72D297353CC}">
                <c16:uniqueId val="{00000076-C92F-AB44-9649-6520C43A544F}"/>
              </c:ext>
            </c:extLst>
          </c:dPt>
          <c:dPt>
            <c:idx val="61"/>
            <c:invertIfNegative val="0"/>
            <c:bubble3D val="0"/>
            <c:spPr>
              <a:solidFill>
                <a:schemeClr val="accent3">
                  <a:lumMod val="20000"/>
                  <a:lumOff val="80000"/>
                </a:schemeClr>
              </a:solidFill>
              <a:ln w="15875">
                <a:solidFill>
                  <a:schemeClr val="tx1"/>
                </a:solidFill>
              </a:ln>
              <a:effectLst/>
            </c:spPr>
            <c:extLst>
              <c:ext xmlns:c16="http://schemas.microsoft.com/office/drawing/2014/chart" uri="{C3380CC4-5D6E-409C-BE32-E72D297353CC}">
                <c16:uniqueId val="{00000078-C92F-AB44-9649-6520C43A544F}"/>
              </c:ext>
            </c:extLst>
          </c:dPt>
          <c:dPt>
            <c:idx val="62"/>
            <c:invertIfNegative val="0"/>
            <c:bubble3D val="0"/>
            <c:spPr>
              <a:solidFill>
                <a:schemeClr val="accent3">
                  <a:lumMod val="20000"/>
                  <a:lumOff val="80000"/>
                </a:schemeClr>
              </a:solidFill>
              <a:ln w="15875">
                <a:solidFill>
                  <a:schemeClr val="tx1"/>
                </a:solidFill>
              </a:ln>
              <a:effectLst/>
            </c:spPr>
            <c:extLst>
              <c:ext xmlns:c16="http://schemas.microsoft.com/office/drawing/2014/chart" uri="{C3380CC4-5D6E-409C-BE32-E72D297353CC}">
                <c16:uniqueId val="{0000007A-C92F-AB44-9649-6520C43A544F}"/>
              </c:ext>
            </c:extLst>
          </c:dPt>
          <c:dPt>
            <c:idx val="63"/>
            <c:invertIfNegative val="0"/>
            <c:bubble3D val="0"/>
            <c:spPr>
              <a:solidFill>
                <a:schemeClr val="accent3">
                  <a:lumMod val="20000"/>
                  <a:lumOff val="80000"/>
                </a:schemeClr>
              </a:solidFill>
              <a:ln w="15875">
                <a:solidFill>
                  <a:schemeClr val="tx1"/>
                </a:solidFill>
              </a:ln>
              <a:effectLst/>
            </c:spPr>
            <c:extLst>
              <c:ext xmlns:c16="http://schemas.microsoft.com/office/drawing/2014/chart" uri="{C3380CC4-5D6E-409C-BE32-E72D297353CC}">
                <c16:uniqueId val="{0000007C-C92F-AB44-9649-6520C43A544F}"/>
              </c:ext>
            </c:extLst>
          </c:dPt>
          <c:dPt>
            <c:idx val="64"/>
            <c:invertIfNegative val="0"/>
            <c:bubble3D val="0"/>
            <c:spPr>
              <a:solidFill>
                <a:schemeClr val="accent3">
                  <a:lumMod val="20000"/>
                  <a:lumOff val="80000"/>
                </a:schemeClr>
              </a:solidFill>
              <a:ln w="15875">
                <a:solidFill>
                  <a:schemeClr val="tx1"/>
                </a:solidFill>
              </a:ln>
              <a:effectLst/>
            </c:spPr>
            <c:extLst>
              <c:ext xmlns:c16="http://schemas.microsoft.com/office/drawing/2014/chart" uri="{C3380CC4-5D6E-409C-BE32-E72D297353CC}">
                <c16:uniqueId val="{0000007E-C92F-AB44-9649-6520C43A544F}"/>
              </c:ext>
            </c:extLst>
          </c:dPt>
          <c:dPt>
            <c:idx val="65"/>
            <c:invertIfNegative val="0"/>
            <c:bubble3D val="0"/>
            <c:spPr>
              <a:solidFill>
                <a:schemeClr val="accent3">
                  <a:lumMod val="20000"/>
                  <a:lumOff val="80000"/>
                </a:schemeClr>
              </a:solidFill>
              <a:ln w="15875">
                <a:solidFill>
                  <a:schemeClr val="tx1"/>
                </a:solidFill>
              </a:ln>
              <a:effectLst/>
            </c:spPr>
            <c:extLst>
              <c:ext xmlns:c16="http://schemas.microsoft.com/office/drawing/2014/chart" uri="{C3380CC4-5D6E-409C-BE32-E72D297353CC}">
                <c16:uniqueId val="{00000080-C92F-AB44-9649-6520C43A544F}"/>
              </c:ext>
            </c:extLst>
          </c:dPt>
          <c:dPt>
            <c:idx val="66"/>
            <c:invertIfNegative val="0"/>
            <c:bubble3D val="0"/>
            <c:spPr>
              <a:solidFill>
                <a:schemeClr val="accent3">
                  <a:lumMod val="20000"/>
                  <a:lumOff val="80000"/>
                </a:schemeClr>
              </a:solidFill>
              <a:ln w="15875">
                <a:solidFill>
                  <a:schemeClr val="tx1"/>
                </a:solidFill>
              </a:ln>
              <a:effectLst/>
            </c:spPr>
            <c:extLst>
              <c:ext xmlns:c16="http://schemas.microsoft.com/office/drawing/2014/chart" uri="{C3380CC4-5D6E-409C-BE32-E72D297353CC}">
                <c16:uniqueId val="{00000082-C92F-AB44-9649-6520C43A544F}"/>
              </c:ext>
            </c:extLst>
          </c:dPt>
          <c:dPt>
            <c:idx val="67"/>
            <c:invertIfNegative val="0"/>
            <c:bubble3D val="0"/>
            <c:spPr>
              <a:solidFill>
                <a:schemeClr val="accent6">
                  <a:lumMod val="60000"/>
                  <a:lumOff val="40000"/>
                </a:schemeClr>
              </a:solidFill>
              <a:ln w="15875">
                <a:solidFill>
                  <a:schemeClr val="tx1"/>
                </a:solidFill>
              </a:ln>
              <a:effectLst/>
            </c:spPr>
            <c:extLst>
              <c:ext xmlns:c16="http://schemas.microsoft.com/office/drawing/2014/chart" uri="{C3380CC4-5D6E-409C-BE32-E72D297353CC}">
                <c16:uniqueId val="{00000084-C92F-AB44-9649-6520C43A544F}"/>
              </c:ext>
            </c:extLst>
          </c:dPt>
          <c:dPt>
            <c:idx val="69"/>
            <c:invertIfNegative val="0"/>
            <c:bubble3D val="0"/>
            <c:spPr>
              <a:solidFill>
                <a:srgbClr val="0432FF">
                  <a:alpha val="70194"/>
                </a:srgbClr>
              </a:solidFill>
              <a:ln w="15875">
                <a:solidFill>
                  <a:schemeClr val="tx1"/>
                </a:solidFill>
              </a:ln>
              <a:effectLst/>
            </c:spPr>
            <c:extLst>
              <c:ext xmlns:c16="http://schemas.microsoft.com/office/drawing/2014/chart" uri="{C3380CC4-5D6E-409C-BE32-E72D297353CC}">
                <c16:uniqueId val="{00000086-C92F-AB44-9649-6520C43A544F}"/>
              </c:ext>
            </c:extLst>
          </c:dPt>
          <c:dPt>
            <c:idx val="70"/>
            <c:invertIfNegative val="0"/>
            <c:bubble3D val="0"/>
            <c:spPr>
              <a:solidFill>
                <a:srgbClr val="4A68F2"/>
              </a:solidFill>
              <a:ln w="15875">
                <a:solidFill>
                  <a:schemeClr val="tx1"/>
                </a:solidFill>
              </a:ln>
              <a:effectLst/>
            </c:spPr>
            <c:extLst>
              <c:ext xmlns:c16="http://schemas.microsoft.com/office/drawing/2014/chart" uri="{C3380CC4-5D6E-409C-BE32-E72D297353CC}">
                <c16:uniqueId val="{00000088-C92F-AB44-9649-6520C43A544F}"/>
              </c:ext>
            </c:extLst>
          </c:dPt>
          <c:dPt>
            <c:idx val="71"/>
            <c:invertIfNegative val="0"/>
            <c:bubble3D val="0"/>
            <c:spPr>
              <a:solidFill>
                <a:srgbClr val="4A68F2"/>
              </a:solidFill>
              <a:ln w="15875">
                <a:solidFill>
                  <a:schemeClr val="tx1"/>
                </a:solidFill>
              </a:ln>
              <a:effectLst/>
            </c:spPr>
            <c:extLst>
              <c:ext xmlns:c16="http://schemas.microsoft.com/office/drawing/2014/chart" uri="{C3380CC4-5D6E-409C-BE32-E72D297353CC}">
                <c16:uniqueId val="{0000008A-C92F-AB44-9649-6520C43A544F}"/>
              </c:ext>
            </c:extLst>
          </c:dPt>
          <c:dPt>
            <c:idx val="72"/>
            <c:invertIfNegative val="0"/>
            <c:bubble3D val="0"/>
            <c:spPr>
              <a:solidFill>
                <a:srgbClr val="4A68F2"/>
              </a:solidFill>
              <a:ln w="15875">
                <a:solidFill>
                  <a:schemeClr val="tx1"/>
                </a:solidFill>
              </a:ln>
              <a:effectLst/>
            </c:spPr>
            <c:extLst>
              <c:ext xmlns:c16="http://schemas.microsoft.com/office/drawing/2014/chart" uri="{C3380CC4-5D6E-409C-BE32-E72D297353CC}">
                <c16:uniqueId val="{0000008C-C92F-AB44-9649-6520C43A544F}"/>
              </c:ext>
            </c:extLst>
          </c:dPt>
          <c:dPt>
            <c:idx val="73"/>
            <c:invertIfNegative val="0"/>
            <c:bubble3D val="0"/>
            <c:spPr>
              <a:solidFill>
                <a:srgbClr val="4A68F2"/>
              </a:solidFill>
              <a:ln w="15875">
                <a:solidFill>
                  <a:schemeClr val="tx1"/>
                </a:solidFill>
              </a:ln>
              <a:effectLst/>
            </c:spPr>
            <c:extLst>
              <c:ext xmlns:c16="http://schemas.microsoft.com/office/drawing/2014/chart" uri="{C3380CC4-5D6E-409C-BE32-E72D297353CC}">
                <c16:uniqueId val="{0000008E-C92F-AB44-9649-6520C43A544F}"/>
              </c:ext>
            </c:extLst>
          </c:dPt>
          <c:dPt>
            <c:idx val="74"/>
            <c:invertIfNegative val="0"/>
            <c:bubble3D val="0"/>
            <c:spPr>
              <a:solidFill>
                <a:srgbClr val="4A68F2"/>
              </a:solidFill>
              <a:ln w="15875">
                <a:solidFill>
                  <a:schemeClr val="tx1"/>
                </a:solidFill>
              </a:ln>
              <a:effectLst/>
            </c:spPr>
            <c:extLst>
              <c:ext xmlns:c16="http://schemas.microsoft.com/office/drawing/2014/chart" uri="{C3380CC4-5D6E-409C-BE32-E72D297353CC}">
                <c16:uniqueId val="{00000090-C92F-AB44-9649-6520C43A544F}"/>
              </c:ext>
            </c:extLst>
          </c:dPt>
          <c:dPt>
            <c:idx val="75"/>
            <c:invertIfNegative val="0"/>
            <c:bubble3D val="0"/>
            <c:spPr>
              <a:solidFill>
                <a:srgbClr val="4A68F2"/>
              </a:solidFill>
              <a:ln w="15875">
                <a:solidFill>
                  <a:schemeClr val="tx1"/>
                </a:solidFill>
              </a:ln>
              <a:effectLst/>
            </c:spPr>
            <c:extLst>
              <c:ext xmlns:c16="http://schemas.microsoft.com/office/drawing/2014/chart" uri="{C3380CC4-5D6E-409C-BE32-E72D297353CC}">
                <c16:uniqueId val="{00000092-C92F-AB44-9649-6520C43A544F}"/>
              </c:ext>
            </c:extLst>
          </c:dPt>
          <c:dPt>
            <c:idx val="83"/>
            <c:invertIfNegative val="0"/>
            <c:bubble3D val="0"/>
            <c:spPr>
              <a:solidFill>
                <a:schemeClr val="tx2">
                  <a:lumMod val="20000"/>
                  <a:lumOff val="80000"/>
                </a:schemeClr>
              </a:solidFill>
              <a:ln w="15875">
                <a:solidFill>
                  <a:schemeClr val="tx1"/>
                </a:solidFill>
              </a:ln>
              <a:effectLst/>
            </c:spPr>
            <c:extLst>
              <c:ext xmlns:c16="http://schemas.microsoft.com/office/drawing/2014/chart" uri="{C3380CC4-5D6E-409C-BE32-E72D297353CC}">
                <c16:uniqueId val="{00000094-C92F-AB44-9649-6520C43A544F}"/>
              </c:ext>
            </c:extLst>
          </c:dPt>
          <c:dPt>
            <c:idx val="84"/>
            <c:invertIfNegative val="0"/>
            <c:bubble3D val="0"/>
            <c:spPr>
              <a:solidFill>
                <a:schemeClr val="tx2">
                  <a:lumMod val="20000"/>
                  <a:lumOff val="80000"/>
                </a:schemeClr>
              </a:solidFill>
              <a:ln w="15875">
                <a:solidFill>
                  <a:schemeClr val="tx1"/>
                </a:solidFill>
              </a:ln>
              <a:effectLst/>
            </c:spPr>
            <c:extLst>
              <c:ext xmlns:c16="http://schemas.microsoft.com/office/drawing/2014/chart" uri="{C3380CC4-5D6E-409C-BE32-E72D297353CC}">
                <c16:uniqueId val="{00000096-C92F-AB44-9649-6520C43A544F}"/>
              </c:ext>
            </c:extLst>
          </c:dPt>
          <c:dPt>
            <c:idx val="85"/>
            <c:invertIfNegative val="0"/>
            <c:bubble3D val="0"/>
            <c:spPr>
              <a:solidFill>
                <a:schemeClr val="tx2">
                  <a:lumMod val="20000"/>
                  <a:lumOff val="80000"/>
                </a:schemeClr>
              </a:solidFill>
              <a:ln w="15875">
                <a:solidFill>
                  <a:schemeClr val="tx1"/>
                </a:solidFill>
              </a:ln>
              <a:effectLst/>
            </c:spPr>
            <c:extLst>
              <c:ext xmlns:c16="http://schemas.microsoft.com/office/drawing/2014/chart" uri="{C3380CC4-5D6E-409C-BE32-E72D297353CC}">
                <c16:uniqueId val="{00000098-C92F-AB44-9649-6520C43A544F}"/>
              </c:ext>
            </c:extLst>
          </c:dPt>
          <c:dPt>
            <c:idx val="86"/>
            <c:invertIfNegative val="0"/>
            <c:bubble3D val="0"/>
            <c:spPr>
              <a:solidFill>
                <a:schemeClr val="tx2">
                  <a:lumMod val="20000"/>
                  <a:lumOff val="80000"/>
                </a:schemeClr>
              </a:solidFill>
              <a:ln w="15875">
                <a:solidFill>
                  <a:schemeClr val="tx1"/>
                </a:solidFill>
              </a:ln>
              <a:effectLst/>
            </c:spPr>
            <c:extLst>
              <c:ext xmlns:c16="http://schemas.microsoft.com/office/drawing/2014/chart" uri="{C3380CC4-5D6E-409C-BE32-E72D297353CC}">
                <c16:uniqueId val="{0000009A-C92F-AB44-9649-6520C43A544F}"/>
              </c:ext>
            </c:extLst>
          </c:dPt>
          <c:dPt>
            <c:idx val="87"/>
            <c:invertIfNegative val="0"/>
            <c:bubble3D val="0"/>
            <c:spPr>
              <a:solidFill>
                <a:schemeClr val="tx2">
                  <a:lumMod val="20000"/>
                  <a:lumOff val="80000"/>
                </a:schemeClr>
              </a:solidFill>
              <a:ln w="15875">
                <a:solidFill>
                  <a:schemeClr val="tx1"/>
                </a:solidFill>
              </a:ln>
              <a:effectLst/>
            </c:spPr>
            <c:extLst>
              <c:ext xmlns:c16="http://schemas.microsoft.com/office/drawing/2014/chart" uri="{C3380CC4-5D6E-409C-BE32-E72D297353CC}">
                <c16:uniqueId val="{0000009C-C92F-AB44-9649-6520C43A544F}"/>
              </c:ext>
            </c:extLst>
          </c:dPt>
          <c:dPt>
            <c:idx val="88"/>
            <c:invertIfNegative val="0"/>
            <c:bubble3D val="0"/>
            <c:spPr>
              <a:solidFill>
                <a:schemeClr val="tx2">
                  <a:lumMod val="20000"/>
                  <a:lumOff val="80000"/>
                </a:schemeClr>
              </a:solidFill>
              <a:ln w="15875">
                <a:solidFill>
                  <a:schemeClr val="tx1"/>
                </a:solidFill>
              </a:ln>
              <a:effectLst/>
            </c:spPr>
            <c:extLst>
              <c:ext xmlns:c16="http://schemas.microsoft.com/office/drawing/2014/chart" uri="{C3380CC4-5D6E-409C-BE32-E72D297353CC}">
                <c16:uniqueId val="{0000009E-C92F-AB44-9649-6520C43A544F}"/>
              </c:ext>
            </c:extLst>
          </c:dPt>
          <c:dPt>
            <c:idx val="89"/>
            <c:invertIfNegative val="0"/>
            <c:bubble3D val="0"/>
            <c:spPr>
              <a:solidFill>
                <a:schemeClr val="tx2">
                  <a:lumMod val="20000"/>
                  <a:lumOff val="80000"/>
                </a:schemeClr>
              </a:solidFill>
              <a:ln w="15875">
                <a:solidFill>
                  <a:schemeClr val="tx1"/>
                </a:solidFill>
              </a:ln>
              <a:effectLst/>
            </c:spPr>
            <c:extLst>
              <c:ext xmlns:c16="http://schemas.microsoft.com/office/drawing/2014/chart" uri="{C3380CC4-5D6E-409C-BE32-E72D297353CC}">
                <c16:uniqueId val="{000000A0-C92F-AB44-9649-6520C43A544F}"/>
              </c:ext>
            </c:extLst>
          </c:dPt>
          <c:dPt>
            <c:idx val="92"/>
            <c:invertIfNegative val="0"/>
            <c:bubble3D val="0"/>
            <c:spPr>
              <a:solidFill>
                <a:srgbClr val="E2DE01"/>
              </a:solidFill>
              <a:ln w="15875">
                <a:solidFill>
                  <a:schemeClr val="tx1"/>
                </a:solidFill>
              </a:ln>
              <a:effectLst/>
            </c:spPr>
            <c:extLst>
              <c:ext xmlns:c16="http://schemas.microsoft.com/office/drawing/2014/chart" uri="{C3380CC4-5D6E-409C-BE32-E72D297353CC}">
                <c16:uniqueId val="{000000A2-C92F-AB44-9649-6520C43A544F}"/>
              </c:ext>
            </c:extLst>
          </c:dPt>
          <c:dPt>
            <c:idx val="95"/>
            <c:invertIfNegative val="0"/>
            <c:bubble3D val="0"/>
            <c:spPr>
              <a:solidFill>
                <a:srgbClr val="E2DE01"/>
              </a:solidFill>
              <a:ln w="15875">
                <a:solidFill>
                  <a:schemeClr val="tx1"/>
                </a:solidFill>
              </a:ln>
              <a:effectLst/>
            </c:spPr>
            <c:extLst>
              <c:ext xmlns:c16="http://schemas.microsoft.com/office/drawing/2014/chart" uri="{C3380CC4-5D6E-409C-BE32-E72D297353CC}">
                <c16:uniqueId val="{000000A4-C92F-AB44-9649-6520C43A544F}"/>
              </c:ext>
            </c:extLst>
          </c:dPt>
          <c:dPt>
            <c:idx val="98"/>
            <c:invertIfNegative val="0"/>
            <c:bubble3D val="0"/>
            <c:spPr>
              <a:solidFill>
                <a:srgbClr val="E2DE01"/>
              </a:solidFill>
              <a:ln w="15875">
                <a:solidFill>
                  <a:schemeClr val="tx1"/>
                </a:solidFill>
              </a:ln>
              <a:effectLst/>
            </c:spPr>
            <c:extLst>
              <c:ext xmlns:c16="http://schemas.microsoft.com/office/drawing/2014/chart" uri="{C3380CC4-5D6E-409C-BE32-E72D297353CC}">
                <c16:uniqueId val="{000000A6-C92F-AB44-9649-6520C43A544F}"/>
              </c:ext>
            </c:extLst>
          </c:dPt>
          <c:errBars>
            <c:errBarType val="both"/>
            <c:errValType val="cust"/>
            <c:noEndCap val="0"/>
            <c:plus>
              <c:numRef>
                <c:f>'Coconut oil'!$E$2:$E$100</c:f>
                <c:numCache>
                  <c:formatCode>General</c:formatCode>
                  <c:ptCount val="99"/>
                  <c:pt idx="0">
                    <c:v>1.6761398262938225</c:v>
                  </c:pt>
                  <c:pt idx="1">
                    <c:v>1.9671082372225888</c:v>
                  </c:pt>
                  <c:pt idx="2">
                    <c:v>1.6253477114977288</c:v>
                  </c:pt>
                  <c:pt idx="3">
                    <c:v>1.6208658597369894</c:v>
                  </c:pt>
                  <c:pt idx="4">
                    <c:v>1.6665739965931154</c:v>
                  </c:pt>
                  <c:pt idx="5">
                    <c:v>1.5967468449051359</c:v>
                  </c:pt>
                  <c:pt idx="6">
                    <c:v>1.6762594417141268</c:v>
                  </c:pt>
                  <c:pt idx="7">
                    <c:v>0.87130422005956332</c:v>
                  </c:pt>
                  <c:pt idx="8">
                    <c:v>1.1750803614131053</c:v>
                  </c:pt>
                  <c:pt idx="9">
                    <c:v>0.87513831918253304</c:v>
                  </c:pt>
                  <c:pt idx="10">
                    <c:v>0.87026356764410717</c:v>
                  </c:pt>
                  <c:pt idx="11">
                    <c:v>0.90430115488779594</c:v>
                  </c:pt>
                  <c:pt idx="12">
                    <c:v>0.85224985868719094</c:v>
                  </c:pt>
                  <c:pt idx="13">
                    <c:v>0.91914109930817556</c:v>
                  </c:pt>
                  <c:pt idx="14">
                    <c:v>0.80701867332500854</c:v>
                  </c:pt>
                  <c:pt idx="15">
                    <c:v>0.80493358609314525</c:v>
                  </c:pt>
                  <c:pt idx="16">
                    <c:v>0.75020950006904097</c:v>
                  </c:pt>
                  <c:pt idx="17">
                    <c:v>0.75068049835238926</c:v>
                  </c:pt>
                  <c:pt idx="18">
                    <c:v>0.76227296352917262</c:v>
                  </c:pt>
                  <c:pt idx="19">
                    <c:v>0.74449761513316159</c:v>
                  </c:pt>
                  <c:pt idx="20">
                    <c:v>0.75785735926260733</c:v>
                  </c:pt>
                  <c:pt idx="23">
                    <c:v>1.4502052743569556</c:v>
                  </c:pt>
                  <c:pt idx="24">
                    <c:v>1.3888485831593225</c:v>
                  </c:pt>
                  <c:pt idx="25">
                    <c:v>1.4156730511194586</c:v>
                  </c:pt>
                  <c:pt idx="26">
                    <c:v>1.5020503767918298</c:v>
                  </c:pt>
                  <c:pt idx="27">
                    <c:v>1.5206448779386816</c:v>
                  </c:pt>
                  <c:pt idx="28">
                    <c:v>1.4691160885652781</c:v>
                  </c:pt>
                  <c:pt idx="29">
                    <c:v>1.5086212672927211</c:v>
                  </c:pt>
                  <c:pt idx="30">
                    <c:v>0.77150111224789619</c:v>
                  </c:pt>
                  <c:pt idx="31">
                    <c:v>0.72720041088894316</c:v>
                  </c:pt>
                  <c:pt idx="32">
                    <c:v>0.74583874996081978</c:v>
                  </c:pt>
                  <c:pt idx="33">
                    <c:v>0.80749346769832964</c:v>
                  </c:pt>
                  <c:pt idx="34">
                    <c:v>0.82479653486335658</c:v>
                  </c:pt>
                  <c:pt idx="35">
                    <c:v>0.79082838201992434</c:v>
                  </c:pt>
                  <c:pt idx="36">
                    <c:v>0.82636578789769588</c:v>
                  </c:pt>
                  <c:pt idx="37">
                    <c:v>0.67875015522262716</c:v>
                  </c:pt>
                  <c:pt idx="38">
                    <c:v>0.66164838413943583</c:v>
                  </c:pt>
                  <c:pt idx="39">
                    <c:v>0.66989340477614323</c:v>
                  </c:pt>
                  <c:pt idx="40">
                    <c:v>0.69455754362428257</c:v>
                  </c:pt>
                  <c:pt idx="41">
                    <c:v>0.69605918237620068</c:v>
                  </c:pt>
                  <c:pt idx="42">
                    <c:v>0.67834514437658489</c:v>
                  </c:pt>
                  <c:pt idx="43">
                    <c:v>0.6822883572750551</c:v>
                  </c:pt>
                  <c:pt idx="46">
                    <c:v>1.3586132706241354</c:v>
                  </c:pt>
                  <c:pt idx="47">
                    <c:v>1.3436057897591331</c:v>
                  </c:pt>
                  <c:pt idx="48">
                    <c:v>1.440759055199808</c:v>
                  </c:pt>
                  <c:pt idx="49">
                    <c:v>1.3508272358217646</c:v>
                  </c:pt>
                  <c:pt idx="50">
                    <c:v>1.3837688718338235</c:v>
                  </c:pt>
                  <c:pt idx="51">
                    <c:v>1.3950100620526227</c:v>
                  </c:pt>
                  <c:pt idx="52">
                    <c:v>1.4001539437334767</c:v>
                  </c:pt>
                  <c:pt idx="53">
                    <c:v>0.63763487132320351</c:v>
                  </c:pt>
                  <c:pt idx="54">
                    <c:v>0.62566260781470928</c:v>
                  </c:pt>
                  <c:pt idx="55">
                    <c:v>0.6981761241908474</c:v>
                  </c:pt>
                  <c:pt idx="56">
                    <c:v>0.63136896743966964</c:v>
                  </c:pt>
                  <c:pt idx="57">
                    <c:v>0.65200637685085394</c:v>
                  </c:pt>
                  <c:pt idx="58">
                    <c:v>0.66197247017208449</c:v>
                  </c:pt>
                  <c:pt idx="59">
                    <c:v>0.66666351736797358</c:v>
                  </c:pt>
                  <c:pt idx="60">
                    <c:v>0.72114053889990559</c:v>
                  </c:pt>
                  <c:pt idx="61">
                    <c:v>0.71803543398882119</c:v>
                  </c:pt>
                  <c:pt idx="62">
                    <c:v>0.74258294790447721</c:v>
                  </c:pt>
                  <c:pt idx="63">
                    <c:v>0.71962903097499187</c:v>
                  </c:pt>
                  <c:pt idx="64">
                    <c:v>0.73179306476106565</c:v>
                  </c:pt>
                  <c:pt idx="65">
                    <c:v>0.73312547099317371</c:v>
                  </c:pt>
                  <c:pt idx="66">
                    <c:v>0.73396491715695644</c:v>
                  </c:pt>
                  <c:pt idx="69">
                    <c:v>1.4305629376417348</c:v>
                  </c:pt>
                  <c:pt idx="70">
                    <c:v>1.3694612510553101</c:v>
                  </c:pt>
                  <c:pt idx="71">
                    <c:v>1.3870209904699335</c:v>
                  </c:pt>
                  <c:pt idx="72">
                    <c:v>1.3200124087616549</c:v>
                  </c:pt>
                  <c:pt idx="73">
                    <c:v>1.42211036939327</c:v>
                  </c:pt>
                  <c:pt idx="74">
                    <c:v>1.2530488244772553</c:v>
                  </c:pt>
                  <c:pt idx="75">
                    <c:v>1.4351403982009598</c:v>
                  </c:pt>
                  <c:pt idx="76">
                    <c:v>0.6835055777011152</c:v>
                  </c:pt>
                  <c:pt idx="77">
                    <c:v>0.64491687660970998</c:v>
                  </c:pt>
                  <c:pt idx="78">
                    <c:v>0.65461842961458971</c:v>
                  </c:pt>
                  <c:pt idx="79">
                    <c:v>0.59991321990162816</c:v>
                  </c:pt>
                  <c:pt idx="80">
                    <c:v>0.67229527711937298</c:v>
                  </c:pt>
                  <c:pt idx="81">
                    <c:v>0.54625648079023215</c:v>
                  </c:pt>
                  <c:pt idx="82">
                    <c:v>0.67755078672457769</c:v>
                  </c:pt>
                  <c:pt idx="83">
                    <c:v>0.74709562725303269</c:v>
                  </c:pt>
                  <c:pt idx="84">
                    <c:v>0.72472041106041241</c:v>
                  </c:pt>
                  <c:pt idx="85">
                    <c:v>0.73240452820999791</c:v>
                  </c:pt>
                  <c:pt idx="86">
                    <c:v>0.72015634528822214</c:v>
                  </c:pt>
                  <c:pt idx="87">
                    <c:v>0.74990259137787207</c:v>
                  </c:pt>
                  <c:pt idx="88">
                    <c:v>0.70928556751872318</c:v>
                  </c:pt>
                  <c:pt idx="89">
                    <c:v>0.75774422647418271</c:v>
                  </c:pt>
                  <c:pt idx="92">
                    <c:v>1.5</c:v>
                  </c:pt>
                  <c:pt idx="95">
                    <c:v>0.7</c:v>
                  </c:pt>
                  <c:pt idx="98">
                    <c:v>0.6</c:v>
                  </c:pt>
                </c:numCache>
              </c:numRef>
            </c:plus>
            <c:minus>
              <c:numRef>
                <c:f>'Coconut oil'!$E$2:$E$100</c:f>
                <c:numCache>
                  <c:formatCode>General</c:formatCode>
                  <c:ptCount val="99"/>
                  <c:pt idx="0">
                    <c:v>1.6761398262938225</c:v>
                  </c:pt>
                  <c:pt idx="1">
                    <c:v>1.9671082372225888</c:v>
                  </c:pt>
                  <c:pt idx="2">
                    <c:v>1.6253477114977288</c:v>
                  </c:pt>
                  <c:pt idx="3">
                    <c:v>1.6208658597369894</c:v>
                  </c:pt>
                  <c:pt idx="4">
                    <c:v>1.6665739965931154</c:v>
                  </c:pt>
                  <c:pt idx="5">
                    <c:v>1.5967468449051359</c:v>
                  </c:pt>
                  <c:pt idx="6">
                    <c:v>1.6762594417141268</c:v>
                  </c:pt>
                  <c:pt idx="7">
                    <c:v>0.87130422005956332</c:v>
                  </c:pt>
                  <c:pt idx="8">
                    <c:v>1.1750803614131053</c:v>
                  </c:pt>
                  <c:pt idx="9">
                    <c:v>0.87513831918253304</c:v>
                  </c:pt>
                  <c:pt idx="10">
                    <c:v>0.87026356764410717</c:v>
                  </c:pt>
                  <c:pt idx="11">
                    <c:v>0.90430115488779594</c:v>
                  </c:pt>
                  <c:pt idx="12">
                    <c:v>0.85224985868719094</c:v>
                  </c:pt>
                  <c:pt idx="13">
                    <c:v>0.91914109930817556</c:v>
                  </c:pt>
                  <c:pt idx="14">
                    <c:v>0.80701867332500854</c:v>
                  </c:pt>
                  <c:pt idx="15">
                    <c:v>0.80493358609314525</c:v>
                  </c:pt>
                  <c:pt idx="16">
                    <c:v>0.75020950006904097</c:v>
                  </c:pt>
                  <c:pt idx="17">
                    <c:v>0.75068049835238926</c:v>
                  </c:pt>
                  <c:pt idx="18">
                    <c:v>0.76227296352917262</c:v>
                  </c:pt>
                  <c:pt idx="19">
                    <c:v>0.74449761513316159</c:v>
                  </c:pt>
                  <c:pt idx="20">
                    <c:v>0.75785735926260733</c:v>
                  </c:pt>
                  <c:pt idx="23">
                    <c:v>1.4502052743569556</c:v>
                  </c:pt>
                  <c:pt idx="24">
                    <c:v>1.3888485831593225</c:v>
                  </c:pt>
                  <c:pt idx="25">
                    <c:v>1.4156730511194586</c:v>
                  </c:pt>
                  <c:pt idx="26">
                    <c:v>1.5020503767918298</c:v>
                  </c:pt>
                  <c:pt idx="27">
                    <c:v>1.5206448779386816</c:v>
                  </c:pt>
                  <c:pt idx="28">
                    <c:v>1.4691160885652781</c:v>
                  </c:pt>
                  <c:pt idx="29">
                    <c:v>1.5086212672927211</c:v>
                  </c:pt>
                  <c:pt idx="30">
                    <c:v>0.77150111224789619</c:v>
                  </c:pt>
                  <c:pt idx="31">
                    <c:v>0.72720041088894316</c:v>
                  </c:pt>
                  <c:pt idx="32">
                    <c:v>0.74583874996081978</c:v>
                  </c:pt>
                  <c:pt idx="33">
                    <c:v>0.80749346769832964</c:v>
                  </c:pt>
                  <c:pt idx="34">
                    <c:v>0.82479653486335658</c:v>
                  </c:pt>
                  <c:pt idx="35">
                    <c:v>0.79082838201992434</c:v>
                  </c:pt>
                  <c:pt idx="36">
                    <c:v>0.82636578789769588</c:v>
                  </c:pt>
                  <c:pt idx="37">
                    <c:v>0.67875015522262716</c:v>
                  </c:pt>
                  <c:pt idx="38">
                    <c:v>0.66164838413943583</c:v>
                  </c:pt>
                  <c:pt idx="39">
                    <c:v>0.66989340477614323</c:v>
                  </c:pt>
                  <c:pt idx="40">
                    <c:v>0.69455754362428257</c:v>
                  </c:pt>
                  <c:pt idx="41">
                    <c:v>0.69605918237620068</c:v>
                  </c:pt>
                  <c:pt idx="42">
                    <c:v>0.67834514437658489</c:v>
                  </c:pt>
                  <c:pt idx="43">
                    <c:v>0.6822883572750551</c:v>
                  </c:pt>
                  <c:pt idx="46">
                    <c:v>1.3586132706241354</c:v>
                  </c:pt>
                  <c:pt idx="47">
                    <c:v>1.3436057897591331</c:v>
                  </c:pt>
                  <c:pt idx="48">
                    <c:v>1.440759055199808</c:v>
                  </c:pt>
                  <c:pt idx="49">
                    <c:v>1.3508272358217646</c:v>
                  </c:pt>
                  <c:pt idx="50">
                    <c:v>1.3837688718338235</c:v>
                  </c:pt>
                  <c:pt idx="51">
                    <c:v>1.3950100620526227</c:v>
                  </c:pt>
                  <c:pt idx="52">
                    <c:v>1.4001539437334767</c:v>
                  </c:pt>
                  <c:pt idx="53">
                    <c:v>0.63763487132320351</c:v>
                  </c:pt>
                  <c:pt idx="54">
                    <c:v>0.62566260781470928</c:v>
                  </c:pt>
                  <c:pt idx="55">
                    <c:v>0.6981761241908474</c:v>
                  </c:pt>
                  <c:pt idx="56">
                    <c:v>0.63136896743966964</c:v>
                  </c:pt>
                  <c:pt idx="57">
                    <c:v>0.65200637685085394</c:v>
                  </c:pt>
                  <c:pt idx="58">
                    <c:v>0.66197247017208449</c:v>
                  </c:pt>
                  <c:pt idx="59">
                    <c:v>0.66666351736797358</c:v>
                  </c:pt>
                  <c:pt idx="60">
                    <c:v>0.72114053889990559</c:v>
                  </c:pt>
                  <c:pt idx="61">
                    <c:v>0.71803543398882119</c:v>
                  </c:pt>
                  <c:pt idx="62">
                    <c:v>0.74258294790447721</c:v>
                  </c:pt>
                  <c:pt idx="63">
                    <c:v>0.71962903097499187</c:v>
                  </c:pt>
                  <c:pt idx="64">
                    <c:v>0.73179306476106565</c:v>
                  </c:pt>
                  <c:pt idx="65">
                    <c:v>0.73312547099317371</c:v>
                  </c:pt>
                  <c:pt idx="66">
                    <c:v>0.73396491715695644</c:v>
                  </c:pt>
                  <c:pt idx="69">
                    <c:v>1.4305629376417348</c:v>
                  </c:pt>
                  <c:pt idx="70">
                    <c:v>1.3694612510553101</c:v>
                  </c:pt>
                  <c:pt idx="71">
                    <c:v>1.3870209904699335</c:v>
                  </c:pt>
                  <c:pt idx="72">
                    <c:v>1.3200124087616549</c:v>
                  </c:pt>
                  <c:pt idx="73">
                    <c:v>1.42211036939327</c:v>
                  </c:pt>
                  <c:pt idx="74">
                    <c:v>1.2530488244772553</c:v>
                  </c:pt>
                  <c:pt idx="75">
                    <c:v>1.4351403982009598</c:v>
                  </c:pt>
                  <c:pt idx="76">
                    <c:v>0.6835055777011152</c:v>
                  </c:pt>
                  <c:pt idx="77">
                    <c:v>0.64491687660970998</c:v>
                  </c:pt>
                  <c:pt idx="78">
                    <c:v>0.65461842961458971</c:v>
                  </c:pt>
                  <c:pt idx="79">
                    <c:v>0.59991321990162816</c:v>
                  </c:pt>
                  <c:pt idx="80">
                    <c:v>0.67229527711937298</c:v>
                  </c:pt>
                  <c:pt idx="81">
                    <c:v>0.54625648079023215</c:v>
                  </c:pt>
                  <c:pt idx="82">
                    <c:v>0.67755078672457769</c:v>
                  </c:pt>
                  <c:pt idx="83">
                    <c:v>0.74709562725303269</c:v>
                  </c:pt>
                  <c:pt idx="84">
                    <c:v>0.72472041106041241</c:v>
                  </c:pt>
                  <c:pt idx="85">
                    <c:v>0.73240452820999791</c:v>
                  </c:pt>
                  <c:pt idx="86">
                    <c:v>0.72015634528822214</c:v>
                  </c:pt>
                  <c:pt idx="87">
                    <c:v>0.74990259137787207</c:v>
                  </c:pt>
                  <c:pt idx="88">
                    <c:v>0.70928556751872318</c:v>
                  </c:pt>
                  <c:pt idx="89">
                    <c:v>0.75774422647418271</c:v>
                  </c:pt>
                  <c:pt idx="92">
                    <c:v>1.5</c:v>
                  </c:pt>
                  <c:pt idx="95">
                    <c:v>0.7</c:v>
                  </c:pt>
                  <c:pt idx="98">
                    <c:v>0.6</c:v>
                  </c:pt>
                </c:numCache>
              </c:numRef>
            </c:minus>
            <c:spPr>
              <a:noFill/>
              <a:ln w="6350" cap="flat" cmpd="sng" algn="ctr">
                <a:solidFill>
                  <a:schemeClr val="tx1"/>
                </a:solidFill>
                <a:round/>
              </a:ln>
              <a:effectLst/>
            </c:spPr>
          </c:errBars>
          <c:val>
            <c:numRef>
              <c:f>'Coconut oil'!$D$2:$D$102</c:f>
              <c:numCache>
                <c:formatCode>General</c:formatCode>
                <c:ptCount val="101"/>
                <c:pt idx="0">
                  <c:v>89.47</c:v>
                </c:pt>
                <c:pt idx="1">
                  <c:v>89.158945846843253</c:v>
                </c:pt>
                <c:pt idx="2">
                  <c:v>89.950926662986646</c:v>
                </c:pt>
                <c:pt idx="3">
                  <c:v>89.638342057580658</c:v>
                </c:pt>
                <c:pt idx="4">
                  <c:v>89.604004422282699</c:v>
                </c:pt>
                <c:pt idx="5">
                  <c:v>89.785429507366999</c:v>
                </c:pt>
                <c:pt idx="6">
                  <c:v>89.732188677288491</c:v>
                </c:pt>
                <c:pt idx="7">
                  <c:v>7.97</c:v>
                </c:pt>
                <c:pt idx="8">
                  <c:v>8.2339970496825945</c:v>
                </c:pt>
                <c:pt idx="9">
                  <c:v>8.0194201209525193</c:v>
                </c:pt>
                <c:pt idx="10">
                  <c:v>7.8964460689585074</c:v>
                </c:pt>
                <c:pt idx="11">
                  <c:v>7.9299806413230911</c:v>
                </c:pt>
                <c:pt idx="12">
                  <c:v>7.8275978734494167</c:v>
                </c:pt>
                <c:pt idx="13">
                  <c:v>7.8784140833012497</c:v>
                </c:pt>
                <c:pt idx="14">
                  <c:v>2.79</c:v>
                </c:pt>
                <c:pt idx="15">
                  <c:v>2.6070571034741414</c:v>
                </c:pt>
                <c:pt idx="16">
                  <c:v>2.5579397885813329</c:v>
                </c:pt>
                <c:pt idx="17">
                  <c:v>2.4652118734608286</c:v>
                </c:pt>
                <c:pt idx="18">
                  <c:v>2.4660149363942194</c:v>
                </c:pt>
                <c:pt idx="19">
                  <c:v>2.3869726191835867</c:v>
                </c:pt>
                <c:pt idx="20">
                  <c:v>2.3893972394102878</c:v>
                </c:pt>
                <c:pt idx="23">
                  <c:v>90.294333000270456</c:v>
                </c:pt>
                <c:pt idx="24">
                  <c:v>90.253173818418915</c:v>
                </c:pt>
                <c:pt idx="25">
                  <c:v>90.388988461325724</c:v>
                </c:pt>
                <c:pt idx="26">
                  <c:v>90.352714161137456</c:v>
                </c:pt>
                <c:pt idx="27">
                  <c:v>90.401209100099805</c:v>
                </c:pt>
                <c:pt idx="28">
                  <c:v>90.451017725114582</c:v>
                </c:pt>
                <c:pt idx="29">
                  <c:v>90.47718370908963</c:v>
                </c:pt>
                <c:pt idx="30">
                  <c:v>7.5165171505168242</c:v>
                </c:pt>
                <c:pt idx="31">
                  <c:v>7.5447927116199676</c:v>
                </c:pt>
                <c:pt idx="32">
                  <c:v>7.4697294335023967</c:v>
                </c:pt>
                <c:pt idx="33">
                  <c:v>7.4968067641334981</c:v>
                </c:pt>
                <c:pt idx="34">
                  <c:v>7.4752299898977697</c:v>
                </c:pt>
                <c:pt idx="35">
                  <c:v>7.4503474319668523</c:v>
                </c:pt>
                <c:pt idx="36">
                  <c:v>7.4526435271324241</c:v>
                </c:pt>
                <c:pt idx="37">
                  <c:v>2.1891498492127082</c:v>
                </c:pt>
                <c:pt idx="38">
                  <c:v>2.2020334699611048</c:v>
                </c:pt>
                <c:pt idx="39">
                  <c:v>2.1412821051718796</c:v>
                </c:pt>
                <c:pt idx="40">
                  <c:v>2.150479074729049</c:v>
                </c:pt>
                <c:pt idx="41">
                  <c:v>2.1235609100023973</c:v>
                </c:pt>
                <c:pt idx="42">
                  <c:v>2.0986348429185591</c:v>
                </c:pt>
                <c:pt idx="43">
                  <c:v>2.0701727637779568</c:v>
                </c:pt>
                <c:pt idx="46">
                  <c:v>87.434081493820258</c:v>
                </c:pt>
                <c:pt idx="47">
                  <c:v>87.307659823652557</c:v>
                </c:pt>
                <c:pt idx="48">
                  <c:v>87.239347059236152</c:v>
                </c:pt>
                <c:pt idx="49">
                  <c:v>87.266770624478184</c:v>
                </c:pt>
                <c:pt idx="50">
                  <c:v>87.354115222719059</c:v>
                </c:pt>
                <c:pt idx="51">
                  <c:v>87.383087581590217</c:v>
                </c:pt>
                <c:pt idx="52">
                  <c:v>87.44158199515401</c:v>
                </c:pt>
                <c:pt idx="53">
                  <c:v>9.0763177049251027</c:v>
                </c:pt>
                <c:pt idx="54">
                  <c:v>8.9590653750333846</c:v>
                </c:pt>
                <c:pt idx="55">
                  <c:v>8.9995186055975331</c:v>
                </c:pt>
                <c:pt idx="56">
                  <c:v>9.0009290384351193</c:v>
                </c:pt>
                <c:pt idx="57">
                  <c:v>8.9812226175993999</c:v>
                </c:pt>
                <c:pt idx="58">
                  <c:v>8.9769418685232711</c:v>
                </c:pt>
                <c:pt idx="59">
                  <c:v>8.9600439052676695</c:v>
                </c:pt>
                <c:pt idx="60">
                  <c:v>3.8642074117342653</c:v>
                </c:pt>
                <c:pt idx="61">
                  <c:v>3.7332748013140535</c:v>
                </c:pt>
                <c:pt idx="62">
                  <c:v>3.7611343351663171</c:v>
                </c:pt>
                <c:pt idx="63">
                  <c:v>3.7323003370867021</c:v>
                </c:pt>
                <c:pt idx="64">
                  <c:v>3.6646621596815501</c:v>
                </c:pt>
                <c:pt idx="65">
                  <c:v>3.6399705498865162</c:v>
                </c:pt>
                <c:pt idx="66">
                  <c:v>3.5983740995783138</c:v>
                </c:pt>
                <c:pt idx="69">
                  <c:v>87.464947266631597</c:v>
                </c:pt>
                <c:pt idx="70">
                  <c:v>87.289215676672967</c:v>
                </c:pt>
                <c:pt idx="71">
                  <c:v>87.345586155129908</c:v>
                </c:pt>
                <c:pt idx="72">
                  <c:v>87.344329877587015</c:v>
                </c:pt>
                <c:pt idx="73">
                  <c:v>87.2915824514983</c:v>
                </c:pt>
                <c:pt idx="74">
                  <c:v>87.433395374235445</c:v>
                </c:pt>
                <c:pt idx="75">
                  <c:v>87.38961455250903</c:v>
                </c:pt>
                <c:pt idx="76">
                  <c:v>9.0645686773605938</c:v>
                </c:pt>
                <c:pt idx="77">
                  <c:v>8.9624968421377034</c:v>
                </c:pt>
                <c:pt idx="78">
                  <c:v>8.9410971825538414</c:v>
                </c:pt>
                <c:pt idx="79">
                  <c:v>8.9538620423355102</c:v>
                </c:pt>
                <c:pt idx="80">
                  <c:v>8.9927992082071846</c:v>
                </c:pt>
                <c:pt idx="81">
                  <c:v>8.9258884005429451</c:v>
                </c:pt>
                <c:pt idx="82">
                  <c:v>8.9657505564801969</c:v>
                </c:pt>
                <c:pt idx="83">
                  <c:v>3.8414490535493906</c:v>
                </c:pt>
                <c:pt idx="84">
                  <c:v>3.7482874811893256</c:v>
                </c:pt>
                <c:pt idx="85">
                  <c:v>3.7133166623162537</c:v>
                </c:pt>
                <c:pt idx="86">
                  <c:v>3.7018080800774613</c:v>
                </c:pt>
                <c:pt idx="87">
                  <c:v>3.7156183402945282</c:v>
                </c:pt>
                <c:pt idx="88">
                  <c:v>3.6407162252216239</c:v>
                </c:pt>
                <c:pt idx="89">
                  <c:v>3.6446348910107615</c:v>
                </c:pt>
                <c:pt idx="92">
                  <c:v>87</c:v>
                </c:pt>
                <c:pt idx="95">
                  <c:v>10</c:v>
                </c:pt>
                <c:pt idx="98">
                  <c:v>4</c:v>
                </c:pt>
              </c:numCache>
            </c:numRef>
          </c:val>
          <c:extLst>
            <c:ext xmlns:c16="http://schemas.microsoft.com/office/drawing/2014/chart" uri="{C3380CC4-5D6E-409C-BE32-E72D297353CC}">
              <c16:uniqueId val="{000000A7-C92F-AB44-9649-6520C43A544F}"/>
            </c:ext>
          </c:extLst>
        </c:ser>
        <c:ser>
          <c:idx val="2"/>
          <c:order val="2"/>
          <c:tx>
            <c:v>MUFA Oil</c:v>
          </c:tx>
          <c:spPr>
            <a:solidFill>
              <a:srgbClr val="BF87FF"/>
            </a:solidFill>
            <a:ln>
              <a:solidFill>
                <a:schemeClr val="tx1"/>
              </a:solidFill>
            </a:ln>
            <a:effectLst/>
          </c:spPr>
          <c:invertIfNegative val="0"/>
          <c:val>
            <c:numRef>
              <c:f>'Coconut oil'!$X$10</c:f>
              <c:numCache>
                <c:formatCode>General</c:formatCode>
                <c:ptCount val="1"/>
                <c:pt idx="0">
                  <c:v>0</c:v>
                </c:pt>
              </c:numCache>
            </c:numRef>
          </c:val>
          <c:extLst>
            <c:ext xmlns:c16="http://schemas.microsoft.com/office/drawing/2014/chart" uri="{C3380CC4-5D6E-409C-BE32-E72D297353CC}">
              <c16:uniqueId val="{000000A8-C92F-AB44-9649-6520C43A544F}"/>
            </c:ext>
          </c:extLst>
        </c:ser>
        <c:ser>
          <c:idx val="3"/>
          <c:order val="3"/>
          <c:tx>
            <c:v>PUFA Oil </c:v>
          </c:tx>
          <c:spPr>
            <a:solidFill>
              <a:srgbClr val="E5CFFF"/>
            </a:solidFill>
            <a:ln>
              <a:solidFill>
                <a:schemeClr val="tx1"/>
              </a:solidFill>
            </a:ln>
            <a:effectLst/>
          </c:spPr>
          <c:invertIfNegative val="0"/>
          <c:val>
            <c:numRef>
              <c:f>'Coconut oil'!$X$10</c:f>
              <c:numCache>
                <c:formatCode>General</c:formatCode>
                <c:ptCount val="1"/>
                <c:pt idx="0">
                  <c:v>0</c:v>
                </c:pt>
              </c:numCache>
            </c:numRef>
          </c:val>
          <c:extLst>
            <c:ext xmlns:c16="http://schemas.microsoft.com/office/drawing/2014/chart" uri="{C3380CC4-5D6E-409C-BE32-E72D297353CC}">
              <c16:uniqueId val="{000000A9-C92F-AB44-9649-6520C43A544F}"/>
            </c:ext>
          </c:extLst>
        </c:ser>
        <c:ser>
          <c:idx val="4"/>
          <c:order val="4"/>
          <c:tx>
            <c:v>SFA Oil + BHT </c:v>
          </c:tx>
          <c:spPr>
            <a:solidFill>
              <a:srgbClr val="E46C0A"/>
            </a:solidFill>
            <a:ln>
              <a:solidFill>
                <a:schemeClr val="tx1"/>
              </a:solidFill>
            </a:ln>
            <a:effectLst/>
          </c:spPr>
          <c:invertIfNegative val="0"/>
          <c:val>
            <c:numRef>
              <c:f>'Coconut oil'!$X$10</c:f>
              <c:numCache>
                <c:formatCode>General</c:formatCode>
                <c:ptCount val="1"/>
                <c:pt idx="0">
                  <c:v>0</c:v>
                </c:pt>
              </c:numCache>
            </c:numRef>
          </c:val>
          <c:extLst>
            <c:ext xmlns:c16="http://schemas.microsoft.com/office/drawing/2014/chart" uri="{C3380CC4-5D6E-409C-BE32-E72D297353CC}">
              <c16:uniqueId val="{000000AA-C92F-AB44-9649-6520C43A544F}"/>
            </c:ext>
          </c:extLst>
        </c:ser>
        <c:ser>
          <c:idx val="5"/>
          <c:order val="5"/>
          <c:tx>
            <c:v>MUFA Oil + BHT </c:v>
          </c:tx>
          <c:spPr>
            <a:solidFill>
              <a:srgbClr val="FAC190"/>
            </a:solidFill>
            <a:ln>
              <a:solidFill>
                <a:schemeClr val="tx1"/>
              </a:solidFill>
            </a:ln>
            <a:effectLst/>
          </c:spPr>
          <c:invertIfNegative val="0"/>
          <c:val>
            <c:numRef>
              <c:f>'Coconut oil'!$X$10</c:f>
              <c:numCache>
                <c:formatCode>General</c:formatCode>
                <c:ptCount val="1"/>
                <c:pt idx="0">
                  <c:v>0</c:v>
                </c:pt>
              </c:numCache>
            </c:numRef>
          </c:val>
          <c:extLst>
            <c:ext xmlns:c16="http://schemas.microsoft.com/office/drawing/2014/chart" uri="{C3380CC4-5D6E-409C-BE32-E72D297353CC}">
              <c16:uniqueId val="{000000AB-C92F-AB44-9649-6520C43A544F}"/>
            </c:ext>
          </c:extLst>
        </c:ser>
        <c:ser>
          <c:idx val="6"/>
          <c:order val="6"/>
          <c:tx>
            <c:v>PUFA Oil + BHT</c:v>
          </c:tx>
          <c:spPr>
            <a:solidFill>
              <a:srgbClr val="FEEADA"/>
            </a:solidFill>
            <a:ln>
              <a:solidFill>
                <a:schemeClr val="tx1"/>
              </a:solidFill>
            </a:ln>
            <a:effectLst/>
          </c:spPr>
          <c:invertIfNegative val="0"/>
          <c:val>
            <c:numRef>
              <c:f>'Coconut oil'!$X$10</c:f>
              <c:numCache>
                <c:formatCode>General</c:formatCode>
                <c:ptCount val="1"/>
                <c:pt idx="0">
                  <c:v>0</c:v>
                </c:pt>
              </c:numCache>
            </c:numRef>
          </c:val>
          <c:extLst>
            <c:ext xmlns:c16="http://schemas.microsoft.com/office/drawing/2014/chart" uri="{C3380CC4-5D6E-409C-BE32-E72D297353CC}">
              <c16:uniqueId val="{000000AC-C92F-AB44-9649-6520C43A544F}"/>
            </c:ext>
          </c:extLst>
        </c:ser>
        <c:ser>
          <c:idx val="7"/>
          <c:order val="7"/>
          <c:tx>
            <c:v>SFA Oil + β-carotene </c:v>
          </c:tx>
          <c:spPr>
            <a:solidFill>
              <a:srgbClr val="77933C"/>
            </a:solidFill>
            <a:ln>
              <a:solidFill>
                <a:schemeClr val="tx1"/>
              </a:solidFill>
            </a:ln>
            <a:effectLst/>
          </c:spPr>
          <c:invertIfNegative val="0"/>
          <c:val>
            <c:numRef>
              <c:f>'Coconut oil'!$X$10</c:f>
              <c:numCache>
                <c:formatCode>General</c:formatCode>
                <c:ptCount val="1"/>
                <c:pt idx="0">
                  <c:v>0</c:v>
                </c:pt>
              </c:numCache>
            </c:numRef>
          </c:val>
          <c:extLst>
            <c:ext xmlns:c16="http://schemas.microsoft.com/office/drawing/2014/chart" uri="{C3380CC4-5D6E-409C-BE32-E72D297353CC}">
              <c16:uniqueId val="{000000AD-C92F-AB44-9649-6520C43A544F}"/>
            </c:ext>
          </c:extLst>
        </c:ser>
        <c:ser>
          <c:idx val="8"/>
          <c:order val="8"/>
          <c:tx>
            <c:v>MUFA Oil + β-carotene </c:v>
          </c:tx>
          <c:spPr>
            <a:solidFill>
              <a:srgbClr val="C3D69B"/>
            </a:solidFill>
            <a:ln>
              <a:solidFill>
                <a:schemeClr val="tx1"/>
              </a:solidFill>
            </a:ln>
            <a:effectLst/>
          </c:spPr>
          <c:invertIfNegative val="0"/>
          <c:val>
            <c:numRef>
              <c:f>'Coconut oil'!$X$10</c:f>
              <c:numCache>
                <c:formatCode>General</c:formatCode>
                <c:ptCount val="1"/>
                <c:pt idx="0">
                  <c:v>0</c:v>
                </c:pt>
              </c:numCache>
            </c:numRef>
          </c:val>
          <c:extLst>
            <c:ext xmlns:c16="http://schemas.microsoft.com/office/drawing/2014/chart" uri="{C3380CC4-5D6E-409C-BE32-E72D297353CC}">
              <c16:uniqueId val="{000000AE-C92F-AB44-9649-6520C43A544F}"/>
            </c:ext>
          </c:extLst>
        </c:ser>
        <c:ser>
          <c:idx val="9"/>
          <c:order val="9"/>
          <c:tx>
            <c:v>PUFA Oil + β-carotene </c:v>
          </c:tx>
          <c:spPr>
            <a:solidFill>
              <a:srgbClr val="EBF1DE"/>
            </a:solidFill>
            <a:ln>
              <a:solidFill>
                <a:schemeClr val="tx1"/>
              </a:solidFill>
            </a:ln>
            <a:effectLst/>
          </c:spPr>
          <c:invertIfNegative val="0"/>
          <c:val>
            <c:numRef>
              <c:f>'Coconut oil'!$X$10</c:f>
              <c:numCache>
                <c:formatCode>General</c:formatCode>
                <c:ptCount val="1"/>
                <c:pt idx="0">
                  <c:v>0</c:v>
                </c:pt>
              </c:numCache>
            </c:numRef>
          </c:val>
          <c:extLst>
            <c:ext xmlns:c16="http://schemas.microsoft.com/office/drawing/2014/chart" uri="{C3380CC4-5D6E-409C-BE32-E72D297353CC}">
              <c16:uniqueId val="{000000AF-C92F-AB44-9649-6520C43A544F}"/>
            </c:ext>
          </c:extLst>
        </c:ser>
        <c:ser>
          <c:idx val="10"/>
          <c:order val="10"/>
          <c:tx>
            <c:v>SFA Oil + β-carotene + BHT</c:v>
          </c:tx>
          <c:spPr>
            <a:solidFill>
              <a:srgbClr val="4A68F2"/>
            </a:solidFill>
            <a:ln>
              <a:solidFill>
                <a:schemeClr val="tx1"/>
              </a:solidFill>
            </a:ln>
            <a:effectLst/>
          </c:spPr>
          <c:invertIfNegative val="0"/>
          <c:val>
            <c:numRef>
              <c:f>'Coconut oil'!$X$10</c:f>
              <c:numCache>
                <c:formatCode>General</c:formatCode>
                <c:ptCount val="1"/>
                <c:pt idx="0">
                  <c:v>0</c:v>
                </c:pt>
              </c:numCache>
            </c:numRef>
          </c:val>
          <c:extLst>
            <c:ext xmlns:c16="http://schemas.microsoft.com/office/drawing/2014/chart" uri="{C3380CC4-5D6E-409C-BE32-E72D297353CC}">
              <c16:uniqueId val="{000000B0-C92F-AB44-9649-6520C43A544F}"/>
            </c:ext>
          </c:extLst>
        </c:ser>
        <c:ser>
          <c:idx val="11"/>
          <c:order val="11"/>
          <c:tx>
            <c:v>MUFA Oil + β-carotene + BHT</c:v>
          </c:tx>
          <c:spPr>
            <a:solidFill>
              <a:srgbClr val="6CC6E3"/>
            </a:solidFill>
            <a:ln>
              <a:solidFill>
                <a:schemeClr val="tx1"/>
              </a:solidFill>
            </a:ln>
            <a:effectLst/>
          </c:spPr>
          <c:invertIfNegative val="0"/>
          <c:val>
            <c:numRef>
              <c:f>'Coconut oil'!$X$10</c:f>
              <c:numCache>
                <c:formatCode>General</c:formatCode>
                <c:ptCount val="1"/>
                <c:pt idx="0">
                  <c:v>0</c:v>
                </c:pt>
              </c:numCache>
            </c:numRef>
          </c:val>
          <c:extLst>
            <c:ext xmlns:c16="http://schemas.microsoft.com/office/drawing/2014/chart" uri="{C3380CC4-5D6E-409C-BE32-E72D297353CC}">
              <c16:uniqueId val="{000000B1-C92F-AB44-9649-6520C43A544F}"/>
            </c:ext>
          </c:extLst>
        </c:ser>
        <c:ser>
          <c:idx val="12"/>
          <c:order val="12"/>
          <c:tx>
            <c:v>PUFA Oil + β-carotene + BHT</c:v>
          </c:tx>
          <c:spPr>
            <a:solidFill>
              <a:srgbClr val="C6DAF1"/>
            </a:solidFill>
            <a:ln>
              <a:solidFill>
                <a:schemeClr val="tx1"/>
              </a:solidFill>
            </a:ln>
            <a:effectLst/>
          </c:spPr>
          <c:invertIfNegative val="0"/>
          <c:val>
            <c:numRef>
              <c:f>'Coconut oil'!$X$10</c:f>
              <c:numCache>
                <c:formatCode>General</c:formatCode>
                <c:ptCount val="1"/>
                <c:pt idx="0">
                  <c:v>0</c:v>
                </c:pt>
              </c:numCache>
            </c:numRef>
          </c:val>
          <c:extLst>
            <c:ext xmlns:c16="http://schemas.microsoft.com/office/drawing/2014/chart" uri="{C3380CC4-5D6E-409C-BE32-E72D297353CC}">
              <c16:uniqueId val="{000000B2-C92F-AB44-9649-6520C43A544F}"/>
            </c:ext>
          </c:extLst>
        </c:ser>
        <c:ser>
          <c:idx val="13"/>
          <c:order val="13"/>
          <c:tx>
            <c:v>SFA, MUFA e PUFA Crude oil</c:v>
          </c:tx>
          <c:spPr>
            <a:solidFill>
              <a:srgbClr val="E2DE01"/>
            </a:solidFill>
            <a:ln>
              <a:solidFill>
                <a:schemeClr val="tx1"/>
              </a:solidFill>
            </a:ln>
            <a:effectLst/>
          </c:spPr>
          <c:invertIfNegative val="0"/>
          <c:val>
            <c:numRef>
              <c:f>'Coconut oil'!$X$10</c:f>
              <c:numCache>
                <c:formatCode>General</c:formatCode>
                <c:ptCount val="1"/>
                <c:pt idx="0">
                  <c:v>0</c:v>
                </c:pt>
              </c:numCache>
            </c:numRef>
          </c:val>
          <c:extLst>
            <c:ext xmlns:c16="http://schemas.microsoft.com/office/drawing/2014/chart" uri="{C3380CC4-5D6E-409C-BE32-E72D297353CC}">
              <c16:uniqueId val="{000000B3-C92F-AB44-9649-6520C43A544F}"/>
            </c:ext>
          </c:extLst>
        </c:ser>
        <c:dLbls>
          <c:showLegendKey val="0"/>
          <c:showVal val="0"/>
          <c:showCatName val="0"/>
          <c:showSerName val="0"/>
          <c:showPercent val="0"/>
          <c:showBubbleSize val="0"/>
        </c:dLbls>
        <c:gapWidth val="0"/>
        <c:overlap val="100"/>
        <c:axId val="1842876528"/>
        <c:axId val="1836013712"/>
      </c:barChart>
      <c:dateAx>
        <c:axId val="606158576"/>
        <c:scaling>
          <c:orientation val="minMax"/>
        </c:scaling>
        <c:delete val="1"/>
        <c:axPos val="b"/>
        <c:numFmt formatCode="General" sourceLinked="1"/>
        <c:majorTickMark val="out"/>
        <c:minorTickMark val="none"/>
        <c:tickLblPos val="nextTo"/>
        <c:crossAx val="606160304"/>
        <c:crosses val="autoZero"/>
        <c:auto val="0"/>
        <c:lblOffset val="100"/>
        <c:baseTimeUnit val="days"/>
        <c:minorUnit val="1"/>
      </c:dateAx>
      <c:valAx>
        <c:axId val="606160304"/>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r>
                  <a:rPr lang="it-IT" sz="900" baseline="0">
                    <a:solidFill>
                      <a:schemeClr val="tx1"/>
                    </a:solidFill>
                    <a:latin typeface="Arial" panose="020B0604020202020204" pitchFamily="34" charset="0"/>
                    <a:cs typeface="Arial" panose="020B0604020202020204" pitchFamily="34" charset="0"/>
                  </a:rPr>
                  <a:t>Fatty acids %</a:t>
                </a:r>
                <a:endParaRPr lang="it-IT" sz="900">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06158576"/>
        <c:crosses val="autoZero"/>
        <c:crossBetween val="between"/>
      </c:valAx>
      <c:valAx>
        <c:axId val="1836013712"/>
        <c:scaling>
          <c:orientation val="minMax"/>
        </c:scaling>
        <c:delete val="1"/>
        <c:axPos val="r"/>
        <c:numFmt formatCode="General" sourceLinked="1"/>
        <c:majorTickMark val="out"/>
        <c:minorTickMark val="none"/>
        <c:tickLblPos val="nextTo"/>
        <c:crossAx val="1842876528"/>
        <c:crosses val="max"/>
        <c:crossBetween val="between"/>
      </c:valAx>
      <c:catAx>
        <c:axId val="1842876528"/>
        <c:scaling>
          <c:orientation val="minMax"/>
        </c:scaling>
        <c:delete val="1"/>
        <c:axPos val="b"/>
        <c:majorTickMark val="out"/>
        <c:minorTickMark val="none"/>
        <c:tickLblPos val="nextTo"/>
        <c:crossAx val="1836013712"/>
        <c:crosses val="autoZero"/>
        <c:auto val="1"/>
        <c:lblAlgn val="ctr"/>
        <c:lblOffset val="100"/>
        <c:noMultiLvlLbl val="0"/>
      </c:catAx>
      <c:spPr>
        <a:noFill/>
        <a:ln w="9525">
          <a:solidFill>
            <a:schemeClr val="tx1"/>
          </a:solidFill>
        </a:ln>
        <a:effectLst/>
      </c:spPr>
    </c:plotArea>
    <c:legend>
      <c:legendPos val="r"/>
      <c:legendEntry>
        <c:idx val="1"/>
        <c:delete val="1"/>
      </c:legendEntry>
      <c:layout>
        <c:manualLayout>
          <c:xMode val="edge"/>
          <c:yMode val="edge"/>
          <c:x val="0.78513950736225635"/>
          <c:y val="0.10516970597097307"/>
          <c:w val="0.20757978622526002"/>
          <c:h val="0.84451196694472597"/>
        </c:manualLayout>
      </c:layout>
      <c:overlay val="0"/>
      <c:spPr>
        <a:noFill/>
        <a:ln>
          <a:noFill/>
        </a:ln>
        <a:effectLst/>
      </c:spPr>
      <c:txPr>
        <a:bodyPr rot="0" spcFirstLastPara="1" vertOverflow="ellipsis" vert="horz" wrap="square" anchor="ctr" anchorCtr="1"/>
        <a:lstStyle/>
        <a:p>
          <a:pPr rtl="0">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it-IT"/>
        </a:p>
      </c:txPr>
    </c:legend>
    <c:plotVisOnly val="1"/>
    <c:dispBlanksAs val="gap"/>
    <c:showDLblsOverMax val="0"/>
  </c:chart>
  <c:spPr>
    <a:solidFill>
      <a:schemeClr val="bg1"/>
    </a:solidFill>
    <a:ln w="9525" cap="flat" cmpd="sng" algn="ctr">
      <a:noFill/>
      <a:round/>
    </a:ln>
    <a:effectLst/>
  </c:spPr>
  <c:txPr>
    <a:bodyPr/>
    <a:lstStyle/>
    <a:p>
      <a:pPr>
        <a:defRPr/>
      </a:pPr>
      <a:endParaRPr lang="it-IT"/>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solidFill>
                <a:latin typeface="Arial" panose="020B0604020202020204" pitchFamily="34" charset="0"/>
                <a:ea typeface="+mn-ea"/>
                <a:cs typeface="Arial" panose="020B0604020202020204" pitchFamily="34" charset="0"/>
              </a:defRPr>
            </a:pPr>
            <a:r>
              <a:rPr lang="en-US" sz="900" b="0">
                <a:solidFill>
                  <a:schemeClr val="tx1"/>
                </a:solidFill>
                <a:latin typeface="Arial" panose="020B0604020202020204" pitchFamily="34" charset="0"/>
                <a:cs typeface="Arial" panose="020B0604020202020204" pitchFamily="34" charset="0"/>
              </a:rPr>
              <a:t>Fatty</a:t>
            </a:r>
            <a:r>
              <a:rPr lang="en-US" sz="900" b="0" baseline="0">
                <a:solidFill>
                  <a:schemeClr val="tx1"/>
                </a:solidFill>
                <a:latin typeface="Arial" panose="020B0604020202020204" pitchFamily="34" charset="0"/>
                <a:cs typeface="Arial" panose="020B0604020202020204" pitchFamily="34" charset="0"/>
              </a:rPr>
              <a:t> acids Sunflower oil</a:t>
            </a:r>
            <a:endParaRPr lang="en-US" sz="900" b="0">
              <a:solidFill>
                <a:schemeClr val="tx1"/>
              </a:solidFill>
              <a:latin typeface="Arial" panose="020B0604020202020204" pitchFamily="34" charset="0"/>
              <a:cs typeface="Arial" panose="020B0604020202020204" pitchFamily="34" charset="0"/>
            </a:endParaRPr>
          </a:p>
        </c:rich>
      </c:tx>
      <c:layout>
        <c:manualLayout>
          <c:xMode val="edge"/>
          <c:yMode val="edge"/>
          <c:x val="0.37297565341059397"/>
          <c:y val="0"/>
        </c:manualLayout>
      </c:layout>
      <c:overlay val="0"/>
      <c:spPr>
        <a:noFill/>
        <a:ln>
          <a:noFill/>
        </a:ln>
        <a:effectLst/>
      </c:spPr>
      <c:txPr>
        <a:bodyPr rot="0" spcFirstLastPara="1" vertOverflow="ellipsis" vert="horz" wrap="square" anchor="ctr" anchorCtr="1"/>
        <a:lstStyle/>
        <a:p>
          <a:pPr>
            <a:defRPr sz="9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7.6834468120593233E-2"/>
          <c:y val="7.1873945963549235E-2"/>
          <c:w val="0.72176289716433206"/>
          <c:h val="0.894993126053097"/>
        </c:manualLayout>
      </c:layout>
      <c:barChart>
        <c:barDir val="col"/>
        <c:grouping val="clustered"/>
        <c:varyColors val="0"/>
        <c:ser>
          <c:idx val="0"/>
          <c:order val="0"/>
          <c:tx>
            <c:strRef>
              <c:f>'Sunflower oil'!$D$1</c:f>
              <c:strCache>
                <c:ptCount val="1"/>
                <c:pt idx="0">
                  <c:v>Valore</c:v>
                </c:pt>
              </c:strCache>
            </c:strRef>
          </c:tx>
          <c:spPr>
            <a:solidFill>
              <a:srgbClr val="6CC5E2"/>
            </a:solidFill>
            <a:ln w="15875">
              <a:solidFill>
                <a:schemeClr val="tx1"/>
              </a:solidFill>
            </a:ln>
            <a:effectLst/>
          </c:spPr>
          <c:invertIfNegative val="0"/>
          <c:dPt>
            <c:idx val="0"/>
            <c:invertIfNegative val="0"/>
            <c:bubble3D val="0"/>
            <c:spPr>
              <a:solidFill>
                <a:srgbClr val="E270BC"/>
              </a:solidFill>
              <a:ln w="15875">
                <a:solidFill>
                  <a:schemeClr val="tx1"/>
                </a:solidFill>
              </a:ln>
              <a:effectLst/>
            </c:spPr>
            <c:extLst>
              <c:ext xmlns:c16="http://schemas.microsoft.com/office/drawing/2014/chart" uri="{C3380CC4-5D6E-409C-BE32-E72D297353CC}">
                <c16:uniqueId val="{00000001-80D1-0C4C-A007-05987791E9A3}"/>
              </c:ext>
            </c:extLst>
          </c:dPt>
          <c:dPt>
            <c:idx val="1"/>
            <c:invertIfNegative val="0"/>
            <c:bubble3D val="0"/>
            <c:spPr>
              <a:solidFill>
                <a:srgbClr val="E270BC"/>
              </a:solidFill>
              <a:ln w="15875">
                <a:solidFill>
                  <a:schemeClr val="tx1"/>
                </a:solidFill>
              </a:ln>
              <a:effectLst/>
            </c:spPr>
            <c:extLst>
              <c:ext xmlns:c16="http://schemas.microsoft.com/office/drawing/2014/chart" uri="{C3380CC4-5D6E-409C-BE32-E72D297353CC}">
                <c16:uniqueId val="{00000003-80D1-0C4C-A007-05987791E9A3}"/>
              </c:ext>
            </c:extLst>
          </c:dPt>
          <c:dPt>
            <c:idx val="2"/>
            <c:invertIfNegative val="0"/>
            <c:bubble3D val="0"/>
            <c:spPr>
              <a:solidFill>
                <a:srgbClr val="E270BC"/>
              </a:solidFill>
              <a:ln w="15875">
                <a:solidFill>
                  <a:schemeClr val="tx1"/>
                </a:solidFill>
              </a:ln>
              <a:effectLst/>
            </c:spPr>
            <c:extLst>
              <c:ext xmlns:c16="http://schemas.microsoft.com/office/drawing/2014/chart" uri="{C3380CC4-5D6E-409C-BE32-E72D297353CC}">
                <c16:uniqueId val="{00000005-80D1-0C4C-A007-05987791E9A3}"/>
              </c:ext>
            </c:extLst>
          </c:dPt>
          <c:dPt>
            <c:idx val="3"/>
            <c:invertIfNegative val="0"/>
            <c:bubble3D val="0"/>
            <c:spPr>
              <a:solidFill>
                <a:srgbClr val="E270BC"/>
              </a:solidFill>
              <a:ln w="15875">
                <a:solidFill>
                  <a:schemeClr val="tx1"/>
                </a:solidFill>
              </a:ln>
              <a:effectLst/>
            </c:spPr>
            <c:extLst>
              <c:ext xmlns:c16="http://schemas.microsoft.com/office/drawing/2014/chart" uri="{C3380CC4-5D6E-409C-BE32-E72D297353CC}">
                <c16:uniqueId val="{00000007-80D1-0C4C-A007-05987791E9A3}"/>
              </c:ext>
            </c:extLst>
          </c:dPt>
          <c:dPt>
            <c:idx val="4"/>
            <c:invertIfNegative val="0"/>
            <c:bubble3D val="0"/>
            <c:spPr>
              <a:solidFill>
                <a:srgbClr val="E270BC"/>
              </a:solidFill>
              <a:ln w="15875">
                <a:solidFill>
                  <a:schemeClr val="tx1"/>
                </a:solidFill>
              </a:ln>
              <a:effectLst/>
            </c:spPr>
            <c:extLst>
              <c:ext xmlns:c16="http://schemas.microsoft.com/office/drawing/2014/chart" uri="{C3380CC4-5D6E-409C-BE32-E72D297353CC}">
                <c16:uniqueId val="{00000009-80D1-0C4C-A007-05987791E9A3}"/>
              </c:ext>
            </c:extLst>
          </c:dPt>
          <c:dPt>
            <c:idx val="5"/>
            <c:invertIfNegative val="0"/>
            <c:bubble3D val="0"/>
            <c:spPr>
              <a:solidFill>
                <a:srgbClr val="E270BC"/>
              </a:solidFill>
              <a:ln w="15875">
                <a:solidFill>
                  <a:schemeClr val="tx1"/>
                </a:solidFill>
              </a:ln>
              <a:effectLst/>
            </c:spPr>
            <c:extLst>
              <c:ext xmlns:c16="http://schemas.microsoft.com/office/drawing/2014/chart" uri="{C3380CC4-5D6E-409C-BE32-E72D297353CC}">
                <c16:uniqueId val="{0000000B-80D1-0C4C-A007-05987791E9A3}"/>
              </c:ext>
            </c:extLst>
          </c:dPt>
          <c:dPt>
            <c:idx val="6"/>
            <c:invertIfNegative val="0"/>
            <c:bubble3D val="0"/>
            <c:spPr>
              <a:solidFill>
                <a:srgbClr val="E270BC"/>
              </a:solidFill>
              <a:ln w="15875">
                <a:solidFill>
                  <a:schemeClr val="tx1"/>
                </a:solidFill>
              </a:ln>
              <a:effectLst/>
            </c:spPr>
            <c:extLst>
              <c:ext xmlns:c16="http://schemas.microsoft.com/office/drawing/2014/chart" uri="{C3380CC4-5D6E-409C-BE32-E72D297353CC}">
                <c16:uniqueId val="{0000000D-80D1-0C4C-A007-05987791E9A3}"/>
              </c:ext>
            </c:extLst>
          </c:dPt>
          <c:dPt>
            <c:idx val="7"/>
            <c:invertIfNegative val="0"/>
            <c:bubble3D val="0"/>
            <c:spPr>
              <a:solidFill>
                <a:srgbClr val="EB9BD0"/>
              </a:solidFill>
              <a:ln w="15875">
                <a:solidFill>
                  <a:schemeClr val="tx1"/>
                </a:solidFill>
              </a:ln>
              <a:effectLst/>
            </c:spPr>
            <c:extLst>
              <c:ext xmlns:c16="http://schemas.microsoft.com/office/drawing/2014/chart" uri="{C3380CC4-5D6E-409C-BE32-E72D297353CC}">
                <c16:uniqueId val="{0000000F-80D1-0C4C-A007-05987791E9A3}"/>
              </c:ext>
            </c:extLst>
          </c:dPt>
          <c:dPt>
            <c:idx val="8"/>
            <c:invertIfNegative val="0"/>
            <c:bubble3D val="0"/>
            <c:spPr>
              <a:solidFill>
                <a:srgbClr val="EB9BD0"/>
              </a:solidFill>
              <a:ln w="15875">
                <a:solidFill>
                  <a:schemeClr val="tx1"/>
                </a:solidFill>
              </a:ln>
              <a:effectLst/>
            </c:spPr>
            <c:extLst>
              <c:ext xmlns:c16="http://schemas.microsoft.com/office/drawing/2014/chart" uri="{C3380CC4-5D6E-409C-BE32-E72D297353CC}">
                <c16:uniqueId val="{00000011-80D1-0C4C-A007-05987791E9A3}"/>
              </c:ext>
            </c:extLst>
          </c:dPt>
          <c:dPt>
            <c:idx val="9"/>
            <c:invertIfNegative val="0"/>
            <c:bubble3D val="0"/>
            <c:spPr>
              <a:solidFill>
                <a:srgbClr val="EB9BD0"/>
              </a:solidFill>
              <a:ln w="15875">
                <a:solidFill>
                  <a:schemeClr val="tx1"/>
                </a:solidFill>
              </a:ln>
              <a:effectLst/>
            </c:spPr>
            <c:extLst>
              <c:ext xmlns:c16="http://schemas.microsoft.com/office/drawing/2014/chart" uri="{C3380CC4-5D6E-409C-BE32-E72D297353CC}">
                <c16:uniqueId val="{00000013-80D1-0C4C-A007-05987791E9A3}"/>
              </c:ext>
            </c:extLst>
          </c:dPt>
          <c:dPt>
            <c:idx val="10"/>
            <c:invertIfNegative val="0"/>
            <c:bubble3D val="0"/>
            <c:spPr>
              <a:solidFill>
                <a:srgbClr val="EB9BD0"/>
              </a:solidFill>
              <a:ln w="15875">
                <a:solidFill>
                  <a:schemeClr val="tx1"/>
                </a:solidFill>
              </a:ln>
              <a:effectLst/>
            </c:spPr>
            <c:extLst>
              <c:ext xmlns:c16="http://schemas.microsoft.com/office/drawing/2014/chart" uri="{C3380CC4-5D6E-409C-BE32-E72D297353CC}">
                <c16:uniqueId val="{00000015-80D1-0C4C-A007-05987791E9A3}"/>
              </c:ext>
            </c:extLst>
          </c:dPt>
          <c:dPt>
            <c:idx val="11"/>
            <c:invertIfNegative val="0"/>
            <c:bubble3D val="0"/>
            <c:spPr>
              <a:solidFill>
                <a:srgbClr val="EB9BD0"/>
              </a:solidFill>
              <a:ln w="15875">
                <a:solidFill>
                  <a:schemeClr val="tx1"/>
                </a:solidFill>
              </a:ln>
              <a:effectLst/>
            </c:spPr>
            <c:extLst>
              <c:ext xmlns:c16="http://schemas.microsoft.com/office/drawing/2014/chart" uri="{C3380CC4-5D6E-409C-BE32-E72D297353CC}">
                <c16:uniqueId val="{00000017-80D1-0C4C-A007-05987791E9A3}"/>
              </c:ext>
            </c:extLst>
          </c:dPt>
          <c:dPt>
            <c:idx val="12"/>
            <c:invertIfNegative val="0"/>
            <c:bubble3D val="0"/>
            <c:spPr>
              <a:solidFill>
                <a:srgbClr val="EB9BD0"/>
              </a:solidFill>
              <a:ln w="15875">
                <a:solidFill>
                  <a:schemeClr val="tx1"/>
                </a:solidFill>
              </a:ln>
              <a:effectLst/>
            </c:spPr>
            <c:extLst>
              <c:ext xmlns:c16="http://schemas.microsoft.com/office/drawing/2014/chart" uri="{C3380CC4-5D6E-409C-BE32-E72D297353CC}">
                <c16:uniqueId val="{00000019-80D1-0C4C-A007-05987791E9A3}"/>
              </c:ext>
            </c:extLst>
          </c:dPt>
          <c:dPt>
            <c:idx val="13"/>
            <c:invertIfNegative val="0"/>
            <c:bubble3D val="0"/>
            <c:spPr>
              <a:solidFill>
                <a:srgbClr val="EB9BD0"/>
              </a:solidFill>
              <a:ln w="15875">
                <a:solidFill>
                  <a:schemeClr val="tx1"/>
                </a:solidFill>
              </a:ln>
              <a:effectLst/>
            </c:spPr>
            <c:extLst>
              <c:ext xmlns:c16="http://schemas.microsoft.com/office/drawing/2014/chart" uri="{C3380CC4-5D6E-409C-BE32-E72D297353CC}">
                <c16:uniqueId val="{0000001B-80D1-0C4C-A007-05987791E9A3}"/>
              </c:ext>
            </c:extLst>
          </c:dPt>
          <c:dPt>
            <c:idx val="14"/>
            <c:invertIfNegative val="0"/>
            <c:bubble3D val="0"/>
            <c:spPr>
              <a:solidFill>
                <a:schemeClr val="accent4">
                  <a:lumMod val="20000"/>
                  <a:lumOff val="80000"/>
                </a:schemeClr>
              </a:solidFill>
              <a:ln w="15875">
                <a:solidFill>
                  <a:schemeClr val="tx1"/>
                </a:solidFill>
              </a:ln>
              <a:effectLst/>
            </c:spPr>
            <c:extLst>
              <c:ext xmlns:c16="http://schemas.microsoft.com/office/drawing/2014/chart" uri="{C3380CC4-5D6E-409C-BE32-E72D297353CC}">
                <c16:uniqueId val="{0000001D-80D1-0C4C-A007-05987791E9A3}"/>
              </c:ext>
            </c:extLst>
          </c:dPt>
          <c:dPt>
            <c:idx val="15"/>
            <c:invertIfNegative val="0"/>
            <c:bubble3D val="0"/>
            <c:spPr>
              <a:solidFill>
                <a:schemeClr val="accent4">
                  <a:lumMod val="20000"/>
                  <a:lumOff val="80000"/>
                </a:schemeClr>
              </a:solidFill>
              <a:ln w="15875">
                <a:solidFill>
                  <a:schemeClr val="tx1"/>
                </a:solidFill>
              </a:ln>
              <a:effectLst/>
            </c:spPr>
            <c:extLst>
              <c:ext xmlns:c16="http://schemas.microsoft.com/office/drawing/2014/chart" uri="{C3380CC4-5D6E-409C-BE32-E72D297353CC}">
                <c16:uniqueId val="{0000001F-80D1-0C4C-A007-05987791E9A3}"/>
              </c:ext>
            </c:extLst>
          </c:dPt>
          <c:dPt>
            <c:idx val="16"/>
            <c:invertIfNegative val="0"/>
            <c:bubble3D val="0"/>
            <c:spPr>
              <a:solidFill>
                <a:schemeClr val="accent4">
                  <a:lumMod val="20000"/>
                  <a:lumOff val="80000"/>
                </a:schemeClr>
              </a:solidFill>
              <a:ln w="15875">
                <a:solidFill>
                  <a:schemeClr val="tx1"/>
                </a:solidFill>
              </a:ln>
              <a:effectLst/>
            </c:spPr>
            <c:extLst>
              <c:ext xmlns:c16="http://schemas.microsoft.com/office/drawing/2014/chart" uri="{C3380CC4-5D6E-409C-BE32-E72D297353CC}">
                <c16:uniqueId val="{00000021-80D1-0C4C-A007-05987791E9A3}"/>
              </c:ext>
            </c:extLst>
          </c:dPt>
          <c:dPt>
            <c:idx val="17"/>
            <c:invertIfNegative val="0"/>
            <c:bubble3D val="0"/>
            <c:spPr>
              <a:solidFill>
                <a:schemeClr val="accent4">
                  <a:lumMod val="20000"/>
                  <a:lumOff val="80000"/>
                </a:schemeClr>
              </a:solidFill>
              <a:ln w="15875">
                <a:solidFill>
                  <a:schemeClr val="tx1"/>
                </a:solidFill>
              </a:ln>
              <a:effectLst/>
            </c:spPr>
            <c:extLst>
              <c:ext xmlns:c16="http://schemas.microsoft.com/office/drawing/2014/chart" uri="{C3380CC4-5D6E-409C-BE32-E72D297353CC}">
                <c16:uniqueId val="{00000023-80D1-0C4C-A007-05987791E9A3}"/>
              </c:ext>
            </c:extLst>
          </c:dPt>
          <c:dPt>
            <c:idx val="18"/>
            <c:invertIfNegative val="0"/>
            <c:bubble3D val="0"/>
            <c:spPr>
              <a:solidFill>
                <a:schemeClr val="accent4">
                  <a:lumMod val="20000"/>
                  <a:lumOff val="80000"/>
                </a:schemeClr>
              </a:solidFill>
              <a:ln w="15875">
                <a:solidFill>
                  <a:schemeClr val="tx1"/>
                </a:solidFill>
              </a:ln>
              <a:effectLst/>
            </c:spPr>
            <c:extLst>
              <c:ext xmlns:c16="http://schemas.microsoft.com/office/drawing/2014/chart" uri="{C3380CC4-5D6E-409C-BE32-E72D297353CC}">
                <c16:uniqueId val="{00000025-80D1-0C4C-A007-05987791E9A3}"/>
              </c:ext>
            </c:extLst>
          </c:dPt>
          <c:dPt>
            <c:idx val="19"/>
            <c:invertIfNegative val="0"/>
            <c:bubble3D val="0"/>
            <c:spPr>
              <a:solidFill>
                <a:schemeClr val="accent4">
                  <a:lumMod val="20000"/>
                  <a:lumOff val="80000"/>
                </a:schemeClr>
              </a:solidFill>
              <a:ln w="15875">
                <a:solidFill>
                  <a:schemeClr val="tx1"/>
                </a:solidFill>
              </a:ln>
              <a:effectLst/>
            </c:spPr>
            <c:extLst>
              <c:ext xmlns:c16="http://schemas.microsoft.com/office/drawing/2014/chart" uri="{C3380CC4-5D6E-409C-BE32-E72D297353CC}">
                <c16:uniqueId val="{00000027-80D1-0C4C-A007-05987791E9A3}"/>
              </c:ext>
            </c:extLst>
          </c:dPt>
          <c:dPt>
            <c:idx val="20"/>
            <c:invertIfNegative val="0"/>
            <c:bubble3D val="0"/>
            <c:spPr>
              <a:solidFill>
                <a:schemeClr val="accent4">
                  <a:lumMod val="20000"/>
                  <a:lumOff val="80000"/>
                </a:schemeClr>
              </a:solidFill>
              <a:ln w="15875">
                <a:solidFill>
                  <a:schemeClr val="tx1"/>
                </a:solidFill>
              </a:ln>
              <a:effectLst/>
            </c:spPr>
            <c:extLst>
              <c:ext xmlns:c16="http://schemas.microsoft.com/office/drawing/2014/chart" uri="{C3380CC4-5D6E-409C-BE32-E72D297353CC}">
                <c16:uniqueId val="{00000029-80D1-0C4C-A007-05987791E9A3}"/>
              </c:ext>
            </c:extLst>
          </c:dPt>
          <c:dPt>
            <c:idx val="23"/>
            <c:invertIfNegative val="0"/>
            <c:bubble3D val="0"/>
            <c:spPr>
              <a:solidFill>
                <a:srgbClr val="E5250A"/>
              </a:solidFill>
              <a:ln w="15875">
                <a:solidFill>
                  <a:schemeClr val="tx1"/>
                </a:solidFill>
              </a:ln>
              <a:effectLst/>
            </c:spPr>
            <c:extLst>
              <c:ext xmlns:c16="http://schemas.microsoft.com/office/drawing/2014/chart" uri="{C3380CC4-5D6E-409C-BE32-E72D297353CC}">
                <c16:uniqueId val="{0000002B-80D1-0C4C-A007-05987791E9A3}"/>
              </c:ext>
            </c:extLst>
          </c:dPt>
          <c:dPt>
            <c:idx val="24"/>
            <c:invertIfNegative val="0"/>
            <c:bubble3D val="0"/>
            <c:spPr>
              <a:solidFill>
                <a:srgbClr val="E5250A"/>
              </a:solidFill>
              <a:ln w="15875">
                <a:solidFill>
                  <a:schemeClr val="tx1"/>
                </a:solidFill>
              </a:ln>
              <a:effectLst/>
            </c:spPr>
            <c:extLst>
              <c:ext xmlns:c16="http://schemas.microsoft.com/office/drawing/2014/chart" uri="{C3380CC4-5D6E-409C-BE32-E72D297353CC}">
                <c16:uniqueId val="{0000002D-80D1-0C4C-A007-05987791E9A3}"/>
              </c:ext>
            </c:extLst>
          </c:dPt>
          <c:dPt>
            <c:idx val="25"/>
            <c:invertIfNegative val="0"/>
            <c:bubble3D val="0"/>
            <c:spPr>
              <a:solidFill>
                <a:srgbClr val="E5250A"/>
              </a:solidFill>
              <a:ln w="15875">
                <a:solidFill>
                  <a:schemeClr val="tx1"/>
                </a:solidFill>
              </a:ln>
              <a:effectLst/>
            </c:spPr>
            <c:extLst>
              <c:ext xmlns:c16="http://schemas.microsoft.com/office/drawing/2014/chart" uri="{C3380CC4-5D6E-409C-BE32-E72D297353CC}">
                <c16:uniqueId val="{0000002F-80D1-0C4C-A007-05987791E9A3}"/>
              </c:ext>
            </c:extLst>
          </c:dPt>
          <c:dPt>
            <c:idx val="26"/>
            <c:invertIfNegative val="0"/>
            <c:bubble3D val="0"/>
            <c:spPr>
              <a:solidFill>
                <a:srgbClr val="E5250A"/>
              </a:solidFill>
              <a:ln w="15875">
                <a:solidFill>
                  <a:schemeClr val="tx1"/>
                </a:solidFill>
              </a:ln>
              <a:effectLst/>
            </c:spPr>
            <c:extLst>
              <c:ext xmlns:c16="http://schemas.microsoft.com/office/drawing/2014/chart" uri="{C3380CC4-5D6E-409C-BE32-E72D297353CC}">
                <c16:uniqueId val="{00000031-80D1-0C4C-A007-05987791E9A3}"/>
              </c:ext>
            </c:extLst>
          </c:dPt>
          <c:dPt>
            <c:idx val="27"/>
            <c:invertIfNegative val="0"/>
            <c:bubble3D val="0"/>
            <c:spPr>
              <a:solidFill>
                <a:srgbClr val="E5250A"/>
              </a:solidFill>
              <a:ln w="15875">
                <a:solidFill>
                  <a:schemeClr val="tx1"/>
                </a:solidFill>
              </a:ln>
              <a:effectLst/>
            </c:spPr>
            <c:extLst>
              <c:ext xmlns:c16="http://schemas.microsoft.com/office/drawing/2014/chart" uri="{C3380CC4-5D6E-409C-BE32-E72D297353CC}">
                <c16:uniqueId val="{00000033-80D1-0C4C-A007-05987791E9A3}"/>
              </c:ext>
            </c:extLst>
          </c:dPt>
          <c:dPt>
            <c:idx val="28"/>
            <c:invertIfNegative val="0"/>
            <c:bubble3D val="0"/>
            <c:spPr>
              <a:solidFill>
                <a:srgbClr val="E5250A"/>
              </a:solidFill>
              <a:ln w="15875">
                <a:solidFill>
                  <a:schemeClr val="tx1"/>
                </a:solidFill>
              </a:ln>
              <a:effectLst/>
            </c:spPr>
            <c:extLst>
              <c:ext xmlns:c16="http://schemas.microsoft.com/office/drawing/2014/chart" uri="{C3380CC4-5D6E-409C-BE32-E72D297353CC}">
                <c16:uniqueId val="{00000035-80D1-0C4C-A007-05987791E9A3}"/>
              </c:ext>
            </c:extLst>
          </c:dPt>
          <c:dPt>
            <c:idx val="29"/>
            <c:invertIfNegative val="0"/>
            <c:bubble3D val="0"/>
            <c:spPr>
              <a:solidFill>
                <a:srgbClr val="E5250A"/>
              </a:solidFill>
              <a:ln w="15875">
                <a:solidFill>
                  <a:schemeClr val="tx1"/>
                </a:solidFill>
              </a:ln>
              <a:effectLst/>
            </c:spPr>
            <c:extLst>
              <c:ext xmlns:c16="http://schemas.microsoft.com/office/drawing/2014/chart" uri="{C3380CC4-5D6E-409C-BE32-E72D297353CC}">
                <c16:uniqueId val="{00000037-80D1-0C4C-A007-05987791E9A3}"/>
              </c:ext>
            </c:extLst>
          </c:dPt>
          <c:dPt>
            <c:idx val="30"/>
            <c:invertIfNegative val="0"/>
            <c:bubble3D val="0"/>
            <c:spPr>
              <a:solidFill>
                <a:srgbClr val="EE7160"/>
              </a:solidFill>
              <a:ln w="15875">
                <a:solidFill>
                  <a:schemeClr val="tx1"/>
                </a:solidFill>
              </a:ln>
              <a:effectLst/>
            </c:spPr>
            <c:extLst>
              <c:ext xmlns:c16="http://schemas.microsoft.com/office/drawing/2014/chart" uri="{C3380CC4-5D6E-409C-BE32-E72D297353CC}">
                <c16:uniqueId val="{00000039-80D1-0C4C-A007-05987791E9A3}"/>
              </c:ext>
            </c:extLst>
          </c:dPt>
          <c:dPt>
            <c:idx val="31"/>
            <c:invertIfNegative val="0"/>
            <c:bubble3D val="0"/>
            <c:spPr>
              <a:solidFill>
                <a:srgbClr val="EE7160"/>
              </a:solidFill>
              <a:ln w="15875">
                <a:solidFill>
                  <a:schemeClr val="tx1"/>
                </a:solidFill>
              </a:ln>
              <a:effectLst/>
            </c:spPr>
            <c:extLst>
              <c:ext xmlns:c16="http://schemas.microsoft.com/office/drawing/2014/chart" uri="{C3380CC4-5D6E-409C-BE32-E72D297353CC}">
                <c16:uniqueId val="{0000003B-80D1-0C4C-A007-05987791E9A3}"/>
              </c:ext>
            </c:extLst>
          </c:dPt>
          <c:dPt>
            <c:idx val="32"/>
            <c:invertIfNegative val="0"/>
            <c:bubble3D val="0"/>
            <c:spPr>
              <a:solidFill>
                <a:srgbClr val="EE7160"/>
              </a:solidFill>
              <a:ln w="15875">
                <a:solidFill>
                  <a:schemeClr val="tx1"/>
                </a:solidFill>
              </a:ln>
              <a:effectLst/>
            </c:spPr>
            <c:extLst>
              <c:ext xmlns:c16="http://schemas.microsoft.com/office/drawing/2014/chart" uri="{C3380CC4-5D6E-409C-BE32-E72D297353CC}">
                <c16:uniqueId val="{0000003D-80D1-0C4C-A007-05987791E9A3}"/>
              </c:ext>
            </c:extLst>
          </c:dPt>
          <c:dPt>
            <c:idx val="33"/>
            <c:invertIfNegative val="0"/>
            <c:bubble3D val="0"/>
            <c:spPr>
              <a:solidFill>
                <a:srgbClr val="EE7160"/>
              </a:solidFill>
              <a:ln w="15875">
                <a:solidFill>
                  <a:schemeClr val="tx1"/>
                </a:solidFill>
              </a:ln>
              <a:effectLst/>
            </c:spPr>
            <c:extLst>
              <c:ext xmlns:c16="http://schemas.microsoft.com/office/drawing/2014/chart" uri="{C3380CC4-5D6E-409C-BE32-E72D297353CC}">
                <c16:uniqueId val="{0000003F-80D1-0C4C-A007-05987791E9A3}"/>
              </c:ext>
            </c:extLst>
          </c:dPt>
          <c:dPt>
            <c:idx val="34"/>
            <c:invertIfNegative val="0"/>
            <c:bubble3D val="0"/>
            <c:spPr>
              <a:solidFill>
                <a:srgbClr val="EE7160"/>
              </a:solidFill>
              <a:ln w="15875">
                <a:solidFill>
                  <a:schemeClr val="tx1"/>
                </a:solidFill>
              </a:ln>
              <a:effectLst/>
            </c:spPr>
            <c:extLst>
              <c:ext xmlns:c16="http://schemas.microsoft.com/office/drawing/2014/chart" uri="{C3380CC4-5D6E-409C-BE32-E72D297353CC}">
                <c16:uniqueId val="{00000041-80D1-0C4C-A007-05987791E9A3}"/>
              </c:ext>
            </c:extLst>
          </c:dPt>
          <c:dPt>
            <c:idx val="35"/>
            <c:invertIfNegative val="0"/>
            <c:bubble3D val="0"/>
            <c:spPr>
              <a:solidFill>
                <a:srgbClr val="EE7160"/>
              </a:solidFill>
              <a:ln w="15875">
                <a:solidFill>
                  <a:schemeClr val="tx1"/>
                </a:solidFill>
              </a:ln>
              <a:effectLst/>
            </c:spPr>
            <c:extLst>
              <c:ext xmlns:c16="http://schemas.microsoft.com/office/drawing/2014/chart" uri="{C3380CC4-5D6E-409C-BE32-E72D297353CC}">
                <c16:uniqueId val="{00000043-80D1-0C4C-A007-05987791E9A3}"/>
              </c:ext>
            </c:extLst>
          </c:dPt>
          <c:dPt>
            <c:idx val="36"/>
            <c:invertIfNegative val="0"/>
            <c:bubble3D val="0"/>
            <c:spPr>
              <a:solidFill>
                <a:srgbClr val="EE7160"/>
              </a:solidFill>
              <a:ln w="15875">
                <a:solidFill>
                  <a:schemeClr val="tx1"/>
                </a:solidFill>
              </a:ln>
              <a:effectLst/>
            </c:spPr>
            <c:extLst>
              <c:ext xmlns:c16="http://schemas.microsoft.com/office/drawing/2014/chart" uri="{C3380CC4-5D6E-409C-BE32-E72D297353CC}">
                <c16:uniqueId val="{00000045-80D1-0C4C-A007-05987791E9A3}"/>
              </c:ext>
            </c:extLst>
          </c:dPt>
          <c:dPt>
            <c:idx val="37"/>
            <c:invertIfNegative val="0"/>
            <c:bubble3D val="0"/>
            <c:spPr>
              <a:solidFill>
                <a:srgbClr val="F7B1A8"/>
              </a:solidFill>
              <a:ln w="15875">
                <a:solidFill>
                  <a:schemeClr val="tx1"/>
                </a:solidFill>
              </a:ln>
              <a:effectLst/>
            </c:spPr>
            <c:extLst>
              <c:ext xmlns:c16="http://schemas.microsoft.com/office/drawing/2014/chart" uri="{C3380CC4-5D6E-409C-BE32-E72D297353CC}">
                <c16:uniqueId val="{00000047-80D1-0C4C-A007-05987791E9A3}"/>
              </c:ext>
            </c:extLst>
          </c:dPt>
          <c:dPt>
            <c:idx val="38"/>
            <c:invertIfNegative val="0"/>
            <c:bubble3D val="0"/>
            <c:spPr>
              <a:solidFill>
                <a:srgbClr val="F7B1A8"/>
              </a:solidFill>
              <a:ln w="15875">
                <a:solidFill>
                  <a:schemeClr val="tx1"/>
                </a:solidFill>
              </a:ln>
              <a:effectLst/>
            </c:spPr>
            <c:extLst>
              <c:ext xmlns:c16="http://schemas.microsoft.com/office/drawing/2014/chart" uri="{C3380CC4-5D6E-409C-BE32-E72D297353CC}">
                <c16:uniqueId val="{00000049-80D1-0C4C-A007-05987791E9A3}"/>
              </c:ext>
            </c:extLst>
          </c:dPt>
          <c:dPt>
            <c:idx val="39"/>
            <c:invertIfNegative val="0"/>
            <c:bubble3D val="0"/>
            <c:spPr>
              <a:solidFill>
                <a:srgbClr val="F7B1A8"/>
              </a:solidFill>
              <a:ln w="15875">
                <a:solidFill>
                  <a:schemeClr val="tx1"/>
                </a:solidFill>
              </a:ln>
              <a:effectLst/>
            </c:spPr>
            <c:extLst>
              <c:ext xmlns:c16="http://schemas.microsoft.com/office/drawing/2014/chart" uri="{C3380CC4-5D6E-409C-BE32-E72D297353CC}">
                <c16:uniqueId val="{0000004B-80D1-0C4C-A007-05987791E9A3}"/>
              </c:ext>
            </c:extLst>
          </c:dPt>
          <c:dPt>
            <c:idx val="40"/>
            <c:invertIfNegative val="0"/>
            <c:bubble3D val="0"/>
            <c:spPr>
              <a:solidFill>
                <a:srgbClr val="F7B1A8"/>
              </a:solidFill>
              <a:ln w="15875">
                <a:solidFill>
                  <a:schemeClr val="tx1"/>
                </a:solidFill>
              </a:ln>
              <a:effectLst/>
            </c:spPr>
            <c:extLst>
              <c:ext xmlns:c16="http://schemas.microsoft.com/office/drawing/2014/chart" uri="{C3380CC4-5D6E-409C-BE32-E72D297353CC}">
                <c16:uniqueId val="{0000004D-80D1-0C4C-A007-05987791E9A3}"/>
              </c:ext>
            </c:extLst>
          </c:dPt>
          <c:dPt>
            <c:idx val="41"/>
            <c:invertIfNegative val="0"/>
            <c:bubble3D val="0"/>
            <c:spPr>
              <a:solidFill>
                <a:srgbClr val="F7B1A8"/>
              </a:solidFill>
              <a:ln w="15875">
                <a:solidFill>
                  <a:schemeClr val="tx1"/>
                </a:solidFill>
              </a:ln>
              <a:effectLst/>
            </c:spPr>
            <c:extLst>
              <c:ext xmlns:c16="http://schemas.microsoft.com/office/drawing/2014/chart" uri="{C3380CC4-5D6E-409C-BE32-E72D297353CC}">
                <c16:uniqueId val="{0000004F-80D1-0C4C-A007-05987791E9A3}"/>
              </c:ext>
            </c:extLst>
          </c:dPt>
          <c:dPt>
            <c:idx val="42"/>
            <c:invertIfNegative val="0"/>
            <c:bubble3D val="0"/>
            <c:spPr>
              <a:solidFill>
                <a:srgbClr val="F7B1A8"/>
              </a:solidFill>
              <a:ln w="15875">
                <a:solidFill>
                  <a:schemeClr val="tx1"/>
                </a:solidFill>
              </a:ln>
              <a:effectLst/>
            </c:spPr>
            <c:extLst>
              <c:ext xmlns:c16="http://schemas.microsoft.com/office/drawing/2014/chart" uri="{C3380CC4-5D6E-409C-BE32-E72D297353CC}">
                <c16:uniqueId val="{00000051-80D1-0C4C-A007-05987791E9A3}"/>
              </c:ext>
            </c:extLst>
          </c:dPt>
          <c:dPt>
            <c:idx val="43"/>
            <c:invertIfNegative val="0"/>
            <c:bubble3D val="0"/>
            <c:spPr>
              <a:solidFill>
                <a:srgbClr val="F7B1A8"/>
              </a:solidFill>
              <a:ln w="15875">
                <a:solidFill>
                  <a:schemeClr val="tx1"/>
                </a:solidFill>
              </a:ln>
              <a:effectLst/>
            </c:spPr>
            <c:extLst>
              <c:ext xmlns:c16="http://schemas.microsoft.com/office/drawing/2014/chart" uri="{C3380CC4-5D6E-409C-BE32-E72D297353CC}">
                <c16:uniqueId val="{00000053-80D1-0C4C-A007-05987791E9A3}"/>
              </c:ext>
            </c:extLst>
          </c:dPt>
          <c:dPt>
            <c:idx val="44"/>
            <c:invertIfNegative val="0"/>
            <c:bubble3D val="0"/>
            <c:spPr>
              <a:solidFill>
                <a:schemeClr val="accent6">
                  <a:lumMod val="60000"/>
                  <a:lumOff val="40000"/>
                </a:schemeClr>
              </a:solidFill>
              <a:ln w="15875">
                <a:solidFill>
                  <a:schemeClr val="tx1"/>
                </a:solidFill>
              </a:ln>
              <a:effectLst/>
            </c:spPr>
            <c:extLst>
              <c:ext xmlns:c16="http://schemas.microsoft.com/office/drawing/2014/chart" uri="{C3380CC4-5D6E-409C-BE32-E72D297353CC}">
                <c16:uniqueId val="{00000055-80D1-0C4C-A007-05987791E9A3}"/>
              </c:ext>
            </c:extLst>
          </c:dPt>
          <c:dPt>
            <c:idx val="45"/>
            <c:invertIfNegative val="0"/>
            <c:bubble3D val="0"/>
            <c:spPr>
              <a:solidFill>
                <a:schemeClr val="accent6">
                  <a:lumMod val="60000"/>
                  <a:lumOff val="40000"/>
                </a:schemeClr>
              </a:solidFill>
              <a:ln w="15875">
                <a:solidFill>
                  <a:schemeClr val="tx1"/>
                </a:solidFill>
              </a:ln>
              <a:effectLst/>
            </c:spPr>
            <c:extLst>
              <c:ext xmlns:c16="http://schemas.microsoft.com/office/drawing/2014/chart" uri="{C3380CC4-5D6E-409C-BE32-E72D297353CC}">
                <c16:uniqueId val="{00000057-80D1-0C4C-A007-05987791E9A3}"/>
              </c:ext>
            </c:extLst>
          </c:dPt>
          <c:dPt>
            <c:idx val="46"/>
            <c:invertIfNegative val="0"/>
            <c:bubble3D val="0"/>
            <c:spPr>
              <a:solidFill>
                <a:srgbClr val="27BC65"/>
              </a:solidFill>
              <a:ln w="15875">
                <a:solidFill>
                  <a:schemeClr val="tx1"/>
                </a:solidFill>
              </a:ln>
              <a:effectLst/>
            </c:spPr>
            <c:extLst>
              <c:ext xmlns:c16="http://schemas.microsoft.com/office/drawing/2014/chart" uri="{C3380CC4-5D6E-409C-BE32-E72D297353CC}">
                <c16:uniqueId val="{00000059-80D1-0C4C-A007-05987791E9A3}"/>
              </c:ext>
            </c:extLst>
          </c:dPt>
          <c:dPt>
            <c:idx val="47"/>
            <c:invertIfNegative val="0"/>
            <c:bubble3D val="0"/>
            <c:spPr>
              <a:solidFill>
                <a:srgbClr val="27BC65"/>
              </a:solidFill>
              <a:ln w="15875">
                <a:solidFill>
                  <a:schemeClr val="tx1"/>
                </a:solidFill>
              </a:ln>
              <a:effectLst/>
            </c:spPr>
            <c:extLst>
              <c:ext xmlns:c16="http://schemas.microsoft.com/office/drawing/2014/chart" uri="{C3380CC4-5D6E-409C-BE32-E72D297353CC}">
                <c16:uniqueId val="{0000005B-80D1-0C4C-A007-05987791E9A3}"/>
              </c:ext>
            </c:extLst>
          </c:dPt>
          <c:dPt>
            <c:idx val="48"/>
            <c:invertIfNegative val="0"/>
            <c:bubble3D val="0"/>
            <c:spPr>
              <a:solidFill>
                <a:srgbClr val="27BC65"/>
              </a:solidFill>
              <a:ln w="15875">
                <a:solidFill>
                  <a:schemeClr val="tx1"/>
                </a:solidFill>
              </a:ln>
              <a:effectLst/>
            </c:spPr>
            <c:extLst>
              <c:ext xmlns:c16="http://schemas.microsoft.com/office/drawing/2014/chart" uri="{C3380CC4-5D6E-409C-BE32-E72D297353CC}">
                <c16:uniqueId val="{0000005D-80D1-0C4C-A007-05987791E9A3}"/>
              </c:ext>
            </c:extLst>
          </c:dPt>
          <c:dPt>
            <c:idx val="49"/>
            <c:invertIfNegative val="0"/>
            <c:bubble3D val="0"/>
            <c:spPr>
              <a:solidFill>
                <a:srgbClr val="27BC65"/>
              </a:solidFill>
              <a:ln w="15875">
                <a:solidFill>
                  <a:schemeClr val="tx1"/>
                </a:solidFill>
              </a:ln>
              <a:effectLst/>
            </c:spPr>
            <c:extLst>
              <c:ext xmlns:c16="http://schemas.microsoft.com/office/drawing/2014/chart" uri="{C3380CC4-5D6E-409C-BE32-E72D297353CC}">
                <c16:uniqueId val="{0000005F-80D1-0C4C-A007-05987791E9A3}"/>
              </c:ext>
            </c:extLst>
          </c:dPt>
          <c:dPt>
            <c:idx val="50"/>
            <c:invertIfNegative val="0"/>
            <c:bubble3D val="0"/>
            <c:spPr>
              <a:solidFill>
                <a:srgbClr val="27BC65"/>
              </a:solidFill>
              <a:ln w="15875">
                <a:solidFill>
                  <a:schemeClr val="tx1"/>
                </a:solidFill>
              </a:ln>
              <a:effectLst/>
            </c:spPr>
            <c:extLst>
              <c:ext xmlns:c16="http://schemas.microsoft.com/office/drawing/2014/chart" uri="{C3380CC4-5D6E-409C-BE32-E72D297353CC}">
                <c16:uniqueId val="{00000061-80D1-0C4C-A007-05987791E9A3}"/>
              </c:ext>
            </c:extLst>
          </c:dPt>
          <c:dPt>
            <c:idx val="51"/>
            <c:invertIfNegative val="0"/>
            <c:bubble3D val="0"/>
            <c:spPr>
              <a:solidFill>
                <a:srgbClr val="27BC65"/>
              </a:solidFill>
              <a:ln w="15875">
                <a:solidFill>
                  <a:schemeClr val="tx1"/>
                </a:solidFill>
              </a:ln>
              <a:effectLst/>
            </c:spPr>
            <c:extLst>
              <c:ext xmlns:c16="http://schemas.microsoft.com/office/drawing/2014/chart" uri="{C3380CC4-5D6E-409C-BE32-E72D297353CC}">
                <c16:uniqueId val="{00000063-80D1-0C4C-A007-05987791E9A3}"/>
              </c:ext>
            </c:extLst>
          </c:dPt>
          <c:dPt>
            <c:idx val="52"/>
            <c:invertIfNegative val="0"/>
            <c:bubble3D val="0"/>
            <c:spPr>
              <a:solidFill>
                <a:srgbClr val="27BC65"/>
              </a:solidFill>
              <a:ln w="15875">
                <a:solidFill>
                  <a:schemeClr val="tx1"/>
                </a:solidFill>
              </a:ln>
              <a:effectLst/>
            </c:spPr>
            <c:extLst>
              <c:ext xmlns:c16="http://schemas.microsoft.com/office/drawing/2014/chart" uri="{C3380CC4-5D6E-409C-BE32-E72D297353CC}">
                <c16:uniqueId val="{00000065-80D1-0C4C-A007-05987791E9A3}"/>
              </c:ext>
            </c:extLst>
          </c:dPt>
          <c:dPt>
            <c:idx val="53"/>
            <c:invertIfNegative val="0"/>
            <c:bubble3D val="0"/>
            <c:spPr>
              <a:solidFill>
                <a:srgbClr val="7ED7A3"/>
              </a:solidFill>
              <a:ln w="15875">
                <a:solidFill>
                  <a:schemeClr val="tx1"/>
                </a:solidFill>
              </a:ln>
              <a:effectLst/>
            </c:spPr>
            <c:extLst>
              <c:ext xmlns:c16="http://schemas.microsoft.com/office/drawing/2014/chart" uri="{C3380CC4-5D6E-409C-BE32-E72D297353CC}">
                <c16:uniqueId val="{00000067-80D1-0C4C-A007-05987791E9A3}"/>
              </c:ext>
            </c:extLst>
          </c:dPt>
          <c:dPt>
            <c:idx val="54"/>
            <c:invertIfNegative val="0"/>
            <c:bubble3D val="0"/>
            <c:spPr>
              <a:solidFill>
                <a:srgbClr val="7ED7A3"/>
              </a:solidFill>
              <a:ln w="15875">
                <a:solidFill>
                  <a:schemeClr val="tx1"/>
                </a:solidFill>
              </a:ln>
              <a:effectLst/>
            </c:spPr>
            <c:extLst>
              <c:ext xmlns:c16="http://schemas.microsoft.com/office/drawing/2014/chart" uri="{C3380CC4-5D6E-409C-BE32-E72D297353CC}">
                <c16:uniqueId val="{00000069-80D1-0C4C-A007-05987791E9A3}"/>
              </c:ext>
            </c:extLst>
          </c:dPt>
          <c:dPt>
            <c:idx val="55"/>
            <c:invertIfNegative val="0"/>
            <c:bubble3D val="0"/>
            <c:spPr>
              <a:solidFill>
                <a:srgbClr val="7ED7A3"/>
              </a:solidFill>
              <a:ln w="15875">
                <a:solidFill>
                  <a:schemeClr val="tx1"/>
                </a:solidFill>
              </a:ln>
              <a:effectLst/>
            </c:spPr>
            <c:extLst>
              <c:ext xmlns:c16="http://schemas.microsoft.com/office/drawing/2014/chart" uri="{C3380CC4-5D6E-409C-BE32-E72D297353CC}">
                <c16:uniqueId val="{0000006B-80D1-0C4C-A007-05987791E9A3}"/>
              </c:ext>
            </c:extLst>
          </c:dPt>
          <c:dPt>
            <c:idx val="56"/>
            <c:invertIfNegative val="0"/>
            <c:bubble3D val="0"/>
            <c:spPr>
              <a:solidFill>
                <a:srgbClr val="7ED7A3"/>
              </a:solidFill>
              <a:ln w="15875">
                <a:solidFill>
                  <a:schemeClr val="tx1"/>
                </a:solidFill>
              </a:ln>
              <a:effectLst/>
            </c:spPr>
            <c:extLst>
              <c:ext xmlns:c16="http://schemas.microsoft.com/office/drawing/2014/chart" uri="{C3380CC4-5D6E-409C-BE32-E72D297353CC}">
                <c16:uniqueId val="{0000006D-80D1-0C4C-A007-05987791E9A3}"/>
              </c:ext>
            </c:extLst>
          </c:dPt>
          <c:dPt>
            <c:idx val="57"/>
            <c:invertIfNegative val="0"/>
            <c:bubble3D val="0"/>
            <c:spPr>
              <a:solidFill>
                <a:srgbClr val="7ED7A3"/>
              </a:solidFill>
              <a:ln w="15875">
                <a:solidFill>
                  <a:schemeClr val="tx1"/>
                </a:solidFill>
              </a:ln>
              <a:effectLst/>
            </c:spPr>
            <c:extLst>
              <c:ext xmlns:c16="http://schemas.microsoft.com/office/drawing/2014/chart" uri="{C3380CC4-5D6E-409C-BE32-E72D297353CC}">
                <c16:uniqueId val="{0000006F-80D1-0C4C-A007-05987791E9A3}"/>
              </c:ext>
            </c:extLst>
          </c:dPt>
          <c:dPt>
            <c:idx val="58"/>
            <c:invertIfNegative val="0"/>
            <c:bubble3D val="0"/>
            <c:spPr>
              <a:solidFill>
                <a:srgbClr val="7ED7A3"/>
              </a:solidFill>
              <a:ln w="15875">
                <a:solidFill>
                  <a:schemeClr val="tx1"/>
                </a:solidFill>
              </a:ln>
              <a:effectLst/>
            </c:spPr>
            <c:extLst>
              <c:ext xmlns:c16="http://schemas.microsoft.com/office/drawing/2014/chart" uri="{C3380CC4-5D6E-409C-BE32-E72D297353CC}">
                <c16:uniqueId val="{00000071-80D1-0C4C-A007-05987791E9A3}"/>
              </c:ext>
            </c:extLst>
          </c:dPt>
          <c:dPt>
            <c:idx val="59"/>
            <c:invertIfNegative val="0"/>
            <c:bubble3D val="0"/>
            <c:spPr>
              <a:solidFill>
                <a:srgbClr val="7ED7A3"/>
              </a:solidFill>
              <a:ln w="15875">
                <a:solidFill>
                  <a:schemeClr val="tx1"/>
                </a:solidFill>
              </a:ln>
              <a:effectLst/>
            </c:spPr>
            <c:extLst>
              <c:ext xmlns:c16="http://schemas.microsoft.com/office/drawing/2014/chart" uri="{C3380CC4-5D6E-409C-BE32-E72D297353CC}">
                <c16:uniqueId val="{00000073-80D1-0C4C-A007-05987791E9A3}"/>
              </c:ext>
            </c:extLst>
          </c:dPt>
          <c:dPt>
            <c:idx val="60"/>
            <c:invertIfNegative val="0"/>
            <c:bubble3D val="0"/>
            <c:spPr>
              <a:solidFill>
                <a:srgbClr val="B3E7C8"/>
              </a:solidFill>
              <a:ln w="15875">
                <a:solidFill>
                  <a:schemeClr val="tx1"/>
                </a:solidFill>
              </a:ln>
              <a:effectLst/>
            </c:spPr>
            <c:extLst>
              <c:ext xmlns:c16="http://schemas.microsoft.com/office/drawing/2014/chart" uri="{C3380CC4-5D6E-409C-BE32-E72D297353CC}">
                <c16:uniqueId val="{00000075-80D1-0C4C-A007-05987791E9A3}"/>
              </c:ext>
            </c:extLst>
          </c:dPt>
          <c:dPt>
            <c:idx val="61"/>
            <c:invertIfNegative val="0"/>
            <c:bubble3D val="0"/>
            <c:spPr>
              <a:solidFill>
                <a:srgbClr val="B3E7C8"/>
              </a:solidFill>
              <a:ln w="15875">
                <a:solidFill>
                  <a:schemeClr val="tx1"/>
                </a:solidFill>
              </a:ln>
              <a:effectLst/>
            </c:spPr>
            <c:extLst>
              <c:ext xmlns:c16="http://schemas.microsoft.com/office/drawing/2014/chart" uri="{C3380CC4-5D6E-409C-BE32-E72D297353CC}">
                <c16:uniqueId val="{00000077-80D1-0C4C-A007-05987791E9A3}"/>
              </c:ext>
            </c:extLst>
          </c:dPt>
          <c:dPt>
            <c:idx val="62"/>
            <c:invertIfNegative val="0"/>
            <c:bubble3D val="0"/>
            <c:spPr>
              <a:solidFill>
                <a:srgbClr val="B3E7C8"/>
              </a:solidFill>
              <a:ln w="15875">
                <a:solidFill>
                  <a:schemeClr val="tx1"/>
                </a:solidFill>
              </a:ln>
              <a:effectLst/>
            </c:spPr>
            <c:extLst>
              <c:ext xmlns:c16="http://schemas.microsoft.com/office/drawing/2014/chart" uri="{C3380CC4-5D6E-409C-BE32-E72D297353CC}">
                <c16:uniqueId val="{00000079-80D1-0C4C-A007-05987791E9A3}"/>
              </c:ext>
            </c:extLst>
          </c:dPt>
          <c:dPt>
            <c:idx val="63"/>
            <c:invertIfNegative val="0"/>
            <c:bubble3D val="0"/>
            <c:spPr>
              <a:solidFill>
                <a:srgbClr val="B3E7C8"/>
              </a:solidFill>
              <a:ln w="15875">
                <a:solidFill>
                  <a:schemeClr val="tx1"/>
                </a:solidFill>
              </a:ln>
              <a:effectLst/>
            </c:spPr>
            <c:extLst>
              <c:ext xmlns:c16="http://schemas.microsoft.com/office/drawing/2014/chart" uri="{C3380CC4-5D6E-409C-BE32-E72D297353CC}">
                <c16:uniqueId val="{0000007B-80D1-0C4C-A007-05987791E9A3}"/>
              </c:ext>
            </c:extLst>
          </c:dPt>
          <c:dPt>
            <c:idx val="64"/>
            <c:invertIfNegative val="0"/>
            <c:bubble3D val="0"/>
            <c:spPr>
              <a:solidFill>
                <a:srgbClr val="B3E7C8"/>
              </a:solidFill>
              <a:ln w="15875">
                <a:solidFill>
                  <a:schemeClr val="tx1"/>
                </a:solidFill>
              </a:ln>
              <a:effectLst/>
            </c:spPr>
            <c:extLst>
              <c:ext xmlns:c16="http://schemas.microsoft.com/office/drawing/2014/chart" uri="{C3380CC4-5D6E-409C-BE32-E72D297353CC}">
                <c16:uniqueId val="{0000007D-80D1-0C4C-A007-05987791E9A3}"/>
              </c:ext>
            </c:extLst>
          </c:dPt>
          <c:dPt>
            <c:idx val="65"/>
            <c:invertIfNegative val="0"/>
            <c:bubble3D val="0"/>
            <c:spPr>
              <a:solidFill>
                <a:srgbClr val="B3E7C8"/>
              </a:solidFill>
              <a:ln w="15875">
                <a:solidFill>
                  <a:schemeClr val="tx1"/>
                </a:solidFill>
              </a:ln>
              <a:effectLst/>
            </c:spPr>
            <c:extLst>
              <c:ext xmlns:c16="http://schemas.microsoft.com/office/drawing/2014/chart" uri="{C3380CC4-5D6E-409C-BE32-E72D297353CC}">
                <c16:uniqueId val="{0000007F-80D1-0C4C-A007-05987791E9A3}"/>
              </c:ext>
            </c:extLst>
          </c:dPt>
          <c:dPt>
            <c:idx val="66"/>
            <c:invertIfNegative val="0"/>
            <c:bubble3D val="0"/>
            <c:spPr>
              <a:solidFill>
                <a:srgbClr val="B3E7C8"/>
              </a:solidFill>
              <a:ln w="15875">
                <a:solidFill>
                  <a:schemeClr val="tx1"/>
                </a:solidFill>
              </a:ln>
              <a:effectLst/>
            </c:spPr>
            <c:extLst>
              <c:ext xmlns:c16="http://schemas.microsoft.com/office/drawing/2014/chart" uri="{C3380CC4-5D6E-409C-BE32-E72D297353CC}">
                <c16:uniqueId val="{00000081-80D1-0C4C-A007-05987791E9A3}"/>
              </c:ext>
            </c:extLst>
          </c:dPt>
          <c:dPt>
            <c:idx val="67"/>
            <c:invertIfNegative val="0"/>
            <c:bubble3D val="0"/>
            <c:spPr>
              <a:solidFill>
                <a:schemeClr val="accent6">
                  <a:lumMod val="60000"/>
                  <a:lumOff val="40000"/>
                </a:schemeClr>
              </a:solidFill>
              <a:ln w="15875">
                <a:solidFill>
                  <a:schemeClr val="tx1"/>
                </a:solidFill>
              </a:ln>
              <a:effectLst/>
            </c:spPr>
            <c:extLst>
              <c:ext xmlns:c16="http://schemas.microsoft.com/office/drawing/2014/chart" uri="{C3380CC4-5D6E-409C-BE32-E72D297353CC}">
                <c16:uniqueId val="{00000083-80D1-0C4C-A007-05987791E9A3}"/>
              </c:ext>
            </c:extLst>
          </c:dPt>
          <c:dPt>
            <c:idx val="69"/>
            <c:invertIfNegative val="0"/>
            <c:bubble3D val="0"/>
            <c:spPr>
              <a:solidFill>
                <a:srgbClr val="57A1BA"/>
              </a:solidFill>
              <a:ln w="15875">
                <a:solidFill>
                  <a:schemeClr val="tx1"/>
                </a:solidFill>
              </a:ln>
              <a:effectLst/>
            </c:spPr>
            <c:extLst>
              <c:ext xmlns:c16="http://schemas.microsoft.com/office/drawing/2014/chart" uri="{C3380CC4-5D6E-409C-BE32-E72D297353CC}">
                <c16:uniqueId val="{00000085-80D1-0C4C-A007-05987791E9A3}"/>
              </c:ext>
            </c:extLst>
          </c:dPt>
          <c:dPt>
            <c:idx val="70"/>
            <c:invertIfNegative val="0"/>
            <c:bubble3D val="0"/>
            <c:spPr>
              <a:solidFill>
                <a:srgbClr val="57A1BA"/>
              </a:solidFill>
              <a:ln w="15875">
                <a:solidFill>
                  <a:schemeClr val="tx1"/>
                </a:solidFill>
              </a:ln>
              <a:effectLst/>
            </c:spPr>
            <c:extLst>
              <c:ext xmlns:c16="http://schemas.microsoft.com/office/drawing/2014/chart" uri="{C3380CC4-5D6E-409C-BE32-E72D297353CC}">
                <c16:uniqueId val="{00000087-80D1-0C4C-A007-05987791E9A3}"/>
              </c:ext>
            </c:extLst>
          </c:dPt>
          <c:dPt>
            <c:idx val="71"/>
            <c:invertIfNegative val="0"/>
            <c:bubble3D val="0"/>
            <c:spPr>
              <a:solidFill>
                <a:srgbClr val="57A1BA"/>
              </a:solidFill>
              <a:ln w="15875">
                <a:solidFill>
                  <a:schemeClr val="tx1"/>
                </a:solidFill>
              </a:ln>
              <a:effectLst/>
            </c:spPr>
            <c:extLst>
              <c:ext xmlns:c16="http://schemas.microsoft.com/office/drawing/2014/chart" uri="{C3380CC4-5D6E-409C-BE32-E72D297353CC}">
                <c16:uniqueId val="{00000089-80D1-0C4C-A007-05987791E9A3}"/>
              </c:ext>
            </c:extLst>
          </c:dPt>
          <c:dPt>
            <c:idx val="72"/>
            <c:invertIfNegative val="0"/>
            <c:bubble3D val="0"/>
            <c:spPr>
              <a:solidFill>
                <a:srgbClr val="57A1BA"/>
              </a:solidFill>
              <a:ln w="15875">
                <a:solidFill>
                  <a:schemeClr val="tx1"/>
                </a:solidFill>
              </a:ln>
              <a:effectLst/>
            </c:spPr>
            <c:extLst>
              <c:ext xmlns:c16="http://schemas.microsoft.com/office/drawing/2014/chart" uri="{C3380CC4-5D6E-409C-BE32-E72D297353CC}">
                <c16:uniqueId val="{0000008B-80D1-0C4C-A007-05987791E9A3}"/>
              </c:ext>
            </c:extLst>
          </c:dPt>
          <c:dPt>
            <c:idx val="73"/>
            <c:invertIfNegative val="0"/>
            <c:bubble3D val="0"/>
            <c:spPr>
              <a:solidFill>
                <a:srgbClr val="57A1BA"/>
              </a:solidFill>
              <a:ln w="15875">
                <a:solidFill>
                  <a:schemeClr val="tx1"/>
                </a:solidFill>
              </a:ln>
              <a:effectLst/>
            </c:spPr>
            <c:extLst>
              <c:ext xmlns:c16="http://schemas.microsoft.com/office/drawing/2014/chart" uri="{C3380CC4-5D6E-409C-BE32-E72D297353CC}">
                <c16:uniqueId val="{0000008D-80D1-0C4C-A007-05987791E9A3}"/>
              </c:ext>
            </c:extLst>
          </c:dPt>
          <c:dPt>
            <c:idx val="74"/>
            <c:invertIfNegative val="0"/>
            <c:bubble3D val="0"/>
            <c:spPr>
              <a:solidFill>
                <a:srgbClr val="57A1BA"/>
              </a:solidFill>
              <a:ln w="15875">
                <a:solidFill>
                  <a:schemeClr val="tx1"/>
                </a:solidFill>
              </a:ln>
              <a:effectLst/>
            </c:spPr>
            <c:extLst>
              <c:ext xmlns:c16="http://schemas.microsoft.com/office/drawing/2014/chart" uri="{C3380CC4-5D6E-409C-BE32-E72D297353CC}">
                <c16:uniqueId val="{0000008F-80D1-0C4C-A007-05987791E9A3}"/>
              </c:ext>
            </c:extLst>
          </c:dPt>
          <c:dPt>
            <c:idx val="75"/>
            <c:invertIfNegative val="0"/>
            <c:bubble3D val="0"/>
            <c:spPr>
              <a:solidFill>
                <a:srgbClr val="57A1BA"/>
              </a:solidFill>
              <a:ln w="15875">
                <a:solidFill>
                  <a:schemeClr val="tx1"/>
                </a:solidFill>
              </a:ln>
              <a:effectLst/>
            </c:spPr>
            <c:extLst>
              <c:ext xmlns:c16="http://schemas.microsoft.com/office/drawing/2014/chart" uri="{C3380CC4-5D6E-409C-BE32-E72D297353CC}">
                <c16:uniqueId val="{00000091-80D1-0C4C-A007-05987791E9A3}"/>
              </c:ext>
            </c:extLst>
          </c:dPt>
          <c:dPt>
            <c:idx val="83"/>
            <c:invertIfNegative val="0"/>
            <c:bubble3D val="0"/>
            <c:spPr>
              <a:solidFill>
                <a:srgbClr val="78DEFF"/>
              </a:solidFill>
              <a:ln w="15875">
                <a:solidFill>
                  <a:schemeClr val="tx1"/>
                </a:solidFill>
              </a:ln>
              <a:effectLst/>
            </c:spPr>
            <c:extLst>
              <c:ext xmlns:c16="http://schemas.microsoft.com/office/drawing/2014/chart" uri="{C3380CC4-5D6E-409C-BE32-E72D297353CC}">
                <c16:uniqueId val="{00000093-80D1-0C4C-A007-05987791E9A3}"/>
              </c:ext>
            </c:extLst>
          </c:dPt>
          <c:dPt>
            <c:idx val="84"/>
            <c:invertIfNegative val="0"/>
            <c:bubble3D val="0"/>
            <c:spPr>
              <a:solidFill>
                <a:srgbClr val="78DEFF"/>
              </a:solidFill>
              <a:ln w="15875">
                <a:solidFill>
                  <a:schemeClr val="tx1"/>
                </a:solidFill>
              </a:ln>
              <a:effectLst/>
            </c:spPr>
            <c:extLst>
              <c:ext xmlns:c16="http://schemas.microsoft.com/office/drawing/2014/chart" uri="{C3380CC4-5D6E-409C-BE32-E72D297353CC}">
                <c16:uniqueId val="{00000095-80D1-0C4C-A007-05987791E9A3}"/>
              </c:ext>
            </c:extLst>
          </c:dPt>
          <c:dPt>
            <c:idx val="85"/>
            <c:invertIfNegative val="0"/>
            <c:bubble3D val="0"/>
            <c:spPr>
              <a:solidFill>
                <a:srgbClr val="78DEFF"/>
              </a:solidFill>
              <a:ln w="15875">
                <a:solidFill>
                  <a:schemeClr val="tx1"/>
                </a:solidFill>
              </a:ln>
              <a:effectLst/>
            </c:spPr>
            <c:extLst>
              <c:ext xmlns:c16="http://schemas.microsoft.com/office/drawing/2014/chart" uri="{C3380CC4-5D6E-409C-BE32-E72D297353CC}">
                <c16:uniqueId val="{00000097-80D1-0C4C-A007-05987791E9A3}"/>
              </c:ext>
            </c:extLst>
          </c:dPt>
          <c:dPt>
            <c:idx val="86"/>
            <c:invertIfNegative val="0"/>
            <c:bubble3D val="0"/>
            <c:spPr>
              <a:solidFill>
                <a:srgbClr val="78DEFF"/>
              </a:solidFill>
              <a:ln w="15875">
                <a:solidFill>
                  <a:schemeClr val="tx1"/>
                </a:solidFill>
              </a:ln>
              <a:effectLst/>
            </c:spPr>
            <c:extLst>
              <c:ext xmlns:c16="http://schemas.microsoft.com/office/drawing/2014/chart" uri="{C3380CC4-5D6E-409C-BE32-E72D297353CC}">
                <c16:uniqueId val="{00000099-80D1-0C4C-A007-05987791E9A3}"/>
              </c:ext>
            </c:extLst>
          </c:dPt>
          <c:dPt>
            <c:idx val="87"/>
            <c:invertIfNegative val="0"/>
            <c:bubble3D val="0"/>
            <c:spPr>
              <a:solidFill>
                <a:srgbClr val="78DEFF"/>
              </a:solidFill>
              <a:ln w="15875">
                <a:solidFill>
                  <a:schemeClr val="tx1"/>
                </a:solidFill>
              </a:ln>
              <a:effectLst/>
            </c:spPr>
            <c:extLst>
              <c:ext xmlns:c16="http://schemas.microsoft.com/office/drawing/2014/chart" uri="{C3380CC4-5D6E-409C-BE32-E72D297353CC}">
                <c16:uniqueId val="{0000009B-80D1-0C4C-A007-05987791E9A3}"/>
              </c:ext>
            </c:extLst>
          </c:dPt>
          <c:dPt>
            <c:idx val="88"/>
            <c:invertIfNegative val="0"/>
            <c:bubble3D val="0"/>
            <c:spPr>
              <a:solidFill>
                <a:srgbClr val="78DEFF"/>
              </a:solidFill>
              <a:ln w="15875">
                <a:solidFill>
                  <a:schemeClr val="tx1"/>
                </a:solidFill>
              </a:ln>
              <a:effectLst/>
            </c:spPr>
            <c:extLst>
              <c:ext xmlns:c16="http://schemas.microsoft.com/office/drawing/2014/chart" uri="{C3380CC4-5D6E-409C-BE32-E72D297353CC}">
                <c16:uniqueId val="{0000009D-80D1-0C4C-A007-05987791E9A3}"/>
              </c:ext>
            </c:extLst>
          </c:dPt>
          <c:dPt>
            <c:idx val="89"/>
            <c:invertIfNegative val="0"/>
            <c:bubble3D val="0"/>
            <c:spPr>
              <a:solidFill>
                <a:srgbClr val="78DEFF"/>
              </a:solidFill>
              <a:ln w="15875">
                <a:solidFill>
                  <a:schemeClr val="tx1"/>
                </a:solidFill>
              </a:ln>
              <a:effectLst/>
            </c:spPr>
            <c:extLst>
              <c:ext xmlns:c16="http://schemas.microsoft.com/office/drawing/2014/chart" uri="{C3380CC4-5D6E-409C-BE32-E72D297353CC}">
                <c16:uniqueId val="{0000009F-80D1-0C4C-A007-05987791E9A3}"/>
              </c:ext>
            </c:extLst>
          </c:dPt>
          <c:dPt>
            <c:idx val="92"/>
            <c:invertIfNegative val="0"/>
            <c:bubble3D val="0"/>
            <c:spPr>
              <a:solidFill>
                <a:srgbClr val="E2DE01"/>
              </a:solidFill>
              <a:ln w="15875">
                <a:solidFill>
                  <a:schemeClr val="tx1"/>
                </a:solidFill>
              </a:ln>
              <a:effectLst/>
            </c:spPr>
            <c:extLst>
              <c:ext xmlns:c16="http://schemas.microsoft.com/office/drawing/2014/chart" uri="{C3380CC4-5D6E-409C-BE32-E72D297353CC}">
                <c16:uniqueId val="{000000A1-80D1-0C4C-A007-05987791E9A3}"/>
              </c:ext>
            </c:extLst>
          </c:dPt>
          <c:dPt>
            <c:idx val="95"/>
            <c:invertIfNegative val="0"/>
            <c:bubble3D val="0"/>
            <c:spPr>
              <a:solidFill>
                <a:srgbClr val="E2DE01"/>
              </a:solidFill>
              <a:ln w="15875">
                <a:solidFill>
                  <a:schemeClr val="tx1"/>
                </a:solidFill>
              </a:ln>
              <a:effectLst/>
            </c:spPr>
            <c:extLst>
              <c:ext xmlns:c16="http://schemas.microsoft.com/office/drawing/2014/chart" uri="{C3380CC4-5D6E-409C-BE32-E72D297353CC}">
                <c16:uniqueId val="{000000A3-80D1-0C4C-A007-05987791E9A3}"/>
              </c:ext>
            </c:extLst>
          </c:dPt>
          <c:dPt>
            <c:idx val="98"/>
            <c:invertIfNegative val="0"/>
            <c:bubble3D val="0"/>
            <c:spPr>
              <a:solidFill>
                <a:srgbClr val="E2DE01"/>
              </a:solidFill>
              <a:ln w="15875">
                <a:solidFill>
                  <a:schemeClr val="tx1"/>
                </a:solidFill>
              </a:ln>
              <a:effectLst/>
            </c:spPr>
            <c:extLst>
              <c:ext xmlns:c16="http://schemas.microsoft.com/office/drawing/2014/chart" uri="{C3380CC4-5D6E-409C-BE32-E72D297353CC}">
                <c16:uniqueId val="{000000A5-80D1-0C4C-A007-05987791E9A3}"/>
              </c:ext>
            </c:extLst>
          </c:dPt>
          <c:errBars>
            <c:errBarType val="both"/>
            <c:errValType val="cust"/>
            <c:noEndCap val="0"/>
            <c:plus>
              <c:numRef>
                <c:f>'Sunflower oil'!$E$2:$E$100</c:f>
                <c:numCache>
                  <c:formatCode>General</c:formatCode>
                  <c:ptCount val="99"/>
                  <c:pt idx="0">
                    <c:v>1.47174755444761</c:v>
                  </c:pt>
                  <c:pt idx="1">
                    <c:v>1.0546948287723099</c:v>
                  </c:pt>
                  <c:pt idx="2">
                    <c:v>1.1314471776121999</c:v>
                  </c:pt>
                  <c:pt idx="3">
                    <c:v>1.6743733956342699</c:v>
                  </c:pt>
                  <c:pt idx="4">
                    <c:v>1.6743733956342699</c:v>
                  </c:pt>
                  <c:pt idx="5">
                    <c:v>1.956729512959446</c:v>
                  </c:pt>
                  <c:pt idx="6">
                    <c:v>1.8857672473955804</c:v>
                  </c:pt>
                  <c:pt idx="7">
                    <c:v>1.5242175421712094</c:v>
                  </c:pt>
                  <c:pt idx="8">
                    <c:v>1.7272162989850377</c:v>
                  </c:pt>
                  <c:pt idx="9">
                    <c:v>1.7410766818597723</c:v>
                  </c:pt>
                  <c:pt idx="10">
                    <c:v>1.7410766818597723</c:v>
                  </c:pt>
                  <c:pt idx="11">
                    <c:v>1.602620431967376</c:v>
                  </c:pt>
                  <c:pt idx="12">
                    <c:v>1.7740644203942262</c:v>
                  </c:pt>
                  <c:pt idx="13">
                    <c:v>1.6005440058580749</c:v>
                  </c:pt>
                  <c:pt idx="14">
                    <c:v>1.0150437125661047</c:v>
                  </c:pt>
                  <c:pt idx="15">
                    <c:v>0.35535053876415501</c:v>
                  </c:pt>
                  <c:pt idx="16">
                    <c:v>0.48671307344206449</c:v>
                  </c:pt>
                  <c:pt idx="17">
                    <c:v>0.48671307344206449</c:v>
                  </c:pt>
                  <c:pt idx="18">
                    <c:v>0.48671307344206449</c:v>
                  </c:pt>
                  <c:pt idx="19">
                    <c:v>0.24202459395777115</c:v>
                  </c:pt>
                  <c:pt idx="20">
                    <c:v>0.49183355464455508</c:v>
                  </c:pt>
                  <c:pt idx="23">
                    <c:v>1.0150437125661047</c:v>
                  </c:pt>
                  <c:pt idx="24">
                    <c:v>0.35535053876415501</c:v>
                  </c:pt>
                  <c:pt idx="25">
                    <c:v>0.48671307344206449</c:v>
                  </c:pt>
                  <c:pt idx="26">
                    <c:v>0.48671307344206449</c:v>
                  </c:pt>
                  <c:pt idx="27">
                    <c:v>0.48671307344206449</c:v>
                  </c:pt>
                  <c:pt idx="28">
                    <c:v>1.0150437125661047</c:v>
                  </c:pt>
                  <c:pt idx="29">
                    <c:v>0.35535053876415501</c:v>
                  </c:pt>
                  <c:pt idx="30">
                    <c:v>0.48671307344206449</c:v>
                  </c:pt>
                  <c:pt idx="31">
                    <c:v>0.48671307344206449</c:v>
                  </c:pt>
                  <c:pt idx="32">
                    <c:v>0.48671307344206449</c:v>
                  </c:pt>
                  <c:pt idx="33">
                    <c:v>0.24202459395777115</c:v>
                  </c:pt>
                  <c:pt idx="34">
                    <c:v>1.0150437125661047</c:v>
                  </c:pt>
                  <c:pt idx="35">
                    <c:v>0.35535053876415501</c:v>
                  </c:pt>
                  <c:pt idx="36">
                    <c:v>0.48671307344206449</c:v>
                  </c:pt>
                  <c:pt idx="37">
                    <c:v>0.48671307344206449</c:v>
                  </c:pt>
                  <c:pt idx="38">
                    <c:v>0.48671307344206449</c:v>
                  </c:pt>
                  <c:pt idx="39">
                    <c:v>1.0150437125661047</c:v>
                  </c:pt>
                  <c:pt idx="40">
                    <c:v>0.35535053876415501</c:v>
                  </c:pt>
                  <c:pt idx="41">
                    <c:v>0.48671307344206449</c:v>
                  </c:pt>
                  <c:pt idx="42">
                    <c:v>0.48671307344206449</c:v>
                  </c:pt>
                  <c:pt idx="43">
                    <c:v>0.48671307344206449</c:v>
                  </c:pt>
                  <c:pt idx="46">
                    <c:v>0.48</c:v>
                  </c:pt>
                  <c:pt idx="47">
                    <c:v>0.55000000000000004</c:v>
                  </c:pt>
                  <c:pt idx="48">
                    <c:v>0.6</c:v>
                  </c:pt>
                  <c:pt idx="49">
                    <c:v>0.3</c:v>
                  </c:pt>
                  <c:pt idx="50">
                    <c:v>0.25</c:v>
                  </c:pt>
                  <c:pt idx="51">
                    <c:v>0.32</c:v>
                  </c:pt>
                  <c:pt idx="52">
                    <c:v>0.26</c:v>
                  </c:pt>
                  <c:pt idx="53">
                    <c:v>0.4</c:v>
                  </c:pt>
                  <c:pt idx="54">
                    <c:v>0.46</c:v>
                  </c:pt>
                  <c:pt idx="55">
                    <c:v>0.32</c:v>
                  </c:pt>
                  <c:pt idx="56">
                    <c:v>0.26</c:v>
                  </c:pt>
                  <c:pt idx="57">
                    <c:v>0.4</c:v>
                  </c:pt>
                  <c:pt idx="58">
                    <c:v>0.26</c:v>
                  </c:pt>
                  <c:pt idx="59">
                    <c:v>0.4</c:v>
                  </c:pt>
                  <c:pt idx="60">
                    <c:v>0.46</c:v>
                  </c:pt>
                  <c:pt idx="61">
                    <c:v>0.32</c:v>
                  </c:pt>
                  <c:pt idx="62">
                    <c:v>0.26</c:v>
                  </c:pt>
                  <c:pt idx="63">
                    <c:v>0.4</c:v>
                  </c:pt>
                  <c:pt idx="64">
                    <c:v>0.46</c:v>
                  </c:pt>
                  <c:pt idx="65">
                    <c:v>0.32</c:v>
                  </c:pt>
                  <c:pt idx="66">
                    <c:v>0.27</c:v>
                  </c:pt>
                  <c:pt idx="69">
                    <c:v>0.42</c:v>
                  </c:pt>
                  <c:pt idx="70">
                    <c:v>0.44</c:v>
                  </c:pt>
                  <c:pt idx="71">
                    <c:v>0.25</c:v>
                  </c:pt>
                  <c:pt idx="72">
                    <c:v>0.7</c:v>
                  </c:pt>
                  <c:pt idx="73">
                    <c:v>0.42</c:v>
                  </c:pt>
                  <c:pt idx="74">
                    <c:v>0.47</c:v>
                  </c:pt>
                  <c:pt idx="75">
                    <c:v>0.42</c:v>
                  </c:pt>
                  <c:pt idx="76">
                    <c:v>0.44</c:v>
                  </c:pt>
                  <c:pt idx="77">
                    <c:v>0.25</c:v>
                  </c:pt>
                  <c:pt idx="78">
                    <c:v>0.42</c:v>
                  </c:pt>
                  <c:pt idx="79">
                    <c:v>0.44</c:v>
                  </c:pt>
                  <c:pt idx="80">
                    <c:v>0.25</c:v>
                  </c:pt>
                  <c:pt idx="81">
                    <c:v>0.7</c:v>
                  </c:pt>
                  <c:pt idx="82">
                    <c:v>0.42</c:v>
                  </c:pt>
                  <c:pt idx="83">
                    <c:v>0.44</c:v>
                  </c:pt>
                  <c:pt idx="84">
                    <c:v>0.25</c:v>
                  </c:pt>
                  <c:pt idx="85">
                    <c:v>0.7</c:v>
                  </c:pt>
                  <c:pt idx="86">
                    <c:v>0.42</c:v>
                  </c:pt>
                  <c:pt idx="87">
                    <c:v>0.47</c:v>
                  </c:pt>
                  <c:pt idx="88">
                    <c:v>0.1064125628755252</c:v>
                  </c:pt>
                  <c:pt idx="89">
                    <c:v>0.20541178695582654</c:v>
                  </c:pt>
                  <c:pt idx="92">
                    <c:v>0.7</c:v>
                  </c:pt>
                  <c:pt idx="95">
                    <c:v>0.5</c:v>
                  </c:pt>
                  <c:pt idx="98">
                    <c:v>0.3</c:v>
                  </c:pt>
                </c:numCache>
              </c:numRef>
            </c:plus>
            <c:minus>
              <c:numRef>
                <c:f>'Sunflower oil'!$E$2:$E$100</c:f>
                <c:numCache>
                  <c:formatCode>General</c:formatCode>
                  <c:ptCount val="99"/>
                  <c:pt idx="0">
                    <c:v>1.47174755444761</c:v>
                  </c:pt>
                  <c:pt idx="1">
                    <c:v>1.0546948287723099</c:v>
                  </c:pt>
                  <c:pt idx="2">
                    <c:v>1.1314471776121999</c:v>
                  </c:pt>
                  <c:pt idx="3">
                    <c:v>1.6743733956342699</c:v>
                  </c:pt>
                  <c:pt idx="4">
                    <c:v>1.6743733956342699</c:v>
                  </c:pt>
                  <c:pt idx="5">
                    <c:v>1.956729512959446</c:v>
                  </c:pt>
                  <c:pt idx="6">
                    <c:v>1.8857672473955804</c:v>
                  </c:pt>
                  <c:pt idx="7">
                    <c:v>1.5242175421712094</c:v>
                  </c:pt>
                  <c:pt idx="8">
                    <c:v>1.7272162989850377</c:v>
                  </c:pt>
                  <c:pt idx="9">
                    <c:v>1.7410766818597723</c:v>
                  </c:pt>
                  <c:pt idx="10">
                    <c:v>1.7410766818597723</c:v>
                  </c:pt>
                  <c:pt idx="11">
                    <c:v>1.602620431967376</c:v>
                  </c:pt>
                  <c:pt idx="12">
                    <c:v>1.7740644203942262</c:v>
                  </c:pt>
                  <c:pt idx="13">
                    <c:v>1.6005440058580749</c:v>
                  </c:pt>
                  <c:pt idx="14">
                    <c:v>1.0150437125661047</c:v>
                  </c:pt>
                  <c:pt idx="15">
                    <c:v>0.35535053876415501</c:v>
                  </c:pt>
                  <c:pt idx="16">
                    <c:v>0.48671307344206449</c:v>
                  </c:pt>
                  <c:pt idx="17">
                    <c:v>0.48671307344206449</c:v>
                  </c:pt>
                  <c:pt idx="18">
                    <c:v>0.48671307344206449</c:v>
                  </c:pt>
                  <c:pt idx="19">
                    <c:v>0.24202459395777115</c:v>
                  </c:pt>
                  <c:pt idx="20">
                    <c:v>0.49183355464455508</c:v>
                  </c:pt>
                  <c:pt idx="23">
                    <c:v>1.0150437125661047</c:v>
                  </c:pt>
                  <c:pt idx="24">
                    <c:v>0.35535053876415501</c:v>
                  </c:pt>
                  <c:pt idx="25">
                    <c:v>0.48671307344206449</c:v>
                  </c:pt>
                  <c:pt idx="26">
                    <c:v>0.48671307344206449</c:v>
                  </c:pt>
                  <c:pt idx="27">
                    <c:v>0.48671307344206449</c:v>
                  </c:pt>
                  <c:pt idx="28">
                    <c:v>1.0150437125661047</c:v>
                  </c:pt>
                  <c:pt idx="29">
                    <c:v>0.35535053876415501</c:v>
                  </c:pt>
                  <c:pt idx="30">
                    <c:v>0.48671307344206449</c:v>
                  </c:pt>
                  <c:pt idx="31">
                    <c:v>0.48671307344206449</c:v>
                  </c:pt>
                  <c:pt idx="32">
                    <c:v>0.48671307344206449</c:v>
                  </c:pt>
                  <c:pt idx="33">
                    <c:v>0.24202459395777115</c:v>
                  </c:pt>
                  <c:pt idx="34">
                    <c:v>1.0150437125661047</c:v>
                  </c:pt>
                  <c:pt idx="35">
                    <c:v>0.35535053876415501</c:v>
                  </c:pt>
                  <c:pt idx="36">
                    <c:v>0.48671307344206449</c:v>
                  </c:pt>
                  <c:pt idx="37">
                    <c:v>0.48671307344206449</c:v>
                  </c:pt>
                  <c:pt idx="38">
                    <c:v>0.48671307344206449</c:v>
                  </c:pt>
                  <c:pt idx="39">
                    <c:v>1.0150437125661047</c:v>
                  </c:pt>
                  <c:pt idx="40">
                    <c:v>0.35535053876415501</c:v>
                  </c:pt>
                  <c:pt idx="41">
                    <c:v>0.48671307344206449</c:v>
                  </c:pt>
                  <c:pt idx="42">
                    <c:v>0.48671307344206449</c:v>
                  </c:pt>
                  <c:pt idx="43">
                    <c:v>0.48671307344206449</c:v>
                  </c:pt>
                  <c:pt idx="46">
                    <c:v>0.48</c:v>
                  </c:pt>
                  <c:pt idx="47">
                    <c:v>0.55000000000000004</c:v>
                  </c:pt>
                  <c:pt idx="48">
                    <c:v>0.6</c:v>
                  </c:pt>
                  <c:pt idx="49">
                    <c:v>0.3</c:v>
                  </c:pt>
                  <c:pt idx="50">
                    <c:v>0.25</c:v>
                  </c:pt>
                  <c:pt idx="51">
                    <c:v>0.32</c:v>
                  </c:pt>
                  <c:pt idx="52">
                    <c:v>0.26</c:v>
                  </c:pt>
                  <c:pt idx="53">
                    <c:v>0.4</c:v>
                  </c:pt>
                  <c:pt idx="54">
                    <c:v>0.46</c:v>
                  </c:pt>
                  <c:pt idx="55">
                    <c:v>0.32</c:v>
                  </c:pt>
                  <c:pt idx="56">
                    <c:v>0.26</c:v>
                  </c:pt>
                  <c:pt idx="57">
                    <c:v>0.4</c:v>
                  </c:pt>
                  <c:pt idx="58">
                    <c:v>0.26</c:v>
                  </c:pt>
                  <c:pt idx="59">
                    <c:v>0.4</c:v>
                  </c:pt>
                  <c:pt idx="60">
                    <c:v>0.46</c:v>
                  </c:pt>
                  <c:pt idx="61">
                    <c:v>0.32</c:v>
                  </c:pt>
                  <c:pt idx="62">
                    <c:v>0.26</c:v>
                  </c:pt>
                  <c:pt idx="63">
                    <c:v>0.4</c:v>
                  </c:pt>
                  <c:pt idx="64">
                    <c:v>0.46</c:v>
                  </c:pt>
                  <c:pt idx="65">
                    <c:v>0.32</c:v>
                  </c:pt>
                  <c:pt idx="66">
                    <c:v>0.27</c:v>
                  </c:pt>
                  <c:pt idx="69">
                    <c:v>0.42</c:v>
                  </c:pt>
                  <c:pt idx="70">
                    <c:v>0.44</c:v>
                  </c:pt>
                  <c:pt idx="71">
                    <c:v>0.25</c:v>
                  </c:pt>
                  <c:pt idx="72">
                    <c:v>0.7</c:v>
                  </c:pt>
                  <c:pt idx="73">
                    <c:v>0.42</c:v>
                  </c:pt>
                  <c:pt idx="74">
                    <c:v>0.47</c:v>
                  </c:pt>
                  <c:pt idx="75">
                    <c:v>0.42</c:v>
                  </c:pt>
                  <c:pt idx="76">
                    <c:v>0.44</c:v>
                  </c:pt>
                  <c:pt idx="77">
                    <c:v>0.25</c:v>
                  </c:pt>
                  <c:pt idx="78">
                    <c:v>0.42</c:v>
                  </c:pt>
                  <c:pt idx="79">
                    <c:v>0.44</c:v>
                  </c:pt>
                  <c:pt idx="80">
                    <c:v>0.25</c:v>
                  </c:pt>
                  <c:pt idx="81">
                    <c:v>0.7</c:v>
                  </c:pt>
                  <c:pt idx="82">
                    <c:v>0.42</c:v>
                  </c:pt>
                  <c:pt idx="83">
                    <c:v>0.44</c:v>
                  </c:pt>
                  <c:pt idx="84">
                    <c:v>0.25</c:v>
                  </c:pt>
                  <c:pt idx="85">
                    <c:v>0.7</c:v>
                  </c:pt>
                  <c:pt idx="86">
                    <c:v>0.42</c:v>
                  </c:pt>
                  <c:pt idx="87">
                    <c:v>0.47</c:v>
                  </c:pt>
                  <c:pt idx="88">
                    <c:v>0.1064125628755252</c:v>
                  </c:pt>
                  <c:pt idx="89">
                    <c:v>0.20541178695582654</c:v>
                  </c:pt>
                  <c:pt idx="92">
                    <c:v>0.7</c:v>
                  </c:pt>
                  <c:pt idx="95">
                    <c:v>0.5</c:v>
                  </c:pt>
                  <c:pt idx="98">
                    <c:v>0.3</c:v>
                  </c:pt>
                </c:numCache>
              </c:numRef>
            </c:minus>
            <c:spPr>
              <a:noFill/>
              <a:ln w="9525" cap="flat" cmpd="sng" algn="ctr">
                <a:solidFill>
                  <a:schemeClr val="tx1"/>
                </a:solidFill>
                <a:round/>
              </a:ln>
              <a:effectLst/>
            </c:spPr>
          </c:errBars>
          <c:val>
            <c:numRef>
              <c:f>'Sunflower oil'!$D$2:$D$102</c:f>
              <c:numCache>
                <c:formatCode>0.00</c:formatCode>
                <c:ptCount val="101"/>
                <c:pt idx="0">
                  <c:v>58.225452052675884</c:v>
                </c:pt>
                <c:pt idx="1">
                  <c:v>58.067819928089605</c:v>
                </c:pt>
                <c:pt idx="2">
                  <c:v>58.065161063661243</c:v>
                </c:pt>
                <c:pt idx="3">
                  <c:v>57.892558617166614</c:v>
                </c:pt>
                <c:pt idx="4">
                  <c:v>57.993894634435669</c:v>
                </c:pt>
                <c:pt idx="5">
                  <c:v>58.046432523589296</c:v>
                </c:pt>
                <c:pt idx="6">
                  <c:v>57.642417440283076</c:v>
                </c:pt>
                <c:pt idx="7">
                  <c:v>30.506563348415138</c:v>
                </c:pt>
                <c:pt idx="8">
                  <c:v>30.685089478737655</c:v>
                </c:pt>
                <c:pt idx="9">
                  <c:v>30.790585225689043</c:v>
                </c:pt>
                <c:pt idx="10">
                  <c:v>31.032868466825729</c:v>
                </c:pt>
                <c:pt idx="11">
                  <c:v>30.901006522884312</c:v>
                </c:pt>
                <c:pt idx="12">
                  <c:v>30.871734842754751</c:v>
                </c:pt>
                <c:pt idx="13">
                  <c:v>31.118537398844353</c:v>
                </c:pt>
                <c:pt idx="14">
                  <c:v>11.539512759069718</c:v>
                </c:pt>
                <c:pt idx="15">
                  <c:v>11.566005992982774</c:v>
                </c:pt>
                <c:pt idx="16">
                  <c:v>11.448181720423518</c:v>
                </c:pt>
                <c:pt idx="17">
                  <c:v>11.412621791297415</c:v>
                </c:pt>
                <c:pt idx="18">
                  <c:v>11.399024738526434</c:v>
                </c:pt>
                <c:pt idx="19">
                  <c:v>11.370140935923377</c:v>
                </c:pt>
                <c:pt idx="20">
                  <c:v>11.545828659124631</c:v>
                </c:pt>
                <c:pt idx="23">
                  <c:v>59.142724452668716</c:v>
                </c:pt>
                <c:pt idx="24">
                  <c:v>59.138009823485469</c:v>
                </c:pt>
                <c:pt idx="25">
                  <c:v>59.139538171635031</c:v>
                </c:pt>
                <c:pt idx="26">
                  <c:v>58.945229424928456</c:v>
                </c:pt>
                <c:pt idx="27">
                  <c:v>58.830642628317939</c:v>
                </c:pt>
                <c:pt idx="28">
                  <c:v>58.782530400600599</c:v>
                </c:pt>
                <c:pt idx="29">
                  <c:v>59.010684541993832</c:v>
                </c:pt>
                <c:pt idx="30">
                  <c:v>29.633759978611401</c:v>
                </c:pt>
                <c:pt idx="31">
                  <c:v>29.614264672851917</c:v>
                </c:pt>
                <c:pt idx="32">
                  <c:v>29.704318215694165</c:v>
                </c:pt>
                <c:pt idx="33">
                  <c:v>29.618920053792177</c:v>
                </c:pt>
                <c:pt idx="34">
                  <c:v>29.695754824312299</c:v>
                </c:pt>
                <c:pt idx="35">
                  <c:v>29.827125365656656</c:v>
                </c:pt>
                <c:pt idx="36">
                  <c:v>29.845666916507263</c:v>
                </c:pt>
                <c:pt idx="37">
                  <c:v>11.491144046726902</c:v>
                </c:pt>
                <c:pt idx="38">
                  <c:v>11.536243995360399</c:v>
                </c:pt>
                <c:pt idx="39">
                  <c:v>11.424875867203891</c:v>
                </c:pt>
                <c:pt idx="40">
                  <c:v>11.713461675909791</c:v>
                </c:pt>
                <c:pt idx="41">
                  <c:v>11.655380586008919</c:v>
                </c:pt>
                <c:pt idx="42">
                  <c:v>11.665426242535938</c:v>
                </c:pt>
                <c:pt idx="43">
                  <c:v>11.415432335161055</c:v>
                </c:pt>
                <c:pt idx="46">
                  <c:v>59.227405213691419</c:v>
                </c:pt>
                <c:pt idx="47">
                  <c:v>59.249224188290064</c:v>
                </c:pt>
                <c:pt idx="48">
                  <c:v>59.311037279990117</c:v>
                </c:pt>
                <c:pt idx="49">
                  <c:v>59.200918755085894</c:v>
                </c:pt>
                <c:pt idx="50">
                  <c:v>59.065100692265894</c:v>
                </c:pt>
                <c:pt idx="51">
                  <c:v>59.041264760327635</c:v>
                </c:pt>
                <c:pt idx="52">
                  <c:v>59.009838901270861</c:v>
                </c:pt>
                <c:pt idx="53">
                  <c:v>29.75517074407864</c:v>
                </c:pt>
                <c:pt idx="54">
                  <c:v>29.640680329007104</c:v>
                </c:pt>
                <c:pt idx="55">
                  <c:v>29.734921512118639</c:v>
                </c:pt>
                <c:pt idx="56">
                  <c:v>29.73012122354158</c:v>
                </c:pt>
                <c:pt idx="57">
                  <c:v>29.773905176002916</c:v>
                </c:pt>
                <c:pt idx="58">
                  <c:v>29.850216824014822</c:v>
                </c:pt>
                <c:pt idx="59">
                  <c:v>29.925588062397029</c:v>
                </c:pt>
                <c:pt idx="60">
                  <c:v>11.295508973542487</c:v>
                </c:pt>
                <c:pt idx="61">
                  <c:v>11.381439235746562</c:v>
                </c:pt>
                <c:pt idx="62">
                  <c:v>11.219984203519347</c:v>
                </c:pt>
                <c:pt idx="63">
                  <c:v>11.336373632482475</c:v>
                </c:pt>
                <c:pt idx="64">
                  <c:v>11.447008272923844</c:v>
                </c:pt>
                <c:pt idx="65">
                  <c:v>11.384954756780685</c:v>
                </c:pt>
                <c:pt idx="66">
                  <c:v>11.329847423467656</c:v>
                </c:pt>
                <c:pt idx="69">
                  <c:v>59.108866584698696</c:v>
                </c:pt>
                <c:pt idx="70">
                  <c:v>59.108866584698696</c:v>
                </c:pt>
                <c:pt idx="71">
                  <c:v>59.214339439744144</c:v>
                </c:pt>
                <c:pt idx="72">
                  <c:v>59.121472972894672</c:v>
                </c:pt>
                <c:pt idx="73">
                  <c:v>59.091879125796623</c:v>
                </c:pt>
                <c:pt idx="74">
                  <c:v>59.005424458858414</c:v>
                </c:pt>
                <c:pt idx="75">
                  <c:v>58.877764193285508</c:v>
                </c:pt>
                <c:pt idx="76">
                  <c:v>29.695797298491165</c:v>
                </c:pt>
                <c:pt idx="77">
                  <c:v>29.695797298491165</c:v>
                </c:pt>
                <c:pt idx="78">
                  <c:v>29.67198628579775</c:v>
                </c:pt>
                <c:pt idx="79">
                  <c:v>29.701042408834979</c:v>
                </c:pt>
                <c:pt idx="80">
                  <c:v>29.853619458079301</c:v>
                </c:pt>
                <c:pt idx="81">
                  <c:v>29.816620108198322</c:v>
                </c:pt>
                <c:pt idx="82">
                  <c:v>29.825276894493104</c:v>
                </c:pt>
                <c:pt idx="83">
                  <c:v>11.514917362721317</c:v>
                </c:pt>
                <c:pt idx="84">
                  <c:v>11.514917362721317</c:v>
                </c:pt>
                <c:pt idx="85">
                  <c:v>11.421746154995274</c:v>
                </c:pt>
                <c:pt idx="86">
                  <c:v>11.177484618270356</c:v>
                </c:pt>
                <c:pt idx="87">
                  <c:v>11.336182195137114</c:v>
                </c:pt>
                <c:pt idx="88">
                  <c:v>11.460460220727246</c:v>
                </c:pt>
                <c:pt idx="89">
                  <c:v>11.588676584516445</c:v>
                </c:pt>
                <c:pt idx="92">
                  <c:v>63</c:v>
                </c:pt>
                <c:pt idx="95">
                  <c:v>32</c:v>
                </c:pt>
                <c:pt idx="98">
                  <c:v>10</c:v>
                </c:pt>
              </c:numCache>
            </c:numRef>
          </c:val>
          <c:extLst>
            <c:ext xmlns:c16="http://schemas.microsoft.com/office/drawing/2014/chart" uri="{C3380CC4-5D6E-409C-BE32-E72D297353CC}">
              <c16:uniqueId val="{000000A6-80D1-0C4C-A007-05987791E9A3}"/>
            </c:ext>
          </c:extLst>
        </c:ser>
        <c:ser>
          <c:idx val="1"/>
          <c:order val="1"/>
          <c:tx>
            <c:v>PUFA Oil</c:v>
          </c:tx>
          <c:spPr>
            <a:solidFill>
              <a:srgbClr val="E270BC"/>
            </a:solidFill>
            <a:ln>
              <a:solidFill>
                <a:schemeClr val="tx1"/>
              </a:solidFill>
            </a:ln>
            <a:effectLst/>
          </c:spPr>
          <c:invertIfNegative val="0"/>
          <c:val>
            <c:numLit>
              <c:formatCode>General</c:formatCode>
              <c:ptCount val="1"/>
              <c:pt idx="0">
                <c:v>1</c:v>
              </c:pt>
            </c:numLit>
          </c:val>
          <c:extLst>
            <c:ext xmlns:c16="http://schemas.microsoft.com/office/drawing/2014/chart" uri="{C3380CC4-5D6E-409C-BE32-E72D297353CC}">
              <c16:uniqueId val="{000000A7-80D1-0C4C-A007-05987791E9A3}"/>
            </c:ext>
          </c:extLst>
        </c:ser>
        <c:ser>
          <c:idx val="2"/>
          <c:order val="2"/>
          <c:tx>
            <c:v>MUFA Oil </c:v>
          </c:tx>
          <c:spPr>
            <a:solidFill>
              <a:srgbClr val="EB9BD0"/>
            </a:solidFill>
            <a:ln>
              <a:solidFill>
                <a:schemeClr val="tx1"/>
              </a:solidFill>
            </a:ln>
            <a:effectLst/>
          </c:spPr>
          <c:invertIfNegative val="0"/>
          <c:val>
            <c:numLit>
              <c:formatCode>General</c:formatCode>
              <c:ptCount val="1"/>
              <c:pt idx="0">
                <c:v>1</c:v>
              </c:pt>
            </c:numLit>
          </c:val>
          <c:extLst>
            <c:ext xmlns:c16="http://schemas.microsoft.com/office/drawing/2014/chart" uri="{C3380CC4-5D6E-409C-BE32-E72D297353CC}">
              <c16:uniqueId val="{000000A8-80D1-0C4C-A007-05987791E9A3}"/>
            </c:ext>
          </c:extLst>
        </c:ser>
        <c:ser>
          <c:idx val="3"/>
          <c:order val="3"/>
          <c:tx>
            <c:v>SFA Oil</c:v>
          </c:tx>
          <c:spPr>
            <a:solidFill>
              <a:srgbClr val="E7E0EC"/>
            </a:solidFill>
            <a:ln>
              <a:solidFill>
                <a:schemeClr val="tx1"/>
              </a:solidFill>
            </a:ln>
            <a:effectLst/>
          </c:spPr>
          <c:invertIfNegative val="0"/>
          <c:val>
            <c:numLit>
              <c:formatCode>General</c:formatCode>
              <c:ptCount val="1"/>
              <c:pt idx="0">
                <c:v>1</c:v>
              </c:pt>
            </c:numLit>
          </c:val>
          <c:extLst>
            <c:ext xmlns:c16="http://schemas.microsoft.com/office/drawing/2014/chart" uri="{C3380CC4-5D6E-409C-BE32-E72D297353CC}">
              <c16:uniqueId val="{000000A9-80D1-0C4C-A007-05987791E9A3}"/>
            </c:ext>
          </c:extLst>
        </c:ser>
        <c:ser>
          <c:idx val="4"/>
          <c:order val="4"/>
          <c:tx>
            <c:v>PUFA Oil + BHT </c:v>
          </c:tx>
          <c:spPr>
            <a:solidFill>
              <a:srgbClr val="E62409"/>
            </a:solidFill>
            <a:ln>
              <a:solidFill>
                <a:schemeClr val="tx1"/>
              </a:solidFill>
            </a:ln>
            <a:effectLst/>
          </c:spPr>
          <c:invertIfNegative val="0"/>
          <c:val>
            <c:numLit>
              <c:formatCode>General</c:formatCode>
              <c:ptCount val="1"/>
              <c:pt idx="0">
                <c:v>1</c:v>
              </c:pt>
            </c:numLit>
          </c:val>
          <c:extLst>
            <c:ext xmlns:c16="http://schemas.microsoft.com/office/drawing/2014/chart" uri="{C3380CC4-5D6E-409C-BE32-E72D297353CC}">
              <c16:uniqueId val="{000000AA-80D1-0C4C-A007-05987791E9A3}"/>
            </c:ext>
          </c:extLst>
        </c:ser>
        <c:ser>
          <c:idx val="5"/>
          <c:order val="5"/>
          <c:tx>
            <c:v>MUFA Oil + BHT </c:v>
          </c:tx>
          <c:spPr>
            <a:solidFill>
              <a:srgbClr val="EE7160"/>
            </a:solidFill>
            <a:ln>
              <a:solidFill>
                <a:schemeClr val="tx1"/>
              </a:solidFill>
            </a:ln>
            <a:effectLst/>
          </c:spPr>
          <c:invertIfNegative val="0"/>
          <c:val>
            <c:numLit>
              <c:formatCode>General</c:formatCode>
              <c:ptCount val="1"/>
              <c:pt idx="0">
                <c:v>1</c:v>
              </c:pt>
            </c:numLit>
          </c:val>
          <c:extLst>
            <c:ext xmlns:c16="http://schemas.microsoft.com/office/drawing/2014/chart" uri="{C3380CC4-5D6E-409C-BE32-E72D297353CC}">
              <c16:uniqueId val="{000000AB-80D1-0C4C-A007-05987791E9A3}"/>
            </c:ext>
          </c:extLst>
        </c:ser>
        <c:ser>
          <c:idx val="6"/>
          <c:order val="6"/>
          <c:tx>
            <c:v>SFA Oil + BHT </c:v>
          </c:tx>
          <c:spPr>
            <a:solidFill>
              <a:srgbClr val="F7B1A8"/>
            </a:solidFill>
            <a:ln>
              <a:solidFill>
                <a:schemeClr val="tx1"/>
              </a:solidFill>
            </a:ln>
            <a:effectLst/>
          </c:spPr>
          <c:invertIfNegative val="0"/>
          <c:val>
            <c:numLit>
              <c:formatCode>General</c:formatCode>
              <c:ptCount val="1"/>
              <c:pt idx="0">
                <c:v>1</c:v>
              </c:pt>
            </c:numLit>
          </c:val>
          <c:extLst>
            <c:ext xmlns:c16="http://schemas.microsoft.com/office/drawing/2014/chart" uri="{C3380CC4-5D6E-409C-BE32-E72D297353CC}">
              <c16:uniqueId val="{000000AC-80D1-0C4C-A007-05987791E9A3}"/>
            </c:ext>
          </c:extLst>
        </c:ser>
        <c:ser>
          <c:idx val="7"/>
          <c:order val="7"/>
          <c:tx>
            <c:v>PUFA Oil + β-carotene </c:v>
          </c:tx>
          <c:spPr>
            <a:solidFill>
              <a:srgbClr val="26BC65"/>
            </a:solidFill>
            <a:ln>
              <a:solidFill>
                <a:schemeClr val="tx1"/>
              </a:solidFill>
            </a:ln>
            <a:effectLst/>
          </c:spPr>
          <c:invertIfNegative val="0"/>
          <c:val>
            <c:numLit>
              <c:formatCode>General</c:formatCode>
              <c:ptCount val="1"/>
              <c:pt idx="0">
                <c:v>1</c:v>
              </c:pt>
            </c:numLit>
          </c:val>
          <c:extLst>
            <c:ext xmlns:c16="http://schemas.microsoft.com/office/drawing/2014/chart" uri="{C3380CC4-5D6E-409C-BE32-E72D297353CC}">
              <c16:uniqueId val="{000000AD-80D1-0C4C-A007-05987791E9A3}"/>
            </c:ext>
          </c:extLst>
        </c:ser>
        <c:ser>
          <c:idx val="8"/>
          <c:order val="8"/>
          <c:tx>
            <c:v>MUFA Oil + β-carotene </c:v>
          </c:tx>
          <c:spPr>
            <a:solidFill>
              <a:srgbClr val="7ED7A3"/>
            </a:solidFill>
            <a:ln>
              <a:solidFill>
                <a:schemeClr val="tx1"/>
              </a:solidFill>
            </a:ln>
            <a:effectLst/>
          </c:spPr>
          <c:invertIfNegative val="0"/>
          <c:val>
            <c:numLit>
              <c:formatCode>General</c:formatCode>
              <c:ptCount val="1"/>
              <c:pt idx="0">
                <c:v>1</c:v>
              </c:pt>
            </c:numLit>
          </c:val>
          <c:extLst>
            <c:ext xmlns:c16="http://schemas.microsoft.com/office/drawing/2014/chart" uri="{C3380CC4-5D6E-409C-BE32-E72D297353CC}">
              <c16:uniqueId val="{000000AE-80D1-0C4C-A007-05987791E9A3}"/>
            </c:ext>
          </c:extLst>
        </c:ser>
        <c:ser>
          <c:idx val="9"/>
          <c:order val="9"/>
          <c:tx>
            <c:v>SFA Oil + β-carotene </c:v>
          </c:tx>
          <c:spPr>
            <a:solidFill>
              <a:srgbClr val="B4E7C8"/>
            </a:solidFill>
            <a:ln>
              <a:solidFill>
                <a:schemeClr val="tx1"/>
              </a:solidFill>
            </a:ln>
            <a:effectLst/>
          </c:spPr>
          <c:invertIfNegative val="0"/>
          <c:val>
            <c:numLit>
              <c:formatCode>General</c:formatCode>
              <c:ptCount val="1"/>
              <c:pt idx="0">
                <c:v>1</c:v>
              </c:pt>
            </c:numLit>
          </c:val>
          <c:extLst>
            <c:ext xmlns:c16="http://schemas.microsoft.com/office/drawing/2014/chart" uri="{C3380CC4-5D6E-409C-BE32-E72D297353CC}">
              <c16:uniqueId val="{000000AF-80D1-0C4C-A007-05987791E9A3}"/>
            </c:ext>
          </c:extLst>
        </c:ser>
        <c:ser>
          <c:idx val="10"/>
          <c:order val="10"/>
          <c:tx>
            <c:v>PUFA Oil + β-carotene + BHT</c:v>
          </c:tx>
          <c:spPr>
            <a:solidFill>
              <a:srgbClr val="57A1BB"/>
            </a:solidFill>
            <a:ln>
              <a:solidFill>
                <a:schemeClr val="tx1"/>
              </a:solidFill>
            </a:ln>
            <a:effectLst/>
          </c:spPr>
          <c:invertIfNegative val="0"/>
          <c:val>
            <c:numLit>
              <c:formatCode>General</c:formatCode>
              <c:ptCount val="1"/>
              <c:pt idx="0">
                <c:v>1</c:v>
              </c:pt>
            </c:numLit>
          </c:val>
          <c:extLst>
            <c:ext xmlns:c16="http://schemas.microsoft.com/office/drawing/2014/chart" uri="{C3380CC4-5D6E-409C-BE32-E72D297353CC}">
              <c16:uniqueId val="{000000B0-80D1-0C4C-A007-05987791E9A3}"/>
            </c:ext>
          </c:extLst>
        </c:ser>
        <c:ser>
          <c:idx val="11"/>
          <c:order val="11"/>
          <c:tx>
            <c:v>MUFA Oil + β-carotene + BHT</c:v>
          </c:tx>
          <c:spPr>
            <a:solidFill>
              <a:srgbClr val="68BFDB"/>
            </a:solidFill>
            <a:ln>
              <a:solidFill>
                <a:schemeClr val="tx1"/>
              </a:solidFill>
            </a:ln>
            <a:effectLst/>
          </c:spPr>
          <c:invertIfNegative val="0"/>
          <c:val>
            <c:numLit>
              <c:formatCode>General</c:formatCode>
              <c:ptCount val="1"/>
              <c:pt idx="0">
                <c:v>1</c:v>
              </c:pt>
            </c:numLit>
          </c:val>
          <c:extLst>
            <c:ext xmlns:c16="http://schemas.microsoft.com/office/drawing/2014/chart" uri="{C3380CC4-5D6E-409C-BE32-E72D297353CC}">
              <c16:uniqueId val="{000000B1-80D1-0C4C-A007-05987791E9A3}"/>
            </c:ext>
          </c:extLst>
        </c:ser>
        <c:ser>
          <c:idx val="12"/>
          <c:order val="12"/>
          <c:tx>
            <c:v>SFA Oil + β-carotene + BHT</c:v>
          </c:tx>
          <c:spPr>
            <a:solidFill>
              <a:srgbClr val="78DEFF"/>
            </a:solidFill>
            <a:ln>
              <a:solidFill>
                <a:schemeClr val="tx1"/>
              </a:solidFill>
            </a:ln>
            <a:effectLst/>
          </c:spPr>
          <c:invertIfNegative val="0"/>
          <c:val>
            <c:numLit>
              <c:formatCode>General</c:formatCode>
              <c:ptCount val="1"/>
              <c:pt idx="0">
                <c:v>1</c:v>
              </c:pt>
            </c:numLit>
          </c:val>
          <c:extLst>
            <c:ext xmlns:c16="http://schemas.microsoft.com/office/drawing/2014/chart" uri="{C3380CC4-5D6E-409C-BE32-E72D297353CC}">
              <c16:uniqueId val="{000000B2-80D1-0C4C-A007-05987791E9A3}"/>
            </c:ext>
          </c:extLst>
        </c:ser>
        <c:ser>
          <c:idx val="13"/>
          <c:order val="13"/>
          <c:tx>
            <c:v>PUFA, MUFA e SFA Crude oil </c:v>
          </c:tx>
          <c:spPr>
            <a:solidFill>
              <a:srgbClr val="E2DE01"/>
            </a:solidFill>
            <a:ln>
              <a:solidFill>
                <a:schemeClr val="tx1"/>
              </a:solidFill>
            </a:ln>
            <a:effectLst/>
          </c:spPr>
          <c:invertIfNegative val="0"/>
          <c:val>
            <c:numLit>
              <c:formatCode>General</c:formatCode>
              <c:ptCount val="1"/>
              <c:pt idx="0">
                <c:v>1</c:v>
              </c:pt>
            </c:numLit>
          </c:val>
          <c:extLst>
            <c:ext xmlns:c16="http://schemas.microsoft.com/office/drawing/2014/chart" uri="{C3380CC4-5D6E-409C-BE32-E72D297353CC}">
              <c16:uniqueId val="{000000B3-80D1-0C4C-A007-05987791E9A3}"/>
            </c:ext>
          </c:extLst>
        </c:ser>
        <c:dLbls>
          <c:showLegendKey val="0"/>
          <c:showVal val="0"/>
          <c:showCatName val="0"/>
          <c:showSerName val="0"/>
          <c:showPercent val="0"/>
          <c:showBubbleSize val="0"/>
        </c:dLbls>
        <c:gapWidth val="0"/>
        <c:overlap val="100"/>
        <c:axId val="606158576"/>
        <c:axId val="606160304"/>
      </c:barChart>
      <c:dateAx>
        <c:axId val="606158576"/>
        <c:scaling>
          <c:orientation val="minMax"/>
        </c:scaling>
        <c:delete val="1"/>
        <c:axPos val="b"/>
        <c:numFmt formatCode="General" sourceLinked="1"/>
        <c:majorTickMark val="out"/>
        <c:minorTickMark val="none"/>
        <c:tickLblPos val="nextTo"/>
        <c:crossAx val="606160304"/>
        <c:crossesAt val="0"/>
        <c:auto val="0"/>
        <c:lblOffset val="100"/>
        <c:baseTimeUnit val="days"/>
        <c:minorUnit val="1"/>
      </c:dateAx>
      <c:valAx>
        <c:axId val="606160304"/>
        <c:scaling>
          <c:orientation val="minMax"/>
          <c:max val="7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r>
                  <a:rPr lang="it-IT" sz="900" baseline="0">
                    <a:solidFill>
                      <a:schemeClr val="tx1"/>
                    </a:solidFill>
                    <a:latin typeface="Arial" panose="020B0604020202020204" pitchFamily="34" charset="0"/>
                    <a:cs typeface="Arial" panose="020B0604020202020204" pitchFamily="34" charset="0"/>
                  </a:rPr>
                  <a:t>Fatty acids %</a:t>
                </a:r>
                <a:endParaRPr lang="it-IT" sz="900">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06158576"/>
        <c:crosses val="autoZero"/>
        <c:crossBetween val="between"/>
      </c:valAx>
      <c:spPr>
        <a:noFill/>
        <a:ln w="9525">
          <a:solidFill>
            <a:schemeClr val="tx1"/>
          </a:solidFill>
        </a:ln>
        <a:effectLst/>
      </c:spPr>
    </c:plotArea>
    <c:legend>
      <c:legendPos val="r"/>
      <c:legendEntry>
        <c:idx val="0"/>
        <c:delete val="1"/>
      </c:legendEntry>
      <c:layout>
        <c:manualLayout>
          <c:xMode val="edge"/>
          <c:yMode val="edge"/>
          <c:x val="0.79946955121698993"/>
          <c:y val="0.24069656544039825"/>
          <c:w val="0.19588150861728826"/>
          <c:h val="0.72068819130252737"/>
        </c:manualLayout>
      </c:layout>
      <c:overlay val="0"/>
      <c:spPr>
        <a:noFill/>
        <a:ln>
          <a:noFill/>
        </a:ln>
        <a:effectLst/>
      </c:spPr>
      <c:txPr>
        <a:bodyPr rot="0" spcFirstLastPara="1" vertOverflow="ellipsis" vert="horz" wrap="square" anchor="ctr" anchorCtr="1"/>
        <a:lstStyle/>
        <a:p>
          <a:pPr rtl="0">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it-IT"/>
        </a:p>
      </c:txPr>
    </c:legend>
    <c:plotVisOnly val="1"/>
    <c:dispBlanksAs val="gap"/>
    <c:showDLblsOverMax val="0"/>
  </c:chart>
  <c:spPr>
    <a:solidFill>
      <a:schemeClr val="bg1"/>
    </a:solidFill>
    <a:ln w="9525" cap="flat" cmpd="sng" algn="ctr">
      <a:noFill/>
      <a:round/>
    </a:ln>
    <a:effectLst/>
  </c:spPr>
  <c:txPr>
    <a:bodyPr/>
    <a:lstStyle/>
    <a:p>
      <a:pPr>
        <a:defRPr/>
      </a:pPr>
      <a:endParaRPr lang="it-IT"/>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0.30271</cdr:x>
      <cdr:y>0.92676</cdr:y>
    </cdr:from>
    <cdr:to>
      <cdr:x>0.44086</cdr:x>
      <cdr:y>0.9741</cdr:y>
    </cdr:to>
    <cdr:sp macro="" textlink="">
      <cdr:nvSpPr>
        <cdr:cNvPr id="2" name="CasellaDiTesto 1">
          <a:extLst xmlns:a="http://schemas.openxmlformats.org/drawingml/2006/main">
            <a:ext uri="{FF2B5EF4-FFF2-40B4-BE49-F238E27FC236}">
              <a16:creationId xmlns:a16="http://schemas.microsoft.com/office/drawing/2014/main" id="{636BC80D-4CD0-94BE-C1D8-50400FE349B0}"/>
            </a:ext>
          </a:extLst>
        </cdr:cNvPr>
        <cdr:cNvSpPr txBox="1"/>
      </cdr:nvSpPr>
      <cdr:spPr>
        <a:xfrm xmlns:a="http://schemas.openxmlformats.org/drawingml/2006/main">
          <a:off x="3155497" y="5549900"/>
          <a:ext cx="1440089" cy="28348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it-IT" sz="1100" kern="1200"/>
        </a:p>
      </cdr:txBody>
    </cdr:sp>
  </cdr:relSizeAnchor>
</c:userShapes>
</file>

<file path=word/drawings/drawing2.xml><?xml version="1.0" encoding="utf-8"?>
<c:userShapes xmlns:c="http://schemas.openxmlformats.org/drawingml/2006/chart">
  <cdr:relSizeAnchor xmlns:cdr="http://schemas.openxmlformats.org/drawingml/2006/chartDrawing">
    <cdr:from>
      <cdr:x>0.30271</cdr:x>
      <cdr:y>0.92676</cdr:y>
    </cdr:from>
    <cdr:to>
      <cdr:x>0.44086</cdr:x>
      <cdr:y>0.9741</cdr:y>
    </cdr:to>
    <cdr:sp macro="" textlink="">
      <cdr:nvSpPr>
        <cdr:cNvPr id="2" name="CasellaDiTesto 1">
          <a:extLst xmlns:a="http://schemas.openxmlformats.org/drawingml/2006/main">
            <a:ext uri="{FF2B5EF4-FFF2-40B4-BE49-F238E27FC236}">
              <a16:creationId xmlns:a16="http://schemas.microsoft.com/office/drawing/2014/main" id="{636BC80D-4CD0-94BE-C1D8-50400FE349B0}"/>
            </a:ext>
          </a:extLst>
        </cdr:cNvPr>
        <cdr:cNvSpPr txBox="1"/>
      </cdr:nvSpPr>
      <cdr:spPr>
        <a:xfrm xmlns:a="http://schemas.openxmlformats.org/drawingml/2006/main">
          <a:off x="3155497" y="5549900"/>
          <a:ext cx="1440089" cy="28348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it-IT" sz="1100" kern="1200"/>
        </a:p>
      </cdr:txBody>
    </cdr:sp>
  </cdr:relSizeAnchor>
</c:userShape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6</Pages>
  <Words>3741</Words>
  <Characters>21326</Characters>
  <Application>Microsoft Office Word</Application>
  <DocSecurity>0</DocSecurity>
  <Lines>177</Lines>
  <Paragraphs>50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Madonna Yana (yana.madonna)</cp:lastModifiedBy>
  <cp:revision>50</cp:revision>
  <cp:lastPrinted>2015-05-12T18:31:00Z</cp:lastPrinted>
  <dcterms:created xsi:type="dcterms:W3CDTF">2025-02-25T11:44:00Z</dcterms:created>
  <dcterms:modified xsi:type="dcterms:W3CDTF">2025-05-26T08:15:00Z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