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7F4B14">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hr-HR" w:eastAsia="hr-H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0DAB3DDA"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C24AF1">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hr-HR" w:eastAsia="hr-H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7F4B14">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7F4B14">
        <w:trPr>
          <w:trHeight w:val="68"/>
          <w:jc w:val="center"/>
        </w:trPr>
        <w:tc>
          <w:tcPr>
            <w:tcW w:w="8782" w:type="dxa"/>
            <w:gridSpan w:val="2"/>
          </w:tcPr>
          <w:p w14:paraId="1D8DD3C9" w14:textId="62C05688" w:rsidR="00AA7D26" w:rsidRPr="00A0035F" w:rsidRDefault="00AA7D26" w:rsidP="00AA7D26">
            <w:pPr>
              <w:ind w:left="-107"/>
              <w:outlineLvl w:val="2"/>
              <w:rPr>
                <w:rFonts w:ascii="Tahoma" w:hAnsi="Tahoma" w:cs="Tahoma"/>
                <w:bCs/>
                <w:color w:val="000000"/>
                <w:sz w:val="14"/>
                <w:szCs w:val="14"/>
                <w:lang w:val="it-IT" w:eastAsia="it-IT"/>
              </w:rPr>
            </w:pPr>
            <w:r w:rsidRPr="00A0035F">
              <w:rPr>
                <w:rFonts w:ascii="Tahoma" w:hAnsi="Tahoma" w:cs="Tahoma"/>
                <w:iCs/>
                <w:color w:val="333333"/>
                <w:sz w:val="14"/>
                <w:szCs w:val="14"/>
                <w:lang w:val="it-IT" w:eastAsia="it-IT"/>
              </w:rPr>
              <w:t>Guest Editors:</w:t>
            </w:r>
            <w:r w:rsidRPr="00A0035F">
              <w:rPr>
                <w:rFonts w:ascii="Tahoma" w:hAnsi="Tahoma" w:cs="Tahoma"/>
                <w:color w:val="000000"/>
                <w:sz w:val="14"/>
                <w:szCs w:val="14"/>
                <w:shd w:val="clear" w:color="auto" w:fill="FFFFFF"/>
                <w:lang w:val="it-IT"/>
              </w:rPr>
              <w:t xml:space="preserve"> </w:t>
            </w:r>
            <w:r w:rsidR="00A0035F" w:rsidRPr="005E72C6">
              <w:rPr>
                <w:rFonts w:ascii="Tahoma" w:hAnsi="Tahoma" w:cs="Tahoma"/>
                <w:color w:val="000000"/>
                <w:sz w:val="14"/>
                <w:szCs w:val="14"/>
                <w:shd w:val="clear" w:color="auto" w:fill="FFFFFF"/>
                <w:lang w:val="it-IT"/>
              </w:rPr>
              <w:t>Laura Piazza, Francesco Donsì</w:t>
            </w:r>
            <w:r w:rsidR="005E72C6" w:rsidRPr="005E72C6">
              <w:rPr>
                <w:rFonts w:ascii="Tahoma" w:hAnsi="Tahoma" w:cs="Tahoma"/>
                <w:color w:val="000000"/>
                <w:sz w:val="14"/>
                <w:szCs w:val="14"/>
                <w:shd w:val="clear" w:color="auto" w:fill="FFFFFF"/>
                <w:lang w:val="it-IT"/>
              </w:rPr>
              <w:t>,</w:t>
            </w:r>
            <w:r w:rsidR="00A0035F" w:rsidRPr="005E72C6">
              <w:rPr>
                <w:rFonts w:ascii="Tahoma" w:hAnsi="Tahoma" w:cs="Tahoma"/>
                <w:color w:val="000000"/>
                <w:sz w:val="14"/>
                <w:szCs w:val="14"/>
                <w:shd w:val="clear" w:color="auto" w:fill="FFFFFF"/>
                <w:lang w:val="it-IT"/>
              </w:rPr>
              <w:t xml:space="preserve"> Giorgia Spigno</w:t>
            </w:r>
          </w:p>
          <w:p w14:paraId="1B0F1814" w14:textId="7ED5C28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C24AF1">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3312AE">
              <w:rPr>
                <w:rFonts w:ascii="Tahoma" w:hAnsi="Tahoma" w:cs="Tahoma"/>
                <w:sz w:val="14"/>
                <w:szCs w:val="14"/>
              </w:rPr>
              <w:t>19</w:t>
            </w:r>
            <w:r w:rsidR="00D2582C">
              <w:rPr>
                <w:rFonts w:ascii="Tahoma" w:hAnsi="Tahoma" w:cs="Tahoma"/>
                <w:sz w:val="14"/>
                <w:szCs w:val="14"/>
              </w:rPr>
              <w:t>-</w:t>
            </w:r>
            <w:r w:rsidR="003312AE">
              <w:rPr>
                <w:rFonts w:ascii="Tahoma" w:hAnsi="Tahoma" w:cs="Tahoma"/>
                <w:sz w:val="14"/>
                <w:szCs w:val="14"/>
              </w:rPr>
              <w:t>9</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7E24214D" w14:textId="30365A35" w:rsidR="007F4B14" w:rsidRPr="002F46E3" w:rsidRDefault="007F4B14" w:rsidP="00B57E6F">
      <w:pPr>
        <w:pStyle w:val="CETAuthors"/>
        <w:rPr>
          <w:noProof w:val="0"/>
          <w:sz w:val="32"/>
        </w:rPr>
      </w:pPr>
      <w:r w:rsidRPr="002F46E3">
        <w:rPr>
          <w:noProof w:val="0"/>
          <w:sz w:val="32"/>
        </w:rPr>
        <w:t>Influence of Phenylalanine and Chitosan Edible Coatings on the Metabolism of Mandarin 'Chahara' – Impact on Bioactive Compounds, Organic Acids and Enzymatic Activity</w:t>
      </w:r>
    </w:p>
    <w:p w14:paraId="630806EB" w14:textId="158A9E93" w:rsidR="007F4B14" w:rsidRPr="002F46E3" w:rsidRDefault="007F4B14" w:rsidP="00B57E6F">
      <w:pPr>
        <w:pStyle w:val="CETAuthors"/>
      </w:pPr>
      <w:r w:rsidRPr="002F46E3">
        <w:t>Marina Jurić</w:t>
      </w:r>
      <w:r w:rsidRPr="002F46E3">
        <w:rPr>
          <w:vertAlign w:val="superscript"/>
        </w:rPr>
        <w:t>a</w:t>
      </w:r>
      <w:r w:rsidRPr="002F46E3">
        <w:t>, Luna Maslov Bandić</w:t>
      </w:r>
      <w:r w:rsidRPr="002F46E3">
        <w:rPr>
          <w:vertAlign w:val="superscript"/>
        </w:rPr>
        <w:t>b</w:t>
      </w:r>
      <w:r w:rsidRPr="002F46E3">
        <w:t>, Marko Vuković</w:t>
      </w:r>
      <w:r w:rsidRPr="002F46E3">
        <w:rPr>
          <w:vertAlign w:val="superscript"/>
        </w:rPr>
        <w:t>c</w:t>
      </w:r>
      <w:r w:rsidRPr="002F46E3">
        <w:t>, Francesco Donsì</w:t>
      </w:r>
      <w:r w:rsidRPr="002F46E3">
        <w:rPr>
          <w:vertAlign w:val="superscript"/>
        </w:rPr>
        <w:t>d</w:t>
      </w:r>
      <w:r w:rsidRPr="002F46E3">
        <w:t>, Kristina Radić</w:t>
      </w:r>
      <w:r w:rsidRPr="002F46E3">
        <w:rPr>
          <w:vertAlign w:val="superscript"/>
        </w:rPr>
        <w:t>a</w:t>
      </w:r>
      <w:r w:rsidRPr="002F46E3">
        <w:t>, Slaven Jurić</w:t>
      </w:r>
      <w:r w:rsidRPr="002F46E3">
        <w:rPr>
          <w:vertAlign w:val="superscript"/>
        </w:rPr>
        <w:t>b,</w:t>
      </w:r>
      <w:r w:rsidRPr="002F46E3">
        <w:t>*</w:t>
      </w:r>
    </w:p>
    <w:p w14:paraId="5B9C2C9D" w14:textId="6D0FCBE5" w:rsidR="007F4B14" w:rsidRPr="002F46E3" w:rsidRDefault="00B57E6F" w:rsidP="007F4B14">
      <w:pPr>
        <w:pStyle w:val="CETAddress"/>
      </w:pPr>
      <w:r w:rsidRPr="002F46E3">
        <w:rPr>
          <w:vertAlign w:val="superscript"/>
        </w:rPr>
        <w:t>a</w:t>
      </w:r>
      <w:r w:rsidR="007F4B14" w:rsidRPr="002F46E3">
        <w:t>University of Zagreb Faculty of Pharmacy and Biochemistry, Department of Nutrition and Dietetics, Zagreb, Croatia</w:t>
      </w:r>
    </w:p>
    <w:p w14:paraId="11687C03" w14:textId="49DA40C8" w:rsidR="007F4B14" w:rsidRPr="002F46E3" w:rsidRDefault="007F4B14" w:rsidP="007F4B14">
      <w:pPr>
        <w:pStyle w:val="CETAddress"/>
      </w:pPr>
      <w:r w:rsidRPr="002F46E3">
        <w:rPr>
          <w:vertAlign w:val="superscript"/>
        </w:rPr>
        <w:t>b</w:t>
      </w:r>
      <w:r w:rsidRPr="002F46E3">
        <w:t>University of Zagreb Faculty of Agriculture, Department of Chemistry, Zagreb, Croatia</w:t>
      </w:r>
    </w:p>
    <w:p w14:paraId="706A2959" w14:textId="650C7821" w:rsidR="007F4B14" w:rsidRPr="002F46E3" w:rsidRDefault="007F4B14" w:rsidP="007F4B14">
      <w:pPr>
        <w:pStyle w:val="CETAddress"/>
      </w:pPr>
      <w:r w:rsidRPr="002F46E3">
        <w:rPr>
          <w:vertAlign w:val="superscript"/>
        </w:rPr>
        <w:t>c</w:t>
      </w:r>
      <w:r w:rsidRPr="002F46E3">
        <w:t>University of Zagreb Faculty of Agriculture, Department of Pomology, Zagreb, Croatia</w:t>
      </w:r>
    </w:p>
    <w:p w14:paraId="049BAEC3" w14:textId="2A696421" w:rsidR="007F4B14" w:rsidRPr="002F46E3" w:rsidRDefault="007F4B14" w:rsidP="007F4B14">
      <w:pPr>
        <w:pStyle w:val="CETAddress"/>
      </w:pPr>
      <w:r w:rsidRPr="002F46E3">
        <w:rPr>
          <w:vertAlign w:val="superscript"/>
        </w:rPr>
        <w:t>d</w:t>
      </w:r>
      <w:r w:rsidRPr="002F46E3">
        <w:t>University of Salerno Department of Industrial Engineering, Fisciano, Italy</w:t>
      </w:r>
    </w:p>
    <w:p w14:paraId="325C1225" w14:textId="7A39B423" w:rsidR="00681460" w:rsidRPr="002F46E3" w:rsidRDefault="007F4B14" w:rsidP="00681460">
      <w:pPr>
        <w:pStyle w:val="CETemail"/>
      </w:pPr>
      <w:r w:rsidRPr="002F46E3">
        <w:t xml:space="preserve">*Corresponding author: </w:t>
      </w:r>
      <w:hyperlink r:id="rId10" w:history="1">
        <w:r w:rsidRPr="002F46E3">
          <w:rPr>
            <w:rStyle w:val="Hyperlink"/>
          </w:rPr>
          <w:t>sjuric@agr.unizg.hr</w:t>
        </w:r>
      </w:hyperlink>
      <w:r w:rsidRPr="002F46E3">
        <w:t xml:space="preserve"> </w:t>
      </w:r>
    </w:p>
    <w:p w14:paraId="5B650563" w14:textId="62AEC06F" w:rsidR="007F4B14" w:rsidRPr="002F46E3" w:rsidRDefault="007F4B14" w:rsidP="00600535">
      <w:pPr>
        <w:pStyle w:val="CETBodytext"/>
        <w:rPr>
          <w:lang w:val="en-GB"/>
        </w:rPr>
      </w:pPr>
      <w:bookmarkStart w:id="0" w:name="_Hlk495475023"/>
      <w:r w:rsidRPr="002F46E3">
        <w:rPr>
          <w:lang w:val="en-GB"/>
        </w:rPr>
        <w:t>Satsuma mandarins (</w:t>
      </w:r>
      <w:r w:rsidRPr="002F46E3">
        <w:rPr>
          <w:i/>
          <w:iCs/>
          <w:lang w:val="en-GB"/>
        </w:rPr>
        <w:t xml:space="preserve">Citrus </w:t>
      </w:r>
      <w:proofErr w:type="spellStart"/>
      <w:r w:rsidRPr="002F46E3">
        <w:rPr>
          <w:i/>
          <w:iCs/>
          <w:lang w:val="en-GB"/>
        </w:rPr>
        <w:t>unshiu</w:t>
      </w:r>
      <w:proofErr w:type="spellEnd"/>
      <w:r w:rsidRPr="002F46E3">
        <w:rPr>
          <w:lang w:val="en-GB"/>
        </w:rPr>
        <w:t xml:space="preserve"> Marc.) are </w:t>
      </w:r>
      <w:r w:rsidR="009B14DA" w:rsidRPr="002F46E3">
        <w:rPr>
          <w:lang w:val="en-GB"/>
        </w:rPr>
        <w:t xml:space="preserve">renowned </w:t>
      </w:r>
      <w:r w:rsidRPr="002F46E3">
        <w:rPr>
          <w:lang w:val="en-GB"/>
        </w:rPr>
        <w:t xml:space="preserve">for their delicate taste, distinct </w:t>
      </w:r>
      <w:proofErr w:type="spellStart"/>
      <w:r w:rsidRPr="002F46E3">
        <w:rPr>
          <w:lang w:val="en-GB"/>
        </w:rPr>
        <w:t>flavor</w:t>
      </w:r>
      <w:proofErr w:type="spellEnd"/>
      <w:r w:rsidRPr="002F46E3">
        <w:rPr>
          <w:lang w:val="en-GB"/>
        </w:rPr>
        <w:t xml:space="preserve"> and high nutritional value. </w:t>
      </w:r>
      <w:r w:rsidR="009B14DA" w:rsidRPr="002F46E3">
        <w:rPr>
          <w:lang w:val="en-GB"/>
        </w:rPr>
        <w:t>However, their perishable nature necessitates innovative preservation methods. Edible coatings have shown promise in improving fruit quality and extending shelf life, but</w:t>
      </w:r>
      <w:r w:rsidR="009B14DA" w:rsidRPr="002F46E3" w:rsidDel="00C628C0">
        <w:rPr>
          <w:lang w:val="en-GB"/>
        </w:rPr>
        <w:t xml:space="preserve"> </w:t>
      </w:r>
      <w:r w:rsidRPr="002F46E3">
        <w:rPr>
          <w:lang w:val="en-GB"/>
        </w:rPr>
        <w:t>the</w:t>
      </w:r>
      <w:r w:rsidR="009B14DA" w:rsidRPr="002F46E3">
        <w:rPr>
          <w:lang w:val="en-GB"/>
        </w:rPr>
        <w:t>ir</w:t>
      </w:r>
      <w:r w:rsidRPr="002F46E3">
        <w:rPr>
          <w:lang w:val="en-GB"/>
        </w:rPr>
        <w:t xml:space="preserve"> metabolic effect</w:t>
      </w:r>
      <w:r w:rsidR="009B14DA" w:rsidRPr="002F46E3">
        <w:rPr>
          <w:lang w:val="en-GB"/>
        </w:rPr>
        <w:t>s</w:t>
      </w:r>
      <w:r w:rsidRPr="002F46E3">
        <w:rPr>
          <w:lang w:val="en-GB"/>
        </w:rPr>
        <w:t xml:space="preserve"> remain </w:t>
      </w:r>
      <w:r w:rsidR="009B14DA" w:rsidRPr="002F46E3">
        <w:rPr>
          <w:lang w:val="en-GB"/>
        </w:rPr>
        <w:t xml:space="preserve">poorly </w:t>
      </w:r>
      <w:r w:rsidRPr="002F46E3">
        <w:rPr>
          <w:lang w:val="en-GB"/>
        </w:rPr>
        <w:t xml:space="preserve">understood. This study </w:t>
      </w:r>
      <w:r w:rsidR="009B14DA" w:rsidRPr="002F46E3">
        <w:rPr>
          <w:lang w:val="en-GB"/>
        </w:rPr>
        <w:t xml:space="preserve">investigates </w:t>
      </w:r>
      <w:r w:rsidRPr="002F46E3">
        <w:rPr>
          <w:lang w:val="en-GB"/>
        </w:rPr>
        <w:t xml:space="preserve">the impact of </w:t>
      </w:r>
      <w:r w:rsidR="002F1311" w:rsidRPr="002F46E3">
        <w:rPr>
          <w:lang w:val="en-GB"/>
        </w:rPr>
        <w:t xml:space="preserve">coatings prepared </w:t>
      </w:r>
      <w:r w:rsidR="00C628C0" w:rsidRPr="002F46E3">
        <w:rPr>
          <w:lang w:val="en-GB"/>
        </w:rPr>
        <w:t xml:space="preserve">with </w:t>
      </w:r>
      <w:r w:rsidR="009E0284">
        <w:rPr>
          <w:lang w:val="en-GB"/>
        </w:rPr>
        <w:t>C</w:t>
      </w:r>
      <w:r w:rsidRPr="002F46E3">
        <w:rPr>
          <w:lang w:val="en-GB"/>
        </w:rPr>
        <w:t>hitosan</w:t>
      </w:r>
      <w:r w:rsidR="0043334A" w:rsidRPr="002F46E3">
        <w:rPr>
          <w:lang w:val="en-GB"/>
        </w:rPr>
        <w:t xml:space="preserve">, </w:t>
      </w:r>
      <w:r w:rsidRPr="002F46E3">
        <w:rPr>
          <w:lang w:val="en-GB"/>
        </w:rPr>
        <w:t xml:space="preserve">and a combination of </w:t>
      </w:r>
      <w:r w:rsidR="009B14DA" w:rsidRPr="002F46E3">
        <w:rPr>
          <w:lang w:val="en-GB"/>
        </w:rPr>
        <w:t>c</w:t>
      </w:r>
      <w:r w:rsidR="00C628C0" w:rsidRPr="002F46E3">
        <w:rPr>
          <w:lang w:val="en-GB"/>
        </w:rPr>
        <w:t xml:space="preserve">hitosan and </w:t>
      </w:r>
      <w:r w:rsidR="009C669F" w:rsidRPr="002F46E3">
        <w:rPr>
          <w:lang w:val="en-GB"/>
        </w:rPr>
        <w:t xml:space="preserve">phenylalanine </w:t>
      </w:r>
      <w:r w:rsidR="0043334A" w:rsidRPr="002F46E3">
        <w:rPr>
          <w:lang w:val="en-GB"/>
        </w:rPr>
        <w:t>(</w:t>
      </w:r>
      <w:r w:rsidRPr="002F46E3">
        <w:rPr>
          <w:lang w:val="en-GB"/>
        </w:rPr>
        <w:t>Chitosan/</w:t>
      </w:r>
      <w:proofErr w:type="spellStart"/>
      <w:r w:rsidRPr="002F46E3">
        <w:rPr>
          <w:lang w:val="en-GB"/>
        </w:rPr>
        <w:t>Phe</w:t>
      </w:r>
      <w:proofErr w:type="spellEnd"/>
      <w:r w:rsidR="0043334A" w:rsidRPr="002F46E3">
        <w:rPr>
          <w:lang w:val="en-GB"/>
        </w:rPr>
        <w:t>)</w:t>
      </w:r>
      <w:r w:rsidR="009C669F" w:rsidRPr="002F46E3">
        <w:rPr>
          <w:lang w:val="en-GB"/>
        </w:rPr>
        <w:t>, compar</w:t>
      </w:r>
      <w:r w:rsidR="009B14DA" w:rsidRPr="002F46E3">
        <w:rPr>
          <w:lang w:val="en-GB"/>
        </w:rPr>
        <w:t>ed</w:t>
      </w:r>
      <w:r w:rsidR="009C669F" w:rsidRPr="002F46E3">
        <w:rPr>
          <w:lang w:val="en-GB"/>
        </w:rPr>
        <w:t xml:space="preserve"> </w:t>
      </w:r>
      <w:r w:rsidR="009B14DA" w:rsidRPr="002F46E3">
        <w:rPr>
          <w:lang w:val="en-GB"/>
        </w:rPr>
        <w:t xml:space="preserve">to </w:t>
      </w:r>
      <w:r w:rsidR="009C669F" w:rsidRPr="002F46E3">
        <w:rPr>
          <w:lang w:val="en-GB"/>
        </w:rPr>
        <w:t xml:space="preserve">the use of a </w:t>
      </w:r>
      <w:r w:rsidR="00C628C0" w:rsidRPr="002F46E3">
        <w:rPr>
          <w:lang w:val="en-GB"/>
        </w:rPr>
        <w:t xml:space="preserve">phenylalanine </w:t>
      </w:r>
      <w:r w:rsidR="009B14DA" w:rsidRPr="002F46E3">
        <w:rPr>
          <w:lang w:val="en-GB"/>
        </w:rPr>
        <w:t xml:space="preserve">dipping solution </w:t>
      </w:r>
      <w:r w:rsidR="00C628C0" w:rsidRPr="002F46E3">
        <w:rPr>
          <w:lang w:val="en-GB"/>
        </w:rPr>
        <w:t>(</w:t>
      </w:r>
      <w:proofErr w:type="spellStart"/>
      <w:r w:rsidR="00C628C0" w:rsidRPr="002F46E3">
        <w:rPr>
          <w:lang w:val="en-GB"/>
        </w:rPr>
        <w:t>Phe</w:t>
      </w:r>
      <w:proofErr w:type="spellEnd"/>
      <w:r w:rsidR="00C628C0" w:rsidRPr="002F46E3">
        <w:rPr>
          <w:lang w:val="en-GB"/>
        </w:rPr>
        <w:t>)</w:t>
      </w:r>
      <w:r w:rsidR="009C669F" w:rsidRPr="002F46E3">
        <w:rPr>
          <w:lang w:val="en-GB"/>
        </w:rPr>
        <w:t xml:space="preserve">, </w:t>
      </w:r>
      <w:r w:rsidRPr="002F46E3">
        <w:rPr>
          <w:lang w:val="en-GB"/>
        </w:rPr>
        <w:t xml:space="preserve">on </w:t>
      </w:r>
      <w:r w:rsidR="009B14DA" w:rsidRPr="002F46E3">
        <w:rPr>
          <w:lang w:val="en-GB"/>
        </w:rPr>
        <w:t xml:space="preserve">mandarin </w:t>
      </w:r>
      <w:r w:rsidRPr="002F46E3">
        <w:rPr>
          <w:lang w:val="en-GB"/>
        </w:rPr>
        <w:t xml:space="preserve">metabolism during </w:t>
      </w:r>
      <w:r w:rsidR="009B14DA" w:rsidRPr="002F46E3">
        <w:rPr>
          <w:lang w:val="en-GB"/>
        </w:rPr>
        <w:t xml:space="preserve">21 days of </w:t>
      </w:r>
      <w:r w:rsidRPr="002F46E3">
        <w:rPr>
          <w:lang w:val="en-GB"/>
        </w:rPr>
        <w:t xml:space="preserve">cold storage. </w:t>
      </w:r>
      <w:r w:rsidR="009B14DA" w:rsidRPr="002F46E3">
        <w:rPr>
          <w:lang w:val="en-GB"/>
        </w:rPr>
        <w:t xml:space="preserve">The analysis included </w:t>
      </w:r>
      <w:r w:rsidRPr="002F46E3">
        <w:rPr>
          <w:lang w:val="en-GB"/>
        </w:rPr>
        <w:t xml:space="preserve">total polyphenolic </w:t>
      </w:r>
      <w:r w:rsidR="009B14DA" w:rsidRPr="002F46E3">
        <w:rPr>
          <w:lang w:val="en-GB"/>
        </w:rPr>
        <w:t xml:space="preserve">and </w:t>
      </w:r>
      <w:r w:rsidRPr="002F46E3">
        <w:rPr>
          <w:lang w:val="en-GB"/>
        </w:rPr>
        <w:t>total flavonoid content, antioxidant activity, total proteins</w:t>
      </w:r>
      <w:r w:rsidR="009B14DA" w:rsidRPr="002F46E3">
        <w:rPr>
          <w:lang w:val="en-GB"/>
        </w:rPr>
        <w:t>,</w:t>
      </w:r>
      <w:r w:rsidRPr="002F46E3">
        <w:rPr>
          <w:lang w:val="en-GB"/>
        </w:rPr>
        <w:t xml:space="preserve"> and organic acids</w:t>
      </w:r>
      <w:r w:rsidR="009B14DA" w:rsidRPr="002F46E3">
        <w:rPr>
          <w:lang w:val="en-GB"/>
        </w:rPr>
        <w:t xml:space="preserve"> in mandarin </w:t>
      </w:r>
      <w:r w:rsidR="00551A7F">
        <w:rPr>
          <w:lang w:val="en-GB"/>
        </w:rPr>
        <w:t>fruit</w:t>
      </w:r>
      <w:r w:rsidR="00964B90">
        <w:rPr>
          <w:lang w:val="en-GB"/>
        </w:rPr>
        <w:t>.</w:t>
      </w:r>
      <w:r w:rsidRPr="002F46E3">
        <w:rPr>
          <w:lang w:val="en-GB"/>
        </w:rPr>
        <w:t xml:space="preserve"> </w:t>
      </w:r>
      <w:r w:rsidR="009B14DA" w:rsidRPr="002F46E3">
        <w:rPr>
          <w:lang w:val="en-GB"/>
        </w:rPr>
        <w:t>E</w:t>
      </w:r>
      <w:r w:rsidR="009C669F" w:rsidRPr="002F46E3">
        <w:rPr>
          <w:lang w:val="en-GB"/>
        </w:rPr>
        <w:t xml:space="preserve">nzymatic </w:t>
      </w:r>
      <w:r w:rsidRPr="002F46E3">
        <w:rPr>
          <w:lang w:val="en-GB"/>
        </w:rPr>
        <w:t xml:space="preserve">activity and malondialdehyde levels were </w:t>
      </w:r>
      <w:r w:rsidR="009B14DA" w:rsidRPr="002F46E3">
        <w:rPr>
          <w:lang w:val="en-GB"/>
        </w:rPr>
        <w:t xml:space="preserve">also assessed </w:t>
      </w:r>
      <w:r w:rsidR="009C669F" w:rsidRPr="002F46E3">
        <w:rPr>
          <w:lang w:val="en-GB"/>
        </w:rPr>
        <w:t>in mandarin peels</w:t>
      </w:r>
      <w:r w:rsidRPr="002F46E3">
        <w:rPr>
          <w:lang w:val="en-GB"/>
        </w:rPr>
        <w:t xml:space="preserve">. </w:t>
      </w:r>
      <w:r w:rsidR="00F51971" w:rsidRPr="002F46E3">
        <w:rPr>
          <w:lang w:val="en-GB"/>
        </w:rPr>
        <w:t>S</w:t>
      </w:r>
      <w:r w:rsidRPr="002F46E3">
        <w:rPr>
          <w:lang w:val="en-GB"/>
        </w:rPr>
        <w:t xml:space="preserve">ignificant differences </w:t>
      </w:r>
      <w:r w:rsidR="009C669F" w:rsidRPr="002F46E3">
        <w:rPr>
          <w:lang w:val="en-GB"/>
        </w:rPr>
        <w:t xml:space="preserve">were observed </w:t>
      </w:r>
      <w:r w:rsidR="009B14DA" w:rsidRPr="002F46E3">
        <w:rPr>
          <w:lang w:val="en-GB"/>
        </w:rPr>
        <w:t xml:space="preserve">among treatments regarding </w:t>
      </w:r>
      <w:r w:rsidRPr="002F46E3">
        <w:rPr>
          <w:lang w:val="en-GB"/>
        </w:rPr>
        <w:t>bioactive compound</w:t>
      </w:r>
      <w:r w:rsidR="009B14DA" w:rsidRPr="002F46E3">
        <w:rPr>
          <w:lang w:val="en-GB"/>
        </w:rPr>
        <w:t>s,</w:t>
      </w:r>
      <w:r w:rsidRPr="002F46E3">
        <w:rPr>
          <w:lang w:val="en-GB"/>
        </w:rPr>
        <w:t xml:space="preserve"> </w:t>
      </w:r>
      <w:r w:rsidR="00964B90">
        <w:rPr>
          <w:lang w:val="en-GB"/>
        </w:rPr>
        <w:t xml:space="preserve">organic acids, </w:t>
      </w:r>
      <w:r w:rsidRPr="002F46E3">
        <w:rPr>
          <w:lang w:val="en-GB"/>
        </w:rPr>
        <w:t xml:space="preserve">enzymatic activity, and </w:t>
      </w:r>
      <w:r w:rsidR="00AC7594" w:rsidRPr="002F46E3">
        <w:rPr>
          <w:lang w:val="en-GB"/>
        </w:rPr>
        <w:t>malondialdehyde</w:t>
      </w:r>
      <w:r w:rsidRPr="002F46E3">
        <w:rPr>
          <w:lang w:val="en-GB"/>
        </w:rPr>
        <w:t xml:space="preserve"> levels. </w:t>
      </w:r>
      <w:r w:rsidR="009B14DA" w:rsidRPr="002F46E3">
        <w:rPr>
          <w:lang w:val="en-GB"/>
        </w:rPr>
        <w:t xml:space="preserve">Notably, </w:t>
      </w:r>
      <w:proofErr w:type="spellStart"/>
      <w:r w:rsidR="009B14DA" w:rsidRPr="002F46E3">
        <w:rPr>
          <w:lang w:val="en-GB"/>
        </w:rPr>
        <w:t>Phe</w:t>
      </w:r>
      <w:proofErr w:type="spellEnd"/>
      <w:r w:rsidR="009B14DA" w:rsidRPr="002F46E3">
        <w:rPr>
          <w:lang w:val="en-GB"/>
        </w:rPr>
        <w:t xml:space="preserve">-treated </w:t>
      </w:r>
      <w:r w:rsidRPr="002F46E3">
        <w:rPr>
          <w:lang w:val="en-GB"/>
        </w:rPr>
        <w:t>mandarins showed increase</w:t>
      </w:r>
      <w:r w:rsidR="009B14DA" w:rsidRPr="002F46E3">
        <w:rPr>
          <w:lang w:val="en-GB"/>
        </w:rPr>
        <w:t>d</w:t>
      </w:r>
      <w:r w:rsidRPr="002F46E3">
        <w:rPr>
          <w:lang w:val="en-GB"/>
        </w:rPr>
        <w:t xml:space="preserve"> </w:t>
      </w:r>
      <w:r w:rsidR="00AC7594" w:rsidRPr="002F46E3">
        <w:rPr>
          <w:lang w:val="en-GB"/>
        </w:rPr>
        <w:t>bioactive compounds</w:t>
      </w:r>
      <w:r w:rsidR="0043334A" w:rsidRPr="002F46E3">
        <w:rPr>
          <w:lang w:val="en-GB"/>
        </w:rPr>
        <w:t xml:space="preserve"> and organic acids content</w:t>
      </w:r>
      <w:r w:rsidR="00AC7594" w:rsidRPr="002F46E3">
        <w:rPr>
          <w:lang w:val="en-GB"/>
        </w:rPr>
        <w:t xml:space="preserve">, </w:t>
      </w:r>
      <w:r w:rsidR="0043334A" w:rsidRPr="002F46E3">
        <w:rPr>
          <w:lang w:val="en-GB"/>
        </w:rPr>
        <w:t xml:space="preserve">as well as </w:t>
      </w:r>
      <w:r w:rsidR="00AC7594" w:rsidRPr="002F46E3">
        <w:rPr>
          <w:lang w:val="en-GB"/>
        </w:rPr>
        <w:t>antioxidant activity</w:t>
      </w:r>
      <w:r w:rsidR="009B14DA" w:rsidRPr="002F46E3">
        <w:rPr>
          <w:lang w:val="en-GB"/>
        </w:rPr>
        <w:t>, compared to the control</w:t>
      </w:r>
      <w:r w:rsidRPr="002F46E3">
        <w:rPr>
          <w:lang w:val="en-GB"/>
        </w:rPr>
        <w:t>.</w:t>
      </w:r>
      <w:r w:rsidR="00F51971" w:rsidRPr="002F46E3">
        <w:rPr>
          <w:lang w:val="en-GB"/>
        </w:rPr>
        <w:t xml:space="preserve"> </w:t>
      </w:r>
      <w:r w:rsidRPr="002F46E3">
        <w:rPr>
          <w:lang w:val="en-GB"/>
        </w:rPr>
        <w:t>Chitosan or Chitosan/</w:t>
      </w:r>
      <w:proofErr w:type="spellStart"/>
      <w:r w:rsidRPr="002F46E3">
        <w:rPr>
          <w:lang w:val="en-GB"/>
        </w:rPr>
        <w:t>Phe</w:t>
      </w:r>
      <w:proofErr w:type="spellEnd"/>
      <w:r w:rsidRPr="002F46E3">
        <w:rPr>
          <w:lang w:val="en-GB"/>
        </w:rPr>
        <w:t xml:space="preserve"> </w:t>
      </w:r>
      <w:r w:rsidR="00514902" w:rsidRPr="002F46E3">
        <w:rPr>
          <w:lang w:val="en-GB"/>
        </w:rPr>
        <w:t xml:space="preserve">coatings </w:t>
      </w:r>
      <w:r w:rsidRPr="002F46E3">
        <w:rPr>
          <w:lang w:val="en-GB"/>
        </w:rPr>
        <w:t xml:space="preserve">resulted in the highest polyphenol oxidase and catalase activity, while </w:t>
      </w:r>
      <w:proofErr w:type="spellStart"/>
      <w:r w:rsidRPr="002F46E3">
        <w:rPr>
          <w:lang w:val="en-GB"/>
        </w:rPr>
        <w:t>Phe</w:t>
      </w:r>
      <w:proofErr w:type="spellEnd"/>
      <w:r w:rsidRPr="002F46E3">
        <w:rPr>
          <w:lang w:val="en-GB"/>
        </w:rPr>
        <w:t xml:space="preserve"> and Chitosan </w:t>
      </w:r>
      <w:r w:rsidR="00514902" w:rsidRPr="002F46E3">
        <w:rPr>
          <w:lang w:val="en-GB"/>
        </w:rPr>
        <w:t xml:space="preserve">treatments </w:t>
      </w:r>
      <w:r w:rsidRPr="002F46E3">
        <w:rPr>
          <w:lang w:val="en-GB"/>
        </w:rPr>
        <w:t xml:space="preserve">resulted in the lowest malondialdehyde levels at the end of the storage period. These findings highlight the potential of </w:t>
      </w:r>
      <w:proofErr w:type="spellStart"/>
      <w:r w:rsidRPr="002F46E3">
        <w:rPr>
          <w:lang w:val="en-GB"/>
        </w:rPr>
        <w:t>Phe</w:t>
      </w:r>
      <w:proofErr w:type="spellEnd"/>
      <w:r w:rsidRPr="002F46E3">
        <w:rPr>
          <w:lang w:val="en-GB"/>
        </w:rPr>
        <w:t xml:space="preserve"> and </w:t>
      </w:r>
      <w:r w:rsidR="009B14DA" w:rsidRPr="002F46E3">
        <w:rPr>
          <w:lang w:val="en-GB"/>
        </w:rPr>
        <w:t>chitosan</w:t>
      </w:r>
      <w:r w:rsidRPr="002F46E3">
        <w:rPr>
          <w:lang w:val="en-GB"/>
        </w:rPr>
        <w:t xml:space="preserve">-based coatings in enhancing </w:t>
      </w:r>
      <w:r w:rsidR="009B14DA" w:rsidRPr="002F46E3">
        <w:rPr>
          <w:lang w:val="en-GB"/>
        </w:rPr>
        <w:t xml:space="preserve">mandarin </w:t>
      </w:r>
      <w:r w:rsidRPr="002F46E3">
        <w:rPr>
          <w:lang w:val="en-GB"/>
        </w:rPr>
        <w:t>bioactive profile, antioxidant activity and enzymatic regulation.</w:t>
      </w:r>
    </w:p>
    <w:bookmarkEnd w:id="0"/>
    <w:p w14:paraId="476B2F2E" w14:textId="77777777" w:rsidR="00600535" w:rsidRPr="002F46E3" w:rsidRDefault="00600535" w:rsidP="00600535">
      <w:pPr>
        <w:pStyle w:val="CETHeading1"/>
        <w:rPr>
          <w:lang w:val="en-GB"/>
        </w:rPr>
      </w:pPr>
      <w:r w:rsidRPr="002F46E3">
        <w:rPr>
          <w:lang w:val="en-GB"/>
        </w:rPr>
        <w:t>Introduction</w:t>
      </w:r>
    </w:p>
    <w:p w14:paraId="28DE43BE" w14:textId="4DEF331D" w:rsidR="00CB1545" w:rsidRPr="002F46E3" w:rsidRDefault="003D36FC" w:rsidP="003D36FC">
      <w:pPr>
        <w:pStyle w:val="CETBodytext"/>
        <w:rPr>
          <w:lang w:val="en-GB"/>
        </w:rPr>
      </w:pPr>
      <w:r w:rsidRPr="002F46E3">
        <w:rPr>
          <w:lang w:val="en-GB"/>
        </w:rPr>
        <w:t>Mandarins</w:t>
      </w:r>
      <w:r w:rsidR="006E3A87" w:rsidRPr="002F46E3">
        <w:rPr>
          <w:lang w:val="en-GB"/>
        </w:rPr>
        <w:t xml:space="preserve"> have gained worldwide popularity due</w:t>
      </w:r>
      <w:r w:rsidR="002E2B79" w:rsidRPr="002F46E3">
        <w:rPr>
          <w:lang w:val="en-GB"/>
        </w:rPr>
        <w:t xml:space="preserve"> </w:t>
      </w:r>
      <w:r w:rsidR="006E3A87" w:rsidRPr="002F46E3">
        <w:rPr>
          <w:lang w:val="en-GB"/>
        </w:rPr>
        <w:t xml:space="preserve">to </w:t>
      </w:r>
      <w:r w:rsidR="002E2B79" w:rsidRPr="002F46E3">
        <w:rPr>
          <w:lang w:val="en-GB"/>
        </w:rPr>
        <w:t>t</w:t>
      </w:r>
      <w:r w:rsidRPr="002F46E3">
        <w:rPr>
          <w:lang w:val="en-GB"/>
        </w:rPr>
        <w:t xml:space="preserve">heir delicate taste, distinctive </w:t>
      </w:r>
      <w:proofErr w:type="spellStart"/>
      <w:r w:rsidR="002E2B79" w:rsidRPr="002F46E3">
        <w:rPr>
          <w:lang w:val="en-GB"/>
        </w:rPr>
        <w:t>flavor</w:t>
      </w:r>
      <w:proofErr w:type="spellEnd"/>
      <w:r w:rsidR="006E3A87" w:rsidRPr="002F46E3">
        <w:rPr>
          <w:lang w:val="en-GB"/>
        </w:rPr>
        <w:t>,</w:t>
      </w:r>
      <w:r w:rsidRPr="002F46E3">
        <w:rPr>
          <w:lang w:val="en-GB"/>
        </w:rPr>
        <w:t xml:space="preserve"> and nutritional </w:t>
      </w:r>
      <w:r w:rsidR="002E2B79" w:rsidRPr="002F46E3">
        <w:rPr>
          <w:lang w:val="en-GB"/>
        </w:rPr>
        <w:t>density</w:t>
      </w:r>
      <w:r w:rsidR="006E3A87" w:rsidRPr="002F46E3">
        <w:rPr>
          <w:lang w:val="en-GB"/>
        </w:rPr>
        <w:t xml:space="preserve"> </w:t>
      </w:r>
      <w:r w:rsidRPr="002F46E3">
        <w:rPr>
          <w:lang w:val="en-GB"/>
        </w:rPr>
        <w:t xml:space="preserve">(Feng et al., 2018). </w:t>
      </w:r>
      <w:r w:rsidR="008C1D8B" w:rsidRPr="002F46E3">
        <w:rPr>
          <w:lang w:val="en-GB"/>
        </w:rPr>
        <w:t>The h</w:t>
      </w:r>
      <w:r w:rsidRPr="002F46E3">
        <w:rPr>
          <w:lang w:val="en-GB"/>
        </w:rPr>
        <w:t>ealth benefits</w:t>
      </w:r>
      <w:r w:rsidR="00322208" w:rsidRPr="002F46E3">
        <w:rPr>
          <w:lang w:val="en-GB"/>
        </w:rPr>
        <w:t xml:space="preserve"> </w:t>
      </w:r>
      <w:r w:rsidR="00514902" w:rsidRPr="002F46E3">
        <w:rPr>
          <w:lang w:val="en-GB"/>
        </w:rPr>
        <w:t xml:space="preserve">associated </w:t>
      </w:r>
      <w:r w:rsidR="006E3A87" w:rsidRPr="002F46E3">
        <w:rPr>
          <w:lang w:val="en-GB"/>
        </w:rPr>
        <w:t xml:space="preserve">with </w:t>
      </w:r>
      <w:r w:rsidR="00322208" w:rsidRPr="002F46E3">
        <w:rPr>
          <w:lang w:val="en-GB"/>
        </w:rPr>
        <w:t xml:space="preserve">mandarin </w:t>
      </w:r>
      <w:r w:rsidR="00514902" w:rsidRPr="002F46E3">
        <w:rPr>
          <w:lang w:val="en-GB"/>
        </w:rPr>
        <w:t xml:space="preserve">consumption </w:t>
      </w:r>
      <w:r w:rsidR="006E3A87" w:rsidRPr="002F46E3">
        <w:rPr>
          <w:lang w:val="en-GB"/>
        </w:rPr>
        <w:t xml:space="preserve">are attributed </w:t>
      </w:r>
      <w:r w:rsidRPr="002F46E3">
        <w:rPr>
          <w:lang w:val="en-GB"/>
        </w:rPr>
        <w:t xml:space="preserve">to </w:t>
      </w:r>
      <w:r w:rsidR="00964B90">
        <w:rPr>
          <w:lang w:val="en-GB"/>
        </w:rPr>
        <w:t>its</w:t>
      </w:r>
      <w:r w:rsidR="00514902" w:rsidRPr="002F46E3">
        <w:rPr>
          <w:lang w:val="en-GB"/>
        </w:rPr>
        <w:t xml:space="preserve"> </w:t>
      </w:r>
      <w:r w:rsidR="006E3A87" w:rsidRPr="002F46E3">
        <w:rPr>
          <w:lang w:val="en-GB"/>
        </w:rPr>
        <w:t xml:space="preserve">rich </w:t>
      </w:r>
      <w:r w:rsidR="00514902" w:rsidRPr="002F46E3">
        <w:rPr>
          <w:lang w:val="en-GB"/>
        </w:rPr>
        <w:t xml:space="preserve">content </w:t>
      </w:r>
      <w:r w:rsidR="006E3A87" w:rsidRPr="002F46E3">
        <w:rPr>
          <w:lang w:val="en-GB"/>
        </w:rPr>
        <w:t xml:space="preserve">of </w:t>
      </w:r>
      <w:r w:rsidRPr="002F46E3">
        <w:rPr>
          <w:lang w:val="en-GB"/>
        </w:rPr>
        <w:t>phytochemicals</w:t>
      </w:r>
      <w:r w:rsidR="00322208" w:rsidRPr="002F46E3">
        <w:rPr>
          <w:lang w:val="en-GB"/>
        </w:rPr>
        <w:t xml:space="preserve">, such as polyphenols, flavonoids, carotenoids, limonoids, amino acids and organic acids </w:t>
      </w:r>
      <w:r w:rsidRPr="002F46E3">
        <w:rPr>
          <w:lang w:val="en-GB"/>
        </w:rPr>
        <w:t>(</w:t>
      </w:r>
      <w:proofErr w:type="spellStart"/>
      <w:r w:rsidRPr="002F46E3">
        <w:rPr>
          <w:lang w:val="en-GB"/>
        </w:rPr>
        <w:t>Tietel</w:t>
      </w:r>
      <w:proofErr w:type="spellEnd"/>
      <w:r w:rsidRPr="002F46E3">
        <w:rPr>
          <w:lang w:val="en-GB"/>
        </w:rPr>
        <w:t xml:space="preserve"> et al., 2020). </w:t>
      </w:r>
      <w:r w:rsidR="00514902" w:rsidRPr="002F46E3">
        <w:rPr>
          <w:lang w:val="en-GB"/>
        </w:rPr>
        <w:t>However, m</w:t>
      </w:r>
      <w:r w:rsidR="00322208" w:rsidRPr="002F46E3">
        <w:rPr>
          <w:lang w:val="en-GB"/>
        </w:rPr>
        <w:t>andarin</w:t>
      </w:r>
      <w:r w:rsidR="0057017F" w:rsidRPr="002F46E3">
        <w:rPr>
          <w:lang w:val="en-GB"/>
        </w:rPr>
        <w:t>s</w:t>
      </w:r>
      <w:r w:rsidR="00322208" w:rsidRPr="002F46E3">
        <w:rPr>
          <w:lang w:val="en-GB"/>
        </w:rPr>
        <w:t xml:space="preserve"> are </w:t>
      </w:r>
      <w:proofErr w:type="gramStart"/>
      <w:r w:rsidR="00514902" w:rsidRPr="002F46E3">
        <w:rPr>
          <w:lang w:val="en-GB"/>
        </w:rPr>
        <w:t>highly-</w:t>
      </w:r>
      <w:proofErr w:type="spellStart"/>
      <w:r w:rsidR="00514902" w:rsidRPr="002F46E3">
        <w:rPr>
          <w:lang w:val="en-GB"/>
        </w:rPr>
        <w:t>preishable</w:t>
      </w:r>
      <w:proofErr w:type="spellEnd"/>
      <w:proofErr w:type="gramEnd"/>
      <w:r w:rsidR="00514902" w:rsidRPr="002F46E3">
        <w:rPr>
          <w:lang w:val="en-GB"/>
        </w:rPr>
        <w:t xml:space="preserve">, </w:t>
      </w:r>
      <w:r w:rsidRPr="002F46E3">
        <w:rPr>
          <w:lang w:val="en-GB"/>
        </w:rPr>
        <w:t xml:space="preserve">non-climacteric </w:t>
      </w:r>
      <w:r w:rsidR="00322208" w:rsidRPr="002F46E3">
        <w:rPr>
          <w:lang w:val="en-GB"/>
        </w:rPr>
        <w:t>fruits</w:t>
      </w:r>
      <w:r w:rsidR="006E3A87" w:rsidRPr="002F46E3">
        <w:rPr>
          <w:lang w:val="en-GB"/>
        </w:rPr>
        <w:t xml:space="preserve"> that rapidly </w:t>
      </w:r>
      <w:r w:rsidR="007D0778" w:rsidRPr="002F46E3">
        <w:rPr>
          <w:lang w:val="en-GB"/>
        </w:rPr>
        <w:t>lose quality</w:t>
      </w:r>
      <w:r w:rsidRPr="002F46E3">
        <w:rPr>
          <w:lang w:val="en-GB"/>
        </w:rPr>
        <w:t xml:space="preserve"> </w:t>
      </w:r>
      <w:r w:rsidR="006E3A87" w:rsidRPr="002F46E3">
        <w:rPr>
          <w:lang w:val="en-GB"/>
        </w:rPr>
        <w:t xml:space="preserve">limiting their </w:t>
      </w:r>
      <w:r w:rsidRPr="002F46E3">
        <w:rPr>
          <w:lang w:val="en-GB"/>
        </w:rPr>
        <w:t>stor</w:t>
      </w:r>
      <w:r w:rsidR="006E3A87" w:rsidRPr="002F46E3">
        <w:rPr>
          <w:lang w:val="en-GB"/>
        </w:rPr>
        <w:t>age duration</w:t>
      </w:r>
      <w:r w:rsidRPr="002F46E3">
        <w:rPr>
          <w:lang w:val="en-GB"/>
        </w:rPr>
        <w:t xml:space="preserve"> (Rokaya et al., 2016).</w:t>
      </w:r>
      <w:r w:rsidR="007D0778" w:rsidRPr="002F46E3">
        <w:rPr>
          <w:lang w:val="en-GB"/>
        </w:rPr>
        <w:t xml:space="preserve"> </w:t>
      </w:r>
      <w:r w:rsidR="006E3A87" w:rsidRPr="00551A7F">
        <w:rPr>
          <w:lang w:val="en-GB"/>
        </w:rPr>
        <w:t xml:space="preserve">To mitigate </w:t>
      </w:r>
      <w:r w:rsidRPr="002F46E3">
        <w:rPr>
          <w:lang w:val="en-GB"/>
        </w:rPr>
        <w:t>fruit loss</w:t>
      </w:r>
      <w:r w:rsidR="00322208" w:rsidRPr="002F46E3">
        <w:rPr>
          <w:lang w:val="en-GB"/>
        </w:rPr>
        <w:t xml:space="preserve"> and decay</w:t>
      </w:r>
      <w:r w:rsidR="006E3A87" w:rsidRPr="00551A7F">
        <w:rPr>
          <w:lang w:val="en-GB"/>
        </w:rPr>
        <w:t>, combining</w:t>
      </w:r>
      <w:r w:rsidR="00322208" w:rsidRPr="002F46E3">
        <w:rPr>
          <w:lang w:val="en-GB"/>
        </w:rPr>
        <w:t xml:space="preserve"> cold storage </w:t>
      </w:r>
      <w:r w:rsidR="006E3A87" w:rsidRPr="002F46E3">
        <w:rPr>
          <w:lang w:val="en-GB"/>
        </w:rPr>
        <w:t xml:space="preserve">with </w:t>
      </w:r>
      <w:r w:rsidR="007D0778" w:rsidRPr="002F46E3">
        <w:rPr>
          <w:lang w:val="en-GB"/>
        </w:rPr>
        <w:t xml:space="preserve">alternative </w:t>
      </w:r>
      <w:r w:rsidRPr="002F46E3">
        <w:rPr>
          <w:lang w:val="en-GB"/>
        </w:rPr>
        <w:t>postharvest treatments</w:t>
      </w:r>
      <w:r w:rsidR="006E3A87" w:rsidRPr="002F46E3">
        <w:rPr>
          <w:lang w:val="en-GB"/>
        </w:rPr>
        <w:t xml:space="preserve"> is a viable approach</w:t>
      </w:r>
      <w:r w:rsidRPr="002F46E3">
        <w:rPr>
          <w:lang w:val="en-GB"/>
        </w:rPr>
        <w:t xml:space="preserve">. </w:t>
      </w:r>
      <w:r w:rsidR="00514902" w:rsidRPr="00551A7F">
        <w:rPr>
          <w:lang w:val="en-GB"/>
        </w:rPr>
        <w:t>E</w:t>
      </w:r>
      <w:r w:rsidRPr="002F46E3">
        <w:rPr>
          <w:lang w:val="en-GB"/>
        </w:rPr>
        <w:t>dible coatings</w:t>
      </w:r>
      <w:r w:rsidR="00322208" w:rsidRPr="002F46E3">
        <w:rPr>
          <w:lang w:val="en-GB"/>
        </w:rPr>
        <w:t xml:space="preserve"> (ECs)</w:t>
      </w:r>
      <w:r w:rsidRPr="002F46E3">
        <w:rPr>
          <w:lang w:val="en-GB"/>
        </w:rPr>
        <w:t xml:space="preserve"> </w:t>
      </w:r>
      <w:r w:rsidR="0032558E" w:rsidRPr="002F46E3">
        <w:rPr>
          <w:lang w:val="en-GB"/>
        </w:rPr>
        <w:t xml:space="preserve">have </w:t>
      </w:r>
      <w:r w:rsidR="006E3A87" w:rsidRPr="00551A7F">
        <w:rPr>
          <w:lang w:val="en-GB"/>
        </w:rPr>
        <w:t xml:space="preserve">garnered significant </w:t>
      </w:r>
      <w:r w:rsidR="00514902" w:rsidRPr="00551A7F">
        <w:rPr>
          <w:lang w:val="en-GB"/>
        </w:rPr>
        <w:t xml:space="preserve">attention </w:t>
      </w:r>
      <w:r w:rsidR="006E3A87" w:rsidRPr="002F46E3">
        <w:rPr>
          <w:lang w:val="en-GB"/>
        </w:rPr>
        <w:t xml:space="preserve">for </w:t>
      </w:r>
      <w:r w:rsidRPr="002F46E3">
        <w:rPr>
          <w:lang w:val="en-GB"/>
        </w:rPr>
        <w:t>protect</w:t>
      </w:r>
      <w:r w:rsidR="006E3A87" w:rsidRPr="002F46E3">
        <w:rPr>
          <w:lang w:val="en-GB"/>
        </w:rPr>
        <w:t>ing</w:t>
      </w:r>
      <w:r w:rsidRPr="002F46E3">
        <w:rPr>
          <w:lang w:val="en-GB"/>
        </w:rPr>
        <w:t xml:space="preserve"> fruit</w:t>
      </w:r>
      <w:r w:rsidR="00514902" w:rsidRPr="002F46E3">
        <w:rPr>
          <w:lang w:val="en-GB"/>
        </w:rPr>
        <w:t>s</w:t>
      </w:r>
      <w:r w:rsidRPr="002F46E3">
        <w:rPr>
          <w:lang w:val="en-GB"/>
        </w:rPr>
        <w:t xml:space="preserve"> from mechanical, physical, chemical, and microbial damage</w:t>
      </w:r>
      <w:r w:rsidR="006E3A87" w:rsidRPr="002F46E3">
        <w:rPr>
          <w:lang w:val="en-GB"/>
        </w:rPr>
        <w:t xml:space="preserve">, while also influencing </w:t>
      </w:r>
      <w:r w:rsidR="00030278" w:rsidRPr="002F46E3">
        <w:rPr>
          <w:lang w:val="en-GB"/>
        </w:rPr>
        <w:t xml:space="preserve">fruit quality </w:t>
      </w:r>
      <w:r w:rsidR="006E3A87" w:rsidRPr="002F46E3">
        <w:rPr>
          <w:lang w:val="en-GB"/>
        </w:rPr>
        <w:t xml:space="preserve">by affecting </w:t>
      </w:r>
      <w:r w:rsidR="00322208" w:rsidRPr="002F46E3">
        <w:rPr>
          <w:lang w:val="en-GB"/>
        </w:rPr>
        <w:t xml:space="preserve">important </w:t>
      </w:r>
      <w:r w:rsidR="00030278" w:rsidRPr="002F46E3">
        <w:rPr>
          <w:lang w:val="en-GB"/>
        </w:rPr>
        <w:t xml:space="preserve">sensory attributes (Jurić et al., 2023). Chitosan is </w:t>
      </w:r>
      <w:r w:rsidR="006E3A87" w:rsidRPr="002F46E3">
        <w:rPr>
          <w:lang w:val="en-GB"/>
        </w:rPr>
        <w:t xml:space="preserve">a widely </w:t>
      </w:r>
      <w:r w:rsidR="00030278" w:rsidRPr="002F46E3">
        <w:rPr>
          <w:lang w:val="en-GB"/>
        </w:rPr>
        <w:t xml:space="preserve">used </w:t>
      </w:r>
      <w:r w:rsidR="00322208" w:rsidRPr="002F46E3">
        <w:rPr>
          <w:lang w:val="en-GB"/>
        </w:rPr>
        <w:t>biopolymer</w:t>
      </w:r>
      <w:r w:rsidR="00030278" w:rsidRPr="002F46E3">
        <w:rPr>
          <w:lang w:val="en-GB"/>
        </w:rPr>
        <w:t xml:space="preserve"> </w:t>
      </w:r>
      <w:r w:rsidR="00514902" w:rsidRPr="00551A7F">
        <w:rPr>
          <w:lang w:val="en-GB"/>
        </w:rPr>
        <w:t xml:space="preserve">in </w:t>
      </w:r>
      <w:r w:rsidR="00322208" w:rsidRPr="002F46E3">
        <w:rPr>
          <w:lang w:val="en-GB"/>
        </w:rPr>
        <w:t>ECs</w:t>
      </w:r>
      <w:r w:rsidR="006E3A87" w:rsidRPr="00551A7F">
        <w:rPr>
          <w:lang w:val="en-GB"/>
        </w:rPr>
        <w:t xml:space="preserve"> due to </w:t>
      </w:r>
      <w:r w:rsidR="00514902" w:rsidRPr="00551A7F">
        <w:rPr>
          <w:lang w:val="en-GB"/>
        </w:rPr>
        <w:t xml:space="preserve">its </w:t>
      </w:r>
      <w:r w:rsidRPr="002F46E3">
        <w:rPr>
          <w:lang w:val="en-GB"/>
        </w:rPr>
        <w:t xml:space="preserve">ability to </w:t>
      </w:r>
      <w:r w:rsidR="006E3A87" w:rsidRPr="002F46E3">
        <w:rPr>
          <w:lang w:val="en-GB"/>
        </w:rPr>
        <w:t xml:space="preserve">inhibit </w:t>
      </w:r>
      <w:r w:rsidRPr="002F46E3">
        <w:rPr>
          <w:lang w:val="en-GB"/>
        </w:rPr>
        <w:t xml:space="preserve">fungal </w:t>
      </w:r>
      <w:r w:rsidR="006E3A87" w:rsidRPr="002F46E3">
        <w:rPr>
          <w:lang w:val="en-GB"/>
        </w:rPr>
        <w:t>growth</w:t>
      </w:r>
      <w:r w:rsidRPr="002F46E3">
        <w:rPr>
          <w:lang w:val="en-GB"/>
        </w:rPr>
        <w:t xml:space="preserve">, </w:t>
      </w:r>
      <w:r w:rsidR="006E3A87" w:rsidRPr="002F46E3">
        <w:rPr>
          <w:lang w:val="en-GB"/>
        </w:rPr>
        <w:t xml:space="preserve">reduce </w:t>
      </w:r>
      <w:r w:rsidRPr="002F46E3">
        <w:rPr>
          <w:lang w:val="en-GB"/>
        </w:rPr>
        <w:t xml:space="preserve">water </w:t>
      </w:r>
      <w:r w:rsidR="006E3A87" w:rsidRPr="002F46E3">
        <w:rPr>
          <w:lang w:val="en-GB"/>
        </w:rPr>
        <w:t>loss</w:t>
      </w:r>
      <w:r w:rsidRPr="002F46E3">
        <w:rPr>
          <w:lang w:val="en-GB"/>
        </w:rPr>
        <w:t xml:space="preserve">, and </w:t>
      </w:r>
      <w:r w:rsidR="006E3A87" w:rsidRPr="002F46E3">
        <w:rPr>
          <w:lang w:val="en-GB"/>
        </w:rPr>
        <w:t xml:space="preserve">delay </w:t>
      </w:r>
      <w:r w:rsidRPr="002F46E3">
        <w:rPr>
          <w:lang w:val="en-GB"/>
        </w:rPr>
        <w:t>browning (</w:t>
      </w:r>
      <w:proofErr w:type="spellStart"/>
      <w:r w:rsidRPr="002F46E3">
        <w:rPr>
          <w:lang w:val="en-GB"/>
        </w:rPr>
        <w:t>Obianom</w:t>
      </w:r>
      <w:proofErr w:type="spellEnd"/>
      <w:r w:rsidRPr="002F46E3">
        <w:rPr>
          <w:lang w:val="en-GB"/>
        </w:rPr>
        <w:t xml:space="preserve"> et al., 2019). </w:t>
      </w:r>
      <w:r w:rsidR="006E3A87" w:rsidRPr="002F46E3">
        <w:rPr>
          <w:lang w:val="en-GB"/>
        </w:rPr>
        <w:t>T</w:t>
      </w:r>
      <w:r w:rsidR="00514902" w:rsidRPr="002F46E3">
        <w:rPr>
          <w:lang w:val="en-GB"/>
        </w:rPr>
        <w:t xml:space="preserve">he performance of </w:t>
      </w:r>
      <w:r w:rsidRPr="002F46E3">
        <w:rPr>
          <w:lang w:val="en-GB"/>
        </w:rPr>
        <w:t xml:space="preserve">chitosan-based </w:t>
      </w:r>
      <w:r w:rsidR="00322208" w:rsidRPr="002F46E3">
        <w:rPr>
          <w:lang w:val="en-GB"/>
        </w:rPr>
        <w:t>ECs</w:t>
      </w:r>
      <w:r w:rsidRPr="002F46E3">
        <w:rPr>
          <w:lang w:val="en-GB"/>
        </w:rPr>
        <w:t xml:space="preserve"> </w:t>
      </w:r>
      <w:r w:rsidR="00514902" w:rsidRPr="002F46E3">
        <w:rPr>
          <w:lang w:val="en-GB"/>
        </w:rPr>
        <w:t xml:space="preserve">can be further improved by </w:t>
      </w:r>
      <w:r w:rsidR="008E16FF" w:rsidRPr="00551A7F">
        <w:rPr>
          <w:lang w:val="en-GB"/>
        </w:rPr>
        <w:t xml:space="preserve">incorporating </w:t>
      </w:r>
      <w:r w:rsidR="00030278" w:rsidRPr="002F46E3">
        <w:rPr>
          <w:lang w:val="en-GB"/>
        </w:rPr>
        <w:t>natural additives.</w:t>
      </w:r>
      <w:r w:rsidR="00322208" w:rsidRPr="002F46E3">
        <w:rPr>
          <w:lang w:val="en-GB"/>
        </w:rPr>
        <w:t xml:space="preserve"> </w:t>
      </w:r>
      <w:r w:rsidR="000B5F21" w:rsidRPr="002F46E3">
        <w:rPr>
          <w:lang w:val="en-GB"/>
        </w:rPr>
        <w:t xml:space="preserve">For example, </w:t>
      </w:r>
      <w:r w:rsidR="0032558E" w:rsidRPr="002F46E3">
        <w:rPr>
          <w:lang w:val="en-GB"/>
        </w:rPr>
        <w:t xml:space="preserve">postharvest application </w:t>
      </w:r>
      <w:r w:rsidR="008C1D8B" w:rsidRPr="002F46E3">
        <w:rPr>
          <w:lang w:val="en-GB"/>
        </w:rPr>
        <w:t xml:space="preserve">of </w:t>
      </w:r>
      <w:r w:rsidR="008E16FF" w:rsidRPr="002F46E3">
        <w:rPr>
          <w:lang w:val="en-GB"/>
        </w:rPr>
        <w:t xml:space="preserve">phenylalanine </w:t>
      </w:r>
      <w:r w:rsidR="000B5F21" w:rsidRPr="002F46E3">
        <w:rPr>
          <w:lang w:val="en-GB"/>
        </w:rPr>
        <w:t>ha</w:t>
      </w:r>
      <w:r w:rsidR="00030278" w:rsidRPr="002F46E3">
        <w:rPr>
          <w:lang w:val="en-GB"/>
        </w:rPr>
        <w:t>s</w:t>
      </w:r>
      <w:r w:rsidR="000B5F21" w:rsidRPr="002F46E3">
        <w:rPr>
          <w:lang w:val="en-GB"/>
        </w:rPr>
        <w:t xml:space="preserve"> been</w:t>
      </w:r>
      <w:r w:rsidR="00030278" w:rsidRPr="002F46E3">
        <w:rPr>
          <w:lang w:val="en-GB"/>
        </w:rPr>
        <w:t xml:space="preserve"> </w:t>
      </w:r>
      <w:r w:rsidR="00322208" w:rsidRPr="002F46E3">
        <w:rPr>
          <w:lang w:val="en-GB"/>
        </w:rPr>
        <w:t xml:space="preserve">used to </w:t>
      </w:r>
      <w:r w:rsidR="0032558E" w:rsidRPr="002F46E3">
        <w:rPr>
          <w:lang w:val="en-GB"/>
        </w:rPr>
        <w:t>stimulat</w:t>
      </w:r>
      <w:r w:rsidR="000B5F21" w:rsidRPr="002F46E3">
        <w:rPr>
          <w:lang w:val="en-GB"/>
        </w:rPr>
        <w:t>e</w:t>
      </w:r>
      <w:r w:rsidR="0032558E" w:rsidRPr="002F46E3">
        <w:rPr>
          <w:lang w:val="en-GB"/>
        </w:rPr>
        <w:t xml:space="preserve"> </w:t>
      </w:r>
      <w:proofErr w:type="spellStart"/>
      <w:r w:rsidR="0032558E" w:rsidRPr="002F46E3">
        <w:rPr>
          <w:lang w:val="en-GB"/>
        </w:rPr>
        <w:t>defense</w:t>
      </w:r>
      <w:proofErr w:type="spellEnd"/>
      <w:r w:rsidR="0032558E" w:rsidRPr="002F46E3">
        <w:rPr>
          <w:lang w:val="en-GB"/>
        </w:rPr>
        <w:t xml:space="preserve"> mechanisms </w:t>
      </w:r>
      <w:r w:rsidR="000B5F21" w:rsidRPr="002F46E3">
        <w:rPr>
          <w:lang w:val="en-GB"/>
        </w:rPr>
        <w:t xml:space="preserve">in </w:t>
      </w:r>
      <w:r w:rsidR="0032558E" w:rsidRPr="002F46E3">
        <w:rPr>
          <w:lang w:val="en-GB"/>
        </w:rPr>
        <w:t>fruits</w:t>
      </w:r>
      <w:r w:rsidR="008E16FF" w:rsidRPr="002F46E3">
        <w:rPr>
          <w:lang w:val="en-GB"/>
        </w:rPr>
        <w:t xml:space="preserve">, </w:t>
      </w:r>
      <w:r w:rsidR="00BB1B36" w:rsidRPr="002F46E3">
        <w:t>(Kumar Patel</w:t>
      </w:r>
      <w:r w:rsidR="00BB1B36" w:rsidRPr="002F46E3">
        <w:rPr>
          <w:lang w:val="en-GB"/>
        </w:rPr>
        <w:t xml:space="preserve"> et al., 2020</w:t>
      </w:r>
      <w:r w:rsidR="000B5F21" w:rsidRPr="002F46E3">
        <w:rPr>
          <w:lang w:val="en-GB"/>
        </w:rPr>
        <w:t xml:space="preserve">), </w:t>
      </w:r>
      <w:r w:rsidR="008E16FF" w:rsidRPr="002F46E3">
        <w:rPr>
          <w:lang w:val="en-GB"/>
        </w:rPr>
        <w:t xml:space="preserve">thereby </w:t>
      </w:r>
      <w:r w:rsidR="0032558E" w:rsidRPr="002F46E3">
        <w:rPr>
          <w:lang w:val="en-GB"/>
        </w:rPr>
        <w:t>inhibiti</w:t>
      </w:r>
      <w:r w:rsidR="008E16FF" w:rsidRPr="002F46E3">
        <w:rPr>
          <w:lang w:val="en-GB"/>
        </w:rPr>
        <w:t>ng</w:t>
      </w:r>
      <w:r w:rsidR="0032558E" w:rsidRPr="002F46E3">
        <w:rPr>
          <w:lang w:val="en-GB"/>
        </w:rPr>
        <w:t xml:space="preserve"> fungal development and postharvest decay (Saidi et al., 2021). </w:t>
      </w:r>
      <w:r w:rsidR="00030278" w:rsidRPr="002F46E3">
        <w:rPr>
          <w:lang w:val="en-GB"/>
        </w:rPr>
        <w:t>Phe</w:t>
      </w:r>
      <w:r w:rsidR="008E16FF" w:rsidRPr="002F46E3">
        <w:rPr>
          <w:lang w:val="en-GB"/>
        </w:rPr>
        <w:t>nylalanine</w:t>
      </w:r>
      <w:r w:rsidR="00030278" w:rsidRPr="002F46E3">
        <w:rPr>
          <w:lang w:val="en-GB"/>
        </w:rPr>
        <w:t xml:space="preserve"> contributes to the synthesis of antioxidants and aromatic </w:t>
      </w:r>
      <w:r w:rsidR="00A71D0A" w:rsidRPr="002F46E3">
        <w:rPr>
          <w:lang w:val="en-GB"/>
        </w:rPr>
        <w:t>compounds</w:t>
      </w:r>
      <w:r w:rsidR="008E16FF" w:rsidRPr="002F46E3">
        <w:rPr>
          <w:lang w:val="en-GB"/>
        </w:rPr>
        <w:t>,</w:t>
      </w:r>
      <w:r w:rsidR="00030278" w:rsidRPr="002F46E3">
        <w:rPr>
          <w:lang w:val="en-GB"/>
        </w:rPr>
        <w:t xml:space="preserve"> directly influenc</w:t>
      </w:r>
      <w:r w:rsidR="008E16FF" w:rsidRPr="002F46E3">
        <w:rPr>
          <w:lang w:val="en-GB"/>
        </w:rPr>
        <w:t>ing</w:t>
      </w:r>
      <w:r w:rsidR="00030278" w:rsidRPr="002F46E3">
        <w:rPr>
          <w:lang w:val="en-GB"/>
        </w:rPr>
        <w:t xml:space="preserve"> plant metabolism </w:t>
      </w:r>
      <w:r w:rsidR="008E16FF" w:rsidRPr="002F46E3">
        <w:rPr>
          <w:lang w:val="en-GB"/>
        </w:rPr>
        <w:t xml:space="preserve">through </w:t>
      </w:r>
      <w:r w:rsidR="00030278" w:rsidRPr="002F46E3">
        <w:rPr>
          <w:lang w:val="en-GB"/>
        </w:rPr>
        <w:t>the phenylpropanoid pathway (Aghaei et al., 2019).</w:t>
      </w:r>
    </w:p>
    <w:p w14:paraId="0CA25C6A" w14:textId="0F1F5878" w:rsidR="00030278" w:rsidRPr="002F46E3" w:rsidRDefault="00CB1545" w:rsidP="003D36FC">
      <w:pPr>
        <w:pStyle w:val="CETBodytext"/>
        <w:rPr>
          <w:lang w:val="en-GB"/>
        </w:rPr>
      </w:pPr>
      <w:r w:rsidRPr="002F46E3">
        <w:rPr>
          <w:lang w:val="en-GB"/>
        </w:rPr>
        <w:t>I</w:t>
      </w:r>
      <w:r w:rsidR="00030278" w:rsidRPr="002F46E3">
        <w:rPr>
          <w:lang w:val="en-GB"/>
        </w:rPr>
        <w:t xml:space="preserve">n this </w:t>
      </w:r>
      <w:r w:rsidR="00A35F52" w:rsidRPr="002F46E3">
        <w:rPr>
          <w:lang w:val="en-GB"/>
        </w:rPr>
        <w:t>study</w:t>
      </w:r>
      <w:r w:rsidR="0032558E" w:rsidRPr="002F46E3">
        <w:rPr>
          <w:lang w:val="en-GB"/>
        </w:rPr>
        <w:t>,</w:t>
      </w:r>
      <w:r w:rsidR="00030278" w:rsidRPr="002F46E3">
        <w:rPr>
          <w:lang w:val="en-GB"/>
        </w:rPr>
        <w:t xml:space="preserve"> </w:t>
      </w:r>
      <w:r w:rsidR="00A35F52" w:rsidRPr="002F46E3">
        <w:rPr>
          <w:lang w:val="en-GB"/>
        </w:rPr>
        <w:t xml:space="preserve">various </w:t>
      </w:r>
      <w:r w:rsidR="00A35F52" w:rsidRPr="00551A7F">
        <w:rPr>
          <w:lang w:val="en-GB"/>
        </w:rPr>
        <w:t>postharvest treatments</w:t>
      </w:r>
      <w:r w:rsidR="005717ED" w:rsidRPr="00551A7F">
        <w:rPr>
          <w:lang w:val="en-GB"/>
        </w:rPr>
        <w:t xml:space="preserve"> were investigated</w:t>
      </w:r>
      <w:r w:rsidR="005717ED" w:rsidRPr="002F46E3">
        <w:rPr>
          <w:lang w:val="en-GB"/>
        </w:rPr>
        <w:t xml:space="preserve"> using </w:t>
      </w:r>
      <w:r w:rsidRPr="002F46E3">
        <w:rPr>
          <w:lang w:val="en-GB"/>
        </w:rPr>
        <w:t xml:space="preserve">ECs based on </w:t>
      </w:r>
      <w:r w:rsidR="005717ED" w:rsidRPr="002F46E3">
        <w:rPr>
          <w:lang w:val="en-GB"/>
        </w:rPr>
        <w:t xml:space="preserve">chitosan </w:t>
      </w:r>
      <w:r w:rsidRPr="002F46E3">
        <w:rPr>
          <w:lang w:val="en-GB"/>
        </w:rPr>
        <w:t>alone</w:t>
      </w:r>
      <w:r w:rsidR="005717ED" w:rsidRPr="002F46E3">
        <w:rPr>
          <w:lang w:val="en-GB"/>
        </w:rPr>
        <w:t xml:space="preserve"> (Chitosan)</w:t>
      </w:r>
      <w:r w:rsidR="0032558E" w:rsidRPr="002F46E3">
        <w:rPr>
          <w:lang w:val="en-GB"/>
        </w:rPr>
        <w:t xml:space="preserve">, and a combination of </w:t>
      </w:r>
      <w:r w:rsidR="005717ED" w:rsidRPr="002F46E3">
        <w:rPr>
          <w:lang w:val="en-GB"/>
        </w:rPr>
        <w:t>chitosan and phenylalanine (Chitosan/</w:t>
      </w:r>
      <w:proofErr w:type="spellStart"/>
      <w:r w:rsidR="005717ED" w:rsidRPr="002F46E3">
        <w:rPr>
          <w:lang w:val="en-GB"/>
        </w:rPr>
        <w:t>Phe</w:t>
      </w:r>
      <w:proofErr w:type="spellEnd"/>
      <w:r w:rsidR="005717ED" w:rsidRPr="002F46E3">
        <w:rPr>
          <w:lang w:val="en-GB"/>
        </w:rPr>
        <w:t>)</w:t>
      </w:r>
      <w:r w:rsidR="00A35F52" w:rsidRPr="002F46E3">
        <w:rPr>
          <w:lang w:val="en-GB"/>
        </w:rPr>
        <w:t>,</w:t>
      </w:r>
      <w:r w:rsidR="00030278" w:rsidRPr="002F46E3">
        <w:rPr>
          <w:lang w:val="en-GB"/>
        </w:rPr>
        <w:t xml:space="preserve"> </w:t>
      </w:r>
      <w:r w:rsidR="005717ED" w:rsidRPr="002F46E3">
        <w:rPr>
          <w:lang w:val="en-GB"/>
        </w:rPr>
        <w:t xml:space="preserve">compared </w:t>
      </w:r>
      <w:r w:rsidR="005717ED" w:rsidRPr="00551A7F">
        <w:rPr>
          <w:lang w:val="en-GB"/>
        </w:rPr>
        <w:t xml:space="preserve">to a phenylalanine </w:t>
      </w:r>
      <w:r w:rsidRPr="00551A7F">
        <w:rPr>
          <w:lang w:val="en-GB"/>
        </w:rPr>
        <w:t>dipping</w:t>
      </w:r>
      <w:r w:rsidR="005717ED" w:rsidRPr="00551A7F">
        <w:rPr>
          <w:lang w:val="en-GB"/>
        </w:rPr>
        <w:t xml:space="preserve"> solution </w:t>
      </w:r>
      <w:r w:rsidR="005717ED" w:rsidRPr="002F46E3">
        <w:rPr>
          <w:lang w:val="en-GB"/>
        </w:rPr>
        <w:t>(</w:t>
      </w:r>
      <w:proofErr w:type="spellStart"/>
      <w:r w:rsidR="005717ED" w:rsidRPr="002F46E3">
        <w:rPr>
          <w:lang w:val="en-GB"/>
        </w:rPr>
        <w:t>Phe</w:t>
      </w:r>
      <w:proofErr w:type="spellEnd"/>
      <w:r w:rsidR="005717ED" w:rsidRPr="002F46E3">
        <w:rPr>
          <w:lang w:val="en-GB"/>
        </w:rPr>
        <w:t>)</w:t>
      </w:r>
      <w:r w:rsidRPr="00551A7F">
        <w:rPr>
          <w:lang w:val="en-GB"/>
        </w:rPr>
        <w:t>,</w:t>
      </w:r>
      <w:r w:rsidR="0032558E" w:rsidRPr="002F46E3">
        <w:rPr>
          <w:lang w:val="en-GB"/>
        </w:rPr>
        <w:t xml:space="preserve"> </w:t>
      </w:r>
      <w:r w:rsidR="00A71D0A" w:rsidRPr="002F46E3">
        <w:rPr>
          <w:lang w:val="en-GB"/>
        </w:rPr>
        <w:t>to maintain the quality of</w:t>
      </w:r>
      <w:r w:rsidR="0032558E" w:rsidRPr="002F46E3">
        <w:rPr>
          <w:lang w:val="en-GB"/>
        </w:rPr>
        <w:t xml:space="preserve"> </w:t>
      </w:r>
      <w:r w:rsidR="005717ED" w:rsidRPr="002F46E3">
        <w:rPr>
          <w:lang w:val="en-GB"/>
        </w:rPr>
        <w:t xml:space="preserve">'Chahara' Satsuma </w:t>
      </w:r>
      <w:r w:rsidR="0032558E" w:rsidRPr="002F46E3">
        <w:rPr>
          <w:lang w:val="en-GB"/>
        </w:rPr>
        <w:t>mandarins</w:t>
      </w:r>
      <w:r w:rsidRPr="002F46E3">
        <w:rPr>
          <w:lang w:val="en-GB"/>
        </w:rPr>
        <w:t xml:space="preserve"> during cold storage</w:t>
      </w:r>
      <w:r w:rsidR="0032558E" w:rsidRPr="002F46E3">
        <w:rPr>
          <w:lang w:val="en-GB"/>
        </w:rPr>
        <w:t xml:space="preserve">. The </w:t>
      </w:r>
      <w:r w:rsidR="005717ED" w:rsidRPr="002F46E3">
        <w:rPr>
          <w:lang w:val="en-GB"/>
        </w:rPr>
        <w:t xml:space="preserve">primary </w:t>
      </w:r>
      <w:r w:rsidR="00030278" w:rsidRPr="002F46E3">
        <w:rPr>
          <w:lang w:val="en-GB"/>
        </w:rPr>
        <w:t xml:space="preserve">objective was to </w:t>
      </w:r>
      <w:r w:rsidR="005717ED" w:rsidRPr="002F46E3">
        <w:rPr>
          <w:lang w:val="en-GB"/>
        </w:rPr>
        <w:t xml:space="preserve">evaluate </w:t>
      </w:r>
      <w:r w:rsidR="00030278" w:rsidRPr="002F46E3">
        <w:rPr>
          <w:lang w:val="en-GB"/>
        </w:rPr>
        <w:t xml:space="preserve">the </w:t>
      </w:r>
      <w:r w:rsidR="005717ED" w:rsidRPr="002F46E3">
        <w:rPr>
          <w:lang w:val="en-GB"/>
        </w:rPr>
        <w:t xml:space="preserve">impact </w:t>
      </w:r>
      <w:r w:rsidR="00030278" w:rsidRPr="002F46E3">
        <w:rPr>
          <w:lang w:val="en-GB"/>
        </w:rPr>
        <w:t>of the</w:t>
      </w:r>
      <w:r w:rsidR="005717ED" w:rsidRPr="002F46E3">
        <w:rPr>
          <w:lang w:val="en-GB"/>
        </w:rPr>
        <w:t>se</w:t>
      </w:r>
      <w:r w:rsidR="00030278" w:rsidRPr="002F46E3">
        <w:rPr>
          <w:lang w:val="en-GB"/>
        </w:rPr>
        <w:t xml:space="preserve"> </w:t>
      </w:r>
      <w:r w:rsidRPr="002F46E3">
        <w:rPr>
          <w:lang w:val="en-GB"/>
        </w:rPr>
        <w:t xml:space="preserve">treatments </w:t>
      </w:r>
      <w:r w:rsidR="00030278" w:rsidRPr="002F46E3">
        <w:rPr>
          <w:lang w:val="en-GB"/>
        </w:rPr>
        <w:t>on</w:t>
      </w:r>
      <w:r w:rsidR="00845B02" w:rsidRPr="002F46E3">
        <w:rPr>
          <w:lang w:val="en-GB"/>
        </w:rPr>
        <w:t xml:space="preserve"> </w:t>
      </w:r>
      <w:r w:rsidR="00030278" w:rsidRPr="002F46E3">
        <w:rPr>
          <w:lang w:val="en-GB"/>
        </w:rPr>
        <w:t>mandarin metabolism</w:t>
      </w:r>
      <w:r w:rsidR="00A71D0A" w:rsidRPr="002F46E3">
        <w:rPr>
          <w:lang w:val="en-GB"/>
        </w:rPr>
        <w:t xml:space="preserve">, </w:t>
      </w:r>
      <w:r w:rsidR="005717ED" w:rsidRPr="002F46E3">
        <w:rPr>
          <w:lang w:val="en-GB"/>
        </w:rPr>
        <w:t xml:space="preserve">focusing on </w:t>
      </w:r>
      <w:r w:rsidR="00A71D0A" w:rsidRPr="002F46E3">
        <w:rPr>
          <w:lang w:val="en-GB"/>
        </w:rPr>
        <w:t>changes in bioactive compound</w:t>
      </w:r>
      <w:r w:rsidR="005717ED" w:rsidRPr="002F46E3">
        <w:rPr>
          <w:lang w:val="en-GB"/>
        </w:rPr>
        <w:t xml:space="preserve"> content</w:t>
      </w:r>
      <w:r w:rsidR="00A71D0A" w:rsidRPr="002F46E3">
        <w:rPr>
          <w:lang w:val="en-GB"/>
        </w:rPr>
        <w:t>, antioxidant activity, organic acid composition and enzymatic activity</w:t>
      </w:r>
      <w:r w:rsidR="00030278" w:rsidRPr="002F46E3">
        <w:rPr>
          <w:lang w:val="en-GB"/>
        </w:rPr>
        <w:t xml:space="preserve"> </w:t>
      </w:r>
      <w:r w:rsidR="005717ED" w:rsidRPr="002F46E3">
        <w:rPr>
          <w:lang w:val="en-GB"/>
        </w:rPr>
        <w:t xml:space="preserve">over </w:t>
      </w:r>
      <w:r w:rsidR="009C5BCF" w:rsidRPr="002F46E3">
        <w:rPr>
          <w:lang w:val="en-GB"/>
        </w:rPr>
        <w:t xml:space="preserve">a </w:t>
      </w:r>
      <w:r w:rsidR="005717ED" w:rsidRPr="002F46E3">
        <w:rPr>
          <w:lang w:val="en-GB"/>
        </w:rPr>
        <w:t xml:space="preserve">21-day </w:t>
      </w:r>
      <w:r w:rsidR="0032558E" w:rsidRPr="002F46E3">
        <w:rPr>
          <w:lang w:val="en-GB"/>
        </w:rPr>
        <w:t xml:space="preserve">cold </w:t>
      </w:r>
      <w:r w:rsidR="00030278" w:rsidRPr="002F46E3">
        <w:rPr>
          <w:lang w:val="en-GB"/>
        </w:rPr>
        <w:t>storage period.</w:t>
      </w:r>
    </w:p>
    <w:p w14:paraId="5741900F" w14:textId="0B864A86" w:rsidR="00453E24" w:rsidRPr="002F46E3" w:rsidRDefault="00AC7594" w:rsidP="00453E24">
      <w:pPr>
        <w:pStyle w:val="CETHeading1"/>
      </w:pPr>
      <w:r w:rsidRPr="002F46E3">
        <w:lastRenderedPageBreak/>
        <w:t>Materials and Methods</w:t>
      </w:r>
    </w:p>
    <w:p w14:paraId="0636B784" w14:textId="3717F82C" w:rsidR="00453E24" w:rsidRPr="002F46E3" w:rsidRDefault="00AC7594" w:rsidP="00453E24">
      <w:pPr>
        <w:pStyle w:val="CETheadingx"/>
      </w:pPr>
      <w:r w:rsidRPr="002F46E3">
        <w:t>Plant material</w:t>
      </w:r>
      <w:r w:rsidR="00845B02" w:rsidRPr="002F46E3">
        <w:t xml:space="preserve"> and chemicals</w:t>
      </w:r>
    </w:p>
    <w:p w14:paraId="6A26A204" w14:textId="42D5FCB9" w:rsidR="00AC7594" w:rsidRPr="002F46E3" w:rsidRDefault="00AC7594" w:rsidP="00AC7594">
      <w:pPr>
        <w:pStyle w:val="CETBodytext"/>
      </w:pPr>
      <w:r w:rsidRPr="002F46E3">
        <w:t>Satsuma mandarins 'Chahara' (</w:t>
      </w:r>
      <w:r w:rsidRPr="002F46E3">
        <w:rPr>
          <w:i/>
          <w:iCs/>
          <w:lang w:val="en-GB"/>
        </w:rPr>
        <w:t xml:space="preserve">Citrus </w:t>
      </w:r>
      <w:proofErr w:type="spellStart"/>
      <w:r w:rsidRPr="002F46E3">
        <w:rPr>
          <w:i/>
          <w:iCs/>
          <w:lang w:val="en-GB"/>
        </w:rPr>
        <w:t>unshiu</w:t>
      </w:r>
      <w:proofErr w:type="spellEnd"/>
      <w:r w:rsidRPr="002F46E3">
        <w:rPr>
          <w:lang w:val="en-GB"/>
        </w:rPr>
        <w:t xml:space="preserve"> Marc.</w:t>
      </w:r>
      <w:r w:rsidRPr="002F46E3">
        <w:t xml:space="preserve">) were obtained from </w:t>
      </w:r>
      <w:r w:rsidR="002200FE" w:rsidRPr="002F46E3">
        <w:t xml:space="preserve">a </w:t>
      </w:r>
      <w:r w:rsidRPr="002F46E3">
        <w:t>commercial orchard (</w:t>
      </w:r>
      <w:proofErr w:type="spellStart"/>
      <w:r w:rsidRPr="002F46E3">
        <w:t>Mandarinko</w:t>
      </w:r>
      <w:proofErr w:type="spellEnd"/>
      <w:r w:rsidRPr="002F46E3">
        <w:t xml:space="preserve"> d.o.o.) located at </w:t>
      </w:r>
      <w:proofErr w:type="spellStart"/>
      <w:r w:rsidRPr="002F46E3">
        <w:t>Opuzen</w:t>
      </w:r>
      <w:proofErr w:type="spellEnd"/>
      <w:r w:rsidRPr="002F46E3">
        <w:t>, Neretva valley, Croatia (Latitude: 43.0176, Longitude: 17.5623; 43°1′3″ North, 17°33′44″ East). The fruits were harvested at optimal maturity and immediately delivered to the laboratory for further processing.</w:t>
      </w:r>
      <w:r w:rsidR="00845B02" w:rsidRPr="002F46E3">
        <w:t xml:space="preserve"> </w:t>
      </w:r>
      <w:r w:rsidRPr="002F46E3">
        <w:t xml:space="preserve">High molecular weight chitosan (CAS Number: 9012-76-4, molecular weight: 310000–375000 Da; 800–2000 </w:t>
      </w:r>
      <w:proofErr w:type="spellStart"/>
      <w:r w:rsidRPr="002F46E3">
        <w:t>cP</w:t>
      </w:r>
      <w:proofErr w:type="spellEnd"/>
      <w:r w:rsidRPr="002F46E3">
        <w:t xml:space="preserve">, 1 </w:t>
      </w:r>
      <w:proofErr w:type="spellStart"/>
      <w:r w:rsidRPr="002F46E3">
        <w:t>wt</w:t>
      </w:r>
      <w:proofErr w:type="spellEnd"/>
      <w:r w:rsidRPr="002F46E3">
        <w:t xml:space="preserve">% in 1 % acetic acid (25 °C, Brookfield)) was purchased from Sigma-Aldrich (USA). L-Phenylalanine, 98.5-101.0 %, was </w:t>
      </w:r>
      <w:r w:rsidR="00845B02" w:rsidRPr="002F46E3">
        <w:t>obtained</w:t>
      </w:r>
      <w:r w:rsidRPr="002F46E3">
        <w:t xml:space="preserve"> from </w:t>
      </w:r>
      <w:proofErr w:type="spellStart"/>
      <w:r w:rsidRPr="002F46E3">
        <w:t>Thermo</w:t>
      </w:r>
      <w:proofErr w:type="spellEnd"/>
      <w:r w:rsidRPr="002F46E3">
        <w:t xml:space="preserve"> Scientific Chemicals (USA</w:t>
      </w:r>
      <w:r w:rsidR="002200FE" w:rsidRPr="002F46E3">
        <w:t>), while a</w:t>
      </w:r>
      <w:r w:rsidR="00CB1545" w:rsidRPr="002F46E3">
        <w:t>ll other reactants were purchased from Sigma-Aldrich.</w:t>
      </w:r>
    </w:p>
    <w:p w14:paraId="2E5F3CEC" w14:textId="2BB77CD1" w:rsidR="001A1CF6" w:rsidRPr="002F46E3" w:rsidRDefault="001A1CF6" w:rsidP="001A1CF6">
      <w:pPr>
        <w:pStyle w:val="CETheadingx"/>
      </w:pPr>
      <w:r w:rsidRPr="002F46E3">
        <w:t xml:space="preserve"> Preparation of dipping solutions</w:t>
      </w:r>
    </w:p>
    <w:p w14:paraId="3340D9F1" w14:textId="3F05648D" w:rsidR="00606C17" w:rsidRPr="002F46E3" w:rsidRDefault="002200FE" w:rsidP="00AC7594">
      <w:pPr>
        <w:pStyle w:val="CETBodytext"/>
      </w:pPr>
      <w:r w:rsidRPr="002F46E3">
        <w:t xml:space="preserve">A </w:t>
      </w:r>
      <w:r w:rsidR="00673CCA" w:rsidRPr="002F46E3">
        <w:t>2</w:t>
      </w:r>
      <w:r w:rsidR="00E73CCF" w:rsidRPr="002F46E3">
        <w:t xml:space="preserve"> % </w:t>
      </w:r>
      <w:r w:rsidRPr="002F46E3">
        <w:t>(</w:t>
      </w:r>
      <w:r w:rsidR="00E73CCF" w:rsidRPr="002F46E3">
        <w:t xml:space="preserve">w/v) </w:t>
      </w:r>
      <w:r w:rsidRPr="002F46E3">
        <w:t xml:space="preserve">chitosan dipping solution </w:t>
      </w:r>
      <w:r w:rsidR="001A1CF6" w:rsidRPr="002F46E3">
        <w:t xml:space="preserve">was prepared by dissolving </w:t>
      </w:r>
      <w:r w:rsidR="00A35F52" w:rsidRPr="002F46E3">
        <w:t xml:space="preserve">chitosan </w:t>
      </w:r>
      <w:r w:rsidR="001A1CF6" w:rsidRPr="002F46E3">
        <w:t>in sterile citric acid</w:t>
      </w:r>
      <w:r w:rsidR="00E73CCF" w:rsidRPr="002F46E3">
        <w:t xml:space="preserve"> (2 %, w/v</w:t>
      </w:r>
      <w:r w:rsidRPr="002F46E3">
        <w:t xml:space="preserve">), followed by the addition of </w:t>
      </w:r>
      <w:r w:rsidR="00A71D0A" w:rsidRPr="002F46E3">
        <w:t>g</w:t>
      </w:r>
      <w:r w:rsidR="001A1CF6" w:rsidRPr="002F46E3">
        <w:t xml:space="preserve">lycerol </w:t>
      </w:r>
      <w:r w:rsidR="00E73CCF" w:rsidRPr="002F46E3">
        <w:t>(</w:t>
      </w:r>
      <w:r w:rsidR="00593C9D">
        <w:t>2</w:t>
      </w:r>
      <w:r w:rsidR="00E73CCF" w:rsidRPr="002F46E3">
        <w:t xml:space="preserve"> % v/v)</w:t>
      </w:r>
      <w:r w:rsidRPr="002F46E3">
        <w:t xml:space="preserve"> </w:t>
      </w:r>
      <w:r w:rsidR="00A71D0A" w:rsidRPr="002F46E3">
        <w:t xml:space="preserve">as </w:t>
      </w:r>
      <w:r w:rsidR="001A1CF6" w:rsidRPr="002F46E3">
        <w:t>a plasticizer</w:t>
      </w:r>
      <w:r w:rsidRPr="002F46E3">
        <w:t xml:space="preserve"> (Chitosan)</w:t>
      </w:r>
      <w:r w:rsidR="001A1CF6" w:rsidRPr="002F46E3">
        <w:t xml:space="preserve">. </w:t>
      </w:r>
      <w:r w:rsidR="00606C17" w:rsidRPr="002F46E3">
        <w:t>T</w:t>
      </w:r>
      <w:r w:rsidR="001A1CF6" w:rsidRPr="002F46E3">
        <w:t>he Chitosan/</w:t>
      </w:r>
      <w:proofErr w:type="spellStart"/>
      <w:r w:rsidR="001A1CF6" w:rsidRPr="002F46E3">
        <w:t>Phe</w:t>
      </w:r>
      <w:proofErr w:type="spellEnd"/>
      <w:r w:rsidR="001A1CF6" w:rsidRPr="002F46E3">
        <w:t xml:space="preserve"> </w:t>
      </w:r>
      <w:r w:rsidR="00A35F52" w:rsidRPr="002F46E3">
        <w:t>dipping solution</w:t>
      </w:r>
      <w:r w:rsidR="00606C17" w:rsidRPr="002F46E3">
        <w:t xml:space="preserve"> was prepared by dissolving </w:t>
      </w:r>
      <w:r w:rsidRPr="002F46E3">
        <w:t xml:space="preserve">phenylalanine </w:t>
      </w:r>
      <w:r w:rsidR="001A1CF6" w:rsidRPr="002F46E3">
        <w:t>(6 mM) directly in</w:t>
      </w:r>
      <w:r w:rsidRPr="002F46E3">
        <w:t>to</w:t>
      </w:r>
      <w:r w:rsidR="001A1CF6" w:rsidRPr="002F46E3">
        <w:t xml:space="preserve"> the </w:t>
      </w:r>
      <w:proofErr w:type="gramStart"/>
      <w:r w:rsidRPr="002F46E3">
        <w:t>chitosan</w:t>
      </w:r>
      <w:proofErr w:type="gramEnd"/>
      <w:r w:rsidRPr="002F46E3">
        <w:t xml:space="preserve"> </w:t>
      </w:r>
      <w:r w:rsidR="001A1CF6" w:rsidRPr="002F46E3">
        <w:t>solution</w:t>
      </w:r>
      <w:r w:rsidR="00A71D0A" w:rsidRPr="002F46E3">
        <w:t xml:space="preserve">. </w:t>
      </w:r>
      <w:r w:rsidR="00606C17" w:rsidRPr="002F46E3">
        <w:t xml:space="preserve">The </w:t>
      </w:r>
      <w:proofErr w:type="spellStart"/>
      <w:r w:rsidR="001A1CF6" w:rsidRPr="002F46E3">
        <w:t>Phe</w:t>
      </w:r>
      <w:proofErr w:type="spellEnd"/>
      <w:r w:rsidR="001A1CF6" w:rsidRPr="002F46E3">
        <w:t xml:space="preserve"> </w:t>
      </w:r>
      <w:r w:rsidR="00606C17" w:rsidRPr="002F46E3">
        <w:t xml:space="preserve">dipping solution, used as a separate treatment, </w:t>
      </w:r>
      <w:r w:rsidR="001A1CF6" w:rsidRPr="002F46E3">
        <w:t xml:space="preserve">was </w:t>
      </w:r>
      <w:r w:rsidR="00606C17" w:rsidRPr="002F46E3">
        <w:t xml:space="preserve">prepared by </w:t>
      </w:r>
      <w:r w:rsidR="001A1CF6" w:rsidRPr="002F46E3">
        <w:t>dissolv</w:t>
      </w:r>
      <w:r w:rsidR="00606C17" w:rsidRPr="002F46E3">
        <w:t>ing</w:t>
      </w:r>
      <w:r w:rsidR="001A1CF6" w:rsidRPr="002F46E3">
        <w:t xml:space="preserve"> </w:t>
      </w:r>
      <w:r w:rsidRPr="002F46E3">
        <w:t>p</w:t>
      </w:r>
      <w:r w:rsidR="00606C17" w:rsidRPr="002F46E3">
        <w:t>he</w:t>
      </w:r>
      <w:r w:rsidRPr="002F46E3">
        <w:t>nylalanine</w:t>
      </w:r>
      <w:r w:rsidR="00606C17" w:rsidRPr="002F46E3">
        <w:t xml:space="preserve"> (6 mM) </w:t>
      </w:r>
      <w:r w:rsidR="001A1CF6" w:rsidRPr="002F46E3">
        <w:t xml:space="preserve">in distilled water. </w:t>
      </w:r>
      <w:r w:rsidR="00131884" w:rsidRPr="002F46E3">
        <w:t>The c</w:t>
      </w:r>
      <w:r w:rsidR="00A71D0A" w:rsidRPr="002F46E3">
        <w:t xml:space="preserve">oncentration of </w:t>
      </w:r>
      <w:r w:rsidRPr="002F46E3">
        <w:t>phenylalanine</w:t>
      </w:r>
      <w:r w:rsidRPr="002F46E3" w:rsidDel="002200FE">
        <w:t xml:space="preserve"> </w:t>
      </w:r>
      <w:r w:rsidR="00A71D0A" w:rsidRPr="002F46E3">
        <w:t xml:space="preserve">was </w:t>
      </w:r>
      <w:r w:rsidRPr="002F46E3">
        <w:t xml:space="preserve">chosen </w:t>
      </w:r>
      <w:r w:rsidR="00A71D0A" w:rsidRPr="002F46E3">
        <w:t xml:space="preserve">based on previous </w:t>
      </w:r>
      <w:r w:rsidR="00606C17" w:rsidRPr="002F46E3">
        <w:t>studies (</w:t>
      </w:r>
      <w:r w:rsidR="00A71D0A" w:rsidRPr="002F46E3">
        <w:t>Kumar Patel et al.</w:t>
      </w:r>
      <w:r w:rsidR="00606C17" w:rsidRPr="002F46E3">
        <w:t>,</w:t>
      </w:r>
      <w:r w:rsidR="00A71D0A" w:rsidRPr="002F46E3">
        <w:t xml:space="preserve"> 2020). </w:t>
      </w:r>
    </w:p>
    <w:p w14:paraId="6F74C56C" w14:textId="28758611" w:rsidR="001A1CF6" w:rsidRPr="002F46E3" w:rsidRDefault="00964B90" w:rsidP="00AC7594">
      <w:pPr>
        <w:pStyle w:val="CETBodytext"/>
      </w:pPr>
      <w:r>
        <w:t xml:space="preserve">Before </w:t>
      </w:r>
      <w:r w:rsidR="00A71D0A" w:rsidRPr="002F46E3">
        <w:t>the post</w:t>
      </w:r>
      <w:r w:rsidR="001A1CF6" w:rsidRPr="002F46E3">
        <w:t>-harvest treatments</w:t>
      </w:r>
      <w:r w:rsidR="009C5BCF" w:rsidRPr="002F46E3">
        <w:t>,</w:t>
      </w:r>
      <w:r w:rsidR="001A1CF6" w:rsidRPr="002F46E3">
        <w:t xml:space="preserve"> mandarins were washed</w:t>
      </w:r>
      <w:r w:rsidR="00845B02" w:rsidRPr="002F46E3">
        <w:t xml:space="preserve"> </w:t>
      </w:r>
      <w:r w:rsidR="00A71D0A" w:rsidRPr="002F46E3">
        <w:t xml:space="preserve">in tap water </w:t>
      </w:r>
      <w:r w:rsidR="00845B02" w:rsidRPr="002F46E3">
        <w:t xml:space="preserve">and </w:t>
      </w:r>
      <w:r w:rsidR="00C811A2" w:rsidRPr="002F46E3">
        <w:t>45</w:t>
      </w:r>
      <w:r w:rsidR="00606C17" w:rsidRPr="002F46E3">
        <w:t xml:space="preserve"> </w:t>
      </w:r>
      <w:r w:rsidR="001A1CF6" w:rsidRPr="002F46E3">
        <w:t xml:space="preserve">mandarin fruits </w:t>
      </w:r>
      <w:r w:rsidR="00C811A2" w:rsidRPr="002F46E3">
        <w:t xml:space="preserve">(15 per biological replicate) </w:t>
      </w:r>
      <w:r w:rsidR="001A1CF6" w:rsidRPr="002F46E3">
        <w:t>were randomly selected for each treatment</w:t>
      </w:r>
      <w:r w:rsidR="00606C17" w:rsidRPr="002F46E3">
        <w:t xml:space="preserve"> and the control</w:t>
      </w:r>
      <w:r w:rsidR="001A1CF6" w:rsidRPr="002F46E3">
        <w:t xml:space="preserve">. </w:t>
      </w:r>
      <w:r w:rsidR="002200FE" w:rsidRPr="002F46E3">
        <w:t xml:space="preserve">The mandarins </w:t>
      </w:r>
      <w:r w:rsidR="001A1CF6" w:rsidRPr="002F46E3">
        <w:t xml:space="preserve">were submerged in </w:t>
      </w:r>
      <w:r w:rsidR="002200FE" w:rsidRPr="002F46E3">
        <w:t xml:space="preserve">the </w:t>
      </w:r>
      <w:r w:rsidR="001A1CF6" w:rsidRPr="002F46E3">
        <w:t xml:space="preserve">dipping solutions for </w:t>
      </w:r>
      <w:r w:rsidR="00A71D0A" w:rsidRPr="002F46E3">
        <w:t>three</w:t>
      </w:r>
      <w:r w:rsidR="001A1CF6" w:rsidRPr="002F46E3">
        <w:t xml:space="preserve"> minutes</w:t>
      </w:r>
      <w:r w:rsidR="00A71D0A" w:rsidRPr="002F46E3">
        <w:t>, then drained</w:t>
      </w:r>
      <w:r w:rsidR="003D36FC" w:rsidRPr="002F46E3">
        <w:t xml:space="preserve"> and</w:t>
      </w:r>
      <w:r w:rsidR="001A1CF6" w:rsidRPr="002F46E3">
        <w:t xml:space="preserve"> </w:t>
      </w:r>
      <w:r w:rsidR="002200FE" w:rsidRPr="002F46E3">
        <w:t xml:space="preserve">allowed </w:t>
      </w:r>
      <w:r w:rsidR="001A1CF6" w:rsidRPr="002F46E3">
        <w:t xml:space="preserve">to dry in a well-ventilated room. </w:t>
      </w:r>
      <w:r w:rsidR="002200FE" w:rsidRPr="002F46E3">
        <w:t>T</w:t>
      </w:r>
      <w:r w:rsidR="00606C17" w:rsidRPr="002F46E3">
        <w:t xml:space="preserve">reated mandarins </w:t>
      </w:r>
      <w:r w:rsidR="002200FE" w:rsidRPr="002F46E3">
        <w:t xml:space="preserve">were stored </w:t>
      </w:r>
      <w:r w:rsidR="00606C17" w:rsidRPr="002F46E3">
        <w:t xml:space="preserve">in a </w:t>
      </w:r>
      <w:r w:rsidR="002200FE" w:rsidRPr="002F46E3">
        <w:t xml:space="preserve">chamber </w:t>
      </w:r>
      <w:r w:rsidR="001A1CF6" w:rsidRPr="002F46E3">
        <w:t xml:space="preserve">at 5°C </w:t>
      </w:r>
      <w:r w:rsidR="002200FE" w:rsidRPr="002F46E3">
        <w:t xml:space="preserve">with a </w:t>
      </w:r>
      <w:r w:rsidR="009E0284">
        <w:t xml:space="preserve">low </w:t>
      </w:r>
      <w:r w:rsidR="002200FE" w:rsidRPr="002F46E3">
        <w:t>relative humidity</w:t>
      </w:r>
      <w:r w:rsidR="002200FE" w:rsidRPr="002F46E3" w:rsidDel="002200FE">
        <w:t xml:space="preserve"> </w:t>
      </w:r>
      <w:r w:rsidR="002200FE" w:rsidRPr="002F46E3">
        <w:t xml:space="preserve">of </w:t>
      </w:r>
      <w:r w:rsidR="00770350" w:rsidRPr="002F46E3">
        <w:t>75-</w:t>
      </w:r>
      <w:r w:rsidR="001A1CF6" w:rsidRPr="002F46E3">
        <w:t>85%</w:t>
      </w:r>
      <w:r w:rsidR="009E0284">
        <w:t xml:space="preserve"> for up to 21 days, since up to this time and under these conditions most significant changes in bioactive compounds are expected to occur.</w:t>
      </w:r>
    </w:p>
    <w:p w14:paraId="628D1C89" w14:textId="4FD5A37B" w:rsidR="003D36FC" w:rsidRPr="002F46E3" w:rsidRDefault="002502AF" w:rsidP="003D36FC">
      <w:pPr>
        <w:pStyle w:val="CETheadingx"/>
      </w:pPr>
      <w:r w:rsidRPr="002F46E3">
        <w:t>Mandarin p</w:t>
      </w:r>
      <w:r w:rsidR="003D36FC" w:rsidRPr="002F46E3">
        <w:t xml:space="preserve">reparation for </w:t>
      </w:r>
      <w:r w:rsidRPr="002F46E3">
        <w:t xml:space="preserve">chemical </w:t>
      </w:r>
      <w:r w:rsidR="003D36FC" w:rsidRPr="002F46E3">
        <w:t>analysis</w:t>
      </w:r>
    </w:p>
    <w:p w14:paraId="72DDB5D1" w14:textId="0EC1953E" w:rsidR="001A1CF6" w:rsidRPr="002F46E3" w:rsidRDefault="003A75FF" w:rsidP="00AC7594">
      <w:pPr>
        <w:pStyle w:val="CETBodytext"/>
      </w:pPr>
      <w:r w:rsidRPr="002F46E3">
        <w:t xml:space="preserve">Nine </w:t>
      </w:r>
      <w:r w:rsidR="002200FE" w:rsidRPr="002F46E3">
        <w:t xml:space="preserve">mandarins </w:t>
      </w:r>
      <w:r w:rsidR="0057017F" w:rsidRPr="002F46E3">
        <w:t>(three from each biological replicat</w:t>
      </w:r>
      <w:r w:rsidR="002200FE" w:rsidRPr="002F46E3">
        <w:t>e</w:t>
      </w:r>
      <w:r w:rsidR="0057017F" w:rsidRPr="002F46E3">
        <w:t xml:space="preserve">) </w:t>
      </w:r>
      <w:r w:rsidR="002502AF" w:rsidRPr="002F46E3">
        <w:t xml:space="preserve">were used </w:t>
      </w:r>
      <w:r w:rsidR="002200FE" w:rsidRPr="002F46E3">
        <w:t xml:space="preserve">for </w:t>
      </w:r>
      <w:r w:rsidR="002502AF" w:rsidRPr="002F46E3">
        <w:t>juice preparation</w:t>
      </w:r>
      <w:r w:rsidR="002200FE" w:rsidRPr="002F46E3">
        <w:t>, yielding</w:t>
      </w:r>
      <w:r w:rsidR="002502AF" w:rsidRPr="002F46E3">
        <w:t xml:space="preserve"> a total of </w:t>
      </w:r>
      <w:r w:rsidR="00CD2757" w:rsidRPr="002F46E3">
        <w:t>three</w:t>
      </w:r>
      <w:r w:rsidR="002502AF" w:rsidRPr="002F46E3">
        <w:t xml:space="preserve"> juices per </w:t>
      </w:r>
      <w:r w:rsidRPr="002F46E3">
        <w:t>treatment per sampling day</w:t>
      </w:r>
      <w:r w:rsidR="002502AF" w:rsidRPr="002F46E3">
        <w:t xml:space="preserve">. Mandarin fruits were weighted, peeled, and </w:t>
      </w:r>
      <w:r w:rsidR="002200FE" w:rsidRPr="002F46E3">
        <w:t xml:space="preserve">homogenized </w:t>
      </w:r>
      <w:r w:rsidR="002502AF" w:rsidRPr="002F46E3">
        <w:t xml:space="preserve">using </w:t>
      </w:r>
      <w:r w:rsidR="009C5BCF" w:rsidRPr="002F46E3">
        <w:t xml:space="preserve">a </w:t>
      </w:r>
      <w:r w:rsidR="002502AF" w:rsidRPr="002F46E3">
        <w:t>FOSS homogenizer 2094 (</w:t>
      </w:r>
      <w:proofErr w:type="spellStart"/>
      <w:r w:rsidR="002502AF" w:rsidRPr="002F46E3">
        <w:t>Hillerød</w:t>
      </w:r>
      <w:proofErr w:type="spellEnd"/>
      <w:r w:rsidR="002502AF" w:rsidRPr="002F46E3">
        <w:t xml:space="preserve">, Denmark). </w:t>
      </w:r>
      <w:r w:rsidR="002200FE" w:rsidRPr="002F46E3">
        <w:t xml:space="preserve">The </w:t>
      </w:r>
      <w:r w:rsidR="002502AF" w:rsidRPr="002F46E3">
        <w:t xml:space="preserve">weight </w:t>
      </w:r>
      <w:r w:rsidR="002200FE" w:rsidRPr="002F46E3">
        <w:t xml:space="preserve">of each fruit </w:t>
      </w:r>
      <w:r w:rsidR="002502AF" w:rsidRPr="002F46E3">
        <w:t xml:space="preserve">was recorded before and after peeling. The </w:t>
      </w:r>
      <w:r w:rsidR="002200FE" w:rsidRPr="002F46E3">
        <w:t xml:space="preserve">resulting </w:t>
      </w:r>
      <w:r w:rsidR="002502AF" w:rsidRPr="002F46E3">
        <w:t xml:space="preserve">puree was transferred </w:t>
      </w:r>
      <w:r w:rsidR="00E73CCF" w:rsidRPr="002F46E3">
        <w:t>to</w:t>
      </w:r>
      <w:r w:rsidR="002502AF" w:rsidRPr="002F46E3">
        <w:t xml:space="preserve"> </w:t>
      </w:r>
      <w:r w:rsidR="002200FE" w:rsidRPr="002F46E3">
        <w:t xml:space="preserve">Falcon </w:t>
      </w:r>
      <w:r w:rsidR="002502AF" w:rsidRPr="002F46E3">
        <w:t>tubes and centrifuged at 11,180</w:t>
      </w:r>
      <w:r w:rsidR="002200FE" w:rsidRPr="002F46E3">
        <w:t xml:space="preserve"> </w:t>
      </w:r>
      <w:r w:rsidR="002200FE" w:rsidRPr="002F46E3">
        <w:rPr>
          <w:rFonts w:cs="Arial"/>
        </w:rPr>
        <w:t xml:space="preserve">× </w:t>
      </w:r>
      <w:r w:rsidR="002502AF" w:rsidRPr="002F46E3">
        <w:t>g and 4°C, for 10 min.</w:t>
      </w:r>
      <w:r w:rsidR="00E73CCF" w:rsidRPr="002F46E3">
        <w:t xml:space="preserve"> </w:t>
      </w:r>
      <w:r w:rsidR="002502AF" w:rsidRPr="002F46E3">
        <w:t xml:space="preserve">The supernatant was filtered </w:t>
      </w:r>
      <w:r w:rsidR="00A71D0A" w:rsidRPr="002F46E3">
        <w:t xml:space="preserve">under vacuum </w:t>
      </w:r>
      <w:r w:rsidR="002502AF" w:rsidRPr="002F46E3">
        <w:t>using Whatman No.4 filter paper and used for further analysis.</w:t>
      </w:r>
      <w:r w:rsidR="00606C17" w:rsidRPr="002F46E3">
        <w:t xml:space="preserve"> M</w:t>
      </w:r>
      <w:r w:rsidR="002200FE" w:rsidRPr="002F46E3">
        <w:t>eanwhile, m</w:t>
      </w:r>
      <w:r w:rsidR="00606C17" w:rsidRPr="002F46E3">
        <w:t xml:space="preserve">andarin peels were freeze-dried and micronized using a laboratory mixer for </w:t>
      </w:r>
      <w:r w:rsidR="002200FE" w:rsidRPr="002F46E3">
        <w:t xml:space="preserve">subsequent </w:t>
      </w:r>
      <w:r w:rsidR="00606C17" w:rsidRPr="002F46E3">
        <w:t>enzymatic activity</w:t>
      </w:r>
      <w:r w:rsidR="00520185">
        <w:t xml:space="preserve"> and malondialdehyde</w:t>
      </w:r>
      <w:r w:rsidR="00606C17" w:rsidRPr="002F46E3">
        <w:t xml:space="preserve"> determination.</w:t>
      </w:r>
    </w:p>
    <w:p w14:paraId="3F1DBC00" w14:textId="09053455" w:rsidR="002502AF" w:rsidRPr="002F46E3" w:rsidRDefault="002502AF" w:rsidP="002502AF">
      <w:pPr>
        <w:pStyle w:val="CETheadingx"/>
      </w:pPr>
      <w:r w:rsidRPr="002F46E3">
        <w:t>Determination of bioactive compounds, antioxidant activity and organic acids</w:t>
      </w:r>
      <w:r w:rsidR="00A63393" w:rsidRPr="002F46E3">
        <w:t xml:space="preserve"> in mandarins</w:t>
      </w:r>
    </w:p>
    <w:p w14:paraId="4DE8E400" w14:textId="0BFA3CDE" w:rsidR="00606C17" w:rsidRPr="002F46E3" w:rsidRDefault="00606C17" w:rsidP="002502AF">
      <w:pPr>
        <w:pStyle w:val="CETBodytext"/>
      </w:pPr>
      <w:r w:rsidRPr="002F46E3">
        <w:t xml:space="preserve">Fruit weight loss and decay rate were assessed </w:t>
      </w:r>
      <w:r w:rsidR="00BC5288" w:rsidRPr="002F46E3">
        <w:t xml:space="preserve">by </w:t>
      </w:r>
      <w:r w:rsidRPr="002F46E3">
        <w:t>measur</w:t>
      </w:r>
      <w:r w:rsidR="00BC5288" w:rsidRPr="002F46E3">
        <w:t>ing</w:t>
      </w:r>
      <w:r w:rsidRPr="002F46E3">
        <w:t xml:space="preserve"> </w:t>
      </w:r>
      <w:r w:rsidR="00BC5288" w:rsidRPr="002F46E3">
        <w:t xml:space="preserve">the mandarins </w:t>
      </w:r>
      <w:r w:rsidRPr="002F46E3">
        <w:t xml:space="preserve">before </w:t>
      </w:r>
      <w:r w:rsidRPr="00A74818">
        <w:t xml:space="preserve">treatment and after each sampling day for </w:t>
      </w:r>
      <w:r w:rsidR="00BC5288" w:rsidRPr="00A74818">
        <w:t xml:space="preserve">the </w:t>
      </w:r>
      <w:r w:rsidRPr="00A74818">
        <w:t xml:space="preserve">remaining </w:t>
      </w:r>
      <w:r w:rsidR="00BC5288" w:rsidRPr="002F46E3">
        <w:t>fruits</w:t>
      </w:r>
      <w:r w:rsidRPr="002F46E3">
        <w:t xml:space="preserve">. Total soluble solids (TSS) of </w:t>
      </w:r>
      <w:r w:rsidR="00BC5288" w:rsidRPr="002F46E3">
        <w:t xml:space="preserve">the </w:t>
      </w:r>
      <w:r w:rsidRPr="002F46E3">
        <w:t xml:space="preserve">mandarins were determined using a digital hand refractometer (PAL-1; </w:t>
      </w:r>
      <w:proofErr w:type="spellStart"/>
      <w:r w:rsidRPr="002F46E3">
        <w:t>Atago</w:t>
      </w:r>
      <w:proofErr w:type="spellEnd"/>
      <w:r w:rsidRPr="002F46E3">
        <w:t xml:space="preserve">, Tokyo, Japan) and expressed </w:t>
      </w:r>
      <w:r w:rsidR="00BC5288" w:rsidRPr="002F46E3">
        <w:t xml:space="preserve">as a </w:t>
      </w:r>
      <w:r w:rsidRPr="002F46E3">
        <w:t>percentage (%)</w:t>
      </w:r>
      <w:r w:rsidR="00BC5288" w:rsidRPr="002F46E3">
        <w:t>.</w:t>
      </w:r>
      <w:r w:rsidRPr="002F46E3">
        <w:t xml:space="preserve"> </w:t>
      </w:r>
      <w:r w:rsidR="00BC5288" w:rsidRPr="002F46E3">
        <w:t>T</w:t>
      </w:r>
      <w:r w:rsidRPr="002F46E3">
        <w:t xml:space="preserve">otal acids (TA) content was determined </w:t>
      </w:r>
      <w:r w:rsidR="00BC5288" w:rsidRPr="002F46E3">
        <w:t xml:space="preserve">through </w:t>
      </w:r>
      <w:r w:rsidRPr="002F46E3">
        <w:t>titration</w:t>
      </w:r>
      <w:r w:rsidR="00BC5288" w:rsidRPr="002F46E3">
        <w:t>, following the</w:t>
      </w:r>
      <w:r w:rsidRPr="002F46E3">
        <w:t xml:space="preserve"> method reported by </w:t>
      </w:r>
      <w:r w:rsidRPr="002F46E3">
        <w:rPr>
          <w:lang w:val="en-GB"/>
        </w:rPr>
        <w:t>Jurić et al. (2023</w:t>
      </w:r>
      <w:r w:rsidRPr="002F46E3">
        <w:t xml:space="preserve">). The share of edible fruit part (%) was calculated as </w:t>
      </w:r>
      <w:r w:rsidR="00BC5288" w:rsidRPr="002F46E3">
        <w:t xml:space="preserve">the </w:t>
      </w:r>
      <w:r w:rsidRPr="002F46E3">
        <w:t xml:space="preserve">ratio </w:t>
      </w:r>
      <w:r w:rsidR="00BC5288" w:rsidRPr="002F46E3">
        <w:t xml:space="preserve">of the </w:t>
      </w:r>
      <w:r w:rsidRPr="002F46E3">
        <w:t xml:space="preserve">edible part </w:t>
      </w:r>
      <w:r w:rsidR="00BC5288" w:rsidRPr="002F46E3">
        <w:t xml:space="preserve">to the </w:t>
      </w:r>
      <w:r w:rsidRPr="002F46E3">
        <w:t>total fruit mass.</w:t>
      </w:r>
    </w:p>
    <w:p w14:paraId="76DE599B" w14:textId="0E931985" w:rsidR="00E73CCF" w:rsidRPr="002F46E3" w:rsidRDefault="002502AF" w:rsidP="002502AF">
      <w:pPr>
        <w:pStyle w:val="CETBodytext"/>
      </w:pPr>
      <w:proofErr w:type="spellStart"/>
      <w:proofErr w:type="gramStart"/>
      <w:r w:rsidRPr="002F46E3">
        <w:t>Total</w:t>
      </w:r>
      <w:proofErr w:type="spellEnd"/>
      <w:proofErr w:type="gramEnd"/>
      <w:r w:rsidRPr="002F46E3">
        <w:t xml:space="preserve"> proteins (TP) in mandarin</w:t>
      </w:r>
      <w:r w:rsidR="00A71D0A" w:rsidRPr="002F46E3">
        <w:t>s</w:t>
      </w:r>
      <w:r w:rsidRPr="002F46E3">
        <w:t xml:space="preserve"> </w:t>
      </w:r>
      <w:r w:rsidR="00A111B8" w:rsidRPr="002F46E3">
        <w:t>were</w:t>
      </w:r>
      <w:r w:rsidRPr="002F46E3">
        <w:t xml:space="preserve"> determined using the Lowry method (Lowry et al., 1951). The modified Folin </w:t>
      </w:r>
      <w:proofErr w:type="spellStart"/>
      <w:r w:rsidRPr="002F46E3">
        <w:t>Ciocalteu’s</w:t>
      </w:r>
      <w:proofErr w:type="spellEnd"/>
      <w:r w:rsidRPr="002F46E3">
        <w:t xml:space="preserve"> method (Singleton et al., 1999) was used to </w:t>
      </w:r>
      <w:r w:rsidR="00BC5288" w:rsidRPr="002F46E3">
        <w:t xml:space="preserve">assess </w:t>
      </w:r>
      <w:r w:rsidRPr="002F46E3">
        <w:t xml:space="preserve">total polyphenolic content (TPC). Total flavonoid content (TFC) was determined </w:t>
      </w:r>
      <w:r w:rsidR="00606C17" w:rsidRPr="002F46E3">
        <w:t xml:space="preserve">using a </w:t>
      </w:r>
      <w:r w:rsidRPr="002F46E3">
        <w:t xml:space="preserve">modified spectrophotometric method </w:t>
      </w:r>
      <w:r w:rsidR="00BC5288" w:rsidRPr="002F46E3">
        <w:t>at 360 nm</w:t>
      </w:r>
      <w:r w:rsidR="00BC5288" w:rsidRPr="002F46E3" w:rsidDel="00606C17">
        <w:t xml:space="preserve"> </w:t>
      </w:r>
      <w:r w:rsidRPr="002F46E3">
        <w:t xml:space="preserve">(Ivanova et al., 2010). </w:t>
      </w:r>
      <w:r w:rsidR="00BC5288" w:rsidRPr="002F46E3">
        <w:t>A</w:t>
      </w:r>
      <w:r w:rsidRPr="002F46E3">
        <w:t xml:space="preserve">ntioxidant </w:t>
      </w:r>
      <w:r w:rsidR="00A71D0A" w:rsidRPr="002F46E3">
        <w:t>activity</w:t>
      </w:r>
      <w:r w:rsidRPr="002F46E3">
        <w:t xml:space="preserve"> was determined using 2,2-diphenyl-1-picrylhydrazyl (DPPH) </w:t>
      </w:r>
      <w:r w:rsidR="00BB1B36" w:rsidRPr="002F46E3">
        <w:t xml:space="preserve">(Brand-Williams et al., 1995) </w:t>
      </w:r>
      <w:r w:rsidRPr="002F46E3">
        <w:t xml:space="preserve">and </w:t>
      </w:r>
      <w:proofErr w:type="gramStart"/>
      <w:r w:rsidRPr="002F46E3">
        <w:t>2,2′-</w:t>
      </w:r>
      <w:proofErr w:type="gramEnd"/>
      <w:r w:rsidRPr="002F46E3">
        <w:t>azino-bis (3-ethylbenzothiazoline-6-sulfonic acid) (ABTS) reagents</w:t>
      </w:r>
      <w:r w:rsidR="00BB1B36" w:rsidRPr="002F46E3">
        <w:t xml:space="preserve"> (Re et al., 1999)</w:t>
      </w:r>
      <w:r w:rsidRPr="002F46E3">
        <w:t xml:space="preserve">. All data </w:t>
      </w:r>
      <w:r w:rsidR="00A71D0A" w:rsidRPr="002F46E3">
        <w:t>were</w:t>
      </w:r>
      <w:r w:rsidRPr="002F46E3">
        <w:t xml:space="preserve"> expressed as mg of standard equivalents per </w:t>
      </w:r>
      <w:r w:rsidR="00CD2757" w:rsidRPr="002F46E3">
        <w:t>100 g</w:t>
      </w:r>
      <w:r w:rsidRPr="002F46E3">
        <w:t xml:space="preserve"> of mandarin</w:t>
      </w:r>
      <w:r w:rsidR="00CD2757" w:rsidRPr="002F46E3">
        <w:t>s (edible part)</w:t>
      </w:r>
      <w:r w:rsidRPr="002F46E3">
        <w:t xml:space="preserve">. </w:t>
      </w:r>
    </w:p>
    <w:p w14:paraId="64195DFA" w14:textId="08FE30FF" w:rsidR="002502AF" w:rsidRPr="002F46E3" w:rsidRDefault="002502AF" w:rsidP="002502AF">
      <w:pPr>
        <w:pStyle w:val="CETBodytext"/>
      </w:pPr>
      <w:r w:rsidRPr="002F46E3">
        <w:t xml:space="preserve">For </w:t>
      </w:r>
      <w:r w:rsidR="008C1D8B" w:rsidRPr="002F46E3">
        <w:t xml:space="preserve">the </w:t>
      </w:r>
      <w:r w:rsidRPr="002F46E3">
        <w:t>determination of oxalic</w:t>
      </w:r>
      <w:r w:rsidR="0032179A" w:rsidRPr="002F46E3">
        <w:t xml:space="preserve"> acid (OA)</w:t>
      </w:r>
      <w:r w:rsidRPr="002F46E3">
        <w:t>, mali</w:t>
      </w:r>
      <w:r w:rsidR="0032179A" w:rsidRPr="002F46E3">
        <w:t>c acid (MA)</w:t>
      </w:r>
      <w:r w:rsidRPr="002F46E3">
        <w:t>, ascorbic</w:t>
      </w:r>
      <w:r w:rsidR="0032179A" w:rsidRPr="002F46E3">
        <w:t xml:space="preserve"> acid (AA)</w:t>
      </w:r>
      <w:r w:rsidRPr="002F46E3">
        <w:t>, and citric acid</w:t>
      </w:r>
      <w:r w:rsidR="0032179A" w:rsidRPr="002F46E3">
        <w:t xml:space="preserve"> (CA)</w:t>
      </w:r>
      <w:r w:rsidR="00CD2757" w:rsidRPr="002F46E3">
        <w:t>, a modified</w:t>
      </w:r>
      <w:r w:rsidRPr="002F46E3">
        <w:t xml:space="preserve"> HPLC method was </w:t>
      </w:r>
      <w:r w:rsidR="00E73CCF" w:rsidRPr="002F46E3">
        <w:t xml:space="preserve">used </w:t>
      </w:r>
      <w:r w:rsidRPr="002F46E3">
        <w:t>(Nour et al., 2010). Diluted supernatant</w:t>
      </w:r>
      <w:r w:rsidR="00E73CCF" w:rsidRPr="002F46E3">
        <w:t>s</w:t>
      </w:r>
      <w:r w:rsidRPr="002F46E3">
        <w:t xml:space="preserve"> w</w:t>
      </w:r>
      <w:r w:rsidR="00E73CCF" w:rsidRPr="002F46E3">
        <w:t>ere</w:t>
      </w:r>
      <w:r w:rsidRPr="002F46E3">
        <w:t xml:space="preserve"> filtered </w:t>
      </w:r>
      <w:r w:rsidR="00BC5288" w:rsidRPr="002F46E3">
        <w:t xml:space="preserve">through </w:t>
      </w:r>
      <w:r w:rsidRPr="002F46E3">
        <w:t xml:space="preserve">0.45 </w:t>
      </w:r>
      <w:proofErr w:type="spellStart"/>
      <w:r w:rsidRPr="002F46E3">
        <w:t>μm</w:t>
      </w:r>
      <w:proofErr w:type="spellEnd"/>
      <w:r w:rsidRPr="002F46E3">
        <w:t xml:space="preserve"> syringe filters </w:t>
      </w:r>
      <w:r w:rsidR="00E73CCF" w:rsidRPr="002F46E3">
        <w:t>before</w:t>
      </w:r>
      <w:r w:rsidRPr="002F46E3">
        <w:t xml:space="preserve"> analysis. </w:t>
      </w:r>
      <w:r w:rsidR="00BC5288" w:rsidRPr="002F46E3">
        <w:t xml:space="preserve">The </w:t>
      </w:r>
      <w:r w:rsidRPr="002F46E3">
        <w:t xml:space="preserve">Agilent 1260 Infinity II System (Agilent, </w:t>
      </w:r>
      <w:proofErr w:type="spellStart"/>
      <w:r w:rsidRPr="002F46E3">
        <w:t>Waldbronn</w:t>
      </w:r>
      <w:proofErr w:type="spellEnd"/>
      <w:r w:rsidRPr="002F46E3">
        <w:t xml:space="preserve">, Germany), equipped with an autosampler, column thermostat, and DAD (diode-array detector) was used. </w:t>
      </w:r>
      <w:r w:rsidR="00BC5288" w:rsidRPr="002F46E3">
        <w:t>O</w:t>
      </w:r>
      <w:r w:rsidRPr="002F46E3">
        <w:t xml:space="preserve">rganic acids </w:t>
      </w:r>
      <w:r w:rsidR="00BC5288" w:rsidRPr="002F46E3">
        <w:t xml:space="preserve">were separated </w:t>
      </w:r>
      <w:r w:rsidR="009C5BCF" w:rsidRPr="002F46E3">
        <w:t xml:space="preserve">using a </w:t>
      </w:r>
      <w:r w:rsidRPr="002F46E3">
        <w:t xml:space="preserve">COSMOSIL C18-PAQ </w:t>
      </w:r>
      <w:r w:rsidR="00BC5288" w:rsidRPr="002F46E3">
        <w:t xml:space="preserve">column </w:t>
      </w:r>
      <w:r w:rsidRPr="002F46E3">
        <w:t xml:space="preserve">(250 mm × 4.6 mm </w:t>
      </w:r>
      <w:proofErr w:type="spellStart"/>
      <w:r w:rsidRPr="002F46E3">
        <w:t>i.d.</w:t>
      </w:r>
      <w:proofErr w:type="spellEnd"/>
      <w:r w:rsidRPr="002F46E3">
        <w:t xml:space="preserve">, 5 </w:t>
      </w:r>
      <w:proofErr w:type="spellStart"/>
      <w:r w:rsidRPr="002F46E3">
        <w:t>μm</w:t>
      </w:r>
      <w:proofErr w:type="spellEnd"/>
      <w:r w:rsidRPr="002F46E3">
        <w:t>)</w:t>
      </w:r>
      <w:r w:rsidR="009C5BCF" w:rsidRPr="002F46E3">
        <w:t xml:space="preserve"> </w:t>
      </w:r>
      <w:r w:rsidRPr="002F46E3">
        <w:t xml:space="preserve">at 40°C. </w:t>
      </w:r>
      <w:r w:rsidR="00BC5288" w:rsidRPr="002F46E3">
        <w:t>D</w:t>
      </w:r>
      <w:r w:rsidRPr="002F46E3">
        <w:t xml:space="preserve">etection wavelengths were </w:t>
      </w:r>
      <w:r w:rsidR="00BC5288" w:rsidRPr="002F46E3">
        <w:t xml:space="preserve">set at </w:t>
      </w:r>
      <w:r w:rsidRPr="002F46E3">
        <w:t xml:space="preserve">254 nm for ascorbic acid and 210 nm for </w:t>
      </w:r>
      <w:r w:rsidR="009C5BCF" w:rsidRPr="002F46E3">
        <w:t xml:space="preserve">the </w:t>
      </w:r>
      <w:r w:rsidRPr="002F46E3">
        <w:t>other acids</w:t>
      </w:r>
      <w:r w:rsidR="00BC5288" w:rsidRPr="002F46E3">
        <w:t xml:space="preserve">, with an </w:t>
      </w:r>
      <w:r w:rsidRPr="002F46E3">
        <w:t xml:space="preserve">injected volume </w:t>
      </w:r>
      <w:r w:rsidR="00BC5288" w:rsidRPr="002F46E3">
        <w:t xml:space="preserve">of </w:t>
      </w:r>
      <w:r w:rsidRPr="002F46E3">
        <w:t xml:space="preserve">20 </w:t>
      </w:r>
      <w:proofErr w:type="spellStart"/>
      <w:r w:rsidRPr="002F46E3">
        <w:t>μL</w:t>
      </w:r>
      <w:proofErr w:type="spellEnd"/>
      <w:r w:rsidRPr="002F46E3">
        <w:t xml:space="preserve">. The mobile phase </w:t>
      </w:r>
      <w:r w:rsidR="00BC5288" w:rsidRPr="002F46E3">
        <w:t xml:space="preserve">consisted of a </w:t>
      </w:r>
      <w:r w:rsidRPr="002F46E3">
        <w:t>50 m</w:t>
      </w:r>
      <w:r w:rsidR="00E73CCF" w:rsidRPr="002F46E3">
        <w:t>M</w:t>
      </w:r>
      <w:r w:rsidRPr="002F46E3">
        <w:t xml:space="preserve"> phosphate buffer with isocratic </w:t>
      </w:r>
      <w:proofErr w:type="gramStart"/>
      <w:r w:rsidRPr="002F46E3">
        <w:t>elution</w:t>
      </w:r>
      <w:proofErr w:type="gramEnd"/>
      <w:r w:rsidRPr="002F46E3">
        <w:t xml:space="preserve"> at a flow rate of 0.7 mL/min.</w:t>
      </w:r>
    </w:p>
    <w:p w14:paraId="058C879F" w14:textId="72B5CA6D" w:rsidR="00A63393" w:rsidRPr="002F46E3" w:rsidRDefault="00A63393" w:rsidP="00A63393">
      <w:pPr>
        <w:pStyle w:val="CETheadingx"/>
      </w:pPr>
      <w:r w:rsidRPr="002F46E3">
        <w:t>Determination of enzymatic activity and malondialdehyde levels in mandarin peels</w:t>
      </w:r>
    </w:p>
    <w:p w14:paraId="04083717" w14:textId="36C0B8A2" w:rsidR="002502AF" w:rsidRPr="002F46E3" w:rsidRDefault="00A63393" w:rsidP="00AC7594">
      <w:pPr>
        <w:pStyle w:val="CETBodytext"/>
        <w:rPr>
          <w:strike/>
        </w:rPr>
      </w:pPr>
      <w:r w:rsidRPr="002F46E3">
        <w:t xml:space="preserve">Polyphenol oxidase (PPO) and </w:t>
      </w:r>
      <w:r w:rsidR="00E34319" w:rsidRPr="002F46E3">
        <w:t>p</w:t>
      </w:r>
      <w:r w:rsidRPr="002F46E3">
        <w:t xml:space="preserve">eroxidase (POD) activity in the mandarin peel powder were determined </w:t>
      </w:r>
      <w:r w:rsidR="00E34319" w:rsidRPr="002F46E3">
        <w:t xml:space="preserve">using a </w:t>
      </w:r>
      <w:r w:rsidRPr="002F46E3">
        <w:t xml:space="preserve">modified </w:t>
      </w:r>
      <w:r w:rsidR="00E73CCF" w:rsidRPr="002F46E3">
        <w:t xml:space="preserve">method of </w:t>
      </w:r>
      <w:r w:rsidRPr="002F46E3">
        <w:t>Chen et al</w:t>
      </w:r>
      <w:r w:rsidR="00E34319" w:rsidRPr="002F46E3">
        <w:t>. (</w:t>
      </w:r>
      <w:r w:rsidRPr="002F46E3">
        <w:t>2019</w:t>
      </w:r>
      <w:r w:rsidR="00E34319" w:rsidRPr="002F46E3">
        <w:t>)</w:t>
      </w:r>
      <w:r w:rsidRPr="002F46E3">
        <w:t xml:space="preserve">. </w:t>
      </w:r>
      <w:r w:rsidR="00A111B8" w:rsidRPr="002F46E3">
        <w:t xml:space="preserve">Catalase activity (CAT) and </w:t>
      </w:r>
      <w:r w:rsidR="00E34319" w:rsidRPr="002F46E3">
        <w:t>m</w:t>
      </w:r>
      <w:r w:rsidR="00A111B8" w:rsidRPr="002F46E3">
        <w:t xml:space="preserve">alondialdehyde (MDA) content in the mandarin peel powder were determined according to the modified </w:t>
      </w:r>
      <w:r w:rsidR="00E34319" w:rsidRPr="002F46E3">
        <w:t xml:space="preserve">methods by </w:t>
      </w:r>
      <w:r w:rsidR="00A111B8" w:rsidRPr="002F46E3">
        <w:t>Petriccione et al. (2015) and Kim et al. (2022).</w:t>
      </w:r>
    </w:p>
    <w:p w14:paraId="677EBFF0" w14:textId="7D4EF620" w:rsidR="00600535" w:rsidRPr="002F46E3" w:rsidRDefault="00194742" w:rsidP="00600535">
      <w:pPr>
        <w:pStyle w:val="CETHeading1"/>
        <w:tabs>
          <w:tab w:val="clear" w:pos="360"/>
          <w:tab w:val="right" w:pos="7100"/>
        </w:tabs>
        <w:jc w:val="both"/>
        <w:rPr>
          <w:lang w:val="en-GB"/>
        </w:rPr>
      </w:pPr>
      <w:r w:rsidRPr="002F46E3">
        <w:rPr>
          <w:lang w:val="en-GB"/>
        </w:rPr>
        <w:lastRenderedPageBreak/>
        <w:t>Results and Discussion</w:t>
      </w:r>
    </w:p>
    <w:p w14:paraId="33B656C5" w14:textId="7DA1BD4C" w:rsidR="00A619BC" w:rsidRPr="002F46E3" w:rsidRDefault="003A75FF" w:rsidP="00A619BC">
      <w:pPr>
        <w:pStyle w:val="CETheadingx"/>
      </w:pPr>
      <w:r w:rsidRPr="002F46E3">
        <w:t>Fruit quality, b</w:t>
      </w:r>
      <w:r w:rsidR="00CB4590" w:rsidRPr="002F46E3">
        <w:t>ioactive compounds, antioxidant activity and protein content change</w:t>
      </w:r>
      <w:r w:rsidR="00E34319" w:rsidRPr="002F46E3">
        <w:t>s</w:t>
      </w:r>
      <w:r w:rsidR="00CB4590" w:rsidRPr="002F46E3">
        <w:t xml:space="preserve"> in mandarins over cold storage </w:t>
      </w:r>
      <w:r w:rsidR="00310A73">
        <w:t>period</w:t>
      </w:r>
    </w:p>
    <w:p w14:paraId="7FB20DFA" w14:textId="5515F37F" w:rsidR="00FD0B85" w:rsidRPr="002F46E3" w:rsidRDefault="00E34319" w:rsidP="003D1567">
      <w:pPr>
        <w:pStyle w:val="CETBodytext"/>
      </w:pPr>
      <w:r w:rsidRPr="002F46E3">
        <w:t xml:space="preserve">Fruit </w:t>
      </w:r>
      <w:r w:rsidR="00A71D0A" w:rsidRPr="002F46E3">
        <w:t xml:space="preserve">quality includes </w:t>
      </w:r>
      <w:r w:rsidR="00A2075B" w:rsidRPr="002F46E3">
        <w:t xml:space="preserve">several parameters, including </w:t>
      </w:r>
      <w:r w:rsidR="00A71D0A" w:rsidRPr="002F46E3">
        <w:t>freshness</w:t>
      </w:r>
      <w:r w:rsidR="00E662FA" w:rsidRPr="002F46E3">
        <w:t xml:space="preserve">, which </w:t>
      </w:r>
      <w:r w:rsidR="00606C17" w:rsidRPr="002F46E3">
        <w:t xml:space="preserve">is </w:t>
      </w:r>
      <w:r w:rsidR="00A2075B" w:rsidRPr="002F46E3">
        <w:t xml:space="preserve">often </w:t>
      </w:r>
      <w:r w:rsidR="00606C17" w:rsidRPr="002F46E3">
        <w:t xml:space="preserve">associated </w:t>
      </w:r>
      <w:r w:rsidR="00A2075B" w:rsidRPr="002F46E3">
        <w:t xml:space="preserve">with </w:t>
      </w:r>
      <w:r w:rsidR="00A71D0A" w:rsidRPr="002F46E3">
        <w:t>a glossy appearance (Althaus and Blanke, 2021</w:t>
      </w:r>
      <w:r w:rsidR="002A2032" w:rsidRPr="002F46E3">
        <w:t>)</w:t>
      </w:r>
      <w:r w:rsidR="00A2075B" w:rsidRPr="002F46E3">
        <w:t>. Glossiness</w:t>
      </w:r>
      <w:r w:rsidR="002A2032" w:rsidRPr="002F46E3">
        <w:t xml:space="preserve"> is </w:t>
      </w:r>
      <w:r w:rsidR="00452C61" w:rsidRPr="002F46E3">
        <w:t>an important external fruit quality</w:t>
      </w:r>
      <w:r w:rsidR="00A71D0A" w:rsidRPr="002F46E3">
        <w:t xml:space="preserve"> </w:t>
      </w:r>
      <w:r w:rsidR="00A2075B" w:rsidRPr="002F46E3">
        <w:t xml:space="preserve">attribute </w:t>
      </w:r>
      <w:r w:rsidR="00A71D0A" w:rsidRPr="002F46E3">
        <w:t>(Zhai et al., 2022)</w:t>
      </w:r>
      <w:r w:rsidR="002A2032" w:rsidRPr="002F46E3">
        <w:t xml:space="preserve">. </w:t>
      </w:r>
      <w:r w:rsidR="00A2075B" w:rsidRPr="002F46E3">
        <w:t>An initial sensory evaluation of fruit glossiness was conducted by twelve sensory-trained panelists o</w:t>
      </w:r>
      <w:r w:rsidR="002A2032" w:rsidRPr="002F46E3">
        <w:t>n control fr</w:t>
      </w:r>
      <w:r w:rsidR="00A2075B" w:rsidRPr="002F46E3">
        <w:t>u</w:t>
      </w:r>
      <w:r w:rsidR="002A2032" w:rsidRPr="002F46E3">
        <w:t xml:space="preserve">its and </w:t>
      </w:r>
      <w:r w:rsidR="00452C61" w:rsidRPr="002F46E3">
        <w:t xml:space="preserve">after </w:t>
      </w:r>
      <w:r w:rsidR="002A2032" w:rsidRPr="002F46E3">
        <w:t xml:space="preserve">the ECs </w:t>
      </w:r>
      <w:r w:rsidR="00452C61" w:rsidRPr="002F46E3">
        <w:t>application</w:t>
      </w:r>
      <w:r w:rsidR="002A2032" w:rsidRPr="002F46E3">
        <w:t>,</w:t>
      </w:r>
      <w:r w:rsidR="00452C61" w:rsidRPr="002F46E3">
        <w:t xml:space="preserve"> before cold storage. </w:t>
      </w:r>
      <w:r w:rsidR="002A2032" w:rsidRPr="002F46E3">
        <w:t xml:space="preserve">Remarkably, this </w:t>
      </w:r>
      <w:r w:rsidR="00452C61" w:rsidRPr="002F46E3">
        <w:t>initial sensory evaluation of fruit glossiness</w:t>
      </w:r>
      <w:r w:rsidR="00E662FA" w:rsidRPr="002F46E3">
        <w:t xml:space="preserve">, </w:t>
      </w:r>
      <w:r w:rsidR="00452C61" w:rsidRPr="002F46E3">
        <w:t xml:space="preserve">evaluated by </w:t>
      </w:r>
      <w:r w:rsidR="00236823" w:rsidRPr="002F46E3">
        <w:t>twelve</w:t>
      </w:r>
      <w:r w:rsidR="00452C61" w:rsidRPr="002F46E3">
        <w:t xml:space="preserve"> sensory</w:t>
      </w:r>
      <w:r w:rsidR="008C1D8B" w:rsidRPr="002F46E3">
        <w:t>-</w:t>
      </w:r>
      <w:r w:rsidR="00452C61" w:rsidRPr="002F46E3">
        <w:t>trained panelists</w:t>
      </w:r>
      <w:r w:rsidR="003A75FF" w:rsidRPr="002F46E3">
        <w:t xml:space="preserve"> (data not shown</w:t>
      </w:r>
      <w:r w:rsidR="002A2032" w:rsidRPr="002F46E3">
        <w:t>)</w:t>
      </w:r>
      <w:r w:rsidR="00964B90">
        <w:t xml:space="preserve"> revealed </w:t>
      </w:r>
      <w:r w:rsidR="002A2032" w:rsidRPr="002F46E3">
        <w:t xml:space="preserve">that </w:t>
      </w:r>
      <w:r w:rsidR="00452C61" w:rsidRPr="002F46E3">
        <w:t>Chitosan and Chitosan/</w:t>
      </w:r>
      <w:proofErr w:type="spellStart"/>
      <w:r w:rsidR="00452C61" w:rsidRPr="002F46E3">
        <w:t>Phe</w:t>
      </w:r>
      <w:proofErr w:type="spellEnd"/>
      <w:r w:rsidR="00452C61" w:rsidRPr="002F46E3">
        <w:t xml:space="preserve"> </w:t>
      </w:r>
      <w:r w:rsidR="002A2032" w:rsidRPr="002F46E3">
        <w:t xml:space="preserve">collected </w:t>
      </w:r>
      <w:r w:rsidR="00452C61" w:rsidRPr="002F46E3">
        <w:t>higher consumer preference</w:t>
      </w:r>
      <w:r w:rsidR="002A2032" w:rsidRPr="002F46E3">
        <w:t>s</w:t>
      </w:r>
      <w:r w:rsidR="00452C61" w:rsidRPr="002F46E3">
        <w:t xml:space="preserve"> </w:t>
      </w:r>
      <w:r w:rsidR="00EC674F" w:rsidRPr="002F46E3">
        <w:t xml:space="preserve">compared to </w:t>
      </w:r>
      <w:r w:rsidR="00452C61" w:rsidRPr="002F46E3">
        <w:t xml:space="preserve">control or </w:t>
      </w:r>
      <w:proofErr w:type="spellStart"/>
      <w:r w:rsidR="00452C61" w:rsidRPr="002F46E3">
        <w:t>Phe</w:t>
      </w:r>
      <w:proofErr w:type="spellEnd"/>
      <w:r w:rsidR="008C1D8B" w:rsidRPr="002F46E3">
        <w:t>-</w:t>
      </w:r>
      <w:r w:rsidR="00452C61" w:rsidRPr="002F46E3">
        <w:t>treated mandarins.</w:t>
      </w:r>
      <w:r w:rsidR="00B10BF8" w:rsidRPr="002F46E3">
        <w:t xml:space="preserve"> </w:t>
      </w:r>
      <w:r w:rsidR="00EC674F" w:rsidRPr="002F46E3">
        <w:t xml:space="preserve">This aligns with previous findings </w:t>
      </w:r>
      <w:r w:rsidR="00B10BF8" w:rsidRPr="002F46E3">
        <w:t xml:space="preserve">for </w:t>
      </w:r>
      <w:r w:rsidR="00EC674F" w:rsidRPr="00A74818">
        <w:t>c</w:t>
      </w:r>
      <w:r w:rsidR="00EC674F" w:rsidRPr="002F46E3">
        <w:t>hitosan</w:t>
      </w:r>
      <w:r w:rsidR="00B10BF8" w:rsidRPr="002F46E3">
        <w:t xml:space="preserve">-based ECs </w:t>
      </w:r>
      <w:r w:rsidR="002A2032" w:rsidRPr="00DD1C0A">
        <w:t xml:space="preserve">applied </w:t>
      </w:r>
      <w:r w:rsidR="00EC674F" w:rsidRPr="00DD1C0A">
        <w:t xml:space="preserve">to </w:t>
      </w:r>
      <w:r w:rsidR="00B10BF8" w:rsidRPr="002F46E3">
        <w:t xml:space="preserve">mandarins </w:t>
      </w:r>
      <w:r w:rsidR="002A2032" w:rsidRPr="00DD1C0A">
        <w:t>(</w:t>
      </w:r>
      <w:r w:rsidR="00B10BF8" w:rsidRPr="002F46E3">
        <w:t>Jurić et al.</w:t>
      </w:r>
      <w:r w:rsidR="002A2032" w:rsidRPr="002F46E3">
        <w:t>,</w:t>
      </w:r>
      <w:r w:rsidR="00B10BF8" w:rsidRPr="002F46E3">
        <w:t xml:space="preserve"> 2023).</w:t>
      </w:r>
      <w:r w:rsidR="00452C61" w:rsidRPr="002F46E3">
        <w:t xml:space="preserve"> </w:t>
      </w:r>
      <w:r w:rsidR="00890669" w:rsidRPr="002F46E3">
        <w:t xml:space="preserve">Regarding </w:t>
      </w:r>
      <w:r w:rsidR="00EC674F" w:rsidRPr="002F46E3">
        <w:t xml:space="preserve">primary </w:t>
      </w:r>
      <w:r w:rsidR="00890669" w:rsidRPr="002F46E3">
        <w:t>fruit quality traits</w:t>
      </w:r>
      <w:r w:rsidR="002A2032" w:rsidRPr="002F46E3">
        <w:t xml:space="preserve">, </w:t>
      </w:r>
      <w:r w:rsidR="00EC674F" w:rsidRPr="002F46E3">
        <w:t xml:space="preserve">such as </w:t>
      </w:r>
      <w:r w:rsidR="00890669" w:rsidRPr="002F46E3">
        <w:t xml:space="preserve">TSS, TA, </w:t>
      </w:r>
      <w:r w:rsidR="00EC674F" w:rsidRPr="002F46E3">
        <w:t xml:space="preserve">the </w:t>
      </w:r>
      <w:r w:rsidR="00890669" w:rsidRPr="002F46E3">
        <w:t>TSS</w:t>
      </w:r>
      <w:r w:rsidR="002A2032" w:rsidRPr="002F46E3">
        <w:t xml:space="preserve"> to </w:t>
      </w:r>
      <w:r w:rsidR="00890669" w:rsidRPr="002F46E3">
        <w:t xml:space="preserve">TA ratio, </w:t>
      </w:r>
      <w:r w:rsidR="00EC674F" w:rsidRPr="002F46E3">
        <w:t xml:space="preserve">the </w:t>
      </w:r>
      <w:r w:rsidR="00890669" w:rsidRPr="002F46E3">
        <w:t>share of edible fruit part</w:t>
      </w:r>
      <w:r w:rsidR="00EC674F" w:rsidRPr="002F46E3">
        <w:t>,</w:t>
      </w:r>
      <w:r w:rsidR="00890669" w:rsidRPr="002F46E3">
        <w:t xml:space="preserve"> and weight loss</w:t>
      </w:r>
      <w:r w:rsidR="002A2032" w:rsidRPr="002F46E3">
        <w:t xml:space="preserve">, </w:t>
      </w:r>
      <w:r w:rsidR="00890669" w:rsidRPr="002F46E3">
        <w:t>no significa</w:t>
      </w:r>
      <w:r w:rsidR="0057017F" w:rsidRPr="002F46E3">
        <w:t>n</w:t>
      </w:r>
      <w:r w:rsidR="00890669" w:rsidRPr="002F46E3">
        <w:t>t difference</w:t>
      </w:r>
      <w:r w:rsidR="002A2032" w:rsidRPr="002F46E3">
        <w:t>s</w:t>
      </w:r>
      <w:r w:rsidR="00890669" w:rsidRPr="002F46E3">
        <w:t xml:space="preserve"> </w:t>
      </w:r>
      <w:r w:rsidR="002A2032" w:rsidRPr="002F46E3">
        <w:t xml:space="preserve">were observed </w:t>
      </w:r>
      <w:r w:rsidR="00EC674F" w:rsidRPr="002F46E3">
        <w:t xml:space="preserve">among treatments </w:t>
      </w:r>
      <w:r w:rsidR="00890669" w:rsidRPr="002F46E3">
        <w:t xml:space="preserve">(data not shown). </w:t>
      </w:r>
      <w:r w:rsidR="00EC674F" w:rsidRPr="002F46E3">
        <w:t>However</w:t>
      </w:r>
      <w:r w:rsidR="00BB1B36" w:rsidRPr="002F46E3">
        <w:t xml:space="preserve">, </w:t>
      </w:r>
      <w:r w:rsidR="002A2032" w:rsidRPr="002F46E3">
        <w:t xml:space="preserve">the </w:t>
      </w:r>
      <w:r w:rsidR="00890669" w:rsidRPr="002F46E3">
        <w:t>treatme</w:t>
      </w:r>
      <w:r w:rsidR="0057017F" w:rsidRPr="002F46E3">
        <w:t>nt</w:t>
      </w:r>
      <w:r w:rsidR="00890669" w:rsidRPr="002F46E3">
        <w:t xml:space="preserve">s </w:t>
      </w:r>
      <w:r w:rsidR="00BB1B36" w:rsidRPr="002F46E3">
        <w:t>significant</w:t>
      </w:r>
      <w:r w:rsidR="00EC674F" w:rsidRPr="002F46E3">
        <w:t>ly</w:t>
      </w:r>
      <w:r w:rsidR="00BB1B36" w:rsidRPr="002F46E3">
        <w:t xml:space="preserve"> </w:t>
      </w:r>
      <w:r w:rsidR="002A2032" w:rsidRPr="002F46E3">
        <w:t>impact</w:t>
      </w:r>
      <w:r w:rsidR="00EC674F" w:rsidRPr="002F46E3">
        <w:t>ed</w:t>
      </w:r>
      <w:r w:rsidR="002A2032" w:rsidRPr="002F46E3">
        <w:t xml:space="preserve"> the </w:t>
      </w:r>
      <w:r w:rsidR="00101A40" w:rsidRPr="002F46E3">
        <w:t xml:space="preserve">content of </w:t>
      </w:r>
      <w:r w:rsidR="00BB1B36" w:rsidRPr="002F46E3">
        <w:t>bioactive compound</w:t>
      </w:r>
      <w:r w:rsidR="0057017F" w:rsidRPr="002F46E3">
        <w:t>s</w:t>
      </w:r>
      <w:r w:rsidR="00101A40" w:rsidRPr="002F46E3">
        <w:t xml:space="preserve"> in mandarins</w:t>
      </w:r>
      <w:r w:rsidR="00E662FA" w:rsidRPr="002F46E3">
        <w:t xml:space="preserve">, as shown in </w:t>
      </w:r>
      <w:r w:rsidR="003D1567" w:rsidRPr="002F46E3">
        <w:t>Table 1</w:t>
      </w:r>
      <w:r w:rsidR="00BB1B36" w:rsidRPr="002F46E3">
        <w:t xml:space="preserve">. </w:t>
      </w:r>
    </w:p>
    <w:p w14:paraId="24127860" w14:textId="0263437F" w:rsidR="00194742" w:rsidRPr="002F46E3" w:rsidRDefault="00194742" w:rsidP="008C1D8B">
      <w:pPr>
        <w:pStyle w:val="CETTabletitle"/>
      </w:pPr>
      <w:r w:rsidRPr="002F46E3">
        <w:t>Table 1: Total polyphenolic and total flavonoid content, antioxidant activity (DPPH and ABTS) and total proteins in mandarins initially (day 0) and after cold storage time up to 21 days</w:t>
      </w:r>
      <w:r w:rsidR="009E0284">
        <w:t>.</w:t>
      </w:r>
    </w:p>
    <w:tbl>
      <w:tblPr>
        <w:tblpPr w:leftFromText="180" w:rightFromText="180" w:vertAnchor="text" w:horzAnchor="margin" w:tblpY="21"/>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57"/>
        <w:gridCol w:w="1759"/>
        <w:gridCol w:w="1759"/>
        <w:gridCol w:w="1756"/>
        <w:gridCol w:w="1756"/>
      </w:tblGrid>
      <w:tr w:rsidR="00194742" w:rsidRPr="002F46E3" w14:paraId="04E47277" w14:textId="77777777" w:rsidTr="00194742">
        <w:tc>
          <w:tcPr>
            <w:tcW w:w="1000" w:type="pct"/>
            <w:tcBorders>
              <w:top w:val="single" w:sz="12" w:space="0" w:color="008000"/>
              <w:bottom w:val="single" w:sz="6" w:space="0" w:color="008000"/>
            </w:tcBorders>
            <w:shd w:val="clear" w:color="auto" w:fill="FFFFFF"/>
            <w:vAlign w:val="center"/>
          </w:tcPr>
          <w:p w14:paraId="3A8C43E6" w14:textId="77777777" w:rsidR="00194742" w:rsidRPr="002F46E3" w:rsidRDefault="00194742" w:rsidP="00194742">
            <w:pPr>
              <w:pStyle w:val="CETBodytext"/>
              <w:rPr>
                <w:lang w:val="en-GB"/>
              </w:rPr>
            </w:pPr>
            <w:r w:rsidRPr="002F46E3">
              <w:rPr>
                <w:lang w:val="en-GB"/>
              </w:rPr>
              <w:t>Treatment</w:t>
            </w:r>
          </w:p>
        </w:tc>
        <w:tc>
          <w:tcPr>
            <w:tcW w:w="1001" w:type="pct"/>
            <w:tcBorders>
              <w:top w:val="single" w:sz="12" w:space="0" w:color="008000"/>
              <w:bottom w:val="single" w:sz="6" w:space="0" w:color="008000"/>
            </w:tcBorders>
            <w:shd w:val="clear" w:color="auto" w:fill="FFFFFF"/>
            <w:vAlign w:val="center"/>
          </w:tcPr>
          <w:p w14:paraId="32159FEE" w14:textId="77777777" w:rsidR="00194742" w:rsidRPr="002F46E3" w:rsidRDefault="00194742" w:rsidP="00194742">
            <w:pPr>
              <w:pStyle w:val="CETBodytext"/>
              <w:jc w:val="center"/>
              <w:rPr>
                <w:lang w:val="en-GB"/>
              </w:rPr>
            </w:pPr>
            <w:r w:rsidRPr="002F46E3">
              <w:rPr>
                <w:lang w:val="en-GB"/>
              </w:rPr>
              <w:t>Day 0</w:t>
            </w:r>
          </w:p>
        </w:tc>
        <w:tc>
          <w:tcPr>
            <w:tcW w:w="1001" w:type="pct"/>
            <w:tcBorders>
              <w:top w:val="single" w:sz="12" w:space="0" w:color="008000"/>
              <w:bottom w:val="single" w:sz="6" w:space="0" w:color="008000"/>
            </w:tcBorders>
            <w:shd w:val="clear" w:color="auto" w:fill="FFFFFF"/>
            <w:vAlign w:val="center"/>
          </w:tcPr>
          <w:p w14:paraId="02A52AFB" w14:textId="77777777" w:rsidR="00194742" w:rsidRPr="002F46E3" w:rsidRDefault="00194742" w:rsidP="00194742">
            <w:pPr>
              <w:pStyle w:val="CETBodytext"/>
              <w:jc w:val="center"/>
              <w:rPr>
                <w:lang w:val="en-GB"/>
              </w:rPr>
            </w:pPr>
            <w:r w:rsidRPr="002F46E3">
              <w:rPr>
                <w:lang w:val="en-GB"/>
              </w:rPr>
              <w:t>Day 7</w:t>
            </w:r>
          </w:p>
        </w:tc>
        <w:tc>
          <w:tcPr>
            <w:tcW w:w="999" w:type="pct"/>
            <w:tcBorders>
              <w:top w:val="single" w:sz="12" w:space="0" w:color="008000"/>
              <w:bottom w:val="single" w:sz="6" w:space="0" w:color="008000"/>
            </w:tcBorders>
            <w:shd w:val="clear" w:color="auto" w:fill="FFFFFF"/>
            <w:vAlign w:val="center"/>
          </w:tcPr>
          <w:p w14:paraId="156E9788" w14:textId="77777777" w:rsidR="00194742" w:rsidRPr="002F46E3" w:rsidRDefault="00194742" w:rsidP="00194742">
            <w:pPr>
              <w:pStyle w:val="CETBodytext"/>
              <w:jc w:val="center"/>
              <w:rPr>
                <w:lang w:val="en-GB"/>
              </w:rPr>
            </w:pPr>
            <w:r w:rsidRPr="002F46E3">
              <w:rPr>
                <w:lang w:val="en-GB"/>
              </w:rPr>
              <w:t>Day 14</w:t>
            </w:r>
          </w:p>
        </w:tc>
        <w:tc>
          <w:tcPr>
            <w:tcW w:w="999" w:type="pct"/>
            <w:tcBorders>
              <w:top w:val="single" w:sz="12" w:space="0" w:color="008000"/>
              <w:bottom w:val="single" w:sz="6" w:space="0" w:color="008000"/>
            </w:tcBorders>
            <w:shd w:val="clear" w:color="auto" w:fill="FFFFFF"/>
            <w:vAlign w:val="center"/>
          </w:tcPr>
          <w:p w14:paraId="4EB806A9" w14:textId="77777777" w:rsidR="00194742" w:rsidRPr="002F46E3" w:rsidRDefault="00194742" w:rsidP="00194742">
            <w:pPr>
              <w:pStyle w:val="CETBodytext"/>
              <w:ind w:right="-1"/>
              <w:jc w:val="center"/>
              <w:rPr>
                <w:rFonts w:cs="Arial"/>
                <w:szCs w:val="18"/>
                <w:lang w:val="en-GB"/>
              </w:rPr>
            </w:pPr>
            <w:r w:rsidRPr="002F46E3">
              <w:rPr>
                <w:rFonts w:cs="Arial"/>
                <w:szCs w:val="18"/>
                <w:lang w:val="en-GB"/>
              </w:rPr>
              <w:t>Day 21</w:t>
            </w:r>
          </w:p>
        </w:tc>
      </w:tr>
      <w:tr w:rsidR="00194742" w:rsidRPr="002F46E3" w14:paraId="0B83B518" w14:textId="77777777" w:rsidTr="00194742">
        <w:tc>
          <w:tcPr>
            <w:tcW w:w="5000" w:type="pct"/>
            <w:gridSpan w:val="5"/>
            <w:tcBorders>
              <w:top w:val="single" w:sz="12" w:space="0" w:color="008000"/>
              <w:bottom w:val="single" w:sz="6" w:space="0" w:color="008000"/>
            </w:tcBorders>
            <w:shd w:val="clear" w:color="auto" w:fill="FFFFFF"/>
            <w:vAlign w:val="center"/>
          </w:tcPr>
          <w:p w14:paraId="4B07F661" w14:textId="77777777" w:rsidR="00194742" w:rsidRPr="002F46E3" w:rsidRDefault="00194742" w:rsidP="00194742">
            <w:pPr>
              <w:pStyle w:val="CETBodytext"/>
              <w:ind w:right="-1"/>
              <w:jc w:val="center"/>
              <w:rPr>
                <w:rFonts w:cs="Arial"/>
                <w:szCs w:val="18"/>
                <w:lang w:val="en-GB"/>
              </w:rPr>
            </w:pPr>
            <w:r w:rsidRPr="002F46E3">
              <w:rPr>
                <w:lang w:val="en-GB"/>
              </w:rPr>
              <w:t>Total Polyphenolic Content (TPC) (mg GAE/100 g)</w:t>
            </w:r>
          </w:p>
        </w:tc>
      </w:tr>
      <w:tr w:rsidR="00194742" w:rsidRPr="002F46E3" w14:paraId="2AFD2191" w14:textId="77777777" w:rsidTr="00194742">
        <w:tc>
          <w:tcPr>
            <w:tcW w:w="1000" w:type="pct"/>
            <w:shd w:val="clear" w:color="auto" w:fill="FFFFFF"/>
            <w:vAlign w:val="center"/>
          </w:tcPr>
          <w:p w14:paraId="56C702A1" w14:textId="77777777" w:rsidR="00194742" w:rsidRPr="002F46E3" w:rsidRDefault="00194742" w:rsidP="00194742">
            <w:pPr>
              <w:pStyle w:val="CETBodytext"/>
              <w:rPr>
                <w:lang w:val="en-GB"/>
              </w:rPr>
            </w:pPr>
            <w:r w:rsidRPr="002F46E3">
              <w:rPr>
                <w:lang w:val="en-GB"/>
              </w:rPr>
              <w:t>Control</w:t>
            </w:r>
          </w:p>
        </w:tc>
        <w:tc>
          <w:tcPr>
            <w:tcW w:w="1001" w:type="pct"/>
            <w:vMerge w:val="restart"/>
            <w:shd w:val="clear" w:color="auto" w:fill="FFFFFF"/>
            <w:vAlign w:val="center"/>
          </w:tcPr>
          <w:p w14:paraId="2BBCBB13" w14:textId="77777777" w:rsidR="00194742" w:rsidRPr="002F46E3" w:rsidRDefault="00194742" w:rsidP="00194742">
            <w:pPr>
              <w:pStyle w:val="CETBodytext"/>
              <w:jc w:val="center"/>
              <w:rPr>
                <w:lang w:val="en-GB"/>
              </w:rPr>
            </w:pPr>
            <w:r w:rsidRPr="002F46E3">
              <w:rPr>
                <w:lang w:val="en-GB"/>
              </w:rPr>
              <w:t>25.05</w:t>
            </w:r>
            <w:r w:rsidRPr="002F46E3">
              <w:rPr>
                <w:rFonts w:cs="Arial"/>
                <w:lang w:val="en-GB"/>
              </w:rPr>
              <w:t>±</w:t>
            </w:r>
            <w:r w:rsidRPr="002F46E3">
              <w:rPr>
                <w:lang w:val="en-GB"/>
              </w:rPr>
              <w:t>0.85</w:t>
            </w:r>
          </w:p>
        </w:tc>
        <w:tc>
          <w:tcPr>
            <w:tcW w:w="1001" w:type="pct"/>
            <w:shd w:val="clear" w:color="auto" w:fill="FFFFFF"/>
            <w:vAlign w:val="center"/>
          </w:tcPr>
          <w:p w14:paraId="0261808D" w14:textId="77777777" w:rsidR="00194742" w:rsidRPr="002F46E3" w:rsidRDefault="00194742" w:rsidP="00194742">
            <w:pPr>
              <w:pStyle w:val="CETBodytext"/>
              <w:jc w:val="center"/>
              <w:rPr>
                <w:lang w:val="en-GB"/>
              </w:rPr>
            </w:pPr>
            <w:r w:rsidRPr="002F46E3">
              <w:rPr>
                <w:lang w:val="en-GB"/>
              </w:rPr>
              <w:t>22.50</w:t>
            </w:r>
            <w:r w:rsidRPr="002F46E3">
              <w:rPr>
                <w:rFonts w:cs="Arial"/>
                <w:lang w:val="en-GB"/>
              </w:rPr>
              <w:t>±</w:t>
            </w:r>
            <w:r w:rsidRPr="002F46E3">
              <w:rPr>
                <w:lang w:val="en-GB"/>
              </w:rPr>
              <w:t>1.64</w:t>
            </w:r>
            <w:r w:rsidRPr="002F46E3">
              <w:rPr>
                <w:vertAlign w:val="superscript"/>
                <w:lang w:val="en-GB"/>
              </w:rPr>
              <w:t>c</w:t>
            </w:r>
          </w:p>
        </w:tc>
        <w:tc>
          <w:tcPr>
            <w:tcW w:w="999" w:type="pct"/>
            <w:shd w:val="clear" w:color="auto" w:fill="FFFFFF"/>
            <w:vAlign w:val="center"/>
          </w:tcPr>
          <w:p w14:paraId="718D60FC" w14:textId="77777777" w:rsidR="00194742" w:rsidRPr="002F46E3" w:rsidRDefault="00194742" w:rsidP="00194742">
            <w:pPr>
              <w:jc w:val="center"/>
            </w:pPr>
            <w:r w:rsidRPr="002F46E3">
              <w:t>20.68±2.97</w:t>
            </w:r>
            <w:r w:rsidRPr="002F46E3">
              <w:rPr>
                <w:vertAlign w:val="superscript"/>
              </w:rPr>
              <w:t>c</w:t>
            </w:r>
          </w:p>
        </w:tc>
        <w:tc>
          <w:tcPr>
            <w:tcW w:w="999" w:type="pct"/>
            <w:shd w:val="clear" w:color="auto" w:fill="FFFFFF"/>
          </w:tcPr>
          <w:p w14:paraId="57CE937E" w14:textId="77777777" w:rsidR="00194742" w:rsidRPr="002F46E3" w:rsidRDefault="00194742" w:rsidP="00194742">
            <w:pPr>
              <w:pStyle w:val="CETBodytext"/>
              <w:ind w:right="-1"/>
              <w:jc w:val="center"/>
              <w:rPr>
                <w:rFonts w:cs="Arial"/>
                <w:szCs w:val="18"/>
                <w:lang w:val="en-GB"/>
              </w:rPr>
            </w:pPr>
            <w:r w:rsidRPr="002F46E3">
              <w:t>19.07±4.74</w:t>
            </w:r>
            <w:r w:rsidRPr="002F46E3">
              <w:rPr>
                <w:vertAlign w:val="superscript"/>
              </w:rPr>
              <w:t>c</w:t>
            </w:r>
          </w:p>
        </w:tc>
      </w:tr>
      <w:tr w:rsidR="00194742" w:rsidRPr="002F46E3" w14:paraId="6719776A" w14:textId="77777777" w:rsidTr="00194742">
        <w:tc>
          <w:tcPr>
            <w:tcW w:w="1000" w:type="pct"/>
            <w:shd w:val="clear" w:color="auto" w:fill="FFFFFF"/>
            <w:vAlign w:val="center"/>
          </w:tcPr>
          <w:p w14:paraId="4BFD7484" w14:textId="77777777" w:rsidR="00194742" w:rsidRPr="002F46E3" w:rsidRDefault="00194742" w:rsidP="00194742">
            <w:pPr>
              <w:pStyle w:val="CETBodytext"/>
              <w:rPr>
                <w:lang w:val="en-GB"/>
              </w:rPr>
            </w:pPr>
            <w:proofErr w:type="spellStart"/>
            <w:r w:rsidRPr="002F46E3">
              <w:rPr>
                <w:lang w:val="en-GB"/>
              </w:rPr>
              <w:t>Phe</w:t>
            </w:r>
            <w:proofErr w:type="spellEnd"/>
          </w:p>
        </w:tc>
        <w:tc>
          <w:tcPr>
            <w:tcW w:w="1001" w:type="pct"/>
            <w:vMerge/>
            <w:shd w:val="clear" w:color="auto" w:fill="FFFFFF"/>
            <w:vAlign w:val="center"/>
          </w:tcPr>
          <w:p w14:paraId="556BD8AC" w14:textId="77777777" w:rsidR="00194742" w:rsidRPr="002F46E3" w:rsidRDefault="00194742" w:rsidP="00194742">
            <w:pPr>
              <w:pStyle w:val="CETBodytext"/>
              <w:jc w:val="center"/>
              <w:rPr>
                <w:lang w:val="en-GB"/>
              </w:rPr>
            </w:pPr>
          </w:p>
        </w:tc>
        <w:tc>
          <w:tcPr>
            <w:tcW w:w="1001" w:type="pct"/>
            <w:shd w:val="clear" w:color="auto" w:fill="FFFFFF"/>
            <w:vAlign w:val="center"/>
          </w:tcPr>
          <w:p w14:paraId="25642DD4" w14:textId="77777777" w:rsidR="00194742" w:rsidRPr="002F46E3" w:rsidRDefault="00194742" w:rsidP="00194742">
            <w:pPr>
              <w:pStyle w:val="CETBodytext"/>
              <w:jc w:val="center"/>
              <w:rPr>
                <w:lang w:val="en-GB"/>
              </w:rPr>
            </w:pPr>
            <w:r w:rsidRPr="002F46E3">
              <w:rPr>
                <w:lang w:val="en-GB"/>
              </w:rPr>
              <w:t>30.10</w:t>
            </w:r>
            <w:r w:rsidRPr="002F46E3">
              <w:rPr>
                <w:rFonts w:cs="Arial"/>
                <w:lang w:val="en-GB"/>
              </w:rPr>
              <w:t>±</w:t>
            </w:r>
            <w:r w:rsidRPr="002F46E3">
              <w:rPr>
                <w:lang w:val="en-GB"/>
              </w:rPr>
              <w:t>2.98</w:t>
            </w:r>
            <w:r w:rsidRPr="002F46E3">
              <w:rPr>
                <w:vertAlign w:val="superscript"/>
                <w:lang w:val="en-GB"/>
              </w:rPr>
              <w:t>a</w:t>
            </w:r>
          </w:p>
        </w:tc>
        <w:tc>
          <w:tcPr>
            <w:tcW w:w="999" w:type="pct"/>
            <w:shd w:val="clear" w:color="auto" w:fill="FFFFFF"/>
            <w:vAlign w:val="center"/>
          </w:tcPr>
          <w:p w14:paraId="0F3EF4B6" w14:textId="77777777" w:rsidR="00194742" w:rsidRPr="002F46E3" w:rsidRDefault="00194742" w:rsidP="00194742">
            <w:pPr>
              <w:jc w:val="center"/>
            </w:pPr>
            <w:r w:rsidRPr="002F46E3">
              <w:t>28.74±1.18</w:t>
            </w:r>
            <w:r w:rsidRPr="002F46E3">
              <w:rPr>
                <w:vertAlign w:val="superscript"/>
              </w:rPr>
              <w:t>a</w:t>
            </w:r>
          </w:p>
        </w:tc>
        <w:tc>
          <w:tcPr>
            <w:tcW w:w="999" w:type="pct"/>
            <w:shd w:val="clear" w:color="auto" w:fill="FFFFFF"/>
          </w:tcPr>
          <w:p w14:paraId="7D3EA3A9" w14:textId="77777777" w:rsidR="00194742" w:rsidRPr="002F46E3" w:rsidRDefault="00194742" w:rsidP="00194742">
            <w:pPr>
              <w:pStyle w:val="CETBodytext"/>
              <w:ind w:right="-1"/>
              <w:jc w:val="center"/>
              <w:rPr>
                <w:rFonts w:cs="Arial"/>
                <w:szCs w:val="18"/>
                <w:lang w:val="en-GB"/>
              </w:rPr>
            </w:pPr>
            <w:r w:rsidRPr="002F46E3">
              <w:t>26.76±1.94</w:t>
            </w:r>
            <w:r w:rsidRPr="002F46E3">
              <w:rPr>
                <w:vertAlign w:val="superscript"/>
              </w:rPr>
              <w:t>a</w:t>
            </w:r>
          </w:p>
        </w:tc>
      </w:tr>
      <w:tr w:rsidR="00194742" w:rsidRPr="002F46E3" w14:paraId="1F10FCA1" w14:textId="77777777" w:rsidTr="00194742">
        <w:tc>
          <w:tcPr>
            <w:tcW w:w="1000" w:type="pct"/>
            <w:shd w:val="clear" w:color="auto" w:fill="FFFFFF"/>
            <w:vAlign w:val="center"/>
          </w:tcPr>
          <w:p w14:paraId="5707026F" w14:textId="77777777" w:rsidR="00194742" w:rsidRPr="002F46E3" w:rsidRDefault="00194742" w:rsidP="00194742">
            <w:pPr>
              <w:pStyle w:val="CETBodytext"/>
              <w:rPr>
                <w:lang w:val="en-GB"/>
              </w:rPr>
            </w:pPr>
            <w:r w:rsidRPr="002F46E3">
              <w:rPr>
                <w:lang w:val="en-GB"/>
              </w:rPr>
              <w:t>Chitosan</w:t>
            </w:r>
          </w:p>
        </w:tc>
        <w:tc>
          <w:tcPr>
            <w:tcW w:w="1001" w:type="pct"/>
            <w:vMerge/>
            <w:shd w:val="clear" w:color="auto" w:fill="FFFFFF"/>
            <w:vAlign w:val="center"/>
          </w:tcPr>
          <w:p w14:paraId="42F54FDD" w14:textId="77777777" w:rsidR="00194742" w:rsidRPr="002F46E3" w:rsidRDefault="00194742" w:rsidP="00194742">
            <w:pPr>
              <w:pStyle w:val="CETBodytext"/>
              <w:jc w:val="center"/>
              <w:rPr>
                <w:lang w:val="en-GB"/>
              </w:rPr>
            </w:pPr>
          </w:p>
        </w:tc>
        <w:tc>
          <w:tcPr>
            <w:tcW w:w="1001" w:type="pct"/>
            <w:shd w:val="clear" w:color="auto" w:fill="FFFFFF"/>
            <w:vAlign w:val="center"/>
          </w:tcPr>
          <w:p w14:paraId="5805AE92" w14:textId="77777777" w:rsidR="00194742" w:rsidRPr="002F46E3" w:rsidRDefault="00194742" w:rsidP="00194742">
            <w:pPr>
              <w:pStyle w:val="CETBodytext"/>
              <w:jc w:val="center"/>
              <w:rPr>
                <w:lang w:val="en-GB"/>
              </w:rPr>
            </w:pPr>
            <w:r w:rsidRPr="002F46E3">
              <w:rPr>
                <w:lang w:val="en-GB"/>
              </w:rPr>
              <w:t>23.65</w:t>
            </w:r>
            <w:r w:rsidRPr="002F46E3">
              <w:rPr>
                <w:rFonts w:cs="Arial"/>
                <w:lang w:val="en-GB"/>
              </w:rPr>
              <w:t>±</w:t>
            </w:r>
            <w:r w:rsidRPr="002F46E3">
              <w:rPr>
                <w:lang w:val="en-GB"/>
              </w:rPr>
              <w:t>3.97</w:t>
            </w:r>
            <w:r w:rsidRPr="002F46E3">
              <w:rPr>
                <w:vertAlign w:val="superscript"/>
                <w:lang w:val="en-GB"/>
              </w:rPr>
              <w:t>bc</w:t>
            </w:r>
          </w:p>
        </w:tc>
        <w:tc>
          <w:tcPr>
            <w:tcW w:w="999" w:type="pct"/>
            <w:shd w:val="clear" w:color="auto" w:fill="FFFFFF"/>
            <w:vAlign w:val="center"/>
          </w:tcPr>
          <w:p w14:paraId="6D06F658" w14:textId="77777777" w:rsidR="00194742" w:rsidRPr="002F46E3" w:rsidRDefault="00194742" w:rsidP="00194742">
            <w:pPr>
              <w:jc w:val="center"/>
            </w:pPr>
            <w:r w:rsidRPr="002F46E3">
              <w:t>24.98±1.53</w:t>
            </w:r>
            <w:r w:rsidRPr="002F46E3">
              <w:rPr>
                <w:vertAlign w:val="superscript"/>
              </w:rPr>
              <w:t>b</w:t>
            </w:r>
          </w:p>
        </w:tc>
        <w:tc>
          <w:tcPr>
            <w:tcW w:w="999" w:type="pct"/>
            <w:shd w:val="clear" w:color="auto" w:fill="FFFFFF"/>
          </w:tcPr>
          <w:p w14:paraId="3F258FF8" w14:textId="77777777" w:rsidR="00194742" w:rsidRPr="002F46E3" w:rsidRDefault="00194742" w:rsidP="00194742">
            <w:pPr>
              <w:pStyle w:val="CETBodytext"/>
              <w:ind w:right="-1"/>
              <w:jc w:val="center"/>
              <w:rPr>
                <w:rFonts w:cs="Arial"/>
                <w:szCs w:val="18"/>
                <w:lang w:val="en-GB"/>
              </w:rPr>
            </w:pPr>
            <w:r w:rsidRPr="002F46E3">
              <w:t>20.65±1.68</w:t>
            </w:r>
            <w:r w:rsidRPr="002F46E3">
              <w:rPr>
                <w:vertAlign w:val="superscript"/>
              </w:rPr>
              <w:t>bc</w:t>
            </w:r>
          </w:p>
        </w:tc>
      </w:tr>
      <w:tr w:rsidR="00194742" w:rsidRPr="002F46E3" w14:paraId="45716153" w14:textId="77777777" w:rsidTr="00194742">
        <w:tc>
          <w:tcPr>
            <w:tcW w:w="1000" w:type="pct"/>
            <w:tcBorders>
              <w:bottom w:val="single" w:sz="4" w:space="0" w:color="auto"/>
            </w:tcBorders>
            <w:shd w:val="clear" w:color="auto" w:fill="FFFFFF"/>
            <w:vAlign w:val="center"/>
          </w:tcPr>
          <w:p w14:paraId="69B876AA" w14:textId="77777777" w:rsidR="00194742" w:rsidRPr="002F46E3" w:rsidRDefault="00194742" w:rsidP="00194742">
            <w:pPr>
              <w:pStyle w:val="CETBodytext"/>
              <w:ind w:right="-1"/>
              <w:rPr>
                <w:rFonts w:cs="Arial"/>
                <w:szCs w:val="18"/>
                <w:lang w:val="en-GB"/>
              </w:rPr>
            </w:pPr>
            <w:r w:rsidRPr="002F46E3">
              <w:rPr>
                <w:lang w:val="en-GB"/>
              </w:rPr>
              <w:t>Chitosan/</w:t>
            </w:r>
            <w:proofErr w:type="spellStart"/>
            <w:r w:rsidRPr="002F46E3">
              <w:rPr>
                <w:lang w:val="en-GB"/>
              </w:rPr>
              <w:t>Phe</w:t>
            </w:r>
            <w:proofErr w:type="spellEnd"/>
          </w:p>
        </w:tc>
        <w:tc>
          <w:tcPr>
            <w:tcW w:w="1001" w:type="pct"/>
            <w:vMerge/>
            <w:tcBorders>
              <w:bottom w:val="single" w:sz="4" w:space="0" w:color="auto"/>
            </w:tcBorders>
            <w:shd w:val="clear" w:color="auto" w:fill="FFFFFF"/>
            <w:vAlign w:val="center"/>
          </w:tcPr>
          <w:p w14:paraId="64AD5137" w14:textId="77777777" w:rsidR="00194742" w:rsidRPr="002F46E3" w:rsidRDefault="00194742" w:rsidP="00194742">
            <w:pPr>
              <w:pStyle w:val="CETBodytext"/>
              <w:ind w:right="-1"/>
              <w:jc w:val="center"/>
              <w:rPr>
                <w:rFonts w:cs="Arial"/>
                <w:szCs w:val="18"/>
                <w:lang w:val="en-GB"/>
              </w:rPr>
            </w:pPr>
          </w:p>
        </w:tc>
        <w:tc>
          <w:tcPr>
            <w:tcW w:w="1001" w:type="pct"/>
            <w:tcBorders>
              <w:bottom w:val="single" w:sz="4" w:space="0" w:color="auto"/>
            </w:tcBorders>
            <w:shd w:val="clear" w:color="auto" w:fill="FFFFFF"/>
            <w:vAlign w:val="center"/>
          </w:tcPr>
          <w:p w14:paraId="681195AD" w14:textId="77777777" w:rsidR="00194742" w:rsidRPr="002F46E3" w:rsidRDefault="00194742" w:rsidP="00194742">
            <w:pPr>
              <w:pStyle w:val="CETBodytext"/>
              <w:ind w:right="-1"/>
              <w:jc w:val="center"/>
              <w:rPr>
                <w:rFonts w:cs="Arial"/>
                <w:szCs w:val="18"/>
                <w:lang w:val="en-GB"/>
              </w:rPr>
            </w:pPr>
            <w:r w:rsidRPr="002F46E3">
              <w:rPr>
                <w:rFonts w:cs="Arial"/>
                <w:szCs w:val="18"/>
                <w:lang w:val="en-GB"/>
              </w:rPr>
              <w:t>25.49</w:t>
            </w:r>
            <w:r w:rsidRPr="002F46E3">
              <w:rPr>
                <w:rFonts w:cs="Arial"/>
                <w:lang w:val="en-GB"/>
              </w:rPr>
              <w:t>±</w:t>
            </w:r>
            <w:r w:rsidRPr="002F46E3">
              <w:rPr>
                <w:rFonts w:cs="Arial"/>
                <w:szCs w:val="18"/>
                <w:lang w:val="en-GB"/>
              </w:rPr>
              <w:t>1.63</w:t>
            </w:r>
            <w:r w:rsidRPr="002F46E3">
              <w:rPr>
                <w:rFonts w:cs="Arial"/>
                <w:szCs w:val="18"/>
                <w:vertAlign w:val="superscript"/>
                <w:lang w:val="en-GB"/>
              </w:rPr>
              <w:t>b</w:t>
            </w:r>
          </w:p>
        </w:tc>
        <w:tc>
          <w:tcPr>
            <w:tcW w:w="999" w:type="pct"/>
            <w:tcBorders>
              <w:bottom w:val="single" w:sz="4" w:space="0" w:color="auto"/>
            </w:tcBorders>
            <w:shd w:val="clear" w:color="auto" w:fill="FFFFFF"/>
            <w:vAlign w:val="center"/>
          </w:tcPr>
          <w:p w14:paraId="05A800DE" w14:textId="77777777" w:rsidR="00194742" w:rsidRPr="002F46E3" w:rsidRDefault="00194742" w:rsidP="00194742">
            <w:pPr>
              <w:pStyle w:val="CETBodytext"/>
              <w:ind w:right="-1"/>
              <w:jc w:val="center"/>
              <w:rPr>
                <w:rFonts w:cs="Arial"/>
                <w:szCs w:val="18"/>
                <w:lang w:val="en-GB"/>
              </w:rPr>
            </w:pPr>
            <w:r w:rsidRPr="002F46E3">
              <w:rPr>
                <w:rFonts w:cs="Arial"/>
                <w:szCs w:val="18"/>
                <w:lang w:val="en-GB"/>
              </w:rPr>
              <w:t>23.44</w:t>
            </w:r>
            <w:r w:rsidRPr="002F46E3">
              <w:rPr>
                <w:lang w:val="en-GB"/>
              </w:rPr>
              <w:t>±</w:t>
            </w:r>
            <w:r w:rsidRPr="002F46E3">
              <w:rPr>
                <w:rFonts w:cs="Arial"/>
                <w:szCs w:val="18"/>
                <w:lang w:val="en-GB"/>
              </w:rPr>
              <w:t>2.14</w:t>
            </w:r>
            <w:r w:rsidRPr="002F46E3">
              <w:rPr>
                <w:rFonts w:cs="Arial"/>
                <w:szCs w:val="18"/>
                <w:vertAlign w:val="superscript"/>
                <w:lang w:val="en-GB"/>
              </w:rPr>
              <w:t>bc</w:t>
            </w:r>
          </w:p>
        </w:tc>
        <w:tc>
          <w:tcPr>
            <w:tcW w:w="999" w:type="pct"/>
            <w:tcBorders>
              <w:bottom w:val="single" w:sz="4" w:space="0" w:color="auto"/>
            </w:tcBorders>
            <w:shd w:val="clear" w:color="auto" w:fill="FFFFFF"/>
          </w:tcPr>
          <w:p w14:paraId="1935F129" w14:textId="77777777" w:rsidR="00194742" w:rsidRPr="002F46E3" w:rsidRDefault="00194742" w:rsidP="00194742">
            <w:pPr>
              <w:pStyle w:val="CETBodytext"/>
              <w:ind w:right="-1"/>
              <w:jc w:val="center"/>
              <w:rPr>
                <w:rFonts w:cs="Arial"/>
                <w:szCs w:val="18"/>
                <w:lang w:val="en-GB"/>
              </w:rPr>
            </w:pPr>
            <w:r w:rsidRPr="002F46E3">
              <w:t>23.12±1.80</w:t>
            </w:r>
            <w:r w:rsidRPr="002F46E3">
              <w:rPr>
                <w:vertAlign w:val="superscript"/>
              </w:rPr>
              <w:t>b</w:t>
            </w:r>
          </w:p>
        </w:tc>
      </w:tr>
      <w:tr w:rsidR="00194742" w:rsidRPr="002F46E3" w14:paraId="4DBAF15E" w14:textId="77777777" w:rsidTr="00194742">
        <w:tc>
          <w:tcPr>
            <w:tcW w:w="5000" w:type="pct"/>
            <w:gridSpan w:val="5"/>
            <w:tcBorders>
              <w:top w:val="single" w:sz="4" w:space="0" w:color="auto"/>
              <w:bottom w:val="single" w:sz="4" w:space="0" w:color="auto"/>
            </w:tcBorders>
            <w:shd w:val="clear" w:color="auto" w:fill="FFFFFF"/>
            <w:vAlign w:val="center"/>
          </w:tcPr>
          <w:p w14:paraId="29AF862B" w14:textId="77777777" w:rsidR="00194742" w:rsidRPr="002F46E3" w:rsidRDefault="00194742" w:rsidP="00194742">
            <w:pPr>
              <w:pStyle w:val="CETBodytext"/>
              <w:ind w:right="-1"/>
              <w:jc w:val="center"/>
              <w:rPr>
                <w:rFonts w:cs="Arial"/>
                <w:szCs w:val="18"/>
                <w:lang w:val="en-GB"/>
              </w:rPr>
            </w:pPr>
            <w:r w:rsidRPr="002F46E3">
              <w:rPr>
                <w:rFonts w:cs="Arial"/>
                <w:szCs w:val="18"/>
                <w:lang w:val="en-GB"/>
              </w:rPr>
              <w:t>Total Flavonoid Content (TFC) (mg QE/100 g)</w:t>
            </w:r>
          </w:p>
        </w:tc>
      </w:tr>
      <w:tr w:rsidR="00194742" w:rsidRPr="002F46E3" w14:paraId="6352343C" w14:textId="77777777" w:rsidTr="00194742">
        <w:tc>
          <w:tcPr>
            <w:tcW w:w="1000" w:type="pct"/>
            <w:shd w:val="clear" w:color="auto" w:fill="FFFFFF"/>
            <w:vAlign w:val="center"/>
          </w:tcPr>
          <w:p w14:paraId="17CA8382" w14:textId="77777777" w:rsidR="00194742" w:rsidRPr="002F46E3" w:rsidRDefault="00194742" w:rsidP="00194742">
            <w:pPr>
              <w:pStyle w:val="CETBodytext"/>
              <w:ind w:right="-1"/>
              <w:rPr>
                <w:lang w:val="en-GB"/>
              </w:rPr>
            </w:pPr>
            <w:r w:rsidRPr="002F46E3">
              <w:rPr>
                <w:lang w:val="en-GB"/>
              </w:rPr>
              <w:t>Control</w:t>
            </w:r>
          </w:p>
        </w:tc>
        <w:tc>
          <w:tcPr>
            <w:tcW w:w="1001" w:type="pct"/>
            <w:vMerge w:val="restart"/>
            <w:shd w:val="clear" w:color="auto" w:fill="FFFFFF"/>
            <w:vAlign w:val="center"/>
          </w:tcPr>
          <w:p w14:paraId="4F23DC54" w14:textId="77777777" w:rsidR="00194742" w:rsidRPr="002F46E3" w:rsidRDefault="00194742" w:rsidP="00194742">
            <w:pPr>
              <w:pStyle w:val="CETBodytext"/>
              <w:ind w:right="-1"/>
              <w:jc w:val="center"/>
              <w:rPr>
                <w:rFonts w:cs="Arial"/>
                <w:szCs w:val="18"/>
                <w:lang w:val="en-GB"/>
              </w:rPr>
            </w:pPr>
            <w:r w:rsidRPr="002F46E3">
              <w:rPr>
                <w:rFonts w:cs="Arial"/>
                <w:szCs w:val="18"/>
                <w:lang w:val="en-GB"/>
              </w:rPr>
              <w:t>13.60</w:t>
            </w:r>
            <w:r w:rsidRPr="002F46E3">
              <w:rPr>
                <w:rFonts w:cs="Arial"/>
                <w:lang w:val="en-GB"/>
              </w:rPr>
              <w:t>±</w:t>
            </w:r>
            <w:r w:rsidRPr="002F46E3">
              <w:rPr>
                <w:rFonts w:cs="Arial"/>
                <w:szCs w:val="18"/>
                <w:lang w:val="en-GB"/>
              </w:rPr>
              <w:t>0.06</w:t>
            </w:r>
          </w:p>
        </w:tc>
        <w:tc>
          <w:tcPr>
            <w:tcW w:w="1001" w:type="pct"/>
            <w:shd w:val="clear" w:color="auto" w:fill="FFFFFF"/>
          </w:tcPr>
          <w:p w14:paraId="2DC87502" w14:textId="77777777" w:rsidR="00194742" w:rsidRPr="002F46E3" w:rsidRDefault="00194742" w:rsidP="00194742">
            <w:pPr>
              <w:pStyle w:val="CETBodytext"/>
              <w:ind w:right="-1"/>
              <w:jc w:val="center"/>
              <w:rPr>
                <w:rFonts w:cs="Arial"/>
                <w:szCs w:val="18"/>
                <w:lang w:val="en-GB"/>
              </w:rPr>
            </w:pPr>
            <w:r w:rsidRPr="002F46E3">
              <w:t>13.89</w:t>
            </w:r>
            <w:r w:rsidRPr="002F46E3">
              <w:rPr>
                <w:rFonts w:cs="Arial"/>
                <w:lang w:val="en-GB"/>
              </w:rPr>
              <w:t>±</w:t>
            </w:r>
            <w:r w:rsidRPr="002F46E3">
              <w:t>0.87</w:t>
            </w:r>
            <w:r w:rsidRPr="002F46E3">
              <w:rPr>
                <w:vertAlign w:val="superscript"/>
              </w:rPr>
              <w:t>c</w:t>
            </w:r>
          </w:p>
        </w:tc>
        <w:tc>
          <w:tcPr>
            <w:tcW w:w="999" w:type="pct"/>
            <w:shd w:val="clear" w:color="auto" w:fill="FFFFFF"/>
          </w:tcPr>
          <w:p w14:paraId="7E3D962E" w14:textId="77777777" w:rsidR="00194742" w:rsidRPr="002F46E3" w:rsidRDefault="00194742" w:rsidP="00194742">
            <w:pPr>
              <w:pStyle w:val="CETBodytext"/>
              <w:ind w:right="-1"/>
              <w:jc w:val="center"/>
              <w:rPr>
                <w:rFonts w:cs="Arial"/>
                <w:szCs w:val="18"/>
                <w:lang w:val="en-GB"/>
              </w:rPr>
            </w:pPr>
            <w:r w:rsidRPr="002F46E3">
              <w:t>11.83</w:t>
            </w:r>
            <w:r w:rsidRPr="002F46E3">
              <w:rPr>
                <w:rFonts w:cs="Arial"/>
                <w:lang w:val="en-GB"/>
              </w:rPr>
              <w:t>±</w:t>
            </w:r>
            <w:r w:rsidRPr="002F46E3">
              <w:t>1.47</w:t>
            </w:r>
            <w:r w:rsidRPr="002F46E3">
              <w:rPr>
                <w:vertAlign w:val="superscript"/>
              </w:rPr>
              <w:t>c</w:t>
            </w:r>
          </w:p>
        </w:tc>
        <w:tc>
          <w:tcPr>
            <w:tcW w:w="999" w:type="pct"/>
            <w:shd w:val="clear" w:color="auto" w:fill="FFFFFF"/>
          </w:tcPr>
          <w:p w14:paraId="1BB7555B" w14:textId="77777777" w:rsidR="00194742" w:rsidRPr="002F46E3" w:rsidRDefault="00194742" w:rsidP="00194742">
            <w:pPr>
              <w:pStyle w:val="CETBodytext"/>
              <w:ind w:right="-1"/>
              <w:jc w:val="center"/>
              <w:rPr>
                <w:rFonts w:cs="Arial"/>
                <w:szCs w:val="18"/>
                <w:lang w:val="en-GB"/>
              </w:rPr>
            </w:pPr>
            <w:r w:rsidRPr="002F46E3">
              <w:t>12.62±3.09</w:t>
            </w:r>
            <w:r w:rsidRPr="002F46E3">
              <w:rPr>
                <w:vertAlign w:val="superscript"/>
              </w:rPr>
              <w:t>c</w:t>
            </w:r>
          </w:p>
        </w:tc>
      </w:tr>
      <w:tr w:rsidR="00194742" w:rsidRPr="002F46E3" w14:paraId="0A95BDD5" w14:textId="77777777" w:rsidTr="00194742">
        <w:tc>
          <w:tcPr>
            <w:tcW w:w="1000" w:type="pct"/>
            <w:shd w:val="clear" w:color="auto" w:fill="FFFFFF"/>
            <w:vAlign w:val="center"/>
          </w:tcPr>
          <w:p w14:paraId="63AADA21" w14:textId="77777777" w:rsidR="00194742" w:rsidRPr="002F46E3" w:rsidRDefault="00194742" w:rsidP="00194742">
            <w:pPr>
              <w:pStyle w:val="CETBodytext"/>
              <w:ind w:right="-1"/>
              <w:rPr>
                <w:lang w:val="en-GB"/>
              </w:rPr>
            </w:pPr>
            <w:proofErr w:type="spellStart"/>
            <w:r w:rsidRPr="002F46E3">
              <w:rPr>
                <w:lang w:val="en-GB"/>
              </w:rPr>
              <w:t>Phe</w:t>
            </w:r>
            <w:proofErr w:type="spellEnd"/>
          </w:p>
        </w:tc>
        <w:tc>
          <w:tcPr>
            <w:tcW w:w="1001" w:type="pct"/>
            <w:vMerge/>
            <w:shd w:val="clear" w:color="auto" w:fill="FFFFFF"/>
            <w:vAlign w:val="center"/>
          </w:tcPr>
          <w:p w14:paraId="2C7F1941" w14:textId="77777777" w:rsidR="00194742" w:rsidRPr="002F46E3" w:rsidRDefault="00194742" w:rsidP="00194742">
            <w:pPr>
              <w:pStyle w:val="CETBodytext"/>
              <w:ind w:right="-1"/>
              <w:jc w:val="center"/>
              <w:rPr>
                <w:rFonts w:cs="Arial"/>
                <w:szCs w:val="18"/>
                <w:lang w:val="en-GB"/>
              </w:rPr>
            </w:pPr>
          </w:p>
        </w:tc>
        <w:tc>
          <w:tcPr>
            <w:tcW w:w="1001" w:type="pct"/>
            <w:shd w:val="clear" w:color="auto" w:fill="FFFFFF"/>
          </w:tcPr>
          <w:p w14:paraId="22F8905B" w14:textId="77777777" w:rsidR="00194742" w:rsidRPr="002F46E3" w:rsidRDefault="00194742" w:rsidP="00194742">
            <w:pPr>
              <w:pStyle w:val="CETBodytext"/>
              <w:ind w:right="-1"/>
              <w:jc w:val="center"/>
              <w:rPr>
                <w:rFonts w:cs="Arial"/>
                <w:szCs w:val="18"/>
                <w:lang w:val="en-GB"/>
              </w:rPr>
            </w:pPr>
            <w:r w:rsidRPr="002F46E3">
              <w:t>19.48</w:t>
            </w:r>
            <w:r w:rsidRPr="002F46E3">
              <w:rPr>
                <w:rFonts w:cs="Arial"/>
                <w:lang w:val="en-GB"/>
              </w:rPr>
              <w:t>±</w:t>
            </w:r>
            <w:r w:rsidRPr="002F46E3">
              <w:t>1.53</w:t>
            </w:r>
            <w:r w:rsidRPr="002F46E3">
              <w:rPr>
                <w:vertAlign w:val="superscript"/>
              </w:rPr>
              <w:t>a</w:t>
            </w:r>
          </w:p>
        </w:tc>
        <w:tc>
          <w:tcPr>
            <w:tcW w:w="999" w:type="pct"/>
            <w:shd w:val="clear" w:color="auto" w:fill="FFFFFF"/>
          </w:tcPr>
          <w:p w14:paraId="34C6C050" w14:textId="77777777" w:rsidR="00194742" w:rsidRPr="002F46E3" w:rsidRDefault="00194742" w:rsidP="00194742">
            <w:pPr>
              <w:pStyle w:val="CETBodytext"/>
              <w:ind w:right="-1"/>
              <w:jc w:val="center"/>
              <w:rPr>
                <w:rFonts w:cs="Arial"/>
                <w:szCs w:val="18"/>
                <w:lang w:val="en-GB"/>
              </w:rPr>
            </w:pPr>
            <w:r w:rsidRPr="002F46E3">
              <w:t>19.25</w:t>
            </w:r>
            <w:r w:rsidRPr="002F46E3">
              <w:rPr>
                <w:rFonts w:cs="Arial"/>
                <w:lang w:val="en-GB"/>
              </w:rPr>
              <w:t>±</w:t>
            </w:r>
            <w:r w:rsidRPr="002F46E3">
              <w:t>0.62</w:t>
            </w:r>
            <w:r w:rsidRPr="002F46E3">
              <w:rPr>
                <w:vertAlign w:val="superscript"/>
              </w:rPr>
              <w:t>a</w:t>
            </w:r>
          </w:p>
        </w:tc>
        <w:tc>
          <w:tcPr>
            <w:tcW w:w="999" w:type="pct"/>
            <w:shd w:val="clear" w:color="auto" w:fill="FFFFFF"/>
          </w:tcPr>
          <w:p w14:paraId="47CC7AF4" w14:textId="77777777" w:rsidR="00194742" w:rsidRPr="002F46E3" w:rsidRDefault="00194742" w:rsidP="00194742">
            <w:pPr>
              <w:pStyle w:val="CETBodytext"/>
              <w:ind w:right="-1"/>
              <w:jc w:val="center"/>
              <w:rPr>
                <w:rFonts w:cs="Arial"/>
                <w:szCs w:val="18"/>
                <w:lang w:val="en-GB"/>
              </w:rPr>
            </w:pPr>
            <w:r w:rsidRPr="002F46E3">
              <w:t>17.97±1.16</w:t>
            </w:r>
            <w:r w:rsidRPr="002F46E3">
              <w:rPr>
                <w:vertAlign w:val="superscript"/>
              </w:rPr>
              <w:t>a</w:t>
            </w:r>
          </w:p>
        </w:tc>
      </w:tr>
      <w:tr w:rsidR="00194742" w:rsidRPr="002F46E3" w14:paraId="517FB6D1" w14:textId="77777777" w:rsidTr="00194742">
        <w:tc>
          <w:tcPr>
            <w:tcW w:w="1000" w:type="pct"/>
            <w:shd w:val="clear" w:color="auto" w:fill="FFFFFF"/>
            <w:vAlign w:val="center"/>
          </w:tcPr>
          <w:p w14:paraId="2DA04A07" w14:textId="77777777" w:rsidR="00194742" w:rsidRPr="002F46E3" w:rsidRDefault="00194742" w:rsidP="00194742">
            <w:pPr>
              <w:pStyle w:val="CETBodytext"/>
              <w:ind w:right="-1"/>
              <w:rPr>
                <w:lang w:val="en-GB"/>
              </w:rPr>
            </w:pPr>
            <w:r w:rsidRPr="002F46E3">
              <w:rPr>
                <w:lang w:val="en-GB"/>
              </w:rPr>
              <w:t>Chitosan</w:t>
            </w:r>
          </w:p>
        </w:tc>
        <w:tc>
          <w:tcPr>
            <w:tcW w:w="1001" w:type="pct"/>
            <w:vMerge/>
            <w:shd w:val="clear" w:color="auto" w:fill="FFFFFF"/>
            <w:vAlign w:val="center"/>
          </w:tcPr>
          <w:p w14:paraId="7944CA7A" w14:textId="77777777" w:rsidR="00194742" w:rsidRPr="002F46E3" w:rsidRDefault="00194742" w:rsidP="00194742">
            <w:pPr>
              <w:pStyle w:val="CETBodytext"/>
              <w:ind w:right="-1"/>
              <w:jc w:val="center"/>
              <w:rPr>
                <w:rFonts w:cs="Arial"/>
                <w:szCs w:val="18"/>
                <w:lang w:val="en-GB"/>
              </w:rPr>
            </w:pPr>
          </w:p>
        </w:tc>
        <w:tc>
          <w:tcPr>
            <w:tcW w:w="1001" w:type="pct"/>
            <w:shd w:val="clear" w:color="auto" w:fill="FFFFFF"/>
          </w:tcPr>
          <w:p w14:paraId="5F18A5A7" w14:textId="77777777" w:rsidR="00194742" w:rsidRPr="002F46E3" w:rsidRDefault="00194742" w:rsidP="00194742">
            <w:pPr>
              <w:pStyle w:val="CETBodytext"/>
              <w:ind w:right="-1"/>
              <w:jc w:val="center"/>
              <w:rPr>
                <w:rFonts w:cs="Arial"/>
                <w:szCs w:val="18"/>
                <w:lang w:val="en-GB"/>
              </w:rPr>
            </w:pPr>
            <w:r w:rsidRPr="002F46E3">
              <w:t>14.53</w:t>
            </w:r>
            <w:r w:rsidRPr="002F46E3">
              <w:rPr>
                <w:rFonts w:cs="Arial"/>
                <w:lang w:val="en-GB"/>
              </w:rPr>
              <w:t>±</w:t>
            </w:r>
            <w:r w:rsidRPr="002F46E3">
              <w:t>2.58</w:t>
            </w:r>
            <w:r w:rsidRPr="002F46E3">
              <w:rPr>
                <w:vertAlign w:val="superscript"/>
              </w:rPr>
              <w:t>bc</w:t>
            </w:r>
          </w:p>
        </w:tc>
        <w:tc>
          <w:tcPr>
            <w:tcW w:w="999" w:type="pct"/>
            <w:shd w:val="clear" w:color="auto" w:fill="FFFFFF"/>
          </w:tcPr>
          <w:p w14:paraId="4F97D0E8" w14:textId="77777777" w:rsidR="00194742" w:rsidRPr="002F46E3" w:rsidRDefault="00194742" w:rsidP="00194742">
            <w:pPr>
              <w:pStyle w:val="CETBodytext"/>
              <w:ind w:right="-1"/>
              <w:jc w:val="center"/>
              <w:rPr>
                <w:rFonts w:cs="Arial"/>
                <w:szCs w:val="18"/>
                <w:lang w:val="en-GB"/>
              </w:rPr>
            </w:pPr>
            <w:r w:rsidRPr="002F46E3">
              <w:t>16.23</w:t>
            </w:r>
            <w:r w:rsidRPr="002F46E3">
              <w:rPr>
                <w:rFonts w:cs="Arial"/>
                <w:lang w:val="en-GB"/>
              </w:rPr>
              <w:t>±</w:t>
            </w:r>
            <w:r w:rsidRPr="002F46E3">
              <w:t>0.93</w:t>
            </w:r>
            <w:r w:rsidRPr="002F46E3">
              <w:rPr>
                <w:vertAlign w:val="superscript"/>
              </w:rPr>
              <w:t>b</w:t>
            </w:r>
          </w:p>
        </w:tc>
        <w:tc>
          <w:tcPr>
            <w:tcW w:w="999" w:type="pct"/>
            <w:shd w:val="clear" w:color="auto" w:fill="FFFFFF"/>
          </w:tcPr>
          <w:p w14:paraId="0E363AF0" w14:textId="77777777" w:rsidR="00194742" w:rsidRPr="002F46E3" w:rsidRDefault="00194742" w:rsidP="00194742">
            <w:pPr>
              <w:pStyle w:val="CETBodytext"/>
              <w:ind w:right="-1"/>
              <w:jc w:val="center"/>
              <w:rPr>
                <w:rFonts w:cs="Arial"/>
                <w:szCs w:val="18"/>
                <w:lang w:val="en-GB"/>
              </w:rPr>
            </w:pPr>
            <w:r w:rsidRPr="002F46E3">
              <w:t>14.28±0.79</w:t>
            </w:r>
            <w:r w:rsidRPr="002F46E3">
              <w:rPr>
                <w:vertAlign w:val="superscript"/>
              </w:rPr>
              <w:t>bc</w:t>
            </w:r>
          </w:p>
        </w:tc>
      </w:tr>
      <w:tr w:rsidR="00194742" w:rsidRPr="002F46E3" w14:paraId="669608CC" w14:textId="77777777" w:rsidTr="00194742">
        <w:tc>
          <w:tcPr>
            <w:tcW w:w="1000" w:type="pct"/>
            <w:tcBorders>
              <w:bottom w:val="single" w:sz="4" w:space="0" w:color="auto"/>
            </w:tcBorders>
            <w:shd w:val="clear" w:color="auto" w:fill="FFFFFF"/>
            <w:vAlign w:val="center"/>
          </w:tcPr>
          <w:p w14:paraId="2B956185" w14:textId="77777777" w:rsidR="00194742" w:rsidRPr="002F46E3" w:rsidRDefault="00194742" w:rsidP="00194742">
            <w:pPr>
              <w:pStyle w:val="CETBodytext"/>
              <w:ind w:right="-1"/>
              <w:rPr>
                <w:lang w:val="en-GB"/>
              </w:rPr>
            </w:pPr>
            <w:r w:rsidRPr="002F46E3">
              <w:rPr>
                <w:lang w:val="en-GB"/>
              </w:rPr>
              <w:t>Chitosan/</w:t>
            </w:r>
            <w:proofErr w:type="spellStart"/>
            <w:r w:rsidRPr="002F46E3">
              <w:rPr>
                <w:lang w:val="en-GB"/>
              </w:rPr>
              <w:t>Phe</w:t>
            </w:r>
            <w:proofErr w:type="spellEnd"/>
          </w:p>
        </w:tc>
        <w:tc>
          <w:tcPr>
            <w:tcW w:w="1001" w:type="pct"/>
            <w:vMerge/>
            <w:tcBorders>
              <w:bottom w:val="single" w:sz="4" w:space="0" w:color="auto"/>
            </w:tcBorders>
            <w:shd w:val="clear" w:color="auto" w:fill="FFFFFF"/>
            <w:vAlign w:val="center"/>
          </w:tcPr>
          <w:p w14:paraId="1CCAECE2" w14:textId="77777777" w:rsidR="00194742" w:rsidRPr="002F46E3" w:rsidRDefault="00194742" w:rsidP="00194742">
            <w:pPr>
              <w:pStyle w:val="CETBodytext"/>
              <w:ind w:right="-1"/>
              <w:jc w:val="center"/>
              <w:rPr>
                <w:rFonts w:cs="Arial"/>
                <w:szCs w:val="18"/>
                <w:lang w:val="en-GB"/>
              </w:rPr>
            </w:pPr>
          </w:p>
        </w:tc>
        <w:tc>
          <w:tcPr>
            <w:tcW w:w="1001" w:type="pct"/>
            <w:tcBorders>
              <w:bottom w:val="single" w:sz="4" w:space="0" w:color="auto"/>
            </w:tcBorders>
            <w:shd w:val="clear" w:color="auto" w:fill="FFFFFF"/>
          </w:tcPr>
          <w:p w14:paraId="2FEE4B1B" w14:textId="77777777" w:rsidR="00194742" w:rsidRPr="002F46E3" w:rsidRDefault="00194742" w:rsidP="00194742">
            <w:pPr>
              <w:pStyle w:val="CETBodytext"/>
              <w:ind w:right="-1"/>
              <w:jc w:val="center"/>
              <w:rPr>
                <w:rFonts w:cs="Arial"/>
                <w:szCs w:val="18"/>
                <w:lang w:val="en-GB"/>
              </w:rPr>
            </w:pPr>
            <w:r w:rsidRPr="002F46E3">
              <w:t>15.72</w:t>
            </w:r>
            <w:r w:rsidRPr="002F46E3">
              <w:rPr>
                <w:rFonts w:cs="Arial"/>
                <w:lang w:val="en-GB"/>
              </w:rPr>
              <w:t>±</w:t>
            </w:r>
            <w:r w:rsidRPr="002F46E3">
              <w:t>1.62</w:t>
            </w:r>
            <w:r w:rsidRPr="002F46E3">
              <w:rPr>
                <w:vertAlign w:val="superscript"/>
              </w:rPr>
              <w:t>b</w:t>
            </w:r>
          </w:p>
        </w:tc>
        <w:tc>
          <w:tcPr>
            <w:tcW w:w="999" w:type="pct"/>
            <w:tcBorders>
              <w:bottom w:val="single" w:sz="4" w:space="0" w:color="auto"/>
            </w:tcBorders>
            <w:shd w:val="clear" w:color="auto" w:fill="FFFFFF"/>
          </w:tcPr>
          <w:p w14:paraId="63C41CB4" w14:textId="77777777" w:rsidR="00194742" w:rsidRPr="002F46E3" w:rsidRDefault="00194742" w:rsidP="00194742">
            <w:pPr>
              <w:pStyle w:val="CETBodytext"/>
              <w:ind w:right="-1"/>
              <w:jc w:val="center"/>
              <w:rPr>
                <w:rFonts w:cs="Arial"/>
                <w:szCs w:val="18"/>
                <w:lang w:val="en-GB"/>
              </w:rPr>
            </w:pPr>
            <w:r w:rsidRPr="002F46E3">
              <w:t>12.91</w:t>
            </w:r>
            <w:r w:rsidRPr="002F46E3">
              <w:rPr>
                <w:rFonts w:cs="Arial"/>
                <w:lang w:val="en-GB"/>
              </w:rPr>
              <w:t>±</w:t>
            </w:r>
            <w:r w:rsidRPr="002F46E3">
              <w:t>1.07</w:t>
            </w:r>
            <w:r w:rsidRPr="002F46E3">
              <w:rPr>
                <w:vertAlign w:val="superscript"/>
              </w:rPr>
              <w:t>c</w:t>
            </w:r>
          </w:p>
        </w:tc>
        <w:tc>
          <w:tcPr>
            <w:tcW w:w="999" w:type="pct"/>
            <w:tcBorders>
              <w:bottom w:val="single" w:sz="4" w:space="0" w:color="auto"/>
            </w:tcBorders>
            <w:shd w:val="clear" w:color="auto" w:fill="FFFFFF"/>
          </w:tcPr>
          <w:p w14:paraId="758E13AF" w14:textId="77777777" w:rsidR="00194742" w:rsidRPr="002F46E3" w:rsidRDefault="00194742" w:rsidP="00194742">
            <w:pPr>
              <w:pStyle w:val="CETBodytext"/>
              <w:ind w:right="-1"/>
              <w:jc w:val="center"/>
              <w:rPr>
                <w:rFonts w:cs="Arial"/>
                <w:szCs w:val="18"/>
                <w:lang w:val="en-GB"/>
              </w:rPr>
            </w:pPr>
            <w:r w:rsidRPr="002F46E3">
              <w:t>15.98±0.62</w:t>
            </w:r>
            <w:r w:rsidRPr="002F46E3">
              <w:rPr>
                <w:vertAlign w:val="superscript"/>
              </w:rPr>
              <w:t>b</w:t>
            </w:r>
          </w:p>
        </w:tc>
      </w:tr>
      <w:tr w:rsidR="00194742" w:rsidRPr="002F46E3" w14:paraId="375EB6FB" w14:textId="77777777" w:rsidTr="00194742">
        <w:tc>
          <w:tcPr>
            <w:tcW w:w="5000" w:type="pct"/>
            <w:gridSpan w:val="5"/>
            <w:tcBorders>
              <w:top w:val="single" w:sz="4" w:space="0" w:color="auto"/>
              <w:bottom w:val="single" w:sz="4" w:space="0" w:color="auto"/>
            </w:tcBorders>
            <w:shd w:val="clear" w:color="auto" w:fill="FFFFFF"/>
            <w:vAlign w:val="center"/>
          </w:tcPr>
          <w:p w14:paraId="24DC6D6D" w14:textId="77777777" w:rsidR="00194742" w:rsidRPr="002F46E3" w:rsidRDefault="00194742" w:rsidP="00194742">
            <w:pPr>
              <w:pStyle w:val="CETBodytext"/>
              <w:ind w:right="-1"/>
              <w:jc w:val="center"/>
              <w:rPr>
                <w:rFonts w:cs="Arial"/>
                <w:szCs w:val="18"/>
                <w:lang w:val="en-GB"/>
              </w:rPr>
            </w:pPr>
            <w:r w:rsidRPr="002F46E3">
              <w:rPr>
                <w:rFonts w:cs="Arial"/>
                <w:szCs w:val="18"/>
                <w:lang w:val="en-GB"/>
              </w:rPr>
              <w:t>Antioxidant activity (DPPH) (µmol TE/100 g)</w:t>
            </w:r>
          </w:p>
        </w:tc>
      </w:tr>
      <w:tr w:rsidR="00194742" w:rsidRPr="002F46E3" w14:paraId="734276EF" w14:textId="77777777" w:rsidTr="00194742">
        <w:tc>
          <w:tcPr>
            <w:tcW w:w="1000" w:type="pct"/>
            <w:shd w:val="clear" w:color="auto" w:fill="FFFFFF"/>
            <w:vAlign w:val="center"/>
          </w:tcPr>
          <w:p w14:paraId="479E807E" w14:textId="77777777" w:rsidR="00194742" w:rsidRPr="002F46E3" w:rsidRDefault="00194742" w:rsidP="00194742">
            <w:pPr>
              <w:pStyle w:val="CETBodytext"/>
              <w:ind w:right="-1"/>
              <w:rPr>
                <w:lang w:val="en-GB"/>
              </w:rPr>
            </w:pPr>
            <w:r w:rsidRPr="002F46E3">
              <w:rPr>
                <w:lang w:val="en-GB"/>
              </w:rPr>
              <w:t>Control</w:t>
            </w:r>
          </w:p>
        </w:tc>
        <w:tc>
          <w:tcPr>
            <w:tcW w:w="1001" w:type="pct"/>
            <w:vMerge w:val="restart"/>
            <w:shd w:val="clear" w:color="auto" w:fill="FFFFFF"/>
            <w:vAlign w:val="center"/>
          </w:tcPr>
          <w:p w14:paraId="26B43C4A" w14:textId="77777777" w:rsidR="00194742" w:rsidRPr="002F46E3" w:rsidRDefault="00194742" w:rsidP="00194742">
            <w:pPr>
              <w:pStyle w:val="CETBodytext"/>
              <w:ind w:right="-1"/>
              <w:jc w:val="center"/>
              <w:rPr>
                <w:rFonts w:cs="Arial"/>
                <w:szCs w:val="18"/>
                <w:lang w:val="en-GB"/>
              </w:rPr>
            </w:pPr>
            <w:r w:rsidRPr="002F46E3">
              <w:rPr>
                <w:rFonts w:cs="Arial"/>
                <w:szCs w:val="18"/>
                <w:lang w:val="en-GB"/>
              </w:rPr>
              <w:t>64.75</w:t>
            </w:r>
            <w:r w:rsidRPr="002F46E3">
              <w:rPr>
                <w:rFonts w:cs="Arial"/>
                <w:lang w:val="en-GB"/>
              </w:rPr>
              <w:t>±</w:t>
            </w:r>
            <w:r w:rsidRPr="002F46E3">
              <w:rPr>
                <w:rFonts w:cs="Arial"/>
                <w:szCs w:val="18"/>
                <w:lang w:val="en-GB"/>
              </w:rPr>
              <w:t>2.75</w:t>
            </w:r>
          </w:p>
        </w:tc>
        <w:tc>
          <w:tcPr>
            <w:tcW w:w="1001" w:type="pct"/>
            <w:shd w:val="clear" w:color="auto" w:fill="FFFFFF"/>
          </w:tcPr>
          <w:p w14:paraId="6B79A68A" w14:textId="77777777" w:rsidR="00194742" w:rsidRPr="002F46E3" w:rsidRDefault="00194742" w:rsidP="00194742">
            <w:pPr>
              <w:pStyle w:val="CETBodytext"/>
              <w:ind w:right="-1"/>
              <w:jc w:val="center"/>
              <w:rPr>
                <w:rFonts w:cs="Arial"/>
                <w:szCs w:val="18"/>
                <w:lang w:val="en-GB"/>
              </w:rPr>
            </w:pPr>
            <w:r w:rsidRPr="002F46E3">
              <w:t>80.71</w:t>
            </w:r>
            <w:r w:rsidRPr="002F46E3">
              <w:rPr>
                <w:rFonts w:cs="Arial"/>
                <w:lang w:val="en-GB"/>
              </w:rPr>
              <w:t>±</w:t>
            </w:r>
            <w:r w:rsidRPr="002F46E3">
              <w:t>7.60</w:t>
            </w:r>
            <w:r w:rsidRPr="002F46E3">
              <w:rPr>
                <w:vertAlign w:val="superscript"/>
              </w:rPr>
              <w:t>d</w:t>
            </w:r>
          </w:p>
        </w:tc>
        <w:tc>
          <w:tcPr>
            <w:tcW w:w="999" w:type="pct"/>
            <w:shd w:val="clear" w:color="auto" w:fill="FFFFFF"/>
          </w:tcPr>
          <w:p w14:paraId="34F6FD29" w14:textId="77777777" w:rsidR="00194742" w:rsidRPr="002F46E3" w:rsidRDefault="00194742" w:rsidP="00194742">
            <w:pPr>
              <w:pStyle w:val="CETBodytext"/>
              <w:ind w:right="-1"/>
              <w:jc w:val="center"/>
              <w:rPr>
                <w:rFonts w:cs="Arial"/>
                <w:szCs w:val="18"/>
                <w:lang w:val="en-GB"/>
              </w:rPr>
            </w:pPr>
            <w:r w:rsidRPr="002F46E3">
              <w:t>83.14</w:t>
            </w:r>
            <w:r w:rsidRPr="002F46E3">
              <w:rPr>
                <w:rFonts w:cs="Arial"/>
                <w:lang w:val="en-GB"/>
              </w:rPr>
              <w:t>±</w:t>
            </w:r>
            <w:r w:rsidRPr="002F46E3">
              <w:t>18.89</w:t>
            </w:r>
            <w:r w:rsidRPr="002F46E3">
              <w:rPr>
                <w:vertAlign w:val="superscript"/>
              </w:rPr>
              <w:t>b</w:t>
            </w:r>
          </w:p>
        </w:tc>
        <w:tc>
          <w:tcPr>
            <w:tcW w:w="999" w:type="pct"/>
            <w:shd w:val="clear" w:color="auto" w:fill="FFFFFF"/>
          </w:tcPr>
          <w:p w14:paraId="025ADFA5" w14:textId="77777777" w:rsidR="00194742" w:rsidRPr="002F46E3" w:rsidRDefault="00194742" w:rsidP="00194742">
            <w:pPr>
              <w:pStyle w:val="CETBodytext"/>
              <w:ind w:right="-1"/>
              <w:jc w:val="center"/>
              <w:rPr>
                <w:rFonts w:cs="Arial"/>
                <w:szCs w:val="18"/>
                <w:lang w:val="en-GB"/>
              </w:rPr>
            </w:pPr>
            <w:r w:rsidRPr="002F46E3">
              <w:t>74.26</w:t>
            </w:r>
            <w:r w:rsidRPr="002F46E3">
              <w:rPr>
                <w:rFonts w:cs="Arial"/>
                <w:lang w:val="en-GB"/>
              </w:rPr>
              <w:t>±</w:t>
            </w:r>
            <w:r w:rsidRPr="002F46E3">
              <w:t>10.05</w:t>
            </w:r>
            <w:r w:rsidRPr="002F46E3">
              <w:rPr>
                <w:vertAlign w:val="superscript"/>
              </w:rPr>
              <w:t>d</w:t>
            </w:r>
          </w:p>
        </w:tc>
      </w:tr>
      <w:tr w:rsidR="00194742" w:rsidRPr="002F46E3" w14:paraId="5B2D866A" w14:textId="77777777" w:rsidTr="00194742">
        <w:tc>
          <w:tcPr>
            <w:tcW w:w="1000" w:type="pct"/>
            <w:shd w:val="clear" w:color="auto" w:fill="FFFFFF"/>
            <w:vAlign w:val="center"/>
          </w:tcPr>
          <w:p w14:paraId="57D99F4B" w14:textId="77777777" w:rsidR="00194742" w:rsidRPr="002F46E3" w:rsidRDefault="00194742" w:rsidP="00194742">
            <w:pPr>
              <w:pStyle w:val="CETBodytext"/>
              <w:ind w:right="-1"/>
              <w:rPr>
                <w:lang w:val="en-GB"/>
              </w:rPr>
            </w:pPr>
            <w:proofErr w:type="spellStart"/>
            <w:r w:rsidRPr="002F46E3">
              <w:rPr>
                <w:lang w:val="en-GB"/>
              </w:rPr>
              <w:t>Phe</w:t>
            </w:r>
            <w:proofErr w:type="spellEnd"/>
          </w:p>
        </w:tc>
        <w:tc>
          <w:tcPr>
            <w:tcW w:w="1001" w:type="pct"/>
            <w:vMerge/>
            <w:shd w:val="clear" w:color="auto" w:fill="FFFFFF"/>
            <w:vAlign w:val="center"/>
          </w:tcPr>
          <w:p w14:paraId="52C0E360" w14:textId="77777777" w:rsidR="00194742" w:rsidRPr="002F46E3" w:rsidRDefault="00194742" w:rsidP="00194742">
            <w:pPr>
              <w:pStyle w:val="CETBodytext"/>
              <w:ind w:right="-1"/>
              <w:jc w:val="center"/>
              <w:rPr>
                <w:rFonts w:cs="Arial"/>
                <w:szCs w:val="18"/>
                <w:lang w:val="en-GB"/>
              </w:rPr>
            </w:pPr>
          </w:p>
        </w:tc>
        <w:tc>
          <w:tcPr>
            <w:tcW w:w="1001" w:type="pct"/>
            <w:shd w:val="clear" w:color="auto" w:fill="FFFFFF"/>
          </w:tcPr>
          <w:p w14:paraId="4CDFBFA1" w14:textId="77777777" w:rsidR="00194742" w:rsidRPr="002F46E3" w:rsidRDefault="00194742" w:rsidP="00194742">
            <w:pPr>
              <w:pStyle w:val="CETBodytext"/>
              <w:ind w:right="-1"/>
              <w:jc w:val="center"/>
              <w:rPr>
                <w:rFonts w:cs="Arial"/>
                <w:szCs w:val="18"/>
                <w:lang w:val="en-GB"/>
              </w:rPr>
            </w:pPr>
            <w:r w:rsidRPr="002F46E3">
              <w:t>129.77</w:t>
            </w:r>
            <w:r w:rsidRPr="002F46E3">
              <w:rPr>
                <w:rFonts w:cs="Arial"/>
                <w:lang w:val="en-GB"/>
              </w:rPr>
              <w:t>±</w:t>
            </w:r>
            <w:r w:rsidRPr="002F46E3">
              <w:t>10.63</w:t>
            </w:r>
            <w:r w:rsidRPr="002F46E3">
              <w:rPr>
                <w:vertAlign w:val="superscript"/>
              </w:rPr>
              <w:t>a</w:t>
            </w:r>
          </w:p>
        </w:tc>
        <w:tc>
          <w:tcPr>
            <w:tcW w:w="999" w:type="pct"/>
            <w:shd w:val="clear" w:color="auto" w:fill="FFFFFF"/>
          </w:tcPr>
          <w:p w14:paraId="3EC75097" w14:textId="77777777" w:rsidR="00194742" w:rsidRPr="002F46E3" w:rsidRDefault="00194742" w:rsidP="00194742">
            <w:pPr>
              <w:pStyle w:val="CETBodytext"/>
              <w:ind w:right="-1"/>
              <w:jc w:val="center"/>
              <w:rPr>
                <w:rFonts w:cs="Arial"/>
                <w:szCs w:val="18"/>
                <w:lang w:val="en-GB"/>
              </w:rPr>
            </w:pPr>
            <w:r w:rsidRPr="002F46E3">
              <w:t>110.39</w:t>
            </w:r>
            <w:r w:rsidRPr="002F46E3">
              <w:rPr>
                <w:rFonts w:cs="Arial"/>
                <w:lang w:val="en-GB"/>
              </w:rPr>
              <w:t>±</w:t>
            </w:r>
            <w:r w:rsidRPr="002F46E3">
              <w:t>11.59</w:t>
            </w:r>
            <w:r w:rsidRPr="002F46E3">
              <w:rPr>
                <w:vertAlign w:val="superscript"/>
              </w:rPr>
              <w:t>a</w:t>
            </w:r>
          </w:p>
        </w:tc>
        <w:tc>
          <w:tcPr>
            <w:tcW w:w="999" w:type="pct"/>
            <w:shd w:val="clear" w:color="auto" w:fill="FFFFFF"/>
          </w:tcPr>
          <w:p w14:paraId="7F6B872B" w14:textId="77777777" w:rsidR="00194742" w:rsidRPr="002F46E3" w:rsidRDefault="00194742" w:rsidP="00194742">
            <w:pPr>
              <w:pStyle w:val="CETBodytext"/>
              <w:ind w:right="-1"/>
              <w:jc w:val="center"/>
              <w:rPr>
                <w:rFonts w:cs="Arial"/>
                <w:szCs w:val="18"/>
                <w:lang w:val="en-GB"/>
              </w:rPr>
            </w:pPr>
            <w:r w:rsidRPr="002F46E3">
              <w:t>105.54</w:t>
            </w:r>
            <w:r w:rsidRPr="002F46E3">
              <w:rPr>
                <w:rFonts w:cs="Arial"/>
                <w:lang w:val="en-GB"/>
              </w:rPr>
              <w:t>±</w:t>
            </w:r>
            <w:r w:rsidRPr="002F46E3">
              <w:t>7.58</w:t>
            </w:r>
            <w:r w:rsidRPr="002F46E3">
              <w:rPr>
                <w:vertAlign w:val="superscript"/>
              </w:rPr>
              <w:t>a</w:t>
            </w:r>
          </w:p>
        </w:tc>
      </w:tr>
      <w:tr w:rsidR="00194742" w:rsidRPr="002F46E3" w14:paraId="5FADB6EF" w14:textId="77777777" w:rsidTr="00194742">
        <w:tc>
          <w:tcPr>
            <w:tcW w:w="1000" w:type="pct"/>
            <w:shd w:val="clear" w:color="auto" w:fill="FFFFFF"/>
            <w:vAlign w:val="center"/>
          </w:tcPr>
          <w:p w14:paraId="7C8A6BD8" w14:textId="77777777" w:rsidR="00194742" w:rsidRPr="002F46E3" w:rsidRDefault="00194742" w:rsidP="00194742">
            <w:pPr>
              <w:pStyle w:val="CETBodytext"/>
              <w:ind w:right="-1"/>
              <w:rPr>
                <w:lang w:val="en-GB"/>
              </w:rPr>
            </w:pPr>
            <w:r w:rsidRPr="002F46E3">
              <w:rPr>
                <w:lang w:val="en-GB"/>
              </w:rPr>
              <w:t>Chitosan</w:t>
            </w:r>
          </w:p>
        </w:tc>
        <w:tc>
          <w:tcPr>
            <w:tcW w:w="1001" w:type="pct"/>
            <w:vMerge/>
            <w:shd w:val="clear" w:color="auto" w:fill="FFFFFF"/>
            <w:vAlign w:val="center"/>
          </w:tcPr>
          <w:p w14:paraId="6558276A" w14:textId="77777777" w:rsidR="00194742" w:rsidRPr="002F46E3" w:rsidRDefault="00194742" w:rsidP="00194742">
            <w:pPr>
              <w:pStyle w:val="CETBodytext"/>
              <w:ind w:right="-1"/>
              <w:jc w:val="center"/>
              <w:rPr>
                <w:rFonts w:cs="Arial"/>
                <w:szCs w:val="18"/>
                <w:lang w:val="en-GB"/>
              </w:rPr>
            </w:pPr>
          </w:p>
        </w:tc>
        <w:tc>
          <w:tcPr>
            <w:tcW w:w="1001" w:type="pct"/>
            <w:shd w:val="clear" w:color="auto" w:fill="FFFFFF"/>
          </w:tcPr>
          <w:p w14:paraId="01ED07B8" w14:textId="77777777" w:rsidR="00194742" w:rsidRPr="002F46E3" w:rsidRDefault="00194742" w:rsidP="00194742">
            <w:pPr>
              <w:pStyle w:val="CETBodytext"/>
              <w:ind w:right="-1"/>
              <w:jc w:val="center"/>
              <w:rPr>
                <w:rFonts w:cs="Arial"/>
                <w:szCs w:val="18"/>
                <w:lang w:val="en-GB"/>
              </w:rPr>
            </w:pPr>
            <w:r w:rsidRPr="002F46E3">
              <w:t>92.75</w:t>
            </w:r>
            <w:r w:rsidRPr="002F46E3">
              <w:rPr>
                <w:rFonts w:cs="Arial"/>
                <w:lang w:val="en-GB"/>
              </w:rPr>
              <w:t>±</w:t>
            </w:r>
            <w:r w:rsidRPr="002F46E3">
              <w:t>10.30</w:t>
            </w:r>
            <w:r w:rsidRPr="002F46E3">
              <w:rPr>
                <w:vertAlign w:val="superscript"/>
              </w:rPr>
              <w:t>c</w:t>
            </w:r>
          </w:p>
        </w:tc>
        <w:tc>
          <w:tcPr>
            <w:tcW w:w="999" w:type="pct"/>
            <w:shd w:val="clear" w:color="auto" w:fill="FFFFFF"/>
          </w:tcPr>
          <w:p w14:paraId="7D4DDB22" w14:textId="77777777" w:rsidR="00194742" w:rsidRPr="002F46E3" w:rsidRDefault="00194742" w:rsidP="00194742">
            <w:pPr>
              <w:pStyle w:val="CETBodytext"/>
              <w:ind w:right="-1"/>
              <w:jc w:val="center"/>
              <w:rPr>
                <w:rFonts w:cs="Arial"/>
                <w:szCs w:val="18"/>
                <w:lang w:val="en-GB"/>
              </w:rPr>
            </w:pPr>
            <w:r w:rsidRPr="002F46E3">
              <w:t>86.88</w:t>
            </w:r>
            <w:r w:rsidRPr="002F46E3">
              <w:rPr>
                <w:rFonts w:cs="Arial"/>
                <w:lang w:val="en-GB"/>
              </w:rPr>
              <w:t>±</w:t>
            </w:r>
            <w:r w:rsidRPr="002F46E3">
              <w:t>9.36</w:t>
            </w:r>
            <w:r w:rsidRPr="002F46E3">
              <w:rPr>
                <w:vertAlign w:val="superscript"/>
              </w:rPr>
              <w:t>b</w:t>
            </w:r>
          </w:p>
        </w:tc>
        <w:tc>
          <w:tcPr>
            <w:tcW w:w="999" w:type="pct"/>
            <w:shd w:val="clear" w:color="auto" w:fill="FFFFFF"/>
          </w:tcPr>
          <w:p w14:paraId="2EDC9786" w14:textId="77777777" w:rsidR="00194742" w:rsidRPr="002F46E3" w:rsidRDefault="00194742" w:rsidP="00194742">
            <w:pPr>
              <w:pStyle w:val="CETBodytext"/>
              <w:ind w:right="-1"/>
              <w:jc w:val="center"/>
              <w:rPr>
                <w:rFonts w:cs="Arial"/>
                <w:szCs w:val="18"/>
                <w:lang w:val="en-GB"/>
              </w:rPr>
            </w:pPr>
            <w:r w:rsidRPr="002F46E3">
              <w:t>95.79</w:t>
            </w:r>
            <w:r w:rsidRPr="002F46E3">
              <w:rPr>
                <w:rFonts w:cs="Arial"/>
                <w:lang w:val="en-GB"/>
              </w:rPr>
              <w:t>±</w:t>
            </w:r>
            <w:r w:rsidRPr="002F46E3">
              <w:t>5.61</w:t>
            </w:r>
            <w:r w:rsidRPr="002F46E3">
              <w:rPr>
                <w:vertAlign w:val="superscript"/>
              </w:rPr>
              <w:t>b</w:t>
            </w:r>
          </w:p>
        </w:tc>
      </w:tr>
      <w:tr w:rsidR="00194742" w:rsidRPr="002F46E3" w14:paraId="29869FEE" w14:textId="77777777" w:rsidTr="00194742">
        <w:tc>
          <w:tcPr>
            <w:tcW w:w="1000" w:type="pct"/>
            <w:tcBorders>
              <w:bottom w:val="single" w:sz="4" w:space="0" w:color="auto"/>
            </w:tcBorders>
            <w:shd w:val="clear" w:color="auto" w:fill="FFFFFF"/>
            <w:vAlign w:val="center"/>
          </w:tcPr>
          <w:p w14:paraId="264FE510" w14:textId="77777777" w:rsidR="00194742" w:rsidRPr="002F46E3" w:rsidRDefault="00194742" w:rsidP="00194742">
            <w:pPr>
              <w:pStyle w:val="CETBodytext"/>
              <w:ind w:right="-1"/>
              <w:rPr>
                <w:lang w:val="en-GB"/>
              </w:rPr>
            </w:pPr>
            <w:r w:rsidRPr="002F46E3">
              <w:rPr>
                <w:lang w:val="en-GB"/>
              </w:rPr>
              <w:t>Chitosan/</w:t>
            </w:r>
            <w:proofErr w:type="spellStart"/>
            <w:r w:rsidRPr="002F46E3">
              <w:rPr>
                <w:lang w:val="en-GB"/>
              </w:rPr>
              <w:t>Phe</w:t>
            </w:r>
            <w:proofErr w:type="spellEnd"/>
          </w:p>
        </w:tc>
        <w:tc>
          <w:tcPr>
            <w:tcW w:w="1001" w:type="pct"/>
            <w:vMerge/>
            <w:tcBorders>
              <w:bottom w:val="single" w:sz="4" w:space="0" w:color="auto"/>
            </w:tcBorders>
            <w:shd w:val="clear" w:color="auto" w:fill="FFFFFF"/>
            <w:vAlign w:val="center"/>
          </w:tcPr>
          <w:p w14:paraId="6213626A" w14:textId="77777777" w:rsidR="00194742" w:rsidRPr="002F46E3" w:rsidRDefault="00194742" w:rsidP="00194742">
            <w:pPr>
              <w:pStyle w:val="CETBodytext"/>
              <w:ind w:right="-1"/>
              <w:jc w:val="center"/>
              <w:rPr>
                <w:rFonts w:cs="Arial"/>
                <w:szCs w:val="18"/>
                <w:lang w:val="en-GB"/>
              </w:rPr>
            </w:pPr>
          </w:p>
        </w:tc>
        <w:tc>
          <w:tcPr>
            <w:tcW w:w="1001" w:type="pct"/>
            <w:tcBorders>
              <w:bottom w:val="single" w:sz="4" w:space="0" w:color="auto"/>
            </w:tcBorders>
            <w:shd w:val="clear" w:color="auto" w:fill="FFFFFF"/>
          </w:tcPr>
          <w:p w14:paraId="1CB360EA" w14:textId="77777777" w:rsidR="00194742" w:rsidRPr="002F46E3" w:rsidRDefault="00194742" w:rsidP="00194742">
            <w:pPr>
              <w:pStyle w:val="CETBodytext"/>
              <w:ind w:right="-1"/>
              <w:jc w:val="center"/>
              <w:rPr>
                <w:rFonts w:cs="Arial"/>
                <w:szCs w:val="18"/>
                <w:lang w:val="en-GB"/>
              </w:rPr>
            </w:pPr>
            <w:r w:rsidRPr="002F46E3">
              <w:t>102.28</w:t>
            </w:r>
            <w:r w:rsidRPr="002F46E3">
              <w:rPr>
                <w:rFonts w:cs="Arial"/>
                <w:lang w:val="en-GB"/>
              </w:rPr>
              <w:t>±</w:t>
            </w:r>
            <w:r w:rsidRPr="002F46E3">
              <w:t>4.77</w:t>
            </w:r>
            <w:r w:rsidRPr="002F46E3">
              <w:rPr>
                <w:vertAlign w:val="superscript"/>
              </w:rPr>
              <w:t>b</w:t>
            </w:r>
          </w:p>
        </w:tc>
        <w:tc>
          <w:tcPr>
            <w:tcW w:w="999" w:type="pct"/>
            <w:tcBorders>
              <w:bottom w:val="single" w:sz="4" w:space="0" w:color="auto"/>
            </w:tcBorders>
            <w:shd w:val="clear" w:color="auto" w:fill="FFFFFF"/>
          </w:tcPr>
          <w:p w14:paraId="2899B3C5" w14:textId="77777777" w:rsidR="00194742" w:rsidRPr="002F46E3" w:rsidRDefault="00194742" w:rsidP="00194742">
            <w:pPr>
              <w:pStyle w:val="CETBodytext"/>
              <w:ind w:right="-1"/>
              <w:jc w:val="center"/>
              <w:rPr>
                <w:rFonts w:cs="Arial"/>
                <w:szCs w:val="18"/>
                <w:lang w:val="en-GB"/>
              </w:rPr>
            </w:pPr>
            <w:r w:rsidRPr="002F46E3">
              <w:t>81.38</w:t>
            </w:r>
            <w:r w:rsidRPr="002F46E3">
              <w:rPr>
                <w:rFonts w:cs="Arial"/>
                <w:lang w:val="en-GB"/>
              </w:rPr>
              <w:t>±</w:t>
            </w:r>
            <w:r w:rsidRPr="002F46E3">
              <w:t>7.19</w:t>
            </w:r>
            <w:r w:rsidRPr="002F46E3">
              <w:rPr>
                <w:vertAlign w:val="superscript"/>
              </w:rPr>
              <w:t>b</w:t>
            </w:r>
          </w:p>
        </w:tc>
        <w:tc>
          <w:tcPr>
            <w:tcW w:w="999" w:type="pct"/>
            <w:tcBorders>
              <w:bottom w:val="single" w:sz="4" w:space="0" w:color="auto"/>
            </w:tcBorders>
            <w:shd w:val="clear" w:color="auto" w:fill="FFFFFF"/>
          </w:tcPr>
          <w:p w14:paraId="2B926056" w14:textId="77777777" w:rsidR="00194742" w:rsidRPr="002F46E3" w:rsidRDefault="00194742" w:rsidP="00194742">
            <w:pPr>
              <w:pStyle w:val="CETBodytext"/>
              <w:ind w:right="-1"/>
              <w:jc w:val="center"/>
              <w:rPr>
                <w:rFonts w:cs="Arial"/>
                <w:szCs w:val="18"/>
                <w:lang w:val="en-GB"/>
              </w:rPr>
            </w:pPr>
            <w:r w:rsidRPr="002F46E3">
              <w:t>85.20</w:t>
            </w:r>
            <w:r w:rsidRPr="002F46E3">
              <w:rPr>
                <w:rFonts w:cs="Arial"/>
                <w:lang w:val="en-GB"/>
              </w:rPr>
              <w:t>±</w:t>
            </w:r>
            <w:r w:rsidRPr="002F46E3">
              <w:t>6.71</w:t>
            </w:r>
            <w:r w:rsidRPr="002F46E3">
              <w:rPr>
                <w:vertAlign w:val="superscript"/>
              </w:rPr>
              <w:t>c</w:t>
            </w:r>
          </w:p>
        </w:tc>
      </w:tr>
      <w:tr w:rsidR="00194742" w:rsidRPr="002F46E3" w14:paraId="4C9D1B35" w14:textId="77777777" w:rsidTr="00194742">
        <w:tc>
          <w:tcPr>
            <w:tcW w:w="5000" w:type="pct"/>
            <w:gridSpan w:val="5"/>
            <w:tcBorders>
              <w:top w:val="single" w:sz="4" w:space="0" w:color="auto"/>
              <w:bottom w:val="single" w:sz="4" w:space="0" w:color="auto"/>
            </w:tcBorders>
            <w:shd w:val="clear" w:color="auto" w:fill="FFFFFF"/>
            <w:vAlign w:val="center"/>
          </w:tcPr>
          <w:p w14:paraId="2CB23B63" w14:textId="77777777" w:rsidR="00194742" w:rsidRPr="002F46E3" w:rsidRDefault="00194742" w:rsidP="00194742">
            <w:pPr>
              <w:pStyle w:val="CETBodytext"/>
              <w:ind w:right="-1"/>
              <w:jc w:val="center"/>
              <w:rPr>
                <w:rFonts w:cs="Arial"/>
                <w:szCs w:val="18"/>
                <w:lang w:val="en-GB"/>
              </w:rPr>
            </w:pPr>
            <w:r w:rsidRPr="002F46E3">
              <w:rPr>
                <w:rFonts w:cs="Arial"/>
                <w:szCs w:val="18"/>
                <w:lang w:val="en-GB"/>
              </w:rPr>
              <w:t>Antioxidant activity (ABTS) (µmol TE/100 g)</w:t>
            </w:r>
          </w:p>
        </w:tc>
      </w:tr>
      <w:tr w:rsidR="00194742" w:rsidRPr="002F46E3" w14:paraId="655479F3" w14:textId="77777777" w:rsidTr="00194742">
        <w:tc>
          <w:tcPr>
            <w:tcW w:w="1000" w:type="pct"/>
            <w:shd w:val="clear" w:color="auto" w:fill="FFFFFF"/>
            <w:vAlign w:val="center"/>
          </w:tcPr>
          <w:p w14:paraId="42299CB7" w14:textId="77777777" w:rsidR="00194742" w:rsidRPr="002F46E3" w:rsidRDefault="00194742" w:rsidP="00194742">
            <w:pPr>
              <w:pStyle w:val="CETBodytext"/>
              <w:ind w:right="-1"/>
              <w:rPr>
                <w:lang w:val="en-GB"/>
              </w:rPr>
            </w:pPr>
            <w:r w:rsidRPr="002F46E3">
              <w:rPr>
                <w:lang w:val="en-GB"/>
              </w:rPr>
              <w:t>Control</w:t>
            </w:r>
          </w:p>
        </w:tc>
        <w:tc>
          <w:tcPr>
            <w:tcW w:w="1001" w:type="pct"/>
            <w:vMerge w:val="restart"/>
            <w:shd w:val="clear" w:color="auto" w:fill="FFFFFF"/>
            <w:vAlign w:val="center"/>
          </w:tcPr>
          <w:p w14:paraId="516DF7DD" w14:textId="77777777" w:rsidR="00194742" w:rsidRPr="002F46E3" w:rsidRDefault="00194742" w:rsidP="00194742">
            <w:pPr>
              <w:pStyle w:val="CETBodytext"/>
              <w:ind w:right="-1"/>
              <w:jc w:val="center"/>
              <w:rPr>
                <w:rFonts w:cs="Arial"/>
                <w:szCs w:val="18"/>
                <w:lang w:val="en-GB"/>
              </w:rPr>
            </w:pPr>
            <w:r w:rsidRPr="002F46E3">
              <w:rPr>
                <w:rFonts w:cs="Arial"/>
                <w:szCs w:val="18"/>
                <w:lang w:val="en-GB"/>
              </w:rPr>
              <w:t>126.08</w:t>
            </w:r>
            <w:r w:rsidRPr="002F46E3">
              <w:rPr>
                <w:rFonts w:cs="Arial"/>
                <w:lang w:val="en-GB"/>
              </w:rPr>
              <w:t>±</w:t>
            </w:r>
            <w:r w:rsidRPr="002F46E3">
              <w:rPr>
                <w:rFonts w:cs="Arial"/>
                <w:szCs w:val="18"/>
                <w:lang w:val="en-GB"/>
              </w:rPr>
              <w:t>10.48</w:t>
            </w:r>
          </w:p>
        </w:tc>
        <w:tc>
          <w:tcPr>
            <w:tcW w:w="1001" w:type="pct"/>
            <w:shd w:val="clear" w:color="auto" w:fill="FFFFFF"/>
          </w:tcPr>
          <w:p w14:paraId="02CABBE5" w14:textId="77777777" w:rsidR="00194742" w:rsidRPr="002F46E3" w:rsidRDefault="00194742" w:rsidP="00194742">
            <w:pPr>
              <w:pStyle w:val="CETBodytext"/>
              <w:ind w:right="-1"/>
              <w:jc w:val="center"/>
              <w:rPr>
                <w:rFonts w:cs="Arial"/>
                <w:szCs w:val="18"/>
                <w:lang w:val="en-GB"/>
              </w:rPr>
            </w:pPr>
            <w:r w:rsidRPr="002F46E3">
              <w:t>117.58</w:t>
            </w:r>
            <w:r w:rsidRPr="002F46E3">
              <w:rPr>
                <w:rFonts w:cs="Arial"/>
                <w:lang w:val="en-GB"/>
              </w:rPr>
              <w:t>±</w:t>
            </w:r>
            <w:r w:rsidRPr="002F46E3">
              <w:t>9.86</w:t>
            </w:r>
            <w:r w:rsidRPr="002F46E3">
              <w:rPr>
                <w:vertAlign w:val="superscript"/>
              </w:rPr>
              <w:t>c</w:t>
            </w:r>
          </w:p>
        </w:tc>
        <w:tc>
          <w:tcPr>
            <w:tcW w:w="999" w:type="pct"/>
            <w:shd w:val="clear" w:color="auto" w:fill="FFFFFF"/>
          </w:tcPr>
          <w:p w14:paraId="3696F52B" w14:textId="77777777" w:rsidR="00194742" w:rsidRPr="002F46E3" w:rsidRDefault="00194742" w:rsidP="00194742">
            <w:pPr>
              <w:pStyle w:val="CETBodytext"/>
              <w:ind w:right="-1"/>
              <w:jc w:val="center"/>
              <w:rPr>
                <w:rFonts w:cs="Arial"/>
                <w:szCs w:val="18"/>
                <w:lang w:val="en-GB"/>
              </w:rPr>
            </w:pPr>
            <w:r w:rsidRPr="002F46E3">
              <w:t>106.03</w:t>
            </w:r>
            <w:r w:rsidRPr="002F46E3">
              <w:rPr>
                <w:rFonts w:cs="Arial"/>
                <w:lang w:val="en-GB"/>
              </w:rPr>
              <w:t>±</w:t>
            </w:r>
            <w:r w:rsidRPr="002F46E3">
              <w:t>13.76</w:t>
            </w:r>
            <w:r w:rsidRPr="002F46E3">
              <w:rPr>
                <w:vertAlign w:val="superscript"/>
              </w:rPr>
              <w:t>a</w:t>
            </w:r>
          </w:p>
        </w:tc>
        <w:tc>
          <w:tcPr>
            <w:tcW w:w="999" w:type="pct"/>
            <w:shd w:val="clear" w:color="auto" w:fill="FFFFFF"/>
          </w:tcPr>
          <w:p w14:paraId="58483635" w14:textId="77777777" w:rsidR="00194742" w:rsidRPr="002F46E3" w:rsidRDefault="00194742" w:rsidP="00194742">
            <w:pPr>
              <w:pStyle w:val="CETBodytext"/>
              <w:ind w:right="-1"/>
              <w:jc w:val="center"/>
              <w:rPr>
                <w:rFonts w:cs="Arial"/>
                <w:szCs w:val="18"/>
                <w:lang w:val="en-GB"/>
              </w:rPr>
            </w:pPr>
            <w:r w:rsidRPr="002F46E3">
              <w:t>83.89</w:t>
            </w:r>
            <w:r w:rsidRPr="002F46E3">
              <w:rPr>
                <w:rFonts w:cs="Arial"/>
                <w:lang w:val="en-GB"/>
              </w:rPr>
              <w:t>±</w:t>
            </w:r>
            <w:r w:rsidRPr="002F46E3">
              <w:t>10.94</w:t>
            </w:r>
            <w:r w:rsidRPr="002F46E3">
              <w:rPr>
                <w:vertAlign w:val="superscript"/>
              </w:rPr>
              <w:t>c</w:t>
            </w:r>
          </w:p>
        </w:tc>
      </w:tr>
      <w:tr w:rsidR="00194742" w:rsidRPr="002F46E3" w14:paraId="13C24EC0" w14:textId="77777777" w:rsidTr="00194742">
        <w:tc>
          <w:tcPr>
            <w:tcW w:w="1000" w:type="pct"/>
            <w:shd w:val="clear" w:color="auto" w:fill="FFFFFF"/>
            <w:vAlign w:val="center"/>
          </w:tcPr>
          <w:p w14:paraId="74D7524A" w14:textId="77777777" w:rsidR="00194742" w:rsidRPr="002F46E3" w:rsidRDefault="00194742" w:rsidP="00194742">
            <w:pPr>
              <w:pStyle w:val="CETBodytext"/>
              <w:ind w:right="-1"/>
              <w:rPr>
                <w:lang w:val="en-GB"/>
              </w:rPr>
            </w:pPr>
            <w:proofErr w:type="spellStart"/>
            <w:r w:rsidRPr="002F46E3">
              <w:rPr>
                <w:lang w:val="en-GB"/>
              </w:rPr>
              <w:t>Phe</w:t>
            </w:r>
            <w:proofErr w:type="spellEnd"/>
          </w:p>
        </w:tc>
        <w:tc>
          <w:tcPr>
            <w:tcW w:w="1001" w:type="pct"/>
            <w:vMerge/>
            <w:shd w:val="clear" w:color="auto" w:fill="FFFFFF"/>
            <w:vAlign w:val="center"/>
          </w:tcPr>
          <w:p w14:paraId="037CDA1F" w14:textId="77777777" w:rsidR="00194742" w:rsidRPr="002F46E3" w:rsidRDefault="00194742" w:rsidP="00194742">
            <w:pPr>
              <w:pStyle w:val="CETBodytext"/>
              <w:ind w:right="-1"/>
              <w:jc w:val="center"/>
              <w:rPr>
                <w:rFonts w:cs="Arial"/>
                <w:szCs w:val="18"/>
                <w:lang w:val="en-GB"/>
              </w:rPr>
            </w:pPr>
          </w:p>
        </w:tc>
        <w:tc>
          <w:tcPr>
            <w:tcW w:w="1001" w:type="pct"/>
            <w:shd w:val="clear" w:color="auto" w:fill="FFFFFF"/>
          </w:tcPr>
          <w:p w14:paraId="67C886D7" w14:textId="77777777" w:rsidR="00194742" w:rsidRPr="002F46E3" w:rsidRDefault="00194742" w:rsidP="00194742">
            <w:pPr>
              <w:pStyle w:val="CETBodytext"/>
              <w:ind w:right="-1"/>
              <w:jc w:val="center"/>
              <w:rPr>
                <w:rFonts w:cs="Arial"/>
                <w:szCs w:val="18"/>
                <w:lang w:val="en-GB"/>
              </w:rPr>
            </w:pPr>
            <w:r w:rsidRPr="002F46E3">
              <w:t>169.80</w:t>
            </w:r>
            <w:r w:rsidRPr="002F46E3">
              <w:rPr>
                <w:rFonts w:cs="Arial"/>
                <w:lang w:val="en-GB"/>
              </w:rPr>
              <w:t>±</w:t>
            </w:r>
            <w:r w:rsidRPr="002F46E3">
              <w:t>12.89</w:t>
            </w:r>
            <w:r w:rsidRPr="002F46E3">
              <w:rPr>
                <w:vertAlign w:val="superscript"/>
              </w:rPr>
              <w:t>a</w:t>
            </w:r>
          </w:p>
        </w:tc>
        <w:tc>
          <w:tcPr>
            <w:tcW w:w="999" w:type="pct"/>
            <w:shd w:val="clear" w:color="auto" w:fill="FFFFFF"/>
          </w:tcPr>
          <w:p w14:paraId="12E9CD0F" w14:textId="77777777" w:rsidR="00194742" w:rsidRPr="002F46E3" w:rsidRDefault="00194742" w:rsidP="00194742">
            <w:pPr>
              <w:pStyle w:val="CETBodytext"/>
              <w:ind w:right="-1"/>
              <w:jc w:val="center"/>
              <w:rPr>
                <w:rFonts w:cs="Arial"/>
                <w:szCs w:val="18"/>
                <w:lang w:val="en-GB"/>
              </w:rPr>
            </w:pPr>
            <w:r w:rsidRPr="002F46E3">
              <w:t>121.51</w:t>
            </w:r>
            <w:r w:rsidRPr="002F46E3">
              <w:rPr>
                <w:rFonts w:cs="Arial"/>
                <w:lang w:val="en-GB"/>
              </w:rPr>
              <w:t>±</w:t>
            </w:r>
            <w:r w:rsidRPr="002F46E3">
              <w:t>14.43</w:t>
            </w:r>
            <w:r w:rsidRPr="002F46E3">
              <w:rPr>
                <w:vertAlign w:val="superscript"/>
              </w:rPr>
              <w:t>b</w:t>
            </w:r>
          </w:p>
        </w:tc>
        <w:tc>
          <w:tcPr>
            <w:tcW w:w="999" w:type="pct"/>
            <w:shd w:val="clear" w:color="auto" w:fill="FFFFFF"/>
          </w:tcPr>
          <w:p w14:paraId="2E6C81F5" w14:textId="77777777" w:rsidR="00194742" w:rsidRPr="002F46E3" w:rsidRDefault="00194742" w:rsidP="00194742">
            <w:pPr>
              <w:pStyle w:val="CETBodytext"/>
              <w:ind w:right="-1"/>
              <w:jc w:val="center"/>
              <w:rPr>
                <w:rFonts w:cs="Arial"/>
                <w:szCs w:val="18"/>
                <w:lang w:val="en-GB"/>
              </w:rPr>
            </w:pPr>
            <w:r w:rsidRPr="002F46E3">
              <w:t>145.71</w:t>
            </w:r>
            <w:r w:rsidRPr="002F46E3">
              <w:rPr>
                <w:rFonts w:cs="Arial"/>
                <w:lang w:val="en-GB"/>
              </w:rPr>
              <w:t>±</w:t>
            </w:r>
            <w:r w:rsidRPr="002F46E3">
              <w:t>13.03</w:t>
            </w:r>
            <w:r w:rsidRPr="002F46E3">
              <w:rPr>
                <w:vertAlign w:val="superscript"/>
              </w:rPr>
              <w:t>a</w:t>
            </w:r>
          </w:p>
        </w:tc>
      </w:tr>
      <w:tr w:rsidR="00194742" w:rsidRPr="002F46E3" w14:paraId="3DA3C23D" w14:textId="77777777" w:rsidTr="00194742">
        <w:tc>
          <w:tcPr>
            <w:tcW w:w="1000" w:type="pct"/>
            <w:shd w:val="clear" w:color="auto" w:fill="FFFFFF"/>
            <w:vAlign w:val="center"/>
          </w:tcPr>
          <w:p w14:paraId="2053DED0" w14:textId="77777777" w:rsidR="00194742" w:rsidRPr="002F46E3" w:rsidRDefault="00194742" w:rsidP="00194742">
            <w:pPr>
              <w:pStyle w:val="CETBodytext"/>
              <w:ind w:right="-1"/>
              <w:rPr>
                <w:lang w:val="en-GB"/>
              </w:rPr>
            </w:pPr>
            <w:r w:rsidRPr="002F46E3">
              <w:rPr>
                <w:lang w:val="en-GB"/>
              </w:rPr>
              <w:t>Chitosan</w:t>
            </w:r>
          </w:p>
        </w:tc>
        <w:tc>
          <w:tcPr>
            <w:tcW w:w="1001" w:type="pct"/>
            <w:vMerge/>
            <w:shd w:val="clear" w:color="auto" w:fill="FFFFFF"/>
            <w:vAlign w:val="center"/>
          </w:tcPr>
          <w:p w14:paraId="4C979AD8" w14:textId="77777777" w:rsidR="00194742" w:rsidRPr="002F46E3" w:rsidRDefault="00194742" w:rsidP="00194742">
            <w:pPr>
              <w:pStyle w:val="CETBodytext"/>
              <w:ind w:right="-1"/>
              <w:jc w:val="center"/>
              <w:rPr>
                <w:rFonts w:cs="Arial"/>
                <w:szCs w:val="18"/>
                <w:lang w:val="en-GB"/>
              </w:rPr>
            </w:pPr>
          </w:p>
        </w:tc>
        <w:tc>
          <w:tcPr>
            <w:tcW w:w="1001" w:type="pct"/>
            <w:shd w:val="clear" w:color="auto" w:fill="FFFFFF"/>
          </w:tcPr>
          <w:p w14:paraId="6F1C1CAB" w14:textId="77777777" w:rsidR="00194742" w:rsidRPr="002F46E3" w:rsidRDefault="00194742" w:rsidP="00194742">
            <w:pPr>
              <w:pStyle w:val="CETBodytext"/>
              <w:ind w:right="-1"/>
              <w:jc w:val="center"/>
              <w:rPr>
                <w:rFonts w:cs="Arial"/>
                <w:szCs w:val="18"/>
                <w:lang w:val="en-GB"/>
              </w:rPr>
            </w:pPr>
            <w:r w:rsidRPr="002F46E3">
              <w:t>123.84</w:t>
            </w:r>
            <w:r w:rsidRPr="002F46E3">
              <w:rPr>
                <w:rFonts w:cs="Arial"/>
                <w:lang w:val="en-GB"/>
              </w:rPr>
              <w:t>±</w:t>
            </w:r>
            <w:r w:rsidRPr="002F46E3">
              <w:t>14.61</w:t>
            </w:r>
            <w:r w:rsidRPr="002F46E3">
              <w:rPr>
                <w:vertAlign w:val="superscript"/>
              </w:rPr>
              <w:t>c</w:t>
            </w:r>
          </w:p>
        </w:tc>
        <w:tc>
          <w:tcPr>
            <w:tcW w:w="999" w:type="pct"/>
            <w:shd w:val="clear" w:color="auto" w:fill="FFFFFF"/>
          </w:tcPr>
          <w:p w14:paraId="2484C1E9" w14:textId="77777777" w:rsidR="00194742" w:rsidRPr="002F46E3" w:rsidRDefault="00194742" w:rsidP="00194742">
            <w:pPr>
              <w:pStyle w:val="CETBodytext"/>
              <w:ind w:right="-1"/>
              <w:jc w:val="center"/>
              <w:rPr>
                <w:rFonts w:cs="Arial"/>
                <w:szCs w:val="18"/>
                <w:lang w:val="en-GB"/>
              </w:rPr>
            </w:pPr>
            <w:r w:rsidRPr="002F46E3">
              <w:t>113.54</w:t>
            </w:r>
            <w:r w:rsidRPr="002F46E3">
              <w:rPr>
                <w:rFonts w:cs="Arial"/>
                <w:lang w:val="en-GB"/>
              </w:rPr>
              <w:t>±</w:t>
            </w:r>
            <w:r w:rsidRPr="002F46E3">
              <w:t>11.46</w:t>
            </w:r>
            <w:r w:rsidRPr="002F46E3">
              <w:rPr>
                <w:vertAlign w:val="superscript"/>
              </w:rPr>
              <w:t>ab</w:t>
            </w:r>
          </w:p>
        </w:tc>
        <w:tc>
          <w:tcPr>
            <w:tcW w:w="999" w:type="pct"/>
            <w:shd w:val="clear" w:color="auto" w:fill="FFFFFF"/>
          </w:tcPr>
          <w:p w14:paraId="140FCFCE" w14:textId="77777777" w:rsidR="00194742" w:rsidRPr="002F46E3" w:rsidRDefault="00194742" w:rsidP="00194742">
            <w:pPr>
              <w:pStyle w:val="CETBodytext"/>
              <w:ind w:right="-1"/>
              <w:jc w:val="center"/>
              <w:rPr>
                <w:rFonts w:cs="Arial"/>
                <w:szCs w:val="18"/>
                <w:lang w:val="en-GB"/>
              </w:rPr>
            </w:pPr>
            <w:r w:rsidRPr="002F46E3">
              <w:t>118.81</w:t>
            </w:r>
            <w:r w:rsidRPr="002F46E3">
              <w:rPr>
                <w:rFonts w:cs="Arial"/>
                <w:lang w:val="en-GB"/>
              </w:rPr>
              <w:t>±</w:t>
            </w:r>
            <w:r w:rsidRPr="002F46E3">
              <w:t>5.90</w:t>
            </w:r>
            <w:r w:rsidRPr="002F46E3">
              <w:rPr>
                <w:vertAlign w:val="superscript"/>
              </w:rPr>
              <w:t>b</w:t>
            </w:r>
          </w:p>
        </w:tc>
      </w:tr>
      <w:tr w:rsidR="00194742" w:rsidRPr="002F46E3" w14:paraId="4D5F86BA" w14:textId="77777777" w:rsidTr="00194742">
        <w:tc>
          <w:tcPr>
            <w:tcW w:w="1000" w:type="pct"/>
            <w:tcBorders>
              <w:bottom w:val="single" w:sz="4" w:space="0" w:color="auto"/>
            </w:tcBorders>
            <w:shd w:val="clear" w:color="auto" w:fill="FFFFFF"/>
            <w:vAlign w:val="center"/>
          </w:tcPr>
          <w:p w14:paraId="4E5F8509" w14:textId="77777777" w:rsidR="00194742" w:rsidRPr="002F46E3" w:rsidRDefault="00194742" w:rsidP="00194742">
            <w:pPr>
              <w:pStyle w:val="CETBodytext"/>
              <w:ind w:right="-1"/>
              <w:rPr>
                <w:lang w:val="en-GB"/>
              </w:rPr>
            </w:pPr>
            <w:r w:rsidRPr="002F46E3">
              <w:rPr>
                <w:lang w:val="en-GB"/>
              </w:rPr>
              <w:t>Chitosan/</w:t>
            </w:r>
            <w:proofErr w:type="spellStart"/>
            <w:r w:rsidRPr="002F46E3">
              <w:rPr>
                <w:lang w:val="en-GB"/>
              </w:rPr>
              <w:t>Phe</w:t>
            </w:r>
            <w:proofErr w:type="spellEnd"/>
          </w:p>
        </w:tc>
        <w:tc>
          <w:tcPr>
            <w:tcW w:w="1001" w:type="pct"/>
            <w:vMerge/>
            <w:tcBorders>
              <w:bottom w:val="single" w:sz="4" w:space="0" w:color="auto"/>
            </w:tcBorders>
            <w:shd w:val="clear" w:color="auto" w:fill="FFFFFF"/>
            <w:vAlign w:val="center"/>
          </w:tcPr>
          <w:p w14:paraId="417F932B" w14:textId="77777777" w:rsidR="00194742" w:rsidRPr="002F46E3" w:rsidRDefault="00194742" w:rsidP="00194742">
            <w:pPr>
              <w:pStyle w:val="CETBodytext"/>
              <w:ind w:right="-1"/>
              <w:jc w:val="center"/>
              <w:rPr>
                <w:rFonts w:cs="Arial"/>
                <w:szCs w:val="18"/>
                <w:lang w:val="en-GB"/>
              </w:rPr>
            </w:pPr>
          </w:p>
        </w:tc>
        <w:tc>
          <w:tcPr>
            <w:tcW w:w="1001" w:type="pct"/>
            <w:tcBorders>
              <w:bottom w:val="single" w:sz="4" w:space="0" w:color="auto"/>
            </w:tcBorders>
            <w:shd w:val="clear" w:color="auto" w:fill="FFFFFF"/>
          </w:tcPr>
          <w:p w14:paraId="563DBDD9" w14:textId="77777777" w:rsidR="00194742" w:rsidRPr="002F46E3" w:rsidRDefault="00194742" w:rsidP="00194742">
            <w:pPr>
              <w:pStyle w:val="CETBodytext"/>
              <w:ind w:right="-1"/>
              <w:jc w:val="center"/>
              <w:rPr>
                <w:rFonts w:cs="Arial"/>
                <w:szCs w:val="18"/>
                <w:lang w:val="en-GB"/>
              </w:rPr>
            </w:pPr>
            <w:r w:rsidRPr="002F46E3">
              <w:t>138.17</w:t>
            </w:r>
            <w:r w:rsidRPr="002F46E3">
              <w:rPr>
                <w:rFonts w:cs="Arial"/>
                <w:lang w:val="en-GB"/>
              </w:rPr>
              <w:t>±</w:t>
            </w:r>
            <w:r w:rsidRPr="002F46E3">
              <w:t>4.25</w:t>
            </w:r>
            <w:r w:rsidRPr="002F46E3">
              <w:rPr>
                <w:vertAlign w:val="superscript"/>
              </w:rPr>
              <w:t>b</w:t>
            </w:r>
          </w:p>
        </w:tc>
        <w:tc>
          <w:tcPr>
            <w:tcW w:w="999" w:type="pct"/>
            <w:tcBorders>
              <w:bottom w:val="single" w:sz="4" w:space="0" w:color="auto"/>
            </w:tcBorders>
            <w:shd w:val="clear" w:color="auto" w:fill="FFFFFF"/>
          </w:tcPr>
          <w:p w14:paraId="19A916E2" w14:textId="77777777" w:rsidR="00194742" w:rsidRPr="002F46E3" w:rsidRDefault="00194742" w:rsidP="00194742">
            <w:pPr>
              <w:pStyle w:val="CETBodytext"/>
              <w:ind w:right="-1"/>
              <w:jc w:val="center"/>
              <w:rPr>
                <w:rFonts w:cs="Arial"/>
                <w:szCs w:val="18"/>
                <w:lang w:val="en-GB"/>
              </w:rPr>
            </w:pPr>
            <w:r w:rsidRPr="002F46E3">
              <w:t>114.49</w:t>
            </w:r>
            <w:r w:rsidRPr="002F46E3">
              <w:rPr>
                <w:rFonts w:cs="Arial"/>
                <w:lang w:val="en-GB"/>
              </w:rPr>
              <w:t>±</w:t>
            </w:r>
            <w:r w:rsidRPr="002F46E3">
              <w:t>4.14</w:t>
            </w:r>
            <w:r w:rsidRPr="002F46E3">
              <w:rPr>
                <w:vertAlign w:val="superscript"/>
              </w:rPr>
              <w:t>ab</w:t>
            </w:r>
          </w:p>
        </w:tc>
        <w:tc>
          <w:tcPr>
            <w:tcW w:w="999" w:type="pct"/>
            <w:tcBorders>
              <w:bottom w:val="single" w:sz="4" w:space="0" w:color="auto"/>
            </w:tcBorders>
            <w:shd w:val="clear" w:color="auto" w:fill="FFFFFF"/>
          </w:tcPr>
          <w:p w14:paraId="06DFA8E8" w14:textId="77777777" w:rsidR="00194742" w:rsidRPr="002F46E3" w:rsidRDefault="00194742" w:rsidP="00194742">
            <w:pPr>
              <w:pStyle w:val="CETBodytext"/>
              <w:ind w:right="-1"/>
              <w:jc w:val="center"/>
              <w:rPr>
                <w:rFonts w:cs="Arial"/>
                <w:szCs w:val="18"/>
                <w:lang w:val="en-GB"/>
              </w:rPr>
            </w:pPr>
            <w:r w:rsidRPr="002F46E3">
              <w:t>116.89</w:t>
            </w:r>
            <w:r w:rsidRPr="002F46E3">
              <w:rPr>
                <w:rFonts w:cs="Arial"/>
                <w:lang w:val="en-GB"/>
              </w:rPr>
              <w:t>±</w:t>
            </w:r>
            <w:r w:rsidRPr="002F46E3">
              <w:t>4.21</w:t>
            </w:r>
            <w:r w:rsidRPr="002F46E3">
              <w:rPr>
                <w:vertAlign w:val="superscript"/>
              </w:rPr>
              <w:t>b</w:t>
            </w:r>
          </w:p>
        </w:tc>
      </w:tr>
      <w:tr w:rsidR="00194742" w:rsidRPr="002F46E3" w14:paraId="42748E07" w14:textId="77777777" w:rsidTr="00194742">
        <w:tc>
          <w:tcPr>
            <w:tcW w:w="5000" w:type="pct"/>
            <w:gridSpan w:val="5"/>
            <w:tcBorders>
              <w:top w:val="single" w:sz="4" w:space="0" w:color="auto"/>
              <w:bottom w:val="single" w:sz="4" w:space="0" w:color="auto"/>
            </w:tcBorders>
            <w:shd w:val="clear" w:color="auto" w:fill="FFFFFF"/>
            <w:vAlign w:val="center"/>
          </w:tcPr>
          <w:p w14:paraId="64C05B1F" w14:textId="77777777" w:rsidR="00194742" w:rsidRPr="002F46E3" w:rsidRDefault="00194742" w:rsidP="00194742">
            <w:pPr>
              <w:pStyle w:val="CETBodytext"/>
              <w:ind w:right="-1"/>
              <w:jc w:val="center"/>
              <w:rPr>
                <w:rFonts w:cs="Arial"/>
                <w:szCs w:val="18"/>
                <w:lang w:val="en-GB"/>
              </w:rPr>
            </w:pPr>
            <w:r w:rsidRPr="002F46E3">
              <w:rPr>
                <w:rFonts w:cs="Arial"/>
                <w:szCs w:val="18"/>
                <w:lang w:val="en-GB"/>
              </w:rPr>
              <w:t>Total Proteins (TP) (g chymosin/100 g)</w:t>
            </w:r>
          </w:p>
        </w:tc>
      </w:tr>
      <w:tr w:rsidR="00194742" w:rsidRPr="002F46E3" w14:paraId="6D1748A1" w14:textId="77777777" w:rsidTr="00194742">
        <w:tc>
          <w:tcPr>
            <w:tcW w:w="1000" w:type="pct"/>
            <w:shd w:val="clear" w:color="auto" w:fill="FFFFFF"/>
            <w:vAlign w:val="center"/>
          </w:tcPr>
          <w:p w14:paraId="0C796D40" w14:textId="77777777" w:rsidR="00194742" w:rsidRPr="002F46E3" w:rsidRDefault="00194742" w:rsidP="00194742">
            <w:pPr>
              <w:pStyle w:val="CETBodytext"/>
              <w:ind w:right="-1"/>
              <w:rPr>
                <w:lang w:val="en-GB"/>
              </w:rPr>
            </w:pPr>
            <w:r w:rsidRPr="002F46E3">
              <w:rPr>
                <w:lang w:val="en-GB"/>
              </w:rPr>
              <w:t>Control</w:t>
            </w:r>
          </w:p>
        </w:tc>
        <w:tc>
          <w:tcPr>
            <w:tcW w:w="1001" w:type="pct"/>
            <w:vMerge w:val="restart"/>
            <w:shd w:val="clear" w:color="auto" w:fill="FFFFFF"/>
            <w:vAlign w:val="center"/>
          </w:tcPr>
          <w:p w14:paraId="2960E766" w14:textId="77777777" w:rsidR="00194742" w:rsidRPr="002F46E3" w:rsidRDefault="00194742" w:rsidP="00194742">
            <w:pPr>
              <w:pStyle w:val="CETBodytext"/>
              <w:ind w:right="-1"/>
              <w:jc w:val="center"/>
              <w:rPr>
                <w:rFonts w:cs="Arial"/>
                <w:szCs w:val="18"/>
                <w:lang w:val="en-GB"/>
              </w:rPr>
            </w:pPr>
            <w:r w:rsidRPr="002F46E3">
              <w:rPr>
                <w:rFonts w:cs="Arial"/>
                <w:szCs w:val="18"/>
                <w:lang w:val="en-GB"/>
              </w:rPr>
              <w:t>1.02</w:t>
            </w:r>
            <w:r w:rsidRPr="002F46E3">
              <w:rPr>
                <w:rFonts w:cs="Arial"/>
                <w:lang w:val="en-GB"/>
              </w:rPr>
              <w:t>±</w:t>
            </w:r>
            <w:r w:rsidRPr="002F46E3">
              <w:rPr>
                <w:rFonts w:cs="Arial"/>
                <w:szCs w:val="18"/>
                <w:lang w:val="en-GB"/>
              </w:rPr>
              <w:t>0.04</w:t>
            </w:r>
          </w:p>
        </w:tc>
        <w:tc>
          <w:tcPr>
            <w:tcW w:w="1001" w:type="pct"/>
            <w:shd w:val="clear" w:color="auto" w:fill="FFFFFF"/>
          </w:tcPr>
          <w:p w14:paraId="059A01E9" w14:textId="77777777" w:rsidR="00194742" w:rsidRPr="002F46E3" w:rsidRDefault="00194742" w:rsidP="00194742">
            <w:pPr>
              <w:pStyle w:val="CETBodytext"/>
              <w:ind w:right="-1"/>
              <w:jc w:val="center"/>
              <w:rPr>
                <w:rFonts w:cs="Arial"/>
                <w:szCs w:val="18"/>
                <w:lang w:val="en-GB"/>
              </w:rPr>
            </w:pPr>
            <w:r w:rsidRPr="002F46E3">
              <w:t>1.10</w:t>
            </w:r>
            <w:r w:rsidRPr="002F46E3">
              <w:rPr>
                <w:rFonts w:cs="Arial"/>
                <w:lang w:val="en-GB"/>
              </w:rPr>
              <w:t>±</w:t>
            </w:r>
            <w:r w:rsidRPr="002F46E3">
              <w:t>0.12</w:t>
            </w:r>
            <w:r w:rsidRPr="002F46E3">
              <w:rPr>
                <w:vertAlign w:val="superscript"/>
              </w:rPr>
              <w:t>b</w:t>
            </w:r>
          </w:p>
        </w:tc>
        <w:tc>
          <w:tcPr>
            <w:tcW w:w="999" w:type="pct"/>
            <w:shd w:val="clear" w:color="auto" w:fill="FFFFFF"/>
          </w:tcPr>
          <w:p w14:paraId="0047F08F" w14:textId="77777777" w:rsidR="00194742" w:rsidRPr="002F46E3" w:rsidRDefault="00194742" w:rsidP="00194742">
            <w:pPr>
              <w:pStyle w:val="CETBodytext"/>
              <w:ind w:right="-1"/>
              <w:jc w:val="center"/>
              <w:rPr>
                <w:rFonts w:cs="Arial"/>
                <w:szCs w:val="18"/>
                <w:lang w:val="en-GB"/>
              </w:rPr>
            </w:pPr>
            <w:r w:rsidRPr="002F46E3">
              <w:t>1.04</w:t>
            </w:r>
            <w:r w:rsidRPr="002F46E3">
              <w:rPr>
                <w:rFonts w:cs="Arial"/>
                <w:lang w:val="en-GB"/>
              </w:rPr>
              <w:t>±</w:t>
            </w:r>
            <w:r w:rsidRPr="002F46E3">
              <w:t>0.14</w:t>
            </w:r>
            <w:r w:rsidRPr="002F46E3">
              <w:rPr>
                <w:vertAlign w:val="superscript"/>
              </w:rPr>
              <w:t>c</w:t>
            </w:r>
          </w:p>
        </w:tc>
        <w:tc>
          <w:tcPr>
            <w:tcW w:w="999" w:type="pct"/>
            <w:shd w:val="clear" w:color="auto" w:fill="FFFFFF"/>
          </w:tcPr>
          <w:p w14:paraId="62E4582B" w14:textId="77777777" w:rsidR="00194742" w:rsidRPr="002F46E3" w:rsidRDefault="00194742" w:rsidP="00194742">
            <w:pPr>
              <w:pStyle w:val="CETBodytext"/>
              <w:ind w:right="-1"/>
              <w:jc w:val="center"/>
              <w:rPr>
                <w:rFonts w:cs="Arial"/>
                <w:szCs w:val="18"/>
                <w:lang w:val="en-GB"/>
              </w:rPr>
            </w:pPr>
            <w:r w:rsidRPr="002F46E3">
              <w:t>0.97</w:t>
            </w:r>
            <w:r w:rsidRPr="002F46E3">
              <w:rPr>
                <w:rFonts w:cs="Arial"/>
                <w:lang w:val="en-GB"/>
              </w:rPr>
              <w:t>±</w:t>
            </w:r>
            <w:r w:rsidRPr="002F46E3">
              <w:t>0.23</w:t>
            </w:r>
            <w:r w:rsidRPr="002F46E3">
              <w:rPr>
                <w:vertAlign w:val="superscript"/>
              </w:rPr>
              <w:t>b</w:t>
            </w:r>
          </w:p>
        </w:tc>
      </w:tr>
      <w:tr w:rsidR="00194742" w:rsidRPr="002F46E3" w14:paraId="4E214ED5" w14:textId="77777777" w:rsidTr="00194742">
        <w:tc>
          <w:tcPr>
            <w:tcW w:w="1000" w:type="pct"/>
            <w:shd w:val="clear" w:color="auto" w:fill="FFFFFF"/>
            <w:vAlign w:val="center"/>
          </w:tcPr>
          <w:p w14:paraId="314A3D01" w14:textId="77777777" w:rsidR="00194742" w:rsidRPr="002F46E3" w:rsidRDefault="00194742" w:rsidP="00194742">
            <w:pPr>
              <w:pStyle w:val="CETBodytext"/>
              <w:ind w:right="-1"/>
              <w:rPr>
                <w:lang w:val="en-GB"/>
              </w:rPr>
            </w:pPr>
            <w:proofErr w:type="spellStart"/>
            <w:r w:rsidRPr="002F46E3">
              <w:rPr>
                <w:lang w:val="en-GB"/>
              </w:rPr>
              <w:t>Phe</w:t>
            </w:r>
            <w:proofErr w:type="spellEnd"/>
          </w:p>
        </w:tc>
        <w:tc>
          <w:tcPr>
            <w:tcW w:w="1001" w:type="pct"/>
            <w:vMerge/>
            <w:shd w:val="clear" w:color="auto" w:fill="FFFFFF"/>
            <w:vAlign w:val="center"/>
          </w:tcPr>
          <w:p w14:paraId="0813143A" w14:textId="77777777" w:rsidR="00194742" w:rsidRPr="002F46E3" w:rsidRDefault="00194742" w:rsidP="00194742">
            <w:pPr>
              <w:pStyle w:val="CETBodytext"/>
              <w:ind w:right="-1"/>
              <w:jc w:val="center"/>
              <w:rPr>
                <w:rFonts w:cs="Arial"/>
                <w:szCs w:val="18"/>
                <w:lang w:val="en-GB"/>
              </w:rPr>
            </w:pPr>
          </w:p>
        </w:tc>
        <w:tc>
          <w:tcPr>
            <w:tcW w:w="1001" w:type="pct"/>
            <w:shd w:val="clear" w:color="auto" w:fill="FFFFFF"/>
          </w:tcPr>
          <w:p w14:paraId="5EFBA5C6" w14:textId="77777777" w:rsidR="00194742" w:rsidRPr="002F46E3" w:rsidRDefault="00194742" w:rsidP="00194742">
            <w:pPr>
              <w:pStyle w:val="CETBodytext"/>
              <w:ind w:right="-1"/>
              <w:jc w:val="center"/>
              <w:rPr>
                <w:rFonts w:cs="Arial"/>
                <w:szCs w:val="18"/>
                <w:lang w:val="en-GB"/>
              </w:rPr>
            </w:pPr>
            <w:r w:rsidRPr="002F46E3">
              <w:t>1.48</w:t>
            </w:r>
            <w:r w:rsidRPr="002F46E3">
              <w:rPr>
                <w:rFonts w:cs="Arial"/>
                <w:lang w:val="en-GB"/>
              </w:rPr>
              <w:t>±</w:t>
            </w:r>
            <w:r w:rsidRPr="002F46E3">
              <w:t>0.09</w:t>
            </w:r>
            <w:r w:rsidRPr="002F46E3">
              <w:rPr>
                <w:vertAlign w:val="superscript"/>
              </w:rPr>
              <w:t>a</w:t>
            </w:r>
          </w:p>
        </w:tc>
        <w:tc>
          <w:tcPr>
            <w:tcW w:w="999" w:type="pct"/>
            <w:shd w:val="clear" w:color="auto" w:fill="FFFFFF"/>
          </w:tcPr>
          <w:p w14:paraId="77137950" w14:textId="77777777" w:rsidR="00194742" w:rsidRPr="002F46E3" w:rsidRDefault="00194742" w:rsidP="00194742">
            <w:pPr>
              <w:pStyle w:val="CETBodytext"/>
              <w:ind w:right="-1"/>
              <w:jc w:val="center"/>
              <w:rPr>
                <w:rFonts w:cs="Arial"/>
                <w:szCs w:val="18"/>
                <w:lang w:val="en-GB"/>
              </w:rPr>
            </w:pPr>
            <w:r w:rsidRPr="002F46E3">
              <w:t>1.47</w:t>
            </w:r>
            <w:r w:rsidRPr="002F46E3">
              <w:rPr>
                <w:rFonts w:cs="Arial"/>
                <w:lang w:val="en-GB"/>
              </w:rPr>
              <w:t>±</w:t>
            </w:r>
            <w:r w:rsidRPr="002F46E3">
              <w:t>0.03</w:t>
            </w:r>
            <w:r w:rsidRPr="002F46E3">
              <w:rPr>
                <w:vertAlign w:val="superscript"/>
              </w:rPr>
              <w:t>a</w:t>
            </w:r>
          </w:p>
        </w:tc>
        <w:tc>
          <w:tcPr>
            <w:tcW w:w="999" w:type="pct"/>
            <w:shd w:val="clear" w:color="auto" w:fill="FFFFFF"/>
          </w:tcPr>
          <w:p w14:paraId="4121F0D7" w14:textId="77777777" w:rsidR="00194742" w:rsidRPr="002F46E3" w:rsidRDefault="00194742" w:rsidP="00194742">
            <w:pPr>
              <w:pStyle w:val="CETBodytext"/>
              <w:ind w:right="-1"/>
              <w:jc w:val="center"/>
              <w:rPr>
                <w:rFonts w:cs="Arial"/>
                <w:szCs w:val="18"/>
                <w:lang w:val="en-GB"/>
              </w:rPr>
            </w:pPr>
            <w:r w:rsidRPr="002F46E3">
              <w:t>1.31</w:t>
            </w:r>
            <w:r w:rsidRPr="002F46E3">
              <w:rPr>
                <w:rFonts w:cs="Arial"/>
                <w:lang w:val="en-GB"/>
              </w:rPr>
              <w:t>±</w:t>
            </w:r>
            <w:r w:rsidRPr="002F46E3">
              <w:t>0.09</w:t>
            </w:r>
            <w:r w:rsidRPr="002F46E3">
              <w:rPr>
                <w:vertAlign w:val="superscript"/>
              </w:rPr>
              <w:t>a</w:t>
            </w:r>
          </w:p>
        </w:tc>
      </w:tr>
      <w:tr w:rsidR="00194742" w:rsidRPr="002F46E3" w14:paraId="229E83A6" w14:textId="77777777" w:rsidTr="00194742">
        <w:tc>
          <w:tcPr>
            <w:tcW w:w="1000" w:type="pct"/>
            <w:shd w:val="clear" w:color="auto" w:fill="FFFFFF"/>
            <w:vAlign w:val="center"/>
          </w:tcPr>
          <w:p w14:paraId="6EDA1C57" w14:textId="77777777" w:rsidR="00194742" w:rsidRPr="002F46E3" w:rsidRDefault="00194742" w:rsidP="00194742">
            <w:pPr>
              <w:pStyle w:val="CETBodytext"/>
              <w:ind w:right="-1"/>
              <w:rPr>
                <w:lang w:val="en-GB"/>
              </w:rPr>
            </w:pPr>
            <w:r w:rsidRPr="002F46E3">
              <w:rPr>
                <w:lang w:val="en-GB"/>
              </w:rPr>
              <w:t>Chitosan</w:t>
            </w:r>
          </w:p>
        </w:tc>
        <w:tc>
          <w:tcPr>
            <w:tcW w:w="1001" w:type="pct"/>
            <w:vMerge/>
            <w:shd w:val="clear" w:color="auto" w:fill="FFFFFF"/>
            <w:vAlign w:val="center"/>
          </w:tcPr>
          <w:p w14:paraId="407E2313" w14:textId="77777777" w:rsidR="00194742" w:rsidRPr="002F46E3" w:rsidRDefault="00194742" w:rsidP="00194742">
            <w:pPr>
              <w:pStyle w:val="CETBodytext"/>
              <w:ind w:right="-1"/>
              <w:jc w:val="center"/>
              <w:rPr>
                <w:rFonts w:cs="Arial"/>
                <w:szCs w:val="18"/>
                <w:lang w:val="en-GB"/>
              </w:rPr>
            </w:pPr>
          </w:p>
        </w:tc>
        <w:tc>
          <w:tcPr>
            <w:tcW w:w="1001" w:type="pct"/>
            <w:shd w:val="clear" w:color="auto" w:fill="FFFFFF"/>
          </w:tcPr>
          <w:p w14:paraId="42147847" w14:textId="77777777" w:rsidR="00194742" w:rsidRPr="002F46E3" w:rsidRDefault="00194742" w:rsidP="00194742">
            <w:pPr>
              <w:pStyle w:val="CETBodytext"/>
              <w:ind w:right="-1"/>
              <w:jc w:val="center"/>
              <w:rPr>
                <w:rFonts w:cs="Arial"/>
                <w:szCs w:val="18"/>
                <w:lang w:val="en-GB"/>
              </w:rPr>
            </w:pPr>
            <w:r w:rsidRPr="002F46E3">
              <w:t>1.16</w:t>
            </w:r>
            <w:r w:rsidRPr="002F46E3">
              <w:rPr>
                <w:rFonts w:cs="Arial"/>
                <w:lang w:val="en-GB"/>
              </w:rPr>
              <w:t>±</w:t>
            </w:r>
            <w:r w:rsidRPr="002F46E3">
              <w:t>0.13</w:t>
            </w:r>
            <w:r w:rsidRPr="002F46E3">
              <w:rPr>
                <w:vertAlign w:val="superscript"/>
              </w:rPr>
              <w:t>b</w:t>
            </w:r>
          </w:p>
        </w:tc>
        <w:tc>
          <w:tcPr>
            <w:tcW w:w="999" w:type="pct"/>
            <w:shd w:val="clear" w:color="auto" w:fill="FFFFFF"/>
          </w:tcPr>
          <w:p w14:paraId="2657169C" w14:textId="77777777" w:rsidR="00194742" w:rsidRPr="002F46E3" w:rsidRDefault="00194742" w:rsidP="00194742">
            <w:pPr>
              <w:pStyle w:val="CETBodytext"/>
              <w:ind w:right="-1"/>
              <w:jc w:val="center"/>
              <w:rPr>
                <w:rFonts w:cs="Arial"/>
                <w:szCs w:val="18"/>
                <w:lang w:val="en-GB"/>
              </w:rPr>
            </w:pPr>
            <w:r w:rsidRPr="002F46E3">
              <w:t>1.25</w:t>
            </w:r>
            <w:r w:rsidRPr="002F46E3">
              <w:rPr>
                <w:rFonts w:cs="Arial"/>
                <w:lang w:val="en-GB"/>
              </w:rPr>
              <w:t>±</w:t>
            </w:r>
            <w:r w:rsidRPr="002F46E3">
              <w:t>0.08</w:t>
            </w:r>
            <w:r w:rsidRPr="002F46E3">
              <w:rPr>
                <w:vertAlign w:val="superscript"/>
              </w:rPr>
              <w:t>b</w:t>
            </w:r>
          </w:p>
        </w:tc>
        <w:tc>
          <w:tcPr>
            <w:tcW w:w="999" w:type="pct"/>
            <w:shd w:val="clear" w:color="auto" w:fill="FFFFFF"/>
          </w:tcPr>
          <w:p w14:paraId="760B17D7" w14:textId="77777777" w:rsidR="00194742" w:rsidRPr="002F46E3" w:rsidRDefault="00194742" w:rsidP="00194742">
            <w:pPr>
              <w:pStyle w:val="CETBodytext"/>
              <w:ind w:right="-1"/>
              <w:jc w:val="center"/>
              <w:rPr>
                <w:rFonts w:cs="Arial"/>
                <w:szCs w:val="18"/>
                <w:lang w:val="en-GB"/>
              </w:rPr>
            </w:pPr>
            <w:r w:rsidRPr="002F46E3">
              <w:t>1.11</w:t>
            </w:r>
            <w:r w:rsidRPr="002F46E3">
              <w:rPr>
                <w:rFonts w:cs="Arial"/>
                <w:lang w:val="en-GB"/>
              </w:rPr>
              <w:t>±</w:t>
            </w:r>
            <w:r w:rsidRPr="002F46E3">
              <w:t>0.07</w:t>
            </w:r>
            <w:r w:rsidRPr="002F46E3">
              <w:rPr>
                <w:vertAlign w:val="superscript"/>
              </w:rPr>
              <w:t>b</w:t>
            </w:r>
          </w:p>
        </w:tc>
      </w:tr>
      <w:tr w:rsidR="00194742" w:rsidRPr="002F46E3" w14:paraId="7958B8C9" w14:textId="77777777" w:rsidTr="00194742">
        <w:tc>
          <w:tcPr>
            <w:tcW w:w="1000" w:type="pct"/>
            <w:shd w:val="clear" w:color="auto" w:fill="FFFFFF"/>
            <w:vAlign w:val="center"/>
          </w:tcPr>
          <w:p w14:paraId="362D4A8D" w14:textId="77777777" w:rsidR="00194742" w:rsidRPr="002F46E3" w:rsidRDefault="00194742" w:rsidP="00194742">
            <w:pPr>
              <w:pStyle w:val="CETBodytext"/>
              <w:ind w:right="-1"/>
              <w:rPr>
                <w:lang w:val="en-GB"/>
              </w:rPr>
            </w:pPr>
            <w:r w:rsidRPr="002F46E3">
              <w:rPr>
                <w:lang w:val="en-GB"/>
              </w:rPr>
              <w:t>Chitosan/</w:t>
            </w:r>
            <w:proofErr w:type="spellStart"/>
            <w:r w:rsidRPr="002F46E3">
              <w:rPr>
                <w:lang w:val="en-GB"/>
              </w:rPr>
              <w:t>Phe</w:t>
            </w:r>
            <w:proofErr w:type="spellEnd"/>
          </w:p>
        </w:tc>
        <w:tc>
          <w:tcPr>
            <w:tcW w:w="1001" w:type="pct"/>
            <w:vMerge/>
            <w:shd w:val="clear" w:color="auto" w:fill="FFFFFF"/>
            <w:vAlign w:val="center"/>
          </w:tcPr>
          <w:p w14:paraId="0291D57F" w14:textId="77777777" w:rsidR="00194742" w:rsidRPr="002F46E3" w:rsidRDefault="00194742" w:rsidP="00194742">
            <w:pPr>
              <w:pStyle w:val="CETBodytext"/>
              <w:ind w:right="-1"/>
              <w:jc w:val="center"/>
              <w:rPr>
                <w:rFonts w:cs="Arial"/>
                <w:szCs w:val="18"/>
                <w:lang w:val="en-GB"/>
              </w:rPr>
            </w:pPr>
          </w:p>
        </w:tc>
        <w:tc>
          <w:tcPr>
            <w:tcW w:w="1001" w:type="pct"/>
            <w:shd w:val="clear" w:color="auto" w:fill="FFFFFF"/>
          </w:tcPr>
          <w:p w14:paraId="2FB82D8C" w14:textId="77777777" w:rsidR="00194742" w:rsidRPr="002F46E3" w:rsidRDefault="00194742" w:rsidP="00194742">
            <w:pPr>
              <w:pStyle w:val="CETBodytext"/>
              <w:ind w:right="-1"/>
              <w:jc w:val="center"/>
              <w:rPr>
                <w:rFonts w:cs="Arial"/>
                <w:szCs w:val="18"/>
                <w:lang w:val="en-GB"/>
              </w:rPr>
            </w:pPr>
            <w:r w:rsidRPr="002F46E3">
              <w:t>1.18</w:t>
            </w:r>
            <w:r w:rsidRPr="002F46E3">
              <w:rPr>
                <w:rFonts w:cs="Arial"/>
                <w:lang w:val="en-GB"/>
              </w:rPr>
              <w:t>±</w:t>
            </w:r>
            <w:r w:rsidRPr="002F46E3">
              <w:t>0.15</w:t>
            </w:r>
            <w:r w:rsidRPr="002F46E3">
              <w:rPr>
                <w:vertAlign w:val="superscript"/>
              </w:rPr>
              <w:t>b</w:t>
            </w:r>
          </w:p>
        </w:tc>
        <w:tc>
          <w:tcPr>
            <w:tcW w:w="999" w:type="pct"/>
            <w:shd w:val="clear" w:color="auto" w:fill="FFFFFF"/>
          </w:tcPr>
          <w:p w14:paraId="47B8277B" w14:textId="77777777" w:rsidR="00194742" w:rsidRPr="002F46E3" w:rsidRDefault="00194742" w:rsidP="00194742">
            <w:pPr>
              <w:pStyle w:val="CETBodytext"/>
              <w:ind w:right="-1"/>
              <w:jc w:val="center"/>
              <w:rPr>
                <w:rFonts w:cs="Arial"/>
                <w:szCs w:val="18"/>
                <w:lang w:val="en-GB"/>
              </w:rPr>
            </w:pPr>
            <w:r w:rsidRPr="002F46E3">
              <w:t>1.09</w:t>
            </w:r>
            <w:r w:rsidRPr="002F46E3">
              <w:rPr>
                <w:rFonts w:cs="Arial"/>
                <w:lang w:val="en-GB"/>
              </w:rPr>
              <w:t>±</w:t>
            </w:r>
            <w:r w:rsidRPr="002F46E3">
              <w:t>0.03</w:t>
            </w:r>
            <w:r w:rsidRPr="002F46E3">
              <w:rPr>
                <w:vertAlign w:val="superscript"/>
              </w:rPr>
              <w:t>c</w:t>
            </w:r>
          </w:p>
        </w:tc>
        <w:tc>
          <w:tcPr>
            <w:tcW w:w="999" w:type="pct"/>
            <w:shd w:val="clear" w:color="auto" w:fill="FFFFFF"/>
          </w:tcPr>
          <w:p w14:paraId="7ECF7F6F" w14:textId="77777777" w:rsidR="00194742" w:rsidRPr="002F46E3" w:rsidRDefault="00194742" w:rsidP="00194742">
            <w:pPr>
              <w:pStyle w:val="CETBodytext"/>
              <w:ind w:right="-1"/>
              <w:jc w:val="center"/>
              <w:rPr>
                <w:rFonts w:cs="Arial"/>
                <w:szCs w:val="18"/>
                <w:lang w:val="en-GB"/>
              </w:rPr>
            </w:pPr>
            <w:r w:rsidRPr="002F46E3">
              <w:t>1.05</w:t>
            </w:r>
            <w:r w:rsidRPr="002F46E3">
              <w:rPr>
                <w:rFonts w:cs="Arial"/>
                <w:lang w:val="en-GB"/>
              </w:rPr>
              <w:t>±</w:t>
            </w:r>
            <w:r w:rsidRPr="002F46E3">
              <w:t>1.13</w:t>
            </w:r>
            <w:r w:rsidRPr="002F46E3">
              <w:rPr>
                <w:vertAlign w:val="superscript"/>
              </w:rPr>
              <w:t>b</w:t>
            </w:r>
          </w:p>
        </w:tc>
      </w:tr>
    </w:tbl>
    <w:p w14:paraId="2802297D" w14:textId="77777777" w:rsidR="009D16BA" w:rsidRDefault="00194742" w:rsidP="003D1567">
      <w:pPr>
        <w:pStyle w:val="CETBodytext"/>
      </w:pPr>
      <w:r w:rsidRPr="002F46E3">
        <w:rPr>
          <w:vertAlign w:val="superscript"/>
          <w:lang w:val="en-GB"/>
        </w:rPr>
        <w:t>Values superscripted with the same letter within a column (respectively to the method) are not significantly different according to the post hoc t-test (p &lt; 0.05).</w:t>
      </w:r>
      <w:r w:rsidR="003D1567" w:rsidRPr="002F46E3">
        <w:t xml:space="preserve"> </w:t>
      </w:r>
    </w:p>
    <w:p w14:paraId="3596AEA7" w14:textId="77777777" w:rsidR="006A3471" w:rsidRDefault="006A3471" w:rsidP="003D1567">
      <w:pPr>
        <w:pStyle w:val="CETBodytext"/>
      </w:pPr>
    </w:p>
    <w:p w14:paraId="2E6AA061" w14:textId="30B1F1D1" w:rsidR="00131884" w:rsidRPr="002F46E3" w:rsidRDefault="003D1567" w:rsidP="003D1567">
      <w:pPr>
        <w:pStyle w:val="CETBodytext"/>
      </w:pPr>
      <w:r w:rsidRPr="002F46E3">
        <w:t xml:space="preserve">Throughout the cold storage period, </w:t>
      </w:r>
      <w:r w:rsidR="00EC674F" w:rsidRPr="002F46E3">
        <w:t xml:space="preserve">control samples exhibited </w:t>
      </w:r>
      <w:r w:rsidR="0057017F" w:rsidRPr="002F46E3">
        <w:t>a gradual decline in bioactive compounds (TPC and TFC) and antioxidant activity (DPPH and ABTS)</w:t>
      </w:r>
      <w:r w:rsidRPr="002F46E3">
        <w:t xml:space="preserve">. </w:t>
      </w:r>
      <w:r w:rsidR="00EC674F" w:rsidRPr="002F46E3">
        <w:t>In contrast</w:t>
      </w:r>
      <w:r w:rsidR="00131884" w:rsidRPr="002F46E3">
        <w:t>,</w:t>
      </w:r>
      <w:r w:rsidRPr="002F46E3">
        <w:t xml:space="preserve"> </w:t>
      </w:r>
      <w:proofErr w:type="spellStart"/>
      <w:r w:rsidRPr="002F46E3">
        <w:t>Phe</w:t>
      </w:r>
      <w:proofErr w:type="spellEnd"/>
      <w:r w:rsidR="00131884" w:rsidRPr="002F46E3">
        <w:t>-</w:t>
      </w:r>
      <w:r w:rsidRPr="002F46E3">
        <w:t xml:space="preserve">treated mandarins </w:t>
      </w:r>
      <w:r w:rsidR="00EC674F" w:rsidRPr="002F46E3">
        <w:t xml:space="preserve">showed </w:t>
      </w:r>
      <w:r w:rsidRPr="002F46E3">
        <w:t>a significant initial increase (day 7)</w:t>
      </w:r>
      <w:r w:rsidR="00EC674F" w:rsidRPr="002F46E3">
        <w:t>, followed by</w:t>
      </w:r>
      <w:r w:rsidRPr="002F46E3">
        <w:t xml:space="preserve"> </w:t>
      </w:r>
      <w:r w:rsidR="00EC674F" w:rsidRPr="002F46E3">
        <w:t xml:space="preserve">a </w:t>
      </w:r>
      <w:r w:rsidR="00E662FA" w:rsidRPr="002F46E3">
        <w:t xml:space="preserve">slower </w:t>
      </w:r>
      <w:r w:rsidRPr="002F46E3">
        <w:t xml:space="preserve">decrease </w:t>
      </w:r>
      <w:r w:rsidR="00131884" w:rsidRPr="002F46E3">
        <w:t xml:space="preserve">after </w:t>
      </w:r>
      <w:r w:rsidRPr="002F46E3">
        <w:t>14 and 21 days of storage</w:t>
      </w:r>
      <w:r w:rsidR="00131884" w:rsidRPr="002F46E3">
        <w:t>.</w:t>
      </w:r>
      <w:r w:rsidR="00BB07B3" w:rsidRPr="002F46E3">
        <w:t xml:space="preserve"> </w:t>
      </w:r>
      <w:r w:rsidR="00EC674F" w:rsidRPr="00964B90">
        <w:t xml:space="preserve">Compared </w:t>
      </w:r>
      <w:r w:rsidR="00BB07B3" w:rsidRPr="002F46E3">
        <w:t>to the control</w:t>
      </w:r>
      <w:r w:rsidR="00E662FA" w:rsidRPr="002F46E3">
        <w:t>,</w:t>
      </w:r>
      <w:r w:rsidR="00BB07B3" w:rsidRPr="002F46E3">
        <w:t xml:space="preserve"> </w:t>
      </w:r>
      <w:proofErr w:type="spellStart"/>
      <w:r w:rsidR="00EC674F" w:rsidRPr="002F46E3">
        <w:t>Phe</w:t>
      </w:r>
      <w:proofErr w:type="spellEnd"/>
      <w:r w:rsidR="00EC674F" w:rsidRPr="002F46E3">
        <w:t xml:space="preserve">-treated mandarins displayed </w:t>
      </w:r>
      <w:r w:rsidR="00964B90">
        <w:t xml:space="preserve">a </w:t>
      </w:r>
      <w:r w:rsidR="00EC674F" w:rsidRPr="002F46E3">
        <w:t>notable</w:t>
      </w:r>
      <w:r w:rsidR="00BB07B3" w:rsidRPr="002F46E3">
        <w:t xml:space="preserve"> increase in </w:t>
      </w:r>
      <w:r w:rsidR="00131884" w:rsidRPr="002F46E3">
        <w:t xml:space="preserve">bioactive compounds, </w:t>
      </w:r>
      <w:r w:rsidR="00BB07B3" w:rsidRPr="002F46E3">
        <w:t>up to 40.3%</w:t>
      </w:r>
      <w:r w:rsidR="00EC674F" w:rsidRPr="00964B90">
        <w:t xml:space="preserve"> for TPC</w:t>
      </w:r>
      <w:r w:rsidR="00BB07B3" w:rsidRPr="002F46E3">
        <w:t>, up to 62.7%</w:t>
      </w:r>
      <w:r w:rsidR="00EC674F" w:rsidRPr="00964B90">
        <w:t xml:space="preserve"> for TFC</w:t>
      </w:r>
      <w:r w:rsidR="00BB07B3" w:rsidRPr="002F46E3">
        <w:t xml:space="preserve">, </w:t>
      </w:r>
      <w:r w:rsidR="00131884" w:rsidRPr="002F46E3">
        <w:t xml:space="preserve">and </w:t>
      </w:r>
      <w:r w:rsidR="00EC674F" w:rsidRPr="00964B90">
        <w:t xml:space="preserve">enhanced </w:t>
      </w:r>
      <w:r w:rsidR="00BB07B3" w:rsidRPr="002F46E3">
        <w:t>antioxidant activity</w:t>
      </w:r>
      <w:r w:rsidR="00EC674F" w:rsidRPr="00964B90">
        <w:t xml:space="preserve">, up to </w:t>
      </w:r>
      <w:r w:rsidR="00BB07B3" w:rsidRPr="002F46E3">
        <w:t xml:space="preserve">60.8% </w:t>
      </w:r>
      <w:r w:rsidR="00EC674F" w:rsidRPr="00964B90">
        <w:t xml:space="preserve">for DPPH </w:t>
      </w:r>
      <w:r w:rsidR="00BB07B3" w:rsidRPr="002F46E3">
        <w:t xml:space="preserve">and </w:t>
      </w:r>
      <w:r w:rsidR="00EC674F" w:rsidRPr="00964B90">
        <w:t xml:space="preserve">up to </w:t>
      </w:r>
      <w:r w:rsidR="00BB07B3" w:rsidRPr="002F46E3">
        <w:t>74.3</w:t>
      </w:r>
      <w:r w:rsidR="00EC674F" w:rsidRPr="002F46E3">
        <w:t>%</w:t>
      </w:r>
      <w:r w:rsidR="00EC674F" w:rsidRPr="00DD1C0A">
        <w:t xml:space="preserve"> for ABTS.</w:t>
      </w:r>
      <w:r w:rsidR="00EC674F" w:rsidRPr="002F46E3">
        <w:t xml:space="preserve"> Additionally, </w:t>
      </w:r>
      <w:r w:rsidR="00BB07B3" w:rsidRPr="002F46E3">
        <w:t xml:space="preserve">total proteins </w:t>
      </w:r>
      <w:r w:rsidR="00EC674F" w:rsidRPr="002F46E3">
        <w:t xml:space="preserve">increased </w:t>
      </w:r>
      <w:r w:rsidR="00BB07B3" w:rsidRPr="002F46E3">
        <w:t>by up to 35.1%.</w:t>
      </w:r>
      <w:r w:rsidR="00EC674F" w:rsidRPr="00DD1C0A">
        <w:t xml:space="preserve"> </w:t>
      </w:r>
      <w:r w:rsidR="00EC674F" w:rsidRPr="002F46E3">
        <w:t>Chitosan and Chitosan/</w:t>
      </w:r>
      <w:proofErr w:type="spellStart"/>
      <w:r w:rsidR="00EC674F" w:rsidRPr="002F46E3">
        <w:t>Phe</w:t>
      </w:r>
      <w:proofErr w:type="spellEnd"/>
      <w:r w:rsidR="00EC674F" w:rsidRPr="002F46E3">
        <w:t xml:space="preserve"> mandarins also showed significant increases in </w:t>
      </w:r>
      <w:r w:rsidRPr="002F46E3">
        <w:t>TPC and TFC content</w:t>
      </w:r>
      <w:r w:rsidR="00EC674F" w:rsidRPr="00964B90">
        <w:t xml:space="preserve"> </w:t>
      </w:r>
      <w:r w:rsidR="006E74F1" w:rsidRPr="00964B90">
        <w:t>o</w:t>
      </w:r>
      <w:r w:rsidR="00EC674F" w:rsidRPr="00964B90">
        <w:t xml:space="preserve">n </w:t>
      </w:r>
      <w:r w:rsidR="00131884" w:rsidRPr="002F46E3">
        <w:t>some</w:t>
      </w:r>
      <w:r w:rsidRPr="002F46E3">
        <w:t xml:space="preserve"> </w:t>
      </w:r>
      <w:r w:rsidR="00131884" w:rsidRPr="002F46E3">
        <w:t xml:space="preserve">of </w:t>
      </w:r>
      <w:r w:rsidR="00964B90">
        <w:t xml:space="preserve">the </w:t>
      </w:r>
      <w:r w:rsidRPr="002F46E3">
        <w:t>sampling day</w:t>
      </w:r>
      <w:r w:rsidR="00131884" w:rsidRPr="002F46E3">
        <w:t>s</w:t>
      </w:r>
      <w:r w:rsidR="009D16BA">
        <w:t xml:space="preserve"> which is in line with p</w:t>
      </w:r>
      <w:r w:rsidR="00E662FA" w:rsidRPr="002F46E3">
        <w:t>revious studies</w:t>
      </w:r>
      <w:r w:rsidR="006E74F1" w:rsidRPr="002F46E3">
        <w:t xml:space="preserve"> </w:t>
      </w:r>
      <w:r w:rsidR="009D16BA">
        <w:t xml:space="preserve">that </w:t>
      </w:r>
      <w:r w:rsidR="006E74F1" w:rsidRPr="002F46E3">
        <w:t>have indicated c</w:t>
      </w:r>
      <w:r w:rsidR="00386CCC" w:rsidRPr="002F46E3">
        <w:t>hitosan coating</w:t>
      </w:r>
      <w:r w:rsidR="006E74F1" w:rsidRPr="002F46E3">
        <w:t>s</w:t>
      </w:r>
      <w:r w:rsidR="00386CCC" w:rsidRPr="002F46E3">
        <w:t xml:space="preserve"> </w:t>
      </w:r>
      <w:r w:rsidR="006E74F1" w:rsidRPr="002F46E3">
        <w:t>influence</w:t>
      </w:r>
      <w:r w:rsidR="009D16BA">
        <w:t xml:space="preserve"> on</w:t>
      </w:r>
      <w:r w:rsidR="006E74F1" w:rsidRPr="002F46E3">
        <w:t xml:space="preserve"> </w:t>
      </w:r>
      <w:r w:rsidR="00386CCC" w:rsidRPr="002F46E3">
        <w:t>fruit defense response</w:t>
      </w:r>
      <w:r w:rsidR="006E74F1" w:rsidRPr="002F46E3">
        <w:t>s</w:t>
      </w:r>
      <w:r w:rsidR="00386CCC" w:rsidRPr="002F46E3">
        <w:t xml:space="preserve"> (Saidi et al., 2021). </w:t>
      </w:r>
      <w:r w:rsidR="006E74F1" w:rsidRPr="002F46E3">
        <w:t xml:space="preserve">By the end of the </w:t>
      </w:r>
      <w:r w:rsidRPr="002F46E3">
        <w:t>storage</w:t>
      </w:r>
      <w:r w:rsidR="006E74F1" w:rsidRPr="002F46E3">
        <w:t xml:space="preserve"> period</w:t>
      </w:r>
      <w:r w:rsidRPr="002F46E3">
        <w:t>, only Chitosan/</w:t>
      </w:r>
      <w:proofErr w:type="spellStart"/>
      <w:r w:rsidRPr="002F46E3">
        <w:t>Phe</w:t>
      </w:r>
      <w:proofErr w:type="spellEnd"/>
      <w:r w:rsidRPr="002F46E3">
        <w:t xml:space="preserve"> </w:t>
      </w:r>
      <w:r w:rsidR="006E74F1" w:rsidRPr="002F46E3">
        <w:t xml:space="preserve">and </w:t>
      </w:r>
      <w:proofErr w:type="spellStart"/>
      <w:r w:rsidRPr="002F46E3">
        <w:t>Phe</w:t>
      </w:r>
      <w:proofErr w:type="spellEnd"/>
      <w:r w:rsidRPr="002F46E3">
        <w:t xml:space="preserve"> </w:t>
      </w:r>
      <w:r w:rsidR="006E74F1" w:rsidRPr="002F46E3">
        <w:t xml:space="preserve">treatments maintained </w:t>
      </w:r>
      <w:r w:rsidRPr="002F46E3">
        <w:t>significantly higher values compared to the control samples</w:t>
      </w:r>
      <w:r w:rsidR="006E74F1" w:rsidRPr="002F46E3">
        <w:t xml:space="preserve"> for bioactive compounds</w:t>
      </w:r>
      <w:r w:rsidRPr="002F46E3">
        <w:t xml:space="preserve">. </w:t>
      </w:r>
      <w:r w:rsidR="006E74F1" w:rsidRPr="00964B90">
        <w:t>F</w:t>
      </w:r>
      <w:r w:rsidRPr="002F46E3">
        <w:t>or antioxidant activity</w:t>
      </w:r>
      <w:r w:rsidR="006E74F1" w:rsidRPr="00DD1C0A">
        <w:t xml:space="preserve">, </w:t>
      </w:r>
      <w:r w:rsidR="006E74F1" w:rsidRPr="002F46E3">
        <w:t>all treatments showed significantly higher values than the control on the last day.</w:t>
      </w:r>
      <w:r w:rsidRPr="002F46E3">
        <w:t xml:space="preserve"> </w:t>
      </w:r>
      <w:r w:rsidR="006E74F1" w:rsidRPr="002F46E3">
        <w:t xml:space="preserve">Notably, only the </w:t>
      </w:r>
      <w:proofErr w:type="spellStart"/>
      <w:r w:rsidR="006E74F1" w:rsidRPr="002F46E3">
        <w:t>Phe</w:t>
      </w:r>
      <w:proofErr w:type="spellEnd"/>
      <w:r w:rsidR="006E74F1" w:rsidRPr="002F46E3">
        <w:t xml:space="preserve"> treatment consistently maintained elevated</w:t>
      </w:r>
      <w:r w:rsidR="006E74F1" w:rsidRPr="00DD1C0A" w:rsidDel="006E74F1">
        <w:t xml:space="preserve"> </w:t>
      </w:r>
      <w:r w:rsidRPr="002F46E3">
        <w:t>total protein levels</w:t>
      </w:r>
      <w:r w:rsidR="00131884" w:rsidRPr="002F46E3">
        <w:t xml:space="preserve"> in mandarins</w:t>
      </w:r>
      <w:r w:rsidRPr="002F46E3">
        <w:t xml:space="preserve">, which were significantly higher </w:t>
      </w:r>
      <w:r w:rsidR="006E74F1" w:rsidRPr="00964B90">
        <w:t xml:space="preserve">than those in </w:t>
      </w:r>
      <w:r w:rsidRPr="002F46E3">
        <w:t>control samples and other treatments.</w:t>
      </w:r>
    </w:p>
    <w:p w14:paraId="2F46AA3A" w14:textId="2415E6B7" w:rsidR="003D1567" w:rsidRPr="002F46E3" w:rsidRDefault="00386CCC" w:rsidP="003D1567">
      <w:pPr>
        <w:pStyle w:val="CETBodytext"/>
      </w:pPr>
      <w:r w:rsidRPr="002F46E3">
        <w:lastRenderedPageBreak/>
        <w:t xml:space="preserve">Using </w:t>
      </w:r>
      <w:r w:rsidR="006E74F1" w:rsidRPr="00964B90">
        <w:t>c</w:t>
      </w:r>
      <w:r w:rsidRPr="002F46E3">
        <w:t>hitosan/</w:t>
      </w:r>
      <w:r w:rsidR="006E74F1" w:rsidRPr="00964B90">
        <w:t>g</w:t>
      </w:r>
      <w:r w:rsidRPr="002F46E3">
        <w:t xml:space="preserve">lycerol as carrier coatings </w:t>
      </w:r>
      <w:r w:rsidR="006E74F1" w:rsidRPr="002F46E3">
        <w:t xml:space="preserve">may enhance </w:t>
      </w:r>
      <w:r w:rsidRPr="002F46E3">
        <w:t xml:space="preserve">the effectiveness of </w:t>
      </w:r>
      <w:r w:rsidR="006E74F1" w:rsidRPr="002F46E3">
        <w:t>phenylalanine</w:t>
      </w:r>
      <w:r w:rsidRPr="002F46E3">
        <w:t xml:space="preserve">, by prolonging </w:t>
      </w:r>
      <w:r w:rsidR="006E74F1" w:rsidRPr="002F46E3">
        <w:t xml:space="preserve">its </w:t>
      </w:r>
      <w:r w:rsidRPr="002F46E3">
        <w:t xml:space="preserve">diffusion and absorption rate over time. </w:t>
      </w:r>
      <w:r w:rsidR="003D1567" w:rsidRPr="002F46E3">
        <w:t xml:space="preserve">Kumar Patel et al. (2020) </w:t>
      </w:r>
      <w:r w:rsidR="00893AF9" w:rsidRPr="002F46E3">
        <w:t xml:space="preserve">found that phenylalanine concentrations in treated and untreated fruits became similar after five hours, indicating </w:t>
      </w:r>
      <w:r w:rsidR="003D1567" w:rsidRPr="002F46E3">
        <w:t xml:space="preserve">rapid penetration in the fruit. Based on the results obtained, </w:t>
      </w:r>
      <w:r w:rsidR="00893AF9" w:rsidRPr="002F46E3">
        <w:t>embedding phenylalanine in a chitosan coating shows promise, but longer storage times may reveal its full potential</w:t>
      </w:r>
      <w:r w:rsidR="003D1567" w:rsidRPr="002F46E3">
        <w:t xml:space="preserve">. </w:t>
      </w:r>
      <w:r w:rsidR="00613B5D" w:rsidRPr="002F46E3">
        <w:t>Given that phenylalanine-treated mandarins have been shown to enhance defense responses and inhibit postharvest decay caused by fungal pathogens (</w:t>
      </w:r>
      <w:r w:rsidR="003D1567" w:rsidRPr="002F46E3">
        <w:t>Kumar Patel et al.</w:t>
      </w:r>
      <w:r w:rsidR="00613B5D" w:rsidRPr="002F46E3">
        <w:t xml:space="preserve">, </w:t>
      </w:r>
      <w:r w:rsidR="003D1567" w:rsidRPr="002F46E3">
        <w:t>2020)</w:t>
      </w:r>
      <w:r w:rsidR="00613B5D" w:rsidRPr="002F46E3">
        <w:t>,</w:t>
      </w:r>
      <w:r w:rsidR="003D1567" w:rsidRPr="002F46E3">
        <w:t xml:space="preserve"> this work </w:t>
      </w:r>
      <w:r w:rsidR="00613B5D" w:rsidRPr="002F46E3">
        <w:t xml:space="preserve">focused </w:t>
      </w:r>
      <w:r w:rsidR="003D1567" w:rsidRPr="002F46E3">
        <w:t xml:space="preserve">on how </w:t>
      </w:r>
      <w:r w:rsidR="00613B5D" w:rsidRPr="002F46E3">
        <w:t>p</w:t>
      </w:r>
      <w:r w:rsidR="003D1567" w:rsidRPr="002F46E3">
        <w:t>he</w:t>
      </w:r>
      <w:r w:rsidR="00613B5D" w:rsidRPr="002F46E3">
        <w:t>nylalanine</w:t>
      </w:r>
      <w:r w:rsidR="003D1567" w:rsidRPr="002F46E3">
        <w:t xml:space="preserve"> affects mandarin metabolism in terms of bioactive compounds, organic acids, antioxidants and enzymatic activity. </w:t>
      </w:r>
      <w:r w:rsidR="00613B5D" w:rsidRPr="002F46E3">
        <w:t xml:space="preserve">Previous studies have demonstrated that </w:t>
      </w:r>
      <w:r w:rsidR="003D1567" w:rsidRPr="002F46E3">
        <w:t xml:space="preserve">combining polysaccharide coatings </w:t>
      </w:r>
      <w:r w:rsidR="00613B5D" w:rsidRPr="002F46E3">
        <w:t>with p</w:t>
      </w:r>
      <w:r w:rsidR="003D1567" w:rsidRPr="002F46E3">
        <w:t>he</w:t>
      </w:r>
      <w:r w:rsidR="00613B5D" w:rsidRPr="002F46E3">
        <w:t>nylalanine</w:t>
      </w:r>
      <w:r w:rsidR="003D1567" w:rsidRPr="002F46E3">
        <w:t xml:space="preserve"> </w:t>
      </w:r>
      <w:r w:rsidR="00613B5D" w:rsidRPr="002F46E3">
        <w:t xml:space="preserve">yields optimal </w:t>
      </w:r>
      <w:r w:rsidR="003D1567" w:rsidRPr="002F46E3">
        <w:t xml:space="preserve">results </w:t>
      </w:r>
      <w:r w:rsidR="00613B5D" w:rsidRPr="002F46E3">
        <w:t xml:space="preserve">for </w:t>
      </w:r>
      <w:r w:rsidR="003D1567" w:rsidRPr="002F46E3">
        <w:t>avocado fruits stored at room temperature and in cold storage</w:t>
      </w:r>
      <w:r w:rsidR="00613B5D" w:rsidRPr="002F46E3">
        <w:t xml:space="preserve">, </w:t>
      </w:r>
      <w:r w:rsidR="003D1567" w:rsidRPr="002F46E3">
        <w:t>improv</w:t>
      </w:r>
      <w:r w:rsidR="00613B5D" w:rsidRPr="002F46E3">
        <w:t>ing</w:t>
      </w:r>
      <w:r w:rsidR="003D1567" w:rsidRPr="002F46E3">
        <w:t xml:space="preserve"> resistance to fungal pathogens and chilling</w:t>
      </w:r>
      <w:r w:rsidR="00613B5D" w:rsidRPr="002F46E3">
        <w:t xml:space="preserve"> (Saidi et al., 2021)</w:t>
      </w:r>
      <w:r w:rsidR="003D1567" w:rsidRPr="002F46E3">
        <w:t>. Phe</w:t>
      </w:r>
      <w:r w:rsidR="00613B5D" w:rsidRPr="002F46E3">
        <w:t>nylalanine</w:t>
      </w:r>
      <w:r w:rsidR="003D1567" w:rsidRPr="002F46E3">
        <w:t xml:space="preserve"> seems to induce fruit response</w:t>
      </w:r>
      <w:r w:rsidR="00613B5D" w:rsidRPr="002F46E3">
        <w:t>s</w:t>
      </w:r>
      <w:r w:rsidR="003D1567" w:rsidRPr="002F46E3">
        <w:t xml:space="preserve"> to chilling, including </w:t>
      </w:r>
      <w:r w:rsidR="00613B5D" w:rsidRPr="002F46E3">
        <w:t xml:space="preserve">the expression of </w:t>
      </w:r>
      <w:r w:rsidR="003D1567" w:rsidRPr="002F46E3">
        <w:t xml:space="preserve">phenylpropanoid-related transcripts. </w:t>
      </w:r>
      <w:r w:rsidR="00131884" w:rsidRPr="002F46E3">
        <w:t xml:space="preserve">The metabolism of </w:t>
      </w:r>
      <w:proofErr w:type="spellStart"/>
      <w:r w:rsidRPr="002F46E3">
        <w:t>Phe</w:t>
      </w:r>
      <w:proofErr w:type="spellEnd"/>
      <w:r w:rsidRPr="002F46E3">
        <w:t xml:space="preserve"> </w:t>
      </w:r>
      <w:r w:rsidR="00131884" w:rsidRPr="002F46E3">
        <w:t>results</w:t>
      </w:r>
      <w:r w:rsidRPr="002F46E3">
        <w:t xml:space="preserve"> in a </w:t>
      </w:r>
      <w:r w:rsidR="00C60397" w:rsidRPr="002F46E3">
        <w:t xml:space="preserve">variety </w:t>
      </w:r>
      <w:r w:rsidRPr="002F46E3">
        <w:t xml:space="preserve">of metabolites, unique to each plant and plant organ, </w:t>
      </w:r>
      <w:r w:rsidR="00C60397" w:rsidRPr="002F46E3">
        <w:t xml:space="preserve">likely contributing to </w:t>
      </w:r>
      <w:r w:rsidRPr="002F46E3">
        <w:t xml:space="preserve">increased </w:t>
      </w:r>
      <w:r w:rsidR="00C60397" w:rsidRPr="002F46E3">
        <w:t>accumulation of phenylalanine</w:t>
      </w:r>
      <w:r w:rsidRPr="002F46E3">
        <w:t>-derived phenylpropanoid</w:t>
      </w:r>
      <w:r w:rsidR="009D16BA">
        <w:t>s</w:t>
      </w:r>
      <w:r w:rsidRPr="002F46E3">
        <w:t xml:space="preserve"> (Oliva et al., 2019).</w:t>
      </w:r>
    </w:p>
    <w:p w14:paraId="3B036451" w14:textId="77774F70" w:rsidR="00A619BC" w:rsidRPr="002F46E3" w:rsidRDefault="00A619BC" w:rsidP="00A619BC">
      <w:pPr>
        <w:pStyle w:val="CETheadingx"/>
      </w:pPr>
      <w:r w:rsidRPr="002F46E3">
        <w:t>Organic acid composition in mandarins through</w:t>
      </w:r>
      <w:r w:rsidR="008C1D8B" w:rsidRPr="002F46E3">
        <w:t>o</w:t>
      </w:r>
      <w:r w:rsidRPr="002F46E3">
        <w:t xml:space="preserve">ut the cold storage period </w:t>
      </w:r>
    </w:p>
    <w:p w14:paraId="05F91A34" w14:textId="761AA0DE" w:rsidR="008C1D8B" w:rsidRDefault="00676C82" w:rsidP="00CB4590">
      <w:pPr>
        <w:pStyle w:val="CETBodytext"/>
        <w:rPr>
          <w:noProof/>
        </w:rPr>
      </w:pPr>
      <w:r w:rsidRPr="002F46E3">
        <w:rPr>
          <w:noProof/>
        </w:rPr>
        <w:t>The dynamic change</w:t>
      </w:r>
      <w:r w:rsidR="00C60397" w:rsidRPr="002F46E3">
        <w:rPr>
          <w:noProof/>
        </w:rPr>
        <w:t>s</w:t>
      </w:r>
      <w:r w:rsidRPr="002F46E3">
        <w:rPr>
          <w:noProof/>
        </w:rPr>
        <w:t xml:space="preserve"> in organic acids in citrus fruits </w:t>
      </w:r>
      <w:r w:rsidR="00C60397" w:rsidRPr="002F46E3">
        <w:rPr>
          <w:noProof/>
        </w:rPr>
        <w:t>are</w:t>
      </w:r>
      <w:r w:rsidRPr="002F46E3">
        <w:rPr>
          <w:noProof/>
        </w:rPr>
        <w:t xml:space="preserve"> complex</w:t>
      </w:r>
      <w:r w:rsidR="0091576E" w:rsidRPr="002F46E3">
        <w:rPr>
          <w:noProof/>
        </w:rPr>
        <w:t xml:space="preserve"> and </w:t>
      </w:r>
      <w:r w:rsidR="00C60397" w:rsidRPr="002F46E3">
        <w:rPr>
          <w:noProof/>
        </w:rPr>
        <w:t xml:space="preserve">are influenced by </w:t>
      </w:r>
      <w:r w:rsidR="0091576E" w:rsidRPr="002F46E3">
        <w:rPr>
          <w:noProof/>
        </w:rPr>
        <w:t>v</w:t>
      </w:r>
      <w:r w:rsidRPr="002F46E3">
        <w:rPr>
          <w:noProof/>
        </w:rPr>
        <w:t>arious storage conditions over time (</w:t>
      </w:r>
      <w:r w:rsidR="0091576E" w:rsidRPr="002F46E3">
        <w:rPr>
          <w:noProof/>
        </w:rPr>
        <w:t>Wei et al., 2020)</w:t>
      </w:r>
      <w:r w:rsidRPr="002F46E3">
        <w:rPr>
          <w:noProof/>
        </w:rPr>
        <w:t xml:space="preserve">. </w:t>
      </w:r>
      <w:r w:rsidR="00C60397" w:rsidRPr="002F46E3">
        <w:rPr>
          <w:noProof/>
        </w:rPr>
        <w:t xml:space="preserve">A </w:t>
      </w:r>
      <w:r w:rsidR="00806500" w:rsidRPr="002F46E3">
        <w:rPr>
          <w:noProof/>
        </w:rPr>
        <w:t>d</w:t>
      </w:r>
      <w:r w:rsidR="00892A16" w:rsidRPr="002F46E3">
        <w:rPr>
          <w:noProof/>
        </w:rPr>
        <w:t xml:space="preserve">ecline in organic acid content during postharvest storage is </w:t>
      </w:r>
      <w:r w:rsidR="00C60397" w:rsidRPr="002F46E3">
        <w:rPr>
          <w:noProof/>
        </w:rPr>
        <w:t xml:space="preserve">a </w:t>
      </w:r>
      <w:r w:rsidR="00892A16" w:rsidRPr="002F46E3">
        <w:rPr>
          <w:noProof/>
        </w:rPr>
        <w:t>major factor negatively affect</w:t>
      </w:r>
      <w:r w:rsidR="00C60397" w:rsidRPr="002F46E3">
        <w:rPr>
          <w:noProof/>
        </w:rPr>
        <w:t>ing</w:t>
      </w:r>
      <w:r w:rsidR="00892A16" w:rsidRPr="002F46E3">
        <w:rPr>
          <w:noProof/>
        </w:rPr>
        <w:t xml:space="preserve"> the quality and storage performance of citrus fruit</w:t>
      </w:r>
      <w:r w:rsidR="00C60397" w:rsidRPr="002F46E3">
        <w:rPr>
          <w:noProof/>
        </w:rPr>
        <w:t>s</w:t>
      </w:r>
      <w:r w:rsidR="00892A16" w:rsidRPr="002F46E3">
        <w:rPr>
          <w:noProof/>
        </w:rPr>
        <w:t xml:space="preserve"> (</w:t>
      </w:r>
      <w:r w:rsidR="00927242" w:rsidRPr="002F46E3">
        <w:rPr>
          <w:noProof/>
        </w:rPr>
        <w:t>Ma et al., 2020)</w:t>
      </w:r>
      <w:r w:rsidR="00892A16" w:rsidRPr="002F46E3">
        <w:rPr>
          <w:noProof/>
        </w:rPr>
        <w:t xml:space="preserve">. </w:t>
      </w:r>
      <w:r w:rsidR="00A619BC" w:rsidRPr="002F46E3">
        <w:rPr>
          <w:noProof/>
        </w:rPr>
        <w:t xml:space="preserve">Organic acids </w:t>
      </w:r>
      <w:r w:rsidR="00C60397" w:rsidRPr="00964B90">
        <w:rPr>
          <w:noProof/>
        </w:rPr>
        <w:t xml:space="preserve">serve </w:t>
      </w:r>
      <w:r w:rsidR="00A619BC" w:rsidRPr="002F46E3">
        <w:rPr>
          <w:noProof/>
        </w:rPr>
        <w:t>as a respiratory substrate</w:t>
      </w:r>
      <w:r w:rsidR="00C60397" w:rsidRPr="00964B90">
        <w:rPr>
          <w:noProof/>
        </w:rPr>
        <w:t>, which</w:t>
      </w:r>
      <w:r w:rsidR="00A619BC" w:rsidRPr="002F46E3">
        <w:rPr>
          <w:noProof/>
        </w:rPr>
        <w:t xml:space="preserve"> can </w:t>
      </w:r>
      <w:r w:rsidR="00C60397" w:rsidRPr="00964B90">
        <w:rPr>
          <w:noProof/>
        </w:rPr>
        <w:t xml:space="preserve">lead to </w:t>
      </w:r>
      <w:r w:rsidR="00A619BC" w:rsidRPr="002F46E3">
        <w:rPr>
          <w:noProof/>
        </w:rPr>
        <w:t xml:space="preserve">a decrease in </w:t>
      </w:r>
      <w:r w:rsidR="00C60397" w:rsidRPr="00964B90">
        <w:rPr>
          <w:noProof/>
        </w:rPr>
        <w:t xml:space="preserve">their </w:t>
      </w:r>
      <w:r w:rsidR="00A619BC" w:rsidRPr="002F46E3">
        <w:rPr>
          <w:noProof/>
        </w:rPr>
        <w:t xml:space="preserve">content during storage (Eroğul et al., 2023). </w:t>
      </w:r>
      <w:r w:rsidRPr="002F46E3">
        <w:rPr>
          <w:noProof/>
        </w:rPr>
        <w:t>Overall, u</w:t>
      </w:r>
      <w:r w:rsidR="00A619BC" w:rsidRPr="002F46E3">
        <w:rPr>
          <w:noProof/>
        </w:rPr>
        <w:t xml:space="preserve">ntreated mandarins </w:t>
      </w:r>
      <w:r w:rsidR="00C60397" w:rsidRPr="002F46E3">
        <w:rPr>
          <w:noProof/>
        </w:rPr>
        <w:t xml:space="preserve">exhibited </w:t>
      </w:r>
      <w:r w:rsidR="00A619BC" w:rsidRPr="002F46E3">
        <w:rPr>
          <w:noProof/>
        </w:rPr>
        <w:t>a decline in o</w:t>
      </w:r>
      <w:r w:rsidR="008C1D8B" w:rsidRPr="002F46E3">
        <w:rPr>
          <w:noProof/>
        </w:rPr>
        <w:t>rg</w:t>
      </w:r>
      <w:r w:rsidR="00A619BC" w:rsidRPr="002F46E3">
        <w:rPr>
          <w:noProof/>
        </w:rPr>
        <w:t xml:space="preserve">anic acids </w:t>
      </w:r>
      <w:r w:rsidRPr="002F46E3">
        <w:rPr>
          <w:noProof/>
        </w:rPr>
        <w:t xml:space="preserve">after 21 days of </w:t>
      </w:r>
      <w:r w:rsidR="00A619BC" w:rsidRPr="002F46E3">
        <w:rPr>
          <w:noProof/>
        </w:rPr>
        <w:t>storage (Figure 1</w:t>
      </w:r>
      <w:r w:rsidR="00C60397" w:rsidRPr="002F46E3">
        <w:rPr>
          <w:noProof/>
        </w:rPr>
        <w:t xml:space="preserve">), with the </w:t>
      </w:r>
      <w:r w:rsidR="008C1D8B" w:rsidRPr="002F46E3">
        <w:rPr>
          <w:noProof/>
        </w:rPr>
        <w:t>m</w:t>
      </w:r>
      <w:r w:rsidR="00A619BC" w:rsidRPr="002F46E3">
        <w:rPr>
          <w:noProof/>
        </w:rPr>
        <w:t xml:space="preserve">ost pronounced effects </w:t>
      </w:r>
      <w:r w:rsidR="00C60397" w:rsidRPr="002F46E3">
        <w:rPr>
          <w:noProof/>
        </w:rPr>
        <w:t xml:space="preserve">observed </w:t>
      </w:r>
      <w:r w:rsidR="00A619BC" w:rsidRPr="002F46E3">
        <w:rPr>
          <w:noProof/>
        </w:rPr>
        <w:t>for OA, MA and AA</w:t>
      </w:r>
      <w:r w:rsidR="009F2960" w:rsidRPr="002F46E3">
        <w:rPr>
          <w:noProof/>
        </w:rPr>
        <w:t xml:space="preserve">. However, </w:t>
      </w:r>
      <w:r w:rsidR="00131884" w:rsidRPr="002F46E3">
        <w:rPr>
          <w:noProof/>
        </w:rPr>
        <w:t>a</w:t>
      </w:r>
      <w:r w:rsidR="00A619BC" w:rsidRPr="002F46E3">
        <w:rPr>
          <w:noProof/>
        </w:rPr>
        <w:t xml:space="preserve">ll treatments were able to either maintain or increase </w:t>
      </w:r>
      <w:r w:rsidR="008C1D8B" w:rsidRPr="002F46E3">
        <w:rPr>
          <w:noProof/>
        </w:rPr>
        <w:t xml:space="preserve">the </w:t>
      </w:r>
      <w:r w:rsidR="00A619BC" w:rsidRPr="002F46E3">
        <w:rPr>
          <w:noProof/>
        </w:rPr>
        <w:t>content of organic acids.</w:t>
      </w:r>
    </w:p>
    <w:p w14:paraId="758CFE7B" w14:textId="77777777" w:rsidR="00964B90" w:rsidRPr="002F46E3" w:rsidRDefault="00964B90" w:rsidP="00CB4590">
      <w:pPr>
        <w:pStyle w:val="CETBodytext"/>
        <w:rPr>
          <w:noProof/>
        </w:rPr>
      </w:pPr>
    </w:p>
    <w:p w14:paraId="0806DF16" w14:textId="64E0E5D3" w:rsidR="00CB4590" w:rsidRPr="002F46E3" w:rsidRDefault="00CB4590" w:rsidP="00CB4590">
      <w:pPr>
        <w:pStyle w:val="CETBodytext"/>
      </w:pPr>
      <w:r w:rsidRPr="002F46E3">
        <w:rPr>
          <w:b/>
          <w:bCs/>
          <w:noProof/>
          <w:lang w:val="hr-HR" w:eastAsia="hr-HR"/>
        </w:rPr>
        <w:drawing>
          <wp:inline distT="0" distB="0" distL="0" distR="0" wp14:anchorId="22DDCB36" wp14:editId="4E4A14F3">
            <wp:extent cx="5579745" cy="2813250"/>
            <wp:effectExtent l="0" t="0" r="1905" b="6350"/>
            <wp:docPr id="551199027" name="Picture 1" descr="A group of graphs with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199027" name="Picture 1" descr="A group of graphs with different colored line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2813250"/>
                    </a:xfrm>
                    <a:prstGeom prst="rect">
                      <a:avLst/>
                    </a:prstGeom>
                    <a:noFill/>
                  </pic:spPr>
                </pic:pic>
              </a:graphicData>
            </a:graphic>
          </wp:inline>
        </w:drawing>
      </w:r>
    </w:p>
    <w:p w14:paraId="70E5C489" w14:textId="488A72CF" w:rsidR="00CB4590" w:rsidRPr="002F46E3" w:rsidRDefault="00CB4590" w:rsidP="008C1D8B">
      <w:pPr>
        <w:pStyle w:val="CETCaption"/>
      </w:pPr>
      <w:r w:rsidRPr="002F46E3">
        <w:t>Figure 1: Organic acid (Oxalic, Malic, Ascorbic and Citric) composition in mandarins throughout the cold storage.</w:t>
      </w:r>
    </w:p>
    <w:p w14:paraId="5BA13E8D" w14:textId="3D0B9BC9" w:rsidR="00C916A4" w:rsidRPr="002F46E3" w:rsidRDefault="00131884" w:rsidP="00C916A4">
      <w:pPr>
        <w:pStyle w:val="CETBodytext"/>
      </w:pPr>
      <w:r w:rsidRPr="002F46E3">
        <w:t xml:space="preserve">Jurić et al. (2023) reported that mandarins coated with chitosan-based ECs had higher organic acid content compared to untreated mandarins during </w:t>
      </w:r>
      <w:r w:rsidR="00F60D54" w:rsidRPr="002F46E3">
        <w:t xml:space="preserve">both </w:t>
      </w:r>
      <w:r w:rsidRPr="002F46E3">
        <w:t xml:space="preserve">room temperature (10 days) and cold storage (28 days). </w:t>
      </w:r>
      <w:r w:rsidR="00F60D54" w:rsidRPr="002F46E3">
        <w:t>S</w:t>
      </w:r>
      <w:r w:rsidRPr="002F46E3">
        <w:t>imilar</w:t>
      </w:r>
      <w:r w:rsidR="00F60D54" w:rsidRPr="002F46E3">
        <w:t>ly,</w:t>
      </w:r>
      <w:r w:rsidRPr="002F46E3">
        <w:t xml:space="preserve"> e</w:t>
      </w:r>
      <w:r w:rsidR="00C916A4" w:rsidRPr="002F46E3">
        <w:t xml:space="preserve">xogenous phenylalanine </w:t>
      </w:r>
      <w:r w:rsidR="00F60D54" w:rsidRPr="002F46E3">
        <w:t xml:space="preserve">has been shown to </w:t>
      </w:r>
      <w:r w:rsidR="00C916A4" w:rsidRPr="002F46E3">
        <w:t xml:space="preserve">inhibit the </w:t>
      </w:r>
      <w:r w:rsidR="00BB07B3" w:rsidRPr="002F46E3">
        <w:t>tricarboxylic acid cycle</w:t>
      </w:r>
      <w:r w:rsidR="00F60D54" w:rsidRPr="002F46E3">
        <w:t>, thereby</w:t>
      </w:r>
      <w:r w:rsidR="00BB07B3" w:rsidRPr="002F46E3">
        <w:t xml:space="preserve"> </w:t>
      </w:r>
      <w:r w:rsidR="00C916A4" w:rsidRPr="002F46E3">
        <w:t>suppress</w:t>
      </w:r>
      <w:r w:rsidR="00F60D54" w:rsidRPr="002F46E3">
        <w:t>ing</w:t>
      </w:r>
      <w:r w:rsidR="00C916A4" w:rsidRPr="002F46E3">
        <w:t xml:space="preserve"> respiration and maintain</w:t>
      </w:r>
      <w:r w:rsidR="00964B90">
        <w:t>ing</w:t>
      </w:r>
      <w:r w:rsidR="00C916A4" w:rsidRPr="002F46E3">
        <w:t xml:space="preserve"> fruit quality</w:t>
      </w:r>
      <w:r w:rsidRPr="002F46E3">
        <w:t xml:space="preserve"> </w:t>
      </w:r>
      <w:r w:rsidR="00F60D54" w:rsidRPr="002F46E3">
        <w:t xml:space="preserve">in ‘Jinfeng’ pears </w:t>
      </w:r>
      <w:r w:rsidRPr="002F46E3">
        <w:t>(Wang et al., 2023)</w:t>
      </w:r>
      <w:r w:rsidR="00C916A4" w:rsidRPr="002F46E3">
        <w:t>. Phe</w:t>
      </w:r>
      <w:r w:rsidR="00F60D54" w:rsidRPr="002F46E3">
        <w:t>nylalanine</w:t>
      </w:r>
      <w:r w:rsidR="00C916A4" w:rsidRPr="002F46E3">
        <w:t xml:space="preserve"> suppressed the enzymatic activities and gene expression levels of </w:t>
      </w:r>
      <w:r w:rsidR="00F60D54" w:rsidRPr="002F46E3">
        <w:t xml:space="preserve">key enzymes in the tricarboxylic acid cycle, such as </w:t>
      </w:r>
      <w:r w:rsidR="00C916A4" w:rsidRPr="002F46E3">
        <w:t xml:space="preserve">pyruvate dehydrogenase, citrate synthase, aconitase, α-keto glutaric dehydrogenase, isocitrate dehydrogenase, succinate dehydrogenase, </w:t>
      </w:r>
      <w:r w:rsidR="00BB07B3" w:rsidRPr="002F46E3">
        <w:t>fumarase</w:t>
      </w:r>
      <w:r w:rsidR="00C916A4" w:rsidRPr="002F46E3">
        <w:t xml:space="preserve">, and </w:t>
      </w:r>
      <w:r w:rsidR="00BB07B3" w:rsidRPr="002F46E3">
        <w:t>malate dehydrogenase</w:t>
      </w:r>
      <w:r w:rsidR="00F60D54" w:rsidRPr="002F46E3">
        <w:t xml:space="preserve">. This suppression promoted the accumulation of </w:t>
      </w:r>
      <w:r w:rsidR="00C916A4" w:rsidRPr="002F46E3">
        <w:t>succinic acid, citric acid, and malic acid contents in pear fruit</w:t>
      </w:r>
      <w:r w:rsidR="00F60D54" w:rsidRPr="002F46E3">
        <w:t>s</w:t>
      </w:r>
      <w:r w:rsidR="00C916A4" w:rsidRPr="002F46E3">
        <w:t xml:space="preserve">, </w:t>
      </w:r>
      <w:r w:rsidR="00F60D54" w:rsidRPr="002F46E3">
        <w:t xml:space="preserve">ultimately </w:t>
      </w:r>
      <w:r w:rsidR="00C916A4" w:rsidRPr="002F46E3">
        <w:t>delay</w:t>
      </w:r>
      <w:r w:rsidR="00F60D54" w:rsidRPr="002F46E3">
        <w:t>ing</w:t>
      </w:r>
      <w:r w:rsidR="00C916A4" w:rsidRPr="002F46E3">
        <w:t xml:space="preserve"> fruit senescence</w:t>
      </w:r>
      <w:r w:rsidR="00BB07B3" w:rsidRPr="002F46E3">
        <w:t xml:space="preserve"> </w:t>
      </w:r>
      <w:r w:rsidR="00F60D54" w:rsidRPr="002F46E3">
        <w:t xml:space="preserve">by inhibiting the tricarboxylic acid cycle </w:t>
      </w:r>
      <w:r w:rsidR="00BB07B3" w:rsidRPr="002F46E3">
        <w:t>(Wang et al., 2023).</w:t>
      </w:r>
      <w:r w:rsidRPr="002F46E3">
        <w:t xml:space="preserve"> Based on the </w:t>
      </w:r>
      <w:r w:rsidR="007F7403" w:rsidRPr="002F46E3">
        <w:t xml:space="preserve">present </w:t>
      </w:r>
      <w:r w:rsidR="00F60D54" w:rsidRPr="002F46E3">
        <w:t>findings</w:t>
      </w:r>
      <w:r w:rsidRPr="002F46E3">
        <w:t xml:space="preserve">, the combination of </w:t>
      </w:r>
      <w:r w:rsidR="00F60D54" w:rsidRPr="002F46E3">
        <w:t>chitosan and phenylalanine (</w:t>
      </w:r>
      <w:r w:rsidRPr="002F46E3">
        <w:t>C</w:t>
      </w:r>
      <w:r w:rsidR="0057017F" w:rsidRPr="002F46E3">
        <w:t>h</w:t>
      </w:r>
      <w:r w:rsidRPr="002F46E3">
        <w:t>itosan/</w:t>
      </w:r>
      <w:proofErr w:type="spellStart"/>
      <w:r w:rsidRPr="002F46E3">
        <w:t>Phe</w:t>
      </w:r>
      <w:proofErr w:type="spellEnd"/>
      <w:r w:rsidR="00F60D54" w:rsidRPr="002F46E3">
        <w:t>)</w:t>
      </w:r>
      <w:r w:rsidRPr="002F46E3">
        <w:t xml:space="preserve"> theor</w:t>
      </w:r>
      <w:r w:rsidR="00F60D54" w:rsidRPr="002F46E3">
        <w:t>etically</w:t>
      </w:r>
      <w:r w:rsidRPr="002F46E3">
        <w:t xml:space="preserve"> </w:t>
      </w:r>
      <w:r w:rsidR="00F60D54" w:rsidRPr="002F46E3">
        <w:t xml:space="preserve">offers </w:t>
      </w:r>
      <w:r w:rsidRPr="002F46E3">
        <w:t xml:space="preserve">the best outcome, but </w:t>
      </w:r>
      <w:r w:rsidR="00F60D54" w:rsidRPr="002F46E3">
        <w:t xml:space="preserve">a </w:t>
      </w:r>
      <w:r w:rsidRPr="002F46E3">
        <w:t xml:space="preserve">prolonged storage time is necessary to </w:t>
      </w:r>
      <w:r w:rsidR="00F60D54" w:rsidRPr="002F46E3">
        <w:t xml:space="preserve">fully </w:t>
      </w:r>
      <w:r w:rsidRPr="002F46E3">
        <w:t xml:space="preserve">evaluate </w:t>
      </w:r>
      <w:r w:rsidR="00F60D54" w:rsidRPr="002F46E3">
        <w:t xml:space="preserve">its </w:t>
      </w:r>
      <w:r w:rsidRPr="002F46E3">
        <w:t xml:space="preserve">effectiveness </w:t>
      </w:r>
      <w:r w:rsidR="00F60D54" w:rsidRPr="002F46E3">
        <w:t xml:space="preserve">in </w:t>
      </w:r>
      <w:r w:rsidRPr="002F46E3">
        <w:t>ret</w:t>
      </w:r>
      <w:r w:rsidR="00F60D54" w:rsidRPr="002F46E3">
        <w:t>aining</w:t>
      </w:r>
      <w:r w:rsidRPr="002F46E3">
        <w:t xml:space="preserve"> organic acids.</w:t>
      </w:r>
    </w:p>
    <w:p w14:paraId="7BF923A5" w14:textId="5764491A" w:rsidR="00CB4590" w:rsidRPr="002F46E3" w:rsidRDefault="00CB4590" w:rsidP="003A38FA">
      <w:pPr>
        <w:pStyle w:val="CETheadingx"/>
        <w:numPr>
          <w:ilvl w:val="1"/>
          <w:numId w:val="24"/>
        </w:numPr>
      </w:pPr>
      <w:r w:rsidRPr="002F46E3">
        <w:lastRenderedPageBreak/>
        <w:t>Inf</w:t>
      </w:r>
      <w:r w:rsidR="008C1D8B" w:rsidRPr="002F46E3">
        <w:t>l</w:t>
      </w:r>
      <w:r w:rsidRPr="002F46E3">
        <w:t>uence of treat</w:t>
      </w:r>
      <w:r w:rsidR="008C1D8B" w:rsidRPr="002F46E3">
        <w:t>ment</w:t>
      </w:r>
      <w:r w:rsidRPr="002F46E3">
        <w:t>s on enzymatic activity and malond</w:t>
      </w:r>
      <w:r w:rsidR="008C1D8B" w:rsidRPr="002F46E3">
        <w:t>ialdehy</w:t>
      </w:r>
      <w:r w:rsidRPr="002F46E3">
        <w:t>de content in mandarin peels</w:t>
      </w:r>
    </w:p>
    <w:p w14:paraId="0F2E9068" w14:textId="2E59FAAF" w:rsidR="00A44663" w:rsidRPr="002F46E3" w:rsidRDefault="00F60D54" w:rsidP="00340D8A">
      <w:pPr>
        <w:pStyle w:val="CETBodytext"/>
      </w:pPr>
      <w:r w:rsidRPr="002F46E3">
        <w:t>C</w:t>
      </w:r>
      <w:r w:rsidR="00B75DDE" w:rsidRPr="002F46E3">
        <w:t>ompar</w:t>
      </w:r>
      <w:r w:rsidR="008C1D8B" w:rsidRPr="002F46E3">
        <w:t>ed</w:t>
      </w:r>
      <w:r w:rsidR="00C6256B" w:rsidRPr="002F46E3">
        <w:t xml:space="preserve"> to </w:t>
      </w:r>
      <w:r w:rsidR="00A44663" w:rsidRPr="002F46E3">
        <w:t>control samples</w:t>
      </w:r>
      <w:r w:rsidR="00B75DDE" w:rsidRPr="002F46E3">
        <w:t>, Chitosan and Chitosan/</w:t>
      </w:r>
      <w:proofErr w:type="spellStart"/>
      <w:r w:rsidRPr="002F46E3">
        <w:t>Phe</w:t>
      </w:r>
      <w:proofErr w:type="spellEnd"/>
      <w:r w:rsidRPr="002F46E3">
        <w:t>-</w:t>
      </w:r>
      <w:r w:rsidR="00B75DDE" w:rsidRPr="002F46E3">
        <w:t>treat</w:t>
      </w:r>
      <w:r w:rsidR="00A44663" w:rsidRPr="002F46E3">
        <w:t>ed mandarins</w:t>
      </w:r>
      <w:r w:rsidR="00B75DDE" w:rsidRPr="002F46E3">
        <w:t xml:space="preserve"> </w:t>
      </w:r>
      <w:r w:rsidRPr="002F46E3">
        <w:t xml:space="preserve">showed a significant increase in the activity of antioxidant enzymes, including </w:t>
      </w:r>
      <w:r w:rsidR="00B75DDE" w:rsidRPr="002F46E3">
        <w:t>PPO, POD</w:t>
      </w:r>
      <w:r w:rsidR="00A44663" w:rsidRPr="002F46E3">
        <w:t xml:space="preserve"> and CAT</w:t>
      </w:r>
      <w:r w:rsidRPr="002F46E3">
        <w:t xml:space="preserve">, as detailed in </w:t>
      </w:r>
      <w:r w:rsidR="00452C61" w:rsidRPr="002F46E3">
        <w:t>Table 2</w:t>
      </w:r>
      <w:r w:rsidR="00A44663" w:rsidRPr="002F46E3">
        <w:t xml:space="preserve">. </w:t>
      </w:r>
      <w:r w:rsidR="00BB07B3" w:rsidRPr="002F46E3">
        <w:t xml:space="preserve">Chitosan </w:t>
      </w:r>
      <w:r w:rsidRPr="002F46E3">
        <w:t xml:space="preserve">and </w:t>
      </w:r>
      <w:r w:rsidR="00BB07B3" w:rsidRPr="002F46E3">
        <w:t>Chitosan/</w:t>
      </w:r>
      <w:proofErr w:type="spellStart"/>
      <w:r w:rsidR="00BB07B3" w:rsidRPr="002F46E3">
        <w:t>Phe</w:t>
      </w:r>
      <w:proofErr w:type="spellEnd"/>
      <w:r w:rsidR="00BB07B3" w:rsidRPr="002F46E3">
        <w:t xml:space="preserve"> treatments resulted in the highest PPO</w:t>
      </w:r>
      <w:r w:rsidR="00207235" w:rsidRPr="002F46E3">
        <w:t xml:space="preserve"> activity, with increases of </w:t>
      </w:r>
      <w:r w:rsidR="00BB07B3" w:rsidRPr="002F46E3">
        <w:t xml:space="preserve">101.1 and 104.9%, respectively, and </w:t>
      </w:r>
      <w:r w:rsidR="00207235" w:rsidRPr="002F46E3">
        <w:t>the highest</w:t>
      </w:r>
      <w:r w:rsidR="00207235" w:rsidRPr="002F46E3" w:rsidDel="00207235">
        <w:t xml:space="preserve"> </w:t>
      </w:r>
      <w:r w:rsidR="00BB07B3" w:rsidRPr="002F46E3">
        <w:t xml:space="preserve">CAT </w:t>
      </w:r>
      <w:r w:rsidR="00207235" w:rsidRPr="002F46E3">
        <w:t>activity, with increases of</w:t>
      </w:r>
      <w:r w:rsidR="00207235" w:rsidRPr="002F46E3" w:rsidDel="00207235">
        <w:t xml:space="preserve"> </w:t>
      </w:r>
      <w:r w:rsidR="00BB07B3" w:rsidRPr="002F46E3">
        <w:t>113.5 and 114.1%</w:t>
      </w:r>
      <w:r w:rsidR="00207235" w:rsidRPr="002F46E3">
        <w:t>.</w:t>
      </w:r>
      <w:r w:rsidR="00BB07B3" w:rsidRPr="002F46E3">
        <w:t xml:space="preserve"> </w:t>
      </w:r>
      <w:r w:rsidR="00207235" w:rsidRPr="002F46E3">
        <w:t>Mean</w:t>
      </w:r>
      <w:r w:rsidR="00BB07B3" w:rsidRPr="002F46E3">
        <w:t>while</w:t>
      </w:r>
      <w:r w:rsidR="00207235" w:rsidRPr="002F46E3">
        <w:t>,</w:t>
      </w:r>
      <w:r w:rsidR="00BB07B3" w:rsidRPr="002F46E3">
        <w:t xml:space="preserve"> </w:t>
      </w:r>
      <w:proofErr w:type="spellStart"/>
      <w:r w:rsidR="00BB07B3" w:rsidRPr="002F46E3">
        <w:t>Phe</w:t>
      </w:r>
      <w:proofErr w:type="spellEnd"/>
      <w:r w:rsidR="00BB07B3" w:rsidRPr="002F46E3">
        <w:t xml:space="preserve"> and Chitosan </w:t>
      </w:r>
      <w:r w:rsidR="00207235" w:rsidRPr="002F46E3">
        <w:t xml:space="preserve">treatments </w:t>
      </w:r>
      <w:r w:rsidR="00BB07B3" w:rsidRPr="002F46E3">
        <w:t>resulted in the lowest MDA levels</w:t>
      </w:r>
      <w:r w:rsidR="00207235" w:rsidRPr="002F46E3">
        <w:t xml:space="preserve">, with reductions of </w:t>
      </w:r>
      <w:r w:rsidR="00BB07B3" w:rsidRPr="002F46E3">
        <w:t>22.0 and 18.1%, respectively</w:t>
      </w:r>
      <w:r w:rsidR="00207235" w:rsidRPr="002F46E3">
        <w:t xml:space="preserve">, by </w:t>
      </w:r>
      <w:r w:rsidR="00BB07B3" w:rsidRPr="002F46E3">
        <w:t xml:space="preserve">the end of the storage period. </w:t>
      </w:r>
      <w:r w:rsidR="00207235" w:rsidRPr="002F46E3">
        <w:t>S</w:t>
      </w:r>
      <w:r w:rsidR="00C6256B" w:rsidRPr="002F46E3">
        <w:t xml:space="preserve">imilar </w:t>
      </w:r>
      <w:r w:rsidR="00207235" w:rsidRPr="002F46E3">
        <w:t xml:space="preserve">findings were reported </w:t>
      </w:r>
      <w:r w:rsidR="00C6256B" w:rsidRPr="002F46E3">
        <w:t xml:space="preserve">by </w:t>
      </w:r>
      <w:r w:rsidR="00452C61" w:rsidRPr="002F46E3">
        <w:t xml:space="preserve">Gao et al. (2018) </w:t>
      </w:r>
      <w:r w:rsidR="00207235" w:rsidRPr="002F46E3">
        <w:t xml:space="preserve">for </w:t>
      </w:r>
      <w:proofErr w:type="spellStart"/>
      <w:r w:rsidR="00C6256B" w:rsidRPr="002F46E3">
        <w:t>Ponkan</w:t>
      </w:r>
      <w:proofErr w:type="spellEnd"/>
      <w:r w:rsidR="00C6256B" w:rsidRPr="002F46E3">
        <w:t xml:space="preserve"> mandarins treated with </w:t>
      </w:r>
      <w:r w:rsidR="00207235" w:rsidRPr="002F46E3">
        <w:t xml:space="preserve">chitosan </w:t>
      </w:r>
      <w:r w:rsidR="00C6256B" w:rsidRPr="002F46E3">
        <w:t xml:space="preserve">and </w:t>
      </w:r>
      <w:r w:rsidR="00207235" w:rsidRPr="002F46E3">
        <w:t>chitosan</w:t>
      </w:r>
      <w:r w:rsidR="00C6256B" w:rsidRPr="002F46E3">
        <w:t>/</w:t>
      </w:r>
      <w:r w:rsidR="00207235" w:rsidRPr="002F46E3">
        <w:t xml:space="preserve">cinnamaldehyde </w:t>
      </w:r>
      <w:r w:rsidR="00C6256B" w:rsidRPr="002F46E3">
        <w:t>ECs</w:t>
      </w:r>
      <w:r w:rsidR="00207235" w:rsidRPr="002F46E3">
        <w:t>,</w:t>
      </w:r>
      <w:r w:rsidR="00C6256B" w:rsidRPr="002F46E3">
        <w:t xml:space="preserve"> where POD and CAT </w:t>
      </w:r>
      <w:r w:rsidR="00207235" w:rsidRPr="002F46E3">
        <w:t xml:space="preserve">activity </w:t>
      </w:r>
      <w:r w:rsidR="00C6256B" w:rsidRPr="002F46E3">
        <w:t xml:space="preserve">significantly increased </w:t>
      </w:r>
      <w:r w:rsidR="00207235" w:rsidRPr="002F46E3">
        <w:t xml:space="preserve">after 20 days of storage at room temperature </w:t>
      </w:r>
      <w:r w:rsidR="00C6256B" w:rsidRPr="002F46E3">
        <w:t>compared to control samples.</w:t>
      </w:r>
    </w:p>
    <w:p w14:paraId="255A0F2E" w14:textId="2C133224" w:rsidR="00340D8A" w:rsidRPr="002F46E3" w:rsidRDefault="00340D8A" w:rsidP="008C1D8B">
      <w:pPr>
        <w:pStyle w:val="CETTabletitle"/>
      </w:pPr>
      <w:r w:rsidRPr="002F46E3">
        <w:t xml:space="preserve">Table </w:t>
      </w:r>
      <w:r w:rsidR="001729E3" w:rsidRPr="002F46E3">
        <w:t>2:</w:t>
      </w:r>
      <w:r w:rsidRPr="002F46E3">
        <w:t xml:space="preserve"> Enzymatic activity and malondialdehyde levels in</w:t>
      </w:r>
      <w:r w:rsidR="00372D6C" w:rsidRPr="002F46E3">
        <w:t xml:space="preserve"> freeze</w:t>
      </w:r>
      <w:r w:rsidR="008C1D8B" w:rsidRPr="002F46E3">
        <w:t>-</w:t>
      </w:r>
      <w:r w:rsidR="00372D6C" w:rsidRPr="002F46E3">
        <w:t>dried</w:t>
      </w:r>
      <w:r w:rsidRPr="002F46E3">
        <w:t xml:space="preserve"> mandarin peels after 21 days of cold storage.</w:t>
      </w:r>
    </w:p>
    <w:tbl>
      <w:tblPr>
        <w:tblpPr w:leftFromText="180" w:rightFromText="180" w:vertAnchor="text" w:horzAnchor="margin" w:tblpY="155"/>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57"/>
        <w:gridCol w:w="1759"/>
        <w:gridCol w:w="1759"/>
        <w:gridCol w:w="1756"/>
        <w:gridCol w:w="1756"/>
      </w:tblGrid>
      <w:tr w:rsidR="00CC0197" w:rsidRPr="002F46E3" w14:paraId="038F6230" w14:textId="77777777" w:rsidTr="001729E3">
        <w:tc>
          <w:tcPr>
            <w:tcW w:w="1000" w:type="pct"/>
            <w:tcBorders>
              <w:top w:val="single" w:sz="12" w:space="0" w:color="008000"/>
              <w:bottom w:val="single" w:sz="6" w:space="0" w:color="008000"/>
            </w:tcBorders>
            <w:shd w:val="clear" w:color="auto" w:fill="FFFFFF"/>
          </w:tcPr>
          <w:p w14:paraId="2BCA6014" w14:textId="77777777" w:rsidR="00CC0197" w:rsidRPr="002F46E3" w:rsidRDefault="00CC0197" w:rsidP="00CC0197">
            <w:pPr>
              <w:pStyle w:val="CETBodytext"/>
              <w:rPr>
                <w:lang w:val="en-GB"/>
              </w:rPr>
            </w:pPr>
          </w:p>
        </w:tc>
        <w:tc>
          <w:tcPr>
            <w:tcW w:w="1001" w:type="pct"/>
            <w:tcBorders>
              <w:top w:val="single" w:sz="12" w:space="0" w:color="008000"/>
              <w:bottom w:val="single" w:sz="6" w:space="0" w:color="008000"/>
            </w:tcBorders>
            <w:shd w:val="clear" w:color="auto" w:fill="FFFFFF"/>
          </w:tcPr>
          <w:p w14:paraId="0DD4A720" w14:textId="40077045" w:rsidR="00CC0197" w:rsidRPr="00DD1C0A" w:rsidRDefault="00CC0197" w:rsidP="00CC0197">
            <w:pPr>
              <w:pStyle w:val="CETBodytext"/>
              <w:jc w:val="center"/>
              <w:rPr>
                <w:lang w:val="nl-NL"/>
              </w:rPr>
            </w:pPr>
            <w:r w:rsidRPr="00DD1C0A">
              <w:rPr>
                <w:lang w:val="nl-NL"/>
              </w:rPr>
              <w:t>Polyphenol oxidase (U/h/g d.w.)</w:t>
            </w:r>
          </w:p>
        </w:tc>
        <w:tc>
          <w:tcPr>
            <w:tcW w:w="1001" w:type="pct"/>
            <w:tcBorders>
              <w:top w:val="single" w:sz="12" w:space="0" w:color="008000"/>
              <w:bottom w:val="single" w:sz="6" w:space="0" w:color="008000"/>
            </w:tcBorders>
            <w:shd w:val="clear" w:color="auto" w:fill="FFFFFF"/>
          </w:tcPr>
          <w:p w14:paraId="321C3185" w14:textId="786ADB82" w:rsidR="00CC0197" w:rsidRPr="00DD1C0A" w:rsidRDefault="00CC0197" w:rsidP="00CC0197">
            <w:pPr>
              <w:pStyle w:val="CETBodytext"/>
              <w:jc w:val="center"/>
              <w:rPr>
                <w:lang w:val="nl-NL"/>
              </w:rPr>
            </w:pPr>
            <w:r w:rsidRPr="00DD1C0A">
              <w:rPr>
                <w:lang w:val="nl-NL"/>
              </w:rPr>
              <w:t>Peroxidase (U/min/g d.w.)</w:t>
            </w:r>
          </w:p>
        </w:tc>
        <w:tc>
          <w:tcPr>
            <w:tcW w:w="999" w:type="pct"/>
            <w:tcBorders>
              <w:top w:val="single" w:sz="12" w:space="0" w:color="008000"/>
              <w:bottom w:val="single" w:sz="6" w:space="0" w:color="008000"/>
            </w:tcBorders>
            <w:shd w:val="clear" w:color="auto" w:fill="FFFFFF"/>
          </w:tcPr>
          <w:p w14:paraId="7EA48C4F" w14:textId="3673FF44" w:rsidR="00CC0197" w:rsidRPr="00DD1C0A" w:rsidRDefault="00CC0197" w:rsidP="00CC0197">
            <w:pPr>
              <w:pStyle w:val="CETBodytext"/>
              <w:jc w:val="center"/>
              <w:rPr>
                <w:lang w:val="it-IT"/>
              </w:rPr>
            </w:pPr>
            <w:r w:rsidRPr="00DD1C0A">
              <w:rPr>
                <w:lang w:val="it-IT"/>
              </w:rPr>
              <w:t>Catalase (</w:t>
            </w:r>
            <w:r w:rsidRPr="002F46E3">
              <w:rPr>
                <w:lang w:val="en-GB"/>
              </w:rPr>
              <w:t>μ</w:t>
            </w:r>
            <w:r w:rsidRPr="00DD1C0A">
              <w:rPr>
                <w:lang w:val="it-IT"/>
              </w:rPr>
              <w:t>mol H</w:t>
            </w:r>
            <w:r w:rsidRPr="00DD1C0A">
              <w:rPr>
                <w:vertAlign w:val="subscript"/>
                <w:lang w:val="it-IT"/>
              </w:rPr>
              <w:t>2</w:t>
            </w:r>
            <w:r w:rsidRPr="00DD1C0A">
              <w:rPr>
                <w:lang w:val="it-IT"/>
              </w:rPr>
              <w:t>O</w:t>
            </w:r>
            <w:r w:rsidRPr="00DD1C0A">
              <w:rPr>
                <w:vertAlign w:val="subscript"/>
                <w:lang w:val="it-IT"/>
              </w:rPr>
              <w:t>2</w:t>
            </w:r>
            <w:r w:rsidRPr="00DD1C0A">
              <w:rPr>
                <w:lang w:val="it-IT"/>
              </w:rPr>
              <w:t>/min/g d.w.)</w:t>
            </w:r>
          </w:p>
        </w:tc>
        <w:tc>
          <w:tcPr>
            <w:tcW w:w="999" w:type="pct"/>
            <w:tcBorders>
              <w:top w:val="single" w:sz="12" w:space="0" w:color="008000"/>
              <w:bottom w:val="single" w:sz="6" w:space="0" w:color="008000"/>
            </w:tcBorders>
            <w:shd w:val="clear" w:color="auto" w:fill="FFFFFF"/>
          </w:tcPr>
          <w:p w14:paraId="09A7C078" w14:textId="1B14A30E" w:rsidR="00CC0197" w:rsidRPr="00DD1C0A" w:rsidRDefault="00CC0197" w:rsidP="00CC0197">
            <w:pPr>
              <w:pStyle w:val="CETBodytext"/>
              <w:ind w:right="-1"/>
              <w:jc w:val="center"/>
              <w:rPr>
                <w:rFonts w:cs="Arial"/>
                <w:szCs w:val="18"/>
                <w:lang w:val="it-IT"/>
              </w:rPr>
            </w:pPr>
            <w:r w:rsidRPr="00DD1C0A">
              <w:rPr>
                <w:rFonts w:cs="Arial"/>
                <w:szCs w:val="18"/>
                <w:lang w:val="it-IT"/>
              </w:rPr>
              <w:t>Malondialdehyde (mg MDA/g d.w.)</w:t>
            </w:r>
          </w:p>
        </w:tc>
      </w:tr>
      <w:tr w:rsidR="00CC0197" w:rsidRPr="002F46E3" w14:paraId="5862A63F" w14:textId="77777777" w:rsidTr="001729E3">
        <w:tc>
          <w:tcPr>
            <w:tcW w:w="1000" w:type="pct"/>
            <w:shd w:val="clear" w:color="auto" w:fill="FFFFFF"/>
          </w:tcPr>
          <w:p w14:paraId="6472A91B" w14:textId="77777777" w:rsidR="00CC0197" w:rsidRPr="002F46E3" w:rsidRDefault="00CC0197" w:rsidP="00CC0197">
            <w:pPr>
              <w:pStyle w:val="CETBodytext"/>
              <w:rPr>
                <w:lang w:val="en-GB"/>
              </w:rPr>
            </w:pPr>
            <w:r w:rsidRPr="002F46E3">
              <w:rPr>
                <w:lang w:val="en-GB"/>
              </w:rPr>
              <w:t>Control</w:t>
            </w:r>
          </w:p>
        </w:tc>
        <w:tc>
          <w:tcPr>
            <w:tcW w:w="1001" w:type="pct"/>
            <w:shd w:val="clear" w:color="auto" w:fill="FFFFFF"/>
          </w:tcPr>
          <w:p w14:paraId="1DCE6985" w14:textId="4DA00FD1" w:rsidR="00CC0197" w:rsidRPr="002F46E3" w:rsidRDefault="00CC0197" w:rsidP="00340D8A">
            <w:pPr>
              <w:pStyle w:val="CETBodytext"/>
              <w:jc w:val="center"/>
              <w:rPr>
                <w:lang w:val="en-GB"/>
              </w:rPr>
            </w:pPr>
            <w:r w:rsidRPr="002F46E3">
              <w:rPr>
                <w:lang w:val="en-GB"/>
              </w:rPr>
              <w:t>9.49±</w:t>
            </w:r>
            <w:r w:rsidR="00964B90">
              <w:rPr>
                <w:lang w:val="en-GB"/>
              </w:rPr>
              <w:t>1</w:t>
            </w:r>
            <w:r w:rsidRPr="002F46E3">
              <w:rPr>
                <w:lang w:val="en-GB"/>
              </w:rPr>
              <w:t>.</w:t>
            </w:r>
            <w:r w:rsidR="00964B90">
              <w:rPr>
                <w:lang w:val="en-GB"/>
              </w:rPr>
              <w:t>00</w:t>
            </w:r>
            <w:r w:rsidR="00964B90">
              <w:rPr>
                <w:vertAlign w:val="superscript"/>
                <w:lang w:val="en-GB"/>
              </w:rPr>
              <w:t>c</w:t>
            </w:r>
          </w:p>
        </w:tc>
        <w:tc>
          <w:tcPr>
            <w:tcW w:w="1001" w:type="pct"/>
            <w:shd w:val="clear" w:color="auto" w:fill="FFFFFF"/>
          </w:tcPr>
          <w:p w14:paraId="12B2DEB3" w14:textId="6914F629" w:rsidR="00CC0197" w:rsidRPr="00964B90" w:rsidRDefault="00CC0197" w:rsidP="00340D8A">
            <w:pPr>
              <w:pStyle w:val="CETBodytext"/>
              <w:jc w:val="center"/>
              <w:rPr>
                <w:lang w:val="en-GB"/>
              </w:rPr>
            </w:pPr>
            <w:r w:rsidRPr="00964B90">
              <w:rPr>
                <w:lang w:val="en-GB"/>
              </w:rPr>
              <w:t>30.37±1.50</w:t>
            </w:r>
            <w:r w:rsidR="00964B90" w:rsidRPr="00964B90">
              <w:rPr>
                <w:vertAlign w:val="superscript"/>
                <w:lang w:val="en-GB"/>
              </w:rPr>
              <w:t>bc</w:t>
            </w:r>
          </w:p>
        </w:tc>
        <w:tc>
          <w:tcPr>
            <w:tcW w:w="999" w:type="pct"/>
            <w:shd w:val="clear" w:color="auto" w:fill="FFFFFF"/>
          </w:tcPr>
          <w:p w14:paraId="73162229" w14:textId="290A9C27" w:rsidR="00CC0197" w:rsidRPr="002F46E3" w:rsidRDefault="00CC0197" w:rsidP="00340D8A">
            <w:pPr>
              <w:jc w:val="center"/>
            </w:pPr>
            <w:r w:rsidRPr="002F46E3">
              <w:t>4.56±0.</w:t>
            </w:r>
            <w:r w:rsidR="00964B90">
              <w:t>50</w:t>
            </w:r>
            <w:r w:rsidR="00964B90">
              <w:rPr>
                <w:vertAlign w:val="superscript"/>
              </w:rPr>
              <w:t>c</w:t>
            </w:r>
          </w:p>
        </w:tc>
        <w:tc>
          <w:tcPr>
            <w:tcW w:w="999" w:type="pct"/>
            <w:shd w:val="clear" w:color="auto" w:fill="FFFFFF"/>
          </w:tcPr>
          <w:p w14:paraId="33297462" w14:textId="1EBEF61E" w:rsidR="00CC0197" w:rsidRPr="002F46E3" w:rsidRDefault="00CC0197" w:rsidP="00340D8A">
            <w:pPr>
              <w:pStyle w:val="CETBodytext"/>
              <w:ind w:right="-1"/>
              <w:jc w:val="center"/>
              <w:rPr>
                <w:rFonts w:cs="Arial"/>
                <w:szCs w:val="18"/>
                <w:lang w:val="en-GB"/>
              </w:rPr>
            </w:pPr>
            <w:r w:rsidRPr="002F46E3">
              <w:rPr>
                <w:rFonts w:cs="Arial"/>
                <w:szCs w:val="18"/>
                <w:lang w:val="en-GB"/>
              </w:rPr>
              <w:t>1.75±0.1</w:t>
            </w:r>
            <w:r w:rsidR="00964B90">
              <w:rPr>
                <w:rFonts w:cs="Arial"/>
                <w:szCs w:val="18"/>
                <w:lang w:val="en-GB"/>
              </w:rPr>
              <w:t>4</w:t>
            </w:r>
            <w:r w:rsidR="00964B90">
              <w:rPr>
                <w:rFonts w:cs="Arial"/>
                <w:szCs w:val="18"/>
                <w:vertAlign w:val="superscript"/>
                <w:lang w:val="en-GB"/>
              </w:rPr>
              <w:t>a</w:t>
            </w:r>
          </w:p>
        </w:tc>
      </w:tr>
      <w:tr w:rsidR="00CC0197" w:rsidRPr="002F46E3" w14:paraId="7A4EB999" w14:textId="77777777" w:rsidTr="001729E3">
        <w:tc>
          <w:tcPr>
            <w:tcW w:w="1000" w:type="pct"/>
            <w:shd w:val="clear" w:color="auto" w:fill="FFFFFF"/>
          </w:tcPr>
          <w:p w14:paraId="5B90A623" w14:textId="77777777" w:rsidR="00CC0197" w:rsidRPr="002F46E3" w:rsidRDefault="00CC0197" w:rsidP="00CC0197">
            <w:pPr>
              <w:pStyle w:val="CETBodytext"/>
              <w:rPr>
                <w:lang w:val="en-GB"/>
              </w:rPr>
            </w:pPr>
            <w:proofErr w:type="spellStart"/>
            <w:r w:rsidRPr="002F46E3">
              <w:rPr>
                <w:lang w:val="en-GB"/>
              </w:rPr>
              <w:t>Phe</w:t>
            </w:r>
            <w:proofErr w:type="spellEnd"/>
          </w:p>
        </w:tc>
        <w:tc>
          <w:tcPr>
            <w:tcW w:w="1001" w:type="pct"/>
            <w:shd w:val="clear" w:color="auto" w:fill="FFFFFF"/>
          </w:tcPr>
          <w:p w14:paraId="57427217" w14:textId="55626D60" w:rsidR="00CC0197" w:rsidRPr="002F46E3" w:rsidRDefault="00CC0197" w:rsidP="00340D8A">
            <w:pPr>
              <w:pStyle w:val="CETBodytext"/>
              <w:jc w:val="center"/>
              <w:rPr>
                <w:lang w:val="en-GB"/>
              </w:rPr>
            </w:pPr>
            <w:r w:rsidRPr="002F46E3">
              <w:t>13.37±0.61</w:t>
            </w:r>
            <w:r w:rsidRPr="002F46E3">
              <w:rPr>
                <w:vertAlign w:val="superscript"/>
              </w:rPr>
              <w:t>b</w:t>
            </w:r>
          </w:p>
        </w:tc>
        <w:tc>
          <w:tcPr>
            <w:tcW w:w="1001" w:type="pct"/>
            <w:shd w:val="clear" w:color="auto" w:fill="FFFFFF"/>
          </w:tcPr>
          <w:p w14:paraId="2B1FD358" w14:textId="1E82778A" w:rsidR="00CC0197" w:rsidRPr="00964B90" w:rsidRDefault="00CC0197" w:rsidP="00340D8A">
            <w:pPr>
              <w:pStyle w:val="CETBodytext"/>
              <w:jc w:val="center"/>
              <w:rPr>
                <w:lang w:val="en-GB"/>
              </w:rPr>
            </w:pPr>
            <w:r w:rsidRPr="00964B90">
              <w:t>2</w:t>
            </w:r>
            <w:r w:rsidR="00964B90">
              <w:t>4</w:t>
            </w:r>
            <w:r w:rsidRPr="00964B90">
              <w:t>.</w:t>
            </w:r>
            <w:r w:rsidR="00964B90">
              <w:t>00</w:t>
            </w:r>
            <w:r w:rsidRPr="00964B90">
              <w:t>±1.57</w:t>
            </w:r>
            <w:r w:rsidR="00964B90" w:rsidRPr="00964B90">
              <w:rPr>
                <w:vertAlign w:val="superscript"/>
              </w:rPr>
              <w:t>c</w:t>
            </w:r>
          </w:p>
        </w:tc>
        <w:tc>
          <w:tcPr>
            <w:tcW w:w="999" w:type="pct"/>
            <w:shd w:val="clear" w:color="auto" w:fill="FFFFFF"/>
          </w:tcPr>
          <w:p w14:paraId="7EFB9B86" w14:textId="4260D5BC" w:rsidR="00CC0197" w:rsidRPr="002F46E3" w:rsidRDefault="00CC0197" w:rsidP="00340D8A">
            <w:pPr>
              <w:jc w:val="center"/>
            </w:pPr>
            <w:r w:rsidRPr="002F46E3">
              <w:t>6.08±0.91</w:t>
            </w:r>
            <w:r w:rsidRPr="002F46E3">
              <w:rPr>
                <w:vertAlign w:val="superscript"/>
              </w:rPr>
              <w:t>b</w:t>
            </w:r>
          </w:p>
        </w:tc>
        <w:tc>
          <w:tcPr>
            <w:tcW w:w="999" w:type="pct"/>
            <w:shd w:val="clear" w:color="auto" w:fill="FFFFFF"/>
          </w:tcPr>
          <w:p w14:paraId="158A6B9A" w14:textId="1EF4A2A9" w:rsidR="00CC0197" w:rsidRPr="002F46E3" w:rsidRDefault="00CC0197" w:rsidP="00340D8A">
            <w:pPr>
              <w:pStyle w:val="CETBodytext"/>
              <w:ind w:right="-1"/>
              <w:jc w:val="center"/>
              <w:rPr>
                <w:rFonts w:cs="Arial"/>
                <w:szCs w:val="18"/>
                <w:lang w:val="en-GB"/>
              </w:rPr>
            </w:pPr>
            <w:r w:rsidRPr="002F46E3">
              <w:t>1.36±0.</w:t>
            </w:r>
            <w:r w:rsidR="007F7403" w:rsidRPr="002F46E3">
              <w:t>06</w:t>
            </w:r>
            <w:r w:rsidR="00964B90">
              <w:rPr>
                <w:vertAlign w:val="superscript"/>
              </w:rPr>
              <w:t>c</w:t>
            </w:r>
          </w:p>
        </w:tc>
      </w:tr>
      <w:tr w:rsidR="00CC0197" w:rsidRPr="002F46E3" w14:paraId="0963B2DB" w14:textId="77777777" w:rsidTr="001729E3">
        <w:tc>
          <w:tcPr>
            <w:tcW w:w="1000" w:type="pct"/>
            <w:shd w:val="clear" w:color="auto" w:fill="FFFFFF"/>
          </w:tcPr>
          <w:p w14:paraId="39332DCD" w14:textId="77777777" w:rsidR="00CC0197" w:rsidRPr="002F46E3" w:rsidRDefault="00CC0197" w:rsidP="00CC0197">
            <w:pPr>
              <w:pStyle w:val="CETBodytext"/>
              <w:rPr>
                <w:lang w:val="en-GB"/>
              </w:rPr>
            </w:pPr>
            <w:r w:rsidRPr="002F46E3">
              <w:rPr>
                <w:lang w:val="en-GB"/>
              </w:rPr>
              <w:t>Chitosan</w:t>
            </w:r>
          </w:p>
        </w:tc>
        <w:tc>
          <w:tcPr>
            <w:tcW w:w="1001" w:type="pct"/>
            <w:shd w:val="clear" w:color="auto" w:fill="FFFFFF"/>
          </w:tcPr>
          <w:p w14:paraId="7B70D7D4" w14:textId="0A9DF227" w:rsidR="00CC0197" w:rsidRPr="002F46E3" w:rsidRDefault="00CC0197" w:rsidP="00340D8A">
            <w:pPr>
              <w:pStyle w:val="CETBodytext"/>
              <w:jc w:val="center"/>
              <w:rPr>
                <w:lang w:val="en-GB"/>
              </w:rPr>
            </w:pPr>
            <w:r w:rsidRPr="002F46E3">
              <w:t>19.09±0.79</w:t>
            </w:r>
            <w:r w:rsidR="00964B90">
              <w:rPr>
                <w:vertAlign w:val="superscript"/>
              </w:rPr>
              <w:t>a</w:t>
            </w:r>
          </w:p>
        </w:tc>
        <w:tc>
          <w:tcPr>
            <w:tcW w:w="1001" w:type="pct"/>
            <w:shd w:val="clear" w:color="auto" w:fill="FFFFFF"/>
          </w:tcPr>
          <w:p w14:paraId="3314CF5C" w14:textId="23E732CE" w:rsidR="00CC0197" w:rsidRPr="00964B90" w:rsidRDefault="00CC0197" w:rsidP="00340D8A">
            <w:pPr>
              <w:pStyle w:val="CETBodytext"/>
              <w:jc w:val="center"/>
              <w:rPr>
                <w:lang w:val="en-GB"/>
              </w:rPr>
            </w:pPr>
            <w:r w:rsidRPr="00964B90">
              <w:t>38.10±3.89</w:t>
            </w:r>
            <w:r w:rsidR="00964B90" w:rsidRPr="00964B90">
              <w:rPr>
                <w:vertAlign w:val="superscript"/>
              </w:rPr>
              <w:t>a</w:t>
            </w:r>
          </w:p>
        </w:tc>
        <w:tc>
          <w:tcPr>
            <w:tcW w:w="999" w:type="pct"/>
            <w:shd w:val="clear" w:color="auto" w:fill="FFFFFF"/>
          </w:tcPr>
          <w:p w14:paraId="4063D344" w14:textId="76A566AC" w:rsidR="00CC0197" w:rsidRPr="002F46E3" w:rsidRDefault="00CC0197" w:rsidP="00340D8A">
            <w:pPr>
              <w:jc w:val="center"/>
            </w:pPr>
            <w:r w:rsidRPr="002F46E3">
              <w:t>9.7</w:t>
            </w:r>
            <w:r w:rsidR="00964B90">
              <w:t>5</w:t>
            </w:r>
            <w:r w:rsidRPr="002F46E3">
              <w:t>±1.4</w:t>
            </w:r>
            <w:r w:rsidR="00964B90">
              <w:t>2</w:t>
            </w:r>
            <w:r w:rsidR="00964B90">
              <w:rPr>
                <w:vertAlign w:val="superscript"/>
              </w:rPr>
              <w:t>a</w:t>
            </w:r>
          </w:p>
        </w:tc>
        <w:tc>
          <w:tcPr>
            <w:tcW w:w="999" w:type="pct"/>
            <w:shd w:val="clear" w:color="auto" w:fill="FFFFFF"/>
          </w:tcPr>
          <w:p w14:paraId="50AC9F2F" w14:textId="652DB592" w:rsidR="00CC0197" w:rsidRPr="002F46E3" w:rsidRDefault="00CC0197" w:rsidP="00340D8A">
            <w:pPr>
              <w:pStyle w:val="CETBodytext"/>
              <w:ind w:right="-1"/>
              <w:jc w:val="center"/>
              <w:rPr>
                <w:rFonts w:cs="Arial"/>
                <w:szCs w:val="18"/>
                <w:lang w:val="en-GB"/>
              </w:rPr>
            </w:pPr>
            <w:r w:rsidRPr="002F46E3">
              <w:t>1.43±0.1</w:t>
            </w:r>
            <w:r w:rsidR="00964B90">
              <w:t>8</w:t>
            </w:r>
            <w:r w:rsidR="00964B90">
              <w:rPr>
                <w:vertAlign w:val="superscript"/>
              </w:rPr>
              <w:t>c</w:t>
            </w:r>
          </w:p>
        </w:tc>
      </w:tr>
      <w:tr w:rsidR="00CC0197" w:rsidRPr="002F46E3" w14:paraId="756424A5" w14:textId="77777777" w:rsidTr="001729E3">
        <w:tc>
          <w:tcPr>
            <w:tcW w:w="1000" w:type="pct"/>
            <w:shd w:val="clear" w:color="auto" w:fill="FFFFFF"/>
          </w:tcPr>
          <w:p w14:paraId="50D13ACC" w14:textId="77777777" w:rsidR="00CC0197" w:rsidRPr="002F46E3" w:rsidRDefault="00CC0197" w:rsidP="00CC0197">
            <w:pPr>
              <w:pStyle w:val="CETBodytext"/>
              <w:ind w:right="-1"/>
              <w:rPr>
                <w:rFonts w:cs="Arial"/>
                <w:szCs w:val="18"/>
                <w:lang w:val="en-GB"/>
              </w:rPr>
            </w:pPr>
            <w:r w:rsidRPr="002F46E3">
              <w:rPr>
                <w:lang w:val="en-GB"/>
              </w:rPr>
              <w:t>Chitosan/</w:t>
            </w:r>
            <w:proofErr w:type="spellStart"/>
            <w:r w:rsidRPr="002F46E3">
              <w:rPr>
                <w:lang w:val="en-GB"/>
              </w:rPr>
              <w:t>Phe</w:t>
            </w:r>
            <w:proofErr w:type="spellEnd"/>
          </w:p>
        </w:tc>
        <w:tc>
          <w:tcPr>
            <w:tcW w:w="1001" w:type="pct"/>
            <w:shd w:val="clear" w:color="auto" w:fill="FFFFFF"/>
          </w:tcPr>
          <w:p w14:paraId="05C989A4" w14:textId="02CECCDF" w:rsidR="00CC0197" w:rsidRPr="002F46E3" w:rsidRDefault="00CC0197" w:rsidP="00340D8A">
            <w:pPr>
              <w:pStyle w:val="CETBodytext"/>
              <w:ind w:right="-1"/>
              <w:jc w:val="center"/>
              <w:rPr>
                <w:rFonts w:cs="Arial"/>
                <w:szCs w:val="18"/>
                <w:lang w:val="en-GB"/>
              </w:rPr>
            </w:pPr>
            <w:r w:rsidRPr="002F46E3">
              <w:t>19.4</w:t>
            </w:r>
            <w:r w:rsidR="00964B90">
              <w:t>5</w:t>
            </w:r>
            <w:r w:rsidRPr="002F46E3">
              <w:t>±0.6</w:t>
            </w:r>
            <w:r w:rsidR="00964B90">
              <w:t>8</w:t>
            </w:r>
            <w:r w:rsidR="00964B90">
              <w:rPr>
                <w:vertAlign w:val="superscript"/>
              </w:rPr>
              <w:t>a</w:t>
            </w:r>
          </w:p>
        </w:tc>
        <w:tc>
          <w:tcPr>
            <w:tcW w:w="1001" w:type="pct"/>
            <w:shd w:val="clear" w:color="auto" w:fill="FFFFFF"/>
          </w:tcPr>
          <w:p w14:paraId="1FB210C7" w14:textId="7794C8AC" w:rsidR="00CC0197" w:rsidRPr="00964B90" w:rsidRDefault="00CC0197" w:rsidP="00340D8A">
            <w:pPr>
              <w:pStyle w:val="CETBodytext"/>
              <w:ind w:right="-1"/>
              <w:jc w:val="center"/>
              <w:rPr>
                <w:rFonts w:cs="Arial"/>
                <w:szCs w:val="18"/>
                <w:lang w:val="en-GB"/>
              </w:rPr>
            </w:pPr>
            <w:r w:rsidRPr="00964B90">
              <w:t>34.28±3.77</w:t>
            </w:r>
            <w:r w:rsidR="00964B90" w:rsidRPr="00964B90">
              <w:rPr>
                <w:vertAlign w:val="superscript"/>
              </w:rPr>
              <w:t>b</w:t>
            </w:r>
          </w:p>
        </w:tc>
        <w:tc>
          <w:tcPr>
            <w:tcW w:w="999" w:type="pct"/>
            <w:shd w:val="clear" w:color="auto" w:fill="FFFFFF"/>
          </w:tcPr>
          <w:p w14:paraId="0D3A5E9D" w14:textId="1F0A50F3" w:rsidR="00CC0197" w:rsidRPr="002F46E3" w:rsidRDefault="00CC0197" w:rsidP="00340D8A">
            <w:pPr>
              <w:pStyle w:val="CETBodytext"/>
              <w:ind w:right="-1"/>
              <w:jc w:val="center"/>
              <w:rPr>
                <w:rFonts w:cs="Arial"/>
                <w:szCs w:val="18"/>
                <w:lang w:val="en-GB"/>
              </w:rPr>
            </w:pPr>
            <w:r w:rsidRPr="002F46E3">
              <w:t>9.77±0.9</w:t>
            </w:r>
            <w:r w:rsidR="00964B90">
              <w:t>3</w:t>
            </w:r>
            <w:r w:rsidR="00964B90">
              <w:rPr>
                <w:vertAlign w:val="superscript"/>
              </w:rPr>
              <w:t>a</w:t>
            </w:r>
          </w:p>
        </w:tc>
        <w:tc>
          <w:tcPr>
            <w:tcW w:w="999" w:type="pct"/>
            <w:shd w:val="clear" w:color="auto" w:fill="FFFFFF"/>
          </w:tcPr>
          <w:p w14:paraId="134C68FB" w14:textId="5962131B" w:rsidR="00CC0197" w:rsidRPr="002F46E3" w:rsidRDefault="00CC0197" w:rsidP="00340D8A">
            <w:pPr>
              <w:pStyle w:val="CETBodytext"/>
              <w:ind w:right="-1"/>
              <w:jc w:val="center"/>
              <w:rPr>
                <w:rFonts w:cs="Arial"/>
                <w:szCs w:val="18"/>
                <w:lang w:val="en-GB"/>
              </w:rPr>
            </w:pPr>
            <w:r w:rsidRPr="002F46E3">
              <w:t>1.6</w:t>
            </w:r>
            <w:r w:rsidR="00964B90">
              <w:t>2</w:t>
            </w:r>
            <w:r w:rsidRPr="002F46E3">
              <w:t>±0.0</w:t>
            </w:r>
            <w:r w:rsidR="00964B90">
              <w:t>6</w:t>
            </w:r>
            <w:r w:rsidR="00964B90">
              <w:rPr>
                <w:vertAlign w:val="superscript"/>
              </w:rPr>
              <w:t>b</w:t>
            </w:r>
          </w:p>
        </w:tc>
      </w:tr>
    </w:tbl>
    <w:p w14:paraId="3A21DF4B" w14:textId="1D2CB5FA" w:rsidR="00CC0197" w:rsidRPr="002F46E3" w:rsidRDefault="00CC0197" w:rsidP="00600535">
      <w:pPr>
        <w:pStyle w:val="CETBodytext"/>
        <w:rPr>
          <w:vertAlign w:val="superscript"/>
          <w:lang w:val="en-GB"/>
        </w:rPr>
      </w:pPr>
      <w:r w:rsidRPr="002F46E3">
        <w:rPr>
          <w:vertAlign w:val="superscript"/>
          <w:lang w:val="en-GB"/>
        </w:rPr>
        <w:t>Values superscripted with the same letter within a column are not significantly different according to the post hoc t-test (p &lt; 0.05).</w:t>
      </w:r>
    </w:p>
    <w:p w14:paraId="2D2ACC3F" w14:textId="7EC998BB" w:rsidR="00A44663" w:rsidRPr="002F46E3" w:rsidRDefault="00A44663" w:rsidP="00A44663">
      <w:pPr>
        <w:pStyle w:val="CETBodytext"/>
      </w:pPr>
      <w:r w:rsidRPr="002F46E3">
        <w:t xml:space="preserve">MDA levels were significantly lower in treated mandarins, where </w:t>
      </w:r>
      <w:proofErr w:type="spellStart"/>
      <w:r w:rsidRPr="002F46E3">
        <w:t>Phe</w:t>
      </w:r>
      <w:proofErr w:type="spellEnd"/>
      <w:r w:rsidRPr="002F46E3">
        <w:t xml:space="preserve"> and Chitosan</w:t>
      </w:r>
      <w:r w:rsidR="00872B4F" w:rsidRPr="002F46E3">
        <w:t xml:space="preserve"> treatments</w:t>
      </w:r>
      <w:r w:rsidRPr="002F46E3">
        <w:t xml:space="preserve"> ha</w:t>
      </w:r>
      <w:r w:rsidR="00964B90">
        <w:t>d</w:t>
      </w:r>
      <w:r w:rsidRPr="002F46E3">
        <w:t xml:space="preserve"> the </w:t>
      </w:r>
      <w:r w:rsidR="00872B4F" w:rsidRPr="002F46E3">
        <w:t xml:space="preserve">most pronounced effect, </w:t>
      </w:r>
      <w:proofErr w:type="gramStart"/>
      <w:r w:rsidR="00927242" w:rsidRPr="002F46E3">
        <w:t>s</w:t>
      </w:r>
      <w:r w:rsidR="00452C61" w:rsidRPr="002F46E3">
        <w:t xml:space="preserve">imilar </w:t>
      </w:r>
      <w:r w:rsidR="00806500" w:rsidRPr="002F46E3">
        <w:t>to</w:t>
      </w:r>
      <w:proofErr w:type="gramEnd"/>
      <w:r w:rsidR="00452C61" w:rsidRPr="002F46E3">
        <w:t xml:space="preserve"> </w:t>
      </w:r>
      <w:r w:rsidR="00872B4F" w:rsidRPr="002F46E3">
        <w:t xml:space="preserve">findings by </w:t>
      </w:r>
      <w:r w:rsidR="00452C61" w:rsidRPr="002F46E3">
        <w:t xml:space="preserve">Gao et al. (2018). </w:t>
      </w:r>
      <w:r w:rsidR="00872B4F" w:rsidRPr="002F46E3">
        <w:t xml:space="preserve">Additionally, </w:t>
      </w:r>
      <w:proofErr w:type="spellStart"/>
      <w:r w:rsidR="005C0A17" w:rsidRPr="002F46E3">
        <w:t>Phe</w:t>
      </w:r>
      <w:proofErr w:type="spellEnd"/>
      <w:r w:rsidR="005C0A17" w:rsidRPr="002F46E3">
        <w:t xml:space="preserve"> treatment </w:t>
      </w:r>
      <w:r w:rsidR="00872B4F" w:rsidRPr="002F46E3">
        <w:t xml:space="preserve">has been shown to </w:t>
      </w:r>
      <w:r w:rsidR="005C0A17" w:rsidRPr="002F46E3">
        <w:t xml:space="preserve">decrease MDA content in ‘Jinfeng’ pear fruit during </w:t>
      </w:r>
      <w:r w:rsidR="00872B4F" w:rsidRPr="002F46E3">
        <w:t xml:space="preserve">storage at room temperature for </w:t>
      </w:r>
      <w:r w:rsidR="005C0A17" w:rsidRPr="002F46E3">
        <w:t>0</w:t>
      </w:r>
      <w:r w:rsidR="00872B4F" w:rsidRPr="002F46E3">
        <w:t>-</w:t>
      </w:r>
      <w:r w:rsidR="005C0A17" w:rsidRPr="002F46E3">
        <w:t xml:space="preserve">10 days </w:t>
      </w:r>
      <w:r w:rsidR="00476101" w:rsidRPr="002F46E3">
        <w:t>(Wang et al., 2023)</w:t>
      </w:r>
      <w:r w:rsidR="005C0A17" w:rsidRPr="002F46E3">
        <w:t xml:space="preserve">. </w:t>
      </w:r>
      <w:r w:rsidRPr="002F46E3">
        <w:t>As fruit</w:t>
      </w:r>
      <w:r w:rsidR="00872B4F" w:rsidRPr="002F46E3">
        <w:t>s</w:t>
      </w:r>
      <w:r w:rsidRPr="002F46E3">
        <w:t xml:space="preserve"> age </w:t>
      </w:r>
      <w:r w:rsidR="00872B4F" w:rsidRPr="002F46E3">
        <w:t xml:space="preserve">during </w:t>
      </w:r>
      <w:r w:rsidRPr="002F46E3">
        <w:t>storage</w:t>
      </w:r>
      <w:r w:rsidR="007F7403" w:rsidRPr="002F46E3">
        <w:t>,</w:t>
      </w:r>
      <w:r w:rsidRPr="002F46E3">
        <w:t xml:space="preserve"> membrane lipid oxidation increases</w:t>
      </w:r>
      <w:r w:rsidR="00452C61" w:rsidRPr="002F46E3">
        <w:t>.</w:t>
      </w:r>
      <w:r w:rsidR="005C0A17" w:rsidRPr="002F46E3">
        <w:t xml:space="preserve"> </w:t>
      </w:r>
      <w:r w:rsidR="00452C61" w:rsidRPr="002F46E3">
        <w:t xml:space="preserve">Overall, </w:t>
      </w:r>
      <w:r w:rsidRPr="002F46E3">
        <w:t xml:space="preserve">ECs </w:t>
      </w:r>
      <w:r w:rsidR="00872B4F" w:rsidRPr="002F46E3">
        <w:t xml:space="preserve">effectively </w:t>
      </w:r>
      <w:r w:rsidRPr="002F46E3">
        <w:t>delay</w:t>
      </w:r>
      <w:r w:rsidR="00872B4F" w:rsidRPr="002F46E3">
        <w:t>ed</w:t>
      </w:r>
      <w:r w:rsidRPr="002F46E3">
        <w:t xml:space="preserve"> fruit senescence </w:t>
      </w:r>
      <w:r w:rsidR="00872B4F" w:rsidRPr="002F46E3">
        <w:t xml:space="preserve">by </w:t>
      </w:r>
      <w:r w:rsidRPr="002F46E3">
        <w:t>reducing membrane lipid peroxidation.</w:t>
      </w:r>
      <w:r w:rsidR="00452C61" w:rsidRPr="002F46E3">
        <w:t xml:space="preserve"> </w:t>
      </w:r>
    </w:p>
    <w:p w14:paraId="68D26B83" w14:textId="67ADCBFC" w:rsidR="00600535" w:rsidRPr="002F46E3" w:rsidRDefault="003A38FA" w:rsidP="003A38FA">
      <w:pPr>
        <w:pStyle w:val="CETHeading1"/>
        <w:numPr>
          <w:ilvl w:val="1"/>
          <w:numId w:val="23"/>
        </w:numPr>
        <w:rPr>
          <w:lang w:val="en-GB"/>
        </w:rPr>
      </w:pPr>
      <w:r w:rsidRPr="002F46E3">
        <w:rPr>
          <w:lang w:val="en-GB"/>
        </w:rPr>
        <w:t>Conclusions</w:t>
      </w:r>
    </w:p>
    <w:p w14:paraId="2392AB01" w14:textId="163DD885" w:rsidR="00433BA6" w:rsidRPr="002F46E3" w:rsidRDefault="00131884" w:rsidP="00600535">
      <w:pPr>
        <w:pStyle w:val="CETBodytext"/>
        <w:rPr>
          <w:lang w:val="en-GB"/>
        </w:rPr>
      </w:pPr>
      <w:r w:rsidRPr="002F46E3">
        <w:rPr>
          <w:lang w:val="en-GB"/>
        </w:rPr>
        <w:t>The f</w:t>
      </w:r>
      <w:r w:rsidR="002A4EFF" w:rsidRPr="002F46E3">
        <w:rPr>
          <w:lang w:val="en-GB"/>
        </w:rPr>
        <w:t xml:space="preserve">indings </w:t>
      </w:r>
      <w:r w:rsidRPr="002F46E3">
        <w:rPr>
          <w:lang w:val="en-GB"/>
        </w:rPr>
        <w:t xml:space="preserve">of this </w:t>
      </w:r>
      <w:r w:rsidR="00872B4F" w:rsidRPr="002F46E3">
        <w:rPr>
          <w:lang w:val="en-GB"/>
        </w:rPr>
        <w:t xml:space="preserve">study </w:t>
      </w:r>
      <w:r w:rsidR="002A4EFF" w:rsidRPr="002F46E3">
        <w:rPr>
          <w:lang w:val="en-GB"/>
        </w:rPr>
        <w:t xml:space="preserve">highlight the potential of </w:t>
      </w:r>
      <w:r w:rsidR="00872B4F" w:rsidRPr="002F46E3">
        <w:rPr>
          <w:lang w:val="en-GB"/>
        </w:rPr>
        <w:t xml:space="preserve">phenylalanine </w:t>
      </w:r>
      <w:r w:rsidR="002A4EFF" w:rsidRPr="002F46E3">
        <w:rPr>
          <w:lang w:val="en-GB"/>
        </w:rPr>
        <w:t xml:space="preserve">and </w:t>
      </w:r>
      <w:r w:rsidR="00872B4F" w:rsidRPr="002F46E3">
        <w:rPr>
          <w:lang w:val="en-GB"/>
        </w:rPr>
        <w:t>chitosan</w:t>
      </w:r>
      <w:r w:rsidR="002A4EFF" w:rsidRPr="002F46E3">
        <w:rPr>
          <w:lang w:val="en-GB"/>
        </w:rPr>
        <w:t>-based coatings in maintaining fruit quality by enhancing the bioactive profile, antioxidant activity and enzymatic regulation of mandarins. P</w:t>
      </w:r>
      <w:r w:rsidR="00770350" w:rsidRPr="002F46E3">
        <w:rPr>
          <w:lang w:val="en-GB"/>
        </w:rPr>
        <w:t>revious</w:t>
      </w:r>
      <w:r w:rsidR="00872B4F" w:rsidRPr="002F46E3">
        <w:rPr>
          <w:lang w:val="en-GB"/>
        </w:rPr>
        <w:t xml:space="preserve"> research</w:t>
      </w:r>
      <w:r w:rsidR="00770350" w:rsidRPr="002F46E3">
        <w:rPr>
          <w:lang w:val="en-GB"/>
        </w:rPr>
        <w:t xml:space="preserve"> </w:t>
      </w:r>
      <w:r w:rsidR="00872B4F" w:rsidRPr="002F46E3">
        <w:rPr>
          <w:lang w:val="en-GB"/>
        </w:rPr>
        <w:t xml:space="preserve">has shown that phenylalanine can </w:t>
      </w:r>
      <w:r w:rsidR="00770350" w:rsidRPr="002F46E3">
        <w:rPr>
          <w:lang w:val="en-GB"/>
        </w:rPr>
        <w:t>stimul</w:t>
      </w:r>
      <w:r w:rsidR="00872B4F" w:rsidRPr="002F46E3">
        <w:rPr>
          <w:lang w:val="en-GB"/>
        </w:rPr>
        <w:t>ate</w:t>
      </w:r>
      <w:r w:rsidR="00770350" w:rsidRPr="002F46E3">
        <w:rPr>
          <w:lang w:val="en-GB"/>
        </w:rPr>
        <w:t xml:space="preserve"> mandarin fruit </w:t>
      </w:r>
      <w:proofErr w:type="spellStart"/>
      <w:r w:rsidR="00770350" w:rsidRPr="002F46E3">
        <w:rPr>
          <w:lang w:val="en-GB"/>
        </w:rPr>
        <w:t>defense</w:t>
      </w:r>
      <w:proofErr w:type="spellEnd"/>
      <w:r w:rsidR="00770350" w:rsidRPr="002F46E3">
        <w:rPr>
          <w:lang w:val="en-GB"/>
        </w:rPr>
        <w:t xml:space="preserve"> against pathogens, and </w:t>
      </w:r>
      <w:r w:rsidR="00872B4F" w:rsidRPr="002F46E3">
        <w:rPr>
          <w:lang w:val="en-GB"/>
        </w:rPr>
        <w:t xml:space="preserve">the </w:t>
      </w:r>
      <w:r w:rsidR="00770350" w:rsidRPr="002F46E3">
        <w:rPr>
          <w:lang w:val="en-GB"/>
        </w:rPr>
        <w:t xml:space="preserve">results </w:t>
      </w:r>
      <w:r w:rsidR="00872B4F" w:rsidRPr="002F46E3">
        <w:rPr>
          <w:lang w:val="en-GB"/>
        </w:rPr>
        <w:t xml:space="preserve">of </w:t>
      </w:r>
      <w:r w:rsidR="00770350" w:rsidRPr="002F46E3">
        <w:rPr>
          <w:lang w:val="en-GB"/>
        </w:rPr>
        <w:t xml:space="preserve">this work </w:t>
      </w:r>
      <w:r w:rsidR="002A4EFF" w:rsidRPr="002F46E3">
        <w:rPr>
          <w:lang w:val="en-GB"/>
        </w:rPr>
        <w:t xml:space="preserve">reveal </w:t>
      </w:r>
      <w:r w:rsidR="00872B4F" w:rsidRPr="002F46E3">
        <w:rPr>
          <w:lang w:val="en-GB"/>
        </w:rPr>
        <w:t xml:space="preserve">the </w:t>
      </w:r>
      <w:r w:rsidR="002A4EFF" w:rsidRPr="002F46E3">
        <w:rPr>
          <w:lang w:val="en-GB"/>
        </w:rPr>
        <w:t>complexity</w:t>
      </w:r>
      <w:r w:rsidRPr="002F46E3">
        <w:rPr>
          <w:lang w:val="en-GB"/>
        </w:rPr>
        <w:t xml:space="preserve"> </w:t>
      </w:r>
      <w:r w:rsidR="00872B4F" w:rsidRPr="002F46E3">
        <w:rPr>
          <w:lang w:val="en-GB"/>
        </w:rPr>
        <w:t xml:space="preserve">of these interactions, indicating the need for </w:t>
      </w:r>
      <w:r w:rsidR="002F46E3" w:rsidRPr="002F46E3">
        <w:rPr>
          <w:lang w:val="en-GB"/>
        </w:rPr>
        <w:t xml:space="preserve">further </w:t>
      </w:r>
      <w:r w:rsidRPr="002F46E3">
        <w:rPr>
          <w:lang w:val="en-GB"/>
        </w:rPr>
        <w:t>research</w:t>
      </w:r>
      <w:r w:rsidR="00770350" w:rsidRPr="002F46E3">
        <w:rPr>
          <w:lang w:val="en-GB"/>
        </w:rPr>
        <w:t xml:space="preserve">. </w:t>
      </w:r>
      <w:r w:rsidRPr="002F46E3">
        <w:rPr>
          <w:lang w:val="en-GB"/>
        </w:rPr>
        <w:t xml:space="preserve">Nevertheless, </w:t>
      </w:r>
      <w:r w:rsidR="002F46E3" w:rsidRPr="002F46E3">
        <w:rPr>
          <w:lang w:val="en-GB"/>
        </w:rPr>
        <w:t>phenylalanine</w:t>
      </w:r>
      <w:r w:rsidR="00D30C8B" w:rsidRPr="002F46E3">
        <w:rPr>
          <w:lang w:val="en-GB"/>
        </w:rPr>
        <w:t>,</w:t>
      </w:r>
      <w:r w:rsidR="00770350" w:rsidRPr="002F46E3">
        <w:rPr>
          <w:lang w:val="en-GB"/>
        </w:rPr>
        <w:t xml:space="preserve"> </w:t>
      </w:r>
      <w:r w:rsidR="002F46E3" w:rsidRPr="002F46E3">
        <w:rPr>
          <w:lang w:val="en-GB"/>
        </w:rPr>
        <w:t>c</w:t>
      </w:r>
      <w:r w:rsidR="00770350" w:rsidRPr="002F46E3">
        <w:rPr>
          <w:lang w:val="en-GB"/>
        </w:rPr>
        <w:t>hitosan</w:t>
      </w:r>
      <w:r w:rsidR="002F46E3" w:rsidRPr="002F46E3">
        <w:rPr>
          <w:lang w:val="en-GB"/>
        </w:rPr>
        <w:t>,</w:t>
      </w:r>
      <w:r w:rsidR="00D30C8B" w:rsidRPr="002F46E3">
        <w:rPr>
          <w:lang w:val="en-GB"/>
        </w:rPr>
        <w:t xml:space="preserve"> </w:t>
      </w:r>
      <w:r w:rsidR="00770350" w:rsidRPr="002F46E3">
        <w:rPr>
          <w:lang w:val="en-GB"/>
        </w:rPr>
        <w:t xml:space="preserve">or their combination </w:t>
      </w:r>
      <w:r w:rsidR="002F46E3" w:rsidRPr="002F46E3">
        <w:rPr>
          <w:lang w:val="en-GB"/>
        </w:rPr>
        <w:t xml:space="preserve">significantly impacted </w:t>
      </w:r>
      <w:r w:rsidR="00770350" w:rsidRPr="002F46E3">
        <w:rPr>
          <w:lang w:val="en-GB"/>
        </w:rPr>
        <w:t>the biochemical composition of mandarin</w:t>
      </w:r>
      <w:r w:rsidR="00D30C8B" w:rsidRPr="002F46E3">
        <w:rPr>
          <w:lang w:val="en-GB"/>
        </w:rPr>
        <w:t>s</w:t>
      </w:r>
      <w:r w:rsidR="002F46E3" w:rsidRPr="002F46E3">
        <w:rPr>
          <w:lang w:val="en-GB"/>
        </w:rPr>
        <w:t>,</w:t>
      </w:r>
      <w:r w:rsidR="00D30C8B" w:rsidRPr="002F46E3">
        <w:rPr>
          <w:lang w:val="en-GB"/>
        </w:rPr>
        <w:t xml:space="preserve"> </w:t>
      </w:r>
      <w:r w:rsidR="00770350" w:rsidRPr="002F46E3">
        <w:rPr>
          <w:lang w:val="en-GB"/>
        </w:rPr>
        <w:t xml:space="preserve">improving </w:t>
      </w:r>
      <w:r w:rsidR="00D30C8B" w:rsidRPr="002F46E3">
        <w:rPr>
          <w:lang w:val="en-GB"/>
        </w:rPr>
        <w:t xml:space="preserve">overall </w:t>
      </w:r>
      <w:r w:rsidR="00770350" w:rsidRPr="002F46E3">
        <w:rPr>
          <w:lang w:val="en-GB"/>
        </w:rPr>
        <w:t>fruit quality</w:t>
      </w:r>
      <w:r w:rsidR="002F46E3" w:rsidRPr="002F46E3">
        <w:rPr>
          <w:lang w:val="en-GB"/>
        </w:rPr>
        <w:t>.</w:t>
      </w:r>
      <w:r w:rsidR="00D30C8B" w:rsidRPr="002F46E3">
        <w:rPr>
          <w:lang w:val="en-GB"/>
        </w:rPr>
        <w:t xml:space="preserve"> </w:t>
      </w:r>
      <w:r w:rsidRPr="002F46E3">
        <w:rPr>
          <w:lang w:val="en-GB"/>
        </w:rPr>
        <w:t>C</w:t>
      </w:r>
      <w:r w:rsidR="00D30C8B" w:rsidRPr="002F46E3">
        <w:rPr>
          <w:lang w:val="en-GB"/>
        </w:rPr>
        <w:t xml:space="preserve">hitosan </w:t>
      </w:r>
      <w:r w:rsidR="002F46E3" w:rsidRPr="002F46E3">
        <w:rPr>
          <w:lang w:val="en-GB"/>
        </w:rPr>
        <w:t xml:space="preserve">also enhanced </w:t>
      </w:r>
      <w:r w:rsidR="00D30C8B" w:rsidRPr="002F46E3">
        <w:rPr>
          <w:lang w:val="en-GB"/>
        </w:rPr>
        <w:t>important sensory qualit</w:t>
      </w:r>
      <w:r w:rsidR="002F46E3" w:rsidRPr="002F46E3">
        <w:rPr>
          <w:lang w:val="en-GB"/>
        </w:rPr>
        <w:t xml:space="preserve">ies, such as </w:t>
      </w:r>
      <w:r w:rsidR="00D30C8B" w:rsidRPr="002F46E3">
        <w:rPr>
          <w:lang w:val="en-GB"/>
        </w:rPr>
        <w:t>glossiness</w:t>
      </w:r>
      <w:r w:rsidR="002F46E3" w:rsidRPr="002F46E3">
        <w:rPr>
          <w:lang w:val="en-GB"/>
        </w:rPr>
        <w:t>,</w:t>
      </w:r>
      <w:r w:rsidR="00770350" w:rsidRPr="002F46E3">
        <w:rPr>
          <w:lang w:val="en-GB"/>
        </w:rPr>
        <w:t xml:space="preserve"> </w:t>
      </w:r>
      <w:r w:rsidR="002F46E3" w:rsidRPr="002F46E3">
        <w:rPr>
          <w:lang w:val="en-GB"/>
        </w:rPr>
        <w:t>bringing the produce closer to meeting consumer expectations for</w:t>
      </w:r>
      <w:r w:rsidR="002F46E3" w:rsidRPr="002F46E3" w:rsidDel="002F46E3">
        <w:rPr>
          <w:lang w:val="en-GB"/>
        </w:rPr>
        <w:t xml:space="preserve"> </w:t>
      </w:r>
      <w:r w:rsidR="00D30C8B" w:rsidRPr="002F46E3">
        <w:rPr>
          <w:lang w:val="en-GB"/>
        </w:rPr>
        <w:t>vibrant</w:t>
      </w:r>
      <w:r w:rsidR="002F46E3" w:rsidRPr="002F46E3">
        <w:rPr>
          <w:lang w:val="en-GB"/>
        </w:rPr>
        <w:t xml:space="preserve">, </w:t>
      </w:r>
      <w:r w:rsidR="00770350" w:rsidRPr="002F46E3">
        <w:rPr>
          <w:lang w:val="en-GB"/>
        </w:rPr>
        <w:t>healthier</w:t>
      </w:r>
      <w:r w:rsidR="00D30C8B" w:rsidRPr="002F46E3">
        <w:rPr>
          <w:lang w:val="en-GB"/>
        </w:rPr>
        <w:t xml:space="preserve"> and </w:t>
      </w:r>
      <w:r w:rsidR="00770350" w:rsidRPr="002F46E3">
        <w:rPr>
          <w:lang w:val="en-GB"/>
        </w:rPr>
        <w:t>longer-lasting produc</w:t>
      </w:r>
      <w:r w:rsidR="002F46E3" w:rsidRPr="002F46E3">
        <w:rPr>
          <w:lang w:val="en-GB"/>
        </w:rPr>
        <w:t>ts</w:t>
      </w:r>
      <w:r w:rsidR="00770350" w:rsidRPr="002F46E3">
        <w:rPr>
          <w:lang w:val="en-GB"/>
        </w:rPr>
        <w:t xml:space="preserve">. </w:t>
      </w:r>
      <w:r w:rsidR="002F46E3" w:rsidRPr="002F46E3">
        <w:rPr>
          <w:lang w:val="en-GB"/>
        </w:rPr>
        <w:t xml:space="preserve">However, a limitation of </w:t>
      </w:r>
      <w:r w:rsidR="0091576E" w:rsidRPr="002F46E3">
        <w:rPr>
          <w:lang w:val="en-GB"/>
        </w:rPr>
        <w:t xml:space="preserve">this </w:t>
      </w:r>
      <w:r w:rsidR="002F46E3" w:rsidRPr="002F46E3">
        <w:rPr>
          <w:lang w:val="en-GB"/>
        </w:rPr>
        <w:t xml:space="preserve">study </w:t>
      </w:r>
      <w:r w:rsidR="0091576E" w:rsidRPr="002F46E3">
        <w:rPr>
          <w:lang w:val="en-GB"/>
        </w:rPr>
        <w:t xml:space="preserve">was the </w:t>
      </w:r>
      <w:r w:rsidR="002F46E3" w:rsidRPr="002F46E3">
        <w:rPr>
          <w:lang w:val="en-GB"/>
        </w:rPr>
        <w:t xml:space="preserve">relatively </w:t>
      </w:r>
      <w:r w:rsidR="0091576E" w:rsidRPr="002F46E3">
        <w:rPr>
          <w:lang w:val="en-GB"/>
        </w:rPr>
        <w:t>short storage period. Chitosan and Chitosan/</w:t>
      </w:r>
      <w:proofErr w:type="spellStart"/>
      <w:r w:rsidR="0091576E" w:rsidRPr="002F46E3">
        <w:rPr>
          <w:lang w:val="en-GB"/>
        </w:rPr>
        <w:t>Phe</w:t>
      </w:r>
      <w:proofErr w:type="spellEnd"/>
      <w:r w:rsidR="0091576E" w:rsidRPr="002F46E3">
        <w:rPr>
          <w:lang w:val="en-GB"/>
        </w:rPr>
        <w:t xml:space="preserve"> coatings might have </w:t>
      </w:r>
      <w:r w:rsidRPr="002F46E3">
        <w:rPr>
          <w:lang w:val="en-GB"/>
        </w:rPr>
        <w:t xml:space="preserve">a </w:t>
      </w:r>
      <w:r w:rsidR="0091576E" w:rsidRPr="002F46E3">
        <w:rPr>
          <w:lang w:val="en-GB"/>
        </w:rPr>
        <w:t xml:space="preserve">more </w:t>
      </w:r>
      <w:r w:rsidR="002F46E3" w:rsidRPr="002F46E3">
        <w:rPr>
          <w:lang w:val="en-GB"/>
        </w:rPr>
        <w:t xml:space="preserve">pronounced effect </w:t>
      </w:r>
      <w:r w:rsidR="0091576E" w:rsidRPr="002F46E3">
        <w:rPr>
          <w:lang w:val="en-GB"/>
        </w:rPr>
        <w:t xml:space="preserve">on organic acids during </w:t>
      </w:r>
      <w:r w:rsidR="002F46E3" w:rsidRPr="002F46E3">
        <w:rPr>
          <w:lang w:val="en-GB"/>
        </w:rPr>
        <w:t xml:space="preserve">extended </w:t>
      </w:r>
      <w:r w:rsidR="0091576E" w:rsidRPr="002F46E3">
        <w:rPr>
          <w:lang w:val="en-GB"/>
        </w:rPr>
        <w:t xml:space="preserve">storage. </w:t>
      </w:r>
      <w:r w:rsidR="002F46E3" w:rsidRPr="002F46E3">
        <w:rPr>
          <w:lang w:val="en-GB"/>
        </w:rPr>
        <w:t>D</w:t>
      </w:r>
      <w:r w:rsidR="00770350" w:rsidRPr="002F46E3">
        <w:rPr>
          <w:lang w:val="en-GB"/>
        </w:rPr>
        <w:t>evelop</w:t>
      </w:r>
      <w:r w:rsidR="002F46E3" w:rsidRPr="002F46E3">
        <w:rPr>
          <w:lang w:val="en-GB"/>
        </w:rPr>
        <w:t>ing</w:t>
      </w:r>
      <w:r w:rsidR="00D30C8B" w:rsidRPr="002F46E3">
        <w:rPr>
          <w:lang w:val="en-GB"/>
        </w:rPr>
        <w:t xml:space="preserve"> blends </w:t>
      </w:r>
      <w:r w:rsidR="002F46E3" w:rsidRPr="002F46E3">
        <w:rPr>
          <w:lang w:val="en-GB"/>
        </w:rPr>
        <w:t xml:space="preserve">of </w:t>
      </w:r>
      <w:r w:rsidR="00D30C8B" w:rsidRPr="002F46E3">
        <w:rPr>
          <w:lang w:val="en-GB"/>
        </w:rPr>
        <w:t>ECs</w:t>
      </w:r>
      <w:r w:rsidR="002F46E3" w:rsidRPr="002F46E3">
        <w:rPr>
          <w:lang w:val="en-GB"/>
        </w:rPr>
        <w:t xml:space="preserve"> and </w:t>
      </w:r>
      <w:r w:rsidR="00D30C8B" w:rsidRPr="002F46E3">
        <w:rPr>
          <w:lang w:val="en-GB"/>
        </w:rPr>
        <w:t>active ingredients</w:t>
      </w:r>
      <w:r w:rsidR="00770350" w:rsidRPr="002F46E3">
        <w:rPr>
          <w:lang w:val="en-GB"/>
        </w:rPr>
        <w:t xml:space="preserve"> that allow </w:t>
      </w:r>
      <w:r w:rsidR="002F46E3" w:rsidRPr="002F46E3">
        <w:rPr>
          <w:lang w:val="en-GB"/>
        </w:rPr>
        <w:t xml:space="preserve">a </w:t>
      </w:r>
      <w:r w:rsidR="00770350" w:rsidRPr="002F46E3">
        <w:rPr>
          <w:lang w:val="en-GB"/>
        </w:rPr>
        <w:t xml:space="preserve">slowed release of </w:t>
      </w:r>
      <w:r w:rsidR="00D30C8B" w:rsidRPr="002F46E3">
        <w:rPr>
          <w:lang w:val="en-GB"/>
        </w:rPr>
        <w:t>components</w:t>
      </w:r>
      <w:r w:rsidR="002F46E3" w:rsidRPr="002F46E3">
        <w:rPr>
          <w:lang w:val="en-GB"/>
        </w:rPr>
        <w:t>, such as p</w:t>
      </w:r>
      <w:r w:rsidR="00770350" w:rsidRPr="002F46E3">
        <w:rPr>
          <w:lang w:val="en-GB"/>
        </w:rPr>
        <w:t>he</w:t>
      </w:r>
      <w:r w:rsidR="002F46E3" w:rsidRPr="002F46E3">
        <w:rPr>
          <w:lang w:val="en-GB"/>
        </w:rPr>
        <w:t xml:space="preserve">nylalanine, </w:t>
      </w:r>
      <w:r w:rsidR="00770350" w:rsidRPr="002F46E3">
        <w:rPr>
          <w:lang w:val="en-GB"/>
        </w:rPr>
        <w:t>over time</w:t>
      </w:r>
      <w:r w:rsidR="00D30C8B" w:rsidRPr="002F46E3">
        <w:rPr>
          <w:lang w:val="en-GB"/>
        </w:rPr>
        <w:t xml:space="preserve"> is </w:t>
      </w:r>
      <w:r w:rsidR="002F46E3" w:rsidRPr="002F46E3">
        <w:rPr>
          <w:lang w:val="en-GB"/>
        </w:rPr>
        <w:t>crucial</w:t>
      </w:r>
      <w:r w:rsidR="00D30C8B" w:rsidRPr="002F46E3">
        <w:rPr>
          <w:lang w:val="en-GB"/>
        </w:rPr>
        <w:t xml:space="preserve">. This would </w:t>
      </w:r>
      <w:r w:rsidR="002F46E3" w:rsidRPr="002F46E3">
        <w:rPr>
          <w:lang w:val="en-GB"/>
        </w:rPr>
        <w:t xml:space="preserve">enable </w:t>
      </w:r>
      <w:r w:rsidR="008C1D8B" w:rsidRPr="002F46E3">
        <w:rPr>
          <w:lang w:val="en-GB"/>
        </w:rPr>
        <w:t xml:space="preserve">a </w:t>
      </w:r>
      <w:r w:rsidR="00770350" w:rsidRPr="002F46E3">
        <w:rPr>
          <w:lang w:val="en-GB"/>
        </w:rPr>
        <w:t>continuous</w:t>
      </w:r>
      <w:r w:rsidR="00D30C8B" w:rsidRPr="002F46E3">
        <w:rPr>
          <w:lang w:val="en-GB"/>
        </w:rPr>
        <w:t xml:space="preserve"> supply of stimulants while </w:t>
      </w:r>
      <w:r w:rsidR="002F46E3" w:rsidRPr="002F46E3">
        <w:rPr>
          <w:lang w:val="en-GB"/>
        </w:rPr>
        <w:t xml:space="preserve">maintaining </w:t>
      </w:r>
      <w:r w:rsidRPr="002F46E3">
        <w:rPr>
          <w:lang w:val="en-GB"/>
        </w:rPr>
        <w:t xml:space="preserve">the </w:t>
      </w:r>
      <w:r w:rsidR="00770350" w:rsidRPr="002F46E3">
        <w:rPr>
          <w:lang w:val="en-GB"/>
        </w:rPr>
        <w:t>effective</w:t>
      </w:r>
      <w:r w:rsidR="00D30C8B" w:rsidRPr="002F46E3">
        <w:rPr>
          <w:lang w:val="en-GB"/>
        </w:rPr>
        <w:t>ness</w:t>
      </w:r>
      <w:r w:rsidR="00770350" w:rsidRPr="002F46E3">
        <w:rPr>
          <w:lang w:val="en-GB"/>
        </w:rPr>
        <w:t xml:space="preserve"> </w:t>
      </w:r>
      <w:r w:rsidRPr="002F46E3">
        <w:rPr>
          <w:lang w:val="en-GB"/>
        </w:rPr>
        <w:t xml:space="preserve">of ECs </w:t>
      </w:r>
      <w:r w:rsidR="00770350" w:rsidRPr="002F46E3">
        <w:rPr>
          <w:lang w:val="en-GB"/>
        </w:rPr>
        <w:t>in retaining moisture</w:t>
      </w:r>
      <w:r w:rsidR="002F46E3" w:rsidRPr="002F46E3">
        <w:rPr>
          <w:lang w:val="en-GB"/>
        </w:rPr>
        <w:t xml:space="preserve">, regulating </w:t>
      </w:r>
      <w:r w:rsidR="00770350" w:rsidRPr="002F46E3">
        <w:rPr>
          <w:lang w:val="en-GB"/>
        </w:rPr>
        <w:t>gas exchange</w:t>
      </w:r>
      <w:r w:rsidR="002F46E3" w:rsidRPr="002F46E3">
        <w:rPr>
          <w:lang w:val="en-GB"/>
        </w:rPr>
        <w:t>,</w:t>
      </w:r>
      <w:r w:rsidR="00770350" w:rsidRPr="002F46E3">
        <w:rPr>
          <w:lang w:val="en-GB"/>
        </w:rPr>
        <w:t xml:space="preserve"> and </w:t>
      </w:r>
      <w:r w:rsidR="00D30C8B" w:rsidRPr="002F46E3">
        <w:rPr>
          <w:lang w:val="en-GB"/>
        </w:rPr>
        <w:t>ultimately</w:t>
      </w:r>
      <w:r w:rsidR="00770350" w:rsidRPr="002F46E3">
        <w:rPr>
          <w:lang w:val="en-GB"/>
        </w:rPr>
        <w:t xml:space="preserve"> </w:t>
      </w:r>
      <w:r w:rsidR="002F46E3" w:rsidRPr="002F46E3">
        <w:rPr>
          <w:lang w:val="en-GB"/>
        </w:rPr>
        <w:t xml:space="preserve">preserving fruit </w:t>
      </w:r>
      <w:r w:rsidR="00770350" w:rsidRPr="002F46E3">
        <w:rPr>
          <w:lang w:val="en-GB"/>
        </w:rPr>
        <w:t>quality.</w:t>
      </w:r>
    </w:p>
    <w:p w14:paraId="459D05E6" w14:textId="77777777" w:rsidR="00600535" w:rsidRPr="002F46E3" w:rsidRDefault="00600535" w:rsidP="00600535">
      <w:pPr>
        <w:pStyle w:val="CETAcknowledgementstitle"/>
      </w:pPr>
      <w:r w:rsidRPr="002F46E3">
        <w:t>Acknowledgments</w:t>
      </w:r>
    </w:p>
    <w:p w14:paraId="50FA4524" w14:textId="004C307E" w:rsidR="00A111B8" w:rsidRPr="002F46E3" w:rsidRDefault="00194742" w:rsidP="00600535">
      <w:pPr>
        <w:pStyle w:val="CETBodytext"/>
        <w:rPr>
          <w:lang w:val="en-GB"/>
        </w:rPr>
      </w:pPr>
      <w:r w:rsidRPr="002F46E3">
        <w:rPr>
          <w:lang w:val="en-GB"/>
        </w:rPr>
        <w:t xml:space="preserve">The authors would like to acknowledge the financial support of the Croatian Science Foundation through a project entitled Mandarins from Neretva valley – Chemical characterization and Innovative postharvest </w:t>
      </w:r>
      <w:proofErr w:type="spellStart"/>
      <w:r w:rsidRPr="002F46E3">
        <w:rPr>
          <w:lang w:val="en-GB"/>
        </w:rPr>
        <w:t>TREAtments</w:t>
      </w:r>
      <w:proofErr w:type="spellEnd"/>
      <w:r w:rsidRPr="002F46E3">
        <w:rPr>
          <w:lang w:val="en-GB"/>
        </w:rPr>
        <w:t xml:space="preserve"> (CITREA) (UIP-2020-02-7496). This work was supported in part by the Croatian Science Foundation under the project number HRZZ- MOBODL-2023-12-7716. </w:t>
      </w:r>
      <w:r w:rsidR="00964B90" w:rsidRPr="00964B90">
        <w:rPr>
          <w:lang w:val="en-GB"/>
        </w:rPr>
        <w:t xml:space="preserve">This work was supported by the project </w:t>
      </w:r>
      <w:proofErr w:type="spellStart"/>
      <w:r w:rsidR="00964B90" w:rsidRPr="00964B90">
        <w:rPr>
          <w:lang w:val="en-GB"/>
        </w:rPr>
        <w:t>FarmInova</w:t>
      </w:r>
      <w:proofErr w:type="spellEnd"/>
      <w:r w:rsidR="00964B90" w:rsidRPr="00964B90">
        <w:rPr>
          <w:lang w:val="en-GB"/>
        </w:rPr>
        <w:t xml:space="preserve"> (KK.01.1.1.02.0021) funded by the European Regional Development Fund</w:t>
      </w:r>
      <w:r w:rsidR="00964B90">
        <w:rPr>
          <w:lang w:val="en-GB"/>
        </w:rPr>
        <w:t>.</w:t>
      </w:r>
      <w:r w:rsidR="00460AB6" w:rsidRPr="00460AB6">
        <w:t xml:space="preserve"> </w:t>
      </w:r>
      <w:r w:rsidR="00460AB6" w:rsidRPr="00460AB6">
        <w:rPr>
          <w:lang w:val="en-GB"/>
        </w:rPr>
        <w:t xml:space="preserve">This research was also funded by the </w:t>
      </w:r>
      <w:proofErr w:type="spellStart"/>
      <w:r w:rsidR="00460AB6" w:rsidRPr="00460AB6">
        <w:rPr>
          <w:lang w:val="en-GB"/>
        </w:rPr>
        <w:t>AgriBioPack</w:t>
      </w:r>
      <w:proofErr w:type="spellEnd"/>
      <w:r w:rsidR="00460AB6" w:rsidRPr="00460AB6">
        <w:rPr>
          <w:lang w:val="en-GB"/>
        </w:rPr>
        <w:t xml:space="preserve"> project “</w:t>
      </w:r>
      <w:proofErr w:type="spellStart"/>
      <w:r w:rsidR="00460AB6" w:rsidRPr="00460AB6">
        <w:rPr>
          <w:lang w:val="en-GB"/>
        </w:rPr>
        <w:t>Valorizing</w:t>
      </w:r>
      <w:proofErr w:type="spellEnd"/>
      <w:r w:rsidR="00460AB6" w:rsidRPr="00460AB6">
        <w:rPr>
          <w:lang w:val="en-GB"/>
        </w:rPr>
        <w:t xml:space="preserve"> Agrifood Residues for Bio-based Packaging Solutions”, within the PRIMA call 2023, Section 2, Topic 2.3.1-2023 (RIA).</w:t>
      </w:r>
    </w:p>
    <w:p w14:paraId="4F1327F8" w14:textId="77777777" w:rsidR="00600535" w:rsidRPr="002F46E3" w:rsidRDefault="00600535" w:rsidP="00600535">
      <w:pPr>
        <w:pStyle w:val="CETReference"/>
      </w:pPr>
      <w:r w:rsidRPr="002F46E3">
        <w:t>References</w:t>
      </w:r>
    </w:p>
    <w:p w14:paraId="21787416" w14:textId="77777777" w:rsidR="00A71D0A" w:rsidRPr="002F46E3" w:rsidRDefault="00A71D0A" w:rsidP="00C24AF1">
      <w:pPr>
        <w:pStyle w:val="CETReferencetext"/>
      </w:pPr>
      <w:r w:rsidRPr="002F46E3">
        <w:t xml:space="preserve">Aghaei K., Ghasemi </w:t>
      </w:r>
      <w:proofErr w:type="spellStart"/>
      <w:r w:rsidRPr="002F46E3">
        <w:t>Pirbalouti</w:t>
      </w:r>
      <w:proofErr w:type="spellEnd"/>
      <w:r w:rsidRPr="002F46E3">
        <w:t xml:space="preserve"> A., Mousavi A., Naghdi Badi H., </w:t>
      </w:r>
      <w:proofErr w:type="spellStart"/>
      <w:r w:rsidRPr="002F46E3">
        <w:t>Mehnatkesh</w:t>
      </w:r>
      <w:proofErr w:type="spellEnd"/>
      <w:r w:rsidRPr="002F46E3">
        <w:t xml:space="preserve"> A., 2019, Effects of Foliar Spraying of L-phenylalanine and Application of Bio-fertilizers on Growth, Yield, and Essential oil of Hyssop [</w:t>
      </w:r>
      <w:r w:rsidRPr="002F46E3">
        <w:rPr>
          <w:i/>
          <w:iCs/>
        </w:rPr>
        <w:t>Hyssopus officinalis</w:t>
      </w:r>
      <w:r w:rsidRPr="002F46E3">
        <w:t xml:space="preserve"> L. subsp. </w:t>
      </w:r>
      <w:proofErr w:type="spellStart"/>
      <w:r w:rsidRPr="002F46E3">
        <w:rPr>
          <w:i/>
          <w:iCs/>
        </w:rPr>
        <w:t>Angustifolius</w:t>
      </w:r>
      <w:proofErr w:type="spellEnd"/>
      <w:r w:rsidRPr="002F46E3">
        <w:t xml:space="preserve"> (</w:t>
      </w:r>
      <w:proofErr w:type="spellStart"/>
      <w:r w:rsidRPr="002F46E3">
        <w:t>Bieb</w:t>
      </w:r>
      <w:proofErr w:type="spellEnd"/>
      <w:r w:rsidRPr="002F46E3">
        <w:t>.)], Biocatalysis and Agricultural Biotechnology, 21, e101318.</w:t>
      </w:r>
    </w:p>
    <w:p w14:paraId="250A3DB2" w14:textId="77777777" w:rsidR="00A71D0A" w:rsidRPr="002F46E3" w:rsidRDefault="00A71D0A" w:rsidP="00A71D0A">
      <w:pPr>
        <w:pStyle w:val="CETReferencetext"/>
      </w:pPr>
      <w:r w:rsidRPr="002F46E3">
        <w:t xml:space="preserve">Althaus B., Blanke M., 2021, Development of a Freshness Index for Fruit Quality Assessment—Using Bell Pepper as a Case Study, </w:t>
      </w:r>
      <w:proofErr w:type="spellStart"/>
      <w:r w:rsidRPr="002F46E3">
        <w:t>Horticulturae</w:t>
      </w:r>
      <w:proofErr w:type="spellEnd"/>
      <w:r w:rsidRPr="002F46E3">
        <w:t>, 7, e405.</w:t>
      </w:r>
    </w:p>
    <w:p w14:paraId="14ED9701" w14:textId="77777777" w:rsidR="00A71D0A" w:rsidRPr="002F46E3" w:rsidRDefault="00A71D0A" w:rsidP="007024A5">
      <w:pPr>
        <w:pStyle w:val="CETReferencetext"/>
      </w:pPr>
      <w:r w:rsidRPr="002F46E3">
        <w:lastRenderedPageBreak/>
        <w:t>Brand-Williams W., Cuvelier M.E., Berset C., 1995, Use of a Free Radical Method to Evaluate Antioxidant Activity, LWT – Food Science and Technology, 28, 25–30.</w:t>
      </w:r>
    </w:p>
    <w:p w14:paraId="79C6C3D2" w14:textId="77777777" w:rsidR="00A71D0A" w:rsidRPr="002F46E3" w:rsidRDefault="00A71D0A" w:rsidP="007024A5">
      <w:pPr>
        <w:pStyle w:val="CETReferencetext"/>
      </w:pPr>
      <w:r w:rsidRPr="002F46E3">
        <w:t xml:space="preserve">Chen C., Nie Z., Wan C., Chen J., 2019, Preservation of Xinyu Tangerines with an Edible Coating Using </w:t>
      </w:r>
      <w:r w:rsidRPr="002F46E3">
        <w:rPr>
          <w:i/>
          <w:iCs/>
        </w:rPr>
        <w:t xml:space="preserve">Ficus </w:t>
      </w:r>
      <w:proofErr w:type="spellStart"/>
      <w:r w:rsidRPr="002F46E3">
        <w:rPr>
          <w:i/>
          <w:iCs/>
        </w:rPr>
        <w:t>hirta</w:t>
      </w:r>
      <w:proofErr w:type="spellEnd"/>
      <w:r w:rsidRPr="002F46E3">
        <w:t xml:space="preserve"> Vahl. Fruits Extract-Incorporated Chitosan, Biomolecules, 9, e46.</w:t>
      </w:r>
    </w:p>
    <w:p w14:paraId="595353E9" w14:textId="77777777" w:rsidR="00A71D0A" w:rsidRPr="002F46E3" w:rsidRDefault="00A71D0A" w:rsidP="00C24AF1">
      <w:pPr>
        <w:pStyle w:val="CETReferencetext"/>
      </w:pPr>
      <w:proofErr w:type="spellStart"/>
      <w:r w:rsidRPr="002F46E3">
        <w:t>Eroğul</w:t>
      </w:r>
      <w:proofErr w:type="spellEnd"/>
      <w:r w:rsidRPr="002F46E3">
        <w:t xml:space="preserve"> D., Kibar H., Şen F., Gundogdu M., 2023, Role of Postharvest Oxalic Acid Treatment on Quality Properties, Phenolic Compounds, and Organic Acid Contents of Nectarine Fruits during Cold Storage, </w:t>
      </w:r>
      <w:proofErr w:type="spellStart"/>
      <w:r w:rsidRPr="002F46E3">
        <w:t>Horticulturae</w:t>
      </w:r>
      <w:proofErr w:type="spellEnd"/>
      <w:r w:rsidRPr="002F46E3">
        <w:t>, 9, e1021.</w:t>
      </w:r>
    </w:p>
    <w:p w14:paraId="6CC6FEF6" w14:textId="77777777" w:rsidR="00A71D0A" w:rsidRPr="002F46E3" w:rsidRDefault="00A71D0A" w:rsidP="00C24AF1">
      <w:pPr>
        <w:pStyle w:val="CETReferencetext"/>
      </w:pPr>
      <w:r w:rsidRPr="002F46E3">
        <w:t>Feng S., Niu L., Suh J.H., Hung W.-L., Wang Y., 2018, Comprehensive Metabolomics Analysis of Mandarins (</w:t>
      </w:r>
      <w:r w:rsidRPr="002F46E3">
        <w:rPr>
          <w:i/>
          <w:iCs/>
        </w:rPr>
        <w:t>Citrus reticulata</w:t>
      </w:r>
      <w:r w:rsidRPr="002F46E3">
        <w:t>) as a Tool for Variety, Rootstock, and Grove Discrimination, Journal of Agricultural and Food Chemistry, 66, 10317–10326.</w:t>
      </w:r>
    </w:p>
    <w:p w14:paraId="29302419" w14:textId="77777777" w:rsidR="00A71D0A" w:rsidRPr="002F46E3" w:rsidRDefault="00A71D0A" w:rsidP="00C24AF1">
      <w:pPr>
        <w:pStyle w:val="CETReferencetext"/>
      </w:pPr>
      <w:r w:rsidRPr="002F46E3">
        <w:t xml:space="preserve">Gao Y., Kan C., Chen M., Chen C., Chen Y., Fu Y., Wan C., Chen J., 2018, Effects of Chitosan-Based Coatings Enriched with Cinnamaldehyde on Mandarin Fruit cv. </w:t>
      </w:r>
      <w:proofErr w:type="spellStart"/>
      <w:r w:rsidRPr="002F46E3">
        <w:t>Ponkan</w:t>
      </w:r>
      <w:proofErr w:type="spellEnd"/>
      <w:r w:rsidRPr="002F46E3">
        <w:t xml:space="preserve"> during Room-Temperature Storage, Coatings, 8, e372.</w:t>
      </w:r>
    </w:p>
    <w:p w14:paraId="36E588F5" w14:textId="77777777" w:rsidR="00A71D0A" w:rsidRPr="002F46E3" w:rsidRDefault="00A71D0A" w:rsidP="007024A5">
      <w:pPr>
        <w:pStyle w:val="CETReferencetext"/>
      </w:pPr>
      <w:r w:rsidRPr="002F46E3">
        <w:t xml:space="preserve">Ivanova V., </w:t>
      </w:r>
      <w:proofErr w:type="spellStart"/>
      <w:r w:rsidRPr="002F46E3">
        <w:t>Stefova</w:t>
      </w:r>
      <w:proofErr w:type="spellEnd"/>
      <w:r w:rsidRPr="002F46E3">
        <w:t xml:space="preserve"> M., Chinnici F., 2010, Determination of the Polyphenol Contents in Macedonian Grapes and Wines by Standardized Spectrophotometric Methods, Journal of the Serbian Chemical Society, 75, 45–59.</w:t>
      </w:r>
    </w:p>
    <w:p w14:paraId="1EC3E97C" w14:textId="77777777" w:rsidR="00A71D0A" w:rsidRPr="002F46E3" w:rsidRDefault="00A71D0A" w:rsidP="00C24AF1">
      <w:pPr>
        <w:pStyle w:val="CETReferencetext"/>
      </w:pPr>
      <w:r w:rsidRPr="002F46E3">
        <w:t xml:space="preserve">Jurić S., Bureš M.S., </w:t>
      </w:r>
      <w:proofErr w:type="spellStart"/>
      <w:r w:rsidRPr="002F46E3">
        <w:t>Vlahoviček</w:t>
      </w:r>
      <w:proofErr w:type="spellEnd"/>
      <w:r w:rsidRPr="002F46E3">
        <w:t xml:space="preserve">-Kahlina K., </w:t>
      </w:r>
      <w:proofErr w:type="spellStart"/>
      <w:r w:rsidRPr="002F46E3">
        <w:t>Stracenski</w:t>
      </w:r>
      <w:proofErr w:type="spellEnd"/>
      <w:r w:rsidRPr="002F46E3">
        <w:t xml:space="preserve"> K.S., </w:t>
      </w:r>
      <w:proofErr w:type="spellStart"/>
      <w:r w:rsidRPr="002F46E3">
        <w:t>Fruk</w:t>
      </w:r>
      <w:proofErr w:type="spellEnd"/>
      <w:r w:rsidRPr="002F46E3">
        <w:t xml:space="preserve"> G., </w:t>
      </w:r>
      <w:proofErr w:type="spellStart"/>
      <w:r w:rsidRPr="002F46E3">
        <w:t>Jalšenjak</w:t>
      </w:r>
      <w:proofErr w:type="spellEnd"/>
      <w:r w:rsidRPr="002F46E3">
        <w:t xml:space="preserve"> N., Maslov </w:t>
      </w:r>
      <w:proofErr w:type="spellStart"/>
      <w:r w:rsidRPr="002F46E3">
        <w:t>Bandić</w:t>
      </w:r>
      <w:proofErr w:type="spellEnd"/>
      <w:r w:rsidRPr="002F46E3">
        <w:t xml:space="preserve"> L., 2023, Chitosan-based Layer-by-Layer Edible Coatings Application for the Preservation of Mandarin Fruit Bioactive Compounds and Organic Acids, Food Chemistry X, 17, e100575.</w:t>
      </w:r>
    </w:p>
    <w:p w14:paraId="5CE102A7" w14:textId="77777777" w:rsidR="00A71D0A" w:rsidRPr="002F46E3" w:rsidRDefault="00A71D0A" w:rsidP="00C24AF1">
      <w:pPr>
        <w:pStyle w:val="CETReferencetext"/>
      </w:pPr>
      <w:r w:rsidRPr="002F46E3">
        <w:t>Kim M., Park Y., Yun S.K., Kim S.S., Joa J., Moon Y.-E., Do G.-R., 2022, The Anatomical Differences and Physiological Responses of Sunburned Satsuma Mandarin (</w:t>
      </w:r>
      <w:r w:rsidRPr="002F46E3">
        <w:rPr>
          <w:i/>
          <w:iCs/>
        </w:rPr>
        <w:t xml:space="preserve">Citrus </w:t>
      </w:r>
      <w:proofErr w:type="spellStart"/>
      <w:r w:rsidRPr="002F46E3">
        <w:rPr>
          <w:i/>
          <w:iCs/>
        </w:rPr>
        <w:t>unshiu</w:t>
      </w:r>
      <w:proofErr w:type="spellEnd"/>
      <w:r w:rsidRPr="002F46E3">
        <w:t xml:space="preserve"> Marc.) Fruits, Plants, 11, e1801.</w:t>
      </w:r>
    </w:p>
    <w:p w14:paraId="3F2F9AE2" w14:textId="77777777" w:rsidR="00A71D0A" w:rsidRPr="002F46E3" w:rsidRDefault="00A71D0A" w:rsidP="00C24AF1">
      <w:pPr>
        <w:pStyle w:val="CETReferencetext"/>
      </w:pPr>
      <w:r w:rsidRPr="002F46E3">
        <w:t xml:space="preserve">Kumar Patel M., Maurer D., </w:t>
      </w:r>
      <w:proofErr w:type="spellStart"/>
      <w:r w:rsidRPr="002F46E3">
        <w:t>Feygenberg</w:t>
      </w:r>
      <w:proofErr w:type="spellEnd"/>
      <w:r w:rsidRPr="002F46E3">
        <w:t xml:space="preserve"> O., Ovadia A., Elad Y., Oren-Shamir M., Alkan N., 2020, Phenylalanine: A Promising Inducer of Fruit Resistance to Postharvest Pathogens, Foods, 9, e646.</w:t>
      </w:r>
    </w:p>
    <w:p w14:paraId="20559E41" w14:textId="77777777" w:rsidR="00A71D0A" w:rsidRPr="002F46E3" w:rsidRDefault="00A71D0A" w:rsidP="00C24AF1">
      <w:pPr>
        <w:pStyle w:val="CETReferencetext"/>
      </w:pPr>
      <w:r w:rsidRPr="002F46E3">
        <w:t>Lowry O.H., Rosebrough N.J., Farr A.L., Randall R.J., 1951, Protein Measurement with the Folin Phenol Reagent, Journal of Biological Chemistry, 193, 265–275.</w:t>
      </w:r>
    </w:p>
    <w:p w14:paraId="0FA4E867" w14:textId="77777777" w:rsidR="00A71D0A" w:rsidRPr="002F46E3" w:rsidRDefault="00A71D0A" w:rsidP="00C24AF1">
      <w:pPr>
        <w:pStyle w:val="CETReferencetext"/>
      </w:pPr>
      <w:r w:rsidRPr="002F46E3">
        <w:t>Ma X., Li N., Gu J., Yang L., Hao C., Li Y., Gentile A., Lu X., Ma X., Deng Z., Long G., Sheng L., 2020, Involvement of CsPH8 in Citrate Accumulation Directly Related to Fruit Storage Performance of ‘</w:t>
      </w:r>
      <w:proofErr w:type="spellStart"/>
      <w:r w:rsidRPr="002F46E3">
        <w:t>Bingtang</w:t>
      </w:r>
      <w:proofErr w:type="spellEnd"/>
      <w:r w:rsidRPr="002F46E3">
        <w:t>’ Sweet Orange Mutants, Postharvest Biology and Technology, 170, e111316.</w:t>
      </w:r>
    </w:p>
    <w:p w14:paraId="44746127" w14:textId="77777777" w:rsidR="00A71D0A" w:rsidRPr="002F46E3" w:rsidRDefault="00A71D0A" w:rsidP="007024A5">
      <w:pPr>
        <w:pStyle w:val="CETReferencetext"/>
      </w:pPr>
      <w:r w:rsidRPr="002F46E3">
        <w:t xml:space="preserve">Nour V., Trandafir I., Ionica M.E., 2010, HPLC Organic Acid Analysis in Different Citrus Juices under Reversed Phase Conditions, </w:t>
      </w:r>
      <w:proofErr w:type="spellStart"/>
      <w:r w:rsidRPr="002F46E3">
        <w:t>Notulae</w:t>
      </w:r>
      <w:proofErr w:type="spellEnd"/>
      <w:r w:rsidRPr="002F46E3">
        <w:t xml:space="preserve"> </w:t>
      </w:r>
      <w:proofErr w:type="spellStart"/>
      <w:r w:rsidRPr="002F46E3">
        <w:t>Botanicae</w:t>
      </w:r>
      <w:proofErr w:type="spellEnd"/>
      <w:r w:rsidRPr="002F46E3">
        <w:t xml:space="preserve"> Horti </w:t>
      </w:r>
      <w:proofErr w:type="spellStart"/>
      <w:r w:rsidRPr="002F46E3">
        <w:t>Agrobotanici</w:t>
      </w:r>
      <w:proofErr w:type="spellEnd"/>
      <w:r w:rsidRPr="002F46E3">
        <w:t xml:space="preserve"> Cluj-Napoca, 38, 44–48.</w:t>
      </w:r>
    </w:p>
    <w:p w14:paraId="3FBFF5AD" w14:textId="77777777" w:rsidR="00A71D0A" w:rsidRPr="002F46E3" w:rsidRDefault="00A71D0A" w:rsidP="00C24AF1">
      <w:pPr>
        <w:pStyle w:val="CETReferencetext"/>
      </w:pPr>
      <w:proofErr w:type="spellStart"/>
      <w:r w:rsidRPr="002F46E3">
        <w:t>Obianom</w:t>
      </w:r>
      <w:proofErr w:type="spellEnd"/>
      <w:r w:rsidRPr="002F46E3">
        <w:t xml:space="preserve"> C., </w:t>
      </w:r>
      <w:proofErr w:type="spellStart"/>
      <w:r w:rsidRPr="002F46E3">
        <w:t>Romanazzi</w:t>
      </w:r>
      <w:proofErr w:type="spellEnd"/>
      <w:r w:rsidRPr="002F46E3">
        <w:t xml:space="preserve"> G., Sivakumar D., 2018, Effects of Chitosan Treatment on Avocado Postharvest Diseases and Expression of Phenylalanine Ammonia-Lyase, Chitinase and Lipoxygenase Genes, Postharvest Biology and Technology, 147, 214–221.</w:t>
      </w:r>
    </w:p>
    <w:p w14:paraId="4240C5E3" w14:textId="77777777" w:rsidR="00A71D0A" w:rsidRPr="002F46E3" w:rsidRDefault="00A71D0A" w:rsidP="00BE6750">
      <w:pPr>
        <w:pStyle w:val="CETReferencetext"/>
      </w:pPr>
      <w:r w:rsidRPr="002F46E3">
        <w:t xml:space="preserve">Oliva M., Hatan E., Kumar V., </w:t>
      </w:r>
      <w:proofErr w:type="spellStart"/>
      <w:r w:rsidRPr="002F46E3">
        <w:t>Galsurker</w:t>
      </w:r>
      <w:proofErr w:type="spellEnd"/>
      <w:r w:rsidRPr="002F46E3">
        <w:t xml:space="preserve"> O., Nisim-Levi A., Ovadia R., </w:t>
      </w:r>
      <w:proofErr w:type="spellStart"/>
      <w:r w:rsidRPr="002F46E3">
        <w:t>Galili</w:t>
      </w:r>
      <w:proofErr w:type="spellEnd"/>
      <w:r w:rsidRPr="002F46E3">
        <w:t xml:space="preserve"> G., </w:t>
      </w:r>
      <w:proofErr w:type="spellStart"/>
      <w:r w:rsidRPr="002F46E3">
        <w:t>Lewinsohn</w:t>
      </w:r>
      <w:proofErr w:type="spellEnd"/>
      <w:r w:rsidRPr="002F46E3">
        <w:t xml:space="preserve"> E., Elad Y., Alkan N, Oren-Shamir M., 2019, Increased Phenylalanine Levels in Plant Leaves Reduces Susceptibility to </w:t>
      </w:r>
      <w:r w:rsidRPr="002F46E3">
        <w:rPr>
          <w:i/>
          <w:iCs/>
        </w:rPr>
        <w:t>Botrytis cinerea</w:t>
      </w:r>
      <w:r w:rsidRPr="002F46E3">
        <w:t>, Plant Science, 290, e110289.</w:t>
      </w:r>
    </w:p>
    <w:p w14:paraId="49F47FB6" w14:textId="77777777" w:rsidR="00A71D0A" w:rsidRPr="002F46E3" w:rsidRDefault="00A71D0A" w:rsidP="007024A5">
      <w:pPr>
        <w:pStyle w:val="CETReferencetext"/>
      </w:pPr>
      <w:r w:rsidRPr="002F46E3">
        <w:t xml:space="preserve">Petriccione M., </w:t>
      </w:r>
      <w:proofErr w:type="spellStart"/>
      <w:r w:rsidRPr="002F46E3">
        <w:t>Mastrobuoni</w:t>
      </w:r>
      <w:proofErr w:type="spellEnd"/>
      <w:r w:rsidRPr="002F46E3">
        <w:t xml:space="preserve"> F., Pasquariello M.S., Zampella L., Nobis E., </w:t>
      </w:r>
      <w:proofErr w:type="spellStart"/>
      <w:r w:rsidRPr="002F46E3">
        <w:t>Capriolo</w:t>
      </w:r>
      <w:proofErr w:type="spellEnd"/>
      <w:r w:rsidRPr="002F46E3">
        <w:t xml:space="preserve"> G., </w:t>
      </w:r>
      <w:proofErr w:type="spellStart"/>
      <w:r w:rsidRPr="002F46E3">
        <w:t>Scortichini</w:t>
      </w:r>
      <w:proofErr w:type="spellEnd"/>
      <w:r w:rsidRPr="002F46E3">
        <w:t xml:space="preserve"> M., 2015, Effect of Chitosan Coating on the Postharvest Quality and Antioxidant Enzyme System Response of Strawberry Fruit during Cold Storage, Foods, 4, 501–523.</w:t>
      </w:r>
    </w:p>
    <w:p w14:paraId="43D458AF" w14:textId="77777777" w:rsidR="00A71D0A" w:rsidRPr="002F46E3" w:rsidRDefault="00A71D0A" w:rsidP="007024A5">
      <w:pPr>
        <w:pStyle w:val="CETReferencetext"/>
      </w:pPr>
      <w:r w:rsidRPr="002F46E3">
        <w:t xml:space="preserve">Re R., Pellegrini N., </w:t>
      </w:r>
      <w:proofErr w:type="spellStart"/>
      <w:r w:rsidRPr="002F46E3">
        <w:t>Proteggente</w:t>
      </w:r>
      <w:proofErr w:type="spellEnd"/>
      <w:r w:rsidRPr="002F46E3">
        <w:t xml:space="preserve"> A., Pannala A., Yang M., Rice-Evans C., 1999, Antioxidant Activity Applying an Improved ABTS Radical Cation Decolorization Assay, Free Radical Biology and Medicine, 26, 1231–1237.</w:t>
      </w:r>
    </w:p>
    <w:p w14:paraId="445B1D2C" w14:textId="77777777" w:rsidR="00A71D0A" w:rsidRPr="002F46E3" w:rsidRDefault="00A71D0A" w:rsidP="00C24AF1">
      <w:pPr>
        <w:pStyle w:val="CETReferencetext"/>
      </w:pPr>
      <w:r w:rsidRPr="002F46E3">
        <w:t>Rokaya P., Baral D., Gautam D., Shrestha A., Paudyal K., 2016, Effect of Postharvest Treatments on Quality and Shelf Life of Mandarin (</w:t>
      </w:r>
      <w:r w:rsidRPr="002F46E3">
        <w:rPr>
          <w:i/>
          <w:iCs/>
        </w:rPr>
        <w:t>Citrus reticulata</w:t>
      </w:r>
      <w:r w:rsidRPr="002F46E3">
        <w:t xml:space="preserve"> Blanco), American Journal of Plant Sciences, 7, 1098–1105.</w:t>
      </w:r>
    </w:p>
    <w:p w14:paraId="767AF487" w14:textId="77777777" w:rsidR="00A71D0A" w:rsidRPr="002F46E3" w:rsidRDefault="00A71D0A" w:rsidP="00C24AF1">
      <w:pPr>
        <w:pStyle w:val="CETReferencetext"/>
      </w:pPr>
      <w:r w:rsidRPr="002F46E3">
        <w:t xml:space="preserve">Saidi L., </w:t>
      </w:r>
      <w:proofErr w:type="spellStart"/>
      <w:r w:rsidRPr="002F46E3">
        <w:t>Duanis</w:t>
      </w:r>
      <w:proofErr w:type="spellEnd"/>
      <w:r w:rsidRPr="002F46E3">
        <w:t xml:space="preserve">-Assaf D., </w:t>
      </w:r>
      <w:proofErr w:type="spellStart"/>
      <w:r w:rsidRPr="002F46E3">
        <w:t>Galsarker</w:t>
      </w:r>
      <w:proofErr w:type="spellEnd"/>
      <w:r w:rsidRPr="002F46E3">
        <w:t xml:space="preserve"> O., Maurer D., Alkan N., </w:t>
      </w:r>
      <w:proofErr w:type="spellStart"/>
      <w:r w:rsidRPr="002F46E3">
        <w:t>Poverenov</w:t>
      </w:r>
      <w:proofErr w:type="spellEnd"/>
      <w:r w:rsidRPr="002F46E3">
        <w:t xml:space="preserve"> E., 2021, Elicitation of Fruit </w:t>
      </w:r>
      <w:proofErr w:type="spellStart"/>
      <w:r w:rsidRPr="002F46E3">
        <w:t>Defense</w:t>
      </w:r>
      <w:proofErr w:type="spellEnd"/>
      <w:r w:rsidRPr="002F46E3">
        <w:t xml:space="preserve"> Response by Active Edible Coatings Embedded with Phenylalanine to Improve Quality and Storability of Avocado Fruit, Postharvest Biology and Technology, 174, e111442.</w:t>
      </w:r>
    </w:p>
    <w:p w14:paraId="6603CD30" w14:textId="77777777" w:rsidR="00A71D0A" w:rsidRPr="002F46E3" w:rsidRDefault="00A71D0A" w:rsidP="007024A5">
      <w:pPr>
        <w:pStyle w:val="CETReferencetext"/>
      </w:pPr>
      <w:r w:rsidRPr="002F46E3">
        <w:t xml:space="preserve">Singleton V.L., </w:t>
      </w:r>
      <w:proofErr w:type="spellStart"/>
      <w:r w:rsidRPr="002F46E3">
        <w:t>Orthofer</w:t>
      </w:r>
      <w:proofErr w:type="spellEnd"/>
      <w:r w:rsidRPr="002F46E3">
        <w:t xml:space="preserve"> R., </w:t>
      </w:r>
      <w:proofErr w:type="spellStart"/>
      <w:r w:rsidRPr="002F46E3">
        <w:t>Lamuela-Raventós</w:t>
      </w:r>
      <w:proofErr w:type="spellEnd"/>
      <w:r w:rsidRPr="002F46E3">
        <w:t xml:space="preserve"> R.M., 1999, Analysis of total phenols and other oxidation substrates and antioxidants by means of </w:t>
      </w:r>
      <w:proofErr w:type="spellStart"/>
      <w:r w:rsidRPr="002F46E3">
        <w:t>folin-ciocalteu</w:t>
      </w:r>
      <w:proofErr w:type="spellEnd"/>
      <w:r w:rsidRPr="002F46E3">
        <w:t xml:space="preserve"> reagent, Methods in Enzymology, 299, 152–178.</w:t>
      </w:r>
    </w:p>
    <w:p w14:paraId="3AE384E0" w14:textId="77777777" w:rsidR="00A71D0A" w:rsidRPr="002F46E3" w:rsidRDefault="00A71D0A" w:rsidP="00C24AF1">
      <w:pPr>
        <w:pStyle w:val="CETReferencetext"/>
      </w:pPr>
      <w:proofErr w:type="spellStart"/>
      <w:r w:rsidRPr="002F46E3">
        <w:t>Tietel</w:t>
      </w:r>
      <w:proofErr w:type="spellEnd"/>
      <w:r w:rsidRPr="002F46E3">
        <w:t xml:space="preserve"> Z., Srivastava S., Fait A., Tel-Zur N., Carmi N., </w:t>
      </w:r>
      <w:proofErr w:type="spellStart"/>
      <w:r w:rsidRPr="002F46E3">
        <w:t>Raveh</w:t>
      </w:r>
      <w:proofErr w:type="spellEnd"/>
      <w:r w:rsidRPr="002F46E3">
        <w:t xml:space="preserve"> E., 2020, Impact of Scion/Rootstock Reciprocal Effects on Metabolomics of Fruit Juice and Phloem Sap in Grafted </w:t>
      </w:r>
      <w:r w:rsidRPr="002F46E3">
        <w:rPr>
          <w:i/>
          <w:iCs/>
        </w:rPr>
        <w:t>Citrus reticulata</w:t>
      </w:r>
      <w:r w:rsidRPr="002F46E3">
        <w:t xml:space="preserve">, </w:t>
      </w:r>
      <w:proofErr w:type="spellStart"/>
      <w:r w:rsidRPr="002F46E3">
        <w:t>PloS</w:t>
      </w:r>
      <w:proofErr w:type="spellEnd"/>
      <w:r w:rsidRPr="002F46E3">
        <w:t xml:space="preserve"> One, 1, e0227192.</w:t>
      </w:r>
    </w:p>
    <w:p w14:paraId="456D686E" w14:textId="77777777" w:rsidR="00A71D0A" w:rsidRPr="002F46E3" w:rsidRDefault="00A71D0A" w:rsidP="00476101">
      <w:pPr>
        <w:pStyle w:val="CETReferencetext"/>
      </w:pPr>
      <w:r w:rsidRPr="002F46E3">
        <w:t>Wang M., Li, C., Liu, J., Zhang, S., Guo, Y., Jin, Y., Ge, Y., 2023, Phenylalanine maintains the postharvest quality of ‘Jinfeng’ pear fruit by modulating the tricarboxylic acid cycle and chlorophyll catabolism, Postharvest Biology and Technology, 204, e112479.</w:t>
      </w:r>
    </w:p>
    <w:p w14:paraId="114C22C0" w14:textId="77777777" w:rsidR="00A71D0A" w:rsidRPr="002F46E3" w:rsidRDefault="00A71D0A" w:rsidP="00C24AF1">
      <w:pPr>
        <w:pStyle w:val="CETReferencetext"/>
      </w:pPr>
      <w:r w:rsidRPr="002F46E3">
        <w:t xml:space="preserve">Wei H., He C., Zhang S., Xiong H., Ni H., Li Q., 2020, Effects of Four Storage Conditions on the Sugar Content, Acidity, and </w:t>
      </w:r>
      <w:proofErr w:type="spellStart"/>
      <w:r w:rsidRPr="002F46E3">
        <w:t>Flavor</w:t>
      </w:r>
      <w:proofErr w:type="spellEnd"/>
      <w:r w:rsidRPr="002F46E3">
        <w:t xml:space="preserve"> of “Guanxi” Honey Pomelo, Journal of Food Processing and Preservation, 45, e15088.</w:t>
      </w:r>
    </w:p>
    <w:p w14:paraId="2E76179D" w14:textId="0374B13D" w:rsidR="00964B90" w:rsidRPr="003A38FA" w:rsidRDefault="00A71D0A" w:rsidP="00964B90">
      <w:pPr>
        <w:pStyle w:val="CETReferencetext"/>
      </w:pPr>
      <w:r w:rsidRPr="002F46E3">
        <w:t xml:space="preserve">Zhai X., Wu H., Wang, Y., Zhang, Z., Shan L., Zhao X., Wang R., Liu C., Weng Y., Wang Y., Liu X., Ren H., 2022, The Fruit Glossiness Locus, Dull Fruit (D), Encodes a C2H2-type Zinc Finger Transcription Factor, </w:t>
      </w:r>
      <w:proofErr w:type="spellStart"/>
      <w:r w:rsidRPr="002F46E3">
        <w:t>CsDULL</w:t>
      </w:r>
      <w:proofErr w:type="spellEnd"/>
      <w:r w:rsidRPr="002F46E3">
        <w:t>, in Cucumber (</w:t>
      </w:r>
      <w:r w:rsidRPr="002F46E3">
        <w:rPr>
          <w:i/>
          <w:iCs/>
        </w:rPr>
        <w:t>Cucumis sativus</w:t>
      </w:r>
      <w:r w:rsidRPr="002F46E3">
        <w:t xml:space="preserve"> L.), Horticulture Research, 9, uhac146.</w:t>
      </w:r>
    </w:p>
    <w:sectPr w:rsidR="00964B90" w:rsidRPr="003A38FA" w:rsidSect="00A714E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5D1A6" w14:textId="77777777" w:rsidR="001C503A" w:rsidRDefault="001C503A" w:rsidP="004F5E36">
      <w:r>
        <w:separator/>
      </w:r>
    </w:p>
  </w:endnote>
  <w:endnote w:type="continuationSeparator" w:id="0">
    <w:p w14:paraId="5A3EDA88" w14:textId="77777777" w:rsidR="001C503A" w:rsidRDefault="001C503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4D480" w14:textId="77777777" w:rsidR="001C503A" w:rsidRDefault="001C503A" w:rsidP="004F5E36">
      <w:r>
        <w:separator/>
      </w:r>
    </w:p>
  </w:footnote>
  <w:footnote w:type="continuationSeparator" w:id="0">
    <w:p w14:paraId="07B7B5AC" w14:textId="77777777" w:rsidR="001C503A" w:rsidRDefault="001C503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446728"/>
    <w:multiLevelType w:val="multilevel"/>
    <w:tmpl w:val="56429DC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52786438">
    <w:abstractNumId w:val="11"/>
  </w:num>
  <w:num w:numId="2" w16cid:durableId="21903358">
    <w:abstractNumId w:val="8"/>
  </w:num>
  <w:num w:numId="3" w16cid:durableId="1574506599">
    <w:abstractNumId w:val="3"/>
  </w:num>
  <w:num w:numId="4" w16cid:durableId="1391272998">
    <w:abstractNumId w:val="2"/>
  </w:num>
  <w:num w:numId="5" w16cid:durableId="555239994">
    <w:abstractNumId w:val="1"/>
  </w:num>
  <w:num w:numId="6" w16cid:durableId="1149517878">
    <w:abstractNumId w:val="0"/>
  </w:num>
  <w:num w:numId="7" w16cid:durableId="1741054666">
    <w:abstractNumId w:val="9"/>
  </w:num>
  <w:num w:numId="8" w16cid:durableId="491533554">
    <w:abstractNumId w:val="7"/>
  </w:num>
  <w:num w:numId="9" w16cid:durableId="419330336">
    <w:abstractNumId w:val="6"/>
  </w:num>
  <w:num w:numId="10" w16cid:durableId="1453478505">
    <w:abstractNumId w:val="5"/>
  </w:num>
  <w:num w:numId="11" w16cid:durableId="1262640578">
    <w:abstractNumId w:val="4"/>
  </w:num>
  <w:num w:numId="12" w16cid:durableId="1923492017">
    <w:abstractNumId w:val="18"/>
  </w:num>
  <w:num w:numId="13" w16cid:durableId="266351106">
    <w:abstractNumId w:val="13"/>
  </w:num>
  <w:num w:numId="14" w16cid:durableId="1822312200">
    <w:abstractNumId w:val="19"/>
  </w:num>
  <w:num w:numId="15" w16cid:durableId="698506433">
    <w:abstractNumId w:val="21"/>
  </w:num>
  <w:num w:numId="16" w16cid:durableId="1743944808">
    <w:abstractNumId w:val="20"/>
  </w:num>
  <w:num w:numId="17" w16cid:durableId="112986078">
    <w:abstractNumId w:val="12"/>
  </w:num>
  <w:num w:numId="18" w16cid:durableId="1076442080">
    <w:abstractNumId w:val="13"/>
    <w:lvlOverride w:ilvl="0">
      <w:startOverride w:val="1"/>
    </w:lvlOverride>
  </w:num>
  <w:num w:numId="19" w16cid:durableId="1639527746">
    <w:abstractNumId w:val="17"/>
  </w:num>
  <w:num w:numId="20" w16cid:durableId="164248854">
    <w:abstractNumId w:val="16"/>
  </w:num>
  <w:num w:numId="21" w16cid:durableId="244459920">
    <w:abstractNumId w:val="15"/>
  </w:num>
  <w:num w:numId="22" w16cid:durableId="1638029122">
    <w:abstractNumId w:val="14"/>
  </w:num>
  <w:num w:numId="23" w16cid:durableId="1601404664">
    <w:abstractNumId w:val="11"/>
    <w:lvlOverride w:ilvl="0">
      <w:startOverride w:val="1"/>
    </w:lvlOverride>
    <w:lvlOverride w:ilvl="1">
      <w:startOverride w:val="3"/>
    </w:lvlOverride>
  </w:num>
  <w:num w:numId="24" w16cid:durableId="13626264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MqkFADcUz/otAAAA"/>
  </w:docVars>
  <w:rsids>
    <w:rsidRoot w:val="000E414A"/>
    <w:rsid w:val="00001782"/>
    <w:rsid w:val="000027C0"/>
    <w:rsid w:val="000052FB"/>
    <w:rsid w:val="00005A19"/>
    <w:rsid w:val="000117CB"/>
    <w:rsid w:val="00016B8B"/>
    <w:rsid w:val="00030278"/>
    <w:rsid w:val="0003148D"/>
    <w:rsid w:val="00031EEC"/>
    <w:rsid w:val="00051566"/>
    <w:rsid w:val="00054288"/>
    <w:rsid w:val="000562A9"/>
    <w:rsid w:val="00062A9A"/>
    <w:rsid w:val="00065058"/>
    <w:rsid w:val="00071D5A"/>
    <w:rsid w:val="00086C39"/>
    <w:rsid w:val="00090EDC"/>
    <w:rsid w:val="000A03B2"/>
    <w:rsid w:val="000B5F21"/>
    <w:rsid w:val="000D0268"/>
    <w:rsid w:val="000D34BE"/>
    <w:rsid w:val="000D4D66"/>
    <w:rsid w:val="000E102F"/>
    <w:rsid w:val="000E36F1"/>
    <w:rsid w:val="000E3A73"/>
    <w:rsid w:val="000E414A"/>
    <w:rsid w:val="000F093C"/>
    <w:rsid w:val="000F787B"/>
    <w:rsid w:val="00101A40"/>
    <w:rsid w:val="00104FF0"/>
    <w:rsid w:val="0011203B"/>
    <w:rsid w:val="0012091F"/>
    <w:rsid w:val="00124785"/>
    <w:rsid w:val="00126BC2"/>
    <w:rsid w:val="001308B6"/>
    <w:rsid w:val="0013121F"/>
    <w:rsid w:val="00131884"/>
    <w:rsid w:val="00131FE6"/>
    <w:rsid w:val="0013263F"/>
    <w:rsid w:val="001331DF"/>
    <w:rsid w:val="00134DE4"/>
    <w:rsid w:val="0014034D"/>
    <w:rsid w:val="00140E7E"/>
    <w:rsid w:val="00144D16"/>
    <w:rsid w:val="00150E59"/>
    <w:rsid w:val="00152DE3"/>
    <w:rsid w:val="00153CF2"/>
    <w:rsid w:val="00164CF9"/>
    <w:rsid w:val="001667A6"/>
    <w:rsid w:val="001729E3"/>
    <w:rsid w:val="00184AD6"/>
    <w:rsid w:val="0019045B"/>
    <w:rsid w:val="001936C9"/>
    <w:rsid w:val="00194742"/>
    <w:rsid w:val="001A1CF6"/>
    <w:rsid w:val="001A3161"/>
    <w:rsid w:val="001A4AF7"/>
    <w:rsid w:val="001B0349"/>
    <w:rsid w:val="001B1E93"/>
    <w:rsid w:val="001B65C1"/>
    <w:rsid w:val="001C503A"/>
    <w:rsid w:val="001C684B"/>
    <w:rsid w:val="001D0CFB"/>
    <w:rsid w:val="001D21AF"/>
    <w:rsid w:val="001D53FC"/>
    <w:rsid w:val="001F42A5"/>
    <w:rsid w:val="001F6571"/>
    <w:rsid w:val="001F7B9D"/>
    <w:rsid w:val="001F7F35"/>
    <w:rsid w:val="00201C93"/>
    <w:rsid w:val="00207235"/>
    <w:rsid w:val="002200FE"/>
    <w:rsid w:val="002224B4"/>
    <w:rsid w:val="00236823"/>
    <w:rsid w:val="002447EF"/>
    <w:rsid w:val="002502AF"/>
    <w:rsid w:val="00251550"/>
    <w:rsid w:val="00257E99"/>
    <w:rsid w:val="00263B05"/>
    <w:rsid w:val="0027221A"/>
    <w:rsid w:val="00275B61"/>
    <w:rsid w:val="00280FAF"/>
    <w:rsid w:val="00282656"/>
    <w:rsid w:val="00296B83"/>
    <w:rsid w:val="002A051F"/>
    <w:rsid w:val="002A1750"/>
    <w:rsid w:val="002A2032"/>
    <w:rsid w:val="002A4EFF"/>
    <w:rsid w:val="002B4015"/>
    <w:rsid w:val="002B78CE"/>
    <w:rsid w:val="002C2FB6"/>
    <w:rsid w:val="002D12E2"/>
    <w:rsid w:val="002E2B79"/>
    <w:rsid w:val="002E3353"/>
    <w:rsid w:val="002E5FA7"/>
    <w:rsid w:val="002F1250"/>
    <w:rsid w:val="002F1311"/>
    <w:rsid w:val="002F3309"/>
    <w:rsid w:val="002F46E3"/>
    <w:rsid w:val="002F712E"/>
    <w:rsid w:val="003008CE"/>
    <w:rsid w:val="003009B7"/>
    <w:rsid w:val="00300E56"/>
    <w:rsid w:val="0030152C"/>
    <w:rsid w:val="0030469C"/>
    <w:rsid w:val="00310A73"/>
    <w:rsid w:val="0032179A"/>
    <w:rsid w:val="00321CA6"/>
    <w:rsid w:val="00322208"/>
    <w:rsid w:val="00323763"/>
    <w:rsid w:val="00323C5F"/>
    <w:rsid w:val="0032558E"/>
    <w:rsid w:val="003312AE"/>
    <w:rsid w:val="00331FCD"/>
    <w:rsid w:val="00334C09"/>
    <w:rsid w:val="00340D8A"/>
    <w:rsid w:val="003410EE"/>
    <w:rsid w:val="003723D4"/>
    <w:rsid w:val="00372D6C"/>
    <w:rsid w:val="003732C6"/>
    <w:rsid w:val="00374F0E"/>
    <w:rsid w:val="00381905"/>
    <w:rsid w:val="00384CC8"/>
    <w:rsid w:val="00386CCC"/>
    <w:rsid w:val="003871FD"/>
    <w:rsid w:val="003A1E30"/>
    <w:rsid w:val="003A2829"/>
    <w:rsid w:val="003A38FA"/>
    <w:rsid w:val="003A75FF"/>
    <w:rsid w:val="003A7D1C"/>
    <w:rsid w:val="003B304B"/>
    <w:rsid w:val="003B3146"/>
    <w:rsid w:val="003C6AC3"/>
    <w:rsid w:val="003D1567"/>
    <w:rsid w:val="003D21E8"/>
    <w:rsid w:val="003D36FC"/>
    <w:rsid w:val="003F015E"/>
    <w:rsid w:val="00400414"/>
    <w:rsid w:val="0041446B"/>
    <w:rsid w:val="00431D67"/>
    <w:rsid w:val="0043334A"/>
    <w:rsid w:val="00433BA6"/>
    <w:rsid w:val="0044071E"/>
    <w:rsid w:val="0044329C"/>
    <w:rsid w:val="00444131"/>
    <w:rsid w:val="00452C61"/>
    <w:rsid w:val="00453E24"/>
    <w:rsid w:val="00457456"/>
    <w:rsid w:val="004577FE"/>
    <w:rsid w:val="00457B9C"/>
    <w:rsid w:val="00460AB6"/>
    <w:rsid w:val="0046164A"/>
    <w:rsid w:val="004628D2"/>
    <w:rsid w:val="00462DCD"/>
    <w:rsid w:val="004648AD"/>
    <w:rsid w:val="004703A9"/>
    <w:rsid w:val="004760DE"/>
    <w:rsid w:val="00476101"/>
    <w:rsid w:val="004763D7"/>
    <w:rsid w:val="004A004E"/>
    <w:rsid w:val="004A022F"/>
    <w:rsid w:val="004A24CF"/>
    <w:rsid w:val="004B6CD1"/>
    <w:rsid w:val="004C3D1D"/>
    <w:rsid w:val="004C3D84"/>
    <w:rsid w:val="004C7913"/>
    <w:rsid w:val="004D482F"/>
    <w:rsid w:val="004D7E04"/>
    <w:rsid w:val="004E4DD6"/>
    <w:rsid w:val="004F5E36"/>
    <w:rsid w:val="00507B47"/>
    <w:rsid w:val="00507BEF"/>
    <w:rsid w:val="00507CC9"/>
    <w:rsid w:val="005119A5"/>
    <w:rsid w:val="005147D5"/>
    <w:rsid w:val="00514902"/>
    <w:rsid w:val="00520185"/>
    <w:rsid w:val="005277F8"/>
    <w:rsid w:val="005278B7"/>
    <w:rsid w:val="00532016"/>
    <w:rsid w:val="00533BAC"/>
    <w:rsid w:val="005346C8"/>
    <w:rsid w:val="00543E7D"/>
    <w:rsid w:val="00547A68"/>
    <w:rsid w:val="00551A7F"/>
    <w:rsid w:val="005531C9"/>
    <w:rsid w:val="005575FB"/>
    <w:rsid w:val="00557E00"/>
    <w:rsid w:val="0057017F"/>
    <w:rsid w:val="00570C43"/>
    <w:rsid w:val="005717ED"/>
    <w:rsid w:val="00573F3B"/>
    <w:rsid w:val="005749F4"/>
    <w:rsid w:val="00593C9D"/>
    <w:rsid w:val="005B2110"/>
    <w:rsid w:val="005B61E6"/>
    <w:rsid w:val="005C0A17"/>
    <w:rsid w:val="005C77E1"/>
    <w:rsid w:val="005D668A"/>
    <w:rsid w:val="005D6A2F"/>
    <w:rsid w:val="005E1A82"/>
    <w:rsid w:val="005E72C6"/>
    <w:rsid w:val="005E794C"/>
    <w:rsid w:val="005F0A28"/>
    <w:rsid w:val="005F0E5E"/>
    <w:rsid w:val="00600535"/>
    <w:rsid w:val="00606C17"/>
    <w:rsid w:val="00610CD6"/>
    <w:rsid w:val="00612124"/>
    <w:rsid w:val="00613B5D"/>
    <w:rsid w:val="00620DEE"/>
    <w:rsid w:val="00621F92"/>
    <w:rsid w:val="0062280A"/>
    <w:rsid w:val="00625639"/>
    <w:rsid w:val="00631B33"/>
    <w:rsid w:val="0064184D"/>
    <w:rsid w:val="006422CC"/>
    <w:rsid w:val="00660E3E"/>
    <w:rsid w:val="00662E74"/>
    <w:rsid w:val="00673CCA"/>
    <w:rsid w:val="00676C82"/>
    <w:rsid w:val="00680C23"/>
    <w:rsid w:val="00681460"/>
    <w:rsid w:val="00684F1B"/>
    <w:rsid w:val="0068688D"/>
    <w:rsid w:val="006869FA"/>
    <w:rsid w:val="00693766"/>
    <w:rsid w:val="006A1263"/>
    <w:rsid w:val="006A3281"/>
    <w:rsid w:val="006A3471"/>
    <w:rsid w:val="006A6951"/>
    <w:rsid w:val="006B4888"/>
    <w:rsid w:val="006C2E45"/>
    <w:rsid w:val="006C359C"/>
    <w:rsid w:val="006C5579"/>
    <w:rsid w:val="006D6E8B"/>
    <w:rsid w:val="006E3A87"/>
    <w:rsid w:val="006E737D"/>
    <w:rsid w:val="006E74F1"/>
    <w:rsid w:val="007024A5"/>
    <w:rsid w:val="00707DD1"/>
    <w:rsid w:val="00713973"/>
    <w:rsid w:val="0072049A"/>
    <w:rsid w:val="00720A24"/>
    <w:rsid w:val="00732386"/>
    <w:rsid w:val="0073514D"/>
    <w:rsid w:val="00735AF7"/>
    <w:rsid w:val="007447F3"/>
    <w:rsid w:val="0075499F"/>
    <w:rsid w:val="007661C8"/>
    <w:rsid w:val="00770350"/>
    <w:rsid w:val="0077098D"/>
    <w:rsid w:val="007931FA"/>
    <w:rsid w:val="007A4861"/>
    <w:rsid w:val="007A7BBA"/>
    <w:rsid w:val="007B0C50"/>
    <w:rsid w:val="007B48F9"/>
    <w:rsid w:val="007C1A43"/>
    <w:rsid w:val="007D0778"/>
    <w:rsid w:val="007D0951"/>
    <w:rsid w:val="007F4B14"/>
    <w:rsid w:val="007F7403"/>
    <w:rsid w:val="0080013E"/>
    <w:rsid w:val="00806500"/>
    <w:rsid w:val="00813288"/>
    <w:rsid w:val="008168FC"/>
    <w:rsid w:val="00821632"/>
    <w:rsid w:val="00830996"/>
    <w:rsid w:val="008345F1"/>
    <w:rsid w:val="00840AB0"/>
    <w:rsid w:val="00842D8E"/>
    <w:rsid w:val="00845B02"/>
    <w:rsid w:val="00865B07"/>
    <w:rsid w:val="00865D38"/>
    <w:rsid w:val="008667EA"/>
    <w:rsid w:val="00872B4F"/>
    <w:rsid w:val="0087637F"/>
    <w:rsid w:val="00890669"/>
    <w:rsid w:val="008922A6"/>
    <w:rsid w:val="00892A16"/>
    <w:rsid w:val="00892AD5"/>
    <w:rsid w:val="00893AF9"/>
    <w:rsid w:val="008A1512"/>
    <w:rsid w:val="008A2670"/>
    <w:rsid w:val="008C1D8B"/>
    <w:rsid w:val="008C2C6D"/>
    <w:rsid w:val="008C6FC5"/>
    <w:rsid w:val="008C7456"/>
    <w:rsid w:val="008D32B9"/>
    <w:rsid w:val="008D433B"/>
    <w:rsid w:val="008D4A16"/>
    <w:rsid w:val="008E16FF"/>
    <w:rsid w:val="008E566E"/>
    <w:rsid w:val="008E58F7"/>
    <w:rsid w:val="008E6096"/>
    <w:rsid w:val="0090161A"/>
    <w:rsid w:val="00901EB6"/>
    <w:rsid w:val="00904C62"/>
    <w:rsid w:val="00911DC2"/>
    <w:rsid w:val="0091576E"/>
    <w:rsid w:val="00922BA8"/>
    <w:rsid w:val="00924DAC"/>
    <w:rsid w:val="00927058"/>
    <w:rsid w:val="00927242"/>
    <w:rsid w:val="00942750"/>
    <w:rsid w:val="009450CE"/>
    <w:rsid w:val="009459BB"/>
    <w:rsid w:val="00947179"/>
    <w:rsid w:val="0095164B"/>
    <w:rsid w:val="00954090"/>
    <w:rsid w:val="009573E7"/>
    <w:rsid w:val="00963E05"/>
    <w:rsid w:val="00964A45"/>
    <w:rsid w:val="00964B90"/>
    <w:rsid w:val="00967843"/>
    <w:rsid w:val="00967D54"/>
    <w:rsid w:val="00971028"/>
    <w:rsid w:val="00993B84"/>
    <w:rsid w:val="00996483"/>
    <w:rsid w:val="00996F5A"/>
    <w:rsid w:val="009B041A"/>
    <w:rsid w:val="009B14DA"/>
    <w:rsid w:val="009C37C3"/>
    <w:rsid w:val="009C5BCF"/>
    <w:rsid w:val="009C6015"/>
    <w:rsid w:val="009C669F"/>
    <w:rsid w:val="009C7C86"/>
    <w:rsid w:val="009D16BA"/>
    <w:rsid w:val="009D2FF7"/>
    <w:rsid w:val="009E0284"/>
    <w:rsid w:val="009E74D9"/>
    <w:rsid w:val="009E7884"/>
    <w:rsid w:val="009E788A"/>
    <w:rsid w:val="009F0E08"/>
    <w:rsid w:val="009F2960"/>
    <w:rsid w:val="00A0035F"/>
    <w:rsid w:val="00A111B8"/>
    <w:rsid w:val="00A1763D"/>
    <w:rsid w:val="00A17CEC"/>
    <w:rsid w:val="00A2075B"/>
    <w:rsid w:val="00A276A7"/>
    <w:rsid w:val="00A27EF0"/>
    <w:rsid w:val="00A35F52"/>
    <w:rsid w:val="00A40966"/>
    <w:rsid w:val="00A42361"/>
    <w:rsid w:val="00A44663"/>
    <w:rsid w:val="00A50B20"/>
    <w:rsid w:val="00A51390"/>
    <w:rsid w:val="00A60D13"/>
    <w:rsid w:val="00A619BC"/>
    <w:rsid w:val="00A63293"/>
    <w:rsid w:val="00A63393"/>
    <w:rsid w:val="00A67779"/>
    <w:rsid w:val="00A714EF"/>
    <w:rsid w:val="00A71D0A"/>
    <w:rsid w:val="00A7223D"/>
    <w:rsid w:val="00A72272"/>
    <w:rsid w:val="00A72745"/>
    <w:rsid w:val="00A733B8"/>
    <w:rsid w:val="00A7460A"/>
    <w:rsid w:val="00A74818"/>
    <w:rsid w:val="00A76EFC"/>
    <w:rsid w:val="00A87D50"/>
    <w:rsid w:val="00A91010"/>
    <w:rsid w:val="00A97F29"/>
    <w:rsid w:val="00AA702E"/>
    <w:rsid w:val="00AA7D26"/>
    <w:rsid w:val="00AB0964"/>
    <w:rsid w:val="00AB5011"/>
    <w:rsid w:val="00AC7368"/>
    <w:rsid w:val="00AC7594"/>
    <w:rsid w:val="00AD16B9"/>
    <w:rsid w:val="00AE377D"/>
    <w:rsid w:val="00AF0A02"/>
    <w:rsid w:val="00AF0EBA"/>
    <w:rsid w:val="00AF46C8"/>
    <w:rsid w:val="00AF758F"/>
    <w:rsid w:val="00B02C8A"/>
    <w:rsid w:val="00B10BF8"/>
    <w:rsid w:val="00B17FBD"/>
    <w:rsid w:val="00B315A6"/>
    <w:rsid w:val="00B31813"/>
    <w:rsid w:val="00B33365"/>
    <w:rsid w:val="00B57374"/>
    <w:rsid w:val="00B57B36"/>
    <w:rsid w:val="00B57E6F"/>
    <w:rsid w:val="00B75DDE"/>
    <w:rsid w:val="00B8686D"/>
    <w:rsid w:val="00B93F69"/>
    <w:rsid w:val="00BB07B3"/>
    <w:rsid w:val="00BB1B36"/>
    <w:rsid w:val="00BB1DDC"/>
    <w:rsid w:val="00BC30C9"/>
    <w:rsid w:val="00BC5288"/>
    <w:rsid w:val="00BD077D"/>
    <w:rsid w:val="00BD14B7"/>
    <w:rsid w:val="00BE3E58"/>
    <w:rsid w:val="00BE6750"/>
    <w:rsid w:val="00BF0476"/>
    <w:rsid w:val="00C01616"/>
    <w:rsid w:val="00C0162B"/>
    <w:rsid w:val="00C068ED"/>
    <w:rsid w:val="00C13094"/>
    <w:rsid w:val="00C22E0C"/>
    <w:rsid w:val="00C24AF1"/>
    <w:rsid w:val="00C345B1"/>
    <w:rsid w:val="00C37434"/>
    <w:rsid w:val="00C40142"/>
    <w:rsid w:val="00C46D1E"/>
    <w:rsid w:val="00C52C3C"/>
    <w:rsid w:val="00C55A9A"/>
    <w:rsid w:val="00C57182"/>
    <w:rsid w:val="00C57863"/>
    <w:rsid w:val="00C60397"/>
    <w:rsid w:val="00C61E09"/>
    <w:rsid w:val="00C6256B"/>
    <w:rsid w:val="00C628C0"/>
    <w:rsid w:val="00C640AF"/>
    <w:rsid w:val="00C655FD"/>
    <w:rsid w:val="00C66AE0"/>
    <w:rsid w:val="00C75407"/>
    <w:rsid w:val="00C76310"/>
    <w:rsid w:val="00C811A2"/>
    <w:rsid w:val="00C841C6"/>
    <w:rsid w:val="00C870A8"/>
    <w:rsid w:val="00C916A4"/>
    <w:rsid w:val="00C94434"/>
    <w:rsid w:val="00CA0D75"/>
    <w:rsid w:val="00CA1C95"/>
    <w:rsid w:val="00CA5A9C"/>
    <w:rsid w:val="00CB1545"/>
    <w:rsid w:val="00CB4590"/>
    <w:rsid w:val="00CC0197"/>
    <w:rsid w:val="00CC4C20"/>
    <w:rsid w:val="00CC702D"/>
    <w:rsid w:val="00CD2757"/>
    <w:rsid w:val="00CD3517"/>
    <w:rsid w:val="00CD3FAE"/>
    <w:rsid w:val="00CD5FE2"/>
    <w:rsid w:val="00CE4CBC"/>
    <w:rsid w:val="00CE6EFE"/>
    <w:rsid w:val="00CE7C68"/>
    <w:rsid w:val="00CF74C5"/>
    <w:rsid w:val="00D02B4C"/>
    <w:rsid w:val="00D040C4"/>
    <w:rsid w:val="00D10934"/>
    <w:rsid w:val="00D20AD1"/>
    <w:rsid w:val="00D2582C"/>
    <w:rsid w:val="00D30C8B"/>
    <w:rsid w:val="00D4095A"/>
    <w:rsid w:val="00D46B7E"/>
    <w:rsid w:val="00D518AA"/>
    <w:rsid w:val="00D57C84"/>
    <w:rsid w:val="00D6057D"/>
    <w:rsid w:val="00D6723A"/>
    <w:rsid w:val="00D67A08"/>
    <w:rsid w:val="00D71640"/>
    <w:rsid w:val="00D72172"/>
    <w:rsid w:val="00D836C5"/>
    <w:rsid w:val="00D84576"/>
    <w:rsid w:val="00DA1399"/>
    <w:rsid w:val="00DA24C6"/>
    <w:rsid w:val="00DA4D7B"/>
    <w:rsid w:val="00DD1C0A"/>
    <w:rsid w:val="00DD271C"/>
    <w:rsid w:val="00DE16E0"/>
    <w:rsid w:val="00DE264A"/>
    <w:rsid w:val="00DF5072"/>
    <w:rsid w:val="00E02D18"/>
    <w:rsid w:val="00E041E7"/>
    <w:rsid w:val="00E23CA1"/>
    <w:rsid w:val="00E34319"/>
    <w:rsid w:val="00E409A8"/>
    <w:rsid w:val="00E50C12"/>
    <w:rsid w:val="00E65B91"/>
    <w:rsid w:val="00E662FA"/>
    <w:rsid w:val="00E7209D"/>
    <w:rsid w:val="00E72EAD"/>
    <w:rsid w:val="00E73CCF"/>
    <w:rsid w:val="00E77223"/>
    <w:rsid w:val="00E8472C"/>
    <w:rsid w:val="00E8528B"/>
    <w:rsid w:val="00E85B94"/>
    <w:rsid w:val="00E9598F"/>
    <w:rsid w:val="00E978D0"/>
    <w:rsid w:val="00EA4613"/>
    <w:rsid w:val="00EA7F91"/>
    <w:rsid w:val="00EB1523"/>
    <w:rsid w:val="00EC0E49"/>
    <w:rsid w:val="00EC101F"/>
    <w:rsid w:val="00EC1D9F"/>
    <w:rsid w:val="00EC674F"/>
    <w:rsid w:val="00EE0131"/>
    <w:rsid w:val="00EE17B0"/>
    <w:rsid w:val="00EF06D9"/>
    <w:rsid w:val="00EF0D10"/>
    <w:rsid w:val="00F3049E"/>
    <w:rsid w:val="00F30C64"/>
    <w:rsid w:val="00F32BA2"/>
    <w:rsid w:val="00F32CDB"/>
    <w:rsid w:val="00F51971"/>
    <w:rsid w:val="00F565FE"/>
    <w:rsid w:val="00F60D54"/>
    <w:rsid w:val="00F63A70"/>
    <w:rsid w:val="00F63D8C"/>
    <w:rsid w:val="00F6647F"/>
    <w:rsid w:val="00F66807"/>
    <w:rsid w:val="00F7534E"/>
    <w:rsid w:val="00F93EDF"/>
    <w:rsid w:val="00FA1802"/>
    <w:rsid w:val="00FA21D0"/>
    <w:rsid w:val="00FA5F5F"/>
    <w:rsid w:val="00FB730C"/>
    <w:rsid w:val="00FC2695"/>
    <w:rsid w:val="00FC3E03"/>
    <w:rsid w:val="00FC3FC1"/>
    <w:rsid w:val="00FD0B8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US"/>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customStyle="1" w:styleId="UnresolvedMention1">
    <w:name w:val="Unresolved Mention1"/>
    <w:basedOn w:val="DefaultParagraphFont"/>
    <w:uiPriority w:val="99"/>
    <w:semiHidden/>
    <w:unhideWhenUsed/>
    <w:rsid w:val="007F4B14"/>
    <w:rPr>
      <w:color w:val="605E5C"/>
      <w:shd w:val="clear" w:color="auto" w:fill="E1DFDD"/>
    </w:rPr>
  </w:style>
  <w:style w:type="paragraph" w:styleId="Revision">
    <w:name w:val="Revision"/>
    <w:hidden/>
    <w:uiPriority w:val="99"/>
    <w:semiHidden/>
    <w:rsid w:val="0057017F"/>
    <w:pPr>
      <w:spacing w:after="0" w:line="240" w:lineRule="auto"/>
    </w:pPr>
    <w:rPr>
      <w:rFonts w:ascii="Arial" w:eastAsia="Times New Roman" w:hAnsi="Arial"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630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sjuric@agr.unizg.h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3C29C-125C-4EF1-9AFF-F53107E2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3991</Words>
  <Characters>22755</Characters>
  <Application>Microsoft Office Word</Application>
  <DocSecurity>0</DocSecurity>
  <Lines>189</Lines>
  <Paragraphs>53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Slaven Jurić</cp:lastModifiedBy>
  <cp:revision>3</cp:revision>
  <cp:lastPrinted>2015-05-12T18:31:00Z</cp:lastPrinted>
  <dcterms:created xsi:type="dcterms:W3CDTF">2025-06-16T15:23:00Z</dcterms:created>
  <dcterms:modified xsi:type="dcterms:W3CDTF">2025-06-16T15:24:00Z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