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0" w:type="auto"/>
        <w:jc w:val="center"/>
        <w:tblBorders>
          <w:bottom w:val="single" w:sz="4" w:space="0" w:color="auto"/>
        </w:tblBorders>
        <w:tblLook w:val="01E0" w:firstRow="1" w:lastRow="1" w:firstColumn="1" w:lastColumn="1" w:noHBand="0" w:noVBand="0"/>
      </w:tblPr>
      <w:tblGrid>
        <w:gridCol w:w="6940"/>
        <w:gridCol w:w="1842"/>
      </w:tblGrid>
      <w:tr w:rsidR="000A03B2" w:rsidRPr="00B57B36" w14:paraId="2A131A54" w14:textId="77777777" w:rsidTr="005619C5">
        <w:trPr>
          <w:trHeight w:val="852"/>
          <w:jc w:val="center"/>
        </w:trPr>
        <w:tc>
          <w:tcPr>
            <w:tcW w:w="6940" w:type="dxa"/>
            <w:vMerge w:val="restart"/>
            <w:tcBorders>
              <w:right w:val="single" w:sz="4" w:space="0" w:color="auto"/>
            </w:tcBorders>
          </w:tcPr>
          <w:p w14:paraId="38C3D2BA" w14:textId="77777777" w:rsidR="000A03B2" w:rsidRPr="00B57B36" w:rsidRDefault="000A03B2" w:rsidP="00DE264A">
            <w:pPr>
              <w:tabs>
                <w:tab w:val="left" w:pos="-108"/>
              </w:tabs>
              <w:ind w:left="-108"/>
              <w:jc w:val="left"/>
              <w:rPr>
                <w:rFonts w:cs="Arial"/>
                <w:b/>
                <w:bCs/>
                <w:i/>
                <w:iCs/>
                <w:color w:val="000066"/>
                <w:sz w:val="12"/>
                <w:szCs w:val="12"/>
                <w:lang w:eastAsia="it-IT"/>
              </w:rPr>
            </w:pPr>
            <w:r w:rsidRPr="00B57B36">
              <w:rPr>
                <w:rFonts w:ascii="AdvP6960" w:hAnsi="AdvP6960" w:cs="AdvP6960"/>
                <w:noProof/>
                <w:color w:val="241F20"/>
                <w:szCs w:val="18"/>
                <w:lang w:val="it-IT" w:eastAsia="it-IT"/>
              </w:rPr>
              <w:drawing>
                <wp:inline distT="0" distB="0" distL="0" distR="0" wp14:anchorId="02B7C3D3" wp14:editId="5EE03112">
                  <wp:extent cx="640080" cy="373380"/>
                  <wp:effectExtent l="0" t="0" r="7620" b="7620"/>
                  <wp:docPr id="5" name="Immagine 5" descr="cet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etlogo"/>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 cy="373380"/>
                          </a:xfrm>
                          <a:prstGeom prst="rect">
                            <a:avLst/>
                          </a:prstGeom>
                          <a:noFill/>
                          <a:ln>
                            <a:noFill/>
                          </a:ln>
                        </pic:spPr>
                      </pic:pic>
                    </a:graphicData>
                  </a:graphic>
                </wp:inline>
              </w:drawing>
            </w:r>
            <w:r w:rsidRPr="00B57B36">
              <w:rPr>
                <w:rFonts w:ascii="AdvP6960" w:hAnsi="AdvP6960" w:cs="AdvP6960"/>
                <w:color w:val="241F20"/>
                <w:szCs w:val="18"/>
                <w:lang w:eastAsia="it-IT"/>
              </w:rPr>
              <w:t xml:space="preserve"> </w:t>
            </w:r>
            <w:r w:rsidRPr="00B57B36">
              <w:rPr>
                <w:rFonts w:cs="Arial"/>
                <w:b/>
                <w:bCs/>
                <w:i/>
                <w:iCs/>
                <w:color w:val="000066"/>
                <w:sz w:val="24"/>
                <w:szCs w:val="24"/>
                <w:lang w:eastAsia="it-IT"/>
              </w:rPr>
              <w:t>CHEMICAL ENGINEERING</w:t>
            </w:r>
            <w:r w:rsidRPr="00B57B36">
              <w:rPr>
                <w:rFonts w:cs="Arial"/>
                <w:b/>
                <w:bCs/>
                <w:i/>
                <w:iCs/>
                <w:color w:val="0033FF"/>
                <w:sz w:val="24"/>
                <w:szCs w:val="24"/>
                <w:lang w:eastAsia="it-IT"/>
              </w:rPr>
              <w:t xml:space="preserve"> </w:t>
            </w:r>
            <w:r w:rsidRPr="00B57B36">
              <w:rPr>
                <w:rFonts w:cs="Arial"/>
                <w:b/>
                <w:bCs/>
                <w:i/>
                <w:iCs/>
                <w:color w:val="666666"/>
                <w:sz w:val="24"/>
                <w:szCs w:val="24"/>
                <w:lang w:eastAsia="it-IT"/>
              </w:rPr>
              <w:t>TRANSACTIONS</w:t>
            </w:r>
            <w:r w:rsidRPr="00B57B36">
              <w:rPr>
                <w:color w:val="333333"/>
                <w:sz w:val="24"/>
                <w:szCs w:val="24"/>
                <w:lang w:eastAsia="it-IT"/>
              </w:rPr>
              <w:t xml:space="preserve"> </w:t>
            </w:r>
            <w:r w:rsidRPr="00B57B36">
              <w:rPr>
                <w:rFonts w:cs="Arial"/>
                <w:b/>
                <w:bCs/>
                <w:i/>
                <w:iCs/>
                <w:color w:val="000066"/>
                <w:sz w:val="27"/>
                <w:szCs w:val="27"/>
                <w:lang w:eastAsia="it-IT"/>
              </w:rPr>
              <w:br/>
            </w:r>
          </w:p>
          <w:p w14:paraId="4B780582" w14:textId="420CF944" w:rsidR="000A03B2" w:rsidRPr="00B57B36" w:rsidRDefault="00A76EFC" w:rsidP="001D21AF">
            <w:pPr>
              <w:tabs>
                <w:tab w:val="left" w:pos="-108"/>
              </w:tabs>
              <w:ind w:left="-108"/>
              <w:rPr>
                <w:rFonts w:cs="Arial"/>
                <w:b/>
                <w:bCs/>
                <w:i/>
                <w:iCs/>
                <w:color w:val="000066"/>
                <w:sz w:val="22"/>
                <w:szCs w:val="22"/>
                <w:lang w:eastAsia="it-IT"/>
              </w:rPr>
            </w:pPr>
            <w:r w:rsidRPr="00CE5820">
              <w:rPr>
                <w:rFonts w:cs="Arial"/>
                <w:b/>
                <w:bCs/>
                <w:i/>
                <w:iCs/>
                <w:color w:val="000066"/>
                <w:sz w:val="22"/>
                <w:szCs w:val="22"/>
                <w:lang w:eastAsia="it-IT"/>
              </w:rPr>
              <w:t>VOL.</w:t>
            </w:r>
            <w:r w:rsidR="00D67971" w:rsidRPr="00CE5820">
              <w:rPr>
                <w:rFonts w:cs="Arial"/>
                <w:b/>
                <w:bCs/>
                <w:i/>
                <w:iCs/>
                <w:color w:val="000066"/>
                <w:sz w:val="22"/>
                <w:szCs w:val="22"/>
                <w:lang w:eastAsia="it-IT"/>
              </w:rPr>
              <w:t xml:space="preserve"> ,</w:t>
            </w:r>
            <w:r w:rsidR="00FA5F5F" w:rsidRPr="00CE5820">
              <w:rPr>
                <w:rFonts w:cs="Arial"/>
                <w:b/>
                <w:bCs/>
                <w:i/>
                <w:iCs/>
                <w:color w:val="000066"/>
                <w:sz w:val="22"/>
                <w:szCs w:val="22"/>
                <w:lang w:eastAsia="it-IT"/>
              </w:rPr>
              <w:t xml:space="preserve"> </w:t>
            </w:r>
            <w:r w:rsidR="0030152C" w:rsidRPr="00CE5820">
              <w:rPr>
                <w:rFonts w:cs="Arial"/>
                <w:b/>
                <w:bCs/>
                <w:i/>
                <w:iCs/>
                <w:color w:val="000066"/>
                <w:sz w:val="22"/>
                <w:szCs w:val="22"/>
                <w:lang w:eastAsia="it-IT"/>
              </w:rPr>
              <w:t>202</w:t>
            </w:r>
            <w:r w:rsidR="00C24AF1" w:rsidRPr="00CE5820">
              <w:rPr>
                <w:rFonts w:cs="Arial"/>
                <w:b/>
                <w:bCs/>
                <w:i/>
                <w:iCs/>
                <w:color w:val="000066"/>
                <w:sz w:val="22"/>
                <w:szCs w:val="22"/>
                <w:lang w:eastAsia="it-IT"/>
              </w:rPr>
              <w:t>5</w:t>
            </w:r>
          </w:p>
        </w:tc>
        <w:tc>
          <w:tcPr>
            <w:tcW w:w="1842" w:type="dxa"/>
            <w:tcBorders>
              <w:left w:val="single" w:sz="4" w:space="0" w:color="auto"/>
              <w:bottom w:val="nil"/>
              <w:right w:val="single" w:sz="4" w:space="0" w:color="auto"/>
            </w:tcBorders>
          </w:tcPr>
          <w:p w14:paraId="56782132" w14:textId="77777777" w:rsidR="000A03B2" w:rsidRPr="00B57B36" w:rsidRDefault="000A03B2" w:rsidP="00CD5FE2">
            <w:pPr>
              <w:spacing w:line="140" w:lineRule="atLeast"/>
              <w:jc w:val="right"/>
              <w:rPr>
                <w:rFonts w:cs="Arial"/>
                <w:sz w:val="14"/>
                <w:szCs w:val="14"/>
              </w:rPr>
            </w:pPr>
            <w:r w:rsidRPr="00B57B36">
              <w:rPr>
                <w:rFonts w:cs="Arial"/>
                <w:sz w:val="14"/>
                <w:szCs w:val="14"/>
              </w:rPr>
              <w:t>A publication of</w:t>
            </w:r>
          </w:p>
          <w:p w14:paraId="599E5441" w14:textId="77777777" w:rsidR="000A03B2" w:rsidRPr="00B57B36" w:rsidRDefault="000A03B2" w:rsidP="00CD5FE2">
            <w:pPr>
              <w:jc w:val="right"/>
            </w:pPr>
            <w:r w:rsidRPr="00B57B36">
              <w:rPr>
                <w:noProof/>
                <w:lang w:val="it-IT" w:eastAsia="it-IT"/>
              </w:rPr>
              <w:drawing>
                <wp:inline distT="0" distB="0" distL="0" distR="0" wp14:anchorId="59C75AF4" wp14:editId="4FF92432">
                  <wp:extent cx="670560" cy="358140"/>
                  <wp:effectExtent l="0" t="0" r="0" b="3810"/>
                  <wp:docPr id="6" name="Immagine 6" descr="aidiclogo_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aidiclogo_gran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70560" cy="358140"/>
                          </a:xfrm>
                          <a:prstGeom prst="rect">
                            <a:avLst/>
                          </a:prstGeom>
                          <a:noFill/>
                          <a:ln>
                            <a:noFill/>
                          </a:ln>
                        </pic:spPr>
                      </pic:pic>
                    </a:graphicData>
                  </a:graphic>
                </wp:inline>
              </w:drawing>
            </w:r>
          </w:p>
        </w:tc>
      </w:tr>
      <w:tr w:rsidR="000A03B2" w:rsidRPr="00B57B36" w14:paraId="380FA3CD" w14:textId="77777777" w:rsidTr="005619C5">
        <w:trPr>
          <w:trHeight w:val="567"/>
          <w:jc w:val="center"/>
        </w:trPr>
        <w:tc>
          <w:tcPr>
            <w:tcW w:w="6940" w:type="dxa"/>
            <w:vMerge/>
            <w:tcBorders>
              <w:right w:val="single" w:sz="4" w:space="0" w:color="auto"/>
            </w:tcBorders>
          </w:tcPr>
          <w:p w14:paraId="39E5E4C1" w14:textId="77777777" w:rsidR="000A03B2" w:rsidRPr="00B57B36" w:rsidRDefault="000A03B2" w:rsidP="00CD5FE2">
            <w:pPr>
              <w:tabs>
                <w:tab w:val="left" w:pos="-108"/>
              </w:tabs>
            </w:pPr>
          </w:p>
        </w:tc>
        <w:tc>
          <w:tcPr>
            <w:tcW w:w="1842" w:type="dxa"/>
            <w:tcBorders>
              <w:left w:val="single" w:sz="4" w:space="0" w:color="auto"/>
              <w:bottom w:val="nil"/>
              <w:right w:val="single" w:sz="4" w:space="0" w:color="auto"/>
            </w:tcBorders>
          </w:tcPr>
          <w:p w14:paraId="43858A98" w14:textId="77777777" w:rsidR="000A03B2" w:rsidRPr="00B57B36" w:rsidRDefault="000A03B2" w:rsidP="00CD5FE2">
            <w:pPr>
              <w:spacing w:line="140" w:lineRule="atLeast"/>
              <w:jc w:val="right"/>
              <w:rPr>
                <w:rFonts w:cs="Arial"/>
                <w:sz w:val="14"/>
                <w:szCs w:val="14"/>
              </w:rPr>
            </w:pPr>
            <w:r w:rsidRPr="00B57B36">
              <w:rPr>
                <w:rFonts w:cs="Arial"/>
                <w:sz w:val="14"/>
                <w:szCs w:val="14"/>
              </w:rPr>
              <w:t>The Italian Association</w:t>
            </w:r>
          </w:p>
          <w:p w14:paraId="7522B1D2" w14:textId="77777777" w:rsidR="000A03B2" w:rsidRPr="00B57B36" w:rsidRDefault="000A03B2" w:rsidP="00CD5FE2">
            <w:pPr>
              <w:spacing w:line="140" w:lineRule="atLeast"/>
              <w:jc w:val="right"/>
              <w:rPr>
                <w:rFonts w:cs="Arial"/>
                <w:sz w:val="14"/>
                <w:szCs w:val="14"/>
              </w:rPr>
            </w:pPr>
            <w:r w:rsidRPr="00B57B36">
              <w:rPr>
                <w:rFonts w:cs="Arial"/>
                <w:sz w:val="14"/>
                <w:szCs w:val="14"/>
              </w:rPr>
              <w:t>of Chemical Engineering</w:t>
            </w:r>
          </w:p>
          <w:p w14:paraId="4F0CC5DE" w14:textId="47FDB2FC" w:rsidR="000A03B2" w:rsidRPr="000D0268" w:rsidRDefault="000D0268" w:rsidP="00CD5FE2">
            <w:pPr>
              <w:spacing w:line="140" w:lineRule="atLeast"/>
              <w:jc w:val="right"/>
              <w:rPr>
                <w:rFonts w:cs="Arial"/>
                <w:sz w:val="13"/>
                <w:szCs w:val="13"/>
              </w:rPr>
            </w:pPr>
            <w:r w:rsidRPr="000D0268">
              <w:rPr>
                <w:rFonts w:cs="Arial"/>
                <w:sz w:val="13"/>
                <w:szCs w:val="13"/>
              </w:rPr>
              <w:t>Online at www.cetjournal.it</w:t>
            </w:r>
          </w:p>
        </w:tc>
      </w:tr>
      <w:tr w:rsidR="000A03B2" w:rsidRPr="00B57B36" w14:paraId="2D1B7169" w14:textId="77777777" w:rsidTr="005619C5">
        <w:trPr>
          <w:trHeight w:val="68"/>
          <w:jc w:val="center"/>
        </w:trPr>
        <w:tc>
          <w:tcPr>
            <w:tcW w:w="8782" w:type="dxa"/>
            <w:gridSpan w:val="2"/>
          </w:tcPr>
          <w:p w14:paraId="1D8DD3C9" w14:textId="62C05688" w:rsidR="00AA7D26" w:rsidRPr="00A0035F" w:rsidRDefault="00AA7D26" w:rsidP="00AA7D26">
            <w:pPr>
              <w:ind w:left="-107"/>
              <w:outlineLvl w:val="2"/>
              <w:rPr>
                <w:rFonts w:ascii="Tahoma" w:hAnsi="Tahoma" w:cs="Tahoma"/>
                <w:bCs/>
                <w:color w:val="000000"/>
                <w:sz w:val="14"/>
                <w:szCs w:val="14"/>
                <w:lang w:val="it-IT" w:eastAsia="it-IT"/>
              </w:rPr>
            </w:pPr>
            <w:r w:rsidRPr="00A0035F">
              <w:rPr>
                <w:rFonts w:ascii="Tahoma" w:hAnsi="Tahoma" w:cs="Tahoma"/>
                <w:iCs/>
                <w:color w:val="333333"/>
                <w:sz w:val="14"/>
                <w:szCs w:val="14"/>
                <w:lang w:val="it-IT" w:eastAsia="it-IT"/>
              </w:rPr>
              <w:t>Guest Editors:</w:t>
            </w:r>
            <w:r w:rsidRPr="00A0035F">
              <w:rPr>
                <w:rFonts w:ascii="Tahoma" w:hAnsi="Tahoma" w:cs="Tahoma"/>
                <w:color w:val="000000"/>
                <w:sz w:val="14"/>
                <w:szCs w:val="14"/>
                <w:shd w:val="clear" w:color="auto" w:fill="FFFFFF"/>
                <w:lang w:val="it-IT"/>
              </w:rPr>
              <w:t xml:space="preserve"> </w:t>
            </w:r>
            <w:r w:rsidR="00A0035F" w:rsidRPr="005E72C6">
              <w:rPr>
                <w:rFonts w:ascii="Tahoma" w:hAnsi="Tahoma" w:cs="Tahoma"/>
                <w:color w:val="000000"/>
                <w:sz w:val="14"/>
                <w:szCs w:val="14"/>
                <w:shd w:val="clear" w:color="auto" w:fill="FFFFFF"/>
                <w:lang w:val="it-IT"/>
              </w:rPr>
              <w:t>Laura Piazza, Francesco Donsì</w:t>
            </w:r>
            <w:r w:rsidR="005E72C6" w:rsidRPr="005E72C6">
              <w:rPr>
                <w:rFonts w:ascii="Tahoma" w:hAnsi="Tahoma" w:cs="Tahoma"/>
                <w:color w:val="000000"/>
                <w:sz w:val="14"/>
                <w:szCs w:val="14"/>
                <w:shd w:val="clear" w:color="auto" w:fill="FFFFFF"/>
                <w:lang w:val="it-IT"/>
              </w:rPr>
              <w:t>,</w:t>
            </w:r>
            <w:r w:rsidR="00A0035F" w:rsidRPr="005E72C6">
              <w:rPr>
                <w:rFonts w:ascii="Tahoma" w:hAnsi="Tahoma" w:cs="Tahoma"/>
                <w:color w:val="000000"/>
                <w:sz w:val="14"/>
                <w:szCs w:val="14"/>
                <w:shd w:val="clear" w:color="auto" w:fill="FFFFFF"/>
                <w:lang w:val="it-IT"/>
              </w:rPr>
              <w:t xml:space="preserve"> Giorgia Spigno</w:t>
            </w:r>
          </w:p>
          <w:p w14:paraId="1B0F1814" w14:textId="7ED5C289" w:rsidR="000A03B2" w:rsidRPr="00B57B36" w:rsidRDefault="00AA7D26" w:rsidP="00AA7D26">
            <w:pPr>
              <w:tabs>
                <w:tab w:val="left" w:pos="-108"/>
              </w:tabs>
              <w:spacing w:line="140" w:lineRule="atLeast"/>
              <w:ind w:left="-107"/>
              <w:jc w:val="left"/>
            </w:pPr>
            <w:r>
              <w:rPr>
                <w:rFonts w:ascii="Tahoma" w:hAnsi="Tahoma" w:cs="Tahoma"/>
                <w:iCs/>
                <w:color w:val="333333"/>
                <w:sz w:val="14"/>
                <w:szCs w:val="14"/>
                <w:lang w:eastAsia="it-IT"/>
              </w:rPr>
              <w:t>Copyright © 202</w:t>
            </w:r>
            <w:r w:rsidR="00C24AF1">
              <w:rPr>
                <w:rFonts w:ascii="Tahoma" w:hAnsi="Tahoma" w:cs="Tahoma"/>
                <w:iCs/>
                <w:color w:val="333333"/>
                <w:sz w:val="14"/>
                <w:szCs w:val="14"/>
                <w:lang w:eastAsia="it-IT"/>
              </w:rPr>
              <w:t>5</w:t>
            </w:r>
            <w:r w:rsidRPr="00B57B36">
              <w:rPr>
                <w:rFonts w:ascii="Tahoma" w:hAnsi="Tahoma" w:cs="Tahoma"/>
                <w:iCs/>
                <w:color w:val="333333"/>
                <w:sz w:val="14"/>
                <w:szCs w:val="14"/>
                <w:lang w:eastAsia="it-IT"/>
              </w:rPr>
              <w:t>, AIDIC Servizi S.r.l.</w:t>
            </w:r>
            <w:r w:rsidRPr="00B57B36">
              <w:rPr>
                <w:rFonts w:ascii="Tahoma" w:hAnsi="Tahoma" w:cs="Tahoma"/>
                <w:iCs/>
                <w:color w:val="333333"/>
                <w:sz w:val="14"/>
                <w:szCs w:val="14"/>
                <w:lang w:eastAsia="it-IT"/>
              </w:rPr>
              <w:br/>
            </w:r>
            <w:r w:rsidRPr="00B57B36">
              <w:rPr>
                <w:rFonts w:ascii="Tahoma" w:hAnsi="Tahoma" w:cs="Tahoma"/>
                <w:b/>
                <w:iCs/>
                <w:color w:val="000000"/>
                <w:sz w:val="14"/>
                <w:szCs w:val="14"/>
                <w:lang w:eastAsia="it-IT"/>
              </w:rPr>
              <w:t>ISBN</w:t>
            </w:r>
            <w:r w:rsidRPr="00B57B36">
              <w:rPr>
                <w:rFonts w:ascii="Tahoma" w:hAnsi="Tahoma" w:cs="Tahoma"/>
                <w:iCs/>
                <w:color w:val="000000"/>
                <w:sz w:val="14"/>
                <w:szCs w:val="14"/>
                <w:lang w:eastAsia="it-IT"/>
              </w:rPr>
              <w:t xml:space="preserve"> </w:t>
            </w:r>
            <w:r w:rsidR="00D2582C" w:rsidRPr="000562A9">
              <w:rPr>
                <w:rFonts w:ascii="Tahoma" w:hAnsi="Tahoma" w:cs="Tahoma"/>
                <w:sz w:val="14"/>
                <w:szCs w:val="14"/>
              </w:rPr>
              <w:t>97</w:t>
            </w:r>
            <w:r w:rsidR="00D2582C">
              <w:rPr>
                <w:rFonts w:ascii="Tahoma" w:hAnsi="Tahoma" w:cs="Tahoma"/>
                <w:sz w:val="14"/>
                <w:szCs w:val="14"/>
              </w:rPr>
              <w:t>9</w:t>
            </w:r>
            <w:r w:rsidR="00D2582C" w:rsidRPr="000562A9">
              <w:rPr>
                <w:rFonts w:ascii="Tahoma" w:hAnsi="Tahoma" w:cs="Tahoma"/>
                <w:sz w:val="14"/>
                <w:szCs w:val="14"/>
              </w:rPr>
              <w:t>-</w:t>
            </w:r>
            <w:r w:rsidR="00D2582C">
              <w:rPr>
                <w:rFonts w:ascii="Tahoma" w:hAnsi="Tahoma" w:cs="Tahoma"/>
                <w:sz w:val="14"/>
                <w:szCs w:val="14"/>
              </w:rPr>
              <w:t>12</w:t>
            </w:r>
            <w:r w:rsidR="00D2582C" w:rsidRPr="000562A9">
              <w:rPr>
                <w:rFonts w:ascii="Tahoma" w:hAnsi="Tahoma" w:cs="Tahoma"/>
                <w:sz w:val="14"/>
                <w:szCs w:val="14"/>
              </w:rPr>
              <w:t>-</w:t>
            </w:r>
            <w:r w:rsidR="00D2582C">
              <w:rPr>
                <w:rFonts w:ascii="Tahoma" w:hAnsi="Tahoma" w:cs="Tahoma"/>
                <w:sz w:val="14"/>
                <w:szCs w:val="14"/>
              </w:rPr>
              <w:t>81206-</w:t>
            </w:r>
            <w:r w:rsidR="003312AE">
              <w:rPr>
                <w:rFonts w:ascii="Tahoma" w:hAnsi="Tahoma" w:cs="Tahoma"/>
                <w:sz w:val="14"/>
                <w:szCs w:val="14"/>
              </w:rPr>
              <w:t>19</w:t>
            </w:r>
            <w:r w:rsidR="00D2582C">
              <w:rPr>
                <w:rFonts w:ascii="Tahoma" w:hAnsi="Tahoma" w:cs="Tahoma"/>
                <w:sz w:val="14"/>
                <w:szCs w:val="14"/>
              </w:rPr>
              <w:t>-</w:t>
            </w:r>
            <w:r w:rsidR="003312AE">
              <w:rPr>
                <w:rFonts w:ascii="Tahoma" w:hAnsi="Tahoma" w:cs="Tahoma"/>
                <w:sz w:val="14"/>
                <w:szCs w:val="14"/>
              </w:rPr>
              <w:t>9</w:t>
            </w:r>
            <w:r w:rsidRPr="00EF06D9">
              <w:rPr>
                <w:rFonts w:ascii="Tahoma" w:hAnsi="Tahoma" w:cs="Tahoma"/>
                <w:iCs/>
                <w:color w:val="333333"/>
                <w:sz w:val="14"/>
                <w:szCs w:val="14"/>
                <w:lang w:eastAsia="it-IT"/>
              </w:rPr>
              <w:t>;</w:t>
            </w:r>
            <w:r w:rsidRPr="00B57B36">
              <w:rPr>
                <w:rFonts w:ascii="Tahoma" w:hAnsi="Tahoma" w:cs="Tahoma"/>
                <w:iCs/>
                <w:color w:val="333333"/>
                <w:sz w:val="14"/>
                <w:szCs w:val="14"/>
                <w:lang w:eastAsia="it-IT"/>
              </w:rPr>
              <w:t xml:space="preserve"> </w:t>
            </w:r>
            <w:r w:rsidRPr="00B57B36">
              <w:rPr>
                <w:rFonts w:ascii="Tahoma" w:hAnsi="Tahoma" w:cs="Tahoma"/>
                <w:b/>
                <w:iCs/>
                <w:color w:val="333333"/>
                <w:sz w:val="14"/>
                <w:szCs w:val="14"/>
                <w:lang w:eastAsia="it-IT"/>
              </w:rPr>
              <w:t>ISSN</w:t>
            </w:r>
            <w:r w:rsidRPr="00B57B36">
              <w:rPr>
                <w:rFonts w:ascii="Tahoma" w:hAnsi="Tahoma" w:cs="Tahoma"/>
                <w:iCs/>
                <w:color w:val="333333"/>
                <w:sz w:val="14"/>
                <w:szCs w:val="14"/>
                <w:lang w:eastAsia="it-IT"/>
              </w:rPr>
              <w:t xml:space="preserve"> 2283-9216</w:t>
            </w:r>
          </w:p>
        </w:tc>
      </w:tr>
    </w:tbl>
    <w:p w14:paraId="2E667253" w14:textId="42FAFCF6" w:rsidR="00E978D0" w:rsidRPr="00B11745" w:rsidRDefault="005619C5" w:rsidP="00E978D0">
      <w:pPr>
        <w:pStyle w:val="CETTitle"/>
      </w:pPr>
      <w:r w:rsidRPr="00B11745">
        <w:t xml:space="preserve">Oral </w:t>
      </w:r>
      <w:r w:rsidR="00D71178">
        <w:t>T</w:t>
      </w:r>
      <w:r w:rsidRPr="00B11745">
        <w:t xml:space="preserve">extural </w:t>
      </w:r>
      <w:r w:rsidR="00D71178">
        <w:t>P</w:t>
      </w:r>
      <w:r w:rsidRPr="00B11745">
        <w:t xml:space="preserve">roperties of </w:t>
      </w:r>
      <w:r w:rsidR="00D71178">
        <w:t>E</w:t>
      </w:r>
      <w:r w:rsidRPr="00B11745">
        <w:t>asy-to-</w:t>
      </w:r>
      <w:r w:rsidR="003E2F48">
        <w:t>S</w:t>
      </w:r>
      <w:r w:rsidRPr="00B11745">
        <w:t xml:space="preserve">wallow </w:t>
      </w:r>
      <w:r w:rsidR="00D71178">
        <w:t>F</w:t>
      </w:r>
      <w:r w:rsidRPr="00B11745">
        <w:t>oods</w:t>
      </w:r>
    </w:p>
    <w:p w14:paraId="0488FED2" w14:textId="0E8DC240" w:rsidR="00B57E6F" w:rsidRPr="00B11745" w:rsidRDefault="00A462EB" w:rsidP="00833382">
      <w:pPr>
        <w:pStyle w:val="CETAuthors"/>
        <w:rPr>
          <w:lang w:val="it-IT"/>
        </w:rPr>
      </w:pPr>
      <w:r w:rsidRPr="00B11745">
        <w:rPr>
          <w:lang w:val="it-IT"/>
        </w:rPr>
        <w:t>Giorgio Innocenzo Ascrizzi</w:t>
      </w:r>
      <w:r w:rsidR="00B57E6F" w:rsidRPr="00B11745">
        <w:rPr>
          <w:vertAlign w:val="superscript"/>
          <w:lang w:val="it-IT"/>
        </w:rPr>
        <w:t>a</w:t>
      </w:r>
      <w:r w:rsidR="00B57E6F" w:rsidRPr="00B11745">
        <w:rPr>
          <w:lang w:val="it-IT"/>
        </w:rPr>
        <w:t>,</w:t>
      </w:r>
      <w:r w:rsidRPr="00B11745">
        <w:rPr>
          <w:lang w:val="it-IT"/>
        </w:rPr>
        <w:t xml:space="preserve"> Laura Piazza</w:t>
      </w:r>
      <w:r w:rsidRPr="00B11745">
        <w:rPr>
          <w:vertAlign w:val="superscript"/>
          <w:lang w:val="it-IT"/>
        </w:rPr>
        <w:t>a</w:t>
      </w:r>
      <w:r w:rsidR="00B57E6F" w:rsidRPr="00B11745">
        <w:rPr>
          <w:vertAlign w:val="superscript"/>
          <w:lang w:val="it-IT"/>
        </w:rPr>
        <w:t>,</w:t>
      </w:r>
      <w:r w:rsidR="00B57E6F" w:rsidRPr="00B11745">
        <w:rPr>
          <w:lang w:val="it-IT"/>
        </w:rPr>
        <w:t>*</w:t>
      </w:r>
    </w:p>
    <w:p w14:paraId="6B2D21B3" w14:textId="26DC3451" w:rsidR="00B57E6F" w:rsidRPr="00B11745" w:rsidRDefault="00B57E6F" w:rsidP="00833382">
      <w:pPr>
        <w:pStyle w:val="CETAddress"/>
        <w:jc w:val="both"/>
      </w:pPr>
      <w:r w:rsidRPr="00B11745">
        <w:rPr>
          <w:vertAlign w:val="superscript"/>
        </w:rPr>
        <w:t>a</w:t>
      </w:r>
      <w:r w:rsidR="00D24586" w:rsidRPr="00B11745">
        <w:rPr>
          <w:vertAlign w:val="superscript"/>
        </w:rPr>
        <w:t xml:space="preserve"> </w:t>
      </w:r>
      <w:r w:rsidR="003B1BD6" w:rsidRPr="00B11745">
        <w:t>Università degli Studi di Milano, Department of Environmental Science and Policy, 20133, Milan, Italy</w:t>
      </w:r>
      <w:r w:rsidRPr="00B11745">
        <w:t xml:space="preserve"> </w:t>
      </w:r>
    </w:p>
    <w:p w14:paraId="7AFD3F16" w14:textId="1C5C185C" w:rsidR="00505533" w:rsidRPr="00B11745" w:rsidRDefault="003B1BD6" w:rsidP="00833382">
      <w:pPr>
        <w:pStyle w:val="CETemail"/>
        <w:jc w:val="both"/>
      </w:pPr>
      <w:r w:rsidRPr="00B11745">
        <w:t>*</w:t>
      </w:r>
      <w:r w:rsidR="00DE494A" w:rsidRPr="00B11745">
        <w:t xml:space="preserve"> </w:t>
      </w:r>
      <w:r w:rsidRPr="00B11745">
        <w:t>laura.piazza@unimi.it</w:t>
      </w:r>
    </w:p>
    <w:p w14:paraId="3911969E" w14:textId="723C9770" w:rsidR="00E678BB" w:rsidRDefault="00566C2F" w:rsidP="00B45A3A">
      <w:pPr>
        <w:pStyle w:val="CETBodytext"/>
      </w:pPr>
      <w:r w:rsidRPr="00A225B7">
        <w:t xml:space="preserve">This study is part of a broader project aimed at designing foods tailored to specific populations, such as easy-to-swallow products for individuals with </w:t>
      </w:r>
      <w:r w:rsidR="00DD2965" w:rsidRPr="009B1E7E">
        <w:t>dysphagia</w:t>
      </w:r>
      <w:r w:rsidR="00066AB5" w:rsidRPr="00A225B7">
        <w:t xml:space="preserve">, </w:t>
      </w:r>
      <w:r w:rsidR="00017B8E" w:rsidRPr="00A225B7">
        <w:t>emphasizing</w:t>
      </w:r>
      <w:r w:rsidRPr="00A225B7">
        <w:t xml:space="preserve"> the need for a deeper understanding </w:t>
      </w:r>
      <w:r w:rsidR="00D27666" w:rsidRPr="00D27666">
        <w:t xml:space="preserve">into oral processing </w:t>
      </w:r>
      <w:r w:rsidR="00C67819" w:rsidRPr="00C67819">
        <w:t>and its physiological interactions</w:t>
      </w:r>
      <w:r w:rsidR="00C67819">
        <w:t xml:space="preserve"> with food</w:t>
      </w:r>
      <w:r w:rsidRPr="00A225B7">
        <w:t>.</w:t>
      </w:r>
      <w:r w:rsidR="00891A72" w:rsidRPr="00A225B7">
        <w:t xml:space="preserve"> </w:t>
      </w:r>
      <w:r w:rsidR="00642516" w:rsidRPr="00A225B7">
        <w:t>The lack of objective datasets further complicates this effort.</w:t>
      </w:r>
      <w:r w:rsidRPr="00A225B7">
        <w:t xml:space="preserve"> </w:t>
      </w:r>
      <w:r w:rsidR="00D47F5B" w:rsidRPr="00A225B7">
        <w:t>Th</w:t>
      </w:r>
      <w:r w:rsidR="000C4B06" w:rsidRPr="00A225B7">
        <w:t>is</w:t>
      </w:r>
      <w:r w:rsidR="00D47F5B" w:rsidRPr="00A225B7">
        <w:t xml:space="preserve"> research focused on data collection from commercial ready-to-eat foods designed for </w:t>
      </w:r>
      <w:r w:rsidR="000C4B06" w:rsidRPr="00A225B7">
        <w:t>dysphagia</w:t>
      </w:r>
      <w:r w:rsidR="00D47F5B" w:rsidRPr="00A225B7">
        <w:t>.</w:t>
      </w:r>
      <w:r w:rsidR="00B45A3A" w:rsidRPr="00A225B7">
        <w:t xml:space="preserve"> </w:t>
      </w:r>
      <w:r w:rsidR="00D47F5B" w:rsidRPr="00A225B7">
        <w:t>The products analyzed spanned various categories, all classified as soft</w:t>
      </w:r>
      <w:r w:rsidR="000C4B06" w:rsidRPr="00A225B7">
        <w:t>-</w:t>
      </w:r>
      <w:r w:rsidR="00D47F5B" w:rsidRPr="00A225B7">
        <w:t>solids with</w:t>
      </w:r>
      <w:r w:rsidR="00E07E30" w:rsidRPr="00A225B7">
        <w:t xml:space="preserve"> expected distinct</w:t>
      </w:r>
      <w:r w:rsidR="00D47F5B" w:rsidRPr="00A225B7">
        <w:t xml:space="preserve"> flow behaviors during oral mixing and swallowing. Measurements included </w:t>
      </w:r>
      <w:r w:rsidR="00E07E30" w:rsidRPr="00A225B7">
        <w:t xml:space="preserve">the assessment of the flow behavior, of </w:t>
      </w:r>
      <w:r w:rsidR="00D47F5B" w:rsidRPr="00A225B7">
        <w:t xml:space="preserve">mucoadhesion </w:t>
      </w:r>
      <w:r w:rsidR="009D7233" w:rsidRPr="00A225B7">
        <w:t>on</w:t>
      </w:r>
      <w:r w:rsidR="00D47F5B" w:rsidRPr="00A225B7">
        <w:t xml:space="preserve"> porcine tissue, and </w:t>
      </w:r>
      <w:r w:rsidR="00E07E30" w:rsidRPr="00A225B7">
        <w:t xml:space="preserve">of </w:t>
      </w:r>
      <w:r w:rsidR="00D47F5B" w:rsidRPr="00A225B7">
        <w:t>texture-cohesiveness properties relevant to in-mouth behavior. Flow curves were modelled using the Herschel-Bulkley equation</w:t>
      </w:r>
      <w:r w:rsidR="00E07E30" w:rsidRPr="00A225B7">
        <w:t xml:space="preserve">. </w:t>
      </w:r>
      <w:bookmarkStart w:id="0" w:name="_Hlk189576783"/>
      <w:bookmarkStart w:id="1" w:name="_Hlk189563635"/>
      <w:r w:rsidR="004F40D7">
        <w:t>Moreover</w:t>
      </w:r>
      <w:r w:rsidR="00CA6043">
        <w:t>, t</w:t>
      </w:r>
      <w:r w:rsidR="00D47F5B" w:rsidRPr="00A225B7">
        <w:t xml:space="preserve">he oral-relevant viscosities were measured </w:t>
      </w:r>
      <w:r w:rsidR="00CA4063" w:rsidRPr="00A225B7">
        <w:t xml:space="preserve">for the </w:t>
      </w:r>
      <w:r w:rsidRPr="00A225B7">
        <w:t>in-mouth mixing</w:t>
      </w:r>
      <w:r w:rsidR="00F0750B" w:rsidRPr="00A225B7">
        <w:t>, the</w:t>
      </w:r>
      <w:r w:rsidR="00B45A3A" w:rsidRPr="00A225B7">
        <w:t xml:space="preserve"> </w:t>
      </w:r>
      <w:r w:rsidRPr="00A225B7">
        <w:t>pharyngeal swallowing</w:t>
      </w:r>
      <w:r w:rsidR="001A1041" w:rsidRPr="00A225B7">
        <w:t xml:space="preserve">, </w:t>
      </w:r>
      <w:r w:rsidR="00F0750B" w:rsidRPr="00A225B7">
        <w:t>and to assign foods to their respective IDDSI levels</w:t>
      </w:r>
      <w:r w:rsidRPr="00A225B7">
        <w:t>.</w:t>
      </w:r>
      <w:bookmarkEnd w:id="0"/>
      <w:r w:rsidRPr="00A225B7">
        <w:t xml:space="preserve"> </w:t>
      </w:r>
      <w:bookmarkEnd w:id="1"/>
      <w:r w:rsidR="00B56164" w:rsidRPr="00A225B7">
        <w:t>Texture properties were assessed via back-extrusion tests, while mucoadhesion was evaluated</w:t>
      </w:r>
      <w:r w:rsidR="00AA19CC" w:rsidRPr="00A225B7">
        <w:t xml:space="preserve"> </w:t>
      </w:r>
      <w:r w:rsidR="00E07E30" w:rsidRPr="00A225B7">
        <w:t xml:space="preserve">in compression mode </w:t>
      </w:r>
      <w:r w:rsidR="00B56164" w:rsidRPr="00A225B7">
        <w:t xml:space="preserve">on porcine tongue. Key findings showed that fruit-based preparations exhibited the highest yield stress, while </w:t>
      </w:r>
      <w:r w:rsidR="00E07E30" w:rsidRPr="00A225B7">
        <w:t xml:space="preserve">the </w:t>
      </w:r>
      <w:r w:rsidR="00B56164" w:rsidRPr="00A225B7">
        <w:t>other products had very low yield stress.</w:t>
      </w:r>
      <w:r w:rsidR="00604A90" w:rsidRPr="00A225B7">
        <w:t xml:space="preserve"> It can be concluded that </w:t>
      </w:r>
      <w:r w:rsidR="00F26FCA" w:rsidRPr="00A225B7">
        <w:t>p</w:t>
      </w:r>
      <w:r w:rsidR="00AC549D" w:rsidRPr="00A225B7">
        <w:t>roducts within the same viscosity class exhibited significant variations in</w:t>
      </w:r>
      <w:r w:rsidR="00604A90" w:rsidRPr="00A225B7">
        <w:t>-mouth texture</w:t>
      </w:r>
      <w:r w:rsidR="00E678BB" w:rsidRPr="00A225B7">
        <w:t xml:space="preserve"> and rheology</w:t>
      </w:r>
      <w:r w:rsidR="00AC549D" w:rsidRPr="00A225B7">
        <w:t>, including mucoadhesion</w:t>
      </w:r>
      <w:r w:rsidR="00543850" w:rsidRPr="00A225B7">
        <w:t xml:space="preserve">. </w:t>
      </w:r>
      <w:r w:rsidR="00E678BB" w:rsidRPr="00A225B7">
        <w:t>These results highlight the importance of considering properties beyond viscosity, such as cohesiveness and mucoadhesion, when designing dysphagia-oriented foods to ensure safe and comfortable swallowing.</w:t>
      </w:r>
    </w:p>
    <w:p w14:paraId="7802FC9D" w14:textId="77777777" w:rsidR="00B562FA" w:rsidRPr="00A225B7" w:rsidRDefault="00B562FA" w:rsidP="00B45A3A">
      <w:pPr>
        <w:pStyle w:val="CETBodytext"/>
      </w:pPr>
    </w:p>
    <w:p w14:paraId="65734052" w14:textId="77777777" w:rsidR="00505533" w:rsidRPr="00A225B7" w:rsidRDefault="00505533" w:rsidP="00796715">
      <w:pPr>
        <w:pStyle w:val="CETHeading1"/>
        <w:jc w:val="both"/>
      </w:pPr>
      <w:r w:rsidRPr="00A225B7">
        <w:t>Introduction</w:t>
      </w:r>
    </w:p>
    <w:p w14:paraId="2E1033D3" w14:textId="41DA1571" w:rsidR="00505533" w:rsidRPr="00A225B7" w:rsidRDefault="00F92E25" w:rsidP="00645C6F">
      <w:pPr>
        <w:pStyle w:val="CETBodytext"/>
      </w:pPr>
      <w:r w:rsidRPr="00A225B7">
        <w:t xml:space="preserve">The design of foods tailored to the specific needs of people with swallowing difficulties, such as dysphagia, is a critical area of research in food science and nutrition. Dysphagia, a condition characterized by swallowing impairment, affects a significant proportion of the world's population (8%) and not only impacts nutritional intake, but also poses the risk of aspiration and choking, thus affecting the quality of life and health outcomes (Gallegos et al., 2017). The management of dysphagia through texture-modified foods is essential to reduce chewing difficulties, while thickened liquids are used to slow down the swallowing process, improving its safety and efficiency (Giura et al., 2021). The complexity in developing dysphagia-oriented foods lies in understanding and controlling the </w:t>
      </w:r>
      <w:r w:rsidR="00E07E30" w:rsidRPr="00A225B7">
        <w:t xml:space="preserve">main </w:t>
      </w:r>
      <w:r w:rsidRPr="00A225B7">
        <w:t xml:space="preserve">physical parameters that influence oral processing and swallowing. Traditional approaches to food formulation have </w:t>
      </w:r>
      <w:r w:rsidR="00CB532A" w:rsidRPr="00A225B7">
        <w:t>frequently</w:t>
      </w:r>
      <w:r w:rsidRPr="00A225B7">
        <w:t xml:space="preserve"> focused on viscosity as the key determinant of swallowability. However, viscosity alone seems to be insufficient to describe the in-mouth behavior and swallowing dynamics of food. Therefore, the interactions between the food and the oral cavity during oral processing need to be investigated.</w:t>
      </w:r>
    </w:p>
    <w:p w14:paraId="4F421FBA" w14:textId="315290BC" w:rsidR="00505533" w:rsidRPr="00265EAC" w:rsidRDefault="00505533" w:rsidP="00796715">
      <w:pPr>
        <w:pStyle w:val="CETHeading1"/>
        <w:jc w:val="both"/>
      </w:pPr>
      <w:r w:rsidRPr="00265EAC">
        <w:t xml:space="preserve">Materials and </w:t>
      </w:r>
      <w:r w:rsidR="005435EF" w:rsidRPr="00265EAC">
        <w:t>M</w:t>
      </w:r>
      <w:r w:rsidRPr="00265EAC">
        <w:t>ethods</w:t>
      </w:r>
    </w:p>
    <w:p w14:paraId="6A47B0B8" w14:textId="69296574" w:rsidR="00505533" w:rsidRPr="00A225B7" w:rsidRDefault="00DB4328" w:rsidP="00AB54C9">
      <w:pPr>
        <w:pStyle w:val="CETheadingx"/>
      </w:pPr>
      <w:r w:rsidRPr="00A225B7">
        <w:t>Materials</w:t>
      </w:r>
    </w:p>
    <w:p w14:paraId="504D464D" w14:textId="667571E8" w:rsidR="002F6C6A" w:rsidRPr="00A225B7" w:rsidRDefault="00E07E30" w:rsidP="00B45A3A">
      <w:pPr>
        <w:pStyle w:val="CETBodytext"/>
      </w:pPr>
      <w:r w:rsidRPr="00A225B7">
        <w:t>F</w:t>
      </w:r>
      <w:r w:rsidR="00E45D00" w:rsidRPr="00A225B7">
        <w:t>ive dysphagia-oriented ready-to-eat</w:t>
      </w:r>
      <w:r w:rsidR="0077354E" w:rsidRPr="00A225B7">
        <w:t xml:space="preserve"> </w:t>
      </w:r>
      <w:r w:rsidR="00E45D00" w:rsidRPr="00A225B7">
        <w:t xml:space="preserve">foods </w:t>
      </w:r>
      <w:r w:rsidR="0077354E" w:rsidRPr="00A225B7">
        <w:t>(D</w:t>
      </w:r>
      <w:r w:rsidR="00597B31" w:rsidRPr="00A225B7">
        <w:t>RF</w:t>
      </w:r>
      <w:r w:rsidR="00F16F3A" w:rsidRPr="00A225B7">
        <w:t>s</w:t>
      </w:r>
      <w:r w:rsidR="0077354E" w:rsidRPr="00A225B7">
        <w:t xml:space="preserve">) </w:t>
      </w:r>
      <w:r w:rsidR="00E45D00" w:rsidRPr="00A225B7">
        <w:t>belonging to different food categories (</w:t>
      </w:r>
      <w:r w:rsidR="00442B5F" w:rsidRPr="00A225B7">
        <w:t xml:space="preserve">namely, </w:t>
      </w:r>
      <w:r w:rsidR="00E45D00" w:rsidRPr="00A225B7">
        <w:t>carbohydrate-rich foods, protein-rich foods, fruits and vegetables, desserts, thickened waters) were evaluated</w:t>
      </w:r>
      <w:r w:rsidR="00442B5F" w:rsidRPr="00A225B7">
        <w:t>.</w:t>
      </w:r>
      <w:r w:rsidR="002F6C6A" w:rsidRPr="00A225B7">
        <w:t xml:space="preserve"> Specifically, the selected products included: pasta-based puree, chicken-based puree, apple-based puree, vanilla-flavored pudding, and orange-flavored thickened water, providing a representative sampling of commercially available products (Ascrizzi et al., 2024).</w:t>
      </w:r>
    </w:p>
    <w:p w14:paraId="67EEC17A" w14:textId="59941C0E" w:rsidR="00AC6B83" w:rsidRPr="00A225B7" w:rsidRDefault="00AC6B83" w:rsidP="00B45A3A">
      <w:pPr>
        <w:pStyle w:val="CETBodytext"/>
      </w:pPr>
      <w:r w:rsidRPr="00A225B7">
        <w:t>All dysphagia oriented-products</w:t>
      </w:r>
      <w:r w:rsidR="00C2446B" w:rsidRPr="00A225B7">
        <w:t xml:space="preserve"> were purchased from a local </w:t>
      </w:r>
      <w:r w:rsidR="006902CF" w:rsidRPr="00A225B7">
        <w:t xml:space="preserve">pharmacy (Milan, Italy). </w:t>
      </w:r>
      <w:r w:rsidR="00E45D00" w:rsidRPr="00A225B7">
        <w:t xml:space="preserve">Porcine tongues </w:t>
      </w:r>
      <w:r w:rsidR="00B611E6" w:rsidRPr="00A225B7">
        <w:t xml:space="preserve">used in the mucoadhesion test </w:t>
      </w:r>
      <w:r w:rsidR="00E45D00" w:rsidRPr="00A225B7">
        <w:t>were obtained from a local</w:t>
      </w:r>
      <w:r w:rsidR="007E0C85" w:rsidRPr="00A225B7">
        <w:t xml:space="preserve"> swine </w:t>
      </w:r>
      <w:r w:rsidR="00E45D00" w:rsidRPr="00A225B7">
        <w:t>slaughterhouse (Lodi, Italy).</w:t>
      </w:r>
    </w:p>
    <w:p w14:paraId="6F431C5E" w14:textId="00D34AC1" w:rsidR="00DB4328" w:rsidRPr="00A225B7" w:rsidRDefault="002F6C6A" w:rsidP="00AB54C9">
      <w:pPr>
        <w:pStyle w:val="CETheadingx"/>
      </w:pPr>
      <w:r w:rsidRPr="00A225B7">
        <w:lastRenderedPageBreak/>
        <w:t xml:space="preserve">Flow </w:t>
      </w:r>
      <w:r w:rsidR="00543850" w:rsidRPr="00A225B7">
        <w:t>behavior</w:t>
      </w:r>
      <w:r w:rsidR="00B45A3A" w:rsidRPr="00A225B7">
        <w:t xml:space="preserve"> </w:t>
      </w:r>
      <w:r w:rsidR="00DB74EE" w:rsidRPr="00A225B7">
        <w:t>assessment</w:t>
      </w:r>
    </w:p>
    <w:p w14:paraId="2ACAA573" w14:textId="5C80B82B" w:rsidR="00833382" w:rsidRPr="00265EAC" w:rsidRDefault="002F6C6A" w:rsidP="00B45A3A">
      <w:pPr>
        <w:pStyle w:val="CETBodytext"/>
      </w:pPr>
      <w:r w:rsidRPr="00A225B7">
        <w:t xml:space="preserve">A </w:t>
      </w:r>
      <w:r w:rsidR="00833382" w:rsidRPr="00A225B7">
        <w:t>combined motor transducer rheometer (DHR-2, TA Instruments, USA), equipped with a 40 mm diameter cone-plate geometry</w:t>
      </w:r>
      <w:r w:rsidRPr="00A225B7">
        <w:t xml:space="preserve"> was used.</w:t>
      </w:r>
      <w:r w:rsidR="00E64A7C" w:rsidRPr="00A225B7">
        <w:t xml:space="preserve"> </w:t>
      </w:r>
      <w:r w:rsidRPr="00A225B7">
        <w:t>T</w:t>
      </w:r>
      <w:r w:rsidR="00833382" w:rsidRPr="00A225B7">
        <w:t>ests temperature was kept constant at 25 ± 0.1 °C and a solvent trap was used to prevent loss of solvent.</w:t>
      </w:r>
      <w:r w:rsidR="003C37A5" w:rsidRPr="00A225B7">
        <w:t xml:space="preserve"> Shear flow tests were run in the range 0.01</w:t>
      </w:r>
      <w:r w:rsidR="00DD5A5C" w:rsidRPr="00A225B7">
        <w:t>-</w:t>
      </w:r>
      <w:r w:rsidR="003C37A5" w:rsidRPr="00A225B7">
        <w:t>1</w:t>
      </w:r>
      <w:r w:rsidR="00BC540C" w:rsidRPr="00A225B7">
        <w:t>,</w:t>
      </w:r>
      <w:r w:rsidR="003C37A5" w:rsidRPr="00A225B7">
        <w:t>000</w:t>
      </w:r>
      <w:r w:rsidR="00313576" w:rsidRPr="00A225B7">
        <w:t xml:space="preserve"> </w:t>
      </w:r>
      <w:r w:rsidR="00F11170" w:rsidRPr="00A225B7">
        <w:t>s</w:t>
      </w:r>
      <w:r w:rsidR="00F11170" w:rsidRPr="006E5758">
        <w:rPr>
          <w:vertAlign w:val="superscript"/>
        </w:rPr>
        <w:t>−1</w:t>
      </w:r>
      <w:r w:rsidR="00BC540C" w:rsidRPr="00A225B7">
        <w:t>.</w:t>
      </w:r>
      <w:r w:rsidR="003C37A5" w:rsidRPr="00A225B7">
        <w:t xml:space="preserve"> Data were modelled using Herschel-</w:t>
      </w:r>
      <w:r w:rsidR="003C37A5" w:rsidRPr="00265EAC">
        <w:t xml:space="preserve">Bulkley </w:t>
      </w:r>
      <w:r w:rsidR="003C37A5" w:rsidRPr="00265EAC">
        <w:rPr>
          <w:b/>
          <w:bCs/>
        </w:rPr>
        <w:t>Eq</w:t>
      </w:r>
      <w:r w:rsidR="003C37A5" w:rsidRPr="00265EAC">
        <w:t>(</w:t>
      </w:r>
      <w:r w:rsidR="001B5554" w:rsidRPr="00265EAC">
        <w:rPr>
          <w:b/>
          <w:bCs/>
        </w:rPr>
        <w:t>1</w:t>
      </w:r>
      <w:r w:rsidR="003C37A5" w:rsidRPr="00265EAC">
        <w:t xml:space="preserve">) to </w:t>
      </w:r>
      <w:r w:rsidRPr="00265EAC">
        <w:t xml:space="preserve">quantify the </w:t>
      </w:r>
      <w:r w:rsidR="00AD691F" w:rsidRPr="00265EAC">
        <w:t>shear-thinning behavior</w:t>
      </w:r>
      <w:r w:rsidRPr="00265EAC">
        <w:t>:</w:t>
      </w:r>
    </w:p>
    <w:p w14:paraId="1AFEC5B1" w14:textId="5C39F5A3" w:rsidR="0007765B" w:rsidRPr="00A225B7" w:rsidRDefault="000D68D4" w:rsidP="00796715">
      <w:pPr>
        <w:pStyle w:val="CETEquation"/>
        <w:jc w:val="both"/>
        <w:rPr>
          <w:lang w:val="en-US"/>
        </w:rPr>
      </w:pPr>
      <m:oMath>
        <m:r>
          <w:rPr>
            <w:rFonts w:ascii="Cambria Math" w:hAnsi="Cambria Math"/>
          </w:rPr>
          <m:t>σ</m:t>
        </m:r>
        <m:r>
          <m:rPr>
            <m:sty m:val="p"/>
          </m:rPr>
          <w:rPr>
            <w:rFonts w:ascii="Cambria Math" w:hAnsi="Cambria Math"/>
          </w:rPr>
          <m:t>=</m:t>
        </m:r>
        <m:sSub>
          <m:sSubPr>
            <m:ctrlPr>
              <w:rPr>
                <w:rFonts w:ascii="Cambria Math" w:hAnsi="Cambria Math"/>
                <w:lang w:val="en-US"/>
              </w:rPr>
            </m:ctrlPr>
          </m:sSubPr>
          <m:e>
            <m:r>
              <w:rPr>
                <w:rFonts w:ascii="Cambria Math" w:hAnsi="Cambria Math"/>
              </w:rPr>
              <m:t>σ</m:t>
            </m:r>
          </m:e>
          <m:sub>
            <m:r>
              <m:rPr>
                <m:sty m:val="p"/>
              </m:rPr>
              <w:rPr>
                <w:rFonts w:ascii="Cambria Math" w:hAnsi="Cambria Math"/>
              </w:rPr>
              <m:t>0</m:t>
            </m:r>
          </m:sub>
        </m:sSub>
        <m:r>
          <m:rPr>
            <m:sty m:val="p"/>
          </m:rPr>
          <w:rPr>
            <w:rFonts w:ascii="Cambria Math" w:hAnsi="Cambria Math"/>
          </w:rPr>
          <m:t xml:space="preserve">+ </m:t>
        </m:r>
        <m:r>
          <w:rPr>
            <w:rFonts w:ascii="Cambria Math" w:hAnsi="Cambria Math"/>
          </w:rPr>
          <m:t>k</m:t>
        </m:r>
        <m:r>
          <m:rPr>
            <m:sty m:val="p"/>
          </m:rPr>
          <w:rPr>
            <w:rFonts w:ascii="Cambria Math" w:hAnsi="Cambria Math"/>
          </w:rPr>
          <m:t>⋅</m:t>
        </m:r>
        <m:sSup>
          <m:sSupPr>
            <m:ctrlPr>
              <w:rPr>
                <w:rFonts w:ascii="Cambria Math" w:hAnsi="Cambria Math"/>
                <w:lang w:val="en-US"/>
              </w:rPr>
            </m:ctrlPr>
          </m:sSupPr>
          <m:e>
            <m:r>
              <w:rPr>
                <w:rFonts w:ascii="Cambria Math" w:hAnsi="Cambria Math"/>
              </w:rPr>
              <m:t>γ</m:t>
            </m:r>
            <m:r>
              <m:rPr>
                <m:sty m:val="p"/>
              </m:rPr>
              <w:rPr>
                <w:rFonts w:ascii="Cambria Math" w:hAnsi="Cambria Math"/>
              </w:rPr>
              <m:t xml:space="preserve"> ̇</m:t>
            </m:r>
          </m:e>
          <m:sup>
            <m:r>
              <w:rPr>
                <w:rFonts w:ascii="Cambria Math" w:hAnsi="Cambria Math"/>
              </w:rPr>
              <m:t>n</m:t>
            </m:r>
          </m:sup>
        </m:sSup>
        <m:r>
          <m:rPr>
            <m:sty m:val="p"/>
          </m:rPr>
          <w:rPr>
            <w:rFonts w:ascii="Cambria Math" w:hAnsi="Cambria Math"/>
          </w:rPr>
          <m:t xml:space="preserve"> </m:t>
        </m:r>
      </m:oMath>
      <w:r w:rsidRPr="00FF0F52">
        <w:t xml:space="preserve">           </w:t>
      </w:r>
      <w:r w:rsidR="00466008" w:rsidRPr="00A225B7">
        <w:rPr>
          <w:lang w:val="en-US"/>
        </w:rPr>
        <w:tab/>
      </w:r>
      <w:r w:rsidR="00466008" w:rsidRPr="00A225B7">
        <w:rPr>
          <w:lang w:val="en-US"/>
        </w:rPr>
        <w:tab/>
        <w:t xml:space="preserve">             </w:t>
      </w:r>
      <w:r w:rsidRPr="00A225B7">
        <w:rPr>
          <w:lang w:val="en-US"/>
        </w:rPr>
        <w:t xml:space="preserve">  (</w:t>
      </w:r>
      <w:r w:rsidRPr="00A225B7">
        <w:rPr>
          <w:b/>
          <w:bCs/>
          <w:lang w:val="en-US"/>
        </w:rPr>
        <w:t>1</w:t>
      </w:r>
      <w:r w:rsidRPr="00A225B7">
        <w:rPr>
          <w:lang w:val="en-US"/>
        </w:rPr>
        <w:t>)</w:t>
      </w:r>
    </w:p>
    <w:p w14:paraId="6D22D5EA" w14:textId="77777777" w:rsidR="00E62D57" w:rsidRDefault="000D68D4" w:rsidP="009A01B2">
      <w:pPr>
        <w:pStyle w:val="CETBodytext"/>
      </w:pPr>
      <w:r w:rsidRPr="00A225B7">
        <w:tab/>
      </w:r>
      <w:bookmarkStart w:id="2" w:name="_Hlk189576598"/>
      <w:r w:rsidRPr="00A225B7">
        <w:t xml:space="preserve">where </w:t>
      </w:r>
      <m:oMath>
        <m:r>
          <w:rPr>
            <w:rFonts w:ascii="Cambria Math" w:hAnsi="Cambria Math"/>
          </w:rPr>
          <m:t>σ</m:t>
        </m:r>
      </m:oMath>
      <w:r w:rsidRPr="00A225B7">
        <w:t xml:space="preserve"> is the shear stress (Pa), </w:t>
      </w:r>
      <w:bookmarkStart w:id="3" w:name="_Hlk155628581"/>
      <m:oMath>
        <m:r>
          <w:rPr>
            <w:rFonts w:ascii="Cambria Math" w:hAnsi="Cambria Math"/>
          </w:rPr>
          <m:t>σ</m:t>
        </m:r>
      </m:oMath>
      <w:r w:rsidRPr="00A225B7">
        <w:rPr>
          <w:vertAlign w:val="subscript"/>
        </w:rPr>
        <w:t>0</w:t>
      </w:r>
      <w:bookmarkEnd w:id="3"/>
      <w:r w:rsidRPr="00A225B7">
        <w:t xml:space="preserve"> is the yield stress (Pa), </w:t>
      </w:r>
      <m:oMath>
        <m:r>
          <w:rPr>
            <w:rFonts w:ascii="Cambria Math" w:hAnsi="Cambria Math"/>
          </w:rPr>
          <m:t>k</m:t>
        </m:r>
      </m:oMath>
      <w:r w:rsidRPr="00A225B7">
        <w:t xml:space="preserve"> is the consistency index (Pa·s</w:t>
      </w:r>
      <w:r w:rsidRPr="00A225B7">
        <w:rPr>
          <w:vertAlign w:val="superscript"/>
        </w:rPr>
        <w:t>n</w:t>
      </w:r>
      <w:r w:rsidRPr="00A225B7">
        <w:t>),</w:t>
      </w:r>
      <w:r w:rsidRPr="00A225B7">
        <w:rPr>
          <w:i/>
          <w:iCs/>
        </w:rPr>
        <w:t xml:space="preserve"> γ</w:t>
      </w:r>
      <w:r w:rsidR="00367E85" w:rsidRPr="00A225B7">
        <w:t>̇</w:t>
      </w:r>
      <w:r w:rsidRPr="00A225B7">
        <w:t xml:space="preserve"> is the shear rate (</w:t>
      </w:r>
      <w:r w:rsidR="00E653E2" w:rsidRPr="00A225B7">
        <w:t>s</w:t>
      </w:r>
      <w:r w:rsidR="00E653E2" w:rsidRPr="00A225B7">
        <w:rPr>
          <w:vertAlign w:val="superscript"/>
        </w:rPr>
        <w:t>−1</w:t>
      </w:r>
      <w:r w:rsidRPr="00A225B7">
        <w:t xml:space="preserve">) and </w:t>
      </w:r>
      <w:r w:rsidRPr="00A225B7">
        <w:rPr>
          <w:i/>
          <w:iCs/>
        </w:rPr>
        <w:t>n</w:t>
      </w:r>
      <w:r w:rsidRPr="00A225B7">
        <w:t xml:space="preserve"> is the flow behavior index</w:t>
      </w:r>
      <w:bookmarkEnd w:id="2"/>
      <w:r w:rsidRPr="00A225B7">
        <w:t>.</w:t>
      </w:r>
      <w:r w:rsidR="00405E07" w:rsidRPr="00A225B7">
        <w:t xml:space="preserve"> </w:t>
      </w:r>
    </w:p>
    <w:p w14:paraId="5A44D27F" w14:textId="0C670AB3" w:rsidR="00960977" w:rsidRPr="00A225B7" w:rsidRDefault="002F6C6A" w:rsidP="009A01B2">
      <w:pPr>
        <w:pStyle w:val="CETBodytext"/>
      </w:pPr>
      <w:r w:rsidRPr="00A225B7">
        <w:t>O</w:t>
      </w:r>
      <w:r w:rsidR="00960977" w:rsidRPr="00A225B7">
        <w:t>ral-relevant viscosities</w:t>
      </w:r>
      <w:r w:rsidR="00D572C8" w:rsidRPr="00A225B7">
        <w:t xml:space="preserve"> (</w:t>
      </w:r>
      <w:r w:rsidR="00D572C8" w:rsidRPr="00A225B7">
        <w:rPr>
          <w:rFonts w:cs="Arial"/>
        </w:rPr>
        <w:t>ƞ</w:t>
      </w:r>
      <w:r w:rsidR="00D572C8" w:rsidRPr="00A225B7">
        <w:t>)</w:t>
      </w:r>
      <w:r w:rsidR="00960977" w:rsidRPr="00A225B7">
        <w:t xml:space="preserve"> </w:t>
      </w:r>
      <w:r w:rsidRPr="00A225B7">
        <w:t xml:space="preserve">ascribed to </w:t>
      </w:r>
      <w:r w:rsidR="00960977" w:rsidRPr="00A225B7">
        <w:t xml:space="preserve">the in-mouth mixing (10 </w:t>
      </w:r>
      <w:r w:rsidR="00E653E2" w:rsidRPr="00A225B7">
        <w:t>s</w:t>
      </w:r>
      <w:r w:rsidR="00E653E2" w:rsidRPr="00A225B7">
        <w:rPr>
          <w:vertAlign w:val="superscript"/>
        </w:rPr>
        <w:t>−1</w:t>
      </w:r>
      <w:r w:rsidR="00960977" w:rsidRPr="00A225B7">
        <w:t xml:space="preserve">) </w:t>
      </w:r>
      <w:r w:rsidR="002B1DF8" w:rsidRPr="00A225B7">
        <w:t xml:space="preserve">(Ross et al., </w:t>
      </w:r>
      <w:r w:rsidR="00FC5E02" w:rsidRPr="00A225B7">
        <w:t>2019)</w:t>
      </w:r>
      <w:r w:rsidR="00AE41FC" w:rsidRPr="00A225B7">
        <w:t>,</w:t>
      </w:r>
      <w:r w:rsidR="00FC5E02" w:rsidRPr="00A225B7">
        <w:t xml:space="preserve"> </w:t>
      </w:r>
      <w:r w:rsidR="00AE41FC" w:rsidRPr="00A225B7">
        <w:t xml:space="preserve">to </w:t>
      </w:r>
      <w:r w:rsidRPr="00A225B7">
        <w:t xml:space="preserve">the </w:t>
      </w:r>
      <w:r w:rsidR="00960977" w:rsidRPr="00A225B7">
        <w:t xml:space="preserve">pharyngeal swallowing (300 </w:t>
      </w:r>
      <w:r w:rsidR="00E653E2" w:rsidRPr="00A225B7">
        <w:t>s</w:t>
      </w:r>
      <w:r w:rsidR="00E653E2" w:rsidRPr="00A225B7">
        <w:rPr>
          <w:vertAlign w:val="superscript"/>
        </w:rPr>
        <w:t>−1</w:t>
      </w:r>
      <w:r w:rsidR="00960977" w:rsidRPr="00A225B7">
        <w:t>)</w:t>
      </w:r>
      <w:r w:rsidR="00FC5E02" w:rsidRPr="00A225B7">
        <w:t xml:space="preserve"> (</w:t>
      </w:r>
      <w:r w:rsidR="004441AA" w:rsidRPr="00A225B7">
        <w:t>Bolivar-Prados et al., 2022</w:t>
      </w:r>
      <w:r w:rsidR="00FC5E02" w:rsidRPr="00A225B7">
        <w:t>)</w:t>
      </w:r>
      <w:r w:rsidRPr="00A225B7">
        <w:t xml:space="preserve"> and used to assign foods to the viscosity levels of the International Dysphagia Diet Standardisation Initiative (IDDSI) (50 s</w:t>
      </w:r>
      <w:r w:rsidRPr="00A225B7">
        <w:rPr>
          <w:vertAlign w:val="superscript"/>
        </w:rPr>
        <w:t>−1</w:t>
      </w:r>
      <w:r w:rsidRPr="00A225B7">
        <w:t xml:space="preserve">) </w:t>
      </w:r>
      <w:r w:rsidR="00983400">
        <w:t xml:space="preserve">framework </w:t>
      </w:r>
      <w:r w:rsidRPr="00A225B7">
        <w:t>were</w:t>
      </w:r>
      <w:r w:rsidR="00AE41FC" w:rsidRPr="00A225B7">
        <w:t xml:space="preserve"> extrapolated from the flow curves.</w:t>
      </w:r>
    </w:p>
    <w:p w14:paraId="0DFB019A" w14:textId="7A52A0C6" w:rsidR="00960977" w:rsidRPr="00A225B7" w:rsidRDefault="001035E9" w:rsidP="00AB54C9">
      <w:pPr>
        <w:pStyle w:val="CETheadingx"/>
      </w:pPr>
      <w:r w:rsidRPr="00A225B7">
        <w:t>Textural properties</w:t>
      </w:r>
    </w:p>
    <w:p w14:paraId="6FC3C32E" w14:textId="65146209" w:rsidR="00BA6969" w:rsidRPr="00A225B7" w:rsidRDefault="002C5BB0" w:rsidP="006753A4">
      <w:pPr>
        <w:pStyle w:val="CETBodytext"/>
        <w:rPr>
          <w:strike/>
        </w:rPr>
      </w:pPr>
      <w:r w:rsidRPr="00A225B7">
        <w:t xml:space="preserve">Back extrusion tests were performed using a TA-XT2 texture analyzer (Stable MicroSystems Ltd, Godalming, UK) equipped with a 50 Kg load cell and a specific geometry (A/BE) </w:t>
      </w:r>
      <w:r w:rsidR="00647452" w:rsidRPr="00A225B7">
        <w:t>with</w:t>
      </w:r>
      <w:r w:rsidRPr="00A225B7">
        <w:t xml:space="preserve"> a </w:t>
      </w:r>
      <w:r w:rsidR="00533B32" w:rsidRPr="00A225B7">
        <w:t xml:space="preserve">cup and a </w:t>
      </w:r>
      <w:r w:rsidRPr="00A225B7">
        <w:t>40</w:t>
      </w:r>
      <w:r w:rsidR="00E0597F" w:rsidRPr="00A225B7">
        <w:t>-</w:t>
      </w:r>
      <w:r w:rsidRPr="00A225B7">
        <w:t xml:space="preserve">mm diameter </w:t>
      </w:r>
      <w:r w:rsidR="00E0597F" w:rsidRPr="00A225B7">
        <w:t>Plexiglas</w:t>
      </w:r>
      <w:r w:rsidRPr="00A225B7">
        <w:t xml:space="preserve"> disk probe.</w:t>
      </w:r>
      <w:r w:rsidR="00D85536" w:rsidRPr="00A225B7">
        <w:t xml:space="preserve"> </w:t>
      </w:r>
      <w:r w:rsidR="00AE41FC" w:rsidRPr="00A225B7">
        <w:t xml:space="preserve">Test speed was equal to </w:t>
      </w:r>
      <w:r w:rsidRPr="00A225B7">
        <w:t xml:space="preserve">2 mm/s </w:t>
      </w:r>
      <w:r w:rsidR="00AE41FC" w:rsidRPr="00A225B7">
        <w:t xml:space="preserve">and </w:t>
      </w:r>
      <w:r w:rsidRPr="00A225B7">
        <w:t xml:space="preserve">10 mm/s, </w:t>
      </w:r>
      <w:r w:rsidR="00AE41FC" w:rsidRPr="00A225B7">
        <w:t xml:space="preserve">for </w:t>
      </w:r>
      <w:r w:rsidR="00B17698" w:rsidRPr="00A225B7">
        <w:t xml:space="preserve">the </w:t>
      </w:r>
      <w:r w:rsidR="00AE41FC" w:rsidRPr="00A225B7">
        <w:t xml:space="preserve">compression and </w:t>
      </w:r>
      <w:r w:rsidR="00B17698" w:rsidRPr="00A225B7">
        <w:t xml:space="preserve">the </w:t>
      </w:r>
      <w:r w:rsidR="00AE41FC" w:rsidRPr="00A225B7">
        <w:t>return of the cross-head.</w:t>
      </w:r>
      <w:r w:rsidR="00D85536" w:rsidRPr="00A225B7">
        <w:t xml:space="preserve"> </w:t>
      </w:r>
      <w:r w:rsidR="00202CFB" w:rsidRPr="00A225B7">
        <w:t>T</w:t>
      </w:r>
      <w:r w:rsidRPr="00A225B7">
        <w:t xml:space="preserve">he product was extruded upwards and around the edge of the disk when the samples were compressed to a </w:t>
      </w:r>
      <w:r w:rsidR="00AE41FC" w:rsidRPr="00A225B7">
        <w:t xml:space="preserve">50% </w:t>
      </w:r>
      <w:r w:rsidRPr="00A225B7">
        <w:t>depth</w:t>
      </w:r>
      <w:r w:rsidR="00AE41FC" w:rsidRPr="00A225B7">
        <w:t>.</w:t>
      </w:r>
      <w:r w:rsidRPr="00A225B7">
        <w:t xml:space="preserve"> Mechanical data were recorded using Texture Exponent v32 (Stable MicroSystems Ltd). Samples were analyzed in quadruplicate at room temperature and the following parameters, expressed as mean ± standard deviation, were evaluated:</w:t>
      </w:r>
      <w:r w:rsidR="006753A4" w:rsidRPr="00A225B7">
        <w:t xml:space="preserve"> </w:t>
      </w:r>
      <w:bookmarkStart w:id="4" w:name="_Hlk190264384"/>
      <w:r w:rsidR="00BA6969" w:rsidRPr="00A225B7">
        <w:t>Maximum positive force (N</w:t>
      </w:r>
      <w:r w:rsidR="00D85536" w:rsidRPr="00A225B7">
        <w:t xml:space="preserve">), </w:t>
      </w:r>
      <w:r w:rsidR="00BA6969" w:rsidRPr="00A225B7">
        <w:t>Positive area (N</w:t>
      </w:r>
      <w:r w:rsidR="00BA6969" w:rsidRPr="00A225B7">
        <w:rPr>
          <w:rFonts w:ascii="Cambria Math" w:hAnsi="Cambria Math" w:cs="Cambria Math"/>
        </w:rPr>
        <w:t>⋅</w:t>
      </w:r>
      <w:r w:rsidR="00BA6969" w:rsidRPr="00A225B7">
        <w:t>mm)</w:t>
      </w:r>
      <w:r w:rsidR="006753A4" w:rsidRPr="00A225B7">
        <w:t xml:space="preserve">, </w:t>
      </w:r>
      <w:r w:rsidR="00BA6969" w:rsidRPr="00A225B7">
        <w:t>Maximum negative force (N)</w:t>
      </w:r>
      <w:r w:rsidR="006753A4" w:rsidRPr="00A225B7">
        <w:t xml:space="preserve">, </w:t>
      </w:r>
      <w:r w:rsidR="00BA6969" w:rsidRPr="00A225B7">
        <w:t>Negative area (N</w:t>
      </w:r>
      <w:r w:rsidR="00BA6969" w:rsidRPr="00A225B7">
        <w:rPr>
          <w:rFonts w:ascii="Cambria Math" w:hAnsi="Cambria Math" w:cs="Cambria Math"/>
        </w:rPr>
        <w:t>⋅</w:t>
      </w:r>
      <w:r w:rsidR="00BA6969" w:rsidRPr="00A225B7">
        <w:t>mm)</w:t>
      </w:r>
      <w:r w:rsidR="00202CFB" w:rsidRPr="00A225B7">
        <w:t>.</w:t>
      </w:r>
    </w:p>
    <w:bookmarkEnd w:id="4"/>
    <w:p w14:paraId="41E94B29" w14:textId="13AD5AC9" w:rsidR="00E313E0" w:rsidRPr="00A225B7" w:rsidRDefault="00E313E0" w:rsidP="00AB54C9">
      <w:pPr>
        <w:pStyle w:val="CETheadingx"/>
      </w:pPr>
      <w:r w:rsidRPr="00A225B7">
        <w:t>Mucoadhesion evaluation</w:t>
      </w:r>
    </w:p>
    <w:p w14:paraId="64203477" w14:textId="61D758CD" w:rsidR="00C2446B" w:rsidRPr="00A225B7" w:rsidRDefault="004669CE" w:rsidP="00796715">
      <w:pPr>
        <w:pStyle w:val="CETBodytext"/>
      </w:pPr>
      <w:r w:rsidRPr="00A225B7">
        <w:t>To evaluate</w:t>
      </w:r>
      <w:r w:rsidR="00533B32" w:rsidRPr="00A225B7">
        <w:t xml:space="preserve"> </w:t>
      </w:r>
      <w:r w:rsidR="002A64C8" w:rsidRPr="00A225B7">
        <w:t xml:space="preserve">the </w:t>
      </w:r>
      <w:r w:rsidRPr="00A225B7">
        <w:t xml:space="preserve">adhesion </w:t>
      </w:r>
      <w:r w:rsidR="002A64C8" w:rsidRPr="00A225B7">
        <w:t xml:space="preserve">of foods </w:t>
      </w:r>
      <w:r w:rsidRPr="00A225B7">
        <w:t>to the tongue during oral processing, an ex</w:t>
      </w:r>
      <w:r w:rsidR="00CA3724" w:rsidRPr="00A225B7">
        <w:t>-</w:t>
      </w:r>
      <w:r w:rsidRPr="00A225B7">
        <w:t xml:space="preserve">vivo assessment of mucoadhesion was performed on a porcine tongue. Each dysphagia-oriented food was subjected to a mucoadhesion test using a </w:t>
      </w:r>
      <w:r w:rsidR="00B57728" w:rsidRPr="00A225B7">
        <w:t>TA-XT2 t</w:t>
      </w:r>
      <w:r w:rsidRPr="00A225B7">
        <w:t xml:space="preserve">exture Analyzer equipped with 50 Kg load cell and fitted with a specific geometry for assessing mucoadhesion (Rig A/MUC) (Tobyn et al., 1994), with the porcine tongue attached to the </w:t>
      </w:r>
      <w:r w:rsidR="00801898" w:rsidRPr="00A225B7">
        <w:t xml:space="preserve">geometry’s </w:t>
      </w:r>
      <w:r w:rsidRPr="00A225B7">
        <w:t>tissue holder.</w:t>
      </w:r>
      <w:r w:rsidR="00D85536" w:rsidRPr="00A225B7">
        <w:t xml:space="preserve"> </w:t>
      </w:r>
      <w:r w:rsidR="00202CFB" w:rsidRPr="00A225B7">
        <w:t>T</w:t>
      </w:r>
      <w:r w:rsidR="000012AC" w:rsidRPr="00A225B7">
        <w:t xml:space="preserve">he </w:t>
      </w:r>
      <w:r w:rsidRPr="00A225B7">
        <w:t xml:space="preserve">test speed </w:t>
      </w:r>
      <w:r w:rsidR="00A63928" w:rsidRPr="00A225B7">
        <w:t>was equal to</w:t>
      </w:r>
      <w:r w:rsidRPr="00A225B7">
        <w:t xml:space="preserve"> 0.5 mm/s </w:t>
      </w:r>
      <w:r w:rsidR="00202CFB" w:rsidRPr="00A225B7">
        <w:t xml:space="preserve">and </w:t>
      </w:r>
      <w:r w:rsidRPr="00A225B7">
        <w:t xml:space="preserve">contact with the tongue </w:t>
      </w:r>
      <w:r w:rsidR="00202CFB" w:rsidRPr="00A225B7">
        <w:t xml:space="preserve">was realized </w:t>
      </w:r>
      <w:r w:rsidRPr="00A225B7">
        <w:t xml:space="preserve">under a force of 1.0 N. </w:t>
      </w:r>
      <w:r w:rsidR="00202CFB" w:rsidRPr="00A225B7">
        <w:t xml:space="preserve">After compression, </w:t>
      </w:r>
      <w:r w:rsidR="007020D3" w:rsidRPr="00A225B7">
        <w:t xml:space="preserve">the probe </w:t>
      </w:r>
      <w:r w:rsidR="002A64C8" w:rsidRPr="00A225B7">
        <w:t>was</w:t>
      </w:r>
      <w:r w:rsidR="007020D3" w:rsidRPr="00A225B7">
        <w:t xml:space="preserve"> withdrawn from the mucosal tissue and the adhesive properties </w:t>
      </w:r>
      <w:r w:rsidR="002A64C8" w:rsidRPr="00A225B7">
        <w:t>were</w:t>
      </w:r>
      <w:r w:rsidR="007020D3" w:rsidRPr="00A225B7">
        <w:t xml:space="preserve"> measured.</w:t>
      </w:r>
      <w:r w:rsidR="004B66F5" w:rsidRPr="00A225B7">
        <w:t xml:space="preserve"> </w:t>
      </w:r>
      <w:r w:rsidR="00F0680B" w:rsidRPr="00A225B7">
        <w:t xml:space="preserve">Samples were analyzed at room temperature in quintuple and data expressed as mean </w:t>
      </w:r>
      <w:r w:rsidR="00F0680B" w:rsidRPr="00A225B7">
        <w:rPr>
          <w:rFonts w:cs="Arial"/>
        </w:rPr>
        <w:t>±</w:t>
      </w:r>
      <w:r w:rsidR="00F0680B" w:rsidRPr="00A225B7">
        <w:t xml:space="preserve"> standard deviation. </w:t>
      </w:r>
      <w:r w:rsidR="007020D3" w:rsidRPr="00A225B7">
        <w:t xml:space="preserve">The mucoadhesion parameters recorded </w:t>
      </w:r>
      <w:r w:rsidR="00F0680B" w:rsidRPr="00A225B7">
        <w:t>were</w:t>
      </w:r>
      <w:r w:rsidR="007020D3" w:rsidRPr="00A225B7">
        <w:t xml:space="preserve"> the </w:t>
      </w:r>
      <w:r w:rsidR="00E9412B">
        <w:t>P</w:t>
      </w:r>
      <w:r w:rsidR="007020D3" w:rsidRPr="00A225B7">
        <w:t xml:space="preserve">eak value (N) and the total </w:t>
      </w:r>
      <w:r w:rsidR="00E9412B">
        <w:t>W</w:t>
      </w:r>
      <w:r w:rsidR="007020D3" w:rsidRPr="00A225B7">
        <w:t>ork of adhesion (W</w:t>
      </w:r>
      <w:r w:rsidR="00F85110" w:rsidRPr="00A225B7">
        <w:rPr>
          <w:vertAlign w:val="subscript"/>
        </w:rPr>
        <w:t>ADH</w:t>
      </w:r>
      <w:r w:rsidR="007020D3" w:rsidRPr="00A225B7">
        <w:t>, N</w:t>
      </w:r>
      <w:r w:rsidR="007020D3" w:rsidRPr="00A225B7">
        <w:rPr>
          <w:rFonts w:ascii="Cambria Math" w:hAnsi="Cambria Math" w:cs="Cambria Math"/>
        </w:rPr>
        <w:t>⋅</w:t>
      </w:r>
      <w:r w:rsidR="007020D3" w:rsidRPr="00A225B7">
        <w:t>mm)</w:t>
      </w:r>
      <w:r w:rsidRPr="00A225B7">
        <w:t xml:space="preserve"> (Bassi da Silva et al., 2017). </w:t>
      </w:r>
    </w:p>
    <w:p w14:paraId="58126177" w14:textId="31714339" w:rsidR="00E313E0" w:rsidRPr="00A225B7" w:rsidRDefault="00115CC5" w:rsidP="00AB54C9">
      <w:pPr>
        <w:pStyle w:val="CETheadingx"/>
      </w:pPr>
      <w:r w:rsidRPr="00A225B7">
        <w:t>S</w:t>
      </w:r>
      <w:r w:rsidR="003165D5" w:rsidRPr="00A225B7">
        <w:t>tatistical analysis</w:t>
      </w:r>
    </w:p>
    <w:p w14:paraId="343EB662" w14:textId="2D35E98F" w:rsidR="00505533" w:rsidRPr="00A225B7" w:rsidRDefault="00115CC5" w:rsidP="00796715">
      <w:pPr>
        <w:pStyle w:val="CETBodytext"/>
      </w:pPr>
      <w:r w:rsidRPr="00A225B7">
        <w:t>Data were analyzed using JMP Pro version 17.0 (SAS Institute, Cary, NC, USA)</w:t>
      </w:r>
      <w:r w:rsidR="00A94987" w:rsidRPr="00A225B7">
        <w:t xml:space="preserve"> and </w:t>
      </w:r>
      <w:r w:rsidRPr="00A225B7">
        <w:t xml:space="preserve">OriginPro </w:t>
      </w:r>
      <w:r w:rsidR="00C13612" w:rsidRPr="00A225B7">
        <w:t>version 9.0</w:t>
      </w:r>
      <w:r w:rsidRPr="00A225B7">
        <w:t xml:space="preserve"> (Stat-Ease Company, Northampton, MA, USA). Data were subjected to one-way analysis of variance (</w:t>
      </w:r>
      <w:r w:rsidRPr="00A225B7">
        <w:rPr>
          <w:i/>
          <w:iCs/>
        </w:rPr>
        <w:t>p&lt;0.05</w:t>
      </w:r>
      <w:r w:rsidRPr="00A225B7">
        <w:t xml:space="preserve">) and the means were compared using Tukey-Kramer test to examine if differences between </w:t>
      </w:r>
      <w:r w:rsidR="00F42E1E" w:rsidRPr="00A225B7">
        <w:t>samples</w:t>
      </w:r>
      <w:r w:rsidRPr="00A225B7">
        <w:t xml:space="preserve"> were significant.</w:t>
      </w:r>
    </w:p>
    <w:p w14:paraId="2C6C8DED" w14:textId="60253794" w:rsidR="00505533" w:rsidRPr="00265EAC" w:rsidRDefault="00505533" w:rsidP="00796715">
      <w:pPr>
        <w:pStyle w:val="CETHeading1"/>
        <w:jc w:val="both"/>
      </w:pPr>
      <w:r w:rsidRPr="00265EAC">
        <w:t xml:space="preserve">Results and </w:t>
      </w:r>
      <w:r w:rsidR="004C6EFC" w:rsidRPr="00265EAC">
        <w:t>D</w:t>
      </w:r>
      <w:r w:rsidRPr="00265EAC">
        <w:t>iscussion</w:t>
      </w:r>
    </w:p>
    <w:p w14:paraId="614BEDB6" w14:textId="778D7387" w:rsidR="00505533" w:rsidRPr="00A225B7" w:rsidRDefault="00202CFB" w:rsidP="00AB54C9">
      <w:pPr>
        <w:pStyle w:val="CETheadingx"/>
      </w:pPr>
      <w:r w:rsidRPr="00A225B7">
        <w:t xml:space="preserve">Flow </w:t>
      </w:r>
      <w:r w:rsidR="00A63928" w:rsidRPr="00A225B7">
        <w:t>behavior</w:t>
      </w:r>
    </w:p>
    <w:p w14:paraId="19817666" w14:textId="1258ED8A" w:rsidR="006376E5" w:rsidRPr="00A225B7" w:rsidRDefault="00B11B58" w:rsidP="00796715">
      <w:pPr>
        <w:pStyle w:val="CETBodytext"/>
      </w:pPr>
      <w:r w:rsidRPr="00A225B7">
        <w:t xml:space="preserve">The viscosity of dysphagia-oriented foods was assessed up to 1,000 </w:t>
      </w:r>
      <w:r w:rsidR="00E653E2" w:rsidRPr="00A225B7">
        <w:t>s</w:t>
      </w:r>
      <w:r w:rsidR="00E653E2" w:rsidRPr="00A225B7">
        <w:rPr>
          <w:vertAlign w:val="superscript"/>
        </w:rPr>
        <w:t>−1</w:t>
      </w:r>
      <w:r w:rsidRPr="00A225B7">
        <w:t xml:space="preserve">, allowing for the evaluation of the different shear rates that occur during </w:t>
      </w:r>
      <w:r w:rsidR="007B6050" w:rsidRPr="00A225B7">
        <w:t xml:space="preserve">the whole </w:t>
      </w:r>
      <w:r w:rsidRPr="00A225B7">
        <w:t>oral processing and swallowing.</w:t>
      </w:r>
      <w:r w:rsidR="00DF061A" w:rsidRPr="00A225B7">
        <w:t xml:space="preserve"> All the products showed a non-Newtonian shear-thinning behavior</w:t>
      </w:r>
      <w:r w:rsidR="00612B3D" w:rsidRPr="00A225B7">
        <w:t>,</w:t>
      </w:r>
      <w:r w:rsidR="00D90D7B" w:rsidRPr="00A225B7">
        <w:t xml:space="preserve"> </w:t>
      </w:r>
      <w:r w:rsidR="00D90D7B" w:rsidRPr="00265EAC">
        <w:t xml:space="preserve">as shown in </w:t>
      </w:r>
      <w:r w:rsidR="00D90D7B" w:rsidRPr="00265EAC">
        <w:rPr>
          <w:b/>
          <w:bCs/>
        </w:rPr>
        <w:t>Figure 1</w:t>
      </w:r>
      <w:r w:rsidR="00D90D7B" w:rsidRPr="00265EAC">
        <w:t>.</w:t>
      </w:r>
      <w:r w:rsidR="00612B3D" w:rsidRPr="00A225B7">
        <w:t xml:space="preserve"> </w:t>
      </w:r>
    </w:p>
    <w:p w14:paraId="1D3CB0D8" w14:textId="6F03DD57" w:rsidR="003A5EE2" w:rsidRPr="00A225B7" w:rsidRDefault="00112634" w:rsidP="00EB5834">
      <w:pPr>
        <w:pStyle w:val="CETBodytext"/>
        <w:jc w:val="center"/>
      </w:pPr>
      <w:r w:rsidRPr="00A225B7">
        <w:rPr>
          <w:noProof/>
        </w:rPr>
        <w:lastRenderedPageBreak/>
        <w:drawing>
          <wp:inline distT="0" distB="0" distL="0" distR="0" wp14:anchorId="4D692BCF" wp14:editId="1482EEC6">
            <wp:extent cx="3291470" cy="2550492"/>
            <wp:effectExtent l="0" t="0" r="4445" b="254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5386" t="10576" r="10142" b="3991"/>
                    <a:stretch/>
                  </pic:blipFill>
                  <pic:spPr bwMode="auto">
                    <a:xfrm>
                      <a:off x="0" y="0"/>
                      <a:ext cx="3292188" cy="2551048"/>
                    </a:xfrm>
                    <a:prstGeom prst="rect">
                      <a:avLst/>
                    </a:prstGeom>
                    <a:noFill/>
                    <a:ln>
                      <a:noFill/>
                    </a:ln>
                    <a:extLst>
                      <a:ext uri="{53640926-AAD7-44D8-BBD7-CCE9431645EC}">
                        <a14:shadowObscured xmlns:a14="http://schemas.microsoft.com/office/drawing/2010/main"/>
                      </a:ext>
                    </a:extLst>
                  </pic:spPr>
                </pic:pic>
              </a:graphicData>
            </a:graphic>
          </wp:inline>
        </w:drawing>
      </w:r>
    </w:p>
    <w:p w14:paraId="598925ED" w14:textId="425D05B0" w:rsidR="00EB5834" w:rsidRPr="00A225B7" w:rsidRDefault="00EB5834" w:rsidP="00F456FD">
      <w:pPr>
        <w:pStyle w:val="CETCaption"/>
        <w:jc w:val="left"/>
        <w:rPr>
          <w:lang w:val="en-US"/>
        </w:rPr>
      </w:pPr>
      <w:r w:rsidRPr="00A225B7">
        <w:rPr>
          <w:lang w:val="en-US"/>
        </w:rPr>
        <w:t xml:space="preserve">Figure 1: </w:t>
      </w:r>
      <w:r w:rsidR="00F57849" w:rsidRPr="00A225B7">
        <w:rPr>
          <w:lang w:val="en-US"/>
        </w:rPr>
        <w:t>Flow curves in the range 0.01-1,000 s</w:t>
      </w:r>
      <w:r w:rsidR="00F57849" w:rsidRPr="00A225B7">
        <w:rPr>
          <w:vertAlign w:val="superscript"/>
          <w:lang w:val="en-US"/>
        </w:rPr>
        <w:t>−1</w:t>
      </w:r>
      <w:r w:rsidR="00C76FA1" w:rsidRPr="00A225B7">
        <w:rPr>
          <w:lang w:val="en-US"/>
        </w:rPr>
        <w:t>.</w:t>
      </w:r>
    </w:p>
    <w:p w14:paraId="22180CB0" w14:textId="2204BD76" w:rsidR="001F364F" w:rsidRPr="00A225B7" w:rsidRDefault="00F32188" w:rsidP="00796715">
      <w:pPr>
        <w:pStyle w:val="CETBodytext"/>
      </w:pPr>
      <w:r w:rsidRPr="00A225B7">
        <w:t>The data were</w:t>
      </w:r>
      <w:r w:rsidR="002A64C8" w:rsidRPr="00A225B7">
        <w:t xml:space="preserve"> then</w:t>
      </w:r>
      <w:r w:rsidRPr="00A225B7">
        <w:t xml:space="preserve"> modelled using the Herschel-</w:t>
      </w:r>
      <w:r w:rsidRPr="00FD6446">
        <w:t xml:space="preserve">Bulkley </w:t>
      </w:r>
      <w:r w:rsidR="002A64C8" w:rsidRPr="00FD6446">
        <w:t>Eq(1)</w:t>
      </w:r>
      <w:r w:rsidRPr="00FD6446">
        <w:t>, which</w:t>
      </w:r>
      <w:r w:rsidRPr="00A225B7">
        <w:t xml:space="preserve"> describes the flow behavior of non-Newtonian fluids and was used to calculate the yield stress of the </w:t>
      </w:r>
      <w:r w:rsidR="00375696" w:rsidRPr="00A225B7">
        <w:t>samples</w:t>
      </w:r>
      <w:r w:rsidRPr="00A225B7">
        <w:t xml:space="preserve">, as shown in </w:t>
      </w:r>
      <w:r w:rsidR="00E962B7" w:rsidRPr="00A225B7">
        <w:rPr>
          <w:b/>
          <w:bCs/>
        </w:rPr>
        <w:t>Table 1</w:t>
      </w:r>
      <w:r w:rsidR="00E962B7" w:rsidRPr="00A225B7">
        <w:t xml:space="preserve">. </w:t>
      </w:r>
    </w:p>
    <w:p w14:paraId="228C0A56" w14:textId="69E7D655" w:rsidR="002B0B57" w:rsidRPr="00A225B7" w:rsidRDefault="002B0B57" w:rsidP="004A6996">
      <w:pPr>
        <w:pStyle w:val="CETTabletitle"/>
        <w:rPr>
          <w:lang w:val="en-US"/>
        </w:rPr>
      </w:pPr>
      <w:bookmarkStart w:id="5" w:name="_Hlk189577086"/>
      <w:r w:rsidRPr="00A225B7">
        <w:rPr>
          <w:lang w:val="en-US"/>
        </w:rPr>
        <w:t xml:space="preserve">Table 1: </w:t>
      </w:r>
      <w:r w:rsidR="004A6996" w:rsidRPr="00A225B7">
        <w:rPr>
          <w:lang w:val="en-US"/>
        </w:rPr>
        <w:t>Rheological parameter obtained from the Herschel-Bulkley model</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843"/>
        <w:gridCol w:w="1701"/>
        <w:gridCol w:w="1559"/>
        <w:gridCol w:w="1617"/>
        <w:gridCol w:w="1680"/>
      </w:tblGrid>
      <w:tr w:rsidR="00A62EC0" w:rsidRPr="00A225B7" w14:paraId="2133988E" w14:textId="77777777" w:rsidTr="00A62EC0">
        <w:trPr>
          <w:trHeight w:val="296"/>
        </w:trPr>
        <w:tc>
          <w:tcPr>
            <w:tcW w:w="1843" w:type="dxa"/>
            <w:tcBorders>
              <w:top w:val="single" w:sz="12" w:space="0" w:color="008000"/>
              <w:bottom w:val="single" w:sz="6" w:space="0" w:color="008000"/>
            </w:tcBorders>
            <w:shd w:val="clear" w:color="auto" w:fill="FFFFFF"/>
          </w:tcPr>
          <w:p w14:paraId="71754587" w14:textId="0E326819" w:rsidR="00A62EC0" w:rsidRPr="00A225B7" w:rsidRDefault="0077354E" w:rsidP="00A62EC0">
            <w:pPr>
              <w:pStyle w:val="CETBodytext"/>
              <w:jc w:val="center"/>
            </w:pPr>
            <w:r w:rsidRPr="00A225B7">
              <w:t>DR</w:t>
            </w:r>
            <w:r w:rsidR="00597B31" w:rsidRPr="00A225B7">
              <w:t>F</w:t>
            </w:r>
            <w:r w:rsidR="00F16F3A" w:rsidRPr="00A225B7">
              <w:t>s</w:t>
            </w:r>
          </w:p>
        </w:tc>
        <w:tc>
          <w:tcPr>
            <w:tcW w:w="1701" w:type="dxa"/>
            <w:tcBorders>
              <w:top w:val="single" w:sz="12" w:space="0" w:color="008000"/>
              <w:bottom w:val="single" w:sz="6" w:space="0" w:color="008000"/>
            </w:tcBorders>
            <w:shd w:val="clear" w:color="auto" w:fill="FFFFFF"/>
          </w:tcPr>
          <w:p w14:paraId="3AF94667" w14:textId="71EB3FFE" w:rsidR="00A62EC0" w:rsidRPr="00A225B7" w:rsidRDefault="00A62EC0" w:rsidP="00A62EC0">
            <w:pPr>
              <w:pStyle w:val="CETBodytext"/>
              <w:jc w:val="center"/>
              <w:rPr>
                <w:i/>
                <w:iCs/>
              </w:rPr>
            </w:pPr>
            <w:r w:rsidRPr="00A225B7">
              <w:rPr>
                <w:rFonts w:ascii="Calibri" w:hAnsi="Calibri" w:cs="Calibri"/>
                <w:i/>
                <w:iCs/>
              </w:rPr>
              <w:t>σ</w:t>
            </w:r>
            <w:r w:rsidRPr="00A225B7">
              <w:rPr>
                <w:i/>
                <w:iCs/>
                <w:vertAlign w:val="subscript"/>
              </w:rPr>
              <w:t>0</w:t>
            </w:r>
          </w:p>
        </w:tc>
        <w:tc>
          <w:tcPr>
            <w:tcW w:w="1559" w:type="dxa"/>
            <w:tcBorders>
              <w:top w:val="single" w:sz="12" w:space="0" w:color="008000"/>
              <w:bottom w:val="single" w:sz="6" w:space="0" w:color="008000"/>
            </w:tcBorders>
            <w:shd w:val="clear" w:color="auto" w:fill="FFFFFF"/>
          </w:tcPr>
          <w:p w14:paraId="080EA8BA" w14:textId="33D3438A" w:rsidR="00A62EC0" w:rsidRPr="00A225B7" w:rsidRDefault="00A62EC0" w:rsidP="00A62EC0">
            <w:pPr>
              <w:pStyle w:val="CETBodytext"/>
              <w:jc w:val="center"/>
              <w:rPr>
                <w:i/>
                <w:iCs/>
              </w:rPr>
            </w:pPr>
            <w:r w:rsidRPr="00A225B7">
              <w:rPr>
                <w:i/>
                <w:iCs/>
              </w:rPr>
              <w:t>k</w:t>
            </w:r>
          </w:p>
        </w:tc>
        <w:tc>
          <w:tcPr>
            <w:tcW w:w="1617" w:type="dxa"/>
            <w:tcBorders>
              <w:top w:val="single" w:sz="12" w:space="0" w:color="008000"/>
              <w:bottom w:val="single" w:sz="6" w:space="0" w:color="008000"/>
            </w:tcBorders>
            <w:shd w:val="clear" w:color="auto" w:fill="FFFFFF"/>
          </w:tcPr>
          <w:p w14:paraId="356B89BD" w14:textId="17D1DBD8" w:rsidR="00A62EC0" w:rsidRPr="00A225B7" w:rsidRDefault="00A62EC0" w:rsidP="00A62EC0">
            <w:pPr>
              <w:pStyle w:val="CETBodytext"/>
              <w:ind w:right="-1"/>
              <w:jc w:val="center"/>
              <w:rPr>
                <w:rFonts w:cs="Arial"/>
                <w:i/>
                <w:iCs/>
                <w:szCs w:val="18"/>
              </w:rPr>
            </w:pPr>
            <w:r w:rsidRPr="00A225B7">
              <w:rPr>
                <w:i/>
                <w:iCs/>
              </w:rPr>
              <w:t>n</w:t>
            </w:r>
          </w:p>
        </w:tc>
        <w:tc>
          <w:tcPr>
            <w:tcW w:w="1680" w:type="dxa"/>
            <w:tcBorders>
              <w:top w:val="single" w:sz="12" w:space="0" w:color="008000"/>
              <w:bottom w:val="single" w:sz="6" w:space="0" w:color="008000"/>
            </w:tcBorders>
            <w:shd w:val="clear" w:color="auto" w:fill="FFFFFF"/>
          </w:tcPr>
          <w:p w14:paraId="798FEAE7" w14:textId="3782730A" w:rsidR="00A62EC0" w:rsidRPr="00A225B7" w:rsidRDefault="00A62EC0" w:rsidP="00A62EC0">
            <w:pPr>
              <w:pStyle w:val="CETBodytext"/>
              <w:ind w:right="-1"/>
              <w:jc w:val="center"/>
              <w:rPr>
                <w:rFonts w:cs="Arial"/>
                <w:szCs w:val="18"/>
              </w:rPr>
            </w:pPr>
            <w:r w:rsidRPr="00A225B7">
              <w:t>R</w:t>
            </w:r>
            <w:r w:rsidRPr="00A225B7">
              <w:rPr>
                <w:vertAlign w:val="superscript"/>
              </w:rPr>
              <w:t>2</w:t>
            </w:r>
          </w:p>
        </w:tc>
      </w:tr>
      <w:tr w:rsidR="00A62EC0" w:rsidRPr="00A225B7" w14:paraId="41AE917C" w14:textId="77777777" w:rsidTr="00A62EC0">
        <w:trPr>
          <w:trHeight w:val="309"/>
        </w:trPr>
        <w:tc>
          <w:tcPr>
            <w:tcW w:w="1843" w:type="dxa"/>
            <w:shd w:val="clear" w:color="auto" w:fill="FFFFFF"/>
          </w:tcPr>
          <w:p w14:paraId="25BDA8FB" w14:textId="223F60DA" w:rsidR="00A62EC0" w:rsidRPr="00247F6B" w:rsidRDefault="00352ACB" w:rsidP="00A62EC0">
            <w:pPr>
              <w:pStyle w:val="CETBodytext"/>
              <w:rPr>
                <w:lang w:val="it-IT"/>
              </w:rPr>
            </w:pPr>
            <w:r w:rsidRPr="00247F6B">
              <w:rPr>
                <w:lang w:val="it-IT"/>
              </w:rPr>
              <w:t>Pasta puree</w:t>
            </w:r>
            <w:r w:rsidR="00A62EC0" w:rsidRPr="00247F6B">
              <w:rPr>
                <w:lang w:val="it-IT"/>
              </w:rPr>
              <w:t xml:space="preserve"> </w:t>
            </w:r>
          </w:p>
          <w:p w14:paraId="4181A358" w14:textId="398B0F10" w:rsidR="00A62EC0" w:rsidRPr="00247F6B" w:rsidRDefault="00352ACB" w:rsidP="00A62EC0">
            <w:pPr>
              <w:pStyle w:val="CETBodytext"/>
              <w:rPr>
                <w:lang w:val="it-IT"/>
              </w:rPr>
            </w:pPr>
            <w:r w:rsidRPr="00247F6B">
              <w:rPr>
                <w:lang w:val="it-IT"/>
              </w:rPr>
              <w:t>Chicken puree</w:t>
            </w:r>
          </w:p>
          <w:p w14:paraId="42FD3F12" w14:textId="498CBC74" w:rsidR="00A62EC0" w:rsidRPr="00247F6B" w:rsidRDefault="00352ACB" w:rsidP="00A62EC0">
            <w:pPr>
              <w:pStyle w:val="CETBodytext"/>
              <w:rPr>
                <w:lang w:val="it-IT"/>
              </w:rPr>
            </w:pPr>
            <w:r w:rsidRPr="00247F6B">
              <w:rPr>
                <w:lang w:val="it-IT"/>
              </w:rPr>
              <w:t>Apple puree</w:t>
            </w:r>
          </w:p>
          <w:p w14:paraId="53704425" w14:textId="75E7C893" w:rsidR="00A62EC0" w:rsidRPr="00A225B7" w:rsidRDefault="00F95D4E" w:rsidP="00A62EC0">
            <w:pPr>
              <w:pStyle w:val="CETBodytext"/>
            </w:pPr>
            <w:r w:rsidRPr="00A225B7">
              <w:t>Vanilla pudding</w:t>
            </w:r>
          </w:p>
        </w:tc>
        <w:tc>
          <w:tcPr>
            <w:tcW w:w="1701" w:type="dxa"/>
            <w:shd w:val="clear" w:color="auto" w:fill="FFFFFF"/>
          </w:tcPr>
          <w:p w14:paraId="0D687E61" w14:textId="5200B87B" w:rsidR="00A62EC0" w:rsidRPr="00A225B7" w:rsidRDefault="00285BBA" w:rsidP="006873C8">
            <w:pPr>
              <w:pStyle w:val="CETBodytext"/>
              <w:jc w:val="center"/>
            </w:pPr>
            <w:r w:rsidRPr="00A225B7">
              <w:t>1.2</w:t>
            </w:r>
            <w:r w:rsidR="0026335A" w:rsidRPr="00A225B7">
              <w:t>1</w:t>
            </w:r>
          </w:p>
          <w:p w14:paraId="4D535399" w14:textId="4B237610" w:rsidR="006873C8" w:rsidRPr="00A225B7" w:rsidRDefault="003F0679" w:rsidP="006873C8">
            <w:pPr>
              <w:pStyle w:val="CETBodytext"/>
              <w:jc w:val="center"/>
            </w:pPr>
            <w:r w:rsidRPr="00A225B7">
              <w:t>1.9</w:t>
            </w:r>
            <w:r w:rsidR="0026335A" w:rsidRPr="00A225B7">
              <w:t>3</w:t>
            </w:r>
          </w:p>
          <w:p w14:paraId="24D6B89A" w14:textId="2A61F611" w:rsidR="003F0679" w:rsidRPr="00A225B7" w:rsidRDefault="003F0679" w:rsidP="006873C8">
            <w:pPr>
              <w:pStyle w:val="CETBodytext"/>
              <w:jc w:val="center"/>
            </w:pPr>
            <w:r w:rsidRPr="00A225B7">
              <w:t>9.0</w:t>
            </w:r>
            <w:r w:rsidR="0026335A" w:rsidRPr="00A225B7">
              <w:t>1</w:t>
            </w:r>
          </w:p>
          <w:p w14:paraId="14F32100" w14:textId="0BDA5329" w:rsidR="003F0679" w:rsidRPr="00A225B7" w:rsidRDefault="003F0679" w:rsidP="003F0679">
            <w:pPr>
              <w:pStyle w:val="CETBodytext"/>
              <w:jc w:val="center"/>
            </w:pPr>
            <w:r w:rsidRPr="00A225B7">
              <w:t>5.4</w:t>
            </w:r>
            <w:r w:rsidR="0026335A" w:rsidRPr="00A225B7">
              <w:t>2</w:t>
            </w:r>
          </w:p>
        </w:tc>
        <w:tc>
          <w:tcPr>
            <w:tcW w:w="1559" w:type="dxa"/>
            <w:shd w:val="clear" w:color="auto" w:fill="FFFFFF"/>
          </w:tcPr>
          <w:p w14:paraId="1A5A5C1E" w14:textId="264D6AED" w:rsidR="006873C8" w:rsidRPr="00A225B7" w:rsidRDefault="00E364DD" w:rsidP="006873C8">
            <w:pPr>
              <w:pStyle w:val="CETBodytext"/>
              <w:jc w:val="center"/>
            </w:pPr>
            <w:r w:rsidRPr="00A225B7">
              <w:t>48.23</w:t>
            </w:r>
          </w:p>
          <w:p w14:paraId="0BD7D5B1" w14:textId="03E3BECC" w:rsidR="006873C8" w:rsidRPr="00A225B7" w:rsidRDefault="00E364DD" w:rsidP="006873C8">
            <w:pPr>
              <w:pStyle w:val="CETBodytext"/>
              <w:jc w:val="center"/>
            </w:pPr>
            <w:r w:rsidRPr="00A225B7">
              <w:t>68.87</w:t>
            </w:r>
          </w:p>
          <w:p w14:paraId="2FA19661" w14:textId="77777777" w:rsidR="006873C8" w:rsidRPr="00A225B7" w:rsidRDefault="00E364DD" w:rsidP="006873C8">
            <w:pPr>
              <w:pStyle w:val="CETBodytext"/>
              <w:jc w:val="center"/>
            </w:pPr>
            <w:r w:rsidRPr="00A225B7">
              <w:t>70.88</w:t>
            </w:r>
          </w:p>
          <w:p w14:paraId="4E45C382" w14:textId="592D9D09" w:rsidR="00E364DD" w:rsidRPr="00A225B7" w:rsidRDefault="00E364DD" w:rsidP="006873C8">
            <w:pPr>
              <w:pStyle w:val="CETBodytext"/>
              <w:jc w:val="center"/>
            </w:pPr>
            <w:r w:rsidRPr="00A225B7">
              <w:t>29</w:t>
            </w:r>
            <w:r w:rsidR="00F664D3" w:rsidRPr="00A225B7">
              <w:t>.80</w:t>
            </w:r>
          </w:p>
        </w:tc>
        <w:tc>
          <w:tcPr>
            <w:tcW w:w="1617" w:type="dxa"/>
            <w:shd w:val="clear" w:color="auto" w:fill="FFFFFF"/>
          </w:tcPr>
          <w:p w14:paraId="5CBC9D43" w14:textId="1A6DD980" w:rsidR="00A62EC0" w:rsidRPr="00A225B7" w:rsidRDefault="00F664D3" w:rsidP="006873C8">
            <w:pPr>
              <w:pStyle w:val="CETBodytext"/>
              <w:ind w:right="-1"/>
              <w:jc w:val="center"/>
              <w:rPr>
                <w:rFonts w:cs="Arial"/>
                <w:szCs w:val="18"/>
              </w:rPr>
            </w:pPr>
            <w:r w:rsidRPr="00A225B7">
              <w:rPr>
                <w:rFonts w:cs="Arial"/>
                <w:szCs w:val="18"/>
              </w:rPr>
              <w:t>0.313</w:t>
            </w:r>
          </w:p>
          <w:p w14:paraId="51189E91" w14:textId="7B1C27EE" w:rsidR="006873C8" w:rsidRPr="00A225B7" w:rsidRDefault="00F664D3" w:rsidP="006873C8">
            <w:pPr>
              <w:pStyle w:val="CETBodytext"/>
              <w:ind w:right="-1"/>
              <w:jc w:val="center"/>
              <w:rPr>
                <w:rFonts w:cs="Arial"/>
                <w:szCs w:val="18"/>
              </w:rPr>
            </w:pPr>
            <w:r w:rsidRPr="00A225B7">
              <w:rPr>
                <w:rFonts w:cs="Arial"/>
                <w:szCs w:val="18"/>
              </w:rPr>
              <w:t>0.247</w:t>
            </w:r>
          </w:p>
          <w:p w14:paraId="560F4FB1" w14:textId="4BD1E144" w:rsidR="006873C8" w:rsidRPr="00A225B7" w:rsidRDefault="00F664D3" w:rsidP="006873C8">
            <w:pPr>
              <w:pStyle w:val="CETBodytext"/>
              <w:ind w:right="-1"/>
              <w:jc w:val="center"/>
              <w:rPr>
                <w:rFonts w:cs="Arial"/>
                <w:szCs w:val="18"/>
              </w:rPr>
            </w:pPr>
            <w:r w:rsidRPr="00A225B7">
              <w:rPr>
                <w:rFonts w:cs="Arial"/>
                <w:szCs w:val="18"/>
              </w:rPr>
              <w:t>0.134</w:t>
            </w:r>
          </w:p>
          <w:p w14:paraId="656A2924" w14:textId="697063D1" w:rsidR="006873C8" w:rsidRPr="00A225B7" w:rsidRDefault="00414F2A" w:rsidP="006873C8">
            <w:pPr>
              <w:pStyle w:val="CETBodytext"/>
              <w:ind w:right="-1"/>
              <w:jc w:val="center"/>
              <w:rPr>
                <w:rFonts w:cs="Arial"/>
                <w:szCs w:val="18"/>
              </w:rPr>
            </w:pPr>
            <w:r w:rsidRPr="00A225B7">
              <w:rPr>
                <w:rFonts w:cs="Arial"/>
                <w:szCs w:val="18"/>
              </w:rPr>
              <w:t>0.307</w:t>
            </w:r>
          </w:p>
        </w:tc>
        <w:tc>
          <w:tcPr>
            <w:tcW w:w="1680" w:type="dxa"/>
            <w:shd w:val="clear" w:color="auto" w:fill="FFFFFF"/>
          </w:tcPr>
          <w:p w14:paraId="1FBBEBFA" w14:textId="51F452CF" w:rsidR="00A62EC0" w:rsidRPr="00A225B7" w:rsidRDefault="006873C8" w:rsidP="006873C8">
            <w:pPr>
              <w:pStyle w:val="CETBodytext"/>
              <w:ind w:right="-1"/>
              <w:jc w:val="center"/>
              <w:rPr>
                <w:rFonts w:cs="Arial"/>
                <w:szCs w:val="18"/>
              </w:rPr>
            </w:pPr>
            <w:r w:rsidRPr="00A225B7">
              <w:rPr>
                <w:rFonts w:cs="Arial"/>
                <w:szCs w:val="18"/>
              </w:rPr>
              <w:t>0.99</w:t>
            </w:r>
          </w:p>
          <w:p w14:paraId="2EA05DB3" w14:textId="332D91E0" w:rsidR="006873C8" w:rsidRPr="00A225B7" w:rsidRDefault="006873C8" w:rsidP="006873C8">
            <w:pPr>
              <w:pStyle w:val="CETBodytext"/>
              <w:ind w:right="-1"/>
              <w:jc w:val="center"/>
              <w:rPr>
                <w:rFonts w:cs="Arial"/>
                <w:szCs w:val="18"/>
              </w:rPr>
            </w:pPr>
            <w:r w:rsidRPr="00A225B7">
              <w:rPr>
                <w:rFonts w:cs="Arial"/>
                <w:szCs w:val="18"/>
              </w:rPr>
              <w:t>0.99</w:t>
            </w:r>
          </w:p>
          <w:p w14:paraId="3FA8F7B5" w14:textId="0511ED60" w:rsidR="006873C8" w:rsidRPr="00A225B7" w:rsidRDefault="006873C8" w:rsidP="006873C8">
            <w:pPr>
              <w:pStyle w:val="CETBodytext"/>
              <w:ind w:right="-1"/>
              <w:jc w:val="center"/>
              <w:rPr>
                <w:rFonts w:cs="Arial"/>
                <w:szCs w:val="18"/>
              </w:rPr>
            </w:pPr>
            <w:r w:rsidRPr="00A225B7">
              <w:rPr>
                <w:rFonts w:cs="Arial"/>
                <w:szCs w:val="18"/>
              </w:rPr>
              <w:t>0.99</w:t>
            </w:r>
          </w:p>
          <w:p w14:paraId="34B93EE4" w14:textId="4D157375" w:rsidR="006873C8" w:rsidRPr="00A225B7" w:rsidRDefault="006873C8" w:rsidP="006873C8">
            <w:pPr>
              <w:pStyle w:val="CETBodytext"/>
              <w:ind w:right="-1"/>
              <w:jc w:val="center"/>
              <w:rPr>
                <w:rFonts w:cs="Arial"/>
                <w:szCs w:val="18"/>
              </w:rPr>
            </w:pPr>
            <w:r w:rsidRPr="00A225B7">
              <w:rPr>
                <w:rFonts w:cs="Arial"/>
                <w:szCs w:val="18"/>
              </w:rPr>
              <w:t>0.99</w:t>
            </w:r>
          </w:p>
        </w:tc>
      </w:tr>
      <w:tr w:rsidR="00A62EC0" w:rsidRPr="00A225B7" w14:paraId="75C690BD" w14:textId="77777777" w:rsidTr="00A62EC0">
        <w:trPr>
          <w:trHeight w:val="296"/>
        </w:trPr>
        <w:tc>
          <w:tcPr>
            <w:tcW w:w="1843" w:type="dxa"/>
            <w:shd w:val="clear" w:color="auto" w:fill="FFFFFF"/>
          </w:tcPr>
          <w:p w14:paraId="61102806" w14:textId="54D30F48" w:rsidR="00A62EC0" w:rsidRPr="00A225B7" w:rsidRDefault="00A62EC0" w:rsidP="00A62EC0">
            <w:pPr>
              <w:pStyle w:val="CETBodytext"/>
              <w:ind w:right="-1"/>
              <w:rPr>
                <w:rFonts w:cs="Arial"/>
                <w:szCs w:val="18"/>
              </w:rPr>
            </w:pPr>
            <w:r w:rsidRPr="00A225B7">
              <w:rPr>
                <w:rFonts w:cs="Arial"/>
                <w:szCs w:val="18"/>
              </w:rPr>
              <w:t>Thickened water</w:t>
            </w:r>
          </w:p>
        </w:tc>
        <w:tc>
          <w:tcPr>
            <w:tcW w:w="1701" w:type="dxa"/>
            <w:shd w:val="clear" w:color="auto" w:fill="FFFFFF"/>
          </w:tcPr>
          <w:p w14:paraId="43DC5030" w14:textId="5EAFCC33" w:rsidR="00A62EC0" w:rsidRPr="00A225B7" w:rsidRDefault="00CA23DB" w:rsidP="006873C8">
            <w:pPr>
              <w:pStyle w:val="CETBodytext"/>
              <w:ind w:right="-1"/>
              <w:jc w:val="center"/>
              <w:rPr>
                <w:rFonts w:cs="Arial"/>
                <w:szCs w:val="18"/>
              </w:rPr>
            </w:pPr>
            <w:r w:rsidRPr="00A225B7">
              <w:rPr>
                <w:rFonts w:cs="Arial"/>
                <w:szCs w:val="18"/>
              </w:rPr>
              <w:t>1.2</w:t>
            </w:r>
            <w:r w:rsidR="0026335A" w:rsidRPr="00A225B7">
              <w:rPr>
                <w:rFonts w:cs="Arial"/>
                <w:szCs w:val="18"/>
              </w:rPr>
              <w:t>9</w:t>
            </w:r>
          </w:p>
        </w:tc>
        <w:tc>
          <w:tcPr>
            <w:tcW w:w="1559" w:type="dxa"/>
            <w:shd w:val="clear" w:color="auto" w:fill="FFFFFF"/>
          </w:tcPr>
          <w:p w14:paraId="75FD0B64" w14:textId="15B18266" w:rsidR="00A62EC0" w:rsidRPr="00A225B7" w:rsidRDefault="00F664D3" w:rsidP="006873C8">
            <w:pPr>
              <w:pStyle w:val="CETBodytext"/>
              <w:ind w:right="-1"/>
              <w:jc w:val="center"/>
              <w:rPr>
                <w:rFonts w:cs="Arial"/>
                <w:szCs w:val="18"/>
              </w:rPr>
            </w:pPr>
            <w:r w:rsidRPr="00A225B7">
              <w:rPr>
                <w:rFonts w:cs="Arial"/>
                <w:szCs w:val="18"/>
              </w:rPr>
              <w:t>10.05</w:t>
            </w:r>
          </w:p>
        </w:tc>
        <w:tc>
          <w:tcPr>
            <w:tcW w:w="1617" w:type="dxa"/>
            <w:shd w:val="clear" w:color="auto" w:fill="FFFFFF"/>
          </w:tcPr>
          <w:p w14:paraId="07AADFE3" w14:textId="1B71A71E" w:rsidR="00A62EC0" w:rsidRPr="00A225B7" w:rsidRDefault="00414F2A" w:rsidP="006873C8">
            <w:pPr>
              <w:pStyle w:val="CETBodytext"/>
              <w:ind w:right="-1"/>
              <w:jc w:val="center"/>
              <w:rPr>
                <w:rFonts w:cs="Arial"/>
                <w:szCs w:val="18"/>
              </w:rPr>
            </w:pPr>
            <w:r w:rsidRPr="00A225B7">
              <w:rPr>
                <w:rFonts w:cs="Arial"/>
                <w:szCs w:val="18"/>
              </w:rPr>
              <w:t>0.297</w:t>
            </w:r>
          </w:p>
        </w:tc>
        <w:tc>
          <w:tcPr>
            <w:tcW w:w="1680" w:type="dxa"/>
            <w:shd w:val="clear" w:color="auto" w:fill="FFFFFF"/>
          </w:tcPr>
          <w:p w14:paraId="415BB1F3" w14:textId="4F8D31DA" w:rsidR="00A62EC0" w:rsidRPr="00A225B7" w:rsidRDefault="006873C8" w:rsidP="006873C8">
            <w:pPr>
              <w:pStyle w:val="CETBodytext"/>
              <w:ind w:right="-1"/>
              <w:jc w:val="center"/>
              <w:rPr>
                <w:rFonts w:cs="Arial"/>
                <w:szCs w:val="18"/>
              </w:rPr>
            </w:pPr>
            <w:r w:rsidRPr="00A225B7">
              <w:rPr>
                <w:rFonts w:cs="Arial"/>
                <w:szCs w:val="18"/>
              </w:rPr>
              <w:t>0.99</w:t>
            </w:r>
          </w:p>
        </w:tc>
      </w:tr>
    </w:tbl>
    <w:p w14:paraId="543F4464" w14:textId="49738E87" w:rsidR="00CE7549" w:rsidRPr="00A225B7" w:rsidRDefault="00414F2A" w:rsidP="00CF5F41">
      <w:pPr>
        <w:pStyle w:val="Nessunaspaziatura"/>
        <w:spacing w:before="60"/>
        <w:jc w:val="left"/>
        <w:rPr>
          <w:lang w:val="en-US"/>
        </w:rPr>
      </w:pPr>
      <w:r w:rsidRPr="00A225B7">
        <w:rPr>
          <w:i/>
          <w:iCs/>
          <w:lang w:val="en-US"/>
        </w:rPr>
        <w:t>σ</w:t>
      </w:r>
      <w:r w:rsidRPr="00A225B7">
        <w:rPr>
          <w:i/>
          <w:iCs/>
          <w:vertAlign w:val="subscript"/>
          <w:lang w:val="en-US"/>
        </w:rPr>
        <w:t>0</w:t>
      </w:r>
      <w:r w:rsidRPr="00A225B7">
        <w:rPr>
          <w:lang w:val="en-US"/>
        </w:rPr>
        <w:t xml:space="preserve">: yield stress (Pa); </w:t>
      </w:r>
      <w:r w:rsidRPr="00A225B7">
        <w:rPr>
          <w:i/>
          <w:iCs/>
          <w:lang w:val="en-US"/>
        </w:rPr>
        <w:t>k</w:t>
      </w:r>
      <w:r w:rsidRPr="00A225B7">
        <w:rPr>
          <w:lang w:val="en-US"/>
        </w:rPr>
        <w:t>: consistency index (Pa·s</w:t>
      </w:r>
      <w:r w:rsidRPr="00A225B7">
        <w:rPr>
          <w:vertAlign w:val="superscript"/>
          <w:lang w:val="en-US"/>
        </w:rPr>
        <w:t>n</w:t>
      </w:r>
      <w:r w:rsidRPr="00A225B7">
        <w:rPr>
          <w:lang w:val="en-US"/>
        </w:rPr>
        <w:t xml:space="preserve">); </w:t>
      </w:r>
      <w:r w:rsidRPr="00A225B7">
        <w:rPr>
          <w:i/>
          <w:iCs/>
          <w:lang w:val="en-US"/>
        </w:rPr>
        <w:t>n</w:t>
      </w:r>
      <w:r w:rsidRPr="00A225B7">
        <w:rPr>
          <w:lang w:val="en-US"/>
        </w:rPr>
        <w:t>: flow behavior index (dimensionless).</w:t>
      </w:r>
      <w:r w:rsidR="00F16F3A" w:rsidRPr="00A225B7">
        <w:rPr>
          <w:lang w:val="en-US"/>
        </w:rPr>
        <w:t xml:space="preserve"> DRFs: </w:t>
      </w:r>
      <w:r w:rsidR="00617063" w:rsidRPr="00A225B7">
        <w:rPr>
          <w:lang w:val="en-US"/>
        </w:rPr>
        <w:t>D</w:t>
      </w:r>
      <w:r w:rsidR="00F16F3A" w:rsidRPr="00A225B7">
        <w:rPr>
          <w:lang w:val="en-US"/>
        </w:rPr>
        <w:t xml:space="preserve">ysphagia-oriented </w:t>
      </w:r>
      <w:r w:rsidR="00617063" w:rsidRPr="00A225B7">
        <w:rPr>
          <w:lang w:val="en-US"/>
        </w:rPr>
        <w:t>R</w:t>
      </w:r>
      <w:r w:rsidR="00F16F3A" w:rsidRPr="00A225B7">
        <w:rPr>
          <w:lang w:val="en-US"/>
        </w:rPr>
        <w:t xml:space="preserve">eady-to-eat </w:t>
      </w:r>
      <w:r w:rsidR="00617063" w:rsidRPr="00A225B7">
        <w:rPr>
          <w:lang w:val="en-US"/>
        </w:rPr>
        <w:t>F</w:t>
      </w:r>
      <w:r w:rsidR="00F16F3A" w:rsidRPr="00A225B7">
        <w:rPr>
          <w:lang w:val="en-US"/>
        </w:rPr>
        <w:t>oods</w:t>
      </w:r>
      <w:r w:rsidR="00E44F28" w:rsidRPr="00A225B7">
        <w:rPr>
          <w:lang w:val="en-US"/>
        </w:rPr>
        <w:t>.</w:t>
      </w:r>
    </w:p>
    <w:bookmarkEnd w:id="5"/>
    <w:p w14:paraId="2CBD6654" w14:textId="77777777" w:rsidR="00CE7549" w:rsidRPr="00A225B7" w:rsidRDefault="00CE7549" w:rsidP="00796715">
      <w:pPr>
        <w:pStyle w:val="CETBodytext"/>
      </w:pPr>
    </w:p>
    <w:p w14:paraId="1EBEFC59" w14:textId="48B1DE07" w:rsidR="002C1BB1" w:rsidRPr="00A225B7" w:rsidRDefault="00380201" w:rsidP="00796715">
      <w:pPr>
        <w:pStyle w:val="CETBodytext"/>
      </w:pPr>
      <w:r w:rsidRPr="00A225B7">
        <w:t>Yield stress, which represents the stress required to initiate flow and is associated with internal bond strength and structural organization, is a critical parameter in assessing the suitability of foods for individuals with dysphagia</w:t>
      </w:r>
      <w:r w:rsidR="00375696" w:rsidRPr="00A225B7">
        <w:t>,</w:t>
      </w:r>
      <w:r w:rsidRPr="00A225B7">
        <w:t xml:space="preserve"> as it is linked to the ease of swallowing </w:t>
      </w:r>
      <w:r w:rsidR="00833BB6" w:rsidRPr="00A225B7">
        <w:t>(</w:t>
      </w:r>
      <w:r w:rsidR="00D17943" w:rsidRPr="00A225B7">
        <w:t>Tobin et al., 2020</w:t>
      </w:r>
      <w:r w:rsidR="00833BB6" w:rsidRPr="00A225B7">
        <w:t>)</w:t>
      </w:r>
      <w:r w:rsidR="008E3C06" w:rsidRPr="00A225B7">
        <w:t xml:space="preserve">. </w:t>
      </w:r>
      <w:r w:rsidR="00EA5BE7" w:rsidRPr="00A225B7">
        <w:t>Fruit puree showed the highest yield stress (9.01 Pa),</w:t>
      </w:r>
      <w:r w:rsidR="00D57A5F">
        <w:t xml:space="preserve"> </w:t>
      </w:r>
      <w:r w:rsidR="00EA5BE7" w:rsidRPr="00A225B7">
        <w:t>indicating a more cohesive structure</w:t>
      </w:r>
      <w:r w:rsidR="00223770" w:rsidRPr="00A225B7">
        <w:t xml:space="preserve"> among </w:t>
      </w:r>
      <w:r w:rsidR="005B02E0">
        <w:t xml:space="preserve">tested </w:t>
      </w:r>
      <w:r w:rsidR="00223770" w:rsidRPr="00A225B7">
        <w:t>samples</w:t>
      </w:r>
      <w:r w:rsidR="0098677B" w:rsidRPr="00A225B7">
        <w:t xml:space="preserve">. </w:t>
      </w:r>
      <w:r w:rsidR="00EA5BE7" w:rsidRPr="00A225B7">
        <w:t>While this higher structure may improve bolus formation, it could pose a challenge for dysphagi</w:t>
      </w:r>
      <w:r w:rsidR="00BE0DB6" w:rsidRPr="00A225B7">
        <w:t>a patients</w:t>
      </w:r>
      <w:r w:rsidR="00EA5BE7" w:rsidRPr="00A225B7">
        <w:t xml:space="preserve">, as the higher yield stress requires more force to initiate flow during oral processing and swallowing. </w:t>
      </w:r>
      <w:r w:rsidR="00E7391D" w:rsidRPr="00A225B7">
        <w:t>This highlights the need for careful optimization of these products to achieve a balance between cohesion and ease of swallowing.</w:t>
      </w:r>
    </w:p>
    <w:p w14:paraId="02A9396C" w14:textId="77777777" w:rsidR="00F456FD" w:rsidRPr="00A225B7" w:rsidRDefault="00F456FD" w:rsidP="00796715">
      <w:pPr>
        <w:pStyle w:val="CETBodytext"/>
      </w:pPr>
    </w:p>
    <w:p w14:paraId="15DE5B91" w14:textId="4B26D2E4" w:rsidR="00CE7549" w:rsidRPr="00A225B7" w:rsidRDefault="007A792A" w:rsidP="00796715">
      <w:pPr>
        <w:pStyle w:val="CETBodytext"/>
      </w:pPr>
      <w:r w:rsidRPr="00A225B7">
        <w:t xml:space="preserve">Following, </w:t>
      </w:r>
      <w:r w:rsidR="00536E32" w:rsidRPr="00A225B7">
        <w:t xml:space="preserve">the flow curves </w:t>
      </w:r>
      <w:r w:rsidR="00852102" w:rsidRPr="00A225B7">
        <w:t>of</w:t>
      </w:r>
      <w:r w:rsidR="00536E32" w:rsidRPr="00A225B7">
        <w:t xml:space="preserve"> each </w:t>
      </w:r>
      <w:r w:rsidR="003A7436" w:rsidRPr="00A225B7">
        <w:t>dysphagia-oriented ready-to-eat food (</w:t>
      </w:r>
      <w:r w:rsidR="00536E32" w:rsidRPr="00A225B7">
        <w:t>DRF</w:t>
      </w:r>
      <w:r w:rsidR="003A7436" w:rsidRPr="00A225B7">
        <w:t>)</w:t>
      </w:r>
      <w:r w:rsidR="00536E32" w:rsidRPr="00A225B7">
        <w:t xml:space="preserve"> were analyzed to determine the apparent viscosity at the different shear rates </w:t>
      </w:r>
      <w:bookmarkStart w:id="6" w:name="_Hlk189577108"/>
      <w:r w:rsidR="00246E75" w:rsidRPr="00A225B7">
        <w:t>of oral processing-relevant viscosities</w:t>
      </w:r>
      <w:r w:rsidR="00694631" w:rsidRPr="00A225B7">
        <w:t>.</w:t>
      </w:r>
      <w:r w:rsidRPr="00A225B7">
        <w:t xml:space="preserve"> </w:t>
      </w:r>
      <w:bookmarkEnd w:id="6"/>
      <w:r w:rsidR="00EB6BAE" w:rsidRPr="00A225B7">
        <w:t>I</w:t>
      </w:r>
      <w:r w:rsidRPr="00A225B7">
        <w:t xml:space="preserve">n-mouth mixing (10 </w:t>
      </w:r>
      <w:r w:rsidR="00E653E2" w:rsidRPr="00A225B7">
        <w:t>s</w:t>
      </w:r>
      <w:r w:rsidR="00E653E2" w:rsidRPr="00A225B7">
        <w:rPr>
          <w:vertAlign w:val="superscript"/>
        </w:rPr>
        <w:t>−1</w:t>
      </w:r>
      <w:r w:rsidRPr="00A225B7">
        <w:t>)</w:t>
      </w:r>
      <w:r w:rsidR="00694631" w:rsidRPr="00A225B7">
        <w:t xml:space="preserve"> and</w:t>
      </w:r>
      <w:r w:rsidRPr="00A225B7">
        <w:t xml:space="preserve"> pharyngeal swallowing (300 </w:t>
      </w:r>
      <w:r w:rsidR="00E653E2" w:rsidRPr="00A225B7">
        <w:t>s</w:t>
      </w:r>
      <w:r w:rsidR="00E653E2" w:rsidRPr="00A225B7">
        <w:rPr>
          <w:vertAlign w:val="superscript"/>
        </w:rPr>
        <w:t>−1</w:t>
      </w:r>
      <w:r w:rsidRPr="00A225B7">
        <w:t>)</w:t>
      </w:r>
      <w:r w:rsidR="00694631" w:rsidRPr="00A225B7">
        <w:t xml:space="preserve"> were calculated</w:t>
      </w:r>
      <w:r w:rsidRPr="00A225B7">
        <w:t xml:space="preserve">, and </w:t>
      </w:r>
      <w:r w:rsidR="00EB6BAE" w:rsidRPr="00A225B7">
        <w:t xml:space="preserve">the </w:t>
      </w:r>
      <w:r w:rsidRPr="00A225B7">
        <w:t xml:space="preserve">viscosities at the 50 </w:t>
      </w:r>
      <w:r w:rsidR="00E653E2" w:rsidRPr="00A225B7">
        <w:t>s</w:t>
      </w:r>
      <w:r w:rsidR="00E653E2" w:rsidRPr="00A225B7">
        <w:rPr>
          <w:vertAlign w:val="superscript"/>
        </w:rPr>
        <w:t>−1</w:t>
      </w:r>
      <w:r w:rsidRPr="00A225B7">
        <w:t xml:space="preserve"> </w:t>
      </w:r>
      <w:r w:rsidR="00EB6BAE" w:rsidRPr="00A225B7">
        <w:t xml:space="preserve">value </w:t>
      </w:r>
      <w:r w:rsidRPr="00A225B7">
        <w:t>were used to assign each food to the appropriate IDDSI</w:t>
      </w:r>
      <w:r w:rsidR="00975605" w:rsidRPr="00A225B7">
        <w:t xml:space="preserve"> </w:t>
      </w:r>
      <w:r w:rsidRPr="00A225B7">
        <w:t xml:space="preserve">level, as </w:t>
      </w:r>
      <w:r w:rsidR="00293C7D" w:rsidRPr="00A225B7">
        <w:t>reported</w:t>
      </w:r>
      <w:r w:rsidRPr="00A225B7">
        <w:t xml:space="preserve"> in </w:t>
      </w:r>
      <w:r w:rsidRPr="00A225B7">
        <w:rPr>
          <w:b/>
          <w:bCs/>
        </w:rPr>
        <w:t>Table 2</w:t>
      </w:r>
      <w:r w:rsidRPr="00A225B7">
        <w:t>.</w:t>
      </w:r>
    </w:p>
    <w:p w14:paraId="3BE306F9" w14:textId="0A776671" w:rsidR="002C1BB1" w:rsidRPr="00A225B7" w:rsidRDefault="002C1BB1" w:rsidP="002C1BB1">
      <w:pPr>
        <w:pStyle w:val="CETTabletitle"/>
        <w:rPr>
          <w:lang w:val="en-US"/>
        </w:rPr>
      </w:pPr>
      <w:r w:rsidRPr="00A225B7">
        <w:rPr>
          <w:lang w:val="en-US"/>
        </w:rPr>
        <w:t>Table 2: Calc</w:t>
      </w:r>
      <w:r w:rsidR="008827BE" w:rsidRPr="00A225B7">
        <w:rPr>
          <w:lang w:val="en-US"/>
        </w:rPr>
        <w:t xml:space="preserve">ulated </w:t>
      </w:r>
      <w:r w:rsidR="00217116" w:rsidRPr="00A225B7">
        <w:rPr>
          <w:lang w:val="en-US"/>
        </w:rPr>
        <w:t xml:space="preserve">oral-relevant </w:t>
      </w:r>
      <w:r w:rsidR="00FC4C86" w:rsidRPr="00A225B7">
        <w:rPr>
          <w:lang w:val="en-US"/>
        </w:rPr>
        <w:t>apparent</w:t>
      </w:r>
      <w:r w:rsidRPr="00A225B7">
        <w:rPr>
          <w:lang w:val="en-US"/>
        </w:rPr>
        <w:t xml:space="preserve"> viscosities</w:t>
      </w:r>
      <w:r w:rsidR="00D572C8" w:rsidRPr="00A225B7">
        <w:rPr>
          <w:lang w:val="en-US"/>
        </w:rPr>
        <w:t xml:space="preserve"> (</w:t>
      </w:r>
      <w:r w:rsidR="004E300B" w:rsidRPr="00A225B7">
        <w:rPr>
          <w:rFonts w:cs="Arial"/>
          <w:lang w:val="en-US"/>
        </w:rPr>
        <w:t>ƞ</w:t>
      </w:r>
      <w:r w:rsidR="0099242C" w:rsidRPr="00A225B7">
        <w:rPr>
          <w:rFonts w:cs="Arial"/>
          <w:i w:val="0"/>
          <w:iCs/>
          <w:lang w:val="en-US"/>
        </w:rPr>
        <w:t xml:space="preserve">, </w:t>
      </w:r>
      <w:r w:rsidR="0099242C" w:rsidRPr="00A225B7">
        <w:rPr>
          <w:rFonts w:cs="Arial"/>
          <w:lang w:val="en-US"/>
        </w:rPr>
        <w:t xml:space="preserve">in </w:t>
      </w:r>
      <w:r w:rsidR="00165850" w:rsidRPr="00A225B7">
        <w:rPr>
          <w:lang w:val="en-US"/>
        </w:rPr>
        <w:t>Pa</w:t>
      </w:r>
      <w:r w:rsidR="0099242C" w:rsidRPr="00A225B7">
        <w:rPr>
          <w:rFonts w:ascii="Cambria Math" w:hAnsi="Cambria Math" w:cs="Cambria Math"/>
          <w:lang w:val="en-US"/>
        </w:rPr>
        <w:t>⋅</w:t>
      </w:r>
      <w:r w:rsidR="00165850" w:rsidRPr="00A225B7">
        <w:rPr>
          <w:lang w:val="en-US"/>
        </w:rPr>
        <w:t>s</w:t>
      </w:r>
      <w:r w:rsidR="00D572C8" w:rsidRPr="00A225B7">
        <w:rPr>
          <w:lang w:val="en-US"/>
        </w:rPr>
        <w:t>)</w:t>
      </w:r>
      <w:r w:rsidR="008827BE" w:rsidRPr="00A225B7">
        <w:rPr>
          <w:lang w:val="en-US"/>
        </w:rPr>
        <w:t xml:space="preserve"> and retrieved IDDSI level</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843"/>
        <w:gridCol w:w="1701"/>
        <w:gridCol w:w="1559"/>
        <w:gridCol w:w="1617"/>
        <w:gridCol w:w="1680"/>
      </w:tblGrid>
      <w:tr w:rsidR="002C1BB1" w:rsidRPr="00A225B7" w14:paraId="33F90EAD" w14:textId="77777777" w:rsidTr="00B024C5">
        <w:trPr>
          <w:trHeight w:val="296"/>
        </w:trPr>
        <w:tc>
          <w:tcPr>
            <w:tcW w:w="1843" w:type="dxa"/>
            <w:tcBorders>
              <w:top w:val="single" w:sz="12" w:space="0" w:color="008000"/>
              <w:bottom w:val="single" w:sz="6" w:space="0" w:color="008000"/>
            </w:tcBorders>
            <w:shd w:val="clear" w:color="auto" w:fill="FFFFFF"/>
          </w:tcPr>
          <w:p w14:paraId="0F8F5A3F" w14:textId="3ED03ADC" w:rsidR="002C1BB1" w:rsidRPr="00A225B7" w:rsidRDefault="0077354E" w:rsidP="00B024C5">
            <w:pPr>
              <w:pStyle w:val="CETBodytext"/>
              <w:jc w:val="center"/>
            </w:pPr>
            <w:bookmarkStart w:id="7" w:name="_Hlk189648710"/>
            <w:r w:rsidRPr="00A225B7">
              <w:t>DR</w:t>
            </w:r>
            <w:r w:rsidR="00597B31" w:rsidRPr="00A225B7">
              <w:t>F</w:t>
            </w:r>
            <w:r w:rsidR="00F16F3A" w:rsidRPr="00A225B7">
              <w:t>s</w:t>
            </w:r>
          </w:p>
        </w:tc>
        <w:tc>
          <w:tcPr>
            <w:tcW w:w="1701" w:type="dxa"/>
            <w:tcBorders>
              <w:top w:val="single" w:sz="12" w:space="0" w:color="008000"/>
              <w:bottom w:val="single" w:sz="6" w:space="0" w:color="008000"/>
            </w:tcBorders>
            <w:shd w:val="clear" w:color="auto" w:fill="FFFFFF"/>
          </w:tcPr>
          <w:p w14:paraId="0985E9EC" w14:textId="78FDF8A7" w:rsidR="0099242C" w:rsidRPr="00A225B7" w:rsidRDefault="004E300B" w:rsidP="0099242C">
            <w:pPr>
              <w:pStyle w:val="CETBodytext"/>
              <w:jc w:val="center"/>
            </w:pPr>
            <w:r w:rsidRPr="00A225B7">
              <w:rPr>
                <w:rFonts w:cs="Arial"/>
                <w:i/>
                <w:iCs/>
              </w:rPr>
              <w:t>ƞ</w:t>
            </w:r>
            <w:r w:rsidRPr="00A225B7">
              <w:rPr>
                <w:rFonts w:cs="Arial"/>
              </w:rPr>
              <w:t xml:space="preserve"> (</w:t>
            </w:r>
            <w:r w:rsidR="008827BE" w:rsidRPr="00A225B7">
              <w:t xml:space="preserve">10 </w:t>
            </w:r>
            <w:r w:rsidR="00E653E2" w:rsidRPr="00A225B7">
              <w:t>s</w:t>
            </w:r>
            <w:r w:rsidR="00E653E2" w:rsidRPr="00A225B7">
              <w:rPr>
                <w:vertAlign w:val="superscript"/>
              </w:rPr>
              <w:t>−1</w:t>
            </w:r>
            <w:r w:rsidRPr="00A225B7">
              <w:t>)</w:t>
            </w:r>
          </w:p>
        </w:tc>
        <w:tc>
          <w:tcPr>
            <w:tcW w:w="1559" w:type="dxa"/>
            <w:tcBorders>
              <w:top w:val="single" w:sz="12" w:space="0" w:color="008000"/>
              <w:bottom w:val="single" w:sz="6" w:space="0" w:color="008000"/>
            </w:tcBorders>
            <w:shd w:val="clear" w:color="auto" w:fill="FFFFFF"/>
          </w:tcPr>
          <w:p w14:paraId="716BBDB3" w14:textId="2079CFC4" w:rsidR="002C1BB1" w:rsidRPr="00A225B7" w:rsidRDefault="004E300B" w:rsidP="00B024C5">
            <w:pPr>
              <w:pStyle w:val="CETBodytext"/>
              <w:jc w:val="center"/>
            </w:pPr>
            <w:r w:rsidRPr="00A225B7">
              <w:rPr>
                <w:rFonts w:cs="Arial"/>
                <w:i/>
                <w:iCs/>
              </w:rPr>
              <w:t>ƞ</w:t>
            </w:r>
            <w:r w:rsidRPr="00A225B7">
              <w:rPr>
                <w:rFonts w:cs="Arial"/>
              </w:rPr>
              <w:t xml:space="preserve"> (</w:t>
            </w:r>
            <w:r w:rsidRPr="00A225B7">
              <w:t xml:space="preserve">50 </w:t>
            </w:r>
            <w:r w:rsidR="00E653E2" w:rsidRPr="00A225B7">
              <w:t>s</w:t>
            </w:r>
            <w:r w:rsidR="00E653E2" w:rsidRPr="00A225B7">
              <w:rPr>
                <w:vertAlign w:val="superscript"/>
              </w:rPr>
              <w:t>−1</w:t>
            </w:r>
            <w:r w:rsidRPr="00A225B7">
              <w:t>)</w:t>
            </w:r>
          </w:p>
        </w:tc>
        <w:tc>
          <w:tcPr>
            <w:tcW w:w="1617" w:type="dxa"/>
            <w:tcBorders>
              <w:top w:val="single" w:sz="12" w:space="0" w:color="008000"/>
              <w:bottom w:val="single" w:sz="6" w:space="0" w:color="008000"/>
            </w:tcBorders>
            <w:shd w:val="clear" w:color="auto" w:fill="FFFFFF"/>
          </w:tcPr>
          <w:p w14:paraId="4D597A5B" w14:textId="19BF7149" w:rsidR="002C1BB1" w:rsidRPr="00A225B7" w:rsidRDefault="004E300B" w:rsidP="00B024C5">
            <w:pPr>
              <w:pStyle w:val="CETBodytext"/>
              <w:ind w:right="-1"/>
              <w:jc w:val="center"/>
              <w:rPr>
                <w:rFonts w:cs="Arial"/>
                <w:szCs w:val="18"/>
              </w:rPr>
            </w:pPr>
            <w:r w:rsidRPr="00A225B7">
              <w:rPr>
                <w:rFonts w:cs="Arial"/>
                <w:i/>
                <w:iCs/>
              </w:rPr>
              <w:t>ƞ</w:t>
            </w:r>
            <w:r w:rsidRPr="00A225B7">
              <w:rPr>
                <w:rFonts w:cs="Arial"/>
              </w:rPr>
              <w:t xml:space="preserve"> (</w:t>
            </w:r>
            <w:r w:rsidRPr="00A225B7">
              <w:t xml:space="preserve">300 </w:t>
            </w:r>
            <w:r w:rsidR="00E653E2" w:rsidRPr="00A225B7">
              <w:t>s</w:t>
            </w:r>
            <w:r w:rsidR="00E653E2" w:rsidRPr="00A225B7">
              <w:rPr>
                <w:vertAlign w:val="superscript"/>
              </w:rPr>
              <w:t>−1</w:t>
            </w:r>
            <w:r w:rsidRPr="00A225B7">
              <w:t>)</w:t>
            </w:r>
          </w:p>
        </w:tc>
        <w:tc>
          <w:tcPr>
            <w:tcW w:w="1680" w:type="dxa"/>
            <w:tcBorders>
              <w:top w:val="single" w:sz="12" w:space="0" w:color="008000"/>
              <w:bottom w:val="single" w:sz="6" w:space="0" w:color="008000"/>
            </w:tcBorders>
            <w:shd w:val="clear" w:color="auto" w:fill="FFFFFF"/>
          </w:tcPr>
          <w:p w14:paraId="7CB7D87C" w14:textId="2DF01837" w:rsidR="002C1BB1" w:rsidRPr="00A225B7" w:rsidRDefault="00545DEF" w:rsidP="00B024C5">
            <w:pPr>
              <w:pStyle w:val="CETBodytext"/>
              <w:ind w:right="-1"/>
              <w:jc w:val="center"/>
              <w:rPr>
                <w:rFonts w:cs="Arial"/>
                <w:szCs w:val="18"/>
              </w:rPr>
            </w:pPr>
            <w:r w:rsidRPr="00A225B7">
              <w:t xml:space="preserve">IDDSI </w:t>
            </w:r>
            <w:r w:rsidR="008827BE" w:rsidRPr="00A225B7">
              <w:t>Level</w:t>
            </w:r>
            <w:r w:rsidR="00C1462B" w:rsidRPr="00A225B7">
              <w:rPr>
                <w:rFonts w:cs="Arial"/>
                <w:vertAlign w:val="superscript"/>
              </w:rPr>
              <w:t xml:space="preserve"> †</w:t>
            </w:r>
          </w:p>
        </w:tc>
      </w:tr>
      <w:tr w:rsidR="002C1BB1" w:rsidRPr="00A225B7" w14:paraId="0C9DE332" w14:textId="77777777" w:rsidTr="00B024C5">
        <w:trPr>
          <w:trHeight w:val="309"/>
        </w:trPr>
        <w:tc>
          <w:tcPr>
            <w:tcW w:w="1843" w:type="dxa"/>
            <w:shd w:val="clear" w:color="auto" w:fill="FFFFFF"/>
          </w:tcPr>
          <w:p w14:paraId="74B4BF9D" w14:textId="76410CD6" w:rsidR="002C1BB1" w:rsidRPr="00247F6B" w:rsidRDefault="00F95D4E" w:rsidP="00B024C5">
            <w:pPr>
              <w:pStyle w:val="CETBodytext"/>
              <w:rPr>
                <w:lang w:val="it-IT"/>
              </w:rPr>
            </w:pPr>
            <w:r w:rsidRPr="00247F6B">
              <w:rPr>
                <w:lang w:val="it-IT"/>
              </w:rPr>
              <w:t>Pasta puree</w:t>
            </w:r>
            <w:r w:rsidR="002C1BB1" w:rsidRPr="00247F6B">
              <w:rPr>
                <w:lang w:val="it-IT"/>
              </w:rPr>
              <w:t xml:space="preserve"> </w:t>
            </w:r>
          </w:p>
          <w:p w14:paraId="5527CFC9" w14:textId="1FAEF944" w:rsidR="002C1BB1" w:rsidRPr="00247F6B" w:rsidRDefault="00F95D4E" w:rsidP="00B024C5">
            <w:pPr>
              <w:pStyle w:val="CETBodytext"/>
              <w:rPr>
                <w:lang w:val="it-IT"/>
              </w:rPr>
            </w:pPr>
            <w:r w:rsidRPr="00247F6B">
              <w:rPr>
                <w:lang w:val="it-IT"/>
              </w:rPr>
              <w:t>Chicken puree</w:t>
            </w:r>
          </w:p>
          <w:p w14:paraId="735B45A2" w14:textId="288DDACE" w:rsidR="002C1BB1" w:rsidRPr="00247F6B" w:rsidRDefault="00F95D4E" w:rsidP="00B024C5">
            <w:pPr>
              <w:pStyle w:val="CETBodytext"/>
              <w:rPr>
                <w:lang w:val="it-IT"/>
              </w:rPr>
            </w:pPr>
            <w:r w:rsidRPr="00247F6B">
              <w:rPr>
                <w:lang w:val="it-IT"/>
              </w:rPr>
              <w:t>Apple puree</w:t>
            </w:r>
          </w:p>
          <w:p w14:paraId="0F8B3C1C" w14:textId="2EA7EB13" w:rsidR="002C1BB1" w:rsidRPr="00A225B7" w:rsidRDefault="00F95D4E" w:rsidP="00B024C5">
            <w:pPr>
              <w:pStyle w:val="CETBodytext"/>
            </w:pPr>
            <w:r w:rsidRPr="00A225B7">
              <w:t>Vanilla pudding</w:t>
            </w:r>
          </w:p>
        </w:tc>
        <w:tc>
          <w:tcPr>
            <w:tcW w:w="1701" w:type="dxa"/>
            <w:shd w:val="clear" w:color="auto" w:fill="FFFFFF"/>
          </w:tcPr>
          <w:p w14:paraId="6B8DB325" w14:textId="64BF053F" w:rsidR="002C1BB1" w:rsidRPr="00A225B7" w:rsidRDefault="002C1BB1" w:rsidP="00B024C5">
            <w:pPr>
              <w:pStyle w:val="CETBodytext"/>
              <w:jc w:val="center"/>
            </w:pPr>
            <w:r w:rsidRPr="00A225B7">
              <w:t>1</w:t>
            </w:r>
            <w:r w:rsidR="009B607F" w:rsidRPr="00A225B7">
              <w:t>0.12</w:t>
            </w:r>
          </w:p>
          <w:p w14:paraId="361E7C64" w14:textId="097DE420" w:rsidR="002C1BB1" w:rsidRPr="00A225B7" w:rsidRDefault="002C1BB1" w:rsidP="00B024C5">
            <w:pPr>
              <w:pStyle w:val="CETBodytext"/>
              <w:jc w:val="center"/>
            </w:pPr>
            <w:r w:rsidRPr="00A225B7">
              <w:t>1</w:t>
            </w:r>
            <w:r w:rsidR="00AC6F24" w:rsidRPr="00A225B7">
              <w:t>2.38</w:t>
            </w:r>
          </w:p>
          <w:p w14:paraId="4A96DC2C" w14:textId="2763F872" w:rsidR="002C1BB1" w:rsidRPr="00A225B7" w:rsidRDefault="002C1BB1" w:rsidP="00B024C5">
            <w:pPr>
              <w:pStyle w:val="CETBodytext"/>
              <w:jc w:val="center"/>
            </w:pPr>
            <w:r w:rsidRPr="00A225B7">
              <w:t>9</w:t>
            </w:r>
            <w:r w:rsidR="00775760" w:rsidRPr="00A225B7">
              <w:t>.26</w:t>
            </w:r>
          </w:p>
          <w:p w14:paraId="188967A4" w14:textId="7DBC36C7" w:rsidR="002C1BB1" w:rsidRPr="00A225B7" w:rsidRDefault="00775760" w:rsidP="00B024C5">
            <w:pPr>
              <w:pStyle w:val="CETBodytext"/>
              <w:jc w:val="center"/>
            </w:pPr>
            <w:r w:rsidRPr="00A225B7">
              <w:t>6.38</w:t>
            </w:r>
          </w:p>
        </w:tc>
        <w:tc>
          <w:tcPr>
            <w:tcW w:w="1559" w:type="dxa"/>
            <w:shd w:val="clear" w:color="auto" w:fill="FFFFFF"/>
          </w:tcPr>
          <w:p w14:paraId="6A59C861" w14:textId="7344E646" w:rsidR="002C1BB1" w:rsidRPr="00A225B7" w:rsidRDefault="00AC6F24" w:rsidP="00B024C5">
            <w:pPr>
              <w:pStyle w:val="CETBodytext"/>
              <w:jc w:val="center"/>
            </w:pPr>
            <w:r w:rsidRPr="00A225B7">
              <w:t>3.28</w:t>
            </w:r>
          </w:p>
          <w:p w14:paraId="11692E39" w14:textId="2787A1E3" w:rsidR="002C1BB1" w:rsidRPr="00A225B7" w:rsidRDefault="00775760" w:rsidP="00B024C5">
            <w:pPr>
              <w:pStyle w:val="CETBodytext"/>
              <w:jc w:val="center"/>
            </w:pPr>
            <w:r w:rsidRPr="00A225B7">
              <w:t>3.67</w:t>
            </w:r>
          </w:p>
          <w:p w14:paraId="0B1EF34A" w14:textId="4BCD8EBF" w:rsidR="002C1BB1" w:rsidRPr="00A225B7" w:rsidRDefault="00775760" w:rsidP="00B024C5">
            <w:pPr>
              <w:pStyle w:val="CETBodytext"/>
              <w:jc w:val="center"/>
            </w:pPr>
            <w:r w:rsidRPr="00A225B7">
              <w:t>2.25</w:t>
            </w:r>
          </w:p>
          <w:p w14:paraId="3D68024C" w14:textId="45971D99" w:rsidR="002C1BB1" w:rsidRPr="00A225B7" w:rsidRDefault="00C93BEA" w:rsidP="00B024C5">
            <w:pPr>
              <w:pStyle w:val="CETBodytext"/>
              <w:jc w:val="center"/>
            </w:pPr>
            <w:r w:rsidRPr="00A225B7">
              <w:t>2.16</w:t>
            </w:r>
          </w:p>
        </w:tc>
        <w:tc>
          <w:tcPr>
            <w:tcW w:w="1617" w:type="dxa"/>
            <w:shd w:val="clear" w:color="auto" w:fill="FFFFFF"/>
          </w:tcPr>
          <w:p w14:paraId="5A2D0216" w14:textId="69FB30A1" w:rsidR="002C1BB1" w:rsidRPr="00A225B7" w:rsidRDefault="002C1BB1" w:rsidP="00B024C5">
            <w:pPr>
              <w:pStyle w:val="CETBodytext"/>
              <w:ind w:right="-1"/>
              <w:jc w:val="center"/>
              <w:rPr>
                <w:rFonts w:cs="Arial"/>
                <w:szCs w:val="18"/>
              </w:rPr>
            </w:pPr>
            <w:r w:rsidRPr="00A225B7">
              <w:rPr>
                <w:rFonts w:cs="Arial"/>
                <w:szCs w:val="18"/>
              </w:rPr>
              <w:t>0</w:t>
            </w:r>
            <w:r w:rsidR="00AC6F24" w:rsidRPr="00A225B7">
              <w:rPr>
                <w:rFonts w:cs="Arial"/>
                <w:szCs w:val="18"/>
              </w:rPr>
              <w:t>.</w:t>
            </w:r>
            <w:r w:rsidR="00C93BEA" w:rsidRPr="00A225B7">
              <w:rPr>
                <w:rFonts w:cs="Arial"/>
                <w:szCs w:val="18"/>
              </w:rPr>
              <w:t>95</w:t>
            </w:r>
          </w:p>
          <w:p w14:paraId="0BB5F617" w14:textId="7E3457F0" w:rsidR="002C1BB1" w:rsidRPr="00A225B7" w:rsidRDefault="002C1BB1" w:rsidP="00B024C5">
            <w:pPr>
              <w:pStyle w:val="CETBodytext"/>
              <w:ind w:right="-1"/>
              <w:jc w:val="center"/>
              <w:rPr>
                <w:rFonts w:cs="Arial"/>
                <w:szCs w:val="18"/>
              </w:rPr>
            </w:pPr>
            <w:r w:rsidRPr="00A225B7">
              <w:rPr>
                <w:rFonts w:cs="Arial"/>
                <w:szCs w:val="18"/>
              </w:rPr>
              <w:t>0.</w:t>
            </w:r>
            <w:r w:rsidR="00C93BEA" w:rsidRPr="00A225B7">
              <w:rPr>
                <w:rFonts w:cs="Arial"/>
                <w:szCs w:val="18"/>
              </w:rPr>
              <w:t>95</w:t>
            </w:r>
          </w:p>
          <w:p w14:paraId="5EAE79A4" w14:textId="4AEC1F90" w:rsidR="002C1BB1" w:rsidRPr="00A225B7" w:rsidRDefault="002C1BB1" w:rsidP="00B024C5">
            <w:pPr>
              <w:pStyle w:val="CETBodytext"/>
              <w:ind w:right="-1"/>
              <w:jc w:val="center"/>
              <w:rPr>
                <w:rFonts w:cs="Arial"/>
                <w:szCs w:val="18"/>
              </w:rPr>
            </w:pPr>
            <w:r w:rsidRPr="00A225B7">
              <w:rPr>
                <w:rFonts w:cs="Arial"/>
                <w:szCs w:val="18"/>
              </w:rPr>
              <w:t>0.</w:t>
            </w:r>
            <w:r w:rsidR="007D5D36" w:rsidRPr="00A225B7">
              <w:rPr>
                <w:rFonts w:cs="Arial"/>
                <w:szCs w:val="18"/>
              </w:rPr>
              <w:t>46</w:t>
            </w:r>
          </w:p>
          <w:p w14:paraId="667D65A3" w14:textId="30349811" w:rsidR="002C1BB1" w:rsidRPr="00A225B7" w:rsidRDefault="002C1BB1" w:rsidP="00B024C5">
            <w:pPr>
              <w:pStyle w:val="CETBodytext"/>
              <w:ind w:right="-1"/>
              <w:jc w:val="center"/>
              <w:rPr>
                <w:rFonts w:cs="Arial"/>
                <w:szCs w:val="18"/>
              </w:rPr>
            </w:pPr>
            <w:r w:rsidRPr="00A225B7">
              <w:rPr>
                <w:rFonts w:cs="Arial"/>
                <w:szCs w:val="18"/>
              </w:rPr>
              <w:t>0.</w:t>
            </w:r>
            <w:r w:rsidR="007D5D36" w:rsidRPr="00A225B7">
              <w:rPr>
                <w:rFonts w:cs="Arial"/>
                <w:szCs w:val="18"/>
              </w:rPr>
              <w:t>60</w:t>
            </w:r>
          </w:p>
        </w:tc>
        <w:tc>
          <w:tcPr>
            <w:tcW w:w="1680" w:type="dxa"/>
            <w:shd w:val="clear" w:color="auto" w:fill="FFFFFF"/>
          </w:tcPr>
          <w:p w14:paraId="73B10EFB" w14:textId="249CB07F" w:rsidR="002C1BB1" w:rsidRPr="00A225B7" w:rsidRDefault="007D5D36" w:rsidP="00B024C5">
            <w:pPr>
              <w:pStyle w:val="CETBodytext"/>
              <w:ind w:right="-1"/>
              <w:jc w:val="center"/>
              <w:rPr>
                <w:rFonts w:cs="Arial"/>
                <w:szCs w:val="18"/>
              </w:rPr>
            </w:pPr>
            <w:r w:rsidRPr="00A225B7">
              <w:rPr>
                <w:rFonts w:cs="Arial"/>
                <w:szCs w:val="18"/>
              </w:rPr>
              <w:t>4</w:t>
            </w:r>
          </w:p>
          <w:p w14:paraId="6A989B2F" w14:textId="2A2BC670" w:rsidR="002C1BB1" w:rsidRPr="00A225B7" w:rsidRDefault="007D5D36" w:rsidP="00B024C5">
            <w:pPr>
              <w:pStyle w:val="CETBodytext"/>
              <w:ind w:right="-1"/>
              <w:jc w:val="center"/>
              <w:rPr>
                <w:rFonts w:cs="Arial"/>
                <w:szCs w:val="18"/>
              </w:rPr>
            </w:pPr>
            <w:r w:rsidRPr="00A225B7">
              <w:rPr>
                <w:rFonts w:cs="Arial"/>
                <w:szCs w:val="18"/>
              </w:rPr>
              <w:t>4</w:t>
            </w:r>
          </w:p>
          <w:p w14:paraId="7B863868" w14:textId="6C688968" w:rsidR="002C1BB1" w:rsidRPr="00A225B7" w:rsidRDefault="007D5D36" w:rsidP="00B024C5">
            <w:pPr>
              <w:pStyle w:val="CETBodytext"/>
              <w:ind w:right="-1"/>
              <w:jc w:val="center"/>
              <w:rPr>
                <w:rFonts w:cs="Arial"/>
                <w:szCs w:val="18"/>
              </w:rPr>
            </w:pPr>
            <w:r w:rsidRPr="00A225B7">
              <w:rPr>
                <w:rFonts w:cs="Arial"/>
                <w:szCs w:val="18"/>
              </w:rPr>
              <w:t>4</w:t>
            </w:r>
          </w:p>
          <w:p w14:paraId="672EE1EB" w14:textId="016C4901" w:rsidR="002C1BB1" w:rsidRPr="00A225B7" w:rsidRDefault="007D5D36" w:rsidP="00B024C5">
            <w:pPr>
              <w:pStyle w:val="CETBodytext"/>
              <w:ind w:right="-1"/>
              <w:jc w:val="center"/>
              <w:rPr>
                <w:rFonts w:cs="Arial"/>
                <w:szCs w:val="18"/>
              </w:rPr>
            </w:pPr>
            <w:r w:rsidRPr="00A225B7">
              <w:rPr>
                <w:rFonts w:cs="Arial"/>
                <w:szCs w:val="18"/>
              </w:rPr>
              <w:t>4</w:t>
            </w:r>
          </w:p>
        </w:tc>
      </w:tr>
      <w:tr w:rsidR="002C1BB1" w:rsidRPr="00A225B7" w14:paraId="678B16A3" w14:textId="77777777" w:rsidTr="00B024C5">
        <w:trPr>
          <w:trHeight w:val="296"/>
        </w:trPr>
        <w:tc>
          <w:tcPr>
            <w:tcW w:w="1843" w:type="dxa"/>
            <w:shd w:val="clear" w:color="auto" w:fill="FFFFFF"/>
          </w:tcPr>
          <w:p w14:paraId="20219B14" w14:textId="3054E9A3" w:rsidR="002C1BB1" w:rsidRPr="00A225B7" w:rsidRDefault="002C1BB1" w:rsidP="00B024C5">
            <w:pPr>
              <w:pStyle w:val="CETBodytext"/>
              <w:ind w:right="-1"/>
              <w:rPr>
                <w:rFonts w:cs="Arial"/>
                <w:szCs w:val="18"/>
              </w:rPr>
            </w:pPr>
            <w:r w:rsidRPr="00A225B7">
              <w:rPr>
                <w:rFonts w:cs="Arial"/>
                <w:szCs w:val="18"/>
              </w:rPr>
              <w:t>Thickened water</w:t>
            </w:r>
          </w:p>
        </w:tc>
        <w:tc>
          <w:tcPr>
            <w:tcW w:w="1701" w:type="dxa"/>
            <w:shd w:val="clear" w:color="auto" w:fill="FFFFFF"/>
          </w:tcPr>
          <w:p w14:paraId="444724A8" w14:textId="6A42097B" w:rsidR="002C1BB1" w:rsidRPr="00A225B7" w:rsidRDefault="002C1BB1" w:rsidP="00B024C5">
            <w:pPr>
              <w:pStyle w:val="CETBodytext"/>
              <w:ind w:right="-1"/>
              <w:jc w:val="center"/>
              <w:rPr>
                <w:rFonts w:cs="Arial"/>
                <w:szCs w:val="18"/>
              </w:rPr>
            </w:pPr>
            <w:r w:rsidRPr="00A225B7">
              <w:rPr>
                <w:rFonts w:cs="Arial"/>
                <w:szCs w:val="18"/>
              </w:rPr>
              <w:t>1.</w:t>
            </w:r>
            <w:r w:rsidR="00775760" w:rsidRPr="00A225B7">
              <w:rPr>
                <w:rFonts w:cs="Arial"/>
                <w:szCs w:val="18"/>
              </w:rPr>
              <w:t>96</w:t>
            </w:r>
          </w:p>
        </w:tc>
        <w:tc>
          <w:tcPr>
            <w:tcW w:w="1559" w:type="dxa"/>
            <w:shd w:val="clear" w:color="auto" w:fill="FFFFFF"/>
          </w:tcPr>
          <w:p w14:paraId="78562B6D" w14:textId="6110526C" w:rsidR="002C1BB1" w:rsidRPr="00A225B7" w:rsidRDefault="00C93BEA" w:rsidP="00B024C5">
            <w:pPr>
              <w:pStyle w:val="CETBodytext"/>
              <w:ind w:right="-1"/>
              <w:jc w:val="center"/>
              <w:rPr>
                <w:rFonts w:cs="Arial"/>
                <w:szCs w:val="18"/>
              </w:rPr>
            </w:pPr>
            <w:r w:rsidRPr="00A225B7">
              <w:rPr>
                <w:rFonts w:cs="Arial"/>
                <w:szCs w:val="18"/>
              </w:rPr>
              <w:t>0.62</w:t>
            </w:r>
          </w:p>
        </w:tc>
        <w:tc>
          <w:tcPr>
            <w:tcW w:w="1617" w:type="dxa"/>
            <w:shd w:val="clear" w:color="auto" w:fill="FFFFFF"/>
          </w:tcPr>
          <w:p w14:paraId="1CCCF21B" w14:textId="46401CC6" w:rsidR="002C1BB1" w:rsidRPr="00A225B7" w:rsidRDefault="002C1BB1" w:rsidP="00B024C5">
            <w:pPr>
              <w:pStyle w:val="CETBodytext"/>
              <w:ind w:right="-1"/>
              <w:jc w:val="center"/>
              <w:rPr>
                <w:rFonts w:cs="Arial"/>
                <w:szCs w:val="18"/>
              </w:rPr>
            </w:pPr>
            <w:r w:rsidRPr="00A225B7">
              <w:rPr>
                <w:rFonts w:cs="Arial"/>
                <w:szCs w:val="18"/>
              </w:rPr>
              <w:t>0.</w:t>
            </w:r>
            <w:r w:rsidR="007D5D36" w:rsidRPr="00A225B7">
              <w:rPr>
                <w:rFonts w:cs="Arial"/>
                <w:szCs w:val="18"/>
              </w:rPr>
              <w:t>17</w:t>
            </w:r>
          </w:p>
        </w:tc>
        <w:tc>
          <w:tcPr>
            <w:tcW w:w="1680" w:type="dxa"/>
            <w:shd w:val="clear" w:color="auto" w:fill="FFFFFF"/>
          </w:tcPr>
          <w:p w14:paraId="7D70B2DF" w14:textId="32396655" w:rsidR="002C1BB1" w:rsidRPr="00A225B7" w:rsidRDefault="007D5D36" w:rsidP="00B024C5">
            <w:pPr>
              <w:pStyle w:val="CETBodytext"/>
              <w:ind w:right="-1"/>
              <w:jc w:val="center"/>
              <w:rPr>
                <w:rFonts w:cs="Arial"/>
                <w:szCs w:val="18"/>
              </w:rPr>
            </w:pPr>
            <w:r w:rsidRPr="00A225B7">
              <w:rPr>
                <w:rFonts w:cs="Arial"/>
                <w:szCs w:val="18"/>
              </w:rPr>
              <w:t>3</w:t>
            </w:r>
          </w:p>
        </w:tc>
      </w:tr>
    </w:tbl>
    <w:bookmarkEnd w:id="7"/>
    <w:p w14:paraId="4166ABF4" w14:textId="32883C1C" w:rsidR="000C3F3D" w:rsidRPr="00A225B7" w:rsidRDefault="00C1462B" w:rsidP="00CF5F41">
      <w:pPr>
        <w:pStyle w:val="Nessunaspaziatura"/>
        <w:spacing w:before="60"/>
        <w:contextualSpacing/>
        <w:jc w:val="left"/>
        <w:rPr>
          <w:lang w:val="en-US"/>
        </w:rPr>
      </w:pPr>
      <w:r w:rsidRPr="00A225B7">
        <w:rPr>
          <w:rFonts w:cs="Arial"/>
          <w:vertAlign w:val="superscript"/>
          <w:lang w:val="en-US"/>
        </w:rPr>
        <w:t xml:space="preserve">† </w:t>
      </w:r>
      <w:r w:rsidR="00975605" w:rsidRPr="00A225B7">
        <w:rPr>
          <w:lang w:val="en-US"/>
        </w:rPr>
        <w:t xml:space="preserve">Level </w:t>
      </w:r>
      <w:r w:rsidR="007D5D36" w:rsidRPr="00A225B7">
        <w:rPr>
          <w:i/>
          <w:iCs/>
          <w:lang w:val="en-US"/>
        </w:rPr>
        <w:t>3</w:t>
      </w:r>
      <w:r w:rsidR="007D5D36" w:rsidRPr="00A225B7">
        <w:rPr>
          <w:lang w:val="en-US"/>
        </w:rPr>
        <w:t>:</w:t>
      </w:r>
      <w:r w:rsidR="008E46DA" w:rsidRPr="00A225B7">
        <w:rPr>
          <w:lang w:val="en-US"/>
        </w:rPr>
        <w:t xml:space="preserve"> </w:t>
      </w:r>
      <w:r w:rsidR="008E60A2" w:rsidRPr="00A225B7">
        <w:rPr>
          <w:lang w:val="en-US"/>
        </w:rPr>
        <w:t>Moderately thick (IDDSI)</w:t>
      </w:r>
      <w:r w:rsidR="000C3F3D" w:rsidRPr="00A225B7">
        <w:rPr>
          <w:lang w:val="en-US"/>
        </w:rPr>
        <w:t xml:space="preserve"> - </w:t>
      </w:r>
      <w:r w:rsidR="00DB17CF" w:rsidRPr="00A225B7">
        <w:rPr>
          <w:lang w:val="en-US"/>
        </w:rPr>
        <w:t>V</w:t>
      </w:r>
      <w:r w:rsidR="001D09D6" w:rsidRPr="00A225B7">
        <w:rPr>
          <w:lang w:val="en-US"/>
        </w:rPr>
        <w:t xml:space="preserve">iscosity reference range (NDD): </w:t>
      </w:r>
      <w:r w:rsidR="005F7C00" w:rsidRPr="00A225B7">
        <w:rPr>
          <w:lang w:val="en-US"/>
        </w:rPr>
        <w:t>351-1,750 mPa·</w:t>
      </w:r>
      <w:r w:rsidR="000C3F3D" w:rsidRPr="00A225B7">
        <w:rPr>
          <w:lang w:val="en-US"/>
        </w:rPr>
        <w:t>s.</w:t>
      </w:r>
      <w:r w:rsidR="008E46DA" w:rsidRPr="00A225B7">
        <w:rPr>
          <w:lang w:val="en-US"/>
        </w:rPr>
        <w:t xml:space="preserve"> </w:t>
      </w:r>
    </w:p>
    <w:p w14:paraId="414987C7" w14:textId="0CE0452B" w:rsidR="002C1BB1" w:rsidRPr="00F802F2" w:rsidRDefault="00C1462B" w:rsidP="00CF5F41">
      <w:pPr>
        <w:pStyle w:val="Nessunaspaziatura"/>
        <w:spacing w:before="60"/>
        <w:contextualSpacing/>
        <w:jc w:val="left"/>
        <w:rPr>
          <w:lang w:val="en-US"/>
        </w:rPr>
      </w:pPr>
      <w:r w:rsidRPr="00A225B7">
        <w:rPr>
          <w:rFonts w:cs="Arial"/>
          <w:vertAlign w:val="superscript"/>
          <w:lang w:val="en-US"/>
        </w:rPr>
        <w:t xml:space="preserve">† </w:t>
      </w:r>
      <w:r w:rsidR="00975605" w:rsidRPr="00A225B7">
        <w:rPr>
          <w:lang w:val="en-US"/>
        </w:rPr>
        <w:t xml:space="preserve">Level </w:t>
      </w:r>
      <w:r w:rsidR="008E46DA" w:rsidRPr="00A225B7">
        <w:rPr>
          <w:i/>
          <w:iCs/>
          <w:lang w:val="en-US"/>
        </w:rPr>
        <w:t>4</w:t>
      </w:r>
      <w:r w:rsidR="008E46DA" w:rsidRPr="00A225B7">
        <w:rPr>
          <w:lang w:val="en-US"/>
        </w:rPr>
        <w:t>:</w:t>
      </w:r>
      <w:r w:rsidR="001D09D6" w:rsidRPr="00A225B7">
        <w:rPr>
          <w:lang w:val="en-US"/>
        </w:rPr>
        <w:t xml:space="preserve"> Extremely thick</w:t>
      </w:r>
      <w:r w:rsidR="000C3F3D" w:rsidRPr="00A225B7">
        <w:rPr>
          <w:lang w:val="en-US"/>
        </w:rPr>
        <w:t xml:space="preserve"> (IDDSI)</w:t>
      </w:r>
      <w:r w:rsidR="00236AF1" w:rsidRPr="00A225B7">
        <w:rPr>
          <w:lang w:val="en-US"/>
        </w:rPr>
        <w:t xml:space="preserve"> - </w:t>
      </w:r>
      <w:r w:rsidR="00DB17CF" w:rsidRPr="00A225B7">
        <w:rPr>
          <w:lang w:val="en-US"/>
        </w:rPr>
        <w:t>V</w:t>
      </w:r>
      <w:r w:rsidR="00236AF1" w:rsidRPr="00A225B7">
        <w:rPr>
          <w:lang w:val="en-US"/>
        </w:rPr>
        <w:t>iscosity reference range (NDD): &gt;1,750 mPa·s.</w:t>
      </w:r>
    </w:p>
    <w:p w14:paraId="266A55FD" w14:textId="77777777" w:rsidR="004F42EB" w:rsidRDefault="004F42EB" w:rsidP="00796715">
      <w:pPr>
        <w:pStyle w:val="CETBodytext"/>
      </w:pPr>
    </w:p>
    <w:p w14:paraId="11E83764" w14:textId="6ABB16E6" w:rsidR="002C1BB1" w:rsidRPr="00A225B7" w:rsidRDefault="006F452A" w:rsidP="00796715">
      <w:pPr>
        <w:pStyle w:val="CETBodytext"/>
      </w:pPr>
      <w:r w:rsidRPr="00A225B7">
        <w:t xml:space="preserve">The viscosity values at 10 </w:t>
      </w:r>
      <w:r w:rsidR="00E653E2" w:rsidRPr="00A225B7">
        <w:t>s</w:t>
      </w:r>
      <w:r w:rsidR="00E653E2" w:rsidRPr="00A225B7">
        <w:rPr>
          <w:vertAlign w:val="superscript"/>
        </w:rPr>
        <w:t>−1</w:t>
      </w:r>
      <w:r w:rsidR="005C4B26" w:rsidRPr="00A225B7">
        <w:t>,</w:t>
      </w:r>
      <w:r w:rsidRPr="00A225B7">
        <w:t xml:space="preserve"> representing in-mouth mixing conditions, showed significant differences between products. The pasta</w:t>
      </w:r>
      <w:r w:rsidR="00B541AD" w:rsidRPr="00A225B7">
        <w:t xml:space="preserve">, </w:t>
      </w:r>
      <w:r w:rsidRPr="00A225B7">
        <w:t>chicken</w:t>
      </w:r>
      <w:r w:rsidR="00B541AD" w:rsidRPr="00A225B7">
        <w:t xml:space="preserve"> and fruit</w:t>
      </w:r>
      <w:r w:rsidRPr="00A225B7">
        <w:t xml:space="preserve"> purées exhibited the highest viscosities, suggesting these products may require more oral manipulation effort</w:t>
      </w:r>
      <w:r w:rsidR="005C4B26" w:rsidRPr="00A225B7">
        <w:t xml:space="preserve"> at the beginning </w:t>
      </w:r>
      <w:r w:rsidR="00B541AD" w:rsidRPr="00A225B7">
        <w:t>of the oral processing</w:t>
      </w:r>
      <w:r w:rsidRPr="00A225B7">
        <w:t>. In contrast, thickened water showed markedly lower viscosity, suggesting easier oral processing.</w:t>
      </w:r>
      <w:r w:rsidR="008E2DAB" w:rsidRPr="00A225B7">
        <w:t xml:space="preserve"> At 50 </w:t>
      </w:r>
      <w:r w:rsidR="00E653E2" w:rsidRPr="00A225B7">
        <w:t>s</w:t>
      </w:r>
      <w:r w:rsidR="00E653E2" w:rsidRPr="00A225B7">
        <w:rPr>
          <w:vertAlign w:val="superscript"/>
        </w:rPr>
        <w:t>−1</w:t>
      </w:r>
      <w:r w:rsidR="008E2DAB" w:rsidRPr="00A225B7">
        <w:t>, the reference shear rate for IDDS</w:t>
      </w:r>
      <w:r w:rsidR="00A63928" w:rsidRPr="00A225B7">
        <w:t>I</w:t>
      </w:r>
      <w:r w:rsidR="008E2DAB" w:rsidRPr="00A225B7">
        <w:t xml:space="preserve"> classification, most products fell into Level 4 (Extremely thick) with viscosities above 1,750 mPa·s. Only thickened water was classified as Level 3 (Moderately thick), which corresponds to its intended use as a modified beverage rather than a food product. However, it should be noted that the products identified as Level 4</w:t>
      </w:r>
      <w:r w:rsidR="00545DEF" w:rsidRPr="00A225B7">
        <w:t xml:space="preserve"> </w:t>
      </w:r>
      <w:r w:rsidR="00A63928" w:rsidRPr="00A225B7">
        <w:t>exhibited</w:t>
      </w:r>
      <w:r w:rsidR="00545DEF" w:rsidRPr="00A225B7">
        <w:t xml:space="preserve"> </w:t>
      </w:r>
      <w:r w:rsidR="008E2DAB" w:rsidRPr="00A225B7">
        <w:t>different viscosities (</w:t>
      </w:r>
      <w:r w:rsidR="00F82268" w:rsidRPr="00A225B7">
        <w:t xml:space="preserve">ranging </w:t>
      </w:r>
      <w:r w:rsidR="008E2DAB" w:rsidRPr="00A225B7">
        <w:t>from 2,160 to 3,280 mPa·s).</w:t>
      </w:r>
      <w:r w:rsidR="0078196D" w:rsidRPr="00A225B7">
        <w:t xml:space="preserve"> The viscosity values at 300 </w:t>
      </w:r>
      <w:r w:rsidR="00E653E2" w:rsidRPr="00A225B7">
        <w:t>s</w:t>
      </w:r>
      <w:r w:rsidR="00E653E2" w:rsidRPr="00A225B7">
        <w:rPr>
          <w:vertAlign w:val="superscript"/>
        </w:rPr>
        <w:t>−1</w:t>
      </w:r>
      <w:r w:rsidR="0078196D" w:rsidRPr="00A225B7">
        <w:t>, representative of pharyngeal swallowing conditions, demonstrate</w:t>
      </w:r>
      <w:r w:rsidR="00F82268" w:rsidRPr="00A225B7">
        <w:t>d</w:t>
      </w:r>
      <w:r w:rsidR="0078196D" w:rsidRPr="00A225B7">
        <w:t xml:space="preserve"> significant shear-thinning behavior across all products. </w:t>
      </w:r>
      <w:r w:rsidR="00545DEF" w:rsidRPr="00A225B7">
        <w:t>Overall, t</w:t>
      </w:r>
      <w:r w:rsidR="0078196D" w:rsidRPr="00A225B7">
        <w:t>he viscosity reduction from 50 to 300</w:t>
      </w:r>
      <w:r w:rsidR="005A31CD" w:rsidRPr="00A225B7">
        <w:t xml:space="preserve"> s</w:t>
      </w:r>
      <w:r w:rsidR="005A31CD" w:rsidRPr="00A225B7">
        <w:rPr>
          <w:vertAlign w:val="superscript"/>
        </w:rPr>
        <w:t>−1</w:t>
      </w:r>
      <w:r w:rsidR="0078196D" w:rsidRPr="00A225B7">
        <w:t xml:space="preserve"> ranged from 71-80%, indicating favorable flow properties during swallowing</w:t>
      </w:r>
      <w:r w:rsidR="005A31CD" w:rsidRPr="00A225B7">
        <w:t xml:space="preserve"> </w:t>
      </w:r>
      <w:r w:rsidR="004A70C0" w:rsidRPr="00A225B7">
        <w:t xml:space="preserve">in pharyngeal phase </w:t>
      </w:r>
      <w:r w:rsidR="005A31CD" w:rsidRPr="00A225B7">
        <w:t>(Bolivar-Prados et al., 2022)</w:t>
      </w:r>
      <w:r w:rsidR="0078196D" w:rsidRPr="00A225B7">
        <w:t xml:space="preserve">. </w:t>
      </w:r>
      <w:r w:rsidR="00545DEF" w:rsidRPr="00A225B7">
        <w:t xml:space="preserve">Results for the </w:t>
      </w:r>
      <w:r w:rsidR="0078196D" w:rsidRPr="00A225B7">
        <w:t xml:space="preserve">shear-thinning </w:t>
      </w:r>
      <w:r w:rsidR="00A63928" w:rsidRPr="00A225B7">
        <w:t>behavior</w:t>
      </w:r>
      <w:r w:rsidR="00545DEF" w:rsidRPr="00A225B7">
        <w:t xml:space="preserve"> </w:t>
      </w:r>
      <w:r w:rsidR="0078196D" w:rsidRPr="00A225B7">
        <w:t>suggest</w:t>
      </w:r>
      <w:r w:rsidR="0078196D" w:rsidRPr="00A225B7">
        <w:rPr>
          <w:strike/>
        </w:rPr>
        <w:t>s</w:t>
      </w:r>
      <w:r w:rsidR="0078196D" w:rsidRPr="00A225B7">
        <w:t xml:space="preserve"> these products can maintain adequate cohesiveness during oral processing while flowing more easily during swallowing.</w:t>
      </w:r>
    </w:p>
    <w:p w14:paraId="444D4896" w14:textId="127CE90E" w:rsidR="001F364F" w:rsidRPr="00A225B7" w:rsidRDefault="00545DEF" w:rsidP="00AB54C9">
      <w:pPr>
        <w:pStyle w:val="CETheadingx"/>
      </w:pPr>
      <w:r w:rsidRPr="00A225B7">
        <w:t>In-mouth t</w:t>
      </w:r>
      <w:r w:rsidR="004763A9" w:rsidRPr="00A225B7">
        <w:t>extur</w:t>
      </w:r>
      <w:r w:rsidR="000F358B" w:rsidRPr="00A225B7">
        <w:t>e properties</w:t>
      </w:r>
    </w:p>
    <w:p w14:paraId="2285E313" w14:textId="4ED6A5DC" w:rsidR="004F1F18" w:rsidRPr="00A225B7" w:rsidRDefault="00242B73" w:rsidP="00796715">
      <w:pPr>
        <w:pStyle w:val="CETBodytext"/>
      </w:pPr>
      <w:r w:rsidRPr="00A225B7">
        <w:t xml:space="preserve">The back extrusion test on these samples is an efficient method for obtaining detailed information on deformation resistance and structural properties of the ready-to-eat meals under study. Since in-mouth texture plays a critical role in both meal processing and bolus formation, ensuring a pleasant texture is essential, especially for patients with specific swallowing difficulties. The results are presented in </w:t>
      </w:r>
      <w:r w:rsidRPr="00A225B7">
        <w:rPr>
          <w:b/>
          <w:bCs/>
        </w:rPr>
        <w:t>Figure 2</w:t>
      </w:r>
      <w:r w:rsidRPr="00A225B7">
        <w:t xml:space="preserve"> and </w:t>
      </w:r>
      <w:r w:rsidRPr="00A225B7">
        <w:rPr>
          <w:b/>
          <w:bCs/>
        </w:rPr>
        <w:t>Table 3.</w:t>
      </w:r>
    </w:p>
    <w:p w14:paraId="376F5B11" w14:textId="0E988302" w:rsidR="00F57849" w:rsidRPr="00A225B7" w:rsidRDefault="00EA5586" w:rsidP="002673FD">
      <w:pPr>
        <w:pStyle w:val="CETBodytext"/>
        <w:jc w:val="center"/>
      </w:pPr>
      <w:r w:rsidRPr="00A225B7">
        <w:rPr>
          <w:noProof/>
        </w:rPr>
        <w:drawing>
          <wp:inline distT="0" distB="0" distL="0" distR="0" wp14:anchorId="7E63B9BD" wp14:editId="00C2F072">
            <wp:extent cx="3616694" cy="2700000"/>
            <wp:effectExtent l="0" t="0" r="3175" b="5715"/>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5753" t="7510" r="11744" b="12102"/>
                    <a:stretch/>
                  </pic:blipFill>
                  <pic:spPr bwMode="auto">
                    <a:xfrm>
                      <a:off x="0" y="0"/>
                      <a:ext cx="3616694"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6CBE2E6B" w14:textId="19040AB2" w:rsidR="004F1F18" w:rsidRPr="00A225B7" w:rsidRDefault="002673FD" w:rsidP="00F456FD">
      <w:pPr>
        <w:pStyle w:val="CETCaption"/>
        <w:jc w:val="left"/>
        <w:rPr>
          <w:lang w:val="en-US"/>
        </w:rPr>
      </w:pPr>
      <w:bookmarkStart w:id="8" w:name="_Hlk189657310"/>
      <w:r w:rsidRPr="00A225B7">
        <w:rPr>
          <w:lang w:val="en-US"/>
        </w:rPr>
        <w:t>Figure 2:</w:t>
      </w:r>
      <w:r w:rsidR="00BB5CAC" w:rsidRPr="00A225B7">
        <w:rPr>
          <w:lang w:val="en-US"/>
        </w:rPr>
        <w:t xml:space="preserve"> Back extrusion test</w:t>
      </w:r>
      <w:r w:rsidR="004125F5" w:rsidRPr="00A225B7">
        <w:rPr>
          <w:lang w:val="en-US"/>
        </w:rPr>
        <w:t xml:space="preserve"> expressed as Force vs </w:t>
      </w:r>
      <w:r w:rsidR="00A4694D" w:rsidRPr="00A225B7">
        <w:rPr>
          <w:lang w:val="en-US"/>
        </w:rPr>
        <w:t>Spac</w:t>
      </w:r>
      <w:r w:rsidR="004125F5" w:rsidRPr="00A225B7">
        <w:rPr>
          <w:lang w:val="en-US"/>
        </w:rPr>
        <w:t>e.</w:t>
      </w:r>
    </w:p>
    <w:p w14:paraId="30677F6C" w14:textId="306BF7F5" w:rsidR="00165850" w:rsidRPr="00A225B7" w:rsidRDefault="00165850" w:rsidP="00F456FD">
      <w:pPr>
        <w:pStyle w:val="CETTabletitle"/>
        <w:rPr>
          <w:lang w:val="en-US"/>
        </w:rPr>
      </w:pPr>
      <w:bookmarkStart w:id="9" w:name="_Hlk189650968"/>
      <w:bookmarkEnd w:id="8"/>
      <w:r w:rsidRPr="00A225B7">
        <w:rPr>
          <w:lang w:val="en-US"/>
        </w:rPr>
        <w:t>Table 3:</w:t>
      </w:r>
      <w:r w:rsidR="001F74A9" w:rsidRPr="00A225B7">
        <w:rPr>
          <w:lang w:val="en-US"/>
        </w:rPr>
        <w:t xml:space="preserve"> Back extrusion retrieved value for each DRFs</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843"/>
        <w:gridCol w:w="1701"/>
        <w:gridCol w:w="1559"/>
        <w:gridCol w:w="1617"/>
        <w:gridCol w:w="1680"/>
      </w:tblGrid>
      <w:tr w:rsidR="004F1F18" w:rsidRPr="00A225B7" w14:paraId="5AD452CE" w14:textId="77777777" w:rsidTr="00644A33">
        <w:trPr>
          <w:trHeight w:val="296"/>
        </w:trPr>
        <w:tc>
          <w:tcPr>
            <w:tcW w:w="1843" w:type="dxa"/>
            <w:tcBorders>
              <w:top w:val="single" w:sz="12" w:space="0" w:color="008000"/>
              <w:bottom w:val="single" w:sz="6" w:space="0" w:color="008000"/>
            </w:tcBorders>
            <w:shd w:val="clear" w:color="auto" w:fill="FFFFFF"/>
          </w:tcPr>
          <w:p w14:paraId="0FDEC1B7" w14:textId="77777777" w:rsidR="004F1F18" w:rsidRPr="00A225B7" w:rsidRDefault="004F1F18" w:rsidP="00644A33">
            <w:pPr>
              <w:pStyle w:val="CETBodytext"/>
              <w:jc w:val="center"/>
            </w:pPr>
            <w:r w:rsidRPr="00A225B7">
              <w:t>DRFs</w:t>
            </w:r>
          </w:p>
        </w:tc>
        <w:tc>
          <w:tcPr>
            <w:tcW w:w="1701" w:type="dxa"/>
            <w:tcBorders>
              <w:top w:val="single" w:sz="12" w:space="0" w:color="008000"/>
              <w:bottom w:val="single" w:sz="6" w:space="0" w:color="008000"/>
            </w:tcBorders>
            <w:shd w:val="clear" w:color="auto" w:fill="FFFFFF"/>
          </w:tcPr>
          <w:p w14:paraId="263A5D92" w14:textId="77777777" w:rsidR="004F1F18" w:rsidRPr="00A225B7" w:rsidRDefault="004F1F18" w:rsidP="00644A33">
            <w:pPr>
              <w:pStyle w:val="CETBodytext"/>
              <w:jc w:val="center"/>
            </w:pPr>
            <w:r w:rsidRPr="00A225B7">
              <w:t>Positive peak</w:t>
            </w:r>
          </w:p>
          <w:p w14:paraId="6FBA4229" w14:textId="55393596" w:rsidR="00B93B50" w:rsidRPr="00A225B7" w:rsidRDefault="00B93B50" w:rsidP="00644A33">
            <w:pPr>
              <w:pStyle w:val="CETBodytext"/>
              <w:jc w:val="center"/>
            </w:pPr>
            <w:r w:rsidRPr="00A225B7">
              <w:t>(N)</w:t>
            </w:r>
          </w:p>
        </w:tc>
        <w:tc>
          <w:tcPr>
            <w:tcW w:w="1559" w:type="dxa"/>
            <w:tcBorders>
              <w:top w:val="single" w:sz="12" w:space="0" w:color="008000"/>
              <w:bottom w:val="single" w:sz="6" w:space="0" w:color="008000"/>
            </w:tcBorders>
            <w:shd w:val="clear" w:color="auto" w:fill="FFFFFF"/>
          </w:tcPr>
          <w:p w14:paraId="1873FC7D" w14:textId="77777777" w:rsidR="004F1F18" w:rsidRPr="00A225B7" w:rsidRDefault="00B93B50" w:rsidP="00644A33">
            <w:pPr>
              <w:pStyle w:val="CETBodytext"/>
              <w:jc w:val="center"/>
            </w:pPr>
            <w:r w:rsidRPr="00A225B7">
              <w:t>Positive area</w:t>
            </w:r>
          </w:p>
          <w:p w14:paraId="57891BB0" w14:textId="1C366A2C" w:rsidR="00B93B50" w:rsidRPr="00A225B7" w:rsidRDefault="00B93B50" w:rsidP="00644A33">
            <w:pPr>
              <w:pStyle w:val="CETBodytext"/>
              <w:jc w:val="center"/>
            </w:pPr>
            <w:r w:rsidRPr="00A225B7">
              <w:t>(</w:t>
            </w:r>
            <w:r w:rsidR="0099242C" w:rsidRPr="00A225B7">
              <w:t>N</w:t>
            </w:r>
            <w:r w:rsidR="0099242C" w:rsidRPr="00A225B7">
              <w:rPr>
                <w:rFonts w:ascii="Cambria Math" w:hAnsi="Cambria Math" w:cs="Cambria Math"/>
              </w:rPr>
              <w:t>⋅</w:t>
            </w:r>
            <w:r w:rsidR="0099242C" w:rsidRPr="00A225B7">
              <w:t>mm</w:t>
            </w:r>
            <w:r w:rsidRPr="00A225B7">
              <w:t>)</w:t>
            </w:r>
          </w:p>
        </w:tc>
        <w:tc>
          <w:tcPr>
            <w:tcW w:w="1617" w:type="dxa"/>
            <w:tcBorders>
              <w:top w:val="single" w:sz="12" w:space="0" w:color="008000"/>
              <w:bottom w:val="single" w:sz="6" w:space="0" w:color="008000"/>
            </w:tcBorders>
            <w:shd w:val="clear" w:color="auto" w:fill="FFFFFF"/>
          </w:tcPr>
          <w:p w14:paraId="4E855C77" w14:textId="77777777" w:rsidR="004F1F18" w:rsidRPr="00A225B7" w:rsidRDefault="00B93B50" w:rsidP="00644A33">
            <w:pPr>
              <w:pStyle w:val="CETBodytext"/>
              <w:ind w:right="-1"/>
              <w:jc w:val="center"/>
              <w:rPr>
                <w:rFonts w:cs="Arial"/>
              </w:rPr>
            </w:pPr>
            <w:r w:rsidRPr="00A225B7">
              <w:rPr>
                <w:rFonts w:cs="Arial"/>
              </w:rPr>
              <w:t>Negative peak</w:t>
            </w:r>
          </w:p>
          <w:p w14:paraId="41F809AD" w14:textId="3913A6CC" w:rsidR="00B93B50" w:rsidRPr="00A225B7" w:rsidRDefault="00B93B50" w:rsidP="00644A33">
            <w:pPr>
              <w:pStyle w:val="CETBodytext"/>
              <w:ind w:right="-1"/>
              <w:jc w:val="center"/>
              <w:rPr>
                <w:rFonts w:cs="Arial"/>
                <w:szCs w:val="18"/>
              </w:rPr>
            </w:pPr>
            <w:r w:rsidRPr="00A225B7">
              <w:rPr>
                <w:rFonts w:cs="Arial"/>
              </w:rPr>
              <w:t>(N)</w:t>
            </w:r>
          </w:p>
        </w:tc>
        <w:tc>
          <w:tcPr>
            <w:tcW w:w="1680" w:type="dxa"/>
            <w:tcBorders>
              <w:top w:val="single" w:sz="12" w:space="0" w:color="008000"/>
              <w:bottom w:val="single" w:sz="6" w:space="0" w:color="008000"/>
            </w:tcBorders>
            <w:shd w:val="clear" w:color="auto" w:fill="FFFFFF"/>
          </w:tcPr>
          <w:p w14:paraId="72550B1A" w14:textId="77777777" w:rsidR="004F1F18" w:rsidRPr="00A225B7" w:rsidRDefault="00B93B50" w:rsidP="00644A33">
            <w:pPr>
              <w:pStyle w:val="CETBodytext"/>
              <w:ind w:right="-1"/>
              <w:jc w:val="center"/>
            </w:pPr>
            <w:r w:rsidRPr="00A225B7">
              <w:t>Negative area</w:t>
            </w:r>
          </w:p>
          <w:p w14:paraId="63980A69" w14:textId="3B34ABE3" w:rsidR="00B93B50" w:rsidRPr="00A225B7" w:rsidRDefault="00B93B50" w:rsidP="00644A33">
            <w:pPr>
              <w:pStyle w:val="CETBodytext"/>
              <w:ind w:right="-1"/>
              <w:jc w:val="center"/>
              <w:rPr>
                <w:rFonts w:cs="Arial"/>
                <w:szCs w:val="18"/>
              </w:rPr>
            </w:pPr>
            <w:r w:rsidRPr="00A225B7">
              <w:t>(</w:t>
            </w:r>
            <w:r w:rsidR="0099242C" w:rsidRPr="00A225B7">
              <w:t>N</w:t>
            </w:r>
            <w:r w:rsidR="0099242C" w:rsidRPr="00A225B7">
              <w:rPr>
                <w:rFonts w:ascii="Cambria Math" w:hAnsi="Cambria Math" w:cs="Cambria Math"/>
              </w:rPr>
              <w:t>⋅</w:t>
            </w:r>
            <w:r w:rsidR="0099242C" w:rsidRPr="00A225B7">
              <w:t>mm</w:t>
            </w:r>
            <w:r w:rsidRPr="00A225B7">
              <w:t>)</w:t>
            </w:r>
          </w:p>
        </w:tc>
      </w:tr>
      <w:tr w:rsidR="004F1F18" w:rsidRPr="00A225B7" w14:paraId="7D6C8D97" w14:textId="77777777" w:rsidTr="00644A33">
        <w:trPr>
          <w:trHeight w:val="309"/>
        </w:trPr>
        <w:tc>
          <w:tcPr>
            <w:tcW w:w="1843" w:type="dxa"/>
            <w:shd w:val="clear" w:color="auto" w:fill="FFFFFF"/>
          </w:tcPr>
          <w:p w14:paraId="1E79A1EC" w14:textId="77777777" w:rsidR="004F1F18" w:rsidRPr="00247F6B" w:rsidRDefault="004F1F18" w:rsidP="00644A33">
            <w:pPr>
              <w:pStyle w:val="CETBodytext"/>
              <w:rPr>
                <w:lang w:val="it-IT"/>
              </w:rPr>
            </w:pPr>
            <w:r w:rsidRPr="00247F6B">
              <w:rPr>
                <w:lang w:val="it-IT"/>
              </w:rPr>
              <w:t xml:space="preserve">Pasta puree </w:t>
            </w:r>
          </w:p>
          <w:p w14:paraId="3B45A297" w14:textId="77777777" w:rsidR="004F1F18" w:rsidRPr="00247F6B" w:rsidRDefault="004F1F18" w:rsidP="00644A33">
            <w:pPr>
              <w:pStyle w:val="CETBodytext"/>
              <w:rPr>
                <w:lang w:val="it-IT"/>
              </w:rPr>
            </w:pPr>
            <w:r w:rsidRPr="00247F6B">
              <w:rPr>
                <w:lang w:val="it-IT"/>
              </w:rPr>
              <w:t>Chicken puree</w:t>
            </w:r>
          </w:p>
          <w:p w14:paraId="797B5C1C" w14:textId="77777777" w:rsidR="004F1F18" w:rsidRPr="00247F6B" w:rsidRDefault="004F1F18" w:rsidP="00644A33">
            <w:pPr>
              <w:pStyle w:val="CETBodytext"/>
              <w:rPr>
                <w:lang w:val="it-IT"/>
              </w:rPr>
            </w:pPr>
            <w:r w:rsidRPr="00247F6B">
              <w:rPr>
                <w:lang w:val="it-IT"/>
              </w:rPr>
              <w:t>Apple puree</w:t>
            </w:r>
          </w:p>
          <w:p w14:paraId="0C899589" w14:textId="77777777" w:rsidR="004F1F18" w:rsidRPr="00A225B7" w:rsidRDefault="004F1F18" w:rsidP="00644A33">
            <w:pPr>
              <w:pStyle w:val="CETBodytext"/>
            </w:pPr>
            <w:r w:rsidRPr="00A225B7">
              <w:t>Vanilla pudding</w:t>
            </w:r>
          </w:p>
        </w:tc>
        <w:tc>
          <w:tcPr>
            <w:tcW w:w="1701" w:type="dxa"/>
            <w:shd w:val="clear" w:color="auto" w:fill="FFFFFF"/>
          </w:tcPr>
          <w:p w14:paraId="153A69E3" w14:textId="3AC5B016" w:rsidR="004F1F18" w:rsidRPr="00A225B7" w:rsidRDefault="003067A7" w:rsidP="00644A33">
            <w:pPr>
              <w:pStyle w:val="CETBodytext"/>
              <w:jc w:val="center"/>
            </w:pPr>
            <w:r w:rsidRPr="00A225B7">
              <w:t>1.95 ± 0.1</w:t>
            </w:r>
            <w:r w:rsidR="00D96FCC" w:rsidRPr="00A225B7">
              <w:t>5</w:t>
            </w:r>
            <w:r w:rsidRPr="00A225B7">
              <w:rPr>
                <w:vertAlign w:val="subscript"/>
              </w:rPr>
              <w:t xml:space="preserve"> b</w:t>
            </w:r>
          </w:p>
          <w:p w14:paraId="7CFCD705" w14:textId="73E48C46" w:rsidR="004F1F18" w:rsidRPr="00A225B7" w:rsidRDefault="0062641A" w:rsidP="00644A33">
            <w:pPr>
              <w:pStyle w:val="CETBodytext"/>
              <w:jc w:val="center"/>
            </w:pPr>
            <w:r w:rsidRPr="00A225B7">
              <w:t>1.43 ± 0.04</w:t>
            </w:r>
            <w:r w:rsidRPr="00A225B7">
              <w:rPr>
                <w:vertAlign w:val="subscript"/>
              </w:rPr>
              <w:t xml:space="preserve"> c</w:t>
            </w:r>
          </w:p>
          <w:p w14:paraId="0AD1C571" w14:textId="56BF2D5F" w:rsidR="004F1F18" w:rsidRPr="00A225B7" w:rsidRDefault="00431DB7" w:rsidP="00644A33">
            <w:pPr>
              <w:pStyle w:val="CETBodytext"/>
              <w:jc w:val="center"/>
            </w:pPr>
            <w:r w:rsidRPr="00A225B7">
              <w:t xml:space="preserve">2.69 </w:t>
            </w:r>
            <w:r w:rsidRPr="00A225B7">
              <w:rPr>
                <w:rFonts w:cs="Arial"/>
                <w:szCs w:val="18"/>
              </w:rPr>
              <w:t>± 0.09</w:t>
            </w:r>
            <w:r w:rsidRPr="00A225B7">
              <w:rPr>
                <w:rFonts w:cs="Arial"/>
                <w:szCs w:val="18"/>
                <w:vertAlign w:val="subscript"/>
              </w:rPr>
              <w:t xml:space="preserve"> a</w:t>
            </w:r>
          </w:p>
          <w:p w14:paraId="2C9045CF" w14:textId="63FB3845" w:rsidR="004F1F18" w:rsidRPr="00A225B7" w:rsidRDefault="00BD5998" w:rsidP="00644A33">
            <w:pPr>
              <w:pStyle w:val="CETBodytext"/>
              <w:jc w:val="center"/>
            </w:pPr>
            <w:r w:rsidRPr="00A225B7">
              <w:t xml:space="preserve">1.32 </w:t>
            </w:r>
            <w:r w:rsidRPr="00A225B7">
              <w:rPr>
                <w:rFonts w:cs="Arial"/>
                <w:szCs w:val="18"/>
              </w:rPr>
              <w:t>± 0.03</w:t>
            </w:r>
            <w:r w:rsidRPr="00A225B7">
              <w:rPr>
                <w:rFonts w:cs="Arial"/>
                <w:szCs w:val="18"/>
                <w:vertAlign w:val="subscript"/>
              </w:rPr>
              <w:t xml:space="preserve"> c</w:t>
            </w:r>
          </w:p>
        </w:tc>
        <w:tc>
          <w:tcPr>
            <w:tcW w:w="1559" w:type="dxa"/>
            <w:shd w:val="clear" w:color="auto" w:fill="FFFFFF"/>
          </w:tcPr>
          <w:p w14:paraId="35D2F429" w14:textId="7F248D8D" w:rsidR="004F1F18" w:rsidRPr="00A225B7" w:rsidRDefault="003067A7" w:rsidP="00644A33">
            <w:pPr>
              <w:pStyle w:val="CETBodytext"/>
              <w:jc w:val="center"/>
            </w:pPr>
            <w:r w:rsidRPr="00A225B7">
              <w:t>12.27 ± 1.1</w:t>
            </w:r>
            <w:r w:rsidR="00D96FCC" w:rsidRPr="00A225B7">
              <w:t>1</w:t>
            </w:r>
            <w:r w:rsidRPr="00A225B7">
              <w:rPr>
                <w:vertAlign w:val="subscript"/>
              </w:rPr>
              <w:t xml:space="preserve"> b</w:t>
            </w:r>
          </w:p>
          <w:p w14:paraId="78ED9A30" w14:textId="34901572" w:rsidR="004F1F18" w:rsidRPr="00A225B7" w:rsidRDefault="00A60C10" w:rsidP="00644A33">
            <w:pPr>
              <w:pStyle w:val="CETBodytext"/>
              <w:jc w:val="center"/>
            </w:pPr>
            <w:r w:rsidRPr="00A225B7">
              <w:t xml:space="preserve">  </w:t>
            </w:r>
            <w:r w:rsidR="0058737E" w:rsidRPr="00A225B7">
              <w:t>9.86 ± 0.23</w:t>
            </w:r>
            <w:r w:rsidR="0058737E" w:rsidRPr="00A225B7">
              <w:rPr>
                <w:vertAlign w:val="subscript"/>
              </w:rPr>
              <w:t xml:space="preserve"> c</w:t>
            </w:r>
          </w:p>
          <w:p w14:paraId="4E4126B6" w14:textId="3731525A" w:rsidR="004F1F18" w:rsidRPr="00A225B7" w:rsidRDefault="00431DB7" w:rsidP="00644A33">
            <w:pPr>
              <w:pStyle w:val="CETBodytext"/>
              <w:jc w:val="center"/>
            </w:pPr>
            <w:r w:rsidRPr="00A225B7">
              <w:t xml:space="preserve">17.09 </w:t>
            </w:r>
            <w:r w:rsidRPr="00A225B7">
              <w:rPr>
                <w:rFonts w:cs="Arial"/>
                <w:szCs w:val="18"/>
              </w:rPr>
              <w:t>± 1.19</w:t>
            </w:r>
            <w:r w:rsidRPr="00A225B7">
              <w:rPr>
                <w:rFonts w:cs="Arial"/>
                <w:szCs w:val="18"/>
                <w:vertAlign w:val="subscript"/>
              </w:rPr>
              <w:t xml:space="preserve"> a</w:t>
            </w:r>
          </w:p>
          <w:p w14:paraId="3476F6F3" w14:textId="4B242925" w:rsidR="004F1F18" w:rsidRPr="00A225B7" w:rsidRDefault="00A60C10" w:rsidP="00644A33">
            <w:pPr>
              <w:pStyle w:val="CETBodytext"/>
              <w:jc w:val="center"/>
            </w:pPr>
            <w:r w:rsidRPr="00A225B7">
              <w:t xml:space="preserve">  </w:t>
            </w:r>
            <w:r w:rsidR="00BD5998" w:rsidRPr="00A225B7">
              <w:t xml:space="preserve">9.31 </w:t>
            </w:r>
            <w:r w:rsidR="00BD5998" w:rsidRPr="00A225B7">
              <w:rPr>
                <w:rFonts w:cs="Arial"/>
                <w:szCs w:val="18"/>
              </w:rPr>
              <w:t>± 0.83</w:t>
            </w:r>
            <w:r w:rsidR="00DB4358" w:rsidRPr="00A225B7">
              <w:rPr>
                <w:rFonts w:cs="Arial"/>
                <w:szCs w:val="18"/>
                <w:vertAlign w:val="subscript"/>
              </w:rPr>
              <w:t xml:space="preserve"> c</w:t>
            </w:r>
          </w:p>
        </w:tc>
        <w:tc>
          <w:tcPr>
            <w:tcW w:w="1617" w:type="dxa"/>
            <w:shd w:val="clear" w:color="auto" w:fill="FFFFFF"/>
          </w:tcPr>
          <w:p w14:paraId="52EC9228" w14:textId="07E4B3FD" w:rsidR="004F1F18" w:rsidRPr="00A225B7" w:rsidRDefault="009F7FE2" w:rsidP="00644A33">
            <w:pPr>
              <w:pStyle w:val="CETBodytext"/>
              <w:ind w:right="-1"/>
              <w:jc w:val="center"/>
              <w:rPr>
                <w:rFonts w:cs="Arial"/>
                <w:szCs w:val="18"/>
              </w:rPr>
            </w:pPr>
            <w:r w:rsidRPr="00A225B7">
              <w:rPr>
                <w:rFonts w:cs="Arial"/>
                <w:szCs w:val="18"/>
              </w:rPr>
              <w:t>-2.19 ± 0.11</w:t>
            </w:r>
            <w:r w:rsidRPr="00A225B7">
              <w:rPr>
                <w:rFonts w:cs="Arial"/>
                <w:szCs w:val="18"/>
                <w:vertAlign w:val="subscript"/>
              </w:rPr>
              <w:t xml:space="preserve"> b</w:t>
            </w:r>
          </w:p>
          <w:p w14:paraId="58AFE61E" w14:textId="4A9BD86A" w:rsidR="004F1F18" w:rsidRPr="00A225B7" w:rsidRDefault="0058737E" w:rsidP="00644A33">
            <w:pPr>
              <w:pStyle w:val="CETBodytext"/>
              <w:ind w:right="-1"/>
              <w:jc w:val="center"/>
              <w:rPr>
                <w:rFonts w:cs="Arial"/>
                <w:szCs w:val="18"/>
              </w:rPr>
            </w:pPr>
            <w:r w:rsidRPr="00A225B7">
              <w:rPr>
                <w:rFonts w:cs="Arial"/>
                <w:szCs w:val="18"/>
              </w:rPr>
              <w:t>-</w:t>
            </w:r>
            <w:r w:rsidR="00314E8B" w:rsidRPr="00A225B7">
              <w:rPr>
                <w:rFonts w:cs="Arial"/>
                <w:szCs w:val="18"/>
              </w:rPr>
              <w:t>1.59</w:t>
            </w:r>
            <w:r w:rsidRPr="00A225B7">
              <w:rPr>
                <w:rFonts w:cs="Arial"/>
                <w:szCs w:val="18"/>
              </w:rPr>
              <w:t xml:space="preserve"> ± 0.</w:t>
            </w:r>
            <w:r w:rsidR="00314E8B" w:rsidRPr="00A225B7">
              <w:rPr>
                <w:rFonts w:cs="Arial"/>
                <w:szCs w:val="18"/>
              </w:rPr>
              <w:t>05</w:t>
            </w:r>
            <w:r w:rsidR="00314E8B" w:rsidRPr="00A225B7">
              <w:rPr>
                <w:rFonts w:cs="Arial"/>
                <w:szCs w:val="18"/>
                <w:vertAlign w:val="subscript"/>
              </w:rPr>
              <w:t xml:space="preserve"> c</w:t>
            </w:r>
          </w:p>
          <w:p w14:paraId="6F1BE1B7" w14:textId="1ED1CDF8" w:rsidR="004F1F18" w:rsidRPr="00A225B7" w:rsidRDefault="00431DB7" w:rsidP="00644A33">
            <w:pPr>
              <w:pStyle w:val="CETBodytext"/>
              <w:ind w:right="-1"/>
              <w:jc w:val="center"/>
              <w:rPr>
                <w:rFonts w:cs="Arial"/>
                <w:szCs w:val="18"/>
              </w:rPr>
            </w:pPr>
            <w:r w:rsidRPr="00A225B7">
              <w:rPr>
                <w:rFonts w:cs="Arial"/>
                <w:szCs w:val="18"/>
              </w:rPr>
              <w:t>-</w:t>
            </w:r>
            <w:r w:rsidR="0024088A" w:rsidRPr="00A225B7">
              <w:rPr>
                <w:rFonts w:cs="Arial"/>
                <w:szCs w:val="18"/>
              </w:rPr>
              <w:t>2</w:t>
            </w:r>
            <w:r w:rsidRPr="00A225B7">
              <w:rPr>
                <w:rFonts w:cs="Arial"/>
                <w:szCs w:val="18"/>
              </w:rPr>
              <w:t>.49 ±</w:t>
            </w:r>
            <w:r w:rsidR="00BD5998" w:rsidRPr="00A225B7">
              <w:rPr>
                <w:rFonts w:cs="Arial"/>
                <w:szCs w:val="18"/>
              </w:rPr>
              <w:t xml:space="preserve"> 0.10</w:t>
            </w:r>
            <w:r w:rsidR="00BD5998" w:rsidRPr="00A225B7">
              <w:rPr>
                <w:rFonts w:cs="Arial"/>
                <w:szCs w:val="18"/>
                <w:vertAlign w:val="subscript"/>
              </w:rPr>
              <w:t xml:space="preserve"> a</w:t>
            </w:r>
          </w:p>
          <w:p w14:paraId="1BAF1B00" w14:textId="1B4C2B86" w:rsidR="004F1F18" w:rsidRPr="00A225B7" w:rsidRDefault="00DB4358" w:rsidP="00644A33">
            <w:pPr>
              <w:pStyle w:val="CETBodytext"/>
              <w:ind w:right="-1"/>
              <w:jc w:val="center"/>
              <w:rPr>
                <w:rFonts w:cs="Arial"/>
                <w:szCs w:val="18"/>
              </w:rPr>
            </w:pPr>
            <w:r w:rsidRPr="00A225B7">
              <w:rPr>
                <w:rFonts w:cs="Arial"/>
                <w:szCs w:val="18"/>
              </w:rPr>
              <w:t>-1.29 ± 0.04</w:t>
            </w:r>
            <w:r w:rsidRPr="00A225B7">
              <w:rPr>
                <w:rFonts w:cs="Arial"/>
                <w:szCs w:val="18"/>
                <w:vertAlign w:val="subscript"/>
              </w:rPr>
              <w:t xml:space="preserve"> d</w:t>
            </w:r>
          </w:p>
        </w:tc>
        <w:tc>
          <w:tcPr>
            <w:tcW w:w="1680" w:type="dxa"/>
            <w:shd w:val="clear" w:color="auto" w:fill="FFFFFF"/>
          </w:tcPr>
          <w:p w14:paraId="27AB89AC" w14:textId="1412986E" w:rsidR="004F1F18" w:rsidRPr="00A225B7" w:rsidRDefault="00D96FCC" w:rsidP="00644A33">
            <w:pPr>
              <w:pStyle w:val="CETBodytext"/>
              <w:ind w:right="-1"/>
              <w:jc w:val="center"/>
              <w:rPr>
                <w:rFonts w:cs="Arial"/>
                <w:szCs w:val="18"/>
              </w:rPr>
            </w:pPr>
            <w:r w:rsidRPr="00A225B7">
              <w:rPr>
                <w:rFonts w:cs="Arial"/>
                <w:szCs w:val="18"/>
              </w:rPr>
              <w:t>13.34 ± 1.53</w:t>
            </w:r>
            <w:r w:rsidRPr="00A225B7">
              <w:rPr>
                <w:rFonts w:cs="Arial"/>
                <w:szCs w:val="18"/>
                <w:vertAlign w:val="subscript"/>
              </w:rPr>
              <w:t xml:space="preserve"> b</w:t>
            </w:r>
          </w:p>
          <w:p w14:paraId="7ACD4793" w14:textId="34B21796" w:rsidR="004F1F18" w:rsidRPr="00A225B7" w:rsidRDefault="00314E8B" w:rsidP="00644A33">
            <w:pPr>
              <w:pStyle w:val="CETBodytext"/>
              <w:ind w:right="-1"/>
              <w:jc w:val="center"/>
              <w:rPr>
                <w:rFonts w:cs="Arial"/>
                <w:szCs w:val="18"/>
              </w:rPr>
            </w:pPr>
            <w:r w:rsidRPr="00A225B7">
              <w:rPr>
                <w:rFonts w:cs="Arial"/>
                <w:szCs w:val="18"/>
              </w:rPr>
              <w:t>11.08 ± 0.56</w:t>
            </w:r>
            <w:r w:rsidRPr="00A225B7">
              <w:rPr>
                <w:rFonts w:cs="Arial"/>
                <w:szCs w:val="18"/>
                <w:vertAlign w:val="subscript"/>
              </w:rPr>
              <w:t xml:space="preserve"> c</w:t>
            </w:r>
          </w:p>
          <w:p w14:paraId="303FC62B" w14:textId="3B293BE8" w:rsidR="004F1F18" w:rsidRPr="00A225B7" w:rsidRDefault="00BD5998" w:rsidP="00644A33">
            <w:pPr>
              <w:pStyle w:val="CETBodytext"/>
              <w:ind w:right="-1"/>
              <w:jc w:val="center"/>
              <w:rPr>
                <w:rFonts w:cs="Arial"/>
                <w:szCs w:val="18"/>
              </w:rPr>
            </w:pPr>
            <w:r w:rsidRPr="00A225B7">
              <w:rPr>
                <w:rFonts w:cs="Arial"/>
                <w:szCs w:val="18"/>
              </w:rPr>
              <w:t>16.74 ± 1.06</w:t>
            </w:r>
            <w:r w:rsidRPr="00A225B7">
              <w:rPr>
                <w:rFonts w:cs="Arial"/>
                <w:szCs w:val="18"/>
                <w:vertAlign w:val="subscript"/>
              </w:rPr>
              <w:t xml:space="preserve"> a</w:t>
            </w:r>
          </w:p>
          <w:p w14:paraId="19A22B87" w14:textId="24146522" w:rsidR="004F1F18" w:rsidRPr="00A225B7" w:rsidRDefault="00A94647" w:rsidP="00644A33">
            <w:pPr>
              <w:pStyle w:val="CETBodytext"/>
              <w:ind w:right="-1"/>
              <w:jc w:val="center"/>
              <w:rPr>
                <w:rFonts w:cs="Arial"/>
                <w:szCs w:val="18"/>
              </w:rPr>
            </w:pPr>
            <w:r w:rsidRPr="00A225B7">
              <w:rPr>
                <w:rFonts w:cs="Arial"/>
                <w:szCs w:val="18"/>
              </w:rPr>
              <w:t xml:space="preserve">  </w:t>
            </w:r>
            <w:r w:rsidR="00DB4358" w:rsidRPr="00A225B7">
              <w:rPr>
                <w:rFonts w:cs="Arial"/>
                <w:szCs w:val="18"/>
              </w:rPr>
              <w:t>8.57 ± 0.37</w:t>
            </w:r>
            <w:r w:rsidR="00DB4358" w:rsidRPr="00A225B7">
              <w:rPr>
                <w:rFonts w:cs="Arial"/>
                <w:szCs w:val="18"/>
                <w:vertAlign w:val="subscript"/>
              </w:rPr>
              <w:t xml:space="preserve"> d</w:t>
            </w:r>
          </w:p>
        </w:tc>
      </w:tr>
      <w:tr w:rsidR="004F1F18" w:rsidRPr="00A225B7" w14:paraId="223A61A1" w14:textId="77777777" w:rsidTr="00644A33">
        <w:trPr>
          <w:trHeight w:val="296"/>
        </w:trPr>
        <w:tc>
          <w:tcPr>
            <w:tcW w:w="1843" w:type="dxa"/>
            <w:shd w:val="clear" w:color="auto" w:fill="FFFFFF"/>
          </w:tcPr>
          <w:p w14:paraId="4880D8DC" w14:textId="77777777" w:rsidR="004F1F18" w:rsidRPr="00A225B7" w:rsidRDefault="004F1F18" w:rsidP="00644A33">
            <w:pPr>
              <w:pStyle w:val="CETBodytext"/>
              <w:ind w:right="-1"/>
              <w:rPr>
                <w:rFonts w:cs="Arial"/>
                <w:szCs w:val="18"/>
              </w:rPr>
            </w:pPr>
            <w:r w:rsidRPr="00A225B7">
              <w:rPr>
                <w:rFonts w:cs="Arial"/>
                <w:szCs w:val="18"/>
              </w:rPr>
              <w:t>Thickened water</w:t>
            </w:r>
          </w:p>
        </w:tc>
        <w:tc>
          <w:tcPr>
            <w:tcW w:w="1701" w:type="dxa"/>
            <w:shd w:val="clear" w:color="auto" w:fill="FFFFFF"/>
          </w:tcPr>
          <w:p w14:paraId="120C4545" w14:textId="0DC9D2AC" w:rsidR="004F1F18" w:rsidRPr="00A225B7" w:rsidRDefault="00A86BCA" w:rsidP="00644A33">
            <w:pPr>
              <w:pStyle w:val="CETBodytext"/>
              <w:ind w:right="-1"/>
              <w:jc w:val="center"/>
              <w:rPr>
                <w:rFonts w:cs="Arial"/>
                <w:szCs w:val="18"/>
              </w:rPr>
            </w:pPr>
            <w:r w:rsidRPr="00A225B7">
              <w:rPr>
                <w:rFonts w:cs="Arial"/>
                <w:szCs w:val="18"/>
              </w:rPr>
              <w:t>0.93 ± 0.0</w:t>
            </w:r>
            <w:r w:rsidR="00D96FCC" w:rsidRPr="00A225B7">
              <w:rPr>
                <w:rFonts w:cs="Arial"/>
                <w:szCs w:val="18"/>
              </w:rPr>
              <w:t>7</w:t>
            </w:r>
            <w:r w:rsidRPr="00A225B7">
              <w:rPr>
                <w:rFonts w:cs="Arial"/>
                <w:szCs w:val="18"/>
                <w:vertAlign w:val="subscript"/>
              </w:rPr>
              <w:t xml:space="preserve"> d</w:t>
            </w:r>
          </w:p>
        </w:tc>
        <w:tc>
          <w:tcPr>
            <w:tcW w:w="1559" w:type="dxa"/>
            <w:shd w:val="clear" w:color="auto" w:fill="FFFFFF"/>
          </w:tcPr>
          <w:p w14:paraId="7BCA1745" w14:textId="47218820" w:rsidR="004F1F18" w:rsidRPr="00A225B7" w:rsidRDefault="00A94647" w:rsidP="00644A33">
            <w:pPr>
              <w:pStyle w:val="CETBodytext"/>
              <w:ind w:right="-1"/>
              <w:jc w:val="center"/>
              <w:rPr>
                <w:rFonts w:cs="Arial"/>
                <w:szCs w:val="18"/>
              </w:rPr>
            </w:pPr>
            <w:r w:rsidRPr="00A225B7">
              <w:rPr>
                <w:rFonts w:cs="Arial"/>
                <w:szCs w:val="18"/>
              </w:rPr>
              <w:t xml:space="preserve">  </w:t>
            </w:r>
            <w:r w:rsidR="001B1F5D" w:rsidRPr="00A225B7">
              <w:rPr>
                <w:rFonts w:cs="Arial"/>
                <w:szCs w:val="18"/>
              </w:rPr>
              <w:t>6.62 ± 0.50</w:t>
            </w:r>
            <w:r w:rsidR="001B1F5D" w:rsidRPr="00A225B7">
              <w:rPr>
                <w:rFonts w:cs="Arial"/>
                <w:szCs w:val="18"/>
                <w:vertAlign w:val="subscript"/>
              </w:rPr>
              <w:t xml:space="preserve"> d</w:t>
            </w:r>
          </w:p>
        </w:tc>
        <w:tc>
          <w:tcPr>
            <w:tcW w:w="1617" w:type="dxa"/>
            <w:shd w:val="clear" w:color="auto" w:fill="FFFFFF"/>
          </w:tcPr>
          <w:p w14:paraId="12EB9C8B" w14:textId="586BCA54" w:rsidR="004F1F18" w:rsidRPr="00A225B7" w:rsidRDefault="001B1F5D" w:rsidP="00644A33">
            <w:pPr>
              <w:pStyle w:val="CETBodytext"/>
              <w:ind w:right="-1"/>
              <w:jc w:val="center"/>
              <w:rPr>
                <w:rFonts w:cs="Arial"/>
                <w:szCs w:val="18"/>
              </w:rPr>
            </w:pPr>
            <w:r w:rsidRPr="00A225B7">
              <w:rPr>
                <w:rFonts w:cs="Arial"/>
                <w:szCs w:val="18"/>
              </w:rPr>
              <w:t>-0.7</w:t>
            </w:r>
            <w:r w:rsidR="00D96FCC" w:rsidRPr="00A225B7">
              <w:rPr>
                <w:rFonts w:cs="Arial"/>
                <w:szCs w:val="18"/>
              </w:rPr>
              <w:t>3</w:t>
            </w:r>
            <w:r w:rsidRPr="00A225B7">
              <w:rPr>
                <w:rFonts w:cs="Arial"/>
                <w:szCs w:val="18"/>
              </w:rPr>
              <w:t xml:space="preserve"> ±</w:t>
            </w:r>
            <w:r w:rsidR="001853E5" w:rsidRPr="00A225B7">
              <w:rPr>
                <w:rFonts w:cs="Arial"/>
                <w:szCs w:val="18"/>
              </w:rPr>
              <w:t xml:space="preserve"> 0.05</w:t>
            </w:r>
            <w:r w:rsidR="001853E5" w:rsidRPr="00A225B7">
              <w:rPr>
                <w:rFonts w:cs="Arial"/>
                <w:szCs w:val="18"/>
                <w:vertAlign w:val="subscript"/>
              </w:rPr>
              <w:t xml:space="preserve"> e</w:t>
            </w:r>
          </w:p>
        </w:tc>
        <w:tc>
          <w:tcPr>
            <w:tcW w:w="1680" w:type="dxa"/>
            <w:shd w:val="clear" w:color="auto" w:fill="FFFFFF"/>
          </w:tcPr>
          <w:p w14:paraId="73E13851" w14:textId="56AF30C4" w:rsidR="004F1F18" w:rsidRPr="00A225B7" w:rsidRDefault="00A94647" w:rsidP="00644A33">
            <w:pPr>
              <w:pStyle w:val="CETBodytext"/>
              <w:ind w:right="-1"/>
              <w:jc w:val="center"/>
              <w:rPr>
                <w:rFonts w:cs="Arial"/>
                <w:szCs w:val="18"/>
              </w:rPr>
            </w:pPr>
            <w:r w:rsidRPr="00A225B7">
              <w:rPr>
                <w:rFonts w:cs="Arial"/>
                <w:szCs w:val="18"/>
              </w:rPr>
              <w:t xml:space="preserve">  </w:t>
            </w:r>
            <w:r w:rsidR="001853E5" w:rsidRPr="00A225B7">
              <w:rPr>
                <w:rFonts w:cs="Arial"/>
                <w:szCs w:val="18"/>
              </w:rPr>
              <w:t>5.3</w:t>
            </w:r>
            <w:r w:rsidR="00D96FCC" w:rsidRPr="00A225B7">
              <w:rPr>
                <w:rFonts w:cs="Arial"/>
                <w:szCs w:val="18"/>
              </w:rPr>
              <w:t>2</w:t>
            </w:r>
            <w:r w:rsidR="001853E5" w:rsidRPr="00A225B7">
              <w:rPr>
                <w:rFonts w:cs="Arial"/>
                <w:szCs w:val="18"/>
              </w:rPr>
              <w:t xml:space="preserve"> ± 0.31</w:t>
            </w:r>
            <w:r w:rsidR="001853E5" w:rsidRPr="00A225B7">
              <w:rPr>
                <w:rFonts w:cs="Arial"/>
                <w:szCs w:val="18"/>
                <w:vertAlign w:val="subscript"/>
              </w:rPr>
              <w:t xml:space="preserve"> e</w:t>
            </w:r>
          </w:p>
        </w:tc>
      </w:tr>
    </w:tbl>
    <w:p w14:paraId="5FAFE845" w14:textId="1CCD3BD0" w:rsidR="004F1F18" w:rsidRPr="00A225B7" w:rsidRDefault="008F37B4" w:rsidP="004F42EB">
      <w:pPr>
        <w:pStyle w:val="CETBodytext"/>
        <w:spacing w:before="60"/>
        <w:jc w:val="left"/>
      </w:pPr>
      <w:r w:rsidRPr="00A225B7">
        <w:t>For each column, different lowercase letters (a, b, c, d, e) indicate significant difference</w:t>
      </w:r>
      <w:r w:rsidR="001E179C">
        <w:t>s</w:t>
      </w:r>
      <w:r w:rsidRPr="00A225B7">
        <w:t xml:space="preserve"> (</w:t>
      </w:r>
      <w:r w:rsidRPr="00A225B7">
        <w:rPr>
          <w:i/>
          <w:iCs/>
        </w:rPr>
        <w:t>p&lt;0.05</w:t>
      </w:r>
      <w:r w:rsidRPr="00A225B7">
        <w:t>).</w:t>
      </w:r>
    </w:p>
    <w:bookmarkEnd w:id="9"/>
    <w:p w14:paraId="40EE475B" w14:textId="77777777" w:rsidR="00A63928" w:rsidRPr="00A225B7" w:rsidRDefault="00A63928" w:rsidP="0049065E">
      <w:pPr>
        <w:pStyle w:val="CETBodytext"/>
      </w:pPr>
    </w:p>
    <w:p w14:paraId="19BD30B7" w14:textId="43D6E69E" w:rsidR="004F1F18" w:rsidRPr="00A225B7" w:rsidRDefault="0049065E" w:rsidP="0049065E">
      <w:pPr>
        <w:pStyle w:val="CETBodytext"/>
      </w:pPr>
      <w:r w:rsidRPr="00A225B7">
        <w:t xml:space="preserve">The fruit-based puree exhibited the highest extrusion force, indicating greater resistance to deformation and structural integrity. This aligns with its higher yield stress values observed in flow measurements, suggesting a more structured material requiring greater force for oral manipulation. The positive area values, representing mechanical cohesiveness and work required for deformation, showed significant variations among samples. The fruit puree demonstrated the highest cohesive strength, while thickened water showed the lowest. </w:t>
      </w:r>
      <w:r w:rsidR="00432264" w:rsidRPr="00A225B7">
        <w:t>Th</w:t>
      </w:r>
      <w:r w:rsidR="0076286B" w:rsidRPr="00A225B7">
        <w:t>is</w:t>
      </w:r>
      <w:r w:rsidR="00432264" w:rsidRPr="00A225B7">
        <w:t xml:space="preserve"> </w:t>
      </w:r>
      <w:r w:rsidR="00432264" w:rsidRPr="00A225B7">
        <w:lastRenderedPageBreak/>
        <w:t>correlation between yield stress and cohesiveness has already been suggested by for thickened fluids</w:t>
      </w:r>
      <w:r w:rsidR="0080563B" w:rsidRPr="00A225B7">
        <w:t xml:space="preserve"> (Ross et al., 2019)</w:t>
      </w:r>
      <w:r w:rsidRPr="00A225B7">
        <w:t>. The negative area values, representing adhesive properties, followed a similar pattern to cohesiveness. The fruit puree exhibited the highest adhesiveness, while thickened water showed the lowest.</w:t>
      </w:r>
      <w:r w:rsidR="00AB53DC" w:rsidRPr="00A225B7">
        <w:t xml:space="preserve"> Finally, t</w:t>
      </w:r>
      <w:r w:rsidRPr="00A225B7">
        <w:t>he negative peak values</w:t>
      </w:r>
      <w:r w:rsidR="00AB53DC" w:rsidRPr="00A225B7">
        <w:t>,</w:t>
      </w:r>
      <w:r w:rsidR="004F3524" w:rsidRPr="00A225B7">
        <w:t xml:space="preserve"> </w:t>
      </w:r>
      <w:r w:rsidRPr="00A225B7">
        <w:t>represent</w:t>
      </w:r>
      <w:r w:rsidR="00AB53DC" w:rsidRPr="00A225B7">
        <w:t>ing</w:t>
      </w:r>
      <w:r w:rsidRPr="00A225B7">
        <w:t xml:space="preserve"> the resistance during probe separation, </w:t>
      </w:r>
      <w:r w:rsidR="00AB53DC" w:rsidRPr="00A225B7">
        <w:t>provided</w:t>
      </w:r>
      <w:r w:rsidR="004F3524" w:rsidRPr="00A225B7">
        <w:t xml:space="preserve"> more</w:t>
      </w:r>
      <w:r w:rsidRPr="00A225B7">
        <w:t xml:space="preserve"> insights into adhesive properties during oral processing. The fruit puree exhibited the highest negative peak force, and this aligns with the adhesiveness data suggesting that products with higher negative peak forces may require greater effort for bolus clearance during the oral phase.</w:t>
      </w:r>
      <w:r w:rsidR="003B6223" w:rsidRPr="00A225B7">
        <w:t xml:space="preserve"> The significantly higher mechanical parameters of the fruit puree may pose challenges for individuals with </w:t>
      </w:r>
      <w:r w:rsidR="006C154F" w:rsidRPr="00A225B7">
        <w:t>limited</w:t>
      </w:r>
      <w:r w:rsidR="003B6223" w:rsidRPr="00A225B7">
        <w:t xml:space="preserve"> oral strength</w:t>
      </w:r>
      <w:r w:rsidR="00AB54C9" w:rsidRPr="00A225B7">
        <w:t xml:space="preserve">. </w:t>
      </w:r>
      <w:r w:rsidR="003B6223" w:rsidRPr="00A225B7">
        <w:t xml:space="preserve">The combination of </w:t>
      </w:r>
      <w:r w:rsidR="006C154F" w:rsidRPr="00A225B7">
        <w:t xml:space="preserve">high </w:t>
      </w:r>
      <w:r w:rsidR="003B6223" w:rsidRPr="00A225B7">
        <w:t>cohesiveness, resistance to deformation and adhesiveness could increase the risk of fatigue during oral processing and potentially lead to incomplete bolus clearance</w:t>
      </w:r>
      <w:r w:rsidR="006C154F" w:rsidRPr="00A225B7">
        <w:t xml:space="preserve"> and complications during swallowing</w:t>
      </w:r>
      <w:r w:rsidR="003B6223" w:rsidRPr="00A225B7">
        <w:t>.</w:t>
      </w:r>
    </w:p>
    <w:p w14:paraId="678BDC5F" w14:textId="32381304" w:rsidR="004763A9" w:rsidRPr="00A225B7" w:rsidRDefault="004763A9" w:rsidP="00AB54C9">
      <w:pPr>
        <w:pStyle w:val="CETheadingx"/>
      </w:pPr>
      <w:r w:rsidRPr="00A225B7">
        <w:t>Mucoadhesion assessment</w:t>
      </w:r>
    </w:p>
    <w:p w14:paraId="6B40CD46" w14:textId="29C46794" w:rsidR="004763A9" w:rsidRPr="00A225B7" w:rsidRDefault="004425D8" w:rsidP="00A7615A">
      <w:pPr>
        <w:pStyle w:val="CETBodytext"/>
      </w:pPr>
      <w:r w:rsidRPr="00A225B7">
        <w:t xml:space="preserve">The mucoadhesive test used is a common methodology to evaluate </w:t>
      </w:r>
      <w:r w:rsidR="00991AF8" w:rsidRPr="00A225B7">
        <w:t xml:space="preserve">allows a quantitative assessment of </w:t>
      </w:r>
      <w:r w:rsidRPr="00A225B7">
        <w:t xml:space="preserve">the adhesion strength of food formulations on mucosal tissues (Cook et al., 2017). </w:t>
      </w:r>
      <w:r w:rsidR="00991AF8" w:rsidRPr="00A225B7">
        <w:t xml:space="preserve">The </w:t>
      </w:r>
      <w:r w:rsidR="00B17658" w:rsidRPr="00A225B7">
        <w:t xml:space="preserve">mucoadhesive capacity, is </w:t>
      </w:r>
      <w:r w:rsidR="00991AF8" w:rsidRPr="00A225B7">
        <w:t xml:space="preserve">critical </w:t>
      </w:r>
      <w:r w:rsidR="00B17658" w:rsidRPr="00A225B7">
        <w:t>for dysphagic patients as excessive adhesion can hinder swallowing, while insufficient adhesion may lead to laryngeal penetration</w:t>
      </w:r>
      <w:r w:rsidRPr="00A225B7">
        <w:t>.</w:t>
      </w:r>
      <w:r w:rsidR="00A63928" w:rsidRPr="00A225B7">
        <w:t xml:space="preserve"> </w:t>
      </w:r>
      <w:r w:rsidR="00991AF8" w:rsidRPr="00A225B7">
        <w:t>R</w:t>
      </w:r>
      <w:r w:rsidR="00A7615A" w:rsidRPr="00A225B7">
        <w:t xml:space="preserve">esults are shown in </w:t>
      </w:r>
      <w:r w:rsidR="00A7615A" w:rsidRPr="00A225B7">
        <w:rPr>
          <w:b/>
          <w:bCs/>
        </w:rPr>
        <w:t>Figure 3</w:t>
      </w:r>
      <w:r w:rsidR="00A7615A" w:rsidRPr="00A225B7">
        <w:t xml:space="preserve"> </w:t>
      </w:r>
      <w:r w:rsidR="007A3E2A" w:rsidRPr="00A225B7">
        <w:t>(</w:t>
      </w:r>
      <w:r w:rsidR="00D47EE1" w:rsidRPr="00A225B7">
        <w:t xml:space="preserve">here </w:t>
      </w:r>
      <w:r w:rsidR="00B4187C" w:rsidRPr="00A225B7">
        <w:t>displayed</w:t>
      </w:r>
      <w:r w:rsidR="00B17658" w:rsidRPr="00A225B7">
        <w:t xml:space="preserve"> </w:t>
      </w:r>
      <w:r w:rsidR="007A3E2A" w:rsidRPr="00A225B7">
        <w:t xml:space="preserve">as </w:t>
      </w:r>
      <w:r w:rsidR="00C44B4F" w:rsidRPr="00A225B7">
        <w:t>f</w:t>
      </w:r>
      <w:r w:rsidR="007A3E2A" w:rsidRPr="00A225B7">
        <w:t>orce-vs-</w:t>
      </w:r>
      <w:r w:rsidR="00C44B4F" w:rsidRPr="00A225B7">
        <w:t>t</w:t>
      </w:r>
      <w:r w:rsidR="007A3E2A" w:rsidRPr="00A225B7">
        <w:t xml:space="preserve">ime for </w:t>
      </w:r>
      <w:r w:rsidR="00B17658" w:rsidRPr="00A225B7">
        <w:t xml:space="preserve">a </w:t>
      </w:r>
      <w:r w:rsidR="007A3E2A" w:rsidRPr="00A225B7">
        <w:t xml:space="preserve">better </w:t>
      </w:r>
      <w:r w:rsidR="00B4187C" w:rsidRPr="00A225B7">
        <w:t>visualization</w:t>
      </w:r>
      <w:r w:rsidR="007A3E2A" w:rsidRPr="00A225B7">
        <w:t xml:space="preserve">) </w:t>
      </w:r>
      <w:r w:rsidR="00A7615A" w:rsidRPr="00A225B7">
        <w:t xml:space="preserve">and </w:t>
      </w:r>
      <w:r w:rsidR="00A7615A" w:rsidRPr="00A225B7">
        <w:rPr>
          <w:b/>
          <w:bCs/>
        </w:rPr>
        <w:t>Table 4</w:t>
      </w:r>
      <w:r w:rsidR="00A7615A" w:rsidRPr="00A225B7">
        <w:t>.</w:t>
      </w:r>
    </w:p>
    <w:p w14:paraId="39D82E09" w14:textId="7FE49D35" w:rsidR="00BB5CAC" w:rsidRPr="00A225B7" w:rsidRDefault="00EA5586" w:rsidP="00A73D30">
      <w:pPr>
        <w:pStyle w:val="CETBodytext"/>
        <w:jc w:val="center"/>
      </w:pPr>
      <w:r w:rsidRPr="00A225B7">
        <w:rPr>
          <w:noProof/>
        </w:rPr>
        <w:drawing>
          <wp:inline distT="0" distB="0" distL="0" distR="0" wp14:anchorId="515336E9" wp14:editId="697D5B6D">
            <wp:extent cx="3731190" cy="2700000"/>
            <wp:effectExtent l="0" t="0" r="3175" b="5715"/>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a:extLst>
                        <a:ext uri="{28A0092B-C50C-407E-A947-70E740481C1C}">
                          <a14:useLocalDpi xmlns:a14="http://schemas.microsoft.com/office/drawing/2010/main" val="0"/>
                        </a:ext>
                      </a:extLst>
                    </a:blip>
                    <a:srcRect l="6366" t="6390" r="9895" b="14519"/>
                    <a:stretch/>
                  </pic:blipFill>
                  <pic:spPr bwMode="auto">
                    <a:xfrm>
                      <a:off x="0" y="0"/>
                      <a:ext cx="3731190"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79AFBAF4" w14:textId="6FC57DF0" w:rsidR="00A7615A" w:rsidRPr="00A225B7" w:rsidRDefault="00A73D30" w:rsidP="00F456FD">
      <w:pPr>
        <w:pStyle w:val="CETCaption"/>
        <w:jc w:val="left"/>
        <w:rPr>
          <w:lang w:val="en-US"/>
        </w:rPr>
      </w:pPr>
      <w:r w:rsidRPr="00A225B7">
        <w:rPr>
          <w:lang w:val="en-US"/>
        </w:rPr>
        <w:t xml:space="preserve">Figure </w:t>
      </w:r>
      <w:r w:rsidR="00A4694D" w:rsidRPr="00A225B7">
        <w:rPr>
          <w:lang w:val="en-US"/>
        </w:rPr>
        <w:t>3</w:t>
      </w:r>
      <w:r w:rsidRPr="00A225B7">
        <w:rPr>
          <w:lang w:val="en-US"/>
        </w:rPr>
        <w:t xml:space="preserve">: </w:t>
      </w:r>
      <w:r w:rsidR="00A4694D" w:rsidRPr="00A225B7">
        <w:rPr>
          <w:lang w:val="en-US"/>
        </w:rPr>
        <w:t>Mucoadhesion</w:t>
      </w:r>
      <w:r w:rsidRPr="00A225B7">
        <w:rPr>
          <w:lang w:val="en-US"/>
        </w:rPr>
        <w:t xml:space="preserve"> test expressed as Force vs Time.</w:t>
      </w:r>
    </w:p>
    <w:p w14:paraId="3EDBC5F2" w14:textId="08EFD6B6" w:rsidR="009B0903" w:rsidRPr="00A225B7" w:rsidRDefault="009B0903" w:rsidP="00F456FD">
      <w:pPr>
        <w:pStyle w:val="CETTabletitle"/>
        <w:rPr>
          <w:lang w:val="en-US"/>
        </w:rPr>
      </w:pPr>
      <w:r w:rsidRPr="00A225B7">
        <w:rPr>
          <w:lang w:val="en-US"/>
        </w:rPr>
        <w:t>Table 4: Mucoadhesion value for each DRFs</w:t>
      </w:r>
    </w:p>
    <w:tbl>
      <w:tblPr>
        <w:tblW w:w="0" w:type="auto"/>
        <w:tblBorders>
          <w:top w:val="single" w:sz="12" w:space="0" w:color="008000"/>
          <w:bottom w:val="single" w:sz="12" w:space="0" w:color="008000"/>
        </w:tblBorders>
        <w:shd w:val="clear" w:color="auto" w:fill="FFFFFF"/>
        <w:tblCellMar>
          <w:left w:w="0" w:type="dxa"/>
          <w:right w:w="0" w:type="dxa"/>
        </w:tblCellMar>
        <w:tblLook w:val="00A0" w:firstRow="1" w:lastRow="0" w:firstColumn="1" w:lastColumn="0" w:noHBand="0" w:noVBand="0"/>
      </w:tblPr>
      <w:tblGrid>
        <w:gridCol w:w="1843"/>
        <w:gridCol w:w="1701"/>
        <w:gridCol w:w="1559"/>
      </w:tblGrid>
      <w:tr w:rsidR="00A70AB8" w:rsidRPr="00A225B7" w14:paraId="1897A382" w14:textId="77777777" w:rsidTr="00644A33">
        <w:trPr>
          <w:trHeight w:val="296"/>
        </w:trPr>
        <w:tc>
          <w:tcPr>
            <w:tcW w:w="1843" w:type="dxa"/>
            <w:tcBorders>
              <w:top w:val="single" w:sz="12" w:space="0" w:color="008000"/>
              <w:bottom w:val="single" w:sz="6" w:space="0" w:color="008000"/>
            </w:tcBorders>
            <w:shd w:val="clear" w:color="auto" w:fill="FFFFFF"/>
          </w:tcPr>
          <w:p w14:paraId="1045A3D1" w14:textId="77777777" w:rsidR="00A70AB8" w:rsidRPr="00A225B7" w:rsidRDefault="00A70AB8" w:rsidP="00644A33">
            <w:pPr>
              <w:pStyle w:val="CETBodytext"/>
              <w:jc w:val="center"/>
            </w:pPr>
            <w:r w:rsidRPr="00A225B7">
              <w:t>DRFs</w:t>
            </w:r>
          </w:p>
        </w:tc>
        <w:tc>
          <w:tcPr>
            <w:tcW w:w="1701" w:type="dxa"/>
            <w:tcBorders>
              <w:top w:val="single" w:sz="12" w:space="0" w:color="008000"/>
              <w:bottom w:val="single" w:sz="6" w:space="0" w:color="008000"/>
            </w:tcBorders>
            <w:shd w:val="clear" w:color="auto" w:fill="FFFFFF"/>
          </w:tcPr>
          <w:p w14:paraId="5AAA46AA" w14:textId="05A7A5D9" w:rsidR="00A70AB8" w:rsidRPr="00A225B7" w:rsidRDefault="00A70AB8" w:rsidP="00644A33">
            <w:pPr>
              <w:pStyle w:val="CETBodytext"/>
              <w:jc w:val="center"/>
            </w:pPr>
            <w:r w:rsidRPr="00A225B7">
              <w:t>Peak value</w:t>
            </w:r>
          </w:p>
          <w:p w14:paraId="5165DB5F" w14:textId="77777777" w:rsidR="00A70AB8" w:rsidRPr="00A225B7" w:rsidRDefault="00A70AB8" w:rsidP="00644A33">
            <w:pPr>
              <w:pStyle w:val="CETBodytext"/>
              <w:jc w:val="center"/>
            </w:pPr>
            <w:r w:rsidRPr="00A225B7">
              <w:t>(N)</w:t>
            </w:r>
          </w:p>
        </w:tc>
        <w:tc>
          <w:tcPr>
            <w:tcW w:w="1559" w:type="dxa"/>
            <w:tcBorders>
              <w:top w:val="single" w:sz="12" w:space="0" w:color="008000"/>
              <w:bottom w:val="single" w:sz="6" w:space="0" w:color="008000"/>
            </w:tcBorders>
            <w:shd w:val="clear" w:color="auto" w:fill="FFFFFF"/>
          </w:tcPr>
          <w:p w14:paraId="4B9DAFC4" w14:textId="7DDDFDA6" w:rsidR="00A70AB8" w:rsidRPr="00A225B7" w:rsidRDefault="00A70AB8" w:rsidP="00644A33">
            <w:pPr>
              <w:pStyle w:val="CETBodytext"/>
              <w:jc w:val="center"/>
            </w:pPr>
            <w:r w:rsidRPr="00A225B7">
              <w:t>W</w:t>
            </w:r>
            <w:r w:rsidR="00F85110" w:rsidRPr="00A225B7">
              <w:rPr>
                <w:vertAlign w:val="subscript"/>
              </w:rPr>
              <w:t>ADH</w:t>
            </w:r>
          </w:p>
          <w:p w14:paraId="7B6CCD63" w14:textId="77777777" w:rsidR="00A70AB8" w:rsidRPr="00A225B7" w:rsidRDefault="00A70AB8" w:rsidP="00644A33">
            <w:pPr>
              <w:pStyle w:val="CETBodytext"/>
              <w:jc w:val="center"/>
            </w:pPr>
            <w:r w:rsidRPr="00A225B7">
              <w:t>(N</w:t>
            </w:r>
            <w:r w:rsidRPr="00A225B7">
              <w:rPr>
                <w:rFonts w:ascii="Cambria Math" w:hAnsi="Cambria Math" w:cs="Cambria Math"/>
              </w:rPr>
              <w:t>⋅</w:t>
            </w:r>
            <w:r w:rsidRPr="00A225B7">
              <w:t>mm)</w:t>
            </w:r>
          </w:p>
        </w:tc>
      </w:tr>
      <w:tr w:rsidR="00A70AB8" w:rsidRPr="00A225B7" w14:paraId="6CFF6C75" w14:textId="77777777" w:rsidTr="00644A33">
        <w:trPr>
          <w:trHeight w:val="309"/>
        </w:trPr>
        <w:tc>
          <w:tcPr>
            <w:tcW w:w="1843" w:type="dxa"/>
            <w:shd w:val="clear" w:color="auto" w:fill="FFFFFF"/>
          </w:tcPr>
          <w:p w14:paraId="0C68681A" w14:textId="77777777" w:rsidR="00A70AB8" w:rsidRPr="00247F6B" w:rsidRDefault="00A70AB8" w:rsidP="00644A33">
            <w:pPr>
              <w:pStyle w:val="CETBodytext"/>
              <w:rPr>
                <w:lang w:val="it-IT"/>
              </w:rPr>
            </w:pPr>
            <w:r w:rsidRPr="00247F6B">
              <w:rPr>
                <w:lang w:val="it-IT"/>
              </w:rPr>
              <w:t xml:space="preserve">Pasta puree </w:t>
            </w:r>
          </w:p>
          <w:p w14:paraId="1C6E77ED" w14:textId="77777777" w:rsidR="00A70AB8" w:rsidRPr="00247F6B" w:rsidRDefault="00A70AB8" w:rsidP="00644A33">
            <w:pPr>
              <w:pStyle w:val="CETBodytext"/>
              <w:rPr>
                <w:lang w:val="it-IT"/>
              </w:rPr>
            </w:pPr>
            <w:r w:rsidRPr="00247F6B">
              <w:rPr>
                <w:lang w:val="it-IT"/>
              </w:rPr>
              <w:t>Chicken puree</w:t>
            </w:r>
          </w:p>
          <w:p w14:paraId="54FB87B4" w14:textId="77777777" w:rsidR="00A70AB8" w:rsidRPr="00247F6B" w:rsidRDefault="00A70AB8" w:rsidP="00644A33">
            <w:pPr>
              <w:pStyle w:val="CETBodytext"/>
              <w:rPr>
                <w:lang w:val="it-IT"/>
              </w:rPr>
            </w:pPr>
            <w:r w:rsidRPr="00247F6B">
              <w:rPr>
                <w:lang w:val="it-IT"/>
              </w:rPr>
              <w:t>Apple puree</w:t>
            </w:r>
          </w:p>
          <w:p w14:paraId="5091DE9B" w14:textId="77777777" w:rsidR="00A70AB8" w:rsidRPr="00A225B7" w:rsidRDefault="00A70AB8" w:rsidP="00644A33">
            <w:pPr>
              <w:pStyle w:val="CETBodytext"/>
            </w:pPr>
            <w:r w:rsidRPr="00A225B7">
              <w:t>Vanilla pudding</w:t>
            </w:r>
          </w:p>
        </w:tc>
        <w:tc>
          <w:tcPr>
            <w:tcW w:w="1701" w:type="dxa"/>
            <w:shd w:val="clear" w:color="auto" w:fill="FFFFFF"/>
          </w:tcPr>
          <w:p w14:paraId="0715AE76" w14:textId="4AA51E61" w:rsidR="00A70AB8" w:rsidRPr="00A225B7" w:rsidRDefault="009861DE" w:rsidP="00644A33">
            <w:pPr>
              <w:pStyle w:val="CETBodytext"/>
              <w:jc w:val="center"/>
            </w:pPr>
            <w:r w:rsidRPr="00A225B7">
              <w:t xml:space="preserve"> </w:t>
            </w:r>
            <w:r w:rsidR="00E90924" w:rsidRPr="00A225B7">
              <w:t>0.85</w:t>
            </w:r>
            <w:r w:rsidR="00A70AB8" w:rsidRPr="00A225B7">
              <w:t xml:space="preserve"> ±</w:t>
            </w:r>
            <w:r w:rsidR="00E90924" w:rsidRPr="00A225B7">
              <w:t xml:space="preserve"> 0.05</w:t>
            </w:r>
            <w:r w:rsidR="00A70AB8" w:rsidRPr="00A225B7">
              <w:rPr>
                <w:vertAlign w:val="subscript"/>
              </w:rPr>
              <w:t xml:space="preserve"> </w:t>
            </w:r>
            <w:r w:rsidR="00E90924" w:rsidRPr="00A225B7">
              <w:rPr>
                <w:vertAlign w:val="subscript"/>
              </w:rPr>
              <w:t>a</w:t>
            </w:r>
          </w:p>
          <w:p w14:paraId="65D2A9A6" w14:textId="3DED7F0B" w:rsidR="00A70AB8" w:rsidRPr="00A225B7" w:rsidRDefault="00A70AB8" w:rsidP="00644A33">
            <w:pPr>
              <w:pStyle w:val="CETBodytext"/>
              <w:jc w:val="center"/>
            </w:pPr>
            <w:r w:rsidRPr="00A225B7">
              <w:t xml:space="preserve"> </w:t>
            </w:r>
            <w:r w:rsidR="00740B95" w:rsidRPr="00A225B7">
              <w:t xml:space="preserve">0.48 </w:t>
            </w:r>
            <w:r w:rsidRPr="00A225B7">
              <w:t>±</w:t>
            </w:r>
            <w:r w:rsidR="00740B95" w:rsidRPr="00A225B7">
              <w:t xml:space="preserve"> 0.03</w:t>
            </w:r>
            <w:r w:rsidRPr="00A225B7">
              <w:rPr>
                <w:vertAlign w:val="subscript"/>
              </w:rPr>
              <w:t xml:space="preserve"> </w:t>
            </w:r>
            <w:r w:rsidR="00740B95" w:rsidRPr="00A225B7">
              <w:rPr>
                <w:vertAlign w:val="subscript"/>
              </w:rPr>
              <w:t>d</w:t>
            </w:r>
          </w:p>
          <w:p w14:paraId="5DC33BC4" w14:textId="2A3B09CF" w:rsidR="00A70AB8" w:rsidRPr="00A225B7" w:rsidRDefault="00A70AB8" w:rsidP="00644A33">
            <w:pPr>
              <w:pStyle w:val="CETBodytext"/>
              <w:jc w:val="center"/>
            </w:pPr>
            <w:r w:rsidRPr="00A225B7">
              <w:t xml:space="preserve"> </w:t>
            </w:r>
            <w:r w:rsidR="00740B95" w:rsidRPr="00A225B7">
              <w:t xml:space="preserve">0.59 </w:t>
            </w:r>
            <w:r w:rsidRPr="00A225B7">
              <w:rPr>
                <w:rFonts w:cs="Arial"/>
                <w:szCs w:val="18"/>
              </w:rPr>
              <w:t>±</w:t>
            </w:r>
            <w:r w:rsidR="00740B95" w:rsidRPr="00A225B7">
              <w:rPr>
                <w:rFonts w:cs="Arial"/>
                <w:szCs w:val="18"/>
              </w:rPr>
              <w:t xml:space="preserve"> 0.01</w:t>
            </w:r>
            <w:r w:rsidRPr="00A225B7">
              <w:rPr>
                <w:rFonts w:cs="Arial"/>
                <w:szCs w:val="18"/>
                <w:vertAlign w:val="subscript"/>
              </w:rPr>
              <w:t xml:space="preserve"> </w:t>
            </w:r>
            <w:r w:rsidR="00740B95" w:rsidRPr="00A225B7">
              <w:rPr>
                <w:rFonts w:cs="Arial"/>
                <w:szCs w:val="18"/>
                <w:vertAlign w:val="subscript"/>
              </w:rPr>
              <w:t>c</w:t>
            </w:r>
          </w:p>
          <w:p w14:paraId="25D8AEB6" w14:textId="27395983" w:rsidR="00A70AB8" w:rsidRPr="00A225B7" w:rsidRDefault="00A70AB8" w:rsidP="00644A33">
            <w:pPr>
              <w:pStyle w:val="CETBodytext"/>
              <w:jc w:val="center"/>
            </w:pPr>
            <w:r w:rsidRPr="00A225B7">
              <w:t xml:space="preserve"> </w:t>
            </w:r>
            <w:r w:rsidR="00740B95" w:rsidRPr="00A225B7">
              <w:t xml:space="preserve">0.74 </w:t>
            </w:r>
            <w:r w:rsidRPr="00A225B7">
              <w:rPr>
                <w:rFonts w:cs="Arial"/>
                <w:szCs w:val="18"/>
              </w:rPr>
              <w:t>±</w:t>
            </w:r>
            <w:r w:rsidR="00740B95" w:rsidRPr="00A225B7">
              <w:rPr>
                <w:rFonts w:cs="Arial"/>
                <w:szCs w:val="18"/>
              </w:rPr>
              <w:t xml:space="preserve"> 0.05</w:t>
            </w:r>
            <w:r w:rsidRPr="00A225B7">
              <w:rPr>
                <w:rFonts w:cs="Arial"/>
                <w:szCs w:val="18"/>
                <w:vertAlign w:val="subscript"/>
              </w:rPr>
              <w:t xml:space="preserve"> </w:t>
            </w:r>
            <w:r w:rsidR="00740B95" w:rsidRPr="00A225B7">
              <w:rPr>
                <w:rFonts w:cs="Arial"/>
                <w:szCs w:val="18"/>
                <w:vertAlign w:val="subscript"/>
              </w:rPr>
              <w:t>b</w:t>
            </w:r>
          </w:p>
        </w:tc>
        <w:tc>
          <w:tcPr>
            <w:tcW w:w="1559" w:type="dxa"/>
            <w:shd w:val="clear" w:color="auto" w:fill="FFFFFF"/>
          </w:tcPr>
          <w:p w14:paraId="04B35429" w14:textId="78F02CF4" w:rsidR="00A70AB8" w:rsidRPr="00A225B7" w:rsidRDefault="00A60C10" w:rsidP="00644A33">
            <w:pPr>
              <w:pStyle w:val="CETBodytext"/>
              <w:jc w:val="center"/>
            </w:pPr>
            <w:r w:rsidRPr="00A225B7">
              <w:t xml:space="preserve"> </w:t>
            </w:r>
            <w:r w:rsidR="002F6548" w:rsidRPr="00A225B7">
              <w:t>1.09</w:t>
            </w:r>
            <w:r w:rsidR="00A70AB8" w:rsidRPr="00A225B7">
              <w:t xml:space="preserve"> ±</w:t>
            </w:r>
            <w:r w:rsidR="002F6548" w:rsidRPr="00A225B7">
              <w:t xml:space="preserve"> 0.12</w:t>
            </w:r>
            <w:r w:rsidR="00A70AB8" w:rsidRPr="00A225B7">
              <w:rPr>
                <w:vertAlign w:val="subscript"/>
              </w:rPr>
              <w:t xml:space="preserve"> </w:t>
            </w:r>
            <w:r w:rsidR="002F6548" w:rsidRPr="00A225B7">
              <w:rPr>
                <w:vertAlign w:val="subscript"/>
              </w:rPr>
              <w:t>a</w:t>
            </w:r>
          </w:p>
          <w:p w14:paraId="6EB06CC7" w14:textId="35BB4355" w:rsidR="00A70AB8" w:rsidRPr="00A225B7" w:rsidRDefault="00A70AB8" w:rsidP="00644A33">
            <w:pPr>
              <w:pStyle w:val="CETBodytext"/>
              <w:jc w:val="center"/>
            </w:pPr>
            <w:r w:rsidRPr="00A225B7">
              <w:t xml:space="preserve"> </w:t>
            </w:r>
            <w:r w:rsidR="00851B39" w:rsidRPr="00A225B7">
              <w:t xml:space="preserve">0.84 </w:t>
            </w:r>
            <w:r w:rsidRPr="00A225B7">
              <w:t>±</w:t>
            </w:r>
            <w:r w:rsidR="00851B39" w:rsidRPr="00A225B7">
              <w:t xml:space="preserve"> 0.07</w:t>
            </w:r>
            <w:r w:rsidRPr="00A225B7">
              <w:rPr>
                <w:vertAlign w:val="subscript"/>
              </w:rPr>
              <w:t xml:space="preserve"> </w:t>
            </w:r>
            <w:r w:rsidR="00851B39" w:rsidRPr="00A225B7">
              <w:rPr>
                <w:vertAlign w:val="subscript"/>
              </w:rPr>
              <w:t>b</w:t>
            </w:r>
          </w:p>
          <w:p w14:paraId="0149FDDE" w14:textId="71D09E73" w:rsidR="00A70AB8" w:rsidRPr="00A225B7" w:rsidRDefault="00A60C10" w:rsidP="00644A33">
            <w:pPr>
              <w:pStyle w:val="CETBodytext"/>
              <w:jc w:val="center"/>
            </w:pPr>
            <w:r w:rsidRPr="00A225B7">
              <w:t xml:space="preserve">  </w:t>
            </w:r>
            <w:r w:rsidR="00A70AB8" w:rsidRPr="00A225B7">
              <w:t xml:space="preserve"> </w:t>
            </w:r>
            <w:r w:rsidR="00851B39" w:rsidRPr="00A225B7">
              <w:t xml:space="preserve">0.97 </w:t>
            </w:r>
            <w:r w:rsidR="00A70AB8" w:rsidRPr="00A225B7">
              <w:rPr>
                <w:rFonts w:cs="Arial"/>
                <w:szCs w:val="18"/>
              </w:rPr>
              <w:t>±</w:t>
            </w:r>
            <w:r w:rsidR="00851B39" w:rsidRPr="00A225B7">
              <w:rPr>
                <w:rFonts w:cs="Arial"/>
                <w:szCs w:val="18"/>
              </w:rPr>
              <w:t xml:space="preserve"> 0.02</w:t>
            </w:r>
            <w:r w:rsidR="00A70AB8" w:rsidRPr="00A225B7">
              <w:rPr>
                <w:rFonts w:cs="Arial"/>
                <w:szCs w:val="18"/>
                <w:vertAlign w:val="subscript"/>
              </w:rPr>
              <w:t xml:space="preserve"> a</w:t>
            </w:r>
            <w:r w:rsidR="00851B39" w:rsidRPr="00A225B7">
              <w:rPr>
                <w:rFonts w:cs="Arial"/>
                <w:szCs w:val="18"/>
                <w:vertAlign w:val="subscript"/>
              </w:rPr>
              <w:t>;b</w:t>
            </w:r>
          </w:p>
          <w:p w14:paraId="0E9CCC99" w14:textId="59368B30" w:rsidR="00A70AB8" w:rsidRPr="00A225B7" w:rsidRDefault="00A70AB8" w:rsidP="00644A33">
            <w:pPr>
              <w:pStyle w:val="CETBodytext"/>
              <w:jc w:val="center"/>
            </w:pPr>
            <w:r w:rsidRPr="00A225B7">
              <w:t xml:space="preserve"> </w:t>
            </w:r>
            <w:r w:rsidR="00851B39" w:rsidRPr="00A225B7">
              <w:t xml:space="preserve">0.89 </w:t>
            </w:r>
            <w:r w:rsidRPr="00A225B7">
              <w:rPr>
                <w:rFonts w:cs="Arial"/>
                <w:szCs w:val="18"/>
              </w:rPr>
              <w:t>±</w:t>
            </w:r>
            <w:r w:rsidR="00851B39" w:rsidRPr="00A225B7">
              <w:rPr>
                <w:rFonts w:cs="Arial"/>
                <w:szCs w:val="18"/>
              </w:rPr>
              <w:t xml:space="preserve"> 0.10</w:t>
            </w:r>
            <w:r w:rsidRPr="00A225B7">
              <w:rPr>
                <w:rFonts w:cs="Arial"/>
                <w:szCs w:val="18"/>
                <w:vertAlign w:val="subscript"/>
              </w:rPr>
              <w:t xml:space="preserve"> </w:t>
            </w:r>
            <w:r w:rsidR="00851B39" w:rsidRPr="00A225B7">
              <w:rPr>
                <w:rFonts w:cs="Arial"/>
                <w:szCs w:val="18"/>
                <w:vertAlign w:val="subscript"/>
              </w:rPr>
              <w:t>b</w:t>
            </w:r>
          </w:p>
        </w:tc>
      </w:tr>
      <w:tr w:rsidR="00A70AB8" w:rsidRPr="00A225B7" w14:paraId="12AE9760" w14:textId="77777777" w:rsidTr="00644A33">
        <w:trPr>
          <w:trHeight w:val="296"/>
        </w:trPr>
        <w:tc>
          <w:tcPr>
            <w:tcW w:w="1843" w:type="dxa"/>
            <w:shd w:val="clear" w:color="auto" w:fill="FFFFFF"/>
          </w:tcPr>
          <w:p w14:paraId="1DF0B8A5" w14:textId="77777777" w:rsidR="00A70AB8" w:rsidRPr="00A225B7" w:rsidRDefault="00A70AB8" w:rsidP="00644A33">
            <w:pPr>
              <w:pStyle w:val="CETBodytext"/>
              <w:ind w:right="-1"/>
              <w:rPr>
                <w:rFonts w:cs="Arial"/>
                <w:szCs w:val="18"/>
              </w:rPr>
            </w:pPr>
            <w:r w:rsidRPr="00A225B7">
              <w:rPr>
                <w:rFonts w:cs="Arial"/>
                <w:szCs w:val="18"/>
              </w:rPr>
              <w:t>Thickened water</w:t>
            </w:r>
          </w:p>
        </w:tc>
        <w:tc>
          <w:tcPr>
            <w:tcW w:w="1701" w:type="dxa"/>
            <w:shd w:val="clear" w:color="auto" w:fill="FFFFFF"/>
          </w:tcPr>
          <w:p w14:paraId="36E85A66" w14:textId="06584977" w:rsidR="00A70AB8" w:rsidRPr="00A225B7" w:rsidRDefault="00A70AB8" w:rsidP="00644A33">
            <w:pPr>
              <w:pStyle w:val="CETBodytext"/>
              <w:ind w:right="-1"/>
              <w:jc w:val="center"/>
              <w:rPr>
                <w:rFonts w:cs="Arial"/>
                <w:szCs w:val="18"/>
              </w:rPr>
            </w:pPr>
            <w:r w:rsidRPr="00A225B7">
              <w:rPr>
                <w:rFonts w:cs="Arial"/>
                <w:szCs w:val="18"/>
              </w:rPr>
              <w:t xml:space="preserve"> </w:t>
            </w:r>
            <w:r w:rsidR="002F6548" w:rsidRPr="00A225B7">
              <w:rPr>
                <w:rFonts w:cs="Arial"/>
                <w:szCs w:val="18"/>
              </w:rPr>
              <w:t xml:space="preserve">0.45 </w:t>
            </w:r>
            <w:r w:rsidRPr="00A225B7">
              <w:rPr>
                <w:rFonts w:cs="Arial"/>
                <w:szCs w:val="18"/>
              </w:rPr>
              <w:t>±</w:t>
            </w:r>
            <w:r w:rsidR="002F6548" w:rsidRPr="00A225B7">
              <w:rPr>
                <w:rFonts w:cs="Arial"/>
                <w:szCs w:val="18"/>
              </w:rPr>
              <w:t xml:space="preserve"> 0.02</w:t>
            </w:r>
            <w:r w:rsidRPr="00A225B7">
              <w:rPr>
                <w:rFonts w:cs="Arial"/>
                <w:szCs w:val="18"/>
                <w:vertAlign w:val="subscript"/>
              </w:rPr>
              <w:t xml:space="preserve"> </w:t>
            </w:r>
            <w:r w:rsidR="002F6548" w:rsidRPr="00A225B7">
              <w:rPr>
                <w:rFonts w:cs="Arial"/>
                <w:szCs w:val="18"/>
                <w:vertAlign w:val="subscript"/>
              </w:rPr>
              <w:t>d</w:t>
            </w:r>
          </w:p>
        </w:tc>
        <w:tc>
          <w:tcPr>
            <w:tcW w:w="1559" w:type="dxa"/>
            <w:shd w:val="clear" w:color="auto" w:fill="FFFFFF"/>
          </w:tcPr>
          <w:p w14:paraId="0AE0C756" w14:textId="0248136E" w:rsidR="00A70AB8" w:rsidRPr="00A225B7" w:rsidRDefault="00A70AB8" w:rsidP="00644A33">
            <w:pPr>
              <w:pStyle w:val="CETBodytext"/>
              <w:ind w:right="-1"/>
              <w:jc w:val="center"/>
              <w:rPr>
                <w:rFonts w:cs="Arial"/>
                <w:szCs w:val="18"/>
              </w:rPr>
            </w:pPr>
            <w:r w:rsidRPr="00A225B7">
              <w:rPr>
                <w:rFonts w:cs="Arial"/>
                <w:szCs w:val="18"/>
              </w:rPr>
              <w:t xml:space="preserve"> </w:t>
            </w:r>
            <w:r w:rsidR="00BE76BA" w:rsidRPr="00A225B7">
              <w:rPr>
                <w:rFonts w:cs="Arial"/>
                <w:szCs w:val="18"/>
              </w:rPr>
              <w:t xml:space="preserve">0.52 </w:t>
            </w:r>
            <w:r w:rsidRPr="00A225B7">
              <w:rPr>
                <w:rFonts w:cs="Arial"/>
                <w:szCs w:val="18"/>
              </w:rPr>
              <w:t>±</w:t>
            </w:r>
            <w:r w:rsidR="00BE76BA" w:rsidRPr="00A225B7">
              <w:rPr>
                <w:rFonts w:cs="Arial"/>
                <w:szCs w:val="18"/>
              </w:rPr>
              <w:t xml:space="preserve"> 0.05</w:t>
            </w:r>
            <w:r w:rsidRPr="00A225B7">
              <w:rPr>
                <w:rFonts w:cs="Arial"/>
                <w:szCs w:val="18"/>
                <w:vertAlign w:val="subscript"/>
              </w:rPr>
              <w:t xml:space="preserve"> d</w:t>
            </w:r>
          </w:p>
        </w:tc>
      </w:tr>
    </w:tbl>
    <w:p w14:paraId="4EF1FADE" w14:textId="3042FA83" w:rsidR="009B0903" w:rsidRPr="00A225B7" w:rsidRDefault="002D604D" w:rsidP="004F42EB">
      <w:pPr>
        <w:pStyle w:val="CETBodytext"/>
        <w:spacing w:before="60"/>
        <w:jc w:val="left"/>
      </w:pPr>
      <w:r w:rsidRPr="00A225B7">
        <w:t xml:space="preserve">For each </w:t>
      </w:r>
      <w:r w:rsidR="008F37B4" w:rsidRPr="00A225B7">
        <w:t>column</w:t>
      </w:r>
      <w:r w:rsidRPr="00A225B7">
        <w:t>, different lowercase letters (a, b, c, d) indicate significant difference</w:t>
      </w:r>
      <w:r w:rsidR="001E179C">
        <w:t>s</w:t>
      </w:r>
      <w:r w:rsidRPr="00A225B7">
        <w:t xml:space="preserve"> (</w:t>
      </w:r>
      <w:r w:rsidRPr="00A225B7">
        <w:rPr>
          <w:i/>
          <w:iCs/>
        </w:rPr>
        <w:t>p&lt;0.05</w:t>
      </w:r>
      <w:r w:rsidRPr="00A225B7">
        <w:t>).</w:t>
      </w:r>
    </w:p>
    <w:p w14:paraId="0C8E58DA" w14:textId="77777777" w:rsidR="002D604D" w:rsidRPr="00A225B7" w:rsidRDefault="002D604D" w:rsidP="009B0903">
      <w:pPr>
        <w:pStyle w:val="CETBodytext"/>
      </w:pPr>
    </w:p>
    <w:p w14:paraId="3986D623" w14:textId="77777777" w:rsidR="005668FF" w:rsidRPr="00A225B7" w:rsidRDefault="004C169D" w:rsidP="00A7615A">
      <w:pPr>
        <w:pStyle w:val="CETBodytext"/>
      </w:pPr>
      <w:r w:rsidRPr="00A225B7">
        <w:t>The test results revealed important variations in the adhesive properties of the different dysphagia-oriented foods, providing insights into their potential behavior during oral processing and swallowing.</w:t>
      </w:r>
      <w:r w:rsidR="003F02D6" w:rsidRPr="00A225B7">
        <w:t xml:space="preserve"> The pasta-based product demonstrated the highest detachment force, significantly different from other samples, indicating stronger mucoadhesive properties, while the fruit and pudding samples showed intermediate values.</w:t>
      </w:r>
      <w:r w:rsidR="00A12081" w:rsidRPr="00A225B7">
        <w:t xml:space="preserve"> The W</w:t>
      </w:r>
      <w:r w:rsidR="00A12081" w:rsidRPr="00A225B7">
        <w:rPr>
          <w:vertAlign w:val="subscript"/>
        </w:rPr>
        <w:t>ADH</w:t>
      </w:r>
      <w:r w:rsidR="00A12081" w:rsidRPr="00A225B7">
        <w:t xml:space="preserve"> values followed a similar pattern, with pasta and fruit-based </w:t>
      </w:r>
      <w:r w:rsidR="00F85110" w:rsidRPr="00A225B7">
        <w:t xml:space="preserve">puree </w:t>
      </w:r>
      <w:r w:rsidR="00A12081" w:rsidRPr="00A225B7">
        <w:t>showing the highe</w:t>
      </w:r>
      <w:r w:rsidR="00991AF8" w:rsidRPr="00A225B7">
        <w:t>r</w:t>
      </w:r>
      <w:r w:rsidR="00A12081" w:rsidRPr="00A225B7">
        <w:t xml:space="preserve"> energy requirement for </w:t>
      </w:r>
      <w:r w:rsidR="00F85110" w:rsidRPr="00A225B7">
        <w:t xml:space="preserve">food-mucosae </w:t>
      </w:r>
      <w:r w:rsidR="00A12081" w:rsidRPr="00A225B7">
        <w:t>bond breakage</w:t>
      </w:r>
      <w:r w:rsidR="00F85110" w:rsidRPr="00A225B7">
        <w:t>. In particular, t</w:t>
      </w:r>
      <w:r w:rsidR="00CA1564" w:rsidRPr="00A225B7">
        <w:t xml:space="preserve">he </w:t>
      </w:r>
      <w:r w:rsidR="00F85110" w:rsidRPr="00A225B7">
        <w:t>W</w:t>
      </w:r>
      <w:r w:rsidR="00F85110" w:rsidRPr="00A225B7">
        <w:rPr>
          <w:vertAlign w:val="subscript"/>
        </w:rPr>
        <w:t>ADH</w:t>
      </w:r>
      <w:r w:rsidR="00CA1564" w:rsidRPr="00A225B7">
        <w:t xml:space="preserve"> provides a </w:t>
      </w:r>
      <w:r w:rsidR="006C154F" w:rsidRPr="00A225B7">
        <w:t>better</w:t>
      </w:r>
      <w:r w:rsidR="00CA1564" w:rsidRPr="00A225B7">
        <w:t xml:space="preserve"> measure of the tenacity of the mucoadhesive bond, representing an index of the adhesive </w:t>
      </w:r>
      <w:r w:rsidR="009359EB" w:rsidRPr="00A225B7">
        <w:t>strength</w:t>
      </w:r>
      <w:r w:rsidR="00CA1564" w:rsidRPr="00A225B7">
        <w:t xml:space="preserve"> of the product</w:t>
      </w:r>
      <w:r w:rsidR="00AB54C9" w:rsidRPr="00A225B7">
        <w:t>.</w:t>
      </w:r>
      <w:r w:rsidR="005668FF" w:rsidRPr="00A225B7">
        <w:t xml:space="preserve"> </w:t>
      </w:r>
    </w:p>
    <w:p w14:paraId="212079C1" w14:textId="74A5C5B3" w:rsidR="00CA1564" w:rsidRPr="00A225B7" w:rsidRDefault="003F0396" w:rsidP="00A7615A">
      <w:pPr>
        <w:pStyle w:val="CETBodytext"/>
      </w:pPr>
      <w:r w:rsidRPr="00A225B7">
        <w:lastRenderedPageBreak/>
        <w:t>It must be noted that for products intended for dysphagic patients, there are no reference mucoadhesion levels, as this parameter can vary depending on the type of product, its formulation, and the specific needs of the patient.</w:t>
      </w:r>
      <w:r w:rsidR="005668FF" w:rsidRPr="00A225B7">
        <w:t xml:space="preserve"> </w:t>
      </w:r>
      <w:r w:rsidR="00B7325B" w:rsidRPr="00A225B7">
        <w:t xml:space="preserve">The significant variations in mucoadhesive properties among </w:t>
      </w:r>
      <w:r w:rsidRPr="00A225B7">
        <w:t xml:space="preserve">the meals under study </w:t>
      </w:r>
      <w:r w:rsidR="00B7325B" w:rsidRPr="00A225B7">
        <w:t xml:space="preserve">highlight the importance of careful product selection based on individual patient needs. Products with excessive mucoadhesion may require additional consideration for patients with reduced oral clearance capabilities, while those with very low adhesion might pose risks for bolus control during </w:t>
      </w:r>
      <w:r w:rsidR="009359EB" w:rsidRPr="00A225B7">
        <w:t>oral processing</w:t>
      </w:r>
      <w:r w:rsidR="00B7325B" w:rsidRPr="00A225B7">
        <w:t>.</w:t>
      </w:r>
    </w:p>
    <w:p w14:paraId="52DAFDE0" w14:textId="0E82A865" w:rsidR="001D0CFB" w:rsidRPr="00A225B7" w:rsidRDefault="00505533" w:rsidP="00796715">
      <w:pPr>
        <w:pStyle w:val="CETHeading1"/>
        <w:jc w:val="both"/>
      </w:pPr>
      <w:r w:rsidRPr="00A225B7">
        <w:t>Conclusions</w:t>
      </w:r>
    </w:p>
    <w:p w14:paraId="67750583" w14:textId="7D37CC7B" w:rsidR="001544B9" w:rsidRDefault="00CB3048" w:rsidP="00796715">
      <w:pPr>
        <w:pStyle w:val="CETBodytext"/>
      </w:pPr>
      <w:r w:rsidRPr="00A225B7">
        <w:t xml:space="preserve">The findings of this study highlight the significant variability in </w:t>
      </w:r>
      <w:r w:rsidR="003F0396" w:rsidRPr="00A225B7">
        <w:t xml:space="preserve">texture </w:t>
      </w:r>
      <w:r w:rsidRPr="00A225B7">
        <w:t>and adhesive properties among foods classified within the same IDDSI</w:t>
      </w:r>
      <w:r w:rsidR="002112D4" w:rsidRPr="00A225B7">
        <w:t xml:space="preserve"> level</w:t>
      </w:r>
      <w:r w:rsidR="004C7452" w:rsidRPr="00A225B7">
        <w:t>, thus confirming that viscosity alone is not sufficient to fully characterize a product intended for dysphagic nutrition</w:t>
      </w:r>
      <w:r w:rsidRPr="00A225B7">
        <w:t xml:space="preserve">. </w:t>
      </w:r>
      <w:r w:rsidR="003F0396" w:rsidRPr="00A225B7">
        <w:t>These results highlight the importance of properties beyond viscosity, such as cohesiveness and mucoadhesion, for ensuring safe and comfortable swallowing.</w:t>
      </w:r>
      <w:r w:rsidR="005F3FE8">
        <w:t xml:space="preserve"> </w:t>
      </w:r>
      <w:r w:rsidRPr="00A225B7">
        <w:t>Despite being categorized as similar</w:t>
      </w:r>
      <w:r w:rsidR="003F0396" w:rsidRPr="00A225B7">
        <w:t xml:space="preserve"> according to the IDDSI viscosity-based classification</w:t>
      </w:r>
      <w:r w:rsidRPr="00A225B7">
        <w:t xml:space="preserve">, these products demonstrated distinct performances in back-extrusion and mucoadhesion tests, revealing differences in </w:t>
      </w:r>
      <w:r w:rsidR="006A10E0" w:rsidRPr="00A225B7">
        <w:t>their</w:t>
      </w:r>
      <w:r w:rsidRPr="00A225B7">
        <w:t xml:space="preserve"> </w:t>
      </w:r>
      <w:r w:rsidR="00DF1B76" w:rsidRPr="00A225B7">
        <w:t>structure and interaction with the oral cavity and pharynx.</w:t>
      </w:r>
      <w:r w:rsidR="00CA5965" w:rsidRPr="00A225B7">
        <w:t xml:space="preserve"> Together with viscosity, </w:t>
      </w:r>
      <w:r w:rsidR="00DF1B76" w:rsidRPr="00A225B7">
        <w:t xml:space="preserve">cohesiveness and mucoadhesion data </w:t>
      </w:r>
      <w:r w:rsidR="001544B9" w:rsidRPr="00A225B7">
        <w:t>could</w:t>
      </w:r>
      <w:r w:rsidR="00DF1B76" w:rsidRPr="00A225B7">
        <w:t xml:space="preserve"> help in the </w:t>
      </w:r>
      <w:r w:rsidR="00CA5965" w:rsidRPr="00A225B7">
        <w:t>development of AI-driven simulators that can</w:t>
      </w:r>
      <w:r w:rsidR="00DF1B76" w:rsidRPr="00A225B7">
        <w:t xml:space="preserve"> improve</w:t>
      </w:r>
      <w:r w:rsidR="00CA5965" w:rsidRPr="00A225B7">
        <w:t xml:space="preserve"> the design of personalized food solutions</w:t>
      </w:r>
      <w:r w:rsidR="005F3FE8">
        <w:t xml:space="preserve"> for people with swallowing impairments</w:t>
      </w:r>
      <w:r w:rsidR="00CA5965" w:rsidRPr="00A225B7">
        <w:t>.</w:t>
      </w:r>
    </w:p>
    <w:p w14:paraId="6E810982" w14:textId="77777777" w:rsidR="006164FA" w:rsidRPr="00A225B7" w:rsidRDefault="006164FA" w:rsidP="00796715">
      <w:pPr>
        <w:pStyle w:val="CETBodytext"/>
      </w:pPr>
    </w:p>
    <w:p w14:paraId="6BDA40BC" w14:textId="451C8851" w:rsidR="001544B9" w:rsidRDefault="00E678BB" w:rsidP="00796715">
      <w:pPr>
        <w:pStyle w:val="CETBodytext"/>
      </w:pPr>
      <w:r w:rsidRPr="00A225B7">
        <w:t>I</w:t>
      </w:r>
      <w:r w:rsidR="00604A90" w:rsidRPr="00A225B7">
        <w:t xml:space="preserve">t is clear that healthcare providers may not yet be familiar with the new indices introduced in this study. Further fundamental research is required to align these indices with IDDSI standards. </w:t>
      </w:r>
      <w:r w:rsidRPr="00A225B7">
        <w:t xml:space="preserve">Choosing foods and drinks at specific IDDSI levels can help alleviate symptoms for individuals with swallowing difficulties. </w:t>
      </w:r>
      <w:r w:rsidR="00604A90" w:rsidRPr="00A225B7">
        <w:t>Collaborating with healthcare professionals trained in IDDSI and dysphagia management is a key objective of this research.</w:t>
      </w:r>
    </w:p>
    <w:p w14:paraId="2A0DB437" w14:textId="77777777" w:rsidR="003223AC" w:rsidRPr="00A225B7" w:rsidRDefault="003223AC" w:rsidP="00796715">
      <w:pPr>
        <w:pStyle w:val="CETBodytext"/>
      </w:pPr>
    </w:p>
    <w:p w14:paraId="459D05E6" w14:textId="77777777" w:rsidR="00600535" w:rsidRPr="00A225B7" w:rsidRDefault="00600535" w:rsidP="00796715">
      <w:pPr>
        <w:pStyle w:val="CETAcknowledgementstitle"/>
        <w:jc w:val="both"/>
        <w:rPr>
          <w:lang w:val="en-US"/>
        </w:rPr>
      </w:pPr>
      <w:r w:rsidRPr="00A225B7">
        <w:rPr>
          <w:lang w:val="en-US"/>
        </w:rPr>
        <w:t>Acknowledgments</w:t>
      </w:r>
    </w:p>
    <w:p w14:paraId="24876D8A" w14:textId="3C4F9FD1" w:rsidR="00C24AF1" w:rsidRPr="00C5600B" w:rsidRDefault="00E92818" w:rsidP="00796715">
      <w:pPr>
        <w:pStyle w:val="CETBodytext"/>
      </w:pPr>
      <w:r w:rsidRPr="00C5600B">
        <w:t>The study was funded under the National Recovery and Resilience Plan (NRRP), Mission 4 Component 2 Investment 1.3-Call for proposals No. 341 of 15 March 2022 of Italian Ministry of University and Research funded by the European Union-NextGenerationEU, Award Number: Project code PE00000003, Concession Decree No. 1550 of 11 October 2022 adopted by the Italian Ministry of University and Research, CUP D93C22000890001, Project title “ON Foods-Research and innovation network on food and nutrition Sustainability, Safety and Security-Working ON Foods”.</w:t>
      </w:r>
    </w:p>
    <w:p w14:paraId="4F1327F8" w14:textId="77777777" w:rsidR="00600535" w:rsidRPr="00983400" w:rsidRDefault="00600535" w:rsidP="00796715">
      <w:pPr>
        <w:pStyle w:val="CETReference"/>
        <w:jc w:val="both"/>
        <w:rPr>
          <w:lang w:val="it-IT"/>
        </w:rPr>
      </w:pPr>
      <w:proofErr w:type="spellStart"/>
      <w:r w:rsidRPr="00983400">
        <w:rPr>
          <w:lang w:val="it-IT"/>
        </w:rPr>
        <w:t>References</w:t>
      </w:r>
      <w:proofErr w:type="spellEnd"/>
    </w:p>
    <w:p w14:paraId="28320D79" w14:textId="77777777" w:rsidR="00BB7DCC" w:rsidRPr="00A225B7" w:rsidRDefault="001E5AEC" w:rsidP="00796715">
      <w:pPr>
        <w:pStyle w:val="CETReferencetext"/>
        <w:rPr>
          <w:color w:val="000000" w:themeColor="text1"/>
          <w:lang w:val="en-US"/>
        </w:rPr>
      </w:pPr>
      <w:r w:rsidRPr="00247F6B">
        <w:rPr>
          <w:color w:val="000000" w:themeColor="text1"/>
          <w:lang w:val="it-IT"/>
        </w:rPr>
        <w:t>Ascrizzi G.I., Martini D., Piazza L.</w:t>
      </w:r>
      <w:r w:rsidR="00017B8E" w:rsidRPr="00247F6B">
        <w:rPr>
          <w:color w:val="000000" w:themeColor="text1"/>
          <w:lang w:val="it-IT"/>
        </w:rPr>
        <w:t xml:space="preserve"> 2024</w:t>
      </w:r>
      <w:r w:rsidR="00FD454D" w:rsidRPr="00247F6B">
        <w:rPr>
          <w:color w:val="000000" w:themeColor="text1"/>
          <w:lang w:val="it-IT"/>
        </w:rPr>
        <w:t>.</w:t>
      </w:r>
      <w:r w:rsidR="00017B8E" w:rsidRPr="00247F6B">
        <w:rPr>
          <w:color w:val="000000" w:themeColor="text1"/>
          <w:lang w:val="it-IT"/>
        </w:rPr>
        <w:t xml:space="preserve"> </w:t>
      </w:r>
      <w:r w:rsidR="00AE58E8" w:rsidRPr="00A225B7">
        <w:rPr>
          <w:color w:val="000000" w:themeColor="text1"/>
          <w:lang w:val="en-US"/>
        </w:rPr>
        <w:t>Nutritional quality of dysphagia-oriented products sold on the Italian market</w:t>
      </w:r>
      <w:r w:rsidR="004F38C4" w:rsidRPr="00A225B7">
        <w:rPr>
          <w:color w:val="000000" w:themeColor="text1"/>
          <w:lang w:val="en-US"/>
        </w:rPr>
        <w:t>.</w:t>
      </w:r>
      <w:r w:rsidR="00106B3D" w:rsidRPr="00A225B7">
        <w:rPr>
          <w:color w:val="000000" w:themeColor="text1"/>
          <w:lang w:val="en-US"/>
        </w:rPr>
        <w:t xml:space="preserve"> Frontiers in Nutrition, 11</w:t>
      </w:r>
      <w:r w:rsidR="00A93932" w:rsidRPr="00A225B7">
        <w:rPr>
          <w:color w:val="000000" w:themeColor="text1"/>
          <w:lang w:val="en-US"/>
        </w:rPr>
        <w:t>:1425878.</w:t>
      </w:r>
    </w:p>
    <w:p w14:paraId="12E11418" w14:textId="247653AD" w:rsidR="009F3734" w:rsidRPr="00A225B7" w:rsidRDefault="00BB7DCC" w:rsidP="0083406A">
      <w:pPr>
        <w:pStyle w:val="CETReferencetext"/>
        <w:rPr>
          <w:lang w:val="en-US"/>
        </w:rPr>
      </w:pPr>
      <w:r w:rsidRPr="00A225B7">
        <w:rPr>
          <w:lang w:val="en-US"/>
        </w:rPr>
        <w:t>Bassi da Silva J., de Souza Ferreira S.B., de Freitas O., Bruschi M.L. 2017. A critical review about methodologies for the analysis of mucoadhesive properties of drug delivery systems. Drug Development and Industrial Pharma</w:t>
      </w:r>
      <w:r w:rsidR="00FA6191" w:rsidRPr="00A225B7">
        <w:rPr>
          <w:lang w:val="en-US"/>
        </w:rPr>
        <w:t>,</w:t>
      </w:r>
      <w:r w:rsidRPr="00A225B7">
        <w:rPr>
          <w:lang w:val="en-US"/>
        </w:rPr>
        <w:t xml:space="preserve"> </w:t>
      </w:r>
      <w:r w:rsidR="0047321F" w:rsidRPr="00A225B7">
        <w:rPr>
          <w:lang w:val="en-US"/>
        </w:rPr>
        <w:t>43(7)</w:t>
      </w:r>
      <w:r w:rsidRPr="00A225B7">
        <w:rPr>
          <w:lang w:val="en-US"/>
        </w:rPr>
        <w:t>, 1</w:t>
      </w:r>
      <w:r w:rsidR="0047321F" w:rsidRPr="00A225B7">
        <w:rPr>
          <w:lang w:val="en-US"/>
        </w:rPr>
        <w:t>053</w:t>
      </w:r>
      <w:r w:rsidR="00FA6191" w:rsidRPr="00A225B7">
        <w:rPr>
          <w:lang w:val="en-US"/>
        </w:rPr>
        <w:t>-</w:t>
      </w:r>
      <w:r w:rsidR="0047321F" w:rsidRPr="00A225B7">
        <w:rPr>
          <w:lang w:val="en-US"/>
        </w:rPr>
        <w:t>10</w:t>
      </w:r>
      <w:r w:rsidRPr="00A225B7">
        <w:rPr>
          <w:lang w:val="en-US"/>
        </w:rPr>
        <w:t>7</w:t>
      </w:r>
      <w:r w:rsidR="0047321F" w:rsidRPr="00A225B7">
        <w:rPr>
          <w:lang w:val="en-US"/>
        </w:rPr>
        <w:t>0</w:t>
      </w:r>
      <w:r w:rsidRPr="00A225B7">
        <w:rPr>
          <w:lang w:val="en-US"/>
        </w:rPr>
        <w:t>.</w:t>
      </w:r>
    </w:p>
    <w:p w14:paraId="1F87F31F" w14:textId="590F8BB1" w:rsidR="005662D8" w:rsidRPr="00A225B7" w:rsidRDefault="00CC3294" w:rsidP="002112D4">
      <w:pPr>
        <w:pStyle w:val="CETReferencetext"/>
        <w:rPr>
          <w:lang w:val="en-US"/>
        </w:rPr>
      </w:pPr>
      <w:r w:rsidRPr="00A225B7">
        <w:rPr>
          <w:lang w:val="en-US"/>
        </w:rPr>
        <w:t xml:space="preserve">Bolivar-Prados M., Tomsen N., Hayakawa Y., Kawakami S., Miyaji K., </w:t>
      </w:r>
      <w:proofErr w:type="spellStart"/>
      <w:r w:rsidRPr="00A225B7">
        <w:rPr>
          <w:lang w:val="en-US"/>
        </w:rPr>
        <w:t>Kayashita</w:t>
      </w:r>
      <w:proofErr w:type="spellEnd"/>
      <w:r w:rsidRPr="00A225B7">
        <w:rPr>
          <w:lang w:val="en-US"/>
        </w:rPr>
        <w:t xml:space="preserve"> J., </w:t>
      </w:r>
      <w:proofErr w:type="spellStart"/>
      <w:r w:rsidRPr="00A225B7">
        <w:rPr>
          <w:lang w:val="en-US"/>
        </w:rPr>
        <w:t>Clavé</w:t>
      </w:r>
      <w:proofErr w:type="spellEnd"/>
      <w:r w:rsidRPr="00A225B7">
        <w:rPr>
          <w:lang w:val="en-US"/>
        </w:rPr>
        <w:t xml:space="preserve"> P</w:t>
      </w:r>
      <w:r w:rsidR="004F38C4" w:rsidRPr="00A225B7">
        <w:rPr>
          <w:lang w:val="en-US"/>
        </w:rPr>
        <w:t>.</w:t>
      </w:r>
      <w:r w:rsidRPr="00A225B7">
        <w:rPr>
          <w:lang w:val="en-US"/>
        </w:rPr>
        <w:t xml:space="preserve"> 2022</w:t>
      </w:r>
      <w:r w:rsidR="00FD454D" w:rsidRPr="00A225B7">
        <w:rPr>
          <w:lang w:val="en-US"/>
        </w:rPr>
        <w:t>.</w:t>
      </w:r>
      <w:r w:rsidRPr="00A225B7">
        <w:rPr>
          <w:lang w:val="en-US"/>
        </w:rPr>
        <w:t xml:space="preserve"> Proposal for a Standard Protocol to Assess the Rheological Behavior of Thickening Products for Oropharyngeal Dysphagia</w:t>
      </w:r>
      <w:r w:rsidR="004F38C4" w:rsidRPr="00A225B7">
        <w:rPr>
          <w:lang w:val="en-US"/>
        </w:rPr>
        <w:t>.</w:t>
      </w:r>
      <w:r w:rsidRPr="00A225B7">
        <w:rPr>
          <w:lang w:val="en-US"/>
        </w:rPr>
        <w:t xml:space="preserve"> Nutrients, 14</w:t>
      </w:r>
      <w:r w:rsidR="00486D4B" w:rsidRPr="00A225B7">
        <w:rPr>
          <w:lang w:val="en-US"/>
        </w:rPr>
        <w:t>(</w:t>
      </w:r>
      <w:r w:rsidRPr="00A225B7">
        <w:rPr>
          <w:lang w:val="en-US"/>
        </w:rPr>
        <w:t>23</w:t>
      </w:r>
      <w:r w:rsidR="00486D4B" w:rsidRPr="00A225B7">
        <w:rPr>
          <w:lang w:val="en-US"/>
        </w:rPr>
        <w:t xml:space="preserve">), </w:t>
      </w:r>
      <w:r w:rsidRPr="00A225B7">
        <w:rPr>
          <w:lang w:val="en-US"/>
        </w:rPr>
        <w:t>5028</w:t>
      </w:r>
      <w:r w:rsidR="002112D4" w:rsidRPr="00A225B7">
        <w:rPr>
          <w:lang w:val="en-US"/>
        </w:rPr>
        <w:t>.</w:t>
      </w:r>
    </w:p>
    <w:p w14:paraId="54375019" w14:textId="1E9E17E3" w:rsidR="00EC0E57" w:rsidRPr="00247F6B" w:rsidRDefault="00EC0E57" w:rsidP="00796715">
      <w:pPr>
        <w:pStyle w:val="CETReferencetext"/>
        <w:rPr>
          <w:lang w:val="es-EC"/>
        </w:rPr>
      </w:pPr>
      <w:r w:rsidRPr="00A225B7">
        <w:rPr>
          <w:lang w:val="en-US"/>
        </w:rPr>
        <w:t xml:space="preserve">Cook S.L., Bull S.P., Methven L., Parker J.K., </w:t>
      </w:r>
      <w:proofErr w:type="spellStart"/>
      <w:r w:rsidRPr="00A225B7">
        <w:rPr>
          <w:lang w:val="en-US"/>
        </w:rPr>
        <w:t>Khutoryanskiy</w:t>
      </w:r>
      <w:proofErr w:type="spellEnd"/>
      <w:r w:rsidRPr="00A225B7">
        <w:rPr>
          <w:lang w:val="en-US"/>
        </w:rPr>
        <w:t xml:space="preserve"> V.V. 2017. </w:t>
      </w:r>
      <w:r w:rsidRPr="00247F6B">
        <w:rPr>
          <w:lang w:val="es-EC"/>
        </w:rPr>
        <w:t xml:space="preserve">Mucoadhesion: A </w:t>
      </w:r>
      <w:proofErr w:type="spellStart"/>
      <w:r w:rsidRPr="00247F6B">
        <w:rPr>
          <w:lang w:val="es-EC"/>
        </w:rPr>
        <w:t>food</w:t>
      </w:r>
      <w:proofErr w:type="spellEnd"/>
      <w:r w:rsidRPr="00247F6B">
        <w:rPr>
          <w:lang w:val="es-EC"/>
        </w:rPr>
        <w:t xml:space="preserve"> </w:t>
      </w:r>
      <w:proofErr w:type="spellStart"/>
      <w:r w:rsidRPr="00247F6B">
        <w:rPr>
          <w:lang w:val="es-EC"/>
        </w:rPr>
        <w:t>perspective</w:t>
      </w:r>
      <w:proofErr w:type="spellEnd"/>
      <w:r w:rsidRPr="00247F6B">
        <w:rPr>
          <w:lang w:val="es-EC"/>
        </w:rPr>
        <w:t xml:space="preserve">. Food </w:t>
      </w:r>
      <w:proofErr w:type="spellStart"/>
      <w:r w:rsidRPr="00247F6B">
        <w:rPr>
          <w:lang w:val="es-EC"/>
        </w:rPr>
        <w:t>Hydrocolloids</w:t>
      </w:r>
      <w:proofErr w:type="spellEnd"/>
      <w:r w:rsidRPr="00247F6B">
        <w:rPr>
          <w:lang w:val="es-EC"/>
        </w:rPr>
        <w:t>, 72, 281-296.</w:t>
      </w:r>
    </w:p>
    <w:p w14:paraId="73B0ED81" w14:textId="7A0322F6" w:rsidR="00FC7A06" w:rsidRPr="00A225B7" w:rsidRDefault="00FC7A06" w:rsidP="00796715">
      <w:pPr>
        <w:pStyle w:val="CETReferencetext"/>
        <w:rPr>
          <w:lang w:val="en-US"/>
        </w:rPr>
      </w:pPr>
      <w:r w:rsidRPr="00247F6B">
        <w:rPr>
          <w:lang w:val="es-EC"/>
        </w:rPr>
        <w:t xml:space="preserve">Gallegos C., Brito-de la Fuente E., Clavé P., Costa A., </w:t>
      </w:r>
      <w:proofErr w:type="spellStart"/>
      <w:r w:rsidRPr="00247F6B">
        <w:rPr>
          <w:lang w:val="es-EC"/>
        </w:rPr>
        <w:t>Assegehegn</w:t>
      </w:r>
      <w:proofErr w:type="spellEnd"/>
      <w:r w:rsidRPr="00247F6B">
        <w:rPr>
          <w:lang w:val="es-EC"/>
        </w:rPr>
        <w:t xml:space="preserve"> G. 2017. </w:t>
      </w:r>
      <w:r w:rsidRPr="00A225B7">
        <w:rPr>
          <w:lang w:val="en-US"/>
        </w:rPr>
        <w:t>Nutritional Aspects of Dysphagia Management. Advances in Food and Nutrition Research, 81, 271-318.</w:t>
      </w:r>
    </w:p>
    <w:p w14:paraId="78CD6029" w14:textId="3FEA2A8F" w:rsidR="00A4062E" w:rsidRPr="00A225B7" w:rsidRDefault="00A4062E" w:rsidP="00796715">
      <w:pPr>
        <w:pStyle w:val="CETReferencetext"/>
        <w:rPr>
          <w:lang w:val="en-US"/>
        </w:rPr>
      </w:pPr>
      <w:r w:rsidRPr="00247F6B">
        <w:rPr>
          <w:lang w:val="es-EC"/>
        </w:rPr>
        <w:t xml:space="preserve">Giura L., Urtasun L., Belarra A., Ansorena D., </w:t>
      </w:r>
      <w:proofErr w:type="spellStart"/>
      <w:r w:rsidRPr="00247F6B">
        <w:rPr>
          <w:lang w:val="es-EC"/>
        </w:rPr>
        <w:t>Astiasarán</w:t>
      </w:r>
      <w:proofErr w:type="spellEnd"/>
      <w:r w:rsidRPr="00247F6B">
        <w:rPr>
          <w:lang w:val="es-EC"/>
        </w:rPr>
        <w:t xml:space="preserve"> I. 2021. </w:t>
      </w:r>
      <w:r w:rsidRPr="00A225B7">
        <w:rPr>
          <w:lang w:val="en-US"/>
        </w:rPr>
        <w:t>Exploring tools for designing dysphagia-friendly foods: A review. Foods, 10(6), 1334.</w:t>
      </w:r>
    </w:p>
    <w:p w14:paraId="553ED7C9" w14:textId="77777777" w:rsidR="00D35CB6" w:rsidRPr="00A225B7" w:rsidRDefault="00184791" w:rsidP="00796715">
      <w:pPr>
        <w:pStyle w:val="CETReferencetext"/>
        <w:rPr>
          <w:lang w:val="en-US"/>
        </w:rPr>
      </w:pPr>
      <w:r w:rsidRPr="00A225B7">
        <w:rPr>
          <w:lang w:val="en-US"/>
        </w:rPr>
        <w:t xml:space="preserve">Ross A.I.V., Tyler P., </w:t>
      </w:r>
      <w:proofErr w:type="spellStart"/>
      <w:r w:rsidRPr="00A225B7">
        <w:rPr>
          <w:lang w:val="en-US"/>
        </w:rPr>
        <w:t>Borgognone</w:t>
      </w:r>
      <w:proofErr w:type="spellEnd"/>
      <w:r w:rsidRPr="00A225B7">
        <w:rPr>
          <w:lang w:val="en-US"/>
        </w:rPr>
        <w:t xml:space="preserve"> M.G., Eriksen B.M. 2019</w:t>
      </w:r>
      <w:r w:rsidR="00FD454D" w:rsidRPr="00A225B7">
        <w:rPr>
          <w:lang w:val="en-US"/>
        </w:rPr>
        <w:t>.</w:t>
      </w:r>
      <w:r w:rsidRPr="00A225B7">
        <w:rPr>
          <w:lang w:val="en-US"/>
        </w:rPr>
        <w:t xml:space="preserve"> Relationships between shear rheology and sensory attributes of hydrocolloid-thickened fluids designed to compensate for impairments in oral manipulation and swallowing</w:t>
      </w:r>
      <w:r w:rsidR="004F38C4" w:rsidRPr="00A225B7">
        <w:rPr>
          <w:lang w:val="en-US"/>
        </w:rPr>
        <w:t>.</w:t>
      </w:r>
      <w:r w:rsidRPr="00A225B7">
        <w:rPr>
          <w:lang w:val="en-US"/>
        </w:rPr>
        <w:t xml:space="preserve"> Journal of Food Engineering, 263, 123</w:t>
      </w:r>
      <w:r w:rsidR="004441AA" w:rsidRPr="00A225B7">
        <w:rPr>
          <w:lang w:val="en-US"/>
        </w:rPr>
        <w:t>-</w:t>
      </w:r>
      <w:r w:rsidRPr="00A225B7">
        <w:rPr>
          <w:lang w:val="en-US"/>
        </w:rPr>
        <w:t>131</w:t>
      </w:r>
      <w:r w:rsidR="00932A27" w:rsidRPr="00A225B7">
        <w:rPr>
          <w:lang w:val="en-US"/>
        </w:rPr>
        <w:t>.</w:t>
      </w:r>
    </w:p>
    <w:p w14:paraId="314DF844" w14:textId="0F27ABA1" w:rsidR="00D17943" w:rsidRPr="00A225B7" w:rsidRDefault="00D17943" w:rsidP="00796715">
      <w:pPr>
        <w:pStyle w:val="CETReferencetext"/>
        <w:rPr>
          <w:lang w:val="en-US"/>
        </w:rPr>
      </w:pPr>
      <w:r w:rsidRPr="00A225B7">
        <w:rPr>
          <w:lang w:val="en-US"/>
        </w:rPr>
        <w:t>Tobin A.</w:t>
      </w:r>
      <w:r w:rsidR="00BB7A8E" w:rsidRPr="00A225B7">
        <w:rPr>
          <w:lang w:val="en-US"/>
        </w:rPr>
        <w:t>B.</w:t>
      </w:r>
      <w:r w:rsidRPr="00A225B7">
        <w:rPr>
          <w:lang w:val="en-US"/>
        </w:rPr>
        <w:t xml:space="preserve">, Mihnea M., Hildenbrand M., Miljkovic A., Garrido-Bañuelos G., </w:t>
      </w:r>
      <w:proofErr w:type="spellStart"/>
      <w:r w:rsidRPr="00A225B7">
        <w:rPr>
          <w:lang w:val="en-US"/>
        </w:rPr>
        <w:t>Xanthakis</w:t>
      </w:r>
      <w:proofErr w:type="spellEnd"/>
      <w:r w:rsidRPr="00A225B7">
        <w:rPr>
          <w:lang w:val="en-US"/>
        </w:rPr>
        <w:t xml:space="preserve"> E., Lopez-Sanchez P. 2020. Bolus rheology and ease of swallowing of particulated semi-solid foods as evaluated by an elderly panel. Food &amp;</w:t>
      </w:r>
      <w:r w:rsidR="00F63BF7" w:rsidRPr="00A225B7">
        <w:rPr>
          <w:lang w:val="en-US"/>
        </w:rPr>
        <w:t xml:space="preserve"> </w:t>
      </w:r>
      <w:r w:rsidRPr="00A225B7">
        <w:rPr>
          <w:lang w:val="en-US"/>
        </w:rPr>
        <w:t>Functio</w:t>
      </w:r>
      <w:r w:rsidR="00F63BF7" w:rsidRPr="00A225B7">
        <w:rPr>
          <w:lang w:val="en-US"/>
        </w:rPr>
        <w:t xml:space="preserve">n, </w:t>
      </w:r>
      <w:r w:rsidRPr="00A225B7">
        <w:rPr>
          <w:lang w:val="en-US"/>
        </w:rPr>
        <w:t>11</w:t>
      </w:r>
      <w:r w:rsidR="00F63BF7" w:rsidRPr="00A225B7">
        <w:rPr>
          <w:lang w:val="en-US"/>
        </w:rPr>
        <w:t>(</w:t>
      </w:r>
      <w:r w:rsidRPr="00A225B7">
        <w:rPr>
          <w:lang w:val="en-US"/>
        </w:rPr>
        <w:t>10</w:t>
      </w:r>
      <w:r w:rsidR="00F63BF7" w:rsidRPr="00A225B7">
        <w:rPr>
          <w:lang w:val="en-US"/>
        </w:rPr>
        <w:t>),</w:t>
      </w:r>
      <w:r w:rsidRPr="00A225B7">
        <w:rPr>
          <w:lang w:val="en-US"/>
        </w:rPr>
        <w:t xml:space="preserve"> 8648</w:t>
      </w:r>
      <w:r w:rsidR="00F63BF7" w:rsidRPr="00A225B7">
        <w:rPr>
          <w:lang w:val="en-US"/>
        </w:rPr>
        <w:t>-</w:t>
      </w:r>
      <w:r w:rsidRPr="00A225B7">
        <w:rPr>
          <w:lang w:val="en-US"/>
        </w:rPr>
        <w:t>8658</w:t>
      </w:r>
      <w:r w:rsidR="00F63BF7" w:rsidRPr="00A225B7">
        <w:rPr>
          <w:lang w:val="en-US"/>
        </w:rPr>
        <w:t>.</w:t>
      </w:r>
    </w:p>
    <w:p w14:paraId="45AE2D28" w14:textId="69225C11" w:rsidR="00CA0D80" w:rsidRPr="00A225B7" w:rsidRDefault="00D35CB6" w:rsidP="00CA0D80">
      <w:pPr>
        <w:pStyle w:val="CETReferencetext"/>
        <w:rPr>
          <w:lang w:val="en-US"/>
        </w:rPr>
      </w:pPr>
      <w:r w:rsidRPr="00A225B7">
        <w:rPr>
          <w:lang w:val="en-US"/>
        </w:rPr>
        <w:t xml:space="preserve">Tobyn M., Johnson J. R., Gibson, S. 1994. Use of a TA.XT2 Texture </w:t>
      </w:r>
      <w:proofErr w:type="spellStart"/>
      <w:r w:rsidRPr="00A225B7">
        <w:rPr>
          <w:lang w:val="en-US"/>
        </w:rPr>
        <w:t>Analyser</w:t>
      </w:r>
      <w:proofErr w:type="spellEnd"/>
      <w:r w:rsidRPr="00A225B7">
        <w:rPr>
          <w:lang w:val="en-US"/>
        </w:rPr>
        <w:t xml:space="preserve"> in Mucoadhesive Research. International Labmate, 17</w:t>
      </w:r>
      <w:r w:rsidR="00486D4B" w:rsidRPr="00A225B7">
        <w:rPr>
          <w:lang w:val="en-US"/>
        </w:rPr>
        <w:t>(</w:t>
      </w:r>
      <w:r w:rsidRPr="00A225B7">
        <w:rPr>
          <w:lang w:val="en-US"/>
        </w:rPr>
        <w:t>6</w:t>
      </w:r>
      <w:r w:rsidR="00486D4B" w:rsidRPr="00A225B7">
        <w:rPr>
          <w:lang w:val="en-US"/>
        </w:rPr>
        <w:t>)</w:t>
      </w:r>
      <w:r w:rsidRPr="00A225B7">
        <w:rPr>
          <w:lang w:val="en-US"/>
        </w:rPr>
        <w:t xml:space="preserve">, </w:t>
      </w:r>
      <w:r w:rsidR="00A055EF" w:rsidRPr="00A225B7">
        <w:rPr>
          <w:lang w:val="en-US"/>
        </w:rPr>
        <w:t>35-37.</w:t>
      </w:r>
    </w:p>
    <w:sectPr w:rsidR="00CA0D80" w:rsidRPr="00A225B7" w:rsidSect="00A714EF">
      <w:type w:val="continuous"/>
      <w:pgSz w:w="11906" w:h="16838" w:code="9"/>
      <w:pgMar w:top="1701" w:right="1418" w:bottom="1701" w:left="1701" w:header="1701" w:footer="0" w:gutter="0"/>
      <w:cols w:space="708"/>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8FE19D" w14:textId="77777777" w:rsidR="007641CB" w:rsidRDefault="007641CB" w:rsidP="004F5E36">
      <w:r>
        <w:separator/>
      </w:r>
    </w:p>
  </w:endnote>
  <w:endnote w:type="continuationSeparator" w:id="0">
    <w:p w14:paraId="3B862E60" w14:textId="77777777" w:rsidR="007641CB" w:rsidRDefault="007641CB" w:rsidP="004F5E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dvP6960">
    <w:altName w:val="Cambria"/>
    <w:panose1 w:val="00000000000000000000"/>
    <w:charset w:val="4D"/>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75BDC5" w14:textId="77777777" w:rsidR="007641CB" w:rsidRDefault="007641CB" w:rsidP="004F5E36">
      <w:r>
        <w:separator/>
      </w:r>
    </w:p>
  </w:footnote>
  <w:footnote w:type="continuationSeparator" w:id="0">
    <w:p w14:paraId="3D21FD9B" w14:textId="77777777" w:rsidR="007641CB" w:rsidRDefault="007641CB" w:rsidP="004F5E3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558AF15E"/>
    <w:lvl w:ilvl="0">
      <w:start w:val="1"/>
      <w:numFmt w:val="decimal"/>
      <w:pStyle w:val="Numeroelenco5"/>
      <w:lvlText w:val="%1."/>
      <w:lvlJc w:val="left"/>
      <w:pPr>
        <w:tabs>
          <w:tab w:val="num" w:pos="1492"/>
        </w:tabs>
        <w:ind w:left="1492" w:hanging="360"/>
      </w:pPr>
    </w:lvl>
  </w:abstractNum>
  <w:abstractNum w:abstractNumId="1" w15:restartNumberingAfterBreak="0">
    <w:nsid w:val="FFFFFF7D"/>
    <w:multiLevelType w:val="singleLevel"/>
    <w:tmpl w:val="65EC884E"/>
    <w:lvl w:ilvl="0">
      <w:start w:val="1"/>
      <w:numFmt w:val="decimal"/>
      <w:pStyle w:val="Numeroelenco4"/>
      <w:lvlText w:val="%1."/>
      <w:lvlJc w:val="left"/>
      <w:pPr>
        <w:tabs>
          <w:tab w:val="num" w:pos="1209"/>
        </w:tabs>
        <w:ind w:left="1209" w:hanging="360"/>
      </w:pPr>
    </w:lvl>
  </w:abstractNum>
  <w:abstractNum w:abstractNumId="2" w15:restartNumberingAfterBreak="0">
    <w:nsid w:val="FFFFFF7E"/>
    <w:multiLevelType w:val="singleLevel"/>
    <w:tmpl w:val="408CBE96"/>
    <w:lvl w:ilvl="0">
      <w:start w:val="1"/>
      <w:numFmt w:val="decimal"/>
      <w:pStyle w:val="Numeroelenco3"/>
      <w:lvlText w:val="%1."/>
      <w:lvlJc w:val="left"/>
      <w:pPr>
        <w:tabs>
          <w:tab w:val="num" w:pos="926"/>
        </w:tabs>
        <w:ind w:left="926" w:hanging="360"/>
      </w:pPr>
    </w:lvl>
  </w:abstractNum>
  <w:abstractNum w:abstractNumId="3" w15:restartNumberingAfterBreak="0">
    <w:nsid w:val="FFFFFF7F"/>
    <w:multiLevelType w:val="singleLevel"/>
    <w:tmpl w:val="CFC0B388"/>
    <w:lvl w:ilvl="0">
      <w:start w:val="1"/>
      <w:numFmt w:val="decimal"/>
      <w:pStyle w:val="Numeroelenco2"/>
      <w:lvlText w:val="%1."/>
      <w:lvlJc w:val="left"/>
      <w:pPr>
        <w:tabs>
          <w:tab w:val="num" w:pos="643"/>
        </w:tabs>
        <w:ind w:left="643" w:hanging="360"/>
      </w:pPr>
    </w:lvl>
  </w:abstractNum>
  <w:abstractNum w:abstractNumId="4" w15:restartNumberingAfterBreak="0">
    <w:nsid w:val="FFFFFF80"/>
    <w:multiLevelType w:val="singleLevel"/>
    <w:tmpl w:val="CA34EB48"/>
    <w:lvl w:ilvl="0">
      <w:start w:val="1"/>
      <w:numFmt w:val="bullet"/>
      <w:pStyle w:val="Puntoelenco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5C6BD6"/>
    <w:lvl w:ilvl="0">
      <w:start w:val="1"/>
      <w:numFmt w:val="bullet"/>
      <w:pStyle w:val="Puntoelenco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587A9968"/>
    <w:lvl w:ilvl="0">
      <w:start w:val="1"/>
      <w:numFmt w:val="bullet"/>
      <w:pStyle w:val="Puntoelenco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ED27934"/>
    <w:lvl w:ilvl="0">
      <w:start w:val="1"/>
      <w:numFmt w:val="bullet"/>
      <w:pStyle w:val="Puntoelenco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5F4206A"/>
    <w:lvl w:ilvl="0">
      <w:start w:val="1"/>
      <w:numFmt w:val="decimal"/>
      <w:pStyle w:val="Numeroelenco"/>
      <w:lvlText w:val="%1."/>
      <w:lvlJc w:val="left"/>
      <w:pPr>
        <w:tabs>
          <w:tab w:val="num" w:pos="360"/>
        </w:tabs>
        <w:ind w:left="360" w:hanging="360"/>
      </w:pPr>
    </w:lvl>
  </w:abstractNum>
  <w:abstractNum w:abstractNumId="9" w15:restartNumberingAfterBreak="0">
    <w:nsid w:val="FFFFFF89"/>
    <w:multiLevelType w:val="singleLevel"/>
    <w:tmpl w:val="206ACE1A"/>
    <w:lvl w:ilvl="0">
      <w:start w:val="1"/>
      <w:numFmt w:val="bullet"/>
      <w:pStyle w:val="Puntoelenco"/>
      <w:lvlText w:val=""/>
      <w:lvlJc w:val="left"/>
      <w:pPr>
        <w:tabs>
          <w:tab w:val="num" w:pos="360"/>
        </w:tabs>
        <w:ind w:left="360" w:hanging="360"/>
      </w:pPr>
      <w:rPr>
        <w:rFonts w:ascii="Symbol" w:hAnsi="Symbol" w:hint="default"/>
      </w:rPr>
    </w:lvl>
  </w:abstractNum>
  <w:abstractNum w:abstractNumId="10" w15:restartNumberingAfterBreak="0">
    <w:nsid w:val="2438217E"/>
    <w:multiLevelType w:val="multilevel"/>
    <w:tmpl w:val="CDEA1C26"/>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pStyle w:val="Tabellasemplice1"/>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1" w15:restartNumberingAfterBreak="0">
    <w:nsid w:val="330B7370"/>
    <w:multiLevelType w:val="hybridMultilevel"/>
    <w:tmpl w:val="12E2AD3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2" w15:restartNumberingAfterBreak="0">
    <w:nsid w:val="351E0394"/>
    <w:multiLevelType w:val="hybridMultilevel"/>
    <w:tmpl w:val="806658E2"/>
    <w:lvl w:ilvl="0" w:tplc="14B0F7A8">
      <w:start w:val="1"/>
      <w:numFmt w:val="bullet"/>
      <w:pStyle w:val="CETnumberingbullets"/>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3" w15:restartNumberingAfterBreak="0">
    <w:nsid w:val="39C329B9"/>
    <w:multiLevelType w:val="hybridMultilevel"/>
    <w:tmpl w:val="A2E6C3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CB100E8"/>
    <w:multiLevelType w:val="hybridMultilevel"/>
    <w:tmpl w:val="6F34C070"/>
    <w:lvl w:ilvl="0" w:tplc="14090011">
      <w:start w:val="1"/>
      <w:numFmt w:val="decimal"/>
      <w:lvlText w:val="%1)"/>
      <w:lvlJc w:val="left"/>
      <w:pPr>
        <w:ind w:left="720" w:hanging="360"/>
      </w:pPr>
      <w:rPr>
        <w:rFonts w:hint="default"/>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15" w15:restartNumberingAfterBreak="0">
    <w:nsid w:val="50A87BA7"/>
    <w:multiLevelType w:val="hybridMultilevel"/>
    <w:tmpl w:val="1F6A8AD4"/>
    <w:lvl w:ilvl="0" w:tplc="14B0F7A8">
      <w:start w:val="1"/>
      <w:numFmt w:val="bullet"/>
      <w:lvlText w:val=""/>
      <w:lvlJc w:val="left"/>
      <w:pPr>
        <w:ind w:left="340" w:hanging="227"/>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6" w15:restartNumberingAfterBreak="0">
    <w:nsid w:val="52217387"/>
    <w:multiLevelType w:val="hybridMultilevel"/>
    <w:tmpl w:val="C2AE185A"/>
    <w:lvl w:ilvl="0" w:tplc="14090011">
      <w:start w:val="1"/>
      <w:numFmt w:val="decimal"/>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7" w15:restartNumberingAfterBreak="0">
    <w:nsid w:val="56205803"/>
    <w:multiLevelType w:val="multilevel"/>
    <w:tmpl w:val="444C89D0"/>
    <w:lvl w:ilvl="0">
      <w:start w:val="1"/>
      <w:numFmt w:val="decimal"/>
      <w:suff w:val="space"/>
      <w:lvlText w:val="Chapter %1"/>
      <w:lvlJc w:val="left"/>
      <w:pPr>
        <w:ind w:left="0" w:firstLine="0"/>
      </w:pPr>
      <w:rPr>
        <w:rFonts w:hint="default"/>
      </w:rPr>
    </w:lvl>
    <w:lvl w:ilvl="1">
      <w:start w:val="1"/>
      <w:numFmt w:val="decimal"/>
      <w:suff w:val="space"/>
      <w:lvlText w:val="%2."/>
      <w:lvlJc w:val="left"/>
      <w:pPr>
        <w:ind w:left="0" w:firstLine="0"/>
      </w:pPr>
      <w:rPr>
        <w:rFonts w:hint="default"/>
      </w:rPr>
    </w:lvl>
    <w:lvl w:ilvl="2">
      <w:start w:val="1"/>
      <w:numFmt w:val="decimal"/>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18" w15:restartNumberingAfterBreak="0">
    <w:nsid w:val="5AD311D0"/>
    <w:multiLevelType w:val="hybridMultilevel"/>
    <w:tmpl w:val="F198FF08"/>
    <w:lvl w:ilvl="0" w:tplc="62EA088C">
      <w:start w:val="1"/>
      <w:numFmt w:val="decimal"/>
      <w:pStyle w:val="CETnumbering1"/>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15:restartNumberingAfterBreak="0">
    <w:nsid w:val="662015B5"/>
    <w:multiLevelType w:val="hybridMultilevel"/>
    <w:tmpl w:val="CCDE094E"/>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0" w15:restartNumberingAfterBreak="0">
    <w:nsid w:val="6865266D"/>
    <w:multiLevelType w:val="hybridMultilevel"/>
    <w:tmpl w:val="F5BE3C4A"/>
    <w:lvl w:ilvl="0" w:tplc="9FC4D28C">
      <w:start w:val="1"/>
      <w:numFmt w:val="lowerLetter"/>
      <w:pStyle w:val="CETnumberinga"/>
      <w:lvlText w:val="%1."/>
      <w:lvlJc w:val="left"/>
      <w:pPr>
        <w:ind w:left="340" w:hanging="227"/>
      </w:pPr>
      <w:rPr>
        <w:rFont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6C136D6F"/>
    <w:multiLevelType w:val="hybridMultilevel"/>
    <w:tmpl w:val="39A27EF2"/>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15:restartNumberingAfterBreak="0">
    <w:nsid w:val="75FC226B"/>
    <w:multiLevelType w:val="hybridMultilevel"/>
    <w:tmpl w:val="1FDCC1C0"/>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16cid:durableId="471141857">
    <w:abstractNumId w:val="10"/>
  </w:num>
  <w:num w:numId="2" w16cid:durableId="889657095">
    <w:abstractNumId w:val="8"/>
  </w:num>
  <w:num w:numId="3" w16cid:durableId="1080298986">
    <w:abstractNumId w:val="3"/>
  </w:num>
  <w:num w:numId="4" w16cid:durableId="525143377">
    <w:abstractNumId w:val="2"/>
  </w:num>
  <w:num w:numId="5" w16cid:durableId="1198661067">
    <w:abstractNumId w:val="1"/>
  </w:num>
  <w:num w:numId="6" w16cid:durableId="305209768">
    <w:abstractNumId w:val="0"/>
  </w:num>
  <w:num w:numId="7" w16cid:durableId="1884900486">
    <w:abstractNumId w:val="9"/>
  </w:num>
  <w:num w:numId="8" w16cid:durableId="1852524770">
    <w:abstractNumId w:val="7"/>
  </w:num>
  <w:num w:numId="9" w16cid:durableId="265116727">
    <w:abstractNumId w:val="6"/>
  </w:num>
  <w:num w:numId="10" w16cid:durableId="138503913">
    <w:abstractNumId w:val="5"/>
  </w:num>
  <w:num w:numId="11" w16cid:durableId="1047946470">
    <w:abstractNumId w:val="4"/>
  </w:num>
  <w:num w:numId="12" w16cid:durableId="582181231">
    <w:abstractNumId w:val="17"/>
  </w:num>
  <w:num w:numId="13" w16cid:durableId="1727607918">
    <w:abstractNumId w:val="12"/>
  </w:num>
  <w:num w:numId="14" w16cid:durableId="1271740432">
    <w:abstractNumId w:val="18"/>
  </w:num>
  <w:num w:numId="15" w16cid:durableId="592519401">
    <w:abstractNumId w:val="20"/>
  </w:num>
  <w:num w:numId="16" w16cid:durableId="1700012424">
    <w:abstractNumId w:val="19"/>
  </w:num>
  <w:num w:numId="17" w16cid:durableId="1338457248">
    <w:abstractNumId w:val="11"/>
  </w:num>
  <w:num w:numId="18" w16cid:durableId="368531768">
    <w:abstractNumId w:val="12"/>
    <w:lvlOverride w:ilvl="0">
      <w:startOverride w:val="1"/>
    </w:lvlOverride>
  </w:num>
  <w:num w:numId="19" w16cid:durableId="327051701">
    <w:abstractNumId w:val="16"/>
  </w:num>
  <w:num w:numId="20" w16cid:durableId="461850381">
    <w:abstractNumId w:val="15"/>
  </w:num>
  <w:num w:numId="21" w16cid:durableId="753549378">
    <w:abstractNumId w:val="14"/>
  </w:num>
  <w:num w:numId="22" w16cid:durableId="1412315074">
    <w:abstractNumId w:val="13"/>
  </w:num>
  <w:num w:numId="23" w16cid:durableId="369039811">
    <w:abstractNumId w:val="22"/>
  </w:num>
  <w:num w:numId="24" w16cid:durableId="126217997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stylePaneFormatFilter w:val="1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0"/>
  <w:documentProtection w:edit="forms" w:enforcement="0"/>
  <w:autoFormatOverride/>
  <w:styleLockTheme/>
  <w:styleLockQFSet/>
  <w:defaultTabStop w:val="708"/>
  <w:hyphenationZone w:val="283"/>
  <w:clickAndTypeStyle w:val="CETBodytext"/>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NTI0NzezsDA3M7MwMTJW0lEKTi0uzszPAymwrAUAugS3IywAAAA="/>
  </w:docVars>
  <w:rsids>
    <w:rsidRoot w:val="000E414A"/>
    <w:rsid w:val="000012AC"/>
    <w:rsid w:val="000027C0"/>
    <w:rsid w:val="000052FB"/>
    <w:rsid w:val="00005A19"/>
    <w:rsid w:val="000117CB"/>
    <w:rsid w:val="00011B0B"/>
    <w:rsid w:val="000125A8"/>
    <w:rsid w:val="00015342"/>
    <w:rsid w:val="00017B8E"/>
    <w:rsid w:val="0003144D"/>
    <w:rsid w:val="0003148D"/>
    <w:rsid w:val="00031EEC"/>
    <w:rsid w:val="00034E5A"/>
    <w:rsid w:val="00051566"/>
    <w:rsid w:val="00054288"/>
    <w:rsid w:val="000562A9"/>
    <w:rsid w:val="00062A9A"/>
    <w:rsid w:val="00065058"/>
    <w:rsid w:val="00066AB5"/>
    <w:rsid w:val="0007765B"/>
    <w:rsid w:val="00086C39"/>
    <w:rsid w:val="00087DB3"/>
    <w:rsid w:val="00092A88"/>
    <w:rsid w:val="000A03B2"/>
    <w:rsid w:val="000C1B85"/>
    <w:rsid w:val="000C3F3D"/>
    <w:rsid w:val="000C486C"/>
    <w:rsid w:val="000C4B06"/>
    <w:rsid w:val="000C4FE8"/>
    <w:rsid w:val="000C671C"/>
    <w:rsid w:val="000D0268"/>
    <w:rsid w:val="000D34BE"/>
    <w:rsid w:val="000D5DB7"/>
    <w:rsid w:val="000D68D4"/>
    <w:rsid w:val="000E102F"/>
    <w:rsid w:val="000E36F1"/>
    <w:rsid w:val="000E3A73"/>
    <w:rsid w:val="000E414A"/>
    <w:rsid w:val="000F093C"/>
    <w:rsid w:val="000F358B"/>
    <w:rsid w:val="000F787B"/>
    <w:rsid w:val="001035E9"/>
    <w:rsid w:val="00106B3D"/>
    <w:rsid w:val="00112634"/>
    <w:rsid w:val="00115CC5"/>
    <w:rsid w:val="0012091F"/>
    <w:rsid w:val="00126BC2"/>
    <w:rsid w:val="001308B6"/>
    <w:rsid w:val="0013121F"/>
    <w:rsid w:val="0013140E"/>
    <w:rsid w:val="00131FE6"/>
    <w:rsid w:val="0013263F"/>
    <w:rsid w:val="001331DF"/>
    <w:rsid w:val="00134DE4"/>
    <w:rsid w:val="00135191"/>
    <w:rsid w:val="0014034D"/>
    <w:rsid w:val="001413A7"/>
    <w:rsid w:val="00144D16"/>
    <w:rsid w:val="00150E59"/>
    <w:rsid w:val="001515E1"/>
    <w:rsid w:val="00152DE3"/>
    <w:rsid w:val="001544B9"/>
    <w:rsid w:val="00161BC7"/>
    <w:rsid w:val="00164CF9"/>
    <w:rsid w:val="00165850"/>
    <w:rsid w:val="001667A6"/>
    <w:rsid w:val="00167FF0"/>
    <w:rsid w:val="00176C54"/>
    <w:rsid w:val="00184791"/>
    <w:rsid w:val="00184AD6"/>
    <w:rsid w:val="001853E5"/>
    <w:rsid w:val="001A1041"/>
    <w:rsid w:val="001A4AF7"/>
    <w:rsid w:val="001B0349"/>
    <w:rsid w:val="001B1E93"/>
    <w:rsid w:val="001B1F5D"/>
    <w:rsid w:val="001B5554"/>
    <w:rsid w:val="001B65C1"/>
    <w:rsid w:val="001C684B"/>
    <w:rsid w:val="001C7449"/>
    <w:rsid w:val="001D09D6"/>
    <w:rsid w:val="001D0CFB"/>
    <w:rsid w:val="001D21AF"/>
    <w:rsid w:val="001D53FC"/>
    <w:rsid w:val="001E040D"/>
    <w:rsid w:val="001E179C"/>
    <w:rsid w:val="001E5612"/>
    <w:rsid w:val="001E5AEC"/>
    <w:rsid w:val="001F364F"/>
    <w:rsid w:val="001F42A5"/>
    <w:rsid w:val="001F74A9"/>
    <w:rsid w:val="001F7B9D"/>
    <w:rsid w:val="001F7F35"/>
    <w:rsid w:val="00201C93"/>
    <w:rsid w:val="00202CFB"/>
    <w:rsid w:val="002112D4"/>
    <w:rsid w:val="00216D51"/>
    <w:rsid w:val="00217116"/>
    <w:rsid w:val="002224B4"/>
    <w:rsid w:val="00223770"/>
    <w:rsid w:val="00236AF1"/>
    <w:rsid w:val="00237B47"/>
    <w:rsid w:val="0024088A"/>
    <w:rsid w:val="00242B73"/>
    <w:rsid w:val="002447EF"/>
    <w:rsid w:val="00246E75"/>
    <w:rsid w:val="00247F6B"/>
    <w:rsid w:val="00251550"/>
    <w:rsid w:val="00253148"/>
    <w:rsid w:val="0026335A"/>
    <w:rsid w:val="00263B05"/>
    <w:rsid w:val="00265EAC"/>
    <w:rsid w:val="002673FD"/>
    <w:rsid w:val="0027221A"/>
    <w:rsid w:val="00275B61"/>
    <w:rsid w:val="00277D77"/>
    <w:rsid w:val="00280FAF"/>
    <w:rsid w:val="00282656"/>
    <w:rsid w:val="00285BBA"/>
    <w:rsid w:val="00293C7D"/>
    <w:rsid w:val="00296B83"/>
    <w:rsid w:val="002A1750"/>
    <w:rsid w:val="002A38C5"/>
    <w:rsid w:val="002A58A1"/>
    <w:rsid w:val="002A64C8"/>
    <w:rsid w:val="002B0B42"/>
    <w:rsid w:val="002B0B57"/>
    <w:rsid w:val="002B1DF8"/>
    <w:rsid w:val="002B4015"/>
    <w:rsid w:val="002B78CE"/>
    <w:rsid w:val="002C0DAD"/>
    <w:rsid w:val="002C1AED"/>
    <w:rsid w:val="002C1BB1"/>
    <w:rsid w:val="002C2FB6"/>
    <w:rsid w:val="002C34BE"/>
    <w:rsid w:val="002C5BB0"/>
    <w:rsid w:val="002C77BE"/>
    <w:rsid w:val="002D12E2"/>
    <w:rsid w:val="002D19E1"/>
    <w:rsid w:val="002D604D"/>
    <w:rsid w:val="002E5FA7"/>
    <w:rsid w:val="002E7A52"/>
    <w:rsid w:val="002F3309"/>
    <w:rsid w:val="002F6548"/>
    <w:rsid w:val="002F6C6A"/>
    <w:rsid w:val="002F712E"/>
    <w:rsid w:val="003008CE"/>
    <w:rsid w:val="003009B7"/>
    <w:rsid w:val="00300E56"/>
    <w:rsid w:val="0030152C"/>
    <w:rsid w:val="0030282A"/>
    <w:rsid w:val="0030469C"/>
    <w:rsid w:val="003067A7"/>
    <w:rsid w:val="003111FB"/>
    <w:rsid w:val="0031262A"/>
    <w:rsid w:val="00313576"/>
    <w:rsid w:val="00313A7A"/>
    <w:rsid w:val="00314E8B"/>
    <w:rsid w:val="003165D5"/>
    <w:rsid w:val="00321CA6"/>
    <w:rsid w:val="003223AC"/>
    <w:rsid w:val="00323763"/>
    <w:rsid w:val="00323C5F"/>
    <w:rsid w:val="003312AE"/>
    <w:rsid w:val="00331FCD"/>
    <w:rsid w:val="00334C09"/>
    <w:rsid w:val="00335506"/>
    <w:rsid w:val="003414A2"/>
    <w:rsid w:val="00351C47"/>
    <w:rsid w:val="00352ACB"/>
    <w:rsid w:val="003542A2"/>
    <w:rsid w:val="003546F2"/>
    <w:rsid w:val="00367E85"/>
    <w:rsid w:val="0037140C"/>
    <w:rsid w:val="003723D4"/>
    <w:rsid w:val="00374F0E"/>
    <w:rsid w:val="00375696"/>
    <w:rsid w:val="00380201"/>
    <w:rsid w:val="00381905"/>
    <w:rsid w:val="003829AC"/>
    <w:rsid w:val="00383B5C"/>
    <w:rsid w:val="00384CC8"/>
    <w:rsid w:val="003871FD"/>
    <w:rsid w:val="0038730E"/>
    <w:rsid w:val="00397387"/>
    <w:rsid w:val="00397E93"/>
    <w:rsid w:val="003A1E30"/>
    <w:rsid w:val="003A279B"/>
    <w:rsid w:val="003A2829"/>
    <w:rsid w:val="003A5EE2"/>
    <w:rsid w:val="003A7436"/>
    <w:rsid w:val="003A7D1C"/>
    <w:rsid w:val="003B1BD6"/>
    <w:rsid w:val="003B304B"/>
    <w:rsid w:val="003B3146"/>
    <w:rsid w:val="003B6223"/>
    <w:rsid w:val="003C32D4"/>
    <w:rsid w:val="003C34DC"/>
    <w:rsid w:val="003C37A5"/>
    <w:rsid w:val="003E2F48"/>
    <w:rsid w:val="003E6C47"/>
    <w:rsid w:val="003F015E"/>
    <w:rsid w:val="003F02D6"/>
    <w:rsid w:val="003F0396"/>
    <w:rsid w:val="003F0679"/>
    <w:rsid w:val="00400414"/>
    <w:rsid w:val="004033A3"/>
    <w:rsid w:val="00405E07"/>
    <w:rsid w:val="004125F5"/>
    <w:rsid w:val="0041446B"/>
    <w:rsid w:val="00414F2A"/>
    <w:rsid w:val="0042232F"/>
    <w:rsid w:val="00431D67"/>
    <w:rsid w:val="00431DB7"/>
    <w:rsid w:val="00432264"/>
    <w:rsid w:val="00440522"/>
    <w:rsid w:val="0044071E"/>
    <w:rsid w:val="004425D8"/>
    <w:rsid w:val="00442B5F"/>
    <w:rsid w:val="0044329C"/>
    <w:rsid w:val="004441AA"/>
    <w:rsid w:val="00445E9E"/>
    <w:rsid w:val="00453E24"/>
    <w:rsid w:val="00457099"/>
    <w:rsid w:val="00457456"/>
    <w:rsid w:val="004577FE"/>
    <w:rsid w:val="00457B9C"/>
    <w:rsid w:val="0046164A"/>
    <w:rsid w:val="004628D2"/>
    <w:rsid w:val="00462DCD"/>
    <w:rsid w:val="004630C1"/>
    <w:rsid w:val="00463E77"/>
    <w:rsid w:val="004648AD"/>
    <w:rsid w:val="00466008"/>
    <w:rsid w:val="004669CE"/>
    <w:rsid w:val="004703A9"/>
    <w:rsid w:val="0047321F"/>
    <w:rsid w:val="004760DE"/>
    <w:rsid w:val="004763A9"/>
    <w:rsid w:val="004763D7"/>
    <w:rsid w:val="00484A4E"/>
    <w:rsid w:val="00486D4B"/>
    <w:rsid w:val="0049065E"/>
    <w:rsid w:val="004A004E"/>
    <w:rsid w:val="004A07EB"/>
    <w:rsid w:val="004A24CF"/>
    <w:rsid w:val="004A6996"/>
    <w:rsid w:val="004A70C0"/>
    <w:rsid w:val="004A7C49"/>
    <w:rsid w:val="004B06DC"/>
    <w:rsid w:val="004B66F5"/>
    <w:rsid w:val="004B6CD1"/>
    <w:rsid w:val="004C0469"/>
    <w:rsid w:val="004C169D"/>
    <w:rsid w:val="004C3D1D"/>
    <w:rsid w:val="004C3D84"/>
    <w:rsid w:val="004C6EFC"/>
    <w:rsid w:val="004C72E0"/>
    <w:rsid w:val="004C7452"/>
    <w:rsid w:val="004C7913"/>
    <w:rsid w:val="004D3C2C"/>
    <w:rsid w:val="004D482F"/>
    <w:rsid w:val="004E300B"/>
    <w:rsid w:val="004E4DD6"/>
    <w:rsid w:val="004F1F18"/>
    <w:rsid w:val="004F3524"/>
    <w:rsid w:val="004F38C4"/>
    <w:rsid w:val="004F3ECF"/>
    <w:rsid w:val="004F40D7"/>
    <w:rsid w:val="004F42EB"/>
    <w:rsid w:val="004F5E36"/>
    <w:rsid w:val="004F7D73"/>
    <w:rsid w:val="0050021A"/>
    <w:rsid w:val="00505533"/>
    <w:rsid w:val="00507B47"/>
    <w:rsid w:val="00507BEF"/>
    <w:rsid w:val="00507CC9"/>
    <w:rsid w:val="005119A5"/>
    <w:rsid w:val="00513527"/>
    <w:rsid w:val="00516A7A"/>
    <w:rsid w:val="005278B7"/>
    <w:rsid w:val="00531110"/>
    <w:rsid w:val="00532016"/>
    <w:rsid w:val="00533B32"/>
    <w:rsid w:val="005346C8"/>
    <w:rsid w:val="00536E32"/>
    <w:rsid w:val="005435EF"/>
    <w:rsid w:val="00543850"/>
    <w:rsid w:val="00543E7D"/>
    <w:rsid w:val="00545DEF"/>
    <w:rsid w:val="00547A68"/>
    <w:rsid w:val="005531C9"/>
    <w:rsid w:val="005549C2"/>
    <w:rsid w:val="00557447"/>
    <w:rsid w:val="00557E00"/>
    <w:rsid w:val="00561386"/>
    <w:rsid w:val="005619C5"/>
    <w:rsid w:val="005662D8"/>
    <w:rsid w:val="005668FF"/>
    <w:rsid w:val="00566C2F"/>
    <w:rsid w:val="00570C43"/>
    <w:rsid w:val="0058737E"/>
    <w:rsid w:val="00597B31"/>
    <w:rsid w:val="005A1D4B"/>
    <w:rsid w:val="005A31CD"/>
    <w:rsid w:val="005B02E0"/>
    <w:rsid w:val="005B2110"/>
    <w:rsid w:val="005B61E6"/>
    <w:rsid w:val="005C4B26"/>
    <w:rsid w:val="005C77E1"/>
    <w:rsid w:val="005D668A"/>
    <w:rsid w:val="005D6A2F"/>
    <w:rsid w:val="005D6BA4"/>
    <w:rsid w:val="005E1A82"/>
    <w:rsid w:val="005E72C6"/>
    <w:rsid w:val="005E794C"/>
    <w:rsid w:val="005F0A28"/>
    <w:rsid w:val="005F0E5E"/>
    <w:rsid w:val="005F3FE8"/>
    <w:rsid w:val="005F7C00"/>
    <w:rsid w:val="00600535"/>
    <w:rsid w:val="00604A90"/>
    <w:rsid w:val="00610CD6"/>
    <w:rsid w:val="00612B3D"/>
    <w:rsid w:val="006164FA"/>
    <w:rsid w:val="00616967"/>
    <w:rsid w:val="00617063"/>
    <w:rsid w:val="00620DEE"/>
    <w:rsid w:val="00621F92"/>
    <w:rsid w:val="0062280A"/>
    <w:rsid w:val="00625639"/>
    <w:rsid w:val="0062641A"/>
    <w:rsid w:val="00631B33"/>
    <w:rsid w:val="00634880"/>
    <w:rsid w:val="006376E5"/>
    <w:rsid w:val="0064184D"/>
    <w:rsid w:val="00641C88"/>
    <w:rsid w:val="006422CC"/>
    <w:rsid w:val="00642516"/>
    <w:rsid w:val="00645C6F"/>
    <w:rsid w:val="00647452"/>
    <w:rsid w:val="00660E3E"/>
    <w:rsid w:val="00662E74"/>
    <w:rsid w:val="00667791"/>
    <w:rsid w:val="0067068A"/>
    <w:rsid w:val="00671986"/>
    <w:rsid w:val="00673572"/>
    <w:rsid w:val="006753A4"/>
    <w:rsid w:val="00680C23"/>
    <w:rsid w:val="00681460"/>
    <w:rsid w:val="006869FA"/>
    <w:rsid w:val="006873C8"/>
    <w:rsid w:val="00687A2A"/>
    <w:rsid w:val="006902CF"/>
    <w:rsid w:val="00693766"/>
    <w:rsid w:val="00694631"/>
    <w:rsid w:val="006A10E0"/>
    <w:rsid w:val="006A2E56"/>
    <w:rsid w:val="006A3281"/>
    <w:rsid w:val="006B4888"/>
    <w:rsid w:val="006C154F"/>
    <w:rsid w:val="006C2E45"/>
    <w:rsid w:val="006C359C"/>
    <w:rsid w:val="006C5579"/>
    <w:rsid w:val="006D6E8B"/>
    <w:rsid w:val="006E1AF2"/>
    <w:rsid w:val="006E5758"/>
    <w:rsid w:val="006E737D"/>
    <w:rsid w:val="006F452A"/>
    <w:rsid w:val="007020D3"/>
    <w:rsid w:val="00707DD1"/>
    <w:rsid w:val="007117ED"/>
    <w:rsid w:val="00713973"/>
    <w:rsid w:val="007162A6"/>
    <w:rsid w:val="00720A24"/>
    <w:rsid w:val="0072142B"/>
    <w:rsid w:val="00732386"/>
    <w:rsid w:val="0073514D"/>
    <w:rsid w:val="00740B95"/>
    <w:rsid w:val="007447F3"/>
    <w:rsid w:val="00750099"/>
    <w:rsid w:val="0075499F"/>
    <w:rsid w:val="0076286B"/>
    <w:rsid w:val="007641CB"/>
    <w:rsid w:val="007661C8"/>
    <w:rsid w:val="0077098D"/>
    <w:rsid w:val="0077354E"/>
    <w:rsid w:val="00775760"/>
    <w:rsid w:val="0078196D"/>
    <w:rsid w:val="00790570"/>
    <w:rsid w:val="007922F0"/>
    <w:rsid w:val="00792A35"/>
    <w:rsid w:val="007931FA"/>
    <w:rsid w:val="007958E4"/>
    <w:rsid w:val="00796715"/>
    <w:rsid w:val="007A3E2A"/>
    <w:rsid w:val="007A4861"/>
    <w:rsid w:val="007A792A"/>
    <w:rsid w:val="007A7BBA"/>
    <w:rsid w:val="007B0C50"/>
    <w:rsid w:val="007B48F9"/>
    <w:rsid w:val="007B6050"/>
    <w:rsid w:val="007C1A43"/>
    <w:rsid w:val="007C5809"/>
    <w:rsid w:val="007D0951"/>
    <w:rsid w:val="007D54D9"/>
    <w:rsid w:val="007D5D36"/>
    <w:rsid w:val="007E0C85"/>
    <w:rsid w:val="007E68D8"/>
    <w:rsid w:val="007F6823"/>
    <w:rsid w:val="0080013E"/>
    <w:rsid w:val="00800B83"/>
    <w:rsid w:val="00801898"/>
    <w:rsid w:val="0080551A"/>
    <w:rsid w:val="0080563B"/>
    <w:rsid w:val="00813288"/>
    <w:rsid w:val="008168FC"/>
    <w:rsid w:val="00827A4B"/>
    <w:rsid w:val="00830996"/>
    <w:rsid w:val="00831313"/>
    <w:rsid w:val="00833382"/>
    <w:rsid w:val="00833BB6"/>
    <w:rsid w:val="0083406A"/>
    <w:rsid w:val="008345F1"/>
    <w:rsid w:val="00834AF5"/>
    <w:rsid w:val="008355E5"/>
    <w:rsid w:val="00851B39"/>
    <w:rsid w:val="00852102"/>
    <w:rsid w:val="008560FF"/>
    <w:rsid w:val="00864667"/>
    <w:rsid w:val="00865B07"/>
    <w:rsid w:val="008662F9"/>
    <w:rsid w:val="0086633B"/>
    <w:rsid w:val="008667EA"/>
    <w:rsid w:val="0087637F"/>
    <w:rsid w:val="00881DFA"/>
    <w:rsid w:val="008827BE"/>
    <w:rsid w:val="00887794"/>
    <w:rsid w:val="00891A72"/>
    <w:rsid w:val="00892515"/>
    <w:rsid w:val="00892AD5"/>
    <w:rsid w:val="008A1512"/>
    <w:rsid w:val="008C60E0"/>
    <w:rsid w:val="008C7456"/>
    <w:rsid w:val="008D1E02"/>
    <w:rsid w:val="008D32B9"/>
    <w:rsid w:val="008D433B"/>
    <w:rsid w:val="008D470F"/>
    <w:rsid w:val="008D4A16"/>
    <w:rsid w:val="008D5BBB"/>
    <w:rsid w:val="008E2DAB"/>
    <w:rsid w:val="008E3C06"/>
    <w:rsid w:val="008E46DA"/>
    <w:rsid w:val="008E566E"/>
    <w:rsid w:val="008E58F7"/>
    <w:rsid w:val="008E60A2"/>
    <w:rsid w:val="008E7841"/>
    <w:rsid w:val="008E784F"/>
    <w:rsid w:val="008F37B4"/>
    <w:rsid w:val="00900E02"/>
    <w:rsid w:val="0090161A"/>
    <w:rsid w:val="00901EB6"/>
    <w:rsid w:val="00901F06"/>
    <w:rsid w:val="00904C62"/>
    <w:rsid w:val="00922BA8"/>
    <w:rsid w:val="00924DAC"/>
    <w:rsid w:val="00926C44"/>
    <w:rsid w:val="00927058"/>
    <w:rsid w:val="00932A27"/>
    <w:rsid w:val="00933689"/>
    <w:rsid w:val="009359EB"/>
    <w:rsid w:val="00942750"/>
    <w:rsid w:val="009450CE"/>
    <w:rsid w:val="009459BB"/>
    <w:rsid w:val="00947179"/>
    <w:rsid w:val="009508A1"/>
    <w:rsid w:val="0095164B"/>
    <w:rsid w:val="00954090"/>
    <w:rsid w:val="009573E7"/>
    <w:rsid w:val="00960977"/>
    <w:rsid w:val="00960A9F"/>
    <w:rsid w:val="00963666"/>
    <w:rsid w:val="00963E05"/>
    <w:rsid w:val="009644B7"/>
    <w:rsid w:val="00964A45"/>
    <w:rsid w:val="00967843"/>
    <w:rsid w:val="00967D54"/>
    <w:rsid w:val="00971028"/>
    <w:rsid w:val="00975605"/>
    <w:rsid w:val="00983400"/>
    <w:rsid w:val="009861DE"/>
    <w:rsid w:val="0098677B"/>
    <w:rsid w:val="0098723E"/>
    <w:rsid w:val="00991409"/>
    <w:rsid w:val="00991AF8"/>
    <w:rsid w:val="0099242C"/>
    <w:rsid w:val="0099362C"/>
    <w:rsid w:val="00993B84"/>
    <w:rsid w:val="00996483"/>
    <w:rsid w:val="00996F5A"/>
    <w:rsid w:val="009A01B2"/>
    <w:rsid w:val="009B041A"/>
    <w:rsid w:val="009B0903"/>
    <w:rsid w:val="009B1E7E"/>
    <w:rsid w:val="009B607F"/>
    <w:rsid w:val="009B69F0"/>
    <w:rsid w:val="009C17F6"/>
    <w:rsid w:val="009C37C3"/>
    <w:rsid w:val="009C7C86"/>
    <w:rsid w:val="009D2FF7"/>
    <w:rsid w:val="009D49A7"/>
    <w:rsid w:val="009D7233"/>
    <w:rsid w:val="009E7884"/>
    <w:rsid w:val="009E788A"/>
    <w:rsid w:val="009F0E08"/>
    <w:rsid w:val="009F2260"/>
    <w:rsid w:val="009F3734"/>
    <w:rsid w:val="009F744D"/>
    <w:rsid w:val="009F7FE2"/>
    <w:rsid w:val="00A0035F"/>
    <w:rsid w:val="00A0102D"/>
    <w:rsid w:val="00A055EF"/>
    <w:rsid w:val="00A05BAB"/>
    <w:rsid w:val="00A07F81"/>
    <w:rsid w:val="00A12081"/>
    <w:rsid w:val="00A1763D"/>
    <w:rsid w:val="00A17CEC"/>
    <w:rsid w:val="00A225B7"/>
    <w:rsid w:val="00A23D3D"/>
    <w:rsid w:val="00A27EF0"/>
    <w:rsid w:val="00A4062E"/>
    <w:rsid w:val="00A42361"/>
    <w:rsid w:val="00A462EB"/>
    <w:rsid w:val="00A4694D"/>
    <w:rsid w:val="00A50B20"/>
    <w:rsid w:val="00A51390"/>
    <w:rsid w:val="00A60C10"/>
    <w:rsid w:val="00A60D13"/>
    <w:rsid w:val="00A62EC0"/>
    <w:rsid w:val="00A63928"/>
    <w:rsid w:val="00A65C77"/>
    <w:rsid w:val="00A70AB8"/>
    <w:rsid w:val="00A714EF"/>
    <w:rsid w:val="00A71D1B"/>
    <w:rsid w:val="00A7223D"/>
    <w:rsid w:val="00A72272"/>
    <w:rsid w:val="00A72745"/>
    <w:rsid w:val="00A73D30"/>
    <w:rsid w:val="00A7615A"/>
    <w:rsid w:val="00A76EFC"/>
    <w:rsid w:val="00A86BCA"/>
    <w:rsid w:val="00A87D50"/>
    <w:rsid w:val="00A9019B"/>
    <w:rsid w:val="00A91010"/>
    <w:rsid w:val="00A91FEF"/>
    <w:rsid w:val="00A93932"/>
    <w:rsid w:val="00A94647"/>
    <w:rsid w:val="00A94987"/>
    <w:rsid w:val="00A97F29"/>
    <w:rsid w:val="00AA0F0D"/>
    <w:rsid w:val="00AA19CC"/>
    <w:rsid w:val="00AA702E"/>
    <w:rsid w:val="00AA7D26"/>
    <w:rsid w:val="00AB0964"/>
    <w:rsid w:val="00AB5011"/>
    <w:rsid w:val="00AB53DC"/>
    <w:rsid w:val="00AB54C9"/>
    <w:rsid w:val="00AB5DC0"/>
    <w:rsid w:val="00AC2B92"/>
    <w:rsid w:val="00AC549D"/>
    <w:rsid w:val="00AC6B83"/>
    <w:rsid w:val="00AC6F24"/>
    <w:rsid w:val="00AC7368"/>
    <w:rsid w:val="00AD16B9"/>
    <w:rsid w:val="00AD3222"/>
    <w:rsid w:val="00AD691F"/>
    <w:rsid w:val="00AE377D"/>
    <w:rsid w:val="00AE41FC"/>
    <w:rsid w:val="00AE58E8"/>
    <w:rsid w:val="00AF0EBA"/>
    <w:rsid w:val="00AF2FA7"/>
    <w:rsid w:val="00AF3CD4"/>
    <w:rsid w:val="00AF46C8"/>
    <w:rsid w:val="00B02C8A"/>
    <w:rsid w:val="00B06E88"/>
    <w:rsid w:val="00B11745"/>
    <w:rsid w:val="00B11B58"/>
    <w:rsid w:val="00B13519"/>
    <w:rsid w:val="00B17658"/>
    <w:rsid w:val="00B17698"/>
    <w:rsid w:val="00B17FBD"/>
    <w:rsid w:val="00B20F3E"/>
    <w:rsid w:val="00B24AD2"/>
    <w:rsid w:val="00B315A6"/>
    <w:rsid w:val="00B31813"/>
    <w:rsid w:val="00B33365"/>
    <w:rsid w:val="00B4187C"/>
    <w:rsid w:val="00B45A3A"/>
    <w:rsid w:val="00B46410"/>
    <w:rsid w:val="00B541AD"/>
    <w:rsid w:val="00B56164"/>
    <w:rsid w:val="00B562FA"/>
    <w:rsid w:val="00B57728"/>
    <w:rsid w:val="00B57B36"/>
    <w:rsid w:val="00B57E6F"/>
    <w:rsid w:val="00B611E6"/>
    <w:rsid w:val="00B631CF"/>
    <w:rsid w:val="00B7325B"/>
    <w:rsid w:val="00B764E7"/>
    <w:rsid w:val="00B77984"/>
    <w:rsid w:val="00B8686D"/>
    <w:rsid w:val="00B91095"/>
    <w:rsid w:val="00B93B50"/>
    <w:rsid w:val="00B93F69"/>
    <w:rsid w:val="00B95DD9"/>
    <w:rsid w:val="00B95E0A"/>
    <w:rsid w:val="00BA28C3"/>
    <w:rsid w:val="00BA6969"/>
    <w:rsid w:val="00BB1DDC"/>
    <w:rsid w:val="00BB3899"/>
    <w:rsid w:val="00BB5CAC"/>
    <w:rsid w:val="00BB7A8E"/>
    <w:rsid w:val="00BB7DCC"/>
    <w:rsid w:val="00BC06B6"/>
    <w:rsid w:val="00BC30C9"/>
    <w:rsid w:val="00BC41D2"/>
    <w:rsid w:val="00BC540C"/>
    <w:rsid w:val="00BC5C04"/>
    <w:rsid w:val="00BC6916"/>
    <w:rsid w:val="00BD077D"/>
    <w:rsid w:val="00BD5998"/>
    <w:rsid w:val="00BE0DB6"/>
    <w:rsid w:val="00BE3DE1"/>
    <w:rsid w:val="00BE3E58"/>
    <w:rsid w:val="00BE4CA7"/>
    <w:rsid w:val="00BE76BA"/>
    <w:rsid w:val="00BF1840"/>
    <w:rsid w:val="00C01616"/>
    <w:rsid w:val="00C0162B"/>
    <w:rsid w:val="00C027C5"/>
    <w:rsid w:val="00C068ED"/>
    <w:rsid w:val="00C13612"/>
    <w:rsid w:val="00C1462B"/>
    <w:rsid w:val="00C22E0C"/>
    <w:rsid w:val="00C2446B"/>
    <w:rsid w:val="00C24AF1"/>
    <w:rsid w:val="00C345B1"/>
    <w:rsid w:val="00C36517"/>
    <w:rsid w:val="00C40142"/>
    <w:rsid w:val="00C40B12"/>
    <w:rsid w:val="00C425CB"/>
    <w:rsid w:val="00C431E2"/>
    <w:rsid w:val="00C44B4F"/>
    <w:rsid w:val="00C46C4D"/>
    <w:rsid w:val="00C52C3C"/>
    <w:rsid w:val="00C552D0"/>
    <w:rsid w:val="00C5600B"/>
    <w:rsid w:val="00C57182"/>
    <w:rsid w:val="00C57863"/>
    <w:rsid w:val="00C612F9"/>
    <w:rsid w:val="00C640AF"/>
    <w:rsid w:val="00C655FD"/>
    <w:rsid w:val="00C67819"/>
    <w:rsid w:val="00C70B33"/>
    <w:rsid w:val="00C75407"/>
    <w:rsid w:val="00C76FA1"/>
    <w:rsid w:val="00C8368F"/>
    <w:rsid w:val="00C841C6"/>
    <w:rsid w:val="00C869F0"/>
    <w:rsid w:val="00C870A8"/>
    <w:rsid w:val="00C879C6"/>
    <w:rsid w:val="00C93BEA"/>
    <w:rsid w:val="00C94434"/>
    <w:rsid w:val="00C951AF"/>
    <w:rsid w:val="00CA0D75"/>
    <w:rsid w:val="00CA0D80"/>
    <w:rsid w:val="00CA1564"/>
    <w:rsid w:val="00CA1C95"/>
    <w:rsid w:val="00CA23DB"/>
    <w:rsid w:val="00CA31EE"/>
    <w:rsid w:val="00CA3724"/>
    <w:rsid w:val="00CA4063"/>
    <w:rsid w:val="00CA5965"/>
    <w:rsid w:val="00CA5A9C"/>
    <w:rsid w:val="00CA6043"/>
    <w:rsid w:val="00CA6BBB"/>
    <w:rsid w:val="00CA73DB"/>
    <w:rsid w:val="00CB3048"/>
    <w:rsid w:val="00CB3077"/>
    <w:rsid w:val="00CB532A"/>
    <w:rsid w:val="00CC3294"/>
    <w:rsid w:val="00CC4C20"/>
    <w:rsid w:val="00CC702D"/>
    <w:rsid w:val="00CC7C9A"/>
    <w:rsid w:val="00CD3517"/>
    <w:rsid w:val="00CD524B"/>
    <w:rsid w:val="00CD5FE2"/>
    <w:rsid w:val="00CE47BE"/>
    <w:rsid w:val="00CE4CBC"/>
    <w:rsid w:val="00CE5820"/>
    <w:rsid w:val="00CE7549"/>
    <w:rsid w:val="00CE7C68"/>
    <w:rsid w:val="00CF0B66"/>
    <w:rsid w:val="00CF25FD"/>
    <w:rsid w:val="00CF5F41"/>
    <w:rsid w:val="00CF7887"/>
    <w:rsid w:val="00D01E67"/>
    <w:rsid w:val="00D02B4C"/>
    <w:rsid w:val="00D040C4"/>
    <w:rsid w:val="00D10AA6"/>
    <w:rsid w:val="00D17943"/>
    <w:rsid w:val="00D20AD1"/>
    <w:rsid w:val="00D24586"/>
    <w:rsid w:val="00D2582C"/>
    <w:rsid w:val="00D27666"/>
    <w:rsid w:val="00D35CB6"/>
    <w:rsid w:val="00D4434D"/>
    <w:rsid w:val="00D46B7E"/>
    <w:rsid w:val="00D47EE1"/>
    <w:rsid w:val="00D47F5B"/>
    <w:rsid w:val="00D572C8"/>
    <w:rsid w:val="00D57A5F"/>
    <w:rsid w:val="00D57C84"/>
    <w:rsid w:val="00D6057D"/>
    <w:rsid w:val="00D60EC6"/>
    <w:rsid w:val="00D67971"/>
    <w:rsid w:val="00D67A08"/>
    <w:rsid w:val="00D71178"/>
    <w:rsid w:val="00D71640"/>
    <w:rsid w:val="00D72172"/>
    <w:rsid w:val="00D74B64"/>
    <w:rsid w:val="00D77797"/>
    <w:rsid w:val="00D81D1A"/>
    <w:rsid w:val="00D836C5"/>
    <w:rsid w:val="00D84576"/>
    <w:rsid w:val="00D85536"/>
    <w:rsid w:val="00D87427"/>
    <w:rsid w:val="00D90D7B"/>
    <w:rsid w:val="00D91EAD"/>
    <w:rsid w:val="00D932C7"/>
    <w:rsid w:val="00D9493D"/>
    <w:rsid w:val="00D95B67"/>
    <w:rsid w:val="00D96FCC"/>
    <w:rsid w:val="00DA1399"/>
    <w:rsid w:val="00DA243B"/>
    <w:rsid w:val="00DA24C6"/>
    <w:rsid w:val="00DA4D7B"/>
    <w:rsid w:val="00DB17CF"/>
    <w:rsid w:val="00DB311F"/>
    <w:rsid w:val="00DB4328"/>
    <w:rsid w:val="00DB4358"/>
    <w:rsid w:val="00DB74EE"/>
    <w:rsid w:val="00DC040C"/>
    <w:rsid w:val="00DC18A5"/>
    <w:rsid w:val="00DD0845"/>
    <w:rsid w:val="00DD271C"/>
    <w:rsid w:val="00DD2965"/>
    <w:rsid w:val="00DD5A5C"/>
    <w:rsid w:val="00DE264A"/>
    <w:rsid w:val="00DE494A"/>
    <w:rsid w:val="00DF061A"/>
    <w:rsid w:val="00DF1B76"/>
    <w:rsid w:val="00DF5072"/>
    <w:rsid w:val="00E02D18"/>
    <w:rsid w:val="00E041E7"/>
    <w:rsid w:val="00E0597F"/>
    <w:rsid w:val="00E07E30"/>
    <w:rsid w:val="00E14A61"/>
    <w:rsid w:val="00E16E4B"/>
    <w:rsid w:val="00E23275"/>
    <w:rsid w:val="00E23CA1"/>
    <w:rsid w:val="00E30C2A"/>
    <w:rsid w:val="00E313E0"/>
    <w:rsid w:val="00E31BE4"/>
    <w:rsid w:val="00E364DD"/>
    <w:rsid w:val="00E409A8"/>
    <w:rsid w:val="00E4414E"/>
    <w:rsid w:val="00E449D9"/>
    <w:rsid w:val="00E44F28"/>
    <w:rsid w:val="00E45D00"/>
    <w:rsid w:val="00E50C12"/>
    <w:rsid w:val="00E62D57"/>
    <w:rsid w:val="00E64A7C"/>
    <w:rsid w:val="00E65110"/>
    <w:rsid w:val="00E653E2"/>
    <w:rsid w:val="00E65B91"/>
    <w:rsid w:val="00E6722B"/>
    <w:rsid w:val="00E678BB"/>
    <w:rsid w:val="00E7209D"/>
    <w:rsid w:val="00E72EAD"/>
    <w:rsid w:val="00E73733"/>
    <w:rsid w:val="00E7391D"/>
    <w:rsid w:val="00E73E70"/>
    <w:rsid w:val="00E77223"/>
    <w:rsid w:val="00E8528B"/>
    <w:rsid w:val="00E85B94"/>
    <w:rsid w:val="00E85D12"/>
    <w:rsid w:val="00E86042"/>
    <w:rsid w:val="00E90924"/>
    <w:rsid w:val="00E9093E"/>
    <w:rsid w:val="00E92818"/>
    <w:rsid w:val="00E9412B"/>
    <w:rsid w:val="00E962B7"/>
    <w:rsid w:val="00E978D0"/>
    <w:rsid w:val="00EA32B9"/>
    <w:rsid w:val="00EA4613"/>
    <w:rsid w:val="00EA5586"/>
    <w:rsid w:val="00EA5BE7"/>
    <w:rsid w:val="00EA71DB"/>
    <w:rsid w:val="00EA7F91"/>
    <w:rsid w:val="00EB0111"/>
    <w:rsid w:val="00EB1523"/>
    <w:rsid w:val="00EB5834"/>
    <w:rsid w:val="00EB6BAE"/>
    <w:rsid w:val="00EC0E49"/>
    <w:rsid w:val="00EC0E57"/>
    <w:rsid w:val="00EC101F"/>
    <w:rsid w:val="00EC1D9F"/>
    <w:rsid w:val="00ED6F88"/>
    <w:rsid w:val="00EE0131"/>
    <w:rsid w:val="00EE17B0"/>
    <w:rsid w:val="00EF06D9"/>
    <w:rsid w:val="00EF4FD0"/>
    <w:rsid w:val="00F0114D"/>
    <w:rsid w:val="00F041BF"/>
    <w:rsid w:val="00F0680B"/>
    <w:rsid w:val="00F0750B"/>
    <w:rsid w:val="00F11170"/>
    <w:rsid w:val="00F16F3A"/>
    <w:rsid w:val="00F20832"/>
    <w:rsid w:val="00F22907"/>
    <w:rsid w:val="00F26FCA"/>
    <w:rsid w:val="00F3049E"/>
    <w:rsid w:val="00F30C64"/>
    <w:rsid w:val="00F32188"/>
    <w:rsid w:val="00F32BA2"/>
    <w:rsid w:val="00F32CDB"/>
    <w:rsid w:val="00F42E1E"/>
    <w:rsid w:val="00F456FD"/>
    <w:rsid w:val="00F565FE"/>
    <w:rsid w:val="00F57849"/>
    <w:rsid w:val="00F63A70"/>
    <w:rsid w:val="00F63BF7"/>
    <w:rsid w:val="00F63D8C"/>
    <w:rsid w:val="00F6647F"/>
    <w:rsid w:val="00F664D3"/>
    <w:rsid w:val="00F66807"/>
    <w:rsid w:val="00F7534E"/>
    <w:rsid w:val="00F802F2"/>
    <w:rsid w:val="00F82268"/>
    <w:rsid w:val="00F85110"/>
    <w:rsid w:val="00F9187E"/>
    <w:rsid w:val="00F92E25"/>
    <w:rsid w:val="00F93EDF"/>
    <w:rsid w:val="00F95D4E"/>
    <w:rsid w:val="00FA1802"/>
    <w:rsid w:val="00FA21D0"/>
    <w:rsid w:val="00FA4C65"/>
    <w:rsid w:val="00FA5407"/>
    <w:rsid w:val="00FA5F5F"/>
    <w:rsid w:val="00FA6191"/>
    <w:rsid w:val="00FB2900"/>
    <w:rsid w:val="00FB2944"/>
    <w:rsid w:val="00FB730C"/>
    <w:rsid w:val="00FC118F"/>
    <w:rsid w:val="00FC14B2"/>
    <w:rsid w:val="00FC1D08"/>
    <w:rsid w:val="00FC2695"/>
    <w:rsid w:val="00FC3E03"/>
    <w:rsid w:val="00FC3FC1"/>
    <w:rsid w:val="00FC423F"/>
    <w:rsid w:val="00FC4C86"/>
    <w:rsid w:val="00FC5E02"/>
    <w:rsid w:val="00FC7A06"/>
    <w:rsid w:val="00FD454D"/>
    <w:rsid w:val="00FD5F94"/>
    <w:rsid w:val="00FD6446"/>
    <w:rsid w:val="00FD7CC1"/>
    <w:rsid w:val="00FF0F52"/>
  </w:rsids>
  <m:mathPr>
    <m:mathFont m:val="Cambria Math"/>
    <m:brkBin m:val="before"/>
    <m:brkBinSub m:val="--"/>
    <m:smallFrac m:val="0"/>
    <m:dispDef/>
    <m:lMargin m:val="0"/>
    <m:rMargin m:val="0"/>
    <m:defJc m:val="centerGroup"/>
    <m:wrapIndent m:val="1440"/>
    <m:intLim m:val="subSup"/>
    <m:naryLim m:val="undOvr"/>
  </m:mathPr>
  <w:themeFontLang w:val="it-IT"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AE0CC22"/>
  <w14:defaultImageDpi w14:val="330"/>
  <w15:docId w15:val="{0B95FB59-9D38-42B5-B090-D2348EE1E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9"/>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0"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aliases w:val="CET Top_page"/>
    <w:rsid w:val="004F1F18"/>
    <w:pPr>
      <w:tabs>
        <w:tab w:val="right" w:pos="7100"/>
      </w:tabs>
      <w:spacing w:after="0" w:line="264" w:lineRule="auto"/>
      <w:jc w:val="both"/>
    </w:pPr>
    <w:rPr>
      <w:rFonts w:ascii="Arial" w:eastAsia="Times New Roman" w:hAnsi="Arial" w:cs="Times New Roman"/>
      <w:sz w:val="18"/>
      <w:szCs w:val="20"/>
      <w:lang w:val="en-GB"/>
    </w:rPr>
  </w:style>
  <w:style w:type="paragraph" w:styleId="Titolo1">
    <w:name w:val="heading 1"/>
    <w:basedOn w:val="CETHeading1"/>
    <w:next w:val="Normale"/>
    <w:link w:val="Titolo1Carattere"/>
    <w:uiPriority w:val="9"/>
    <w:rsid w:val="004F5E36"/>
    <w:pPr>
      <w:tabs>
        <w:tab w:val="clear" w:pos="360"/>
        <w:tab w:val="right" w:pos="7100"/>
      </w:tabs>
      <w:jc w:val="both"/>
      <w:outlineLvl w:val="0"/>
    </w:pPr>
    <w:rPr>
      <w:lang w:val="en-GB"/>
    </w:rPr>
  </w:style>
  <w:style w:type="paragraph" w:styleId="Titolo2">
    <w:name w:val="heading 2"/>
    <w:basedOn w:val="Normale"/>
    <w:next w:val="Normale"/>
    <w:link w:val="Titolo2Carattere"/>
    <w:uiPriority w:val="9"/>
    <w:semiHidden/>
    <w:unhideWhenUsed/>
    <w:qFormat/>
    <w:rsid w:val="0003148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itolo3">
    <w:name w:val="heading 3"/>
    <w:basedOn w:val="Normale"/>
    <w:next w:val="Normale"/>
    <w:link w:val="Titolo3Carattere"/>
    <w:uiPriority w:val="9"/>
    <w:semiHidden/>
    <w:unhideWhenUsed/>
    <w:qFormat/>
    <w:rsid w:val="0003148D"/>
    <w:pPr>
      <w:keepNext/>
      <w:keepLines/>
      <w:spacing w:before="200"/>
      <w:outlineLvl w:val="2"/>
    </w:pPr>
    <w:rPr>
      <w:rFonts w:asciiTheme="majorHAnsi" w:eastAsiaTheme="majorEastAsia" w:hAnsiTheme="majorHAnsi" w:cstheme="majorBidi"/>
      <w:b/>
      <w:bCs/>
      <w:color w:val="4F81BD" w:themeColor="accent1"/>
    </w:rPr>
  </w:style>
  <w:style w:type="paragraph" w:styleId="Titolo4">
    <w:name w:val="heading 4"/>
    <w:basedOn w:val="Normale"/>
    <w:next w:val="Normale"/>
    <w:link w:val="Titolo4Carattere"/>
    <w:uiPriority w:val="9"/>
    <w:semiHidden/>
    <w:unhideWhenUsed/>
    <w:qFormat/>
    <w:rsid w:val="0003148D"/>
    <w:pPr>
      <w:keepNext/>
      <w:keepLines/>
      <w:spacing w:before="200"/>
      <w:outlineLvl w:val="3"/>
    </w:pPr>
    <w:rPr>
      <w:rFonts w:asciiTheme="majorHAnsi" w:eastAsiaTheme="majorEastAsia" w:hAnsiTheme="majorHAnsi" w:cstheme="majorBidi"/>
      <w:b/>
      <w:bCs/>
      <w:i/>
      <w:iCs/>
      <w:color w:val="4F81BD" w:themeColor="accent1"/>
    </w:rPr>
  </w:style>
  <w:style w:type="paragraph" w:styleId="Titolo5">
    <w:name w:val="heading 5"/>
    <w:basedOn w:val="Normale"/>
    <w:next w:val="Normale"/>
    <w:link w:val="Titolo5Carattere"/>
    <w:uiPriority w:val="9"/>
    <w:semiHidden/>
    <w:unhideWhenUsed/>
    <w:qFormat/>
    <w:rsid w:val="0003148D"/>
    <w:pPr>
      <w:keepNext/>
      <w:keepLines/>
      <w:spacing w:before="200"/>
      <w:outlineLvl w:val="4"/>
    </w:pPr>
    <w:rPr>
      <w:rFonts w:asciiTheme="majorHAnsi" w:eastAsiaTheme="majorEastAsia" w:hAnsiTheme="majorHAnsi" w:cstheme="majorBidi"/>
      <w:color w:val="243F60" w:themeColor="accent1" w:themeShade="7F"/>
    </w:rPr>
  </w:style>
  <w:style w:type="paragraph" w:styleId="Titolo6">
    <w:name w:val="heading 6"/>
    <w:basedOn w:val="Normale"/>
    <w:next w:val="Normale"/>
    <w:link w:val="Titolo6Carattere"/>
    <w:uiPriority w:val="9"/>
    <w:semiHidden/>
    <w:unhideWhenUsed/>
    <w:qFormat/>
    <w:rsid w:val="0003148D"/>
    <w:pPr>
      <w:keepNext/>
      <w:keepLines/>
      <w:spacing w:before="200"/>
      <w:outlineLvl w:val="5"/>
    </w:pPr>
    <w:rPr>
      <w:rFonts w:asciiTheme="majorHAnsi" w:eastAsiaTheme="majorEastAsia" w:hAnsiTheme="majorHAnsi" w:cstheme="majorBidi"/>
      <w:i/>
      <w:iCs/>
      <w:color w:val="243F60" w:themeColor="accent1" w:themeShade="7F"/>
    </w:rPr>
  </w:style>
  <w:style w:type="paragraph" w:styleId="Titolo7">
    <w:name w:val="heading 7"/>
    <w:basedOn w:val="Normale"/>
    <w:next w:val="Normale"/>
    <w:link w:val="Titolo7Carattere"/>
    <w:uiPriority w:val="9"/>
    <w:semiHidden/>
    <w:unhideWhenUsed/>
    <w:qFormat/>
    <w:rsid w:val="0003148D"/>
    <w:pPr>
      <w:keepNext/>
      <w:keepLines/>
      <w:spacing w:before="200"/>
      <w:outlineLvl w:val="6"/>
    </w:pPr>
    <w:rPr>
      <w:rFonts w:asciiTheme="majorHAnsi" w:eastAsiaTheme="majorEastAsia" w:hAnsiTheme="majorHAnsi" w:cstheme="majorBidi"/>
      <w:i/>
      <w:iCs/>
      <w:color w:val="404040" w:themeColor="text1" w:themeTint="BF"/>
    </w:rPr>
  </w:style>
  <w:style w:type="paragraph" w:styleId="Titolo8">
    <w:name w:val="heading 8"/>
    <w:basedOn w:val="Normale"/>
    <w:next w:val="Normale"/>
    <w:link w:val="Titolo8Carattere"/>
    <w:uiPriority w:val="9"/>
    <w:semiHidden/>
    <w:unhideWhenUsed/>
    <w:qFormat/>
    <w:rsid w:val="0003148D"/>
    <w:pPr>
      <w:keepNext/>
      <w:keepLines/>
      <w:spacing w:before="200"/>
      <w:outlineLvl w:val="7"/>
    </w:pPr>
    <w:rPr>
      <w:rFonts w:asciiTheme="majorHAnsi" w:eastAsiaTheme="majorEastAsia" w:hAnsiTheme="majorHAnsi" w:cstheme="majorBidi"/>
      <w:color w:val="404040" w:themeColor="text1" w:themeTint="BF"/>
    </w:rPr>
  </w:style>
  <w:style w:type="paragraph" w:styleId="Titolo9">
    <w:name w:val="heading 9"/>
    <w:basedOn w:val="Normale"/>
    <w:next w:val="Normale"/>
    <w:link w:val="Titolo9Carattere"/>
    <w:uiPriority w:val="9"/>
    <w:semiHidden/>
    <w:unhideWhenUsed/>
    <w:qFormat/>
    <w:rsid w:val="0003148D"/>
    <w:pPr>
      <w:keepNext/>
      <w:keepLines/>
      <w:spacing w:before="200"/>
      <w:outlineLvl w:val="8"/>
    </w:pPr>
    <w:rPr>
      <w:rFonts w:asciiTheme="majorHAnsi" w:eastAsiaTheme="majorEastAsia" w:hAnsiTheme="majorHAnsi" w:cstheme="majorBidi"/>
      <w:i/>
      <w:iCs/>
      <w:color w:val="404040" w:themeColor="text1" w:themeTint="BF"/>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CETAuthors">
    <w:name w:val="CET Authors"/>
    <w:basedOn w:val="CETBodytext"/>
    <w:link w:val="CETAuthorsCarattere"/>
    <w:qFormat/>
    <w:rsid w:val="000E414A"/>
    <w:pPr>
      <w:keepNext/>
      <w:suppressAutoHyphens/>
      <w:spacing w:after="120"/>
    </w:pPr>
    <w:rPr>
      <w:noProof/>
      <w:sz w:val="24"/>
      <w:lang w:val="en-GB"/>
    </w:rPr>
  </w:style>
  <w:style w:type="paragraph" w:customStyle="1" w:styleId="CETTitle">
    <w:name w:val="CET Title"/>
    <w:next w:val="CETAuthors"/>
    <w:link w:val="CETTitleCarattere"/>
    <w:rsid w:val="00FB730C"/>
    <w:pPr>
      <w:suppressAutoHyphens/>
      <w:spacing w:before="480" w:after="120" w:line="264" w:lineRule="auto"/>
      <w:jc w:val="center"/>
      <w:outlineLvl w:val="0"/>
    </w:pPr>
    <w:rPr>
      <w:rFonts w:ascii="Arial" w:eastAsia="Times New Roman" w:hAnsi="Arial" w:cs="Times New Roman"/>
      <w:sz w:val="32"/>
      <w:szCs w:val="20"/>
      <w:lang w:val="en-GB"/>
    </w:rPr>
  </w:style>
  <w:style w:type="character" w:customStyle="1" w:styleId="CETAuthorsCarattere">
    <w:name w:val="CET Authors Carattere"/>
    <w:link w:val="CETAuthors"/>
    <w:rsid w:val="009E788A"/>
    <w:rPr>
      <w:rFonts w:ascii="Arial" w:eastAsia="Times New Roman" w:hAnsi="Arial" w:cs="Times New Roman"/>
      <w:noProof/>
      <w:sz w:val="24"/>
      <w:szCs w:val="20"/>
      <w:lang w:val="en-GB"/>
    </w:rPr>
  </w:style>
  <w:style w:type="character" w:customStyle="1" w:styleId="CETTitleCarattere">
    <w:name w:val="CET Title Carattere"/>
    <w:link w:val="CETTitle"/>
    <w:rsid w:val="00FB730C"/>
    <w:rPr>
      <w:rFonts w:ascii="Arial" w:eastAsia="Times New Roman" w:hAnsi="Arial" w:cs="Times New Roman"/>
      <w:sz w:val="32"/>
      <w:szCs w:val="20"/>
      <w:lang w:val="en-GB"/>
    </w:rPr>
  </w:style>
  <w:style w:type="paragraph" w:customStyle="1" w:styleId="CETHeading1">
    <w:name w:val="CET Heading1"/>
    <w:next w:val="CETBodytext"/>
    <w:qFormat/>
    <w:rsid w:val="009E788A"/>
    <w:pPr>
      <w:keepNext/>
      <w:numPr>
        <w:ilvl w:val="1"/>
        <w:numId w:val="1"/>
      </w:numPr>
      <w:tabs>
        <w:tab w:val="num" w:pos="360"/>
      </w:tabs>
      <w:suppressAutoHyphens/>
      <w:spacing w:before="240" w:after="120" w:line="240" w:lineRule="auto"/>
    </w:pPr>
    <w:rPr>
      <w:rFonts w:ascii="Arial" w:eastAsia="Times New Roman" w:hAnsi="Arial" w:cs="Times New Roman"/>
      <w:b/>
      <w:sz w:val="20"/>
      <w:szCs w:val="20"/>
      <w:lang w:val="en-US"/>
    </w:rPr>
  </w:style>
  <w:style w:type="paragraph" w:customStyle="1" w:styleId="CETBodytext">
    <w:name w:val="CET Body text"/>
    <w:link w:val="CETBodytextCarattere"/>
    <w:qFormat/>
    <w:rsid w:val="000E414A"/>
    <w:pPr>
      <w:tabs>
        <w:tab w:val="right" w:pos="7100"/>
      </w:tabs>
      <w:spacing w:after="0" w:line="264" w:lineRule="auto"/>
      <w:jc w:val="both"/>
    </w:pPr>
    <w:rPr>
      <w:rFonts w:ascii="Arial" w:eastAsia="Times New Roman" w:hAnsi="Arial" w:cs="Times New Roman"/>
      <w:sz w:val="18"/>
      <w:szCs w:val="20"/>
      <w:lang w:val="en-US"/>
    </w:rPr>
  </w:style>
  <w:style w:type="paragraph" w:customStyle="1" w:styleId="CETheadingx">
    <w:name w:val="CET headingx"/>
    <w:next w:val="CETBodytext"/>
    <w:link w:val="CETheadingxCarattere"/>
    <w:autoRedefine/>
    <w:qFormat/>
    <w:rsid w:val="00AB54C9"/>
    <w:pPr>
      <w:keepNext/>
      <w:numPr>
        <w:ilvl w:val="2"/>
        <w:numId w:val="1"/>
      </w:numPr>
      <w:suppressAutoHyphens/>
      <w:spacing w:before="120" w:after="120" w:line="240" w:lineRule="auto"/>
      <w:jc w:val="both"/>
    </w:pPr>
    <w:rPr>
      <w:rFonts w:ascii="Arial" w:eastAsia="Times New Roman" w:hAnsi="Arial" w:cs="Times New Roman"/>
      <w:b/>
      <w:sz w:val="18"/>
      <w:szCs w:val="20"/>
      <w:lang w:val="en-US"/>
    </w:rPr>
  </w:style>
  <w:style w:type="paragraph" w:customStyle="1" w:styleId="CETAddress">
    <w:name w:val="CET Address"/>
    <w:link w:val="CETAddressCarattere"/>
    <w:qFormat/>
    <w:rsid w:val="009E788A"/>
    <w:pPr>
      <w:keepNext/>
      <w:suppressAutoHyphens/>
      <w:spacing w:after="0"/>
      <w:contextualSpacing/>
    </w:pPr>
    <w:rPr>
      <w:rFonts w:ascii="Arial" w:eastAsia="Times New Roman" w:hAnsi="Arial" w:cs="Times New Roman"/>
      <w:noProof/>
      <w:sz w:val="16"/>
      <w:szCs w:val="20"/>
      <w:lang w:val="en-GB"/>
    </w:rPr>
  </w:style>
  <w:style w:type="table" w:styleId="Tabellasemplice1">
    <w:name w:val="Table Simple 1"/>
    <w:basedOn w:val="Tabellanormale"/>
    <w:semiHidden/>
    <w:rsid w:val="000E414A"/>
    <w:pPr>
      <w:numPr>
        <w:ilvl w:val="3"/>
        <w:numId w:val="1"/>
      </w:numPr>
      <w:spacing w:after="0" w:line="264" w:lineRule="auto"/>
      <w:jc w:val="both"/>
    </w:pPr>
    <w:rPr>
      <w:rFonts w:ascii="Times New Roman" w:eastAsia="Times New Roman" w:hAnsi="Times New Roman" w:cs="Times New Roman"/>
      <w:sz w:val="20"/>
      <w:szCs w:val="20"/>
      <w:lang w:eastAsia="it-IT"/>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character" w:customStyle="1" w:styleId="CETBodytextCarattere">
    <w:name w:val="CET Body text Carattere"/>
    <w:link w:val="CETBodytext"/>
    <w:rsid w:val="000E414A"/>
    <w:rPr>
      <w:rFonts w:ascii="Arial" w:eastAsia="Times New Roman" w:hAnsi="Arial" w:cs="Times New Roman"/>
      <w:sz w:val="18"/>
      <w:szCs w:val="20"/>
      <w:lang w:val="en-US"/>
    </w:rPr>
  </w:style>
  <w:style w:type="paragraph" w:customStyle="1" w:styleId="CETReference">
    <w:name w:val="CET Reference"/>
    <w:qFormat/>
    <w:rsid w:val="00FC2695"/>
    <w:pPr>
      <w:spacing w:before="200" w:after="120" w:line="240" w:lineRule="auto"/>
    </w:pPr>
    <w:rPr>
      <w:rFonts w:ascii="Arial" w:eastAsia="Times New Roman" w:hAnsi="Arial" w:cs="Times New Roman"/>
      <w:b/>
      <w:sz w:val="18"/>
      <w:szCs w:val="20"/>
      <w:lang w:val="en-GB"/>
    </w:rPr>
  </w:style>
  <w:style w:type="paragraph" w:customStyle="1" w:styleId="CETCaption">
    <w:name w:val="CET Caption"/>
    <w:link w:val="CETCaptionCarattere"/>
    <w:qFormat/>
    <w:rsid w:val="00F7534E"/>
    <w:pPr>
      <w:spacing w:before="240" w:after="240" w:line="264" w:lineRule="auto"/>
      <w:jc w:val="both"/>
    </w:pPr>
    <w:rPr>
      <w:rFonts w:ascii="Arial" w:eastAsia="Times New Roman" w:hAnsi="Arial" w:cs="Times New Roman"/>
      <w:i/>
      <w:sz w:val="18"/>
      <w:szCs w:val="20"/>
      <w:lang w:val="en-GB"/>
    </w:rPr>
  </w:style>
  <w:style w:type="character" w:customStyle="1" w:styleId="CETheadingxCarattere">
    <w:name w:val="CET headingx Carattere"/>
    <w:link w:val="CETheadingx"/>
    <w:rsid w:val="00AB54C9"/>
    <w:rPr>
      <w:rFonts w:ascii="Arial" w:eastAsia="Times New Roman" w:hAnsi="Arial" w:cs="Times New Roman"/>
      <w:b/>
      <w:sz w:val="18"/>
      <w:szCs w:val="20"/>
      <w:lang w:val="en-US"/>
    </w:rPr>
  </w:style>
  <w:style w:type="character" w:customStyle="1" w:styleId="CETCaptionCarattere">
    <w:name w:val="CET Caption Carattere"/>
    <w:link w:val="CETCaption"/>
    <w:rsid w:val="00F7534E"/>
    <w:rPr>
      <w:rFonts w:ascii="Arial" w:eastAsia="Times New Roman" w:hAnsi="Arial" w:cs="Times New Roman"/>
      <w:i/>
      <w:sz w:val="18"/>
      <w:szCs w:val="20"/>
      <w:lang w:val="en-GB"/>
    </w:rPr>
  </w:style>
  <w:style w:type="paragraph" w:customStyle="1" w:styleId="CETBodytextItalic">
    <w:name w:val="CET Body text (Italic)"/>
    <w:basedOn w:val="CETBodytext"/>
    <w:qFormat/>
    <w:rsid w:val="004F5E36"/>
    <w:rPr>
      <w:i/>
      <w:lang w:val="en-GB"/>
    </w:rPr>
  </w:style>
  <w:style w:type="character" w:styleId="Rimandocommento">
    <w:name w:val="annotation reference"/>
    <w:basedOn w:val="Carpredefinitoparagrafo"/>
    <w:uiPriority w:val="99"/>
    <w:semiHidden/>
    <w:unhideWhenUsed/>
    <w:rsid w:val="004577FE"/>
    <w:rPr>
      <w:sz w:val="16"/>
      <w:szCs w:val="16"/>
    </w:rPr>
  </w:style>
  <w:style w:type="paragraph" w:styleId="Testofumetto">
    <w:name w:val="Balloon Text"/>
    <w:basedOn w:val="Normale"/>
    <w:link w:val="TestofumettoCarattere"/>
    <w:uiPriority w:val="99"/>
    <w:semiHidden/>
    <w:unhideWhenUsed/>
    <w:rsid w:val="000D34BE"/>
    <w:pPr>
      <w:spacing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D34BE"/>
    <w:rPr>
      <w:rFonts w:ascii="Tahoma" w:hAnsi="Tahoma" w:cs="Tahoma"/>
      <w:sz w:val="16"/>
      <w:szCs w:val="16"/>
    </w:rPr>
  </w:style>
  <w:style w:type="paragraph" w:styleId="Bibliografia">
    <w:name w:val="Bibliography"/>
    <w:basedOn w:val="CETReferencetext"/>
    <w:uiPriority w:val="37"/>
    <w:unhideWhenUsed/>
    <w:rsid w:val="00631B33"/>
    <w:pPr>
      <w:spacing w:line="240" w:lineRule="auto"/>
      <w:ind w:left="720" w:hanging="720"/>
    </w:pPr>
  </w:style>
  <w:style w:type="paragraph" w:styleId="Corpodeltesto2">
    <w:name w:val="Body Text 2"/>
    <w:basedOn w:val="Normale"/>
    <w:link w:val="Corpodeltesto2Carattere"/>
    <w:uiPriority w:val="99"/>
    <w:semiHidden/>
    <w:unhideWhenUsed/>
    <w:rsid w:val="0003148D"/>
    <w:pPr>
      <w:spacing w:after="120" w:line="480" w:lineRule="auto"/>
    </w:pPr>
  </w:style>
  <w:style w:type="character" w:customStyle="1" w:styleId="Corpodeltesto2Carattere">
    <w:name w:val="Corpo del testo 2 Carattere"/>
    <w:basedOn w:val="Carpredefinitoparagrafo"/>
    <w:link w:val="Corpodeltesto2"/>
    <w:uiPriority w:val="99"/>
    <w:semiHidden/>
    <w:rsid w:val="0003148D"/>
  </w:style>
  <w:style w:type="paragraph" w:styleId="Corpodeltesto3">
    <w:name w:val="Body Text 3"/>
    <w:basedOn w:val="Normale"/>
    <w:link w:val="Corpodeltesto3Carattere"/>
    <w:uiPriority w:val="99"/>
    <w:semiHidden/>
    <w:unhideWhenUsed/>
    <w:rsid w:val="0003148D"/>
    <w:pPr>
      <w:spacing w:after="120"/>
    </w:pPr>
    <w:rPr>
      <w:sz w:val="16"/>
      <w:szCs w:val="16"/>
    </w:rPr>
  </w:style>
  <w:style w:type="character" w:customStyle="1" w:styleId="Corpodeltesto3Carattere">
    <w:name w:val="Corpo del testo 3 Carattere"/>
    <w:basedOn w:val="Carpredefinitoparagrafo"/>
    <w:link w:val="Corpodeltesto3"/>
    <w:uiPriority w:val="99"/>
    <w:semiHidden/>
    <w:rsid w:val="0003148D"/>
    <w:rPr>
      <w:sz w:val="16"/>
      <w:szCs w:val="16"/>
    </w:rPr>
  </w:style>
  <w:style w:type="paragraph" w:styleId="Corpotesto">
    <w:name w:val="Body Text"/>
    <w:basedOn w:val="Normale"/>
    <w:link w:val="CorpotestoCarattere"/>
    <w:uiPriority w:val="99"/>
    <w:semiHidden/>
    <w:unhideWhenUsed/>
    <w:rsid w:val="0003148D"/>
    <w:pPr>
      <w:spacing w:after="120"/>
    </w:pPr>
  </w:style>
  <w:style w:type="character" w:customStyle="1" w:styleId="CorpotestoCarattere">
    <w:name w:val="Corpo testo Carattere"/>
    <w:basedOn w:val="Carpredefinitoparagrafo"/>
    <w:link w:val="Corpotesto"/>
    <w:uiPriority w:val="99"/>
    <w:semiHidden/>
    <w:rsid w:val="0003148D"/>
  </w:style>
  <w:style w:type="paragraph" w:styleId="Data">
    <w:name w:val="Date"/>
    <w:basedOn w:val="Normale"/>
    <w:next w:val="Normale"/>
    <w:link w:val="DataCarattere"/>
    <w:uiPriority w:val="99"/>
    <w:semiHidden/>
    <w:unhideWhenUsed/>
    <w:rsid w:val="0003148D"/>
  </w:style>
  <w:style w:type="character" w:customStyle="1" w:styleId="DataCarattere">
    <w:name w:val="Data Carattere"/>
    <w:basedOn w:val="Carpredefinitoparagrafo"/>
    <w:link w:val="Data"/>
    <w:uiPriority w:val="99"/>
    <w:semiHidden/>
    <w:rsid w:val="0003148D"/>
  </w:style>
  <w:style w:type="paragraph" w:styleId="Didascalia">
    <w:name w:val="caption"/>
    <w:basedOn w:val="Normale"/>
    <w:next w:val="Normale"/>
    <w:uiPriority w:val="35"/>
    <w:semiHidden/>
    <w:unhideWhenUsed/>
    <w:qFormat/>
    <w:rsid w:val="0003148D"/>
    <w:pPr>
      <w:spacing w:line="240" w:lineRule="auto"/>
    </w:pPr>
    <w:rPr>
      <w:b/>
      <w:bCs/>
      <w:color w:val="4F81BD" w:themeColor="accent1"/>
      <w:szCs w:val="18"/>
    </w:rPr>
  </w:style>
  <w:style w:type="paragraph" w:styleId="Elenco">
    <w:name w:val="List"/>
    <w:basedOn w:val="Normale"/>
    <w:uiPriority w:val="99"/>
    <w:semiHidden/>
    <w:unhideWhenUsed/>
    <w:rsid w:val="0003148D"/>
    <w:pPr>
      <w:ind w:left="283" w:hanging="283"/>
      <w:contextualSpacing/>
    </w:pPr>
  </w:style>
  <w:style w:type="paragraph" w:styleId="Elenco2">
    <w:name w:val="List 2"/>
    <w:basedOn w:val="Normale"/>
    <w:uiPriority w:val="99"/>
    <w:semiHidden/>
    <w:unhideWhenUsed/>
    <w:rsid w:val="0003148D"/>
    <w:pPr>
      <w:ind w:left="566" w:hanging="283"/>
      <w:contextualSpacing/>
    </w:pPr>
  </w:style>
  <w:style w:type="paragraph" w:styleId="Elenco3">
    <w:name w:val="List 3"/>
    <w:basedOn w:val="Normale"/>
    <w:uiPriority w:val="99"/>
    <w:semiHidden/>
    <w:unhideWhenUsed/>
    <w:rsid w:val="0003148D"/>
    <w:pPr>
      <w:ind w:left="849" w:hanging="283"/>
      <w:contextualSpacing/>
    </w:pPr>
  </w:style>
  <w:style w:type="paragraph" w:styleId="Elenco4">
    <w:name w:val="List 4"/>
    <w:basedOn w:val="Normale"/>
    <w:uiPriority w:val="99"/>
    <w:semiHidden/>
    <w:unhideWhenUsed/>
    <w:rsid w:val="0003148D"/>
    <w:pPr>
      <w:ind w:left="1132" w:hanging="283"/>
      <w:contextualSpacing/>
    </w:pPr>
  </w:style>
  <w:style w:type="paragraph" w:styleId="Elenco5">
    <w:name w:val="List 5"/>
    <w:basedOn w:val="Normale"/>
    <w:uiPriority w:val="99"/>
    <w:semiHidden/>
    <w:unhideWhenUsed/>
    <w:rsid w:val="0003148D"/>
    <w:pPr>
      <w:ind w:left="1415" w:hanging="283"/>
      <w:contextualSpacing/>
    </w:pPr>
  </w:style>
  <w:style w:type="paragraph" w:styleId="Elencocontinua">
    <w:name w:val="List Continue"/>
    <w:basedOn w:val="Normale"/>
    <w:uiPriority w:val="99"/>
    <w:semiHidden/>
    <w:unhideWhenUsed/>
    <w:rsid w:val="0003148D"/>
    <w:pPr>
      <w:spacing w:after="120"/>
      <w:ind w:left="283"/>
      <w:contextualSpacing/>
    </w:pPr>
  </w:style>
  <w:style w:type="paragraph" w:styleId="Elencocontinua2">
    <w:name w:val="List Continue 2"/>
    <w:basedOn w:val="Normale"/>
    <w:uiPriority w:val="99"/>
    <w:semiHidden/>
    <w:unhideWhenUsed/>
    <w:rsid w:val="0003148D"/>
    <w:pPr>
      <w:spacing w:after="120"/>
      <w:ind w:left="566"/>
      <w:contextualSpacing/>
    </w:pPr>
  </w:style>
  <w:style w:type="paragraph" w:styleId="Elencocontinua3">
    <w:name w:val="List Continue 3"/>
    <w:basedOn w:val="Normale"/>
    <w:uiPriority w:val="99"/>
    <w:semiHidden/>
    <w:unhideWhenUsed/>
    <w:rsid w:val="0003148D"/>
    <w:pPr>
      <w:spacing w:after="120"/>
      <w:ind w:left="849"/>
      <w:contextualSpacing/>
    </w:pPr>
  </w:style>
  <w:style w:type="paragraph" w:styleId="Elencocontinua4">
    <w:name w:val="List Continue 4"/>
    <w:basedOn w:val="Normale"/>
    <w:uiPriority w:val="99"/>
    <w:semiHidden/>
    <w:unhideWhenUsed/>
    <w:rsid w:val="0003148D"/>
    <w:pPr>
      <w:spacing w:after="120"/>
      <w:ind w:left="1132"/>
      <w:contextualSpacing/>
    </w:pPr>
  </w:style>
  <w:style w:type="paragraph" w:styleId="Elencocontinua5">
    <w:name w:val="List Continue 5"/>
    <w:basedOn w:val="Normale"/>
    <w:uiPriority w:val="99"/>
    <w:semiHidden/>
    <w:unhideWhenUsed/>
    <w:rsid w:val="0003148D"/>
    <w:pPr>
      <w:spacing w:after="120"/>
      <w:ind w:left="1415"/>
      <w:contextualSpacing/>
    </w:pPr>
  </w:style>
  <w:style w:type="paragraph" w:styleId="Firma">
    <w:name w:val="Signature"/>
    <w:basedOn w:val="Normale"/>
    <w:link w:val="FirmaCarattere"/>
    <w:uiPriority w:val="99"/>
    <w:semiHidden/>
    <w:unhideWhenUsed/>
    <w:rsid w:val="0003148D"/>
    <w:pPr>
      <w:spacing w:line="240" w:lineRule="auto"/>
      <w:ind w:left="4252"/>
    </w:pPr>
  </w:style>
  <w:style w:type="character" w:customStyle="1" w:styleId="FirmaCarattere">
    <w:name w:val="Firma Carattere"/>
    <w:basedOn w:val="Carpredefinitoparagrafo"/>
    <w:link w:val="Firma"/>
    <w:uiPriority w:val="99"/>
    <w:semiHidden/>
    <w:rsid w:val="0003148D"/>
  </w:style>
  <w:style w:type="paragraph" w:styleId="Firmadipostaelettronica">
    <w:name w:val="E-mail Signature"/>
    <w:basedOn w:val="Normale"/>
    <w:link w:val="FirmadipostaelettronicaCarattere"/>
    <w:uiPriority w:val="99"/>
    <w:semiHidden/>
    <w:unhideWhenUsed/>
    <w:rsid w:val="0003148D"/>
    <w:pPr>
      <w:spacing w:line="240" w:lineRule="auto"/>
    </w:pPr>
  </w:style>
  <w:style w:type="character" w:customStyle="1" w:styleId="FirmadipostaelettronicaCarattere">
    <w:name w:val="Firma di posta elettronica Carattere"/>
    <w:basedOn w:val="Carpredefinitoparagrafo"/>
    <w:link w:val="Firmadipostaelettronica"/>
    <w:uiPriority w:val="99"/>
    <w:semiHidden/>
    <w:rsid w:val="0003148D"/>
  </w:style>
  <w:style w:type="paragraph" w:styleId="Formuladiapertura">
    <w:name w:val="Salutation"/>
    <w:basedOn w:val="Normale"/>
    <w:next w:val="Normale"/>
    <w:link w:val="FormuladiaperturaCarattere"/>
    <w:uiPriority w:val="99"/>
    <w:semiHidden/>
    <w:unhideWhenUsed/>
    <w:rsid w:val="0003148D"/>
  </w:style>
  <w:style w:type="character" w:customStyle="1" w:styleId="FormuladiaperturaCarattere">
    <w:name w:val="Formula di apertura Carattere"/>
    <w:basedOn w:val="Carpredefinitoparagrafo"/>
    <w:link w:val="Formuladiapertura"/>
    <w:uiPriority w:val="99"/>
    <w:semiHidden/>
    <w:rsid w:val="0003148D"/>
  </w:style>
  <w:style w:type="paragraph" w:styleId="Formuladichiusura">
    <w:name w:val="Closing"/>
    <w:basedOn w:val="Normale"/>
    <w:link w:val="FormuladichiusuraCarattere"/>
    <w:uiPriority w:val="99"/>
    <w:semiHidden/>
    <w:unhideWhenUsed/>
    <w:rsid w:val="0003148D"/>
    <w:pPr>
      <w:spacing w:line="240" w:lineRule="auto"/>
      <w:ind w:left="4252"/>
    </w:pPr>
  </w:style>
  <w:style w:type="character" w:customStyle="1" w:styleId="FormuladichiusuraCarattere">
    <w:name w:val="Formula di chiusura Carattere"/>
    <w:basedOn w:val="Carpredefinitoparagrafo"/>
    <w:link w:val="Formuladichiusura"/>
    <w:uiPriority w:val="99"/>
    <w:semiHidden/>
    <w:rsid w:val="0003148D"/>
  </w:style>
  <w:style w:type="paragraph" w:styleId="Indice1">
    <w:name w:val="index 1"/>
    <w:basedOn w:val="Normale"/>
    <w:next w:val="Normale"/>
    <w:autoRedefine/>
    <w:uiPriority w:val="99"/>
    <w:semiHidden/>
    <w:unhideWhenUsed/>
    <w:rsid w:val="0003148D"/>
    <w:pPr>
      <w:spacing w:line="240" w:lineRule="auto"/>
      <w:ind w:left="220" w:hanging="220"/>
    </w:pPr>
  </w:style>
  <w:style w:type="paragraph" w:styleId="Indice2">
    <w:name w:val="index 2"/>
    <w:basedOn w:val="Normale"/>
    <w:next w:val="Normale"/>
    <w:autoRedefine/>
    <w:uiPriority w:val="99"/>
    <w:semiHidden/>
    <w:unhideWhenUsed/>
    <w:rsid w:val="0003148D"/>
    <w:pPr>
      <w:spacing w:line="240" w:lineRule="auto"/>
      <w:ind w:left="440" w:hanging="220"/>
    </w:pPr>
  </w:style>
  <w:style w:type="paragraph" w:styleId="Indice3">
    <w:name w:val="index 3"/>
    <w:basedOn w:val="Normale"/>
    <w:next w:val="Normale"/>
    <w:autoRedefine/>
    <w:uiPriority w:val="99"/>
    <w:semiHidden/>
    <w:unhideWhenUsed/>
    <w:rsid w:val="0003148D"/>
    <w:pPr>
      <w:spacing w:line="240" w:lineRule="auto"/>
      <w:ind w:left="660" w:hanging="220"/>
    </w:pPr>
  </w:style>
  <w:style w:type="paragraph" w:styleId="Indice4">
    <w:name w:val="index 4"/>
    <w:basedOn w:val="Normale"/>
    <w:next w:val="Normale"/>
    <w:autoRedefine/>
    <w:uiPriority w:val="99"/>
    <w:semiHidden/>
    <w:unhideWhenUsed/>
    <w:rsid w:val="0003148D"/>
    <w:pPr>
      <w:spacing w:line="240" w:lineRule="auto"/>
      <w:ind w:left="880" w:hanging="220"/>
    </w:pPr>
  </w:style>
  <w:style w:type="paragraph" w:styleId="Indice5">
    <w:name w:val="index 5"/>
    <w:basedOn w:val="Normale"/>
    <w:next w:val="Normale"/>
    <w:autoRedefine/>
    <w:uiPriority w:val="99"/>
    <w:semiHidden/>
    <w:unhideWhenUsed/>
    <w:rsid w:val="0003148D"/>
    <w:pPr>
      <w:spacing w:line="240" w:lineRule="auto"/>
      <w:ind w:left="1100" w:hanging="220"/>
    </w:pPr>
  </w:style>
  <w:style w:type="paragraph" w:styleId="Indice6">
    <w:name w:val="index 6"/>
    <w:basedOn w:val="Normale"/>
    <w:next w:val="Normale"/>
    <w:autoRedefine/>
    <w:uiPriority w:val="99"/>
    <w:semiHidden/>
    <w:unhideWhenUsed/>
    <w:rsid w:val="0003148D"/>
    <w:pPr>
      <w:spacing w:line="240" w:lineRule="auto"/>
      <w:ind w:left="1320" w:hanging="220"/>
    </w:pPr>
  </w:style>
  <w:style w:type="paragraph" w:styleId="Indice7">
    <w:name w:val="index 7"/>
    <w:basedOn w:val="Normale"/>
    <w:next w:val="Normale"/>
    <w:autoRedefine/>
    <w:uiPriority w:val="99"/>
    <w:semiHidden/>
    <w:unhideWhenUsed/>
    <w:rsid w:val="0003148D"/>
    <w:pPr>
      <w:spacing w:line="240" w:lineRule="auto"/>
      <w:ind w:left="1540" w:hanging="220"/>
    </w:pPr>
  </w:style>
  <w:style w:type="paragraph" w:styleId="Indice8">
    <w:name w:val="index 8"/>
    <w:basedOn w:val="Normale"/>
    <w:next w:val="Normale"/>
    <w:autoRedefine/>
    <w:uiPriority w:val="99"/>
    <w:semiHidden/>
    <w:unhideWhenUsed/>
    <w:rsid w:val="0003148D"/>
    <w:pPr>
      <w:spacing w:line="240" w:lineRule="auto"/>
      <w:ind w:left="1760" w:hanging="220"/>
    </w:pPr>
  </w:style>
  <w:style w:type="paragraph" w:styleId="Indice9">
    <w:name w:val="index 9"/>
    <w:basedOn w:val="Normale"/>
    <w:next w:val="Normale"/>
    <w:autoRedefine/>
    <w:uiPriority w:val="99"/>
    <w:semiHidden/>
    <w:unhideWhenUsed/>
    <w:rsid w:val="0003148D"/>
    <w:pPr>
      <w:spacing w:line="240" w:lineRule="auto"/>
      <w:ind w:left="1980" w:hanging="220"/>
    </w:pPr>
  </w:style>
  <w:style w:type="paragraph" w:styleId="Indicedellefigure">
    <w:name w:val="table of figures"/>
    <w:basedOn w:val="Normale"/>
    <w:next w:val="Normale"/>
    <w:uiPriority w:val="99"/>
    <w:semiHidden/>
    <w:unhideWhenUsed/>
    <w:rsid w:val="0003148D"/>
  </w:style>
  <w:style w:type="paragraph" w:styleId="Indicefonti">
    <w:name w:val="table of authorities"/>
    <w:basedOn w:val="Normale"/>
    <w:next w:val="Normale"/>
    <w:uiPriority w:val="99"/>
    <w:semiHidden/>
    <w:unhideWhenUsed/>
    <w:rsid w:val="0003148D"/>
    <w:pPr>
      <w:ind w:left="220" w:hanging="220"/>
    </w:pPr>
  </w:style>
  <w:style w:type="paragraph" w:styleId="Indirizzodestinatario">
    <w:name w:val="envelope address"/>
    <w:basedOn w:val="Normale"/>
    <w:uiPriority w:val="99"/>
    <w:semiHidden/>
    <w:unhideWhenUsed/>
    <w:rsid w:val="0003148D"/>
    <w:pPr>
      <w:framePr w:w="7920" w:h="1980" w:hRule="exact" w:hSpace="180" w:wrap="auto" w:hAnchor="page" w:xAlign="center" w:yAlign="bottom"/>
      <w:spacing w:line="240" w:lineRule="auto"/>
      <w:ind w:left="2880"/>
    </w:pPr>
    <w:rPr>
      <w:rFonts w:asciiTheme="majorHAnsi" w:eastAsiaTheme="majorEastAsia" w:hAnsiTheme="majorHAnsi" w:cstheme="majorBidi"/>
      <w:sz w:val="24"/>
      <w:szCs w:val="24"/>
    </w:rPr>
  </w:style>
  <w:style w:type="paragraph" w:styleId="IndirizzoHTML">
    <w:name w:val="HTML Address"/>
    <w:basedOn w:val="Normale"/>
    <w:link w:val="IndirizzoHTMLCarattere"/>
    <w:uiPriority w:val="99"/>
    <w:semiHidden/>
    <w:unhideWhenUsed/>
    <w:rsid w:val="0003148D"/>
    <w:pPr>
      <w:spacing w:line="240" w:lineRule="auto"/>
    </w:pPr>
    <w:rPr>
      <w:i/>
      <w:iCs/>
    </w:rPr>
  </w:style>
  <w:style w:type="character" w:customStyle="1" w:styleId="IndirizzoHTMLCarattere">
    <w:name w:val="Indirizzo HTML Carattere"/>
    <w:basedOn w:val="Carpredefinitoparagrafo"/>
    <w:link w:val="IndirizzoHTML"/>
    <w:uiPriority w:val="99"/>
    <w:semiHidden/>
    <w:rsid w:val="0003148D"/>
    <w:rPr>
      <w:i/>
      <w:iCs/>
    </w:rPr>
  </w:style>
  <w:style w:type="paragraph" w:styleId="Indirizzomittente">
    <w:name w:val="envelope return"/>
    <w:basedOn w:val="Normale"/>
    <w:uiPriority w:val="99"/>
    <w:semiHidden/>
    <w:unhideWhenUsed/>
    <w:rsid w:val="0003148D"/>
    <w:pPr>
      <w:spacing w:line="240" w:lineRule="auto"/>
    </w:pPr>
    <w:rPr>
      <w:rFonts w:asciiTheme="majorHAnsi" w:eastAsiaTheme="majorEastAsia" w:hAnsiTheme="majorHAnsi" w:cstheme="majorBidi"/>
    </w:rPr>
  </w:style>
  <w:style w:type="paragraph" w:styleId="Intestazionemessaggio">
    <w:name w:val="Message Header"/>
    <w:basedOn w:val="Normale"/>
    <w:link w:val="IntestazionemessaggioCarattere"/>
    <w:uiPriority w:val="99"/>
    <w:semiHidden/>
    <w:unhideWhenUsed/>
    <w:rsid w:val="0003148D"/>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IntestazionemessaggioCarattere">
    <w:name w:val="Intestazione messaggio Carattere"/>
    <w:basedOn w:val="Carpredefinitoparagrafo"/>
    <w:link w:val="Intestazionemessaggio"/>
    <w:uiPriority w:val="99"/>
    <w:semiHidden/>
    <w:rsid w:val="0003148D"/>
    <w:rPr>
      <w:rFonts w:asciiTheme="majorHAnsi" w:eastAsiaTheme="majorEastAsia" w:hAnsiTheme="majorHAnsi" w:cstheme="majorBidi"/>
      <w:sz w:val="24"/>
      <w:szCs w:val="24"/>
      <w:shd w:val="pct20" w:color="auto" w:fill="auto"/>
    </w:rPr>
  </w:style>
  <w:style w:type="paragraph" w:styleId="Intestazionenota">
    <w:name w:val="Note Heading"/>
    <w:basedOn w:val="Normale"/>
    <w:next w:val="Normale"/>
    <w:link w:val="IntestazionenotaCarattere"/>
    <w:uiPriority w:val="99"/>
    <w:semiHidden/>
    <w:unhideWhenUsed/>
    <w:rsid w:val="0003148D"/>
    <w:pPr>
      <w:spacing w:line="240" w:lineRule="auto"/>
    </w:pPr>
  </w:style>
  <w:style w:type="character" w:customStyle="1" w:styleId="IntestazionenotaCarattere">
    <w:name w:val="Intestazione nota Carattere"/>
    <w:basedOn w:val="Carpredefinitoparagrafo"/>
    <w:link w:val="Intestazionenota"/>
    <w:uiPriority w:val="99"/>
    <w:semiHidden/>
    <w:rsid w:val="0003148D"/>
  </w:style>
  <w:style w:type="paragraph" w:styleId="Mappadocumento">
    <w:name w:val="Document Map"/>
    <w:basedOn w:val="Normale"/>
    <w:link w:val="MappadocumentoCarattere"/>
    <w:uiPriority w:val="99"/>
    <w:semiHidden/>
    <w:unhideWhenUsed/>
    <w:rsid w:val="0003148D"/>
    <w:pPr>
      <w:spacing w:line="240" w:lineRule="auto"/>
    </w:pPr>
    <w:rPr>
      <w:rFonts w:ascii="Tahoma" w:hAnsi="Tahoma" w:cs="Tahoma"/>
      <w:sz w:val="16"/>
      <w:szCs w:val="16"/>
    </w:rPr>
  </w:style>
  <w:style w:type="character" w:customStyle="1" w:styleId="MappadocumentoCarattere">
    <w:name w:val="Mappa documento Carattere"/>
    <w:basedOn w:val="Carpredefinitoparagrafo"/>
    <w:link w:val="Mappadocumento"/>
    <w:uiPriority w:val="99"/>
    <w:semiHidden/>
    <w:rsid w:val="0003148D"/>
    <w:rPr>
      <w:rFonts w:ascii="Tahoma" w:hAnsi="Tahoma" w:cs="Tahoma"/>
      <w:sz w:val="16"/>
      <w:szCs w:val="16"/>
    </w:rPr>
  </w:style>
  <w:style w:type="paragraph" w:styleId="NormaleWeb">
    <w:name w:val="Normal (Web)"/>
    <w:basedOn w:val="Normale"/>
    <w:uiPriority w:val="99"/>
    <w:semiHidden/>
    <w:unhideWhenUsed/>
    <w:rsid w:val="0003148D"/>
    <w:rPr>
      <w:sz w:val="24"/>
      <w:szCs w:val="24"/>
    </w:rPr>
  </w:style>
  <w:style w:type="paragraph" w:styleId="Numeroelenco">
    <w:name w:val="List Number"/>
    <w:basedOn w:val="Normale"/>
    <w:uiPriority w:val="99"/>
    <w:semiHidden/>
    <w:unhideWhenUsed/>
    <w:rsid w:val="0003148D"/>
    <w:pPr>
      <w:numPr>
        <w:numId w:val="2"/>
      </w:numPr>
      <w:contextualSpacing/>
    </w:pPr>
  </w:style>
  <w:style w:type="paragraph" w:styleId="Numeroelenco2">
    <w:name w:val="List Number 2"/>
    <w:basedOn w:val="Normale"/>
    <w:uiPriority w:val="99"/>
    <w:semiHidden/>
    <w:unhideWhenUsed/>
    <w:rsid w:val="0003148D"/>
    <w:pPr>
      <w:numPr>
        <w:numId w:val="3"/>
      </w:numPr>
      <w:contextualSpacing/>
    </w:pPr>
  </w:style>
  <w:style w:type="paragraph" w:styleId="Numeroelenco3">
    <w:name w:val="List Number 3"/>
    <w:basedOn w:val="Normale"/>
    <w:uiPriority w:val="99"/>
    <w:semiHidden/>
    <w:unhideWhenUsed/>
    <w:rsid w:val="0003148D"/>
    <w:pPr>
      <w:numPr>
        <w:numId w:val="4"/>
      </w:numPr>
      <w:contextualSpacing/>
    </w:pPr>
  </w:style>
  <w:style w:type="paragraph" w:styleId="Numeroelenco4">
    <w:name w:val="List Number 4"/>
    <w:basedOn w:val="Normale"/>
    <w:uiPriority w:val="99"/>
    <w:semiHidden/>
    <w:unhideWhenUsed/>
    <w:rsid w:val="0003148D"/>
    <w:pPr>
      <w:numPr>
        <w:numId w:val="5"/>
      </w:numPr>
      <w:contextualSpacing/>
    </w:pPr>
  </w:style>
  <w:style w:type="paragraph" w:styleId="Numeroelenco5">
    <w:name w:val="List Number 5"/>
    <w:basedOn w:val="Normale"/>
    <w:uiPriority w:val="99"/>
    <w:semiHidden/>
    <w:unhideWhenUsed/>
    <w:rsid w:val="0003148D"/>
    <w:pPr>
      <w:numPr>
        <w:numId w:val="6"/>
      </w:numPr>
      <w:contextualSpacing/>
    </w:pPr>
  </w:style>
  <w:style w:type="paragraph" w:styleId="PreformattatoHTML">
    <w:name w:val="HTML Preformatted"/>
    <w:basedOn w:val="Normale"/>
    <w:link w:val="PreformattatoHTMLCarattere"/>
    <w:uiPriority w:val="99"/>
    <w:semiHidden/>
    <w:unhideWhenUsed/>
    <w:rsid w:val="0003148D"/>
    <w:pPr>
      <w:spacing w:line="240" w:lineRule="auto"/>
    </w:pPr>
    <w:rPr>
      <w:rFonts w:ascii="Consolas" w:hAnsi="Consolas" w:cs="Consolas"/>
    </w:rPr>
  </w:style>
  <w:style w:type="character" w:customStyle="1" w:styleId="PreformattatoHTMLCarattere">
    <w:name w:val="Preformattato HTML Carattere"/>
    <w:basedOn w:val="Carpredefinitoparagrafo"/>
    <w:link w:val="PreformattatoHTML"/>
    <w:uiPriority w:val="99"/>
    <w:semiHidden/>
    <w:rsid w:val="0003148D"/>
    <w:rPr>
      <w:rFonts w:ascii="Consolas" w:hAnsi="Consolas" w:cs="Consolas"/>
      <w:sz w:val="20"/>
      <w:szCs w:val="20"/>
    </w:rPr>
  </w:style>
  <w:style w:type="paragraph" w:styleId="Primorientrocorpodeltesto">
    <w:name w:val="Body Text First Indent"/>
    <w:basedOn w:val="Corpotesto"/>
    <w:link w:val="PrimorientrocorpodeltestoCarattere"/>
    <w:uiPriority w:val="99"/>
    <w:semiHidden/>
    <w:unhideWhenUsed/>
    <w:rsid w:val="0003148D"/>
    <w:pPr>
      <w:spacing w:after="200"/>
      <w:ind w:firstLine="360"/>
    </w:pPr>
  </w:style>
  <w:style w:type="character" w:customStyle="1" w:styleId="PrimorientrocorpodeltestoCarattere">
    <w:name w:val="Primo rientro corpo del testo Carattere"/>
    <w:basedOn w:val="CorpotestoCarattere"/>
    <w:link w:val="Primorientrocorpodeltesto"/>
    <w:uiPriority w:val="99"/>
    <w:semiHidden/>
    <w:rsid w:val="0003148D"/>
  </w:style>
  <w:style w:type="paragraph" w:styleId="Rientrocorpodeltesto">
    <w:name w:val="Body Text Indent"/>
    <w:basedOn w:val="Normale"/>
    <w:link w:val="RientrocorpodeltestoCarattere"/>
    <w:uiPriority w:val="99"/>
    <w:semiHidden/>
    <w:unhideWhenUsed/>
    <w:rsid w:val="0003148D"/>
    <w:pPr>
      <w:spacing w:after="120"/>
      <w:ind w:left="283"/>
    </w:pPr>
  </w:style>
  <w:style w:type="character" w:customStyle="1" w:styleId="RientrocorpodeltestoCarattere">
    <w:name w:val="Rientro corpo del testo Carattere"/>
    <w:basedOn w:val="Carpredefinitoparagrafo"/>
    <w:link w:val="Rientrocorpodeltesto"/>
    <w:uiPriority w:val="99"/>
    <w:semiHidden/>
    <w:rsid w:val="0003148D"/>
  </w:style>
  <w:style w:type="paragraph" w:styleId="Primorientrocorpodeltesto2">
    <w:name w:val="Body Text First Indent 2"/>
    <w:basedOn w:val="Rientrocorpodeltesto"/>
    <w:link w:val="Primorientrocorpodeltesto2Carattere"/>
    <w:uiPriority w:val="99"/>
    <w:semiHidden/>
    <w:unhideWhenUsed/>
    <w:rsid w:val="0003148D"/>
    <w:pPr>
      <w:spacing w:after="200"/>
      <w:ind w:left="360" w:firstLine="360"/>
    </w:pPr>
  </w:style>
  <w:style w:type="character" w:customStyle="1" w:styleId="Primorientrocorpodeltesto2Carattere">
    <w:name w:val="Primo rientro corpo del testo 2 Carattere"/>
    <w:basedOn w:val="RientrocorpodeltestoCarattere"/>
    <w:link w:val="Primorientrocorpodeltesto2"/>
    <w:uiPriority w:val="99"/>
    <w:semiHidden/>
    <w:rsid w:val="0003148D"/>
  </w:style>
  <w:style w:type="paragraph" w:styleId="Puntoelenco">
    <w:name w:val="List Bullet"/>
    <w:basedOn w:val="Normale"/>
    <w:uiPriority w:val="99"/>
    <w:semiHidden/>
    <w:unhideWhenUsed/>
    <w:rsid w:val="0003148D"/>
    <w:pPr>
      <w:numPr>
        <w:numId w:val="7"/>
      </w:numPr>
      <w:contextualSpacing/>
    </w:pPr>
  </w:style>
  <w:style w:type="paragraph" w:styleId="Puntoelenco2">
    <w:name w:val="List Bullet 2"/>
    <w:basedOn w:val="Normale"/>
    <w:uiPriority w:val="99"/>
    <w:semiHidden/>
    <w:unhideWhenUsed/>
    <w:rsid w:val="0003148D"/>
    <w:pPr>
      <w:numPr>
        <w:numId w:val="8"/>
      </w:numPr>
      <w:contextualSpacing/>
    </w:pPr>
  </w:style>
  <w:style w:type="paragraph" w:styleId="Puntoelenco3">
    <w:name w:val="List Bullet 3"/>
    <w:basedOn w:val="Normale"/>
    <w:uiPriority w:val="99"/>
    <w:semiHidden/>
    <w:unhideWhenUsed/>
    <w:rsid w:val="0003148D"/>
    <w:pPr>
      <w:numPr>
        <w:numId w:val="9"/>
      </w:numPr>
      <w:contextualSpacing/>
    </w:pPr>
  </w:style>
  <w:style w:type="paragraph" w:styleId="Puntoelenco4">
    <w:name w:val="List Bullet 4"/>
    <w:basedOn w:val="Normale"/>
    <w:uiPriority w:val="99"/>
    <w:semiHidden/>
    <w:unhideWhenUsed/>
    <w:rsid w:val="0003148D"/>
    <w:pPr>
      <w:numPr>
        <w:numId w:val="10"/>
      </w:numPr>
      <w:contextualSpacing/>
    </w:pPr>
  </w:style>
  <w:style w:type="paragraph" w:styleId="Puntoelenco5">
    <w:name w:val="List Bullet 5"/>
    <w:basedOn w:val="Normale"/>
    <w:uiPriority w:val="99"/>
    <w:semiHidden/>
    <w:unhideWhenUsed/>
    <w:rsid w:val="0003148D"/>
    <w:pPr>
      <w:numPr>
        <w:numId w:val="11"/>
      </w:numPr>
      <w:contextualSpacing/>
    </w:pPr>
  </w:style>
  <w:style w:type="paragraph" w:styleId="Rientrocorpodeltesto2">
    <w:name w:val="Body Text Indent 2"/>
    <w:basedOn w:val="Normale"/>
    <w:link w:val="Rientrocorpodeltesto2Carattere"/>
    <w:uiPriority w:val="99"/>
    <w:semiHidden/>
    <w:unhideWhenUsed/>
    <w:rsid w:val="0003148D"/>
    <w:pPr>
      <w:spacing w:after="120" w:line="480" w:lineRule="auto"/>
      <w:ind w:left="283"/>
    </w:pPr>
  </w:style>
  <w:style w:type="character" w:customStyle="1" w:styleId="Rientrocorpodeltesto2Carattere">
    <w:name w:val="Rientro corpo del testo 2 Carattere"/>
    <w:basedOn w:val="Carpredefinitoparagrafo"/>
    <w:link w:val="Rientrocorpodeltesto2"/>
    <w:uiPriority w:val="99"/>
    <w:semiHidden/>
    <w:rsid w:val="0003148D"/>
  </w:style>
  <w:style w:type="paragraph" w:styleId="Rientrocorpodeltesto3">
    <w:name w:val="Body Text Indent 3"/>
    <w:basedOn w:val="Normale"/>
    <w:link w:val="Rientrocorpodeltesto3Carattere"/>
    <w:uiPriority w:val="99"/>
    <w:semiHidden/>
    <w:unhideWhenUsed/>
    <w:rsid w:val="0003148D"/>
    <w:pPr>
      <w:spacing w:after="120"/>
      <w:ind w:left="283"/>
    </w:pPr>
    <w:rPr>
      <w:sz w:val="16"/>
      <w:szCs w:val="16"/>
    </w:rPr>
  </w:style>
  <w:style w:type="character" w:customStyle="1" w:styleId="Rientrocorpodeltesto3Carattere">
    <w:name w:val="Rientro corpo del testo 3 Carattere"/>
    <w:basedOn w:val="Carpredefinitoparagrafo"/>
    <w:link w:val="Rientrocorpodeltesto3"/>
    <w:uiPriority w:val="99"/>
    <w:semiHidden/>
    <w:rsid w:val="0003148D"/>
    <w:rPr>
      <w:sz w:val="16"/>
      <w:szCs w:val="16"/>
    </w:rPr>
  </w:style>
  <w:style w:type="paragraph" w:styleId="Rientronormale">
    <w:name w:val="Normal Indent"/>
    <w:basedOn w:val="Normale"/>
    <w:uiPriority w:val="99"/>
    <w:semiHidden/>
    <w:unhideWhenUsed/>
    <w:rsid w:val="0003148D"/>
    <w:pPr>
      <w:ind w:left="720"/>
    </w:pPr>
  </w:style>
  <w:style w:type="paragraph" w:styleId="Testocommento">
    <w:name w:val="annotation text"/>
    <w:basedOn w:val="Normale"/>
    <w:link w:val="TestocommentoCarattere"/>
    <w:uiPriority w:val="99"/>
    <w:unhideWhenUsed/>
    <w:rsid w:val="0003148D"/>
    <w:pPr>
      <w:spacing w:line="240" w:lineRule="auto"/>
    </w:pPr>
  </w:style>
  <w:style w:type="character" w:customStyle="1" w:styleId="TestocommentoCarattere">
    <w:name w:val="Testo commento Carattere"/>
    <w:basedOn w:val="Carpredefinitoparagrafo"/>
    <w:link w:val="Testocommento"/>
    <w:uiPriority w:val="99"/>
    <w:rsid w:val="0003148D"/>
    <w:rPr>
      <w:sz w:val="20"/>
      <w:szCs w:val="20"/>
    </w:rPr>
  </w:style>
  <w:style w:type="paragraph" w:styleId="Soggettocommento">
    <w:name w:val="annotation subject"/>
    <w:basedOn w:val="Testocommento"/>
    <w:next w:val="Testocommento"/>
    <w:link w:val="SoggettocommentoCarattere"/>
    <w:uiPriority w:val="99"/>
    <w:semiHidden/>
    <w:unhideWhenUsed/>
    <w:rsid w:val="0003148D"/>
    <w:rPr>
      <w:b/>
      <w:bCs/>
    </w:rPr>
  </w:style>
  <w:style w:type="character" w:customStyle="1" w:styleId="SoggettocommentoCarattere">
    <w:name w:val="Soggetto commento Carattere"/>
    <w:basedOn w:val="TestocommentoCarattere"/>
    <w:link w:val="Soggettocommento"/>
    <w:uiPriority w:val="99"/>
    <w:semiHidden/>
    <w:rsid w:val="0003148D"/>
    <w:rPr>
      <w:b/>
      <w:bCs/>
      <w:sz w:val="20"/>
      <w:szCs w:val="20"/>
    </w:rPr>
  </w:style>
  <w:style w:type="paragraph" w:styleId="Sommario1">
    <w:name w:val="toc 1"/>
    <w:basedOn w:val="Normale"/>
    <w:next w:val="Normale"/>
    <w:autoRedefine/>
    <w:uiPriority w:val="39"/>
    <w:semiHidden/>
    <w:unhideWhenUsed/>
    <w:rsid w:val="0003148D"/>
    <w:pPr>
      <w:spacing w:after="100"/>
    </w:pPr>
  </w:style>
  <w:style w:type="paragraph" w:styleId="Sommario2">
    <w:name w:val="toc 2"/>
    <w:basedOn w:val="Normale"/>
    <w:next w:val="Normale"/>
    <w:autoRedefine/>
    <w:uiPriority w:val="39"/>
    <w:semiHidden/>
    <w:unhideWhenUsed/>
    <w:rsid w:val="0003148D"/>
    <w:pPr>
      <w:spacing w:after="100"/>
      <w:ind w:left="220"/>
    </w:pPr>
  </w:style>
  <w:style w:type="paragraph" w:styleId="Sommario3">
    <w:name w:val="toc 3"/>
    <w:basedOn w:val="Normale"/>
    <w:next w:val="Normale"/>
    <w:autoRedefine/>
    <w:uiPriority w:val="39"/>
    <w:semiHidden/>
    <w:unhideWhenUsed/>
    <w:rsid w:val="0003148D"/>
    <w:pPr>
      <w:spacing w:after="100"/>
      <w:ind w:left="440"/>
    </w:pPr>
  </w:style>
  <w:style w:type="paragraph" w:styleId="Sommario4">
    <w:name w:val="toc 4"/>
    <w:basedOn w:val="Normale"/>
    <w:next w:val="Normale"/>
    <w:autoRedefine/>
    <w:uiPriority w:val="39"/>
    <w:semiHidden/>
    <w:unhideWhenUsed/>
    <w:rsid w:val="0003148D"/>
    <w:pPr>
      <w:spacing w:after="100"/>
      <w:ind w:left="660"/>
    </w:pPr>
  </w:style>
  <w:style w:type="paragraph" w:styleId="Sommario5">
    <w:name w:val="toc 5"/>
    <w:basedOn w:val="Normale"/>
    <w:next w:val="Normale"/>
    <w:autoRedefine/>
    <w:uiPriority w:val="39"/>
    <w:semiHidden/>
    <w:unhideWhenUsed/>
    <w:rsid w:val="0003148D"/>
    <w:pPr>
      <w:spacing w:after="100"/>
      <w:ind w:left="880"/>
    </w:pPr>
  </w:style>
  <w:style w:type="paragraph" w:styleId="Sommario6">
    <w:name w:val="toc 6"/>
    <w:basedOn w:val="Normale"/>
    <w:next w:val="Normale"/>
    <w:autoRedefine/>
    <w:uiPriority w:val="39"/>
    <w:semiHidden/>
    <w:unhideWhenUsed/>
    <w:rsid w:val="0003148D"/>
    <w:pPr>
      <w:spacing w:after="100"/>
      <w:ind w:left="1100"/>
    </w:pPr>
  </w:style>
  <w:style w:type="paragraph" w:styleId="Sommario7">
    <w:name w:val="toc 7"/>
    <w:basedOn w:val="Normale"/>
    <w:next w:val="Normale"/>
    <w:autoRedefine/>
    <w:uiPriority w:val="39"/>
    <w:semiHidden/>
    <w:unhideWhenUsed/>
    <w:rsid w:val="0003148D"/>
    <w:pPr>
      <w:spacing w:after="100"/>
      <w:ind w:left="1320"/>
    </w:pPr>
  </w:style>
  <w:style w:type="paragraph" w:styleId="Sommario8">
    <w:name w:val="toc 8"/>
    <w:basedOn w:val="Normale"/>
    <w:next w:val="Normale"/>
    <w:autoRedefine/>
    <w:uiPriority w:val="39"/>
    <w:semiHidden/>
    <w:unhideWhenUsed/>
    <w:rsid w:val="0003148D"/>
    <w:pPr>
      <w:spacing w:after="100"/>
      <w:ind w:left="1540"/>
    </w:pPr>
  </w:style>
  <w:style w:type="paragraph" w:styleId="Sommario9">
    <w:name w:val="toc 9"/>
    <w:basedOn w:val="Normale"/>
    <w:next w:val="Normale"/>
    <w:autoRedefine/>
    <w:uiPriority w:val="39"/>
    <w:semiHidden/>
    <w:unhideWhenUsed/>
    <w:rsid w:val="0003148D"/>
    <w:pPr>
      <w:spacing w:after="100"/>
      <w:ind w:left="1760"/>
    </w:pPr>
  </w:style>
  <w:style w:type="paragraph" w:styleId="Testodelblocco">
    <w:name w:val="Block Text"/>
    <w:basedOn w:val="Normale"/>
    <w:uiPriority w:val="99"/>
    <w:semiHidden/>
    <w:unhideWhenUsed/>
    <w:rsid w:val="0003148D"/>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styleId="Testomacro">
    <w:name w:val="macro"/>
    <w:link w:val="TestomacroCarattere"/>
    <w:uiPriority w:val="99"/>
    <w:semiHidden/>
    <w:unhideWhenUsed/>
    <w:rsid w:val="0003148D"/>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TestomacroCarattere">
    <w:name w:val="Testo macro Carattere"/>
    <w:basedOn w:val="Carpredefinitoparagrafo"/>
    <w:link w:val="Testomacro"/>
    <w:uiPriority w:val="99"/>
    <w:semiHidden/>
    <w:rsid w:val="0003148D"/>
    <w:rPr>
      <w:rFonts w:ascii="Consolas" w:hAnsi="Consolas" w:cs="Consolas"/>
      <w:sz w:val="20"/>
      <w:szCs w:val="20"/>
    </w:rPr>
  </w:style>
  <w:style w:type="paragraph" w:styleId="Testonormale">
    <w:name w:val="Plain Text"/>
    <w:basedOn w:val="Normale"/>
    <w:link w:val="TestonormaleCarattere"/>
    <w:uiPriority w:val="99"/>
    <w:semiHidden/>
    <w:unhideWhenUsed/>
    <w:rsid w:val="0003148D"/>
    <w:pPr>
      <w:spacing w:line="240" w:lineRule="auto"/>
    </w:pPr>
    <w:rPr>
      <w:rFonts w:ascii="Consolas" w:hAnsi="Consolas" w:cs="Consolas"/>
      <w:sz w:val="21"/>
      <w:szCs w:val="21"/>
    </w:rPr>
  </w:style>
  <w:style w:type="character" w:customStyle="1" w:styleId="TestonormaleCarattere">
    <w:name w:val="Testo normale Carattere"/>
    <w:basedOn w:val="Carpredefinitoparagrafo"/>
    <w:link w:val="Testonormale"/>
    <w:uiPriority w:val="99"/>
    <w:semiHidden/>
    <w:rsid w:val="0003148D"/>
    <w:rPr>
      <w:rFonts w:ascii="Consolas" w:hAnsi="Consolas" w:cs="Consolas"/>
      <w:sz w:val="21"/>
      <w:szCs w:val="21"/>
    </w:rPr>
  </w:style>
  <w:style w:type="paragraph" w:styleId="Testonotaapidipagina">
    <w:name w:val="footnote text"/>
    <w:basedOn w:val="Normale"/>
    <w:link w:val="TestonotaapidipaginaCarattere"/>
    <w:uiPriority w:val="99"/>
    <w:semiHidden/>
    <w:unhideWhenUsed/>
    <w:rsid w:val="0003148D"/>
    <w:pPr>
      <w:spacing w:line="240" w:lineRule="auto"/>
    </w:pPr>
  </w:style>
  <w:style w:type="character" w:customStyle="1" w:styleId="TestonotaapidipaginaCarattere">
    <w:name w:val="Testo nota a piè di pagina Carattere"/>
    <w:basedOn w:val="Carpredefinitoparagrafo"/>
    <w:link w:val="Testonotaapidipagina"/>
    <w:uiPriority w:val="99"/>
    <w:semiHidden/>
    <w:rsid w:val="0003148D"/>
    <w:rPr>
      <w:sz w:val="20"/>
      <w:szCs w:val="20"/>
    </w:rPr>
  </w:style>
  <w:style w:type="paragraph" w:styleId="Testonotadichiusura">
    <w:name w:val="endnote text"/>
    <w:basedOn w:val="Normale"/>
    <w:link w:val="TestonotadichiusuraCarattere"/>
    <w:uiPriority w:val="99"/>
    <w:semiHidden/>
    <w:unhideWhenUsed/>
    <w:rsid w:val="0003148D"/>
    <w:pPr>
      <w:spacing w:line="240" w:lineRule="auto"/>
    </w:pPr>
  </w:style>
  <w:style w:type="character" w:customStyle="1" w:styleId="TestonotadichiusuraCarattere">
    <w:name w:val="Testo nota di chiusura Carattere"/>
    <w:basedOn w:val="Carpredefinitoparagrafo"/>
    <w:link w:val="Testonotadichiusura"/>
    <w:uiPriority w:val="99"/>
    <w:semiHidden/>
    <w:rsid w:val="0003148D"/>
    <w:rPr>
      <w:sz w:val="20"/>
      <w:szCs w:val="20"/>
    </w:rPr>
  </w:style>
  <w:style w:type="character" w:customStyle="1" w:styleId="Titolo1Carattere">
    <w:name w:val="Titolo 1 Carattere"/>
    <w:basedOn w:val="Carpredefinitoparagrafo"/>
    <w:link w:val="Titolo1"/>
    <w:uiPriority w:val="9"/>
    <w:rsid w:val="004F5E36"/>
    <w:rPr>
      <w:rFonts w:ascii="Arial" w:eastAsia="Times New Roman" w:hAnsi="Arial" w:cs="Times New Roman"/>
      <w:b/>
      <w:sz w:val="20"/>
      <w:szCs w:val="20"/>
      <w:lang w:val="en-GB"/>
    </w:rPr>
  </w:style>
  <w:style w:type="character" w:customStyle="1" w:styleId="Titolo2Carattere">
    <w:name w:val="Titolo 2 Carattere"/>
    <w:basedOn w:val="Carpredefinitoparagrafo"/>
    <w:link w:val="Titolo2"/>
    <w:uiPriority w:val="9"/>
    <w:semiHidden/>
    <w:rsid w:val="0003148D"/>
    <w:rPr>
      <w:rFonts w:asciiTheme="majorHAnsi" w:eastAsiaTheme="majorEastAsia" w:hAnsiTheme="majorHAnsi" w:cstheme="majorBidi"/>
      <w:b/>
      <w:bCs/>
      <w:color w:val="4F81BD" w:themeColor="accent1"/>
      <w:sz w:val="26"/>
      <w:szCs w:val="26"/>
    </w:rPr>
  </w:style>
  <w:style w:type="character" w:customStyle="1" w:styleId="Titolo3Carattere">
    <w:name w:val="Titolo 3 Carattere"/>
    <w:basedOn w:val="Carpredefinitoparagrafo"/>
    <w:link w:val="Titolo3"/>
    <w:uiPriority w:val="9"/>
    <w:semiHidden/>
    <w:rsid w:val="0003148D"/>
    <w:rPr>
      <w:rFonts w:asciiTheme="majorHAnsi" w:eastAsiaTheme="majorEastAsia" w:hAnsiTheme="majorHAnsi" w:cstheme="majorBidi"/>
      <w:b/>
      <w:bCs/>
      <w:color w:val="4F81BD" w:themeColor="accent1"/>
    </w:rPr>
  </w:style>
  <w:style w:type="character" w:customStyle="1" w:styleId="Titolo4Carattere">
    <w:name w:val="Titolo 4 Carattere"/>
    <w:basedOn w:val="Carpredefinitoparagrafo"/>
    <w:link w:val="Titolo4"/>
    <w:uiPriority w:val="9"/>
    <w:semiHidden/>
    <w:rsid w:val="0003148D"/>
    <w:rPr>
      <w:rFonts w:asciiTheme="majorHAnsi" w:eastAsiaTheme="majorEastAsia" w:hAnsiTheme="majorHAnsi" w:cstheme="majorBidi"/>
      <w:b/>
      <w:bCs/>
      <w:i/>
      <w:iCs/>
      <w:color w:val="4F81BD" w:themeColor="accent1"/>
    </w:rPr>
  </w:style>
  <w:style w:type="character" w:customStyle="1" w:styleId="Titolo5Carattere">
    <w:name w:val="Titolo 5 Carattere"/>
    <w:basedOn w:val="Carpredefinitoparagrafo"/>
    <w:link w:val="Titolo5"/>
    <w:uiPriority w:val="9"/>
    <w:semiHidden/>
    <w:rsid w:val="0003148D"/>
    <w:rPr>
      <w:rFonts w:asciiTheme="majorHAnsi" w:eastAsiaTheme="majorEastAsia" w:hAnsiTheme="majorHAnsi" w:cstheme="majorBidi"/>
      <w:color w:val="243F60" w:themeColor="accent1" w:themeShade="7F"/>
    </w:rPr>
  </w:style>
  <w:style w:type="character" w:customStyle="1" w:styleId="Titolo6Carattere">
    <w:name w:val="Titolo 6 Carattere"/>
    <w:basedOn w:val="Carpredefinitoparagrafo"/>
    <w:link w:val="Titolo6"/>
    <w:uiPriority w:val="9"/>
    <w:semiHidden/>
    <w:rsid w:val="0003148D"/>
    <w:rPr>
      <w:rFonts w:asciiTheme="majorHAnsi" w:eastAsiaTheme="majorEastAsia" w:hAnsiTheme="majorHAnsi" w:cstheme="majorBidi"/>
      <w:i/>
      <w:iCs/>
      <w:color w:val="243F60" w:themeColor="accent1" w:themeShade="7F"/>
    </w:rPr>
  </w:style>
  <w:style w:type="character" w:customStyle="1" w:styleId="Titolo7Carattere">
    <w:name w:val="Titolo 7 Carattere"/>
    <w:basedOn w:val="Carpredefinitoparagrafo"/>
    <w:link w:val="Titolo7"/>
    <w:uiPriority w:val="9"/>
    <w:semiHidden/>
    <w:rsid w:val="0003148D"/>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03148D"/>
    <w:rPr>
      <w:rFonts w:asciiTheme="majorHAnsi" w:eastAsiaTheme="majorEastAsia" w:hAnsiTheme="majorHAnsi" w:cstheme="majorBidi"/>
      <w:color w:val="404040" w:themeColor="text1" w:themeTint="BF"/>
      <w:sz w:val="20"/>
      <w:szCs w:val="20"/>
    </w:rPr>
  </w:style>
  <w:style w:type="character" w:customStyle="1" w:styleId="Titolo9Carattere">
    <w:name w:val="Titolo 9 Carattere"/>
    <w:basedOn w:val="Carpredefinitoparagrafo"/>
    <w:link w:val="Titolo9"/>
    <w:uiPriority w:val="9"/>
    <w:semiHidden/>
    <w:rsid w:val="0003148D"/>
    <w:rPr>
      <w:rFonts w:asciiTheme="majorHAnsi" w:eastAsiaTheme="majorEastAsia" w:hAnsiTheme="majorHAnsi" w:cstheme="majorBidi"/>
      <w:i/>
      <w:iCs/>
      <w:color w:val="404040" w:themeColor="text1" w:themeTint="BF"/>
      <w:sz w:val="20"/>
      <w:szCs w:val="20"/>
    </w:rPr>
  </w:style>
  <w:style w:type="paragraph" w:styleId="Titoloindice">
    <w:name w:val="index heading"/>
    <w:basedOn w:val="Normale"/>
    <w:next w:val="Indice1"/>
    <w:uiPriority w:val="99"/>
    <w:semiHidden/>
    <w:unhideWhenUsed/>
    <w:rsid w:val="0003148D"/>
    <w:rPr>
      <w:rFonts w:asciiTheme="majorHAnsi" w:eastAsiaTheme="majorEastAsia" w:hAnsiTheme="majorHAnsi" w:cstheme="majorBidi"/>
      <w:b/>
      <w:bCs/>
    </w:rPr>
  </w:style>
  <w:style w:type="paragraph" w:styleId="Titoloindicefonti">
    <w:name w:val="toa heading"/>
    <w:basedOn w:val="Normale"/>
    <w:next w:val="Normale"/>
    <w:uiPriority w:val="99"/>
    <w:semiHidden/>
    <w:unhideWhenUsed/>
    <w:rsid w:val="0003148D"/>
    <w:pPr>
      <w:spacing w:before="120"/>
    </w:pPr>
    <w:rPr>
      <w:rFonts w:asciiTheme="majorHAnsi" w:eastAsiaTheme="majorEastAsia" w:hAnsiTheme="majorHAnsi" w:cstheme="majorBidi"/>
      <w:b/>
      <w:bCs/>
      <w:sz w:val="24"/>
      <w:szCs w:val="24"/>
    </w:rPr>
  </w:style>
  <w:style w:type="paragraph" w:styleId="Titolosommario">
    <w:name w:val="TOC Heading"/>
    <w:basedOn w:val="Titolo1"/>
    <w:next w:val="Normale"/>
    <w:uiPriority w:val="39"/>
    <w:semiHidden/>
    <w:unhideWhenUsed/>
    <w:qFormat/>
    <w:rsid w:val="0003148D"/>
    <w:pPr>
      <w:outlineLvl w:val="9"/>
    </w:pPr>
  </w:style>
  <w:style w:type="paragraph" w:customStyle="1" w:styleId="CETemail">
    <w:name w:val="CET email"/>
    <w:next w:val="CETBodytext"/>
    <w:rsid w:val="009E788A"/>
    <w:pPr>
      <w:spacing w:after="240"/>
    </w:pPr>
    <w:rPr>
      <w:rFonts w:ascii="Arial" w:eastAsia="Times New Roman" w:hAnsi="Arial" w:cs="Times New Roman"/>
      <w:noProof/>
      <w:sz w:val="16"/>
      <w:szCs w:val="20"/>
      <w:lang w:val="en-GB"/>
    </w:rPr>
  </w:style>
  <w:style w:type="character" w:customStyle="1" w:styleId="CETAddressCarattere">
    <w:name w:val="CET Address Carattere"/>
    <w:basedOn w:val="Carpredefinitoparagrafo"/>
    <w:link w:val="CETAddress"/>
    <w:rsid w:val="009E788A"/>
    <w:rPr>
      <w:rFonts w:ascii="Arial" w:eastAsia="Times New Roman" w:hAnsi="Arial" w:cs="Times New Roman"/>
      <w:noProof/>
      <w:sz w:val="16"/>
      <w:szCs w:val="20"/>
      <w:lang w:val="en-GB"/>
    </w:rPr>
  </w:style>
  <w:style w:type="paragraph" w:customStyle="1" w:styleId="CETBodytextBold">
    <w:name w:val="CET Body text (Bold)"/>
    <w:basedOn w:val="CETBodytext"/>
    <w:rsid w:val="00901EB6"/>
    <w:rPr>
      <w:b/>
    </w:rPr>
  </w:style>
  <w:style w:type="paragraph" w:customStyle="1" w:styleId="CETnumberingbullets">
    <w:name w:val="CET numbering (bullets)"/>
    <w:rsid w:val="008D433B"/>
    <w:pPr>
      <w:numPr>
        <w:numId w:val="13"/>
      </w:numPr>
      <w:spacing w:after="0" w:line="264" w:lineRule="auto"/>
    </w:pPr>
    <w:rPr>
      <w:rFonts w:ascii="Arial" w:eastAsia="Times New Roman" w:hAnsi="Arial" w:cs="Times New Roman"/>
      <w:sz w:val="18"/>
      <w:szCs w:val="20"/>
      <w:lang w:val="en-GB"/>
    </w:rPr>
  </w:style>
  <w:style w:type="paragraph" w:customStyle="1" w:styleId="CETnumbering1">
    <w:name w:val="CET numbering (1"/>
    <w:aliases w:val="2..)"/>
    <w:rsid w:val="00B57B36"/>
    <w:pPr>
      <w:numPr>
        <w:numId w:val="14"/>
      </w:numPr>
      <w:spacing w:after="0" w:line="264" w:lineRule="auto"/>
      <w:ind w:left="340" w:hanging="227"/>
    </w:pPr>
    <w:rPr>
      <w:rFonts w:ascii="Arial" w:eastAsia="Times New Roman" w:hAnsi="Arial" w:cs="Times New Roman"/>
      <w:sz w:val="18"/>
      <w:szCs w:val="20"/>
      <w:lang w:val="en-US"/>
    </w:rPr>
  </w:style>
  <w:style w:type="paragraph" w:customStyle="1" w:styleId="CETnumberinga">
    <w:name w:val="CET numbering (a"/>
    <w:aliases w:val="b,..)"/>
    <w:rsid w:val="00B57B36"/>
    <w:pPr>
      <w:numPr>
        <w:numId w:val="15"/>
      </w:numPr>
      <w:spacing w:after="0" w:line="264" w:lineRule="auto"/>
    </w:pPr>
    <w:rPr>
      <w:rFonts w:ascii="Arial" w:eastAsia="Times New Roman" w:hAnsi="Arial" w:cs="Times New Roman"/>
      <w:sz w:val="18"/>
      <w:szCs w:val="20"/>
      <w:lang w:val="en-GB"/>
    </w:rPr>
  </w:style>
  <w:style w:type="paragraph" w:styleId="Intestazione">
    <w:name w:val="header"/>
    <w:basedOn w:val="Normale"/>
    <w:link w:val="IntestazioneCarattere"/>
    <w:uiPriority w:val="99"/>
    <w:unhideWhenUsed/>
    <w:rsid w:val="005278B7"/>
    <w:pPr>
      <w:tabs>
        <w:tab w:val="clear" w:pos="7100"/>
        <w:tab w:val="center" w:pos="4819"/>
        <w:tab w:val="right" w:pos="9638"/>
      </w:tabs>
      <w:spacing w:line="240" w:lineRule="auto"/>
    </w:pPr>
  </w:style>
  <w:style w:type="character" w:customStyle="1" w:styleId="IntestazioneCarattere">
    <w:name w:val="Intestazione Carattere"/>
    <w:basedOn w:val="Carpredefinitoparagrafo"/>
    <w:link w:val="Intestazione"/>
    <w:uiPriority w:val="99"/>
    <w:rsid w:val="005278B7"/>
    <w:rPr>
      <w:rFonts w:ascii="Arial" w:eastAsia="Times New Roman" w:hAnsi="Arial" w:cs="Times New Roman"/>
      <w:sz w:val="18"/>
      <w:szCs w:val="20"/>
      <w:lang w:val="en-GB"/>
    </w:rPr>
  </w:style>
  <w:style w:type="paragraph" w:styleId="Pidipagina">
    <w:name w:val="footer"/>
    <w:basedOn w:val="Normale"/>
    <w:link w:val="PidipaginaCarattere"/>
    <w:uiPriority w:val="99"/>
    <w:unhideWhenUsed/>
    <w:rsid w:val="005278B7"/>
    <w:pPr>
      <w:tabs>
        <w:tab w:val="clear" w:pos="7100"/>
        <w:tab w:val="center" w:pos="4819"/>
        <w:tab w:val="right" w:pos="9638"/>
      </w:tabs>
      <w:spacing w:line="240" w:lineRule="auto"/>
    </w:pPr>
  </w:style>
  <w:style w:type="character" w:customStyle="1" w:styleId="PidipaginaCarattere">
    <w:name w:val="Piè di pagina Carattere"/>
    <w:basedOn w:val="Carpredefinitoparagrafo"/>
    <w:link w:val="Pidipagina"/>
    <w:uiPriority w:val="99"/>
    <w:rsid w:val="005278B7"/>
    <w:rPr>
      <w:rFonts w:ascii="Arial" w:eastAsia="Times New Roman" w:hAnsi="Arial" w:cs="Times New Roman"/>
      <w:sz w:val="18"/>
      <w:szCs w:val="20"/>
      <w:lang w:val="en-GB"/>
    </w:rPr>
  </w:style>
  <w:style w:type="table" w:styleId="Grigliatabella">
    <w:name w:val="Table Grid"/>
    <w:basedOn w:val="Tabellanormale"/>
    <w:uiPriority w:val="59"/>
    <w:rsid w:val="00660E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llegamentoipertestuale">
    <w:name w:val="Hyperlink"/>
    <w:basedOn w:val="Carpredefinitoparagrafo"/>
    <w:uiPriority w:val="99"/>
    <w:unhideWhenUsed/>
    <w:rsid w:val="00904C62"/>
    <w:rPr>
      <w:color w:val="0000FF" w:themeColor="hyperlink"/>
      <w:u w:val="single"/>
    </w:rPr>
  </w:style>
  <w:style w:type="character" w:customStyle="1" w:styleId="eudoraheader">
    <w:name w:val="eudoraheader"/>
    <w:basedOn w:val="Carpredefinitoparagrafo"/>
    <w:rsid w:val="00904C62"/>
  </w:style>
  <w:style w:type="paragraph" w:customStyle="1" w:styleId="CETListbullets">
    <w:name w:val="CET List bullets"/>
    <w:qFormat/>
    <w:rsid w:val="004577FE"/>
    <w:pPr>
      <w:spacing w:after="0" w:line="264" w:lineRule="auto"/>
      <w:ind w:left="340" w:hanging="227"/>
      <w:jc w:val="both"/>
    </w:pPr>
    <w:rPr>
      <w:rFonts w:ascii="Arial" w:eastAsia="Times New Roman" w:hAnsi="Arial" w:cs="Times New Roman"/>
      <w:sz w:val="18"/>
      <w:szCs w:val="20"/>
      <w:lang w:val="en-GB"/>
    </w:rPr>
  </w:style>
  <w:style w:type="paragraph" w:customStyle="1" w:styleId="CETReferencetext">
    <w:name w:val="CET Reference text"/>
    <w:qFormat/>
    <w:rsid w:val="00600535"/>
    <w:pPr>
      <w:spacing w:after="0" w:line="264" w:lineRule="auto"/>
      <w:ind w:left="284" w:hanging="284"/>
      <w:jc w:val="both"/>
    </w:pPr>
    <w:rPr>
      <w:rFonts w:ascii="Arial" w:eastAsia="Times New Roman" w:hAnsi="Arial" w:cs="Times New Roman"/>
      <w:sz w:val="18"/>
      <w:szCs w:val="20"/>
      <w:lang w:val="en-GB"/>
    </w:rPr>
  </w:style>
  <w:style w:type="paragraph" w:customStyle="1" w:styleId="CETTabletitle">
    <w:name w:val="CET Table title"/>
    <w:qFormat/>
    <w:rsid w:val="00600535"/>
    <w:pPr>
      <w:keepNext/>
      <w:spacing w:before="240" w:after="80" w:line="240" w:lineRule="exact"/>
    </w:pPr>
    <w:rPr>
      <w:rFonts w:ascii="Arial" w:eastAsia="Times New Roman" w:hAnsi="Arial" w:cs="Times New Roman"/>
      <w:i/>
      <w:sz w:val="18"/>
      <w:szCs w:val="20"/>
      <w:lang w:val="en-GB"/>
    </w:rPr>
  </w:style>
  <w:style w:type="paragraph" w:customStyle="1" w:styleId="CETAcknowledgementstitle">
    <w:name w:val="CET Acknowledgements title"/>
    <w:next w:val="CETBodytext"/>
    <w:qFormat/>
    <w:rsid w:val="00600535"/>
    <w:pPr>
      <w:spacing w:before="200" w:after="120"/>
    </w:pPr>
    <w:rPr>
      <w:rFonts w:ascii="Arial" w:eastAsia="Times New Roman" w:hAnsi="Arial" w:cs="Times New Roman"/>
      <w:b/>
      <w:sz w:val="18"/>
      <w:szCs w:val="20"/>
      <w:lang w:val="en-GB"/>
    </w:rPr>
  </w:style>
  <w:style w:type="paragraph" w:customStyle="1" w:styleId="CETEquation">
    <w:name w:val="CET Equation"/>
    <w:basedOn w:val="CETBodytext"/>
    <w:next w:val="CETBodytext"/>
    <w:qFormat/>
    <w:rsid w:val="005549C2"/>
    <w:pPr>
      <w:spacing w:before="240" w:after="240"/>
      <w:jc w:val="left"/>
    </w:pPr>
    <w:rPr>
      <w:lang w:val="en-GB"/>
    </w:rPr>
  </w:style>
  <w:style w:type="paragraph" w:customStyle="1" w:styleId="CETHeadingxx">
    <w:name w:val="CET Headingxx"/>
    <w:basedOn w:val="CETheadingx"/>
    <w:link w:val="CETHeadingxxChar"/>
    <w:qFormat/>
    <w:rsid w:val="000F787B"/>
    <w:pPr>
      <w:numPr>
        <w:ilvl w:val="0"/>
        <w:numId w:val="0"/>
      </w:numPr>
    </w:pPr>
  </w:style>
  <w:style w:type="character" w:customStyle="1" w:styleId="CETHeadingxxChar">
    <w:name w:val="CET Headingxx Char"/>
    <w:basedOn w:val="CETheadingxCarattere"/>
    <w:link w:val="CETHeadingxx"/>
    <w:rsid w:val="000F787B"/>
    <w:rPr>
      <w:rFonts w:ascii="Arial" w:eastAsia="Times New Roman" w:hAnsi="Arial" w:cs="Times New Roman"/>
      <w:b/>
      <w:sz w:val="18"/>
      <w:szCs w:val="20"/>
      <w:lang w:val="en-US"/>
    </w:rPr>
  </w:style>
  <w:style w:type="paragraph" w:styleId="Paragrafoelenco">
    <w:name w:val="List Paragraph"/>
    <w:basedOn w:val="Normale"/>
    <w:uiPriority w:val="34"/>
    <w:rsid w:val="00280FAF"/>
    <w:pPr>
      <w:ind w:left="720"/>
      <w:contextualSpacing/>
    </w:pPr>
  </w:style>
  <w:style w:type="character" w:customStyle="1" w:styleId="gmail-apple-converted-space">
    <w:name w:val="gmail-apple-converted-space"/>
    <w:basedOn w:val="Carpredefinitoparagrafo"/>
    <w:rsid w:val="00005A19"/>
  </w:style>
  <w:style w:type="paragraph" w:styleId="Nessunaspaziatura">
    <w:name w:val="No Spacing"/>
    <w:uiPriority w:val="1"/>
    <w:qFormat/>
    <w:rsid w:val="006873C8"/>
    <w:pPr>
      <w:tabs>
        <w:tab w:val="right" w:pos="7100"/>
      </w:tabs>
      <w:spacing w:after="0" w:line="240" w:lineRule="auto"/>
      <w:jc w:val="both"/>
    </w:pPr>
    <w:rPr>
      <w:rFonts w:ascii="Arial" w:eastAsia="Times New Roman" w:hAnsi="Arial" w:cs="Times New Roman"/>
      <w:sz w:val="18"/>
      <w:szCs w:val="20"/>
      <w:lang w:val="en-GB"/>
    </w:rPr>
  </w:style>
  <w:style w:type="character" w:styleId="Testosegnaposto">
    <w:name w:val="Placeholder Text"/>
    <w:basedOn w:val="Carpredefinitoparagrafo"/>
    <w:uiPriority w:val="99"/>
    <w:semiHidden/>
    <w:rsid w:val="005435EF"/>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80609195">
      <w:bodyDiv w:val="1"/>
      <w:marLeft w:val="0"/>
      <w:marRight w:val="0"/>
      <w:marTop w:val="0"/>
      <w:marBottom w:val="0"/>
      <w:divBdr>
        <w:top w:val="none" w:sz="0" w:space="0" w:color="auto"/>
        <w:left w:val="none" w:sz="0" w:space="0" w:color="auto"/>
        <w:bottom w:val="none" w:sz="0" w:space="0" w:color="auto"/>
        <w:right w:val="none" w:sz="0" w:space="0" w:color="auto"/>
      </w:divBdr>
      <w:divsChild>
        <w:div w:id="1810825834">
          <w:marLeft w:val="0"/>
          <w:marRight w:val="0"/>
          <w:marTop w:val="0"/>
          <w:marBottom w:val="0"/>
          <w:divBdr>
            <w:top w:val="none" w:sz="0" w:space="0" w:color="auto"/>
            <w:left w:val="none" w:sz="0" w:space="0" w:color="auto"/>
            <w:bottom w:val="none" w:sz="0" w:space="0" w:color="auto"/>
            <w:right w:val="none" w:sz="0" w:space="0" w:color="auto"/>
          </w:divBdr>
          <w:divsChild>
            <w:div w:id="578832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3321189">
      <w:bodyDiv w:val="1"/>
      <w:marLeft w:val="0"/>
      <w:marRight w:val="0"/>
      <w:marTop w:val="0"/>
      <w:marBottom w:val="0"/>
      <w:divBdr>
        <w:top w:val="none" w:sz="0" w:space="0" w:color="auto"/>
        <w:left w:val="none" w:sz="0" w:space="0" w:color="auto"/>
        <w:bottom w:val="none" w:sz="0" w:space="0" w:color="auto"/>
        <w:right w:val="none" w:sz="0" w:space="0" w:color="auto"/>
      </w:divBdr>
      <w:divsChild>
        <w:div w:id="196735042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33056226">
      <w:bodyDiv w:val="1"/>
      <w:marLeft w:val="0"/>
      <w:marRight w:val="0"/>
      <w:marTop w:val="0"/>
      <w:marBottom w:val="0"/>
      <w:divBdr>
        <w:top w:val="none" w:sz="0" w:space="0" w:color="auto"/>
        <w:left w:val="none" w:sz="0" w:space="0" w:color="auto"/>
        <w:bottom w:val="none" w:sz="0" w:space="0" w:color="auto"/>
        <w:right w:val="none" w:sz="0" w:space="0" w:color="auto"/>
      </w:divBdr>
      <w:divsChild>
        <w:div w:id="790123951">
          <w:marLeft w:val="0"/>
          <w:marRight w:val="0"/>
          <w:marTop w:val="0"/>
          <w:marBottom w:val="0"/>
          <w:divBdr>
            <w:top w:val="none" w:sz="0" w:space="0" w:color="auto"/>
            <w:left w:val="none" w:sz="0" w:space="0" w:color="auto"/>
            <w:bottom w:val="none" w:sz="0" w:space="0" w:color="auto"/>
            <w:right w:val="none" w:sz="0" w:space="0" w:color="auto"/>
          </w:divBdr>
          <w:divsChild>
            <w:div w:id="182146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9156813">
      <w:bodyDiv w:val="1"/>
      <w:marLeft w:val="0"/>
      <w:marRight w:val="0"/>
      <w:marTop w:val="0"/>
      <w:marBottom w:val="0"/>
      <w:divBdr>
        <w:top w:val="none" w:sz="0" w:space="0" w:color="auto"/>
        <w:left w:val="none" w:sz="0" w:space="0" w:color="auto"/>
        <w:bottom w:val="none" w:sz="0" w:space="0" w:color="auto"/>
        <w:right w:val="none" w:sz="0" w:space="0" w:color="auto"/>
      </w:divBdr>
    </w:div>
    <w:div w:id="1489904563">
      <w:bodyDiv w:val="1"/>
      <w:marLeft w:val="0"/>
      <w:marRight w:val="0"/>
      <w:marTop w:val="0"/>
      <w:marBottom w:val="0"/>
      <w:divBdr>
        <w:top w:val="none" w:sz="0" w:space="0" w:color="auto"/>
        <w:left w:val="none" w:sz="0" w:space="0" w:color="auto"/>
        <w:bottom w:val="none" w:sz="0" w:space="0" w:color="auto"/>
        <w:right w:val="none" w:sz="0" w:space="0" w:color="auto"/>
      </w:divBdr>
    </w:div>
    <w:div w:id="1682856157">
      <w:bodyDiv w:val="1"/>
      <w:marLeft w:val="0"/>
      <w:marRight w:val="0"/>
      <w:marTop w:val="0"/>
      <w:marBottom w:val="0"/>
      <w:divBdr>
        <w:top w:val="none" w:sz="0" w:space="0" w:color="auto"/>
        <w:left w:val="none" w:sz="0" w:space="0" w:color="auto"/>
        <w:bottom w:val="none" w:sz="0" w:space="0" w:color="auto"/>
        <w:right w:val="none" w:sz="0" w:space="0" w:color="auto"/>
      </w:divBdr>
      <w:divsChild>
        <w:div w:id="2102991222">
          <w:marLeft w:val="0"/>
          <w:marRight w:val="0"/>
          <w:marTop w:val="0"/>
          <w:marBottom w:val="0"/>
          <w:divBdr>
            <w:top w:val="none" w:sz="0" w:space="0" w:color="auto"/>
            <w:left w:val="none" w:sz="0" w:space="0" w:color="auto"/>
            <w:bottom w:val="none" w:sz="0" w:space="0" w:color="auto"/>
            <w:right w:val="none" w:sz="0" w:space="0" w:color="auto"/>
          </w:divBdr>
          <w:divsChild>
            <w:div w:id="108908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087599">
      <w:bodyDiv w:val="1"/>
      <w:marLeft w:val="0"/>
      <w:marRight w:val="0"/>
      <w:marTop w:val="0"/>
      <w:marBottom w:val="0"/>
      <w:divBdr>
        <w:top w:val="none" w:sz="0" w:space="0" w:color="auto"/>
        <w:left w:val="none" w:sz="0" w:space="0" w:color="auto"/>
        <w:bottom w:val="none" w:sz="0" w:space="0" w:color="auto"/>
        <w:right w:val="none" w:sz="0" w:space="0" w:color="auto"/>
      </w:divBdr>
      <w:divsChild>
        <w:div w:id="150065976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3">
    <wetp:webextensionref xmlns:r="http://schemas.openxmlformats.org/officeDocument/2006/relationships" r:id="rId1"/>
  </wetp:taskpane>
  <wetp:taskpane dockstate="right" visibility="0" width="350" row="3">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49F53E55-01CC-4AEC-8239-83F355A7E40A}">
  <we:reference id="wa104382081" version="1.55.1.0" store="it-IT" storeType="OMEX"/>
  <we:alternateReferences>
    <we:reference id="WA104382081" version="1.55.1.0" store="" storeType="OMEX"/>
  </we:alternateReferences>
  <we:properties>
    <we:property name="MENDELEY_CITATIONS" value="[]"/>
  </we:properties>
  <we:bindings/>
  <we:snapshot xmlns:r="http://schemas.openxmlformats.org/officeDocument/2006/relationships"/>
</we:webextension>
</file>

<file path=word/webextensions/webextension2.xml><?xml version="1.0" encoding="utf-8"?>
<we:webextension xmlns:we="http://schemas.microsoft.com/office/webextensions/webextension/2010/11" id="{6E23133F-B02F-4EC3-B14C-4CB6546AE46F}">
  <we:reference id="wa200005121" version="1.2.0.0" store="en-US" storeType="OMEX"/>
  <we:alternateReferences>
    <we:reference id="WA200005121" version="1.2.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3983C9-6D0A-480C-BF79-A63BD3D99E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308</TotalTime>
  <Pages>6</Pages>
  <Words>2953</Words>
  <Characters>16838</Characters>
  <Application>Microsoft Office Word</Application>
  <DocSecurity>0</DocSecurity>
  <Lines>140</Lines>
  <Paragraphs>39</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Dipartimento CMIC - Politecnico di Milano</Company>
  <LinksUpToDate>false</LinksUpToDate>
  <CharactersWithSpaces>19752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raffaella</dc:creator>
  <cp:lastModifiedBy>Giorgio Innocenzo Ascrizzi</cp:lastModifiedBy>
  <cp:revision>76</cp:revision>
  <cp:lastPrinted>2015-05-12T18:31:00Z</cp:lastPrinted>
  <dcterms:created xsi:type="dcterms:W3CDTF">2025-02-12T11:14:00Z</dcterms:created>
  <dcterms:modified xsi:type="dcterms:W3CDTF">2025-05-26T13:51:00Z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zotero-version="4.0.29.17"&gt;&lt;session id="s8VwuD2U"/&gt;&lt;style id="http://www.zotero.org/styles/chemical-engineering-transactions" hasBibliography="1" bibliographyStyleHasBeenSet="1"/&gt;&lt;prefs&gt;&lt;pref name="fieldType" value="Field"/&gt;&lt;pref na</vt:lpwstr>
  </property>
  <property fmtid="{D5CDD505-2E9C-101B-9397-08002B2CF9AE}" pid="3" name="ZOTERO_PREF_2">
    <vt:lpwstr>me="storeReferences" value="true"/&gt;&lt;pref name="automaticJournalAbbreviations" value=""/&gt;&lt;pref name="noteType" value=""/&gt;&lt;/prefs&gt;&lt;/data&gt;</vt:lpwstr>
  </property>
</Properties>
</file>