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571CB3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571CB3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571CB3">
              <w:rPr>
                <w:rFonts w:ascii="AdvP6960" w:hAnsi="AdvP6960" w:cs="AdvP6960"/>
                <w:noProof/>
                <w:color w:val="241F20"/>
                <w:szCs w:val="18"/>
                <w:lang w:eastAsia="en-GB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CB3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571CB3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571CB3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571CB3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571CB3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571CB3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0DAB3DDA" w:rsidR="000A03B2" w:rsidRPr="00571CB3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571CB3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30152C" w:rsidRPr="00571CB3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proofErr w:type="gramStart"/>
            <w:r w:rsidR="0030152C" w:rsidRPr="00571CB3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 </w:t>
            </w:r>
            <w:r w:rsidR="007B48F9" w:rsidRPr="00571CB3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proofErr w:type="gramEnd"/>
            <w:r w:rsidR="00FA5F5F" w:rsidRPr="00571CB3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 w:rsidRPr="00571CB3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C24AF1" w:rsidRPr="00571CB3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571CB3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571CB3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571CB3" w:rsidRDefault="000A03B2" w:rsidP="00CD5FE2">
            <w:pPr>
              <w:jc w:val="right"/>
            </w:pPr>
            <w:r w:rsidRPr="00571CB3">
              <w:rPr>
                <w:noProof/>
                <w:lang w:eastAsia="en-GB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571CB3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571CB3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571CB3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571CB3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571CB3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571CB3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571CB3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571CB3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571CB3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1D8DD3C9" w14:textId="62C05688" w:rsidR="00AA7D26" w:rsidRPr="0037522B" w:rsidRDefault="00AA7D26" w:rsidP="00AA7D26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</w:pPr>
            <w:r w:rsidRPr="0037522B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Pr="0037522B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r w:rsidR="00A0035F" w:rsidRPr="0037522B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Laura Piazza, Francesco </w:t>
            </w:r>
            <w:proofErr w:type="spellStart"/>
            <w:r w:rsidR="00A0035F" w:rsidRPr="0037522B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Donsì</w:t>
            </w:r>
            <w:proofErr w:type="spellEnd"/>
            <w:r w:rsidR="005E72C6" w:rsidRPr="0037522B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,</w:t>
            </w:r>
            <w:r w:rsidR="00A0035F" w:rsidRPr="0037522B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Giorgia Spigno</w:t>
            </w:r>
          </w:p>
          <w:p w14:paraId="1B0F1814" w14:textId="7ED5C289" w:rsidR="000A03B2" w:rsidRPr="00571CB3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 w:rsidRPr="00571CB3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C24AF1" w:rsidRPr="00571CB3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5</w:t>
            </w:r>
            <w:r w:rsidRPr="00571CB3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Servizi </w:t>
            </w:r>
            <w:proofErr w:type="spellStart"/>
            <w:r w:rsidRPr="00571CB3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571CB3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571CB3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571CB3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571CB3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D2582C" w:rsidRPr="00571CB3">
              <w:rPr>
                <w:rFonts w:ascii="Tahoma" w:hAnsi="Tahoma" w:cs="Tahoma"/>
                <w:sz w:val="14"/>
                <w:szCs w:val="14"/>
              </w:rPr>
              <w:t>979-12-81206-</w:t>
            </w:r>
            <w:r w:rsidR="003312AE" w:rsidRPr="00571CB3">
              <w:rPr>
                <w:rFonts w:ascii="Tahoma" w:hAnsi="Tahoma" w:cs="Tahoma"/>
                <w:sz w:val="14"/>
                <w:szCs w:val="14"/>
              </w:rPr>
              <w:t>19</w:t>
            </w:r>
            <w:r w:rsidR="00D2582C" w:rsidRPr="00571CB3">
              <w:rPr>
                <w:rFonts w:ascii="Tahoma" w:hAnsi="Tahoma" w:cs="Tahoma"/>
                <w:sz w:val="14"/>
                <w:szCs w:val="14"/>
              </w:rPr>
              <w:t>-</w:t>
            </w:r>
            <w:r w:rsidR="003312AE" w:rsidRPr="00571CB3">
              <w:rPr>
                <w:rFonts w:ascii="Tahoma" w:hAnsi="Tahoma" w:cs="Tahoma"/>
                <w:sz w:val="14"/>
                <w:szCs w:val="14"/>
              </w:rPr>
              <w:t>9</w:t>
            </w:r>
            <w:r w:rsidRPr="00571CB3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; </w:t>
            </w:r>
            <w:r w:rsidRPr="00571CB3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571CB3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2E667253" w14:textId="240E8A7A" w:rsidR="00E978D0" w:rsidRPr="00571CB3" w:rsidRDefault="00C01BE5" w:rsidP="00E978D0">
      <w:pPr>
        <w:pStyle w:val="CETTitle"/>
      </w:pPr>
      <w:r w:rsidRPr="00571CB3">
        <w:t xml:space="preserve">Economic Feasibility Assessment of Bio-Based </w:t>
      </w:r>
      <w:proofErr w:type="spellStart"/>
      <w:r w:rsidRPr="00571CB3">
        <w:t>Vitrimers</w:t>
      </w:r>
      <w:proofErr w:type="spellEnd"/>
      <w:r w:rsidRPr="00571CB3">
        <w:t xml:space="preserve"> from Agrifood Residues: A Step Toward Sustainable Circular Economy</w:t>
      </w:r>
    </w:p>
    <w:p w14:paraId="3523325D" w14:textId="2322941C" w:rsidR="00F0785D" w:rsidRPr="0037522B" w:rsidRDefault="00F0785D" w:rsidP="00B57E6F">
      <w:pPr>
        <w:pStyle w:val="CETAuthors"/>
        <w:rPr>
          <w:lang w:val="it-IT"/>
        </w:rPr>
      </w:pPr>
      <w:r w:rsidRPr="0037522B">
        <w:rPr>
          <w:lang w:val="it-IT"/>
        </w:rPr>
        <w:t>Federico Parmiggiani</w:t>
      </w:r>
      <w:r w:rsidRPr="0037522B">
        <w:rPr>
          <w:vertAlign w:val="superscript"/>
          <w:lang w:val="it-IT"/>
        </w:rPr>
        <w:t>a</w:t>
      </w:r>
      <w:r w:rsidRPr="0037522B">
        <w:rPr>
          <w:lang w:val="it-IT"/>
        </w:rPr>
        <w:t>, Gianmaria Tassinari</w:t>
      </w:r>
      <w:r w:rsidRPr="0037522B">
        <w:rPr>
          <w:vertAlign w:val="superscript"/>
          <w:lang w:val="it-IT"/>
        </w:rPr>
        <w:t>b</w:t>
      </w:r>
      <w:r w:rsidRPr="0037522B">
        <w:rPr>
          <w:lang w:val="it-IT"/>
        </w:rPr>
        <w:t>, Claudio Soregaroli</w:t>
      </w:r>
      <w:r w:rsidRPr="0037522B">
        <w:rPr>
          <w:vertAlign w:val="superscript"/>
          <w:lang w:val="it-IT"/>
        </w:rPr>
        <w:t>a</w:t>
      </w:r>
      <w:r w:rsidRPr="0037522B">
        <w:rPr>
          <w:lang w:val="it-IT"/>
        </w:rPr>
        <w:t>, Giorgia Spigno</w:t>
      </w:r>
      <w:r w:rsidRPr="0037522B">
        <w:rPr>
          <w:vertAlign w:val="superscript"/>
          <w:lang w:val="it-IT"/>
        </w:rPr>
        <w:t>c</w:t>
      </w:r>
      <w:r w:rsidRPr="0037522B">
        <w:rPr>
          <w:lang w:val="it-IT"/>
        </w:rPr>
        <w:t>, Andrea Bassani</w:t>
      </w:r>
      <w:r w:rsidRPr="0037522B">
        <w:rPr>
          <w:vertAlign w:val="superscript"/>
          <w:lang w:val="it-IT"/>
        </w:rPr>
        <w:t>c,*</w:t>
      </w:r>
    </w:p>
    <w:p w14:paraId="6B2D21B3" w14:textId="39F31A47" w:rsidR="00B57E6F" w:rsidRPr="0037522B" w:rsidRDefault="00B57E6F" w:rsidP="00B57E6F">
      <w:pPr>
        <w:pStyle w:val="CETAddress"/>
        <w:rPr>
          <w:lang w:val="it-IT"/>
        </w:rPr>
      </w:pPr>
      <w:r w:rsidRPr="0037522B">
        <w:rPr>
          <w:vertAlign w:val="superscript"/>
          <w:lang w:val="it-IT"/>
        </w:rPr>
        <w:t>a</w:t>
      </w:r>
      <w:r w:rsidR="006517A7" w:rsidRPr="0037522B">
        <w:rPr>
          <w:lang w:val="it-IT"/>
        </w:rPr>
        <w:t>Università Cattolica del Sacro Cuore, Department of Agricultural and Food Economics, Via Emilia Parmense 84, 29122 Piacenza, Italy</w:t>
      </w:r>
      <w:r w:rsidR="006517A7" w:rsidRPr="0037522B">
        <w:rPr>
          <w:vertAlign w:val="superscript"/>
          <w:lang w:val="it-IT"/>
        </w:rPr>
        <w:t xml:space="preserve"> </w:t>
      </w:r>
      <w:r w:rsidRPr="0037522B">
        <w:rPr>
          <w:lang w:val="it-IT"/>
        </w:rPr>
        <w:t xml:space="preserve"> </w:t>
      </w:r>
    </w:p>
    <w:p w14:paraId="73273C60" w14:textId="66166B23" w:rsidR="00F0785D" w:rsidRPr="00571CB3" w:rsidRDefault="00B57E6F" w:rsidP="00B57E6F">
      <w:pPr>
        <w:pStyle w:val="CETAddress"/>
      </w:pPr>
      <w:r w:rsidRPr="00571CB3">
        <w:rPr>
          <w:vertAlign w:val="superscript"/>
        </w:rPr>
        <w:t>b</w:t>
      </w:r>
      <w:r w:rsidR="0037522B" w:rsidRPr="0037522B">
        <w:t>European Commission, Joint Research Centre (JRC), Seville, Spain</w:t>
      </w:r>
    </w:p>
    <w:p w14:paraId="3D72B0B0" w14:textId="1C7D5AEE" w:rsidR="00B57E6F" w:rsidRPr="0037522B" w:rsidRDefault="00F0785D" w:rsidP="00B57E6F">
      <w:pPr>
        <w:pStyle w:val="CETAddress"/>
        <w:rPr>
          <w:lang w:val="it-IT"/>
        </w:rPr>
      </w:pPr>
      <w:r w:rsidRPr="0037522B">
        <w:rPr>
          <w:vertAlign w:val="superscript"/>
          <w:lang w:val="it-IT"/>
        </w:rPr>
        <w:t>c</w:t>
      </w:r>
      <w:r w:rsidR="00064C62" w:rsidRPr="0037522B">
        <w:rPr>
          <w:lang w:val="it-IT"/>
        </w:rPr>
        <w:t>Università Cattolica del Sacro Cuore, Department for Sustainbale Food Process (DiSTAS), Via Emilia Parmense 84, 29122 Piacenza, Italy</w:t>
      </w:r>
    </w:p>
    <w:p w14:paraId="325C1225" w14:textId="34D53EF5" w:rsidR="00681460" w:rsidRPr="00571CB3" w:rsidRDefault="00064C62" w:rsidP="00681460">
      <w:pPr>
        <w:pStyle w:val="CETemail"/>
      </w:pPr>
      <w:hyperlink r:id="rId13" w:history="1">
        <w:r w:rsidRPr="00571CB3">
          <w:rPr>
            <w:rStyle w:val="Collegamentoipertestuale"/>
          </w:rPr>
          <w:t>andrea.bassani@unicatt.it</w:t>
        </w:r>
      </w:hyperlink>
      <w:r w:rsidRPr="00571CB3">
        <w:t xml:space="preserve"> </w:t>
      </w:r>
    </w:p>
    <w:p w14:paraId="6893AF25" w14:textId="390EA4DB" w:rsidR="00600535" w:rsidRPr="00571CB3" w:rsidRDefault="007F6B85" w:rsidP="00600535">
      <w:pPr>
        <w:pStyle w:val="CETBodytext"/>
        <w:rPr>
          <w:lang w:val="en-GB"/>
        </w:rPr>
      </w:pPr>
      <w:r w:rsidRPr="00571CB3">
        <w:rPr>
          <w:lang w:val="en-GB"/>
        </w:rPr>
        <w:t xml:space="preserve">The </w:t>
      </w:r>
      <w:proofErr w:type="spellStart"/>
      <w:r w:rsidRPr="00571CB3">
        <w:rPr>
          <w:lang w:val="en-GB"/>
        </w:rPr>
        <w:t>Cyclevit</w:t>
      </w:r>
      <w:proofErr w:type="spellEnd"/>
      <w:r w:rsidRPr="00571CB3">
        <w:rPr>
          <w:lang w:val="en-GB"/>
        </w:rPr>
        <w:t xml:space="preserve"> project, funded by Fondazione Cariplo, aims to develop innovative bio-based </w:t>
      </w:r>
      <w:proofErr w:type="spellStart"/>
      <w:r w:rsidR="0065031D" w:rsidRPr="00571CB3">
        <w:rPr>
          <w:lang w:val="en-GB"/>
        </w:rPr>
        <w:t>v</w:t>
      </w:r>
      <w:r w:rsidRPr="00571CB3">
        <w:rPr>
          <w:lang w:val="en-GB"/>
        </w:rPr>
        <w:t>itrimers</w:t>
      </w:r>
      <w:proofErr w:type="spellEnd"/>
      <w:r w:rsidR="0065031D" w:rsidRPr="00571CB3">
        <w:rPr>
          <w:lang w:val="en-GB"/>
        </w:rPr>
        <w:t xml:space="preserve">—recyclable, self-healing polymers—using </w:t>
      </w:r>
      <w:r w:rsidRPr="00571CB3">
        <w:rPr>
          <w:lang w:val="en-GB"/>
        </w:rPr>
        <w:t xml:space="preserve">agricultural by-products (e.g., wheat straw, grape pomace, rice husk). A previous study discusses the </w:t>
      </w:r>
      <w:r w:rsidR="0065031D" w:rsidRPr="00571CB3">
        <w:rPr>
          <w:lang w:val="en-GB"/>
        </w:rPr>
        <w:t xml:space="preserve">use of </w:t>
      </w:r>
      <w:r w:rsidRPr="00571CB3">
        <w:rPr>
          <w:lang w:val="en-GB"/>
        </w:rPr>
        <w:t xml:space="preserve">combined autohydrolysis and </w:t>
      </w:r>
      <w:proofErr w:type="spellStart"/>
      <w:r w:rsidRPr="00571CB3">
        <w:rPr>
          <w:lang w:val="en-GB"/>
        </w:rPr>
        <w:t>organosolv</w:t>
      </w:r>
      <w:proofErr w:type="spellEnd"/>
      <w:r w:rsidRPr="00571CB3">
        <w:rPr>
          <w:lang w:val="en-GB"/>
        </w:rPr>
        <w:t xml:space="preserve"> </w:t>
      </w:r>
      <w:r w:rsidR="0065031D" w:rsidRPr="00571CB3">
        <w:rPr>
          <w:lang w:val="en-GB"/>
        </w:rPr>
        <w:t xml:space="preserve">treatments </w:t>
      </w:r>
      <w:r w:rsidRPr="00571CB3">
        <w:rPr>
          <w:lang w:val="en-GB"/>
        </w:rPr>
        <w:t xml:space="preserve">for recovering cellulose and lignin from agri-food waste more sustainably than traditional acid and alkaline hydrolysis. This work assesses the economic feasibility of producing bio-based </w:t>
      </w:r>
      <w:proofErr w:type="spellStart"/>
      <w:r w:rsidRPr="00571CB3">
        <w:rPr>
          <w:lang w:val="en-GB"/>
        </w:rPr>
        <w:t>vitrimers</w:t>
      </w:r>
      <w:proofErr w:type="spellEnd"/>
      <w:r w:rsidRPr="00571CB3">
        <w:rPr>
          <w:lang w:val="en-GB"/>
        </w:rPr>
        <w:t xml:space="preserve"> from agri</w:t>
      </w:r>
      <w:r w:rsidR="0065031D" w:rsidRPr="00571CB3">
        <w:rPr>
          <w:lang w:val="en-GB"/>
        </w:rPr>
        <w:t>-</w:t>
      </w:r>
      <w:r w:rsidRPr="00571CB3">
        <w:rPr>
          <w:lang w:val="en-GB"/>
        </w:rPr>
        <w:t xml:space="preserve">food residues using Monte Carlo simulations and </w:t>
      </w:r>
      <w:r w:rsidR="0065031D" w:rsidRPr="00571CB3">
        <w:rPr>
          <w:lang w:val="en-GB"/>
        </w:rPr>
        <w:t xml:space="preserve">a </w:t>
      </w:r>
      <w:r w:rsidRPr="00571CB3">
        <w:rPr>
          <w:lang w:val="en-GB"/>
        </w:rPr>
        <w:t>regression analys</w:t>
      </w:r>
      <w:r w:rsidR="0065031D" w:rsidRPr="00571CB3">
        <w:rPr>
          <w:lang w:val="en-GB"/>
        </w:rPr>
        <w:t>i</w:t>
      </w:r>
      <w:r w:rsidRPr="00571CB3">
        <w:rPr>
          <w:lang w:val="en-GB"/>
        </w:rPr>
        <w:t xml:space="preserve">s, focusing on the minimum product selling price (MPSP). The average MPSP is €435.5 per kilogram, with potential reductions of 60% in best-case scenarios and increases of up to 400% in worst-case conditions. Key factors affecting MPSP include industrial performance metrics and raw material costs. The recycling design </w:t>
      </w:r>
      <w:r w:rsidR="0065031D" w:rsidRPr="00571CB3">
        <w:rPr>
          <w:lang w:val="en-GB"/>
        </w:rPr>
        <w:t xml:space="preserve">significantly </w:t>
      </w:r>
      <w:r w:rsidRPr="00571CB3">
        <w:rPr>
          <w:lang w:val="en-GB"/>
        </w:rPr>
        <w:t xml:space="preserve">reduces water consumption, aligning with green chemistry principles. However, the low technology readiness level (TRL) limits </w:t>
      </w:r>
      <w:r w:rsidR="0065031D" w:rsidRPr="00571CB3">
        <w:rPr>
          <w:lang w:val="en-GB"/>
        </w:rPr>
        <w:t xml:space="preserve">market </w:t>
      </w:r>
      <w:r w:rsidRPr="00571CB3">
        <w:rPr>
          <w:lang w:val="en-GB"/>
        </w:rPr>
        <w:t xml:space="preserve">competitiveness, highlighting the need for pilot-scale validation. Despite current economic challenges, bio-based </w:t>
      </w:r>
      <w:proofErr w:type="spellStart"/>
      <w:r w:rsidRPr="00571CB3">
        <w:rPr>
          <w:lang w:val="en-GB"/>
        </w:rPr>
        <w:t>vitrimers</w:t>
      </w:r>
      <w:proofErr w:type="spellEnd"/>
      <w:r w:rsidRPr="00571CB3">
        <w:rPr>
          <w:lang w:val="en-GB"/>
        </w:rPr>
        <w:t xml:space="preserve"> from agricultural residues </w:t>
      </w:r>
      <w:r w:rsidR="00446014" w:rsidRPr="00571CB3">
        <w:rPr>
          <w:lang w:val="en-GB"/>
        </w:rPr>
        <w:t>demonstrates strong</w:t>
      </w:r>
      <w:r w:rsidRPr="00571CB3">
        <w:rPr>
          <w:lang w:val="en-GB"/>
        </w:rPr>
        <w:t xml:space="preserve"> environmental benefits</w:t>
      </w:r>
      <w:r w:rsidR="00446014" w:rsidRPr="00571CB3">
        <w:rPr>
          <w:lang w:val="en-GB"/>
        </w:rPr>
        <w:t xml:space="preserve"> through</w:t>
      </w:r>
      <w:r w:rsidRPr="00571CB3">
        <w:rPr>
          <w:lang w:val="en-GB"/>
        </w:rPr>
        <w:t xml:space="preserve"> </w:t>
      </w:r>
      <w:r w:rsidR="00446014" w:rsidRPr="00571CB3">
        <w:rPr>
          <w:lang w:val="en-GB"/>
        </w:rPr>
        <w:t xml:space="preserve">enhanced resource </w:t>
      </w:r>
      <w:r w:rsidRPr="00571CB3">
        <w:rPr>
          <w:lang w:val="en-GB"/>
        </w:rPr>
        <w:t xml:space="preserve">efficiency and landfill </w:t>
      </w:r>
      <w:r w:rsidR="00446014" w:rsidRPr="00571CB3">
        <w:rPr>
          <w:lang w:val="en-GB"/>
        </w:rPr>
        <w:t>diversion</w:t>
      </w:r>
      <w:r w:rsidRPr="00571CB3">
        <w:rPr>
          <w:lang w:val="en-GB"/>
        </w:rPr>
        <w:t>.</w:t>
      </w:r>
    </w:p>
    <w:p w14:paraId="476B2F2E" w14:textId="77777777" w:rsidR="00600535" w:rsidRPr="00571CB3" w:rsidRDefault="00600535" w:rsidP="00600535">
      <w:pPr>
        <w:pStyle w:val="CETHeading1"/>
        <w:rPr>
          <w:lang w:val="en-GB"/>
        </w:rPr>
      </w:pPr>
      <w:r w:rsidRPr="00571CB3">
        <w:rPr>
          <w:lang w:val="en-GB"/>
        </w:rPr>
        <w:t>Introduction</w:t>
      </w:r>
    </w:p>
    <w:p w14:paraId="1A5CE476" w14:textId="5DE5C725" w:rsidR="0038685D" w:rsidRPr="00571CB3" w:rsidRDefault="005A0115" w:rsidP="002F5FB3">
      <w:pPr>
        <w:pStyle w:val="CETBodytext"/>
        <w:rPr>
          <w:lang w:val="en-GB"/>
        </w:rPr>
      </w:pPr>
      <w:r w:rsidRPr="005A0115">
        <w:rPr>
          <w:lang w:val="en-GB"/>
        </w:rPr>
        <w:t xml:space="preserve">The need to reduce reliance on fossil fuels has spurred research into renewable alternatives, such as converting </w:t>
      </w:r>
      <w:proofErr w:type="spellStart"/>
      <w:r w:rsidRPr="005A0115">
        <w:rPr>
          <w:lang w:val="en-GB"/>
        </w:rPr>
        <w:t>agro</w:t>
      </w:r>
      <w:proofErr w:type="spellEnd"/>
      <w:r w:rsidRPr="005A0115">
        <w:rPr>
          <w:lang w:val="en-GB"/>
        </w:rPr>
        <w:t>-food residues into bio-based materials, food additives, energy, or high-value products (Tassinari et al., 2023). However, the shift to a circular bioeconomy faces challenges</w:t>
      </w:r>
      <w:r w:rsidR="003154F4">
        <w:rPr>
          <w:lang w:val="en-GB"/>
        </w:rPr>
        <w:t>,</w:t>
      </w:r>
      <w:r w:rsidRPr="005A0115">
        <w:rPr>
          <w:lang w:val="en-GB"/>
        </w:rPr>
        <w:t xml:space="preserve"> including regulatory and societal pressures, as well as the economic and technical competitiveness of bio-based materials versus fossil-based ones (</w:t>
      </w:r>
      <w:proofErr w:type="spellStart"/>
      <w:r w:rsidRPr="005A0115">
        <w:rPr>
          <w:lang w:val="en-GB"/>
        </w:rPr>
        <w:t>Molenveld</w:t>
      </w:r>
      <w:proofErr w:type="spellEnd"/>
      <w:r w:rsidRPr="005A0115">
        <w:rPr>
          <w:lang w:val="en-GB"/>
        </w:rPr>
        <w:t xml:space="preserve"> and Bos, 2020). While fossil-based materials are cost-effective and perform well, they have major environmental downsides. The impact of bio-based materials varies depending on their feedstock, with agri-food residues being more sustainable than primary crops like maize (Hann et al., 2020). Although currently more expensive, bio-based materials are expected to become increasingly competitive as production scales up and technologies improve (Van Den </w:t>
      </w:r>
      <w:proofErr w:type="spellStart"/>
      <w:r w:rsidRPr="005A0115">
        <w:rPr>
          <w:lang w:val="en-GB"/>
        </w:rPr>
        <w:t>Oever</w:t>
      </w:r>
      <w:proofErr w:type="spellEnd"/>
      <w:r w:rsidRPr="005A0115">
        <w:rPr>
          <w:lang w:val="en-GB"/>
        </w:rPr>
        <w:t xml:space="preserve"> et al., 2017).</w:t>
      </w:r>
      <w:r w:rsidR="008A180F" w:rsidRPr="00571CB3">
        <w:rPr>
          <w:lang w:val="en-GB"/>
        </w:rPr>
        <w:t xml:space="preserve"> </w:t>
      </w:r>
      <w:r w:rsidR="009C784F" w:rsidRPr="00571CB3">
        <w:rPr>
          <w:lang w:val="en-GB"/>
        </w:rPr>
        <w:t xml:space="preserve">In this </w:t>
      </w:r>
      <w:r w:rsidR="00FE1505" w:rsidRPr="00571CB3">
        <w:rPr>
          <w:lang w:val="en-GB"/>
        </w:rPr>
        <w:t>context</w:t>
      </w:r>
      <w:r w:rsidR="009C784F" w:rsidRPr="00571CB3">
        <w:rPr>
          <w:lang w:val="en-GB"/>
        </w:rPr>
        <w:t xml:space="preserve">, the CYCLEVIT project, supported by Fondazione Cariplo, seeks to create innovative bio-based polymers called </w:t>
      </w:r>
      <w:proofErr w:type="spellStart"/>
      <w:r w:rsidR="009C784F" w:rsidRPr="00571CB3">
        <w:rPr>
          <w:lang w:val="en-GB"/>
        </w:rPr>
        <w:t>vitrimers</w:t>
      </w:r>
      <w:proofErr w:type="spellEnd"/>
      <w:r w:rsidR="009C784F" w:rsidRPr="00571CB3">
        <w:rPr>
          <w:lang w:val="en-GB"/>
        </w:rPr>
        <w:t>, which are sourced from agricultural by-products. These materials merge the qualities of thermoplastics and thermosets, providing features such as recyclability, self-repair, and mechanical strength comparable to traditional plastics</w:t>
      </w:r>
      <w:r w:rsidR="0017057B" w:rsidRPr="00571CB3">
        <w:rPr>
          <w:lang w:val="en-GB"/>
        </w:rPr>
        <w:t xml:space="preserve"> </w:t>
      </w:r>
      <w:r w:rsidR="002F5FB3" w:rsidRPr="00571CB3">
        <w:rPr>
          <w:lang w:val="en-GB"/>
        </w:rPr>
        <w:t>(</w:t>
      </w:r>
      <w:proofErr w:type="spellStart"/>
      <w:r w:rsidR="002F5FB3" w:rsidRPr="00571CB3">
        <w:rPr>
          <w:lang w:val="en-GB"/>
        </w:rPr>
        <w:t>Röttger</w:t>
      </w:r>
      <w:proofErr w:type="spellEnd"/>
      <w:r w:rsidR="002F5FB3" w:rsidRPr="00571CB3">
        <w:rPr>
          <w:lang w:val="en-GB"/>
        </w:rPr>
        <w:t xml:space="preserve"> et al., 2017). The </w:t>
      </w:r>
      <w:r w:rsidR="004078F7" w:rsidRPr="00571CB3">
        <w:rPr>
          <w:lang w:val="en-GB"/>
        </w:rPr>
        <w:t>raw materials</w:t>
      </w:r>
      <w:r w:rsidR="002F5FB3" w:rsidRPr="00571CB3">
        <w:rPr>
          <w:lang w:val="en-GB"/>
        </w:rPr>
        <w:t xml:space="preserve"> of these polymers </w:t>
      </w:r>
      <w:r w:rsidR="004078F7" w:rsidRPr="00571CB3">
        <w:rPr>
          <w:lang w:val="en-GB"/>
        </w:rPr>
        <w:t>are</w:t>
      </w:r>
      <w:r w:rsidR="002F5FB3" w:rsidRPr="00571CB3">
        <w:rPr>
          <w:lang w:val="en-GB"/>
        </w:rPr>
        <w:t xml:space="preserve"> lignin and cellulose, which can be sourced from agri-food residues such as wheat straw, grape pomace, and rice husks. Their utilization reduces the </w:t>
      </w:r>
      <w:r w:rsidR="002F5FB3" w:rsidRPr="00571CB3">
        <w:rPr>
          <w:lang w:val="en-GB"/>
        </w:rPr>
        <w:lastRenderedPageBreak/>
        <w:t xml:space="preserve">environmental impact of plastic production </w:t>
      </w:r>
      <w:r w:rsidR="005C0528" w:rsidRPr="00571CB3">
        <w:rPr>
          <w:lang w:val="en-GB"/>
        </w:rPr>
        <w:t>and</w:t>
      </w:r>
      <w:r w:rsidR="002F5FB3" w:rsidRPr="00571CB3">
        <w:rPr>
          <w:lang w:val="en-GB"/>
        </w:rPr>
        <w:t xml:space="preserve"> mitigates waste disposal issues, contributing to more sustainable resource management.</w:t>
      </w:r>
      <w:r w:rsidR="00437A7E" w:rsidRPr="00571CB3">
        <w:rPr>
          <w:lang w:val="en-GB"/>
        </w:rPr>
        <w:t xml:space="preserve"> </w:t>
      </w:r>
      <w:r w:rsidR="005C0528" w:rsidRPr="00571CB3">
        <w:rPr>
          <w:lang w:val="en-GB"/>
        </w:rPr>
        <w:t>A</w:t>
      </w:r>
      <w:r w:rsidR="00437A7E" w:rsidRPr="00571CB3">
        <w:rPr>
          <w:lang w:val="en-GB"/>
        </w:rPr>
        <w:t xml:space="preserve"> p</w:t>
      </w:r>
      <w:r w:rsidR="002F5FB3" w:rsidRPr="00571CB3">
        <w:rPr>
          <w:lang w:val="en-GB"/>
        </w:rPr>
        <w:t>revious stud</w:t>
      </w:r>
      <w:r w:rsidR="00437A7E" w:rsidRPr="00571CB3">
        <w:rPr>
          <w:lang w:val="en-GB"/>
        </w:rPr>
        <w:t>y</w:t>
      </w:r>
      <w:r w:rsidR="001514B1" w:rsidRPr="00571CB3">
        <w:rPr>
          <w:lang w:val="en-GB"/>
        </w:rPr>
        <w:t xml:space="preserve"> </w:t>
      </w:r>
      <w:r w:rsidR="005C0528" w:rsidRPr="00571CB3">
        <w:rPr>
          <w:lang w:val="en-GB"/>
        </w:rPr>
        <w:t xml:space="preserve">by </w:t>
      </w:r>
      <w:r w:rsidR="00437A7E" w:rsidRPr="00571CB3">
        <w:rPr>
          <w:lang w:val="en-GB"/>
        </w:rPr>
        <w:t>Cipriani</w:t>
      </w:r>
      <w:r w:rsidR="001514B1" w:rsidRPr="00571CB3">
        <w:rPr>
          <w:lang w:val="en-GB"/>
        </w:rPr>
        <w:t xml:space="preserve"> et. </w:t>
      </w:r>
      <w:r w:rsidR="00437A7E" w:rsidRPr="00571CB3">
        <w:rPr>
          <w:lang w:val="en-GB"/>
        </w:rPr>
        <w:t>a</w:t>
      </w:r>
      <w:r w:rsidR="001514B1" w:rsidRPr="00571CB3">
        <w:rPr>
          <w:lang w:val="en-GB"/>
        </w:rPr>
        <w:t xml:space="preserve">l (2024) </w:t>
      </w:r>
      <w:r w:rsidR="0038685D" w:rsidRPr="00571CB3">
        <w:rPr>
          <w:lang w:val="en-GB"/>
        </w:rPr>
        <w:t xml:space="preserve">investigated </w:t>
      </w:r>
      <w:r w:rsidR="005C0528" w:rsidRPr="00571CB3">
        <w:rPr>
          <w:lang w:val="en-GB"/>
        </w:rPr>
        <w:t xml:space="preserve">the </w:t>
      </w:r>
      <w:r w:rsidR="0038685D" w:rsidRPr="00571CB3">
        <w:rPr>
          <w:lang w:val="en-GB"/>
        </w:rPr>
        <w:t xml:space="preserve">combined treatments of autohydrolysis and </w:t>
      </w:r>
      <w:proofErr w:type="spellStart"/>
      <w:r w:rsidR="0038685D" w:rsidRPr="00571CB3">
        <w:rPr>
          <w:lang w:val="en-GB"/>
        </w:rPr>
        <w:t>organosolv</w:t>
      </w:r>
      <w:proofErr w:type="spellEnd"/>
      <w:r w:rsidR="0038685D" w:rsidRPr="00571CB3">
        <w:rPr>
          <w:lang w:val="en-GB"/>
        </w:rPr>
        <w:t xml:space="preserve"> for the recovery of cellulose and lignin from agri-food waste in a way </w:t>
      </w:r>
      <w:r w:rsidR="005C0528" w:rsidRPr="00571CB3">
        <w:rPr>
          <w:lang w:val="en-GB"/>
        </w:rPr>
        <w:t xml:space="preserve">that is more sustainable than </w:t>
      </w:r>
      <w:r w:rsidR="0038685D" w:rsidRPr="00571CB3">
        <w:rPr>
          <w:lang w:val="en-GB"/>
        </w:rPr>
        <w:t>the traditional process involv</w:t>
      </w:r>
      <w:r w:rsidR="005C0528" w:rsidRPr="00571CB3">
        <w:rPr>
          <w:lang w:val="en-GB"/>
        </w:rPr>
        <w:t>ing</w:t>
      </w:r>
      <w:r w:rsidR="0038685D" w:rsidRPr="00571CB3">
        <w:rPr>
          <w:lang w:val="en-GB"/>
        </w:rPr>
        <w:t xml:space="preserve"> acid and alkaline hydrolysis</w:t>
      </w:r>
      <w:r w:rsidR="005C0528" w:rsidRPr="00571CB3">
        <w:rPr>
          <w:lang w:val="en-GB"/>
        </w:rPr>
        <w:t>,</w:t>
      </w:r>
      <w:r w:rsidR="00D66A9E" w:rsidRPr="00571CB3">
        <w:rPr>
          <w:lang w:val="en-GB"/>
        </w:rPr>
        <w:t xml:space="preserve"> thereby reducing the need for highly polluting chemical</w:t>
      </w:r>
      <w:r w:rsidR="005C0528" w:rsidRPr="00571CB3">
        <w:rPr>
          <w:lang w:val="en-GB"/>
        </w:rPr>
        <w:t>s</w:t>
      </w:r>
      <w:r w:rsidR="00D66A9E" w:rsidRPr="00571CB3">
        <w:rPr>
          <w:lang w:val="en-GB"/>
        </w:rPr>
        <w:t>.</w:t>
      </w:r>
      <w:r w:rsidR="00332274" w:rsidRPr="00571CB3">
        <w:rPr>
          <w:lang w:val="en-GB"/>
        </w:rPr>
        <w:t xml:space="preserve"> However, economic and technological challenges remain, particularly in terms of process scalability and industrial competitiveness compared to well-established fossil-based thermosets (Zhang et al., 2021).</w:t>
      </w:r>
      <w:r w:rsidR="002C54DE" w:rsidRPr="00571CB3">
        <w:rPr>
          <w:lang w:val="en-GB"/>
        </w:rPr>
        <w:t xml:space="preserve"> </w:t>
      </w:r>
      <w:r w:rsidR="005C0528" w:rsidRPr="00571CB3">
        <w:rPr>
          <w:lang w:val="en-GB"/>
        </w:rPr>
        <w:t>Within</w:t>
      </w:r>
      <w:r w:rsidR="00A503DB" w:rsidRPr="00571CB3">
        <w:rPr>
          <w:lang w:val="en-GB"/>
        </w:rPr>
        <w:t xml:space="preserve"> this framework</w:t>
      </w:r>
      <w:r w:rsidR="002C54DE" w:rsidRPr="00571CB3">
        <w:rPr>
          <w:lang w:val="en-GB"/>
        </w:rPr>
        <w:t>, this study employ</w:t>
      </w:r>
      <w:r w:rsidR="005C0528" w:rsidRPr="00571CB3">
        <w:rPr>
          <w:lang w:val="en-GB"/>
        </w:rPr>
        <w:t>s</w:t>
      </w:r>
      <w:r w:rsidR="002C54DE" w:rsidRPr="00571CB3">
        <w:rPr>
          <w:lang w:val="en-GB"/>
        </w:rPr>
        <w:t xml:space="preserve"> Monte Carlo simulations and </w:t>
      </w:r>
      <w:r w:rsidR="00AC0B41" w:rsidRPr="00571CB3">
        <w:rPr>
          <w:lang w:val="en-GB"/>
        </w:rPr>
        <w:t xml:space="preserve">a </w:t>
      </w:r>
      <w:r w:rsidR="002C54DE" w:rsidRPr="00571CB3">
        <w:rPr>
          <w:lang w:val="en-GB"/>
        </w:rPr>
        <w:t>regression analys</w:t>
      </w:r>
      <w:r w:rsidR="00AC0B41" w:rsidRPr="00571CB3">
        <w:rPr>
          <w:lang w:val="en-GB"/>
        </w:rPr>
        <w:t>i</w:t>
      </w:r>
      <w:r w:rsidR="002C54DE" w:rsidRPr="00571CB3">
        <w:rPr>
          <w:lang w:val="en-GB"/>
        </w:rPr>
        <w:t xml:space="preserve">s to determine the </w:t>
      </w:r>
      <w:r w:rsidR="00B45381" w:rsidRPr="00571CB3">
        <w:rPr>
          <w:lang w:val="en-GB"/>
        </w:rPr>
        <w:t>m</w:t>
      </w:r>
      <w:r w:rsidR="002C54DE" w:rsidRPr="00571CB3">
        <w:rPr>
          <w:lang w:val="en-GB"/>
        </w:rPr>
        <w:t xml:space="preserve">inimum </w:t>
      </w:r>
      <w:r w:rsidR="00B45381" w:rsidRPr="00571CB3">
        <w:rPr>
          <w:lang w:val="en-GB"/>
        </w:rPr>
        <w:t>p</w:t>
      </w:r>
      <w:r w:rsidR="002C54DE" w:rsidRPr="00571CB3">
        <w:rPr>
          <w:lang w:val="en-GB"/>
        </w:rPr>
        <w:t xml:space="preserve">roduct </w:t>
      </w:r>
      <w:r w:rsidR="00B45381" w:rsidRPr="00571CB3">
        <w:rPr>
          <w:lang w:val="en-GB"/>
        </w:rPr>
        <w:t>s</w:t>
      </w:r>
      <w:r w:rsidR="002C54DE" w:rsidRPr="00571CB3">
        <w:rPr>
          <w:lang w:val="en-GB"/>
        </w:rPr>
        <w:t xml:space="preserve">elling </w:t>
      </w:r>
      <w:r w:rsidR="00B45381" w:rsidRPr="00571CB3">
        <w:rPr>
          <w:lang w:val="en-GB"/>
        </w:rPr>
        <w:t>p</w:t>
      </w:r>
      <w:r w:rsidR="002C54DE" w:rsidRPr="00571CB3">
        <w:rPr>
          <w:lang w:val="en-GB"/>
        </w:rPr>
        <w:t xml:space="preserve">rice (MPSP) of the bio-based </w:t>
      </w:r>
      <w:proofErr w:type="spellStart"/>
      <w:r w:rsidR="005C0528" w:rsidRPr="00571CB3">
        <w:rPr>
          <w:lang w:val="en-GB"/>
        </w:rPr>
        <w:t>vitrimers</w:t>
      </w:r>
      <w:proofErr w:type="spellEnd"/>
      <w:r w:rsidR="005C0528" w:rsidRPr="00571CB3">
        <w:rPr>
          <w:lang w:val="en-GB"/>
        </w:rPr>
        <w:t xml:space="preserve"> </w:t>
      </w:r>
      <w:r w:rsidR="002C54DE" w:rsidRPr="00571CB3">
        <w:rPr>
          <w:lang w:val="en-GB"/>
        </w:rPr>
        <w:t xml:space="preserve">produced from </w:t>
      </w:r>
      <w:proofErr w:type="spellStart"/>
      <w:r w:rsidR="002C54DE" w:rsidRPr="00571CB3">
        <w:rPr>
          <w:lang w:val="en-GB"/>
        </w:rPr>
        <w:t>agro</w:t>
      </w:r>
      <w:proofErr w:type="spellEnd"/>
      <w:r w:rsidR="00990F48" w:rsidRPr="00571CB3">
        <w:rPr>
          <w:lang w:val="en-GB"/>
        </w:rPr>
        <w:t>-food residues</w:t>
      </w:r>
      <w:r w:rsidR="005C0528" w:rsidRPr="00571CB3">
        <w:rPr>
          <w:lang w:val="en-GB"/>
        </w:rPr>
        <w:t>, thereby assessing the economic feasibility</w:t>
      </w:r>
      <w:r w:rsidR="002C54DE" w:rsidRPr="00571CB3">
        <w:rPr>
          <w:lang w:val="en-GB"/>
        </w:rPr>
        <w:t xml:space="preserve">. </w:t>
      </w:r>
      <w:r w:rsidR="005C0528" w:rsidRPr="00571CB3">
        <w:rPr>
          <w:lang w:val="en-GB"/>
        </w:rPr>
        <w:t>Building on</w:t>
      </w:r>
      <w:r w:rsidR="00990F48" w:rsidRPr="00571CB3">
        <w:rPr>
          <w:lang w:val="en-GB"/>
        </w:rPr>
        <w:t xml:space="preserve"> the scenarios </w:t>
      </w:r>
      <w:r w:rsidR="00753958" w:rsidRPr="00571CB3">
        <w:rPr>
          <w:lang w:val="en-GB"/>
        </w:rPr>
        <w:t xml:space="preserve">provided by </w:t>
      </w:r>
      <w:r w:rsidR="00FC4900" w:rsidRPr="00571CB3">
        <w:rPr>
          <w:lang w:val="en-GB"/>
        </w:rPr>
        <w:t>Ci</w:t>
      </w:r>
      <w:r w:rsidR="00297E82" w:rsidRPr="00571CB3">
        <w:rPr>
          <w:lang w:val="en-GB"/>
        </w:rPr>
        <w:t>priani et al</w:t>
      </w:r>
      <w:r w:rsidR="00753958" w:rsidRPr="00571CB3">
        <w:rPr>
          <w:lang w:val="en-GB"/>
        </w:rPr>
        <w:t xml:space="preserve">. </w:t>
      </w:r>
      <w:r w:rsidR="00297E82" w:rsidRPr="00571CB3">
        <w:rPr>
          <w:lang w:val="en-GB"/>
        </w:rPr>
        <w:t>(2</w:t>
      </w:r>
      <w:r w:rsidR="00753958" w:rsidRPr="00571CB3">
        <w:rPr>
          <w:lang w:val="en-GB"/>
        </w:rPr>
        <w:t>024</w:t>
      </w:r>
      <w:r w:rsidR="00297E82" w:rsidRPr="00571CB3">
        <w:rPr>
          <w:lang w:val="en-GB"/>
        </w:rPr>
        <w:t>)</w:t>
      </w:r>
      <w:r w:rsidR="00753958" w:rsidRPr="00571CB3">
        <w:rPr>
          <w:lang w:val="en-GB"/>
        </w:rPr>
        <w:t>, t</w:t>
      </w:r>
      <w:r w:rsidR="002C54DE" w:rsidRPr="00571CB3">
        <w:rPr>
          <w:lang w:val="en-GB"/>
        </w:rPr>
        <w:t>his work provide</w:t>
      </w:r>
      <w:r w:rsidR="005C0528" w:rsidRPr="00571CB3">
        <w:rPr>
          <w:lang w:val="en-GB"/>
        </w:rPr>
        <w:t>s</w:t>
      </w:r>
      <w:r w:rsidR="002C54DE" w:rsidRPr="00571CB3">
        <w:rPr>
          <w:lang w:val="en-GB"/>
        </w:rPr>
        <w:t xml:space="preserve"> insights into cost optimization strategies and the critical economic factors affecting the scalability of bio-based </w:t>
      </w:r>
      <w:proofErr w:type="spellStart"/>
      <w:r w:rsidR="000223DA" w:rsidRPr="00571CB3">
        <w:rPr>
          <w:lang w:val="en-GB"/>
        </w:rPr>
        <w:t>vitrimers</w:t>
      </w:r>
      <w:proofErr w:type="spellEnd"/>
      <w:r w:rsidR="002C54DE" w:rsidRPr="00571CB3">
        <w:rPr>
          <w:lang w:val="en-GB"/>
        </w:rPr>
        <w:t xml:space="preserve"> production.</w:t>
      </w:r>
      <w:r w:rsidR="005A09CF" w:rsidRPr="00571CB3">
        <w:rPr>
          <w:lang w:val="en-GB"/>
        </w:rPr>
        <w:t xml:space="preserve"> By evaluating the commercial viability of this process, the study </w:t>
      </w:r>
      <w:proofErr w:type="gramStart"/>
      <w:r w:rsidR="005A09CF" w:rsidRPr="00571CB3">
        <w:rPr>
          <w:lang w:val="en-GB"/>
        </w:rPr>
        <w:t>establish</w:t>
      </w:r>
      <w:proofErr w:type="gramEnd"/>
      <w:r w:rsidR="005A09CF" w:rsidRPr="00571CB3">
        <w:rPr>
          <w:lang w:val="en-GB"/>
        </w:rPr>
        <w:t xml:space="preserve"> a reference point for s</w:t>
      </w:r>
      <w:r w:rsidR="00FE2BC2" w:rsidRPr="00571CB3">
        <w:rPr>
          <w:lang w:val="en-GB"/>
        </w:rPr>
        <w:t>imilar techno-economic analysis</w:t>
      </w:r>
      <w:r w:rsidR="00074B2D" w:rsidRPr="00571CB3">
        <w:rPr>
          <w:lang w:val="en-GB"/>
        </w:rPr>
        <w:t>.</w:t>
      </w:r>
      <w:r w:rsidR="00EA5077" w:rsidRPr="00571CB3">
        <w:rPr>
          <w:lang w:val="en-GB"/>
        </w:rPr>
        <w:t xml:space="preserve"> </w:t>
      </w:r>
      <w:r w:rsidR="00074B2D" w:rsidRPr="00571CB3">
        <w:rPr>
          <w:lang w:val="en-GB"/>
        </w:rPr>
        <w:t>T</w:t>
      </w:r>
      <w:r w:rsidR="00EA5077" w:rsidRPr="00571CB3">
        <w:rPr>
          <w:lang w:val="en-GB"/>
        </w:rPr>
        <w:t>he</w:t>
      </w:r>
      <w:r w:rsidR="002C54DE" w:rsidRPr="00571CB3">
        <w:rPr>
          <w:lang w:val="en-GB"/>
        </w:rPr>
        <w:t xml:space="preserve"> findings </w:t>
      </w:r>
      <w:r w:rsidR="005A09CF" w:rsidRPr="00571CB3">
        <w:rPr>
          <w:lang w:val="en-GB"/>
        </w:rPr>
        <w:t>help</w:t>
      </w:r>
      <w:r w:rsidR="002C54DE" w:rsidRPr="00571CB3">
        <w:rPr>
          <w:lang w:val="en-GB"/>
        </w:rPr>
        <w:t xml:space="preserve"> identify </w:t>
      </w:r>
      <w:r w:rsidR="00074B2D" w:rsidRPr="00571CB3">
        <w:rPr>
          <w:lang w:val="en-GB"/>
        </w:rPr>
        <w:t xml:space="preserve">potential </w:t>
      </w:r>
      <w:r w:rsidR="002C54DE" w:rsidRPr="00571CB3">
        <w:rPr>
          <w:lang w:val="en-GB"/>
        </w:rPr>
        <w:t xml:space="preserve">pathways for cost reduction and </w:t>
      </w:r>
      <w:r w:rsidR="005A09CF" w:rsidRPr="00571CB3">
        <w:rPr>
          <w:lang w:val="en-GB"/>
        </w:rPr>
        <w:t xml:space="preserve">highlight </w:t>
      </w:r>
      <w:r w:rsidR="002C54DE" w:rsidRPr="00571CB3">
        <w:rPr>
          <w:lang w:val="en-GB"/>
        </w:rPr>
        <w:t xml:space="preserve">investment opportunities, </w:t>
      </w:r>
      <w:r w:rsidR="005A09CF" w:rsidRPr="00571CB3">
        <w:rPr>
          <w:lang w:val="en-GB"/>
        </w:rPr>
        <w:t xml:space="preserve">thereby supporting informed decision-making in the development of sustainable bioeconomy pathways and emphasizing the importance of linking residue </w:t>
      </w:r>
      <w:r w:rsidR="000223DA" w:rsidRPr="00571CB3">
        <w:rPr>
          <w:lang w:val="en-GB"/>
        </w:rPr>
        <w:t>valorisation</w:t>
      </w:r>
      <w:r w:rsidR="00A72D5C" w:rsidRPr="00571CB3">
        <w:rPr>
          <w:lang w:val="en-GB"/>
        </w:rPr>
        <w:t xml:space="preserve"> to economic performance</w:t>
      </w:r>
      <w:r w:rsidR="00540FFA" w:rsidRPr="00571CB3">
        <w:rPr>
          <w:lang w:val="en-GB"/>
        </w:rPr>
        <w:t>.</w:t>
      </w:r>
    </w:p>
    <w:p w14:paraId="5741900F" w14:textId="2AA1F40C" w:rsidR="00453E24" w:rsidRPr="00571CB3" w:rsidRDefault="007F5708" w:rsidP="00453E24">
      <w:pPr>
        <w:pStyle w:val="CETHeading1"/>
        <w:rPr>
          <w:lang w:val="en-GB"/>
        </w:rPr>
      </w:pPr>
      <w:r w:rsidRPr="00571CB3">
        <w:rPr>
          <w:lang w:val="en-GB"/>
        </w:rPr>
        <w:t>Material and Methods</w:t>
      </w:r>
    </w:p>
    <w:p w14:paraId="662C2B3A" w14:textId="4A33819E" w:rsidR="00CB0852" w:rsidRPr="00571CB3" w:rsidRDefault="00894C8F" w:rsidP="00453E24">
      <w:pPr>
        <w:pStyle w:val="CETBodytext"/>
        <w:rPr>
          <w:lang w:val="en-GB"/>
        </w:rPr>
      </w:pPr>
      <w:r w:rsidRPr="00571CB3">
        <w:rPr>
          <w:lang w:val="en-GB"/>
        </w:rPr>
        <w:t xml:space="preserve">As </w:t>
      </w:r>
      <w:r w:rsidR="00F842DA" w:rsidRPr="00571CB3">
        <w:rPr>
          <w:lang w:val="en-GB"/>
        </w:rPr>
        <w:t>previously stated</w:t>
      </w:r>
      <w:r w:rsidRPr="00571CB3">
        <w:rPr>
          <w:lang w:val="en-GB"/>
        </w:rPr>
        <w:t>, t</w:t>
      </w:r>
      <w:r w:rsidR="007F5708" w:rsidRPr="00571CB3">
        <w:rPr>
          <w:lang w:val="en-GB"/>
        </w:rPr>
        <w:t xml:space="preserve">he purpose of this </w:t>
      </w:r>
      <w:r w:rsidR="003C15DC" w:rsidRPr="00571CB3">
        <w:rPr>
          <w:lang w:val="en-GB"/>
        </w:rPr>
        <w:t>work</w:t>
      </w:r>
      <w:r w:rsidR="007F5708" w:rsidRPr="00571CB3">
        <w:rPr>
          <w:lang w:val="en-GB"/>
        </w:rPr>
        <w:t xml:space="preserve"> is to assess the economic viability of </w:t>
      </w:r>
      <w:r w:rsidR="004B68A7" w:rsidRPr="00571CB3">
        <w:rPr>
          <w:lang w:val="en-GB"/>
        </w:rPr>
        <w:t>recover</w:t>
      </w:r>
      <w:r w:rsidR="00F842DA" w:rsidRPr="00571CB3">
        <w:rPr>
          <w:lang w:val="en-GB"/>
        </w:rPr>
        <w:t>ing</w:t>
      </w:r>
      <w:r w:rsidR="004B68A7" w:rsidRPr="00571CB3">
        <w:rPr>
          <w:lang w:val="en-GB"/>
        </w:rPr>
        <w:t xml:space="preserve"> cellulose and lignin </w:t>
      </w:r>
      <w:r w:rsidR="007F5708" w:rsidRPr="00571CB3">
        <w:rPr>
          <w:lang w:val="en-GB"/>
        </w:rPr>
        <w:t xml:space="preserve">from wheat straw </w:t>
      </w:r>
      <w:proofErr w:type="gramStart"/>
      <w:r w:rsidR="00F842DA" w:rsidRPr="00571CB3">
        <w:rPr>
          <w:lang w:val="en-GB"/>
        </w:rPr>
        <w:t>for the production of</w:t>
      </w:r>
      <w:proofErr w:type="gramEnd"/>
      <w:r w:rsidR="007F5708" w:rsidRPr="00571CB3">
        <w:rPr>
          <w:lang w:val="en-GB"/>
        </w:rPr>
        <w:t xml:space="preserve"> bio-based</w:t>
      </w:r>
      <w:r w:rsidR="004B68A7" w:rsidRPr="00571CB3">
        <w:rPr>
          <w:lang w:val="en-GB"/>
        </w:rPr>
        <w:t xml:space="preserve"> </w:t>
      </w:r>
      <w:proofErr w:type="spellStart"/>
      <w:r w:rsidR="004B68A7" w:rsidRPr="00571CB3">
        <w:rPr>
          <w:lang w:val="en-GB"/>
        </w:rPr>
        <w:t>vitrimer</w:t>
      </w:r>
      <w:r w:rsidR="009627A0" w:rsidRPr="00571CB3">
        <w:rPr>
          <w:lang w:val="en-GB"/>
        </w:rPr>
        <w:t>s</w:t>
      </w:r>
      <w:proofErr w:type="spellEnd"/>
      <w:r w:rsidR="007F5708" w:rsidRPr="00571CB3">
        <w:rPr>
          <w:lang w:val="en-GB"/>
        </w:rPr>
        <w:t xml:space="preserve">. </w:t>
      </w:r>
      <w:r w:rsidR="00EA4ADB" w:rsidRPr="00571CB3">
        <w:rPr>
          <w:lang w:val="en-GB"/>
        </w:rPr>
        <w:t xml:space="preserve">The production process was investigated in previous work by </w:t>
      </w:r>
      <w:r w:rsidR="005056CD" w:rsidRPr="00571CB3">
        <w:rPr>
          <w:lang w:val="en-GB"/>
        </w:rPr>
        <w:t>Cipriani</w:t>
      </w:r>
      <w:r w:rsidR="00EA4ADB" w:rsidRPr="00571CB3">
        <w:rPr>
          <w:lang w:val="en-GB"/>
        </w:rPr>
        <w:t xml:space="preserve"> et al.</w:t>
      </w:r>
      <w:r w:rsidR="00853666" w:rsidRPr="00571CB3">
        <w:rPr>
          <w:lang w:val="en-GB"/>
        </w:rPr>
        <w:t xml:space="preserve"> (2024) and</w:t>
      </w:r>
      <w:r w:rsidR="00EA4ADB" w:rsidRPr="00571CB3">
        <w:rPr>
          <w:lang w:val="en-GB"/>
        </w:rPr>
        <w:t xml:space="preserve"> </w:t>
      </w:r>
      <w:r w:rsidR="00853666" w:rsidRPr="00571CB3">
        <w:rPr>
          <w:lang w:val="en-GB"/>
        </w:rPr>
        <w:t xml:space="preserve">summarized in </w:t>
      </w:r>
      <w:r w:rsidR="008B3EE2" w:rsidRPr="00571CB3">
        <w:rPr>
          <w:lang w:val="en-GB"/>
        </w:rPr>
        <w:fldChar w:fldCharType="begin"/>
      </w:r>
      <w:r w:rsidR="008B3EE2" w:rsidRPr="00571CB3">
        <w:rPr>
          <w:lang w:val="en-GB"/>
        </w:rPr>
        <w:instrText xml:space="preserve"> REF _Ref192683299 \h  \* MERGEFORMAT </w:instrText>
      </w:r>
      <w:r w:rsidR="008B3EE2" w:rsidRPr="00571CB3">
        <w:rPr>
          <w:lang w:val="en-GB"/>
        </w:rPr>
      </w:r>
      <w:r w:rsidR="008B3EE2" w:rsidRPr="00571CB3">
        <w:rPr>
          <w:lang w:val="en-GB"/>
        </w:rPr>
        <w:fldChar w:fldCharType="separate"/>
      </w:r>
      <w:r w:rsidR="008B3EE2" w:rsidRPr="00571CB3">
        <w:rPr>
          <w:lang w:val="en-GB"/>
        </w:rPr>
        <w:t>Figure 1</w:t>
      </w:r>
      <w:r w:rsidR="008B3EE2" w:rsidRPr="00571CB3">
        <w:rPr>
          <w:lang w:val="en-GB"/>
        </w:rPr>
        <w:fldChar w:fldCharType="end"/>
      </w:r>
      <w:r w:rsidR="00EA4ADB" w:rsidRPr="00571CB3">
        <w:rPr>
          <w:lang w:val="en-GB"/>
        </w:rPr>
        <w:t>.</w:t>
      </w:r>
      <w:r w:rsidR="0017646F" w:rsidRPr="00571CB3">
        <w:rPr>
          <w:lang w:val="en-GB"/>
        </w:rPr>
        <w:t xml:space="preserve"> </w:t>
      </w:r>
      <w:r w:rsidR="00F842DA" w:rsidRPr="00571CB3">
        <w:rPr>
          <w:lang w:val="en-GB"/>
        </w:rPr>
        <w:t>Notably,</w:t>
      </w:r>
      <w:r w:rsidR="00710CE5" w:rsidRPr="00571CB3">
        <w:rPr>
          <w:lang w:val="en-GB"/>
        </w:rPr>
        <w:t xml:space="preserve"> </w:t>
      </w:r>
      <w:r w:rsidR="00853666" w:rsidRPr="00571CB3">
        <w:rPr>
          <w:lang w:val="en-GB"/>
        </w:rPr>
        <w:t xml:space="preserve">Cipriani et al. (2024) </w:t>
      </w:r>
      <w:r w:rsidR="00710CE5" w:rsidRPr="00571CB3">
        <w:rPr>
          <w:lang w:val="en-GB"/>
        </w:rPr>
        <w:t>investigated</w:t>
      </w:r>
      <w:r w:rsidR="00145D50" w:rsidRPr="00571CB3">
        <w:rPr>
          <w:lang w:val="en-GB"/>
        </w:rPr>
        <w:t xml:space="preserve"> two different </w:t>
      </w:r>
      <w:r w:rsidR="00710CE5" w:rsidRPr="00571CB3">
        <w:rPr>
          <w:lang w:val="en-GB"/>
        </w:rPr>
        <w:t xml:space="preserve">process </w:t>
      </w:r>
      <w:r w:rsidR="00853666" w:rsidRPr="00571CB3">
        <w:rPr>
          <w:lang w:val="en-GB"/>
        </w:rPr>
        <w:t>configurations</w:t>
      </w:r>
      <w:r w:rsidR="00F842DA" w:rsidRPr="00571CB3">
        <w:rPr>
          <w:lang w:val="en-GB"/>
        </w:rPr>
        <w:t>—one</w:t>
      </w:r>
      <w:r w:rsidR="00145D50" w:rsidRPr="00571CB3">
        <w:rPr>
          <w:lang w:val="en-GB"/>
        </w:rPr>
        <w:t xml:space="preserve"> with acid </w:t>
      </w:r>
      <w:r w:rsidR="0017646F" w:rsidRPr="00571CB3">
        <w:rPr>
          <w:lang w:val="en-GB"/>
        </w:rPr>
        <w:t>liquor recycling</w:t>
      </w:r>
      <w:r w:rsidR="00F842DA" w:rsidRPr="00571CB3">
        <w:rPr>
          <w:lang w:val="en-GB"/>
        </w:rPr>
        <w:t xml:space="preserve"> or one without</w:t>
      </w:r>
      <w:r w:rsidR="0017646F" w:rsidRPr="00571CB3">
        <w:rPr>
          <w:lang w:val="en-GB"/>
        </w:rPr>
        <w:t xml:space="preserve">. </w:t>
      </w:r>
      <w:r w:rsidR="00710CE5" w:rsidRPr="00571CB3">
        <w:rPr>
          <w:lang w:val="en-GB"/>
        </w:rPr>
        <w:t>T</w:t>
      </w:r>
      <w:r w:rsidR="007F5708" w:rsidRPr="00571CB3">
        <w:rPr>
          <w:lang w:val="en-GB"/>
        </w:rPr>
        <w:t xml:space="preserve">he </w:t>
      </w:r>
      <w:r w:rsidR="00F842DA" w:rsidRPr="00571CB3">
        <w:rPr>
          <w:lang w:val="en-GB"/>
        </w:rPr>
        <w:t xml:space="preserve">key </w:t>
      </w:r>
      <w:r w:rsidR="007F5708" w:rsidRPr="00571CB3">
        <w:rPr>
          <w:lang w:val="en-GB"/>
        </w:rPr>
        <w:t xml:space="preserve">difference </w:t>
      </w:r>
      <w:r w:rsidR="00F842DA" w:rsidRPr="00571CB3">
        <w:rPr>
          <w:lang w:val="en-GB"/>
        </w:rPr>
        <w:t>lies</w:t>
      </w:r>
      <w:r w:rsidR="007F5708" w:rsidRPr="00571CB3">
        <w:rPr>
          <w:lang w:val="en-GB"/>
        </w:rPr>
        <w:t xml:space="preserve"> </w:t>
      </w:r>
      <w:r w:rsidR="00F842DA" w:rsidRPr="00571CB3">
        <w:rPr>
          <w:lang w:val="en-GB"/>
        </w:rPr>
        <w:t xml:space="preserve">in </w:t>
      </w:r>
      <w:r w:rsidR="007F5708" w:rsidRPr="00571CB3">
        <w:rPr>
          <w:lang w:val="en-GB"/>
        </w:rPr>
        <w:t>water consumption</w:t>
      </w:r>
      <w:r w:rsidR="00F842DA" w:rsidRPr="00571CB3">
        <w:rPr>
          <w:lang w:val="en-GB"/>
        </w:rPr>
        <w:t xml:space="preserve">: recycling results </w:t>
      </w:r>
      <w:r w:rsidR="007F5708" w:rsidRPr="00571CB3">
        <w:rPr>
          <w:lang w:val="en-GB"/>
        </w:rPr>
        <w:t xml:space="preserve">in a saving of 83.51 L per kg of </w:t>
      </w:r>
      <w:proofErr w:type="spellStart"/>
      <w:r w:rsidR="007F5708" w:rsidRPr="00571CB3">
        <w:rPr>
          <w:lang w:val="en-GB"/>
        </w:rPr>
        <w:t>vitrimer</w:t>
      </w:r>
      <w:r w:rsidR="000223DA" w:rsidRPr="00571CB3">
        <w:rPr>
          <w:lang w:val="en-GB"/>
        </w:rPr>
        <w:t>s</w:t>
      </w:r>
      <w:proofErr w:type="spellEnd"/>
      <w:r w:rsidR="007F5708" w:rsidRPr="00571CB3">
        <w:rPr>
          <w:lang w:val="en-GB"/>
        </w:rPr>
        <w:t xml:space="preserve"> </w:t>
      </w:r>
      <w:r w:rsidR="00F842DA" w:rsidRPr="00571CB3">
        <w:rPr>
          <w:lang w:val="en-GB"/>
        </w:rPr>
        <w:t>produced.</w:t>
      </w:r>
      <w:r w:rsidR="00971043" w:rsidRPr="00571CB3">
        <w:rPr>
          <w:lang w:val="en-GB"/>
        </w:rPr>
        <w:t xml:space="preserve"> </w:t>
      </w:r>
      <w:r w:rsidR="00F842DA" w:rsidRPr="00571CB3">
        <w:rPr>
          <w:lang w:val="en-GB"/>
        </w:rPr>
        <w:t>T</w:t>
      </w:r>
      <w:r w:rsidR="009E08E8" w:rsidRPr="00571CB3">
        <w:rPr>
          <w:lang w:val="en-GB"/>
        </w:rPr>
        <w:t xml:space="preserve">his design </w:t>
      </w:r>
      <w:r w:rsidR="00F842DA" w:rsidRPr="00571CB3">
        <w:rPr>
          <w:lang w:val="en-GB"/>
        </w:rPr>
        <w:t>aligns with the principles of green chemistry and is more</w:t>
      </w:r>
      <w:r w:rsidR="009E08E8" w:rsidRPr="00571CB3">
        <w:rPr>
          <w:lang w:val="en-GB"/>
        </w:rPr>
        <w:t xml:space="preserve"> </w:t>
      </w:r>
      <w:r w:rsidR="00F842DA" w:rsidRPr="00571CB3">
        <w:rPr>
          <w:lang w:val="en-GB"/>
        </w:rPr>
        <w:t>compatible with</w:t>
      </w:r>
      <w:r w:rsidR="009E08E8" w:rsidRPr="00571CB3">
        <w:rPr>
          <w:lang w:val="en-GB"/>
        </w:rPr>
        <w:t xml:space="preserve"> the </w:t>
      </w:r>
      <w:r w:rsidR="00F842DA" w:rsidRPr="00571CB3">
        <w:rPr>
          <w:lang w:val="en-GB"/>
        </w:rPr>
        <w:t>sustainability goals</w:t>
      </w:r>
      <w:r w:rsidR="009E08E8" w:rsidRPr="00571CB3">
        <w:rPr>
          <w:lang w:val="en-GB"/>
        </w:rPr>
        <w:t xml:space="preserve"> of a circular bio-based production</w:t>
      </w:r>
      <w:r w:rsidR="00F842DA" w:rsidRPr="00571CB3">
        <w:rPr>
          <w:lang w:val="en-GB"/>
        </w:rPr>
        <w:t xml:space="preserve"> system. It</w:t>
      </w:r>
      <w:r w:rsidR="009E08E8" w:rsidRPr="00571CB3">
        <w:rPr>
          <w:lang w:val="en-GB"/>
        </w:rPr>
        <w:t xml:space="preserve"> reduce</w:t>
      </w:r>
      <w:r w:rsidR="00F842DA" w:rsidRPr="00571CB3">
        <w:rPr>
          <w:lang w:val="en-GB"/>
        </w:rPr>
        <w:t>s</w:t>
      </w:r>
      <w:r w:rsidR="009E08E8" w:rsidRPr="00571CB3">
        <w:rPr>
          <w:lang w:val="en-GB"/>
        </w:rPr>
        <w:t xml:space="preserve"> resource</w:t>
      </w:r>
      <w:r w:rsidR="00F842DA" w:rsidRPr="00571CB3">
        <w:rPr>
          <w:lang w:val="en-GB"/>
        </w:rPr>
        <w:t xml:space="preserve"> use</w:t>
      </w:r>
      <w:r w:rsidR="009E08E8" w:rsidRPr="00571CB3">
        <w:rPr>
          <w:lang w:val="en-GB"/>
        </w:rPr>
        <w:t>, especially water</w:t>
      </w:r>
      <w:r w:rsidR="008A496A" w:rsidRPr="00571CB3">
        <w:rPr>
          <w:lang w:val="en-GB"/>
        </w:rPr>
        <w:t xml:space="preserve">, and </w:t>
      </w:r>
      <w:r w:rsidR="00F842DA" w:rsidRPr="00571CB3">
        <w:rPr>
          <w:lang w:val="en-GB"/>
        </w:rPr>
        <w:t>lowers</w:t>
      </w:r>
      <w:r w:rsidR="009E08E8" w:rsidRPr="00571CB3">
        <w:rPr>
          <w:lang w:val="en-GB"/>
        </w:rPr>
        <w:t xml:space="preserve"> operating costs. </w:t>
      </w:r>
      <w:r w:rsidR="00F842DA" w:rsidRPr="00571CB3">
        <w:rPr>
          <w:lang w:val="en-GB"/>
        </w:rPr>
        <w:t xml:space="preserve">Therefore, the economic analysis in this study focuses solely on this recycling scenario. </w:t>
      </w:r>
      <w:r w:rsidR="009E08E8" w:rsidRPr="00571CB3">
        <w:rPr>
          <w:lang w:val="en-GB"/>
        </w:rPr>
        <w:t xml:space="preserve">Nonetheless, </w:t>
      </w:r>
      <w:r w:rsidR="00F842DA" w:rsidRPr="00571CB3">
        <w:rPr>
          <w:lang w:val="en-GB"/>
        </w:rPr>
        <w:t xml:space="preserve">it is important to note that the </w:t>
      </w:r>
      <w:r w:rsidR="003A1179" w:rsidRPr="00571CB3">
        <w:rPr>
          <w:lang w:val="en-GB"/>
        </w:rPr>
        <w:t xml:space="preserve">need for enhanced </w:t>
      </w:r>
      <w:r w:rsidR="009E08E8" w:rsidRPr="00571CB3">
        <w:rPr>
          <w:lang w:val="en-GB"/>
        </w:rPr>
        <w:t xml:space="preserve">water waste management </w:t>
      </w:r>
      <w:r w:rsidR="003A1179" w:rsidRPr="00571CB3">
        <w:rPr>
          <w:lang w:val="en-GB"/>
        </w:rPr>
        <w:t>infrastructure may lead to increased expenditures</w:t>
      </w:r>
      <w:r w:rsidR="009E08E8" w:rsidRPr="00571CB3">
        <w:rPr>
          <w:lang w:val="en-GB"/>
        </w:rPr>
        <w:t xml:space="preserve">. </w:t>
      </w:r>
    </w:p>
    <w:p w14:paraId="65361603" w14:textId="77777777" w:rsidR="00B445A6" w:rsidRPr="00571CB3" w:rsidRDefault="00CB0852" w:rsidP="00B445A6">
      <w:pPr>
        <w:pStyle w:val="CETBodytext"/>
        <w:keepNext/>
        <w:rPr>
          <w:lang w:val="en-GB"/>
        </w:rPr>
      </w:pPr>
      <w:r w:rsidRPr="00571CB3">
        <w:rPr>
          <w:noProof/>
          <w:lang w:val="en-GB" w:eastAsia="en-GB"/>
        </w:rPr>
        <w:drawing>
          <wp:inline distT="0" distB="0" distL="0" distR="0" wp14:anchorId="20C55A10" wp14:editId="047FAC2A">
            <wp:extent cx="5165678" cy="1970416"/>
            <wp:effectExtent l="0" t="0" r="0" b="0"/>
            <wp:docPr id="1739879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287" cy="1986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F6A75" w14:textId="1A39C5CA" w:rsidR="00CB0852" w:rsidRPr="00571CB3" w:rsidRDefault="00B445A6" w:rsidP="00B445A6">
      <w:pPr>
        <w:pStyle w:val="Didascalia"/>
        <w:rPr>
          <w:rStyle w:val="CETCaptionCarattere"/>
          <w:b w:val="0"/>
          <w:bCs w:val="0"/>
          <w:color w:val="000000" w:themeColor="text1"/>
        </w:rPr>
      </w:pPr>
      <w:bookmarkStart w:id="0" w:name="_Ref192683299"/>
      <w:r w:rsidRPr="00571CB3">
        <w:rPr>
          <w:rStyle w:val="CETCaptionCarattere"/>
          <w:b w:val="0"/>
          <w:bCs w:val="0"/>
          <w:color w:val="000000" w:themeColor="text1"/>
        </w:rPr>
        <w:t xml:space="preserve">Figure </w:t>
      </w:r>
      <w:r w:rsidRPr="00571CB3">
        <w:rPr>
          <w:rStyle w:val="CETCaptionCarattere"/>
          <w:b w:val="0"/>
          <w:bCs w:val="0"/>
          <w:color w:val="000000" w:themeColor="text1"/>
        </w:rPr>
        <w:fldChar w:fldCharType="begin"/>
      </w:r>
      <w:r w:rsidRPr="00571CB3">
        <w:rPr>
          <w:rStyle w:val="CETCaptionCarattere"/>
          <w:b w:val="0"/>
          <w:bCs w:val="0"/>
          <w:color w:val="000000" w:themeColor="text1"/>
        </w:rPr>
        <w:instrText xml:space="preserve"> SEQ Figure \* ARABIC </w:instrText>
      </w:r>
      <w:r w:rsidRPr="00571CB3">
        <w:rPr>
          <w:rStyle w:val="CETCaptionCarattere"/>
          <w:b w:val="0"/>
          <w:bCs w:val="0"/>
          <w:color w:val="000000" w:themeColor="text1"/>
        </w:rPr>
        <w:fldChar w:fldCharType="separate"/>
      </w:r>
      <w:r w:rsidRPr="00571CB3">
        <w:rPr>
          <w:rStyle w:val="CETCaptionCarattere"/>
          <w:b w:val="0"/>
          <w:bCs w:val="0"/>
          <w:color w:val="000000" w:themeColor="text1"/>
        </w:rPr>
        <w:t>1</w:t>
      </w:r>
      <w:r w:rsidRPr="00571CB3">
        <w:rPr>
          <w:rStyle w:val="CETCaptionCarattere"/>
          <w:b w:val="0"/>
          <w:bCs w:val="0"/>
          <w:color w:val="000000" w:themeColor="text1"/>
        </w:rPr>
        <w:fldChar w:fldCharType="end"/>
      </w:r>
      <w:bookmarkEnd w:id="0"/>
      <w:r w:rsidRPr="00571CB3">
        <w:rPr>
          <w:rStyle w:val="CETCaptionCarattere"/>
          <w:b w:val="0"/>
          <w:bCs w:val="0"/>
          <w:color w:val="000000" w:themeColor="text1"/>
        </w:rPr>
        <w:t xml:space="preserve"> </w:t>
      </w:r>
      <w:r w:rsidR="00D27606" w:rsidRPr="00571CB3">
        <w:rPr>
          <w:rStyle w:val="CETCaptionCarattere"/>
          <w:b w:val="0"/>
          <w:bCs w:val="0"/>
          <w:color w:val="000000" w:themeColor="text1"/>
        </w:rPr>
        <w:t xml:space="preserve">Fractionation process </w:t>
      </w:r>
      <w:r w:rsidR="000E1F0D" w:rsidRPr="00571CB3">
        <w:rPr>
          <w:rStyle w:val="CETCaptionCarattere"/>
          <w:b w:val="0"/>
          <w:bCs w:val="0"/>
          <w:color w:val="000000" w:themeColor="text1"/>
        </w:rPr>
        <w:t xml:space="preserve">for cellulose and lignin recovery from residues for </w:t>
      </w:r>
      <w:proofErr w:type="spellStart"/>
      <w:r w:rsidR="000E1F0D" w:rsidRPr="00571CB3">
        <w:rPr>
          <w:rStyle w:val="CETCaptionCarattere"/>
          <w:b w:val="0"/>
          <w:bCs w:val="0"/>
          <w:color w:val="000000" w:themeColor="text1"/>
        </w:rPr>
        <w:t>vitrimers</w:t>
      </w:r>
      <w:proofErr w:type="spellEnd"/>
      <w:r w:rsidR="000E1F0D" w:rsidRPr="00571CB3">
        <w:rPr>
          <w:rStyle w:val="CETCaptionCarattere"/>
          <w:b w:val="0"/>
          <w:bCs w:val="0"/>
          <w:color w:val="000000" w:themeColor="text1"/>
        </w:rPr>
        <w:t xml:space="preserve"> production</w:t>
      </w:r>
    </w:p>
    <w:p w14:paraId="0636B784" w14:textId="6D6E00D7" w:rsidR="00453E24" w:rsidRPr="00571CB3" w:rsidRDefault="007A451F" w:rsidP="007A451F">
      <w:pPr>
        <w:pStyle w:val="CETheadingx"/>
        <w:rPr>
          <w:lang w:val="en-GB"/>
        </w:rPr>
      </w:pPr>
      <w:r w:rsidRPr="00571CB3">
        <w:rPr>
          <w:lang w:val="en-GB"/>
        </w:rPr>
        <w:t xml:space="preserve">Economic assessment </w:t>
      </w:r>
    </w:p>
    <w:p w14:paraId="0959B318" w14:textId="383269D6" w:rsidR="007A451F" w:rsidRPr="00571CB3" w:rsidRDefault="00AD7C6E" w:rsidP="00AD7C6E">
      <w:pPr>
        <w:pStyle w:val="CETBodytext"/>
        <w:rPr>
          <w:lang w:val="en-GB"/>
        </w:rPr>
      </w:pPr>
      <w:r w:rsidRPr="00571CB3">
        <w:rPr>
          <w:lang w:val="en-GB"/>
        </w:rPr>
        <w:t xml:space="preserve">The economic evaluation of </w:t>
      </w:r>
      <w:r w:rsidR="009147D9" w:rsidRPr="00571CB3">
        <w:rPr>
          <w:lang w:val="en-GB"/>
        </w:rPr>
        <w:t xml:space="preserve">the process </w:t>
      </w:r>
      <w:r w:rsidRPr="00571CB3">
        <w:rPr>
          <w:lang w:val="en-GB"/>
        </w:rPr>
        <w:t>is based on a</w:t>
      </w:r>
      <w:r w:rsidR="009001F6" w:rsidRPr="00571CB3">
        <w:rPr>
          <w:lang w:val="en-GB"/>
        </w:rPr>
        <w:t>n assessment of the</w:t>
      </w:r>
      <w:r w:rsidRPr="00571CB3">
        <w:rPr>
          <w:lang w:val="en-GB"/>
        </w:rPr>
        <w:t xml:space="preserve"> MPSP. Given the </w:t>
      </w:r>
      <w:r w:rsidR="009001F6" w:rsidRPr="00571CB3">
        <w:rPr>
          <w:lang w:val="en-GB"/>
        </w:rPr>
        <w:t>low technology readiness level (</w:t>
      </w:r>
      <w:r w:rsidRPr="00571CB3">
        <w:rPr>
          <w:lang w:val="en-GB"/>
        </w:rPr>
        <w:t>TRL</w:t>
      </w:r>
      <w:r w:rsidR="009001F6" w:rsidRPr="00571CB3">
        <w:rPr>
          <w:lang w:val="en-GB"/>
        </w:rPr>
        <w:t>)</w:t>
      </w:r>
      <w:r w:rsidRPr="00571CB3">
        <w:rPr>
          <w:lang w:val="en-GB"/>
        </w:rPr>
        <w:t xml:space="preserve"> and the uncertainty surrounding the production process, </w:t>
      </w:r>
      <w:r w:rsidR="004B597D" w:rsidRPr="00571CB3">
        <w:rPr>
          <w:lang w:val="en-GB"/>
        </w:rPr>
        <w:t xml:space="preserve">the </w:t>
      </w:r>
      <w:r w:rsidR="009001F6" w:rsidRPr="00571CB3">
        <w:rPr>
          <w:lang w:val="en-GB"/>
        </w:rPr>
        <w:t xml:space="preserve">MPSP represents the </w:t>
      </w:r>
      <w:r w:rsidR="004B597D" w:rsidRPr="00571CB3">
        <w:rPr>
          <w:lang w:val="en-GB"/>
        </w:rPr>
        <w:t xml:space="preserve">lowest price at which the product can be sold </w:t>
      </w:r>
      <w:r w:rsidR="009001F6" w:rsidRPr="00571CB3">
        <w:rPr>
          <w:lang w:val="en-GB"/>
        </w:rPr>
        <w:t>while</w:t>
      </w:r>
      <w:r w:rsidRPr="00571CB3">
        <w:rPr>
          <w:lang w:val="en-GB"/>
        </w:rPr>
        <w:t xml:space="preserve"> ensur</w:t>
      </w:r>
      <w:r w:rsidR="009001F6" w:rsidRPr="00571CB3">
        <w:rPr>
          <w:lang w:val="en-GB"/>
        </w:rPr>
        <w:t>ing</w:t>
      </w:r>
      <w:r w:rsidRPr="00571CB3">
        <w:rPr>
          <w:lang w:val="en-GB"/>
        </w:rPr>
        <w:t xml:space="preserve"> non-negative profitability. </w:t>
      </w:r>
      <w:r w:rsidR="009001F6" w:rsidRPr="00571CB3">
        <w:rPr>
          <w:lang w:val="en-GB"/>
        </w:rPr>
        <w:t>This</w:t>
      </w:r>
      <w:r w:rsidRPr="00571CB3">
        <w:rPr>
          <w:lang w:val="en-GB"/>
        </w:rPr>
        <w:t xml:space="preserve"> metric </w:t>
      </w:r>
      <w:r w:rsidR="009001F6" w:rsidRPr="00571CB3">
        <w:rPr>
          <w:lang w:val="en-GB"/>
        </w:rPr>
        <w:t xml:space="preserve">is critical </w:t>
      </w:r>
      <w:r w:rsidRPr="00571CB3">
        <w:rPr>
          <w:lang w:val="en-GB"/>
        </w:rPr>
        <w:t xml:space="preserve">for evaluating the economic feasibility and market potential of </w:t>
      </w:r>
      <w:r w:rsidR="009001F6" w:rsidRPr="00571CB3">
        <w:rPr>
          <w:lang w:val="en-GB"/>
        </w:rPr>
        <w:t>early-stage technologies</w:t>
      </w:r>
      <w:r w:rsidRPr="00571CB3">
        <w:rPr>
          <w:lang w:val="en-GB"/>
        </w:rPr>
        <w:t xml:space="preserve">, as it </w:t>
      </w:r>
      <w:r w:rsidR="00A45E9A" w:rsidRPr="00571CB3">
        <w:rPr>
          <w:lang w:val="en-GB"/>
        </w:rPr>
        <w:t>provides insight into their competitiveness relative to</w:t>
      </w:r>
      <w:r w:rsidRPr="00571CB3">
        <w:rPr>
          <w:lang w:val="en-GB"/>
        </w:rPr>
        <w:t xml:space="preserve"> existing </w:t>
      </w:r>
      <w:r w:rsidR="00A45E9A" w:rsidRPr="00571CB3">
        <w:rPr>
          <w:lang w:val="en-GB"/>
        </w:rPr>
        <w:t xml:space="preserve">alternatives </w:t>
      </w:r>
      <w:r w:rsidRPr="00571CB3">
        <w:rPr>
          <w:lang w:val="en-GB"/>
        </w:rPr>
        <w:t>in terms of production costs.</w:t>
      </w:r>
      <w:r w:rsidR="008A180F" w:rsidRPr="00571CB3">
        <w:rPr>
          <w:lang w:val="en-GB"/>
        </w:rPr>
        <w:t xml:space="preserve"> </w:t>
      </w:r>
      <w:r w:rsidRPr="00571CB3">
        <w:rPr>
          <w:lang w:val="en-GB"/>
        </w:rPr>
        <w:t xml:space="preserve">In this study, profitability is </w:t>
      </w:r>
      <w:r w:rsidR="00DA2466" w:rsidRPr="00571CB3">
        <w:rPr>
          <w:lang w:val="en-GB"/>
        </w:rPr>
        <w:t>evaluated</w:t>
      </w:r>
      <w:r w:rsidR="00A45E9A" w:rsidRPr="00571CB3">
        <w:rPr>
          <w:lang w:val="en-GB"/>
        </w:rPr>
        <w:t xml:space="preserve"> </w:t>
      </w:r>
      <w:r w:rsidR="00DA2466" w:rsidRPr="00571CB3">
        <w:rPr>
          <w:lang w:val="en-GB"/>
        </w:rPr>
        <w:t>using</w:t>
      </w:r>
      <w:r w:rsidRPr="00571CB3">
        <w:rPr>
          <w:lang w:val="en-GB"/>
        </w:rPr>
        <w:t xml:space="preserve"> </w:t>
      </w:r>
      <w:r w:rsidR="00A45E9A" w:rsidRPr="00571CB3">
        <w:rPr>
          <w:lang w:val="en-GB"/>
        </w:rPr>
        <w:t xml:space="preserve">the </w:t>
      </w:r>
      <w:r w:rsidRPr="00571CB3">
        <w:rPr>
          <w:lang w:val="en-GB"/>
        </w:rPr>
        <w:t>net present value (NPV)</w:t>
      </w:r>
      <w:r w:rsidR="00DA2466" w:rsidRPr="00571CB3">
        <w:rPr>
          <w:lang w:val="en-GB"/>
        </w:rPr>
        <w:t xml:space="preserve"> method</w:t>
      </w:r>
      <w:r w:rsidRPr="00571CB3">
        <w:rPr>
          <w:lang w:val="en-GB"/>
        </w:rPr>
        <w:t>.</w:t>
      </w:r>
      <w:r w:rsidR="0051491D" w:rsidRPr="00571CB3">
        <w:rPr>
          <w:lang w:val="en-GB"/>
        </w:rPr>
        <w:t xml:space="preserve"> </w:t>
      </w:r>
      <w:r w:rsidR="00DA2466" w:rsidRPr="00571CB3">
        <w:rPr>
          <w:lang w:val="en-GB"/>
        </w:rPr>
        <w:t>T</w:t>
      </w:r>
      <w:r w:rsidR="00A45E9A" w:rsidRPr="00571CB3">
        <w:rPr>
          <w:lang w:val="en-GB"/>
        </w:rPr>
        <w:t xml:space="preserve">he MPSP </w:t>
      </w:r>
      <w:r w:rsidR="00DA2466" w:rsidRPr="00571CB3">
        <w:rPr>
          <w:lang w:val="en-GB"/>
        </w:rPr>
        <w:t>is determined</w:t>
      </w:r>
      <w:r w:rsidR="00A45E9A" w:rsidRPr="00571CB3">
        <w:rPr>
          <w:lang w:val="en-GB"/>
        </w:rPr>
        <w:t xml:space="preserve"> as the minimum price that ac</w:t>
      </w:r>
      <w:r w:rsidR="00DA2466" w:rsidRPr="00571CB3">
        <w:rPr>
          <w:lang w:val="en-GB"/>
        </w:rPr>
        <w:t xml:space="preserve">hieves break-even profitability, i.e., when NPV = 0, as expressed by the following equation (Eq.1),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4"/>
        <w:gridCol w:w="803"/>
      </w:tblGrid>
      <w:tr w:rsidR="00324124" w:rsidRPr="00571CB3" w14:paraId="7DBE052B" w14:textId="77777777" w:rsidTr="003B47FF">
        <w:tc>
          <w:tcPr>
            <w:tcW w:w="7984" w:type="dxa"/>
            <w:shd w:val="clear" w:color="auto" w:fill="auto"/>
            <w:vAlign w:val="center"/>
          </w:tcPr>
          <w:p w14:paraId="4C3EC941" w14:textId="41AEE913" w:rsidR="00324124" w:rsidRPr="00571CB3" w:rsidRDefault="00B75DAF" w:rsidP="00FE1505">
            <w:pPr>
              <w:pStyle w:val="CETEquation"/>
              <w:rPr>
                <w:rFonts w:cs="Arial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Arial"/>
                    <w:color w:val="000000"/>
                    <w:szCs w:val="18"/>
                  </w:rPr>
                  <m:t>NPV=-</m:t>
                </m:r>
                <m:d>
                  <m:dPr>
                    <m:ctrlPr>
                      <w:rPr>
                        <w:rFonts w:ascii="Cambria Math" w:eastAsia="Arial" w:hAnsi="Cambria Math" w:cs="Arial"/>
                        <w:i/>
                        <w:color w:val="000000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Arial" w:hAnsi="Cambria Math" w:cs="Arial"/>
                        <w:color w:val="000000"/>
                        <w:szCs w:val="18"/>
                      </w:rPr>
                      <m:t>1-α</m:t>
                    </m:r>
                  </m:e>
                </m:d>
                <m:r>
                  <w:rPr>
                    <w:rFonts w:ascii="Cambria Math" w:eastAsia="Arial" w:hAnsi="Cambria Math" w:cs="Arial"/>
                    <w:color w:val="000000"/>
                    <w:szCs w:val="18"/>
                  </w:rPr>
                  <m:t>I-A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Arial" w:hAnsi="Cambria Math" w:cs="Arial"/>
                        <w:i/>
                        <w:color w:val="000000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Arial" w:hAnsi="Cambria Math" w:cs="Arial"/>
                            <w:i/>
                            <w:color w:val="000000"/>
                            <w:szCs w:val="1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Arial" w:hAnsi="Cambria Math" w:cs="Arial"/>
                                <w:i/>
                                <w:color w:val="000000"/>
                                <w:szCs w:val="1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Arial" w:hAnsi="Cambria Math" w:cs="Arial"/>
                                    <w:i/>
                                    <w:color w:val="000000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Arial" w:hAnsi="Cambria Math" w:cs="Arial"/>
                                    <w:color w:val="000000"/>
                                    <w:szCs w:val="18"/>
                                  </w:rPr>
                                  <m:t>1+r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Arial" w:hAnsi="Cambria Math" w:cs="Arial"/>
                                <w:color w:val="000000"/>
                                <w:szCs w:val="18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eastAsia="Arial" w:hAnsi="Cambria Math" w:cs="Arial"/>
                            <w:color w:val="000000"/>
                            <w:szCs w:val="1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Arial" w:hAnsi="Cambria Math" w:cs="Arial"/>
                            <w:color w:val="000000"/>
                            <w:szCs w:val="18"/>
                          </w:rPr>
                          <m:t>r</m:t>
                        </m:r>
                        <m:sSup>
                          <m:sSupPr>
                            <m:ctrlPr>
                              <w:rPr>
                                <w:rFonts w:ascii="Cambria Math" w:eastAsia="Arial" w:hAnsi="Cambria Math" w:cs="Arial"/>
                                <w:i/>
                                <w:color w:val="000000"/>
                                <w:szCs w:val="1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Arial" w:hAnsi="Cambria Math" w:cs="Arial"/>
                                    <w:i/>
                                    <w:color w:val="000000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Arial" w:hAnsi="Cambria Math" w:cs="Arial"/>
                                    <w:color w:val="000000"/>
                                    <w:szCs w:val="18"/>
                                  </w:rPr>
                                  <m:t>1+r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Arial" w:hAnsi="Cambria Math" w:cs="Arial"/>
                                <w:color w:val="000000"/>
                                <w:szCs w:val="18"/>
                              </w:rPr>
                              <m:t>N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eastAsia="Arial" w:hAnsi="Cambria Math" w:cs="Arial"/>
                    <w:color w:val="000000"/>
                    <w:szCs w:val="18"/>
                  </w:rPr>
                  <m:t>+NB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Arial" w:hAnsi="Cambria Math" w:cs="Arial"/>
                        <w:i/>
                        <w:color w:val="000000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Arial" w:hAnsi="Cambria Math" w:cs="Arial"/>
                            <w:i/>
                            <w:color w:val="000000"/>
                            <w:szCs w:val="1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Arial" w:hAnsi="Cambria Math" w:cs="Arial"/>
                                <w:i/>
                                <w:color w:val="000000"/>
                                <w:szCs w:val="1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Arial" w:hAnsi="Cambria Math" w:cs="Arial"/>
                                    <w:i/>
                                    <w:color w:val="000000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Arial" w:hAnsi="Cambria Math" w:cs="Arial"/>
                                    <w:color w:val="000000"/>
                                    <w:szCs w:val="18"/>
                                  </w:rPr>
                                  <m:t>1+r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Arial" w:hAnsi="Cambria Math" w:cs="Arial"/>
                                <w:color w:val="000000"/>
                                <w:szCs w:val="18"/>
                              </w:rPr>
                              <m:t>τ+1</m:t>
                            </m:r>
                          </m:sup>
                        </m:sSup>
                        <m:r>
                          <w:rPr>
                            <w:rFonts w:ascii="Cambria Math" w:eastAsia="Arial" w:hAnsi="Cambria Math" w:cs="Arial"/>
                            <w:color w:val="000000"/>
                            <w:szCs w:val="1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Arial" w:hAnsi="Cambria Math" w:cs="Arial"/>
                            <w:color w:val="000000"/>
                            <w:szCs w:val="18"/>
                          </w:rPr>
                          <m:t>r</m:t>
                        </m:r>
                        <m:sSup>
                          <m:sSupPr>
                            <m:ctrlPr>
                              <w:rPr>
                                <w:rFonts w:ascii="Cambria Math" w:eastAsia="Arial" w:hAnsi="Cambria Math" w:cs="Arial"/>
                                <w:i/>
                                <w:color w:val="000000"/>
                                <w:szCs w:val="1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Arial" w:hAnsi="Cambria Math" w:cs="Arial"/>
                                    <w:i/>
                                    <w:color w:val="000000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Arial" w:hAnsi="Cambria Math" w:cs="Arial"/>
                                    <w:color w:val="000000"/>
                                    <w:szCs w:val="18"/>
                                  </w:rPr>
                                  <m:t>1+r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Arial" w:hAnsi="Cambria Math" w:cs="Arial"/>
                                <w:color w:val="000000"/>
                                <w:szCs w:val="18"/>
                              </w:rPr>
                              <m:t>τ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eastAsia="Arial" w:hAnsi="Cambria Math" w:cs="Arial"/>
                    <w:color w:val="000000"/>
                    <w:szCs w:val="18"/>
                  </w:rPr>
                  <m:t>-βI</m:t>
                </m:r>
                <m:d>
                  <m:dPr>
                    <m:ctrlPr>
                      <w:rPr>
                        <w:rFonts w:ascii="Cambria Math" w:eastAsia="Arial" w:hAnsi="Cambria Math" w:cs="Arial"/>
                        <w:i/>
                        <w:color w:val="000000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Arial" w:hAnsi="Cambria Math" w:cs="Arial"/>
                            <w:i/>
                            <w:color w:val="000000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="Arial" w:hAnsi="Cambria Math" w:cs="Arial"/>
                            <w:color w:val="000000"/>
                            <w:szCs w:val="18"/>
                          </w:rPr>
                          <m:t>1+g</m:t>
                        </m:r>
                      </m:num>
                      <m:den>
                        <m:r>
                          <w:rPr>
                            <w:rFonts w:ascii="Cambria Math" w:eastAsia="Arial" w:hAnsi="Cambria Math" w:cs="Arial"/>
                            <w:color w:val="000000"/>
                            <w:szCs w:val="18"/>
                          </w:rPr>
                          <m:t>r-g</m:t>
                        </m:r>
                      </m:den>
                    </m:f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Arial" w:hAnsi="Cambria Math" w:cs="Arial"/>
                        <w:i/>
                        <w:color w:val="000000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Arial" w:hAnsi="Cambria Math" w:cs="Arial"/>
                        <w:color w:val="000000"/>
                        <w:szCs w:val="1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Arial" w:hAnsi="Cambria Math" w:cs="Arial"/>
                            <w:i/>
                            <w:color w:val="000000"/>
                            <w:szCs w:val="1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Arial" w:hAnsi="Cambria Math" w:cs="Arial"/>
                                <w:i/>
                                <w:color w:val="000000"/>
                                <w:szCs w:val="1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Arial" w:hAnsi="Cambria Math" w:cs="Arial"/>
                                    <w:i/>
                                    <w:color w:val="000000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Arial" w:hAnsi="Cambria Math" w:cs="Arial"/>
                                    <w:color w:val="000000"/>
                                    <w:szCs w:val="18"/>
                                  </w:rPr>
                                  <m:t>1+g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Arial" w:hAnsi="Cambria Math" w:cs="Arial"/>
                                    <w:color w:val="000000"/>
                                    <w:szCs w:val="18"/>
                                  </w:rPr>
                                  <m:t>1+r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Arial" w:hAnsi="Cambria Math" w:cs="Arial"/>
                            <w:color w:val="000000"/>
                            <w:szCs w:val="18"/>
                          </w:rPr>
                          <m:t>τ</m:t>
                        </m:r>
                      </m:sup>
                    </m:sSup>
                  </m:e>
                </m:d>
                <m:r>
                  <w:rPr>
                    <w:rFonts w:ascii="Cambria Math" w:eastAsia="Arial" w:hAnsi="Cambria Math" w:cs="Arial"/>
                    <w:color w:val="000000"/>
                    <w:szCs w:val="18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i/>
                        <w:color w:val="000000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Arial"/>
                        <w:color w:val="000000"/>
                        <w:szCs w:val="18"/>
                      </w:rPr>
                      <m:t>γI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Arial" w:hAnsi="Cambria Math" w:cs="Arial"/>
                            <w:i/>
                            <w:color w:val="000000"/>
                            <w:szCs w:val="1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Arial" w:hAnsi="Cambria Math" w:cs="Arial"/>
                                <w:i/>
                                <w:color w:val="000000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" w:hAnsi="Cambria Math" w:cs="Arial"/>
                                <w:color w:val="000000"/>
                                <w:szCs w:val="18"/>
                              </w:rPr>
                              <m:t>1+r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Arial" w:hAnsi="Cambria Math" w:cs="Arial"/>
                            <w:color w:val="000000"/>
                            <w:szCs w:val="18"/>
                          </w:rPr>
                          <m:t>τ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803" w:type="dxa"/>
            <w:shd w:val="clear" w:color="auto" w:fill="auto"/>
            <w:vAlign w:val="center"/>
          </w:tcPr>
          <w:p w14:paraId="1FBBABE4" w14:textId="77777777" w:rsidR="00324124" w:rsidRPr="00571CB3" w:rsidRDefault="00324124" w:rsidP="00FE1505">
            <w:pPr>
              <w:pStyle w:val="CETEquation"/>
              <w:jc w:val="right"/>
            </w:pPr>
            <w:r w:rsidRPr="00571CB3">
              <w:t>(1)</w:t>
            </w:r>
          </w:p>
        </w:tc>
      </w:tr>
    </w:tbl>
    <w:p w14:paraId="669A7571" w14:textId="04263958" w:rsidR="00324124" w:rsidRPr="00571CB3" w:rsidRDefault="00DA2466" w:rsidP="003B47FF">
      <w:pPr>
        <w:pStyle w:val="CETBodytext"/>
        <w:rPr>
          <w:lang w:val="en-GB"/>
        </w:rPr>
      </w:pPr>
      <w:r w:rsidRPr="00571CB3">
        <w:rPr>
          <w:lang w:val="en-GB"/>
        </w:rPr>
        <w:t>where</w:t>
      </w:r>
      <w:r w:rsidR="002256C5" w:rsidRPr="00571CB3">
        <w:rPr>
          <w:lang w:val="en-GB"/>
        </w:rPr>
        <w:t>:</w:t>
      </w:r>
      <w:r w:rsidR="003B47FF" w:rsidRPr="00571CB3">
        <w:rPr>
          <w:lang w:val="en-GB"/>
        </w:rPr>
        <w:t xml:space="preserve"> α</w:t>
      </w:r>
      <w:r w:rsidR="002256C5" w:rsidRPr="00571CB3">
        <w:rPr>
          <w:lang w:val="en-GB"/>
        </w:rPr>
        <w:t xml:space="preserve">, </w:t>
      </w:r>
      <w:r w:rsidR="003B47FF" w:rsidRPr="00571CB3">
        <w:rPr>
          <w:lang w:val="en-GB"/>
        </w:rPr>
        <w:t xml:space="preserve">the portion of total capital investment (I) financed by debt with an interest rate ρ, paid for N years; </w:t>
      </w:r>
      <w:r w:rsidR="003B47FF" w:rsidRPr="00571CB3">
        <w:rPr>
          <w:i/>
          <w:iCs/>
          <w:lang w:val="en-GB"/>
        </w:rPr>
        <w:t>A</w:t>
      </w:r>
      <w:r w:rsidR="003B47FF" w:rsidRPr="00571CB3">
        <w:rPr>
          <w:lang w:val="en-GB"/>
        </w:rPr>
        <w:t xml:space="preserve">, the fixed annuity to pay the loan since the second year of the </w:t>
      </w:r>
      <w:r w:rsidR="00931985" w:rsidRPr="00571CB3">
        <w:rPr>
          <w:lang w:val="en-GB"/>
        </w:rPr>
        <w:t>investment</w:t>
      </w:r>
      <w:r w:rsidR="003B47FF" w:rsidRPr="00571CB3">
        <w:rPr>
          <w:lang w:val="en-GB"/>
        </w:rPr>
        <w:t>, computed as</w:t>
      </w:r>
      <w:r w:rsidR="00B31F97" w:rsidRPr="00571CB3">
        <w:rPr>
          <w:lang w:val="en-GB"/>
        </w:rPr>
        <w:t xml:space="preserve"> </w:t>
      </w:r>
      <m:oMath>
        <m:r>
          <w:rPr>
            <w:rFonts w:ascii="Cambria Math" w:eastAsia="Arial" w:hAnsi="Cambria Math" w:cs="Arial"/>
            <w:color w:val="000000"/>
            <w:lang w:val="en-GB"/>
          </w:rPr>
          <m:t>A=</m:t>
        </m:r>
        <m:f>
          <m:fPr>
            <m:ctrlPr>
              <w:rPr>
                <w:rFonts w:ascii="Cambria Math" w:eastAsia="Arial" w:hAnsi="Cambria Math" w:cs="Arial"/>
                <w:i/>
                <w:color w:val="000000"/>
                <w:lang w:val="en-GB"/>
              </w:rPr>
            </m:ctrlPr>
          </m:fPr>
          <m:num>
            <m:r>
              <w:rPr>
                <w:rFonts w:ascii="Cambria Math" w:eastAsia="Arial" w:hAnsi="Cambria Math" w:cs="Arial"/>
                <w:color w:val="000000"/>
                <w:lang w:val="en-GB"/>
              </w:rPr>
              <m:t>α I ρ</m:t>
            </m:r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  <w:color w:val="000000"/>
                    <w:lang w:val="en-GB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color w:val="000000"/>
                    <w:lang w:val="en-GB"/>
                  </w:rPr>
                  <m:t>1-</m:t>
                </m:r>
                <m:d>
                  <m:dPr>
                    <m:ctrlPr>
                      <w:rPr>
                        <w:rFonts w:ascii="Cambria Math" w:eastAsia="Arial" w:hAnsi="Cambria Math" w:cs="Arial"/>
                        <w:i/>
                        <w:color w:val="000000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="Arial" w:hAnsi="Cambria Math" w:cs="Arial"/>
                        <w:color w:val="000000"/>
                        <w:lang w:val="en-GB"/>
                      </w:rPr>
                      <m:t>1+ ρ</m:t>
                    </m:r>
                  </m:e>
                </m:d>
              </m:e>
              <m:sup>
                <m:r>
                  <w:rPr>
                    <w:rFonts w:ascii="Cambria Math" w:eastAsia="Arial" w:hAnsi="Cambria Math" w:cs="Arial"/>
                    <w:color w:val="000000"/>
                    <w:lang w:val="en-GB"/>
                  </w:rPr>
                  <m:t>-N</m:t>
                </m:r>
              </m:sup>
            </m:sSup>
          </m:den>
        </m:f>
      </m:oMath>
      <w:r w:rsidR="003B47FF" w:rsidRPr="00571CB3">
        <w:rPr>
          <w:lang w:val="en-GB"/>
        </w:rPr>
        <w:t xml:space="preserve">; NB, the annual net benefit; r, a real discount rate; β, the maintenance cost, which is expressed as a percentage of the initial investment, expected to grow exponentially after the first year at an annual rate of g; and γ, a share of the investment to include a salvage value at the end of the payback period </w:t>
      </w:r>
      <w:r w:rsidR="00EB4597" w:rsidRPr="00571CB3">
        <w:rPr>
          <w:rFonts w:ascii="EB Garamond" w:hAnsi="EB Garamond"/>
          <w:lang w:val="en-GB"/>
        </w:rPr>
        <w:t>τ</w:t>
      </w:r>
      <w:r w:rsidR="003B47FF" w:rsidRPr="00571CB3">
        <w:rPr>
          <w:lang w:val="en-GB"/>
        </w:rPr>
        <w:t>.</w:t>
      </w:r>
      <w:r w:rsidR="00EB4597" w:rsidRPr="00571CB3">
        <w:rPr>
          <w:lang w:val="en-GB"/>
        </w:rPr>
        <w:t xml:space="preserve"> </w:t>
      </w:r>
      <w:r w:rsidR="003B47FF" w:rsidRPr="00571CB3">
        <w:rPr>
          <w:lang w:val="en-GB"/>
        </w:rPr>
        <w:t xml:space="preserve">The NB is assumed to remain constant </w:t>
      </w:r>
      <w:r w:rsidR="003B47FF" w:rsidRPr="00571CB3">
        <w:rPr>
          <w:lang w:val="en-GB"/>
        </w:rPr>
        <w:lastRenderedPageBreak/>
        <w:t xml:space="preserve">and equivalent (in nominal terms) to the estimated gross profit per year in the base year, which is equal to the </w:t>
      </w:r>
      <w:proofErr w:type="spellStart"/>
      <w:r w:rsidR="003B47FF" w:rsidRPr="00571CB3">
        <w:rPr>
          <w:lang w:val="en-GB"/>
        </w:rPr>
        <w:t>the</w:t>
      </w:r>
      <w:proofErr w:type="spellEnd"/>
      <w:r w:rsidR="003B47FF" w:rsidRPr="00571CB3">
        <w:rPr>
          <w:lang w:val="en-GB"/>
        </w:rPr>
        <w:t xml:space="preserve"> difference between total revenue, generated solely from the sale of </w:t>
      </w:r>
      <w:proofErr w:type="spellStart"/>
      <w:r w:rsidR="003B47FF" w:rsidRPr="00571CB3">
        <w:rPr>
          <w:lang w:val="en-GB"/>
        </w:rPr>
        <w:t>vitrimers</w:t>
      </w:r>
      <w:proofErr w:type="spellEnd"/>
      <w:r w:rsidR="003B47FF" w:rsidRPr="00571CB3">
        <w:rPr>
          <w:lang w:val="en-GB"/>
        </w:rPr>
        <w:t xml:space="preserve"> (q), and variable costs (VC). Given the low TRL of the laboratory experiment, the available information is limited to the material flows of inputs (</w:t>
      </w:r>
      <w:proofErr w:type="spellStart"/>
      <w:r w:rsidR="003B47FF" w:rsidRPr="00571CB3">
        <w:rPr>
          <w:lang w:val="en-GB"/>
        </w:rPr>
        <w:t>i</w:t>
      </w:r>
      <w:proofErr w:type="spellEnd"/>
      <w:r w:rsidR="003B47FF" w:rsidRPr="00571CB3">
        <w:rPr>
          <w:lang w:val="en-GB"/>
        </w:rPr>
        <w:t xml:space="preserve">) and relative technological coefficients </w:t>
      </w:r>
      <m:oMath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ε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i</m:t>
                </m:r>
              </m:sub>
            </m:sSub>
          </m:e>
        </m:d>
      </m:oMath>
      <w:r w:rsidR="00D1762D" w:rsidRPr="00571CB3">
        <w:rPr>
          <w:lang w:val="en-GB"/>
        </w:rPr>
        <w:t>.</w:t>
      </w:r>
      <w:r w:rsidR="003B47FF" w:rsidRPr="00571CB3">
        <w:rPr>
          <w:lang w:val="en-GB"/>
        </w:rPr>
        <w:t xml:space="preserve">Therefore, once </w:t>
      </w:r>
      <w:r w:rsidR="00F01459" w:rsidRPr="00571CB3">
        <w:rPr>
          <w:lang w:val="en-GB"/>
        </w:rPr>
        <w:t>the unit input prices</w:t>
      </w:r>
      <w:r w:rsidR="008A1F81" w:rsidRPr="00571CB3">
        <w:rPr>
          <w:lang w:val="en-GB"/>
        </w:rPr>
        <w:t xml:space="preserve"> </w:t>
      </w:r>
      <m:oMath>
        <m:sSub>
          <m:sSubPr>
            <m:ctrlPr>
              <w:rPr>
                <w:rFonts w:ascii="Cambria Math" w:eastAsia="Arial" w:hAnsi="Cambria Math" w:cs="Arial"/>
                <w:i/>
                <w:color w:val="000000"/>
                <w:szCs w:val="18"/>
                <w:lang w:val="en-GB"/>
              </w:rPr>
            </m:ctrlPr>
          </m:sSubPr>
          <m:e>
            <m:r>
              <w:rPr>
                <w:rFonts w:ascii="Cambria Math" w:eastAsia="Arial" w:hAnsi="Cambria Math" w:cs="Arial"/>
                <w:color w:val="000000"/>
                <w:szCs w:val="18"/>
                <w:lang w:val="en-GB"/>
              </w:rPr>
              <m:t>p</m:t>
            </m:r>
          </m:e>
          <m:sub>
            <m:r>
              <w:rPr>
                <w:rFonts w:ascii="Cambria Math" w:eastAsia="Arial" w:hAnsi="Cambria Math" w:cs="Arial"/>
                <w:color w:val="000000"/>
                <w:szCs w:val="18"/>
                <w:lang w:val="en-GB"/>
              </w:rPr>
              <m:t>i</m:t>
            </m:r>
          </m:sub>
        </m:sSub>
      </m:oMath>
      <w:r w:rsidR="00F01459" w:rsidRPr="00571CB3">
        <w:rPr>
          <w:lang w:val="en-GB"/>
        </w:rPr>
        <w:t xml:space="preserve"> </w:t>
      </w:r>
      <w:r w:rsidR="003B47FF" w:rsidRPr="00571CB3">
        <w:rPr>
          <w:lang w:val="en-GB"/>
        </w:rPr>
        <w:t>w</w:t>
      </w:r>
      <w:r w:rsidR="00F01459" w:rsidRPr="00571CB3">
        <w:rPr>
          <w:lang w:val="en-GB"/>
        </w:rPr>
        <w:t xml:space="preserve">ere </w:t>
      </w:r>
      <w:r w:rsidR="003B47FF" w:rsidRPr="00571CB3">
        <w:rPr>
          <w:lang w:val="en-GB"/>
        </w:rPr>
        <w:t>collected</w:t>
      </w:r>
      <w:r w:rsidR="00F01459" w:rsidRPr="00571CB3">
        <w:rPr>
          <w:lang w:val="en-GB"/>
        </w:rPr>
        <w:t xml:space="preserve"> </w:t>
      </w:r>
      <w:r w:rsidR="003B47FF" w:rsidRPr="00571CB3">
        <w:rPr>
          <w:lang w:val="en-GB"/>
        </w:rPr>
        <w:t xml:space="preserve">from various sources (see </w:t>
      </w:r>
      <w:r w:rsidR="00F50185" w:rsidRPr="00571CB3">
        <w:rPr>
          <w:lang w:val="en-GB"/>
        </w:rPr>
        <w:fldChar w:fldCharType="begin"/>
      </w:r>
      <w:r w:rsidR="00F50185" w:rsidRPr="00571CB3">
        <w:rPr>
          <w:lang w:val="en-GB"/>
        </w:rPr>
        <w:instrText xml:space="preserve"> REF _Ref192684093 \h </w:instrText>
      </w:r>
      <w:r w:rsidR="00F50185" w:rsidRPr="00571CB3">
        <w:rPr>
          <w:lang w:val="en-GB"/>
        </w:rPr>
      </w:r>
      <w:r w:rsidR="00F50185" w:rsidRPr="00571CB3">
        <w:rPr>
          <w:lang w:val="en-GB"/>
        </w:rPr>
        <w:fldChar w:fldCharType="separate"/>
      </w:r>
      <w:r w:rsidR="00F50185" w:rsidRPr="00571CB3">
        <w:rPr>
          <w:lang w:val="en-GB"/>
        </w:rPr>
        <w:t xml:space="preserve">Table </w:t>
      </w:r>
      <w:r w:rsidR="00F50185" w:rsidRPr="00571CB3">
        <w:rPr>
          <w:noProof/>
          <w:lang w:val="en-GB"/>
        </w:rPr>
        <w:t>1</w:t>
      </w:r>
      <w:r w:rsidR="00F50185" w:rsidRPr="00571CB3">
        <w:rPr>
          <w:lang w:val="en-GB"/>
        </w:rPr>
        <w:fldChar w:fldCharType="end"/>
      </w:r>
      <w:r w:rsidR="003B47FF" w:rsidRPr="00571CB3">
        <w:rPr>
          <w:lang w:val="en-GB"/>
        </w:rPr>
        <w:t xml:space="preserve">), </w:t>
      </w:r>
      <w:r w:rsidR="00E2191D" w:rsidRPr="00571CB3">
        <w:rPr>
          <w:lang w:val="en-GB"/>
        </w:rPr>
        <w:t>the total variable cost was</w:t>
      </w:r>
      <w:r w:rsidR="003B47FF" w:rsidRPr="00571CB3">
        <w:rPr>
          <w:lang w:val="en-GB"/>
        </w:rPr>
        <w:t xml:space="preserve"> computed assuming a Leontief technology cost structure and a share (δ) of raw material cost in the average variable cost as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4"/>
        <w:gridCol w:w="803"/>
      </w:tblGrid>
      <w:tr w:rsidR="00022E72" w:rsidRPr="00571CB3" w14:paraId="09FB35C6" w14:textId="77777777" w:rsidTr="00FE1505">
        <w:tc>
          <w:tcPr>
            <w:tcW w:w="7984" w:type="dxa"/>
            <w:shd w:val="clear" w:color="auto" w:fill="auto"/>
            <w:vAlign w:val="center"/>
          </w:tcPr>
          <w:p w14:paraId="1C0F0D11" w14:textId="1147FEF5" w:rsidR="00022E72" w:rsidRPr="00571CB3" w:rsidRDefault="00495FC2" w:rsidP="00FE1505">
            <w:pPr>
              <w:pStyle w:val="CETEquation"/>
              <w:rPr>
                <w:rFonts w:cs="Arial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Arial"/>
                    <w:color w:val="000000"/>
                    <w:szCs w:val="18"/>
                  </w:rPr>
                  <m:t xml:space="preserve">VC = </m:t>
                </m:r>
                <m:d>
                  <m:dPr>
                    <m:ctrlPr>
                      <w:rPr>
                        <w:rFonts w:ascii="Cambria Math" w:eastAsia="Arial" w:hAnsi="Cambria Math" w:cs="Arial"/>
                        <w:i/>
                        <w:color w:val="000000"/>
                        <w:szCs w:val="18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Arial" w:hAnsi="Cambria Math" w:cs="Arial"/>
                            <w:i/>
                            <w:color w:val="000000"/>
                            <w:szCs w:val="18"/>
                          </w:rPr>
                        </m:ctrlPr>
                      </m:naryPr>
                      <m:sub/>
                      <m:sup/>
                      <m:e>
                        <m:f>
                          <m:fPr>
                            <m:ctrlPr>
                              <w:rPr>
                                <w:rFonts w:ascii="Cambria Math" w:eastAsia="Arial" w:hAnsi="Cambria Math" w:cs="Arial"/>
                                <w:i/>
                                <w:color w:val="000000"/>
                                <w:szCs w:val="1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Arial" w:hAnsi="Cambria Math" w:cs="Arial"/>
                                    <w:i/>
                                    <w:color w:val="000000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rial" w:hAnsi="Cambria Math" w:cs="Arial"/>
                                    <w:color w:val="000000"/>
                                    <w:szCs w:val="18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rial" w:hAnsi="Cambria Math" w:cs="Arial"/>
                                    <w:color w:val="000000"/>
                                    <w:szCs w:val="18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Arial" w:hAnsi="Cambria Math" w:cs="Arial"/>
                                    <w:i/>
                                    <w:color w:val="000000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rial" w:hAnsi="Cambria Math" w:cs="Arial"/>
                                    <w:color w:val="000000"/>
                                    <w:szCs w:val="18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rial" w:hAnsi="Cambria Math" w:cs="Arial"/>
                                    <w:color w:val="000000"/>
                                    <w:szCs w:val="18"/>
                                  </w:rPr>
                                  <m:t>i</m:t>
                                </m:r>
                              </m:sub>
                            </m:sSub>
                          </m:den>
                        </m:f>
                      </m:e>
                    </m:nary>
                  </m:e>
                </m:d>
                <m:f>
                  <m:fPr>
                    <m:ctrlPr>
                      <w:rPr>
                        <w:rFonts w:ascii="Cambria Math" w:eastAsia="Arial" w:hAnsi="Cambria Math" w:cs="Arial"/>
                        <w:i/>
                        <w:color w:val="000000"/>
                        <w:szCs w:val="1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Arial" w:hAnsi="Cambria Math" w:cs="Arial"/>
                            <w:i/>
                            <w:color w:val="000000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="Arial" w:hAnsi="Cambria Math" w:cs="Arial"/>
                            <w:color w:val="000000"/>
                            <w:szCs w:val="18"/>
                          </w:rPr>
                          <m:t>1-δ</m:t>
                        </m:r>
                      </m:e>
                    </m:d>
                  </m:num>
                  <m:den>
                    <m:r>
                      <w:rPr>
                        <w:rFonts w:ascii="Cambria Math" w:eastAsia="Arial" w:hAnsi="Cambria Math" w:cs="Arial"/>
                        <w:color w:val="000000"/>
                        <w:szCs w:val="18"/>
                      </w:rPr>
                      <m:t>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  <w:szCs w:val="18"/>
                  </w:rPr>
                  <m:t>q</m:t>
                </m:r>
              </m:oMath>
            </m:oMathPara>
          </w:p>
        </w:tc>
        <w:tc>
          <w:tcPr>
            <w:tcW w:w="803" w:type="dxa"/>
            <w:shd w:val="clear" w:color="auto" w:fill="auto"/>
            <w:vAlign w:val="center"/>
          </w:tcPr>
          <w:p w14:paraId="0874F582" w14:textId="1DD86659" w:rsidR="00022E72" w:rsidRPr="00571CB3" w:rsidRDefault="00022E72" w:rsidP="00FE1505">
            <w:pPr>
              <w:pStyle w:val="CETEquation"/>
              <w:jc w:val="right"/>
            </w:pPr>
            <w:r w:rsidRPr="00571CB3">
              <w:t>(2)</w:t>
            </w:r>
          </w:p>
        </w:tc>
      </w:tr>
    </w:tbl>
    <w:p w14:paraId="3D563889" w14:textId="22303E2D" w:rsidR="006B3D1A" w:rsidRPr="00571CB3" w:rsidRDefault="006B3D1A" w:rsidP="006B3D1A">
      <w:r w:rsidRPr="00571CB3">
        <w:t xml:space="preserve">Based on the same principle, the total capital investment was estimated assuming a share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θ</m:t>
            </m:r>
          </m:e>
        </m:d>
      </m:oMath>
      <w:r w:rsidRPr="00571CB3">
        <w:t xml:space="preserve"> of the variable cost in the average total cost as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4"/>
        <w:gridCol w:w="803"/>
      </w:tblGrid>
      <w:tr w:rsidR="006B3D1A" w:rsidRPr="00571CB3" w14:paraId="59DAFD2F" w14:textId="77777777" w:rsidTr="00FE1505">
        <w:tc>
          <w:tcPr>
            <w:tcW w:w="7984" w:type="dxa"/>
            <w:shd w:val="clear" w:color="auto" w:fill="auto"/>
            <w:vAlign w:val="center"/>
          </w:tcPr>
          <w:p w14:paraId="380A18E6" w14:textId="2FDBAB88" w:rsidR="006B3D1A" w:rsidRPr="00571CB3" w:rsidRDefault="007D3D7C" w:rsidP="00FE1505">
            <w:pPr>
              <w:pStyle w:val="CETEquation"/>
              <w:rPr>
                <w:rFonts w:cs="Arial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 w:cs="Arial"/>
                    <w:color w:val="000000"/>
                    <w:szCs w:val="18"/>
                  </w:rPr>
                  <m:t>FC = VC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i/>
                        <w:color w:val="000000"/>
                        <w:szCs w:val="1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Arial" w:hAnsi="Cambria Math" w:cs="Arial"/>
                            <w:i/>
                            <w:color w:val="000000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="Arial" w:hAnsi="Cambria Math" w:cs="Arial"/>
                            <w:color w:val="000000"/>
                            <w:szCs w:val="18"/>
                          </w:rPr>
                          <m:t>1-</m:t>
                        </m:r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θ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Arial"/>
                        <w:szCs w:val="18"/>
                      </w:rPr>
                      <m:t>θ</m:t>
                    </m:r>
                  </m:den>
                </m:f>
              </m:oMath>
            </m:oMathPara>
          </w:p>
        </w:tc>
        <w:tc>
          <w:tcPr>
            <w:tcW w:w="803" w:type="dxa"/>
            <w:shd w:val="clear" w:color="auto" w:fill="auto"/>
            <w:vAlign w:val="center"/>
          </w:tcPr>
          <w:p w14:paraId="7669F4A3" w14:textId="66456A46" w:rsidR="006B3D1A" w:rsidRPr="00571CB3" w:rsidRDefault="006B3D1A" w:rsidP="00FE1505">
            <w:pPr>
              <w:pStyle w:val="CETEquation"/>
              <w:jc w:val="right"/>
            </w:pPr>
            <w:r w:rsidRPr="00571CB3">
              <w:t>(3)</w:t>
            </w:r>
          </w:p>
        </w:tc>
      </w:tr>
    </w:tbl>
    <w:p w14:paraId="69DD6976" w14:textId="4837EDFC" w:rsidR="008B5602" w:rsidRPr="00571CB3" w:rsidRDefault="00333F93" w:rsidP="003B47FF">
      <w:pPr>
        <w:pStyle w:val="CETBodytext"/>
        <w:rPr>
          <w:lang w:val="en-GB"/>
        </w:rPr>
      </w:pPr>
      <w:r w:rsidRPr="00571CB3">
        <w:rPr>
          <w:lang w:val="en-GB"/>
        </w:rPr>
        <w:t>By varying the parameters</w:t>
      </w:r>
      <w:r w:rsidR="00DF0F2F" w:rsidRPr="00571CB3">
        <w:rPr>
          <w:lang w:val="en-GB"/>
        </w:rPr>
        <w:t xml:space="preserve"> of δ and θ, it is possible to simulate different industrial settings, assuming higher or lower levels of raw material</w:t>
      </w:r>
      <w:r w:rsidRPr="00571CB3">
        <w:rPr>
          <w:lang w:val="en-GB"/>
        </w:rPr>
        <w:t xml:space="preserve"> use</w:t>
      </w:r>
      <w:r w:rsidR="00DF0F2F" w:rsidRPr="00571CB3">
        <w:rPr>
          <w:lang w:val="en-GB"/>
        </w:rPr>
        <w:t xml:space="preserve"> and fixed costs </w:t>
      </w:r>
      <w:r w:rsidRPr="00571CB3">
        <w:rPr>
          <w:lang w:val="en-GB"/>
        </w:rPr>
        <w:t>within the</w:t>
      </w:r>
      <w:r w:rsidR="00DF0F2F" w:rsidRPr="00571CB3">
        <w:rPr>
          <w:lang w:val="en-GB"/>
        </w:rPr>
        <w:t xml:space="preserve"> production function. </w:t>
      </w:r>
      <w:r w:rsidRPr="00571CB3">
        <w:rPr>
          <w:lang w:val="en-GB"/>
        </w:rPr>
        <w:t>In general</w:t>
      </w:r>
      <w:r w:rsidR="00DF0F2F" w:rsidRPr="00571CB3">
        <w:rPr>
          <w:lang w:val="en-GB"/>
        </w:rPr>
        <w:t xml:space="preserve">, </w:t>
      </w:r>
      <w:r w:rsidRPr="00571CB3">
        <w:rPr>
          <w:lang w:val="en-GB"/>
        </w:rPr>
        <w:t xml:space="preserve">a </w:t>
      </w:r>
      <w:r w:rsidR="00DF0F2F" w:rsidRPr="00571CB3">
        <w:rPr>
          <w:lang w:val="en-GB"/>
        </w:rPr>
        <w:t xml:space="preserve">higher proportion of average fixed costs </w:t>
      </w:r>
      <w:r w:rsidRPr="00571CB3">
        <w:rPr>
          <w:lang w:val="en-GB"/>
        </w:rPr>
        <w:t xml:space="preserve">is </w:t>
      </w:r>
      <w:r w:rsidR="00DF0F2F" w:rsidRPr="00571CB3">
        <w:rPr>
          <w:lang w:val="en-GB"/>
        </w:rPr>
        <w:t xml:space="preserve">more likely to represent conditions </w:t>
      </w:r>
      <w:r w:rsidRPr="00571CB3">
        <w:rPr>
          <w:lang w:val="en-GB"/>
        </w:rPr>
        <w:t xml:space="preserve">associated with </w:t>
      </w:r>
      <w:r w:rsidR="00DF0F2F" w:rsidRPr="00571CB3">
        <w:rPr>
          <w:lang w:val="en-GB"/>
        </w:rPr>
        <w:t xml:space="preserve">smaller plant size. Table </w:t>
      </w:r>
      <w:r w:rsidR="00FF4821" w:rsidRPr="00571CB3">
        <w:rPr>
          <w:lang w:val="en-GB"/>
        </w:rPr>
        <w:t>1</w:t>
      </w:r>
      <w:r w:rsidR="00DF0F2F" w:rsidRPr="00571CB3">
        <w:rPr>
          <w:lang w:val="en-GB"/>
        </w:rPr>
        <w:t xml:space="preserve"> summarizes all parameters used in the computation of the NPV and </w:t>
      </w:r>
      <w:r w:rsidRPr="00571CB3">
        <w:rPr>
          <w:lang w:val="en-GB"/>
        </w:rPr>
        <w:t xml:space="preserve">the </w:t>
      </w:r>
      <w:r w:rsidR="00DF0F2F" w:rsidRPr="00571CB3">
        <w:rPr>
          <w:lang w:val="en-GB"/>
        </w:rPr>
        <w:t>estimation of the MPSP</w:t>
      </w:r>
      <w:r w:rsidR="00F50185" w:rsidRPr="00571CB3">
        <w:rPr>
          <w:lang w:val="en-GB"/>
        </w:rPr>
        <w:t>.</w:t>
      </w:r>
    </w:p>
    <w:p w14:paraId="22930418" w14:textId="353D9841" w:rsidR="005F6299" w:rsidRPr="00571CB3" w:rsidRDefault="005F6299" w:rsidP="00714EA8">
      <w:pPr>
        <w:pStyle w:val="CETTabletitle"/>
      </w:pPr>
      <w:bookmarkStart w:id="1" w:name="_Ref192684093"/>
      <w:r w:rsidRPr="00571CB3">
        <w:t xml:space="preserve">Table </w:t>
      </w:r>
      <w:r w:rsidRPr="00571CB3">
        <w:fldChar w:fldCharType="begin"/>
      </w:r>
      <w:r w:rsidRPr="00571CB3">
        <w:instrText xml:space="preserve"> SEQ Table \* ARABIC </w:instrText>
      </w:r>
      <w:r w:rsidRPr="00571CB3">
        <w:fldChar w:fldCharType="separate"/>
      </w:r>
      <w:r w:rsidR="00A74B3F" w:rsidRPr="00571CB3">
        <w:rPr>
          <w:noProof/>
        </w:rPr>
        <w:t>1</w:t>
      </w:r>
      <w:r w:rsidRPr="00571CB3">
        <w:fldChar w:fldCharType="end"/>
      </w:r>
      <w:bookmarkEnd w:id="1"/>
      <w:r w:rsidRPr="00571CB3">
        <w:t xml:space="preserve">: </w:t>
      </w:r>
      <w:r w:rsidR="00DB6D65" w:rsidRPr="00571CB3">
        <w:t>Economic parameters for the MPSP computation</w:t>
      </w:r>
      <w:r w:rsidR="00714EA8" w:rsidRPr="00571CB3">
        <w:t xml:space="preserve">. 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2552"/>
        <w:gridCol w:w="991"/>
        <w:gridCol w:w="1844"/>
        <w:gridCol w:w="1982"/>
      </w:tblGrid>
      <w:tr w:rsidR="00C1069C" w:rsidRPr="00571CB3" w14:paraId="09C39775" w14:textId="77777777" w:rsidTr="00652C48">
        <w:tc>
          <w:tcPr>
            <w:tcW w:w="807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1FDAADF" w14:textId="26C8B9F7" w:rsidR="0029408B" w:rsidRPr="00571CB3" w:rsidRDefault="0029408B" w:rsidP="0029408B">
            <w:pPr>
              <w:pStyle w:val="CETBodytext"/>
              <w:jc w:val="center"/>
              <w:rPr>
                <w:b/>
                <w:bCs/>
                <w:lang w:val="en-GB"/>
              </w:rPr>
            </w:pPr>
            <w:r w:rsidRPr="00571CB3">
              <w:rPr>
                <w:b/>
                <w:bCs/>
                <w:lang w:val="en-GB"/>
              </w:rPr>
              <w:t>Parameter</w:t>
            </w:r>
          </w:p>
        </w:tc>
        <w:tc>
          <w:tcPr>
            <w:tcW w:w="1452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B90F0AD" w14:textId="0DFFDF6E" w:rsidR="0029408B" w:rsidRPr="00571CB3" w:rsidRDefault="0029408B" w:rsidP="0029408B">
            <w:pPr>
              <w:pStyle w:val="CETBodytext"/>
              <w:jc w:val="center"/>
              <w:rPr>
                <w:b/>
                <w:bCs/>
                <w:lang w:val="en-GB"/>
              </w:rPr>
            </w:pPr>
            <w:r w:rsidRPr="00571CB3">
              <w:rPr>
                <w:b/>
                <w:bCs/>
                <w:lang w:val="en-GB"/>
              </w:rPr>
              <w:t>Name</w:t>
            </w:r>
          </w:p>
        </w:tc>
        <w:tc>
          <w:tcPr>
            <w:tcW w:w="564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26DD126" w14:textId="11A4F411" w:rsidR="0029408B" w:rsidRPr="00571CB3" w:rsidRDefault="0029408B" w:rsidP="0029408B">
            <w:pPr>
              <w:pStyle w:val="CETBodytext"/>
              <w:jc w:val="center"/>
              <w:rPr>
                <w:b/>
                <w:bCs/>
                <w:lang w:val="en-GB"/>
              </w:rPr>
            </w:pPr>
            <w:r w:rsidRPr="00571CB3">
              <w:rPr>
                <w:b/>
                <w:bCs/>
                <w:lang w:val="en-GB"/>
              </w:rPr>
              <w:t>Value</w:t>
            </w:r>
          </w:p>
        </w:tc>
        <w:tc>
          <w:tcPr>
            <w:tcW w:w="1049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9FD7066" w14:textId="0033F50A" w:rsidR="0029408B" w:rsidRPr="00571CB3" w:rsidRDefault="0029408B" w:rsidP="0029408B">
            <w:pPr>
              <w:pStyle w:val="CETBodytext"/>
              <w:ind w:right="-1"/>
              <w:jc w:val="center"/>
              <w:rPr>
                <w:rFonts w:cs="Arial"/>
                <w:b/>
                <w:bCs/>
                <w:szCs w:val="18"/>
                <w:lang w:val="en-GB"/>
              </w:rPr>
            </w:pPr>
            <w:r w:rsidRPr="00571CB3">
              <w:rPr>
                <w:b/>
                <w:bCs/>
                <w:lang w:val="en-GB"/>
              </w:rPr>
              <w:t>Unit</w:t>
            </w:r>
          </w:p>
        </w:tc>
        <w:tc>
          <w:tcPr>
            <w:tcW w:w="1128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ACDF1D7" w14:textId="644C3156" w:rsidR="0029408B" w:rsidRPr="00571CB3" w:rsidRDefault="0029408B" w:rsidP="0029408B">
            <w:pPr>
              <w:pStyle w:val="CETBodytext"/>
              <w:ind w:right="-1"/>
              <w:jc w:val="center"/>
              <w:rPr>
                <w:rFonts w:cs="Arial"/>
                <w:b/>
                <w:bCs/>
                <w:szCs w:val="18"/>
                <w:lang w:val="en-GB"/>
              </w:rPr>
            </w:pPr>
            <w:r w:rsidRPr="00571CB3">
              <w:rPr>
                <w:b/>
                <w:bCs/>
                <w:lang w:val="en-GB"/>
              </w:rPr>
              <w:t>Source</w:t>
            </w:r>
          </w:p>
        </w:tc>
      </w:tr>
      <w:tr w:rsidR="00C1069C" w:rsidRPr="00571CB3" w14:paraId="68B3FE4D" w14:textId="77777777" w:rsidTr="00652C48">
        <w:tc>
          <w:tcPr>
            <w:tcW w:w="807" w:type="pct"/>
            <w:shd w:val="clear" w:color="auto" w:fill="FFFFFF"/>
          </w:tcPr>
          <w:p w14:paraId="2F960885" w14:textId="5EEAF60B" w:rsidR="00C1069C" w:rsidRPr="00571CB3" w:rsidRDefault="00C1069C" w:rsidP="00C1069C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δ</w:t>
            </w:r>
          </w:p>
        </w:tc>
        <w:tc>
          <w:tcPr>
            <w:tcW w:w="1452" w:type="pct"/>
            <w:shd w:val="clear" w:color="auto" w:fill="FFFFFF"/>
          </w:tcPr>
          <w:p w14:paraId="29D1A5D1" w14:textId="76EDF22D" w:rsidR="00C1069C" w:rsidRPr="00571CB3" w:rsidRDefault="00C1069C" w:rsidP="00C1069C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Share of raw materials costs</w:t>
            </w:r>
          </w:p>
        </w:tc>
        <w:tc>
          <w:tcPr>
            <w:tcW w:w="564" w:type="pct"/>
            <w:shd w:val="clear" w:color="auto" w:fill="FFFFFF"/>
          </w:tcPr>
          <w:p w14:paraId="6AD3120C" w14:textId="21709957" w:rsidR="00C1069C" w:rsidRPr="00571CB3" w:rsidRDefault="00C1069C" w:rsidP="00C1069C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0.5</w:t>
            </w:r>
          </w:p>
        </w:tc>
        <w:tc>
          <w:tcPr>
            <w:tcW w:w="1049" w:type="pct"/>
            <w:shd w:val="clear" w:color="auto" w:fill="FFFFFF"/>
          </w:tcPr>
          <w:p w14:paraId="3E684F5E" w14:textId="30E16ADC" w:rsidR="00C1069C" w:rsidRPr="00571CB3" w:rsidRDefault="00AF4D5F" w:rsidP="00C106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%</w:t>
            </w:r>
          </w:p>
        </w:tc>
        <w:tc>
          <w:tcPr>
            <w:tcW w:w="1128" w:type="pct"/>
            <w:shd w:val="clear" w:color="auto" w:fill="FFFFFF"/>
          </w:tcPr>
          <w:p w14:paraId="42B9B07A" w14:textId="541604C6" w:rsidR="00C1069C" w:rsidRPr="00571CB3" w:rsidRDefault="00C1069C" w:rsidP="00652C4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Assumed</w:t>
            </w:r>
          </w:p>
        </w:tc>
      </w:tr>
      <w:tr w:rsidR="00C1069C" w:rsidRPr="00571CB3" w14:paraId="35B4C5AA" w14:textId="77777777" w:rsidTr="00A872A7">
        <w:tc>
          <w:tcPr>
            <w:tcW w:w="807" w:type="pct"/>
            <w:tcBorders>
              <w:bottom w:val="single" w:sz="4" w:space="0" w:color="00B050"/>
            </w:tcBorders>
            <w:shd w:val="clear" w:color="auto" w:fill="FFFFFF"/>
          </w:tcPr>
          <w:p w14:paraId="73E3117F" w14:textId="6BC21557" w:rsidR="00C1069C" w:rsidRPr="00571CB3" w:rsidRDefault="00C1069C" w:rsidP="00C1069C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θ</w:t>
            </w:r>
          </w:p>
        </w:tc>
        <w:tc>
          <w:tcPr>
            <w:tcW w:w="1452" w:type="pct"/>
            <w:tcBorders>
              <w:bottom w:val="single" w:sz="4" w:space="0" w:color="00B050"/>
            </w:tcBorders>
            <w:shd w:val="clear" w:color="auto" w:fill="FFFFFF"/>
          </w:tcPr>
          <w:p w14:paraId="69233CC1" w14:textId="0FB99CA6" w:rsidR="00C1069C" w:rsidRPr="00571CB3" w:rsidRDefault="00C1069C" w:rsidP="00C1069C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Share of variable costs</w:t>
            </w:r>
          </w:p>
        </w:tc>
        <w:tc>
          <w:tcPr>
            <w:tcW w:w="564" w:type="pct"/>
            <w:tcBorders>
              <w:bottom w:val="single" w:sz="4" w:space="0" w:color="00B050"/>
            </w:tcBorders>
            <w:shd w:val="clear" w:color="auto" w:fill="FFFFFF"/>
          </w:tcPr>
          <w:p w14:paraId="07DEAFA1" w14:textId="5EBB5176" w:rsidR="00C1069C" w:rsidRPr="00571CB3" w:rsidRDefault="00C1069C" w:rsidP="00C1069C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0.6</w:t>
            </w:r>
          </w:p>
        </w:tc>
        <w:tc>
          <w:tcPr>
            <w:tcW w:w="1049" w:type="pct"/>
            <w:tcBorders>
              <w:bottom w:val="single" w:sz="4" w:space="0" w:color="00B050"/>
            </w:tcBorders>
            <w:shd w:val="clear" w:color="auto" w:fill="FFFFFF"/>
          </w:tcPr>
          <w:p w14:paraId="05045C1A" w14:textId="513DFC5E" w:rsidR="00C1069C" w:rsidRPr="00571CB3" w:rsidRDefault="00AF4D5F" w:rsidP="00C106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%</w:t>
            </w:r>
          </w:p>
        </w:tc>
        <w:tc>
          <w:tcPr>
            <w:tcW w:w="1128" w:type="pct"/>
            <w:tcBorders>
              <w:bottom w:val="single" w:sz="4" w:space="0" w:color="00B050"/>
            </w:tcBorders>
            <w:shd w:val="clear" w:color="auto" w:fill="FFFFFF"/>
          </w:tcPr>
          <w:p w14:paraId="134E1628" w14:textId="1C11E71B" w:rsidR="00C1069C" w:rsidRPr="00571CB3" w:rsidRDefault="00C1069C" w:rsidP="00652C4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Assumed</w:t>
            </w:r>
          </w:p>
        </w:tc>
      </w:tr>
      <w:tr w:rsidR="00A872A7" w:rsidRPr="00571CB3" w14:paraId="753169F2" w14:textId="77777777" w:rsidTr="00A872A7">
        <w:tc>
          <w:tcPr>
            <w:tcW w:w="807" w:type="pct"/>
            <w:vMerge w:val="restart"/>
            <w:tcBorders>
              <w:top w:val="single" w:sz="4" w:space="0" w:color="00B050"/>
            </w:tcBorders>
            <w:shd w:val="clear" w:color="auto" w:fill="FFFFFF"/>
            <w:vAlign w:val="center"/>
          </w:tcPr>
          <w:p w14:paraId="1DDF0947" w14:textId="34C97F94" w:rsidR="00A872A7" w:rsidRPr="00571CB3" w:rsidRDefault="00A872A7" w:rsidP="00A872A7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 xml:space="preserve">Inputs </w:t>
            </w:r>
            <w:r w:rsidR="000223DA" w:rsidRPr="00571CB3">
              <w:rPr>
                <w:lang w:val="en-GB"/>
              </w:rPr>
              <w:br/>
            </w:r>
            <w:r w:rsidRPr="00571CB3">
              <w:rPr>
                <w:lang w:val="en-GB"/>
              </w:rPr>
              <w:t>prices</w:t>
            </w:r>
          </w:p>
        </w:tc>
        <w:tc>
          <w:tcPr>
            <w:tcW w:w="1452" w:type="pct"/>
            <w:tcBorders>
              <w:top w:val="single" w:sz="4" w:space="0" w:color="00B050"/>
            </w:tcBorders>
            <w:shd w:val="clear" w:color="auto" w:fill="FFFFFF"/>
          </w:tcPr>
          <w:p w14:paraId="1073ACE8" w14:textId="64709A53" w:rsidR="00A872A7" w:rsidRPr="00571CB3" w:rsidRDefault="00A872A7" w:rsidP="00551A22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Wheat straw</w:t>
            </w:r>
          </w:p>
        </w:tc>
        <w:tc>
          <w:tcPr>
            <w:tcW w:w="564" w:type="pct"/>
            <w:tcBorders>
              <w:top w:val="single" w:sz="4" w:space="0" w:color="00B050"/>
            </w:tcBorders>
            <w:shd w:val="clear" w:color="auto" w:fill="FFFFFF"/>
          </w:tcPr>
          <w:p w14:paraId="40BCF807" w14:textId="361D38C3" w:rsidR="00A872A7" w:rsidRPr="00571CB3" w:rsidRDefault="00A872A7" w:rsidP="00551A22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0.070</w:t>
            </w:r>
          </w:p>
        </w:tc>
        <w:tc>
          <w:tcPr>
            <w:tcW w:w="1049" w:type="pct"/>
            <w:tcBorders>
              <w:top w:val="single" w:sz="4" w:space="0" w:color="00B050"/>
            </w:tcBorders>
            <w:shd w:val="clear" w:color="auto" w:fill="FFFFFF"/>
          </w:tcPr>
          <w:p w14:paraId="2C8403C7" w14:textId="1706C677" w:rsidR="00A872A7" w:rsidRPr="00571CB3" w:rsidRDefault="00A872A7" w:rsidP="00551A2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EUR/</w:t>
            </w:r>
            <w:r w:rsidR="00F72B54" w:rsidRPr="00571CB3">
              <w:rPr>
                <w:lang w:val="en-GB"/>
              </w:rPr>
              <w:t>k</w:t>
            </w:r>
            <w:r w:rsidRPr="00571CB3">
              <w:rPr>
                <w:lang w:val="en-GB"/>
              </w:rPr>
              <w:t>g</w:t>
            </w:r>
          </w:p>
        </w:tc>
        <w:tc>
          <w:tcPr>
            <w:tcW w:w="1128" w:type="pct"/>
            <w:tcBorders>
              <w:top w:val="single" w:sz="4" w:space="0" w:color="00B050"/>
            </w:tcBorders>
            <w:shd w:val="clear" w:color="auto" w:fill="FFFFFF"/>
          </w:tcPr>
          <w:p w14:paraId="5F91BDF6" w14:textId="0445E509" w:rsidR="00A872A7" w:rsidRPr="00571CB3" w:rsidRDefault="00A872A7" w:rsidP="00652C4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rFonts w:cs="Arial"/>
                <w:szCs w:val="18"/>
                <w:lang w:val="en-GB"/>
              </w:rPr>
              <w:t>(ISMEA, 2023)</w:t>
            </w:r>
          </w:p>
        </w:tc>
      </w:tr>
      <w:tr w:rsidR="00A872A7" w:rsidRPr="00571CB3" w14:paraId="7E9F882B" w14:textId="77777777" w:rsidTr="00652C48">
        <w:tc>
          <w:tcPr>
            <w:tcW w:w="807" w:type="pct"/>
            <w:vMerge/>
            <w:shd w:val="clear" w:color="auto" w:fill="FFFFFF"/>
          </w:tcPr>
          <w:p w14:paraId="61959997" w14:textId="77777777" w:rsidR="00A872A7" w:rsidRPr="00571CB3" w:rsidRDefault="00A872A7" w:rsidP="00551A22">
            <w:pPr>
              <w:pStyle w:val="CETBodytext"/>
              <w:rPr>
                <w:lang w:val="en-GB"/>
              </w:rPr>
            </w:pPr>
          </w:p>
        </w:tc>
        <w:tc>
          <w:tcPr>
            <w:tcW w:w="1452" w:type="pct"/>
            <w:shd w:val="clear" w:color="auto" w:fill="FFFFFF"/>
          </w:tcPr>
          <w:p w14:paraId="43320F52" w14:textId="4EDD5FBB" w:rsidR="00A872A7" w:rsidRPr="00571CB3" w:rsidRDefault="00A872A7" w:rsidP="00551A22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Water</w:t>
            </w:r>
          </w:p>
        </w:tc>
        <w:tc>
          <w:tcPr>
            <w:tcW w:w="564" w:type="pct"/>
            <w:shd w:val="clear" w:color="auto" w:fill="FFFFFF"/>
          </w:tcPr>
          <w:p w14:paraId="728291FB" w14:textId="1A1769C8" w:rsidR="00A872A7" w:rsidRPr="00571CB3" w:rsidRDefault="00A872A7" w:rsidP="00551A22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0.004</w:t>
            </w:r>
          </w:p>
        </w:tc>
        <w:tc>
          <w:tcPr>
            <w:tcW w:w="1049" w:type="pct"/>
            <w:shd w:val="clear" w:color="auto" w:fill="FFFFFF"/>
          </w:tcPr>
          <w:p w14:paraId="1627382E" w14:textId="05A069DF" w:rsidR="00A872A7" w:rsidRPr="00571CB3" w:rsidRDefault="00A872A7" w:rsidP="00551A2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EUR/L</w:t>
            </w:r>
          </w:p>
        </w:tc>
        <w:tc>
          <w:tcPr>
            <w:tcW w:w="1128" w:type="pct"/>
            <w:shd w:val="clear" w:color="auto" w:fill="FFFFFF"/>
          </w:tcPr>
          <w:p w14:paraId="79A3090F" w14:textId="699F6A67" w:rsidR="00A872A7" w:rsidRPr="00571CB3" w:rsidRDefault="00A872A7" w:rsidP="00652C4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rFonts w:cs="Arial"/>
                <w:szCs w:val="18"/>
                <w:lang w:val="en-GB"/>
              </w:rPr>
              <w:t>(Eurostat, 2023)</w:t>
            </w:r>
          </w:p>
        </w:tc>
      </w:tr>
      <w:tr w:rsidR="00A872A7" w:rsidRPr="00571CB3" w14:paraId="61497A0C" w14:textId="77777777" w:rsidTr="00652C48">
        <w:tc>
          <w:tcPr>
            <w:tcW w:w="807" w:type="pct"/>
            <w:vMerge/>
            <w:shd w:val="clear" w:color="auto" w:fill="FFFFFF"/>
          </w:tcPr>
          <w:p w14:paraId="55E78D2E" w14:textId="77777777" w:rsidR="00A872A7" w:rsidRPr="00571CB3" w:rsidRDefault="00A872A7" w:rsidP="00551A22">
            <w:pPr>
              <w:pStyle w:val="CETBodytext"/>
              <w:rPr>
                <w:lang w:val="en-GB"/>
              </w:rPr>
            </w:pPr>
          </w:p>
        </w:tc>
        <w:tc>
          <w:tcPr>
            <w:tcW w:w="1452" w:type="pct"/>
            <w:shd w:val="clear" w:color="auto" w:fill="FFFFFF"/>
          </w:tcPr>
          <w:p w14:paraId="2F2008DC" w14:textId="4189BD9C" w:rsidR="00A872A7" w:rsidRPr="00571CB3" w:rsidRDefault="00A872A7" w:rsidP="00551A22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Et</w:t>
            </w:r>
            <w:r w:rsidR="009F0F7A" w:rsidRPr="00571CB3">
              <w:rPr>
                <w:lang w:val="en-GB"/>
              </w:rPr>
              <w:t>h</w:t>
            </w:r>
            <w:r w:rsidRPr="00571CB3">
              <w:rPr>
                <w:lang w:val="en-GB"/>
              </w:rPr>
              <w:t>anol</w:t>
            </w:r>
          </w:p>
        </w:tc>
        <w:tc>
          <w:tcPr>
            <w:tcW w:w="564" w:type="pct"/>
            <w:shd w:val="clear" w:color="auto" w:fill="FFFFFF"/>
          </w:tcPr>
          <w:p w14:paraId="7B00B004" w14:textId="0F41E870" w:rsidR="00A872A7" w:rsidRPr="00571CB3" w:rsidRDefault="00A872A7" w:rsidP="00551A22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1.060</w:t>
            </w:r>
          </w:p>
        </w:tc>
        <w:tc>
          <w:tcPr>
            <w:tcW w:w="1049" w:type="pct"/>
            <w:shd w:val="clear" w:color="auto" w:fill="FFFFFF"/>
          </w:tcPr>
          <w:p w14:paraId="646D9052" w14:textId="760A401D" w:rsidR="00A872A7" w:rsidRPr="00571CB3" w:rsidRDefault="00A872A7" w:rsidP="00551A2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EUR*/L</w:t>
            </w:r>
          </w:p>
        </w:tc>
        <w:tc>
          <w:tcPr>
            <w:tcW w:w="1128" w:type="pct"/>
            <w:shd w:val="clear" w:color="auto" w:fill="FFFFFF"/>
          </w:tcPr>
          <w:p w14:paraId="5A469831" w14:textId="6A8A0905" w:rsidR="00A872A7" w:rsidRPr="00571CB3" w:rsidRDefault="00A872A7" w:rsidP="00652C48">
            <w:pPr>
              <w:jc w:val="center"/>
              <w:rPr>
                <w:rFonts w:cs="Arial"/>
                <w:szCs w:val="18"/>
              </w:rPr>
            </w:pPr>
            <w:r w:rsidRPr="00571CB3">
              <w:rPr>
                <w:rFonts w:cs="Arial"/>
                <w:szCs w:val="18"/>
              </w:rPr>
              <w:t>(</w:t>
            </w:r>
            <w:proofErr w:type="spellStart"/>
            <w:r w:rsidRPr="00571CB3">
              <w:rPr>
                <w:rFonts w:cs="Arial"/>
                <w:szCs w:val="18"/>
              </w:rPr>
              <w:t>Nandiyanto</w:t>
            </w:r>
            <w:proofErr w:type="spellEnd"/>
            <w:r w:rsidRPr="00571CB3">
              <w:rPr>
                <w:rFonts w:cs="Arial"/>
                <w:szCs w:val="18"/>
              </w:rPr>
              <w:t xml:space="preserve"> et al., 2022)</w:t>
            </w:r>
          </w:p>
        </w:tc>
      </w:tr>
      <w:tr w:rsidR="00A872A7" w:rsidRPr="00571CB3" w14:paraId="6EA76C39" w14:textId="77777777" w:rsidTr="00652C48">
        <w:tc>
          <w:tcPr>
            <w:tcW w:w="807" w:type="pct"/>
            <w:vMerge/>
            <w:shd w:val="clear" w:color="auto" w:fill="FFFFFF"/>
          </w:tcPr>
          <w:p w14:paraId="1BACE206" w14:textId="77777777" w:rsidR="00A872A7" w:rsidRPr="00571CB3" w:rsidRDefault="00A872A7" w:rsidP="00551A22">
            <w:pPr>
              <w:pStyle w:val="CETBodytext"/>
              <w:rPr>
                <w:lang w:val="en-GB"/>
              </w:rPr>
            </w:pPr>
          </w:p>
        </w:tc>
        <w:tc>
          <w:tcPr>
            <w:tcW w:w="1452" w:type="pct"/>
            <w:shd w:val="clear" w:color="auto" w:fill="FFFFFF"/>
          </w:tcPr>
          <w:p w14:paraId="5267D2D3" w14:textId="79F87654" w:rsidR="00A872A7" w:rsidRPr="00571CB3" w:rsidRDefault="00A872A7" w:rsidP="00551A22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 xml:space="preserve">Acetic </w:t>
            </w:r>
            <w:r w:rsidR="009F0F7A" w:rsidRPr="00571CB3">
              <w:rPr>
                <w:lang w:val="en-GB"/>
              </w:rPr>
              <w:t>a</w:t>
            </w:r>
            <w:r w:rsidRPr="00571CB3">
              <w:rPr>
                <w:lang w:val="en-GB"/>
              </w:rPr>
              <w:t>cid</w:t>
            </w:r>
          </w:p>
        </w:tc>
        <w:tc>
          <w:tcPr>
            <w:tcW w:w="564" w:type="pct"/>
            <w:shd w:val="clear" w:color="auto" w:fill="FFFFFF"/>
          </w:tcPr>
          <w:p w14:paraId="740FCFE7" w14:textId="6E7ECECD" w:rsidR="00A872A7" w:rsidRPr="00571CB3" w:rsidRDefault="00A872A7" w:rsidP="00551A22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0.500</w:t>
            </w:r>
          </w:p>
        </w:tc>
        <w:tc>
          <w:tcPr>
            <w:tcW w:w="1049" w:type="pct"/>
            <w:shd w:val="clear" w:color="auto" w:fill="FFFFFF"/>
          </w:tcPr>
          <w:p w14:paraId="1DA7B64C" w14:textId="024A89E8" w:rsidR="00A872A7" w:rsidRPr="00571CB3" w:rsidRDefault="00A872A7" w:rsidP="00551A2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EUR*/L</w:t>
            </w:r>
          </w:p>
        </w:tc>
        <w:tc>
          <w:tcPr>
            <w:tcW w:w="1128" w:type="pct"/>
            <w:shd w:val="clear" w:color="auto" w:fill="FFFFFF"/>
          </w:tcPr>
          <w:p w14:paraId="4609524F" w14:textId="1D2CC650" w:rsidR="00A872A7" w:rsidRPr="00571CB3" w:rsidRDefault="00A872A7" w:rsidP="00652C4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rFonts w:cs="Arial"/>
                <w:szCs w:val="18"/>
                <w:lang w:val="en-GB"/>
              </w:rPr>
              <w:t>(Alibaba, 2023b)</w:t>
            </w:r>
          </w:p>
        </w:tc>
      </w:tr>
      <w:tr w:rsidR="00A872A7" w:rsidRPr="00571CB3" w14:paraId="37504C07" w14:textId="77777777" w:rsidTr="00652C48">
        <w:tc>
          <w:tcPr>
            <w:tcW w:w="807" w:type="pct"/>
            <w:vMerge/>
            <w:shd w:val="clear" w:color="auto" w:fill="FFFFFF"/>
          </w:tcPr>
          <w:p w14:paraId="4675FA03" w14:textId="77777777" w:rsidR="00A872A7" w:rsidRPr="00571CB3" w:rsidRDefault="00A872A7" w:rsidP="00551A22">
            <w:pPr>
              <w:pStyle w:val="CETBodytext"/>
              <w:rPr>
                <w:lang w:val="en-GB"/>
              </w:rPr>
            </w:pPr>
          </w:p>
        </w:tc>
        <w:tc>
          <w:tcPr>
            <w:tcW w:w="1452" w:type="pct"/>
            <w:shd w:val="clear" w:color="auto" w:fill="FFFFFF"/>
          </w:tcPr>
          <w:p w14:paraId="37050D79" w14:textId="36E94848" w:rsidR="00A872A7" w:rsidRPr="00571CB3" w:rsidRDefault="00A872A7" w:rsidP="00551A22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 xml:space="preserve">Beneze </w:t>
            </w:r>
            <w:proofErr w:type="spellStart"/>
            <w:r w:rsidRPr="00571CB3">
              <w:rPr>
                <w:lang w:val="en-GB"/>
              </w:rPr>
              <w:t>diboronic</w:t>
            </w:r>
            <w:proofErr w:type="spellEnd"/>
            <w:r w:rsidRPr="00571CB3">
              <w:rPr>
                <w:lang w:val="en-GB"/>
              </w:rPr>
              <w:t xml:space="preserve"> acid</w:t>
            </w:r>
          </w:p>
        </w:tc>
        <w:tc>
          <w:tcPr>
            <w:tcW w:w="564" w:type="pct"/>
            <w:shd w:val="clear" w:color="auto" w:fill="FFFFFF"/>
          </w:tcPr>
          <w:p w14:paraId="57E2A044" w14:textId="11D07E92" w:rsidR="00A872A7" w:rsidRPr="00571CB3" w:rsidRDefault="00A872A7" w:rsidP="00551A22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6.900</w:t>
            </w:r>
          </w:p>
        </w:tc>
        <w:tc>
          <w:tcPr>
            <w:tcW w:w="1049" w:type="pct"/>
            <w:shd w:val="clear" w:color="auto" w:fill="FFFFFF"/>
          </w:tcPr>
          <w:p w14:paraId="2C2B2B38" w14:textId="4BE07012" w:rsidR="00A872A7" w:rsidRPr="00571CB3" w:rsidRDefault="00A872A7" w:rsidP="00551A2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EUR*/</w:t>
            </w:r>
            <w:r w:rsidR="00F72B54" w:rsidRPr="00571CB3">
              <w:rPr>
                <w:lang w:val="en-GB"/>
              </w:rPr>
              <w:t>k</w:t>
            </w:r>
            <w:r w:rsidRPr="00571CB3">
              <w:rPr>
                <w:lang w:val="en-GB"/>
              </w:rPr>
              <w:t>g</w:t>
            </w:r>
          </w:p>
        </w:tc>
        <w:tc>
          <w:tcPr>
            <w:tcW w:w="1128" w:type="pct"/>
            <w:shd w:val="clear" w:color="auto" w:fill="FFFFFF"/>
          </w:tcPr>
          <w:p w14:paraId="0F25C702" w14:textId="0A5B4606" w:rsidR="00A872A7" w:rsidRPr="00571CB3" w:rsidRDefault="00A872A7" w:rsidP="00652C4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rFonts w:cs="Arial"/>
                <w:szCs w:val="18"/>
                <w:lang w:val="en-GB"/>
              </w:rPr>
              <w:t>(Alibaba, 2023c)</w:t>
            </w:r>
          </w:p>
        </w:tc>
      </w:tr>
      <w:tr w:rsidR="00A872A7" w:rsidRPr="00571CB3" w14:paraId="278A4F48" w14:textId="77777777" w:rsidTr="00652C48">
        <w:tc>
          <w:tcPr>
            <w:tcW w:w="807" w:type="pct"/>
            <w:vMerge/>
            <w:shd w:val="clear" w:color="auto" w:fill="FFFFFF"/>
          </w:tcPr>
          <w:p w14:paraId="71FAFBE4" w14:textId="77777777" w:rsidR="00A872A7" w:rsidRPr="00571CB3" w:rsidRDefault="00A872A7" w:rsidP="00551A22">
            <w:pPr>
              <w:pStyle w:val="CETBodytext"/>
              <w:rPr>
                <w:lang w:val="en-GB"/>
              </w:rPr>
            </w:pPr>
          </w:p>
        </w:tc>
        <w:tc>
          <w:tcPr>
            <w:tcW w:w="1452" w:type="pct"/>
            <w:shd w:val="clear" w:color="auto" w:fill="FFFFFF"/>
          </w:tcPr>
          <w:p w14:paraId="449E4520" w14:textId="2E86C614" w:rsidR="00A872A7" w:rsidRPr="00571CB3" w:rsidRDefault="00A872A7" w:rsidP="00551A22">
            <w:pPr>
              <w:pStyle w:val="CETBodytext"/>
              <w:jc w:val="left"/>
              <w:rPr>
                <w:lang w:val="en-GB"/>
              </w:rPr>
            </w:pPr>
            <w:proofErr w:type="spellStart"/>
            <w:r w:rsidRPr="00571CB3">
              <w:rPr>
                <w:lang w:val="en-GB"/>
              </w:rPr>
              <w:t>Thioglycerol</w:t>
            </w:r>
            <w:proofErr w:type="spellEnd"/>
          </w:p>
        </w:tc>
        <w:tc>
          <w:tcPr>
            <w:tcW w:w="564" w:type="pct"/>
            <w:shd w:val="clear" w:color="auto" w:fill="FFFFFF"/>
          </w:tcPr>
          <w:p w14:paraId="06CEBAAA" w14:textId="06945054" w:rsidR="00A872A7" w:rsidRPr="00571CB3" w:rsidRDefault="00A872A7" w:rsidP="00551A22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7.800</w:t>
            </w:r>
          </w:p>
        </w:tc>
        <w:tc>
          <w:tcPr>
            <w:tcW w:w="1049" w:type="pct"/>
            <w:shd w:val="clear" w:color="auto" w:fill="FFFFFF"/>
          </w:tcPr>
          <w:p w14:paraId="43DBBDA9" w14:textId="7C38509B" w:rsidR="00A872A7" w:rsidRPr="00571CB3" w:rsidRDefault="00A872A7" w:rsidP="00551A2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EUR*/</w:t>
            </w:r>
            <w:r w:rsidR="00F72B54" w:rsidRPr="00571CB3">
              <w:rPr>
                <w:lang w:val="en-GB"/>
              </w:rPr>
              <w:t>k</w:t>
            </w:r>
            <w:r w:rsidRPr="00571CB3">
              <w:rPr>
                <w:lang w:val="en-GB"/>
              </w:rPr>
              <w:t>g</w:t>
            </w:r>
          </w:p>
        </w:tc>
        <w:tc>
          <w:tcPr>
            <w:tcW w:w="1128" w:type="pct"/>
            <w:shd w:val="clear" w:color="auto" w:fill="FFFFFF"/>
          </w:tcPr>
          <w:p w14:paraId="6007D52F" w14:textId="0B56B158" w:rsidR="00A872A7" w:rsidRPr="00571CB3" w:rsidRDefault="00A872A7" w:rsidP="00652C4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rFonts w:cs="Arial"/>
                <w:szCs w:val="18"/>
                <w:lang w:val="en-GB"/>
              </w:rPr>
              <w:t>(Alibaba, 2023a)</w:t>
            </w:r>
          </w:p>
        </w:tc>
      </w:tr>
      <w:tr w:rsidR="00A872A7" w:rsidRPr="00571CB3" w14:paraId="4DDFB2E0" w14:textId="77777777" w:rsidTr="00A872A7">
        <w:tc>
          <w:tcPr>
            <w:tcW w:w="807" w:type="pct"/>
            <w:vMerge/>
            <w:tcBorders>
              <w:bottom w:val="single" w:sz="4" w:space="0" w:color="00B050"/>
            </w:tcBorders>
            <w:shd w:val="clear" w:color="auto" w:fill="FFFFFF"/>
          </w:tcPr>
          <w:p w14:paraId="1C973130" w14:textId="77777777" w:rsidR="00A872A7" w:rsidRPr="00571CB3" w:rsidRDefault="00A872A7" w:rsidP="00551A22">
            <w:pPr>
              <w:pStyle w:val="CETBodytext"/>
              <w:rPr>
                <w:lang w:val="en-GB"/>
              </w:rPr>
            </w:pPr>
          </w:p>
        </w:tc>
        <w:tc>
          <w:tcPr>
            <w:tcW w:w="1452" w:type="pct"/>
            <w:tcBorders>
              <w:bottom w:val="single" w:sz="4" w:space="0" w:color="00B050"/>
            </w:tcBorders>
            <w:shd w:val="clear" w:color="auto" w:fill="FFFFFF"/>
          </w:tcPr>
          <w:p w14:paraId="6F46D2E1" w14:textId="0369B188" w:rsidR="00A872A7" w:rsidRPr="00571CB3" w:rsidRDefault="00A872A7" w:rsidP="00551A22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Epoxidized soybean oil</w:t>
            </w:r>
          </w:p>
        </w:tc>
        <w:tc>
          <w:tcPr>
            <w:tcW w:w="564" w:type="pct"/>
            <w:tcBorders>
              <w:bottom w:val="single" w:sz="4" w:space="0" w:color="00B050"/>
            </w:tcBorders>
            <w:shd w:val="clear" w:color="auto" w:fill="FFFFFF"/>
          </w:tcPr>
          <w:p w14:paraId="0B14F6C8" w14:textId="02DA5D38" w:rsidR="00A872A7" w:rsidRPr="00571CB3" w:rsidRDefault="00A872A7" w:rsidP="00551A22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2.800</w:t>
            </w:r>
          </w:p>
        </w:tc>
        <w:tc>
          <w:tcPr>
            <w:tcW w:w="1049" w:type="pct"/>
            <w:tcBorders>
              <w:bottom w:val="single" w:sz="4" w:space="0" w:color="00B050"/>
            </w:tcBorders>
            <w:shd w:val="clear" w:color="auto" w:fill="FFFFFF"/>
          </w:tcPr>
          <w:p w14:paraId="3E4BFFA4" w14:textId="177943FF" w:rsidR="00A872A7" w:rsidRPr="00571CB3" w:rsidRDefault="00A872A7" w:rsidP="00551A2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EUR*/</w:t>
            </w:r>
            <w:r w:rsidR="00F72B54" w:rsidRPr="00571CB3">
              <w:rPr>
                <w:lang w:val="en-GB"/>
              </w:rPr>
              <w:t>k</w:t>
            </w:r>
            <w:r w:rsidRPr="00571CB3">
              <w:rPr>
                <w:lang w:val="en-GB"/>
              </w:rPr>
              <w:t>g</w:t>
            </w:r>
          </w:p>
        </w:tc>
        <w:tc>
          <w:tcPr>
            <w:tcW w:w="1128" w:type="pct"/>
            <w:tcBorders>
              <w:bottom w:val="single" w:sz="4" w:space="0" w:color="00B050"/>
            </w:tcBorders>
            <w:shd w:val="clear" w:color="auto" w:fill="FFFFFF"/>
          </w:tcPr>
          <w:p w14:paraId="049B1E22" w14:textId="2507A622" w:rsidR="00A872A7" w:rsidRPr="00571CB3" w:rsidRDefault="00A872A7" w:rsidP="00652C4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rFonts w:cs="Arial"/>
                <w:szCs w:val="18"/>
                <w:lang w:val="en-GB"/>
              </w:rPr>
              <w:t>(Alibaba, 2023b)</w:t>
            </w:r>
          </w:p>
        </w:tc>
      </w:tr>
      <w:tr w:rsidR="00720D40" w:rsidRPr="00571CB3" w14:paraId="7BE9051D" w14:textId="77777777" w:rsidTr="00A872A7">
        <w:tc>
          <w:tcPr>
            <w:tcW w:w="807" w:type="pct"/>
            <w:tcBorders>
              <w:top w:val="single" w:sz="4" w:space="0" w:color="00B050"/>
            </w:tcBorders>
            <w:shd w:val="clear" w:color="auto" w:fill="FFFFFF"/>
          </w:tcPr>
          <w:p w14:paraId="295D7CF6" w14:textId="7DD4E71D" w:rsidR="00720D40" w:rsidRPr="00571CB3" w:rsidRDefault="00373B27" w:rsidP="00720D40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rFonts w:ascii="Cambria" w:hAnsi="Cambria" w:cs="Cambria"/>
                <w:lang w:val="en-GB"/>
              </w:rPr>
              <w:t>α</w:t>
            </w:r>
          </w:p>
        </w:tc>
        <w:tc>
          <w:tcPr>
            <w:tcW w:w="1452" w:type="pct"/>
            <w:tcBorders>
              <w:top w:val="single" w:sz="4" w:space="0" w:color="00B050"/>
            </w:tcBorders>
            <w:shd w:val="clear" w:color="auto" w:fill="FFFFFF"/>
          </w:tcPr>
          <w:p w14:paraId="028FA8FC" w14:textId="08CC4DBB" w:rsidR="00720D40" w:rsidRPr="00571CB3" w:rsidRDefault="00720D40" w:rsidP="00720D40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Debt share of the investment</w:t>
            </w:r>
          </w:p>
        </w:tc>
        <w:tc>
          <w:tcPr>
            <w:tcW w:w="564" w:type="pct"/>
            <w:tcBorders>
              <w:top w:val="single" w:sz="4" w:space="0" w:color="00B050"/>
            </w:tcBorders>
            <w:shd w:val="clear" w:color="auto" w:fill="FFFFFF"/>
          </w:tcPr>
          <w:p w14:paraId="5C528730" w14:textId="0E36D163" w:rsidR="00720D40" w:rsidRPr="00571CB3" w:rsidRDefault="00720D40" w:rsidP="00720D40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0.5</w:t>
            </w:r>
          </w:p>
        </w:tc>
        <w:tc>
          <w:tcPr>
            <w:tcW w:w="1049" w:type="pct"/>
            <w:tcBorders>
              <w:top w:val="single" w:sz="4" w:space="0" w:color="00B050"/>
            </w:tcBorders>
            <w:shd w:val="clear" w:color="auto" w:fill="FFFFFF"/>
          </w:tcPr>
          <w:p w14:paraId="65192CC1" w14:textId="02D939D9" w:rsidR="00720D40" w:rsidRPr="00571CB3" w:rsidRDefault="00AF4D5F" w:rsidP="00720D4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%</w:t>
            </w:r>
          </w:p>
        </w:tc>
        <w:tc>
          <w:tcPr>
            <w:tcW w:w="1128" w:type="pct"/>
            <w:tcBorders>
              <w:top w:val="single" w:sz="4" w:space="0" w:color="00B050"/>
            </w:tcBorders>
            <w:shd w:val="clear" w:color="auto" w:fill="FFFFFF"/>
          </w:tcPr>
          <w:p w14:paraId="11D6E3AC" w14:textId="29D17354" w:rsidR="00720D40" w:rsidRPr="00571CB3" w:rsidRDefault="00720D40" w:rsidP="00652C48">
            <w:pPr>
              <w:jc w:val="center"/>
              <w:rPr>
                <w:rFonts w:cs="Arial"/>
                <w:szCs w:val="18"/>
              </w:rPr>
            </w:pPr>
            <w:r w:rsidRPr="00571CB3">
              <w:rPr>
                <w:rFonts w:cs="Arial"/>
                <w:szCs w:val="18"/>
              </w:rPr>
              <w:t>(Golberg et al., 2021)</w:t>
            </w:r>
          </w:p>
        </w:tc>
      </w:tr>
      <w:tr w:rsidR="00720D40" w:rsidRPr="00571CB3" w14:paraId="3763A7C6" w14:textId="77777777" w:rsidTr="00652C48">
        <w:tc>
          <w:tcPr>
            <w:tcW w:w="807" w:type="pct"/>
            <w:shd w:val="clear" w:color="auto" w:fill="FFFFFF"/>
          </w:tcPr>
          <w:p w14:paraId="0BD95208" w14:textId="53F8E0E9" w:rsidR="00720D40" w:rsidRPr="00571CB3" w:rsidRDefault="00373B27" w:rsidP="00720D40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rFonts w:ascii="Cambria" w:hAnsi="Cambria" w:cs="Cambria"/>
                <w:lang w:val="en-GB"/>
              </w:rPr>
              <w:t>ρ</w:t>
            </w:r>
          </w:p>
        </w:tc>
        <w:tc>
          <w:tcPr>
            <w:tcW w:w="1452" w:type="pct"/>
            <w:shd w:val="clear" w:color="auto" w:fill="FFFFFF"/>
          </w:tcPr>
          <w:p w14:paraId="2B2CA49F" w14:textId="20CEAF90" w:rsidR="00720D40" w:rsidRPr="00571CB3" w:rsidRDefault="00720D40" w:rsidP="00720D40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Interest rate</w:t>
            </w:r>
          </w:p>
        </w:tc>
        <w:tc>
          <w:tcPr>
            <w:tcW w:w="564" w:type="pct"/>
            <w:shd w:val="clear" w:color="auto" w:fill="FFFFFF"/>
          </w:tcPr>
          <w:p w14:paraId="6AB42593" w14:textId="680B849A" w:rsidR="00720D40" w:rsidRPr="00571CB3" w:rsidRDefault="00720D40" w:rsidP="00720D40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0.05</w:t>
            </w:r>
          </w:p>
        </w:tc>
        <w:tc>
          <w:tcPr>
            <w:tcW w:w="1049" w:type="pct"/>
            <w:shd w:val="clear" w:color="auto" w:fill="FFFFFF"/>
          </w:tcPr>
          <w:p w14:paraId="1C1272FD" w14:textId="518A579E" w:rsidR="00720D40" w:rsidRPr="00571CB3" w:rsidRDefault="00AF4D5F" w:rsidP="00720D4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%</w:t>
            </w:r>
          </w:p>
        </w:tc>
        <w:tc>
          <w:tcPr>
            <w:tcW w:w="1128" w:type="pct"/>
            <w:shd w:val="clear" w:color="auto" w:fill="FFFFFF"/>
          </w:tcPr>
          <w:p w14:paraId="0AD20DAF" w14:textId="5FB7CEAC" w:rsidR="00720D40" w:rsidRPr="00571CB3" w:rsidRDefault="00720D40" w:rsidP="00652C4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rFonts w:cs="Arial"/>
                <w:szCs w:val="18"/>
                <w:lang w:val="en-GB"/>
              </w:rPr>
              <w:t>(Golberg et al., 2021)</w:t>
            </w:r>
          </w:p>
        </w:tc>
      </w:tr>
      <w:tr w:rsidR="00720D40" w:rsidRPr="00571CB3" w14:paraId="636A1FAB" w14:textId="77777777" w:rsidTr="00652C48">
        <w:tc>
          <w:tcPr>
            <w:tcW w:w="807" w:type="pct"/>
            <w:shd w:val="clear" w:color="auto" w:fill="FFFFFF"/>
          </w:tcPr>
          <w:p w14:paraId="03FF9256" w14:textId="4F32CF92" w:rsidR="00720D40" w:rsidRPr="00571CB3" w:rsidRDefault="00720D40" w:rsidP="00720D40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N</w:t>
            </w:r>
          </w:p>
        </w:tc>
        <w:tc>
          <w:tcPr>
            <w:tcW w:w="1452" w:type="pct"/>
            <w:shd w:val="clear" w:color="auto" w:fill="FFFFFF"/>
          </w:tcPr>
          <w:p w14:paraId="7E9D9939" w14:textId="3431FCBB" w:rsidR="00720D40" w:rsidRPr="00571CB3" w:rsidRDefault="00720D40" w:rsidP="00720D40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Loan duration</w:t>
            </w:r>
          </w:p>
        </w:tc>
        <w:tc>
          <w:tcPr>
            <w:tcW w:w="564" w:type="pct"/>
            <w:shd w:val="clear" w:color="auto" w:fill="FFFFFF"/>
          </w:tcPr>
          <w:p w14:paraId="7F0C1172" w14:textId="1CEAFD49" w:rsidR="00720D40" w:rsidRPr="00571CB3" w:rsidRDefault="00720D40" w:rsidP="00720D40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10</w:t>
            </w:r>
          </w:p>
        </w:tc>
        <w:tc>
          <w:tcPr>
            <w:tcW w:w="1049" w:type="pct"/>
            <w:shd w:val="clear" w:color="auto" w:fill="FFFFFF"/>
          </w:tcPr>
          <w:p w14:paraId="0D06386E" w14:textId="01BC30A3" w:rsidR="00720D40" w:rsidRPr="00571CB3" w:rsidRDefault="00720D40" w:rsidP="00720D4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years</w:t>
            </w:r>
          </w:p>
        </w:tc>
        <w:tc>
          <w:tcPr>
            <w:tcW w:w="1128" w:type="pct"/>
            <w:shd w:val="clear" w:color="auto" w:fill="FFFFFF"/>
          </w:tcPr>
          <w:p w14:paraId="42AF8ABC" w14:textId="01F099C0" w:rsidR="00720D40" w:rsidRPr="00571CB3" w:rsidRDefault="00720D40" w:rsidP="00652C4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rFonts w:cs="Arial"/>
                <w:szCs w:val="18"/>
                <w:lang w:val="en-GB"/>
              </w:rPr>
              <w:t>Assumed</w:t>
            </w:r>
          </w:p>
        </w:tc>
      </w:tr>
      <w:tr w:rsidR="00720D40" w:rsidRPr="00571CB3" w14:paraId="77D2FE41" w14:textId="77777777" w:rsidTr="00652C48">
        <w:tc>
          <w:tcPr>
            <w:tcW w:w="807" w:type="pct"/>
            <w:shd w:val="clear" w:color="auto" w:fill="FFFFFF"/>
          </w:tcPr>
          <w:p w14:paraId="59D3B4B6" w14:textId="6B52009C" w:rsidR="00720D40" w:rsidRPr="00571CB3" w:rsidRDefault="00720D40" w:rsidP="00720D40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r</w:t>
            </w:r>
          </w:p>
        </w:tc>
        <w:tc>
          <w:tcPr>
            <w:tcW w:w="1452" w:type="pct"/>
            <w:shd w:val="clear" w:color="auto" w:fill="FFFFFF"/>
          </w:tcPr>
          <w:p w14:paraId="29C882D5" w14:textId="7CB96E77" w:rsidR="00720D40" w:rsidRPr="00571CB3" w:rsidRDefault="00720D40" w:rsidP="00720D40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Real discount rate</w:t>
            </w:r>
          </w:p>
        </w:tc>
        <w:tc>
          <w:tcPr>
            <w:tcW w:w="564" w:type="pct"/>
            <w:shd w:val="clear" w:color="auto" w:fill="FFFFFF"/>
          </w:tcPr>
          <w:p w14:paraId="0C50019E" w14:textId="7E039E3A" w:rsidR="00720D40" w:rsidRPr="00571CB3" w:rsidRDefault="00720D40" w:rsidP="00720D40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0.05</w:t>
            </w:r>
          </w:p>
        </w:tc>
        <w:tc>
          <w:tcPr>
            <w:tcW w:w="1049" w:type="pct"/>
            <w:shd w:val="clear" w:color="auto" w:fill="FFFFFF"/>
          </w:tcPr>
          <w:p w14:paraId="745AD4E0" w14:textId="749D2B90" w:rsidR="00720D40" w:rsidRPr="00571CB3" w:rsidRDefault="00AF4D5F" w:rsidP="00720D4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%</w:t>
            </w:r>
          </w:p>
        </w:tc>
        <w:tc>
          <w:tcPr>
            <w:tcW w:w="1128" w:type="pct"/>
            <w:shd w:val="clear" w:color="auto" w:fill="FFFFFF"/>
          </w:tcPr>
          <w:p w14:paraId="5BA58458" w14:textId="4A959D2D" w:rsidR="00720D40" w:rsidRPr="00571CB3" w:rsidRDefault="00720D40" w:rsidP="00652C4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rFonts w:cs="Arial"/>
                <w:szCs w:val="18"/>
                <w:lang w:val="en-GB"/>
              </w:rPr>
              <w:t>Assumed</w:t>
            </w:r>
          </w:p>
        </w:tc>
      </w:tr>
      <w:tr w:rsidR="00720D40" w:rsidRPr="00571CB3" w14:paraId="48B7D20D" w14:textId="77777777" w:rsidTr="00652C48">
        <w:tc>
          <w:tcPr>
            <w:tcW w:w="807" w:type="pct"/>
            <w:shd w:val="clear" w:color="auto" w:fill="FFFFFF"/>
          </w:tcPr>
          <w:p w14:paraId="389946F7" w14:textId="1503ECBE" w:rsidR="00720D40" w:rsidRPr="00571CB3" w:rsidRDefault="001F0F50" w:rsidP="00720D40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rFonts w:ascii="Cambria" w:hAnsi="Cambria" w:cs="Cambria"/>
                <w:lang w:val="en-GB"/>
              </w:rPr>
              <w:t>γ</w:t>
            </w:r>
          </w:p>
        </w:tc>
        <w:tc>
          <w:tcPr>
            <w:tcW w:w="1452" w:type="pct"/>
            <w:shd w:val="clear" w:color="auto" w:fill="FFFFFF"/>
          </w:tcPr>
          <w:p w14:paraId="6B4430D1" w14:textId="70CFD7F1" w:rsidR="00720D40" w:rsidRPr="00571CB3" w:rsidRDefault="00720D40" w:rsidP="00720D40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Salvage value share</w:t>
            </w:r>
          </w:p>
        </w:tc>
        <w:tc>
          <w:tcPr>
            <w:tcW w:w="564" w:type="pct"/>
            <w:shd w:val="clear" w:color="auto" w:fill="FFFFFF"/>
          </w:tcPr>
          <w:p w14:paraId="3211BFE2" w14:textId="6BDA0690" w:rsidR="00720D40" w:rsidRPr="00571CB3" w:rsidRDefault="00720D40" w:rsidP="00720D40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0.05</w:t>
            </w:r>
          </w:p>
        </w:tc>
        <w:tc>
          <w:tcPr>
            <w:tcW w:w="1049" w:type="pct"/>
            <w:shd w:val="clear" w:color="auto" w:fill="FFFFFF"/>
          </w:tcPr>
          <w:p w14:paraId="6DFB019D" w14:textId="429AE5A2" w:rsidR="00720D40" w:rsidRPr="00571CB3" w:rsidRDefault="00AF4D5F" w:rsidP="00720D4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%</w:t>
            </w:r>
          </w:p>
        </w:tc>
        <w:tc>
          <w:tcPr>
            <w:tcW w:w="1128" w:type="pct"/>
            <w:shd w:val="clear" w:color="auto" w:fill="FFFFFF"/>
          </w:tcPr>
          <w:p w14:paraId="5179CCEF" w14:textId="65B58732" w:rsidR="00720D40" w:rsidRPr="00571CB3" w:rsidRDefault="00720D40" w:rsidP="00652C4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rFonts w:cs="Arial"/>
                <w:szCs w:val="18"/>
                <w:lang w:val="en-GB"/>
              </w:rPr>
              <w:t>Assumed</w:t>
            </w:r>
          </w:p>
        </w:tc>
      </w:tr>
      <w:tr w:rsidR="00720D40" w:rsidRPr="00571CB3" w14:paraId="1B9956AD" w14:textId="77777777" w:rsidTr="00652C48">
        <w:tc>
          <w:tcPr>
            <w:tcW w:w="807" w:type="pct"/>
            <w:shd w:val="clear" w:color="auto" w:fill="FFFFFF"/>
          </w:tcPr>
          <w:p w14:paraId="6CD8F330" w14:textId="2669D834" w:rsidR="00720D40" w:rsidRPr="00571CB3" w:rsidRDefault="00720D40" w:rsidP="00720D40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β</w:t>
            </w:r>
          </w:p>
        </w:tc>
        <w:tc>
          <w:tcPr>
            <w:tcW w:w="1452" w:type="pct"/>
            <w:shd w:val="clear" w:color="auto" w:fill="FFFFFF"/>
          </w:tcPr>
          <w:p w14:paraId="59F67604" w14:textId="709C3D8C" w:rsidR="00720D40" w:rsidRPr="00571CB3" w:rsidRDefault="00720D40" w:rsidP="00720D40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 xml:space="preserve">Maintenance cost share </w:t>
            </w:r>
          </w:p>
        </w:tc>
        <w:tc>
          <w:tcPr>
            <w:tcW w:w="564" w:type="pct"/>
            <w:shd w:val="clear" w:color="auto" w:fill="FFFFFF"/>
          </w:tcPr>
          <w:p w14:paraId="5F1A61C6" w14:textId="263AA6F1" w:rsidR="00720D40" w:rsidRPr="00571CB3" w:rsidRDefault="00720D40" w:rsidP="00720D40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0.005</w:t>
            </w:r>
          </w:p>
        </w:tc>
        <w:tc>
          <w:tcPr>
            <w:tcW w:w="1049" w:type="pct"/>
            <w:shd w:val="clear" w:color="auto" w:fill="FFFFFF"/>
          </w:tcPr>
          <w:p w14:paraId="1225DF78" w14:textId="7BE1E72B" w:rsidR="00720D40" w:rsidRPr="00571CB3" w:rsidRDefault="00AF4D5F" w:rsidP="00720D40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%</w:t>
            </w:r>
          </w:p>
        </w:tc>
        <w:tc>
          <w:tcPr>
            <w:tcW w:w="1128" w:type="pct"/>
            <w:shd w:val="clear" w:color="auto" w:fill="FFFFFF"/>
          </w:tcPr>
          <w:p w14:paraId="51FABFB5" w14:textId="1639FFA5" w:rsidR="00720D40" w:rsidRPr="00571CB3" w:rsidRDefault="00720D40" w:rsidP="00652C4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rFonts w:cs="Arial"/>
                <w:szCs w:val="18"/>
                <w:lang w:val="en-GB"/>
              </w:rPr>
              <w:t>(Golberg et al., 2021)</w:t>
            </w:r>
          </w:p>
        </w:tc>
      </w:tr>
      <w:tr w:rsidR="00720D40" w:rsidRPr="00571CB3" w14:paraId="42BDE9BA" w14:textId="77777777" w:rsidTr="00AF4D5F">
        <w:tc>
          <w:tcPr>
            <w:tcW w:w="807" w:type="pct"/>
            <w:shd w:val="clear" w:color="auto" w:fill="FFFFFF"/>
            <w:vAlign w:val="center"/>
          </w:tcPr>
          <w:p w14:paraId="7AA246A1" w14:textId="4597FBB0" w:rsidR="00720D40" w:rsidRPr="00571CB3" w:rsidRDefault="00720D40" w:rsidP="001F0F50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g</w:t>
            </w:r>
          </w:p>
        </w:tc>
        <w:tc>
          <w:tcPr>
            <w:tcW w:w="1452" w:type="pct"/>
            <w:shd w:val="clear" w:color="auto" w:fill="FFFFFF"/>
          </w:tcPr>
          <w:p w14:paraId="3E7C7B0F" w14:textId="34F20D96" w:rsidR="00720D40" w:rsidRPr="00571CB3" w:rsidRDefault="00720D40" w:rsidP="00720D40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Annual growth rate of maintenance cost</w:t>
            </w:r>
          </w:p>
        </w:tc>
        <w:tc>
          <w:tcPr>
            <w:tcW w:w="564" w:type="pct"/>
            <w:shd w:val="clear" w:color="auto" w:fill="FFFFFF"/>
            <w:vAlign w:val="center"/>
          </w:tcPr>
          <w:p w14:paraId="4889CFEE" w14:textId="3323434B" w:rsidR="00720D40" w:rsidRPr="00571CB3" w:rsidRDefault="00720D40" w:rsidP="00D67C83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0.005</w:t>
            </w:r>
          </w:p>
        </w:tc>
        <w:tc>
          <w:tcPr>
            <w:tcW w:w="1049" w:type="pct"/>
            <w:shd w:val="clear" w:color="auto" w:fill="FFFFFF"/>
            <w:vAlign w:val="center"/>
          </w:tcPr>
          <w:p w14:paraId="69FAC35C" w14:textId="37DAC89C" w:rsidR="00720D40" w:rsidRPr="00571CB3" w:rsidRDefault="00AF4D5F" w:rsidP="00D67C83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%</w:t>
            </w:r>
          </w:p>
        </w:tc>
        <w:tc>
          <w:tcPr>
            <w:tcW w:w="1128" w:type="pct"/>
            <w:shd w:val="clear" w:color="auto" w:fill="FFFFFF"/>
            <w:vAlign w:val="center"/>
          </w:tcPr>
          <w:p w14:paraId="5425A1D2" w14:textId="7F5FEA45" w:rsidR="00720D40" w:rsidRPr="00571CB3" w:rsidRDefault="00720D40" w:rsidP="00AF4D5F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rFonts w:cs="Arial"/>
                <w:szCs w:val="18"/>
                <w:lang w:val="en-GB"/>
              </w:rPr>
              <w:t>(Golberg et al., 2021)</w:t>
            </w:r>
          </w:p>
        </w:tc>
      </w:tr>
      <w:tr w:rsidR="005F6299" w:rsidRPr="00571CB3" w14:paraId="66FC3551" w14:textId="77777777" w:rsidTr="005F6299">
        <w:tc>
          <w:tcPr>
            <w:tcW w:w="807" w:type="pct"/>
            <w:shd w:val="clear" w:color="auto" w:fill="FFFFFF"/>
          </w:tcPr>
          <w:p w14:paraId="5C2FC2D6" w14:textId="30330565" w:rsidR="005F6299" w:rsidRPr="00571CB3" w:rsidRDefault="005F6299" w:rsidP="005F629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rFonts w:ascii="Cambria" w:hAnsi="Cambria" w:cs="Cambria"/>
                <w:lang w:val="en-GB"/>
              </w:rPr>
              <w:t>τ</w:t>
            </w:r>
          </w:p>
        </w:tc>
        <w:tc>
          <w:tcPr>
            <w:tcW w:w="1452" w:type="pct"/>
            <w:shd w:val="clear" w:color="auto" w:fill="FFFFFF"/>
          </w:tcPr>
          <w:p w14:paraId="2F52770A" w14:textId="3062D373" w:rsidR="005F6299" w:rsidRPr="00571CB3" w:rsidRDefault="005F6299" w:rsidP="005F6299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Payback period</w:t>
            </w:r>
          </w:p>
        </w:tc>
        <w:tc>
          <w:tcPr>
            <w:tcW w:w="564" w:type="pct"/>
            <w:shd w:val="clear" w:color="auto" w:fill="FFFFFF"/>
          </w:tcPr>
          <w:p w14:paraId="09AD98AC" w14:textId="5A56C1DC" w:rsidR="005F6299" w:rsidRPr="00571CB3" w:rsidRDefault="005F6299" w:rsidP="005F629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4</w:t>
            </w:r>
          </w:p>
        </w:tc>
        <w:tc>
          <w:tcPr>
            <w:tcW w:w="1049" w:type="pct"/>
            <w:shd w:val="clear" w:color="auto" w:fill="FFFFFF"/>
          </w:tcPr>
          <w:p w14:paraId="63C6B062" w14:textId="4D580204" w:rsidR="005F6299" w:rsidRPr="00571CB3" w:rsidRDefault="005F6299" w:rsidP="005F629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years</w:t>
            </w:r>
          </w:p>
        </w:tc>
        <w:tc>
          <w:tcPr>
            <w:tcW w:w="1128" w:type="pct"/>
            <w:shd w:val="clear" w:color="auto" w:fill="FFFFFF"/>
          </w:tcPr>
          <w:p w14:paraId="58699EC1" w14:textId="44523F46" w:rsidR="005F6299" w:rsidRPr="00571CB3" w:rsidRDefault="005F6299" w:rsidP="005F629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rFonts w:cs="Arial"/>
                <w:szCs w:val="18"/>
                <w:lang w:val="en-GB"/>
              </w:rPr>
              <w:t>Assumed</w:t>
            </w:r>
          </w:p>
        </w:tc>
      </w:tr>
    </w:tbl>
    <w:p w14:paraId="74BF8FC5" w14:textId="36C0BC4F" w:rsidR="00EB23EE" w:rsidRPr="00571CB3" w:rsidRDefault="00770983" w:rsidP="00EB23EE">
      <w:pPr>
        <w:pStyle w:val="CETBodytext"/>
        <w:rPr>
          <w:lang w:val="en-GB"/>
        </w:rPr>
      </w:pPr>
      <w:r w:rsidRPr="00571CB3">
        <w:rPr>
          <w:lang w:val="en-GB"/>
        </w:rPr>
        <w:t xml:space="preserve">Note: </w:t>
      </w:r>
      <w:r w:rsidRPr="00571CB3">
        <w:rPr>
          <w:lang w:val="en-GB"/>
        </w:rPr>
        <w:t>*Indicates US dollars converted at an exchange rate of 1 USD = 0.923 EUR (</w:t>
      </w:r>
      <w:proofErr w:type="spellStart"/>
      <w:r w:rsidRPr="00571CB3">
        <w:rPr>
          <w:lang w:val="en-GB"/>
        </w:rPr>
        <w:t>Exchangerates</w:t>
      </w:r>
      <w:proofErr w:type="spellEnd"/>
      <w:r w:rsidRPr="00571CB3">
        <w:rPr>
          <w:lang w:val="en-GB"/>
        </w:rPr>
        <w:t>, 2023).</w:t>
      </w:r>
      <w:r w:rsidRPr="00571CB3">
        <w:rPr>
          <w:lang w:val="en-GB"/>
        </w:rPr>
        <w:br/>
      </w:r>
    </w:p>
    <w:p w14:paraId="0018E655" w14:textId="2D617B23" w:rsidR="008B5602" w:rsidRPr="00571CB3" w:rsidRDefault="00EB23EE" w:rsidP="00EB23EE">
      <w:pPr>
        <w:pStyle w:val="CETBodytext"/>
        <w:rPr>
          <w:lang w:val="en-GB"/>
        </w:rPr>
      </w:pPr>
      <w:r w:rsidRPr="00571CB3">
        <w:rPr>
          <w:lang w:val="en-GB"/>
        </w:rPr>
        <w:t>Given the uncertainty surrounding the low TRL and the</w:t>
      </w:r>
      <w:r w:rsidR="00333F93" w:rsidRPr="00571CB3">
        <w:rPr>
          <w:lang w:val="en-GB"/>
        </w:rPr>
        <w:t xml:space="preserve"> underlying</w:t>
      </w:r>
      <w:r w:rsidR="002916F1" w:rsidRPr="00571CB3">
        <w:rPr>
          <w:lang w:val="en-GB"/>
        </w:rPr>
        <w:t xml:space="preserve"> </w:t>
      </w:r>
      <w:r w:rsidRPr="00571CB3">
        <w:rPr>
          <w:lang w:val="en-GB"/>
        </w:rPr>
        <w:t>assumptions, an economic evaluation of the production process</w:t>
      </w:r>
      <w:r w:rsidR="00AF4D5F" w:rsidRPr="00571CB3">
        <w:rPr>
          <w:lang w:val="en-GB"/>
        </w:rPr>
        <w:t xml:space="preserve"> was performed</w:t>
      </w:r>
      <w:r w:rsidRPr="00571CB3">
        <w:rPr>
          <w:lang w:val="en-GB"/>
        </w:rPr>
        <w:t xml:space="preserve"> using a </w:t>
      </w:r>
      <w:r w:rsidR="00333F93" w:rsidRPr="00571CB3">
        <w:rPr>
          <w:lang w:val="en-GB"/>
        </w:rPr>
        <w:t xml:space="preserve">broad set </w:t>
      </w:r>
      <w:r w:rsidRPr="00571CB3">
        <w:rPr>
          <w:lang w:val="en-GB"/>
        </w:rPr>
        <w:t xml:space="preserve">of scenarios </w:t>
      </w:r>
      <w:r w:rsidR="00333F93" w:rsidRPr="00571CB3">
        <w:rPr>
          <w:lang w:val="en-GB"/>
        </w:rPr>
        <w:t xml:space="preserve">generated through </w:t>
      </w:r>
      <w:r w:rsidRPr="00571CB3">
        <w:rPr>
          <w:lang w:val="en-GB"/>
        </w:rPr>
        <w:t xml:space="preserve">Monte Carlo simulations. </w:t>
      </w:r>
      <w:r w:rsidR="00333F93" w:rsidRPr="00571CB3">
        <w:rPr>
          <w:lang w:val="en-GB"/>
        </w:rPr>
        <w:t>A</w:t>
      </w:r>
      <w:r w:rsidRPr="00571CB3">
        <w:rPr>
          <w:lang w:val="en-GB"/>
        </w:rPr>
        <w:t xml:space="preserve"> uniform distribution</w:t>
      </w:r>
      <w:r w:rsidR="00333F93" w:rsidRPr="00571CB3">
        <w:rPr>
          <w:lang w:val="en-GB"/>
        </w:rPr>
        <w:t xml:space="preserve"> was applied to the parameters</w:t>
      </w:r>
      <w:r w:rsidRPr="00571CB3">
        <w:rPr>
          <w:lang w:val="en-GB"/>
        </w:rPr>
        <w:t xml:space="preserve"> δ and θ, </w:t>
      </w:r>
      <w:r w:rsidR="00333F93" w:rsidRPr="00571CB3">
        <w:rPr>
          <w:lang w:val="en-GB"/>
        </w:rPr>
        <w:t xml:space="preserve">while </w:t>
      </w:r>
      <w:r w:rsidRPr="00571CB3">
        <w:rPr>
          <w:lang w:val="en-GB"/>
        </w:rPr>
        <w:t>a PERT distribution</w:t>
      </w:r>
      <w:r w:rsidR="00333F93" w:rsidRPr="00571CB3">
        <w:rPr>
          <w:lang w:val="en-GB"/>
        </w:rPr>
        <w:t>—assuming a ±30% range—was used for the remaining variables. T</w:t>
      </w:r>
      <w:r w:rsidRPr="00571CB3">
        <w:rPr>
          <w:lang w:val="en-GB"/>
        </w:rPr>
        <w:t xml:space="preserve">he duration of the biomass </w:t>
      </w:r>
      <w:r w:rsidR="00333F93" w:rsidRPr="00571CB3">
        <w:rPr>
          <w:lang w:val="en-GB"/>
        </w:rPr>
        <w:t xml:space="preserve">supply </w:t>
      </w:r>
      <w:r w:rsidRPr="00571CB3">
        <w:rPr>
          <w:lang w:val="en-GB"/>
        </w:rPr>
        <w:t xml:space="preserve">and the loan </w:t>
      </w:r>
      <w:r w:rsidR="00333F93" w:rsidRPr="00571CB3">
        <w:rPr>
          <w:lang w:val="en-GB"/>
        </w:rPr>
        <w:t xml:space="preserve">repayment period </w:t>
      </w:r>
      <w:r w:rsidRPr="00571CB3">
        <w:rPr>
          <w:lang w:val="en-GB"/>
        </w:rPr>
        <w:t xml:space="preserve">were held constant. </w:t>
      </w:r>
      <w:r w:rsidR="00E12DC0" w:rsidRPr="00571CB3">
        <w:rPr>
          <w:lang w:val="en-GB"/>
        </w:rPr>
        <w:t xml:space="preserve">A total of </w:t>
      </w:r>
      <w:r w:rsidRPr="00571CB3">
        <w:rPr>
          <w:lang w:val="en-GB"/>
        </w:rPr>
        <w:t>10</w:t>
      </w:r>
      <w:r w:rsidR="009035E9" w:rsidRPr="00571CB3">
        <w:rPr>
          <w:lang w:val="en-GB"/>
        </w:rPr>
        <w:t>’</w:t>
      </w:r>
      <w:r w:rsidRPr="00571CB3">
        <w:rPr>
          <w:lang w:val="en-GB"/>
        </w:rPr>
        <w:t xml:space="preserve">000 </w:t>
      </w:r>
      <w:r w:rsidR="00E12DC0" w:rsidRPr="00571CB3">
        <w:rPr>
          <w:lang w:val="en-GB"/>
        </w:rPr>
        <w:t>independent and random iterations were performed</w:t>
      </w:r>
      <w:r w:rsidRPr="00571CB3">
        <w:rPr>
          <w:lang w:val="en-GB"/>
        </w:rPr>
        <w:t>.</w:t>
      </w:r>
      <w:r w:rsidR="006A5B48" w:rsidRPr="00571CB3">
        <w:rPr>
          <w:lang w:val="en-GB"/>
        </w:rPr>
        <w:t xml:space="preserve"> </w:t>
      </w:r>
      <w:r w:rsidRPr="00571CB3">
        <w:rPr>
          <w:lang w:val="en-GB"/>
        </w:rPr>
        <w:t xml:space="preserve">To </w:t>
      </w:r>
      <w:r w:rsidR="00E12DC0" w:rsidRPr="00571CB3">
        <w:rPr>
          <w:lang w:val="en-GB"/>
        </w:rPr>
        <w:t xml:space="preserve">assess </w:t>
      </w:r>
      <w:r w:rsidRPr="00571CB3">
        <w:rPr>
          <w:lang w:val="en-GB"/>
        </w:rPr>
        <w:t xml:space="preserve">the relative </w:t>
      </w:r>
      <w:r w:rsidR="00E12DC0" w:rsidRPr="00571CB3">
        <w:rPr>
          <w:lang w:val="en-GB"/>
        </w:rPr>
        <w:t xml:space="preserve">influence </w:t>
      </w:r>
      <w:r w:rsidRPr="00571CB3">
        <w:rPr>
          <w:lang w:val="en-GB"/>
        </w:rPr>
        <w:t xml:space="preserve">of exogenous variables on MPSP </w:t>
      </w:r>
      <w:r w:rsidR="00E12DC0" w:rsidRPr="00571CB3">
        <w:rPr>
          <w:lang w:val="en-GB"/>
        </w:rPr>
        <w:t>variability</w:t>
      </w:r>
      <w:r w:rsidRPr="00571CB3">
        <w:rPr>
          <w:lang w:val="en-GB"/>
        </w:rPr>
        <w:t xml:space="preserve">, a log-log </w:t>
      </w:r>
      <w:r w:rsidR="00E12DC0" w:rsidRPr="00571CB3">
        <w:rPr>
          <w:lang w:val="en-GB"/>
        </w:rPr>
        <w:t>ordinary least squares (</w:t>
      </w:r>
      <w:r w:rsidRPr="00571CB3">
        <w:rPr>
          <w:lang w:val="en-GB"/>
        </w:rPr>
        <w:t>OLS</w:t>
      </w:r>
      <w:r w:rsidR="00E12DC0" w:rsidRPr="00571CB3">
        <w:rPr>
          <w:lang w:val="en-GB"/>
        </w:rPr>
        <w:t>)</w:t>
      </w:r>
      <w:r w:rsidRPr="00571CB3">
        <w:rPr>
          <w:lang w:val="en-GB"/>
        </w:rPr>
        <w:t xml:space="preserve"> regression was </w:t>
      </w:r>
      <w:r w:rsidR="00F46D78" w:rsidRPr="00571CB3">
        <w:rPr>
          <w:lang w:val="en-GB"/>
        </w:rPr>
        <w:t xml:space="preserve">then </w:t>
      </w:r>
      <w:r w:rsidRPr="00571CB3">
        <w:rPr>
          <w:lang w:val="en-GB"/>
        </w:rPr>
        <w:t>conducted</w:t>
      </w:r>
      <w:r w:rsidR="00E12DC0" w:rsidRPr="00571CB3">
        <w:rPr>
          <w:lang w:val="en-GB"/>
        </w:rPr>
        <w:t>, using MPSP as the dependent variable and all model</w:t>
      </w:r>
      <w:r w:rsidRPr="00571CB3">
        <w:rPr>
          <w:lang w:val="en-GB"/>
        </w:rPr>
        <w:t xml:space="preserve"> input parameters</w:t>
      </w:r>
      <w:r w:rsidR="00E12DC0" w:rsidRPr="00571CB3">
        <w:rPr>
          <w:lang w:val="en-GB"/>
        </w:rPr>
        <w:t xml:space="preserve"> as independent variables</w:t>
      </w:r>
      <w:r w:rsidRPr="00571CB3">
        <w:rPr>
          <w:lang w:val="en-GB"/>
        </w:rPr>
        <w:t xml:space="preserve">. The log-log </w:t>
      </w:r>
      <w:r w:rsidR="00E12DC0" w:rsidRPr="00571CB3">
        <w:rPr>
          <w:lang w:val="en-GB"/>
        </w:rPr>
        <w:t>specification</w:t>
      </w:r>
      <w:r w:rsidRPr="00571CB3">
        <w:rPr>
          <w:lang w:val="en-GB"/>
        </w:rPr>
        <w:t xml:space="preserve"> </w:t>
      </w:r>
      <w:r w:rsidR="00E12DC0" w:rsidRPr="00571CB3">
        <w:rPr>
          <w:lang w:val="en-GB"/>
        </w:rPr>
        <w:t xml:space="preserve">allows for </w:t>
      </w:r>
      <w:r w:rsidRPr="00571CB3">
        <w:rPr>
          <w:lang w:val="en-GB"/>
        </w:rPr>
        <w:t xml:space="preserve">the interpretation of </w:t>
      </w:r>
      <w:r w:rsidR="00E12DC0" w:rsidRPr="00571CB3">
        <w:rPr>
          <w:lang w:val="en-GB"/>
        </w:rPr>
        <w:t xml:space="preserve">the </w:t>
      </w:r>
      <w:r w:rsidRPr="00571CB3">
        <w:rPr>
          <w:lang w:val="en-GB"/>
        </w:rPr>
        <w:t>estimated coefficients as elasticities.</w:t>
      </w:r>
    </w:p>
    <w:p w14:paraId="4E153158" w14:textId="76090389" w:rsidR="006A5B48" w:rsidRPr="00571CB3" w:rsidRDefault="00FF700D" w:rsidP="002D4F9F">
      <w:pPr>
        <w:pStyle w:val="CETHeading1"/>
        <w:rPr>
          <w:lang w:val="en-GB"/>
        </w:rPr>
      </w:pPr>
      <w:r w:rsidRPr="00571CB3">
        <w:rPr>
          <w:lang w:val="en-GB"/>
        </w:rPr>
        <w:t>Results and discussion</w:t>
      </w:r>
    </w:p>
    <w:p w14:paraId="40FDF3FB" w14:textId="5EC5C327" w:rsidR="00432005" w:rsidRPr="00571CB3" w:rsidRDefault="007E6649" w:rsidP="002E325E">
      <w:pPr>
        <w:pStyle w:val="CETBodytext"/>
        <w:rPr>
          <w:lang w:val="en-GB"/>
        </w:rPr>
      </w:pPr>
      <w:r w:rsidRPr="00571CB3">
        <w:rPr>
          <w:lang w:val="en-GB"/>
        </w:rPr>
        <w:t>D</w:t>
      </w:r>
      <w:r w:rsidR="0001551B" w:rsidRPr="00571CB3">
        <w:rPr>
          <w:lang w:val="en-GB"/>
        </w:rPr>
        <w:t xml:space="preserve">escriptive statistics </w:t>
      </w:r>
      <w:r w:rsidRPr="00571CB3">
        <w:rPr>
          <w:lang w:val="en-GB"/>
        </w:rPr>
        <w:t xml:space="preserve">from </w:t>
      </w:r>
      <w:r w:rsidR="0001551B" w:rsidRPr="00571CB3">
        <w:rPr>
          <w:lang w:val="en-GB"/>
        </w:rPr>
        <w:t xml:space="preserve">the Monte Carlo </w:t>
      </w:r>
      <w:r w:rsidRPr="00571CB3">
        <w:rPr>
          <w:lang w:val="en-GB"/>
        </w:rPr>
        <w:t xml:space="preserve">simulations are </w:t>
      </w:r>
      <w:r w:rsidR="0001551B" w:rsidRPr="00571CB3">
        <w:rPr>
          <w:lang w:val="en-GB"/>
        </w:rPr>
        <w:t xml:space="preserve">presented </w:t>
      </w:r>
      <w:r w:rsidR="00404E97" w:rsidRPr="00571CB3">
        <w:rPr>
          <w:lang w:val="en-GB"/>
        </w:rPr>
        <w:t xml:space="preserve">in </w:t>
      </w:r>
      <w:r w:rsidR="00404E97" w:rsidRPr="00571CB3">
        <w:rPr>
          <w:lang w:val="en-GB"/>
        </w:rPr>
        <w:fldChar w:fldCharType="begin"/>
      </w:r>
      <w:r w:rsidR="00404E97" w:rsidRPr="00571CB3">
        <w:rPr>
          <w:lang w:val="en-GB"/>
        </w:rPr>
        <w:instrText xml:space="preserve"> REF _Ref192684968 \h </w:instrText>
      </w:r>
      <w:r w:rsidR="00404E97" w:rsidRPr="00571CB3">
        <w:rPr>
          <w:lang w:val="en-GB"/>
        </w:rPr>
      </w:r>
      <w:r w:rsidR="00404E97" w:rsidRPr="00571CB3">
        <w:rPr>
          <w:lang w:val="en-GB"/>
        </w:rPr>
        <w:fldChar w:fldCharType="separate"/>
      </w:r>
      <w:r w:rsidR="00404E97" w:rsidRPr="00571CB3">
        <w:rPr>
          <w:lang w:val="en-GB"/>
        </w:rPr>
        <w:t>Table 2</w:t>
      </w:r>
      <w:r w:rsidR="00404E97" w:rsidRPr="00571CB3">
        <w:rPr>
          <w:lang w:val="en-GB"/>
        </w:rPr>
        <w:fldChar w:fldCharType="end"/>
      </w:r>
      <w:r w:rsidR="00404E97" w:rsidRPr="00571CB3">
        <w:rPr>
          <w:lang w:val="en-GB"/>
        </w:rPr>
        <w:t xml:space="preserve">, </w:t>
      </w:r>
      <w:r w:rsidRPr="00571CB3">
        <w:rPr>
          <w:lang w:val="en-GB"/>
        </w:rPr>
        <w:t xml:space="preserve">summarizing </w:t>
      </w:r>
      <w:r w:rsidR="0001551B" w:rsidRPr="00571CB3">
        <w:rPr>
          <w:lang w:val="en-GB"/>
        </w:rPr>
        <w:t xml:space="preserve">the key parameters </w:t>
      </w:r>
      <w:r w:rsidRPr="00571CB3">
        <w:rPr>
          <w:lang w:val="en-GB"/>
        </w:rPr>
        <w:t>in the</w:t>
      </w:r>
      <w:r w:rsidR="0001551B" w:rsidRPr="00571CB3">
        <w:rPr>
          <w:lang w:val="en-GB"/>
        </w:rPr>
        <w:t xml:space="preserve"> analysis. </w:t>
      </w:r>
      <w:r w:rsidRPr="00571CB3">
        <w:rPr>
          <w:lang w:val="en-GB"/>
        </w:rPr>
        <w:t>These</w:t>
      </w:r>
      <w:r w:rsidR="0001551B" w:rsidRPr="00571CB3">
        <w:rPr>
          <w:lang w:val="en-GB"/>
        </w:rPr>
        <w:t xml:space="preserve"> include industry performance indicators, technology coefficients, input prices, and economic factors affecting the NPV of the investment. These statistics </w:t>
      </w:r>
      <w:r w:rsidRPr="00571CB3">
        <w:rPr>
          <w:lang w:val="en-GB"/>
        </w:rPr>
        <w:t xml:space="preserve">offer </w:t>
      </w:r>
      <w:r w:rsidR="0001551B" w:rsidRPr="00571CB3">
        <w:rPr>
          <w:lang w:val="en-GB"/>
        </w:rPr>
        <w:t>a</w:t>
      </w:r>
      <w:r w:rsidRPr="00571CB3">
        <w:rPr>
          <w:lang w:val="en-GB"/>
        </w:rPr>
        <w:t>n</w:t>
      </w:r>
      <w:r w:rsidR="0001551B" w:rsidRPr="00571CB3">
        <w:rPr>
          <w:lang w:val="en-GB"/>
        </w:rPr>
        <w:t xml:space="preserve"> overview of the stochastic nature of the modelled scenarios, </w:t>
      </w:r>
      <w:r w:rsidRPr="00571CB3">
        <w:rPr>
          <w:lang w:val="en-GB"/>
        </w:rPr>
        <w:t>enhancing</w:t>
      </w:r>
      <w:r w:rsidR="0001551B" w:rsidRPr="00571CB3">
        <w:rPr>
          <w:lang w:val="en-GB"/>
        </w:rPr>
        <w:t xml:space="preserve"> understanding of system dynamics and </w:t>
      </w:r>
      <w:r w:rsidRPr="00571CB3">
        <w:rPr>
          <w:lang w:val="en-GB"/>
        </w:rPr>
        <w:t xml:space="preserve">supporting </w:t>
      </w:r>
      <w:r w:rsidR="0001551B" w:rsidRPr="00571CB3">
        <w:rPr>
          <w:lang w:val="en-GB"/>
        </w:rPr>
        <w:t>strategic decision-making for different industr</w:t>
      </w:r>
      <w:r w:rsidRPr="00571CB3">
        <w:rPr>
          <w:lang w:val="en-GB"/>
        </w:rPr>
        <w:t>ial</w:t>
      </w:r>
      <w:r w:rsidR="0001551B" w:rsidRPr="00571CB3">
        <w:rPr>
          <w:lang w:val="en-GB"/>
        </w:rPr>
        <w:t xml:space="preserve"> and investment contexts. </w:t>
      </w:r>
      <w:r w:rsidR="00C14A77" w:rsidRPr="00571CB3">
        <w:rPr>
          <w:highlight w:val="yellow"/>
          <w:lang w:val="en-GB"/>
        </w:rPr>
        <w:fldChar w:fldCharType="begin"/>
      </w:r>
      <w:r w:rsidR="00C14A77" w:rsidRPr="00571CB3">
        <w:rPr>
          <w:lang w:val="en-GB"/>
        </w:rPr>
        <w:instrText xml:space="preserve"> REF _Ref192684968 \h </w:instrText>
      </w:r>
      <w:r w:rsidR="00C14A77" w:rsidRPr="00571CB3">
        <w:rPr>
          <w:highlight w:val="yellow"/>
          <w:lang w:val="en-GB"/>
        </w:rPr>
      </w:r>
      <w:r w:rsidR="00C14A77" w:rsidRPr="00571CB3">
        <w:rPr>
          <w:highlight w:val="yellow"/>
          <w:lang w:val="en-GB"/>
        </w:rPr>
        <w:fldChar w:fldCharType="separate"/>
      </w:r>
      <w:r w:rsidR="00C14A77" w:rsidRPr="00571CB3">
        <w:rPr>
          <w:lang w:val="en-GB"/>
        </w:rPr>
        <w:t>Table 2</w:t>
      </w:r>
      <w:r w:rsidR="00C14A77" w:rsidRPr="00571CB3">
        <w:rPr>
          <w:highlight w:val="yellow"/>
          <w:lang w:val="en-GB"/>
        </w:rPr>
        <w:fldChar w:fldCharType="end"/>
      </w:r>
      <w:r w:rsidRPr="00571CB3">
        <w:rPr>
          <w:lang w:val="en-GB"/>
        </w:rPr>
        <w:t xml:space="preserve"> also</w:t>
      </w:r>
      <w:r w:rsidR="00C14A77" w:rsidRPr="00571CB3">
        <w:rPr>
          <w:lang w:val="en-GB"/>
        </w:rPr>
        <w:t xml:space="preserve"> </w:t>
      </w:r>
      <w:r w:rsidRPr="00571CB3">
        <w:rPr>
          <w:lang w:val="en-GB"/>
        </w:rPr>
        <w:t xml:space="preserve">reports </w:t>
      </w:r>
      <w:r w:rsidR="0001551B" w:rsidRPr="00571CB3">
        <w:rPr>
          <w:lang w:val="en-GB"/>
        </w:rPr>
        <w:t xml:space="preserve">the estimated </w:t>
      </w:r>
      <w:proofErr w:type="gramStart"/>
      <w:r w:rsidR="0001551B" w:rsidRPr="00571CB3">
        <w:rPr>
          <w:lang w:val="en-GB"/>
        </w:rPr>
        <w:t>MPSPs,  averag</w:t>
      </w:r>
      <w:r w:rsidR="00F46D78" w:rsidRPr="00571CB3">
        <w:rPr>
          <w:lang w:val="en-GB"/>
        </w:rPr>
        <w:t>ing</w:t>
      </w:r>
      <w:proofErr w:type="gramEnd"/>
      <w:r w:rsidR="0001551B" w:rsidRPr="00571CB3">
        <w:rPr>
          <w:lang w:val="en-GB"/>
        </w:rPr>
        <w:t xml:space="preserve"> EUR 435.5 per kg for the final bio</w:t>
      </w:r>
      <w:r w:rsidRPr="00571CB3">
        <w:rPr>
          <w:lang w:val="en-GB"/>
        </w:rPr>
        <w:t>-</w:t>
      </w:r>
      <w:r w:rsidR="0001551B" w:rsidRPr="00571CB3">
        <w:rPr>
          <w:lang w:val="en-GB"/>
        </w:rPr>
        <w:t xml:space="preserve">based </w:t>
      </w:r>
      <w:proofErr w:type="spellStart"/>
      <w:r w:rsidR="0001551B" w:rsidRPr="00571CB3">
        <w:rPr>
          <w:lang w:val="en-GB"/>
        </w:rPr>
        <w:t>vitrimer</w:t>
      </w:r>
      <w:r w:rsidRPr="00571CB3">
        <w:rPr>
          <w:lang w:val="en-GB"/>
        </w:rPr>
        <w:t>s</w:t>
      </w:r>
      <w:proofErr w:type="spellEnd"/>
      <w:r w:rsidR="0001551B" w:rsidRPr="00571CB3">
        <w:rPr>
          <w:lang w:val="en-GB"/>
        </w:rPr>
        <w:t xml:space="preserve">. </w:t>
      </w:r>
      <w:r w:rsidR="002E325E" w:rsidRPr="00571CB3">
        <w:rPr>
          <w:lang w:val="en-GB"/>
        </w:rPr>
        <w:t xml:space="preserve">Consistent with </w:t>
      </w:r>
      <w:r w:rsidR="00F46D78" w:rsidRPr="00571CB3">
        <w:rPr>
          <w:lang w:val="en-GB"/>
        </w:rPr>
        <w:t>previous</w:t>
      </w:r>
      <w:r w:rsidR="002E325E" w:rsidRPr="00571CB3">
        <w:rPr>
          <w:lang w:val="en-GB"/>
        </w:rPr>
        <w:t xml:space="preserve"> </w:t>
      </w:r>
      <w:r w:rsidR="00693504" w:rsidRPr="00571CB3">
        <w:rPr>
          <w:lang w:val="en-GB"/>
        </w:rPr>
        <w:t>studies</w:t>
      </w:r>
      <w:r w:rsidR="002E325E" w:rsidRPr="00571CB3">
        <w:rPr>
          <w:lang w:val="en-GB"/>
        </w:rPr>
        <w:t xml:space="preserve">, the selling price of bio-based </w:t>
      </w:r>
      <w:proofErr w:type="spellStart"/>
      <w:r w:rsidR="002E325E" w:rsidRPr="00571CB3">
        <w:rPr>
          <w:lang w:val="en-GB"/>
        </w:rPr>
        <w:t>vitrimers</w:t>
      </w:r>
      <w:proofErr w:type="spellEnd"/>
      <w:r w:rsidR="002E325E" w:rsidRPr="00571CB3">
        <w:rPr>
          <w:lang w:val="en-GB"/>
        </w:rPr>
        <w:t xml:space="preserve"> </w:t>
      </w:r>
      <w:r w:rsidR="00BA434E" w:rsidRPr="00571CB3">
        <w:rPr>
          <w:lang w:val="en-GB"/>
        </w:rPr>
        <w:t>results</w:t>
      </w:r>
      <w:r w:rsidR="002E325E" w:rsidRPr="00571CB3">
        <w:rPr>
          <w:lang w:val="en-GB"/>
        </w:rPr>
        <w:t xml:space="preserve"> prohibitively high</w:t>
      </w:r>
      <w:r w:rsidR="00693504" w:rsidRPr="00571CB3">
        <w:rPr>
          <w:lang w:val="en-GB"/>
        </w:rPr>
        <w:t xml:space="preserve"> (Bass and Epps, 2021)</w:t>
      </w:r>
      <w:r w:rsidR="002E325E" w:rsidRPr="00571CB3">
        <w:rPr>
          <w:lang w:val="en-GB"/>
        </w:rPr>
        <w:t xml:space="preserve">. </w:t>
      </w:r>
      <w:r w:rsidR="0001551B" w:rsidRPr="00571CB3">
        <w:rPr>
          <w:lang w:val="en-GB"/>
        </w:rPr>
        <w:t xml:space="preserve">The MPSPs </w:t>
      </w:r>
      <w:r w:rsidRPr="00571CB3">
        <w:rPr>
          <w:lang w:val="en-GB"/>
        </w:rPr>
        <w:t>varies significantly across scenarios—</w:t>
      </w:r>
      <w:r w:rsidR="0001551B" w:rsidRPr="00571CB3">
        <w:rPr>
          <w:lang w:val="en-GB"/>
        </w:rPr>
        <w:t>decreas</w:t>
      </w:r>
      <w:r w:rsidRPr="00571CB3">
        <w:rPr>
          <w:lang w:val="en-GB"/>
        </w:rPr>
        <w:t>ing</w:t>
      </w:r>
      <w:r w:rsidR="0001551B" w:rsidRPr="00571CB3">
        <w:rPr>
          <w:lang w:val="en-GB"/>
        </w:rPr>
        <w:t xml:space="preserve"> by approximately 60</w:t>
      </w:r>
      <w:r w:rsidR="00432005" w:rsidRPr="00571CB3">
        <w:rPr>
          <w:lang w:val="en-GB"/>
        </w:rPr>
        <w:t>%</w:t>
      </w:r>
      <w:r w:rsidR="0001551B" w:rsidRPr="00571CB3">
        <w:rPr>
          <w:lang w:val="en-GB"/>
        </w:rPr>
        <w:t xml:space="preserve"> in the best case and increas</w:t>
      </w:r>
      <w:r w:rsidRPr="00571CB3">
        <w:rPr>
          <w:lang w:val="en-GB"/>
        </w:rPr>
        <w:t>ing</w:t>
      </w:r>
      <w:r w:rsidR="0001551B" w:rsidRPr="00571CB3">
        <w:rPr>
          <w:lang w:val="en-GB"/>
        </w:rPr>
        <w:t xml:space="preserve"> by up to 400</w:t>
      </w:r>
      <w:r w:rsidR="00432005" w:rsidRPr="00571CB3">
        <w:rPr>
          <w:lang w:val="en-GB"/>
        </w:rPr>
        <w:t>%</w:t>
      </w:r>
      <w:r w:rsidR="0001551B" w:rsidRPr="00571CB3">
        <w:rPr>
          <w:lang w:val="en-GB"/>
        </w:rPr>
        <w:t xml:space="preserve"> in the worst case</w:t>
      </w:r>
      <w:r w:rsidRPr="00571CB3">
        <w:rPr>
          <w:lang w:val="en-GB"/>
        </w:rPr>
        <w:t>—resulting in</w:t>
      </w:r>
      <w:r w:rsidR="0001551B" w:rsidRPr="00571CB3">
        <w:rPr>
          <w:lang w:val="en-GB"/>
        </w:rPr>
        <w:t xml:space="preserve"> a right-skewed distribution (</w:t>
      </w:r>
      <w:r w:rsidR="00C14A77" w:rsidRPr="00571CB3">
        <w:rPr>
          <w:lang w:val="en-GB"/>
        </w:rPr>
        <w:fldChar w:fldCharType="begin"/>
      </w:r>
      <w:r w:rsidR="00C14A77" w:rsidRPr="00571CB3">
        <w:rPr>
          <w:lang w:val="en-GB"/>
        </w:rPr>
        <w:instrText xml:space="preserve"> REF _Ref192685412 \h  \* MERGEFORMAT </w:instrText>
      </w:r>
      <w:r w:rsidR="00C14A77" w:rsidRPr="00571CB3">
        <w:rPr>
          <w:lang w:val="en-GB"/>
        </w:rPr>
      </w:r>
      <w:r w:rsidR="00C14A77" w:rsidRPr="00571CB3">
        <w:rPr>
          <w:lang w:val="en-GB"/>
        </w:rPr>
        <w:fldChar w:fldCharType="separate"/>
      </w:r>
      <w:r w:rsidR="00C14A77" w:rsidRPr="00571CB3">
        <w:rPr>
          <w:i/>
          <w:lang w:val="en-GB"/>
        </w:rPr>
        <w:t>Figure 2</w:t>
      </w:r>
      <w:r w:rsidR="00C14A77" w:rsidRPr="00571CB3">
        <w:rPr>
          <w:lang w:val="en-GB"/>
        </w:rPr>
        <w:fldChar w:fldCharType="end"/>
      </w:r>
      <w:r w:rsidR="00C70032" w:rsidRPr="00571CB3">
        <w:rPr>
          <w:lang w:val="en-GB"/>
        </w:rPr>
        <w:t>a</w:t>
      </w:r>
      <w:r w:rsidR="0001551B" w:rsidRPr="00571CB3">
        <w:rPr>
          <w:lang w:val="en-GB"/>
        </w:rPr>
        <w:t xml:space="preserve">). This </w:t>
      </w:r>
      <w:r w:rsidRPr="00571CB3">
        <w:rPr>
          <w:lang w:val="en-GB"/>
        </w:rPr>
        <w:t xml:space="preserve">skewness </w:t>
      </w:r>
      <w:r w:rsidR="0001551B" w:rsidRPr="00571CB3">
        <w:rPr>
          <w:lang w:val="en-GB"/>
        </w:rPr>
        <w:t xml:space="preserve">indicates </w:t>
      </w:r>
      <w:r w:rsidRPr="00571CB3">
        <w:rPr>
          <w:lang w:val="en-GB"/>
        </w:rPr>
        <w:t>elevated</w:t>
      </w:r>
      <w:r w:rsidR="0001551B" w:rsidRPr="00571CB3">
        <w:rPr>
          <w:lang w:val="en-GB"/>
        </w:rPr>
        <w:t xml:space="preserve"> investment risk, as in half of the most unfavourable situations (</w:t>
      </w:r>
      <w:r w:rsidRPr="00571CB3">
        <w:rPr>
          <w:lang w:val="en-GB"/>
        </w:rPr>
        <w:t>beyond</w:t>
      </w:r>
      <w:r w:rsidR="0001551B" w:rsidRPr="00571CB3">
        <w:rPr>
          <w:lang w:val="en-GB"/>
        </w:rPr>
        <w:t xml:space="preserve"> the mean), the price </w:t>
      </w:r>
      <w:r w:rsidR="002E325E" w:rsidRPr="00571CB3">
        <w:rPr>
          <w:lang w:val="en-GB"/>
        </w:rPr>
        <w:t>uncertainty</w:t>
      </w:r>
      <w:r w:rsidRPr="00571CB3">
        <w:rPr>
          <w:lang w:val="en-GB"/>
        </w:rPr>
        <w:t xml:space="preserve"> </w:t>
      </w:r>
      <w:r w:rsidR="0001551B" w:rsidRPr="00571CB3">
        <w:rPr>
          <w:lang w:val="en-GB"/>
        </w:rPr>
        <w:t xml:space="preserve">is </w:t>
      </w:r>
      <w:r w:rsidRPr="00571CB3">
        <w:rPr>
          <w:lang w:val="en-GB"/>
        </w:rPr>
        <w:t>substantially higher</w:t>
      </w:r>
      <w:r w:rsidR="0001551B" w:rsidRPr="00571CB3">
        <w:rPr>
          <w:lang w:val="en-GB"/>
        </w:rPr>
        <w:t>.</w:t>
      </w:r>
    </w:p>
    <w:p w14:paraId="0B6566A2" w14:textId="23240DFD" w:rsidR="003B67BE" w:rsidRPr="00571CB3" w:rsidRDefault="003B67BE" w:rsidP="003B67BE">
      <w:pPr>
        <w:pStyle w:val="CETTabletitle"/>
      </w:pPr>
      <w:bookmarkStart w:id="2" w:name="_Ref192684968"/>
      <w:r w:rsidRPr="00571CB3">
        <w:t xml:space="preserve">Table </w:t>
      </w:r>
      <w:r w:rsidRPr="00571CB3">
        <w:fldChar w:fldCharType="begin"/>
      </w:r>
      <w:r w:rsidRPr="00571CB3">
        <w:instrText xml:space="preserve"> SEQ Table \* ARABIC </w:instrText>
      </w:r>
      <w:r w:rsidRPr="00571CB3">
        <w:fldChar w:fldCharType="separate"/>
      </w:r>
      <w:r w:rsidR="00A74B3F" w:rsidRPr="00571CB3">
        <w:rPr>
          <w:noProof/>
        </w:rPr>
        <w:t>2</w:t>
      </w:r>
      <w:r w:rsidRPr="00571CB3">
        <w:fldChar w:fldCharType="end"/>
      </w:r>
      <w:bookmarkEnd w:id="2"/>
      <w:r w:rsidRPr="00571CB3">
        <w:t xml:space="preserve"> Descriptive statistics </w:t>
      </w:r>
      <w:r w:rsidR="007E6649" w:rsidRPr="00571CB3">
        <w:t xml:space="preserve">from the </w:t>
      </w:r>
      <w:r w:rsidRPr="00571CB3">
        <w:t xml:space="preserve">Monte Carlo </w:t>
      </w:r>
      <w:r w:rsidR="007E6649" w:rsidRPr="00571CB3">
        <w:t>simulations</w:t>
      </w:r>
      <w:r w:rsidRPr="00571CB3">
        <w:t>.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95"/>
        <w:gridCol w:w="1065"/>
        <w:gridCol w:w="1065"/>
        <w:gridCol w:w="1067"/>
        <w:gridCol w:w="1065"/>
        <w:gridCol w:w="1065"/>
        <w:gridCol w:w="1065"/>
      </w:tblGrid>
      <w:tr w:rsidR="00F73DC4" w:rsidRPr="00571CB3" w14:paraId="692A94E1" w14:textId="77777777" w:rsidTr="004B6414">
        <w:tc>
          <w:tcPr>
            <w:tcW w:w="1363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8DE9596" w14:textId="4D39F417" w:rsidR="00F73DC4" w:rsidRPr="00571CB3" w:rsidRDefault="00F73DC4" w:rsidP="00F73DC4">
            <w:pPr>
              <w:pStyle w:val="CETBodytext"/>
              <w:rPr>
                <w:lang w:val="en-GB"/>
              </w:rPr>
            </w:pPr>
          </w:p>
        </w:tc>
        <w:tc>
          <w:tcPr>
            <w:tcW w:w="606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E1D6E96" w14:textId="525FA62C" w:rsidR="00F73DC4" w:rsidRPr="00571CB3" w:rsidRDefault="00F73DC4" w:rsidP="00F73DC4">
            <w:pPr>
              <w:pStyle w:val="CETBodytext"/>
              <w:jc w:val="center"/>
              <w:rPr>
                <w:b/>
                <w:bCs/>
                <w:lang w:val="en-GB"/>
              </w:rPr>
            </w:pPr>
            <w:r w:rsidRPr="00571CB3">
              <w:rPr>
                <w:b/>
                <w:bCs/>
                <w:lang w:val="en-GB"/>
              </w:rPr>
              <w:t>Min.</w:t>
            </w:r>
          </w:p>
        </w:tc>
        <w:tc>
          <w:tcPr>
            <w:tcW w:w="606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A285B31" w14:textId="7A1CA2A3" w:rsidR="00F73DC4" w:rsidRPr="00571CB3" w:rsidRDefault="00F73DC4" w:rsidP="00F73DC4">
            <w:pPr>
              <w:pStyle w:val="CETBodytext"/>
              <w:jc w:val="center"/>
              <w:rPr>
                <w:b/>
                <w:bCs/>
                <w:lang w:val="en-GB"/>
              </w:rPr>
            </w:pPr>
            <w:r w:rsidRPr="00571CB3">
              <w:rPr>
                <w:b/>
                <w:bCs/>
                <w:lang w:val="en-GB"/>
              </w:rPr>
              <w:t>1st Qu.</w:t>
            </w:r>
          </w:p>
        </w:tc>
        <w:tc>
          <w:tcPr>
            <w:tcW w:w="607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E0E21AF" w14:textId="37984C70" w:rsidR="00F73DC4" w:rsidRPr="00571CB3" w:rsidRDefault="00F73DC4" w:rsidP="00F73DC4">
            <w:pPr>
              <w:pStyle w:val="CETBodytext"/>
              <w:ind w:right="-1"/>
              <w:jc w:val="center"/>
              <w:rPr>
                <w:rFonts w:cs="Arial"/>
                <w:b/>
                <w:bCs/>
                <w:szCs w:val="18"/>
                <w:lang w:val="en-GB"/>
              </w:rPr>
            </w:pPr>
            <w:r w:rsidRPr="00571CB3">
              <w:rPr>
                <w:b/>
                <w:bCs/>
                <w:lang w:val="en-GB"/>
              </w:rPr>
              <w:t>Median</w:t>
            </w:r>
          </w:p>
        </w:tc>
        <w:tc>
          <w:tcPr>
            <w:tcW w:w="606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808742C" w14:textId="68B93D07" w:rsidR="00F73DC4" w:rsidRPr="00571CB3" w:rsidRDefault="00F73DC4" w:rsidP="00F73DC4">
            <w:pPr>
              <w:pStyle w:val="CETBodytext"/>
              <w:ind w:right="-1"/>
              <w:jc w:val="center"/>
              <w:rPr>
                <w:rFonts w:cs="Arial"/>
                <w:b/>
                <w:bCs/>
                <w:szCs w:val="18"/>
                <w:lang w:val="en-GB"/>
              </w:rPr>
            </w:pPr>
            <w:r w:rsidRPr="00571CB3">
              <w:rPr>
                <w:b/>
                <w:bCs/>
                <w:lang w:val="en-GB"/>
              </w:rPr>
              <w:t>Mean</w:t>
            </w:r>
          </w:p>
        </w:tc>
        <w:tc>
          <w:tcPr>
            <w:tcW w:w="606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93F3375" w14:textId="2567154E" w:rsidR="00F73DC4" w:rsidRPr="00571CB3" w:rsidRDefault="00F73DC4" w:rsidP="00F73DC4">
            <w:pPr>
              <w:pStyle w:val="CETBodytext"/>
              <w:ind w:right="-1"/>
              <w:jc w:val="center"/>
              <w:rPr>
                <w:rFonts w:cs="Arial"/>
                <w:b/>
                <w:bCs/>
                <w:szCs w:val="18"/>
                <w:lang w:val="en-GB"/>
              </w:rPr>
            </w:pPr>
            <w:r w:rsidRPr="00571CB3">
              <w:rPr>
                <w:b/>
                <w:bCs/>
                <w:lang w:val="en-GB"/>
              </w:rPr>
              <w:t>3rd Qu.</w:t>
            </w:r>
          </w:p>
        </w:tc>
        <w:tc>
          <w:tcPr>
            <w:tcW w:w="607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8A5BC03" w14:textId="7EA90A0E" w:rsidR="00F73DC4" w:rsidRPr="00571CB3" w:rsidRDefault="00F73DC4" w:rsidP="00F73DC4">
            <w:pPr>
              <w:pStyle w:val="CETBodytext"/>
              <w:ind w:right="-1"/>
              <w:jc w:val="center"/>
              <w:rPr>
                <w:rFonts w:cs="Arial"/>
                <w:b/>
                <w:bCs/>
                <w:szCs w:val="18"/>
                <w:lang w:val="en-GB"/>
              </w:rPr>
            </w:pPr>
            <w:r w:rsidRPr="00571CB3">
              <w:rPr>
                <w:b/>
                <w:bCs/>
                <w:lang w:val="en-GB"/>
              </w:rPr>
              <w:t>Max.</w:t>
            </w:r>
          </w:p>
        </w:tc>
      </w:tr>
      <w:tr w:rsidR="00792A1E" w:rsidRPr="00571CB3" w14:paraId="3282CF26" w14:textId="77777777" w:rsidTr="004B6414">
        <w:tc>
          <w:tcPr>
            <w:tcW w:w="1363" w:type="pct"/>
            <w:shd w:val="clear" w:color="auto" w:fill="FFFFFF"/>
          </w:tcPr>
          <w:p w14:paraId="219E7B1E" w14:textId="74718BA4" w:rsidR="00792A1E" w:rsidRPr="00571CB3" w:rsidRDefault="00792A1E" w:rsidP="00792A1E">
            <w:pPr>
              <w:pStyle w:val="CETBodytext"/>
              <w:rPr>
                <w:i/>
                <w:iCs/>
                <w:lang w:val="en-GB"/>
              </w:rPr>
            </w:pPr>
            <w:r w:rsidRPr="00571CB3">
              <w:rPr>
                <w:i/>
                <w:iCs/>
                <w:lang w:val="en-GB"/>
              </w:rPr>
              <w:t>Industry performance</w:t>
            </w:r>
          </w:p>
        </w:tc>
        <w:tc>
          <w:tcPr>
            <w:tcW w:w="606" w:type="pct"/>
            <w:shd w:val="clear" w:color="auto" w:fill="FFFFFF"/>
          </w:tcPr>
          <w:p w14:paraId="57E5FFA5" w14:textId="77777777" w:rsidR="00792A1E" w:rsidRPr="00571CB3" w:rsidRDefault="00792A1E" w:rsidP="00792A1E">
            <w:pPr>
              <w:pStyle w:val="CETBodytext"/>
              <w:rPr>
                <w:lang w:val="en-GB"/>
              </w:rPr>
            </w:pPr>
          </w:p>
        </w:tc>
        <w:tc>
          <w:tcPr>
            <w:tcW w:w="606" w:type="pct"/>
            <w:shd w:val="clear" w:color="auto" w:fill="FFFFFF"/>
          </w:tcPr>
          <w:p w14:paraId="2D8D3D4D" w14:textId="77777777" w:rsidR="00792A1E" w:rsidRPr="00571CB3" w:rsidRDefault="00792A1E" w:rsidP="00792A1E">
            <w:pPr>
              <w:pStyle w:val="CETBodytext"/>
              <w:rPr>
                <w:lang w:val="en-GB"/>
              </w:rPr>
            </w:pPr>
          </w:p>
        </w:tc>
        <w:tc>
          <w:tcPr>
            <w:tcW w:w="607" w:type="pct"/>
            <w:shd w:val="clear" w:color="auto" w:fill="FFFFFF"/>
          </w:tcPr>
          <w:p w14:paraId="5F03CC8A" w14:textId="77777777" w:rsidR="00792A1E" w:rsidRPr="00571CB3" w:rsidRDefault="00792A1E" w:rsidP="00792A1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606" w:type="pct"/>
            <w:shd w:val="clear" w:color="auto" w:fill="FFFFFF"/>
          </w:tcPr>
          <w:p w14:paraId="4738FFE4" w14:textId="76F98F85" w:rsidR="00792A1E" w:rsidRPr="00571CB3" w:rsidRDefault="00792A1E" w:rsidP="00792A1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606" w:type="pct"/>
            <w:shd w:val="clear" w:color="auto" w:fill="FFFFFF"/>
          </w:tcPr>
          <w:p w14:paraId="1E757D14" w14:textId="3C84A19E" w:rsidR="00792A1E" w:rsidRPr="00571CB3" w:rsidRDefault="00792A1E" w:rsidP="00792A1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607" w:type="pct"/>
            <w:shd w:val="clear" w:color="auto" w:fill="FFFFFF"/>
          </w:tcPr>
          <w:p w14:paraId="1C4C3465" w14:textId="77777777" w:rsidR="00792A1E" w:rsidRPr="00571CB3" w:rsidRDefault="00792A1E" w:rsidP="00792A1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792A1E" w:rsidRPr="00571CB3" w14:paraId="2F3D7279" w14:textId="77777777" w:rsidTr="004B6414">
        <w:tc>
          <w:tcPr>
            <w:tcW w:w="1363" w:type="pct"/>
            <w:shd w:val="clear" w:color="auto" w:fill="FFFFFF"/>
          </w:tcPr>
          <w:p w14:paraId="3020AFB6" w14:textId="39396E4A" w:rsidR="00792A1E" w:rsidRPr="00571CB3" w:rsidRDefault="00792A1E" w:rsidP="00C225E5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 xml:space="preserve">Share of </w:t>
            </w:r>
            <w:r w:rsidR="007E6649" w:rsidRPr="00571CB3">
              <w:rPr>
                <w:lang w:val="en-GB"/>
              </w:rPr>
              <w:t>raw materials costs</w:t>
            </w:r>
          </w:p>
        </w:tc>
        <w:tc>
          <w:tcPr>
            <w:tcW w:w="606" w:type="pct"/>
            <w:shd w:val="clear" w:color="auto" w:fill="FFFFFF"/>
          </w:tcPr>
          <w:p w14:paraId="7101A7CA" w14:textId="7EA81429" w:rsidR="00792A1E" w:rsidRPr="00571CB3" w:rsidRDefault="00792A1E" w:rsidP="00825D84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0.300</w:t>
            </w:r>
          </w:p>
        </w:tc>
        <w:tc>
          <w:tcPr>
            <w:tcW w:w="606" w:type="pct"/>
            <w:shd w:val="clear" w:color="auto" w:fill="FFFFFF"/>
          </w:tcPr>
          <w:p w14:paraId="678EE5F1" w14:textId="111A5C70" w:rsidR="00792A1E" w:rsidRPr="00571CB3" w:rsidRDefault="00792A1E" w:rsidP="00825D84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0.397</w:t>
            </w:r>
          </w:p>
        </w:tc>
        <w:tc>
          <w:tcPr>
            <w:tcW w:w="607" w:type="pct"/>
            <w:shd w:val="clear" w:color="auto" w:fill="FFFFFF"/>
          </w:tcPr>
          <w:p w14:paraId="70184E9A" w14:textId="3B58EBC3" w:rsidR="00792A1E" w:rsidRPr="00571CB3" w:rsidRDefault="00792A1E" w:rsidP="00825D8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0.500</w:t>
            </w:r>
          </w:p>
        </w:tc>
        <w:tc>
          <w:tcPr>
            <w:tcW w:w="606" w:type="pct"/>
            <w:shd w:val="clear" w:color="auto" w:fill="FFFFFF"/>
          </w:tcPr>
          <w:p w14:paraId="6F8C540B" w14:textId="5D595EB8" w:rsidR="00792A1E" w:rsidRPr="00571CB3" w:rsidRDefault="00792A1E" w:rsidP="00825D8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0.499</w:t>
            </w:r>
          </w:p>
        </w:tc>
        <w:tc>
          <w:tcPr>
            <w:tcW w:w="606" w:type="pct"/>
            <w:shd w:val="clear" w:color="auto" w:fill="FFFFFF"/>
          </w:tcPr>
          <w:p w14:paraId="75810BA0" w14:textId="4893B29A" w:rsidR="00792A1E" w:rsidRPr="00571CB3" w:rsidRDefault="00792A1E" w:rsidP="00825D8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0.600</w:t>
            </w:r>
          </w:p>
        </w:tc>
        <w:tc>
          <w:tcPr>
            <w:tcW w:w="607" w:type="pct"/>
            <w:shd w:val="clear" w:color="auto" w:fill="FFFFFF"/>
          </w:tcPr>
          <w:p w14:paraId="72A7ED09" w14:textId="65379E27" w:rsidR="00792A1E" w:rsidRPr="00571CB3" w:rsidRDefault="00792A1E" w:rsidP="00825D8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0.700</w:t>
            </w:r>
          </w:p>
        </w:tc>
      </w:tr>
      <w:tr w:rsidR="00792A1E" w:rsidRPr="00571CB3" w14:paraId="02E335F0" w14:textId="77777777" w:rsidTr="004B6414">
        <w:tc>
          <w:tcPr>
            <w:tcW w:w="1363" w:type="pct"/>
            <w:tcBorders>
              <w:bottom w:val="single" w:sz="4" w:space="0" w:color="00B050"/>
            </w:tcBorders>
            <w:shd w:val="clear" w:color="auto" w:fill="FFFFFF"/>
          </w:tcPr>
          <w:p w14:paraId="766EA84D" w14:textId="6B48DC61" w:rsidR="00792A1E" w:rsidRPr="00571CB3" w:rsidRDefault="00792A1E" w:rsidP="00C225E5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 xml:space="preserve">Share of </w:t>
            </w:r>
            <w:r w:rsidR="007E6649" w:rsidRPr="00571CB3">
              <w:rPr>
                <w:lang w:val="en-GB"/>
              </w:rPr>
              <w:t>variable costs</w:t>
            </w:r>
          </w:p>
        </w:tc>
        <w:tc>
          <w:tcPr>
            <w:tcW w:w="606" w:type="pct"/>
            <w:tcBorders>
              <w:bottom w:val="single" w:sz="4" w:space="0" w:color="00B050"/>
            </w:tcBorders>
            <w:shd w:val="clear" w:color="auto" w:fill="FFFFFF"/>
          </w:tcPr>
          <w:p w14:paraId="0E3B9C12" w14:textId="22E24766" w:rsidR="00792A1E" w:rsidRPr="00571CB3" w:rsidRDefault="00792A1E" w:rsidP="00825D84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0.100</w:t>
            </w:r>
          </w:p>
        </w:tc>
        <w:tc>
          <w:tcPr>
            <w:tcW w:w="606" w:type="pct"/>
            <w:tcBorders>
              <w:bottom w:val="single" w:sz="4" w:space="0" w:color="00B050"/>
            </w:tcBorders>
            <w:shd w:val="clear" w:color="auto" w:fill="FFFFFF"/>
          </w:tcPr>
          <w:p w14:paraId="1FDF0907" w14:textId="5DD9DBC2" w:rsidR="00792A1E" w:rsidRPr="00571CB3" w:rsidRDefault="00792A1E" w:rsidP="00825D84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0.299</w:t>
            </w:r>
          </w:p>
        </w:tc>
        <w:tc>
          <w:tcPr>
            <w:tcW w:w="607" w:type="pct"/>
            <w:tcBorders>
              <w:bottom w:val="single" w:sz="4" w:space="0" w:color="00B050"/>
            </w:tcBorders>
            <w:shd w:val="clear" w:color="auto" w:fill="FFFFFF"/>
          </w:tcPr>
          <w:p w14:paraId="4A6A04A5" w14:textId="09D09B2A" w:rsidR="00792A1E" w:rsidRPr="00571CB3" w:rsidRDefault="00792A1E" w:rsidP="00825D8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0.502</w:t>
            </w:r>
          </w:p>
        </w:tc>
        <w:tc>
          <w:tcPr>
            <w:tcW w:w="606" w:type="pct"/>
            <w:tcBorders>
              <w:bottom w:val="single" w:sz="4" w:space="0" w:color="00B050"/>
            </w:tcBorders>
            <w:shd w:val="clear" w:color="auto" w:fill="FFFFFF"/>
          </w:tcPr>
          <w:p w14:paraId="60410322" w14:textId="22DD4D23" w:rsidR="00792A1E" w:rsidRPr="00571CB3" w:rsidRDefault="00792A1E" w:rsidP="00825D8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0.500</w:t>
            </w:r>
          </w:p>
        </w:tc>
        <w:tc>
          <w:tcPr>
            <w:tcW w:w="606" w:type="pct"/>
            <w:tcBorders>
              <w:bottom w:val="single" w:sz="4" w:space="0" w:color="00B050"/>
            </w:tcBorders>
            <w:shd w:val="clear" w:color="auto" w:fill="FFFFFF"/>
          </w:tcPr>
          <w:p w14:paraId="39221D59" w14:textId="1EE4F801" w:rsidR="00792A1E" w:rsidRPr="00571CB3" w:rsidRDefault="00792A1E" w:rsidP="00825D8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0.701</w:t>
            </w:r>
          </w:p>
        </w:tc>
        <w:tc>
          <w:tcPr>
            <w:tcW w:w="607" w:type="pct"/>
            <w:tcBorders>
              <w:bottom w:val="single" w:sz="4" w:space="0" w:color="00B050"/>
            </w:tcBorders>
            <w:shd w:val="clear" w:color="auto" w:fill="FFFFFF"/>
          </w:tcPr>
          <w:p w14:paraId="6CCCABAE" w14:textId="510B125B" w:rsidR="00792A1E" w:rsidRPr="00571CB3" w:rsidRDefault="00792A1E" w:rsidP="00825D8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0.900</w:t>
            </w:r>
          </w:p>
        </w:tc>
      </w:tr>
      <w:tr w:rsidR="002C605E" w:rsidRPr="00571CB3" w14:paraId="6839C945" w14:textId="77777777" w:rsidTr="004B6414">
        <w:tc>
          <w:tcPr>
            <w:tcW w:w="1363" w:type="pct"/>
            <w:tcBorders>
              <w:top w:val="single" w:sz="4" w:space="0" w:color="00B050"/>
            </w:tcBorders>
            <w:shd w:val="clear" w:color="auto" w:fill="FFFFFF"/>
          </w:tcPr>
          <w:p w14:paraId="4D88917D" w14:textId="31ED1176" w:rsidR="002C605E" w:rsidRPr="00571CB3" w:rsidRDefault="002C605E" w:rsidP="002C605E">
            <w:pPr>
              <w:pStyle w:val="CETBodytext"/>
              <w:jc w:val="left"/>
              <w:rPr>
                <w:i/>
                <w:iCs/>
                <w:lang w:val="en-GB"/>
              </w:rPr>
            </w:pPr>
            <w:r w:rsidRPr="00571CB3">
              <w:rPr>
                <w:i/>
                <w:iCs/>
                <w:lang w:val="en-GB"/>
              </w:rPr>
              <w:t>Technological coefficients</w:t>
            </w:r>
          </w:p>
        </w:tc>
        <w:tc>
          <w:tcPr>
            <w:tcW w:w="606" w:type="pct"/>
            <w:tcBorders>
              <w:top w:val="single" w:sz="4" w:space="0" w:color="00B050"/>
            </w:tcBorders>
            <w:shd w:val="clear" w:color="auto" w:fill="FFFFFF"/>
          </w:tcPr>
          <w:p w14:paraId="0B423703" w14:textId="77777777" w:rsidR="002C605E" w:rsidRPr="00571CB3" w:rsidRDefault="002C605E" w:rsidP="002C605E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6" w:type="pct"/>
            <w:tcBorders>
              <w:top w:val="single" w:sz="4" w:space="0" w:color="00B050"/>
            </w:tcBorders>
            <w:shd w:val="clear" w:color="auto" w:fill="FFFFFF"/>
          </w:tcPr>
          <w:p w14:paraId="06453653" w14:textId="77777777" w:rsidR="002C605E" w:rsidRPr="00571CB3" w:rsidRDefault="002C605E" w:rsidP="002C605E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7" w:type="pct"/>
            <w:tcBorders>
              <w:top w:val="single" w:sz="4" w:space="0" w:color="00B050"/>
            </w:tcBorders>
            <w:shd w:val="clear" w:color="auto" w:fill="FFFFFF"/>
          </w:tcPr>
          <w:p w14:paraId="2841C587" w14:textId="77777777" w:rsidR="002C605E" w:rsidRPr="00571CB3" w:rsidRDefault="002C605E" w:rsidP="002C605E">
            <w:pPr>
              <w:pStyle w:val="CETBodytext"/>
              <w:ind w:right="-1"/>
              <w:jc w:val="center"/>
              <w:rPr>
                <w:lang w:val="en-GB"/>
              </w:rPr>
            </w:pPr>
          </w:p>
        </w:tc>
        <w:tc>
          <w:tcPr>
            <w:tcW w:w="606" w:type="pct"/>
            <w:tcBorders>
              <w:top w:val="single" w:sz="4" w:space="0" w:color="00B050"/>
            </w:tcBorders>
            <w:shd w:val="clear" w:color="auto" w:fill="FFFFFF"/>
          </w:tcPr>
          <w:p w14:paraId="7E43886F" w14:textId="77777777" w:rsidR="002C605E" w:rsidRPr="00571CB3" w:rsidRDefault="002C605E" w:rsidP="002C605E">
            <w:pPr>
              <w:pStyle w:val="CETBodytext"/>
              <w:ind w:right="-1"/>
              <w:jc w:val="center"/>
              <w:rPr>
                <w:lang w:val="en-GB"/>
              </w:rPr>
            </w:pPr>
          </w:p>
        </w:tc>
        <w:tc>
          <w:tcPr>
            <w:tcW w:w="606" w:type="pct"/>
            <w:tcBorders>
              <w:top w:val="single" w:sz="4" w:space="0" w:color="00B050"/>
            </w:tcBorders>
            <w:shd w:val="clear" w:color="auto" w:fill="FFFFFF"/>
          </w:tcPr>
          <w:p w14:paraId="7FD5F398" w14:textId="77777777" w:rsidR="002C605E" w:rsidRPr="00571CB3" w:rsidRDefault="002C605E" w:rsidP="002C605E">
            <w:pPr>
              <w:pStyle w:val="CETBodytext"/>
              <w:ind w:right="-1"/>
              <w:jc w:val="center"/>
              <w:rPr>
                <w:lang w:val="en-GB"/>
              </w:rPr>
            </w:pPr>
          </w:p>
        </w:tc>
        <w:tc>
          <w:tcPr>
            <w:tcW w:w="607" w:type="pct"/>
            <w:tcBorders>
              <w:top w:val="single" w:sz="4" w:space="0" w:color="00B050"/>
            </w:tcBorders>
            <w:shd w:val="clear" w:color="auto" w:fill="FFFFFF"/>
          </w:tcPr>
          <w:p w14:paraId="4DEF165D" w14:textId="77777777" w:rsidR="002C605E" w:rsidRPr="00571CB3" w:rsidRDefault="002C605E" w:rsidP="002C605E">
            <w:pPr>
              <w:pStyle w:val="CETBodytext"/>
              <w:ind w:right="-1"/>
              <w:jc w:val="center"/>
              <w:rPr>
                <w:lang w:val="en-GB"/>
              </w:rPr>
            </w:pPr>
          </w:p>
        </w:tc>
      </w:tr>
      <w:tr w:rsidR="002C605E" w:rsidRPr="00571CB3" w14:paraId="046E811C" w14:textId="77777777" w:rsidTr="004B6414">
        <w:tc>
          <w:tcPr>
            <w:tcW w:w="1363" w:type="pct"/>
            <w:shd w:val="clear" w:color="auto" w:fill="FFFFFF"/>
          </w:tcPr>
          <w:p w14:paraId="5F6DB7A0" w14:textId="6EC3A764" w:rsidR="002C605E" w:rsidRPr="00571CB3" w:rsidRDefault="002C605E" w:rsidP="002C605E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Biomass</w:t>
            </w:r>
          </w:p>
        </w:tc>
        <w:tc>
          <w:tcPr>
            <w:tcW w:w="606" w:type="pct"/>
            <w:shd w:val="clear" w:color="auto" w:fill="FFFFFF"/>
          </w:tcPr>
          <w:p w14:paraId="0F2A582F" w14:textId="62F9AB20" w:rsidR="002C605E" w:rsidRPr="00571CB3" w:rsidRDefault="002C605E" w:rsidP="002C605E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4.054</w:t>
            </w:r>
          </w:p>
        </w:tc>
        <w:tc>
          <w:tcPr>
            <w:tcW w:w="606" w:type="pct"/>
            <w:shd w:val="clear" w:color="auto" w:fill="FFFFFF"/>
          </w:tcPr>
          <w:p w14:paraId="6685BB7E" w14:textId="1F26D7F3" w:rsidR="002C605E" w:rsidRPr="00571CB3" w:rsidRDefault="002C605E" w:rsidP="002C605E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5.250</w:t>
            </w:r>
          </w:p>
        </w:tc>
        <w:tc>
          <w:tcPr>
            <w:tcW w:w="607" w:type="pct"/>
            <w:shd w:val="clear" w:color="auto" w:fill="FFFFFF"/>
          </w:tcPr>
          <w:p w14:paraId="3376C85C" w14:textId="30373947" w:rsidR="002C605E" w:rsidRPr="00571CB3" w:rsidRDefault="002C605E" w:rsidP="002C605E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5.726</w:t>
            </w:r>
          </w:p>
        </w:tc>
        <w:tc>
          <w:tcPr>
            <w:tcW w:w="606" w:type="pct"/>
            <w:shd w:val="clear" w:color="auto" w:fill="FFFFFF"/>
          </w:tcPr>
          <w:p w14:paraId="6EF1475D" w14:textId="519D34E1" w:rsidR="002C605E" w:rsidRPr="00571CB3" w:rsidRDefault="002C605E" w:rsidP="002C605E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5.727</w:t>
            </w:r>
          </w:p>
        </w:tc>
        <w:tc>
          <w:tcPr>
            <w:tcW w:w="606" w:type="pct"/>
            <w:shd w:val="clear" w:color="auto" w:fill="FFFFFF"/>
          </w:tcPr>
          <w:p w14:paraId="394BA1BD" w14:textId="17027EA5" w:rsidR="002C605E" w:rsidRPr="00571CB3" w:rsidRDefault="002C605E" w:rsidP="002C605E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6.204</w:t>
            </w:r>
          </w:p>
        </w:tc>
        <w:tc>
          <w:tcPr>
            <w:tcW w:w="607" w:type="pct"/>
            <w:shd w:val="clear" w:color="auto" w:fill="FFFFFF"/>
          </w:tcPr>
          <w:p w14:paraId="25889951" w14:textId="55C150CA" w:rsidR="002C605E" w:rsidRPr="00571CB3" w:rsidRDefault="002C605E" w:rsidP="002C605E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7.303</w:t>
            </w:r>
          </w:p>
        </w:tc>
      </w:tr>
      <w:tr w:rsidR="002C605E" w:rsidRPr="00571CB3" w14:paraId="5A931E6F" w14:textId="77777777" w:rsidTr="004B6414">
        <w:tc>
          <w:tcPr>
            <w:tcW w:w="1363" w:type="pct"/>
            <w:shd w:val="clear" w:color="auto" w:fill="FFFFFF"/>
          </w:tcPr>
          <w:p w14:paraId="6958F42A" w14:textId="74452ED8" w:rsidR="002C605E" w:rsidRPr="00571CB3" w:rsidRDefault="002C605E" w:rsidP="002C605E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Water</w:t>
            </w:r>
          </w:p>
        </w:tc>
        <w:tc>
          <w:tcPr>
            <w:tcW w:w="606" w:type="pct"/>
            <w:shd w:val="clear" w:color="auto" w:fill="FFFFFF"/>
          </w:tcPr>
          <w:p w14:paraId="149BD9E2" w14:textId="653B6AB9" w:rsidR="002C605E" w:rsidRPr="00571CB3" w:rsidRDefault="002C605E" w:rsidP="002C605E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169.90</w:t>
            </w:r>
          </w:p>
        </w:tc>
        <w:tc>
          <w:tcPr>
            <w:tcW w:w="606" w:type="pct"/>
            <w:shd w:val="clear" w:color="auto" w:fill="FFFFFF"/>
          </w:tcPr>
          <w:p w14:paraId="3A0278C9" w14:textId="337A3438" w:rsidR="002C605E" w:rsidRPr="00571CB3" w:rsidRDefault="002C605E" w:rsidP="002C605E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214.90</w:t>
            </w:r>
          </w:p>
        </w:tc>
        <w:tc>
          <w:tcPr>
            <w:tcW w:w="607" w:type="pct"/>
            <w:shd w:val="clear" w:color="auto" w:fill="FFFFFF"/>
          </w:tcPr>
          <w:p w14:paraId="0BE08E04" w14:textId="7232093B" w:rsidR="002C605E" w:rsidRPr="00571CB3" w:rsidRDefault="002C605E" w:rsidP="002C605E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235.20</w:t>
            </w:r>
          </w:p>
        </w:tc>
        <w:tc>
          <w:tcPr>
            <w:tcW w:w="606" w:type="pct"/>
            <w:shd w:val="clear" w:color="auto" w:fill="FFFFFF"/>
          </w:tcPr>
          <w:p w14:paraId="40B4DE82" w14:textId="049901D1" w:rsidR="002C605E" w:rsidRPr="00571CB3" w:rsidRDefault="002C605E" w:rsidP="002C605E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235.00</w:t>
            </w:r>
          </w:p>
        </w:tc>
        <w:tc>
          <w:tcPr>
            <w:tcW w:w="606" w:type="pct"/>
            <w:shd w:val="clear" w:color="auto" w:fill="FFFFFF"/>
          </w:tcPr>
          <w:p w14:paraId="75C8FDC3" w14:textId="7CE75942" w:rsidR="002C605E" w:rsidRPr="00571CB3" w:rsidRDefault="002C605E" w:rsidP="002C605E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255.10</w:t>
            </w:r>
          </w:p>
        </w:tc>
        <w:tc>
          <w:tcPr>
            <w:tcW w:w="607" w:type="pct"/>
            <w:shd w:val="clear" w:color="auto" w:fill="FFFFFF"/>
          </w:tcPr>
          <w:p w14:paraId="3ABC0831" w14:textId="52582ADE" w:rsidR="002C605E" w:rsidRPr="00571CB3" w:rsidRDefault="002C605E" w:rsidP="002C605E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302.70</w:t>
            </w:r>
          </w:p>
        </w:tc>
      </w:tr>
      <w:tr w:rsidR="002C605E" w:rsidRPr="00571CB3" w14:paraId="4D51E711" w14:textId="77777777" w:rsidTr="004B6414">
        <w:tc>
          <w:tcPr>
            <w:tcW w:w="1363" w:type="pct"/>
            <w:shd w:val="clear" w:color="auto" w:fill="FFFFFF"/>
          </w:tcPr>
          <w:p w14:paraId="51CF8F7F" w14:textId="078F4D73" w:rsidR="002C605E" w:rsidRPr="00571CB3" w:rsidRDefault="002C605E" w:rsidP="002C605E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Ethanol</w:t>
            </w:r>
          </w:p>
        </w:tc>
        <w:tc>
          <w:tcPr>
            <w:tcW w:w="606" w:type="pct"/>
            <w:shd w:val="clear" w:color="auto" w:fill="FFFFFF"/>
          </w:tcPr>
          <w:p w14:paraId="22C0DDF8" w14:textId="1B716416" w:rsidR="002C605E" w:rsidRPr="00571CB3" w:rsidRDefault="002C605E" w:rsidP="002C605E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31.55</w:t>
            </w:r>
          </w:p>
        </w:tc>
        <w:tc>
          <w:tcPr>
            <w:tcW w:w="606" w:type="pct"/>
            <w:shd w:val="clear" w:color="auto" w:fill="FFFFFF"/>
          </w:tcPr>
          <w:p w14:paraId="5C103CF9" w14:textId="681966DF" w:rsidR="002C605E" w:rsidRPr="00571CB3" w:rsidRDefault="002C605E" w:rsidP="002C605E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40.56</w:t>
            </w:r>
          </w:p>
        </w:tc>
        <w:tc>
          <w:tcPr>
            <w:tcW w:w="607" w:type="pct"/>
            <w:shd w:val="clear" w:color="auto" w:fill="FFFFFF"/>
          </w:tcPr>
          <w:p w14:paraId="75FFFA0A" w14:textId="318C72C5" w:rsidR="002C605E" w:rsidRPr="00571CB3" w:rsidRDefault="002C605E" w:rsidP="002C605E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44.32</w:t>
            </w:r>
          </w:p>
        </w:tc>
        <w:tc>
          <w:tcPr>
            <w:tcW w:w="606" w:type="pct"/>
            <w:shd w:val="clear" w:color="auto" w:fill="FFFFFF"/>
          </w:tcPr>
          <w:p w14:paraId="78284CD0" w14:textId="741BCFC5" w:rsidR="002C605E" w:rsidRPr="00571CB3" w:rsidRDefault="002C605E" w:rsidP="002C605E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44.32</w:t>
            </w:r>
          </w:p>
        </w:tc>
        <w:tc>
          <w:tcPr>
            <w:tcW w:w="606" w:type="pct"/>
            <w:shd w:val="clear" w:color="auto" w:fill="FFFFFF"/>
          </w:tcPr>
          <w:p w14:paraId="3D17B914" w14:textId="69FEC175" w:rsidR="002C605E" w:rsidRPr="00571CB3" w:rsidRDefault="002C605E" w:rsidP="002C605E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48.09</w:t>
            </w:r>
          </w:p>
        </w:tc>
        <w:tc>
          <w:tcPr>
            <w:tcW w:w="607" w:type="pct"/>
            <w:shd w:val="clear" w:color="auto" w:fill="FFFFFF"/>
          </w:tcPr>
          <w:p w14:paraId="5224154C" w14:textId="6D50A04F" w:rsidR="002C605E" w:rsidRPr="00571CB3" w:rsidRDefault="002C605E" w:rsidP="002C605E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57.28</w:t>
            </w:r>
          </w:p>
        </w:tc>
      </w:tr>
      <w:tr w:rsidR="00A71FA9" w:rsidRPr="00571CB3" w14:paraId="399291F5" w14:textId="77777777" w:rsidTr="004B6414">
        <w:tc>
          <w:tcPr>
            <w:tcW w:w="1363" w:type="pct"/>
            <w:shd w:val="clear" w:color="auto" w:fill="FFFFFF"/>
          </w:tcPr>
          <w:p w14:paraId="0B739335" w14:textId="4922EBBD" w:rsidR="00A71FA9" w:rsidRPr="00571CB3" w:rsidRDefault="00A71FA9" w:rsidP="00A71FA9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 xml:space="preserve">Acetic </w:t>
            </w:r>
            <w:r w:rsidR="009F0F7A" w:rsidRPr="00571CB3">
              <w:rPr>
                <w:lang w:val="en-GB"/>
              </w:rPr>
              <w:t>a</w:t>
            </w:r>
            <w:r w:rsidRPr="00571CB3">
              <w:rPr>
                <w:lang w:val="en-GB"/>
              </w:rPr>
              <w:t>cid</w:t>
            </w:r>
          </w:p>
        </w:tc>
        <w:tc>
          <w:tcPr>
            <w:tcW w:w="606" w:type="pct"/>
            <w:shd w:val="clear" w:color="auto" w:fill="FFFFFF"/>
          </w:tcPr>
          <w:p w14:paraId="6BE2FE64" w14:textId="044EC93E" w:rsidR="00A71FA9" w:rsidRPr="00571CB3" w:rsidRDefault="00A71FA9" w:rsidP="00A71FA9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4.897</w:t>
            </w:r>
          </w:p>
        </w:tc>
        <w:tc>
          <w:tcPr>
            <w:tcW w:w="606" w:type="pct"/>
            <w:shd w:val="clear" w:color="auto" w:fill="FFFFFF"/>
          </w:tcPr>
          <w:p w14:paraId="7E462D9F" w14:textId="5D8B06F8" w:rsidR="00A71FA9" w:rsidRPr="00571CB3" w:rsidRDefault="00A71FA9" w:rsidP="00A71FA9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6.267</w:t>
            </w:r>
          </w:p>
        </w:tc>
        <w:tc>
          <w:tcPr>
            <w:tcW w:w="607" w:type="pct"/>
            <w:shd w:val="clear" w:color="auto" w:fill="FFFFFF"/>
          </w:tcPr>
          <w:p w14:paraId="65513128" w14:textId="399741D1" w:rsidR="00A71FA9" w:rsidRPr="00571CB3" w:rsidRDefault="00A71FA9" w:rsidP="00A71FA9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6.839</w:t>
            </w:r>
          </w:p>
        </w:tc>
        <w:tc>
          <w:tcPr>
            <w:tcW w:w="606" w:type="pct"/>
            <w:shd w:val="clear" w:color="auto" w:fill="FFFFFF"/>
          </w:tcPr>
          <w:p w14:paraId="76D7CA3B" w14:textId="7AC4D413" w:rsidR="00A71FA9" w:rsidRPr="00571CB3" w:rsidRDefault="00A71FA9" w:rsidP="00A71FA9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6.851</w:t>
            </w:r>
          </w:p>
        </w:tc>
        <w:tc>
          <w:tcPr>
            <w:tcW w:w="606" w:type="pct"/>
            <w:shd w:val="clear" w:color="auto" w:fill="FFFFFF"/>
          </w:tcPr>
          <w:p w14:paraId="4F763F8E" w14:textId="6C08E558" w:rsidR="00A71FA9" w:rsidRPr="00571CB3" w:rsidRDefault="00A71FA9" w:rsidP="00A71FA9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7.424</w:t>
            </w:r>
          </w:p>
        </w:tc>
        <w:tc>
          <w:tcPr>
            <w:tcW w:w="607" w:type="pct"/>
            <w:shd w:val="clear" w:color="auto" w:fill="FFFFFF"/>
          </w:tcPr>
          <w:p w14:paraId="067109D3" w14:textId="2C535855" w:rsidR="00A71FA9" w:rsidRPr="00571CB3" w:rsidRDefault="00A71FA9" w:rsidP="00A71FA9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8.782</w:t>
            </w:r>
          </w:p>
        </w:tc>
      </w:tr>
      <w:tr w:rsidR="00A71FA9" w:rsidRPr="00571CB3" w14:paraId="348E6FD3" w14:textId="77777777" w:rsidTr="004B6414">
        <w:tc>
          <w:tcPr>
            <w:tcW w:w="1363" w:type="pct"/>
            <w:shd w:val="clear" w:color="auto" w:fill="FFFFFF"/>
          </w:tcPr>
          <w:p w14:paraId="577EF313" w14:textId="147075FF" w:rsidR="00A71FA9" w:rsidRPr="00571CB3" w:rsidRDefault="00A71FA9" w:rsidP="00A71FA9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 xml:space="preserve">Beneze </w:t>
            </w:r>
            <w:proofErr w:type="spellStart"/>
            <w:r w:rsidRPr="00571CB3">
              <w:rPr>
                <w:lang w:val="en-GB"/>
              </w:rPr>
              <w:t>diboronic</w:t>
            </w:r>
            <w:proofErr w:type="spellEnd"/>
            <w:r w:rsidRPr="00571CB3">
              <w:rPr>
                <w:lang w:val="en-GB"/>
              </w:rPr>
              <w:t xml:space="preserve"> acid</w:t>
            </w:r>
          </w:p>
        </w:tc>
        <w:tc>
          <w:tcPr>
            <w:tcW w:w="606" w:type="pct"/>
            <w:shd w:val="clear" w:color="auto" w:fill="FFFFFF"/>
          </w:tcPr>
          <w:p w14:paraId="3C40037C" w14:textId="396B6532" w:rsidR="00A71FA9" w:rsidRPr="00571CB3" w:rsidRDefault="00A71FA9" w:rsidP="00A71FA9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0.065</w:t>
            </w:r>
          </w:p>
        </w:tc>
        <w:tc>
          <w:tcPr>
            <w:tcW w:w="606" w:type="pct"/>
            <w:shd w:val="clear" w:color="auto" w:fill="FFFFFF"/>
          </w:tcPr>
          <w:p w14:paraId="7ED26EE1" w14:textId="6815F36C" w:rsidR="00A71FA9" w:rsidRPr="00571CB3" w:rsidRDefault="00A71FA9" w:rsidP="00A71FA9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0.082</w:t>
            </w:r>
          </w:p>
        </w:tc>
        <w:tc>
          <w:tcPr>
            <w:tcW w:w="607" w:type="pct"/>
            <w:shd w:val="clear" w:color="auto" w:fill="FFFFFF"/>
          </w:tcPr>
          <w:p w14:paraId="69F4AED6" w14:textId="2D286248" w:rsidR="00A71FA9" w:rsidRPr="00571CB3" w:rsidRDefault="00A71FA9" w:rsidP="00A71FA9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0.090</w:t>
            </w:r>
          </w:p>
        </w:tc>
        <w:tc>
          <w:tcPr>
            <w:tcW w:w="606" w:type="pct"/>
            <w:shd w:val="clear" w:color="auto" w:fill="FFFFFF"/>
          </w:tcPr>
          <w:p w14:paraId="6AE446BE" w14:textId="014F3B27" w:rsidR="00A71FA9" w:rsidRPr="00571CB3" w:rsidRDefault="00A71FA9" w:rsidP="00A71FA9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0.090</w:t>
            </w:r>
          </w:p>
        </w:tc>
        <w:tc>
          <w:tcPr>
            <w:tcW w:w="606" w:type="pct"/>
            <w:shd w:val="clear" w:color="auto" w:fill="FFFFFF"/>
          </w:tcPr>
          <w:p w14:paraId="527AE2A8" w14:textId="579CF639" w:rsidR="00A71FA9" w:rsidRPr="00571CB3" w:rsidRDefault="00A71FA9" w:rsidP="00A71FA9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0.098</w:t>
            </w:r>
          </w:p>
        </w:tc>
        <w:tc>
          <w:tcPr>
            <w:tcW w:w="607" w:type="pct"/>
            <w:shd w:val="clear" w:color="auto" w:fill="FFFFFF"/>
          </w:tcPr>
          <w:p w14:paraId="4F5615C8" w14:textId="3B9EC53F" w:rsidR="00A71FA9" w:rsidRPr="00571CB3" w:rsidRDefault="00A71FA9" w:rsidP="00A71FA9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0.116</w:t>
            </w:r>
          </w:p>
        </w:tc>
      </w:tr>
      <w:tr w:rsidR="00A71FA9" w:rsidRPr="00571CB3" w14:paraId="60D0B3E3" w14:textId="77777777" w:rsidTr="004B6414">
        <w:tc>
          <w:tcPr>
            <w:tcW w:w="1363" w:type="pct"/>
            <w:shd w:val="clear" w:color="auto" w:fill="FFFFFF"/>
          </w:tcPr>
          <w:p w14:paraId="495999D7" w14:textId="5501CD57" w:rsidR="00A71FA9" w:rsidRPr="00571CB3" w:rsidRDefault="00A71FA9" w:rsidP="00A71FA9">
            <w:pPr>
              <w:pStyle w:val="CETBodytext"/>
              <w:jc w:val="left"/>
              <w:rPr>
                <w:lang w:val="en-GB"/>
              </w:rPr>
            </w:pPr>
            <w:proofErr w:type="spellStart"/>
            <w:r w:rsidRPr="00571CB3">
              <w:rPr>
                <w:lang w:val="en-GB"/>
              </w:rPr>
              <w:t>Thioglycerol</w:t>
            </w:r>
            <w:proofErr w:type="spellEnd"/>
          </w:p>
        </w:tc>
        <w:tc>
          <w:tcPr>
            <w:tcW w:w="606" w:type="pct"/>
            <w:shd w:val="clear" w:color="auto" w:fill="FFFFFF"/>
          </w:tcPr>
          <w:p w14:paraId="0D6FA1A9" w14:textId="412F5913" w:rsidR="00A71FA9" w:rsidRPr="00571CB3" w:rsidRDefault="00A71FA9" w:rsidP="00A71FA9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0.085</w:t>
            </w:r>
          </w:p>
        </w:tc>
        <w:tc>
          <w:tcPr>
            <w:tcW w:w="606" w:type="pct"/>
            <w:shd w:val="clear" w:color="auto" w:fill="FFFFFF"/>
          </w:tcPr>
          <w:p w14:paraId="0E998EBD" w14:textId="5078F8E8" w:rsidR="00A71FA9" w:rsidRPr="00571CB3" w:rsidRDefault="00A71FA9" w:rsidP="00A71FA9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0.110</w:t>
            </w:r>
          </w:p>
        </w:tc>
        <w:tc>
          <w:tcPr>
            <w:tcW w:w="607" w:type="pct"/>
            <w:shd w:val="clear" w:color="auto" w:fill="FFFFFF"/>
          </w:tcPr>
          <w:p w14:paraId="3405A0EF" w14:textId="4BF1AF4D" w:rsidR="00A71FA9" w:rsidRPr="00571CB3" w:rsidRDefault="00A71FA9" w:rsidP="00A71FA9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0.120</w:t>
            </w:r>
          </w:p>
        </w:tc>
        <w:tc>
          <w:tcPr>
            <w:tcW w:w="606" w:type="pct"/>
            <w:shd w:val="clear" w:color="auto" w:fill="FFFFFF"/>
          </w:tcPr>
          <w:p w14:paraId="56FBB41C" w14:textId="11DF00B5" w:rsidR="00A71FA9" w:rsidRPr="00571CB3" w:rsidRDefault="00A71FA9" w:rsidP="00A71FA9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0.120</w:t>
            </w:r>
          </w:p>
        </w:tc>
        <w:tc>
          <w:tcPr>
            <w:tcW w:w="606" w:type="pct"/>
            <w:shd w:val="clear" w:color="auto" w:fill="FFFFFF"/>
          </w:tcPr>
          <w:p w14:paraId="1139745C" w14:textId="332ACA2A" w:rsidR="00A71FA9" w:rsidRPr="00571CB3" w:rsidRDefault="00A71FA9" w:rsidP="00A71FA9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0.130</w:t>
            </w:r>
          </w:p>
        </w:tc>
        <w:tc>
          <w:tcPr>
            <w:tcW w:w="607" w:type="pct"/>
            <w:shd w:val="clear" w:color="auto" w:fill="FFFFFF"/>
          </w:tcPr>
          <w:p w14:paraId="6431AD42" w14:textId="0B9A7FC2" w:rsidR="00A71FA9" w:rsidRPr="00571CB3" w:rsidRDefault="00A71FA9" w:rsidP="00A71FA9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0.155</w:t>
            </w:r>
          </w:p>
        </w:tc>
      </w:tr>
      <w:tr w:rsidR="00A71FA9" w:rsidRPr="00571CB3" w14:paraId="3FE7234B" w14:textId="77777777" w:rsidTr="004B6414">
        <w:tc>
          <w:tcPr>
            <w:tcW w:w="1363" w:type="pct"/>
            <w:tcBorders>
              <w:bottom w:val="single" w:sz="4" w:space="0" w:color="00B050"/>
            </w:tcBorders>
            <w:shd w:val="clear" w:color="auto" w:fill="FFFFFF"/>
          </w:tcPr>
          <w:p w14:paraId="3500ADE1" w14:textId="4123E86E" w:rsidR="00A71FA9" w:rsidRPr="00571CB3" w:rsidRDefault="00A71FA9" w:rsidP="00A71FA9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Epoxidized soybean oil</w:t>
            </w:r>
          </w:p>
        </w:tc>
        <w:tc>
          <w:tcPr>
            <w:tcW w:w="606" w:type="pct"/>
            <w:tcBorders>
              <w:bottom w:val="single" w:sz="4" w:space="0" w:color="00B050"/>
            </w:tcBorders>
            <w:shd w:val="clear" w:color="auto" w:fill="FFFFFF"/>
          </w:tcPr>
          <w:p w14:paraId="761B5A8B" w14:textId="19988B38" w:rsidR="00A71FA9" w:rsidRPr="00571CB3" w:rsidRDefault="00A71FA9" w:rsidP="00A71FA9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0.364</w:t>
            </w:r>
          </w:p>
        </w:tc>
        <w:tc>
          <w:tcPr>
            <w:tcW w:w="606" w:type="pct"/>
            <w:tcBorders>
              <w:bottom w:val="single" w:sz="4" w:space="0" w:color="00B050"/>
            </w:tcBorders>
            <w:shd w:val="clear" w:color="auto" w:fill="FFFFFF"/>
          </w:tcPr>
          <w:p w14:paraId="126D741F" w14:textId="0C21B339" w:rsidR="00A71FA9" w:rsidRPr="00571CB3" w:rsidRDefault="00A71FA9" w:rsidP="00A71FA9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0.467</w:t>
            </w:r>
          </w:p>
        </w:tc>
        <w:tc>
          <w:tcPr>
            <w:tcW w:w="607" w:type="pct"/>
            <w:tcBorders>
              <w:bottom w:val="single" w:sz="4" w:space="0" w:color="00B050"/>
            </w:tcBorders>
            <w:shd w:val="clear" w:color="auto" w:fill="FFFFFF"/>
          </w:tcPr>
          <w:p w14:paraId="0C0C72DA" w14:textId="03E536F3" w:rsidR="00A71FA9" w:rsidRPr="00571CB3" w:rsidRDefault="00A71FA9" w:rsidP="00A71FA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0.509</w:t>
            </w:r>
          </w:p>
        </w:tc>
        <w:tc>
          <w:tcPr>
            <w:tcW w:w="606" w:type="pct"/>
            <w:tcBorders>
              <w:bottom w:val="single" w:sz="4" w:space="0" w:color="00B050"/>
            </w:tcBorders>
            <w:shd w:val="clear" w:color="auto" w:fill="FFFFFF"/>
          </w:tcPr>
          <w:p w14:paraId="549EC167" w14:textId="0B79C652" w:rsidR="00A71FA9" w:rsidRPr="00571CB3" w:rsidRDefault="00A71FA9" w:rsidP="00A71FA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0.509</w:t>
            </w:r>
          </w:p>
        </w:tc>
        <w:tc>
          <w:tcPr>
            <w:tcW w:w="606" w:type="pct"/>
            <w:tcBorders>
              <w:bottom w:val="single" w:sz="4" w:space="0" w:color="00B050"/>
            </w:tcBorders>
            <w:shd w:val="clear" w:color="auto" w:fill="FFFFFF"/>
          </w:tcPr>
          <w:p w14:paraId="696E6CB3" w14:textId="59B9FA8D" w:rsidR="00A71FA9" w:rsidRPr="00571CB3" w:rsidRDefault="00A71FA9" w:rsidP="00A71FA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0.552</w:t>
            </w:r>
          </w:p>
        </w:tc>
        <w:tc>
          <w:tcPr>
            <w:tcW w:w="607" w:type="pct"/>
            <w:tcBorders>
              <w:bottom w:val="single" w:sz="4" w:space="0" w:color="00B050"/>
            </w:tcBorders>
            <w:shd w:val="clear" w:color="auto" w:fill="FFFFFF"/>
          </w:tcPr>
          <w:p w14:paraId="4C4CF887" w14:textId="4ECDC6FE" w:rsidR="00A71FA9" w:rsidRPr="00571CB3" w:rsidRDefault="00A71FA9" w:rsidP="00A71FA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0.657</w:t>
            </w:r>
          </w:p>
        </w:tc>
      </w:tr>
      <w:tr w:rsidR="00E24122" w:rsidRPr="00571CB3" w14:paraId="0CDFB6A9" w14:textId="77777777" w:rsidTr="004B6414">
        <w:tc>
          <w:tcPr>
            <w:tcW w:w="1363" w:type="pct"/>
            <w:tcBorders>
              <w:top w:val="single" w:sz="4" w:space="0" w:color="00B050"/>
            </w:tcBorders>
            <w:shd w:val="clear" w:color="auto" w:fill="FFFFFF"/>
          </w:tcPr>
          <w:p w14:paraId="40411D1D" w14:textId="27DF032B" w:rsidR="00E24122" w:rsidRPr="00571CB3" w:rsidRDefault="00E24122" w:rsidP="00E24122">
            <w:pPr>
              <w:pStyle w:val="CETBodytext"/>
              <w:jc w:val="left"/>
              <w:rPr>
                <w:i/>
                <w:iCs/>
                <w:lang w:val="en-GB"/>
              </w:rPr>
            </w:pPr>
            <w:r w:rsidRPr="00571CB3">
              <w:rPr>
                <w:i/>
                <w:iCs/>
                <w:lang w:val="en-GB"/>
              </w:rPr>
              <w:t>Input prices</w:t>
            </w:r>
          </w:p>
        </w:tc>
        <w:tc>
          <w:tcPr>
            <w:tcW w:w="606" w:type="pct"/>
            <w:tcBorders>
              <w:top w:val="single" w:sz="4" w:space="0" w:color="00B050"/>
            </w:tcBorders>
            <w:shd w:val="clear" w:color="auto" w:fill="FFFFFF"/>
          </w:tcPr>
          <w:p w14:paraId="1D06ACD7" w14:textId="77777777" w:rsidR="00E24122" w:rsidRPr="00571CB3" w:rsidRDefault="00E24122" w:rsidP="00E24122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6" w:type="pct"/>
            <w:tcBorders>
              <w:top w:val="single" w:sz="4" w:space="0" w:color="00B050"/>
            </w:tcBorders>
            <w:shd w:val="clear" w:color="auto" w:fill="FFFFFF"/>
          </w:tcPr>
          <w:p w14:paraId="24217CA3" w14:textId="77777777" w:rsidR="00E24122" w:rsidRPr="00571CB3" w:rsidRDefault="00E24122" w:rsidP="00E24122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7" w:type="pct"/>
            <w:tcBorders>
              <w:top w:val="single" w:sz="4" w:space="0" w:color="00B050"/>
            </w:tcBorders>
            <w:shd w:val="clear" w:color="auto" w:fill="FFFFFF"/>
          </w:tcPr>
          <w:p w14:paraId="33B74C76" w14:textId="77777777" w:rsidR="00E24122" w:rsidRPr="00571CB3" w:rsidRDefault="00E24122" w:rsidP="00E24122">
            <w:pPr>
              <w:pStyle w:val="CETBodytext"/>
              <w:ind w:right="-1"/>
              <w:jc w:val="center"/>
              <w:rPr>
                <w:lang w:val="en-GB"/>
              </w:rPr>
            </w:pPr>
          </w:p>
        </w:tc>
        <w:tc>
          <w:tcPr>
            <w:tcW w:w="606" w:type="pct"/>
            <w:tcBorders>
              <w:top w:val="single" w:sz="4" w:space="0" w:color="00B050"/>
            </w:tcBorders>
            <w:shd w:val="clear" w:color="auto" w:fill="FFFFFF"/>
          </w:tcPr>
          <w:p w14:paraId="19FD1D24" w14:textId="77777777" w:rsidR="00E24122" w:rsidRPr="00571CB3" w:rsidRDefault="00E24122" w:rsidP="00E24122">
            <w:pPr>
              <w:pStyle w:val="CETBodytext"/>
              <w:ind w:right="-1"/>
              <w:jc w:val="center"/>
              <w:rPr>
                <w:lang w:val="en-GB"/>
              </w:rPr>
            </w:pPr>
          </w:p>
        </w:tc>
        <w:tc>
          <w:tcPr>
            <w:tcW w:w="606" w:type="pct"/>
            <w:tcBorders>
              <w:top w:val="single" w:sz="4" w:space="0" w:color="00B050"/>
            </w:tcBorders>
            <w:shd w:val="clear" w:color="auto" w:fill="FFFFFF"/>
          </w:tcPr>
          <w:p w14:paraId="1E53B27D" w14:textId="77777777" w:rsidR="00E24122" w:rsidRPr="00571CB3" w:rsidRDefault="00E24122" w:rsidP="00E24122">
            <w:pPr>
              <w:pStyle w:val="CETBodytext"/>
              <w:ind w:right="-1"/>
              <w:jc w:val="center"/>
              <w:rPr>
                <w:lang w:val="en-GB"/>
              </w:rPr>
            </w:pPr>
          </w:p>
        </w:tc>
        <w:tc>
          <w:tcPr>
            <w:tcW w:w="607" w:type="pct"/>
            <w:tcBorders>
              <w:top w:val="single" w:sz="4" w:space="0" w:color="00B050"/>
            </w:tcBorders>
            <w:shd w:val="clear" w:color="auto" w:fill="FFFFFF"/>
          </w:tcPr>
          <w:p w14:paraId="0BF33909" w14:textId="77777777" w:rsidR="00E24122" w:rsidRPr="00571CB3" w:rsidRDefault="00E24122" w:rsidP="00E24122">
            <w:pPr>
              <w:pStyle w:val="CETBodytext"/>
              <w:ind w:right="-1"/>
              <w:jc w:val="center"/>
              <w:rPr>
                <w:lang w:val="en-GB"/>
              </w:rPr>
            </w:pPr>
          </w:p>
        </w:tc>
      </w:tr>
      <w:tr w:rsidR="00E24122" w:rsidRPr="00571CB3" w14:paraId="299B83C1" w14:textId="77777777" w:rsidTr="004B6414">
        <w:tc>
          <w:tcPr>
            <w:tcW w:w="1363" w:type="pct"/>
            <w:shd w:val="clear" w:color="auto" w:fill="FFFFFF"/>
          </w:tcPr>
          <w:p w14:paraId="557E30E0" w14:textId="31894C22" w:rsidR="00E24122" w:rsidRPr="00571CB3" w:rsidRDefault="00E24122" w:rsidP="00E24122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Biomass</w:t>
            </w:r>
          </w:p>
        </w:tc>
        <w:tc>
          <w:tcPr>
            <w:tcW w:w="606" w:type="pct"/>
            <w:shd w:val="clear" w:color="auto" w:fill="FFFFFF"/>
          </w:tcPr>
          <w:p w14:paraId="6525EC39" w14:textId="7B3A8113" w:rsidR="00E24122" w:rsidRPr="00571CB3" w:rsidRDefault="00E24122" w:rsidP="00E24122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0.050</w:t>
            </w:r>
          </w:p>
        </w:tc>
        <w:tc>
          <w:tcPr>
            <w:tcW w:w="606" w:type="pct"/>
            <w:shd w:val="clear" w:color="auto" w:fill="FFFFFF"/>
          </w:tcPr>
          <w:p w14:paraId="7AE4214B" w14:textId="0E76B61C" w:rsidR="00E24122" w:rsidRPr="00571CB3" w:rsidRDefault="00E24122" w:rsidP="00E24122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0.064</w:t>
            </w:r>
          </w:p>
        </w:tc>
        <w:tc>
          <w:tcPr>
            <w:tcW w:w="607" w:type="pct"/>
            <w:shd w:val="clear" w:color="auto" w:fill="FFFFFF"/>
          </w:tcPr>
          <w:p w14:paraId="1CDE2B3E" w14:textId="7B34FB8D" w:rsidR="00E24122" w:rsidRPr="00571CB3" w:rsidRDefault="00E24122" w:rsidP="00E24122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0.070</w:t>
            </w:r>
          </w:p>
        </w:tc>
        <w:tc>
          <w:tcPr>
            <w:tcW w:w="606" w:type="pct"/>
            <w:shd w:val="clear" w:color="auto" w:fill="FFFFFF"/>
          </w:tcPr>
          <w:p w14:paraId="122D99B5" w14:textId="3AA356F2" w:rsidR="00E24122" w:rsidRPr="00571CB3" w:rsidRDefault="00E24122" w:rsidP="00E24122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0.070</w:t>
            </w:r>
          </w:p>
        </w:tc>
        <w:tc>
          <w:tcPr>
            <w:tcW w:w="606" w:type="pct"/>
            <w:shd w:val="clear" w:color="auto" w:fill="FFFFFF"/>
          </w:tcPr>
          <w:p w14:paraId="7A6E605C" w14:textId="274B4C2B" w:rsidR="00E24122" w:rsidRPr="00571CB3" w:rsidRDefault="00E24122" w:rsidP="00E24122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0.076</w:t>
            </w:r>
          </w:p>
        </w:tc>
        <w:tc>
          <w:tcPr>
            <w:tcW w:w="607" w:type="pct"/>
            <w:shd w:val="clear" w:color="auto" w:fill="FFFFFF"/>
          </w:tcPr>
          <w:p w14:paraId="77739EAE" w14:textId="0EB5E7B0" w:rsidR="00E24122" w:rsidRPr="00571CB3" w:rsidRDefault="00E24122" w:rsidP="00E24122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0.090</w:t>
            </w:r>
          </w:p>
        </w:tc>
      </w:tr>
      <w:tr w:rsidR="00E24122" w:rsidRPr="00571CB3" w14:paraId="1B9D8A00" w14:textId="77777777" w:rsidTr="004B6414">
        <w:tc>
          <w:tcPr>
            <w:tcW w:w="1363" w:type="pct"/>
            <w:shd w:val="clear" w:color="auto" w:fill="FFFFFF"/>
          </w:tcPr>
          <w:p w14:paraId="3F40B995" w14:textId="73860B26" w:rsidR="00E24122" w:rsidRPr="00571CB3" w:rsidRDefault="00E24122" w:rsidP="00E24122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Water</w:t>
            </w:r>
          </w:p>
        </w:tc>
        <w:tc>
          <w:tcPr>
            <w:tcW w:w="606" w:type="pct"/>
            <w:shd w:val="clear" w:color="auto" w:fill="FFFFFF"/>
          </w:tcPr>
          <w:p w14:paraId="311C4F57" w14:textId="7866A431" w:rsidR="00E24122" w:rsidRPr="00571CB3" w:rsidRDefault="00E24122" w:rsidP="00E24122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0.003</w:t>
            </w:r>
          </w:p>
        </w:tc>
        <w:tc>
          <w:tcPr>
            <w:tcW w:w="606" w:type="pct"/>
            <w:shd w:val="clear" w:color="auto" w:fill="FFFFFF"/>
          </w:tcPr>
          <w:p w14:paraId="261C77A7" w14:textId="14B5E184" w:rsidR="00E24122" w:rsidRPr="00571CB3" w:rsidRDefault="00E24122" w:rsidP="00E24122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0.004</w:t>
            </w:r>
          </w:p>
        </w:tc>
        <w:tc>
          <w:tcPr>
            <w:tcW w:w="607" w:type="pct"/>
            <w:shd w:val="clear" w:color="auto" w:fill="FFFFFF"/>
          </w:tcPr>
          <w:p w14:paraId="2D26FA3E" w14:textId="20994638" w:rsidR="00E24122" w:rsidRPr="00571CB3" w:rsidRDefault="00E24122" w:rsidP="00E24122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0.004</w:t>
            </w:r>
          </w:p>
        </w:tc>
        <w:tc>
          <w:tcPr>
            <w:tcW w:w="606" w:type="pct"/>
            <w:shd w:val="clear" w:color="auto" w:fill="FFFFFF"/>
          </w:tcPr>
          <w:p w14:paraId="4B5AD552" w14:textId="33278DD7" w:rsidR="00E24122" w:rsidRPr="00571CB3" w:rsidRDefault="00E24122" w:rsidP="00E24122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0.004</w:t>
            </w:r>
          </w:p>
        </w:tc>
        <w:tc>
          <w:tcPr>
            <w:tcW w:w="606" w:type="pct"/>
            <w:shd w:val="clear" w:color="auto" w:fill="FFFFFF"/>
          </w:tcPr>
          <w:p w14:paraId="76B6787D" w14:textId="0F792D20" w:rsidR="00E24122" w:rsidRPr="00571CB3" w:rsidRDefault="00E24122" w:rsidP="00E24122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0.004</w:t>
            </w:r>
          </w:p>
        </w:tc>
        <w:tc>
          <w:tcPr>
            <w:tcW w:w="607" w:type="pct"/>
            <w:shd w:val="clear" w:color="auto" w:fill="FFFFFF"/>
          </w:tcPr>
          <w:p w14:paraId="51393B1C" w14:textId="36C4EB0F" w:rsidR="00E24122" w:rsidRPr="00571CB3" w:rsidRDefault="00E24122" w:rsidP="00E24122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0.005</w:t>
            </w:r>
          </w:p>
        </w:tc>
      </w:tr>
      <w:tr w:rsidR="00E24122" w:rsidRPr="00571CB3" w14:paraId="7E24F861" w14:textId="77777777" w:rsidTr="004B6414">
        <w:tc>
          <w:tcPr>
            <w:tcW w:w="1363" w:type="pct"/>
            <w:shd w:val="clear" w:color="auto" w:fill="FFFFFF"/>
          </w:tcPr>
          <w:p w14:paraId="26384567" w14:textId="5281844D" w:rsidR="00E24122" w:rsidRPr="00571CB3" w:rsidRDefault="00E24122" w:rsidP="00E24122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Et</w:t>
            </w:r>
            <w:r w:rsidR="009F0F7A" w:rsidRPr="00571CB3">
              <w:rPr>
                <w:lang w:val="en-GB"/>
              </w:rPr>
              <w:t>h</w:t>
            </w:r>
            <w:r w:rsidRPr="00571CB3">
              <w:rPr>
                <w:lang w:val="en-GB"/>
              </w:rPr>
              <w:t>anol</w:t>
            </w:r>
          </w:p>
        </w:tc>
        <w:tc>
          <w:tcPr>
            <w:tcW w:w="606" w:type="pct"/>
            <w:shd w:val="clear" w:color="auto" w:fill="FFFFFF"/>
          </w:tcPr>
          <w:p w14:paraId="57CB5A1B" w14:textId="62EA11A0" w:rsidR="00E24122" w:rsidRPr="00571CB3" w:rsidRDefault="00E24122" w:rsidP="00E24122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0.756</w:t>
            </w:r>
          </w:p>
        </w:tc>
        <w:tc>
          <w:tcPr>
            <w:tcW w:w="606" w:type="pct"/>
            <w:shd w:val="clear" w:color="auto" w:fill="FFFFFF"/>
          </w:tcPr>
          <w:p w14:paraId="2F4CA7E9" w14:textId="48B30768" w:rsidR="00E24122" w:rsidRPr="00571CB3" w:rsidRDefault="00E24122" w:rsidP="00E24122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0.976</w:t>
            </w:r>
          </w:p>
        </w:tc>
        <w:tc>
          <w:tcPr>
            <w:tcW w:w="607" w:type="pct"/>
            <w:shd w:val="clear" w:color="auto" w:fill="FFFFFF"/>
          </w:tcPr>
          <w:p w14:paraId="2AD250EA" w14:textId="17300A48" w:rsidR="00E24122" w:rsidRPr="00571CB3" w:rsidRDefault="00E24122" w:rsidP="00E24122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1.064</w:t>
            </w:r>
          </w:p>
        </w:tc>
        <w:tc>
          <w:tcPr>
            <w:tcW w:w="606" w:type="pct"/>
            <w:shd w:val="clear" w:color="auto" w:fill="FFFFFF"/>
          </w:tcPr>
          <w:p w14:paraId="6176EE7B" w14:textId="29073C68" w:rsidR="00E24122" w:rsidRPr="00571CB3" w:rsidRDefault="00E24122" w:rsidP="00E24122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1.064</w:t>
            </w:r>
          </w:p>
        </w:tc>
        <w:tc>
          <w:tcPr>
            <w:tcW w:w="606" w:type="pct"/>
            <w:shd w:val="clear" w:color="auto" w:fill="FFFFFF"/>
          </w:tcPr>
          <w:p w14:paraId="2AA7DDD8" w14:textId="15A529DD" w:rsidR="00E24122" w:rsidRPr="00571CB3" w:rsidRDefault="00E24122" w:rsidP="00E24122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1.152</w:t>
            </w:r>
          </w:p>
        </w:tc>
        <w:tc>
          <w:tcPr>
            <w:tcW w:w="607" w:type="pct"/>
            <w:shd w:val="clear" w:color="auto" w:fill="FFFFFF"/>
          </w:tcPr>
          <w:p w14:paraId="04F6764C" w14:textId="7C43D315" w:rsidR="00E24122" w:rsidRPr="00571CB3" w:rsidRDefault="00E24122" w:rsidP="00E24122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1.369</w:t>
            </w:r>
          </w:p>
        </w:tc>
      </w:tr>
      <w:tr w:rsidR="00940F45" w:rsidRPr="00571CB3" w14:paraId="2A647380" w14:textId="77777777" w:rsidTr="004B6414">
        <w:tc>
          <w:tcPr>
            <w:tcW w:w="1363" w:type="pct"/>
            <w:shd w:val="clear" w:color="auto" w:fill="FFFFFF"/>
          </w:tcPr>
          <w:p w14:paraId="181FBDAD" w14:textId="5BBA8102" w:rsidR="00940F45" w:rsidRPr="00571CB3" w:rsidRDefault="00940F45" w:rsidP="00940F45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 xml:space="preserve">Acetic </w:t>
            </w:r>
            <w:r w:rsidR="009F0F7A" w:rsidRPr="00571CB3">
              <w:rPr>
                <w:lang w:val="en-GB"/>
              </w:rPr>
              <w:t>a</w:t>
            </w:r>
            <w:r w:rsidRPr="00571CB3">
              <w:rPr>
                <w:lang w:val="en-GB"/>
              </w:rPr>
              <w:t>cid</w:t>
            </w:r>
          </w:p>
        </w:tc>
        <w:tc>
          <w:tcPr>
            <w:tcW w:w="606" w:type="pct"/>
            <w:shd w:val="clear" w:color="auto" w:fill="FFFFFF"/>
          </w:tcPr>
          <w:p w14:paraId="14BC5218" w14:textId="4C1232D7" w:rsidR="00940F45" w:rsidRPr="00571CB3" w:rsidRDefault="00940F45" w:rsidP="00940F45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0.356</w:t>
            </w:r>
          </w:p>
        </w:tc>
        <w:tc>
          <w:tcPr>
            <w:tcW w:w="606" w:type="pct"/>
            <w:shd w:val="clear" w:color="auto" w:fill="FFFFFF"/>
          </w:tcPr>
          <w:p w14:paraId="17A617B2" w14:textId="71353BB8" w:rsidR="00940F45" w:rsidRPr="00571CB3" w:rsidRDefault="00940F45" w:rsidP="00940F45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0.457</w:t>
            </w:r>
          </w:p>
        </w:tc>
        <w:tc>
          <w:tcPr>
            <w:tcW w:w="607" w:type="pct"/>
            <w:shd w:val="clear" w:color="auto" w:fill="FFFFFF"/>
          </w:tcPr>
          <w:p w14:paraId="59E7CB40" w14:textId="2240E4FA" w:rsidR="00940F45" w:rsidRPr="00571CB3" w:rsidRDefault="00940F45" w:rsidP="00940F4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0.500</w:t>
            </w:r>
          </w:p>
        </w:tc>
        <w:tc>
          <w:tcPr>
            <w:tcW w:w="606" w:type="pct"/>
            <w:shd w:val="clear" w:color="auto" w:fill="FFFFFF"/>
          </w:tcPr>
          <w:p w14:paraId="2C6D29F2" w14:textId="2E9D0A49" w:rsidR="00940F45" w:rsidRPr="00571CB3" w:rsidRDefault="00940F45" w:rsidP="00940F4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0.500</w:t>
            </w:r>
          </w:p>
        </w:tc>
        <w:tc>
          <w:tcPr>
            <w:tcW w:w="606" w:type="pct"/>
            <w:shd w:val="clear" w:color="auto" w:fill="FFFFFF"/>
          </w:tcPr>
          <w:p w14:paraId="72EEFEA1" w14:textId="59A06696" w:rsidR="00940F45" w:rsidRPr="00571CB3" w:rsidRDefault="00940F45" w:rsidP="00940F4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0.542</w:t>
            </w:r>
          </w:p>
        </w:tc>
        <w:tc>
          <w:tcPr>
            <w:tcW w:w="607" w:type="pct"/>
            <w:shd w:val="clear" w:color="auto" w:fill="FFFFFF"/>
          </w:tcPr>
          <w:p w14:paraId="55AB5EE6" w14:textId="798C810C" w:rsidR="00940F45" w:rsidRPr="00571CB3" w:rsidRDefault="00940F45" w:rsidP="00940F4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0.648</w:t>
            </w:r>
          </w:p>
        </w:tc>
      </w:tr>
      <w:tr w:rsidR="00940F45" w:rsidRPr="00571CB3" w14:paraId="2A5F9996" w14:textId="77777777" w:rsidTr="004B6414">
        <w:tc>
          <w:tcPr>
            <w:tcW w:w="1363" w:type="pct"/>
            <w:shd w:val="clear" w:color="auto" w:fill="FFFFFF"/>
          </w:tcPr>
          <w:p w14:paraId="6D8C3746" w14:textId="5A47ABAE" w:rsidR="00940F45" w:rsidRPr="00571CB3" w:rsidRDefault="00940F45" w:rsidP="00940F45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 xml:space="preserve">Beneze </w:t>
            </w:r>
            <w:proofErr w:type="spellStart"/>
            <w:r w:rsidR="009F0F7A" w:rsidRPr="00571CB3">
              <w:rPr>
                <w:lang w:val="en-GB"/>
              </w:rPr>
              <w:t>d</w:t>
            </w:r>
            <w:r w:rsidRPr="00571CB3">
              <w:rPr>
                <w:lang w:val="en-GB"/>
              </w:rPr>
              <w:t>iboronic</w:t>
            </w:r>
            <w:proofErr w:type="spellEnd"/>
            <w:r w:rsidRPr="00571CB3">
              <w:rPr>
                <w:lang w:val="en-GB"/>
              </w:rPr>
              <w:t xml:space="preserve"> </w:t>
            </w:r>
            <w:r w:rsidR="009F0F7A" w:rsidRPr="00571CB3">
              <w:rPr>
                <w:lang w:val="en-GB"/>
              </w:rPr>
              <w:t>a</w:t>
            </w:r>
            <w:r w:rsidRPr="00571CB3">
              <w:rPr>
                <w:lang w:val="en-GB"/>
              </w:rPr>
              <w:t>cid</w:t>
            </w:r>
          </w:p>
        </w:tc>
        <w:tc>
          <w:tcPr>
            <w:tcW w:w="606" w:type="pct"/>
            <w:shd w:val="clear" w:color="auto" w:fill="FFFFFF"/>
          </w:tcPr>
          <w:p w14:paraId="37315B30" w14:textId="0CD719CA" w:rsidR="00940F45" w:rsidRPr="00571CB3" w:rsidRDefault="00940F45" w:rsidP="00940F45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4.959</w:t>
            </w:r>
          </w:p>
        </w:tc>
        <w:tc>
          <w:tcPr>
            <w:tcW w:w="606" w:type="pct"/>
            <w:shd w:val="clear" w:color="auto" w:fill="FFFFFF"/>
          </w:tcPr>
          <w:p w14:paraId="7B84037F" w14:textId="33050265" w:rsidR="00940F45" w:rsidRPr="00571CB3" w:rsidRDefault="00940F45" w:rsidP="00940F45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6.321</w:t>
            </w:r>
          </w:p>
        </w:tc>
        <w:tc>
          <w:tcPr>
            <w:tcW w:w="607" w:type="pct"/>
            <w:shd w:val="clear" w:color="auto" w:fill="FFFFFF"/>
          </w:tcPr>
          <w:p w14:paraId="12870EC8" w14:textId="6239B661" w:rsidR="00940F45" w:rsidRPr="00571CB3" w:rsidRDefault="00940F45" w:rsidP="00940F4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6.896</w:t>
            </w:r>
          </w:p>
        </w:tc>
        <w:tc>
          <w:tcPr>
            <w:tcW w:w="606" w:type="pct"/>
            <w:shd w:val="clear" w:color="auto" w:fill="FFFFFF"/>
          </w:tcPr>
          <w:p w14:paraId="624EDB02" w14:textId="5B169156" w:rsidR="00940F45" w:rsidRPr="00571CB3" w:rsidRDefault="00940F45" w:rsidP="00940F4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6.899</w:t>
            </w:r>
          </w:p>
        </w:tc>
        <w:tc>
          <w:tcPr>
            <w:tcW w:w="606" w:type="pct"/>
            <w:shd w:val="clear" w:color="auto" w:fill="FFFFFF"/>
          </w:tcPr>
          <w:p w14:paraId="0634B917" w14:textId="0BD271E1" w:rsidR="00940F45" w:rsidRPr="00571CB3" w:rsidRDefault="00940F45" w:rsidP="00940F4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7.484</w:t>
            </w:r>
          </w:p>
        </w:tc>
        <w:tc>
          <w:tcPr>
            <w:tcW w:w="607" w:type="pct"/>
            <w:shd w:val="clear" w:color="auto" w:fill="FFFFFF"/>
          </w:tcPr>
          <w:p w14:paraId="2FAD6745" w14:textId="23676BDA" w:rsidR="00940F45" w:rsidRPr="00571CB3" w:rsidRDefault="00940F45" w:rsidP="00940F4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8.908</w:t>
            </w:r>
          </w:p>
        </w:tc>
      </w:tr>
      <w:tr w:rsidR="00940F45" w:rsidRPr="00571CB3" w14:paraId="420DB15C" w14:textId="77777777" w:rsidTr="004B6414">
        <w:tc>
          <w:tcPr>
            <w:tcW w:w="1363" w:type="pct"/>
            <w:shd w:val="clear" w:color="auto" w:fill="FFFFFF"/>
          </w:tcPr>
          <w:p w14:paraId="7A1D6853" w14:textId="51A15CFE" w:rsidR="00940F45" w:rsidRPr="00571CB3" w:rsidRDefault="00940F45" w:rsidP="00940F45">
            <w:pPr>
              <w:pStyle w:val="CETBodytext"/>
              <w:jc w:val="left"/>
              <w:rPr>
                <w:lang w:val="en-GB"/>
              </w:rPr>
            </w:pPr>
            <w:proofErr w:type="spellStart"/>
            <w:r w:rsidRPr="00571CB3">
              <w:rPr>
                <w:lang w:val="en-GB"/>
              </w:rPr>
              <w:t>Thioglycerol</w:t>
            </w:r>
            <w:proofErr w:type="spellEnd"/>
          </w:p>
        </w:tc>
        <w:tc>
          <w:tcPr>
            <w:tcW w:w="606" w:type="pct"/>
            <w:shd w:val="clear" w:color="auto" w:fill="FFFFFF"/>
          </w:tcPr>
          <w:p w14:paraId="55383DE6" w14:textId="36794B19" w:rsidR="00940F45" w:rsidRPr="00571CB3" w:rsidRDefault="00940F45" w:rsidP="00940F45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5.609</w:t>
            </w:r>
          </w:p>
        </w:tc>
        <w:tc>
          <w:tcPr>
            <w:tcW w:w="606" w:type="pct"/>
            <w:shd w:val="clear" w:color="auto" w:fill="FFFFFF"/>
          </w:tcPr>
          <w:p w14:paraId="69AB833C" w14:textId="6642DB37" w:rsidR="00940F45" w:rsidRPr="00571CB3" w:rsidRDefault="00940F45" w:rsidP="00940F45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7.154</w:t>
            </w:r>
          </w:p>
        </w:tc>
        <w:tc>
          <w:tcPr>
            <w:tcW w:w="607" w:type="pct"/>
            <w:shd w:val="clear" w:color="auto" w:fill="FFFFFF"/>
          </w:tcPr>
          <w:p w14:paraId="73D6771A" w14:textId="2DE0C4B8" w:rsidR="00940F45" w:rsidRPr="00571CB3" w:rsidRDefault="00940F45" w:rsidP="00940F4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7.789</w:t>
            </w:r>
          </w:p>
        </w:tc>
        <w:tc>
          <w:tcPr>
            <w:tcW w:w="606" w:type="pct"/>
            <w:shd w:val="clear" w:color="auto" w:fill="FFFFFF"/>
          </w:tcPr>
          <w:p w14:paraId="05A40647" w14:textId="22E7845D" w:rsidR="00940F45" w:rsidRPr="00571CB3" w:rsidRDefault="00940F45" w:rsidP="00940F4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7.799</w:t>
            </w:r>
          </w:p>
        </w:tc>
        <w:tc>
          <w:tcPr>
            <w:tcW w:w="606" w:type="pct"/>
            <w:shd w:val="clear" w:color="auto" w:fill="FFFFFF"/>
          </w:tcPr>
          <w:p w14:paraId="00917F94" w14:textId="26CD9C22" w:rsidR="00940F45" w:rsidRPr="00571CB3" w:rsidRDefault="00940F45" w:rsidP="00940F4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8.457</w:t>
            </w:r>
          </w:p>
        </w:tc>
        <w:tc>
          <w:tcPr>
            <w:tcW w:w="607" w:type="pct"/>
            <w:shd w:val="clear" w:color="auto" w:fill="FFFFFF"/>
          </w:tcPr>
          <w:p w14:paraId="68D80391" w14:textId="38EB8E9B" w:rsidR="00940F45" w:rsidRPr="00571CB3" w:rsidRDefault="00940F45" w:rsidP="00940F4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10.008</w:t>
            </w:r>
          </w:p>
        </w:tc>
      </w:tr>
      <w:tr w:rsidR="00940F45" w:rsidRPr="00571CB3" w14:paraId="4C1DE458" w14:textId="77777777" w:rsidTr="004B6414">
        <w:tc>
          <w:tcPr>
            <w:tcW w:w="1363" w:type="pct"/>
            <w:tcBorders>
              <w:bottom w:val="single" w:sz="4" w:space="0" w:color="00B050"/>
            </w:tcBorders>
            <w:shd w:val="clear" w:color="auto" w:fill="FFFFFF"/>
          </w:tcPr>
          <w:p w14:paraId="653E073E" w14:textId="21CAEA8A" w:rsidR="00940F45" w:rsidRPr="00571CB3" w:rsidRDefault="00940F45" w:rsidP="00940F45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 xml:space="preserve">Epoxidized </w:t>
            </w:r>
            <w:r w:rsidR="009F0F7A" w:rsidRPr="00571CB3">
              <w:rPr>
                <w:lang w:val="en-GB"/>
              </w:rPr>
              <w:t>s</w:t>
            </w:r>
            <w:r w:rsidRPr="00571CB3">
              <w:rPr>
                <w:lang w:val="en-GB"/>
              </w:rPr>
              <w:t xml:space="preserve">oybean </w:t>
            </w:r>
            <w:r w:rsidR="009F0F7A" w:rsidRPr="00571CB3">
              <w:rPr>
                <w:lang w:val="en-GB"/>
              </w:rPr>
              <w:t>o</w:t>
            </w:r>
            <w:r w:rsidRPr="00571CB3">
              <w:rPr>
                <w:lang w:val="en-GB"/>
              </w:rPr>
              <w:t>il</w:t>
            </w:r>
          </w:p>
        </w:tc>
        <w:tc>
          <w:tcPr>
            <w:tcW w:w="606" w:type="pct"/>
            <w:tcBorders>
              <w:bottom w:val="single" w:sz="4" w:space="0" w:color="00B050"/>
            </w:tcBorders>
            <w:shd w:val="clear" w:color="auto" w:fill="FFFFFF"/>
          </w:tcPr>
          <w:p w14:paraId="17A8C4A5" w14:textId="5CF6E516" w:rsidR="00940F45" w:rsidRPr="00571CB3" w:rsidRDefault="00940F45" w:rsidP="00940F45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2.007</w:t>
            </w:r>
          </w:p>
        </w:tc>
        <w:tc>
          <w:tcPr>
            <w:tcW w:w="606" w:type="pct"/>
            <w:tcBorders>
              <w:bottom w:val="single" w:sz="4" w:space="0" w:color="00B050"/>
            </w:tcBorders>
            <w:shd w:val="clear" w:color="auto" w:fill="FFFFFF"/>
          </w:tcPr>
          <w:p w14:paraId="408CAFBB" w14:textId="06BF7063" w:rsidR="00940F45" w:rsidRPr="00571CB3" w:rsidRDefault="00940F45" w:rsidP="00940F45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2.562</w:t>
            </w:r>
          </w:p>
        </w:tc>
        <w:tc>
          <w:tcPr>
            <w:tcW w:w="607" w:type="pct"/>
            <w:tcBorders>
              <w:bottom w:val="single" w:sz="4" w:space="0" w:color="00B050"/>
            </w:tcBorders>
            <w:shd w:val="clear" w:color="auto" w:fill="FFFFFF"/>
          </w:tcPr>
          <w:p w14:paraId="703E5ED7" w14:textId="79472EF3" w:rsidR="00940F45" w:rsidRPr="00571CB3" w:rsidRDefault="00940F45" w:rsidP="00940F4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2.802</w:t>
            </w:r>
          </w:p>
        </w:tc>
        <w:tc>
          <w:tcPr>
            <w:tcW w:w="606" w:type="pct"/>
            <w:tcBorders>
              <w:bottom w:val="single" w:sz="4" w:space="0" w:color="00B050"/>
            </w:tcBorders>
            <w:shd w:val="clear" w:color="auto" w:fill="FFFFFF"/>
          </w:tcPr>
          <w:p w14:paraId="23C94A01" w14:textId="3AE107D4" w:rsidR="00940F45" w:rsidRPr="00571CB3" w:rsidRDefault="00940F45" w:rsidP="00940F4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2.799</w:t>
            </w:r>
          </w:p>
        </w:tc>
        <w:tc>
          <w:tcPr>
            <w:tcW w:w="606" w:type="pct"/>
            <w:tcBorders>
              <w:bottom w:val="single" w:sz="4" w:space="0" w:color="00B050"/>
            </w:tcBorders>
            <w:shd w:val="clear" w:color="auto" w:fill="FFFFFF"/>
          </w:tcPr>
          <w:p w14:paraId="7C28D16A" w14:textId="65F62B0D" w:rsidR="00940F45" w:rsidRPr="00571CB3" w:rsidRDefault="00940F45" w:rsidP="00940F4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3.034</w:t>
            </w:r>
          </w:p>
        </w:tc>
        <w:tc>
          <w:tcPr>
            <w:tcW w:w="607" w:type="pct"/>
            <w:tcBorders>
              <w:bottom w:val="single" w:sz="4" w:space="0" w:color="00B050"/>
            </w:tcBorders>
            <w:shd w:val="clear" w:color="auto" w:fill="FFFFFF"/>
          </w:tcPr>
          <w:p w14:paraId="44F6D388" w14:textId="2FDE862A" w:rsidR="00940F45" w:rsidRPr="00571CB3" w:rsidRDefault="00940F45" w:rsidP="00940F4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3.608</w:t>
            </w:r>
          </w:p>
        </w:tc>
      </w:tr>
      <w:tr w:rsidR="00142555" w:rsidRPr="00571CB3" w14:paraId="6252A504" w14:textId="77777777" w:rsidTr="004B6414">
        <w:tc>
          <w:tcPr>
            <w:tcW w:w="1363" w:type="pct"/>
            <w:tcBorders>
              <w:top w:val="single" w:sz="4" w:space="0" w:color="00B050"/>
            </w:tcBorders>
            <w:shd w:val="clear" w:color="auto" w:fill="FFFFFF"/>
          </w:tcPr>
          <w:p w14:paraId="2EAE15E4" w14:textId="1D94CA9A" w:rsidR="00142555" w:rsidRPr="00571CB3" w:rsidRDefault="00142555" w:rsidP="00142555">
            <w:pPr>
              <w:pStyle w:val="CETBodytext"/>
              <w:jc w:val="left"/>
              <w:rPr>
                <w:i/>
                <w:iCs/>
                <w:lang w:val="en-GB"/>
              </w:rPr>
            </w:pPr>
            <w:r w:rsidRPr="00571CB3">
              <w:rPr>
                <w:i/>
                <w:iCs/>
                <w:lang w:val="en-GB"/>
              </w:rPr>
              <w:t>NPV economic factors</w:t>
            </w:r>
          </w:p>
        </w:tc>
        <w:tc>
          <w:tcPr>
            <w:tcW w:w="606" w:type="pct"/>
            <w:tcBorders>
              <w:top w:val="single" w:sz="4" w:space="0" w:color="00B050"/>
            </w:tcBorders>
            <w:shd w:val="clear" w:color="auto" w:fill="FFFFFF"/>
          </w:tcPr>
          <w:p w14:paraId="678AA537" w14:textId="77777777" w:rsidR="00142555" w:rsidRPr="00571CB3" w:rsidRDefault="00142555" w:rsidP="00142555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6" w:type="pct"/>
            <w:tcBorders>
              <w:top w:val="single" w:sz="4" w:space="0" w:color="00B050"/>
            </w:tcBorders>
            <w:shd w:val="clear" w:color="auto" w:fill="FFFFFF"/>
          </w:tcPr>
          <w:p w14:paraId="4CF12392" w14:textId="77777777" w:rsidR="00142555" w:rsidRPr="00571CB3" w:rsidRDefault="00142555" w:rsidP="00142555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7" w:type="pct"/>
            <w:tcBorders>
              <w:top w:val="single" w:sz="4" w:space="0" w:color="00B050"/>
            </w:tcBorders>
            <w:shd w:val="clear" w:color="auto" w:fill="FFFFFF"/>
          </w:tcPr>
          <w:p w14:paraId="59EE63CA" w14:textId="77777777" w:rsidR="00142555" w:rsidRPr="00571CB3" w:rsidRDefault="00142555" w:rsidP="00142555">
            <w:pPr>
              <w:pStyle w:val="CETBodytext"/>
              <w:ind w:right="-1"/>
              <w:jc w:val="center"/>
              <w:rPr>
                <w:lang w:val="en-GB"/>
              </w:rPr>
            </w:pPr>
          </w:p>
        </w:tc>
        <w:tc>
          <w:tcPr>
            <w:tcW w:w="606" w:type="pct"/>
            <w:tcBorders>
              <w:top w:val="single" w:sz="4" w:space="0" w:color="00B050"/>
            </w:tcBorders>
            <w:shd w:val="clear" w:color="auto" w:fill="FFFFFF"/>
          </w:tcPr>
          <w:p w14:paraId="29772EBA" w14:textId="77777777" w:rsidR="00142555" w:rsidRPr="00571CB3" w:rsidRDefault="00142555" w:rsidP="00142555">
            <w:pPr>
              <w:pStyle w:val="CETBodytext"/>
              <w:ind w:right="-1"/>
              <w:jc w:val="center"/>
              <w:rPr>
                <w:lang w:val="en-GB"/>
              </w:rPr>
            </w:pPr>
          </w:p>
        </w:tc>
        <w:tc>
          <w:tcPr>
            <w:tcW w:w="606" w:type="pct"/>
            <w:tcBorders>
              <w:top w:val="single" w:sz="4" w:space="0" w:color="00B050"/>
            </w:tcBorders>
            <w:shd w:val="clear" w:color="auto" w:fill="FFFFFF"/>
          </w:tcPr>
          <w:p w14:paraId="5C485017" w14:textId="77777777" w:rsidR="00142555" w:rsidRPr="00571CB3" w:rsidRDefault="00142555" w:rsidP="00142555">
            <w:pPr>
              <w:pStyle w:val="CETBodytext"/>
              <w:ind w:right="-1"/>
              <w:jc w:val="center"/>
              <w:rPr>
                <w:lang w:val="en-GB"/>
              </w:rPr>
            </w:pPr>
          </w:p>
        </w:tc>
        <w:tc>
          <w:tcPr>
            <w:tcW w:w="607" w:type="pct"/>
            <w:tcBorders>
              <w:top w:val="single" w:sz="4" w:space="0" w:color="00B050"/>
            </w:tcBorders>
            <w:shd w:val="clear" w:color="auto" w:fill="FFFFFF"/>
          </w:tcPr>
          <w:p w14:paraId="5D3556E0" w14:textId="77777777" w:rsidR="00142555" w:rsidRPr="00571CB3" w:rsidRDefault="00142555" w:rsidP="00142555">
            <w:pPr>
              <w:pStyle w:val="CETBodytext"/>
              <w:ind w:right="-1"/>
              <w:jc w:val="center"/>
              <w:rPr>
                <w:lang w:val="en-GB"/>
              </w:rPr>
            </w:pPr>
          </w:p>
        </w:tc>
      </w:tr>
      <w:tr w:rsidR="005C0AB5" w:rsidRPr="00571CB3" w14:paraId="0292085D" w14:textId="77777777" w:rsidTr="004B6414">
        <w:tc>
          <w:tcPr>
            <w:tcW w:w="1363" w:type="pct"/>
            <w:shd w:val="clear" w:color="auto" w:fill="FFFFFF"/>
          </w:tcPr>
          <w:p w14:paraId="62F86215" w14:textId="07DCCB72" w:rsidR="005C0AB5" w:rsidRPr="00571CB3" w:rsidRDefault="005C0AB5" w:rsidP="005C0AB5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rFonts w:ascii="Cambria" w:hAnsi="Cambria" w:cs="Cambria"/>
                <w:lang w:val="en-GB"/>
              </w:rPr>
              <w:t>α</w:t>
            </w:r>
          </w:p>
        </w:tc>
        <w:tc>
          <w:tcPr>
            <w:tcW w:w="606" w:type="pct"/>
            <w:shd w:val="clear" w:color="auto" w:fill="FFFFFF"/>
          </w:tcPr>
          <w:p w14:paraId="6DD7AAB3" w14:textId="121BE912" w:rsidR="005C0AB5" w:rsidRPr="00571CB3" w:rsidRDefault="005C0AB5" w:rsidP="005C0AB5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0.356</w:t>
            </w:r>
          </w:p>
        </w:tc>
        <w:tc>
          <w:tcPr>
            <w:tcW w:w="606" w:type="pct"/>
            <w:shd w:val="clear" w:color="auto" w:fill="FFFFFF"/>
          </w:tcPr>
          <w:p w14:paraId="05BC8486" w14:textId="53C90C5D" w:rsidR="005C0AB5" w:rsidRPr="00571CB3" w:rsidRDefault="005C0AB5" w:rsidP="005C0AB5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0.459</w:t>
            </w:r>
          </w:p>
        </w:tc>
        <w:tc>
          <w:tcPr>
            <w:tcW w:w="607" w:type="pct"/>
            <w:shd w:val="clear" w:color="auto" w:fill="FFFFFF"/>
          </w:tcPr>
          <w:p w14:paraId="2C34C6F2" w14:textId="62EC27CC" w:rsidR="005C0AB5" w:rsidRPr="00571CB3" w:rsidRDefault="005C0AB5" w:rsidP="005C0AB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0.501</w:t>
            </w:r>
          </w:p>
        </w:tc>
        <w:tc>
          <w:tcPr>
            <w:tcW w:w="606" w:type="pct"/>
            <w:shd w:val="clear" w:color="auto" w:fill="FFFFFF"/>
          </w:tcPr>
          <w:p w14:paraId="7FC10994" w14:textId="18BF990D" w:rsidR="005C0AB5" w:rsidRPr="00571CB3" w:rsidRDefault="005C0AB5" w:rsidP="005C0AB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0.501</w:t>
            </w:r>
          </w:p>
        </w:tc>
        <w:tc>
          <w:tcPr>
            <w:tcW w:w="606" w:type="pct"/>
            <w:shd w:val="clear" w:color="auto" w:fill="FFFFFF"/>
          </w:tcPr>
          <w:p w14:paraId="2B99608A" w14:textId="095F3655" w:rsidR="005C0AB5" w:rsidRPr="00571CB3" w:rsidRDefault="005C0AB5" w:rsidP="005C0AB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0.542</w:t>
            </w:r>
          </w:p>
        </w:tc>
        <w:tc>
          <w:tcPr>
            <w:tcW w:w="607" w:type="pct"/>
            <w:shd w:val="clear" w:color="auto" w:fill="FFFFFF"/>
          </w:tcPr>
          <w:p w14:paraId="361945A8" w14:textId="24B40D9B" w:rsidR="005C0AB5" w:rsidRPr="00571CB3" w:rsidRDefault="005C0AB5" w:rsidP="005C0AB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0.648</w:t>
            </w:r>
          </w:p>
        </w:tc>
      </w:tr>
      <w:tr w:rsidR="005C0AB5" w:rsidRPr="00571CB3" w14:paraId="04F40720" w14:textId="77777777" w:rsidTr="004B6414">
        <w:tc>
          <w:tcPr>
            <w:tcW w:w="1363" w:type="pct"/>
            <w:shd w:val="clear" w:color="auto" w:fill="FFFFFF"/>
          </w:tcPr>
          <w:p w14:paraId="0FA73BF6" w14:textId="069FD6B7" w:rsidR="005C0AB5" w:rsidRPr="00571CB3" w:rsidRDefault="005C0AB5" w:rsidP="005C0AB5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rFonts w:ascii="Cambria" w:hAnsi="Cambria" w:cs="Cambria"/>
                <w:lang w:val="en-GB"/>
              </w:rPr>
              <w:t>ρ</w:t>
            </w:r>
          </w:p>
        </w:tc>
        <w:tc>
          <w:tcPr>
            <w:tcW w:w="606" w:type="pct"/>
            <w:shd w:val="clear" w:color="auto" w:fill="FFFFFF"/>
          </w:tcPr>
          <w:p w14:paraId="1DB40132" w14:textId="43F1DE6B" w:rsidR="005C0AB5" w:rsidRPr="00571CB3" w:rsidRDefault="005C0AB5" w:rsidP="005C0AB5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0.036</w:t>
            </w:r>
          </w:p>
        </w:tc>
        <w:tc>
          <w:tcPr>
            <w:tcW w:w="606" w:type="pct"/>
            <w:shd w:val="clear" w:color="auto" w:fill="FFFFFF"/>
          </w:tcPr>
          <w:p w14:paraId="1D9E90D1" w14:textId="30EE795A" w:rsidR="005C0AB5" w:rsidRPr="00571CB3" w:rsidRDefault="005C0AB5" w:rsidP="005C0AB5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0.046</w:t>
            </w:r>
          </w:p>
        </w:tc>
        <w:tc>
          <w:tcPr>
            <w:tcW w:w="607" w:type="pct"/>
            <w:shd w:val="clear" w:color="auto" w:fill="FFFFFF"/>
          </w:tcPr>
          <w:p w14:paraId="6726577F" w14:textId="47B23A4D" w:rsidR="005C0AB5" w:rsidRPr="00571CB3" w:rsidRDefault="005C0AB5" w:rsidP="005C0AB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0.050</w:t>
            </w:r>
          </w:p>
        </w:tc>
        <w:tc>
          <w:tcPr>
            <w:tcW w:w="606" w:type="pct"/>
            <w:shd w:val="clear" w:color="auto" w:fill="FFFFFF"/>
          </w:tcPr>
          <w:p w14:paraId="44F79E78" w14:textId="1B737630" w:rsidR="005C0AB5" w:rsidRPr="00571CB3" w:rsidRDefault="005C0AB5" w:rsidP="005C0AB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0.050</w:t>
            </w:r>
          </w:p>
        </w:tc>
        <w:tc>
          <w:tcPr>
            <w:tcW w:w="606" w:type="pct"/>
            <w:shd w:val="clear" w:color="auto" w:fill="FFFFFF"/>
          </w:tcPr>
          <w:p w14:paraId="6A873AAE" w14:textId="3789DD97" w:rsidR="005C0AB5" w:rsidRPr="00571CB3" w:rsidRDefault="005C0AB5" w:rsidP="005C0AB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0.054</w:t>
            </w:r>
          </w:p>
        </w:tc>
        <w:tc>
          <w:tcPr>
            <w:tcW w:w="607" w:type="pct"/>
            <w:shd w:val="clear" w:color="auto" w:fill="FFFFFF"/>
          </w:tcPr>
          <w:p w14:paraId="60E3244A" w14:textId="3F06AEA4" w:rsidR="005C0AB5" w:rsidRPr="00571CB3" w:rsidRDefault="005C0AB5" w:rsidP="005C0AB5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0.064</w:t>
            </w:r>
          </w:p>
        </w:tc>
      </w:tr>
      <w:tr w:rsidR="00140DCA" w:rsidRPr="00571CB3" w14:paraId="6F60282A" w14:textId="77777777" w:rsidTr="004B6414">
        <w:tc>
          <w:tcPr>
            <w:tcW w:w="1363" w:type="pct"/>
            <w:shd w:val="clear" w:color="auto" w:fill="FFFFFF"/>
          </w:tcPr>
          <w:p w14:paraId="44648F48" w14:textId="404E2B8A" w:rsidR="00140DCA" w:rsidRPr="00571CB3" w:rsidRDefault="00140DCA" w:rsidP="00140DCA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r</w:t>
            </w:r>
          </w:p>
        </w:tc>
        <w:tc>
          <w:tcPr>
            <w:tcW w:w="606" w:type="pct"/>
            <w:shd w:val="clear" w:color="auto" w:fill="FFFFFF"/>
          </w:tcPr>
          <w:p w14:paraId="60D98FBA" w14:textId="4122625B" w:rsidR="00140DCA" w:rsidRPr="00571CB3" w:rsidRDefault="00140DCA" w:rsidP="00140DCA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0.011</w:t>
            </w:r>
          </w:p>
        </w:tc>
        <w:tc>
          <w:tcPr>
            <w:tcW w:w="606" w:type="pct"/>
            <w:shd w:val="clear" w:color="auto" w:fill="FFFFFF"/>
          </w:tcPr>
          <w:p w14:paraId="156BB2DB" w14:textId="5F241519" w:rsidR="00140DCA" w:rsidRPr="00571CB3" w:rsidRDefault="00140DCA" w:rsidP="00140DCA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0.039</w:t>
            </w:r>
          </w:p>
        </w:tc>
        <w:tc>
          <w:tcPr>
            <w:tcW w:w="607" w:type="pct"/>
            <w:shd w:val="clear" w:color="auto" w:fill="FFFFFF"/>
          </w:tcPr>
          <w:p w14:paraId="5FB93EB1" w14:textId="064A4A56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0.050</w:t>
            </w:r>
          </w:p>
        </w:tc>
        <w:tc>
          <w:tcPr>
            <w:tcW w:w="606" w:type="pct"/>
            <w:shd w:val="clear" w:color="auto" w:fill="FFFFFF"/>
          </w:tcPr>
          <w:p w14:paraId="60A702E9" w14:textId="6B126815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0.050</w:t>
            </w:r>
          </w:p>
        </w:tc>
        <w:tc>
          <w:tcPr>
            <w:tcW w:w="606" w:type="pct"/>
            <w:shd w:val="clear" w:color="auto" w:fill="FFFFFF"/>
          </w:tcPr>
          <w:p w14:paraId="02279318" w14:textId="3C2FD93A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0.061</w:t>
            </w:r>
          </w:p>
        </w:tc>
        <w:tc>
          <w:tcPr>
            <w:tcW w:w="607" w:type="pct"/>
            <w:shd w:val="clear" w:color="auto" w:fill="FFFFFF"/>
          </w:tcPr>
          <w:p w14:paraId="4342A927" w14:textId="12AD599E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0.089</w:t>
            </w:r>
          </w:p>
        </w:tc>
      </w:tr>
      <w:tr w:rsidR="00140DCA" w:rsidRPr="00571CB3" w14:paraId="552582B4" w14:textId="77777777" w:rsidTr="004B6414">
        <w:tc>
          <w:tcPr>
            <w:tcW w:w="1363" w:type="pct"/>
            <w:shd w:val="clear" w:color="auto" w:fill="FFFFFF"/>
          </w:tcPr>
          <w:p w14:paraId="6785D35D" w14:textId="11E91D89" w:rsidR="00140DCA" w:rsidRPr="00571CB3" w:rsidRDefault="00140DCA" w:rsidP="00140DCA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rFonts w:ascii="Cambria" w:hAnsi="Cambria" w:cs="Cambria"/>
                <w:lang w:val="en-GB"/>
              </w:rPr>
              <w:t>γ</w:t>
            </w:r>
          </w:p>
        </w:tc>
        <w:tc>
          <w:tcPr>
            <w:tcW w:w="606" w:type="pct"/>
            <w:shd w:val="clear" w:color="auto" w:fill="FFFFFF"/>
          </w:tcPr>
          <w:p w14:paraId="140A854F" w14:textId="3A420EEF" w:rsidR="00140DCA" w:rsidRPr="00571CB3" w:rsidRDefault="00140DCA" w:rsidP="00140DCA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0.035</w:t>
            </w:r>
          </w:p>
        </w:tc>
        <w:tc>
          <w:tcPr>
            <w:tcW w:w="606" w:type="pct"/>
            <w:shd w:val="clear" w:color="auto" w:fill="FFFFFF"/>
          </w:tcPr>
          <w:p w14:paraId="72A8D81A" w14:textId="1343B3C7" w:rsidR="00140DCA" w:rsidRPr="00571CB3" w:rsidRDefault="00140DCA" w:rsidP="00140DCA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0.046</w:t>
            </w:r>
          </w:p>
        </w:tc>
        <w:tc>
          <w:tcPr>
            <w:tcW w:w="607" w:type="pct"/>
            <w:shd w:val="clear" w:color="auto" w:fill="FFFFFF"/>
          </w:tcPr>
          <w:p w14:paraId="52774452" w14:textId="2754A1AD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0.050</w:t>
            </w:r>
          </w:p>
        </w:tc>
        <w:tc>
          <w:tcPr>
            <w:tcW w:w="606" w:type="pct"/>
            <w:shd w:val="clear" w:color="auto" w:fill="FFFFFF"/>
          </w:tcPr>
          <w:p w14:paraId="4484E6C3" w14:textId="74CB2F27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0.050</w:t>
            </w:r>
          </w:p>
        </w:tc>
        <w:tc>
          <w:tcPr>
            <w:tcW w:w="606" w:type="pct"/>
            <w:shd w:val="clear" w:color="auto" w:fill="FFFFFF"/>
          </w:tcPr>
          <w:p w14:paraId="3995B309" w14:textId="31DCEC0C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0.054</w:t>
            </w:r>
          </w:p>
        </w:tc>
        <w:tc>
          <w:tcPr>
            <w:tcW w:w="607" w:type="pct"/>
            <w:shd w:val="clear" w:color="auto" w:fill="FFFFFF"/>
          </w:tcPr>
          <w:p w14:paraId="3F024533" w14:textId="03584C06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0.064</w:t>
            </w:r>
          </w:p>
        </w:tc>
      </w:tr>
      <w:tr w:rsidR="00140DCA" w:rsidRPr="00571CB3" w14:paraId="5DF68A68" w14:textId="77777777" w:rsidTr="004B6414">
        <w:tc>
          <w:tcPr>
            <w:tcW w:w="1363" w:type="pct"/>
            <w:shd w:val="clear" w:color="auto" w:fill="FFFFFF"/>
          </w:tcPr>
          <w:p w14:paraId="1C798A85" w14:textId="371EC06D" w:rsidR="00140DCA" w:rsidRPr="00571CB3" w:rsidRDefault="00140DCA" w:rsidP="00140DCA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β</w:t>
            </w:r>
          </w:p>
        </w:tc>
        <w:tc>
          <w:tcPr>
            <w:tcW w:w="606" w:type="pct"/>
            <w:shd w:val="clear" w:color="auto" w:fill="FFFFFF"/>
          </w:tcPr>
          <w:p w14:paraId="7DC3C7C3" w14:textId="785BDE47" w:rsidR="00140DCA" w:rsidRPr="00571CB3" w:rsidRDefault="00140DCA" w:rsidP="00140DCA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0.004</w:t>
            </w:r>
          </w:p>
        </w:tc>
        <w:tc>
          <w:tcPr>
            <w:tcW w:w="606" w:type="pct"/>
            <w:shd w:val="clear" w:color="auto" w:fill="FFFFFF"/>
          </w:tcPr>
          <w:p w14:paraId="5AD36D90" w14:textId="776B42A6" w:rsidR="00140DCA" w:rsidRPr="00571CB3" w:rsidRDefault="00140DCA" w:rsidP="00140DCA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0.005</w:t>
            </w:r>
          </w:p>
        </w:tc>
        <w:tc>
          <w:tcPr>
            <w:tcW w:w="607" w:type="pct"/>
            <w:shd w:val="clear" w:color="auto" w:fill="FFFFFF"/>
          </w:tcPr>
          <w:p w14:paraId="7C1F128A" w14:textId="68E8DA0E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0.005</w:t>
            </w:r>
          </w:p>
        </w:tc>
        <w:tc>
          <w:tcPr>
            <w:tcW w:w="606" w:type="pct"/>
            <w:shd w:val="clear" w:color="auto" w:fill="FFFFFF"/>
          </w:tcPr>
          <w:p w14:paraId="4F17212F" w14:textId="48023FC0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0.005</w:t>
            </w:r>
          </w:p>
        </w:tc>
        <w:tc>
          <w:tcPr>
            <w:tcW w:w="606" w:type="pct"/>
            <w:shd w:val="clear" w:color="auto" w:fill="FFFFFF"/>
          </w:tcPr>
          <w:p w14:paraId="4560D507" w14:textId="19547B79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0.005</w:t>
            </w:r>
          </w:p>
        </w:tc>
        <w:tc>
          <w:tcPr>
            <w:tcW w:w="607" w:type="pct"/>
            <w:shd w:val="clear" w:color="auto" w:fill="FFFFFF"/>
          </w:tcPr>
          <w:p w14:paraId="2ED935ED" w14:textId="591198D0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0.006</w:t>
            </w:r>
          </w:p>
        </w:tc>
      </w:tr>
      <w:tr w:rsidR="00140DCA" w:rsidRPr="00571CB3" w14:paraId="71466E55" w14:textId="77777777" w:rsidTr="004B6414">
        <w:tc>
          <w:tcPr>
            <w:tcW w:w="1363" w:type="pct"/>
            <w:shd w:val="clear" w:color="auto" w:fill="FFFFFF"/>
            <w:vAlign w:val="center"/>
          </w:tcPr>
          <w:p w14:paraId="36D29F07" w14:textId="31C8DD28" w:rsidR="00140DCA" w:rsidRPr="00571CB3" w:rsidRDefault="00140DCA" w:rsidP="00140DCA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g</w:t>
            </w:r>
          </w:p>
        </w:tc>
        <w:tc>
          <w:tcPr>
            <w:tcW w:w="606" w:type="pct"/>
            <w:shd w:val="clear" w:color="auto" w:fill="FFFFFF"/>
          </w:tcPr>
          <w:p w14:paraId="492BA735" w14:textId="57FCFD49" w:rsidR="00140DCA" w:rsidRPr="00571CB3" w:rsidRDefault="00140DCA" w:rsidP="00140DCA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0.004</w:t>
            </w:r>
          </w:p>
        </w:tc>
        <w:tc>
          <w:tcPr>
            <w:tcW w:w="606" w:type="pct"/>
            <w:shd w:val="clear" w:color="auto" w:fill="FFFFFF"/>
          </w:tcPr>
          <w:p w14:paraId="2ABA8A07" w14:textId="1F8DC0EC" w:rsidR="00140DCA" w:rsidRPr="00571CB3" w:rsidRDefault="00140DCA" w:rsidP="00140DCA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0.005</w:t>
            </w:r>
          </w:p>
        </w:tc>
        <w:tc>
          <w:tcPr>
            <w:tcW w:w="607" w:type="pct"/>
            <w:shd w:val="clear" w:color="auto" w:fill="FFFFFF"/>
          </w:tcPr>
          <w:p w14:paraId="514DE5FD" w14:textId="1C2EEAB0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0.005</w:t>
            </w:r>
          </w:p>
        </w:tc>
        <w:tc>
          <w:tcPr>
            <w:tcW w:w="606" w:type="pct"/>
            <w:shd w:val="clear" w:color="auto" w:fill="FFFFFF"/>
          </w:tcPr>
          <w:p w14:paraId="347D04A3" w14:textId="4EEE2A51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0.005</w:t>
            </w:r>
          </w:p>
        </w:tc>
        <w:tc>
          <w:tcPr>
            <w:tcW w:w="606" w:type="pct"/>
            <w:shd w:val="clear" w:color="auto" w:fill="FFFFFF"/>
          </w:tcPr>
          <w:p w14:paraId="3B27A001" w14:textId="21DA511A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0.005</w:t>
            </w:r>
          </w:p>
        </w:tc>
        <w:tc>
          <w:tcPr>
            <w:tcW w:w="607" w:type="pct"/>
            <w:shd w:val="clear" w:color="auto" w:fill="FFFFFF"/>
          </w:tcPr>
          <w:p w14:paraId="7A322871" w14:textId="4F660698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0.006</w:t>
            </w:r>
          </w:p>
        </w:tc>
      </w:tr>
      <w:tr w:rsidR="00140DCA" w:rsidRPr="00571CB3" w14:paraId="75F808E2" w14:textId="77777777" w:rsidTr="004B6414">
        <w:tc>
          <w:tcPr>
            <w:tcW w:w="1363" w:type="pct"/>
            <w:tcBorders>
              <w:bottom w:val="single" w:sz="4" w:space="0" w:color="00B050"/>
            </w:tcBorders>
            <w:shd w:val="clear" w:color="auto" w:fill="FFFFFF"/>
            <w:vAlign w:val="center"/>
          </w:tcPr>
          <w:p w14:paraId="2E64E018" w14:textId="0CAE016E" w:rsidR="00140DCA" w:rsidRPr="00571CB3" w:rsidRDefault="00140DCA" w:rsidP="00140DCA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rFonts w:ascii="EB Garamond" w:hAnsi="EB Garamond"/>
                <w:lang w:val="en-GB"/>
              </w:rPr>
              <w:t>τ</w:t>
            </w:r>
          </w:p>
        </w:tc>
        <w:tc>
          <w:tcPr>
            <w:tcW w:w="606" w:type="pct"/>
            <w:tcBorders>
              <w:bottom w:val="single" w:sz="4" w:space="0" w:color="00B050"/>
            </w:tcBorders>
            <w:shd w:val="clear" w:color="auto" w:fill="FFFFFF"/>
          </w:tcPr>
          <w:p w14:paraId="6EF5B3D6" w14:textId="763135E4" w:rsidR="00140DCA" w:rsidRPr="00571CB3" w:rsidRDefault="00140DCA" w:rsidP="00140DCA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2.061</w:t>
            </w:r>
          </w:p>
        </w:tc>
        <w:tc>
          <w:tcPr>
            <w:tcW w:w="606" w:type="pct"/>
            <w:tcBorders>
              <w:bottom w:val="single" w:sz="4" w:space="0" w:color="00B050"/>
            </w:tcBorders>
            <w:shd w:val="clear" w:color="auto" w:fill="FFFFFF"/>
          </w:tcPr>
          <w:p w14:paraId="6300FEA5" w14:textId="58ED58D9" w:rsidR="00140DCA" w:rsidRPr="00571CB3" w:rsidRDefault="00140DCA" w:rsidP="00140DCA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3.461</w:t>
            </w:r>
          </w:p>
        </w:tc>
        <w:tc>
          <w:tcPr>
            <w:tcW w:w="607" w:type="pct"/>
            <w:tcBorders>
              <w:bottom w:val="single" w:sz="4" w:space="0" w:color="00B050"/>
            </w:tcBorders>
            <w:shd w:val="clear" w:color="auto" w:fill="FFFFFF"/>
          </w:tcPr>
          <w:p w14:paraId="3835DAFB" w14:textId="247661C3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4.143</w:t>
            </w:r>
          </w:p>
        </w:tc>
        <w:tc>
          <w:tcPr>
            <w:tcW w:w="606" w:type="pct"/>
            <w:tcBorders>
              <w:bottom w:val="single" w:sz="4" w:space="0" w:color="00B050"/>
            </w:tcBorders>
            <w:shd w:val="clear" w:color="auto" w:fill="FFFFFF"/>
          </w:tcPr>
          <w:p w14:paraId="051E9D43" w14:textId="6C914303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4.169</w:t>
            </w:r>
          </w:p>
        </w:tc>
        <w:tc>
          <w:tcPr>
            <w:tcW w:w="606" w:type="pct"/>
            <w:tcBorders>
              <w:bottom w:val="single" w:sz="4" w:space="0" w:color="00B050"/>
            </w:tcBorders>
            <w:shd w:val="clear" w:color="auto" w:fill="FFFFFF"/>
          </w:tcPr>
          <w:p w14:paraId="0283D129" w14:textId="1BC4CDBE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4.846</w:t>
            </w:r>
          </w:p>
        </w:tc>
        <w:tc>
          <w:tcPr>
            <w:tcW w:w="607" w:type="pct"/>
            <w:tcBorders>
              <w:bottom w:val="single" w:sz="4" w:space="0" w:color="00B050"/>
            </w:tcBorders>
            <w:shd w:val="clear" w:color="auto" w:fill="FFFFFF"/>
          </w:tcPr>
          <w:p w14:paraId="15FBBFC1" w14:textId="6815AB0B" w:rsidR="00140DCA" w:rsidRPr="00571CB3" w:rsidRDefault="00140DCA" w:rsidP="00140DCA">
            <w:pPr>
              <w:pStyle w:val="CETBodytext"/>
              <w:ind w:right="-1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6.903</w:t>
            </w:r>
          </w:p>
        </w:tc>
      </w:tr>
      <w:tr w:rsidR="00140DCA" w:rsidRPr="00571CB3" w14:paraId="6CE351B1" w14:textId="77777777" w:rsidTr="004B6414">
        <w:tc>
          <w:tcPr>
            <w:tcW w:w="1363" w:type="pct"/>
            <w:tcBorders>
              <w:top w:val="single" w:sz="4" w:space="0" w:color="00B050"/>
            </w:tcBorders>
            <w:shd w:val="clear" w:color="auto" w:fill="FFFFFF"/>
          </w:tcPr>
          <w:p w14:paraId="5F51B115" w14:textId="7C8861FE" w:rsidR="00140DCA" w:rsidRPr="00571CB3" w:rsidRDefault="00140DCA" w:rsidP="00140DCA">
            <w:pPr>
              <w:pStyle w:val="CETBodytext"/>
              <w:ind w:right="-1"/>
              <w:rPr>
                <w:rFonts w:cs="Arial"/>
                <w:b/>
                <w:bCs/>
                <w:i/>
                <w:iCs/>
                <w:szCs w:val="18"/>
                <w:lang w:val="en-GB"/>
              </w:rPr>
            </w:pPr>
            <w:r w:rsidRPr="00571CB3">
              <w:rPr>
                <w:b/>
                <w:bCs/>
                <w:i/>
                <w:iCs/>
                <w:lang w:val="en-GB"/>
              </w:rPr>
              <w:t>MPSP (EUR/kg)</w:t>
            </w:r>
          </w:p>
        </w:tc>
        <w:tc>
          <w:tcPr>
            <w:tcW w:w="606" w:type="pct"/>
            <w:tcBorders>
              <w:top w:val="single" w:sz="4" w:space="0" w:color="00B050"/>
            </w:tcBorders>
            <w:shd w:val="clear" w:color="auto" w:fill="FFFFFF"/>
          </w:tcPr>
          <w:p w14:paraId="5C034905" w14:textId="0094839B" w:rsidR="00140DCA" w:rsidRPr="00571CB3" w:rsidRDefault="00140DCA" w:rsidP="00140DC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170.50</w:t>
            </w:r>
          </w:p>
        </w:tc>
        <w:tc>
          <w:tcPr>
            <w:tcW w:w="606" w:type="pct"/>
            <w:tcBorders>
              <w:top w:val="single" w:sz="4" w:space="0" w:color="00B050"/>
            </w:tcBorders>
            <w:shd w:val="clear" w:color="auto" w:fill="FFFFFF"/>
          </w:tcPr>
          <w:p w14:paraId="05152F38" w14:textId="5C89921F" w:rsidR="00140DCA" w:rsidRPr="00571CB3" w:rsidRDefault="00140DCA" w:rsidP="00140DC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308.40</w:t>
            </w:r>
          </w:p>
        </w:tc>
        <w:tc>
          <w:tcPr>
            <w:tcW w:w="607" w:type="pct"/>
            <w:tcBorders>
              <w:top w:val="single" w:sz="4" w:space="0" w:color="00B050"/>
            </w:tcBorders>
            <w:shd w:val="clear" w:color="auto" w:fill="FFFFFF"/>
          </w:tcPr>
          <w:p w14:paraId="70BCB029" w14:textId="24B78DAD" w:rsidR="00140DCA" w:rsidRPr="00571CB3" w:rsidRDefault="00140DCA" w:rsidP="00140DC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392.90</w:t>
            </w:r>
          </w:p>
        </w:tc>
        <w:tc>
          <w:tcPr>
            <w:tcW w:w="606" w:type="pct"/>
            <w:tcBorders>
              <w:top w:val="single" w:sz="4" w:space="0" w:color="00B050"/>
            </w:tcBorders>
            <w:shd w:val="clear" w:color="auto" w:fill="FFFFFF"/>
          </w:tcPr>
          <w:p w14:paraId="144763F8" w14:textId="30C2DFB2" w:rsidR="00140DCA" w:rsidRPr="00571CB3" w:rsidRDefault="00140DCA" w:rsidP="00140DC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435.50</w:t>
            </w:r>
          </w:p>
        </w:tc>
        <w:tc>
          <w:tcPr>
            <w:tcW w:w="606" w:type="pct"/>
            <w:tcBorders>
              <w:top w:val="single" w:sz="4" w:space="0" w:color="00B050"/>
            </w:tcBorders>
            <w:shd w:val="clear" w:color="auto" w:fill="FFFFFF"/>
          </w:tcPr>
          <w:p w14:paraId="18C12820" w14:textId="3F0C6BD5" w:rsidR="00140DCA" w:rsidRPr="00571CB3" w:rsidRDefault="00140DCA" w:rsidP="00140DC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516.00</w:t>
            </w:r>
          </w:p>
        </w:tc>
        <w:tc>
          <w:tcPr>
            <w:tcW w:w="607" w:type="pct"/>
            <w:tcBorders>
              <w:top w:val="single" w:sz="4" w:space="0" w:color="00B050"/>
            </w:tcBorders>
            <w:shd w:val="clear" w:color="auto" w:fill="FFFFFF"/>
          </w:tcPr>
          <w:p w14:paraId="452D109E" w14:textId="7F69F312" w:rsidR="00140DCA" w:rsidRPr="00571CB3" w:rsidRDefault="00140DCA" w:rsidP="00140DCA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571CB3">
              <w:rPr>
                <w:lang w:val="en-GB"/>
              </w:rPr>
              <w:t>1742.40</w:t>
            </w:r>
          </w:p>
        </w:tc>
      </w:tr>
    </w:tbl>
    <w:p w14:paraId="49CF49C0" w14:textId="77777777" w:rsidR="00432005" w:rsidRPr="00571CB3" w:rsidRDefault="00432005" w:rsidP="006A5B48">
      <w:pPr>
        <w:pStyle w:val="CETBodytext"/>
        <w:rPr>
          <w:lang w:val="en-GB"/>
        </w:rPr>
      </w:pPr>
    </w:p>
    <w:p w14:paraId="4DB42392" w14:textId="28FCAE0C" w:rsidR="007C0C4C" w:rsidRPr="00571CB3" w:rsidRDefault="00201376" w:rsidP="001833CA">
      <w:pPr>
        <w:pStyle w:val="CETBodytext"/>
        <w:rPr>
          <w:lang w:val="en-GB"/>
        </w:rPr>
      </w:pPr>
      <w:r w:rsidRPr="00571CB3">
        <w:rPr>
          <w:lang w:val="en-GB"/>
        </w:rPr>
        <w:t xml:space="preserve">The current state of bio-based technology </w:t>
      </w:r>
      <w:r w:rsidR="00F0331E" w:rsidRPr="00571CB3">
        <w:rPr>
          <w:lang w:val="en-GB"/>
        </w:rPr>
        <w:t xml:space="preserve">reveals </w:t>
      </w:r>
      <w:r w:rsidRPr="00571CB3">
        <w:rPr>
          <w:lang w:val="en-GB"/>
        </w:rPr>
        <w:t xml:space="preserve">a </w:t>
      </w:r>
      <w:r w:rsidR="00F0331E" w:rsidRPr="00571CB3">
        <w:rPr>
          <w:lang w:val="en-GB"/>
        </w:rPr>
        <w:t xml:space="preserve">substantial </w:t>
      </w:r>
      <w:r w:rsidRPr="00571CB3">
        <w:rPr>
          <w:lang w:val="en-GB"/>
        </w:rPr>
        <w:t xml:space="preserve">cost </w:t>
      </w:r>
      <w:r w:rsidR="00F0331E" w:rsidRPr="00571CB3">
        <w:rPr>
          <w:lang w:val="en-GB"/>
        </w:rPr>
        <w:t xml:space="preserve">gap </w:t>
      </w:r>
      <w:r w:rsidRPr="00571CB3">
        <w:rPr>
          <w:lang w:val="en-GB"/>
        </w:rPr>
        <w:t xml:space="preserve">compared to conventional fossil-based alternatives, </w:t>
      </w:r>
      <w:r w:rsidR="00F0331E" w:rsidRPr="00571CB3">
        <w:rPr>
          <w:lang w:val="en-GB"/>
        </w:rPr>
        <w:t xml:space="preserve">which </w:t>
      </w:r>
      <w:r w:rsidRPr="00571CB3">
        <w:rPr>
          <w:lang w:val="en-GB"/>
        </w:rPr>
        <w:t xml:space="preserve">typically </w:t>
      </w:r>
      <w:r w:rsidR="00F0331E" w:rsidRPr="00571CB3">
        <w:rPr>
          <w:lang w:val="en-GB"/>
        </w:rPr>
        <w:t>cost</w:t>
      </w:r>
      <w:r w:rsidRPr="00571CB3">
        <w:rPr>
          <w:lang w:val="en-GB"/>
        </w:rPr>
        <w:t xml:space="preserve"> </w:t>
      </w:r>
      <w:r w:rsidR="00F0331E" w:rsidRPr="00571CB3">
        <w:rPr>
          <w:lang w:val="en-GB"/>
        </w:rPr>
        <w:t xml:space="preserve">only </w:t>
      </w:r>
      <w:r w:rsidRPr="00571CB3">
        <w:rPr>
          <w:lang w:val="en-GB"/>
        </w:rPr>
        <w:t xml:space="preserve">a few euros per kg. This disparity </w:t>
      </w:r>
      <w:r w:rsidR="00F0331E" w:rsidRPr="00571CB3">
        <w:rPr>
          <w:lang w:val="en-GB"/>
        </w:rPr>
        <w:t>stems largely from</w:t>
      </w:r>
      <w:r w:rsidRPr="00571CB3">
        <w:rPr>
          <w:lang w:val="en-GB"/>
        </w:rPr>
        <w:t xml:space="preserve"> the </w:t>
      </w:r>
      <w:r w:rsidR="00F0331E" w:rsidRPr="00571CB3">
        <w:rPr>
          <w:lang w:val="en-GB"/>
        </w:rPr>
        <w:t xml:space="preserve">low </w:t>
      </w:r>
      <w:proofErr w:type="gramStart"/>
      <w:r w:rsidRPr="00571CB3">
        <w:rPr>
          <w:lang w:val="en-GB"/>
        </w:rPr>
        <w:t>TRL</w:t>
      </w:r>
      <w:proofErr w:type="gramEnd"/>
      <w:r w:rsidRPr="00571CB3">
        <w:rPr>
          <w:lang w:val="en-GB"/>
        </w:rPr>
        <w:t xml:space="preserve"> and material flows </w:t>
      </w:r>
      <w:r w:rsidR="00F0331E" w:rsidRPr="00571CB3">
        <w:rPr>
          <w:lang w:val="en-GB"/>
        </w:rPr>
        <w:t>estimates derived from</w:t>
      </w:r>
      <w:r w:rsidRPr="00571CB3">
        <w:rPr>
          <w:lang w:val="en-GB"/>
        </w:rPr>
        <w:t xml:space="preserve"> lab</w:t>
      </w:r>
      <w:r w:rsidR="00F0331E" w:rsidRPr="00571CB3">
        <w:rPr>
          <w:lang w:val="en-GB"/>
        </w:rPr>
        <w:t xml:space="preserve">oratory-scale </w:t>
      </w:r>
      <w:r w:rsidRPr="00571CB3">
        <w:rPr>
          <w:lang w:val="en-GB"/>
        </w:rPr>
        <w:t>experiment</w:t>
      </w:r>
      <w:r w:rsidR="00F0331E" w:rsidRPr="00571CB3">
        <w:rPr>
          <w:lang w:val="en-GB"/>
        </w:rPr>
        <w:t>s</w:t>
      </w:r>
      <w:r w:rsidRPr="00571CB3">
        <w:rPr>
          <w:lang w:val="en-GB"/>
        </w:rPr>
        <w:t>. It is evident that pilot</w:t>
      </w:r>
      <w:r w:rsidR="00F0331E" w:rsidRPr="00571CB3">
        <w:rPr>
          <w:lang w:val="en-GB"/>
        </w:rPr>
        <w:t>-</w:t>
      </w:r>
      <w:r w:rsidRPr="00571CB3">
        <w:rPr>
          <w:lang w:val="en-GB"/>
        </w:rPr>
        <w:t>scale test</w:t>
      </w:r>
      <w:r w:rsidR="00F0331E" w:rsidRPr="00571CB3">
        <w:rPr>
          <w:lang w:val="en-GB"/>
        </w:rPr>
        <w:t>ing</w:t>
      </w:r>
      <w:r w:rsidRPr="00571CB3">
        <w:rPr>
          <w:lang w:val="en-GB"/>
        </w:rPr>
        <w:t xml:space="preserve"> is </w:t>
      </w:r>
      <w:r w:rsidR="00F0331E" w:rsidRPr="00571CB3">
        <w:rPr>
          <w:lang w:val="en-GB"/>
        </w:rPr>
        <w:t xml:space="preserve">essential </w:t>
      </w:r>
      <w:r w:rsidRPr="00571CB3">
        <w:rPr>
          <w:lang w:val="en-GB"/>
        </w:rPr>
        <w:t xml:space="preserve">to validate (or </w:t>
      </w:r>
      <w:r w:rsidR="00F0331E" w:rsidRPr="00571CB3">
        <w:rPr>
          <w:lang w:val="en-GB"/>
        </w:rPr>
        <w:t>revise</w:t>
      </w:r>
      <w:r w:rsidRPr="00571CB3">
        <w:rPr>
          <w:lang w:val="en-GB"/>
        </w:rPr>
        <w:t xml:space="preserve">) these flows and related production technology coefficients. </w:t>
      </w:r>
      <w:r w:rsidR="00F0331E" w:rsidRPr="00571CB3">
        <w:rPr>
          <w:lang w:val="en-GB"/>
        </w:rPr>
        <w:t>Under the scenario studied</w:t>
      </w:r>
      <w:r w:rsidRPr="00571CB3">
        <w:rPr>
          <w:lang w:val="en-GB"/>
        </w:rPr>
        <w:t xml:space="preserve">, the new product </w:t>
      </w:r>
      <w:r w:rsidR="00F0331E" w:rsidRPr="00571CB3">
        <w:rPr>
          <w:lang w:val="en-GB"/>
        </w:rPr>
        <w:t xml:space="preserve">does not demonstrate </w:t>
      </w:r>
      <w:r w:rsidRPr="00571CB3">
        <w:rPr>
          <w:lang w:val="en-GB"/>
        </w:rPr>
        <w:t xml:space="preserve">market </w:t>
      </w:r>
      <w:r w:rsidR="00F0331E" w:rsidRPr="00571CB3">
        <w:rPr>
          <w:lang w:val="en-GB"/>
        </w:rPr>
        <w:t>competitiveness</w:t>
      </w:r>
      <w:r w:rsidRPr="00571CB3">
        <w:rPr>
          <w:lang w:val="en-GB"/>
        </w:rPr>
        <w:t>.</w:t>
      </w:r>
      <w:r w:rsidR="001833CA" w:rsidRPr="00571CB3">
        <w:rPr>
          <w:lang w:val="en-GB"/>
        </w:rPr>
        <w:t xml:space="preserve"> </w:t>
      </w:r>
      <w:r w:rsidR="00F119C9" w:rsidRPr="00571CB3">
        <w:rPr>
          <w:lang w:val="en-GB"/>
        </w:rPr>
        <w:t>Nevertheless</w:t>
      </w:r>
      <w:r w:rsidR="00F0331E" w:rsidRPr="00571CB3">
        <w:rPr>
          <w:lang w:val="en-GB"/>
        </w:rPr>
        <w:t>, t</w:t>
      </w:r>
      <w:r w:rsidR="001833CA" w:rsidRPr="00571CB3">
        <w:rPr>
          <w:lang w:val="en-GB"/>
        </w:rPr>
        <w:t xml:space="preserve">hese findings </w:t>
      </w:r>
      <w:r w:rsidR="00F0331E" w:rsidRPr="00571CB3">
        <w:rPr>
          <w:lang w:val="en-GB"/>
        </w:rPr>
        <w:t xml:space="preserve">provide </w:t>
      </w:r>
      <w:r w:rsidR="001833CA" w:rsidRPr="00571CB3">
        <w:rPr>
          <w:lang w:val="en-GB"/>
        </w:rPr>
        <w:t xml:space="preserve">a </w:t>
      </w:r>
      <w:r w:rsidR="00F0331E" w:rsidRPr="00571CB3">
        <w:rPr>
          <w:lang w:val="en-GB"/>
        </w:rPr>
        <w:t xml:space="preserve">foundation </w:t>
      </w:r>
      <w:r w:rsidR="001833CA" w:rsidRPr="00571CB3">
        <w:rPr>
          <w:lang w:val="en-GB"/>
        </w:rPr>
        <w:t xml:space="preserve">for </w:t>
      </w:r>
      <w:r w:rsidR="00F0331E" w:rsidRPr="00571CB3">
        <w:rPr>
          <w:lang w:val="en-GB"/>
        </w:rPr>
        <w:t xml:space="preserve">identifying </w:t>
      </w:r>
      <w:r w:rsidR="001833CA" w:rsidRPr="00571CB3">
        <w:rPr>
          <w:lang w:val="en-GB"/>
        </w:rPr>
        <w:t xml:space="preserve">key techno-economic factors </w:t>
      </w:r>
      <w:r w:rsidR="00F0331E" w:rsidRPr="00571CB3">
        <w:rPr>
          <w:lang w:val="en-GB"/>
        </w:rPr>
        <w:t xml:space="preserve">driving </w:t>
      </w:r>
      <w:r w:rsidR="001833CA" w:rsidRPr="00571CB3">
        <w:rPr>
          <w:lang w:val="en-GB"/>
        </w:rPr>
        <w:t xml:space="preserve">cost components and </w:t>
      </w:r>
      <w:r w:rsidR="00F0331E" w:rsidRPr="00571CB3">
        <w:rPr>
          <w:lang w:val="en-GB"/>
        </w:rPr>
        <w:t xml:space="preserve">the </w:t>
      </w:r>
      <w:r w:rsidR="001833CA" w:rsidRPr="00571CB3">
        <w:rPr>
          <w:lang w:val="en-GB"/>
        </w:rPr>
        <w:t xml:space="preserve">MPSP. Table 4 presents </w:t>
      </w:r>
      <w:r w:rsidR="003E5C71" w:rsidRPr="00571CB3">
        <w:rPr>
          <w:lang w:val="en-GB"/>
        </w:rPr>
        <w:t xml:space="preserve">the results of the </w:t>
      </w:r>
      <w:r w:rsidR="001833CA" w:rsidRPr="00571CB3">
        <w:rPr>
          <w:lang w:val="en-GB"/>
        </w:rPr>
        <w:t xml:space="preserve">OLS regression, </w:t>
      </w:r>
      <w:r w:rsidR="003E5C71" w:rsidRPr="00571CB3">
        <w:rPr>
          <w:lang w:val="en-GB"/>
        </w:rPr>
        <w:t xml:space="preserve">capturing </w:t>
      </w:r>
      <w:r w:rsidR="001833CA" w:rsidRPr="00571CB3">
        <w:rPr>
          <w:lang w:val="en-GB"/>
        </w:rPr>
        <w:t xml:space="preserve">the complex interplay </w:t>
      </w:r>
      <w:r w:rsidR="003E5C71" w:rsidRPr="00571CB3">
        <w:rPr>
          <w:lang w:val="en-GB"/>
        </w:rPr>
        <w:t xml:space="preserve">among </w:t>
      </w:r>
      <w:r w:rsidR="001833CA" w:rsidRPr="00571CB3">
        <w:rPr>
          <w:lang w:val="en-GB"/>
        </w:rPr>
        <w:t xml:space="preserve">factors affecting </w:t>
      </w:r>
      <w:r w:rsidR="00F119C9" w:rsidRPr="00571CB3">
        <w:rPr>
          <w:lang w:val="en-GB"/>
        </w:rPr>
        <w:t>the selling price</w:t>
      </w:r>
      <w:r w:rsidR="001833CA" w:rsidRPr="00571CB3">
        <w:rPr>
          <w:lang w:val="en-GB"/>
        </w:rPr>
        <w:t xml:space="preserve">. The log-log model simplifies interpretation by directly showing elasticities, </w:t>
      </w:r>
      <w:r w:rsidR="003E5C71" w:rsidRPr="00571CB3">
        <w:rPr>
          <w:lang w:val="en-GB"/>
        </w:rPr>
        <w:t>illustrating how</w:t>
      </w:r>
      <w:r w:rsidR="001833CA" w:rsidRPr="00571CB3">
        <w:rPr>
          <w:lang w:val="en-GB"/>
        </w:rPr>
        <w:t xml:space="preserve"> proportional changes in </w:t>
      </w:r>
      <w:r w:rsidR="003E5C71" w:rsidRPr="00571CB3">
        <w:rPr>
          <w:lang w:val="en-GB"/>
        </w:rPr>
        <w:t xml:space="preserve">input </w:t>
      </w:r>
      <w:r w:rsidR="001833CA" w:rsidRPr="00571CB3">
        <w:rPr>
          <w:lang w:val="en-GB"/>
        </w:rPr>
        <w:t xml:space="preserve">variables impact costs. The results </w:t>
      </w:r>
      <w:r w:rsidR="003E5C71" w:rsidRPr="00571CB3">
        <w:rPr>
          <w:lang w:val="en-GB"/>
        </w:rPr>
        <w:t xml:space="preserve">show </w:t>
      </w:r>
      <w:r w:rsidR="001833CA" w:rsidRPr="00571CB3">
        <w:rPr>
          <w:lang w:val="en-GB"/>
        </w:rPr>
        <w:t>that industry performance metrics</w:t>
      </w:r>
      <w:r w:rsidR="003E5C71" w:rsidRPr="00571CB3">
        <w:rPr>
          <w:lang w:val="en-GB"/>
        </w:rPr>
        <w:t>—</w:t>
      </w:r>
      <w:r w:rsidR="001833CA" w:rsidRPr="00571CB3">
        <w:rPr>
          <w:lang w:val="en-GB"/>
        </w:rPr>
        <w:t>such as the share of raw materials in variable costs and the ratio of variable to total costs</w:t>
      </w:r>
      <w:r w:rsidR="003E5C71" w:rsidRPr="00571CB3">
        <w:rPr>
          <w:lang w:val="en-GB"/>
        </w:rPr>
        <w:t>—exert</w:t>
      </w:r>
      <w:r w:rsidR="001833CA" w:rsidRPr="00571CB3">
        <w:rPr>
          <w:lang w:val="en-GB"/>
        </w:rPr>
        <w:t xml:space="preserve"> significant negative effects on MPSP. As these variables </w:t>
      </w:r>
      <w:r w:rsidR="003E5C71" w:rsidRPr="00571CB3">
        <w:rPr>
          <w:lang w:val="en-GB"/>
        </w:rPr>
        <w:t>improves</w:t>
      </w:r>
      <w:r w:rsidR="001833CA" w:rsidRPr="00571CB3">
        <w:rPr>
          <w:lang w:val="en-GB"/>
        </w:rPr>
        <w:t xml:space="preserve">, MPSP decreases, </w:t>
      </w:r>
      <w:r w:rsidR="003E5C71" w:rsidRPr="00571CB3">
        <w:rPr>
          <w:lang w:val="en-GB"/>
        </w:rPr>
        <w:t>affirming that increased</w:t>
      </w:r>
      <w:r w:rsidR="001833CA" w:rsidRPr="00571CB3">
        <w:rPr>
          <w:lang w:val="en-GB"/>
        </w:rPr>
        <w:t xml:space="preserve"> production efficiency in energy use, </w:t>
      </w:r>
      <w:r w:rsidR="000223DA" w:rsidRPr="00571CB3">
        <w:rPr>
          <w:lang w:val="en-GB"/>
        </w:rPr>
        <w:t>labour</w:t>
      </w:r>
      <w:r w:rsidR="001833CA" w:rsidRPr="00571CB3">
        <w:rPr>
          <w:lang w:val="en-GB"/>
        </w:rPr>
        <w:t xml:space="preserve">, </w:t>
      </w:r>
      <w:r w:rsidR="003E5C71" w:rsidRPr="00571CB3">
        <w:rPr>
          <w:lang w:val="en-GB"/>
        </w:rPr>
        <w:t xml:space="preserve">and </w:t>
      </w:r>
      <w:r w:rsidR="001833CA" w:rsidRPr="00571CB3">
        <w:rPr>
          <w:lang w:val="en-GB"/>
        </w:rPr>
        <w:t>material consumption</w:t>
      </w:r>
      <w:r w:rsidR="003E5C71" w:rsidRPr="00571CB3">
        <w:rPr>
          <w:lang w:val="en-GB"/>
        </w:rPr>
        <w:t xml:space="preserve"> </w:t>
      </w:r>
      <w:r w:rsidR="001833CA" w:rsidRPr="00571CB3">
        <w:rPr>
          <w:lang w:val="en-GB"/>
        </w:rPr>
        <w:t xml:space="preserve">leads to economic advantages. A higher </w:t>
      </w:r>
      <w:r w:rsidR="003E5C71" w:rsidRPr="00571CB3">
        <w:rPr>
          <w:lang w:val="en-GB"/>
        </w:rPr>
        <w:t xml:space="preserve">share </w:t>
      </w:r>
      <w:r w:rsidR="001833CA" w:rsidRPr="00571CB3">
        <w:rPr>
          <w:lang w:val="en-GB"/>
        </w:rPr>
        <w:t xml:space="preserve">of raw material costs relative to operating costs also contributes to lower MPSP, emphasizing the importance of resource optimization. </w:t>
      </w:r>
      <w:r w:rsidR="003E5C71" w:rsidRPr="00571CB3">
        <w:rPr>
          <w:lang w:val="en-GB"/>
        </w:rPr>
        <w:t>Moreover</w:t>
      </w:r>
      <w:r w:rsidR="001833CA" w:rsidRPr="00571CB3">
        <w:rPr>
          <w:lang w:val="en-GB"/>
        </w:rPr>
        <w:t xml:space="preserve">, reducing the </w:t>
      </w:r>
      <w:r w:rsidR="003E5C71" w:rsidRPr="00571CB3">
        <w:rPr>
          <w:lang w:val="en-GB"/>
        </w:rPr>
        <w:t xml:space="preserve">burden </w:t>
      </w:r>
      <w:r w:rsidR="001833CA" w:rsidRPr="00571CB3">
        <w:rPr>
          <w:lang w:val="en-GB"/>
        </w:rPr>
        <w:t xml:space="preserve">of fixed costs improves the competitiveness of bio-based alternatives </w:t>
      </w:r>
      <w:r w:rsidR="003E5C71" w:rsidRPr="00571CB3">
        <w:rPr>
          <w:lang w:val="en-GB"/>
        </w:rPr>
        <w:t xml:space="preserve">relative </w:t>
      </w:r>
      <w:r w:rsidR="001833CA" w:rsidRPr="00571CB3">
        <w:rPr>
          <w:lang w:val="en-GB"/>
        </w:rPr>
        <w:t xml:space="preserve">to fossil-based </w:t>
      </w:r>
      <w:r w:rsidR="003E5C71" w:rsidRPr="00571CB3">
        <w:rPr>
          <w:lang w:val="en-GB"/>
        </w:rPr>
        <w:t>benchmarks</w:t>
      </w:r>
      <w:r w:rsidR="001833CA" w:rsidRPr="00571CB3">
        <w:rPr>
          <w:lang w:val="en-GB"/>
        </w:rPr>
        <w:t xml:space="preserve">. </w:t>
      </w:r>
      <w:r w:rsidR="00FE4CB4" w:rsidRPr="00571CB3">
        <w:rPr>
          <w:lang w:val="en-GB"/>
        </w:rPr>
        <w:t xml:space="preserve">The same principle applies to the relationship between average operating costs and average total costs: the smaller the contribution of fixed costs to total costs, the more competitive the bio-based alternative becomes compared to a fossil-based market price. </w:t>
      </w:r>
      <w:r w:rsidR="001833CA" w:rsidRPr="00571CB3">
        <w:rPr>
          <w:lang w:val="en-GB"/>
        </w:rPr>
        <w:t xml:space="preserve">Investment strategies should </w:t>
      </w:r>
      <w:r w:rsidR="00FE4CB4" w:rsidRPr="00571CB3">
        <w:rPr>
          <w:lang w:val="en-GB"/>
        </w:rPr>
        <w:t xml:space="preserve">therefore </w:t>
      </w:r>
      <w:r w:rsidR="001833CA" w:rsidRPr="00571CB3">
        <w:rPr>
          <w:lang w:val="en-GB"/>
        </w:rPr>
        <w:t>consider plant scale, as larger facilities benefit from lower fixed costs</w:t>
      </w:r>
      <w:r w:rsidR="003E5C71" w:rsidRPr="00571CB3">
        <w:rPr>
          <w:lang w:val="en-GB"/>
        </w:rPr>
        <w:t xml:space="preserve"> per unit</w:t>
      </w:r>
      <w:r w:rsidR="001833CA" w:rsidRPr="00571CB3">
        <w:rPr>
          <w:lang w:val="en-GB"/>
        </w:rPr>
        <w:t xml:space="preserve">. </w:t>
      </w:r>
      <w:r w:rsidR="003E5C71" w:rsidRPr="00571CB3">
        <w:rPr>
          <w:lang w:val="en-GB"/>
        </w:rPr>
        <w:t>R</w:t>
      </w:r>
      <w:r w:rsidR="001833CA" w:rsidRPr="00571CB3">
        <w:rPr>
          <w:lang w:val="en-GB"/>
        </w:rPr>
        <w:t xml:space="preserve">epurposing or upgrading existing </w:t>
      </w:r>
      <w:r w:rsidR="003E5C71" w:rsidRPr="00571CB3">
        <w:rPr>
          <w:lang w:val="en-GB"/>
        </w:rPr>
        <w:t xml:space="preserve">infrastructure </w:t>
      </w:r>
      <w:r w:rsidR="001833CA" w:rsidRPr="00571CB3">
        <w:rPr>
          <w:lang w:val="en-GB"/>
        </w:rPr>
        <w:t xml:space="preserve">can </w:t>
      </w:r>
      <w:r w:rsidR="003E5C71" w:rsidRPr="00571CB3">
        <w:rPr>
          <w:lang w:val="en-GB"/>
        </w:rPr>
        <w:t xml:space="preserve">also help </w:t>
      </w:r>
      <w:r w:rsidR="001833CA" w:rsidRPr="00571CB3">
        <w:rPr>
          <w:lang w:val="en-GB"/>
        </w:rPr>
        <w:t>reduce fixed costs and enhance the economic viability of bio-based production</w:t>
      </w:r>
      <w:r w:rsidR="00FE4CB4" w:rsidRPr="00571CB3">
        <w:rPr>
          <w:lang w:val="en-GB"/>
        </w:rPr>
        <w:t xml:space="preserve"> (</w:t>
      </w:r>
      <w:r w:rsidR="007C242C" w:rsidRPr="00571CB3">
        <w:rPr>
          <w:lang w:val="en-GB"/>
        </w:rPr>
        <w:t>Brandt et al., 2022</w:t>
      </w:r>
      <w:r w:rsidR="00FE4CB4" w:rsidRPr="00571CB3">
        <w:rPr>
          <w:lang w:val="en-GB"/>
        </w:rPr>
        <w:t>)</w:t>
      </w:r>
      <w:r w:rsidR="001833CA" w:rsidRPr="00571CB3">
        <w:rPr>
          <w:lang w:val="en-GB"/>
        </w:rPr>
        <w:t>.</w:t>
      </w:r>
      <w:r w:rsidR="00494DE6">
        <w:rPr>
          <w:lang w:val="en-GB"/>
        </w:rPr>
        <w:t xml:space="preserve"> </w:t>
      </w:r>
      <w:r w:rsidR="00494DE6" w:rsidRPr="00571CB3">
        <w:rPr>
          <w:lang w:val="en-GB"/>
        </w:rPr>
        <w:t xml:space="preserve">Regarding technological coefficients, benzene </w:t>
      </w:r>
      <w:proofErr w:type="spellStart"/>
      <w:r w:rsidR="00494DE6" w:rsidRPr="00571CB3">
        <w:rPr>
          <w:lang w:val="en-GB"/>
        </w:rPr>
        <w:t>diboronic</w:t>
      </w:r>
      <w:proofErr w:type="spellEnd"/>
      <w:r w:rsidR="00494DE6" w:rsidRPr="00571CB3">
        <w:rPr>
          <w:lang w:val="en-GB"/>
        </w:rPr>
        <w:t xml:space="preserve"> acid, </w:t>
      </w:r>
      <w:proofErr w:type="spellStart"/>
      <w:r w:rsidR="00494DE6" w:rsidRPr="00571CB3">
        <w:rPr>
          <w:lang w:val="en-GB"/>
        </w:rPr>
        <w:t>thioglycerol</w:t>
      </w:r>
      <w:proofErr w:type="spellEnd"/>
      <w:r w:rsidR="00494DE6" w:rsidRPr="00571CB3">
        <w:rPr>
          <w:lang w:val="en-GB"/>
        </w:rPr>
        <w:t xml:space="preserve">, and </w:t>
      </w:r>
      <w:proofErr w:type="spellStart"/>
      <w:r w:rsidR="00494DE6" w:rsidRPr="00571CB3">
        <w:rPr>
          <w:lang w:val="en-GB"/>
        </w:rPr>
        <w:t>epoxidised</w:t>
      </w:r>
      <w:proofErr w:type="spellEnd"/>
      <w:r w:rsidR="00494DE6" w:rsidRPr="00571CB3">
        <w:rPr>
          <w:lang w:val="en-GB"/>
        </w:rPr>
        <w:t xml:space="preserve"> soybean oil exhibit the most significant adverse effects amongst the raw materials, meaning that improvements or reductions in their usage lead to the largest reductions in MPSP. As a result, the input costs of benzene </w:t>
      </w:r>
      <w:proofErr w:type="spellStart"/>
      <w:r w:rsidR="00494DE6" w:rsidRPr="00571CB3">
        <w:rPr>
          <w:lang w:val="en-GB"/>
        </w:rPr>
        <w:t>diboronic</w:t>
      </w:r>
      <w:proofErr w:type="spellEnd"/>
      <w:r w:rsidR="00494DE6" w:rsidRPr="00571CB3">
        <w:rPr>
          <w:lang w:val="en-GB"/>
        </w:rPr>
        <w:t xml:space="preserve"> acid and </w:t>
      </w:r>
      <w:proofErr w:type="spellStart"/>
      <w:r w:rsidR="00494DE6" w:rsidRPr="00571CB3">
        <w:rPr>
          <w:lang w:val="en-GB"/>
        </w:rPr>
        <w:t>thioglycerol</w:t>
      </w:r>
      <w:proofErr w:type="spellEnd"/>
      <w:r w:rsidR="00494DE6" w:rsidRPr="00571CB3">
        <w:rPr>
          <w:lang w:val="en-GB"/>
        </w:rPr>
        <w:t xml:space="preserve"> have the highest positive coefficients in the regression model, indicating that increases in their prices significantly raise the MPSP of the bio-based </w:t>
      </w:r>
      <w:proofErr w:type="spellStart"/>
      <w:r w:rsidR="00494DE6" w:rsidRPr="00571CB3">
        <w:rPr>
          <w:lang w:val="en-GB"/>
        </w:rPr>
        <w:t>vitrimers</w:t>
      </w:r>
      <w:proofErr w:type="spellEnd"/>
      <w:r w:rsidR="00494DE6" w:rsidRPr="00571CB3">
        <w:rPr>
          <w:lang w:val="en-GB"/>
        </w:rPr>
        <w:t xml:space="preserve">. </w:t>
      </w:r>
      <w:r w:rsidR="00494DE6" w:rsidRPr="00571CB3">
        <w:rPr>
          <w:noProof/>
          <w:lang w:val="en-GB"/>
        </w:rPr>
        <w:t>Finally, variations in the economic parameters of the NPV calculation</w:t>
      </w:r>
      <w:r w:rsidR="00494DE6" w:rsidRPr="00571CB3">
        <w:rPr>
          <w:lang w:val="en-GB"/>
        </w:rPr>
        <w:t>—</w:t>
      </w:r>
      <w:r w:rsidR="00494DE6" w:rsidRPr="00571CB3">
        <w:rPr>
          <w:noProof/>
          <w:lang w:val="en-GB"/>
        </w:rPr>
        <w:t xml:space="preserve">such as </w:t>
      </w:r>
      <w:r w:rsidR="00494DE6" w:rsidRPr="00571CB3">
        <w:rPr>
          <w:lang w:val="en-GB"/>
        </w:rPr>
        <w:t xml:space="preserve">the interest rate, discount rate, salvage factor, and payback period—also </w:t>
      </w:r>
      <w:r w:rsidR="00494DE6" w:rsidRPr="00571CB3">
        <w:rPr>
          <w:noProof/>
          <w:lang w:val="en-GB"/>
        </w:rPr>
        <w:t xml:space="preserve">have a significant impact on the MPSP. </w:t>
      </w:r>
    </w:p>
    <w:p w14:paraId="382C0A27" w14:textId="4656788D" w:rsidR="00A74B3F" w:rsidRPr="00571CB3" w:rsidRDefault="00A74B3F" w:rsidP="00A74B3F">
      <w:pPr>
        <w:pStyle w:val="CETTabletitle"/>
      </w:pPr>
      <w:r w:rsidRPr="00571CB3">
        <w:t xml:space="preserve">Table </w:t>
      </w:r>
      <w:r w:rsidRPr="00571CB3">
        <w:fldChar w:fldCharType="begin"/>
      </w:r>
      <w:r w:rsidRPr="00571CB3">
        <w:instrText xml:space="preserve"> SEQ Table \* ARABIC </w:instrText>
      </w:r>
      <w:r w:rsidRPr="00571CB3">
        <w:fldChar w:fldCharType="separate"/>
      </w:r>
      <w:r w:rsidRPr="00571CB3">
        <w:t>3</w:t>
      </w:r>
      <w:r w:rsidRPr="00571CB3">
        <w:fldChar w:fldCharType="end"/>
      </w:r>
      <w:r w:rsidRPr="00571CB3">
        <w:t xml:space="preserve"> </w:t>
      </w:r>
      <w:r w:rsidR="00D81B3A" w:rsidRPr="00571CB3">
        <w:t>Elasticities of the MPSP with respect to a +1 % model inputs increase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05"/>
        <w:gridCol w:w="1432"/>
        <w:gridCol w:w="953"/>
        <w:gridCol w:w="1067"/>
        <w:gridCol w:w="1067"/>
        <w:gridCol w:w="1063"/>
      </w:tblGrid>
      <w:tr w:rsidR="00F914A9" w:rsidRPr="00571CB3" w14:paraId="02A9811D" w14:textId="40AE4D54" w:rsidTr="00532A83">
        <w:tc>
          <w:tcPr>
            <w:tcW w:w="1824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F2F8135" w14:textId="77777777" w:rsidR="00F914A9" w:rsidRPr="00571CB3" w:rsidRDefault="00F914A9" w:rsidP="00F914A9">
            <w:pPr>
              <w:pStyle w:val="CETBodytext"/>
              <w:rPr>
                <w:lang w:val="en-GB"/>
              </w:rPr>
            </w:pPr>
          </w:p>
        </w:tc>
        <w:tc>
          <w:tcPr>
            <w:tcW w:w="815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47907BD" w14:textId="61DD6876" w:rsidR="00F914A9" w:rsidRPr="00571CB3" w:rsidRDefault="00F914A9" w:rsidP="00F914A9">
            <w:pPr>
              <w:pStyle w:val="CETBodytext"/>
              <w:jc w:val="center"/>
              <w:rPr>
                <w:b/>
                <w:bCs/>
                <w:lang w:val="en-GB"/>
              </w:rPr>
            </w:pPr>
            <w:r w:rsidRPr="00571CB3">
              <w:rPr>
                <w:b/>
                <w:bCs/>
                <w:lang w:val="en-GB"/>
              </w:rPr>
              <w:t>Estimate</w:t>
            </w:r>
          </w:p>
        </w:tc>
        <w:tc>
          <w:tcPr>
            <w:tcW w:w="542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22AB420" w14:textId="05FD71D4" w:rsidR="00F914A9" w:rsidRPr="00571CB3" w:rsidRDefault="00F914A9" w:rsidP="00F914A9">
            <w:pPr>
              <w:pStyle w:val="CETBodytext"/>
              <w:jc w:val="center"/>
              <w:rPr>
                <w:b/>
                <w:bCs/>
                <w:lang w:val="en-GB"/>
              </w:rPr>
            </w:pPr>
            <w:proofErr w:type="spellStart"/>
            <w:r w:rsidRPr="00571CB3">
              <w:rPr>
                <w:b/>
                <w:bCs/>
                <w:lang w:val="en-GB"/>
              </w:rPr>
              <w:t>Pr</w:t>
            </w:r>
            <w:proofErr w:type="spellEnd"/>
            <w:r w:rsidRPr="00571CB3">
              <w:rPr>
                <w:b/>
                <w:bCs/>
                <w:lang w:val="en-GB"/>
              </w:rPr>
              <w:t>(&gt;|t|)</w:t>
            </w:r>
          </w:p>
        </w:tc>
        <w:tc>
          <w:tcPr>
            <w:tcW w:w="607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B4D20FD" w14:textId="77777777" w:rsidR="00F914A9" w:rsidRPr="00571CB3" w:rsidRDefault="00F914A9" w:rsidP="00F914A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7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A3ABFDC" w14:textId="6D83BC2B" w:rsidR="00F914A9" w:rsidRPr="00571CB3" w:rsidRDefault="00F914A9" w:rsidP="00F914A9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b/>
                <w:bCs/>
                <w:lang w:val="en-GB"/>
              </w:rPr>
              <w:t>Estimate</w:t>
            </w:r>
          </w:p>
        </w:tc>
        <w:tc>
          <w:tcPr>
            <w:tcW w:w="605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9D96D2C" w14:textId="71D6B7E7" w:rsidR="00F914A9" w:rsidRPr="00571CB3" w:rsidRDefault="00F914A9" w:rsidP="00F914A9">
            <w:pPr>
              <w:pStyle w:val="CETBodytext"/>
              <w:jc w:val="center"/>
              <w:rPr>
                <w:lang w:val="en-GB"/>
              </w:rPr>
            </w:pPr>
            <w:proofErr w:type="spellStart"/>
            <w:r w:rsidRPr="00571CB3">
              <w:rPr>
                <w:b/>
                <w:bCs/>
                <w:lang w:val="en-GB"/>
              </w:rPr>
              <w:t>Pr</w:t>
            </w:r>
            <w:proofErr w:type="spellEnd"/>
            <w:r w:rsidRPr="00571CB3">
              <w:rPr>
                <w:b/>
                <w:bCs/>
                <w:lang w:val="en-GB"/>
              </w:rPr>
              <w:t>(&gt;|t|)</w:t>
            </w:r>
          </w:p>
        </w:tc>
      </w:tr>
      <w:tr w:rsidR="00F914A9" w:rsidRPr="00571CB3" w14:paraId="31623952" w14:textId="53F33C97" w:rsidTr="00532A83">
        <w:tc>
          <w:tcPr>
            <w:tcW w:w="1824" w:type="pct"/>
            <w:shd w:val="clear" w:color="auto" w:fill="FFFFFF"/>
          </w:tcPr>
          <w:p w14:paraId="3BCADE26" w14:textId="77777777" w:rsidR="00F914A9" w:rsidRPr="00571CB3" w:rsidRDefault="00F914A9" w:rsidP="00F914A9">
            <w:pPr>
              <w:pStyle w:val="CETBodytext"/>
              <w:rPr>
                <w:i/>
                <w:iCs/>
                <w:lang w:val="en-GB"/>
              </w:rPr>
            </w:pPr>
            <w:r w:rsidRPr="00571CB3">
              <w:rPr>
                <w:i/>
                <w:iCs/>
                <w:lang w:val="en-GB"/>
              </w:rPr>
              <w:t>Industry performance</w:t>
            </w:r>
          </w:p>
        </w:tc>
        <w:tc>
          <w:tcPr>
            <w:tcW w:w="815" w:type="pct"/>
            <w:shd w:val="clear" w:color="auto" w:fill="FFFFFF"/>
          </w:tcPr>
          <w:p w14:paraId="1A7797ED" w14:textId="77777777" w:rsidR="00F914A9" w:rsidRPr="00571CB3" w:rsidRDefault="00F914A9" w:rsidP="00F914A9">
            <w:pPr>
              <w:pStyle w:val="CETBodytext"/>
              <w:rPr>
                <w:lang w:val="en-GB"/>
              </w:rPr>
            </w:pPr>
          </w:p>
        </w:tc>
        <w:tc>
          <w:tcPr>
            <w:tcW w:w="542" w:type="pct"/>
            <w:shd w:val="clear" w:color="auto" w:fill="FFFFFF"/>
          </w:tcPr>
          <w:p w14:paraId="790C0C5A" w14:textId="77777777" w:rsidR="00F914A9" w:rsidRPr="00571CB3" w:rsidRDefault="00F914A9" w:rsidP="00F914A9">
            <w:pPr>
              <w:pStyle w:val="CETBodytext"/>
              <w:rPr>
                <w:lang w:val="en-GB"/>
              </w:rPr>
            </w:pPr>
          </w:p>
        </w:tc>
        <w:tc>
          <w:tcPr>
            <w:tcW w:w="607" w:type="pct"/>
            <w:shd w:val="clear" w:color="auto" w:fill="FFFFFF"/>
          </w:tcPr>
          <w:p w14:paraId="5E42CDCF" w14:textId="77777777" w:rsidR="00F914A9" w:rsidRPr="00571CB3" w:rsidRDefault="00F914A9" w:rsidP="00F914A9">
            <w:pPr>
              <w:pStyle w:val="CETBodytext"/>
              <w:rPr>
                <w:lang w:val="en-GB"/>
              </w:rPr>
            </w:pPr>
          </w:p>
        </w:tc>
        <w:tc>
          <w:tcPr>
            <w:tcW w:w="607" w:type="pct"/>
            <w:shd w:val="clear" w:color="auto" w:fill="FFFFFF"/>
          </w:tcPr>
          <w:p w14:paraId="2612D6A3" w14:textId="77777777" w:rsidR="00F914A9" w:rsidRPr="00571CB3" w:rsidRDefault="00F914A9" w:rsidP="00F914A9">
            <w:pPr>
              <w:pStyle w:val="CETBodytext"/>
              <w:rPr>
                <w:lang w:val="en-GB"/>
              </w:rPr>
            </w:pPr>
          </w:p>
        </w:tc>
        <w:tc>
          <w:tcPr>
            <w:tcW w:w="605" w:type="pct"/>
            <w:shd w:val="clear" w:color="auto" w:fill="FFFFFF"/>
          </w:tcPr>
          <w:p w14:paraId="356840B4" w14:textId="77777777" w:rsidR="00F914A9" w:rsidRPr="00571CB3" w:rsidRDefault="00F914A9" w:rsidP="00F914A9">
            <w:pPr>
              <w:pStyle w:val="CETBodytext"/>
              <w:rPr>
                <w:lang w:val="en-GB"/>
              </w:rPr>
            </w:pPr>
          </w:p>
        </w:tc>
      </w:tr>
      <w:tr w:rsidR="00F914A9" w:rsidRPr="00571CB3" w14:paraId="452BA76E" w14:textId="6D4E9CEE" w:rsidTr="00532A83">
        <w:tc>
          <w:tcPr>
            <w:tcW w:w="1824" w:type="pct"/>
            <w:shd w:val="clear" w:color="auto" w:fill="FFFFFF"/>
          </w:tcPr>
          <w:p w14:paraId="203DCAD8" w14:textId="4BD74EF5" w:rsidR="00F914A9" w:rsidRPr="00571CB3" w:rsidRDefault="00F914A9" w:rsidP="00F914A9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Share of ARC (</w:t>
            </w:r>
            <w:r w:rsidRPr="00571CB3">
              <w:rPr>
                <w:noProof/>
                <w:lang w:val="en-GB"/>
              </w:rPr>
              <w:t>***</w:t>
            </w:r>
            <w:r w:rsidRPr="00571CB3">
              <w:rPr>
                <w:lang w:val="en-GB"/>
              </w:rPr>
              <w:t>)</w:t>
            </w:r>
          </w:p>
        </w:tc>
        <w:tc>
          <w:tcPr>
            <w:tcW w:w="815" w:type="pct"/>
            <w:shd w:val="clear" w:color="auto" w:fill="FFFFFF"/>
          </w:tcPr>
          <w:p w14:paraId="435A4F83" w14:textId="67048843" w:rsidR="00F914A9" w:rsidRPr="00571CB3" w:rsidRDefault="00F914A9" w:rsidP="00F914A9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-1.00</w:t>
            </w:r>
          </w:p>
        </w:tc>
        <w:tc>
          <w:tcPr>
            <w:tcW w:w="542" w:type="pct"/>
            <w:shd w:val="clear" w:color="auto" w:fill="FFFFFF"/>
          </w:tcPr>
          <w:p w14:paraId="7AA933F8" w14:textId="7E5BA1F8" w:rsidR="00F914A9" w:rsidRPr="00571CB3" w:rsidRDefault="009005A6" w:rsidP="00F914A9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noProof/>
                <w:lang w:val="en-GB"/>
              </w:rPr>
              <w:t>0.00</w:t>
            </w:r>
          </w:p>
        </w:tc>
        <w:tc>
          <w:tcPr>
            <w:tcW w:w="607" w:type="pct"/>
            <w:shd w:val="clear" w:color="auto" w:fill="FFFFFF"/>
          </w:tcPr>
          <w:p w14:paraId="483BBA10" w14:textId="1C61A4C0" w:rsidR="00F914A9" w:rsidRPr="00571CB3" w:rsidRDefault="00F914A9" w:rsidP="00F914A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7" w:type="pct"/>
            <w:shd w:val="clear" w:color="auto" w:fill="FFFFFF"/>
          </w:tcPr>
          <w:p w14:paraId="53BF48DF" w14:textId="77777777" w:rsidR="00F914A9" w:rsidRPr="00571CB3" w:rsidRDefault="00F914A9" w:rsidP="00F914A9">
            <w:pPr>
              <w:pStyle w:val="CETBodytext"/>
              <w:jc w:val="center"/>
              <w:rPr>
                <w:noProof/>
                <w:lang w:val="en-GB"/>
              </w:rPr>
            </w:pPr>
          </w:p>
        </w:tc>
        <w:tc>
          <w:tcPr>
            <w:tcW w:w="605" w:type="pct"/>
            <w:shd w:val="clear" w:color="auto" w:fill="FFFFFF"/>
          </w:tcPr>
          <w:p w14:paraId="7BE7365E" w14:textId="77777777" w:rsidR="00F914A9" w:rsidRPr="00571CB3" w:rsidRDefault="00F914A9" w:rsidP="00F914A9">
            <w:pPr>
              <w:pStyle w:val="CETBodytext"/>
              <w:jc w:val="center"/>
              <w:rPr>
                <w:noProof/>
                <w:lang w:val="en-GB"/>
              </w:rPr>
            </w:pPr>
          </w:p>
        </w:tc>
      </w:tr>
      <w:tr w:rsidR="00F914A9" w:rsidRPr="00571CB3" w14:paraId="101FD3AA" w14:textId="560C9579" w:rsidTr="00532A83">
        <w:tc>
          <w:tcPr>
            <w:tcW w:w="1824" w:type="pct"/>
            <w:tcBorders>
              <w:bottom w:val="single" w:sz="4" w:space="0" w:color="00B050"/>
            </w:tcBorders>
            <w:shd w:val="clear" w:color="auto" w:fill="FFFFFF"/>
          </w:tcPr>
          <w:p w14:paraId="36C2EE38" w14:textId="6EEC7933" w:rsidR="00F914A9" w:rsidRPr="00571CB3" w:rsidRDefault="00F914A9" w:rsidP="00F914A9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lang w:val="en-GB"/>
              </w:rPr>
              <w:t>Share of AVC (</w:t>
            </w:r>
            <w:r w:rsidRPr="00571CB3">
              <w:rPr>
                <w:noProof/>
                <w:lang w:val="en-GB"/>
              </w:rPr>
              <w:t>***</w:t>
            </w:r>
            <w:r w:rsidRPr="00571CB3">
              <w:rPr>
                <w:lang w:val="en-GB"/>
              </w:rPr>
              <w:t>)</w:t>
            </w:r>
          </w:p>
        </w:tc>
        <w:tc>
          <w:tcPr>
            <w:tcW w:w="815" w:type="pct"/>
            <w:tcBorders>
              <w:bottom w:val="single" w:sz="4" w:space="0" w:color="00B050"/>
            </w:tcBorders>
            <w:shd w:val="clear" w:color="auto" w:fill="FFFFFF"/>
          </w:tcPr>
          <w:p w14:paraId="487A42C1" w14:textId="4A6FDE90" w:rsidR="00F914A9" w:rsidRPr="00571CB3" w:rsidRDefault="00F914A9" w:rsidP="00F914A9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lang w:val="en-GB"/>
              </w:rPr>
              <w:t>-0.44</w:t>
            </w:r>
          </w:p>
        </w:tc>
        <w:tc>
          <w:tcPr>
            <w:tcW w:w="542" w:type="pct"/>
            <w:tcBorders>
              <w:bottom w:val="single" w:sz="4" w:space="0" w:color="00B050"/>
            </w:tcBorders>
            <w:shd w:val="clear" w:color="auto" w:fill="FFFFFF"/>
          </w:tcPr>
          <w:p w14:paraId="155FB9D0" w14:textId="68FA24C0" w:rsidR="00F914A9" w:rsidRPr="00571CB3" w:rsidRDefault="009005A6" w:rsidP="00F914A9">
            <w:pPr>
              <w:pStyle w:val="CETBodytext"/>
              <w:jc w:val="center"/>
              <w:rPr>
                <w:lang w:val="en-GB"/>
              </w:rPr>
            </w:pPr>
            <w:r w:rsidRPr="00571CB3">
              <w:rPr>
                <w:noProof/>
                <w:lang w:val="en-GB"/>
              </w:rPr>
              <w:t>0.00</w:t>
            </w:r>
          </w:p>
        </w:tc>
        <w:tc>
          <w:tcPr>
            <w:tcW w:w="607" w:type="pct"/>
            <w:tcBorders>
              <w:bottom w:val="single" w:sz="4" w:space="0" w:color="00B050"/>
            </w:tcBorders>
            <w:shd w:val="clear" w:color="auto" w:fill="FFFFFF"/>
          </w:tcPr>
          <w:p w14:paraId="14680FEC" w14:textId="5F60D322" w:rsidR="00F914A9" w:rsidRPr="00571CB3" w:rsidRDefault="00F914A9" w:rsidP="00F914A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7" w:type="pct"/>
            <w:tcBorders>
              <w:bottom w:val="single" w:sz="4" w:space="0" w:color="00B050"/>
            </w:tcBorders>
            <w:shd w:val="clear" w:color="auto" w:fill="FFFFFF"/>
          </w:tcPr>
          <w:p w14:paraId="760E351C" w14:textId="77777777" w:rsidR="00F914A9" w:rsidRPr="00571CB3" w:rsidRDefault="00F914A9" w:rsidP="00F914A9">
            <w:pPr>
              <w:pStyle w:val="CETBodytext"/>
              <w:jc w:val="center"/>
              <w:rPr>
                <w:noProof/>
                <w:lang w:val="en-GB"/>
              </w:rPr>
            </w:pPr>
          </w:p>
        </w:tc>
        <w:tc>
          <w:tcPr>
            <w:tcW w:w="605" w:type="pct"/>
            <w:tcBorders>
              <w:bottom w:val="single" w:sz="4" w:space="0" w:color="00B050"/>
            </w:tcBorders>
            <w:shd w:val="clear" w:color="auto" w:fill="FFFFFF"/>
          </w:tcPr>
          <w:p w14:paraId="3BCF2736" w14:textId="77777777" w:rsidR="00F914A9" w:rsidRPr="00571CB3" w:rsidRDefault="00F914A9" w:rsidP="00F914A9">
            <w:pPr>
              <w:pStyle w:val="CETBodytext"/>
              <w:jc w:val="center"/>
              <w:rPr>
                <w:noProof/>
                <w:lang w:val="en-GB"/>
              </w:rPr>
            </w:pPr>
          </w:p>
        </w:tc>
      </w:tr>
      <w:tr w:rsidR="00F914A9" w:rsidRPr="00571CB3" w14:paraId="73883449" w14:textId="664BB7C4" w:rsidTr="00532A83">
        <w:tc>
          <w:tcPr>
            <w:tcW w:w="1824" w:type="pct"/>
            <w:tcBorders>
              <w:top w:val="single" w:sz="4" w:space="0" w:color="00B050"/>
            </w:tcBorders>
            <w:shd w:val="clear" w:color="auto" w:fill="FFFFFF"/>
          </w:tcPr>
          <w:p w14:paraId="3007E266" w14:textId="77777777" w:rsidR="00F914A9" w:rsidRPr="00571CB3" w:rsidRDefault="00F914A9" w:rsidP="00F914A9">
            <w:pPr>
              <w:pStyle w:val="CETBodytext"/>
              <w:jc w:val="left"/>
              <w:rPr>
                <w:i/>
                <w:iCs/>
                <w:lang w:val="en-GB"/>
              </w:rPr>
            </w:pPr>
            <w:r w:rsidRPr="00571CB3">
              <w:rPr>
                <w:i/>
                <w:iCs/>
                <w:lang w:val="en-GB"/>
              </w:rPr>
              <w:t>Technological coefficients</w:t>
            </w:r>
          </w:p>
        </w:tc>
        <w:tc>
          <w:tcPr>
            <w:tcW w:w="815" w:type="pct"/>
            <w:tcBorders>
              <w:top w:val="single" w:sz="4" w:space="0" w:color="00B050"/>
            </w:tcBorders>
            <w:shd w:val="clear" w:color="auto" w:fill="FFFFFF"/>
          </w:tcPr>
          <w:p w14:paraId="26ACEABE" w14:textId="77777777" w:rsidR="00F914A9" w:rsidRPr="00571CB3" w:rsidRDefault="00F914A9" w:rsidP="00F914A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542" w:type="pct"/>
            <w:tcBorders>
              <w:top w:val="single" w:sz="4" w:space="0" w:color="00B050"/>
            </w:tcBorders>
            <w:shd w:val="clear" w:color="auto" w:fill="FFFFFF"/>
          </w:tcPr>
          <w:p w14:paraId="52B634CB" w14:textId="77777777" w:rsidR="00F914A9" w:rsidRPr="00571CB3" w:rsidRDefault="00F914A9" w:rsidP="00F914A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7" w:type="pct"/>
            <w:tcBorders>
              <w:top w:val="single" w:sz="4" w:space="0" w:color="00B050"/>
            </w:tcBorders>
            <w:shd w:val="clear" w:color="auto" w:fill="FFFFFF"/>
          </w:tcPr>
          <w:p w14:paraId="33142B4F" w14:textId="77777777" w:rsidR="00F914A9" w:rsidRPr="00571CB3" w:rsidRDefault="00F914A9" w:rsidP="00F914A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7" w:type="pct"/>
            <w:tcBorders>
              <w:top w:val="single" w:sz="4" w:space="0" w:color="00B050"/>
            </w:tcBorders>
            <w:shd w:val="clear" w:color="auto" w:fill="FFFFFF"/>
          </w:tcPr>
          <w:p w14:paraId="7C083752" w14:textId="77777777" w:rsidR="00F914A9" w:rsidRPr="00571CB3" w:rsidRDefault="00F914A9" w:rsidP="00F914A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5" w:type="pct"/>
            <w:tcBorders>
              <w:top w:val="single" w:sz="4" w:space="0" w:color="00B050"/>
            </w:tcBorders>
            <w:shd w:val="clear" w:color="auto" w:fill="FFFFFF"/>
          </w:tcPr>
          <w:p w14:paraId="01D5D58A" w14:textId="77777777" w:rsidR="00F914A9" w:rsidRPr="00571CB3" w:rsidRDefault="00F914A9" w:rsidP="00F914A9">
            <w:pPr>
              <w:pStyle w:val="CETBodytext"/>
              <w:jc w:val="center"/>
              <w:rPr>
                <w:lang w:val="en-GB"/>
              </w:rPr>
            </w:pPr>
          </w:p>
        </w:tc>
      </w:tr>
      <w:tr w:rsidR="00C857F8" w:rsidRPr="00571CB3" w14:paraId="25767CEE" w14:textId="7F537971" w:rsidTr="00532A83">
        <w:tc>
          <w:tcPr>
            <w:tcW w:w="1824" w:type="pct"/>
            <w:shd w:val="clear" w:color="auto" w:fill="FFFFFF"/>
          </w:tcPr>
          <w:p w14:paraId="135F0754" w14:textId="67CD2D66" w:rsidR="00C857F8" w:rsidRPr="00571CB3" w:rsidRDefault="00C857F8" w:rsidP="00C857F8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noProof/>
                <w:lang w:val="en-GB"/>
              </w:rPr>
              <w:t>Beneze diboronic acid (***)</w:t>
            </w:r>
          </w:p>
        </w:tc>
        <w:tc>
          <w:tcPr>
            <w:tcW w:w="815" w:type="pct"/>
            <w:shd w:val="clear" w:color="auto" w:fill="FFFFFF"/>
          </w:tcPr>
          <w:p w14:paraId="309A7522" w14:textId="45539AEA" w:rsidR="00C857F8" w:rsidRPr="00571CB3" w:rsidRDefault="00C857F8" w:rsidP="00C857F8">
            <w:pPr>
              <w:pStyle w:val="CETBodytext"/>
              <w:jc w:val="center"/>
              <w:rPr>
                <w:noProof/>
                <w:lang w:val="en-GB"/>
              </w:rPr>
            </w:pPr>
            <w:r w:rsidRPr="00571CB3">
              <w:rPr>
                <w:noProof/>
                <w:lang w:val="en-GB"/>
              </w:rPr>
              <w:t>-0.52</w:t>
            </w:r>
          </w:p>
        </w:tc>
        <w:tc>
          <w:tcPr>
            <w:tcW w:w="542" w:type="pct"/>
            <w:shd w:val="clear" w:color="auto" w:fill="FFFFFF"/>
          </w:tcPr>
          <w:p w14:paraId="308C7032" w14:textId="25932369" w:rsidR="00C857F8" w:rsidRPr="00571CB3" w:rsidRDefault="009005A6" w:rsidP="00C857F8">
            <w:pPr>
              <w:pStyle w:val="CETBodytext"/>
              <w:jc w:val="center"/>
              <w:rPr>
                <w:noProof/>
                <w:lang w:val="en-GB"/>
              </w:rPr>
            </w:pPr>
            <w:r w:rsidRPr="00571CB3">
              <w:rPr>
                <w:noProof/>
                <w:lang w:val="en-GB"/>
              </w:rPr>
              <w:t>0.00</w:t>
            </w:r>
          </w:p>
        </w:tc>
        <w:tc>
          <w:tcPr>
            <w:tcW w:w="607" w:type="pct"/>
            <w:shd w:val="clear" w:color="auto" w:fill="FFFFFF"/>
          </w:tcPr>
          <w:p w14:paraId="16B8F5A6" w14:textId="41575305" w:rsidR="00C857F8" w:rsidRPr="00571CB3" w:rsidRDefault="00C857F8" w:rsidP="00532A83">
            <w:pPr>
              <w:pStyle w:val="CETBodytext"/>
              <w:jc w:val="left"/>
              <w:rPr>
                <w:noProof/>
                <w:lang w:val="en-GB"/>
              </w:rPr>
            </w:pPr>
            <w:r w:rsidRPr="00571CB3">
              <w:rPr>
                <w:noProof/>
                <w:lang w:val="en-GB"/>
              </w:rPr>
              <w:t>Biomass</w:t>
            </w:r>
          </w:p>
        </w:tc>
        <w:tc>
          <w:tcPr>
            <w:tcW w:w="607" w:type="pct"/>
            <w:shd w:val="clear" w:color="auto" w:fill="FFFFFF"/>
          </w:tcPr>
          <w:p w14:paraId="0E6C4E47" w14:textId="4E18B6C4" w:rsidR="00C857F8" w:rsidRPr="00571CB3" w:rsidRDefault="00C857F8" w:rsidP="00C857F8">
            <w:pPr>
              <w:pStyle w:val="CETBodytext"/>
              <w:jc w:val="center"/>
              <w:rPr>
                <w:noProof/>
                <w:lang w:val="en-GB"/>
              </w:rPr>
            </w:pPr>
            <w:r w:rsidRPr="00571CB3">
              <w:rPr>
                <w:noProof/>
                <w:lang w:val="en-GB"/>
              </w:rPr>
              <w:t>-0.01</w:t>
            </w:r>
          </w:p>
        </w:tc>
        <w:tc>
          <w:tcPr>
            <w:tcW w:w="605" w:type="pct"/>
            <w:shd w:val="clear" w:color="auto" w:fill="FFFFFF"/>
          </w:tcPr>
          <w:p w14:paraId="4066E2F1" w14:textId="25284FC7" w:rsidR="00C857F8" w:rsidRPr="00571CB3" w:rsidRDefault="00C857F8" w:rsidP="00C857F8">
            <w:pPr>
              <w:pStyle w:val="CETBodytext"/>
              <w:jc w:val="center"/>
              <w:rPr>
                <w:noProof/>
                <w:lang w:val="en-GB"/>
              </w:rPr>
            </w:pPr>
            <w:r w:rsidRPr="00571CB3">
              <w:rPr>
                <w:noProof/>
                <w:lang w:val="en-GB"/>
              </w:rPr>
              <w:t>0.23</w:t>
            </w:r>
          </w:p>
        </w:tc>
      </w:tr>
      <w:tr w:rsidR="00C857F8" w:rsidRPr="00571CB3" w14:paraId="144363FF" w14:textId="65813244" w:rsidTr="00532A83">
        <w:tc>
          <w:tcPr>
            <w:tcW w:w="1824" w:type="pct"/>
            <w:tcBorders>
              <w:bottom w:val="nil"/>
            </w:tcBorders>
            <w:shd w:val="clear" w:color="auto" w:fill="FFFFFF"/>
          </w:tcPr>
          <w:p w14:paraId="4DA37B52" w14:textId="6F91E26B" w:rsidR="00C857F8" w:rsidRPr="00571CB3" w:rsidRDefault="00C857F8" w:rsidP="00C857F8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noProof/>
                <w:lang w:val="en-GB"/>
              </w:rPr>
              <w:t>Thioglycerol (***)</w:t>
            </w:r>
          </w:p>
        </w:tc>
        <w:tc>
          <w:tcPr>
            <w:tcW w:w="815" w:type="pct"/>
            <w:tcBorders>
              <w:bottom w:val="nil"/>
            </w:tcBorders>
            <w:shd w:val="clear" w:color="auto" w:fill="FFFFFF"/>
          </w:tcPr>
          <w:p w14:paraId="3C603B72" w14:textId="4AA80746" w:rsidR="00C857F8" w:rsidRPr="00571CB3" w:rsidRDefault="00C857F8" w:rsidP="00C857F8">
            <w:pPr>
              <w:pStyle w:val="CETBodytext"/>
              <w:jc w:val="center"/>
              <w:rPr>
                <w:noProof/>
                <w:lang w:val="en-GB"/>
              </w:rPr>
            </w:pPr>
            <w:r w:rsidRPr="00571CB3">
              <w:rPr>
                <w:noProof/>
                <w:lang w:val="en-GB"/>
              </w:rPr>
              <w:t>-0.45</w:t>
            </w:r>
          </w:p>
        </w:tc>
        <w:tc>
          <w:tcPr>
            <w:tcW w:w="542" w:type="pct"/>
            <w:tcBorders>
              <w:bottom w:val="nil"/>
            </w:tcBorders>
            <w:shd w:val="clear" w:color="auto" w:fill="FFFFFF"/>
          </w:tcPr>
          <w:p w14:paraId="52D569F1" w14:textId="4FDEA85B" w:rsidR="00C857F8" w:rsidRPr="00571CB3" w:rsidRDefault="009005A6" w:rsidP="00C857F8">
            <w:pPr>
              <w:pStyle w:val="CETBodytext"/>
              <w:jc w:val="center"/>
              <w:rPr>
                <w:noProof/>
                <w:lang w:val="en-GB"/>
              </w:rPr>
            </w:pPr>
            <w:r w:rsidRPr="00571CB3">
              <w:rPr>
                <w:noProof/>
                <w:lang w:val="en-GB"/>
              </w:rPr>
              <w:t>0.00</w:t>
            </w:r>
          </w:p>
        </w:tc>
        <w:tc>
          <w:tcPr>
            <w:tcW w:w="607" w:type="pct"/>
            <w:tcBorders>
              <w:bottom w:val="nil"/>
            </w:tcBorders>
            <w:shd w:val="clear" w:color="auto" w:fill="FFFFFF"/>
          </w:tcPr>
          <w:p w14:paraId="604E211C" w14:textId="16893F37" w:rsidR="00C857F8" w:rsidRPr="00571CB3" w:rsidRDefault="00C857F8" w:rsidP="00532A83">
            <w:pPr>
              <w:pStyle w:val="CETBodytext"/>
              <w:jc w:val="left"/>
              <w:rPr>
                <w:noProof/>
                <w:lang w:val="en-GB"/>
              </w:rPr>
            </w:pPr>
            <w:r w:rsidRPr="00571CB3">
              <w:rPr>
                <w:noProof/>
                <w:lang w:val="en-GB"/>
              </w:rPr>
              <w:t xml:space="preserve">Water </w:t>
            </w:r>
          </w:p>
        </w:tc>
        <w:tc>
          <w:tcPr>
            <w:tcW w:w="607" w:type="pct"/>
            <w:tcBorders>
              <w:bottom w:val="nil"/>
            </w:tcBorders>
            <w:shd w:val="clear" w:color="auto" w:fill="FFFFFF"/>
          </w:tcPr>
          <w:p w14:paraId="05882780" w14:textId="2A4AE41E" w:rsidR="00C857F8" w:rsidRPr="00571CB3" w:rsidRDefault="00C857F8" w:rsidP="00C857F8">
            <w:pPr>
              <w:pStyle w:val="CETBodytext"/>
              <w:jc w:val="center"/>
              <w:rPr>
                <w:noProof/>
                <w:lang w:val="en-GB"/>
              </w:rPr>
            </w:pPr>
            <w:r w:rsidRPr="00571CB3">
              <w:rPr>
                <w:noProof/>
                <w:lang w:val="en-GB"/>
              </w:rPr>
              <w:t>0.00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FFFFFF"/>
          </w:tcPr>
          <w:p w14:paraId="28723DE9" w14:textId="161E2326" w:rsidR="00C857F8" w:rsidRPr="00571CB3" w:rsidRDefault="00C857F8" w:rsidP="00C857F8">
            <w:pPr>
              <w:pStyle w:val="CETBodytext"/>
              <w:jc w:val="center"/>
              <w:rPr>
                <w:noProof/>
                <w:lang w:val="en-GB"/>
              </w:rPr>
            </w:pPr>
            <w:r w:rsidRPr="00571CB3">
              <w:rPr>
                <w:noProof/>
                <w:lang w:val="en-GB"/>
              </w:rPr>
              <w:t>0.43</w:t>
            </w:r>
          </w:p>
        </w:tc>
      </w:tr>
      <w:tr w:rsidR="00C857F8" w:rsidRPr="00571CB3" w14:paraId="6D7D1906" w14:textId="484903A9" w:rsidTr="00532A83">
        <w:tc>
          <w:tcPr>
            <w:tcW w:w="1824" w:type="pct"/>
            <w:tcBorders>
              <w:top w:val="nil"/>
              <w:bottom w:val="nil"/>
            </w:tcBorders>
            <w:shd w:val="clear" w:color="auto" w:fill="FFFFFF"/>
          </w:tcPr>
          <w:p w14:paraId="785FF93C" w14:textId="108A6BCD" w:rsidR="00C857F8" w:rsidRPr="00571CB3" w:rsidRDefault="00C857F8" w:rsidP="00C857F8">
            <w:pPr>
              <w:pStyle w:val="CETBodytext"/>
              <w:jc w:val="left"/>
              <w:rPr>
                <w:lang w:val="en-GB"/>
              </w:rPr>
            </w:pPr>
            <w:r w:rsidRPr="00571CB3">
              <w:rPr>
                <w:noProof/>
                <w:lang w:val="en-GB"/>
              </w:rPr>
              <w:t>Epoxidized soybean oil (***)</w:t>
            </w:r>
          </w:p>
        </w:tc>
        <w:tc>
          <w:tcPr>
            <w:tcW w:w="815" w:type="pct"/>
            <w:tcBorders>
              <w:top w:val="nil"/>
              <w:bottom w:val="nil"/>
            </w:tcBorders>
            <w:shd w:val="clear" w:color="auto" w:fill="FFFFFF"/>
          </w:tcPr>
          <w:p w14:paraId="640EBA80" w14:textId="2956507F" w:rsidR="00C857F8" w:rsidRPr="00571CB3" w:rsidRDefault="00C857F8" w:rsidP="00C857F8">
            <w:pPr>
              <w:pStyle w:val="CETBodytext"/>
              <w:jc w:val="center"/>
              <w:rPr>
                <w:noProof/>
                <w:lang w:val="en-GB"/>
              </w:rPr>
            </w:pPr>
            <w:r w:rsidRPr="00571CB3">
              <w:rPr>
                <w:rFonts w:cs="Arial"/>
                <w:noProof/>
                <w:szCs w:val="18"/>
                <w:lang w:val="en-GB"/>
              </w:rPr>
              <w:t>-0.04</w:t>
            </w:r>
          </w:p>
        </w:tc>
        <w:tc>
          <w:tcPr>
            <w:tcW w:w="542" w:type="pct"/>
            <w:tcBorders>
              <w:top w:val="nil"/>
              <w:bottom w:val="nil"/>
            </w:tcBorders>
            <w:shd w:val="clear" w:color="auto" w:fill="FFFFFF"/>
          </w:tcPr>
          <w:p w14:paraId="2415A654" w14:textId="0A926894" w:rsidR="00C857F8" w:rsidRPr="00571CB3" w:rsidRDefault="009005A6" w:rsidP="00C857F8">
            <w:pPr>
              <w:pStyle w:val="CETBodytext"/>
              <w:jc w:val="center"/>
              <w:rPr>
                <w:noProof/>
                <w:lang w:val="en-GB"/>
              </w:rPr>
            </w:pPr>
            <w:r w:rsidRPr="00571CB3">
              <w:rPr>
                <w:noProof/>
                <w:lang w:val="en-GB"/>
              </w:rPr>
              <w:t>0.00</w:t>
            </w:r>
          </w:p>
        </w:tc>
        <w:tc>
          <w:tcPr>
            <w:tcW w:w="607" w:type="pct"/>
            <w:tcBorders>
              <w:top w:val="nil"/>
              <w:bottom w:val="nil"/>
            </w:tcBorders>
            <w:shd w:val="clear" w:color="auto" w:fill="FFFFFF"/>
          </w:tcPr>
          <w:p w14:paraId="6D9AB895" w14:textId="1D3730E3" w:rsidR="00C857F8" w:rsidRPr="00571CB3" w:rsidRDefault="00C857F8" w:rsidP="00532A83">
            <w:pPr>
              <w:pStyle w:val="CETBodytext"/>
              <w:jc w:val="left"/>
              <w:rPr>
                <w:noProof/>
                <w:lang w:val="en-GB"/>
              </w:rPr>
            </w:pPr>
            <w:r w:rsidRPr="00571CB3">
              <w:rPr>
                <w:noProof/>
                <w:lang w:val="en-GB"/>
              </w:rPr>
              <w:t>Ethanol</w:t>
            </w:r>
          </w:p>
        </w:tc>
        <w:tc>
          <w:tcPr>
            <w:tcW w:w="607" w:type="pct"/>
            <w:tcBorders>
              <w:top w:val="nil"/>
              <w:bottom w:val="nil"/>
            </w:tcBorders>
            <w:shd w:val="clear" w:color="auto" w:fill="FFFFFF"/>
          </w:tcPr>
          <w:p w14:paraId="269C7022" w14:textId="695B4443" w:rsidR="00C857F8" w:rsidRPr="00571CB3" w:rsidRDefault="00C857F8" w:rsidP="00C857F8">
            <w:pPr>
              <w:pStyle w:val="CETBodytext"/>
              <w:jc w:val="center"/>
              <w:rPr>
                <w:noProof/>
                <w:lang w:val="en-GB"/>
              </w:rPr>
            </w:pPr>
            <w:r w:rsidRPr="00571CB3">
              <w:rPr>
                <w:noProof/>
                <w:lang w:val="en-GB"/>
              </w:rPr>
              <w:t>0.00</w:t>
            </w: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FFFFFF"/>
          </w:tcPr>
          <w:p w14:paraId="341E4A4E" w14:textId="6D56A956" w:rsidR="00C857F8" w:rsidRPr="00571CB3" w:rsidRDefault="00C857F8" w:rsidP="00C857F8">
            <w:pPr>
              <w:pStyle w:val="CETBodytext"/>
              <w:jc w:val="center"/>
              <w:rPr>
                <w:noProof/>
                <w:lang w:val="en-GB"/>
              </w:rPr>
            </w:pPr>
            <w:r w:rsidRPr="00571CB3">
              <w:rPr>
                <w:noProof/>
                <w:lang w:val="en-GB"/>
              </w:rPr>
              <w:t>0.50</w:t>
            </w:r>
          </w:p>
        </w:tc>
      </w:tr>
      <w:tr w:rsidR="00C857F8" w:rsidRPr="00571CB3" w14:paraId="38F01A49" w14:textId="2B806773" w:rsidTr="00532A83">
        <w:tc>
          <w:tcPr>
            <w:tcW w:w="1824" w:type="pct"/>
            <w:tcBorders>
              <w:top w:val="nil"/>
              <w:bottom w:val="single" w:sz="4" w:space="0" w:color="00B050"/>
            </w:tcBorders>
            <w:shd w:val="clear" w:color="auto" w:fill="FFFFFF"/>
          </w:tcPr>
          <w:p w14:paraId="4B4086E0" w14:textId="3F3365F2" w:rsidR="00C857F8" w:rsidRPr="0037522B" w:rsidRDefault="00C857F8" w:rsidP="00C857F8">
            <w:pPr>
              <w:pStyle w:val="CETBodytext"/>
              <w:jc w:val="left"/>
              <w:rPr>
                <w:lang w:val="en-GB"/>
              </w:rPr>
            </w:pPr>
          </w:p>
        </w:tc>
        <w:tc>
          <w:tcPr>
            <w:tcW w:w="815" w:type="pct"/>
            <w:tcBorders>
              <w:top w:val="nil"/>
              <w:bottom w:val="single" w:sz="4" w:space="0" w:color="00B050"/>
            </w:tcBorders>
            <w:shd w:val="clear" w:color="auto" w:fill="FFFFFF"/>
          </w:tcPr>
          <w:p w14:paraId="3E759F2C" w14:textId="31DACEC1" w:rsidR="00C857F8" w:rsidRPr="0037522B" w:rsidRDefault="00C857F8" w:rsidP="00C857F8">
            <w:pPr>
              <w:pStyle w:val="CETBodytext"/>
              <w:jc w:val="center"/>
              <w:rPr>
                <w:noProof/>
                <w:lang w:val="en-GB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00B050"/>
            </w:tcBorders>
            <w:shd w:val="clear" w:color="auto" w:fill="FFFFFF"/>
          </w:tcPr>
          <w:p w14:paraId="41683546" w14:textId="323A93C9" w:rsidR="00C857F8" w:rsidRPr="0037522B" w:rsidRDefault="00C857F8" w:rsidP="00C857F8">
            <w:pPr>
              <w:pStyle w:val="CETBodytext"/>
              <w:jc w:val="center"/>
              <w:rPr>
                <w:noProof/>
                <w:lang w:val="en-GB"/>
              </w:rPr>
            </w:pPr>
          </w:p>
        </w:tc>
        <w:tc>
          <w:tcPr>
            <w:tcW w:w="607" w:type="pct"/>
            <w:tcBorders>
              <w:top w:val="nil"/>
              <w:bottom w:val="single" w:sz="4" w:space="0" w:color="00B050"/>
            </w:tcBorders>
            <w:shd w:val="clear" w:color="auto" w:fill="FFFFFF"/>
          </w:tcPr>
          <w:p w14:paraId="55D0938C" w14:textId="0C445F6A" w:rsidR="00C857F8" w:rsidRPr="0037522B" w:rsidRDefault="00C857F8" w:rsidP="00532A83">
            <w:pPr>
              <w:pStyle w:val="CETBodytext"/>
              <w:jc w:val="left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Acetic acid</w:t>
            </w:r>
          </w:p>
        </w:tc>
        <w:tc>
          <w:tcPr>
            <w:tcW w:w="607" w:type="pct"/>
            <w:tcBorders>
              <w:top w:val="nil"/>
              <w:bottom w:val="single" w:sz="4" w:space="0" w:color="00B050"/>
            </w:tcBorders>
            <w:shd w:val="clear" w:color="auto" w:fill="FFFFFF"/>
          </w:tcPr>
          <w:p w14:paraId="5BA6C7B1" w14:textId="27C7FDC1" w:rsidR="00C857F8" w:rsidRPr="0037522B" w:rsidRDefault="00C857F8" w:rsidP="00C857F8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0.00</w:t>
            </w:r>
          </w:p>
        </w:tc>
        <w:tc>
          <w:tcPr>
            <w:tcW w:w="605" w:type="pct"/>
            <w:tcBorders>
              <w:top w:val="nil"/>
              <w:bottom w:val="single" w:sz="4" w:space="0" w:color="00B050"/>
            </w:tcBorders>
            <w:shd w:val="clear" w:color="auto" w:fill="FFFFFF"/>
          </w:tcPr>
          <w:p w14:paraId="780D5E99" w14:textId="3E5E8D16" w:rsidR="00C857F8" w:rsidRPr="0037522B" w:rsidRDefault="00C857F8" w:rsidP="00C857F8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0.50</w:t>
            </w:r>
          </w:p>
        </w:tc>
      </w:tr>
      <w:tr w:rsidR="00C857F8" w:rsidRPr="00571CB3" w14:paraId="398758C3" w14:textId="4BCFF2A1" w:rsidTr="00532A83">
        <w:tc>
          <w:tcPr>
            <w:tcW w:w="1824" w:type="pct"/>
            <w:tcBorders>
              <w:top w:val="single" w:sz="4" w:space="0" w:color="00B050"/>
            </w:tcBorders>
            <w:shd w:val="clear" w:color="auto" w:fill="FFFFFF"/>
          </w:tcPr>
          <w:p w14:paraId="7335DA90" w14:textId="77777777" w:rsidR="00C857F8" w:rsidRPr="0037522B" w:rsidRDefault="00C857F8" w:rsidP="00C857F8">
            <w:pPr>
              <w:pStyle w:val="CETBodytext"/>
              <w:jc w:val="left"/>
              <w:rPr>
                <w:i/>
                <w:iCs/>
                <w:lang w:val="en-GB"/>
              </w:rPr>
            </w:pPr>
            <w:r w:rsidRPr="0037522B">
              <w:rPr>
                <w:i/>
                <w:iCs/>
                <w:lang w:val="en-GB"/>
              </w:rPr>
              <w:t>Input prices</w:t>
            </w:r>
          </w:p>
        </w:tc>
        <w:tc>
          <w:tcPr>
            <w:tcW w:w="815" w:type="pct"/>
            <w:tcBorders>
              <w:top w:val="single" w:sz="4" w:space="0" w:color="00B050"/>
            </w:tcBorders>
            <w:shd w:val="clear" w:color="auto" w:fill="FFFFFF"/>
          </w:tcPr>
          <w:p w14:paraId="082DFCF1" w14:textId="77777777" w:rsidR="00C857F8" w:rsidRPr="0037522B" w:rsidRDefault="00C857F8" w:rsidP="00C857F8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542" w:type="pct"/>
            <w:tcBorders>
              <w:top w:val="single" w:sz="4" w:space="0" w:color="00B050"/>
            </w:tcBorders>
            <w:shd w:val="clear" w:color="auto" w:fill="FFFFFF"/>
          </w:tcPr>
          <w:p w14:paraId="674D602C" w14:textId="77777777" w:rsidR="00C857F8" w:rsidRPr="0037522B" w:rsidRDefault="00C857F8" w:rsidP="00C857F8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7" w:type="pct"/>
            <w:tcBorders>
              <w:top w:val="single" w:sz="4" w:space="0" w:color="00B050"/>
            </w:tcBorders>
            <w:shd w:val="clear" w:color="auto" w:fill="FFFFFF"/>
          </w:tcPr>
          <w:p w14:paraId="1E6F61C9" w14:textId="77777777" w:rsidR="00C857F8" w:rsidRPr="0037522B" w:rsidRDefault="00C857F8" w:rsidP="00C857F8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7" w:type="pct"/>
            <w:tcBorders>
              <w:top w:val="single" w:sz="4" w:space="0" w:color="00B050"/>
            </w:tcBorders>
            <w:shd w:val="clear" w:color="auto" w:fill="FFFFFF"/>
          </w:tcPr>
          <w:p w14:paraId="5B9D41FA" w14:textId="77777777" w:rsidR="00C857F8" w:rsidRPr="0037522B" w:rsidRDefault="00C857F8" w:rsidP="00C857F8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5" w:type="pct"/>
            <w:tcBorders>
              <w:top w:val="single" w:sz="4" w:space="0" w:color="00B050"/>
            </w:tcBorders>
            <w:shd w:val="clear" w:color="auto" w:fill="FFFFFF"/>
          </w:tcPr>
          <w:p w14:paraId="039BF02C" w14:textId="77777777" w:rsidR="00C857F8" w:rsidRPr="0037522B" w:rsidRDefault="00C857F8" w:rsidP="00C857F8">
            <w:pPr>
              <w:pStyle w:val="CETBodytext"/>
              <w:jc w:val="center"/>
              <w:rPr>
                <w:lang w:val="en-GB"/>
              </w:rPr>
            </w:pPr>
          </w:p>
        </w:tc>
      </w:tr>
      <w:tr w:rsidR="00335E7D" w:rsidRPr="00571CB3" w14:paraId="02CF94B1" w14:textId="5CEFD147" w:rsidTr="00532A83">
        <w:tc>
          <w:tcPr>
            <w:tcW w:w="1824" w:type="pct"/>
            <w:shd w:val="clear" w:color="auto" w:fill="FFFFFF"/>
          </w:tcPr>
          <w:p w14:paraId="2715D9F1" w14:textId="2DC6C144" w:rsidR="00335E7D" w:rsidRPr="0037522B" w:rsidRDefault="00335E7D" w:rsidP="00335E7D">
            <w:pPr>
              <w:pStyle w:val="CETBodytext"/>
              <w:jc w:val="left"/>
              <w:rPr>
                <w:lang w:val="en-GB"/>
              </w:rPr>
            </w:pPr>
            <w:r w:rsidRPr="0037522B">
              <w:rPr>
                <w:noProof/>
                <w:lang w:val="en-GB"/>
              </w:rPr>
              <w:t>Beneze diboronic acid (***)</w:t>
            </w:r>
          </w:p>
        </w:tc>
        <w:tc>
          <w:tcPr>
            <w:tcW w:w="815" w:type="pct"/>
            <w:shd w:val="clear" w:color="auto" w:fill="FFFFFF"/>
          </w:tcPr>
          <w:p w14:paraId="56A7AD41" w14:textId="3CF119AE" w:rsidR="00335E7D" w:rsidRPr="0037522B" w:rsidRDefault="00335E7D" w:rsidP="00335E7D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0.53</w:t>
            </w:r>
          </w:p>
        </w:tc>
        <w:tc>
          <w:tcPr>
            <w:tcW w:w="542" w:type="pct"/>
            <w:shd w:val="clear" w:color="auto" w:fill="FFFFFF"/>
          </w:tcPr>
          <w:p w14:paraId="79AE67E8" w14:textId="2732A3CE" w:rsidR="00335E7D" w:rsidRPr="0037522B" w:rsidRDefault="009005A6" w:rsidP="00335E7D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0.00</w:t>
            </w:r>
          </w:p>
        </w:tc>
        <w:tc>
          <w:tcPr>
            <w:tcW w:w="607" w:type="pct"/>
            <w:shd w:val="clear" w:color="auto" w:fill="FFFFFF"/>
          </w:tcPr>
          <w:p w14:paraId="32D5328F" w14:textId="7F646526" w:rsidR="00335E7D" w:rsidRPr="0037522B" w:rsidRDefault="00335E7D" w:rsidP="00532A83">
            <w:pPr>
              <w:pStyle w:val="CETBodytext"/>
              <w:jc w:val="left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Biomass</w:t>
            </w:r>
          </w:p>
        </w:tc>
        <w:tc>
          <w:tcPr>
            <w:tcW w:w="607" w:type="pct"/>
            <w:shd w:val="clear" w:color="auto" w:fill="FFFFFF"/>
          </w:tcPr>
          <w:p w14:paraId="5F636999" w14:textId="49896208" w:rsidR="00335E7D" w:rsidRPr="0037522B" w:rsidRDefault="00335E7D" w:rsidP="00335E7D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0.01</w:t>
            </w:r>
          </w:p>
        </w:tc>
        <w:tc>
          <w:tcPr>
            <w:tcW w:w="605" w:type="pct"/>
            <w:shd w:val="clear" w:color="auto" w:fill="FFFFFF"/>
          </w:tcPr>
          <w:p w14:paraId="773C6F93" w14:textId="3682B73B" w:rsidR="00335E7D" w:rsidRPr="0037522B" w:rsidRDefault="00335E7D" w:rsidP="00335E7D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0.21</w:t>
            </w:r>
          </w:p>
        </w:tc>
      </w:tr>
      <w:tr w:rsidR="00335E7D" w:rsidRPr="00571CB3" w14:paraId="6D3466E8" w14:textId="32DC8E26" w:rsidTr="00532A83">
        <w:tc>
          <w:tcPr>
            <w:tcW w:w="1824" w:type="pct"/>
            <w:shd w:val="clear" w:color="auto" w:fill="FFFFFF"/>
          </w:tcPr>
          <w:p w14:paraId="7087EE30" w14:textId="3B3B4AFF" w:rsidR="00335E7D" w:rsidRPr="0037522B" w:rsidRDefault="00335E7D" w:rsidP="00335E7D">
            <w:pPr>
              <w:pStyle w:val="CETBodytext"/>
              <w:jc w:val="left"/>
              <w:rPr>
                <w:lang w:val="en-GB"/>
              </w:rPr>
            </w:pPr>
            <w:r w:rsidRPr="0037522B">
              <w:rPr>
                <w:noProof/>
                <w:lang w:val="en-GB"/>
              </w:rPr>
              <w:t>Thioglycerol (***)</w:t>
            </w:r>
          </w:p>
        </w:tc>
        <w:tc>
          <w:tcPr>
            <w:tcW w:w="815" w:type="pct"/>
            <w:shd w:val="clear" w:color="auto" w:fill="FFFFFF"/>
          </w:tcPr>
          <w:p w14:paraId="261056C1" w14:textId="6CB8F83E" w:rsidR="00335E7D" w:rsidRPr="0037522B" w:rsidRDefault="00335E7D" w:rsidP="00335E7D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0.44</w:t>
            </w:r>
          </w:p>
        </w:tc>
        <w:tc>
          <w:tcPr>
            <w:tcW w:w="542" w:type="pct"/>
            <w:shd w:val="clear" w:color="auto" w:fill="FFFFFF"/>
          </w:tcPr>
          <w:p w14:paraId="5BDCE156" w14:textId="3442DA52" w:rsidR="00335E7D" w:rsidRPr="0037522B" w:rsidRDefault="009005A6" w:rsidP="00335E7D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0.00</w:t>
            </w:r>
          </w:p>
        </w:tc>
        <w:tc>
          <w:tcPr>
            <w:tcW w:w="607" w:type="pct"/>
            <w:shd w:val="clear" w:color="auto" w:fill="FFFFFF"/>
          </w:tcPr>
          <w:p w14:paraId="43BD7510" w14:textId="4FBC229B" w:rsidR="00335E7D" w:rsidRPr="0037522B" w:rsidRDefault="00335E7D" w:rsidP="00532A83">
            <w:pPr>
              <w:pStyle w:val="CETBodytext"/>
              <w:jc w:val="left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 xml:space="preserve">Water </w:t>
            </w:r>
          </w:p>
        </w:tc>
        <w:tc>
          <w:tcPr>
            <w:tcW w:w="607" w:type="pct"/>
            <w:shd w:val="clear" w:color="auto" w:fill="FFFFFF"/>
          </w:tcPr>
          <w:p w14:paraId="499D623A" w14:textId="7F887BC8" w:rsidR="00335E7D" w:rsidRPr="0037522B" w:rsidRDefault="00335E7D" w:rsidP="00335E7D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0.00</w:t>
            </w:r>
          </w:p>
        </w:tc>
        <w:tc>
          <w:tcPr>
            <w:tcW w:w="605" w:type="pct"/>
            <w:shd w:val="clear" w:color="auto" w:fill="FFFFFF"/>
          </w:tcPr>
          <w:p w14:paraId="5246114F" w14:textId="3201A1F1" w:rsidR="00335E7D" w:rsidRPr="0037522B" w:rsidRDefault="00335E7D" w:rsidP="00335E7D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0.37</w:t>
            </w:r>
          </w:p>
        </w:tc>
      </w:tr>
      <w:tr w:rsidR="00335E7D" w:rsidRPr="00571CB3" w14:paraId="39F1F4B3" w14:textId="63D77F9E" w:rsidTr="00532A83">
        <w:tc>
          <w:tcPr>
            <w:tcW w:w="1824" w:type="pct"/>
            <w:tcBorders>
              <w:bottom w:val="nil"/>
            </w:tcBorders>
            <w:shd w:val="clear" w:color="auto" w:fill="FFFFFF"/>
          </w:tcPr>
          <w:p w14:paraId="0E5CC034" w14:textId="4C26796C" w:rsidR="00335E7D" w:rsidRPr="0037522B" w:rsidRDefault="00335E7D" w:rsidP="00335E7D">
            <w:pPr>
              <w:pStyle w:val="CETBodytext"/>
              <w:jc w:val="left"/>
              <w:rPr>
                <w:lang w:val="en-GB"/>
              </w:rPr>
            </w:pPr>
            <w:r w:rsidRPr="0037522B">
              <w:rPr>
                <w:noProof/>
                <w:lang w:val="en-GB"/>
              </w:rPr>
              <w:t>Epoxidized soybean oil (***)</w:t>
            </w:r>
          </w:p>
        </w:tc>
        <w:tc>
          <w:tcPr>
            <w:tcW w:w="815" w:type="pct"/>
            <w:tcBorders>
              <w:bottom w:val="nil"/>
            </w:tcBorders>
            <w:shd w:val="clear" w:color="auto" w:fill="FFFFFF"/>
          </w:tcPr>
          <w:p w14:paraId="0AF831B1" w14:textId="7B0CFD65" w:rsidR="00335E7D" w:rsidRPr="0037522B" w:rsidRDefault="00335E7D" w:rsidP="00335E7D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0.03</w:t>
            </w:r>
          </w:p>
        </w:tc>
        <w:tc>
          <w:tcPr>
            <w:tcW w:w="542" w:type="pct"/>
            <w:tcBorders>
              <w:bottom w:val="nil"/>
            </w:tcBorders>
            <w:shd w:val="clear" w:color="auto" w:fill="FFFFFF"/>
          </w:tcPr>
          <w:p w14:paraId="6E97086C" w14:textId="3C6211BD" w:rsidR="00335E7D" w:rsidRPr="0037522B" w:rsidRDefault="00335E7D" w:rsidP="00335E7D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0.00</w:t>
            </w:r>
          </w:p>
        </w:tc>
        <w:tc>
          <w:tcPr>
            <w:tcW w:w="607" w:type="pct"/>
            <w:tcBorders>
              <w:bottom w:val="nil"/>
            </w:tcBorders>
            <w:shd w:val="clear" w:color="auto" w:fill="FFFFFF"/>
          </w:tcPr>
          <w:p w14:paraId="332B0F1F" w14:textId="03AE5ED1" w:rsidR="00335E7D" w:rsidRPr="0037522B" w:rsidRDefault="00335E7D" w:rsidP="00532A83">
            <w:pPr>
              <w:pStyle w:val="CETBodytext"/>
              <w:jc w:val="left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Ethanol</w:t>
            </w:r>
          </w:p>
        </w:tc>
        <w:tc>
          <w:tcPr>
            <w:tcW w:w="607" w:type="pct"/>
            <w:tcBorders>
              <w:bottom w:val="nil"/>
            </w:tcBorders>
            <w:shd w:val="clear" w:color="auto" w:fill="FFFFFF"/>
          </w:tcPr>
          <w:p w14:paraId="50194509" w14:textId="5378173F" w:rsidR="00335E7D" w:rsidRPr="0037522B" w:rsidRDefault="00335E7D" w:rsidP="00335E7D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0.00</w:t>
            </w:r>
          </w:p>
        </w:tc>
        <w:tc>
          <w:tcPr>
            <w:tcW w:w="605" w:type="pct"/>
            <w:tcBorders>
              <w:bottom w:val="nil"/>
            </w:tcBorders>
            <w:shd w:val="clear" w:color="auto" w:fill="FFFFFF"/>
          </w:tcPr>
          <w:p w14:paraId="5D47C2F6" w14:textId="4120A2E1" w:rsidR="00335E7D" w:rsidRPr="0037522B" w:rsidRDefault="00335E7D" w:rsidP="00335E7D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0.92</w:t>
            </w:r>
          </w:p>
        </w:tc>
      </w:tr>
      <w:tr w:rsidR="00335E7D" w:rsidRPr="00571CB3" w14:paraId="5D98C509" w14:textId="33935A15" w:rsidTr="00532A83">
        <w:tc>
          <w:tcPr>
            <w:tcW w:w="1824" w:type="pct"/>
            <w:tcBorders>
              <w:top w:val="nil"/>
              <w:bottom w:val="single" w:sz="4" w:space="0" w:color="00B050"/>
            </w:tcBorders>
            <w:shd w:val="clear" w:color="auto" w:fill="FFFFFF"/>
          </w:tcPr>
          <w:p w14:paraId="3FFA5896" w14:textId="02E46F9E" w:rsidR="00335E7D" w:rsidRPr="0037522B" w:rsidRDefault="00335E7D" w:rsidP="00335E7D">
            <w:pPr>
              <w:pStyle w:val="CETBodytext"/>
              <w:jc w:val="left"/>
              <w:rPr>
                <w:lang w:val="en-GB"/>
              </w:rPr>
            </w:pPr>
          </w:p>
        </w:tc>
        <w:tc>
          <w:tcPr>
            <w:tcW w:w="815" w:type="pct"/>
            <w:tcBorders>
              <w:top w:val="nil"/>
              <w:bottom w:val="single" w:sz="4" w:space="0" w:color="00B050"/>
            </w:tcBorders>
            <w:shd w:val="clear" w:color="auto" w:fill="FFFFFF"/>
          </w:tcPr>
          <w:p w14:paraId="75A74C50" w14:textId="265A5A07" w:rsidR="00335E7D" w:rsidRPr="0037522B" w:rsidRDefault="00335E7D" w:rsidP="00335E7D">
            <w:pPr>
              <w:pStyle w:val="CETBodytext"/>
              <w:jc w:val="center"/>
              <w:rPr>
                <w:noProof/>
                <w:lang w:val="en-GB"/>
              </w:rPr>
            </w:pPr>
          </w:p>
        </w:tc>
        <w:tc>
          <w:tcPr>
            <w:tcW w:w="542" w:type="pct"/>
            <w:tcBorders>
              <w:top w:val="nil"/>
              <w:bottom w:val="single" w:sz="4" w:space="0" w:color="00B050"/>
            </w:tcBorders>
            <w:shd w:val="clear" w:color="auto" w:fill="FFFFFF"/>
          </w:tcPr>
          <w:p w14:paraId="2E277CF1" w14:textId="109ABFCA" w:rsidR="00335E7D" w:rsidRPr="0037522B" w:rsidRDefault="00335E7D" w:rsidP="00335E7D">
            <w:pPr>
              <w:pStyle w:val="CETBodytext"/>
              <w:jc w:val="center"/>
              <w:rPr>
                <w:noProof/>
                <w:lang w:val="en-GB"/>
              </w:rPr>
            </w:pPr>
          </w:p>
        </w:tc>
        <w:tc>
          <w:tcPr>
            <w:tcW w:w="607" w:type="pct"/>
            <w:tcBorders>
              <w:top w:val="nil"/>
              <w:bottom w:val="single" w:sz="4" w:space="0" w:color="00B050"/>
            </w:tcBorders>
            <w:shd w:val="clear" w:color="auto" w:fill="FFFFFF"/>
          </w:tcPr>
          <w:p w14:paraId="3BF10856" w14:textId="1BBC757D" w:rsidR="00335E7D" w:rsidRPr="0037522B" w:rsidRDefault="00335E7D" w:rsidP="00532A83">
            <w:pPr>
              <w:pStyle w:val="CETBodytext"/>
              <w:jc w:val="left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Acetic acid</w:t>
            </w:r>
          </w:p>
        </w:tc>
        <w:tc>
          <w:tcPr>
            <w:tcW w:w="607" w:type="pct"/>
            <w:tcBorders>
              <w:top w:val="nil"/>
              <w:bottom w:val="single" w:sz="4" w:space="0" w:color="00B050"/>
            </w:tcBorders>
            <w:shd w:val="clear" w:color="auto" w:fill="FFFFFF"/>
          </w:tcPr>
          <w:p w14:paraId="1181E3D9" w14:textId="2E54F4B2" w:rsidR="00335E7D" w:rsidRPr="0037522B" w:rsidRDefault="00335E7D" w:rsidP="00335E7D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0.00</w:t>
            </w:r>
          </w:p>
        </w:tc>
        <w:tc>
          <w:tcPr>
            <w:tcW w:w="605" w:type="pct"/>
            <w:tcBorders>
              <w:top w:val="nil"/>
              <w:bottom w:val="single" w:sz="4" w:space="0" w:color="00B050"/>
            </w:tcBorders>
            <w:shd w:val="clear" w:color="auto" w:fill="FFFFFF"/>
          </w:tcPr>
          <w:p w14:paraId="36F3B836" w14:textId="0C3C13A7" w:rsidR="00335E7D" w:rsidRPr="0037522B" w:rsidRDefault="00335E7D" w:rsidP="00335E7D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0.31</w:t>
            </w:r>
          </w:p>
        </w:tc>
      </w:tr>
      <w:tr w:rsidR="00335E7D" w:rsidRPr="00571CB3" w14:paraId="2C7492D8" w14:textId="5A51A531" w:rsidTr="00532A83">
        <w:tc>
          <w:tcPr>
            <w:tcW w:w="1824" w:type="pct"/>
            <w:tcBorders>
              <w:top w:val="single" w:sz="4" w:space="0" w:color="00B050"/>
            </w:tcBorders>
            <w:shd w:val="clear" w:color="auto" w:fill="FFFFFF"/>
          </w:tcPr>
          <w:p w14:paraId="12454209" w14:textId="77777777" w:rsidR="00335E7D" w:rsidRPr="0037522B" w:rsidRDefault="00335E7D" w:rsidP="00335E7D">
            <w:pPr>
              <w:pStyle w:val="CETBodytext"/>
              <w:jc w:val="left"/>
              <w:rPr>
                <w:i/>
                <w:iCs/>
                <w:lang w:val="en-GB"/>
              </w:rPr>
            </w:pPr>
            <w:r w:rsidRPr="0037522B">
              <w:rPr>
                <w:i/>
                <w:iCs/>
                <w:lang w:val="en-GB"/>
              </w:rPr>
              <w:t>NPV economic factors</w:t>
            </w:r>
          </w:p>
        </w:tc>
        <w:tc>
          <w:tcPr>
            <w:tcW w:w="815" w:type="pct"/>
            <w:tcBorders>
              <w:top w:val="single" w:sz="4" w:space="0" w:color="00B050"/>
            </w:tcBorders>
            <w:shd w:val="clear" w:color="auto" w:fill="FFFFFF"/>
          </w:tcPr>
          <w:p w14:paraId="3F54572C" w14:textId="77777777" w:rsidR="00335E7D" w:rsidRPr="0037522B" w:rsidRDefault="00335E7D" w:rsidP="00335E7D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542" w:type="pct"/>
            <w:tcBorders>
              <w:top w:val="single" w:sz="4" w:space="0" w:color="00B050"/>
            </w:tcBorders>
            <w:shd w:val="clear" w:color="auto" w:fill="FFFFFF"/>
          </w:tcPr>
          <w:p w14:paraId="21A119F0" w14:textId="77777777" w:rsidR="00335E7D" w:rsidRPr="0037522B" w:rsidRDefault="00335E7D" w:rsidP="00335E7D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7" w:type="pct"/>
            <w:tcBorders>
              <w:top w:val="single" w:sz="4" w:space="0" w:color="00B050"/>
            </w:tcBorders>
            <w:shd w:val="clear" w:color="auto" w:fill="FFFFFF"/>
          </w:tcPr>
          <w:p w14:paraId="3C6CD5B1" w14:textId="77777777" w:rsidR="00335E7D" w:rsidRPr="0037522B" w:rsidRDefault="00335E7D" w:rsidP="00335E7D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7" w:type="pct"/>
            <w:tcBorders>
              <w:top w:val="single" w:sz="4" w:space="0" w:color="00B050"/>
            </w:tcBorders>
            <w:shd w:val="clear" w:color="auto" w:fill="FFFFFF"/>
          </w:tcPr>
          <w:p w14:paraId="61710A48" w14:textId="77777777" w:rsidR="00335E7D" w:rsidRPr="0037522B" w:rsidRDefault="00335E7D" w:rsidP="00335E7D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05" w:type="pct"/>
            <w:tcBorders>
              <w:top w:val="single" w:sz="4" w:space="0" w:color="00B050"/>
            </w:tcBorders>
            <w:shd w:val="clear" w:color="auto" w:fill="FFFFFF"/>
          </w:tcPr>
          <w:p w14:paraId="093B30E1" w14:textId="77777777" w:rsidR="00335E7D" w:rsidRPr="0037522B" w:rsidRDefault="00335E7D" w:rsidP="00335E7D">
            <w:pPr>
              <w:pStyle w:val="CETBodytext"/>
              <w:jc w:val="center"/>
              <w:rPr>
                <w:lang w:val="en-GB"/>
              </w:rPr>
            </w:pPr>
          </w:p>
        </w:tc>
      </w:tr>
      <w:tr w:rsidR="00034176" w:rsidRPr="00571CB3" w14:paraId="7521F9EF" w14:textId="67348F54" w:rsidTr="00532A83">
        <w:tc>
          <w:tcPr>
            <w:tcW w:w="1824" w:type="pct"/>
            <w:shd w:val="clear" w:color="auto" w:fill="FFFFFF"/>
          </w:tcPr>
          <w:p w14:paraId="1ED75E1F" w14:textId="57320783" w:rsidR="00034176" w:rsidRPr="0037522B" w:rsidRDefault="00034176" w:rsidP="00034176">
            <w:pPr>
              <w:pStyle w:val="CETBodytext"/>
              <w:jc w:val="left"/>
              <w:rPr>
                <w:lang w:val="en-GB"/>
              </w:rPr>
            </w:pPr>
            <w:r w:rsidRPr="0037522B">
              <w:rPr>
                <w:rFonts w:ascii="Cambria" w:hAnsi="Cambria" w:cs="Cambria"/>
                <w:lang w:val="en-GB"/>
              </w:rPr>
              <w:t>ρ (</w:t>
            </w:r>
            <w:r w:rsidRPr="0037522B">
              <w:rPr>
                <w:noProof/>
                <w:lang w:val="en-GB"/>
              </w:rPr>
              <w:t>***</w:t>
            </w:r>
            <w:r w:rsidRPr="0037522B">
              <w:rPr>
                <w:rFonts w:ascii="Cambria" w:hAnsi="Cambria" w:cs="Cambria"/>
                <w:lang w:val="en-GB"/>
              </w:rPr>
              <w:t>)</w:t>
            </w:r>
          </w:p>
        </w:tc>
        <w:tc>
          <w:tcPr>
            <w:tcW w:w="815" w:type="pct"/>
            <w:shd w:val="clear" w:color="auto" w:fill="FFFFFF"/>
          </w:tcPr>
          <w:p w14:paraId="076B2736" w14:textId="355708AD" w:rsidR="00034176" w:rsidRPr="0037522B" w:rsidRDefault="00034176" w:rsidP="00034176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0.03</w:t>
            </w:r>
          </w:p>
        </w:tc>
        <w:tc>
          <w:tcPr>
            <w:tcW w:w="542" w:type="pct"/>
            <w:shd w:val="clear" w:color="auto" w:fill="FFFFFF"/>
          </w:tcPr>
          <w:p w14:paraId="34CBE589" w14:textId="66F4B7C0" w:rsidR="00034176" w:rsidRPr="0037522B" w:rsidRDefault="00034176" w:rsidP="00034176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0.00</w:t>
            </w:r>
          </w:p>
        </w:tc>
        <w:tc>
          <w:tcPr>
            <w:tcW w:w="607" w:type="pct"/>
            <w:shd w:val="clear" w:color="auto" w:fill="FFFFFF"/>
          </w:tcPr>
          <w:p w14:paraId="0D3184FA" w14:textId="46306052" w:rsidR="00034176" w:rsidRPr="0037522B" w:rsidRDefault="00034176" w:rsidP="00532A83">
            <w:pPr>
              <w:pStyle w:val="CETBodytext"/>
              <w:jc w:val="left"/>
              <w:rPr>
                <w:noProof/>
                <w:lang w:val="en-GB"/>
              </w:rPr>
            </w:pPr>
            <w:r w:rsidRPr="0037522B">
              <w:rPr>
                <w:rFonts w:ascii="Cambria" w:hAnsi="Cambria" w:cs="Cambria"/>
                <w:lang w:val="en-GB"/>
              </w:rPr>
              <w:t>α</w:t>
            </w:r>
          </w:p>
        </w:tc>
        <w:tc>
          <w:tcPr>
            <w:tcW w:w="607" w:type="pct"/>
            <w:shd w:val="clear" w:color="auto" w:fill="FFFFFF"/>
          </w:tcPr>
          <w:p w14:paraId="05CDB60C" w14:textId="48EBF3AB" w:rsidR="00034176" w:rsidRPr="0037522B" w:rsidRDefault="00034176" w:rsidP="00034176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0.00</w:t>
            </w:r>
          </w:p>
        </w:tc>
        <w:tc>
          <w:tcPr>
            <w:tcW w:w="605" w:type="pct"/>
            <w:shd w:val="clear" w:color="auto" w:fill="FFFFFF"/>
          </w:tcPr>
          <w:p w14:paraId="666B6AB2" w14:textId="1EEFC4B5" w:rsidR="00034176" w:rsidRPr="0037522B" w:rsidRDefault="00034176" w:rsidP="00034176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0.74</w:t>
            </w:r>
          </w:p>
        </w:tc>
      </w:tr>
      <w:tr w:rsidR="00034176" w:rsidRPr="00571CB3" w14:paraId="1E589A86" w14:textId="271CF840" w:rsidTr="00532A83">
        <w:tc>
          <w:tcPr>
            <w:tcW w:w="1824" w:type="pct"/>
            <w:shd w:val="clear" w:color="auto" w:fill="FFFFFF"/>
          </w:tcPr>
          <w:p w14:paraId="337E4D4C" w14:textId="3581B1D5" w:rsidR="00034176" w:rsidRPr="0037522B" w:rsidRDefault="00034176" w:rsidP="00034176">
            <w:pPr>
              <w:pStyle w:val="CETBodytext"/>
              <w:jc w:val="left"/>
              <w:rPr>
                <w:lang w:val="en-GB"/>
              </w:rPr>
            </w:pPr>
            <w:r w:rsidRPr="0037522B">
              <w:rPr>
                <w:lang w:val="en-GB"/>
              </w:rPr>
              <w:t>r (</w:t>
            </w:r>
            <w:r w:rsidRPr="0037522B">
              <w:rPr>
                <w:noProof/>
                <w:lang w:val="en-GB"/>
              </w:rPr>
              <w:t>***</w:t>
            </w:r>
            <w:r w:rsidRPr="0037522B">
              <w:rPr>
                <w:lang w:val="en-GB"/>
              </w:rPr>
              <w:t>)</w:t>
            </w:r>
          </w:p>
        </w:tc>
        <w:tc>
          <w:tcPr>
            <w:tcW w:w="815" w:type="pct"/>
            <w:shd w:val="clear" w:color="auto" w:fill="FFFFFF"/>
          </w:tcPr>
          <w:p w14:paraId="53528D42" w14:textId="4B900D92" w:rsidR="00034176" w:rsidRPr="0037522B" w:rsidRDefault="00034176" w:rsidP="00034176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0.00</w:t>
            </w:r>
          </w:p>
        </w:tc>
        <w:tc>
          <w:tcPr>
            <w:tcW w:w="542" w:type="pct"/>
            <w:shd w:val="clear" w:color="auto" w:fill="FFFFFF"/>
          </w:tcPr>
          <w:p w14:paraId="2101F3BF" w14:textId="70658808" w:rsidR="00034176" w:rsidRPr="0037522B" w:rsidRDefault="00034176" w:rsidP="00034176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0.00</w:t>
            </w:r>
          </w:p>
        </w:tc>
        <w:tc>
          <w:tcPr>
            <w:tcW w:w="607" w:type="pct"/>
            <w:shd w:val="clear" w:color="auto" w:fill="FFFFFF"/>
          </w:tcPr>
          <w:p w14:paraId="62F0A6E6" w14:textId="02208DA0" w:rsidR="00034176" w:rsidRPr="0037522B" w:rsidRDefault="00034176" w:rsidP="00532A83">
            <w:pPr>
              <w:pStyle w:val="CETBodytext"/>
              <w:jc w:val="left"/>
              <w:rPr>
                <w:noProof/>
                <w:lang w:val="en-GB"/>
              </w:rPr>
            </w:pPr>
            <w:r w:rsidRPr="0037522B">
              <w:rPr>
                <w:lang w:val="en-GB"/>
              </w:rPr>
              <w:t>β</w:t>
            </w:r>
          </w:p>
        </w:tc>
        <w:tc>
          <w:tcPr>
            <w:tcW w:w="607" w:type="pct"/>
            <w:shd w:val="clear" w:color="auto" w:fill="FFFFFF"/>
          </w:tcPr>
          <w:p w14:paraId="4ADC78A2" w14:textId="73EE99BE" w:rsidR="00034176" w:rsidRPr="0037522B" w:rsidRDefault="00034176" w:rsidP="00034176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0.00</w:t>
            </w:r>
          </w:p>
        </w:tc>
        <w:tc>
          <w:tcPr>
            <w:tcW w:w="605" w:type="pct"/>
            <w:shd w:val="clear" w:color="auto" w:fill="FFFFFF"/>
          </w:tcPr>
          <w:p w14:paraId="1D6C7B28" w14:textId="238D0C94" w:rsidR="00034176" w:rsidRPr="0037522B" w:rsidRDefault="00034176" w:rsidP="00034176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0.51</w:t>
            </w:r>
          </w:p>
        </w:tc>
      </w:tr>
      <w:tr w:rsidR="00034176" w:rsidRPr="00571CB3" w14:paraId="0B9E3EF9" w14:textId="60E89B55" w:rsidTr="00532A83">
        <w:tc>
          <w:tcPr>
            <w:tcW w:w="1824" w:type="pct"/>
            <w:shd w:val="clear" w:color="auto" w:fill="FFFFFF"/>
          </w:tcPr>
          <w:p w14:paraId="482CC937" w14:textId="50566D69" w:rsidR="00034176" w:rsidRPr="0037522B" w:rsidRDefault="00034176" w:rsidP="00034176">
            <w:pPr>
              <w:pStyle w:val="CETBodytext"/>
              <w:jc w:val="left"/>
              <w:rPr>
                <w:lang w:val="en-GB"/>
              </w:rPr>
            </w:pPr>
            <w:r w:rsidRPr="0037522B">
              <w:rPr>
                <w:rFonts w:ascii="Cambria" w:hAnsi="Cambria" w:cs="Cambria"/>
                <w:lang w:val="en-GB"/>
              </w:rPr>
              <w:t>γ (</w:t>
            </w:r>
            <w:r w:rsidRPr="0037522B">
              <w:rPr>
                <w:noProof/>
                <w:lang w:val="en-GB"/>
              </w:rPr>
              <w:t>**)</w:t>
            </w:r>
          </w:p>
        </w:tc>
        <w:tc>
          <w:tcPr>
            <w:tcW w:w="815" w:type="pct"/>
            <w:shd w:val="clear" w:color="auto" w:fill="FFFFFF"/>
          </w:tcPr>
          <w:p w14:paraId="37147D5F" w14:textId="1EB03F8C" w:rsidR="00034176" w:rsidRPr="0037522B" w:rsidRDefault="00034176" w:rsidP="00034176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-0.01</w:t>
            </w:r>
          </w:p>
        </w:tc>
        <w:tc>
          <w:tcPr>
            <w:tcW w:w="542" w:type="pct"/>
            <w:shd w:val="clear" w:color="auto" w:fill="FFFFFF"/>
          </w:tcPr>
          <w:p w14:paraId="281A6833" w14:textId="6A828EA3" w:rsidR="00034176" w:rsidRPr="0037522B" w:rsidRDefault="00034176" w:rsidP="00034176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0.00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181C3955" w14:textId="2DA6E692" w:rsidR="00034176" w:rsidRPr="0037522B" w:rsidRDefault="00034176" w:rsidP="00532A83">
            <w:pPr>
              <w:pStyle w:val="CETBodytext"/>
              <w:jc w:val="left"/>
              <w:rPr>
                <w:noProof/>
                <w:lang w:val="en-GB"/>
              </w:rPr>
            </w:pPr>
            <w:r w:rsidRPr="0037522B">
              <w:rPr>
                <w:lang w:val="en-GB"/>
              </w:rPr>
              <w:t>g</w:t>
            </w:r>
          </w:p>
        </w:tc>
        <w:tc>
          <w:tcPr>
            <w:tcW w:w="607" w:type="pct"/>
            <w:shd w:val="clear" w:color="auto" w:fill="FFFFFF"/>
          </w:tcPr>
          <w:p w14:paraId="2C636B30" w14:textId="52915829" w:rsidR="00034176" w:rsidRPr="0037522B" w:rsidRDefault="00034176" w:rsidP="00034176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0.01</w:t>
            </w:r>
          </w:p>
        </w:tc>
        <w:tc>
          <w:tcPr>
            <w:tcW w:w="605" w:type="pct"/>
            <w:shd w:val="clear" w:color="auto" w:fill="FFFFFF"/>
          </w:tcPr>
          <w:p w14:paraId="569C00D7" w14:textId="2CF01023" w:rsidR="00034176" w:rsidRPr="0037522B" w:rsidRDefault="00034176" w:rsidP="00034176">
            <w:pPr>
              <w:pStyle w:val="CETBodytext"/>
              <w:jc w:val="center"/>
              <w:rPr>
                <w:noProof/>
                <w:lang w:val="en-GB"/>
              </w:rPr>
            </w:pPr>
            <w:r w:rsidRPr="0037522B">
              <w:rPr>
                <w:noProof/>
                <w:lang w:val="en-GB"/>
              </w:rPr>
              <w:t>0.18</w:t>
            </w:r>
          </w:p>
        </w:tc>
      </w:tr>
      <w:tr w:rsidR="00034176" w:rsidRPr="00571CB3" w14:paraId="1C23A467" w14:textId="47B8EC5F" w:rsidTr="00532A83">
        <w:tc>
          <w:tcPr>
            <w:tcW w:w="1824" w:type="pct"/>
            <w:tcBorders>
              <w:top w:val="nil"/>
            </w:tcBorders>
            <w:shd w:val="clear" w:color="auto" w:fill="FFFFFF"/>
            <w:vAlign w:val="center"/>
          </w:tcPr>
          <w:p w14:paraId="2FDACEA3" w14:textId="1A523660" w:rsidR="00034176" w:rsidRPr="00571CB3" w:rsidRDefault="00034176" w:rsidP="00034176">
            <w:pPr>
              <w:pStyle w:val="CETBodytext"/>
              <w:ind w:right="-1"/>
              <w:rPr>
                <w:rFonts w:ascii="EB Garamond" w:hAnsi="EB Garamond"/>
                <w:lang w:val="en-GB"/>
              </w:rPr>
            </w:pPr>
            <w:r w:rsidRPr="00571CB3">
              <w:rPr>
                <w:rFonts w:ascii="EB Garamond" w:hAnsi="EB Garamond"/>
                <w:lang w:val="en-GB"/>
              </w:rPr>
              <w:t>τ (</w:t>
            </w:r>
            <w:r w:rsidRPr="00571CB3">
              <w:rPr>
                <w:noProof/>
                <w:lang w:val="en-GB"/>
              </w:rPr>
              <w:t>***</w:t>
            </w:r>
            <w:r w:rsidRPr="00571CB3">
              <w:rPr>
                <w:rFonts w:ascii="EB Garamond" w:hAnsi="EB Garamond"/>
                <w:lang w:val="en-GB"/>
              </w:rPr>
              <w:t>)</w:t>
            </w:r>
          </w:p>
        </w:tc>
        <w:tc>
          <w:tcPr>
            <w:tcW w:w="815" w:type="pct"/>
            <w:tcBorders>
              <w:top w:val="nil"/>
            </w:tcBorders>
            <w:shd w:val="clear" w:color="auto" w:fill="FFFFFF"/>
          </w:tcPr>
          <w:p w14:paraId="3C10BA60" w14:textId="4F925236" w:rsidR="00034176" w:rsidRPr="00571CB3" w:rsidRDefault="00034176" w:rsidP="00034176">
            <w:pPr>
              <w:pStyle w:val="CETBodytext"/>
              <w:ind w:right="-1"/>
              <w:jc w:val="center"/>
              <w:rPr>
                <w:noProof/>
                <w:lang w:val="en-GB"/>
              </w:rPr>
            </w:pPr>
            <w:r w:rsidRPr="00571CB3">
              <w:rPr>
                <w:noProof/>
                <w:lang w:val="en-GB"/>
              </w:rPr>
              <w:t>-0.15</w:t>
            </w:r>
          </w:p>
        </w:tc>
        <w:tc>
          <w:tcPr>
            <w:tcW w:w="542" w:type="pct"/>
            <w:tcBorders>
              <w:top w:val="nil"/>
            </w:tcBorders>
            <w:shd w:val="clear" w:color="auto" w:fill="FFFFFF"/>
          </w:tcPr>
          <w:p w14:paraId="68CAC9FE" w14:textId="07FDD9E5" w:rsidR="00034176" w:rsidRPr="00571CB3" w:rsidRDefault="009005A6" w:rsidP="00034176">
            <w:pPr>
              <w:pStyle w:val="CETBodytext"/>
              <w:ind w:right="-1"/>
              <w:jc w:val="center"/>
              <w:rPr>
                <w:noProof/>
                <w:lang w:val="en-GB"/>
              </w:rPr>
            </w:pPr>
            <w:r w:rsidRPr="00571CB3">
              <w:rPr>
                <w:noProof/>
                <w:lang w:val="en-GB"/>
              </w:rPr>
              <w:t>0.00</w:t>
            </w:r>
          </w:p>
        </w:tc>
        <w:tc>
          <w:tcPr>
            <w:tcW w:w="607" w:type="pct"/>
            <w:tcBorders>
              <w:top w:val="nil"/>
            </w:tcBorders>
            <w:shd w:val="clear" w:color="auto" w:fill="FFFFFF"/>
          </w:tcPr>
          <w:p w14:paraId="46B3FC4D" w14:textId="309CCEF4" w:rsidR="00034176" w:rsidRPr="00571CB3" w:rsidRDefault="00034176" w:rsidP="00034176">
            <w:pPr>
              <w:pStyle w:val="CETBodytext"/>
              <w:ind w:right="-1"/>
              <w:jc w:val="center"/>
              <w:rPr>
                <w:noProof/>
                <w:lang w:val="en-GB"/>
              </w:rPr>
            </w:pPr>
          </w:p>
        </w:tc>
        <w:tc>
          <w:tcPr>
            <w:tcW w:w="607" w:type="pct"/>
            <w:tcBorders>
              <w:top w:val="nil"/>
            </w:tcBorders>
            <w:shd w:val="clear" w:color="auto" w:fill="FFFFFF"/>
          </w:tcPr>
          <w:p w14:paraId="6C89DF75" w14:textId="77777777" w:rsidR="00034176" w:rsidRPr="00571CB3" w:rsidRDefault="00034176" w:rsidP="00034176">
            <w:pPr>
              <w:pStyle w:val="CETBodytext"/>
              <w:ind w:right="-1"/>
              <w:jc w:val="center"/>
              <w:rPr>
                <w:noProof/>
                <w:lang w:val="en-GB"/>
              </w:rPr>
            </w:pPr>
          </w:p>
        </w:tc>
        <w:tc>
          <w:tcPr>
            <w:tcW w:w="605" w:type="pct"/>
            <w:tcBorders>
              <w:top w:val="nil"/>
            </w:tcBorders>
            <w:shd w:val="clear" w:color="auto" w:fill="FFFFFF"/>
          </w:tcPr>
          <w:p w14:paraId="1C50DC05" w14:textId="77777777" w:rsidR="00034176" w:rsidRPr="00571CB3" w:rsidRDefault="00034176" w:rsidP="00034176">
            <w:pPr>
              <w:pStyle w:val="CETBodytext"/>
              <w:ind w:right="-1"/>
              <w:jc w:val="center"/>
              <w:rPr>
                <w:noProof/>
                <w:lang w:val="en-GB"/>
              </w:rPr>
            </w:pPr>
          </w:p>
        </w:tc>
      </w:tr>
    </w:tbl>
    <w:p w14:paraId="325D3BC1" w14:textId="71EE8CC5" w:rsidR="00586CFC" w:rsidRPr="00571CB3" w:rsidRDefault="00216361" w:rsidP="00201376">
      <w:pPr>
        <w:pStyle w:val="CETBodytext"/>
        <w:rPr>
          <w:lang w:val="en-GB"/>
        </w:rPr>
      </w:pPr>
      <w:r w:rsidRPr="00571CB3">
        <w:rPr>
          <w:lang w:val="en-GB"/>
        </w:rPr>
        <w:t>Note: *** Statistical significance at &lt;0.001 level; ** at &lt;0.01 level; * at &lt;0.05 level.</w:t>
      </w:r>
    </w:p>
    <w:p w14:paraId="53272EE0" w14:textId="77777777" w:rsidR="003F6A57" w:rsidRPr="00571CB3" w:rsidRDefault="003F6A57" w:rsidP="00201376">
      <w:pPr>
        <w:pStyle w:val="CETBodytext"/>
        <w:rPr>
          <w:lang w:val="en-GB"/>
        </w:rPr>
      </w:pPr>
    </w:p>
    <w:p w14:paraId="73246392" w14:textId="6690CBEC" w:rsidR="00FB73E1" w:rsidRPr="00571CB3" w:rsidRDefault="00770CB7" w:rsidP="00FE4CB4">
      <w:pPr>
        <w:pStyle w:val="CETBodytext"/>
        <w:rPr>
          <w:lang w:val="en-GB"/>
        </w:rPr>
      </w:pPr>
      <w:r w:rsidRPr="00571CB3">
        <w:rPr>
          <w:noProof/>
          <w:lang w:val="en-GB"/>
        </w:rPr>
        <w:t xml:space="preserve">Among these, extending </w:t>
      </w:r>
      <w:r w:rsidR="00E83677" w:rsidRPr="00571CB3">
        <w:rPr>
          <w:noProof/>
          <w:lang w:val="en-GB"/>
        </w:rPr>
        <w:t xml:space="preserve">the expected break-even time period </w:t>
      </w:r>
      <w:r w:rsidRPr="00571CB3">
        <w:rPr>
          <w:noProof/>
          <w:lang w:val="en-GB"/>
        </w:rPr>
        <w:t>has</w:t>
      </w:r>
      <w:r w:rsidR="00E83677" w:rsidRPr="00571CB3">
        <w:rPr>
          <w:noProof/>
          <w:lang w:val="en-GB"/>
        </w:rPr>
        <w:t xml:space="preserve"> the greatest impact </w:t>
      </w:r>
      <w:r w:rsidRPr="00571CB3">
        <w:rPr>
          <w:noProof/>
          <w:lang w:val="en-GB"/>
        </w:rPr>
        <w:t xml:space="preserve">in </w:t>
      </w:r>
      <w:r w:rsidR="00E83677" w:rsidRPr="00571CB3">
        <w:rPr>
          <w:noProof/>
          <w:lang w:val="en-GB"/>
        </w:rPr>
        <w:t xml:space="preserve">reducing the MPSP. </w:t>
      </w:r>
      <w:r w:rsidRPr="00571CB3">
        <w:rPr>
          <w:noProof/>
          <w:lang w:val="en-GB"/>
        </w:rPr>
        <w:t>However</w:t>
      </w:r>
      <w:r w:rsidR="00E83677" w:rsidRPr="00571CB3">
        <w:rPr>
          <w:noProof/>
          <w:lang w:val="en-GB"/>
        </w:rPr>
        <w:t>, a 1</w:t>
      </w:r>
      <w:r w:rsidR="00D57328" w:rsidRPr="00571CB3">
        <w:rPr>
          <w:noProof/>
          <w:lang w:val="en-GB"/>
        </w:rPr>
        <w:t xml:space="preserve"> %</w:t>
      </w:r>
      <w:r w:rsidR="00E83677" w:rsidRPr="00571CB3">
        <w:rPr>
          <w:noProof/>
          <w:lang w:val="en-GB"/>
        </w:rPr>
        <w:t xml:space="preserve"> change in these economic factors </w:t>
      </w:r>
      <w:r w:rsidRPr="00571CB3">
        <w:rPr>
          <w:noProof/>
          <w:lang w:val="en-GB"/>
        </w:rPr>
        <w:t>yields a smaller</w:t>
      </w:r>
      <w:r w:rsidR="00E83677" w:rsidRPr="00571CB3">
        <w:rPr>
          <w:noProof/>
          <w:lang w:val="en-GB"/>
        </w:rPr>
        <w:t xml:space="preserve"> effect on the MPSP compared to the most </w:t>
      </w:r>
      <w:r w:rsidRPr="00571CB3">
        <w:rPr>
          <w:noProof/>
          <w:lang w:val="en-GB"/>
        </w:rPr>
        <w:t xml:space="preserve">influential </w:t>
      </w:r>
      <w:r w:rsidR="00E83677" w:rsidRPr="00571CB3">
        <w:rPr>
          <w:noProof/>
          <w:lang w:val="en-GB"/>
        </w:rPr>
        <w:t xml:space="preserve">technological </w:t>
      </w:r>
      <w:r w:rsidRPr="00571CB3">
        <w:rPr>
          <w:noProof/>
          <w:lang w:val="en-GB"/>
        </w:rPr>
        <w:t>parameters</w:t>
      </w:r>
      <w:r w:rsidR="00E83677" w:rsidRPr="00571CB3">
        <w:rPr>
          <w:noProof/>
          <w:lang w:val="en-GB"/>
        </w:rPr>
        <w:t xml:space="preserve">. </w:t>
      </w:r>
      <w:r w:rsidRPr="00571CB3">
        <w:rPr>
          <w:noProof/>
          <w:lang w:val="en-GB"/>
        </w:rPr>
        <w:t>This reinforces</w:t>
      </w:r>
      <w:r w:rsidR="00E83677" w:rsidRPr="00571CB3">
        <w:rPr>
          <w:noProof/>
          <w:lang w:val="en-GB"/>
        </w:rPr>
        <w:t xml:space="preserve"> the </w:t>
      </w:r>
      <w:r w:rsidRPr="00571CB3">
        <w:rPr>
          <w:noProof/>
          <w:lang w:val="en-GB"/>
        </w:rPr>
        <w:t xml:space="preserve">conclusion that the </w:t>
      </w:r>
      <w:r w:rsidR="00E83677" w:rsidRPr="00571CB3">
        <w:rPr>
          <w:noProof/>
          <w:lang w:val="en-GB"/>
        </w:rPr>
        <w:t xml:space="preserve">low TRL of </w:t>
      </w:r>
      <w:r w:rsidRPr="00571CB3">
        <w:rPr>
          <w:noProof/>
          <w:lang w:val="en-GB"/>
        </w:rPr>
        <w:t xml:space="preserve">the bio-based </w:t>
      </w:r>
      <w:r w:rsidR="00E83677" w:rsidRPr="00571CB3">
        <w:rPr>
          <w:noProof/>
          <w:lang w:val="en-GB"/>
        </w:rPr>
        <w:t xml:space="preserve">technology </w:t>
      </w:r>
      <w:r w:rsidRPr="00571CB3">
        <w:rPr>
          <w:noProof/>
          <w:lang w:val="en-GB"/>
        </w:rPr>
        <w:t>leaves substantial</w:t>
      </w:r>
      <w:r w:rsidR="00E83677" w:rsidRPr="00571CB3">
        <w:rPr>
          <w:noProof/>
          <w:lang w:val="en-GB"/>
        </w:rPr>
        <w:t xml:space="preserve"> </w:t>
      </w:r>
      <w:r w:rsidRPr="00571CB3">
        <w:rPr>
          <w:noProof/>
          <w:lang w:val="en-GB"/>
        </w:rPr>
        <w:t xml:space="preserve">room </w:t>
      </w:r>
      <w:r w:rsidR="00E83677" w:rsidRPr="00571CB3">
        <w:rPr>
          <w:noProof/>
          <w:lang w:val="en-GB"/>
        </w:rPr>
        <w:t xml:space="preserve">for technological </w:t>
      </w:r>
      <w:r w:rsidRPr="00571CB3">
        <w:rPr>
          <w:noProof/>
          <w:lang w:val="en-GB"/>
        </w:rPr>
        <w:t>advancement and cost reduction</w:t>
      </w:r>
      <w:r w:rsidR="00E83677" w:rsidRPr="00571CB3">
        <w:rPr>
          <w:noProof/>
          <w:lang w:val="en-GB"/>
        </w:rPr>
        <w:t>.</w:t>
      </w:r>
      <w:r w:rsidR="009A5718" w:rsidRPr="00571CB3">
        <w:rPr>
          <w:noProof/>
          <w:lang w:val="en-GB"/>
        </w:rPr>
        <w:t xml:space="preserve"> </w:t>
      </w:r>
      <w:r w:rsidR="005F5063" w:rsidRPr="00571CB3">
        <w:rPr>
          <w:lang w:val="en-GB"/>
        </w:rPr>
        <w:t xml:space="preserve">After </w:t>
      </w:r>
      <w:r w:rsidRPr="00571CB3">
        <w:rPr>
          <w:lang w:val="en-GB"/>
        </w:rPr>
        <w:t xml:space="preserve">establishing </w:t>
      </w:r>
      <w:r w:rsidR="005F5063" w:rsidRPr="00571CB3">
        <w:rPr>
          <w:lang w:val="en-GB"/>
        </w:rPr>
        <w:t xml:space="preserve">that industrial performance </w:t>
      </w:r>
      <w:r w:rsidRPr="00571CB3">
        <w:rPr>
          <w:lang w:val="en-GB"/>
        </w:rPr>
        <w:t>metrics are the primary drivers of the MPSP</w:t>
      </w:r>
      <w:r w:rsidR="005F5063" w:rsidRPr="00571CB3">
        <w:rPr>
          <w:lang w:val="en-GB"/>
        </w:rPr>
        <w:t xml:space="preserve">, further </w:t>
      </w:r>
      <w:r w:rsidR="00387EB3" w:rsidRPr="00571CB3">
        <w:rPr>
          <w:lang w:val="en-GB"/>
        </w:rPr>
        <w:t xml:space="preserve">analysis </w:t>
      </w:r>
      <w:r w:rsidRPr="00571CB3">
        <w:rPr>
          <w:lang w:val="en-GB"/>
        </w:rPr>
        <w:t xml:space="preserve">was conducted to explore </w:t>
      </w:r>
      <w:r w:rsidR="005F5063" w:rsidRPr="00571CB3">
        <w:rPr>
          <w:lang w:val="en-GB"/>
        </w:rPr>
        <w:t xml:space="preserve">how cost elements and </w:t>
      </w:r>
      <w:r w:rsidRPr="00571CB3">
        <w:rPr>
          <w:lang w:val="en-GB"/>
        </w:rPr>
        <w:t>MPSP</w:t>
      </w:r>
      <w:r w:rsidR="005F5063" w:rsidRPr="00571CB3">
        <w:rPr>
          <w:lang w:val="en-GB"/>
        </w:rPr>
        <w:t xml:space="preserve"> vary with respect to the ratio of average fixed</w:t>
      </w:r>
      <w:r w:rsidR="00387EB3" w:rsidRPr="00571CB3">
        <w:rPr>
          <w:lang w:val="en-GB"/>
        </w:rPr>
        <w:t xml:space="preserve"> (A</w:t>
      </w:r>
      <w:r w:rsidR="001031D5" w:rsidRPr="00571CB3">
        <w:rPr>
          <w:lang w:val="en-GB"/>
        </w:rPr>
        <w:t>FC)</w:t>
      </w:r>
      <w:r w:rsidR="005F5063" w:rsidRPr="00571CB3">
        <w:rPr>
          <w:lang w:val="en-GB"/>
        </w:rPr>
        <w:t xml:space="preserve"> and variable costs</w:t>
      </w:r>
      <w:r w:rsidR="001031D5" w:rsidRPr="00571CB3">
        <w:rPr>
          <w:lang w:val="en-GB"/>
        </w:rPr>
        <w:t xml:space="preserve"> (AVC)</w:t>
      </w:r>
      <w:r w:rsidRPr="00571CB3">
        <w:rPr>
          <w:lang w:val="en-GB"/>
        </w:rPr>
        <w:t xml:space="preserve">, as shown in </w:t>
      </w:r>
      <w:r w:rsidR="001031D5" w:rsidRPr="00571CB3">
        <w:rPr>
          <w:lang w:val="en-GB"/>
        </w:rPr>
        <w:fldChar w:fldCharType="begin"/>
      </w:r>
      <w:r w:rsidR="001031D5" w:rsidRPr="00571CB3">
        <w:rPr>
          <w:lang w:val="en-GB"/>
        </w:rPr>
        <w:instrText xml:space="preserve"> REF _Ref192685412 \h </w:instrText>
      </w:r>
      <w:r w:rsidR="007C6A24" w:rsidRPr="00571CB3">
        <w:rPr>
          <w:lang w:val="en-GB"/>
        </w:rPr>
        <w:instrText xml:space="preserve"> \* MERGEFORMAT </w:instrText>
      </w:r>
      <w:r w:rsidR="001031D5" w:rsidRPr="00571CB3">
        <w:rPr>
          <w:lang w:val="en-GB"/>
        </w:rPr>
      </w:r>
      <w:r w:rsidR="001031D5" w:rsidRPr="00571CB3">
        <w:rPr>
          <w:lang w:val="en-GB"/>
        </w:rPr>
        <w:fldChar w:fldCharType="separate"/>
      </w:r>
      <w:r w:rsidR="001031D5" w:rsidRPr="00571CB3">
        <w:rPr>
          <w:lang w:val="en-GB"/>
        </w:rPr>
        <w:t>Figure 2</w:t>
      </w:r>
      <w:r w:rsidR="001031D5" w:rsidRPr="00571CB3">
        <w:rPr>
          <w:lang w:val="en-GB"/>
        </w:rPr>
        <w:fldChar w:fldCharType="end"/>
      </w:r>
      <w:r w:rsidR="007C6A24" w:rsidRPr="00571CB3">
        <w:rPr>
          <w:lang w:val="en-GB"/>
        </w:rPr>
        <w:t>b</w:t>
      </w:r>
      <w:r w:rsidR="005F5063" w:rsidRPr="00571CB3">
        <w:rPr>
          <w:lang w:val="en-GB"/>
        </w:rPr>
        <w:t xml:space="preserve">. </w:t>
      </w:r>
      <w:r w:rsidRPr="00571CB3">
        <w:rPr>
          <w:lang w:val="en-GB"/>
        </w:rPr>
        <w:t xml:space="preserve">A </w:t>
      </w:r>
      <w:r w:rsidR="005F5063" w:rsidRPr="00571CB3">
        <w:rPr>
          <w:lang w:val="en-GB"/>
        </w:rPr>
        <w:t>Leontief production function</w:t>
      </w:r>
      <w:r w:rsidR="007C6A24" w:rsidRPr="00571CB3">
        <w:rPr>
          <w:lang w:val="en-GB"/>
        </w:rPr>
        <w:t xml:space="preserve"> was </w:t>
      </w:r>
      <w:r w:rsidRPr="00571CB3">
        <w:rPr>
          <w:lang w:val="en-GB"/>
        </w:rPr>
        <w:t>applied</w:t>
      </w:r>
      <w:r w:rsidR="005F5063" w:rsidRPr="00571CB3">
        <w:rPr>
          <w:lang w:val="en-GB"/>
        </w:rPr>
        <w:t xml:space="preserve">, </w:t>
      </w:r>
      <w:r w:rsidRPr="00571CB3">
        <w:rPr>
          <w:lang w:val="en-GB"/>
        </w:rPr>
        <w:t>resulting</w:t>
      </w:r>
      <w:r w:rsidR="005F5063" w:rsidRPr="00571CB3">
        <w:rPr>
          <w:lang w:val="en-GB"/>
        </w:rPr>
        <w:t xml:space="preserve"> in constant </w:t>
      </w:r>
      <w:r w:rsidRPr="00571CB3">
        <w:rPr>
          <w:lang w:val="en-GB"/>
        </w:rPr>
        <w:t>AVCs</w:t>
      </w:r>
      <w:r w:rsidR="005F5063" w:rsidRPr="00571CB3">
        <w:rPr>
          <w:lang w:val="en-GB"/>
        </w:rPr>
        <w:t xml:space="preserve"> </w:t>
      </w:r>
      <w:r w:rsidRPr="00571CB3">
        <w:rPr>
          <w:lang w:val="en-GB"/>
        </w:rPr>
        <w:t xml:space="preserve">determined by </w:t>
      </w:r>
      <w:r w:rsidR="005F5063" w:rsidRPr="00571CB3">
        <w:rPr>
          <w:lang w:val="en-GB"/>
        </w:rPr>
        <w:t xml:space="preserve">input prices and technological coefficients. In contrast, other cost </w:t>
      </w:r>
      <w:r w:rsidRPr="00571CB3">
        <w:rPr>
          <w:lang w:val="en-GB"/>
        </w:rPr>
        <w:t xml:space="preserve">curves </w:t>
      </w:r>
      <w:r w:rsidR="005F5063" w:rsidRPr="00571CB3">
        <w:rPr>
          <w:lang w:val="en-GB"/>
        </w:rPr>
        <w:t>are convex</w:t>
      </w:r>
      <w:r w:rsidRPr="00571CB3">
        <w:rPr>
          <w:lang w:val="en-GB"/>
        </w:rPr>
        <w:t>,</w:t>
      </w:r>
      <w:r w:rsidR="005F5063" w:rsidRPr="00571CB3">
        <w:rPr>
          <w:lang w:val="en-GB"/>
        </w:rPr>
        <w:t xml:space="preserve"> </w:t>
      </w:r>
      <w:r w:rsidRPr="00571CB3">
        <w:rPr>
          <w:lang w:val="en-GB"/>
        </w:rPr>
        <w:t>reflecting the</w:t>
      </w:r>
      <w:r w:rsidR="005F5063" w:rsidRPr="00571CB3">
        <w:rPr>
          <w:lang w:val="en-GB"/>
        </w:rPr>
        <w:t xml:space="preserve"> increas</w:t>
      </w:r>
      <w:r w:rsidRPr="00571CB3">
        <w:rPr>
          <w:lang w:val="en-GB"/>
        </w:rPr>
        <w:t>ing</w:t>
      </w:r>
      <w:r w:rsidR="005F5063" w:rsidRPr="00571CB3">
        <w:rPr>
          <w:lang w:val="en-GB"/>
        </w:rPr>
        <w:t xml:space="preserve"> </w:t>
      </w:r>
      <w:r w:rsidRPr="00571CB3">
        <w:rPr>
          <w:lang w:val="en-GB"/>
        </w:rPr>
        <w:t xml:space="preserve">share </w:t>
      </w:r>
      <w:r w:rsidR="005F5063" w:rsidRPr="00571CB3">
        <w:rPr>
          <w:lang w:val="en-GB"/>
        </w:rPr>
        <w:t xml:space="preserve">of </w:t>
      </w:r>
      <w:r w:rsidRPr="00571CB3">
        <w:rPr>
          <w:lang w:val="en-GB"/>
        </w:rPr>
        <w:t>AVC in total costs</w:t>
      </w:r>
      <w:r w:rsidR="005F5063" w:rsidRPr="00571CB3">
        <w:rPr>
          <w:lang w:val="en-GB"/>
        </w:rPr>
        <w:t xml:space="preserve">. This </w:t>
      </w:r>
      <w:r w:rsidRPr="00571CB3">
        <w:rPr>
          <w:lang w:val="en-GB"/>
        </w:rPr>
        <w:t xml:space="preserve">convexity implies </w:t>
      </w:r>
      <w:r w:rsidR="005F5063" w:rsidRPr="00571CB3">
        <w:rPr>
          <w:lang w:val="en-GB"/>
        </w:rPr>
        <w:t xml:space="preserve">a </w:t>
      </w:r>
      <w:r w:rsidRPr="00571CB3">
        <w:rPr>
          <w:lang w:val="en-GB"/>
        </w:rPr>
        <w:t xml:space="preserve">diminishing </w:t>
      </w:r>
      <w:r w:rsidR="005F5063" w:rsidRPr="00571CB3">
        <w:rPr>
          <w:lang w:val="en-GB"/>
        </w:rPr>
        <w:t xml:space="preserve">marginal effect on the MPSP </w:t>
      </w:r>
      <w:r w:rsidRPr="00571CB3">
        <w:rPr>
          <w:lang w:val="en-GB"/>
        </w:rPr>
        <w:t>as AVC becomes more dominant in</w:t>
      </w:r>
      <w:r w:rsidR="005F5063" w:rsidRPr="00571CB3">
        <w:rPr>
          <w:lang w:val="en-GB"/>
        </w:rPr>
        <w:t xml:space="preserve"> total costs. </w:t>
      </w:r>
      <w:r w:rsidRPr="00571CB3">
        <w:rPr>
          <w:lang w:val="en-GB"/>
        </w:rPr>
        <w:t xml:space="preserve">In </w:t>
      </w:r>
      <w:r w:rsidR="005F5063" w:rsidRPr="00571CB3">
        <w:rPr>
          <w:lang w:val="en-GB"/>
        </w:rPr>
        <w:t xml:space="preserve">the specific case </w:t>
      </w:r>
      <w:r w:rsidRPr="00571CB3">
        <w:rPr>
          <w:lang w:val="en-GB"/>
        </w:rPr>
        <w:t>analysed</w:t>
      </w:r>
      <w:r w:rsidR="005F5063" w:rsidRPr="00571CB3">
        <w:rPr>
          <w:lang w:val="en-GB"/>
        </w:rPr>
        <w:t xml:space="preserve">, the MPSP </w:t>
      </w:r>
      <w:r w:rsidRPr="00571CB3">
        <w:rPr>
          <w:lang w:val="en-GB"/>
        </w:rPr>
        <w:t xml:space="preserve">approaches </w:t>
      </w:r>
      <w:proofErr w:type="gramStart"/>
      <w:r w:rsidRPr="00571CB3">
        <w:rPr>
          <w:lang w:val="en-GB"/>
        </w:rPr>
        <w:t>its</w:t>
      </w:r>
      <w:proofErr w:type="gramEnd"/>
      <w:r w:rsidRPr="00571CB3">
        <w:rPr>
          <w:lang w:val="en-GB"/>
        </w:rPr>
        <w:t xml:space="preserve"> </w:t>
      </w:r>
      <w:r w:rsidR="005F5063" w:rsidRPr="00571CB3">
        <w:rPr>
          <w:lang w:val="en-GB"/>
        </w:rPr>
        <w:t xml:space="preserve">minimum </w:t>
      </w:r>
      <w:r w:rsidRPr="00571CB3">
        <w:rPr>
          <w:lang w:val="en-GB"/>
        </w:rPr>
        <w:t xml:space="preserve">when AVCs account for </w:t>
      </w:r>
      <w:r w:rsidR="005F5063" w:rsidRPr="00571CB3">
        <w:rPr>
          <w:lang w:val="en-GB"/>
        </w:rPr>
        <w:t>at least 60</w:t>
      </w:r>
      <w:r w:rsidRPr="00571CB3">
        <w:rPr>
          <w:lang w:val="en-GB"/>
        </w:rPr>
        <w:t>%</w:t>
      </w:r>
      <w:r w:rsidR="005F5063" w:rsidRPr="00571CB3">
        <w:rPr>
          <w:lang w:val="en-GB"/>
        </w:rPr>
        <w:t xml:space="preserve"> of the average total costs</w:t>
      </w:r>
      <w:r w:rsidR="001960E8" w:rsidRPr="00571CB3">
        <w:rPr>
          <w:lang w:val="en-GB"/>
        </w:rPr>
        <w:t>, highlighting a cost-efficient plant scale where resource utilization and production efficiency are optimized.</w:t>
      </w:r>
    </w:p>
    <w:p w14:paraId="7DEE5540" w14:textId="159B7728" w:rsidR="00FE4CB4" w:rsidRPr="00571CB3" w:rsidRDefault="00FE4CB4" w:rsidP="00FE4CB4">
      <w:pPr>
        <w:pStyle w:val="CETBodytext"/>
        <w:keepNext/>
        <w:rPr>
          <w:lang w:val="en-GB"/>
        </w:rPr>
      </w:pPr>
      <w:r w:rsidRPr="00571CB3">
        <w:rPr>
          <w:noProof/>
          <w:lang w:val="en-GB" w:eastAsia="en-GB"/>
        </w:rPr>
        <w:drawing>
          <wp:inline distT="0" distB="0" distL="0" distR="0" wp14:anchorId="0BCFD534" wp14:editId="6EAF098A">
            <wp:extent cx="5284716" cy="2019869"/>
            <wp:effectExtent l="0" t="0" r="0" b="0"/>
            <wp:docPr id="1175740859" name="Immagine 1" descr="Immagine che contiene Diagramma, diagramma, test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740859" name="Immagine 1" descr="Immagine che contiene Diagramma, diagramma, testo, scherma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11" cy="205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4CE96A" w14:textId="368B67ED" w:rsidR="00FE4CB4" w:rsidRPr="00571CB3" w:rsidRDefault="00FE4CB4" w:rsidP="00FE4CB4">
      <w:pPr>
        <w:pStyle w:val="Didascalia"/>
        <w:spacing w:after="240"/>
        <w:rPr>
          <w:b w:val="0"/>
          <w:bCs w:val="0"/>
          <w:i/>
          <w:color w:val="000000" w:themeColor="text1"/>
          <w:szCs w:val="20"/>
        </w:rPr>
      </w:pPr>
      <w:bookmarkStart w:id="3" w:name="_Ref192685412"/>
      <w:r w:rsidRPr="00571CB3">
        <w:rPr>
          <w:rStyle w:val="CETCaptionCarattere"/>
          <w:b w:val="0"/>
          <w:bCs w:val="0"/>
          <w:color w:val="000000" w:themeColor="text1"/>
        </w:rPr>
        <w:t xml:space="preserve">Figure </w:t>
      </w:r>
      <w:r w:rsidRPr="00571CB3">
        <w:rPr>
          <w:rStyle w:val="CETCaptionCarattere"/>
          <w:b w:val="0"/>
          <w:bCs w:val="0"/>
          <w:color w:val="000000" w:themeColor="text1"/>
        </w:rPr>
        <w:fldChar w:fldCharType="begin"/>
      </w:r>
      <w:r w:rsidRPr="00571CB3">
        <w:rPr>
          <w:rStyle w:val="CETCaptionCarattere"/>
          <w:b w:val="0"/>
          <w:bCs w:val="0"/>
          <w:color w:val="000000" w:themeColor="text1"/>
        </w:rPr>
        <w:instrText xml:space="preserve"> SEQ Figure \* ARABIC </w:instrText>
      </w:r>
      <w:r w:rsidRPr="00571CB3">
        <w:rPr>
          <w:rStyle w:val="CETCaptionCarattere"/>
          <w:b w:val="0"/>
          <w:bCs w:val="0"/>
          <w:color w:val="000000" w:themeColor="text1"/>
        </w:rPr>
        <w:fldChar w:fldCharType="separate"/>
      </w:r>
      <w:r w:rsidRPr="00571CB3">
        <w:rPr>
          <w:rStyle w:val="CETCaptionCarattere"/>
          <w:b w:val="0"/>
          <w:bCs w:val="0"/>
          <w:color w:val="000000" w:themeColor="text1"/>
        </w:rPr>
        <w:t>2</w:t>
      </w:r>
      <w:r w:rsidRPr="00571CB3">
        <w:rPr>
          <w:rStyle w:val="CETCaptionCarattere"/>
          <w:b w:val="0"/>
          <w:bCs w:val="0"/>
          <w:color w:val="000000" w:themeColor="text1"/>
        </w:rPr>
        <w:fldChar w:fldCharType="end"/>
      </w:r>
      <w:bookmarkEnd w:id="3"/>
      <w:r w:rsidRPr="00571CB3">
        <w:rPr>
          <w:rStyle w:val="CETCaptionCarattere"/>
          <w:b w:val="0"/>
          <w:bCs w:val="0"/>
          <w:color w:val="000000" w:themeColor="text1"/>
        </w:rPr>
        <w:t xml:space="preserve"> (A) MPSP density distribution and (B) Costs and MPSP changes for industry structures</w:t>
      </w:r>
    </w:p>
    <w:p w14:paraId="68D26B83" w14:textId="6F288BCC" w:rsidR="00600535" w:rsidRPr="00571CB3" w:rsidRDefault="00600535" w:rsidP="00600535">
      <w:pPr>
        <w:pStyle w:val="CETHeading1"/>
        <w:rPr>
          <w:lang w:val="en-GB"/>
        </w:rPr>
      </w:pPr>
      <w:r w:rsidRPr="00571CB3">
        <w:rPr>
          <w:lang w:val="en-GB"/>
        </w:rPr>
        <w:t>Conclusions</w:t>
      </w:r>
    </w:p>
    <w:p w14:paraId="7A853BC3" w14:textId="5D2586EB" w:rsidR="006E0F63" w:rsidRPr="00571CB3" w:rsidRDefault="006E0F63" w:rsidP="00532A83">
      <w:r w:rsidRPr="00571CB3">
        <w:t>In conclusion, this work provides a</w:t>
      </w:r>
      <w:r w:rsidR="00491C5B" w:rsidRPr="00571CB3">
        <w:t>n</w:t>
      </w:r>
      <w:r w:rsidRPr="00571CB3">
        <w:t xml:space="preserve"> economic assessment of bio-based </w:t>
      </w:r>
      <w:proofErr w:type="spellStart"/>
      <w:r w:rsidRPr="00571CB3">
        <w:t>vitrimers</w:t>
      </w:r>
      <w:proofErr w:type="spellEnd"/>
      <w:r w:rsidRPr="00571CB3">
        <w:t xml:space="preserve"> production from agri-food residues using Monte Carlo simulations and </w:t>
      </w:r>
      <w:r w:rsidR="00462FB3" w:rsidRPr="00571CB3">
        <w:t>a regression analysi</w:t>
      </w:r>
      <w:r w:rsidRPr="00571CB3">
        <w:t>s. The scenarios model</w:t>
      </w:r>
      <w:r w:rsidR="000C1F88" w:rsidRPr="00571CB3">
        <w:t>l</w:t>
      </w:r>
      <w:r w:rsidRPr="00571CB3">
        <w:t>ed</w:t>
      </w:r>
      <w:r w:rsidR="000C1F88" w:rsidRPr="00571CB3">
        <w:t>—</w:t>
      </w:r>
      <w:r w:rsidRPr="00571CB3">
        <w:t xml:space="preserve">based on the process </w:t>
      </w:r>
      <w:r w:rsidR="000C1F88" w:rsidRPr="00571CB3">
        <w:t xml:space="preserve">data </w:t>
      </w:r>
      <w:r w:rsidRPr="00571CB3">
        <w:t>from Cipriani et al. (2024)</w:t>
      </w:r>
      <w:r w:rsidR="000C1F88" w:rsidRPr="00571CB3">
        <w:t>—</w:t>
      </w:r>
      <w:r w:rsidRPr="00571CB3">
        <w:t xml:space="preserve">offer valuable insights </w:t>
      </w:r>
      <w:r w:rsidR="000C1F88" w:rsidRPr="00571CB3">
        <w:t xml:space="preserve">to inform </w:t>
      </w:r>
      <w:r w:rsidRPr="00571CB3">
        <w:t>strategic decision</w:t>
      </w:r>
      <w:r w:rsidR="000C1F88" w:rsidRPr="00571CB3">
        <w:t>s</w:t>
      </w:r>
      <w:r w:rsidRPr="00571CB3">
        <w:t xml:space="preserve"> in industrial and investment </w:t>
      </w:r>
      <w:r w:rsidR="000C1F88" w:rsidRPr="00571CB3">
        <w:t>planning</w:t>
      </w:r>
      <w:r w:rsidRPr="00571CB3">
        <w:t xml:space="preserve">. The study </w:t>
      </w:r>
      <w:r w:rsidR="00462FB3" w:rsidRPr="00571CB3">
        <w:t>confirms</w:t>
      </w:r>
      <w:r w:rsidRPr="00571CB3">
        <w:t xml:space="preserve"> </w:t>
      </w:r>
      <w:r w:rsidR="000C1F88" w:rsidRPr="00571CB3">
        <w:t>a</w:t>
      </w:r>
      <w:r w:rsidRPr="00571CB3">
        <w:t xml:space="preserve"> cost </w:t>
      </w:r>
      <w:r w:rsidR="000C1F88" w:rsidRPr="00571CB3">
        <w:t xml:space="preserve">gap </w:t>
      </w:r>
      <w:r w:rsidRPr="00571CB3">
        <w:t xml:space="preserve">between bio-based and fossil-based </w:t>
      </w:r>
      <w:r w:rsidR="000C1F88" w:rsidRPr="00571CB3">
        <w:t>alternatives</w:t>
      </w:r>
      <w:r w:rsidRPr="00571CB3">
        <w:t>, stressing the need for pilot-scale test</w:t>
      </w:r>
      <w:r w:rsidR="000C1F88" w:rsidRPr="00571CB3">
        <w:t>ing</w:t>
      </w:r>
      <w:r w:rsidRPr="00571CB3">
        <w:t xml:space="preserve"> to validate material flows and production technology coefficients</w:t>
      </w:r>
      <w:r w:rsidR="000C1F88" w:rsidRPr="00571CB3">
        <w:t xml:space="preserve"> derived from lab-scale experiments</w:t>
      </w:r>
      <w:r w:rsidRPr="00571CB3">
        <w:t xml:space="preserve">. </w:t>
      </w:r>
      <w:r w:rsidR="000C1F88" w:rsidRPr="00571CB3">
        <w:t xml:space="preserve">Although none of </w:t>
      </w:r>
      <w:r w:rsidRPr="00571CB3">
        <w:t>the analy</w:t>
      </w:r>
      <w:r w:rsidR="000C1F88" w:rsidRPr="00571CB3">
        <w:t>s</w:t>
      </w:r>
      <w:r w:rsidRPr="00571CB3">
        <w:t xml:space="preserve">ed scenarios </w:t>
      </w:r>
      <w:r w:rsidR="000C1F88" w:rsidRPr="00571CB3">
        <w:t>demonstrate</w:t>
      </w:r>
      <w:r w:rsidRPr="00571CB3">
        <w:t xml:space="preserve"> market</w:t>
      </w:r>
      <w:r w:rsidR="000C1F88" w:rsidRPr="00571CB3">
        <w:t xml:space="preserve"> competitiveness at this stage</w:t>
      </w:r>
      <w:r w:rsidRPr="00571CB3">
        <w:t>, the analysis offers a</w:t>
      </w:r>
      <w:r w:rsidR="000C1F88" w:rsidRPr="00571CB3">
        <w:t>n</w:t>
      </w:r>
      <w:r w:rsidRPr="00571CB3">
        <w:t xml:space="preserve"> </w:t>
      </w:r>
      <w:r w:rsidR="000C1F88" w:rsidRPr="00571CB3">
        <w:t xml:space="preserve">initial understanding </w:t>
      </w:r>
      <w:r w:rsidRPr="00571CB3">
        <w:t xml:space="preserve">of </w:t>
      </w:r>
      <w:r w:rsidR="000C1F88" w:rsidRPr="00571CB3">
        <w:t xml:space="preserve">the </w:t>
      </w:r>
      <w:r w:rsidRPr="00571CB3">
        <w:t xml:space="preserve">techno-economic factors </w:t>
      </w:r>
      <w:r w:rsidR="000C1F88" w:rsidRPr="00571CB3">
        <w:t xml:space="preserve">driving </w:t>
      </w:r>
      <w:r w:rsidRPr="00571CB3">
        <w:t xml:space="preserve">cost </w:t>
      </w:r>
      <w:r w:rsidR="000C1F88" w:rsidRPr="00571CB3">
        <w:t xml:space="preserve">structures </w:t>
      </w:r>
      <w:r w:rsidRPr="00571CB3">
        <w:t xml:space="preserve">and </w:t>
      </w:r>
      <w:r w:rsidR="00532A83" w:rsidRPr="00571CB3">
        <w:t>pricing</w:t>
      </w:r>
      <w:r w:rsidRPr="00571CB3">
        <w:t xml:space="preserve">. </w:t>
      </w:r>
      <w:r w:rsidR="000C1F88" w:rsidRPr="00571CB3">
        <w:t>Notably</w:t>
      </w:r>
      <w:r w:rsidRPr="00571CB3">
        <w:t xml:space="preserve">, industry performance metrics </w:t>
      </w:r>
      <w:r w:rsidR="000C1F88" w:rsidRPr="00571CB3">
        <w:t xml:space="preserve">reveal </w:t>
      </w:r>
      <w:r w:rsidRPr="00571CB3">
        <w:t xml:space="preserve">that </w:t>
      </w:r>
      <w:r w:rsidR="000C1F88" w:rsidRPr="00571CB3">
        <w:t xml:space="preserve">improving </w:t>
      </w:r>
      <w:r w:rsidRPr="00571CB3">
        <w:t xml:space="preserve">production efficiency and </w:t>
      </w:r>
      <w:r w:rsidR="000C1F88" w:rsidRPr="00571CB3">
        <w:t xml:space="preserve">optimizing </w:t>
      </w:r>
      <w:r w:rsidRPr="00571CB3">
        <w:t xml:space="preserve">raw material </w:t>
      </w:r>
      <w:r w:rsidR="000C1F88" w:rsidRPr="00571CB3">
        <w:t xml:space="preserve">use </w:t>
      </w:r>
      <w:r w:rsidRPr="00571CB3">
        <w:t xml:space="preserve">relative to </w:t>
      </w:r>
      <w:r w:rsidR="000C1F88" w:rsidRPr="00571CB3">
        <w:t xml:space="preserve">total </w:t>
      </w:r>
      <w:r w:rsidRPr="00571CB3">
        <w:t xml:space="preserve">operating costs </w:t>
      </w:r>
      <w:r w:rsidR="000C1F88" w:rsidRPr="00571CB3">
        <w:t>can enhance</w:t>
      </w:r>
      <w:r w:rsidRPr="00571CB3">
        <w:t xml:space="preserve"> competitiveness. </w:t>
      </w:r>
      <w:r w:rsidR="000C1F88" w:rsidRPr="00571CB3">
        <w:t xml:space="preserve">Technological coefficients and input prices—especially for benzene </w:t>
      </w:r>
      <w:proofErr w:type="spellStart"/>
      <w:r w:rsidR="000C1F88" w:rsidRPr="00571CB3">
        <w:t>diboronic</w:t>
      </w:r>
      <w:proofErr w:type="spellEnd"/>
      <w:r w:rsidR="000C1F88" w:rsidRPr="00571CB3">
        <w:t xml:space="preserve"> acid and </w:t>
      </w:r>
      <w:proofErr w:type="spellStart"/>
      <w:r w:rsidR="000C1F88" w:rsidRPr="00571CB3">
        <w:t>thioglycerol</w:t>
      </w:r>
      <w:proofErr w:type="spellEnd"/>
      <w:r w:rsidR="000C1F88" w:rsidRPr="00571CB3">
        <w:t>—exert a</w:t>
      </w:r>
      <w:r w:rsidR="00532A83" w:rsidRPr="00571CB3">
        <w:t>lso a strong influence on the MPSP</w:t>
      </w:r>
      <w:r w:rsidR="000C1F88" w:rsidRPr="00571CB3">
        <w:t>.</w:t>
      </w:r>
      <w:r w:rsidRPr="00571CB3">
        <w:t xml:space="preserve"> </w:t>
      </w:r>
      <w:r w:rsidR="000C1F88" w:rsidRPr="00571CB3">
        <w:t>Finally</w:t>
      </w:r>
      <w:r w:rsidRPr="00571CB3">
        <w:t xml:space="preserve">, the </w:t>
      </w:r>
      <w:r w:rsidR="000C1F88" w:rsidRPr="00571CB3">
        <w:t xml:space="preserve">wide </w:t>
      </w:r>
      <w:r w:rsidRPr="00571CB3">
        <w:t xml:space="preserve">distribution </w:t>
      </w:r>
      <w:r w:rsidR="000C1F88" w:rsidRPr="00571CB3">
        <w:t>of simulated MPSP values reflects substantial variability</w:t>
      </w:r>
      <w:r w:rsidRPr="00571CB3">
        <w:t xml:space="preserve">, </w:t>
      </w:r>
      <w:r w:rsidR="000C1F88" w:rsidRPr="00571CB3">
        <w:t>highlighting significant investment risk and reinforcing the importance of technological and economic improvements for future viability.</w:t>
      </w:r>
      <w:r w:rsidR="00462FB3" w:rsidRPr="00571CB3">
        <w:t xml:space="preserve"> In this case, the economic performance improves when variable costs make up at least 60% of the total costs, driving the selling price towards its minimum.</w:t>
      </w:r>
    </w:p>
    <w:p w14:paraId="459D05E6" w14:textId="77777777" w:rsidR="00600535" w:rsidRPr="00571CB3" w:rsidRDefault="00600535" w:rsidP="00600535">
      <w:pPr>
        <w:pStyle w:val="CETAcknowledgementstitle"/>
      </w:pPr>
      <w:r w:rsidRPr="00571CB3">
        <w:t>Acknowledgments</w:t>
      </w:r>
    </w:p>
    <w:p w14:paraId="24876D8A" w14:textId="20CCE453" w:rsidR="00C24AF1" w:rsidRPr="00571CB3" w:rsidRDefault="00B404E6" w:rsidP="00600535">
      <w:pPr>
        <w:pStyle w:val="CETBodytext"/>
        <w:rPr>
          <w:lang w:val="en-GB"/>
        </w:rPr>
      </w:pPr>
      <w:r w:rsidRPr="00571CB3">
        <w:rPr>
          <w:lang w:val="en-GB"/>
        </w:rPr>
        <w:t xml:space="preserve">This research was supported and funded by Fondazione Cariplo through the project “CYCLEVIT - Closing the loop: Green process for transforming highly heterogeneous biomasses into novel bio-based </w:t>
      </w:r>
      <w:proofErr w:type="spellStart"/>
      <w:r w:rsidRPr="00571CB3">
        <w:rPr>
          <w:lang w:val="en-GB"/>
        </w:rPr>
        <w:t>vitrimer</w:t>
      </w:r>
      <w:proofErr w:type="spellEnd"/>
      <w:r w:rsidRPr="00571CB3">
        <w:rPr>
          <w:lang w:val="en-GB"/>
        </w:rPr>
        <w:t xml:space="preserve"> composites” (2021-0757 grant)</w:t>
      </w:r>
      <w:r w:rsidR="00C24AF1" w:rsidRPr="00571CB3">
        <w:rPr>
          <w:lang w:val="en-GB"/>
        </w:rPr>
        <w:t>.</w:t>
      </w:r>
    </w:p>
    <w:p w14:paraId="4F1327F8" w14:textId="77777777" w:rsidR="00600535" w:rsidRPr="00571CB3" w:rsidRDefault="00600535" w:rsidP="00600535">
      <w:pPr>
        <w:pStyle w:val="CETReference"/>
      </w:pPr>
      <w:r w:rsidRPr="00571CB3">
        <w:t>References</w:t>
      </w:r>
    </w:p>
    <w:p w14:paraId="5310B244" w14:textId="70E74601" w:rsidR="001B24A3" w:rsidRPr="00571CB3" w:rsidRDefault="001B24A3" w:rsidP="001B24A3">
      <w:pPr>
        <w:pStyle w:val="CETReferencetext"/>
      </w:pPr>
      <w:r w:rsidRPr="00571CB3">
        <w:t>Alibaba, 2023a</w:t>
      </w:r>
      <w:r w:rsidR="00DF354A" w:rsidRPr="00571CB3">
        <w:t>,</w:t>
      </w:r>
      <w:r w:rsidRPr="00571CB3">
        <w:t xml:space="preserve"> 3-Mercapto-1,2-propanediol</w:t>
      </w:r>
      <w:r w:rsidR="00951EAE" w:rsidRPr="00571CB3">
        <w:t xml:space="preserve">, </w:t>
      </w:r>
      <w:hyperlink r:id="rId16" w:history="1">
        <w:r w:rsidR="00913427" w:rsidRPr="00571CB3">
          <w:rPr>
            <w:rStyle w:val="Collegamentoipertestuale"/>
          </w:rPr>
          <w:t>www.alibaba.com/product-detail/3-Mercapto-1-2-propanediol-99_1600668078295.html</w:t>
        </w:r>
      </w:hyperlink>
      <w:r w:rsidR="00913427" w:rsidRPr="00571CB3">
        <w:t xml:space="preserve"> Accessed 27 November 2023.</w:t>
      </w:r>
    </w:p>
    <w:p w14:paraId="4293BB10" w14:textId="567B048D" w:rsidR="001B24A3" w:rsidRPr="00571CB3" w:rsidRDefault="001B24A3" w:rsidP="001B24A3">
      <w:pPr>
        <w:pStyle w:val="CETReferencetext"/>
      </w:pPr>
      <w:r w:rsidRPr="00571CB3">
        <w:t>Alibaba</w:t>
      </w:r>
      <w:r w:rsidR="00951EAE" w:rsidRPr="00571CB3">
        <w:t xml:space="preserve">, </w:t>
      </w:r>
      <w:r w:rsidRPr="00571CB3">
        <w:t>2023b</w:t>
      </w:r>
      <w:r w:rsidR="00951EAE" w:rsidRPr="00571CB3">
        <w:t>,</w:t>
      </w:r>
      <w:r w:rsidRPr="00571CB3">
        <w:t xml:space="preserve"> Acetic acid. </w:t>
      </w:r>
      <w:hyperlink r:id="rId17" w:history="1">
        <w:r w:rsidR="00913427" w:rsidRPr="00571CB3">
          <w:rPr>
            <w:rStyle w:val="Collegamentoipertestuale"/>
          </w:rPr>
          <w:t>www.alibaba.com/premium/acetic_acid_prices.html</w:t>
        </w:r>
      </w:hyperlink>
      <w:r w:rsidR="00913427" w:rsidRPr="00571CB3">
        <w:t xml:space="preserve"> Accessed 27 November 2023.</w:t>
      </w:r>
    </w:p>
    <w:p w14:paraId="387C1EEB" w14:textId="1CD60FC7" w:rsidR="001B24A3" w:rsidRPr="00571CB3" w:rsidRDefault="001B24A3" w:rsidP="001B24A3">
      <w:pPr>
        <w:pStyle w:val="CETReferencetext"/>
      </w:pPr>
      <w:r w:rsidRPr="00571CB3">
        <w:t>Alibaba</w:t>
      </w:r>
      <w:r w:rsidR="00951EAE" w:rsidRPr="00571CB3">
        <w:t xml:space="preserve">, </w:t>
      </w:r>
      <w:r w:rsidRPr="00571CB3">
        <w:t>2023c</w:t>
      </w:r>
      <w:r w:rsidR="00951EAE" w:rsidRPr="00571CB3">
        <w:t>,</w:t>
      </w:r>
      <w:r w:rsidRPr="00571CB3">
        <w:t xml:space="preserve"> Epoxy Soybean Oil Acrylate</w:t>
      </w:r>
      <w:r w:rsidR="00951EAE" w:rsidRPr="00571CB3">
        <w:t>,</w:t>
      </w:r>
      <w:r w:rsidRPr="00571CB3">
        <w:t xml:space="preserve"> </w:t>
      </w:r>
      <w:hyperlink r:id="rId18" w:history="1">
        <w:r w:rsidR="00913427" w:rsidRPr="00571CB3">
          <w:rPr>
            <w:rStyle w:val="Collegamentoipertestuale"/>
          </w:rPr>
          <w:t>www.alibaba.com/product-detail/epoxy-soybean-oil-acrylate-resins-6103_62236927454.html</w:t>
        </w:r>
      </w:hyperlink>
      <w:r w:rsidR="00913427" w:rsidRPr="00571CB3">
        <w:t xml:space="preserve"> Accessed 27 November 2023.</w:t>
      </w:r>
    </w:p>
    <w:p w14:paraId="0CBAE980" w14:textId="21C9D36E" w:rsidR="001B24A3" w:rsidRPr="00571CB3" w:rsidRDefault="001B24A3" w:rsidP="001B24A3">
      <w:pPr>
        <w:pStyle w:val="CETReferencetext"/>
      </w:pPr>
      <w:r w:rsidRPr="00571CB3">
        <w:t>Alibaba</w:t>
      </w:r>
      <w:r w:rsidR="00951EAE" w:rsidRPr="00571CB3">
        <w:t>,</w:t>
      </w:r>
      <w:r w:rsidRPr="00571CB3">
        <w:t xml:space="preserve"> 2023d</w:t>
      </w:r>
      <w:r w:rsidR="00951EAE" w:rsidRPr="00571CB3">
        <w:t>,</w:t>
      </w:r>
      <w:r w:rsidRPr="00571CB3">
        <w:t xml:space="preserve"> Phenylboronic acid. </w:t>
      </w:r>
      <w:hyperlink r:id="rId19" w:history="1">
        <w:r w:rsidR="007C242C" w:rsidRPr="00571CB3">
          <w:rPr>
            <w:rStyle w:val="Collegamentoipertestuale"/>
          </w:rPr>
          <w:t>https://www.alibaba.com/product-detail/High-Quality-99-Phenylboronic-Acid-CAS_1600706756745.html Accessed 27 November 2023</w:t>
        </w:r>
      </w:hyperlink>
      <w:r w:rsidR="00913427" w:rsidRPr="00571CB3">
        <w:t>.</w:t>
      </w:r>
    </w:p>
    <w:p w14:paraId="56C0DCE1" w14:textId="667E2C12" w:rsidR="00693504" w:rsidRPr="00571CB3" w:rsidRDefault="00693504" w:rsidP="001B24A3">
      <w:pPr>
        <w:pStyle w:val="CETReferencetext"/>
      </w:pPr>
      <w:r w:rsidRPr="00571CB3">
        <w:t>Bass, G. F., &amp; Epps, T. H. (2021). Recent developments towards performance-enhancing lignin-based polymers. Polymer Chemistry, 12(29), 4130-4158.</w:t>
      </w:r>
    </w:p>
    <w:p w14:paraId="72307E7A" w14:textId="75F10725" w:rsidR="007C242C" w:rsidRPr="00571CB3" w:rsidRDefault="007C242C" w:rsidP="001B24A3">
      <w:pPr>
        <w:pStyle w:val="CETReferencetext"/>
      </w:pPr>
      <w:r w:rsidRPr="00571CB3">
        <w:t>Brandt, K., Camenzind, D., Zhu, J. Y., Latta, G., Gao, J., &amp; Wolcott, M. (2022). Methodology for quantifying the impact of repurposing existing manufacturing facilities: case study using pulp and paper facilities for sustainable aviation fuel production. Biofuels, bioproducts and biorefining, 16(5), 1227-1239.</w:t>
      </w:r>
    </w:p>
    <w:p w14:paraId="43E7B11B" w14:textId="585987D6" w:rsidR="005A206B" w:rsidRPr="00571CB3" w:rsidRDefault="005A206B" w:rsidP="00C24AF1">
      <w:pPr>
        <w:pStyle w:val="CETReferencetext"/>
      </w:pPr>
      <w:r w:rsidRPr="00571CB3">
        <w:t xml:space="preserve">Cipriani M., Nardi M., Athanassiou A., Spigno G., Bassani A., 2024, Green Process for Transforming Lignocellulosic Residues </w:t>
      </w:r>
      <w:proofErr w:type="gramStart"/>
      <w:r w:rsidRPr="00571CB3">
        <w:t>Into</w:t>
      </w:r>
      <w:proofErr w:type="gramEnd"/>
      <w:r w:rsidRPr="00571CB3">
        <w:t xml:space="preserve"> Novel Bio-based </w:t>
      </w:r>
      <w:proofErr w:type="spellStart"/>
      <w:r w:rsidRPr="00571CB3">
        <w:t>Vitrimer</w:t>
      </w:r>
      <w:proofErr w:type="spellEnd"/>
      <w:r w:rsidRPr="00571CB3">
        <w:t xml:space="preserve"> Composites, Chemical Engineering Transactions, 109, 403-408.</w:t>
      </w:r>
    </w:p>
    <w:p w14:paraId="75D3E599" w14:textId="112497FE" w:rsidR="001B24A3" w:rsidRPr="00571CB3" w:rsidRDefault="00731257" w:rsidP="00C24AF1">
      <w:pPr>
        <w:pStyle w:val="CETReferencetext"/>
      </w:pPr>
      <w:r w:rsidRPr="00571CB3">
        <w:t>Eurostat</w:t>
      </w:r>
      <w:r w:rsidR="001A75ED" w:rsidRPr="00571CB3">
        <w:t xml:space="preserve">, </w:t>
      </w:r>
      <w:r w:rsidRPr="00571CB3">
        <w:t>2023</w:t>
      </w:r>
      <w:r w:rsidR="001A75ED" w:rsidRPr="00571CB3">
        <w:t>,</w:t>
      </w:r>
      <w:r w:rsidRPr="00571CB3">
        <w:t xml:space="preserve"> Annual inflation down to 9.2% in the euro area Down to 10.4% in the EU</w:t>
      </w:r>
      <w:r w:rsidR="001A75ED" w:rsidRPr="00571CB3">
        <w:t xml:space="preserve">, </w:t>
      </w:r>
      <w:r w:rsidR="001D183C" w:rsidRPr="00571CB3">
        <w:t>www.ec.europa.eu/eurostat/web/products-euro-indicators/w/2-18012023-ap#:~:text=The%20euro%20area%20annual%20inflation,%2C%20the%20rate%20was%205.3%25</w:t>
      </w:r>
      <w:r w:rsidRPr="00571CB3">
        <w:t>.</w:t>
      </w:r>
    </w:p>
    <w:p w14:paraId="05AD69E1" w14:textId="59EE209E" w:rsidR="001D183C" w:rsidRPr="00571CB3" w:rsidRDefault="001D183C" w:rsidP="001D183C">
      <w:pPr>
        <w:pStyle w:val="CETReferencetext"/>
        <w:rPr>
          <w:i/>
          <w:iCs/>
        </w:rPr>
      </w:pPr>
      <w:r w:rsidRPr="00571CB3">
        <w:t xml:space="preserve">Golberg A., </w:t>
      </w:r>
      <w:proofErr w:type="spellStart"/>
      <w:r w:rsidRPr="00571CB3">
        <w:t>Polikovsky</w:t>
      </w:r>
      <w:proofErr w:type="spellEnd"/>
      <w:r w:rsidRPr="00571CB3">
        <w:t xml:space="preserve"> M., Epstein M., Slegers P. M., Drabik D., </w:t>
      </w:r>
      <w:proofErr w:type="spellStart"/>
      <w:r w:rsidRPr="00571CB3">
        <w:t>Kribus</w:t>
      </w:r>
      <w:proofErr w:type="spellEnd"/>
      <w:r w:rsidRPr="00571CB3">
        <w:t xml:space="preserve"> A., 2021, Hybrid solar-seaweed biorefinery for co-production of biochemicals, biofuels, electricity, and water: Thermodynamics, life cycle assessment, and cost-benefit analysis. Energy Conversion and Management, </w:t>
      </w:r>
      <w:r w:rsidRPr="00571CB3">
        <w:rPr>
          <w:i/>
          <w:iCs/>
        </w:rPr>
        <w:t>246</w:t>
      </w:r>
    </w:p>
    <w:p w14:paraId="62A5C4F6" w14:textId="11DC3106" w:rsidR="00A771E4" w:rsidRPr="00571CB3" w:rsidRDefault="00A771E4" w:rsidP="00A771E4">
      <w:pPr>
        <w:pStyle w:val="CETReferencetext"/>
      </w:pPr>
      <w:r w:rsidRPr="00571CB3">
        <w:t xml:space="preserve">Hann S., Scholes R., Lee T., Ettlinger S., Jørgensen H., 2020, Biobased and biodegradable plastics in </w:t>
      </w:r>
      <w:proofErr w:type="spellStart"/>
      <w:r w:rsidRPr="00571CB3">
        <w:t>denmark</w:t>
      </w:r>
      <w:proofErr w:type="spellEnd"/>
      <w:r w:rsidRPr="00571CB3">
        <w:t xml:space="preserve">. Industrial Biotechnology, </w:t>
      </w:r>
      <w:r w:rsidRPr="00571CB3">
        <w:rPr>
          <w:i/>
          <w:iCs/>
        </w:rPr>
        <w:t>16</w:t>
      </w:r>
      <w:r w:rsidRPr="00571CB3">
        <w:t xml:space="preserve">(3), 164–175. </w:t>
      </w:r>
    </w:p>
    <w:p w14:paraId="641CEFDA" w14:textId="12457788" w:rsidR="002A74DC" w:rsidRPr="00571CB3" w:rsidRDefault="002A74DC" w:rsidP="002A74DC">
      <w:pPr>
        <w:pStyle w:val="CETReferencetext"/>
      </w:pPr>
      <w:r w:rsidRPr="00571CB3">
        <w:t>ISMEA,</w:t>
      </w:r>
      <w:r w:rsidR="002C2FB3" w:rsidRPr="00571CB3">
        <w:t xml:space="preserve"> </w:t>
      </w:r>
      <w:r w:rsidRPr="00571CB3">
        <w:t>2023</w:t>
      </w:r>
      <w:r w:rsidR="002C2FB3" w:rsidRPr="00571CB3">
        <w:t xml:space="preserve">, </w:t>
      </w:r>
      <w:hyperlink r:id="rId20" w:history="1">
        <w:r w:rsidR="002E325E" w:rsidRPr="00571CB3">
          <w:rPr>
            <w:rStyle w:val="Collegamentoipertestuale"/>
          </w:rPr>
          <w:t>www.ismeamercati.it/flex/cm/pages/ServeBLOB.php/L/IT/IDPagina/5391</w:t>
        </w:r>
      </w:hyperlink>
      <w:r w:rsidR="002E325E" w:rsidRPr="00571CB3">
        <w:t xml:space="preserve"> </w:t>
      </w:r>
    </w:p>
    <w:p w14:paraId="36B8C95F" w14:textId="5395D0E3" w:rsidR="002E325E" w:rsidRPr="00571CB3" w:rsidRDefault="002E325E" w:rsidP="00074B2D">
      <w:pPr>
        <w:pStyle w:val="CETReferencetext"/>
      </w:pPr>
      <w:r w:rsidRPr="00571CB3">
        <w:t>Keasling and Persson, 2021</w:t>
      </w:r>
      <w:r w:rsidR="00074B2D" w:rsidRPr="00571CB3">
        <w:t xml:space="preserve"> Design and Development of Bio-Advantaged </w:t>
      </w:r>
      <w:proofErr w:type="spellStart"/>
      <w:r w:rsidR="00074B2D" w:rsidRPr="00571CB3">
        <w:t>Vitrimers</w:t>
      </w:r>
      <w:proofErr w:type="spellEnd"/>
      <w:r w:rsidR="00074B2D" w:rsidRPr="00571CB3">
        <w:t xml:space="preserve"> as </w:t>
      </w:r>
      <w:proofErr w:type="spellStart"/>
      <w:r w:rsidR="00074B2D" w:rsidRPr="00571CB3">
        <w:t>ClosedLoop</w:t>
      </w:r>
      <w:proofErr w:type="spellEnd"/>
      <w:r w:rsidR="00074B2D" w:rsidRPr="00571CB3">
        <w:t xml:space="preserve"> Bioproducts. </w:t>
      </w:r>
    </w:p>
    <w:p w14:paraId="29177273" w14:textId="4C6DB2CB" w:rsidR="00B13C3D" w:rsidRPr="00571CB3" w:rsidRDefault="00B13C3D" w:rsidP="00B13C3D">
      <w:pPr>
        <w:pStyle w:val="CETReferencetext"/>
      </w:pPr>
      <w:proofErr w:type="spellStart"/>
      <w:r w:rsidRPr="00571CB3">
        <w:t>Molenveld</w:t>
      </w:r>
      <w:proofErr w:type="spellEnd"/>
      <w:r w:rsidRPr="00571CB3">
        <w:t xml:space="preserve"> K., Bos H., 2020, Biobased plastics 2020. www.groenegrondstoffen.nl</w:t>
      </w:r>
    </w:p>
    <w:p w14:paraId="573F05E8" w14:textId="60BDAA5F" w:rsidR="007D32F7" w:rsidRPr="00571CB3" w:rsidRDefault="007D32F7" w:rsidP="007D32F7">
      <w:pPr>
        <w:pStyle w:val="CETReferencetext"/>
      </w:pPr>
      <w:proofErr w:type="spellStart"/>
      <w:r w:rsidRPr="00571CB3">
        <w:t>Nandiyanto</w:t>
      </w:r>
      <w:proofErr w:type="spellEnd"/>
      <w:r w:rsidRPr="00571CB3">
        <w:t xml:space="preserve"> A. B. D., </w:t>
      </w:r>
      <w:proofErr w:type="spellStart"/>
      <w:r w:rsidRPr="00571CB3">
        <w:t>Purnamasari</w:t>
      </w:r>
      <w:proofErr w:type="spellEnd"/>
      <w:r w:rsidRPr="00571CB3">
        <w:t xml:space="preserve"> H. N., </w:t>
      </w:r>
      <w:proofErr w:type="spellStart"/>
      <w:r w:rsidRPr="00571CB3">
        <w:t>Ragadhita</w:t>
      </w:r>
      <w:proofErr w:type="spellEnd"/>
      <w:r w:rsidRPr="00571CB3">
        <w:t xml:space="preserve"> R., </w:t>
      </w:r>
      <w:proofErr w:type="spellStart"/>
      <w:r w:rsidRPr="00571CB3">
        <w:t>Soegoto</w:t>
      </w:r>
      <w:proofErr w:type="spellEnd"/>
      <w:r w:rsidRPr="00571CB3">
        <w:t xml:space="preserve"> S. W., 2022, Cost Analysis and Economic Evaluation for TiO2 Synthesis using Sol-Gel Method. Moroccan Journal of Chemistry, </w:t>
      </w:r>
      <w:r w:rsidRPr="00571CB3">
        <w:rPr>
          <w:i/>
          <w:iCs/>
        </w:rPr>
        <w:t>10</w:t>
      </w:r>
      <w:r w:rsidRPr="00571CB3">
        <w:t>(1), 013–021.</w:t>
      </w:r>
    </w:p>
    <w:p w14:paraId="1DA54F14" w14:textId="4065576D" w:rsidR="00CD2608" w:rsidRPr="00571CB3" w:rsidRDefault="00CD2608" w:rsidP="007D32F7">
      <w:pPr>
        <w:pStyle w:val="CETReferencetext"/>
      </w:pPr>
      <w:proofErr w:type="spellStart"/>
      <w:r w:rsidRPr="00571CB3">
        <w:t>Röttger</w:t>
      </w:r>
      <w:proofErr w:type="spellEnd"/>
      <w:r w:rsidRPr="00571CB3">
        <w:t xml:space="preserve"> M., Domenech T., Van Der </w:t>
      </w:r>
      <w:proofErr w:type="spellStart"/>
      <w:r w:rsidRPr="00571CB3">
        <w:t>Weegen</w:t>
      </w:r>
      <w:proofErr w:type="spellEnd"/>
      <w:r w:rsidRPr="00571CB3">
        <w:t xml:space="preserve"> R., </w:t>
      </w:r>
      <w:proofErr w:type="spellStart"/>
      <w:r w:rsidRPr="00571CB3">
        <w:t>Breuillac</w:t>
      </w:r>
      <w:proofErr w:type="spellEnd"/>
      <w:r w:rsidRPr="00571CB3">
        <w:t xml:space="preserve"> A., </w:t>
      </w:r>
      <w:proofErr w:type="spellStart"/>
      <w:r w:rsidRPr="00571CB3">
        <w:t>Nicolaÿ</w:t>
      </w:r>
      <w:proofErr w:type="spellEnd"/>
      <w:r w:rsidRPr="00571CB3">
        <w:t xml:space="preserve"> R., </w:t>
      </w:r>
      <w:proofErr w:type="spellStart"/>
      <w:r w:rsidRPr="00571CB3">
        <w:t>Leibler</w:t>
      </w:r>
      <w:proofErr w:type="spellEnd"/>
      <w:r w:rsidRPr="00571CB3">
        <w:t xml:space="preserve"> L., 2017, High-performance </w:t>
      </w:r>
      <w:proofErr w:type="spellStart"/>
      <w:r w:rsidRPr="00571CB3">
        <w:t>vitrimers</w:t>
      </w:r>
      <w:proofErr w:type="spellEnd"/>
      <w:r w:rsidRPr="00571CB3">
        <w:t xml:space="preserve"> from commodity thermoplastics through dioxaborolane metathesis, Science, 356(6333), 62-65.</w:t>
      </w:r>
    </w:p>
    <w:p w14:paraId="7349C811" w14:textId="19AC5DA4" w:rsidR="009906FA" w:rsidRPr="00571CB3" w:rsidRDefault="009906FA" w:rsidP="007D32F7">
      <w:pPr>
        <w:pStyle w:val="CETReferencetext"/>
      </w:pPr>
      <w:r w:rsidRPr="00571CB3">
        <w:t xml:space="preserve">Tassinari G., Bassani A., Spigno G., Soregaroli C., Drabik D., 2023, Do biodegradable food packaging films from </w:t>
      </w:r>
      <w:proofErr w:type="spellStart"/>
      <w:r w:rsidRPr="00571CB3">
        <w:t>agro</w:t>
      </w:r>
      <w:proofErr w:type="spellEnd"/>
      <w:r w:rsidRPr="00571CB3">
        <w:t>-food waste pay off? A cost-benefit analysis in the context of Europe. Science of the Total Environment, 856, 159101.</w:t>
      </w:r>
    </w:p>
    <w:p w14:paraId="0CBC0B73" w14:textId="31781DD4" w:rsidR="007F470A" w:rsidRPr="00571CB3" w:rsidRDefault="007F470A" w:rsidP="007D32F7">
      <w:pPr>
        <w:pStyle w:val="CETReferencetext"/>
      </w:pPr>
      <w:r w:rsidRPr="00571CB3">
        <w:t xml:space="preserve">Van den </w:t>
      </w:r>
      <w:proofErr w:type="spellStart"/>
      <w:r w:rsidRPr="00571CB3">
        <w:t>Oever</w:t>
      </w:r>
      <w:proofErr w:type="spellEnd"/>
      <w:r w:rsidRPr="00571CB3">
        <w:t xml:space="preserve"> M., </w:t>
      </w:r>
      <w:proofErr w:type="spellStart"/>
      <w:r w:rsidRPr="00571CB3">
        <w:t>Molenveld</w:t>
      </w:r>
      <w:proofErr w:type="spellEnd"/>
      <w:r w:rsidRPr="00571CB3">
        <w:t xml:space="preserve"> K., van der Zee M., Bos H., 2017, Bio-based and biodegradable plastics: facts and figures: focus on food packaging in the Netherlands (No. 1722), Wageningen Food &amp; Biobased Research.</w:t>
      </w:r>
    </w:p>
    <w:p w14:paraId="3DBD74B0" w14:textId="4C9F3871" w:rsidR="003F1D7F" w:rsidRPr="00571CB3" w:rsidRDefault="003F1D7F" w:rsidP="001833CA">
      <w:pPr>
        <w:pStyle w:val="CETReferencetext"/>
      </w:pPr>
      <w:r w:rsidRPr="00571CB3">
        <w:t xml:space="preserve">Zhang K., </w:t>
      </w:r>
      <w:proofErr w:type="spellStart"/>
      <w:r w:rsidRPr="00571CB3">
        <w:t>Hamidian</w:t>
      </w:r>
      <w:proofErr w:type="spellEnd"/>
      <w:r w:rsidRPr="00571CB3">
        <w:t xml:space="preserve"> A. H., </w:t>
      </w:r>
      <w:proofErr w:type="spellStart"/>
      <w:r w:rsidRPr="00571CB3">
        <w:t>Tubić</w:t>
      </w:r>
      <w:proofErr w:type="spellEnd"/>
      <w:r w:rsidRPr="00571CB3">
        <w:t xml:space="preserve"> A., Zhang Y., Fang J. K. H., Wu C., Lam, P. K. S., 2021, Understanding plastic degradation and microplastic formation in the environment: A review. In Environmental Pollution (Vol. 274). Elsevier Ltd.</w:t>
      </w:r>
    </w:p>
    <w:sectPr w:rsidR="003F1D7F" w:rsidRPr="00571CB3" w:rsidSect="00A714EF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912E4" w14:textId="77777777" w:rsidR="004B6414" w:rsidRDefault="004B6414" w:rsidP="004F5E36">
      <w:r>
        <w:separator/>
      </w:r>
    </w:p>
  </w:endnote>
  <w:endnote w:type="continuationSeparator" w:id="0">
    <w:p w14:paraId="73110F17" w14:textId="77777777" w:rsidR="004B6414" w:rsidRDefault="004B641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E7E02" w14:textId="77777777" w:rsidR="004B6414" w:rsidRDefault="004B6414" w:rsidP="004F5E36">
      <w:r>
        <w:separator/>
      </w:r>
    </w:p>
  </w:footnote>
  <w:footnote w:type="continuationSeparator" w:id="0">
    <w:p w14:paraId="420439B2" w14:textId="77777777" w:rsidR="004B6414" w:rsidRDefault="004B6414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926648">
    <w:abstractNumId w:val="10"/>
  </w:num>
  <w:num w:numId="2" w16cid:durableId="1921325707">
    <w:abstractNumId w:val="8"/>
  </w:num>
  <w:num w:numId="3" w16cid:durableId="1349872223">
    <w:abstractNumId w:val="3"/>
  </w:num>
  <w:num w:numId="4" w16cid:durableId="84544857">
    <w:abstractNumId w:val="2"/>
  </w:num>
  <w:num w:numId="5" w16cid:durableId="1357534956">
    <w:abstractNumId w:val="1"/>
  </w:num>
  <w:num w:numId="6" w16cid:durableId="884681276">
    <w:abstractNumId w:val="0"/>
  </w:num>
  <w:num w:numId="7" w16cid:durableId="577255734">
    <w:abstractNumId w:val="9"/>
  </w:num>
  <w:num w:numId="8" w16cid:durableId="653725449">
    <w:abstractNumId w:val="7"/>
  </w:num>
  <w:num w:numId="9" w16cid:durableId="1258172137">
    <w:abstractNumId w:val="6"/>
  </w:num>
  <w:num w:numId="10" w16cid:durableId="1337927692">
    <w:abstractNumId w:val="5"/>
  </w:num>
  <w:num w:numId="11" w16cid:durableId="756054121">
    <w:abstractNumId w:val="4"/>
  </w:num>
  <w:num w:numId="12" w16cid:durableId="1031416122">
    <w:abstractNumId w:val="17"/>
  </w:num>
  <w:num w:numId="13" w16cid:durableId="161043306">
    <w:abstractNumId w:val="12"/>
  </w:num>
  <w:num w:numId="14" w16cid:durableId="1175612287">
    <w:abstractNumId w:val="18"/>
  </w:num>
  <w:num w:numId="15" w16cid:durableId="654381788">
    <w:abstractNumId w:val="20"/>
  </w:num>
  <w:num w:numId="16" w16cid:durableId="13458862">
    <w:abstractNumId w:val="19"/>
  </w:num>
  <w:num w:numId="17" w16cid:durableId="1946226323">
    <w:abstractNumId w:val="11"/>
  </w:num>
  <w:num w:numId="18" w16cid:durableId="1817919191">
    <w:abstractNumId w:val="12"/>
    <w:lvlOverride w:ilvl="0">
      <w:startOverride w:val="1"/>
    </w:lvlOverride>
  </w:num>
  <w:num w:numId="19" w16cid:durableId="870995855">
    <w:abstractNumId w:val="16"/>
  </w:num>
  <w:num w:numId="20" w16cid:durableId="866140516">
    <w:abstractNumId w:val="15"/>
  </w:num>
  <w:num w:numId="21" w16cid:durableId="1072236969">
    <w:abstractNumId w:val="14"/>
  </w:num>
  <w:num w:numId="22" w16cid:durableId="20966320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114A"/>
    <w:rsid w:val="000027C0"/>
    <w:rsid w:val="000052FB"/>
    <w:rsid w:val="00005A19"/>
    <w:rsid w:val="00007155"/>
    <w:rsid w:val="000117CB"/>
    <w:rsid w:val="0001551B"/>
    <w:rsid w:val="000223DA"/>
    <w:rsid w:val="00022E72"/>
    <w:rsid w:val="0003148D"/>
    <w:rsid w:val="00031EEC"/>
    <w:rsid w:val="00034176"/>
    <w:rsid w:val="0003521F"/>
    <w:rsid w:val="000452DA"/>
    <w:rsid w:val="00051566"/>
    <w:rsid w:val="00054288"/>
    <w:rsid w:val="000562A9"/>
    <w:rsid w:val="00062A9A"/>
    <w:rsid w:val="00064C62"/>
    <w:rsid w:val="00065058"/>
    <w:rsid w:val="000715EA"/>
    <w:rsid w:val="00074B2D"/>
    <w:rsid w:val="00075220"/>
    <w:rsid w:val="00086C39"/>
    <w:rsid w:val="000A03B2"/>
    <w:rsid w:val="000A33F4"/>
    <w:rsid w:val="000A53D2"/>
    <w:rsid w:val="000A6D25"/>
    <w:rsid w:val="000C0034"/>
    <w:rsid w:val="000C1F88"/>
    <w:rsid w:val="000C4DE8"/>
    <w:rsid w:val="000D0268"/>
    <w:rsid w:val="000D34BE"/>
    <w:rsid w:val="000D4BBA"/>
    <w:rsid w:val="000E102F"/>
    <w:rsid w:val="000E1F0D"/>
    <w:rsid w:val="000E36F1"/>
    <w:rsid w:val="000E3A73"/>
    <w:rsid w:val="000E414A"/>
    <w:rsid w:val="000F093C"/>
    <w:rsid w:val="000F787B"/>
    <w:rsid w:val="00101E5D"/>
    <w:rsid w:val="00102549"/>
    <w:rsid w:val="001031D5"/>
    <w:rsid w:val="001130AD"/>
    <w:rsid w:val="0012091F"/>
    <w:rsid w:val="00126BC2"/>
    <w:rsid w:val="00127E19"/>
    <w:rsid w:val="001308B6"/>
    <w:rsid w:val="0013121F"/>
    <w:rsid w:val="00131FE6"/>
    <w:rsid w:val="0013263F"/>
    <w:rsid w:val="001331DF"/>
    <w:rsid w:val="00134DE4"/>
    <w:rsid w:val="0014034D"/>
    <w:rsid w:val="00140DCA"/>
    <w:rsid w:val="00142555"/>
    <w:rsid w:val="00144D16"/>
    <w:rsid w:val="00145D50"/>
    <w:rsid w:val="00150E59"/>
    <w:rsid w:val="001514B1"/>
    <w:rsid w:val="00152DE3"/>
    <w:rsid w:val="00164CF9"/>
    <w:rsid w:val="001667A6"/>
    <w:rsid w:val="0017057B"/>
    <w:rsid w:val="0017646F"/>
    <w:rsid w:val="001833CA"/>
    <w:rsid w:val="00184AD6"/>
    <w:rsid w:val="00185EFF"/>
    <w:rsid w:val="00186F72"/>
    <w:rsid w:val="001960E8"/>
    <w:rsid w:val="001A4AF7"/>
    <w:rsid w:val="001A75ED"/>
    <w:rsid w:val="001B0349"/>
    <w:rsid w:val="001B1E93"/>
    <w:rsid w:val="001B24A3"/>
    <w:rsid w:val="001B65C1"/>
    <w:rsid w:val="001C2445"/>
    <w:rsid w:val="001C509C"/>
    <w:rsid w:val="001C684B"/>
    <w:rsid w:val="001D0CFB"/>
    <w:rsid w:val="001D183C"/>
    <w:rsid w:val="001D21AF"/>
    <w:rsid w:val="001D53FC"/>
    <w:rsid w:val="001D74CF"/>
    <w:rsid w:val="001D7FB1"/>
    <w:rsid w:val="001F0F50"/>
    <w:rsid w:val="001F42A5"/>
    <w:rsid w:val="001F5A09"/>
    <w:rsid w:val="001F7B9D"/>
    <w:rsid w:val="001F7F35"/>
    <w:rsid w:val="00201376"/>
    <w:rsid w:val="00201C93"/>
    <w:rsid w:val="00206E9D"/>
    <w:rsid w:val="0021097F"/>
    <w:rsid w:val="00216361"/>
    <w:rsid w:val="00217DED"/>
    <w:rsid w:val="002224B4"/>
    <w:rsid w:val="002256C5"/>
    <w:rsid w:val="002447EF"/>
    <w:rsid w:val="0024644F"/>
    <w:rsid w:val="00246533"/>
    <w:rsid w:val="00251550"/>
    <w:rsid w:val="00254ADF"/>
    <w:rsid w:val="00263AAE"/>
    <w:rsid w:val="00263B05"/>
    <w:rsid w:val="0027221A"/>
    <w:rsid w:val="00272FF3"/>
    <w:rsid w:val="00273423"/>
    <w:rsid w:val="00275B61"/>
    <w:rsid w:val="00280FAF"/>
    <w:rsid w:val="00282656"/>
    <w:rsid w:val="002916F1"/>
    <w:rsid w:val="0029408B"/>
    <w:rsid w:val="00296257"/>
    <w:rsid w:val="00296B83"/>
    <w:rsid w:val="00297E82"/>
    <w:rsid w:val="002A1750"/>
    <w:rsid w:val="002A74DC"/>
    <w:rsid w:val="002B4015"/>
    <w:rsid w:val="002B78CE"/>
    <w:rsid w:val="002C2FB3"/>
    <w:rsid w:val="002C2FB6"/>
    <w:rsid w:val="002C3CDD"/>
    <w:rsid w:val="002C54DE"/>
    <w:rsid w:val="002C605E"/>
    <w:rsid w:val="002D12E2"/>
    <w:rsid w:val="002D4F9F"/>
    <w:rsid w:val="002E2DE7"/>
    <w:rsid w:val="002E325E"/>
    <w:rsid w:val="002E4AA3"/>
    <w:rsid w:val="002E5FA7"/>
    <w:rsid w:val="002F3309"/>
    <w:rsid w:val="002F5FB3"/>
    <w:rsid w:val="002F712E"/>
    <w:rsid w:val="003008CE"/>
    <w:rsid w:val="003009B7"/>
    <w:rsid w:val="00300E56"/>
    <w:rsid w:val="0030152C"/>
    <w:rsid w:val="0030469C"/>
    <w:rsid w:val="00306DE7"/>
    <w:rsid w:val="003154F4"/>
    <w:rsid w:val="00315500"/>
    <w:rsid w:val="00321CA6"/>
    <w:rsid w:val="00323763"/>
    <w:rsid w:val="00323C5F"/>
    <w:rsid w:val="00324124"/>
    <w:rsid w:val="00324F6D"/>
    <w:rsid w:val="003301BB"/>
    <w:rsid w:val="00330D4E"/>
    <w:rsid w:val="003312AE"/>
    <w:rsid w:val="00331FCD"/>
    <w:rsid w:val="00332274"/>
    <w:rsid w:val="00333F93"/>
    <w:rsid w:val="00334C09"/>
    <w:rsid w:val="00335E7D"/>
    <w:rsid w:val="00342324"/>
    <w:rsid w:val="003723D4"/>
    <w:rsid w:val="00373B27"/>
    <w:rsid w:val="00374F0E"/>
    <w:rsid w:val="0037522B"/>
    <w:rsid w:val="00381905"/>
    <w:rsid w:val="00383729"/>
    <w:rsid w:val="00384CC8"/>
    <w:rsid w:val="0038685D"/>
    <w:rsid w:val="003871FD"/>
    <w:rsid w:val="00387EB3"/>
    <w:rsid w:val="0039443A"/>
    <w:rsid w:val="003A1179"/>
    <w:rsid w:val="003A1E30"/>
    <w:rsid w:val="003A2829"/>
    <w:rsid w:val="003A4E01"/>
    <w:rsid w:val="003A7D1C"/>
    <w:rsid w:val="003B304B"/>
    <w:rsid w:val="003B3146"/>
    <w:rsid w:val="003B47FF"/>
    <w:rsid w:val="003B67BE"/>
    <w:rsid w:val="003C15DC"/>
    <w:rsid w:val="003C2B86"/>
    <w:rsid w:val="003C4E09"/>
    <w:rsid w:val="003E26C2"/>
    <w:rsid w:val="003E5668"/>
    <w:rsid w:val="003E5C71"/>
    <w:rsid w:val="003F015E"/>
    <w:rsid w:val="003F1D7F"/>
    <w:rsid w:val="003F6A57"/>
    <w:rsid w:val="003F7CCD"/>
    <w:rsid w:val="00400414"/>
    <w:rsid w:val="00404E97"/>
    <w:rsid w:val="00405D46"/>
    <w:rsid w:val="004062BF"/>
    <w:rsid w:val="004078F7"/>
    <w:rsid w:val="00407BAA"/>
    <w:rsid w:val="0041446B"/>
    <w:rsid w:val="0042603D"/>
    <w:rsid w:val="00431D67"/>
    <w:rsid w:val="00432005"/>
    <w:rsid w:val="00433AD5"/>
    <w:rsid w:val="00437A7E"/>
    <w:rsid w:val="0044071E"/>
    <w:rsid w:val="0044329C"/>
    <w:rsid w:val="00445BC7"/>
    <w:rsid w:val="00446014"/>
    <w:rsid w:val="00453E24"/>
    <w:rsid w:val="00457456"/>
    <w:rsid w:val="004577FE"/>
    <w:rsid w:val="00457B9C"/>
    <w:rsid w:val="0046164A"/>
    <w:rsid w:val="004628D2"/>
    <w:rsid w:val="00462DCD"/>
    <w:rsid w:val="00462FB3"/>
    <w:rsid w:val="004648AD"/>
    <w:rsid w:val="004703A9"/>
    <w:rsid w:val="004760DE"/>
    <w:rsid w:val="004763D7"/>
    <w:rsid w:val="00481F07"/>
    <w:rsid w:val="004843E2"/>
    <w:rsid w:val="00491C5B"/>
    <w:rsid w:val="00494DE6"/>
    <w:rsid w:val="00495FC2"/>
    <w:rsid w:val="004A004E"/>
    <w:rsid w:val="004A24CF"/>
    <w:rsid w:val="004B597D"/>
    <w:rsid w:val="004B6414"/>
    <w:rsid w:val="004B68A7"/>
    <w:rsid w:val="004B6CD1"/>
    <w:rsid w:val="004C3934"/>
    <w:rsid w:val="004C3D1D"/>
    <w:rsid w:val="004C3D84"/>
    <w:rsid w:val="004C7913"/>
    <w:rsid w:val="004C7A1B"/>
    <w:rsid w:val="004D482F"/>
    <w:rsid w:val="004E3129"/>
    <w:rsid w:val="004E4DD6"/>
    <w:rsid w:val="004E603C"/>
    <w:rsid w:val="004F2D9D"/>
    <w:rsid w:val="004F5E36"/>
    <w:rsid w:val="005056CD"/>
    <w:rsid w:val="00507B47"/>
    <w:rsid w:val="00507BEF"/>
    <w:rsid w:val="00507CC9"/>
    <w:rsid w:val="005119A5"/>
    <w:rsid w:val="0051491D"/>
    <w:rsid w:val="005278B7"/>
    <w:rsid w:val="00532016"/>
    <w:rsid w:val="00532A83"/>
    <w:rsid w:val="005346C8"/>
    <w:rsid w:val="00540FFA"/>
    <w:rsid w:val="00543E7D"/>
    <w:rsid w:val="0054650D"/>
    <w:rsid w:val="00547A68"/>
    <w:rsid w:val="00547B12"/>
    <w:rsid w:val="00551A22"/>
    <w:rsid w:val="005531C9"/>
    <w:rsid w:val="005556B7"/>
    <w:rsid w:val="00557E00"/>
    <w:rsid w:val="00560654"/>
    <w:rsid w:val="00566117"/>
    <w:rsid w:val="00570C43"/>
    <w:rsid w:val="00571CB3"/>
    <w:rsid w:val="005779DB"/>
    <w:rsid w:val="00581B2B"/>
    <w:rsid w:val="00586104"/>
    <w:rsid w:val="005869FF"/>
    <w:rsid w:val="00586CFC"/>
    <w:rsid w:val="00594361"/>
    <w:rsid w:val="005A0115"/>
    <w:rsid w:val="005A09CF"/>
    <w:rsid w:val="005A206B"/>
    <w:rsid w:val="005A3DFC"/>
    <w:rsid w:val="005B2110"/>
    <w:rsid w:val="005B3A19"/>
    <w:rsid w:val="005B61E6"/>
    <w:rsid w:val="005C0528"/>
    <w:rsid w:val="005C0AB5"/>
    <w:rsid w:val="005C77E1"/>
    <w:rsid w:val="005D668A"/>
    <w:rsid w:val="005D6A2F"/>
    <w:rsid w:val="005E1A82"/>
    <w:rsid w:val="005E72C6"/>
    <w:rsid w:val="005E794C"/>
    <w:rsid w:val="005F0A28"/>
    <w:rsid w:val="005F0E5E"/>
    <w:rsid w:val="005F5063"/>
    <w:rsid w:val="005F6299"/>
    <w:rsid w:val="00600535"/>
    <w:rsid w:val="00604DF9"/>
    <w:rsid w:val="00610CD6"/>
    <w:rsid w:val="006205B8"/>
    <w:rsid w:val="00620DEE"/>
    <w:rsid w:val="00621AA0"/>
    <w:rsid w:val="00621F78"/>
    <w:rsid w:val="00621F92"/>
    <w:rsid w:val="0062280A"/>
    <w:rsid w:val="00625639"/>
    <w:rsid w:val="00631B33"/>
    <w:rsid w:val="0064184D"/>
    <w:rsid w:val="006422CC"/>
    <w:rsid w:val="006479C9"/>
    <w:rsid w:val="0065031D"/>
    <w:rsid w:val="006517A7"/>
    <w:rsid w:val="00652C48"/>
    <w:rsid w:val="006566CE"/>
    <w:rsid w:val="00660E3E"/>
    <w:rsid w:val="00662E74"/>
    <w:rsid w:val="00680C23"/>
    <w:rsid w:val="00681460"/>
    <w:rsid w:val="00685879"/>
    <w:rsid w:val="006869FA"/>
    <w:rsid w:val="00693504"/>
    <w:rsid w:val="006935DB"/>
    <w:rsid w:val="00693766"/>
    <w:rsid w:val="006A20C9"/>
    <w:rsid w:val="006A3281"/>
    <w:rsid w:val="006A5B48"/>
    <w:rsid w:val="006B3D1A"/>
    <w:rsid w:val="006B4888"/>
    <w:rsid w:val="006B7609"/>
    <w:rsid w:val="006C2E45"/>
    <w:rsid w:val="006C359C"/>
    <w:rsid w:val="006C5579"/>
    <w:rsid w:val="006D6E8B"/>
    <w:rsid w:val="006E0F63"/>
    <w:rsid w:val="006E737D"/>
    <w:rsid w:val="00707DD1"/>
    <w:rsid w:val="00710CE5"/>
    <w:rsid w:val="00713973"/>
    <w:rsid w:val="00714EA8"/>
    <w:rsid w:val="00720A24"/>
    <w:rsid w:val="00720D40"/>
    <w:rsid w:val="00722B1C"/>
    <w:rsid w:val="00731257"/>
    <w:rsid w:val="00732386"/>
    <w:rsid w:val="0073514D"/>
    <w:rsid w:val="00737703"/>
    <w:rsid w:val="007447F3"/>
    <w:rsid w:val="00753958"/>
    <w:rsid w:val="00754016"/>
    <w:rsid w:val="0075499F"/>
    <w:rsid w:val="007661C8"/>
    <w:rsid w:val="00770983"/>
    <w:rsid w:val="0077098D"/>
    <w:rsid w:val="00770CB7"/>
    <w:rsid w:val="00792A1E"/>
    <w:rsid w:val="007931FA"/>
    <w:rsid w:val="007A451F"/>
    <w:rsid w:val="007A4861"/>
    <w:rsid w:val="007A7BBA"/>
    <w:rsid w:val="007B0C50"/>
    <w:rsid w:val="007B48F9"/>
    <w:rsid w:val="007B4FE4"/>
    <w:rsid w:val="007B53D7"/>
    <w:rsid w:val="007C0C4C"/>
    <w:rsid w:val="007C1A43"/>
    <w:rsid w:val="007C242C"/>
    <w:rsid w:val="007C6A24"/>
    <w:rsid w:val="007D0129"/>
    <w:rsid w:val="007D0951"/>
    <w:rsid w:val="007D32F7"/>
    <w:rsid w:val="007D3D7C"/>
    <w:rsid w:val="007E6649"/>
    <w:rsid w:val="007F470A"/>
    <w:rsid w:val="007F5708"/>
    <w:rsid w:val="007F6B85"/>
    <w:rsid w:val="0080013E"/>
    <w:rsid w:val="00802BB0"/>
    <w:rsid w:val="00813288"/>
    <w:rsid w:val="008168FC"/>
    <w:rsid w:val="00817163"/>
    <w:rsid w:val="0082190E"/>
    <w:rsid w:val="00825D84"/>
    <w:rsid w:val="0082742D"/>
    <w:rsid w:val="00830996"/>
    <w:rsid w:val="008345F1"/>
    <w:rsid w:val="0084786A"/>
    <w:rsid w:val="00853666"/>
    <w:rsid w:val="00854480"/>
    <w:rsid w:val="00860110"/>
    <w:rsid w:val="00865B07"/>
    <w:rsid w:val="008667EA"/>
    <w:rsid w:val="008701EF"/>
    <w:rsid w:val="0087637F"/>
    <w:rsid w:val="00880E34"/>
    <w:rsid w:val="00885765"/>
    <w:rsid w:val="00892AD5"/>
    <w:rsid w:val="00894C8F"/>
    <w:rsid w:val="008A1512"/>
    <w:rsid w:val="008A180F"/>
    <w:rsid w:val="008A1F81"/>
    <w:rsid w:val="008A496A"/>
    <w:rsid w:val="008A4DA5"/>
    <w:rsid w:val="008B3EE2"/>
    <w:rsid w:val="008B5602"/>
    <w:rsid w:val="008C19DB"/>
    <w:rsid w:val="008C7456"/>
    <w:rsid w:val="008D2203"/>
    <w:rsid w:val="008D32B9"/>
    <w:rsid w:val="008D433B"/>
    <w:rsid w:val="008D4A16"/>
    <w:rsid w:val="008D71BA"/>
    <w:rsid w:val="008E412F"/>
    <w:rsid w:val="008E566E"/>
    <w:rsid w:val="008E58F7"/>
    <w:rsid w:val="008F2CEC"/>
    <w:rsid w:val="009001F6"/>
    <w:rsid w:val="009005A6"/>
    <w:rsid w:val="0090161A"/>
    <w:rsid w:val="00901EB6"/>
    <w:rsid w:val="009035E9"/>
    <w:rsid w:val="00904C62"/>
    <w:rsid w:val="009058BB"/>
    <w:rsid w:val="00913427"/>
    <w:rsid w:val="009147D9"/>
    <w:rsid w:val="00915E35"/>
    <w:rsid w:val="00922BA8"/>
    <w:rsid w:val="00924DAC"/>
    <w:rsid w:val="00925858"/>
    <w:rsid w:val="00927058"/>
    <w:rsid w:val="00931985"/>
    <w:rsid w:val="00940F45"/>
    <w:rsid w:val="00942750"/>
    <w:rsid w:val="009450CE"/>
    <w:rsid w:val="009459BB"/>
    <w:rsid w:val="00947179"/>
    <w:rsid w:val="0095164B"/>
    <w:rsid w:val="00951EAE"/>
    <w:rsid w:val="00954090"/>
    <w:rsid w:val="009573E7"/>
    <w:rsid w:val="009627A0"/>
    <w:rsid w:val="00963E05"/>
    <w:rsid w:val="00964A45"/>
    <w:rsid w:val="009659F8"/>
    <w:rsid w:val="00967843"/>
    <w:rsid w:val="00967D54"/>
    <w:rsid w:val="00971028"/>
    <w:rsid w:val="00971043"/>
    <w:rsid w:val="00971D6E"/>
    <w:rsid w:val="00987158"/>
    <w:rsid w:val="009906FA"/>
    <w:rsid w:val="00990F48"/>
    <w:rsid w:val="00993B84"/>
    <w:rsid w:val="00996483"/>
    <w:rsid w:val="00996F5A"/>
    <w:rsid w:val="009A35A0"/>
    <w:rsid w:val="009A5718"/>
    <w:rsid w:val="009B041A"/>
    <w:rsid w:val="009C37C3"/>
    <w:rsid w:val="009C784F"/>
    <w:rsid w:val="009C7C86"/>
    <w:rsid w:val="009D2FF7"/>
    <w:rsid w:val="009E08E8"/>
    <w:rsid w:val="009E6E83"/>
    <w:rsid w:val="009E7884"/>
    <w:rsid w:val="009E788A"/>
    <w:rsid w:val="009F0E08"/>
    <w:rsid w:val="009F0F7A"/>
    <w:rsid w:val="009F3E19"/>
    <w:rsid w:val="009F41ED"/>
    <w:rsid w:val="00A0035F"/>
    <w:rsid w:val="00A1763D"/>
    <w:rsid w:val="00A17CEC"/>
    <w:rsid w:val="00A27EF0"/>
    <w:rsid w:val="00A42361"/>
    <w:rsid w:val="00A45E9A"/>
    <w:rsid w:val="00A503DB"/>
    <w:rsid w:val="00A50B20"/>
    <w:rsid w:val="00A51390"/>
    <w:rsid w:val="00A60D13"/>
    <w:rsid w:val="00A679BA"/>
    <w:rsid w:val="00A714EF"/>
    <w:rsid w:val="00A71FA9"/>
    <w:rsid w:val="00A7223D"/>
    <w:rsid w:val="00A72272"/>
    <w:rsid w:val="00A72745"/>
    <w:rsid w:val="00A72D5C"/>
    <w:rsid w:val="00A74B3F"/>
    <w:rsid w:val="00A76EFC"/>
    <w:rsid w:val="00A771E4"/>
    <w:rsid w:val="00A872A7"/>
    <w:rsid w:val="00A87D50"/>
    <w:rsid w:val="00A91010"/>
    <w:rsid w:val="00A97F29"/>
    <w:rsid w:val="00AA06C4"/>
    <w:rsid w:val="00AA3B02"/>
    <w:rsid w:val="00AA702E"/>
    <w:rsid w:val="00AA7D26"/>
    <w:rsid w:val="00AB01E3"/>
    <w:rsid w:val="00AB0964"/>
    <w:rsid w:val="00AB5011"/>
    <w:rsid w:val="00AC0B41"/>
    <w:rsid w:val="00AC7368"/>
    <w:rsid w:val="00AD16B9"/>
    <w:rsid w:val="00AD243E"/>
    <w:rsid w:val="00AD7C6E"/>
    <w:rsid w:val="00AE377D"/>
    <w:rsid w:val="00AF03CD"/>
    <w:rsid w:val="00AF0EBA"/>
    <w:rsid w:val="00AF2B58"/>
    <w:rsid w:val="00AF46C8"/>
    <w:rsid w:val="00AF4D5F"/>
    <w:rsid w:val="00AF5CA3"/>
    <w:rsid w:val="00AF6F57"/>
    <w:rsid w:val="00B02C8A"/>
    <w:rsid w:val="00B04D08"/>
    <w:rsid w:val="00B11B40"/>
    <w:rsid w:val="00B13C3D"/>
    <w:rsid w:val="00B154E7"/>
    <w:rsid w:val="00B17924"/>
    <w:rsid w:val="00B17FBD"/>
    <w:rsid w:val="00B315A6"/>
    <w:rsid w:val="00B31813"/>
    <w:rsid w:val="00B31F97"/>
    <w:rsid w:val="00B33365"/>
    <w:rsid w:val="00B404E6"/>
    <w:rsid w:val="00B445A6"/>
    <w:rsid w:val="00B45381"/>
    <w:rsid w:val="00B54838"/>
    <w:rsid w:val="00B57B36"/>
    <w:rsid w:val="00B57E6F"/>
    <w:rsid w:val="00B6095A"/>
    <w:rsid w:val="00B625F5"/>
    <w:rsid w:val="00B75DAF"/>
    <w:rsid w:val="00B8686D"/>
    <w:rsid w:val="00B93F69"/>
    <w:rsid w:val="00BA434E"/>
    <w:rsid w:val="00BB1DDC"/>
    <w:rsid w:val="00BB1E43"/>
    <w:rsid w:val="00BB5F41"/>
    <w:rsid w:val="00BC30C9"/>
    <w:rsid w:val="00BD0244"/>
    <w:rsid w:val="00BD077D"/>
    <w:rsid w:val="00BD246C"/>
    <w:rsid w:val="00BE3E58"/>
    <w:rsid w:val="00BF383E"/>
    <w:rsid w:val="00C01616"/>
    <w:rsid w:val="00C0162B"/>
    <w:rsid w:val="00C01BE5"/>
    <w:rsid w:val="00C03825"/>
    <w:rsid w:val="00C054F1"/>
    <w:rsid w:val="00C068ED"/>
    <w:rsid w:val="00C1069C"/>
    <w:rsid w:val="00C14A77"/>
    <w:rsid w:val="00C225E5"/>
    <w:rsid w:val="00C22E0C"/>
    <w:rsid w:val="00C24AF1"/>
    <w:rsid w:val="00C345B1"/>
    <w:rsid w:val="00C367E7"/>
    <w:rsid w:val="00C40142"/>
    <w:rsid w:val="00C50DA3"/>
    <w:rsid w:val="00C52C3C"/>
    <w:rsid w:val="00C57182"/>
    <w:rsid w:val="00C57863"/>
    <w:rsid w:val="00C640AF"/>
    <w:rsid w:val="00C655FD"/>
    <w:rsid w:val="00C70032"/>
    <w:rsid w:val="00C7196F"/>
    <w:rsid w:val="00C75407"/>
    <w:rsid w:val="00C778A5"/>
    <w:rsid w:val="00C841C6"/>
    <w:rsid w:val="00C84669"/>
    <w:rsid w:val="00C857F8"/>
    <w:rsid w:val="00C870A8"/>
    <w:rsid w:val="00C94434"/>
    <w:rsid w:val="00CA0D75"/>
    <w:rsid w:val="00CA1C95"/>
    <w:rsid w:val="00CA5A9C"/>
    <w:rsid w:val="00CB0852"/>
    <w:rsid w:val="00CB41DC"/>
    <w:rsid w:val="00CC1157"/>
    <w:rsid w:val="00CC1713"/>
    <w:rsid w:val="00CC1800"/>
    <w:rsid w:val="00CC3710"/>
    <w:rsid w:val="00CC4C20"/>
    <w:rsid w:val="00CC702D"/>
    <w:rsid w:val="00CC7DE2"/>
    <w:rsid w:val="00CD2608"/>
    <w:rsid w:val="00CD3517"/>
    <w:rsid w:val="00CD5FE2"/>
    <w:rsid w:val="00CE4CBC"/>
    <w:rsid w:val="00CE7C68"/>
    <w:rsid w:val="00D02B4C"/>
    <w:rsid w:val="00D040C4"/>
    <w:rsid w:val="00D049D7"/>
    <w:rsid w:val="00D13AB4"/>
    <w:rsid w:val="00D141E2"/>
    <w:rsid w:val="00D1762D"/>
    <w:rsid w:val="00D20AD1"/>
    <w:rsid w:val="00D2582C"/>
    <w:rsid w:val="00D2622A"/>
    <w:rsid w:val="00D27606"/>
    <w:rsid w:val="00D3087C"/>
    <w:rsid w:val="00D445B3"/>
    <w:rsid w:val="00D46B7E"/>
    <w:rsid w:val="00D47D9C"/>
    <w:rsid w:val="00D52393"/>
    <w:rsid w:val="00D55408"/>
    <w:rsid w:val="00D57328"/>
    <w:rsid w:val="00D57C84"/>
    <w:rsid w:val="00D6057D"/>
    <w:rsid w:val="00D649B6"/>
    <w:rsid w:val="00D66A9E"/>
    <w:rsid w:val="00D67A08"/>
    <w:rsid w:val="00D67C83"/>
    <w:rsid w:val="00D71640"/>
    <w:rsid w:val="00D72172"/>
    <w:rsid w:val="00D737E2"/>
    <w:rsid w:val="00D81B3A"/>
    <w:rsid w:val="00D820D4"/>
    <w:rsid w:val="00D83247"/>
    <w:rsid w:val="00D836C5"/>
    <w:rsid w:val="00D84576"/>
    <w:rsid w:val="00D85335"/>
    <w:rsid w:val="00DA1399"/>
    <w:rsid w:val="00DA2466"/>
    <w:rsid w:val="00DA24C6"/>
    <w:rsid w:val="00DA4D7B"/>
    <w:rsid w:val="00DB6D65"/>
    <w:rsid w:val="00DD271C"/>
    <w:rsid w:val="00DD651A"/>
    <w:rsid w:val="00DE264A"/>
    <w:rsid w:val="00DF0F2F"/>
    <w:rsid w:val="00DF1917"/>
    <w:rsid w:val="00DF354A"/>
    <w:rsid w:val="00DF4549"/>
    <w:rsid w:val="00DF5072"/>
    <w:rsid w:val="00E02D18"/>
    <w:rsid w:val="00E041E7"/>
    <w:rsid w:val="00E12DC0"/>
    <w:rsid w:val="00E2191D"/>
    <w:rsid w:val="00E23CA1"/>
    <w:rsid w:val="00E24122"/>
    <w:rsid w:val="00E336E8"/>
    <w:rsid w:val="00E336FA"/>
    <w:rsid w:val="00E36003"/>
    <w:rsid w:val="00E409A8"/>
    <w:rsid w:val="00E50C12"/>
    <w:rsid w:val="00E56D81"/>
    <w:rsid w:val="00E575DD"/>
    <w:rsid w:val="00E65B91"/>
    <w:rsid w:val="00E71AF7"/>
    <w:rsid w:val="00E7209D"/>
    <w:rsid w:val="00E72EAD"/>
    <w:rsid w:val="00E77223"/>
    <w:rsid w:val="00E80985"/>
    <w:rsid w:val="00E835E3"/>
    <w:rsid w:val="00E83677"/>
    <w:rsid w:val="00E8528B"/>
    <w:rsid w:val="00E85B94"/>
    <w:rsid w:val="00E8738E"/>
    <w:rsid w:val="00E978D0"/>
    <w:rsid w:val="00EA4613"/>
    <w:rsid w:val="00EA4ADB"/>
    <w:rsid w:val="00EA5077"/>
    <w:rsid w:val="00EA6D59"/>
    <w:rsid w:val="00EA7F91"/>
    <w:rsid w:val="00EB1523"/>
    <w:rsid w:val="00EB23EE"/>
    <w:rsid w:val="00EB4597"/>
    <w:rsid w:val="00EC0E49"/>
    <w:rsid w:val="00EC101F"/>
    <w:rsid w:val="00EC1D9F"/>
    <w:rsid w:val="00EE0131"/>
    <w:rsid w:val="00EE17B0"/>
    <w:rsid w:val="00EE333B"/>
    <w:rsid w:val="00EE6A84"/>
    <w:rsid w:val="00EF06D9"/>
    <w:rsid w:val="00F0122B"/>
    <w:rsid w:val="00F01459"/>
    <w:rsid w:val="00F0331E"/>
    <w:rsid w:val="00F0785D"/>
    <w:rsid w:val="00F0790B"/>
    <w:rsid w:val="00F119C9"/>
    <w:rsid w:val="00F144D0"/>
    <w:rsid w:val="00F147DD"/>
    <w:rsid w:val="00F16C8E"/>
    <w:rsid w:val="00F21200"/>
    <w:rsid w:val="00F3049E"/>
    <w:rsid w:val="00F30C64"/>
    <w:rsid w:val="00F32BA2"/>
    <w:rsid w:val="00F32CDB"/>
    <w:rsid w:val="00F40B46"/>
    <w:rsid w:val="00F40CE7"/>
    <w:rsid w:val="00F46D78"/>
    <w:rsid w:val="00F50185"/>
    <w:rsid w:val="00F559F8"/>
    <w:rsid w:val="00F565FE"/>
    <w:rsid w:val="00F60613"/>
    <w:rsid w:val="00F61BE1"/>
    <w:rsid w:val="00F63324"/>
    <w:rsid w:val="00F63A70"/>
    <w:rsid w:val="00F63D8C"/>
    <w:rsid w:val="00F6647F"/>
    <w:rsid w:val="00F66807"/>
    <w:rsid w:val="00F72B54"/>
    <w:rsid w:val="00F73DC4"/>
    <w:rsid w:val="00F7534E"/>
    <w:rsid w:val="00F82286"/>
    <w:rsid w:val="00F83206"/>
    <w:rsid w:val="00F83F5F"/>
    <w:rsid w:val="00F842DA"/>
    <w:rsid w:val="00F914A9"/>
    <w:rsid w:val="00F93EDF"/>
    <w:rsid w:val="00F96C09"/>
    <w:rsid w:val="00F970B5"/>
    <w:rsid w:val="00FA0D11"/>
    <w:rsid w:val="00FA11FC"/>
    <w:rsid w:val="00FA1802"/>
    <w:rsid w:val="00FA21D0"/>
    <w:rsid w:val="00FA5F5F"/>
    <w:rsid w:val="00FA7560"/>
    <w:rsid w:val="00FA7653"/>
    <w:rsid w:val="00FB7171"/>
    <w:rsid w:val="00FB730C"/>
    <w:rsid w:val="00FB73E1"/>
    <w:rsid w:val="00FC2695"/>
    <w:rsid w:val="00FC3E03"/>
    <w:rsid w:val="00FC3FC1"/>
    <w:rsid w:val="00FC4900"/>
    <w:rsid w:val="00FD20EB"/>
    <w:rsid w:val="00FD5A4E"/>
    <w:rsid w:val="00FE1505"/>
    <w:rsid w:val="00FE2762"/>
    <w:rsid w:val="00FE2BC2"/>
    <w:rsid w:val="00FE4CB4"/>
    <w:rsid w:val="00FE789F"/>
    <w:rsid w:val="00FF2667"/>
    <w:rsid w:val="00FF4821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character" w:customStyle="1" w:styleId="gmail-apple-converted-space">
    <w:name w:val="gmail-apple-converted-space"/>
    <w:basedOn w:val="Carpredefinitoparagrafo"/>
    <w:rsid w:val="00005A1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4C62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A679BA"/>
    <w:rPr>
      <w:color w:val="666666"/>
    </w:rPr>
  </w:style>
  <w:style w:type="paragraph" w:styleId="Revisione">
    <w:name w:val="Revision"/>
    <w:hidden/>
    <w:uiPriority w:val="99"/>
    <w:semiHidden/>
    <w:rsid w:val="009F0F7A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essunaspaziatura">
    <w:name w:val="No Spacing"/>
    <w:uiPriority w:val="1"/>
    <w:qFormat/>
    <w:rsid w:val="009F0F7A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24"/>
      <w:szCs w:val="24"/>
      <w:lang w:val="en-GB" w:eastAsia="it-IT"/>
    </w:rPr>
  </w:style>
  <w:style w:type="character" w:customStyle="1" w:styleId="katex-mathml">
    <w:name w:val="katex-mathml"/>
    <w:basedOn w:val="Carpredefinitoparagrafo"/>
    <w:rsid w:val="00770CB7"/>
  </w:style>
  <w:style w:type="character" w:customStyle="1" w:styleId="mord">
    <w:name w:val="mord"/>
    <w:basedOn w:val="Carpredefinitoparagrafo"/>
    <w:rsid w:val="00770CB7"/>
  </w:style>
  <w:style w:type="character" w:styleId="Enfasicorsivo">
    <w:name w:val="Emphasis"/>
    <w:basedOn w:val="Carpredefinitoparagrafo"/>
    <w:uiPriority w:val="20"/>
    <w:qFormat/>
    <w:rsid w:val="002E3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bassani@unicatt.it" TargetMode="External"/><Relationship Id="rId18" Type="http://schemas.openxmlformats.org/officeDocument/2006/relationships/hyperlink" Target="http://www.alibaba.com/product-detail/epoxy-soybean-oil-acrylate-resins-6103_62236927454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alibaba.com/premium/acetic_acid_pric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libaba.com/product-detail/3-Mercapto-1-2-propanediol-99_1600668078295.html" TargetMode="External"/><Relationship Id="rId20" Type="http://schemas.openxmlformats.org/officeDocument/2006/relationships/hyperlink" Target="http://www.ismeamercati.it/flex/cm/pages/ServeBLOB.php/L/IT/IDPagina/539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s://www.alibaba.com/product-detail/High-Quality-99-Phenylboronic-Acid-CAS_1600706756745.html%20Accessed%2027%20November%20202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2734e8-aca2-4a95-9455-2456ce027f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14B6A3B47496438880FC3F4D0AFAA4" ma:contentTypeVersion="13" ma:contentTypeDescription="Creare un nuovo documento." ma:contentTypeScope="" ma:versionID="a61989b6b75373b364118dc2c7a2aa70">
  <xsd:schema xmlns:xsd="http://www.w3.org/2001/XMLSchema" xmlns:xs="http://www.w3.org/2001/XMLSchema" xmlns:p="http://schemas.microsoft.com/office/2006/metadata/properties" xmlns:ns3="482734e8-aca2-4a95-9455-2456ce027fc4" xmlns:ns4="3a3e6527-e09c-43ac-8a93-f378a1d30d32" targetNamespace="http://schemas.microsoft.com/office/2006/metadata/properties" ma:root="true" ma:fieldsID="87931d2d6bbf9d1ba6874f722b837909" ns3:_="" ns4:_="">
    <xsd:import namespace="482734e8-aca2-4a95-9455-2456ce027fc4"/>
    <xsd:import namespace="3a3e6527-e09c-43ac-8a93-f378a1d30d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734e8-aca2-4a95-9455-2456ce027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e6527-e09c-43ac-8a93-f378a1d30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FDE22-46D3-495E-AD6D-0FAC551AC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9021F-5745-4F0C-A4A3-301EED776B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6060DB-E5C1-4967-9292-08018D741BA9}">
  <ds:schemaRefs>
    <ds:schemaRef ds:uri="http://schemas.microsoft.com/office/2006/metadata/properties"/>
    <ds:schemaRef ds:uri="482734e8-aca2-4a95-9455-2456ce027fc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3a3e6527-e09c-43ac-8a93-f378a1d30d3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3E4185-0355-42A1-889F-28EFA2B6C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734e8-aca2-4a95-9455-2456ce027fc4"/>
    <ds:schemaRef ds:uri="3a3e6527-e09c-43ac-8a93-f378a1d30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94f7d74-81ff-44a9-b588-6682acc85779}" enabled="0" method="" siteId="{b94f7d74-81ff-44a9-b588-6682acc857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6</Pages>
  <Words>3312</Words>
  <Characters>19977</Characters>
  <Application>Microsoft Office Word</Application>
  <DocSecurity>0</DocSecurity>
  <Lines>643</Lines>
  <Paragraphs>404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Bassani Andrea (andrea.bassani)</cp:lastModifiedBy>
  <cp:revision>32</cp:revision>
  <cp:lastPrinted>2015-05-12T18:31:00Z</cp:lastPrinted>
  <dcterms:created xsi:type="dcterms:W3CDTF">2025-06-04T11:40:00Z</dcterms:created>
  <dcterms:modified xsi:type="dcterms:W3CDTF">2025-06-12T07:59:00Z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ContentTypeId">
    <vt:lpwstr>0x010100FF14B6A3B47496438880FC3F4D0AFAA4</vt:lpwstr>
  </property>
  <property fmtid="{D5CDD505-2E9C-101B-9397-08002B2CF9AE}" pid="5" name="GrammarlyDocumentId">
    <vt:lpwstr>0a7aad87-ed53-4758-b428-11743b0314a4</vt:lpwstr>
  </property>
</Properties>
</file>