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6946"/>
        <w:gridCol w:w="1843"/>
      </w:tblGrid>
      <w:tr w:rsidR="00E66509" w:rsidRPr="00BB0699" w14:paraId="7A616047" w14:textId="77777777" w:rsidTr="00213223">
        <w:trPr>
          <w:trHeight w:val="852"/>
          <w:jc w:val="center"/>
        </w:trPr>
        <w:tc>
          <w:tcPr>
            <w:tcW w:w="6946" w:type="dxa"/>
            <w:vMerge w:val="restart"/>
            <w:tcBorders>
              <w:right w:val="single" w:sz="4" w:space="0" w:color="000000"/>
            </w:tcBorders>
            <w:shd w:val="clear" w:color="auto" w:fill="auto"/>
          </w:tcPr>
          <w:p w14:paraId="6CFB5BB3" w14:textId="77777777" w:rsidR="00E66509" w:rsidRPr="00BB0699" w:rsidRDefault="00E66509" w:rsidP="00213223">
            <w:pPr>
              <w:tabs>
                <w:tab w:val="left" w:pos="-108"/>
              </w:tabs>
              <w:ind w:left="-108"/>
              <w:jc w:val="left"/>
            </w:pPr>
            <w:bookmarkStart w:id="0" w:name="_Hlk129706894"/>
            <w:bookmarkEnd w:id="0"/>
            <w:r w:rsidRPr="00BB0699">
              <w:rPr>
                <w:rFonts w:ascii="AdvP6960" w:hAnsi="AdvP6960" w:cs="AdvP6960"/>
                <w:noProof/>
                <w:color w:val="241F20"/>
                <w:szCs w:val="18"/>
                <w:lang w:val="pt-BR" w:eastAsia="pt-BR"/>
              </w:rPr>
              <w:drawing>
                <wp:inline distT="0" distB="0" distL="0" distR="0" wp14:anchorId="2E1D7A11" wp14:editId="3BE0B970">
                  <wp:extent cx="638175" cy="3714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3" t="-92" r="-53" b="-92"/>
                          <a:stretch>
                            <a:fillRect/>
                          </a:stretch>
                        </pic:blipFill>
                        <pic:spPr bwMode="auto">
                          <a:xfrm>
                            <a:off x="0" y="0"/>
                            <a:ext cx="638175" cy="371475"/>
                          </a:xfrm>
                          <a:prstGeom prst="rect">
                            <a:avLst/>
                          </a:prstGeom>
                          <a:solidFill>
                            <a:srgbClr val="FFFFFF"/>
                          </a:solidFill>
                          <a:ln>
                            <a:noFill/>
                          </a:ln>
                        </pic:spPr>
                      </pic:pic>
                    </a:graphicData>
                  </a:graphic>
                </wp:inline>
              </w:drawing>
            </w:r>
            <w:r w:rsidRPr="00BB0699">
              <w:rPr>
                <w:rFonts w:ascii="AdvP6960" w:eastAsia="AdvP6960" w:hAnsi="AdvP6960" w:cs="AdvP6960"/>
                <w:color w:val="241F20"/>
                <w:szCs w:val="18"/>
                <w:lang w:eastAsia="it-IT"/>
              </w:rPr>
              <w:t xml:space="preserve"> </w:t>
            </w:r>
            <w:r w:rsidRPr="00BB0699">
              <w:rPr>
                <w:b/>
                <w:bCs/>
                <w:i/>
                <w:iCs/>
                <w:color w:val="000066"/>
                <w:sz w:val="24"/>
                <w:szCs w:val="24"/>
                <w:lang w:eastAsia="it-IT"/>
              </w:rPr>
              <w:t>CHEMICAL ENGINEERING</w:t>
            </w:r>
            <w:r w:rsidRPr="00BB0699">
              <w:rPr>
                <w:b/>
                <w:bCs/>
                <w:i/>
                <w:iCs/>
                <w:color w:val="0033FF"/>
                <w:sz w:val="24"/>
                <w:szCs w:val="24"/>
                <w:lang w:eastAsia="it-IT"/>
              </w:rPr>
              <w:t xml:space="preserve"> </w:t>
            </w:r>
            <w:r w:rsidRPr="00BB0699">
              <w:rPr>
                <w:b/>
                <w:bCs/>
                <w:i/>
                <w:iCs/>
                <w:color w:val="666666"/>
                <w:sz w:val="24"/>
                <w:szCs w:val="24"/>
                <w:lang w:eastAsia="it-IT"/>
              </w:rPr>
              <w:t>TRANSACTIONS</w:t>
            </w:r>
            <w:r w:rsidRPr="00BB0699">
              <w:rPr>
                <w:color w:val="333333"/>
                <w:sz w:val="24"/>
                <w:szCs w:val="24"/>
                <w:lang w:eastAsia="it-IT"/>
              </w:rPr>
              <w:t xml:space="preserve"> </w:t>
            </w:r>
            <w:r w:rsidRPr="00BB0699">
              <w:rPr>
                <w:b/>
                <w:bCs/>
                <w:i/>
                <w:iCs/>
                <w:color w:val="000066"/>
                <w:sz w:val="27"/>
                <w:szCs w:val="27"/>
                <w:lang w:eastAsia="it-IT"/>
              </w:rPr>
              <w:br/>
            </w:r>
          </w:p>
          <w:p w14:paraId="01F9E036" w14:textId="77777777" w:rsidR="00E66509" w:rsidRPr="00BB0699" w:rsidRDefault="00E66509" w:rsidP="00213223">
            <w:pPr>
              <w:tabs>
                <w:tab w:val="left" w:pos="-108"/>
              </w:tabs>
              <w:ind w:left="-108"/>
            </w:pPr>
            <w:r w:rsidRPr="00BB0699">
              <w:rPr>
                <w:b/>
                <w:bCs/>
                <w:i/>
                <w:iCs/>
                <w:color w:val="000066"/>
                <w:sz w:val="22"/>
                <w:szCs w:val="22"/>
                <w:lang w:eastAsia="it-IT"/>
              </w:rPr>
              <w:t>VOL.    , 2023</w:t>
            </w:r>
          </w:p>
        </w:tc>
        <w:tc>
          <w:tcPr>
            <w:tcW w:w="1843" w:type="dxa"/>
            <w:tcBorders>
              <w:left w:val="single" w:sz="4" w:space="0" w:color="000000"/>
              <w:right w:val="single" w:sz="4" w:space="0" w:color="000000"/>
            </w:tcBorders>
            <w:shd w:val="clear" w:color="auto" w:fill="auto"/>
          </w:tcPr>
          <w:p w14:paraId="6A1B2698" w14:textId="77777777" w:rsidR="00E66509" w:rsidRPr="00BB0699" w:rsidRDefault="00E66509" w:rsidP="00213223">
            <w:pPr>
              <w:spacing w:line="140" w:lineRule="atLeast"/>
              <w:jc w:val="right"/>
            </w:pPr>
            <w:r w:rsidRPr="00BB0699">
              <w:rPr>
                <w:sz w:val="14"/>
                <w:szCs w:val="14"/>
              </w:rPr>
              <w:t>A publication of</w:t>
            </w:r>
          </w:p>
          <w:p w14:paraId="2EA49127" w14:textId="77777777" w:rsidR="00E66509" w:rsidRPr="00BB0699" w:rsidRDefault="00E66509" w:rsidP="00213223">
            <w:pPr>
              <w:jc w:val="right"/>
            </w:pPr>
            <w:r w:rsidRPr="00BB0699">
              <w:rPr>
                <w:noProof/>
                <w:lang w:val="pt-BR" w:eastAsia="pt-BR"/>
              </w:rPr>
              <w:drawing>
                <wp:inline distT="0" distB="0" distL="0" distR="0" wp14:anchorId="3736E0AB" wp14:editId="4F55D7F0">
                  <wp:extent cx="666750" cy="3619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l="-95" t="-177" r="-95" b="-177"/>
                          <a:stretch>
                            <a:fillRect/>
                          </a:stretch>
                        </pic:blipFill>
                        <pic:spPr bwMode="auto">
                          <a:xfrm>
                            <a:off x="0" y="0"/>
                            <a:ext cx="666750" cy="361950"/>
                          </a:xfrm>
                          <a:prstGeom prst="rect">
                            <a:avLst/>
                          </a:prstGeom>
                          <a:solidFill>
                            <a:srgbClr val="FFFFFF"/>
                          </a:solidFill>
                          <a:ln>
                            <a:noFill/>
                          </a:ln>
                        </pic:spPr>
                      </pic:pic>
                    </a:graphicData>
                  </a:graphic>
                </wp:inline>
              </w:drawing>
            </w:r>
          </w:p>
        </w:tc>
      </w:tr>
      <w:tr w:rsidR="00E66509" w:rsidRPr="00BB0699" w14:paraId="12B9238C" w14:textId="77777777" w:rsidTr="00213223">
        <w:trPr>
          <w:trHeight w:val="567"/>
          <w:jc w:val="center"/>
        </w:trPr>
        <w:tc>
          <w:tcPr>
            <w:tcW w:w="6946" w:type="dxa"/>
            <w:vMerge/>
            <w:tcBorders>
              <w:right w:val="single" w:sz="4" w:space="0" w:color="000000"/>
            </w:tcBorders>
            <w:shd w:val="clear" w:color="auto" w:fill="auto"/>
          </w:tcPr>
          <w:p w14:paraId="04B77F34" w14:textId="77777777" w:rsidR="00E66509" w:rsidRPr="00BB0699" w:rsidRDefault="00E66509" w:rsidP="00213223">
            <w:pPr>
              <w:tabs>
                <w:tab w:val="left" w:pos="-108"/>
              </w:tabs>
              <w:snapToGrid w:val="0"/>
            </w:pPr>
          </w:p>
        </w:tc>
        <w:tc>
          <w:tcPr>
            <w:tcW w:w="1843" w:type="dxa"/>
            <w:tcBorders>
              <w:left w:val="single" w:sz="4" w:space="0" w:color="000000"/>
              <w:right w:val="single" w:sz="4" w:space="0" w:color="000000"/>
            </w:tcBorders>
            <w:shd w:val="clear" w:color="auto" w:fill="auto"/>
          </w:tcPr>
          <w:p w14:paraId="0E97A7AA" w14:textId="77777777" w:rsidR="00E66509" w:rsidRPr="00BB0699" w:rsidRDefault="00E66509" w:rsidP="00213223">
            <w:pPr>
              <w:spacing w:line="140" w:lineRule="atLeast"/>
              <w:jc w:val="right"/>
            </w:pPr>
            <w:r w:rsidRPr="00BB0699">
              <w:rPr>
                <w:sz w:val="14"/>
                <w:szCs w:val="14"/>
              </w:rPr>
              <w:t>The Italian Association</w:t>
            </w:r>
          </w:p>
          <w:p w14:paraId="6B07D9F4" w14:textId="77777777" w:rsidR="00E66509" w:rsidRPr="00BB0699" w:rsidRDefault="00E66509" w:rsidP="00213223">
            <w:pPr>
              <w:spacing w:line="140" w:lineRule="atLeast"/>
              <w:jc w:val="right"/>
            </w:pPr>
            <w:r w:rsidRPr="00BB0699">
              <w:rPr>
                <w:sz w:val="14"/>
                <w:szCs w:val="14"/>
              </w:rPr>
              <w:t>of Chemical Engineering</w:t>
            </w:r>
          </w:p>
          <w:p w14:paraId="2741647F" w14:textId="77777777" w:rsidR="00E66509" w:rsidRPr="00BB0699" w:rsidRDefault="00E66509" w:rsidP="00213223">
            <w:pPr>
              <w:spacing w:line="140" w:lineRule="atLeast"/>
              <w:jc w:val="right"/>
            </w:pPr>
            <w:r w:rsidRPr="00BB0699">
              <w:rPr>
                <w:sz w:val="13"/>
                <w:szCs w:val="13"/>
              </w:rPr>
              <w:t>Online at www.cetjournal.it</w:t>
            </w:r>
          </w:p>
        </w:tc>
      </w:tr>
      <w:tr w:rsidR="00E66509" w:rsidRPr="00BB0699" w14:paraId="6FAF879A" w14:textId="77777777" w:rsidTr="00213223">
        <w:trPr>
          <w:trHeight w:val="68"/>
          <w:jc w:val="center"/>
        </w:trPr>
        <w:tc>
          <w:tcPr>
            <w:tcW w:w="8789" w:type="dxa"/>
            <w:gridSpan w:val="2"/>
            <w:tcBorders>
              <w:bottom w:val="single" w:sz="4" w:space="0" w:color="000000"/>
            </w:tcBorders>
            <w:shd w:val="clear" w:color="auto" w:fill="auto"/>
          </w:tcPr>
          <w:p w14:paraId="6395694E" w14:textId="77777777" w:rsidR="00E66509" w:rsidRPr="00BB0699" w:rsidRDefault="00E66509" w:rsidP="00213223">
            <w:pPr>
              <w:ind w:left="-107"/>
              <w:outlineLvl w:val="2"/>
            </w:pPr>
            <w:r w:rsidRPr="00BB0699">
              <w:rPr>
                <w:rFonts w:ascii="Tahoma" w:hAnsi="Tahoma" w:cs="Tahoma"/>
                <w:iCs/>
                <w:color w:val="333333"/>
                <w:sz w:val="14"/>
                <w:szCs w:val="14"/>
                <w:lang w:eastAsia="it-IT"/>
              </w:rPr>
              <w:t>Guest Editors:</w:t>
            </w:r>
            <w:r w:rsidRPr="00BB0699">
              <w:rPr>
                <w:rFonts w:ascii="Tahoma" w:hAnsi="Tahoma" w:cs="Tahoma"/>
                <w:color w:val="000000"/>
                <w:sz w:val="14"/>
                <w:szCs w:val="14"/>
                <w:shd w:val="clear" w:color="auto" w:fill="FFFFFF"/>
              </w:rPr>
              <w:t xml:space="preserve"> </w:t>
            </w:r>
          </w:p>
          <w:p w14:paraId="75F5BF0F" w14:textId="77777777" w:rsidR="00E66509" w:rsidRPr="00BB0699" w:rsidRDefault="00E66509" w:rsidP="00213223">
            <w:pPr>
              <w:tabs>
                <w:tab w:val="left" w:pos="-108"/>
              </w:tabs>
              <w:spacing w:line="140" w:lineRule="atLeast"/>
              <w:ind w:left="-107"/>
              <w:jc w:val="left"/>
            </w:pPr>
            <w:r w:rsidRPr="00BB0699">
              <w:rPr>
                <w:rFonts w:ascii="Tahoma" w:hAnsi="Tahoma" w:cs="Tahoma"/>
                <w:iCs/>
                <w:color w:val="333333"/>
                <w:sz w:val="14"/>
                <w:szCs w:val="14"/>
                <w:lang w:eastAsia="it-IT"/>
              </w:rPr>
              <w:t xml:space="preserve">Copyright © 2023, AIDIC </w:t>
            </w:r>
            <w:proofErr w:type="spellStart"/>
            <w:r w:rsidRPr="00BB0699">
              <w:rPr>
                <w:rFonts w:ascii="Tahoma" w:hAnsi="Tahoma" w:cs="Tahoma"/>
                <w:iCs/>
                <w:color w:val="333333"/>
                <w:sz w:val="14"/>
                <w:szCs w:val="14"/>
                <w:lang w:eastAsia="it-IT"/>
              </w:rPr>
              <w:t>Servizi</w:t>
            </w:r>
            <w:proofErr w:type="spellEnd"/>
            <w:r w:rsidRPr="00BB0699">
              <w:rPr>
                <w:rFonts w:ascii="Tahoma" w:hAnsi="Tahoma" w:cs="Tahoma"/>
                <w:iCs/>
                <w:color w:val="333333"/>
                <w:sz w:val="14"/>
                <w:szCs w:val="14"/>
                <w:lang w:eastAsia="it-IT"/>
              </w:rPr>
              <w:t xml:space="preserve"> </w:t>
            </w:r>
            <w:proofErr w:type="spellStart"/>
            <w:r w:rsidRPr="00BB0699">
              <w:rPr>
                <w:rFonts w:ascii="Tahoma" w:hAnsi="Tahoma" w:cs="Tahoma"/>
                <w:iCs/>
                <w:color w:val="333333"/>
                <w:sz w:val="14"/>
                <w:szCs w:val="14"/>
                <w:lang w:eastAsia="it-IT"/>
              </w:rPr>
              <w:t>S.r.l</w:t>
            </w:r>
            <w:proofErr w:type="spellEnd"/>
            <w:r w:rsidRPr="00BB0699">
              <w:rPr>
                <w:rFonts w:ascii="Tahoma" w:hAnsi="Tahoma" w:cs="Tahoma"/>
                <w:iCs/>
                <w:color w:val="333333"/>
                <w:sz w:val="14"/>
                <w:szCs w:val="14"/>
                <w:lang w:eastAsia="it-IT"/>
              </w:rPr>
              <w:t>.</w:t>
            </w:r>
            <w:r w:rsidRPr="00BB0699">
              <w:rPr>
                <w:rFonts w:ascii="Tahoma" w:hAnsi="Tahoma" w:cs="Tahoma"/>
                <w:iCs/>
                <w:color w:val="333333"/>
                <w:sz w:val="14"/>
                <w:szCs w:val="14"/>
                <w:lang w:eastAsia="it-IT"/>
              </w:rPr>
              <w:br/>
            </w:r>
            <w:r w:rsidRPr="00BB0699">
              <w:rPr>
                <w:rFonts w:ascii="Tahoma" w:hAnsi="Tahoma" w:cs="Tahoma"/>
                <w:b/>
                <w:iCs/>
                <w:color w:val="000000"/>
                <w:sz w:val="14"/>
                <w:szCs w:val="14"/>
                <w:lang w:eastAsia="it-IT"/>
              </w:rPr>
              <w:t>ISBN</w:t>
            </w:r>
            <w:r w:rsidRPr="00BB0699">
              <w:rPr>
                <w:rFonts w:ascii="Tahoma" w:hAnsi="Tahoma" w:cs="Tahoma"/>
                <w:iCs/>
                <w:color w:val="000000"/>
                <w:sz w:val="14"/>
                <w:szCs w:val="14"/>
                <w:lang w:eastAsia="it-IT"/>
              </w:rPr>
              <w:t xml:space="preserve"> </w:t>
            </w:r>
            <w:r w:rsidRPr="00BB0699">
              <w:rPr>
                <w:rFonts w:ascii="Tahoma" w:hAnsi="Tahoma" w:cs="Tahoma"/>
                <w:sz w:val="14"/>
                <w:szCs w:val="14"/>
              </w:rPr>
              <w:t>979-12-81206-XX-X</w:t>
            </w:r>
            <w:r w:rsidRPr="00BB0699">
              <w:rPr>
                <w:rFonts w:ascii="Tahoma" w:hAnsi="Tahoma" w:cs="Tahoma"/>
                <w:iCs/>
                <w:color w:val="333333"/>
                <w:sz w:val="14"/>
                <w:szCs w:val="14"/>
                <w:lang w:eastAsia="it-IT"/>
              </w:rPr>
              <w:t xml:space="preserve">; </w:t>
            </w:r>
            <w:r w:rsidRPr="00BB0699">
              <w:rPr>
                <w:rFonts w:ascii="Tahoma" w:hAnsi="Tahoma" w:cs="Tahoma"/>
                <w:b/>
                <w:iCs/>
                <w:color w:val="333333"/>
                <w:sz w:val="14"/>
                <w:szCs w:val="14"/>
                <w:lang w:eastAsia="it-IT"/>
              </w:rPr>
              <w:t>ISSN</w:t>
            </w:r>
            <w:r w:rsidRPr="00BB0699">
              <w:rPr>
                <w:rFonts w:ascii="Tahoma" w:hAnsi="Tahoma" w:cs="Tahoma"/>
                <w:iCs/>
                <w:color w:val="333333"/>
                <w:sz w:val="14"/>
                <w:szCs w:val="14"/>
                <w:lang w:eastAsia="it-IT"/>
              </w:rPr>
              <w:t xml:space="preserve"> 2283-9216</w:t>
            </w:r>
          </w:p>
        </w:tc>
      </w:tr>
    </w:tbl>
    <w:p w14:paraId="3BF2012D" w14:textId="77777777" w:rsidR="00E66509" w:rsidRPr="00BB0699" w:rsidRDefault="00E66509" w:rsidP="00E66509">
      <w:pPr>
        <w:pStyle w:val="CETTitle"/>
        <w:rPr>
          <w:color w:val="4472C4"/>
        </w:rPr>
      </w:pPr>
      <w:r w:rsidRPr="00BB0699">
        <w:rPr>
          <w:rFonts w:eastAsia="Arial"/>
        </w:rPr>
        <w:t xml:space="preserve"> </w:t>
      </w:r>
      <w:r w:rsidRPr="00BB0699">
        <w:rPr>
          <w:color w:val="4472C4"/>
        </w:rPr>
        <w:t xml:space="preserve">Impact of emulsification time and concentration of modified starch nanoparticles on Pickering stability </w:t>
      </w:r>
    </w:p>
    <w:p w14:paraId="4E23FA48" w14:textId="17B09D11" w:rsidR="00E66509" w:rsidRPr="00BB0699" w:rsidRDefault="00E66509" w:rsidP="00E66509">
      <w:pPr>
        <w:pStyle w:val="CETAuthors"/>
        <w:rPr>
          <w:lang w:val="pt-BR"/>
        </w:rPr>
      </w:pPr>
      <w:r w:rsidRPr="00BB0699">
        <w:rPr>
          <w:lang w:val="pt-BR"/>
        </w:rPr>
        <w:t>Giselle V. C. Ramos</w:t>
      </w:r>
      <w:r w:rsidRPr="00BB0699">
        <w:rPr>
          <w:vertAlign w:val="superscript"/>
          <w:lang w:val="pt-BR"/>
        </w:rPr>
        <w:t>a</w:t>
      </w:r>
      <w:r w:rsidRPr="00BB0699">
        <w:rPr>
          <w:lang w:val="pt-BR"/>
        </w:rPr>
        <w:t xml:space="preserve">, Aline R. </w:t>
      </w:r>
      <w:proofErr w:type="spellStart"/>
      <w:r w:rsidRPr="00BB0699">
        <w:rPr>
          <w:lang w:val="pt-BR"/>
        </w:rPr>
        <w:t>Suzigan</w:t>
      </w:r>
      <w:r w:rsidRPr="00BB0699">
        <w:rPr>
          <w:vertAlign w:val="superscript"/>
          <w:lang w:val="pt-BR"/>
        </w:rPr>
        <w:t>b</w:t>
      </w:r>
      <w:proofErr w:type="spellEnd"/>
      <w:r w:rsidRPr="00BB0699">
        <w:rPr>
          <w:lang w:val="pt-BR"/>
        </w:rPr>
        <w:t xml:space="preserve">, Samantha C. </w:t>
      </w:r>
      <w:proofErr w:type="spellStart"/>
      <w:r w:rsidRPr="00BB0699">
        <w:rPr>
          <w:lang w:val="pt-BR"/>
        </w:rPr>
        <w:t>Pinho</w:t>
      </w:r>
      <w:r w:rsidRPr="00BB0699">
        <w:rPr>
          <w:vertAlign w:val="superscript"/>
          <w:lang w:val="pt-BR"/>
        </w:rPr>
        <w:t>b</w:t>
      </w:r>
      <w:proofErr w:type="spellEnd"/>
      <w:r w:rsidRPr="00BB0699">
        <w:rPr>
          <w:lang w:val="pt-BR"/>
        </w:rPr>
        <w:t xml:space="preserve">, Izabel C. F. </w:t>
      </w:r>
      <w:proofErr w:type="spellStart"/>
      <w:proofErr w:type="gramStart"/>
      <w:r w:rsidRPr="00BB0699">
        <w:rPr>
          <w:lang w:val="pt-BR"/>
        </w:rPr>
        <w:t>Moraes</w:t>
      </w:r>
      <w:r w:rsidRPr="00BB0699">
        <w:rPr>
          <w:vertAlign w:val="superscript"/>
          <w:lang w:val="pt-BR"/>
        </w:rPr>
        <w:t>a,b</w:t>
      </w:r>
      <w:proofErr w:type="spellEnd"/>
      <w:proofErr w:type="gramEnd"/>
      <w:r w:rsidRPr="00BB0699">
        <w:rPr>
          <w:vertAlign w:val="superscript"/>
          <w:lang w:val="pt-BR"/>
        </w:rPr>
        <w:t>*</w:t>
      </w:r>
    </w:p>
    <w:p w14:paraId="55457B50" w14:textId="77777777" w:rsidR="00E66509" w:rsidRPr="00BB0699" w:rsidRDefault="00E66509" w:rsidP="00E66509">
      <w:pPr>
        <w:pStyle w:val="NormalWeb"/>
        <w:keepNext/>
        <w:spacing w:line="276" w:lineRule="auto"/>
        <w:rPr>
          <w:sz w:val="16"/>
          <w:szCs w:val="16"/>
          <w:lang w:eastAsia="pt-BR"/>
        </w:rPr>
      </w:pPr>
      <w:r w:rsidRPr="00BB0699">
        <w:rPr>
          <w:sz w:val="16"/>
          <w:szCs w:val="16"/>
          <w:vertAlign w:val="superscript"/>
        </w:rPr>
        <w:t>a</w:t>
      </w:r>
      <w:r w:rsidRPr="00BB0699">
        <w:rPr>
          <w:sz w:val="16"/>
          <w:szCs w:val="20"/>
        </w:rPr>
        <w:t>Post</w:t>
      </w:r>
      <w:r w:rsidRPr="00BB0699">
        <w:rPr>
          <w:sz w:val="16"/>
          <w:szCs w:val="16"/>
        </w:rPr>
        <w:t>graduate Program</w:t>
      </w:r>
      <w:r w:rsidRPr="00BB0699">
        <w:rPr>
          <w:sz w:val="16"/>
          <w:szCs w:val="16"/>
          <w:lang w:eastAsia="pt-BR"/>
        </w:rPr>
        <w:t xml:space="preserve"> in Materials Science and Engineering, University of São Paulo (USP), </w:t>
      </w:r>
      <w:proofErr w:type="spellStart"/>
      <w:r w:rsidRPr="00BB0699">
        <w:rPr>
          <w:color w:val="4472C4"/>
          <w:sz w:val="16"/>
          <w:szCs w:val="16"/>
        </w:rPr>
        <w:t>Pirassununga</w:t>
      </w:r>
      <w:proofErr w:type="spellEnd"/>
      <w:r w:rsidRPr="00BB0699">
        <w:rPr>
          <w:color w:val="4472C4"/>
          <w:sz w:val="16"/>
          <w:szCs w:val="16"/>
        </w:rPr>
        <w:t>, SP, Brazil</w:t>
      </w:r>
      <w:r w:rsidRPr="00BB0699">
        <w:rPr>
          <w:sz w:val="16"/>
          <w:szCs w:val="16"/>
        </w:rPr>
        <w:t>.</w:t>
      </w:r>
    </w:p>
    <w:p w14:paraId="6598A020" w14:textId="77777777" w:rsidR="00E66509" w:rsidRPr="00BB0699" w:rsidRDefault="00E66509" w:rsidP="00E66509">
      <w:pPr>
        <w:pStyle w:val="NormalWeb"/>
        <w:keepNext/>
        <w:spacing w:line="276" w:lineRule="auto"/>
        <w:rPr>
          <w:color w:val="4472C4"/>
          <w:sz w:val="16"/>
          <w:szCs w:val="16"/>
        </w:rPr>
      </w:pPr>
      <w:proofErr w:type="spellStart"/>
      <w:r w:rsidRPr="00BB0699">
        <w:rPr>
          <w:color w:val="4472C4"/>
          <w:sz w:val="16"/>
          <w:szCs w:val="16"/>
          <w:vertAlign w:val="superscript"/>
        </w:rPr>
        <w:t>b</w:t>
      </w:r>
      <w:r w:rsidRPr="00BB0699">
        <w:rPr>
          <w:color w:val="4472C4"/>
          <w:sz w:val="16"/>
          <w:szCs w:val="16"/>
        </w:rPr>
        <w:t>Department</w:t>
      </w:r>
      <w:proofErr w:type="spellEnd"/>
      <w:r w:rsidRPr="00BB0699">
        <w:rPr>
          <w:sz w:val="16"/>
          <w:szCs w:val="16"/>
        </w:rPr>
        <w:t xml:space="preserve"> </w:t>
      </w:r>
      <w:r w:rsidRPr="00BB0699">
        <w:rPr>
          <w:color w:val="4472C4"/>
          <w:sz w:val="16"/>
          <w:szCs w:val="16"/>
        </w:rPr>
        <w:t xml:space="preserve">of Food Engineering, School of Animal Science and Food Engineering (FZEA/ USP), Pirassununga, SP, Brazil </w:t>
      </w:r>
    </w:p>
    <w:p w14:paraId="2B43D354" w14:textId="77777777" w:rsidR="00E66509" w:rsidRPr="00BB0699" w:rsidRDefault="00E66509" w:rsidP="00E66509">
      <w:pPr>
        <w:pStyle w:val="CETemail"/>
      </w:pPr>
      <w:r w:rsidRPr="00BB0699">
        <w:t>bel@usp.br</w:t>
      </w:r>
    </w:p>
    <w:p w14:paraId="640EFFFA" w14:textId="4EFD0DB9" w:rsidR="00E66509" w:rsidRPr="00BB0699" w:rsidRDefault="00E66509" w:rsidP="00E66509">
      <w:pPr>
        <w:pStyle w:val="CETBodytext"/>
      </w:pPr>
      <w:r w:rsidRPr="00BB0699">
        <w:rPr>
          <w:color w:val="4472C4"/>
          <w:lang w:val="en-GB"/>
        </w:rPr>
        <w:t xml:space="preserve">The </w:t>
      </w:r>
      <w:r w:rsidRPr="00F36405">
        <w:rPr>
          <w:color w:val="4472C4" w:themeColor="accent1"/>
          <w:lang w:val="en-GB"/>
        </w:rPr>
        <w:t>modification of</w:t>
      </w:r>
      <w:r w:rsidRPr="00F36405">
        <w:rPr>
          <w:color w:val="4472C4" w:themeColor="accent1"/>
        </w:rPr>
        <w:t xml:space="preserve"> </w:t>
      </w:r>
      <w:r w:rsidRPr="00F36405">
        <w:rPr>
          <w:color w:val="4472C4" w:themeColor="accent1"/>
          <w:lang w:val="en-GB"/>
        </w:rPr>
        <w:t>the cassava native starch by heat</w:t>
      </w:r>
      <w:r w:rsidR="00373692" w:rsidRPr="00F36405">
        <w:rPr>
          <w:color w:val="4472C4" w:themeColor="accent1"/>
          <w:lang w:val="en-GB"/>
        </w:rPr>
        <w:t>-</w:t>
      </w:r>
      <w:r w:rsidRPr="00F36405">
        <w:rPr>
          <w:color w:val="4472C4" w:themeColor="accent1"/>
          <w:lang w:val="en-GB"/>
        </w:rPr>
        <w:t xml:space="preserve">moisture treatment (HMT) followed by nanoprecipitation can be </w:t>
      </w:r>
      <w:r w:rsidR="00E01A55" w:rsidRPr="00F36405">
        <w:rPr>
          <w:color w:val="4472C4" w:themeColor="accent1"/>
          <w:lang w:val="en-GB"/>
        </w:rPr>
        <w:t>worthwhile</w:t>
      </w:r>
      <w:r w:rsidR="00E01A55" w:rsidRPr="00F36405">
        <w:rPr>
          <w:b/>
          <w:color w:val="4472C4" w:themeColor="accent1"/>
          <w:sz w:val="16"/>
          <w:szCs w:val="16"/>
          <w:lang w:val="en-GB"/>
        </w:rPr>
        <w:t xml:space="preserve"> </w:t>
      </w:r>
      <w:r w:rsidRPr="00F36405">
        <w:rPr>
          <w:color w:val="4472C4" w:themeColor="accent1"/>
          <w:lang w:val="en-GB"/>
        </w:rPr>
        <w:t>for obtain</w:t>
      </w:r>
      <w:r w:rsidR="00552816" w:rsidRPr="00F36405">
        <w:rPr>
          <w:color w:val="4472C4" w:themeColor="accent1"/>
          <w:lang w:val="en-GB"/>
        </w:rPr>
        <w:t>ing</w:t>
      </w:r>
      <w:r w:rsidRPr="00F36405">
        <w:rPr>
          <w:color w:val="4472C4" w:themeColor="accent1"/>
          <w:lang w:val="en-GB"/>
        </w:rPr>
        <w:t xml:space="preserve"> stabilizers of Pickering emulsions</w:t>
      </w:r>
      <w:r w:rsidR="00EF4D5A" w:rsidRPr="00F36405">
        <w:rPr>
          <w:color w:val="4472C4" w:themeColor="accent1"/>
          <w:lang w:val="en-GB"/>
        </w:rPr>
        <w:t xml:space="preserve"> </w:t>
      </w:r>
      <w:r w:rsidR="00DF345D">
        <w:rPr>
          <w:color w:val="4472C4" w:themeColor="accent1"/>
          <w:lang w:val="en-GB"/>
        </w:rPr>
        <w:t>as</w:t>
      </w:r>
      <w:r w:rsidRPr="00F36405">
        <w:rPr>
          <w:color w:val="4472C4" w:themeColor="accent1"/>
          <w:lang w:val="en-GB"/>
        </w:rPr>
        <w:t xml:space="preserve"> highly stable emulsions and clean label products can be produced. In </w:t>
      </w:r>
      <w:r w:rsidRPr="00BB0699">
        <w:rPr>
          <w:color w:val="4472C4"/>
          <w:lang w:val="en-GB"/>
        </w:rPr>
        <w:t>this study</w:t>
      </w:r>
      <w:r w:rsidRPr="00BB0699">
        <w:rPr>
          <w:lang w:val="en-GB"/>
        </w:rPr>
        <w:t>,</w:t>
      </w:r>
      <w:r w:rsidRPr="00BB0699">
        <w:rPr>
          <w:color w:val="4472C4"/>
          <w:lang w:val="en-GB"/>
        </w:rPr>
        <w:t xml:space="preserve"> </w:t>
      </w:r>
      <w:r w:rsidRPr="00BB0699">
        <w:rPr>
          <w:lang w:val="en-GB"/>
        </w:rPr>
        <w:t>Pickering emulsions stabilized by different concentrations of modified starch nanoparticles (HSNP)</w:t>
      </w:r>
      <w:r w:rsidR="00DF345D">
        <w:rPr>
          <w:lang w:val="en-GB"/>
        </w:rPr>
        <w:t>,</w:t>
      </w:r>
      <w:r w:rsidRPr="00BB0699">
        <w:rPr>
          <w:lang w:val="en-GB"/>
        </w:rPr>
        <w:t xml:space="preserve"> and </w:t>
      </w:r>
      <w:r w:rsidR="00EF4D5A" w:rsidRPr="00F36405">
        <w:rPr>
          <w:lang w:val="en-GB"/>
        </w:rPr>
        <w:t>various e</w:t>
      </w:r>
      <w:r w:rsidRPr="00F36405">
        <w:rPr>
          <w:lang w:val="en-GB"/>
        </w:rPr>
        <w:t>mulsification time</w:t>
      </w:r>
      <w:r w:rsidR="00552816" w:rsidRPr="00F36405">
        <w:rPr>
          <w:lang w:val="en-GB"/>
        </w:rPr>
        <w:t>s</w:t>
      </w:r>
      <w:r w:rsidRPr="00F36405">
        <w:rPr>
          <w:lang w:val="en-GB"/>
        </w:rPr>
        <w:t xml:space="preserve"> were </w:t>
      </w:r>
      <w:r w:rsidRPr="00BB0699">
        <w:rPr>
          <w:lang w:val="en-GB"/>
        </w:rPr>
        <w:t>evaluated in terms of physical stability, rheological properties (flow curves) and microstructure. All emulsions produced with lower concentrations of HSNP (0.8 and 2.4</w:t>
      </w:r>
      <w:r w:rsidR="00373692" w:rsidRPr="00BB0699">
        <w:rPr>
          <w:lang w:val="en-GB"/>
        </w:rPr>
        <w:t>wt</w:t>
      </w:r>
      <w:r w:rsidRPr="00BB0699">
        <w:rPr>
          <w:lang w:val="en-GB"/>
        </w:rPr>
        <w:t xml:space="preserve">%) destabilized </w:t>
      </w:r>
      <w:r w:rsidR="00552816" w:rsidRPr="00F36405">
        <w:rPr>
          <w:color w:val="4472C4" w:themeColor="accent1"/>
          <w:lang w:val="en-GB"/>
        </w:rPr>
        <w:t xml:space="preserve">within </w:t>
      </w:r>
      <w:r w:rsidR="00373692" w:rsidRPr="00F36405">
        <w:rPr>
          <w:color w:val="4472C4" w:themeColor="accent1"/>
          <w:lang w:val="en-GB"/>
        </w:rPr>
        <w:t>24 h</w:t>
      </w:r>
      <w:r w:rsidR="00552816" w:rsidRPr="00F36405">
        <w:rPr>
          <w:color w:val="4472C4" w:themeColor="accent1"/>
          <w:lang w:val="en-GB"/>
        </w:rPr>
        <w:t>,</w:t>
      </w:r>
      <w:r w:rsidRPr="00F36405">
        <w:rPr>
          <w:color w:val="4472C4" w:themeColor="accent1"/>
          <w:lang w:val="en-GB"/>
        </w:rPr>
        <w:t xml:space="preserve"> and </w:t>
      </w:r>
      <w:r w:rsidRPr="00BB0699">
        <w:rPr>
          <w:color w:val="4472C4"/>
          <w:lang w:val="en-GB"/>
        </w:rPr>
        <w:t>the emulsions stabilized with 3 and 4</w:t>
      </w:r>
      <w:r w:rsidR="00373692" w:rsidRPr="00BB0699">
        <w:rPr>
          <w:color w:val="4472C4"/>
          <w:lang w:val="en-GB"/>
        </w:rPr>
        <w:t>wt</w:t>
      </w:r>
      <w:r w:rsidRPr="00BB0699">
        <w:rPr>
          <w:color w:val="4472C4"/>
          <w:lang w:val="en-GB"/>
        </w:rPr>
        <w:t>% HSNP, regardless of emulsification time, remained stable for up to 14 days</w:t>
      </w:r>
      <w:r w:rsidRPr="00BB0699">
        <w:rPr>
          <w:lang w:val="en-GB"/>
        </w:rPr>
        <w:t xml:space="preserve">. As the </w:t>
      </w:r>
      <w:r w:rsidRPr="00BB0699">
        <w:rPr>
          <w:color w:val="4472C4"/>
          <w:lang w:val="en-GB"/>
        </w:rPr>
        <w:t>HSPN concentration increased</w:t>
      </w:r>
      <w:r w:rsidRPr="00BB0699">
        <w:rPr>
          <w:lang w:val="en-GB"/>
        </w:rPr>
        <w:t xml:space="preserve">, the interface became denser, preventing or delaying coalescence. </w:t>
      </w:r>
      <w:r w:rsidRPr="00BB0699">
        <w:rPr>
          <w:color w:val="4472C4"/>
          <w:lang w:val="en-GB"/>
        </w:rPr>
        <w:t>The micrographs of the stable emulsion showed that the shorter the emulsification time (3 min), the larger the average droplet size.</w:t>
      </w:r>
      <w:r w:rsidRPr="00BB0699">
        <w:rPr>
          <w:lang w:val="en-GB"/>
        </w:rPr>
        <w:t xml:space="preserve"> The Power Law model was well adjusted to the experimental data (shear stress vs shear rate) (R</w:t>
      </w:r>
      <w:r w:rsidRPr="00BB0699">
        <w:rPr>
          <w:vertAlign w:val="superscript"/>
          <w:lang w:val="en-GB"/>
        </w:rPr>
        <w:t>2</w:t>
      </w:r>
      <w:r w:rsidRPr="00BB0699">
        <w:rPr>
          <w:lang w:val="en-GB"/>
        </w:rPr>
        <w:t xml:space="preserve"> ≥ 0.996)</w:t>
      </w:r>
      <w:r w:rsidR="00552816" w:rsidRPr="00CA20D8">
        <w:rPr>
          <w:color w:val="4472C4" w:themeColor="accent1"/>
          <w:lang w:val="en-GB"/>
        </w:rPr>
        <w:t>,</w:t>
      </w:r>
      <w:r w:rsidRPr="00BB0699">
        <w:rPr>
          <w:lang w:val="en-GB"/>
        </w:rPr>
        <w:t xml:space="preserve"> </w:t>
      </w:r>
      <w:r w:rsidRPr="00BB0699">
        <w:rPr>
          <w:color w:val="4472C4"/>
          <w:lang w:val="en-GB"/>
        </w:rPr>
        <w:t>and the model constants</w:t>
      </w:r>
      <w:r w:rsidRPr="00BB0699">
        <w:rPr>
          <w:lang w:val="en-GB"/>
        </w:rPr>
        <w:t xml:space="preserve"> (pseudoplasticity and consistency index) increased as HSNP concentration increased and </w:t>
      </w:r>
      <w:r w:rsidR="00B34688" w:rsidRPr="00B34688">
        <w:rPr>
          <w:color w:val="4472C4" w:themeColor="accent1"/>
          <w:lang w:val="en-GB"/>
        </w:rPr>
        <w:t>emulsification</w:t>
      </w:r>
      <w:r w:rsidRPr="00BB0699">
        <w:rPr>
          <w:lang w:val="en-GB"/>
        </w:rPr>
        <w:t xml:space="preserve"> time decreased. </w:t>
      </w:r>
      <w:r w:rsidRPr="00BB0699">
        <w:rPr>
          <w:color w:val="4472C4"/>
          <w:lang w:val="en-GB"/>
        </w:rPr>
        <w:t>Physically modified starch nanoparticles were used as stabilizer of the Pickering O/W (oil in water) emulsion</w:t>
      </w:r>
      <w:r w:rsidR="00552816">
        <w:rPr>
          <w:color w:val="FF0000"/>
          <w:lang w:val="en-GB"/>
        </w:rPr>
        <w:t>,</w:t>
      </w:r>
      <w:r w:rsidRPr="00BB0699">
        <w:rPr>
          <w:color w:val="4472C4"/>
          <w:lang w:val="en-GB"/>
        </w:rPr>
        <w:t xml:space="preserve"> and </w:t>
      </w:r>
      <w:r w:rsidRPr="00BB0699">
        <w:rPr>
          <w:lang w:val="en-GB"/>
        </w:rPr>
        <w:t xml:space="preserve">the </w:t>
      </w:r>
      <w:r w:rsidRPr="00F36405">
        <w:rPr>
          <w:lang w:val="en-GB"/>
        </w:rPr>
        <w:t xml:space="preserve">results </w:t>
      </w:r>
      <w:r w:rsidR="00552816" w:rsidRPr="00F36405">
        <w:rPr>
          <w:lang w:val="en-GB"/>
        </w:rPr>
        <w:t xml:space="preserve">demonstrate </w:t>
      </w:r>
      <w:r w:rsidRPr="00F36405">
        <w:rPr>
          <w:lang w:val="en-GB"/>
        </w:rPr>
        <w:t xml:space="preserve">that </w:t>
      </w:r>
      <w:r w:rsidRPr="00BB0699">
        <w:rPr>
          <w:lang w:val="en-GB"/>
        </w:rPr>
        <w:t xml:space="preserve">the microstructure and the </w:t>
      </w:r>
      <w:r w:rsidRPr="00BB0699">
        <w:rPr>
          <w:color w:val="4472C4"/>
          <w:lang w:val="en-GB"/>
        </w:rPr>
        <w:t>rheological properties</w:t>
      </w:r>
      <w:r w:rsidRPr="00BB0699">
        <w:rPr>
          <w:lang w:val="en-GB"/>
        </w:rPr>
        <w:t xml:space="preserve"> of these emulsions can be adjusted by particle concentration and emulsification time. </w:t>
      </w:r>
    </w:p>
    <w:p w14:paraId="2E7EF815" w14:textId="77777777" w:rsidR="00E66509" w:rsidRPr="00BB0699" w:rsidRDefault="00E66509" w:rsidP="00E66509">
      <w:pPr>
        <w:pStyle w:val="CETHeading1"/>
        <w:numPr>
          <w:ilvl w:val="1"/>
          <w:numId w:val="1"/>
        </w:numPr>
      </w:pPr>
      <w:r w:rsidRPr="00BB0699">
        <w:rPr>
          <w:lang w:val="en-GB"/>
        </w:rPr>
        <w:t>Introduction</w:t>
      </w:r>
    </w:p>
    <w:p w14:paraId="5800046F" w14:textId="38345DAD" w:rsidR="00E66509" w:rsidRPr="00F36405" w:rsidRDefault="00E66509" w:rsidP="00E66509">
      <w:pPr>
        <w:pStyle w:val="CETBodytext"/>
      </w:pPr>
      <w:r w:rsidRPr="00BB0699">
        <w:rPr>
          <w:lang w:val="en-GB"/>
        </w:rPr>
        <w:t>The application of natural biocolloidal particles is one of the promising alternatives (green label) to produce Pickering emulsions. The production of emulsions without added</w:t>
      </w:r>
      <w:r w:rsidRPr="00BB0699">
        <w:t xml:space="preserve"> </w:t>
      </w:r>
      <w:r w:rsidRPr="00BB0699">
        <w:rPr>
          <w:lang w:val="en-GB"/>
        </w:rPr>
        <w:t xml:space="preserve">synthetic surfactants is best suited for various applications such as functional foods, active food coatings, pharmaceutical and cosmetic formulations, </w:t>
      </w:r>
      <w:r w:rsidRPr="00F36405">
        <w:rPr>
          <w:lang w:val="en-GB"/>
        </w:rPr>
        <w:t>as it is already known some surfactants may exert adverse effects (Kim et al., 2015).</w:t>
      </w:r>
    </w:p>
    <w:p w14:paraId="13B7091E" w14:textId="5A8FF51A" w:rsidR="00E66509" w:rsidRPr="00F36405" w:rsidRDefault="00474EA1" w:rsidP="00B51891">
      <w:r w:rsidRPr="00F36405">
        <w:t>Starch is</w:t>
      </w:r>
      <w:r w:rsidR="00E66509" w:rsidRPr="00F36405">
        <w:t xml:space="preserve"> an abundant, non-toxic and low-cost material</w:t>
      </w:r>
      <w:r w:rsidRPr="00F36405">
        <w:t xml:space="preserve"> and is</w:t>
      </w:r>
      <w:r w:rsidR="00E66509" w:rsidRPr="00F36405">
        <w:t xml:space="preserve"> an interesting material to stabilize this type of emulsion, as long as modifications are made to its structure</w:t>
      </w:r>
      <w:r w:rsidRPr="00F36405">
        <w:t xml:space="preserve"> to</w:t>
      </w:r>
      <w:r w:rsidR="00E66509" w:rsidRPr="00F36405">
        <w:t xml:space="preserve"> improv</w:t>
      </w:r>
      <w:r w:rsidRPr="00F36405">
        <w:t>e</w:t>
      </w:r>
      <w:r w:rsidR="00E66509" w:rsidRPr="00F36405">
        <w:t xml:space="preserve"> its capacity as a stabilizer of Pickering emulsions (</w:t>
      </w:r>
      <w:r w:rsidR="00B51891" w:rsidRPr="00F36405">
        <w:fldChar w:fldCharType="begin" w:fldLock="1"/>
      </w:r>
      <w:r w:rsidR="00B51891" w:rsidRPr="00F36405">
        <w:instrText>ADDIN CSL_CITATION {"citationItems":[{"id":"ITEM-1","itemData":{"DOI":"10.3303/CET2187014","ISBN":"9788895608853","ISSN":"22839216","abstract":"In the last years, research has focused on the technological properties of olive oil polyphenols which have been proven to exert surface activity and emulsifying capacity in both model and real emulsified food matrices; however, to date, the effect of olive oil polyphenols in Pickering emulsions has not been explored yet. Aim of the work was to study the colloidal properties and physical stability of oil-in-water (O/W) Pickering emulsions made with esterified corn starch particles as emulsifiers and olive oil characterized by different polyphenols content (low, medium and high). Emulsions (30 % v/v oil) were obtained by using high pressure (HPH) homogenization (55 bar, 5 min). Colloidal properties (droplet size and distribution), stability (e.g. creaming index), rheological properties (flow curves and frequency sweep test), and microstructure of the emulsions were evaluated. Starch particles and HPH allowed the formation of finely dispersed emulsions with droplet sizes with a median d3,2 of 13±2 µm. Olive oil polyphenols affected significantly the colloidal properties of the emulsions as olive oils with higher polyphenols content showed narrower droplets distribution. All emulsions showed a non-Newtonian shear thinning behavior; moreover, samples with higher polyphenols content showed lower apparent viscosity. The Creaming Index (CI) indicated a good physical stability for all the systems with no phase separation over 30 days of storage, while emulsions made with oil with higher polyphenols content showed a lower CI confirming a positive effect of the bioactive in the stabilization of o/w emulsions. The results of this study highlight the feasibility of the preparation of O/W Pickering emulsions made of olive oils and the positive role of polyphenols on their colloidal and physical properties.","author":[{"dropping-particle":"","family":"Farooq","given":"Umer","non-dropping-particle":"","parse-names":false,"suffix":""},{"dropping-particle":"","family":"Mattia","given":"Carla","non-dropping-particle":"Di","parse-names":false,"suffix":""},{"dropping-particle":"","family":"Faieta","given":"Marco","non-dropping-particle":"","parse-names":false,"suffix":""},{"dropping-particle":"","family":"Sacchetti","given":"Giampiero","non-dropping-particle":"","parse-names":false,"suffix":""},{"dropping-particle":"","family":"Pittia","given":"Paola","non-dropping-particle":"","parse-names":false,"suffix":""}],"container-title":"Chemical Engineering Transactions","id":"ITEM-1","issue":"January","issued":{"date-parts":[["2021"]]},"page":"79-84","title":"Oil-in-water pickering emulsions stabilized with starch particles and formulated with olive oil: Colloidal properties and stability as affected by olive oil phenolic content","type":"article-journal","volume":"87"},"uris":["http://www.mendeley.com/documents/?uuid=36eab2e2-a987-420f-9ef7-7a19a7fb08ae"]}],"mendeley":{"formattedCitation":"(Farooq, Di Mattia, Faieta, Sacchetti, &amp; Pittia, 2021)","plainTextFormattedCitation":"(Farooq, Di Mattia, Faieta, Sacchetti, &amp; Pittia, 2021)","previouslyFormattedCitation":"(Farooq, Di Mattia, Faieta, Sacchetti, &amp; Pittia, 2021)"},"properties":{"noteIndex":0},"schema":"https://github.com/citation-style-language/schema/raw/master/csl-citation.json"}</w:instrText>
      </w:r>
      <w:r w:rsidR="00B51891" w:rsidRPr="00F36405">
        <w:fldChar w:fldCharType="end"/>
      </w:r>
      <w:r w:rsidR="00B51891" w:rsidRPr="00F36405">
        <w:t>Farooq</w:t>
      </w:r>
      <w:r w:rsidR="00190F3E" w:rsidRPr="00F36405">
        <w:t xml:space="preserve"> et al., </w:t>
      </w:r>
      <w:r w:rsidR="00B51891" w:rsidRPr="00F36405">
        <w:t>2021)</w:t>
      </w:r>
      <w:r w:rsidR="00E66509" w:rsidRPr="00F36405">
        <w:t xml:space="preserve">. </w:t>
      </w:r>
      <w:r w:rsidR="009C08EE" w:rsidRPr="00F36405">
        <w:t xml:space="preserve">The </w:t>
      </w:r>
      <w:r w:rsidR="00E66509" w:rsidRPr="00F36405">
        <w:t>particle</w:t>
      </w:r>
      <w:r w:rsidR="008652A9" w:rsidRPr="00F36405">
        <w:t xml:space="preserve"> used to formulate </w:t>
      </w:r>
      <w:r w:rsidR="00EC5D09" w:rsidRPr="00F36405">
        <w:t xml:space="preserve">a </w:t>
      </w:r>
      <w:r w:rsidR="008652A9" w:rsidRPr="00F36405">
        <w:t>Pickering emulsion</w:t>
      </w:r>
      <w:r w:rsidR="00E66509" w:rsidRPr="00F36405">
        <w:t xml:space="preserve"> must be able to penetrate but not to dissolve both in the continuous and dispersed phases, and </w:t>
      </w:r>
      <w:r w:rsidR="00EF4D5A" w:rsidRPr="00F36405">
        <w:t>it must have</w:t>
      </w:r>
      <w:r w:rsidR="00E66509" w:rsidRPr="00F36405">
        <w:t xml:space="preserve"> a sufficiently high interfacial absorption efficiency (Lu an</w:t>
      </w:r>
      <w:r w:rsidR="00373692" w:rsidRPr="00F36405">
        <w:t>d Tian, 2021). Furthermore, the</w:t>
      </w:r>
      <w:r w:rsidR="00E66509" w:rsidRPr="00F36405">
        <w:t xml:space="preserve"> solid particle</w:t>
      </w:r>
      <w:r w:rsidR="00E01A55" w:rsidRPr="00F36405">
        <w:t>’</w:t>
      </w:r>
      <w:r w:rsidR="00E66509" w:rsidRPr="00F36405">
        <w:t>s</w:t>
      </w:r>
      <w:r w:rsidR="00373692" w:rsidRPr="00F36405">
        <w:t xml:space="preserve"> size</w:t>
      </w:r>
      <w:r w:rsidR="00E66509" w:rsidRPr="00F36405">
        <w:t xml:space="preserve"> should be smaller than the desired emulsion droplets (Wang et al., 2017). Several techniques, including acid hydrolysis, octenyl succinic anhydride (OSA) modification, enzymatic hydrolysis, and recrystallization are often employed to alter starch structure (Lu and Tian, 2021)</w:t>
      </w:r>
      <w:r w:rsidRPr="00F36405">
        <w:t>, h</w:t>
      </w:r>
      <w:r w:rsidR="00E66509" w:rsidRPr="00F36405">
        <w:t>owever, most of these methods have some disadvantages, such as the use of chemical reagents and the need of co</w:t>
      </w:r>
      <w:r w:rsidR="009E3793" w:rsidRPr="00F36405">
        <w:t xml:space="preserve">mplex operations. Exploring </w:t>
      </w:r>
      <w:r w:rsidR="00E66509" w:rsidRPr="00F36405">
        <w:t xml:space="preserve">methods to modify starch structure is </w:t>
      </w:r>
      <w:r w:rsidR="009E3793" w:rsidRPr="00F36405">
        <w:t>necessary</w:t>
      </w:r>
      <w:r w:rsidR="00527D23" w:rsidRPr="00F36405">
        <w:t xml:space="preserve"> </w:t>
      </w:r>
      <w:r w:rsidRPr="00F36405">
        <w:t xml:space="preserve">for its </w:t>
      </w:r>
      <w:r w:rsidR="00527D23" w:rsidRPr="00F36405">
        <w:t xml:space="preserve">use it as a stabilizer and </w:t>
      </w:r>
      <w:r w:rsidR="00E66509" w:rsidRPr="00F36405">
        <w:t>to improve the Pickering emulsions</w:t>
      </w:r>
      <w:r w:rsidR="00527D23" w:rsidRPr="00F36405">
        <w:t xml:space="preserve"> stability</w:t>
      </w:r>
      <w:r w:rsidR="00E66509" w:rsidRPr="00F36405">
        <w:t>.</w:t>
      </w:r>
      <w:r w:rsidR="00527D23" w:rsidRPr="00F36405">
        <w:t xml:space="preserve"> </w:t>
      </w:r>
    </w:p>
    <w:p w14:paraId="6FE581DD" w14:textId="002FA244" w:rsidR="00E66509" w:rsidRPr="00F36405" w:rsidRDefault="00E66509" w:rsidP="00E66509">
      <w:pPr>
        <w:pStyle w:val="CETBodytext"/>
      </w:pPr>
      <w:r w:rsidRPr="00F36405">
        <w:rPr>
          <w:lang w:val="en-GB"/>
        </w:rPr>
        <w:t xml:space="preserve">Nanoprecipitation is </w:t>
      </w:r>
      <w:r w:rsidR="00474EA1" w:rsidRPr="00F36405">
        <w:rPr>
          <w:lang w:val="en-GB"/>
        </w:rPr>
        <w:t>considered to be a green</w:t>
      </w:r>
      <w:r w:rsidR="00FC16CA" w:rsidRPr="00F36405">
        <w:rPr>
          <w:lang w:val="en-GB"/>
        </w:rPr>
        <w:t xml:space="preserve"> </w:t>
      </w:r>
      <w:r w:rsidRPr="00F36405">
        <w:rPr>
          <w:lang w:val="en-GB"/>
        </w:rPr>
        <w:t>technique</w:t>
      </w:r>
      <w:r w:rsidR="00FC16CA" w:rsidRPr="00F36405">
        <w:rPr>
          <w:lang w:val="en-GB"/>
        </w:rPr>
        <w:t>, and it</w:t>
      </w:r>
      <w:r w:rsidRPr="00F36405">
        <w:rPr>
          <w:lang w:val="en-GB"/>
        </w:rPr>
        <w:t xml:space="preserve"> can be used to obtain starch particles on a nanometric scale. Some important parameters that influence the size and properties of nanoparticles are the source and size of the native granule, as well as the use of modified starche</w:t>
      </w:r>
      <w:r w:rsidR="00211732" w:rsidRPr="00F36405">
        <w:rPr>
          <w:lang w:val="en-GB"/>
        </w:rPr>
        <w:t>s (Chang et al., 2017). P</w:t>
      </w:r>
      <w:r w:rsidRPr="00F36405">
        <w:rPr>
          <w:lang w:val="en-GB"/>
        </w:rPr>
        <w:t xml:space="preserve">hysical modification </w:t>
      </w:r>
      <w:r w:rsidR="00211732" w:rsidRPr="00F36405">
        <w:rPr>
          <w:lang w:val="en-GB"/>
        </w:rPr>
        <w:t xml:space="preserve">starch </w:t>
      </w:r>
      <w:r w:rsidRPr="00F36405">
        <w:rPr>
          <w:lang w:val="en-GB"/>
        </w:rPr>
        <w:t xml:space="preserve">by HMT, </w:t>
      </w:r>
      <w:r w:rsidR="00221BEF" w:rsidRPr="00F36405">
        <w:rPr>
          <w:lang w:val="en-GB"/>
        </w:rPr>
        <w:t xml:space="preserve">in which </w:t>
      </w:r>
      <w:r w:rsidRPr="00F36405">
        <w:rPr>
          <w:lang w:val="en-GB"/>
        </w:rPr>
        <w:t>low moisture content (&lt;35%) and high temperatures (T &gt; 90°C or higher gelatinization</w:t>
      </w:r>
      <w:r w:rsidR="00221BEF" w:rsidRPr="00F36405">
        <w:rPr>
          <w:lang w:val="en-GB"/>
        </w:rPr>
        <w:t xml:space="preserve"> temperature) are applied for a </w:t>
      </w:r>
      <w:r w:rsidRPr="00F36405">
        <w:rPr>
          <w:lang w:val="en-GB"/>
        </w:rPr>
        <w:t xml:space="preserve">time interval (Li et al., 2011). This process can change the structural </w:t>
      </w:r>
      <w:r w:rsidR="009E3793" w:rsidRPr="00F36405">
        <w:rPr>
          <w:lang w:val="en-GB"/>
        </w:rPr>
        <w:t xml:space="preserve">and functional </w:t>
      </w:r>
      <w:r w:rsidRPr="00F36405">
        <w:rPr>
          <w:lang w:val="en-GB"/>
        </w:rPr>
        <w:t xml:space="preserve">properties of starch (Adebowale et al., 2005). Consequently, the use of combined methods </w:t>
      </w:r>
      <w:r w:rsidRPr="00F36405">
        <w:rPr>
          <w:lang w:val="en-GB"/>
        </w:rPr>
        <w:lastRenderedPageBreak/>
        <w:t>(physical modification HMT + nanoprecipitation) may result in starch nanoparticles with more promising characteristics in stabilizing emulsions.</w:t>
      </w:r>
    </w:p>
    <w:p w14:paraId="52B3DD71" w14:textId="10E27B41" w:rsidR="00E66509" w:rsidRPr="00BB0699" w:rsidRDefault="00EF4D5A" w:rsidP="00E66509">
      <w:pPr>
        <w:pStyle w:val="CETBodytext"/>
        <w:rPr>
          <w:color w:val="4472C4" w:themeColor="accent1"/>
        </w:rPr>
      </w:pPr>
      <w:r w:rsidRPr="00F36405">
        <w:t>Moreover</w:t>
      </w:r>
      <w:r w:rsidR="001A3A5D" w:rsidRPr="00F36405">
        <w:rPr>
          <w:lang w:val="en-GB"/>
        </w:rPr>
        <w:t>, u</w:t>
      </w:r>
      <w:r w:rsidR="00E66509" w:rsidRPr="00F36405">
        <w:rPr>
          <w:lang w:val="en-GB"/>
        </w:rPr>
        <w:t xml:space="preserve">nder certain emulsification conditions the initial </w:t>
      </w:r>
      <w:r w:rsidR="001A3A5D" w:rsidRPr="00F36405">
        <w:rPr>
          <w:lang w:val="en-GB"/>
        </w:rPr>
        <w:t>solid particle</w:t>
      </w:r>
      <w:r w:rsidR="00474EA1" w:rsidRPr="00F36405">
        <w:rPr>
          <w:lang w:val="en-GB"/>
        </w:rPr>
        <w:t>’</w:t>
      </w:r>
      <w:r w:rsidR="001A3A5D" w:rsidRPr="00F36405">
        <w:rPr>
          <w:lang w:val="en-GB"/>
        </w:rPr>
        <w:t xml:space="preserve">s </w:t>
      </w:r>
      <w:r w:rsidR="00E66509" w:rsidRPr="00F36405">
        <w:rPr>
          <w:lang w:val="en-GB"/>
        </w:rPr>
        <w:t xml:space="preserve">concentration </w:t>
      </w:r>
      <w:r w:rsidR="00E66509" w:rsidRPr="00BB0699">
        <w:rPr>
          <w:lang w:val="en-GB"/>
        </w:rPr>
        <w:t>has an important effect on droplet size and emulsion stability</w:t>
      </w:r>
      <w:r w:rsidR="00B51891" w:rsidRPr="00BB0699">
        <w:rPr>
          <w:lang w:val="en-GB"/>
        </w:rPr>
        <w:t xml:space="preserve"> (Ramos et al., 2021)</w:t>
      </w:r>
      <w:r w:rsidR="00E66509" w:rsidRPr="00BB0699">
        <w:rPr>
          <w:lang w:val="en-GB"/>
        </w:rPr>
        <w:t>. An insufficient concentration of particles can lead</w:t>
      </w:r>
      <w:r w:rsidR="00591D64" w:rsidRPr="00BB0699">
        <w:rPr>
          <w:lang w:val="en-GB"/>
        </w:rPr>
        <w:t xml:space="preserve"> to instability of the emulsion</w:t>
      </w:r>
      <w:r w:rsidR="00474EA1">
        <w:rPr>
          <w:color w:val="FF0000"/>
          <w:lang w:val="en-GB"/>
        </w:rPr>
        <w:t>,</w:t>
      </w:r>
      <w:r w:rsidR="00591D64" w:rsidRPr="00BB0699">
        <w:rPr>
          <w:lang w:val="en-GB"/>
        </w:rPr>
        <w:t xml:space="preserve"> and e</w:t>
      </w:r>
      <w:r w:rsidR="00E66509" w:rsidRPr="00BB0699">
        <w:rPr>
          <w:lang w:val="en-GB"/>
        </w:rPr>
        <w:t xml:space="preserve">xcess Pickering particles can also form a particle network in the continuous phase, which is conducive to long-term stability of the emulsion and generation of solid structures </w:t>
      </w:r>
      <w:r w:rsidR="00E66509" w:rsidRPr="00BB0699">
        <w:rPr>
          <w:lang w:eastAsia="pt-BR"/>
        </w:rPr>
        <w:t>(Li et al., 2020)</w:t>
      </w:r>
      <w:r w:rsidR="00E66509" w:rsidRPr="00BB0699">
        <w:rPr>
          <w:lang w:val="en-GB"/>
        </w:rPr>
        <w:t xml:space="preserve">. </w:t>
      </w:r>
      <w:r w:rsidR="00474EA1" w:rsidRPr="00F36405">
        <w:rPr>
          <w:color w:val="4472C4" w:themeColor="accent1"/>
          <w:lang w:val="en-GB"/>
        </w:rPr>
        <w:t>Given this</w:t>
      </w:r>
      <w:r w:rsidR="00E66509" w:rsidRPr="00F36405">
        <w:rPr>
          <w:color w:val="4472C4" w:themeColor="accent1"/>
          <w:lang w:val="en-GB"/>
        </w:rPr>
        <w:t xml:space="preserve">, modified </w:t>
      </w:r>
      <w:r w:rsidR="00E66509" w:rsidRPr="00BB0699">
        <w:rPr>
          <w:color w:val="4472C4" w:themeColor="accent1"/>
          <w:lang w:val="en-GB"/>
        </w:rPr>
        <w:t xml:space="preserve">starch nanoparticles (HSNP) were </w:t>
      </w:r>
      <w:r w:rsidR="00E66509" w:rsidRPr="00F36405">
        <w:rPr>
          <w:color w:val="4472C4" w:themeColor="accent1"/>
          <w:lang w:val="en-GB"/>
        </w:rPr>
        <w:t>used as</w:t>
      </w:r>
      <w:r w:rsidR="003670E3" w:rsidRPr="00F36405">
        <w:rPr>
          <w:color w:val="4472C4" w:themeColor="accent1"/>
          <w:lang w:val="en-GB"/>
        </w:rPr>
        <w:t xml:space="preserve"> the</w:t>
      </w:r>
      <w:r w:rsidR="00E66509" w:rsidRPr="00F36405">
        <w:rPr>
          <w:color w:val="4472C4" w:themeColor="accent1"/>
          <w:lang w:val="en-GB"/>
        </w:rPr>
        <w:t xml:space="preserve"> stabilizer </w:t>
      </w:r>
      <w:r w:rsidR="003670E3" w:rsidRPr="00F36405">
        <w:rPr>
          <w:color w:val="4472C4" w:themeColor="accent1"/>
          <w:lang w:val="en-GB"/>
        </w:rPr>
        <w:t xml:space="preserve">for </w:t>
      </w:r>
      <w:r w:rsidR="00E66509" w:rsidRPr="00F36405">
        <w:rPr>
          <w:color w:val="4472C4" w:themeColor="accent1"/>
          <w:lang w:val="en-GB"/>
        </w:rPr>
        <w:t xml:space="preserve">Pickering </w:t>
      </w:r>
      <w:r w:rsidR="00E66509" w:rsidRPr="00BB0699">
        <w:rPr>
          <w:color w:val="4472C4" w:themeColor="accent1"/>
          <w:lang w:val="en-GB"/>
        </w:rPr>
        <w:t>emulsion</w:t>
      </w:r>
      <w:r w:rsidR="003670E3">
        <w:rPr>
          <w:color w:val="FF0000"/>
          <w:lang w:val="en-GB"/>
        </w:rPr>
        <w:t>,</w:t>
      </w:r>
      <w:r w:rsidR="00E66509" w:rsidRPr="00BB0699">
        <w:rPr>
          <w:color w:val="4472C4" w:themeColor="accent1"/>
          <w:lang w:val="en-GB"/>
        </w:rPr>
        <w:t xml:space="preserve"> and the effect of emulsification time (3, 6 and 9 min) and particle concentration (0.8, 2, 4, 3 and 4%) on </w:t>
      </w:r>
      <w:r w:rsidR="00591D64" w:rsidRPr="00BB0699">
        <w:rPr>
          <w:color w:val="4472C4" w:themeColor="accent1"/>
          <w:lang w:val="en-GB"/>
        </w:rPr>
        <w:t xml:space="preserve">its </w:t>
      </w:r>
      <w:r w:rsidR="00E66509" w:rsidRPr="00BB0699">
        <w:rPr>
          <w:color w:val="4472C4" w:themeColor="accent1"/>
          <w:lang w:val="en-GB"/>
        </w:rPr>
        <w:t>stability were investigated.</w:t>
      </w:r>
    </w:p>
    <w:p w14:paraId="59431017" w14:textId="77777777" w:rsidR="00E66509" w:rsidRPr="00BB0699" w:rsidRDefault="00E66509" w:rsidP="00E66509">
      <w:pPr>
        <w:pStyle w:val="CETHeading1"/>
        <w:numPr>
          <w:ilvl w:val="1"/>
          <w:numId w:val="1"/>
        </w:numPr>
      </w:pPr>
      <w:r w:rsidRPr="00BB0699">
        <w:t>Material and Methods</w:t>
      </w:r>
    </w:p>
    <w:p w14:paraId="7CCD2C9A" w14:textId="28331993" w:rsidR="00E66509" w:rsidRPr="00BB0699" w:rsidRDefault="00E66509" w:rsidP="00E66509">
      <w:pPr>
        <w:pStyle w:val="CETBodytext"/>
      </w:pPr>
      <w:r w:rsidRPr="00BB0699">
        <w:t xml:space="preserve">Canola oil (Liza, </w:t>
      </w:r>
      <w:proofErr w:type="spellStart"/>
      <w:r w:rsidRPr="00BB0699">
        <w:t>Cargil</w:t>
      </w:r>
      <w:proofErr w:type="spellEnd"/>
      <w:r w:rsidRPr="00BB0699">
        <w:t xml:space="preserve">, </w:t>
      </w:r>
      <w:proofErr w:type="spellStart"/>
      <w:r w:rsidRPr="00BB0699">
        <w:t>Mairinque</w:t>
      </w:r>
      <w:proofErr w:type="spellEnd"/>
      <w:r w:rsidRPr="00BB0699">
        <w:t>, SP, Brazil)</w:t>
      </w:r>
      <w:r w:rsidR="00A07F09">
        <w:t xml:space="preserve"> </w:t>
      </w:r>
      <w:r w:rsidRPr="00BB0699">
        <w:t>and cassava starch (</w:t>
      </w:r>
      <w:proofErr w:type="spellStart"/>
      <w:r w:rsidRPr="00BB0699">
        <w:t>Siamar</w:t>
      </w:r>
      <w:proofErr w:type="spellEnd"/>
      <w:r w:rsidRPr="00BB0699">
        <w:t xml:space="preserve">, Neves </w:t>
      </w:r>
      <w:proofErr w:type="spellStart"/>
      <w:r w:rsidRPr="00BB0699">
        <w:t>Paulista</w:t>
      </w:r>
      <w:proofErr w:type="spellEnd"/>
      <w:r w:rsidRPr="00BB0699">
        <w:t xml:space="preserve">, SP, Brazil), starch type </w:t>
      </w:r>
      <w:r w:rsidRPr="002E0E51">
        <w:rPr>
          <w:color w:val="000000" w:themeColor="text1"/>
        </w:rPr>
        <w:t>I</w:t>
      </w:r>
      <w:r w:rsidR="00A07F09" w:rsidRPr="002E0E51">
        <w:rPr>
          <w:color w:val="000000" w:themeColor="text1"/>
        </w:rPr>
        <w:t>,</w:t>
      </w:r>
      <w:r w:rsidRPr="002E0E51">
        <w:rPr>
          <w:color w:val="000000" w:themeColor="text1"/>
        </w:rPr>
        <w:t xml:space="preserve"> </w:t>
      </w:r>
      <w:r w:rsidRPr="00BB0699">
        <w:t>were used. Nile red was purchased from Sigma Aldrich (St Louis, MO, USA). All reagents used in the analyzes were of analytical standard.</w:t>
      </w:r>
    </w:p>
    <w:p w14:paraId="6634FF83" w14:textId="77777777" w:rsidR="00E66509" w:rsidRPr="00BB0699" w:rsidRDefault="00E66509" w:rsidP="00E66509">
      <w:pPr>
        <w:pStyle w:val="CETheadingx"/>
        <w:numPr>
          <w:ilvl w:val="2"/>
          <w:numId w:val="1"/>
        </w:numPr>
      </w:pPr>
      <w:r w:rsidRPr="00BB0699">
        <w:t>Starch modification and production of Pickering emulsions</w:t>
      </w:r>
    </w:p>
    <w:p w14:paraId="1A3B3044" w14:textId="30F4EB2D" w:rsidR="00E66509" w:rsidRPr="00BB0699" w:rsidRDefault="00E66509" w:rsidP="00E66509">
      <w:pPr>
        <w:pStyle w:val="CETBodytext"/>
      </w:pPr>
      <w:r w:rsidRPr="00BB0699">
        <w:t xml:space="preserve">The cassava starch was modified by the HMT process (heat-moisture treatment) </w:t>
      </w:r>
      <w:r w:rsidR="00591D64" w:rsidRPr="00BB0699">
        <w:t xml:space="preserve">as </w:t>
      </w:r>
      <w:r w:rsidRPr="00BB0699">
        <w:t xml:space="preserve">according to </w:t>
      </w:r>
      <w:proofErr w:type="spellStart"/>
      <w:r w:rsidRPr="00BB0699">
        <w:t>Piecyk</w:t>
      </w:r>
      <w:proofErr w:type="spellEnd"/>
      <w:r w:rsidRPr="00BB0699">
        <w:t xml:space="preserve"> and </w:t>
      </w:r>
      <w:proofErr w:type="spellStart"/>
      <w:r w:rsidRPr="00BB0699">
        <w:t>Domian</w:t>
      </w:r>
      <w:proofErr w:type="spellEnd"/>
      <w:r w:rsidRPr="00BB0699">
        <w:t xml:space="preserve"> (2021) with modifications</w:t>
      </w:r>
      <w:r w:rsidR="007D33E5" w:rsidRPr="00BB0699">
        <w:t xml:space="preserve"> (</w:t>
      </w:r>
      <w:r w:rsidR="00DF2CE9" w:rsidRPr="00BB0699">
        <w:t>20</w:t>
      </w:r>
      <w:r w:rsidR="007D33E5" w:rsidRPr="00BB0699">
        <w:t>% moisture content</w:t>
      </w:r>
      <w:r w:rsidR="001A34C2" w:rsidRPr="00BB0699">
        <w:t>)</w:t>
      </w:r>
      <w:r w:rsidRPr="00BB0699">
        <w:t xml:space="preserve">. </w:t>
      </w:r>
      <w:r w:rsidRPr="00BB0699">
        <w:rPr>
          <w:color w:val="4472C4"/>
        </w:rPr>
        <w:t>After this step</w:t>
      </w:r>
      <w:r w:rsidRPr="00BB0699">
        <w:t>, the modified cassava starch was nano</w:t>
      </w:r>
      <w:r w:rsidR="00A07F09">
        <w:rPr>
          <w:color w:val="FF0000"/>
        </w:rPr>
        <w:t>-</w:t>
      </w:r>
      <w:r w:rsidRPr="00BB0699">
        <w:t xml:space="preserve">precipitated following </w:t>
      </w:r>
      <w:r w:rsidR="00DF2CE9" w:rsidRPr="00BB0699">
        <w:t xml:space="preserve">methodology by </w:t>
      </w:r>
      <w:r w:rsidRPr="00BB0699">
        <w:t xml:space="preserve">Lima et al. (2021). Briefly, starch suspensions (5 </w:t>
      </w:r>
      <w:proofErr w:type="spellStart"/>
      <w:r w:rsidRPr="00BB0699">
        <w:t>wt</w:t>
      </w:r>
      <w:proofErr w:type="spellEnd"/>
      <w:r w:rsidRPr="00BB0699">
        <w:t>%) were gelatinized (90 °C/30 min), precipitated using ethanol 99.5% (1:1 v/v ethanol/water) and lyophilized.</w:t>
      </w:r>
    </w:p>
    <w:p w14:paraId="6BB754DA" w14:textId="03E04891" w:rsidR="00E66509" w:rsidRPr="00BB0699" w:rsidRDefault="00E66509" w:rsidP="00E66509">
      <w:pPr>
        <w:pStyle w:val="CETBodytext"/>
      </w:pPr>
      <w:r w:rsidRPr="00BB0699">
        <w:t>O/W emulsions were prepared with 20</w:t>
      </w:r>
      <w:r w:rsidR="00FD7A30" w:rsidRPr="00BB0699">
        <w:t>wt</w:t>
      </w:r>
      <w:r w:rsidRPr="00BB0699">
        <w:t>% canola oil and 80</w:t>
      </w:r>
      <w:r w:rsidR="00FD7A30" w:rsidRPr="00BB0699">
        <w:t>wt</w:t>
      </w:r>
      <w:r w:rsidRPr="00BB0699">
        <w:t xml:space="preserve">% </w:t>
      </w:r>
      <w:r w:rsidR="006E1CCF" w:rsidRPr="00BB0699">
        <w:t>water</w:t>
      </w:r>
      <w:r w:rsidRPr="00BB0699">
        <w:t xml:space="preserve"> phase. Starch nanoparticles were added to the aqueous phase</w:t>
      </w:r>
      <w:r w:rsidR="00A07F09">
        <w:rPr>
          <w:color w:val="FF0000"/>
        </w:rPr>
        <w:t>,</w:t>
      </w:r>
      <w:r w:rsidRPr="00BB0699">
        <w:t xml:space="preserve"> and the emulsification process</w:t>
      </w:r>
      <w:r w:rsidR="006E1CCF" w:rsidRPr="00BB0699">
        <w:t xml:space="preserve"> was made using</w:t>
      </w:r>
      <w:r w:rsidR="00A07F09">
        <w:t xml:space="preserve"> </w:t>
      </w:r>
      <w:r w:rsidRPr="00BB0699">
        <w:t xml:space="preserve">a rotor-stator homogenizer (model T25, IKA, </w:t>
      </w:r>
      <w:proofErr w:type="spellStart"/>
      <w:r w:rsidRPr="00BB0699">
        <w:t>Labotechnik</w:t>
      </w:r>
      <w:proofErr w:type="spellEnd"/>
      <w:r w:rsidRPr="00BB0699">
        <w:t xml:space="preserve">, </w:t>
      </w:r>
      <w:proofErr w:type="spellStart"/>
      <w:r w:rsidRPr="00BB0699">
        <w:t>Staufen</w:t>
      </w:r>
      <w:proofErr w:type="spellEnd"/>
      <w:r w:rsidRPr="00BB0699">
        <w:t>, Germany) at 14,000 rpm for 3,</w:t>
      </w:r>
      <w:r w:rsidR="00056874" w:rsidRPr="00BB0699">
        <w:t xml:space="preserve"> 6 or 9 min </w:t>
      </w:r>
      <w:r w:rsidR="00056874" w:rsidRPr="00AD10CF">
        <w:t>(</w:t>
      </w:r>
      <w:r w:rsidR="0095271A" w:rsidRPr="00AD10CF">
        <w:t>Souza et al., 2021</w:t>
      </w:r>
      <w:r w:rsidR="00056874" w:rsidRPr="00AD10CF">
        <w:t>)</w:t>
      </w:r>
      <w:r w:rsidRPr="00BB0699">
        <w:t xml:space="preserve"> at room </w:t>
      </w:r>
      <w:r w:rsidR="006E1CCF" w:rsidRPr="00BB0699">
        <w:t>temperature</w:t>
      </w:r>
      <w:r w:rsidRPr="00BB0699">
        <w:t>. In addition, sodium benzoate (0.</w:t>
      </w:r>
      <w:r w:rsidR="00B61014" w:rsidRPr="00BB0699">
        <w:t>0</w:t>
      </w:r>
      <w:r w:rsidRPr="00BB0699">
        <w:t>2 g/</w:t>
      </w:r>
      <w:r w:rsidR="00B61014" w:rsidRPr="00BB0699">
        <w:t xml:space="preserve"> 100 </w:t>
      </w:r>
      <w:r w:rsidRPr="00BB0699">
        <w:t>g emulsion) was used to avoid microbiological contamination. The emulsions were produced with modified starch nanoparticles (HSPN)</w:t>
      </w:r>
      <w:r w:rsidR="00A07F09">
        <w:t xml:space="preserve"> </w:t>
      </w:r>
      <w:r w:rsidRPr="00BB0699">
        <w:t>in concentrations of 0.8, 2.4, 3 or 4% (g of SNP/g of emulsion)</w:t>
      </w:r>
      <w:r w:rsidR="00A1677A">
        <w:t>,</w:t>
      </w:r>
      <w:r w:rsidRPr="00BB0699">
        <w:t xml:space="preserve"> which were labeled as EH1, EH2, EH3 and EH4, respectively.</w:t>
      </w:r>
      <w:r w:rsidR="00721814">
        <w:t xml:space="preserve"> </w:t>
      </w:r>
      <w:r w:rsidR="00721814" w:rsidRPr="00133824">
        <w:t>The</w:t>
      </w:r>
      <w:r w:rsidR="00A1677A" w:rsidRPr="00133824">
        <w:t xml:space="preserve"> investigate parameters were selected, </w:t>
      </w:r>
      <w:r w:rsidR="00A1677A" w:rsidRPr="00F36405">
        <w:t xml:space="preserve">aiming to </w:t>
      </w:r>
      <w:r w:rsidR="00A07F09" w:rsidRPr="00F36405">
        <w:t>e</w:t>
      </w:r>
      <w:r w:rsidR="00A1677A" w:rsidRPr="00F36405">
        <w:t xml:space="preserve">stablish </w:t>
      </w:r>
      <w:r w:rsidR="00AD10CF" w:rsidRPr="00F36405">
        <w:t>values adequate</w:t>
      </w:r>
      <w:r w:rsidR="00A1677A" w:rsidRPr="00F36405">
        <w:t xml:space="preserve"> </w:t>
      </w:r>
      <w:r w:rsidR="00A07F09" w:rsidRPr="00F36405">
        <w:t xml:space="preserve">for </w:t>
      </w:r>
      <w:r w:rsidR="00A1677A" w:rsidRPr="00F36405">
        <w:t xml:space="preserve">emulsion </w:t>
      </w:r>
      <w:r w:rsidR="00A1677A" w:rsidRPr="00133824">
        <w:t>stability.</w:t>
      </w:r>
    </w:p>
    <w:p w14:paraId="733F1937" w14:textId="77777777" w:rsidR="00E66509" w:rsidRPr="00BB0699" w:rsidRDefault="00E66509" w:rsidP="00E66509">
      <w:pPr>
        <w:pStyle w:val="CETheadingx"/>
        <w:numPr>
          <w:ilvl w:val="2"/>
          <w:numId w:val="1"/>
        </w:numPr>
        <w:rPr>
          <w:color w:val="4472C4"/>
        </w:rPr>
      </w:pPr>
      <w:r w:rsidRPr="00BB0699">
        <w:rPr>
          <w:color w:val="4472C4"/>
        </w:rPr>
        <w:t>Physical Stability</w:t>
      </w:r>
    </w:p>
    <w:p w14:paraId="56B75415" w14:textId="4E4C921B" w:rsidR="00E66509" w:rsidRPr="00BB0699" w:rsidRDefault="00E66509" w:rsidP="00E66509">
      <w:pPr>
        <w:pStyle w:val="CETBodytext"/>
      </w:pPr>
      <w:r w:rsidRPr="00BB0699">
        <w:t xml:space="preserve">The emulsion was stored in a glass bottle at 20 °C in an incubator (MA 415, Marconi, Piracicaba, SP, Brazil) for 14 days. To determine the storage stability of the emulsion, the creaming index (CI) was calculated by Equation 1 (Owens et al., 2018). This analysis was made </w:t>
      </w:r>
      <w:r w:rsidRPr="00F36405">
        <w:rPr>
          <w:color w:val="4472C4" w:themeColor="accent1"/>
        </w:rPr>
        <w:t xml:space="preserve">on </w:t>
      </w:r>
      <w:r w:rsidR="00A07F09" w:rsidRPr="00F36405">
        <w:rPr>
          <w:color w:val="4472C4" w:themeColor="accent1"/>
        </w:rPr>
        <w:t xml:space="preserve">the </w:t>
      </w:r>
      <w:r w:rsidR="0001653C" w:rsidRPr="00F36405">
        <w:rPr>
          <w:color w:val="4472C4" w:themeColor="accent1"/>
        </w:rPr>
        <w:t xml:space="preserve">0, </w:t>
      </w:r>
      <w:r w:rsidRPr="00F36405">
        <w:rPr>
          <w:color w:val="4472C4" w:themeColor="accent1"/>
        </w:rPr>
        <w:t>7</w:t>
      </w:r>
      <w:r w:rsidRPr="00F36405">
        <w:rPr>
          <w:color w:val="4472C4" w:themeColor="accent1"/>
          <w:vertAlign w:val="superscript"/>
        </w:rPr>
        <w:t xml:space="preserve">th </w:t>
      </w:r>
      <w:r w:rsidRPr="00F36405">
        <w:rPr>
          <w:color w:val="4472C4" w:themeColor="accent1"/>
        </w:rPr>
        <w:t>and 14</w:t>
      </w:r>
      <w:r w:rsidRPr="00F36405">
        <w:rPr>
          <w:color w:val="4472C4" w:themeColor="accent1"/>
          <w:vertAlign w:val="superscript"/>
        </w:rPr>
        <w:t xml:space="preserve"> </w:t>
      </w:r>
      <w:proofErr w:type="spellStart"/>
      <w:r w:rsidRPr="00F36405">
        <w:rPr>
          <w:color w:val="4472C4" w:themeColor="accent1"/>
          <w:vertAlign w:val="superscript"/>
        </w:rPr>
        <w:t>th</w:t>
      </w:r>
      <w:proofErr w:type="spellEnd"/>
      <w:r w:rsidR="00A07F09" w:rsidRPr="00F36405">
        <w:rPr>
          <w:color w:val="4472C4" w:themeColor="accent1"/>
          <w:vertAlign w:val="superscript"/>
        </w:rPr>
        <w:t xml:space="preserve"> </w:t>
      </w:r>
      <w:r w:rsidR="00A07F09" w:rsidRPr="00F36405">
        <w:rPr>
          <w:color w:val="4472C4" w:themeColor="accent1"/>
        </w:rPr>
        <w:t>days</w:t>
      </w:r>
      <w:r w:rsidR="007929F1" w:rsidRPr="00BB0699">
        <w:t>.</w:t>
      </w:r>
    </w:p>
    <w:tbl>
      <w:tblPr>
        <w:tblW w:w="5000" w:type="pct"/>
        <w:tblLayout w:type="fixed"/>
        <w:tblLook w:val="0000" w:firstRow="0" w:lastRow="0" w:firstColumn="0" w:lastColumn="0" w:noHBand="0" w:noVBand="0"/>
      </w:tblPr>
      <w:tblGrid>
        <w:gridCol w:w="7990"/>
        <w:gridCol w:w="797"/>
      </w:tblGrid>
      <w:tr w:rsidR="00E66509" w:rsidRPr="00BB0699" w14:paraId="1A55BFD8" w14:textId="77777777" w:rsidTr="00213223">
        <w:tc>
          <w:tcPr>
            <w:tcW w:w="7990" w:type="dxa"/>
            <w:shd w:val="clear" w:color="auto" w:fill="auto"/>
            <w:vAlign w:val="center"/>
          </w:tcPr>
          <w:p w14:paraId="52218245" w14:textId="77777777" w:rsidR="00E66509" w:rsidRPr="00BB0699" w:rsidRDefault="00E66509" w:rsidP="00213223">
            <w:pPr>
              <w:pStyle w:val="CETEquation"/>
              <w:rPr>
                <w:szCs w:val="18"/>
                <w:lang w:val="pt-BR"/>
              </w:rPr>
            </w:pPr>
            <w:bookmarkStart w:id="1" w:name="_Hlk133075045"/>
            <m:oMathPara>
              <m:oMathParaPr>
                <m:jc m:val="left"/>
              </m:oMathParaPr>
              <m:oMath>
                <m:r>
                  <w:rPr>
                    <w:rFonts w:ascii="Cambria Math" w:hAnsi="Cambria Math"/>
                    <w:color w:val="FF0000"/>
                    <w:szCs w:val="18"/>
                  </w:rPr>
                  <m:t>CI</m:t>
                </m:r>
                <m:r>
                  <m:rPr>
                    <m:sty m:val="p"/>
                  </m:rPr>
                  <w:rPr>
                    <w:rFonts w:ascii="Cambria Math" w:hAnsi="Cambria Math"/>
                    <w:color w:val="FF0000"/>
                    <w:szCs w:val="18"/>
                  </w:rPr>
                  <m:t xml:space="preserve">%= </m:t>
                </m:r>
                <m:f>
                  <m:fPr>
                    <m:ctrlPr>
                      <w:rPr>
                        <w:rFonts w:ascii="Cambria Math" w:hAnsi="Cambria Math"/>
                        <w:color w:val="FF0000"/>
                        <w:szCs w:val="18"/>
                      </w:rPr>
                    </m:ctrlPr>
                  </m:fPr>
                  <m:num>
                    <m:r>
                      <w:rPr>
                        <w:rFonts w:ascii="Cambria Math" w:hAnsi="Cambria Math"/>
                        <w:color w:val="FF0000"/>
                        <w:szCs w:val="18"/>
                      </w:rPr>
                      <m:t>Hs</m:t>
                    </m:r>
                  </m:num>
                  <m:den>
                    <m:r>
                      <w:rPr>
                        <w:rFonts w:ascii="Cambria Math" w:hAnsi="Cambria Math"/>
                        <w:color w:val="FF0000"/>
                        <w:szCs w:val="18"/>
                      </w:rPr>
                      <m:t>Ht</m:t>
                    </m:r>
                  </m:den>
                </m:f>
                <m:r>
                  <m:rPr>
                    <m:sty m:val="p"/>
                  </m:rPr>
                  <w:rPr>
                    <w:rFonts w:ascii="Cambria Math" w:hAnsi="Cambria Math"/>
                    <w:color w:val="FF0000"/>
                    <w:szCs w:val="18"/>
                  </w:rPr>
                  <m:t>.100</m:t>
                </m:r>
              </m:oMath>
            </m:oMathPara>
            <w:bookmarkEnd w:id="1"/>
          </w:p>
        </w:tc>
        <w:tc>
          <w:tcPr>
            <w:tcW w:w="797" w:type="dxa"/>
            <w:shd w:val="clear" w:color="auto" w:fill="auto"/>
            <w:vAlign w:val="center"/>
          </w:tcPr>
          <w:p w14:paraId="6A8F6655" w14:textId="77777777" w:rsidR="00E66509" w:rsidRPr="00BB0699" w:rsidRDefault="00E66509" w:rsidP="00213223">
            <w:pPr>
              <w:pStyle w:val="CETEquation"/>
              <w:rPr>
                <w:color w:val="FF0000"/>
              </w:rPr>
            </w:pPr>
            <w:r w:rsidRPr="00BB0699">
              <w:rPr>
                <w:color w:val="FF0000"/>
              </w:rPr>
              <w:t>(1)</w:t>
            </w:r>
          </w:p>
        </w:tc>
      </w:tr>
    </w:tbl>
    <w:p w14:paraId="66AD89B3" w14:textId="3F8E9B5A" w:rsidR="00E66509" w:rsidRPr="00BB0699" w:rsidRDefault="00A07F09" w:rsidP="00E66509">
      <w:pPr>
        <w:pStyle w:val="CETBodytext"/>
      </w:pPr>
      <w:r w:rsidRPr="00F36405">
        <w:rPr>
          <w:color w:val="000000" w:themeColor="text1"/>
        </w:rPr>
        <w:t>W</w:t>
      </w:r>
      <w:r w:rsidR="00E66509" w:rsidRPr="00F36405">
        <w:rPr>
          <w:color w:val="000000" w:themeColor="text1"/>
        </w:rPr>
        <w:t>h</w:t>
      </w:r>
      <w:r w:rsidR="00E66509" w:rsidRPr="00BB0699">
        <w:t xml:space="preserve">ere Hs and </w:t>
      </w:r>
      <w:proofErr w:type="spellStart"/>
      <w:r w:rsidR="00E66509" w:rsidRPr="00BB0699">
        <w:t>Ht</w:t>
      </w:r>
      <w:proofErr w:type="spellEnd"/>
      <w:r w:rsidR="00E66509" w:rsidRPr="00BB0699">
        <w:t xml:space="preserve"> are the height of the serum layer (if destabilization occurred) and of fresh emulsion, respectively.</w:t>
      </w:r>
    </w:p>
    <w:p w14:paraId="5CEA9D2E" w14:textId="77777777" w:rsidR="00A07F09" w:rsidRDefault="00A07F09" w:rsidP="00E66509">
      <w:pPr>
        <w:pStyle w:val="CETBodytext"/>
        <w:rPr>
          <w:color w:val="4472C4"/>
          <w:highlight w:val="yellow"/>
        </w:rPr>
      </w:pPr>
    </w:p>
    <w:p w14:paraId="2A8875C4" w14:textId="67B811FD" w:rsidR="00E66509" w:rsidRPr="00BB0699" w:rsidRDefault="00E66509" w:rsidP="00E66509">
      <w:pPr>
        <w:pStyle w:val="CETBodytext"/>
      </w:pPr>
      <w:r w:rsidRPr="000638D9">
        <w:rPr>
          <w:color w:val="4472C4"/>
        </w:rPr>
        <w:t>Freshly</w:t>
      </w:r>
      <w:r w:rsidRPr="00F36405">
        <w:rPr>
          <w:color w:val="4472C4" w:themeColor="accent1"/>
        </w:rPr>
        <w:t xml:space="preserve"> </w:t>
      </w:r>
      <w:r w:rsidRPr="00BB0699">
        <w:t xml:space="preserve">emulsions with higher concentrations of HSPN (3 and 4%) were analyzed in the </w:t>
      </w:r>
      <w:proofErr w:type="spellStart"/>
      <w:r w:rsidRPr="00BB0699">
        <w:t>LumiSizer</w:t>
      </w:r>
      <w:proofErr w:type="spellEnd"/>
      <w:r w:rsidRPr="00BB0699">
        <w:t xml:space="preserve"> LS 610 equipment (</w:t>
      </w:r>
      <w:r w:rsidRPr="00F36405">
        <w:t xml:space="preserve">LUM GmbH, Berlin, Germany) under accelerated conditions </w:t>
      </w:r>
      <w:r w:rsidR="00392041" w:rsidRPr="00F36405">
        <w:t>at</w:t>
      </w:r>
      <w:r w:rsidRPr="00F36405">
        <w:t xml:space="preserve"> 25 ºC. Instability </w:t>
      </w:r>
      <w:r w:rsidR="005630AE" w:rsidRPr="00F36405">
        <w:t xml:space="preserve">index </w:t>
      </w:r>
      <w:r w:rsidRPr="00F36405">
        <w:t xml:space="preserve">values were obtained directly from the </w:t>
      </w:r>
      <w:proofErr w:type="spellStart"/>
      <w:r w:rsidRPr="00F36405">
        <w:t>SepView</w:t>
      </w:r>
      <w:proofErr w:type="spellEnd"/>
      <w:r w:rsidRPr="00F36405">
        <w:t xml:space="preserve"> v.4.1 software (L.U.M., Germany)</w:t>
      </w:r>
      <w:r w:rsidR="007A7F7C" w:rsidRPr="00F36405">
        <w:t>,</w:t>
      </w:r>
      <w:r w:rsidRPr="00F36405">
        <w:t xml:space="preserve"> and </w:t>
      </w:r>
      <w:r w:rsidR="00A07F09" w:rsidRPr="00F36405">
        <w:t xml:space="preserve">the </w:t>
      </w:r>
      <w:r w:rsidRPr="00F36405">
        <w:t>lower th</w:t>
      </w:r>
      <w:r w:rsidR="005630AE" w:rsidRPr="00F36405">
        <w:t>is</w:t>
      </w:r>
      <w:r w:rsidRPr="00F36405">
        <w:t xml:space="preserve"> value, the </w:t>
      </w:r>
      <w:r w:rsidR="005630AE" w:rsidRPr="00F36405">
        <w:t xml:space="preserve">higher </w:t>
      </w:r>
      <w:r w:rsidR="00A07F09" w:rsidRPr="00F36405">
        <w:t xml:space="preserve">was </w:t>
      </w:r>
      <w:r w:rsidR="005630AE" w:rsidRPr="00F36405">
        <w:t xml:space="preserve">emulsion </w:t>
      </w:r>
      <w:r w:rsidRPr="00BB0699">
        <w:t>stability.</w:t>
      </w:r>
    </w:p>
    <w:p w14:paraId="501A9C98" w14:textId="77777777" w:rsidR="00E66509" w:rsidRPr="00BB0699" w:rsidRDefault="00E66509" w:rsidP="00E66509">
      <w:pPr>
        <w:pStyle w:val="CETheadingx"/>
        <w:numPr>
          <w:ilvl w:val="2"/>
          <w:numId w:val="1"/>
        </w:numPr>
        <w:rPr>
          <w:color w:val="4472C4"/>
        </w:rPr>
      </w:pPr>
      <w:r w:rsidRPr="00BB0699">
        <w:rPr>
          <w:color w:val="4472C4"/>
        </w:rPr>
        <w:t>Rheological properties</w:t>
      </w:r>
    </w:p>
    <w:p w14:paraId="27F65C7F" w14:textId="48777E2A" w:rsidR="00E66509" w:rsidRPr="00BB0699" w:rsidRDefault="00E66509" w:rsidP="00E66509">
      <w:pPr>
        <w:pStyle w:val="CETBodytext"/>
      </w:pPr>
      <w:r w:rsidRPr="00BB0699">
        <w:t xml:space="preserve">The rheological behavior of </w:t>
      </w:r>
      <w:r w:rsidR="00F95D6D" w:rsidRPr="00BB0699">
        <w:rPr>
          <w:color w:val="4472C4" w:themeColor="accent1"/>
        </w:rPr>
        <w:t xml:space="preserve">the </w:t>
      </w:r>
      <w:r w:rsidRPr="00F36405">
        <w:rPr>
          <w:color w:val="4472C4" w:themeColor="accent1"/>
        </w:rPr>
        <w:t xml:space="preserve">emulsions </w:t>
      </w:r>
      <w:r w:rsidR="00F95D6D" w:rsidRPr="00F36405">
        <w:rPr>
          <w:color w:val="4472C4" w:themeColor="accent1"/>
        </w:rPr>
        <w:t xml:space="preserve">on </w:t>
      </w:r>
      <w:r w:rsidR="008B7E91" w:rsidRPr="00F36405">
        <w:rPr>
          <w:color w:val="4472C4" w:themeColor="accent1"/>
        </w:rPr>
        <w:t xml:space="preserve">the </w:t>
      </w:r>
      <w:r w:rsidR="007929F1" w:rsidRPr="00F36405">
        <w:rPr>
          <w:color w:val="4472C4" w:themeColor="accent1"/>
        </w:rPr>
        <w:t>1</w:t>
      </w:r>
      <w:r w:rsidR="006A3DAF" w:rsidRPr="00F36405">
        <w:rPr>
          <w:color w:val="4472C4" w:themeColor="accent1"/>
          <w:vertAlign w:val="superscript"/>
        </w:rPr>
        <w:t>st</w:t>
      </w:r>
      <w:r w:rsidR="009E0635" w:rsidRPr="00F36405">
        <w:rPr>
          <w:color w:val="4472C4" w:themeColor="accent1"/>
        </w:rPr>
        <w:t xml:space="preserve"> day </w:t>
      </w:r>
      <w:r w:rsidRPr="00BB0699">
        <w:t>was determined at 25 ºC using an AR 2000 rotational rheometer (TA Instruments, New Castle, USA) with cone-plate (4º, 60 mm) geometry. The flow curves were obtained by up-down shear rate ramp from 0.1 to 100 s</w:t>
      </w:r>
      <w:r w:rsidRPr="00BB0699">
        <w:rPr>
          <w:vertAlign w:val="superscript"/>
        </w:rPr>
        <w:t>-1</w:t>
      </w:r>
      <w:r w:rsidRPr="00BB0699">
        <w:t xml:space="preserve"> (</w:t>
      </w:r>
      <w:proofErr w:type="spellStart"/>
      <w:r w:rsidRPr="00BB0699">
        <w:t>Daudt</w:t>
      </w:r>
      <w:proofErr w:type="spellEnd"/>
      <w:r w:rsidRPr="00BB0699">
        <w:t xml:space="preserve"> et al., 2015). The Advantage/ Universal Analysis (UA) Software v 5.5.24 was used to adjust the rheological models. The Power Law model (Equation 2) was the one that presented the best coefficients of determination (R</w:t>
      </w:r>
      <w:r w:rsidRPr="00BB0699">
        <w:rPr>
          <w:vertAlign w:val="superscript"/>
        </w:rPr>
        <w:t>2</w:t>
      </w:r>
      <w:r w:rsidRPr="00BB0699">
        <w:t>).</w:t>
      </w:r>
      <w:r w:rsidR="005746A0" w:rsidRPr="00BB0699">
        <w:t xml:space="preserve"> </w:t>
      </w:r>
    </w:p>
    <w:tbl>
      <w:tblPr>
        <w:tblW w:w="5000" w:type="pct"/>
        <w:tblLayout w:type="fixed"/>
        <w:tblLook w:val="0000" w:firstRow="0" w:lastRow="0" w:firstColumn="0" w:lastColumn="0" w:noHBand="0" w:noVBand="0"/>
      </w:tblPr>
      <w:tblGrid>
        <w:gridCol w:w="7982"/>
        <w:gridCol w:w="805"/>
      </w:tblGrid>
      <w:tr w:rsidR="00E66509" w:rsidRPr="00BB0699" w14:paraId="68F5FEA9" w14:textId="77777777" w:rsidTr="00213223">
        <w:tc>
          <w:tcPr>
            <w:tcW w:w="7982" w:type="dxa"/>
            <w:shd w:val="clear" w:color="auto" w:fill="auto"/>
            <w:vAlign w:val="center"/>
          </w:tcPr>
          <w:p w14:paraId="31472F7B" w14:textId="77777777" w:rsidR="00E66509" w:rsidRPr="00BB0699" w:rsidRDefault="00E66509" w:rsidP="00213223">
            <w:pPr>
              <w:pStyle w:val="CETBodytext"/>
              <w:rPr>
                <w:szCs w:val="18"/>
                <w:lang w:val="en-GB"/>
              </w:rPr>
            </w:pPr>
            <w:bookmarkStart w:id="2" w:name="_Hlk133075121"/>
            <m:oMathPara>
              <m:oMathParaPr>
                <m:jc m:val="left"/>
              </m:oMathParaPr>
              <m:oMath>
                <m:r>
                  <w:rPr>
                    <w:rFonts w:ascii="Cambria Math" w:hAnsi="Cambria Math"/>
                    <w:color w:val="FF0000"/>
                    <w:szCs w:val="18"/>
                  </w:rPr>
                  <m:t>τ=k.</m:t>
                </m:r>
                <m:sSup>
                  <m:sSupPr>
                    <m:ctrlPr>
                      <w:rPr>
                        <w:rFonts w:ascii="Cambria Math" w:eastAsia="Calibri" w:hAnsi="Cambria Math"/>
                        <w:i/>
                        <w:color w:val="FF0000"/>
                        <w:szCs w:val="18"/>
                      </w:rPr>
                    </m:ctrlPr>
                  </m:sSupPr>
                  <m:e>
                    <m:r>
                      <m:rPr>
                        <m:sty m:val="p"/>
                      </m:rPr>
                      <w:rPr>
                        <w:rFonts w:ascii="Cambria Math" w:hAnsi="Cambria Math"/>
                        <w:color w:val="FF0000"/>
                        <w:szCs w:val="18"/>
                      </w:rPr>
                      <m:t xml:space="preserve">γ̇ </m:t>
                    </m:r>
                  </m:e>
                  <m:sup>
                    <m:r>
                      <w:rPr>
                        <w:rFonts w:ascii="Cambria Math" w:hAnsi="Cambria Math"/>
                        <w:color w:val="FF0000"/>
                        <w:szCs w:val="18"/>
                      </w:rPr>
                      <m:t>n</m:t>
                    </m:r>
                  </m:sup>
                </m:sSup>
              </m:oMath>
            </m:oMathPara>
            <w:bookmarkEnd w:id="2"/>
          </w:p>
        </w:tc>
        <w:tc>
          <w:tcPr>
            <w:tcW w:w="805" w:type="dxa"/>
            <w:shd w:val="clear" w:color="auto" w:fill="auto"/>
            <w:vAlign w:val="center"/>
          </w:tcPr>
          <w:p w14:paraId="12F55621" w14:textId="77777777" w:rsidR="00F266E7" w:rsidRPr="00BB0699" w:rsidRDefault="00F266E7" w:rsidP="00F266E7">
            <w:pPr>
              <w:pStyle w:val="CETEquation"/>
              <w:rPr>
                <w:color w:val="FF0000"/>
              </w:rPr>
            </w:pPr>
            <w:r w:rsidRPr="00BB0699">
              <w:rPr>
                <w:color w:val="FF0000"/>
              </w:rPr>
              <w:t>(2)</w:t>
            </w:r>
          </w:p>
        </w:tc>
      </w:tr>
    </w:tbl>
    <w:p w14:paraId="40378EF5" w14:textId="57EC3E66" w:rsidR="005746A0" w:rsidRPr="00BB0699" w:rsidRDefault="005746A0" w:rsidP="005746A0">
      <w:pPr>
        <w:rPr>
          <w:lang w:val="en-US"/>
        </w:rPr>
      </w:pPr>
      <w:r w:rsidRPr="00BB0699">
        <w:rPr>
          <w:lang w:val="en-US"/>
        </w:rPr>
        <w:t xml:space="preserve">Where </w:t>
      </w:r>
      <w:r w:rsidRPr="00BB0699">
        <w:rPr>
          <w:rFonts w:ascii="Cambria Math" w:hAnsi="Cambria Math" w:cs="Cambria Math"/>
          <w:lang w:val="en-US"/>
        </w:rPr>
        <w:t>𝜏</w:t>
      </w:r>
      <w:r w:rsidRPr="00BB0699">
        <w:rPr>
          <w:lang w:val="en-US"/>
        </w:rPr>
        <w:t xml:space="preserve"> is the shear stress; k is the consistency index</w:t>
      </w:r>
      <w:r w:rsidR="007A7F7C">
        <w:rPr>
          <w:color w:val="FF0000"/>
          <w:lang w:val="en-US"/>
        </w:rPr>
        <w:t>;</w:t>
      </w:r>
      <w:r w:rsidRPr="00BB0699">
        <w:rPr>
          <w:lang w:val="en-US"/>
        </w:rPr>
        <w:t xml:space="preserve"> </w:t>
      </w:r>
      <w:r w:rsidRPr="00BB0699">
        <w:rPr>
          <w:rFonts w:ascii="Cambria Math" w:hAnsi="Cambria Math" w:cs="Cambria Math"/>
          <w:lang w:val="en-US"/>
        </w:rPr>
        <w:t>𝛾</w:t>
      </w:r>
      <w:r w:rsidRPr="00BB0699">
        <w:rPr>
          <w:lang w:val="en-US"/>
        </w:rPr>
        <w:t>̇ is the shear rate</w:t>
      </w:r>
      <w:r w:rsidR="007A7F7C">
        <w:rPr>
          <w:color w:val="FF0000"/>
          <w:lang w:val="en-US"/>
        </w:rPr>
        <w:t>,</w:t>
      </w:r>
      <w:r w:rsidRPr="00BB0699">
        <w:rPr>
          <w:lang w:val="en-US"/>
        </w:rPr>
        <w:t xml:space="preserve"> and n is the flow behavior index.</w:t>
      </w:r>
    </w:p>
    <w:p w14:paraId="2E74269F" w14:textId="5BE821F9" w:rsidR="00D86B30" w:rsidRPr="007B460D" w:rsidRDefault="007B460D" w:rsidP="00D86B30">
      <w:pPr>
        <w:pStyle w:val="CETheadingx"/>
        <w:numPr>
          <w:ilvl w:val="2"/>
          <w:numId w:val="1"/>
        </w:numPr>
        <w:rPr>
          <w:color w:val="4472C4" w:themeColor="accent1"/>
        </w:rPr>
      </w:pPr>
      <w:r w:rsidRPr="007B460D">
        <w:rPr>
          <w:color w:val="4472C4" w:themeColor="accent1"/>
        </w:rPr>
        <w:t>Microstructure</w:t>
      </w:r>
    </w:p>
    <w:p w14:paraId="38FA5E88" w14:textId="2B2FD9B7" w:rsidR="00D86B30" w:rsidRPr="00BB0699" w:rsidRDefault="00D86B30" w:rsidP="00D86B30">
      <w:pPr>
        <w:rPr>
          <w:lang w:val="en-US"/>
        </w:rPr>
      </w:pPr>
      <w:r w:rsidRPr="00BB0699">
        <w:rPr>
          <w:lang w:val="en-US"/>
        </w:rPr>
        <w:t xml:space="preserve">The microstructure of </w:t>
      </w:r>
      <w:r w:rsidR="000C1DCD">
        <w:rPr>
          <w:lang w:val="en-US"/>
        </w:rPr>
        <w:t xml:space="preserve">the </w:t>
      </w:r>
      <w:r w:rsidRPr="00BB0699">
        <w:rPr>
          <w:lang w:val="en-US"/>
        </w:rPr>
        <w:t xml:space="preserve">emulsions </w:t>
      </w:r>
      <w:r w:rsidR="000C1DCD" w:rsidRPr="00F36405">
        <w:rPr>
          <w:color w:val="4472C4" w:themeColor="accent1"/>
        </w:rPr>
        <w:t xml:space="preserve">on </w:t>
      </w:r>
      <w:r w:rsidR="008B7E91" w:rsidRPr="00F36405">
        <w:rPr>
          <w:color w:val="4472C4" w:themeColor="accent1"/>
        </w:rPr>
        <w:t xml:space="preserve">the </w:t>
      </w:r>
      <w:r w:rsidR="000C1DCD" w:rsidRPr="00F36405">
        <w:rPr>
          <w:color w:val="4472C4" w:themeColor="accent1"/>
        </w:rPr>
        <w:t>1</w:t>
      </w:r>
      <w:r w:rsidR="008B7E91" w:rsidRPr="00F36405">
        <w:rPr>
          <w:color w:val="4472C4" w:themeColor="accent1"/>
          <w:vertAlign w:val="superscript"/>
        </w:rPr>
        <w:t>st</w:t>
      </w:r>
      <w:r w:rsidR="000C1DCD" w:rsidRPr="00F36405">
        <w:rPr>
          <w:color w:val="4472C4" w:themeColor="accent1"/>
        </w:rPr>
        <w:t xml:space="preserve"> </w:t>
      </w:r>
      <w:r w:rsidR="008B7E91" w:rsidRPr="00F36405">
        <w:rPr>
          <w:color w:val="4472C4" w:themeColor="accent1"/>
        </w:rPr>
        <w:t xml:space="preserve">day </w:t>
      </w:r>
      <w:r w:rsidRPr="00BB0699">
        <w:rPr>
          <w:lang w:val="en-US"/>
        </w:rPr>
        <w:t xml:space="preserve">was analyzed by optical microscopy (Leica DM. 500 / ICC 50W, Berlin, Germany). A small drop was placed on a glass slide, covered with a coverslip and observed with a 100x </w:t>
      </w:r>
      <w:r w:rsidRPr="00133824">
        <w:rPr>
          <w:lang w:val="en-US"/>
        </w:rPr>
        <w:t>objective.</w:t>
      </w:r>
      <w:r w:rsidR="000C1DCD" w:rsidRPr="00133824">
        <w:rPr>
          <w:lang w:val="en-US"/>
        </w:rPr>
        <w:t xml:space="preserve"> </w:t>
      </w:r>
      <w:r w:rsidRPr="00133824">
        <w:rPr>
          <w:lang w:val="en-US"/>
        </w:rPr>
        <w:t>Droplets</w:t>
      </w:r>
      <w:r w:rsidRPr="00BB0699">
        <w:rPr>
          <w:lang w:val="en-US"/>
        </w:rPr>
        <w:t xml:space="preserve"> of Pickering emulsion were observed using an inverted fluorescence microscope (Axiovert.A1, Carl Zeiss, </w:t>
      </w:r>
      <w:proofErr w:type="spellStart"/>
      <w:r w:rsidRPr="00BB0699">
        <w:rPr>
          <w:lang w:val="en-US"/>
        </w:rPr>
        <w:t>Oberkochen</w:t>
      </w:r>
      <w:proofErr w:type="spellEnd"/>
      <w:r w:rsidRPr="00BB0699">
        <w:rPr>
          <w:lang w:val="en-US"/>
        </w:rPr>
        <w:t xml:space="preserve">, Germany). Prior to emulsion preparation, canola oil was stained with Nile </w:t>
      </w:r>
      <w:r w:rsidRPr="00BB0699">
        <w:rPr>
          <w:lang w:val="en-US"/>
        </w:rPr>
        <w:lastRenderedPageBreak/>
        <w:t xml:space="preserve">Red. Nile Red solution (0.1% (w/v)) in ethanol was prepared and 10 µL of this solution/g of lipid was used in the oil phase (Ko and Kim, 2021). Then, the emulsion was prepared according to Section 2.1. </w:t>
      </w:r>
      <w:r w:rsidRPr="00133824">
        <w:rPr>
          <w:lang w:val="en-US"/>
        </w:rPr>
        <w:t>A small drop was placed on a glass slide, covered with a coverslip and observed</w:t>
      </w:r>
      <w:r w:rsidR="00133824" w:rsidRPr="00133824">
        <w:rPr>
          <w:lang w:val="en-US"/>
        </w:rPr>
        <w:t>.</w:t>
      </w:r>
      <w:r w:rsidRPr="00BB0699">
        <w:rPr>
          <w:lang w:val="en-US"/>
        </w:rPr>
        <w:t xml:space="preserve"> Nile red was excited at 488 nm.</w:t>
      </w:r>
    </w:p>
    <w:p w14:paraId="780946CB" w14:textId="77777777" w:rsidR="00E66509" w:rsidRPr="00BB0699" w:rsidRDefault="00E66509" w:rsidP="005746A0">
      <w:pPr>
        <w:pStyle w:val="CETheadingx"/>
        <w:numPr>
          <w:ilvl w:val="2"/>
          <w:numId w:val="1"/>
        </w:numPr>
        <w:rPr>
          <w:color w:val="FF0000"/>
        </w:rPr>
      </w:pPr>
      <w:r w:rsidRPr="00BB0699">
        <w:rPr>
          <w:color w:val="FF0000"/>
          <w:lang w:eastAsia="pt-BR"/>
        </w:rPr>
        <w:t>Statistical analysis</w:t>
      </w:r>
    </w:p>
    <w:p w14:paraId="16EDCD37" w14:textId="4AC0E238" w:rsidR="00E66509" w:rsidRPr="00BB0699" w:rsidRDefault="00E66509" w:rsidP="00E66509">
      <w:pPr>
        <w:pStyle w:val="CETBodytext"/>
      </w:pPr>
      <w:r w:rsidRPr="00BB0699">
        <w:t>The Pickering emulsions and characterization analyses were performed at least in triplicate. Results were subjected to analysis of variance (ANOVA)</w:t>
      </w:r>
      <w:r w:rsidR="008B7E91">
        <w:rPr>
          <w:color w:val="FF0000"/>
        </w:rPr>
        <w:t>,</w:t>
      </w:r>
      <w:r w:rsidRPr="00BB0699">
        <w:t xml:space="preserve"> and means </w:t>
      </w:r>
      <w:r w:rsidR="008B7E91" w:rsidRPr="00B73ED8">
        <w:rPr>
          <w:color w:val="000000" w:themeColor="text1"/>
        </w:rPr>
        <w:t xml:space="preserve">were </w:t>
      </w:r>
      <w:r w:rsidRPr="00B73ED8">
        <w:rPr>
          <w:color w:val="000000" w:themeColor="text1"/>
        </w:rPr>
        <w:t xml:space="preserve">compared </w:t>
      </w:r>
      <w:r w:rsidRPr="00BB0699">
        <w:t>by Tukey test (p &lt;0.05) using SAS (Statistical Analysis System) version 9.4 software.</w:t>
      </w:r>
    </w:p>
    <w:p w14:paraId="3BE66703" w14:textId="77777777" w:rsidR="00E66509" w:rsidRPr="00BB0699" w:rsidRDefault="00E66509" w:rsidP="00E66509">
      <w:pPr>
        <w:pStyle w:val="CETHeading1"/>
        <w:numPr>
          <w:ilvl w:val="1"/>
          <w:numId w:val="1"/>
        </w:numPr>
        <w:tabs>
          <w:tab w:val="left" w:pos="360"/>
        </w:tabs>
      </w:pPr>
      <w:r w:rsidRPr="00BB0699">
        <w:t>Results and Discussion</w:t>
      </w:r>
    </w:p>
    <w:p w14:paraId="110AA221" w14:textId="77777777" w:rsidR="00E66509" w:rsidRPr="00BB0699" w:rsidRDefault="009A2C92" w:rsidP="00E66509">
      <w:pPr>
        <w:pStyle w:val="CETheadingx"/>
        <w:numPr>
          <w:ilvl w:val="2"/>
          <w:numId w:val="1"/>
        </w:numPr>
      </w:pPr>
      <w:r w:rsidRPr="00BB0699">
        <w:t xml:space="preserve">Physical stability </w:t>
      </w:r>
    </w:p>
    <w:p w14:paraId="5FFA7CC4" w14:textId="77777777" w:rsidR="00E66509" w:rsidRPr="00BB0699" w:rsidRDefault="00E66509" w:rsidP="00E66509">
      <w:pPr>
        <w:pStyle w:val="CETBodytext"/>
      </w:pPr>
      <w:r w:rsidRPr="00BB0699">
        <w:t>Figure 1 shows the appearance of emulsions stabilized with different concentrations of HSPN and emulsification times. The visual aspect of the emulsions was clearly influenced by the concentration of HSNP, but the different times (3, 6 and 9 min) did not have a relevant effect on the visual observation of phase separation.</w:t>
      </w:r>
    </w:p>
    <w:p w14:paraId="27914E8F" w14:textId="77777777" w:rsidR="00E66509" w:rsidRPr="00BB0699" w:rsidRDefault="00E66509" w:rsidP="005746A0">
      <w:pPr>
        <w:pStyle w:val="CETCaption"/>
      </w:pPr>
      <w:r w:rsidRPr="00BB0699">
        <w:rPr>
          <w:noProof/>
          <w:lang w:val="pt-BR" w:eastAsia="pt-BR"/>
        </w:rPr>
        <w:drawing>
          <wp:anchor distT="0" distB="0" distL="114300" distR="114300" simplePos="0" relativeHeight="251660288" behindDoc="0" locked="0" layoutInCell="1" allowOverlap="1" wp14:anchorId="2B49E788" wp14:editId="2CC6C1A3">
            <wp:simplePos x="0" y="0"/>
            <wp:positionH relativeFrom="column">
              <wp:posOffset>758190</wp:posOffset>
            </wp:positionH>
            <wp:positionV relativeFrom="paragraph">
              <wp:posOffset>151130</wp:posOffset>
            </wp:positionV>
            <wp:extent cx="4057650" cy="232410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5" t="-9" r="-5" b="-9"/>
                    <a:stretch>
                      <a:fillRect/>
                    </a:stretch>
                  </pic:blipFill>
                  <pic:spPr bwMode="auto">
                    <a:xfrm>
                      <a:off x="0" y="0"/>
                      <a:ext cx="4057650" cy="2324100"/>
                    </a:xfrm>
                    <a:prstGeom prst="rect">
                      <a:avLst/>
                    </a:prstGeom>
                    <a:solidFill>
                      <a:srgbClr val="FFFFFF">
                        <a:alpha val="0"/>
                      </a:srgbClr>
                    </a:solidFill>
                    <a:ln>
                      <a:noFill/>
                    </a:ln>
                  </pic:spPr>
                </pic:pic>
              </a:graphicData>
            </a:graphic>
          </wp:anchor>
        </w:drawing>
      </w:r>
      <w:r w:rsidRPr="00BB0699">
        <w:t>Figure 1: Photos of Pickering emulsions stabilized with HSNP on days 0 and 7 of preparation at concentrations of 0.8, 2.4, 3 and 4% of HSNP and emulsification times of 3, 6 and 9 min.</w:t>
      </w:r>
    </w:p>
    <w:p w14:paraId="0C7F983F" w14:textId="31D89E3E" w:rsidR="00E66509" w:rsidRPr="00BB0699" w:rsidRDefault="00E66509" w:rsidP="00E66509">
      <w:pPr>
        <w:pStyle w:val="CETBodytext"/>
      </w:pPr>
      <w:r w:rsidRPr="00BB0699">
        <w:t>The stability of Pickering emulsions was evaluated by the creaming index (</w:t>
      </w:r>
      <w:r w:rsidR="00F266E7" w:rsidRPr="00BB0699">
        <w:t xml:space="preserve">day </w:t>
      </w:r>
      <w:r w:rsidRPr="00BB0699">
        <w:t>0, 7</w:t>
      </w:r>
      <w:r w:rsidR="00770567" w:rsidRPr="00BB0699">
        <w:rPr>
          <w:vertAlign w:val="superscript"/>
        </w:rPr>
        <w:t>th</w:t>
      </w:r>
      <w:r w:rsidR="00770567" w:rsidRPr="00BB0699">
        <w:t xml:space="preserve"> and</w:t>
      </w:r>
      <w:r w:rsidRPr="00BB0699">
        <w:t xml:space="preserve"> 14</w:t>
      </w:r>
      <w:r w:rsidR="00F266E7" w:rsidRPr="00BB0699">
        <w:rPr>
          <w:vertAlign w:val="superscript"/>
        </w:rPr>
        <w:t>th</w:t>
      </w:r>
      <w:r w:rsidRPr="00BB0699">
        <w:t xml:space="preserve">). The higher the CI, the more intense the creaming. The results showed that a lower </w:t>
      </w:r>
      <w:r w:rsidR="007A7E3A" w:rsidRPr="00BB0699">
        <w:t xml:space="preserve">HSPN </w:t>
      </w:r>
      <w:r w:rsidRPr="00BB0699">
        <w:t xml:space="preserve">concentration may have not provided sufficient coverage of the interface between the oil phase and the aqueous phase, which led to emulsion instability. The formulations with the highest concentrations of nanoparticles (3 and 4%) remained stable </w:t>
      </w:r>
      <w:r w:rsidRPr="00BB0699">
        <w:rPr>
          <w:color w:val="4472C4" w:themeColor="accent1"/>
        </w:rPr>
        <w:t xml:space="preserve">(no phase separation, CI </w:t>
      </w:r>
      <w:r w:rsidR="00770567">
        <w:rPr>
          <w:color w:val="4472C4" w:themeColor="accent1"/>
        </w:rPr>
        <w:t>~</w:t>
      </w:r>
      <w:r w:rsidRPr="00BB0699">
        <w:rPr>
          <w:color w:val="4472C4" w:themeColor="accent1"/>
        </w:rPr>
        <w:t xml:space="preserve"> 0%) </w:t>
      </w:r>
      <w:r w:rsidRPr="00BB0699">
        <w:t xml:space="preserve">for up </w:t>
      </w:r>
      <w:r w:rsidRPr="007C7234">
        <w:t>to</w:t>
      </w:r>
      <w:r w:rsidR="000638D9" w:rsidRPr="007C7234">
        <w:t xml:space="preserve"> the</w:t>
      </w:r>
      <w:r w:rsidRPr="007C7234">
        <w:t xml:space="preserve"> </w:t>
      </w:r>
      <w:r w:rsidRPr="00BB0699">
        <w:rPr>
          <w:color w:val="4472C4" w:themeColor="accent1"/>
        </w:rPr>
        <w:t>14</w:t>
      </w:r>
      <w:r w:rsidRPr="00BB0699">
        <w:rPr>
          <w:color w:val="4472C4" w:themeColor="accent1"/>
          <w:vertAlign w:val="superscript"/>
        </w:rPr>
        <w:t>th</w:t>
      </w:r>
      <w:r w:rsidRPr="00BB0699">
        <w:rPr>
          <w:color w:val="4472C4" w:themeColor="accent1"/>
        </w:rPr>
        <w:t xml:space="preserve"> day</w:t>
      </w:r>
      <w:r w:rsidR="002E0E51">
        <w:rPr>
          <w:color w:val="4472C4" w:themeColor="accent1"/>
        </w:rPr>
        <w:t>s</w:t>
      </w:r>
      <w:r w:rsidRPr="00BB0699">
        <w:rPr>
          <w:color w:val="4472C4" w:themeColor="accent1"/>
        </w:rPr>
        <w:t xml:space="preserve"> of storage</w:t>
      </w:r>
      <w:r w:rsidRPr="00BB0699">
        <w:t xml:space="preserve"> for the three emulsification times </w:t>
      </w:r>
      <w:r w:rsidRPr="00BB0699">
        <w:rPr>
          <w:color w:val="4472C4" w:themeColor="accent1"/>
        </w:rPr>
        <w:t>(Figure 2).</w:t>
      </w:r>
      <w:r w:rsidRPr="00BB0699">
        <w:t xml:space="preserve"> </w:t>
      </w:r>
      <w:proofErr w:type="spellStart"/>
      <w:r w:rsidRPr="00BB0699">
        <w:t>Kamwilaisak</w:t>
      </w:r>
      <w:proofErr w:type="spellEnd"/>
      <w:r w:rsidRPr="00BB0699">
        <w:t xml:space="preserve"> et al. (2022) reported similar results, </w:t>
      </w:r>
      <w:r w:rsidR="0051171E" w:rsidRPr="007C7234">
        <w:t xml:space="preserve">in </w:t>
      </w:r>
      <w:r w:rsidRPr="007C7234">
        <w:t>wh</w:t>
      </w:r>
      <w:r w:rsidR="00DA334B" w:rsidRPr="007C7234">
        <w:t>ich</w:t>
      </w:r>
      <w:r w:rsidRPr="007C7234">
        <w:t xml:space="preserve"> </w:t>
      </w:r>
      <w:r w:rsidRPr="00BB0699">
        <w:t xml:space="preserve">the </w:t>
      </w:r>
      <w:r w:rsidR="00DA334B" w:rsidRPr="00BB0699">
        <w:t xml:space="preserve">emulsion </w:t>
      </w:r>
      <w:r w:rsidRPr="00BB0699">
        <w:t>stability</w:t>
      </w:r>
      <w:r w:rsidR="0051171E">
        <w:t xml:space="preserve"> </w:t>
      </w:r>
      <w:r w:rsidRPr="00BB0699">
        <w:t>with 30% sunflower oil</w:t>
      </w:r>
      <w:r w:rsidR="000638D9">
        <w:t xml:space="preserve"> </w:t>
      </w:r>
      <w:r w:rsidRPr="007A7F7C">
        <w:t>increased with increasing</w:t>
      </w:r>
      <w:r w:rsidR="007A7F7C" w:rsidRPr="007A7F7C">
        <w:t xml:space="preserve"> </w:t>
      </w:r>
      <w:r w:rsidRPr="007A7F7C">
        <w:t>concentration of rice</w:t>
      </w:r>
      <w:r w:rsidR="00DA334B" w:rsidRPr="007A7F7C">
        <w:t xml:space="preserve"> starch nanoparticles</w:t>
      </w:r>
      <w:r w:rsidRPr="007A7F7C">
        <w:t xml:space="preserve"> (0.5 – 4 </w:t>
      </w:r>
      <w:proofErr w:type="spellStart"/>
      <w:r w:rsidRPr="007A7F7C">
        <w:t>wt</w:t>
      </w:r>
      <w:proofErr w:type="spellEnd"/>
      <w:r w:rsidRPr="007A7F7C">
        <w:t>%) added to the formulation.</w:t>
      </w:r>
    </w:p>
    <w:p w14:paraId="160069A1" w14:textId="7EBFAA11" w:rsidR="00E66509" w:rsidRPr="007C7234" w:rsidRDefault="00DA334B" w:rsidP="00E66509">
      <w:pPr>
        <w:pStyle w:val="CETBodytext"/>
        <w:rPr>
          <w:lang w:eastAsia="pt-BR"/>
        </w:rPr>
      </w:pPr>
      <w:r w:rsidRPr="00BB0699">
        <w:t>Stable e</w:t>
      </w:r>
      <w:r w:rsidR="00E66509" w:rsidRPr="00BB0699">
        <w:t xml:space="preserve">mulsions </w:t>
      </w:r>
      <w:r w:rsidRPr="00BB0699">
        <w:t>(with</w:t>
      </w:r>
      <w:r w:rsidR="00E66509" w:rsidRPr="00BB0699">
        <w:t xml:space="preserve"> </w:t>
      </w:r>
      <w:r w:rsidRPr="00BB0699">
        <w:t xml:space="preserve">3% or 4% </w:t>
      </w:r>
      <w:r w:rsidR="00E66509" w:rsidRPr="00BB0699">
        <w:t xml:space="preserve">HSNP) were </w:t>
      </w:r>
      <w:r w:rsidR="00E66509" w:rsidRPr="007C7234">
        <w:t xml:space="preserve">also evaluated in terms of </w:t>
      </w:r>
      <w:r w:rsidR="0051171E" w:rsidRPr="007C7234">
        <w:t xml:space="preserve">the </w:t>
      </w:r>
      <w:r w:rsidR="00E66509" w:rsidRPr="00BB0699">
        <w:rPr>
          <w:color w:val="4472C4" w:themeColor="accent1"/>
        </w:rPr>
        <w:t>instability index</w:t>
      </w:r>
      <w:r w:rsidR="00E66509" w:rsidRPr="00BB0699">
        <w:t xml:space="preserve"> (Table 1). The instability index (II) varies </w:t>
      </w:r>
      <w:r w:rsidR="00E66509" w:rsidRPr="007C7234">
        <w:t>from 0 to 1</w:t>
      </w:r>
      <w:r w:rsidR="005C0A45" w:rsidRPr="007C7234">
        <w:t xml:space="preserve">, </w:t>
      </w:r>
      <w:r w:rsidR="0051171E" w:rsidRPr="007C7234">
        <w:t>with</w:t>
      </w:r>
      <w:r w:rsidR="00E66509" w:rsidRPr="007C7234">
        <w:t xml:space="preserve"> 1 meaning </w:t>
      </w:r>
      <w:r w:rsidR="0051171E" w:rsidRPr="007C7234">
        <w:t xml:space="preserve">the </w:t>
      </w:r>
      <w:r w:rsidR="00E66509" w:rsidRPr="007C7234">
        <w:t xml:space="preserve">highest emulsion instability. All samples showed II lower than 0.29, indicating good stability of the emulsions. The samples with </w:t>
      </w:r>
      <w:r w:rsidR="007314D6" w:rsidRPr="007C7234">
        <w:t>4%</w:t>
      </w:r>
      <w:r w:rsidR="00E66509" w:rsidRPr="007C7234">
        <w:t xml:space="preserve"> HSNP</w:t>
      </w:r>
      <w:r w:rsidR="007314D6" w:rsidRPr="007C7234">
        <w:t xml:space="preserve"> </w:t>
      </w:r>
      <w:r w:rsidR="00E66509" w:rsidRPr="007C7234">
        <w:t>had the lowest II, with a significant statistical difference</w:t>
      </w:r>
      <w:r w:rsidR="0051171E" w:rsidRPr="007C7234">
        <w:t xml:space="preserve"> </w:t>
      </w:r>
      <w:r w:rsidR="00E66509" w:rsidRPr="007C7234">
        <w:t xml:space="preserve">in comparison to the emulsions produced with </w:t>
      </w:r>
      <w:r w:rsidR="00DF7DA6" w:rsidRPr="007C7234">
        <w:t>3%</w:t>
      </w:r>
      <w:r w:rsidR="00E66509" w:rsidRPr="007C7234">
        <w:t xml:space="preserve"> of nanoparticles. A higher </w:t>
      </w:r>
      <w:r w:rsidR="00911136" w:rsidRPr="007C7234">
        <w:t xml:space="preserve">HSPN </w:t>
      </w:r>
      <w:r w:rsidR="00E66509" w:rsidRPr="007C7234">
        <w:t xml:space="preserve">concentration probably ensured that oil droplets were completely covered, </w:t>
      </w:r>
      <w:r w:rsidR="000638D9" w:rsidRPr="007C7234">
        <w:t xml:space="preserve">thus </w:t>
      </w:r>
      <w:r w:rsidR="00E66509" w:rsidRPr="007C7234">
        <w:t>increasing the emulsion</w:t>
      </w:r>
      <w:r w:rsidR="007A7F7C" w:rsidRPr="007C7234">
        <w:t>’</w:t>
      </w:r>
      <w:r w:rsidR="00E66509" w:rsidRPr="007C7234">
        <w:t xml:space="preserve">s stability </w:t>
      </w:r>
      <w:r w:rsidR="00E66509" w:rsidRPr="007C7234">
        <w:rPr>
          <w:lang w:eastAsia="pt-BR"/>
        </w:rPr>
        <w:t>(Li et al., 2020)</w:t>
      </w:r>
      <w:r w:rsidR="00E66509" w:rsidRPr="007C7234">
        <w:t>. For most Pickering emulsion</w:t>
      </w:r>
      <w:r w:rsidR="009D4699" w:rsidRPr="007C7234">
        <w:t>s</w:t>
      </w:r>
      <w:r w:rsidR="00E66509" w:rsidRPr="007C7234">
        <w:t xml:space="preserve">, increasing particle concentration not only decreases the droplet size and improves surface coverage, but also leads to the formation of a network structure around the emulsion droplets </w:t>
      </w:r>
      <w:r w:rsidR="00E66509" w:rsidRPr="007C7234">
        <w:rPr>
          <w:lang w:eastAsia="pt-BR"/>
        </w:rPr>
        <w:t>(Song et al., 2015).</w:t>
      </w:r>
    </w:p>
    <w:p w14:paraId="28E0F691" w14:textId="27F4F3B7" w:rsidR="00911136" w:rsidRDefault="00911136" w:rsidP="00E66509">
      <w:pPr>
        <w:pStyle w:val="CETBodytext"/>
      </w:pPr>
      <w:r w:rsidRPr="009F1112">
        <w:t>The emulsification</w:t>
      </w:r>
      <w:r w:rsidRPr="00BB0699">
        <w:t xml:space="preserve"> time also influenced the II significantly, and the emulsions prepared with 4% of HSNP and emulsification time at 6 or 9 </w:t>
      </w:r>
      <w:r w:rsidRPr="007C7234">
        <w:t xml:space="preserve">min </w:t>
      </w:r>
      <w:r w:rsidR="000464AA" w:rsidRPr="007C7234">
        <w:t xml:space="preserve">had </w:t>
      </w:r>
      <w:r w:rsidRPr="007C7234">
        <w:t xml:space="preserve">higher </w:t>
      </w:r>
      <w:r w:rsidRPr="000464AA">
        <w:t>stab</w:t>
      </w:r>
      <w:r w:rsidR="000464AA" w:rsidRPr="000464AA">
        <w:t>i</w:t>
      </w:r>
      <w:r w:rsidRPr="000464AA">
        <w:t>l</w:t>
      </w:r>
      <w:r w:rsidR="000464AA" w:rsidRPr="000464AA">
        <w:t>ity</w:t>
      </w:r>
      <w:r w:rsidRPr="00BB0699">
        <w:t xml:space="preserve"> than the sample stirred only for 3 min. Rotation speed and homogenization time are the first parameters to control the emulsion droplet size with a rotor-stator homogenizer (Albert et al., 2019). The higher amount of energy supplied to the system </w:t>
      </w:r>
      <w:r w:rsidRPr="007C7234">
        <w:t>allows</w:t>
      </w:r>
      <w:r w:rsidR="008A12CA" w:rsidRPr="007C7234">
        <w:t xml:space="preserve"> the</w:t>
      </w:r>
      <w:r w:rsidRPr="007C7234">
        <w:t xml:space="preserve"> breaking </w:t>
      </w:r>
      <w:r w:rsidR="008A12CA" w:rsidRPr="007C7234">
        <w:t xml:space="preserve">of </w:t>
      </w:r>
      <w:r w:rsidRPr="00BB0699">
        <w:t xml:space="preserve">the oil droplets into smaller sizes, which increases the exposed </w:t>
      </w:r>
      <w:r w:rsidRPr="007C7234">
        <w:t xml:space="preserve">surface area of the droplets, </w:t>
      </w:r>
      <w:r w:rsidR="008A12CA" w:rsidRPr="007C7234">
        <w:t xml:space="preserve">permitting </w:t>
      </w:r>
      <w:r w:rsidRPr="007C7234">
        <w:t>the HSNP to better adhere to the surface</w:t>
      </w:r>
      <w:r w:rsidR="008A12CA" w:rsidRPr="007C7234">
        <w:t xml:space="preserve"> and</w:t>
      </w:r>
      <w:r w:rsidRPr="007C7234">
        <w:t xml:space="preserve"> increasing the stabili</w:t>
      </w:r>
      <w:r w:rsidRPr="00BB0699">
        <w:t xml:space="preserve">ty of the emulsion. On the other hand, if the applied energy is excessive (times that are too long or speeds too high), the opposite process can occur, in which the drops begin </w:t>
      </w:r>
      <w:r w:rsidRPr="00BB0699">
        <w:lastRenderedPageBreak/>
        <w:t xml:space="preserve">to coalesce (Souza et al., 2021). Souza et al. (2021) produced Pickering emulsions with 20% cinnamon oil, 1% cellulose nanocrystals and 3 and 7 minutes of emulsification and reported greater </w:t>
      </w:r>
      <w:r w:rsidR="0086743A">
        <w:rPr>
          <w:rStyle w:val="CETCaptionCarattere"/>
          <w:rFonts w:eastAsia="SimSun"/>
          <w:noProof/>
        </w:rPr>
        <w:drawing>
          <wp:anchor distT="0" distB="0" distL="114300" distR="114300" simplePos="0" relativeHeight="251658240" behindDoc="0" locked="0" layoutInCell="1" allowOverlap="1" wp14:anchorId="6A0016F2" wp14:editId="79203A55">
            <wp:simplePos x="0" y="0"/>
            <wp:positionH relativeFrom="column">
              <wp:posOffset>-2201</wp:posOffset>
            </wp:positionH>
            <wp:positionV relativeFrom="paragraph">
              <wp:posOffset>872490</wp:posOffset>
            </wp:positionV>
            <wp:extent cx="5471296" cy="1445721"/>
            <wp:effectExtent l="0" t="0" r="0" b="254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1296" cy="1445721"/>
                    </a:xfrm>
                    <a:prstGeom prst="rect">
                      <a:avLst/>
                    </a:prstGeom>
                    <a:noFill/>
                  </pic:spPr>
                </pic:pic>
              </a:graphicData>
            </a:graphic>
          </wp:anchor>
        </w:drawing>
      </w:r>
      <w:r w:rsidRPr="00BB0699">
        <w:t>instability in emulsions prepared w</w:t>
      </w:r>
      <w:r w:rsidR="009D4699" w:rsidRPr="00BB0699">
        <w:t>ith longer emulsification times, which corroborates with our results.</w:t>
      </w:r>
    </w:p>
    <w:p w14:paraId="2BFE965C" w14:textId="77777777" w:rsidR="00460509" w:rsidRDefault="00460509" w:rsidP="00E66509">
      <w:pPr>
        <w:pStyle w:val="CETBodytext"/>
      </w:pPr>
    </w:p>
    <w:p w14:paraId="33BFB383" w14:textId="77777777" w:rsidR="00BD09B5" w:rsidRPr="00BB0699" w:rsidRDefault="00BD09B5" w:rsidP="00E66509">
      <w:pPr>
        <w:pStyle w:val="CETBodytext"/>
      </w:pPr>
    </w:p>
    <w:p w14:paraId="595FF18A" w14:textId="7E12DA4A" w:rsidR="00E66509" w:rsidRPr="0086743A" w:rsidRDefault="00E66509" w:rsidP="005746A0">
      <w:pPr>
        <w:pStyle w:val="CETCaption"/>
        <w:rPr>
          <w:i w:val="0"/>
        </w:rPr>
      </w:pPr>
      <w:r w:rsidRPr="0086743A">
        <w:rPr>
          <w:iCs/>
        </w:rPr>
        <w:t>Figure 2: Creaming</w:t>
      </w:r>
      <w:r w:rsidRPr="0086743A">
        <w:rPr>
          <w:i w:val="0"/>
        </w:rPr>
        <w:t xml:space="preserve"> index (CI) of Pickering emulsions stabilized with HSNP on days 0, 7 and</w:t>
      </w:r>
      <w:r w:rsidRPr="0086743A">
        <w:rPr>
          <w:rStyle w:val="CETCaptionCarattere"/>
          <w:rFonts w:eastAsia="SimSun"/>
          <w:i/>
        </w:rPr>
        <w:t xml:space="preserve"> 14 of preparation at 0.8; 2.4; 3 and 4% concentrations and emulsification times of 3 (a), 6 (b) and 9 min (c). </w:t>
      </w:r>
    </w:p>
    <w:p w14:paraId="50C2254E" w14:textId="77777777" w:rsidR="00E66509" w:rsidRPr="00BB0699" w:rsidRDefault="00A74B49" w:rsidP="00E66509">
      <w:pPr>
        <w:pStyle w:val="CETheadingx"/>
        <w:numPr>
          <w:ilvl w:val="2"/>
          <w:numId w:val="1"/>
        </w:numPr>
      </w:pPr>
      <w:r w:rsidRPr="00BB0699">
        <w:t>Rheological behavior</w:t>
      </w:r>
    </w:p>
    <w:p w14:paraId="431E09F0" w14:textId="2C5AFE73" w:rsidR="00E66509" w:rsidRPr="00BB0699" w:rsidRDefault="00E66509" w:rsidP="00E66509">
      <w:pPr>
        <w:pStyle w:val="CETBodytext"/>
      </w:pPr>
      <w:r w:rsidRPr="00BB0699">
        <w:t>The stable emulsions</w:t>
      </w:r>
      <w:r w:rsidR="00A74B49" w:rsidRPr="00BB0699">
        <w:t xml:space="preserve"> </w:t>
      </w:r>
      <w:r w:rsidR="00A74B49" w:rsidRPr="00BB0699">
        <w:rPr>
          <w:color w:val="4472C4" w:themeColor="accent1"/>
        </w:rPr>
        <w:t>(</w:t>
      </w:r>
      <w:r w:rsidR="00A74B49" w:rsidRPr="007C7234">
        <w:rPr>
          <w:color w:val="4472C4" w:themeColor="accent1"/>
        </w:rPr>
        <w:t xml:space="preserve">on </w:t>
      </w:r>
      <w:r w:rsidR="009F1112" w:rsidRPr="007C7234">
        <w:rPr>
          <w:color w:val="4472C4" w:themeColor="accent1"/>
        </w:rPr>
        <w:t xml:space="preserve">the </w:t>
      </w:r>
      <w:r w:rsidR="0001653C" w:rsidRPr="007C7234">
        <w:rPr>
          <w:color w:val="4472C4" w:themeColor="accent1"/>
        </w:rPr>
        <w:t>1</w:t>
      </w:r>
      <w:r w:rsidR="00DE161E" w:rsidRPr="007C7234">
        <w:rPr>
          <w:color w:val="4472C4" w:themeColor="accent1"/>
          <w:vertAlign w:val="superscript"/>
        </w:rPr>
        <w:t>st</w:t>
      </w:r>
      <w:r w:rsidR="009F1112" w:rsidRPr="007C7234">
        <w:rPr>
          <w:color w:val="4472C4" w:themeColor="accent1"/>
          <w:vertAlign w:val="superscript"/>
        </w:rPr>
        <w:t xml:space="preserve"> </w:t>
      </w:r>
      <w:r w:rsidR="009F1112" w:rsidRPr="007C7234">
        <w:rPr>
          <w:color w:val="4472C4" w:themeColor="accent1"/>
        </w:rPr>
        <w:t>day</w:t>
      </w:r>
      <w:r w:rsidR="00A74B49" w:rsidRPr="00BB0699">
        <w:rPr>
          <w:color w:val="4472C4" w:themeColor="accent1"/>
        </w:rPr>
        <w:t>)</w:t>
      </w:r>
      <w:r w:rsidRPr="00BB0699">
        <w:t xml:space="preserve"> were characterized by rheological assays</w:t>
      </w:r>
      <w:r w:rsidR="00A74B49" w:rsidRPr="00BB0699">
        <w:t xml:space="preserve"> and</w:t>
      </w:r>
      <w:r w:rsidRPr="00BB0699">
        <w:t xml:space="preserve"> showed a non-linear relationship between shear stress and shear rate (Figure 3.a), exhibiting a non-Newtonian fluid behavior. There was an increase in shear stress (Figure 3.a) and apparent viscosity (Figure 3.b) </w:t>
      </w:r>
      <w:r w:rsidR="00737253" w:rsidRPr="00BB0699">
        <w:t>at</w:t>
      </w:r>
      <w:r w:rsidRPr="00BB0699">
        <w:t xml:space="preserve"> same shear rate with increasing </w:t>
      </w:r>
      <w:r w:rsidR="00737253" w:rsidRPr="00BB0699">
        <w:t xml:space="preserve">HSNP </w:t>
      </w:r>
      <w:r w:rsidRPr="00BB0699">
        <w:t xml:space="preserve">concentration. The </w:t>
      </w:r>
      <w:r w:rsidRPr="007C7234">
        <w:t xml:space="preserve">reason for </w:t>
      </w:r>
      <w:r w:rsidR="009F1112" w:rsidRPr="007C7234">
        <w:t xml:space="preserve">this </w:t>
      </w:r>
      <w:r w:rsidRPr="007C7234">
        <w:t xml:space="preserve">might be </w:t>
      </w:r>
      <w:r w:rsidR="009F1112" w:rsidRPr="007C7234">
        <w:t xml:space="preserve">that </w:t>
      </w:r>
      <w:r w:rsidRPr="007C7234">
        <w:t>particle</w:t>
      </w:r>
      <w:r w:rsidRPr="00BB0699">
        <w:t xml:space="preserve">-particle interactions and particle-liquid interactions were enhanced at higher concentrations, forming a denser network (Schroder et al., 2018). Feng et al. (2020) reported similar results, in which the apparent viscosity of the emulsion increased with increasing concentration of gelatin nanoparticles (0.3 </w:t>
      </w:r>
      <w:r w:rsidR="00737253" w:rsidRPr="00BB0699">
        <w:t>–</w:t>
      </w:r>
      <w:r w:rsidRPr="00BB0699">
        <w:t xml:space="preserve"> 2</w:t>
      </w:r>
      <w:r w:rsidR="00737253" w:rsidRPr="00BB0699">
        <w:t>wt</w:t>
      </w:r>
      <w:r w:rsidRPr="00BB0699">
        <w:t>%).</w:t>
      </w:r>
    </w:p>
    <w:p w14:paraId="7270058A" w14:textId="77777777" w:rsidR="00E66509" w:rsidRPr="00BB0699" w:rsidRDefault="00E66509" w:rsidP="00E66509">
      <w:pPr>
        <w:pStyle w:val="CETTabletitle"/>
        <w:jc w:val="both"/>
      </w:pPr>
      <w:r w:rsidRPr="00BB0699">
        <w:t xml:space="preserve">Table 1: Instability index (II) and rheological properties (K and n, Power Law model) for Pickering emulsions stabilized with different </w:t>
      </w:r>
      <w:r w:rsidR="00F266E7" w:rsidRPr="00BB0699">
        <w:t xml:space="preserve">HSPN </w:t>
      </w:r>
      <w:r w:rsidRPr="00BB0699">
        <w:t>concentrations (3 and 4% m/m) and emulsification times (3, 6 and 9 min).</w:t>
      </w:r>
    </w:p>
    <w:tbl>
      <w:tblPr>
        <w:tblW w:w="5000" w:type="pct"/>
        <w:jc w:val="center"/>
        <w:tblLayout w:type="fixed"/>
        <w:tblCellMar>
          <w:left w:w="0" w:type="dxa"/>
          <w:right w:w="0" w:type="dxa"/>
        </w:tblCellMar>
        <w:tblLook w:val="0000" w:firstRow="0" w:lastRow="0" w:firstColumn="0" w:lastColumn="0" w:noHBand="0" w:noVBand="0"/>
      </w:tblPr>
      <w:tblGrid>
        <w:gridCol w:w="950"/>
        <w:gridCol w:w="1111"/>
        <w:gridCol w:w="1758"/>
        <w:gridCol w:w="1759"/>
        <w:gridCol w:w="1759"/>
        <w:gridCol w:w="1450"/>
      </w:tblGrid>
      <w:tr w:rsidR="00E66509" w:rsidRPr="00BB0699" w14:paraId="05C20FB7" w14:textId="77777777" w:rsidTr="00213223">
        <w:trPr>
          <w:jc w:val="center"/>
        </w:trPr>
        <w:tc>
          <w:tcPr>
            <w:tcW w:w="950" w:type="dxa"/>
            <w:tcBorders>
              <w:top w:val="single" w:sz="12" w:space="0" w:color="008000"/>
              <w:bottom w:val="single" w:sz="6" w:space="0" w:color="008000"/>
            </w:tcBorders>
            <w:shd w:val="clear" w:color="auto" w:fill="FFFFFF"/>
          </w:tcPr>
          <w:p w14:paraId="4E9178AA" w14:textId="77777777" w:rsidR="00E66509" w:rsidRPr="00BB0699" w:rsidRDefault="00E66509" w:rsidP="00213223">
            <w:pPr>
              <w:pStyle w:val="CETBodytext"/>
              <w:jc w:val="center"/>
            </w:pPr>
            <w:r w:rsidRPr="00BB0699">
              <w:t>HSPN (%)</w:t>
            </w:r>
          </w:p>
        </w:tc>
        <w:tc>
          <w:tcPr>
            <w:tcW w:w="1111" w:type="dxa"/>
            <w:tcBorders>
              <w:top w:val="single" w:sz="12" w:space="0" w:color="008000"/>
              <w:bottom w:val="single" w:sz="6" w:space="0" w:color="008000"/>
            </w:tcBorders>
            <w:shd w:val="clear" w:color="auto" w:fill="FFFFFF"/>
          </w:tcPr>
          <w:p w14:paraId="3DCF0393" w14:textId="77777777" w:rsidR="00E66509" w:rsidRPr="00BB0699" w:rsidRDefault="00E66509" w:rsidP="00213223">
            <w:pPr>
              <w:pStyle w:val="CETBodytext"/>
              <w:jc w:val="center"/>
            </w:pPr>
            <w:r w:rsidRPr="00BB0699">
              <w:t>Emulsification time (min)</w:t>
            </w:r>
          </w:p>
        </w:tc>
        <w:tc>
          <w:tcPr>
            <w:tcW w:w="1758" w:type="dxa"/>
            <w:tcBorders>
              <w:top w:val="single" w:sz="12" w:space="0" w:color="008000"/>
              <w:bottom w:val="single" w:sz="6" w:space="0" w:color="008000"/>
            </w:tcBorders>
            <w:shd w:val="clear" w:color="auto" w:fill="FFFFFF"/>
          </w:tcPr>
          <w:p w14:paraId="49C8F4DF" w14:textId="77777777" w:rsidR="00E66509" w:rsidRPr="00BB0699" w:rsidRDefault="00E66509" w:rsidP="00213223">
            <w:pPr>
              <w:pStyle w:val="CETBodytext"/>
              <w:jc w:val="center"/>
            </w:pPr>
            <w:r w:rsidRPr="00BB0699">
              <w:t>II</w:t>
            </w:r>
          </w:p>
        </w:tc>
        <w:tc>
          <w:tcPr>
            <w:tcW w:w="1759" w:type="dxa"/>
            <w:tcBorders>
              <w:top w:val="single" w:sz="12" w:space="0" w:color="008000"/>
              <w:bottom w:val="single" w:sz="6" w:space="0" w:color="008000"/>
            </w:tcBorders>
            <w:shd w:val="clear" w:color="auto" w:fill="FFFFFF"/>
          </w:tcPr>
          <w:p w14:paraId="3D66DA04" w14:textId="77777777" w:rsidR="00E66509" w:rsidRPr="00BB0699" w:rsidRDefault="00E66509" w:rsidP="00213223">
            <w:pPr>
              <w:pStyle w:val="CETBodytext"/>
              <w:jc w:val="center"/>
            </w:pPr>
            <w:r w:rsidRPr="00BB0699">
              <w:t>n (flow index)</w:t>
            </w:r>
          </w:p>
        </w:tc>
        <w:tc>
          <w:tcPr>
            <w:tcW w:w="1759" w:type="dxa"/>
            <w:tcBorders>
              <w:top w:val="single" w:sz="12" w:space="0" w:color="008000"/>
              <w:bottom w:val="single" w:sz="6" w:space="0" w:color="008000"/>
            </w:tcBorders>
            <w:shd w:val="clear" w:color="auto" w:fill="FFFFFF"/>
          </w:tcPr>
          <w:p w14:paraId="2DC69E7A" w14:textId="77777777" w:rsidR="00E66509" w:rsidRPr="00BB0699" w:rsidRDefault="00DE161E" w:rsidP="00213223">
            <w:pPr>
              <w:pStyle w:val="CETBodytext"/>
              <w:jc w:val="center"/>
            </w:pPr>
            <w:r>
              <w:t>k</w:t>
            </w:r>
            <w:r w:rsidR="00E66509" w:rsidRPr="00BB0699">
              <w:t xml:space="preserve"> (</w:t>
            </w:r>
            <w:proofErr w:type="spellStart"/>
            <w:r w:rsidR="00E66509" w:rsidRPr="00BB0699">
              <w:t>Pa.s</w:t>
            </w:r>
            <w:proofErr w:type="spellEnd"/>
            <w:r w:rsidR="00E66509" w:rsidRPr="00BB0699">
              <w:t>)</w:t>
            </w:r>
          </w:p>
        </w:tc>
        <w:tc>
          <w:tcPr>
            <w:tcW w:w="1450" w:type="dxa"/>
            <w:tcBorders>
              <w:top w:val="single" w:sz="12" w:space="0" w:color="008000"/>
              <w:bottom w:val="single" w:sz="6" w:space="0" w:color="008000"/>
            </w:tcBorders>
            <w:shd w:val="clear" w:color="auto" w:fill="FFFFFF"/>
          </w:tcPr>
          <w:p w14:paraId="37BA6BB0" w14:textId="77777777" w:rsidR="00E66509" w:rsidRPr="00BB0699" w:rsidRDefault="00E66509" w:rsidP="00213223">
            <w:pPr>
              <w:pStyle w:val="CETBodytext"/>
              <w:ind w:right="-1"/>
              <w:jc w:val="center"/>
            </w:pPr>
            <w:r w:rsidRPr="00BB0699">
              <w:t>R</w:t>
            </w:r>
            <w:r w:rsidRPr="00BB0699">
              <w:rPr>
                <w:vertAlign w:val="superscript"/>
              </w:rPr>
              <w:t>2</w:t>
            </w:r>
          </w:p>
        </w:tc>
      </w:tr>
      <w:tr w:rsidR="00E66509" w:rsidRPr="00BB0699" w14:paraId="793A91CC" w14:textId="77777777" w:rsidTr="00213223">
        <w:trPr>
          <w:jc w:val="center"/>
        </w:trPr>
        <w:tc>
          <w:tcPr>
            <w:tcW w:w="950" w:type="dxa"/>
            <w:shd w:val="clear" w:color="auto" w:fill="FFFFFF"/>
          </w:tcPr>
          <w:p w14:paraId="00E18B9E" w14:textId="77777777" w:rsidR="00E66509" w:rsidRPr="00BB0699" w:rsidRDefault="00E66509" w:rsidP="00213223">
            <w:pPr>
              <w:pStyle w:val="CETBodytext"/>
              <w:jc w:val="center"/>
            </w:pPr>
            <w:r w:rsidRPr="00BB0699">
              <w:t>3</w:t>
            </w:r>
          </w:p>
        </w:tc>
        <w:tc>
          <w:tcPr>
            <w:tcW w:w="1111" w:type="dxa"/>
            <w:shd w:val="clear" w:color="auto" w:fill="FFFFFF"/>
          </w:tcPr>
          <w:p w14:paraId="67B5DF59" w14:textId="77777777" w:rsidR="00E66509" w:rsidRPr="00BB0699" w:rsidRDefault="00E66509" w:rsidP="00213223">
            <w:pPr>
              <w:pStyle w:val="CETBodytext"/>
              <w:jc w:val="center"/>
            </w:pPr>
            <w:r w:rsidRPr="00BB0699">
              <w:t>3</w:t>
            </w:r>
          </w:p>
        </w:tc>
        <w:tc>
          <w:tcPr>
            <w:tcW w:w="1758" w:type="dxa"/>
            <w:shd w:val="clear" w:color="auto" w:fill="FFFFFF"/>
          </w:tcPr>
          <w:p w14:paraId="474646F4" w14:textId="77777777" w:rsidR="00E66509" w:rsidRPr="00BB0699" w:rsidRDefault="00E66509" w:rsidP="00213223">
            <w:pPr>
              <w:pStyle w:val="CETBodytext"/>
              <w:jc w:val="center"/>
            </w:pPr>
            <w:r w:rsidRPr="00BB0699">
              <w:t>0.29 ± 0.00</w:t>
            </w:r>
            <w:r w:rsidRPr="00BB0699">
              <w:rPr>
                <w:vertAlign w:val="superscript"/>
              </w:rPr>
              <w:t>a,A</w:t>
            </w:r>
          </w:p>
        </w:tc>
        <w:tc>
          <w:tcPr>
            <w:tcW w:w="1759" w:type="dxa"/>
            <w:shd w:val="clear" w:color="auto" w:fill="FFFFFF"/>
          </w:tcPr>
          <w:p w14:paraId="6E1CD9FA" w14:textId="77777777" w:rsidR="00E66509" w:rsidRPr="00BB0699" w:rsidRDefault="00E66509" w:rsidP="00213223">
            <w:pPr>
              <w:pStyle w:val="CETBodytext"/>
              <w:jc w:val="center"/>
            </w:pPr>
            <w:r w:rsidRPr="00BB0699">
              <w:t>0.76 ± 0.01</w:t>
            </w:r>
            <w:r w:rsidRPr="00BB0699">
              <w:rPr>
                <w:vertAlign w:val="superscript"/>
              </w:rPr>
              <w:t>a,A</w:t>
            </w:r>
          </w:p>
        </w:tc>
        <w:tc>
          <w:tcPr>
            <w:tcW w:w="1759" w:type="dxa"/>
            <w:shd w:val="clear" w:color="auto" w:fill="FFFFFF"/>
          </w:tcPr>
          <w:p w14:paraId="63E335C4" w14:textId="77777777" w:rsidR="00E66509" w:rsidRPr="00BB0699" w:rsidRDefault="00E66509" w:rsidP="00213223">
            <w:pPr>
              <w:pStyle w:val="CETBodytext"/>
              <w:jc w:val="center"/>
            </w:pPr>
            <w:r w:rsidRPr="00BB0699">
              <w:t>0.28 ± 0.02</w:t>
            </w:r>
            <w:r w:rsidRPr="00BB0699">
              <w:rPr>
                <w:vertAlign w:val="superscript"/>
              </w:rPr>
              <w:t>a,B</w:t>
            </w:r>
          </w:p>
        </w:tc>
        <w:tc>
          <w:tcPr>
            <w:tcW w:w="1450" w:type="dxa"/>
            <w:shd w:val="clear" w:color="auto" w:fill="FFFFFF"/>
          </w:tcPr>
          <w:p w14:paraId="1E929A6A" w14:textId="77777777" w:rsidR="00E66509" w:rsidRPr="00BB0699" w:rsidRDefault="00E66509" w:rsidP="00213223">
            <w:pPr>
              <w:pStyle w:val="CETBodytext"/>
              <w:ind w:right="-1"/>
              <w:jc w:val="center"/>
            </w:pPr>
            <w:r w:rsidRPr="00BB0699">
              <w:t>0.998</w:t>
            </w:r>
          </w:p>
        </w:tc>
      </w:tr>
      <w:tr w:rsidR="00E66509" w:rsidRPr="00BB0699" w14:paraId="6A925135" w14:textId="77777777" w:rsidTr="00213223">
        <w:trPr>
          <w:jc w:val="center"/>
        </w:trPr>
        <w:tc>
          <w:tcPr>
            <w:tcW w:w="950" w:type="dxa"/>
            <w:shd w:val="clear" w:color="auto" w:fill="FFFFFF"/>
          </w:tcPr>
          <w:p w14:paraId="56F82F47" w14:textId="77777777" w:rsidR="00E66509" w:rsidRPr="00BB0699" w:rsidRDefault="00E66509" w:rsidP="00213223">
            <w:pPr>
              <w:pStyle w:val="CETBodytext"/>
              <w:ind w:right="-1"/>
              <w:jc w:val="center"/>
            </w:pPr>
            <w:r w:rsidRPr="00BB0699">
              <w:t>3</w:t>
            </w:r>
          </w:p>
        </w:tc>
        <w:tc>
          <w:tcPr>
            <w:tcW w:w="1111" w:type="dxa"/>
            <w:shd w:val="clear" w:color="auto" w:fill="FFFFFF"/>
          </w:tcPr>
          <w:p w14:paraId="0A3A8D7D" w14:textId="77777777" w:rsidR="00E66509" w:rsidRPr="00BB0699" w:rsidRDefault="00E66509" w:rsidP="00213223">
            <w:pPr>
              <w:pStyle w:val="CETBodytext"/>
              <w:ind w:right="-1"/>
              <w:jc w:val="center"/>
            </w:pPr>
            <w:r w:rsidRPr="00BB0699">
              <w:t>6</w:t>
            </w:r>
          </w:p>
        </w:tc>
        <w:tc>
          <w:tcPr>
            <w:tcW w:w="1758" w:type="dxa"/>
            <w:shd w:val="clear" w:color="auto" w:fill="FFFFFF"/>
          </w:tcPr>
          <w:p w14:paraId="0352ADF6" w14:textId="77777777" w:rsidR="00E66509" w:rsidRPr="00BB0699" w:rsidRDefault="00E66509" w:rsidP="00213223">
            <w:pPr>
              <w:pStyle w:val="CETBodytext"/>
              <w:ind w:right="-1"/>
              <w:jc w:val="center"/>
            </w:pPr>
            <w:r w:rsidRPr="00BB0699">
              <w:t>0.25 ± 0.00</w:t>
            </w:r>
            <w:r w:rsidRPr="00BB0699">
              <w:rPr>
                <w:vertAlign w:val="superscript"/>
              </w:rPr>
              <w:t>b,A</w:t>
            </w:r>
          </w:p>
        </w:tc>
        <w:tc>
          <w:tcPr>
            <w:tcW w:w="1759" w:type="dxa"/>
            <w:shd w:val="clear" w:color="auto" w:fill="FFFFFF"/>
          </w:tcPr>
          <w:p w14:paraId="15E856AA" w14:textId="77777777" w:rsidR="00E66509" w:rsidRPr="00BB0699" w:rsidRDefault="00E66509" w:rsidP="00213223">
            <w:pPr>
              <w:pStyle w:val="CETBodytext"/>
              <w:ind w:right="-1"/>
              <w:jc w:val="center"/>
            </w:pPr>
            <w:r w:rsidRPr="00BB0699">
              <w:t>0.76 ± 0.01</w:t>
            </w:r>
            <w:r w:rsidRPr="00BB0699">
              <w:rPr>
                <w:vertAlign w:val="superscript"/>
              </w:rPr>
              <w:t>a,A</w:t>
            </w:r>
          </w:p>
        </w:tc>
        <w:tc>
          <w:tcPr>
            <w:tcW w:w="1759" w:type="dxa"/>
            <w:shd w:val="clear" w:color="auto" w:fill="FFFFFF"/>
          </w:tcPr>
          <w:p w14:paraId="0D517641" w14:textId="77777777" w:rsidR="00E66509" w:rsidRPr="00BB0699" w:rsidRDefault="00E66509" w:rsidP="00213223">
            <w:pPr>
              <w:pStyle w:val="CETBodytext"/>
              <w:ind w:right="-1"/>
              <w:jc w:val="center"/>
            </w:pPr>
            <w:r w:rsidRPr="00BB0699">
              <w:t>0.18 ± 0.03</w:t>
            </w:r>
            <w:r w:rsidRPr="00BB0699">
              <w:rPr>
                <w:vertAlign w:val="superscript"/>
              </w:rPr>
              <w:t>b,B</w:t>
            </w:r>
          </w:p>
        </w:tc>
        <w:tc>
          <w:tcPr>
            <w:tcW w:w="1450" w:type="dxa"/>
            <w:shd w:val="clear" w:color="auto" w:fill="FFFFFF"/>
          </w:tcPr>
          <w:p w14:paraId="09325277" w14:textId="77777777" w:rsidR="00E66509" w:rsidRPr="00BB0699" w:rsidRDefault="00E66509" w:rsidP="00213223">
            <w:pPr>
              <w:pStyle w:val="CETBodytext"/>
              <w:ind w:right="-1"/>
              <w:jc w:val="center"/>
            </w:pPr>
            <w:r w:rsidRPr="00BB0699">
              <w:t>0.996</w:t>
            </w:r>
          </w:p>
        </w:tc>
      </w:tr>
      <w:tr w:rsidR="00E66509" w:rsidRPr="00BB0699" w14:paraId="39BD4EDE" w14:textId="77777777" w:rsidTr="00213223">
        <w:trPr>
          <w:jc w:val="center"/>
        </w:trPr>
        <w:tc>
          <w:tcPr>
            <w:tcW w:w="950" w:type="dxa"/>
            <w:shd w:val="clear" w:color="auto" w:fill="FFFFFF"/>
          </w:tcPr>
          <w:p w14:paraId="0A423E04" w14:textId="77777777" w:rsidR="00E66509" w:rsidRPr="00BB0699" w:rsidRDefault="00E66509" w:rsidP="00213223">
            <w:pPr>
              <w:pStyle w:val="CETBodytext"/>
              <w:ind w:right="-1"/>
              <w:jc w:val="center"/>
            </w:pPr>
            <w:r w:rsidRPr="00BB0699">
              <w:t>3</w:t>
            </w:r>
          </w:p>
        </w:tc>
        <w:tc>
          <w:tcPr>
            <w:tcW w:w="1111" w:type="dxa"/>
            <w:shd w:val="clear" w:color="auto" w:fill="FFFFFF"/>
          </w:tcPr>
          <w:p w14:paraId="2A51D82D" w14:textId="77777777" w:rsidR="00E66509" w:rsidRPr="00BB0699" w:rsidRDefault="00E66509" w:rsidP="00213223">
            <w:pPr>
              <w:pStyle w:val="CETBodytext"/>
              <w:ind w:right="-1"/>
              <w:jc w:val="center"/>
            </w:pPr>
            <w:r w:rsidRPr="00BB0699">
              <w:t>9</w:t>
            </w:r>
          </w:p>
        </w:tc>
        <w:tc>
          <w:tcPr>
            <w:tcW w:w="1758" w:type="dxa"/>
            <w:shd w:val="clear" w:color="auto" w:fill="FFFFFF"/>
          </w:tcPr>
          <w:p w14:paraId="20DEFD15" w14:textId="77777777" w:rsidR="00E66509" w:rsidRPr="00BB0699" w:rsidRDefault="00E66509" w:rsidP="00213223">
            <w:pPr>
              <w:pStyle w:val="CETBodytext"/>
              <w:ind w:right="-1"/>
              <w:jc w:val="center"/>
            </w:pPr>
            <w:r w:rsidRPr="00BB0699">
              <w:t>0.24 ± 0.01</w:t>
            </w:r>
            <w:r w:rsidRPr="00BB0699">
              <w:rPr>
                <w:vertAlign w:val="superscript"/>
              </w:rPr>
              <w:t>b,A</w:t>
            </w:r>
          </w:p>
        </w:tc>
        <w:tc>
          <w:tcPr>
            <w:tcW w:w="1759" w:type="dxa"/>
            <w:shd w:val="clear" w:color="auto" w:fill="FFFFFF"/>
          </w:tcPr>
          <w:p w14:paraId="259FD417" w14:textId="77777777" w:rsidR="00E66509" w:rsidRPr="00BB0699" w:rsidRDefault="00E66509" w:rsidP="00213223">
            <w:pPr>
              <w:pStyle w:val="CETBodytext"/>
              <w:ind w:right="-1"/>
              <w:jc w:val="center"/>
            </w:pPr>
            <w:r w:rsidRPr="00BB0699">
              <w:t>0.77 ± 0.01</w:t>
            </w:r>
            <w:r w:rsidRPr="00BB0699">
              <w:rPr>
                <w:vertAlign w:val="superscript"/>
              </w:rPr>
              <w:t>a,A</w:t>
            </w:r>
          </w:p>
        </w:tc>
        <w:tc>
          <w:tcPr>
            <w:tcW w:w="1759" w:type="dxa"/>
            <w:shd w:val="clear" w:color="auto" w:fill="FFFFFF"/>
          </w:tcPr>
          <w:p w14:paraId="7F983870" w14:textId="77777777" w:rsidR="00E66509" w:rsidRPr="00BB0699" w:rsidRDefault="00E66509" w:rsidP="00213223">
            <w:pPr>
              <w:pStyle w:val="CETBodytext"/>
              <w:ind w:right="-1"/>
              <w:jc w:val="center"/>
            </w:pPr>
            <w:r w:rsidRPr="00BB0699">
              <w:t>0.15 ± 0.02</w:t>
            </w:r>
            <w:r w:rsidRPr="00BB0699">
              <w:rPr>
                <w:vertAlign w:val="superscript"/>
              </w:rPr>
              <w:t>b,B</w:t>
            </w:r>
          </w:p>
        </w:tc>
        <w:tc>
          <w:tcPr>
            <w:tcW w:w="1450" w:type="dxa"/>
            <w:shd w:val="clear" w:color="auto" w:fill="FFFFFF"/>
          </w:tcPr>
          <w:p w14:paraId="0DBA28D6" w14:textId="77777777" w:rsidR="00E66509" w:rsidRPr="00BB0699" w:rsidRDefault="00E66509" w:rsidP="00213223">
            <w:pPr>
              <w:pStyle w:val="CETBodytext"/>
              <w:ind w:right="-1"/>
              <w:jc w:val="center"/>
            </w:pPr>
            <w:r w:rsidRPr="00BB0699">
              <w:t>0.998</w:t>
            </w:r>
          </w:p>
        </w:tc>
      </w:tr>
      <w:tr w:rsidR="00E66509" w:rsidRPr="00BB0699" w14:paraId="08A4BE51" w14:textId="77777777" w:rsidTr="00213223">
        <w:trPr>
          <w:jc w:val="center"/>
        </w:trPr>
        <w:tc>
          <w:tcPr>
            <w:tcW w:w="950" w:type="dxa"/>
            <w:shd w:val="clear" w:color="auto" w:fill="FFFFFF"/>
          </w:tcPr>
          <w:p w14:paraId="2E876C2C" w14:textId="77777777" w:rsidR="00E66509" w:rsidRPr="00BB0699" w:rsidRDefault="00E66509" w:rsidP="00213223">
            <w:pPr>
              <w:pStyle w:val="CETBodytext"/>
              <w:ind w:right="-1"/>
              <w:jc w:val="center"/>
            </w:pPr>
            <w:r w:rsidRPr="00BB0699">
              <w:t>4</w:t>
            </w:r>
          </w:p>
        </w:tc>
        <w:tc>
          <w:tcPr>
            <w:tcW w:w="1111" w:type="dxa"/>
            <w:shd w:val="clear" w:color="auto" w:fill="FFFFFF"/>
          </w:tcPr>
          <w:p w14:paraId="1C4D9F71" w14:textId="77777777" w:rsidR="00E66509" w:rsidRPr="00BB0699" w:rsidRDefault="00E66509" w:rsidP="00213223">
            <w:pPr>
              <w:pStyle w:val="CETBodytext"/>
              <w:ind w:right="-1"/>
              <w:jc w:val="center"/>
            </w:pPr>
            <w:r w:rsidRPr="00BB0699">
              <w:t>3</w:t>
            </w:r>
          </w:p>
        </w:tc>
        <w:tc>
          <w:tcPr>
            <w:tcW w:w="1758" w:type="dxa"/>
            <w:shd w:val="clear" w:color="auto" w:fill="FFFFFF"/>
          </w:tcPr>
          <w:p w14:paraId="68EA6227" w14:textId="77777777" w:rsidR="00E66509" w:rsidRPr="00BB0699" w:rsidRDefault="00E66509" w:rsidP="00213223">
            <w:pPr>
              <w:pStyle w:val="CETBodytext"/>
              <w:ind w:right="-1"/>
              <w:jc w:val="center"/>
            </w:pPr>
            <w:r w:rsidRPr="00BB0699">
              <w:t>0.20 ± 0.02</w:t>
            </w:r>
            <w:r w:rsidRPr="00BB0699">
              <w:rPr>
                <w:vertAlign w:val="superscript"/>
              </w:rPr>
              <w:t>c,B</w:t>
            </w:r>
          </w:p>
        </w:tc>
        <w:tc>
          <w:tcPr>
            <w:tcW w:w="1759" w:type="dxa"/>
            <w:shd w:val="clear" w:color="auto" w:fill="FFFFFF"/>
          </w:tcPr>
          <w:p w14:paraId="02C4638A" w14:textId="77777777" w:rsidR="00E66509" w:rsidRPr="00BB0699" w:rsidRDefault="00E66509" w:rsidP="00213223">
            <w:pPr>
              <w:pStyle w:val="CETBodytext"/>
              <w:ind w:right="-1"/>
              <w:jc w:val="center"/>
            </w:pPr>
            <w:r w:rsidRPr="00BB0699">
              <w:t>0.75 ± 0.01</w:t>
            </w:r>
            <w:r w:rsidRPr="00BB0699">
              <w:rPr>
                <w:vertAlign w:val="superscript"/>
              </w:rPr>
              <w:t>a,A</w:t>
            </w:r>
          </w:p>
        </w:tc>
        <w:tc>
          <w:tcPr>
            <w:tcW w:w="1759" w:type="dxa"/>
            <w:shd w:val="clear" w:color="auto" w:fill="FFFFFF"/>
          </w:tcPr>
          <w:p w14:paraId="432B51CA" w14:textId="77777777" w:rsidR="00E66509" w:rsidRPr="00BB0699" w:rsidRDefault="00E66509" w:rsidP="00213223">
            <w:pPr>
              <w:pStyle w:val="CETBodytext"/>
              <w:ind w:right="-1"/>
              <w:jc w:val="center"/>
            </w:pPr>
            <w:r w:rsidRPr="00BB0699">
              <w:t>0.43 ± 0.02</w:t>
            </w:r>
            <w:r w:rsidRPr="00BB0699">
              <w:rPr>
                <w:vertAlign w:val="superscript"/>
              </w:rPr>
              <w:t>c,A</w:t>
            </w:r>
          </w:p>
        </w:tc>
        <w:tc>
          <w:tcPr>
            <w:tcW w:w="1450" w:type="dxa"/>
            <w:shd w:val="clear" w:color="auto" w:fill="FFFFFF"/>
          </w:tcPr>
          <w:p w14:paraId="6FED961D" w14:textId="77777777" w:rsidR="00E66509" w:rsidRPr="00BB0699" w:rsidRDefault="00E66509" w:rsidP="00213223">
            <w:pPr>
              <w:pStyle w:val="CETBodytext"/>
              <w:ind w:right="-1"/>
              <w:jc w:val="center"/>
            </w:pPr>
            <w:r w:rsidRPr="00BB0699">
              <w:t>0.999</w:t>
            </w:r>
          </w:p>
        </w:tc>
      </w:tr>
      <w:tr w:rsidR="00E66509" w:rsidRPr="00BB0699" w14:paraId="7658C022" w14:textId="77777777" w:rsidTr="00213223">
        <w:trPr>
          <w:jc w:val="center"/>
        </w:trPr>
        <w:tc>
          <w:tcPr>
            <w:tcW w:w="950" w:type="dxa"/>
            <w:shd w:val="clear" w:color="auto" w:fill="FFFFFF"/>
          </w:tcPr>
          <w:p w14:paraId="3325CC91" w14:textId="77777777" w:rsidR="00E66509" w:rsidRPr="00BB0699" w:rsidRDefault="00E66509" w:rsidP="00213223">
            <w:pPr>
              <w:pStyle w:val="CETBodytext"/>
              <w:ind w:right="-1"/>
              <w:jc w:val="center"/>
            </w:pPr>
            <w:r w:rsidRPr="00BB0699">
              <w:t>4</w:t>
            </w:r>
          </w:p>
        </w:tc>
        <w:tc>
          <w:tcPr>
            <w:tcW w:w="1111" w:type="dxa"/>
            <w:shd w:val="clear" w:color="auto" w:fill="FFFFFF"/>
          </w:tcPr>
          <w:p w14:paraId="4C25B7C8" w14:textId="77777777" w:rsidR="00E66509" w:rsidRPr="00BB0699" w:rsidRDefault="00E66509" w:rsidP="00213223">
            <w:pPr>
              <w:pStyle w:val="CETBodytext"/>
              <w:ind w:right="-1"/>
              <w:jc w:val="center"/>
            </w:pPr>
            <w:r w:rsidRPr="00BB0699">
              <w:t>6</w:t>
            </w:r>
          </w:p>
        </w:tc>
        <w:tc>
          <w:tcPr>
            <w:tcW w:w="1758" w:type="dxa"/>
            <w:shd w:val="clear" w:color="auto" w:fill="FFFFFF"/>
          </w:tcPr>
          <w:p w14:paraId="5E085D14" w14:textId="77777777" w:rsidR="00E66509" w:rsidRPr="00BB0699" w:rsidRDefault="00E66509" w:rsidP="00213223">
            <w:pPr>
              <w:pStyle w:val="CETBodytext"/>
              <w:ind w:right="-1"/>
              <w:jc w:val="center"/>
            </w:pPr>
            <w:r w:rsidRPr="00BB0699">
              <w:t>0.13 ± 0.01</w:t>
            </w:r>
            <w:r w:rsidRPr="00BB0699">
              <w:rPr>
                <w:vertAlign w:val="superscript"/>
              </w:rPr>
              <w:t>d,B</w:t>
            </w:r>
          </w:p>
        </w:tc>
        <w:tc>
          <w:tcPr>
            <w:tcW w:w="1759" w:type="dxa"/>
            <w:shd w:val="clear" w:color="auto" w:fill="FFFFFF"/>
          </w:tcPr>
          <w:p w14:paraId="01E7B7EA" w14:textId="77777777" w:rsidR="00E66509" w:rsidRPr="00BB0699" w:rsidRDefault="00E66509" w:rsidP="00213223">
            <w:pPr>
              <w:pStyle w:val="CETBodytext"/>
              <w:ind w:right="-1"/>
              <w:jc w:val="center"/>
            </w:pPr>
            <w:r w:rsidRPr="00BB0699">
              <w:t>0.75 ± 0.00</w:t>
            </w:r>
            <w:r w:rsidRPr="00BB0699">
              <w:rPr>
                <w:vertAlign w:val="superscript"/>
              </w:rPr>
              <w:t>a,A</w:t>
            </w:r>
          </w:p>
        </w:tc>
        <w:tc>
          <w:tcPr>
            <w:tcW w:w="1759" w:type="dxa"/>
            <w:shd w:val="clear" w:color="auto" w:fill="FFFFFF"/>
          </w:tcPr>
          <w:p w14:paraId="318731D9" w14:textId="77777777" w:rsidR="00E66509" w:rsidRPr="00BB0699" w:rsidRDefault="00E66509" w:rsidP="00E017D3">
            <w:pPr>
              <w:pStyle w:val="CETBodytext"/>
              <w:ind w:right="-1"/>
              <w:jc w:val="center"/>
            </w:pPr>
            <w:r w:rsidRPr="00BB0699">
              <w:t>0.37 ± 0.04</w:t>
            </w:r>
            <w:r w:rsidR="00E017D3" w:rsidRPr="00BB0699">
              <w:rPr>
                <w:vertAlign w:val="superscript"/>
              </w:rPr>
              <w:t>c</w:t>
            </w:r>
            <w:r w:rsidRPr="00BB0699">
              <w:rPr>
                <w:vertAlign w:val="superscript"/>
              </w:rPr>
              <w:t>,A</w:t>
            </w:r>
          </w:p>
        </w:tc>
        <w:tc>
          <w:tcPr>
            <w:tcW w:w="1450" w:type="dxa"/>
            <w:shd w:val="clear" w:color="auto" w:fill="FFFFFF"/>
          </w:tcPr>
          <w:p w14:paraId="2A902143" w14:textId="77777777" w:rsidR="00E66509" w:rsidRPr="00BB0699" w:rsidRDefault="00E66509" w:rsidP="00213223">
            <w:pPr>
              <w:pStyle w:val="CETBodytext"/>
              <w:ind w:right="-1"/>
              <w:jc w:val="center"/>
            </w:pPr>
            <w:r w:rsidRPr="00BB0699">
              <w:t>0.998</w:t>
            </w:r>
          </w:p>
        </w:tc>
      </w:tr>
      <w:tr w:rsidR="00E66509" w:rsidRPr="00BB0699" w14:paraId="6C1D37FF" w14:textId="77777777" w:rsidTr="00213223">
        <w:trPr>
          <w:jc w:val="center"/>
        </w:trPr>
        <w:tc>
          <w:tcPr>
            <w:tcW w:w="950" w:type="dxa"/>
            <w:tcBorders>
              <w:bottom w:val="single" w:sz="12" w:space="0" w:color="008000"/>
            </w:tcBorders>
            <w:shd w:val="clear" w:color="auto" w:fill="FFFFFF"/>
          </w:tcPr>
          <w:p w14:paraId="45CFCC6A" w14:textId="77777777" w:rsidR="00E66509" w:rsidRPr="00BB0699" w:rsidRDefault="00E66509" w:rsidP="00213223">
            <w:pPr>
              <w:pStyle w:val="CETBodytext"/>
              <w:ind w:right="-1"/>
              <w:jc w:val="center"/>
            </w:pPr>
            <w:r w:rsidRPr="00BB0699">
              <w:t>4</w:t>
            </w:r>
          </w:p>
        </w:tc>
        <w:tc>
          <w:tcPr>
            <w:tcW w:w="1111" w:type="dxa"/>
            <w:tcBorders>
              <w:bottom w:val="single" w:sz="12" w:space="0" w:color="008000"/>
            </w:tcBorders>
            <w:shd w:val="clear" w:color="auto" w:fill="FFFFFF"/>
          </w:tcPr>
          <w:p w14:paraId="4FE1E648" w14:textId="77777777" w:rsidR="00E66509" w:rsidRPr="00BB0699" w:rsidRDefault="00E66509" w:rsidP="00213223">
            <w:pPr>
              <w:pStyle w:val="CETBodytext"/>
              <w:ind w:right="-1"/>
              <w:jc w:val="center"/>
            </w:pPr>
            <w:r w:rsidRPr="00BB0699">
              <w:t>9</w:t>
            </w:r>
          </w:p>
        </w:tc>
        <w:tc>
          <w:tcPr>
            <w:tcW w:w="1758" w:type="dxa"/>
            <w:tcBorders>
              <w:bottom w:val="single" w:sz="12" w:space="0" w:color="008000"/>
            </w:tcBorders>
            <w:shd w:val="clear" w:color="auto" w:fill="FFFFFF"/>
          </w:tcPr>
          <w:p w14:paraId="284C47F3" w14:textId="77777777" w:rsidR="00E66509" w:rsidRPr="00BB0699" w:rsidRDefault="00E66509" w:rsidP="00213223">
            <w:pPr>
              <w:pStyle w:val="CETBodytext"/>
              <w:ind w:right="-1"/>
              <w:jc w:val="center"/>
            </w:pPr>
            <w:r w:rsidRPr="00BB0699">
              <w:t>0.10 ± 0.01</w:t>
            </w:r>
            <w:r w:rsidRPr="00BB0699">
              <w:rPr>
                <w:vertAlign w:val="superscript"/>
              </w:rPr>
              <w:t>d,B</w:t>
            </w:r>
          </w:p>
        </w:tc>
        <w:tc>
          <w:tcPr>
            <w:tcW w:w="1759" w:type="dxa"/>
            <w:tcBorders>
              <w:bottom w:val="single" w:sz="12" w:space="0" w:color="008000"/>
            </w:tcBorders>
            <w:shd w:val="clear" w:color="auto" w:fill="FFFFFF"/>
          </w:tcPr>
          <w:p w14:paraId="11710F6B" w14:textId="77777777" w:rsidR="00E66509" w:rsidRPr="00BB0699" w:rsidRDefault="00E66509" w:rsidP="00213223">
            <w:pPr>
              <w:pStyle w:val="CETBodytext"/>
              <w:ind w:right="-1"/>
              <w:jc w:val="center"/>
            </w:pPr>
            <w:r w:rsidRPr="00BB0699">
              <w:t>0.75 ± 0.00</w:t>
            </w:r>
            <w:r w:rsidRPr="00BB0699">
              <w:rPr>
                <w:vertAlign w:val="superscript"/>
              </w:rPr>
              <w:t>a,A</w:t>
            </w:r>
          </w:p>
        </w:tc>
        <w:tc>
          <w:tcPr>
            <w:tcW w:w="1759" w:type="dxa"/>
            <w:tcBorders>
              <w:bottom w:val="single" w:sz="12" w:space="0" w:color="008000"/>
            </w:tcBorders>
            <w:shd w:val="clear" w:color="auto" w:fill="FFFFFF"/>
          </w:tcPr>
          <w:p w14:paraId="3969430E" w14:textId="77777777" w:rsidR="00E66509" w:rsidRPr="00BB0699" w:rsidRDefault="00E66509" w:rsidP="00213223">
            <w:pPr>
              <w:pStyle w:val="CETBodytext"/>
              <w:ind w:right="-1"/>
              <w:jc w:val="center"/>
            </w:pPr>
            <w:r w:rsidRPr="00BB0699">
              <w:t>0.33 ± 0.02</w:t>
            </w:r>
            <w:r w:rsidRPr="00BB0699">
              <w:rPr>
                <w:vertAlign w:val="superscript"/>
              </w:rPr>
              <w:t>c,A</w:t>
            </w:r>
          </w:p>
        </w:tc>
        <w:tc>
          <w:tcPr>
            <w:tcW w:w="1450" w:type="dxa"/>
            <w:tcBorders>
              <w:bottom w:val="single" w:sz="12" w:space="0" w:color="008000"/>
            </w:tcBorders>
            <w:shd w:val="clear" w:color="auto" w:fill="FFFFFF"/>
          </w:tcPr>
          <w:p w14:paraId="163E38FE" w14:textId="77777777" w:rsidR="00E66509" w:rsidRPr="00BB0699" w:rsidRDefault="00E66509" w:rsidP="00213223">
            <w:pPr>
              <w:pStyle w:val="CETBodytext"/>
              <w:ind w:right="-1"/>
              <w:jc w:val="center"/>
            </w:pPr>
            <w:r w:rsidRPr="00BB0699">
              <w:t>0.998</w:t>
            </w:r>
          </w:p>
        </w:tc>
      </w:tr>
    </w:tbl>
    <w:p w14:paraId="37FA15AB" w14:textId="77777777" w:rsidR="00E66509" w:rsidRPr="00BB0699" w:rsidRDefault="00E66509" w:rsidP="00E66509">
      <w:pPr>
        <w:spacing w:line="240" w:lineRule="auto"/>
      </w:pPr>
      <w:r w:rsidRPr="00BB0699">
        <w:rPr>
          <w:i/>
        </w:rPr>
        <w:t xml:space="preserve">Mean ± standard deviation (n = 3). Values followed by the same lowercase and uppercase letters in the same column do not differ significantly </w:t>
      </w:r>
      <w:r w:rsidR="00E017D3" w:rsidRPr="00BB0699">
        <w:rPr>
          <w:i/>
        </w:rPr>
        <w:t>with the</w:t>
      </w:r>
      <w:r w:rsidRPr="00BB0699">
        <w:rPr>
          <w:i/>
        </w:rPr>
        <w:t xml:space="preserve"> </w:t>
      </w:r>
      <w:r w:rsidR="00E017D3" w:rsidRPr="00BB0699">
        <w:rPr>
          <w:i/>
        </w:rPr>
        <w:t xml:space="preserve">emulsification </w:t>
      </w:r>
      <w:r w:rsidRPr="00BB0699">
        <w:rPr>
          <w:i/>
        </w:rPr>
        <w:t xml:space="preserve">time and </w:t>
      </w:r>
      <w:r w:rsidR="00E017D3" w:rsidRPr="00BB0699">
        <w:rPr>
          <w:i/>
        </w:rPr>
        <w:t xml:space="preserve">the HSPN </w:t>
      </w:r>
      <w:r w:rsidRPr="00BB0699">
        <w:rPr>
          <w:i/>
        </w:rPr>
        <w:t>concentration, respectively (p&lt;0.05).</w:t>
      </w:r>
    </w:p>
    <w:p w14:paraId="101E077B" w14:textId="77777777" w:rsidR="00E66509" w:rsidRPr="00BB0699" w:rsidRDefault="00E66509" w:rsidP="00E66509">
      <w:pPr>
        <w:spacing w:line="240" w:lineRule="auto"/>
        <w:rPr>
          <w:i/>
        </w:rPr>
      </w:pPr>
    </w:p>
    <w:p w14:paraId="6B11C2A9" w14:textId="77777777" w:rsidR="005E315C" w:rsidRPr="00BB0699" w:rsidRDefault="00E66509" w:rsidP="00E66509">
      <w:pPr>
        <w:pStyle w:val="CETBodytext"/>
      </w:pPr>
      <w:r w:rsidRPr="00BB0699">
        <w:t>As summarized in Table 1, the Power-Law (R</w:t>
      </w:r>
      <w:r w:rsidRPr="00BB0699">
        <w:rPr>
          <w:vertAlign w:val="superscript"/>
        </w:rPr>
        <w:t>2</w:t>
      </w:r>
      <w:r w:rsidRPr="00BB0699">
        <w:t xml:space="preserve">&gt;0.99) fits well with the flow curves data in this study. All evaluated emulsions (Table 1) showed pseudoplastic behavior (n &lt; 1), with no difference in pseudoplasticity (n values) with 3 or 4% of HSNP or emulsification times. The consistency index (k) increased with increasing concentration of HSNP and decreased with increasing emulsification time. According to Table 1, the increase of emulsification time improved the liquidity of the dispersed system. There was a reduction in shear stress and apparent viscosity with increasing emulsification time, which can be explained by the production of droplets with smaller sizes in these times (Albert et al., 2019). </w:t>
      </w:r>
    </w:p>
    <w:p w14:paraId="7701B02F" w14:textId="77777777" w:rsidR="009F4C22" w:rsidRDefault="009F4C22" w:rsidP="005E315C">
      <w:pPr>
        <w:pStyle w:val="CETBodytext"/>
      </w:pPr>
    </w:p>
    <w:p w14:paraId="2365CA74" w14:textId="18D04AEA" w:rsidR="00E66509" w:rsidRPr="0086743A" w:rsidRDefault="005E315C" w:rsidP="005E315C">
      <w:pPr>
        <w:pStyle w:val="CETBodytext"/>
        <w:rPr>
          <w:i/>
          <w:iCs/>
        </w:rPr>
      </w:pPr>
      <w:r w:rsidRPr="0086743A">
        <w:rPr>
          <w:i/>
          <w:iCs/>
          <w:noProof/>
          <w:lang w:val="pt-BR" w:eastAsia="pt-BR"/>
        </w:rPr>
        <w:lastRenderedPageBreak/>
        <w:drawing>
          <wp:anchor distT="0" distB="0" distL="114300" distR="114300" simplePos="0" relativeHeight="251657216" behindDoc="0" locked="0" layoutInCell="1" allowOverlap="1" wp14:anchorId="54525746" wp14:editId="48469943">
            <wp:simplePos x="0" y="0"/>
            <wp:positionH relativeFrom="column">
              <wp:posOffset>551815</wp:posOffset>
            </wp:positionH>
            <wp:positionV relativeFrom="paragraph">
              <wp:posOffset>91440</wp:posOffset>
            </wp:positionV>
            <wp:extent cx="4620260" cy="1581150"/>
            <wp:effectExtent l="0" t="0" r="889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260" cy="1581150"/>
                    </a:xfrm>
                    <a:prstGeom prst="rect">
                      <a:avLst/>
                    </a:prstGeom>
                    <a:noFill/>
                  </pic:spPr>
                </pic:pic>
              </a:graphicData>
            </a:graphic>
            <wp14:sizeRelH relativeFrom="margin">
              <wp14:pctWidth>0</wp14:pctWidth>
            </wp14:sizeRelH>
            <wp14:sizeRelV relativeFrom="margin">
              <wp14:pctHeight>0</wp14:pctHeight>
            </wp14:sizeRelV>
          </wp:anchor>
        </w:drawing>
      </w:r>
      <w:r w:rsidR="00E66509" w:rsidRPr="0086743A">
        <w:rPr>
          <w:i/>
          <w:iCs/>
        </w:rPr>
        <w:t xml:space="preserve">Figure 3. (a) Descending flow curves and (b) Apparent viscosity versus shear rate of Pickering emulsions with different concentrations of HSNPs (3 and 4% m/m) and emulsification times 3, 6 and 9 min. The dots represent the experimental data and the solid lines, the Power Law (LP) model. </w:t>
      </w:r>
    </w:p>
    <w:p w14:paraId="13147DC3" w14:textId="77777777" w:rsidR="00E66509" w:rsidRPr="00BB0699" w:rsidRDefault="00E66509" w:rsidP="00E66509">
      <w:pPr>
        <w:pStyle w:val="CETheadingx"/>
        <w:numPr>
          <w:ilvl w:val="2"/>
          <w:numId w:val="1"/>
        </w:numPr>
      </w:pPr>
      <w:r w:rsidRPr="00BB0699">
        <w:t>Morphology of emulsions</w:t>
      </w:r>
    </w:p>
    <w:p w14:paraId="14296F78" w14:textId="222198C1" w:rsidR="00E66509" w:rsidRPr="00BB0699" w:rsidRDefault="005746A0" w:rsidP="005746A0">
      <w:pPr>
        <w:pStyle w:val="CETBodytext"/>
      </w:pPr>
      <w:r w:rsidRPr="00BB0699">
        <w:rPr>
          <w:noProof/>
          <w:lang w:val="pt-BR" w:eastAsia="pt-BR"/>
        </w:rPr>
        <w:drawing>
          <wp:anchor distT="0" distB="0" distL="114300" distR="114300" simplePos="0" relativeHeight="251661312" behindDoc="0" locked="0" layoutInCell="1" allowOverlap="1" wp14:anchorId="5096BBA9" wp14:editId="70454416">
            <wp:simplePos x="0" y="0"/>
            <wp:positionH relativeFrom="column">
              <wp:posOffset>148590</wp:posOffset>
            </wp:positionH>
            <wp:positionV relativeFrom="paragraph">
              <wp:posOffset>1012190</wp:posOffset>
            </wp:positionV>
            <wp:extent cx="5362575" cy="1024255"/>
            <wp:effectExtent l="0" t="0" r="9525" b="44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3" t="-21" r="-3" b="-21"/>
                    <a:stretch>
                      <a:fillRect/>
                    </a:stretch>
                  </pic:blipFill>
                  <pic:spPr bwMode="auto">
                    <a:xfrm>
                      <a:off x="0" y="0"/>
                      <a:ext cx="5362575" cy="102425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00E66509" w:rsidRPr="00BB0699">
        <w:t>Fluorescence</w:t>
      </w:r>
      <w:r w:rsidR="00E017D3" w:rsidRPr="00BB0699">
        <w:t xml:space="preserve"> microscopy was performed on</w:t>
      </w:r>
      <w:r w:rsidR="00E66509" w:rsidRPr="00BB0699">
        <w:t xml:space="preserve"> emulsion</w:t>
      </w:r>
      <w:r w:rsidR="00E017D3" w:rsidRPr="00BB0699">
        <w:t xml:space="preserve"> </w:t>
      </w:r>
      <w:r w:rsidR="00007265" w:rsidRPr="007C7234">
        <w:rPr>
          <w:color w:val="4472C4" w:themeColor="accent1"/>
        </w:rPr>
        <w:t xml:space="preserve">the </w:t>
      </w:r>
      <w:r w:rsidR="00E017D3" w:rsidRPr="007C7234">
        <w:rPr>
          <w:color w:val="4472C4" w:themeColor="accent1"/>
        </w:rPr>
        <w:t>1</w:t>
      </w:r>
      <w:r w:rsidR="00DE161E" w:rsidRPr="007C7234">
        <w:rPr>
          <w:color w:val="4472C4" w:themeColor="accent1"/>
          <w:vertAlign w:val="superscript"/>
        </w:rPr>
        <w:t>st</w:t>
      </w:r>
      <w:r w:rsidR="00DE161E" w:rsidRPr="007C7234">
        <w:rPr>
          <w:color w:val="4472C4" w:themeColor="accent1"/>
        </w:rPr>
        <w:t xml:space="preserve"> </w:t>
      </w:r>
      <w:r w:rsidR="00007265" w:rsidRPr="007C7234">
        <w:rPr>
          <w:color w:val="4472C4" w:themeColor="accent1"/>
        </w:rPr>
        <w:t xml:space="preserve">day </w:t>
      </w:r>
      <w:r w:rsidR="00DE161E" w:rsidRPr="00BB0699">
        <w:t>with</w:t>
      </w:r>
      <w:r w:rsidR="00E66509" w:rsidRPr="00BB0699">
        <w:t xml:space="preserve"> 4% HSNP and 3 min (</w:t>
      </w:r>
      <w:r w:rsidR="00E66509" w:rsidRPr="00BB0699">
        <w:rPr>
          <w:color w:val="4472C4" w:themeColor="accent1"/>
        </w:rPr>
        <w:t>Figure 4 a</w:t>
      </w:r>
      <w:r w:rsidR="00E66509" w:rsidRPr="00BB0699">
        <w:t>)</w:t>
      </w:r>
      <w:r w:rsidR="00007265">
        <w:rPr>
          <w:color w:val="FF0000"/>
        </w:rPr>
        <w:t>,</w:t>
      </w:r>
      <w:r w:rsidR="00E66509" w:rsidRPr="00BB0699">
        <w:t xml:space="preserve"> and </w:t>
      </w:r>
      <w:r w:rsidR="00E66509" w:rsidRPr="009F4C22">
        <w:t>the</w:t>
      </w:r>
      <w:r w:rsidR="00E66509" w:rsidRPr="00BB0699">
        <w:t xml:space="preserve"> oil droplets were observed.</w:t>
      </w:r>
      <w:r w:rsidR="00E66509" w:rsidRPr="00BB0699">
        <w:rPr>
          <w:color w:val="4472C4" w:themeColor="accent1"/>
        </w:rPr>
        <w:t xml:space="preserve"> Furthermore</w:t>
      </w:r>
      <w:r w:rsidR="00E66509" w:rsidRPr="00BB0699">
        <w:t xml:space="preserve">, the microstructure </w:t>
      </w:r>
      <w:r w:rsidR="00E017D3" w:rsidRPr="00BB0699">
        <w:t xml:space="preserve">of the </w:t>
      </w:r>
      <w:r w:rsidR="00E66509" w:rsidRPr="00BB0699">
        <w:t>emulsions prepared with 4% HSNP for three emulsification times (</w:t>
      </w:r>
      <w:r w:rsidR="00E66509" w:rsidRPr="00BB0699">
        <w:rPr>
          <w:color w:val="4472C4" w:themeColor="accent1"/>
        </w:rPr>
        <w:t xml:space="preserve">Figure 4 </w:t>
      </w:r>
      <w:proofErr w:type="spellStart"/>
      <w:proofErr w:type="gramStart"/>
      <w:r w:rsidR="00E66509" w:rsidRPr="00BB0699">
        <w:rPr>
          <w:color w:val="4472C4" w:themeColor="accent1"/>
        </w:rPr>
        <w:t>b,c</w:t>
      </w:r>
      <w:proofErr w:type="gramEnd"/>
      <w:r w:rsidR="00E66509" w:rsidRPr="00BB0699">
        <w:rPr>
          <w:color w:val="4472C4" w:themeColor="accent1"/>
        </w:rPr>
        <w:t>,d</w:t>
      </w:r>
      <w:proofErr w:type="spellEnd"/>
      <w:r w:rsidR="00E66509" w:rsidRPr="00BB0699">
        <w:rPr>
          <w:color w:val="4472C4" w:themeColor="accent1"/>
        </w:rPr>
        <w:t>)</w:t>
      </w:r>
      <w:r w:rsidR="00E017D3" w:rsidRPr="00BB0699">
        <w:rPr>
          <w:color w:val="4472C4" w:themeColor="accent1"/>
        </w:rPr>
        <w:t xml:space="preserve"> </w:t>
      </w:r>
      <w:r w:rsidR="00E66509" w:rsidRPr="00BB0699">
        <w:t xml:space="preserve">indicated </w:t>
      </w:r>
      <w:r w:rsidR="00E66509" w:rsidRPr="007C7234">
        <w:t xml:space="preserve">that </w:t>
      </w:r>
      <w:r w:rsidR="00007265" w:rsidRPr="007C7234">
        <w:t xml:space="preserve">the </w:t>
      </w:r>
      <w:r w:rsidR="00E66509" w:rsidRPr="007C7234">
        <w:t xml:space="preserve">droplets were spherical and </w:t>
      </w:r>
      <w:r w:rsidR="009F4C22" w:rsidRPr="007C7234">
        <w:t xml:space="preserve">had </w:t>
      </w:r>
      <w:r w:rsidR="00E66509" w:rsidRPr="007C7234">
        <w:t xml:space="preserve">homogeneous </w:t>
      </w:r>
      <w:r w:rsidR="00E66509" w:rsidRPr="00BB0699">
        <w:t xml:space="preserve">size distribution. The </w:t>
      </w:r>
      <w:r w:rsidR="00E66509" w:rsidRPr="007C7234">
        <w:t>droplet size</w:t>
      </w:r>
      <w:r w:rsidR="009F4C22" w:rsidRPr="007C7234">
        <w:t>s</w:t>
      </w:r>
      <w:r w:rsidR="00E66509" w:rsidRPr="007C7234">
        <w:t xml:space="preserve"> decreased </w:t>
      </w:r>
      <w:r w:rsidR="00E66509" w:rsidRPr="00BB0699">
        <w:t>with increasing emulsification time</w:t>
      </w:r>
      <w:r w:rsidR="00007265">
        <w:rPr>
          <w:color w:val="FF0000"/>
        </w:rPr>
        <w:t xml:space="preserve">, </w:t>
      </w:r>
      <w:r w:rsidR="00E66509" w:rsidRPr="00BB0699">
        <w:t xml:space="preserve">and the longer the shear time, the higher the breaking of the oil droplets. Souza et al. (2021) reported similar results for Pickering </w:t>
      </w:r>
      <w:r w:rsidR="00266CEE" w:rsidRPr="00BB0699">
        <w:t xml:space="preserve">O/W </w:t>
      </w:r>
      <w:r w:rsidR="00E66509" w:rsidRPr="00BB0699">
        <w:t>emulsions</w:t>
      </w:r>
      <w:r w:rsidR="00266CEE" w:rsidRPr="00BB0699">
        <w:t xml:space="preserve"> (20:80 </w:t>
      </w:r>
      <w:proofErr w:type="spellStart"/>
      <w:proofErr w:type="gramStart"/>
      <w:r w:rsidR="00266CEE" w:rsidRPr="00BB0699">
        <w:t>oil:water</w:t>
      </w:r>
      <w:proofErr w:type="spellEnd"/>
      <w:proofErr w:type="gramEnd"/>
      <w:r w:rsidR="00266CEE" w:rsidRPr="00BB0699">
        <w:t>)</w:t>
      </w:r>
      <w:r w:rsidR="00E66509" w:rsidRPr="00BB0699">
        <w:t xml:space="preserve"> stabilized with cellulose nanofiber</w:t>
      </w:r>
      <w:r w:rsidR="00266CEE" w:rsidRPr="00BB0699">
        <w:t xml:space="preserve"> (1wt%)</w:t>
      </w:r>
      <w:r w:rsidR="00E66509" w:rsidRPr="00BB0699">
        <w:t>, where the longer emulsification time (7 min) produced emulsions with smaller droplets</w:t>
      </w:r>
      <w:r w:rsidR="00266CEE" w:rsidRPr="00BB0699">
        <w:t>.</w:t>
      </w:r>
    </w:p>
    <w:p w14:paraId="14A608F7" w14:textId="77777777" w:rsidR="00E66509" w:rsidRPr="00BB0699" w:rsidRDefault="00E66509" w:rsidP="005746A0">
      <w:pPr>
        <w:pStyle w:val="CETBodytext"/>
      </w:pPr>
      <w:r w:rsidRPr="00BB0699">
        <w:rPr>
          <w:rStyle w:val="CETCaptionCarattere"/>
          <w:rFonts w:eastAsia="SimSun"/>
        </w:rPr>
        <w:t>Figure 4: Fluorescence (a) and light microscopies (</w:t>
      </w:r>
      <w:proofErr w:type="spellStart"/>
      <w:proofErr w:type="gramStart"/>
      <w:r w:rsidRPr="00BB0699">
        <w:rPr>
          <w:rStyle w:val="CETCaptionCarattere"/>
          <w:rFonts w:eastAsia="SimSun"/>
        </w:rPr>
        <w:t>b,c</w:t>
      </w:r>
      <w:proofErr w:type="gramEnd"/>
      <w:r w:rsidRPr="00BB0699">
        <w:rPr>
          <w:rStyle w:val="CETCaptionCarattere"/>
          <w:rFonts w:eastAsia="SimSun"/>
        </w:rPr>
        <w:t>,d</w:t>
      </w:r>
      <w:proofErr w:type="spellEnd"/>
      <w:r w:rsidRPr="00BB0699">
        <w:rPr>
          <w:rStyle w:val="CETCaptionCarattere"/>
          <w:rFonts w:eastAsia="SimSun"/>
        </w:rPr>
        <w:t>) of emulsions with 4</w:t>
      </w:r>
      <w:r w:rsidR="00266CEE" w:rsidRPr="00BB0699">
        <w:rPr>
          <w:rStyle w:val="CETCaptionCarattere"/>
          <w:rFonts w:eastAsia="SimSun"/>
        </w:rPr>
        <w:t>wt</w:t>
      </w:r>
      <w:r w:rsidRPr="00BB0699">
        <w:rPr>
          <w:rStyle w:val="CETCaptionCarattere"/>
          <w:rFonts w:eastAsia="SimSun"/>
        </w:rPr>
        <w:t>% HSNP at 3 (</w:t>
      </w:r>
      <w:proofErr w:type="spellStart"/>
      <w:r w:rsidRPr="00BB0699">
        <w:rPr>
          <w:rStyle w:val="CETCaptionCarattere"/>
          <w:rFonts w:eastAsia="SimSun"/>
        </w:rPr>
        <w:t>a,b</w:t>
      </w:r>
      <w:proofErr w:type="spellEnd"/>
      <w:r w:rsidRPr="00BB0699">
        <w:rPr>
          <w:rStyle w:val="CETCaptionCarattere"/>
          <w:rFonts w:eastAsia="SimSun"/>
        </w:rPr>
        <w:t xml:space="preserve">), 6 (c) and 9 (d) min of emulsification time. The oil was </w:t>
      </w:r>
      <w:proofErr w:type="spellStart"/>
      <w:r w:rsidRPr="00BB0699">
        <w:rPr>
          <w:rStyle w:val="CETCaptionCarattere"/>
          <w:rFonts w:eastAsia="SimSun"/>
        </w:rPr>
        <w:t>colored</w:t>
      </w:r>
      <w:proofErr w:type="spellEnd"/>
      <w:r w:rsidRPr="00BB0699">
        <w:rPr>
          <w:rStyle w:val="CETCaptionCarattere"/>
          <w:rFonts w:eastAsia="SimSun"/>
        </w:rPr>
        <w:t xml:space="preserve"> with Nile Red. Scale bar 20 µm.</w:t>
      </w:r>
    </w:p>
    <w:p w14:paraId="40B2B250" w14:textId="77777777" w:rsidR="00E66509" w:rsidRPr="00BB0699" w:rsidRDefault="00E66509" w:rsidP="00E66509">
      <w:pPr>
        <w:pStyle w:val="CETHeading1"/>
        <w:numPr>
          <w:ilvl w:val="1"/>
          <w:numId w:val="1"/>
        </w:numPr>
        <w:tabs>
          <w:tab w:val="left" w:pos="360"/>
        </w:tabs>
      </w:pPr>
      <w:r w:rsidRPr="00BB0699">
        <w:rPr>
          <w:lang w:val="en-GB"/>
        </w:rPr>
        <w:t>Conclusions</w:t>
      </w:r>
    </w:p>
    <w:p w14:paraId="226F84F3" w14:textId="59BAD8B3" w:rsidR="00E66509" w:rsidRPr="00BB0699" w:rsidRDefault="00E66509" w:rsidP="00E66509">
      <w:pPr>
        <w:pStyle w:val="CETBodytext"/>
        <w:rPr>
          <w:color w:val="4472C4"/>
        </w:rPr>
      </w:pPr>
      <w:r w:rsidRPr="00BB0699">
        <w:rPr>
          <w:color w:val="4472C4"/>
        </w:rPr>
        <w:t xml:space="preserve">It has been </w:t>
      </w:r>
      <w:r w:rsidRPr="007C7234">
        <w:rPr>
          <w:color w:val="4472C4" w:themeColor="accent1"/>
        </w:rPr>
        <w:t xml:space="preserve">proven that starch nanoparticles formed from physically modified starch can be used as a stabilizer in Pickering O/W emulsions. The physical stability of these emulsions can be controlled by the HSPN concentration, </w:t>
      </w:r>
      <w:r w:rsidR="00007265" w:rsidRPr="007C7234">
        <w:rPr>
          <w:color w:val="4472C4" w:themeColor="accent1"/>
        </w:rPr>
        <w:t xml:space="preserve">where </w:t>
      </w:r>
      <w:r w:rsidRPr="007C7234">
        <w:rPr>
          <w:color w:val="4472C4" w:themeColor="accent1"/>
        </w:rPr>
        <w:t xml:space="preserve">higher concentrations (3 and 4 </w:t>
      </w:r>
      <w:proofErr w:type="spellStart"/>
      <w:r w:rsidRPr="007C7234">
        <w:rPr>
          <w:color w:val="4472C4" w:themeColor="accent1"/>
        </w:rPr>
        <w:t>wt</w:t>
      </w:r>
      <w:proofErr w:type="spellEnd"/>
      <w:r w:rsidRPr="007C7234">
        <w:rPr>
          <w:color w:val="4472C4" w:themeColor="accent1"/>
        </w:rPr>
        <w:t xml:space="preserve">%) show greater stability. For stable emulsions, an increase in emulsification time (6 and 9 min) resulted in an increase in </w:t>
      </w:r>
      <w:r w:rsidR="00007265" w:rsidRPr="007C7234">
        <w:rPr>
          <w:color w:val="4472C4" w:themeColor="accent1"/>
        </w:rPr>
        <w:t xml:space="preserve">the </w:t>
      </w:r>
      <w:r w:rsidRPr="007C7234">
        <w:rPr>
          <w:color w:val="4472C4" w:themeColor="accent1"/>
        </w:rPr>
        <w:t xml:space="preserve">interfacial area. These results are useful in formulating emulsions with predictable stability. In conclusion, the physical stability and rheological properties of Pickering emulsions </w:t>
      </w:r>
      <w:r w:rsidR="009F4C22" w:rsidRPr="007C7234">
        <w:rPr>
          <w:color w:val="4472C4" w:themeColor="accent1"/>
        </w:rPr>
        <w:t xml:space="preserve">were </w:t>
      </w:r>
      <w:r w:rsidRPr="007C7234">
        <w:rPr>
          <w:color w:val="4472C4" w:themeColor="accent1"/>
        </w:rPr>
        <w:t>affected by</w:t>
      </w:r>
      <w:r w:rsidR="009F4C22" w:rsidRPr="007C7234">
        <w:rPr>
          <w:color w:val="4472C4" w:themeColor="accent1"/>
        </w:rPr>
        <w:t xml:space="preserve"> the </w:t>
      </w:r>
      <w:r w:rsidRPr="007C7234">
        <w:rPr>
          <w:color w:val="4472C4" w:themeColor="accent1"/>
        </w:rPr>
        <w:t xml:space="preserve">particle concentration </w:t>
      </w:r>
      <w:r w:rsidRPr="00BB0699">
        <w:rPr>
          <w:color w:val="4472C4"/>
        </w:rPr>
        <w:t>and emulsification time.</w:t>
      </w:r>
    </w:p>
    <w:p w14:paraId="2B4C289C" w14:textId="77777777" w:rsidR="00E66509" w:rsidRPr="00BB0699" w:rsidRDefault="00E66509" w:rsidP="00E66509">
      <w:pPr>
        <w:pStyle w:val="CETAcknowledgementstitle"/>
      </w:pPr>
      <w:r w:rsidRPr="00BB0699">
        <w:rPr>
          <w:lang w:val="en-US"/>
        </w:rPr>
        <w:t>Acknowledgments</w:t>
      </w:r>
    </w:p>
    <w:p w14:paraId="23BEA358" w14:textId="77777777" w:rsidR="00E66509" w:rsidRPr="00BB0699" w:rsidRDefault="00E66509" w:rsidP="00E66509">
      <w:pPr>
        <w:pStyle w:val="CETBodytext"/>
        <w:spacing w:line="240" w:lineRule="auto"/>
      </w:pPr>
      <w:r w:rsidRPr="00BB0699">
        <w:rPr>
          <w:lang w:val="en-GB"/>
        </w:rPr>
        <w:t xml:space="preserve">The authors thank Coordination for the Improvement of Higher Education Personnel (CAPES) for the financial support and Master fellowship (Finance code 001) for G.V.C.R. </w:t>
      </w:r>
    </w:p>
    <w:p w14:paraId="638D230F" w14:textId="77777777" w:rsidR="00E66509" w:rsidRPr="00BB0699" w:rsidRDefault="00E66509" w:rsidP="00E66509">
      <w:pPr>
        <w:pStyle w:val="CETReference"/>
      </w:pPr>
      <w:r w:rsidRPr="00BB0699">
        <w:rPr>
          <w:lang w:val="en-US"/>
        </w:rPr>
        <w:t>References</w:t>
      </w:r>
    </w:p>
    <w:p w14:paraId="3886EA37" w14:textId="77777777" w:rsidR="00E66509" w:rsidRPr="00BB0699" w:rsidRDefault="00E66509" w:rsidP="00E66509">
      <w:pPr>
        <w:pStyle w:val="CETReferencetext"/>
      </w:pPr>
      <w:r w:rsidRPr="00BB0699">
        <w:t>Adebowale, K. O., Afolabi, T. A., and Olu-</w:t>
      </w:r>
      <w:proofErr w:type="spellStart"/>
      <w:r w:rsidRPr="00BB0699">
        <w:t>owolabi</w:t>
      </w:r>
      <w:proofErr w:type="spellEnd"/>
      <w:r w:rsidRPr="00BB0699">
        <w:t>, B. I. (2005). Hydrothermal treatments of Finger millet (</w:t>
      </w:r>
      <w:r w:rsidRPr="00BB0699">
        <w:rPr>
          <w:i/>
          <w:iCs/>
        </w:rPr>
        <w:t>Eleusine coracana</w:t>
      </w:r>
      <w:r w:rsidRPr="00BB0699">
        <w:t>) starch. Food Hydrocolloids, 19, 974–983. https://doi.org/10.1016/j.foodhyd.2004.12.007</w:t>
      </w:r>
    </w:p>
    <w:p w14:paraId="2AD40BCF" w14:textId="77777777" w:rsidR="00E66509" w:rsidRPr="00BB0699" w:rsidRDefault="00E66509" w:rsidP="00E66509">
      <w:pPr>
        <w:pStyle w:val="CETReferencetext"/>
      </w:pPr>
      <w:r w:rsidRPr="00BB0699">
        <w:t xml:space="preserve">Albert, C., </w:t>
      </w:r>
      <w:proofErr w:type="spellStart"/>
      <w:r w:rsidRPr="00BB0699">
        <w:t>Beladjine</w:t>
      </w:r>
      <w:proofErr w:type="spellEnd"/>
      <w:r w:rsidRPr="00BB0699">
        <w:t xml:space="preserve">, M., </w:t>
      </w:r>
      <w:proofErr w:type="spellStart"/>
      <w:r w:rsidRPr="00BB0699">
        <w:t>Tsapis</w:t>
      </w:r>
      <w:proofErr w:type="spellEnd"/>
      <w:r w:rsidRPr="00BB0699">
        <w:t xml:space="preserve">, N., </w:t>
      </w:r>
      <w:proofErr w:type="spellStart"/>
      <w:r w:rsidRPr="00BB0699">
        <w:t>Fattal</w:t>
      </w:r>
      <w:proofErr w:type="spellEnd"/>
      <w:r w:rsidRPr="00BB0699">
        <w:t xml:space="preserve">, E., </w:t>
      </w:r>
      <w:proofErr w:type="spellStart"/>
      <w:r w:rsidRPr="00BB0699">
        <w:t>Agnely</w:t>
      </w:r>
      <w:proofErr w:type="spellEnd"/>
      <w:r w:rsidRPr="00BB0699">
        <w:t>, F., and Huang, N. (2019). Pickering emulsions: Preparation processes, key parameters governing their properties and potential for pharmaceutical applications. Journal of Controlled Release, 309, 302–332. https://doi.org/10.1016/J.JCONREL.2019.07.003</w:t>
      </w:r>
    </w:p>
    <w:p w14:paraId="23D5D726" w14:textId="77777777" w:rsidR="00E66509" w:rsidRPr="00BB0699" w:rsidRDefault="00E66509" w:rsidP="00E66509">
      <w:pPr>
        <w:pStyle w:val="CETReferencetext"/>
      </w:pPr>
      <w:r w:rsidRPr="00BB0699">
        <w:t>Chang, Y., Yan, X., Wang, Q., Ren, L., Tong, J., and Zhou, J. (2017). High efficiency and low cost preparation of size controlled starch nanoparticles through ultrasonic treatment and precipitation. Food Chemistry, 227, 369–375. https://doi.org/10.1016/j.foodchem.2017.01.111</w:t>
      </w:r>
    </w:p>
    <w:p w14:paraId="5DAB8333" w14:textId="77777777" w:rsidR="00E66509" w:rsidRPr="00BB0699" w:rsidRDefault="00E66509" w:rsidP="00E66509">
      <w:pPr>
        <w:pStyle w:val="CETReferencetext"/>
      </w:pPr>
      <w:proofErr w:type="spellStart"/>
      <w:r w:rsidRPr="00BB0699">
        <w:lastRenderedPageBreak/>
        <w:t>Daudt</w:t>
      </w:r>
      <w:proofErr w:type="spellEnd"/>
      <w:r w:rsidRPr="00BB0699">
        <w:t xml:space="preserve">, R. M., Back, P. I., Cardozo, N. S. M., Marczak, L. D. F., and </w:t>
      </w:r>
      <w:proofErr w:type="spellStart"/>
      <w:r w:rsidRPr="00BB0699">
        <w:t>Kulkamp-Guerreiro</w:t>
      </w:r>
      <w:proofErr w:type="spellEnd"/>
      <w:r w:rsidRPr="00BB0699">
        <w:t xml:space="preserve">, I. C. (2015). </w:t>
      </w:r>
      <w:proofErr w:type="spellStart"/>
      <w:r w:rsidRPr="00BB0699">
        <w:t>Pinhão</w:t>
      </w:r>
      <w:proofErr w:type="spellEnd"/>
      <w:r w:rsidRPr="00BB0699">
        <w:t xml:space="preserve"> starch and coat extract as new natural cosmetic ingredients: Topical formulation stability and sensory analysis. Carbohydrate Polymers, 134, 573–580.</w:t>
      </w:r>
      <w:r w:rsidRPr="00BB0699">
        <w:rPr>
          <w:rFonts w:ascii="Segoe UI" w:hAnsi="Segoe UI" w:cs="Segoe UI"/>
          <w:color w:val="5B616B"/>
          <w:shd w:val="clear" w:color="auto" w:fill="FFFFFF"/>
        </w:rPr>
        <w:t xml:space="preserve"> </w:t>
      </w:r>
      <w:proofErr w:type="spellStart"/>
      <w:r w:rsidRPr="00BB0699">
        <w:t>doi</w:t>
      </w:r>
      <w:proofErr w:type="spellEnd"/>
      <w:r w:rsidRPr="00BB0699">
        <w:t>: 10.1016/j.carbpol.2015.08.038</w:t>
      </w:r>
    </w:p>
    <w:p w14:paraId="17D536CA" w14:textId="77777777" w:rsidR="00B51891" w:rsidRPr="00BB0699" w:rsidRDefault="00B51891" w:rsidP="00E66509">
      <w:pPr>
        <w:pStyle w:val="CETReferencetext"/>
      </w:pPr>
      <w:proofErr w:type="spellStart"/>
      <w:r w:rsidRPr="00F36405">
        <w:rPr>
          <w:lang w:val="pt-BR"/>
        </w:rPr>
        <w:t>Farooq</w:t>
      </w:r>
      <w:proofErr w:type="spellEnd"/>
      <w:r w:rsidRPr="00F36405">
        <w:rPr>
          <w:lang w:val="pt-BR"/>
        </w:rPr>
        <w:t xml:space="preserve">, U., Di </w:t>
      </w:r>
      <w:proofErr w:type="spellStart"/>
      <w:r w:rsidRPr="00F36405">
        <w:rPr>
          <w:lang w:val="pt-BR"/>
        </w:rPr>
        <w:t>Mattia</w:t>
      </w:r>
      <w:proofErr w:type="spellEnd"/>
      <w:r w:rsidRPr="00F36405">
        <w:rPr>
          <w:lang w:val="pt-BR"/>
        </w:rPr>
        <w:t xml:space="preserve">, C., </w:t>
      </w:r>
      <w:proofErr w:type="spellStart"/>
      <w:r w:rsidRPr="00F36405">
        <w:rPr>
          <w:lang w:val="pt-BR"/>
        </w:rPr>
        <w:t>Faieta</w:t>
      </w:r>
      <w:proofErr w:type="spellEnd"/>
      <w:r w:rsidRPr="00F36405">
        <w:rPr>
          <w:lang w:val="pt-BR"/>
        </w:rPr>
        <w:t xml:space="preserve">, M., Sacchetti, G., &amp; </w:t>
      </w:r>
      <w:proofErr w:type="spellStart"/>
      <w:r w:rsidRPr="00F36405">
        <w:rPr>
          <w:lang w:val="pt-BR"/>
        </w:rPr>
        <w:t>Pittia</w:t>
      </w:r>
      <w:proofErr w:type="spellEnd"/>
      <w:r w:rsidRPr="00F36405">
        <w:rPr>
          <w:lang w:val="pt-BR"/>
        </w:rPr>
        <w:t xml:space="preserve">, P. (2021). </w:t>
      </w:r>
      <w:r w:rsidRPr="00BB0699">
        <w:t xml:space="preserve">Oil-in-water </w:t>
      </w:r>
      <w:proofErr w:type="spellStart"/>
      <w:r w:rsidRPr="00BB0699">
        <w:t>pickering</w:t>
      </w:r>
      <w:proofErr w:type="spellEnd"/>
      <w:r w:rsidRPr="00BB0699">
        <w:t xml:space="preserve"> emulsions stabilized with starch particles and formulated with olive oil: Colloidal properties and stability as affected by olive oil phenolic content. Chemical Engineering Transactions, 87, 79–84. https://doi.org/10.3303/CET2187014</w:t>
      </w:r>
    </w:p>
    <w:p w14:paraId="69A38F24" w14:textId="77777777" w:rsidR="00E66509" w:rsidRPr="00BB0699" w:rsidRDefault="00E66509" w:rsidP="00E66509">
      <w:pPr>
        <w:pStyle w:val="CETReferencetext"/>
      </w:pPr>
      <w:r w:rsidRPr="00BB0699">
        <w:t xml:space="preserve">Feng, X., Dai, H., Ma, L., Fu, Y., Yu, Y., Zhou, H., Zhang, Y. (2020). Properties of Pickering emulsion stabilized by food-grade </w:t>
      </w:r>
      <w:proofErr w:type="spellStart"/>
      <w:r w:rsidRPr="00BB0699">
        <w:t>gelatin</w:t>
      </w:r>
      <w:proofErr w:type="spellEnd"/>
      <w:r w:rsidRPr="00BB0699">
        <w:t xml:space="preserve"> nanoparticles: influence of the nanoparticles concentration. Colloids and Surfaces B: </w:t>
      </w:r>
      <w:proofErr w:type="spellStart"/>
      <w:r w:rsidRPr="00B73ED8">
        <w:t>Biointerfaces</w:t>
      </w:r>
      <w:proofErr w:type="spellEnd"/>
      <w:r w:rsidRPr="00B73ED8">
        <w:t>, 196(2). https</w:t>
      </w:r>
      <w:r w:rsidRPr="00BB0699">
        <w:t>://doi.org/10.1016/j.colsurfb.2020.111294</w:t>
      </w:r>
    </w:p>
    <w:p w14:paraId="42B734EA" w14:textId="77777777" w:rsidR="00E66509" w:rsidRPr="00BB0699" w:rsidRDefault="00E66509" w:rsidP="00E66509">
      <w:pPr>
        <w:pStyle w:val="CETReferencetext"/>
      </w:pPr>
      <w:proofErr w:type="spellStart"/>
      <w:r w:rsidRPr="00BB0699">
        <w:t>Kamwilaisak</w:t>
      </w:r>
      <w:proofErr w:type="spellEnd"/>
      <w:r w:rsidRPr="00BB0699">
        <w:t xml:space="preserve">, K., </w:t>
      </w:r>
      <w:proofErr w:type="spellStart"/>
      <w:r w:rsidRPr="00BB0699">
        <w:t>Rittiwut</w:t>
      </w:r>
      <w:proofErr w:type="spellEnd"/>
      <w:r w:rsidRPr="00BB0699">
        <w:t xml:space="preserve">, K., </w:t>
      </w:r>
      <w:proofErr w:type="spellStart"/>
      <w:r w:rsidRPr="00BB0699">
        <w:t>Jutakridsada</w:t>
      </w:r>
      <w:proofErr w:type="spellEnd"/>
      <w:r w:rsidRPr="00BB0699">
        <w:t xml:space="preserve">, P., </w:t>
      </w:r>
      <w:proofErr w:type="spellStart"/>
      <w:r w:rsidRPr="00BB0699">
        <w:t>Iamamorphanth</w:t>
      </w:r>
      <w:proofErr w:type="spellEnd"/>
      <w:r w:rsidRPr="00BB0699">
        <w:t xml:space="preserve">, W., </w:t>
      </w:r>
      <w:proofErr w:type="spellStart"/>
      <w:r w:rsidRPr="00BB0699">
        <w:t>Pimsawat</w:t>
      </w:r>
      <w:proofErr w:type="spellEnd"/>
      <w:r w:rsidRPr="00BB0699">
        <w:t xml:space="preserve">, N., </w:t>
      </w:r>
      <w:proofErr w:type="spellStart"/>
      <w:r w:rsidRPr="00BB0699">
        <w:t>Knijnenburg</w:t>
      </w:r>
      <w:proofErr w:type="spellEnd"/>
      <w:r w:rsidRPr="00BB0699">
        <w:t xml:space="preserve">, J. T. N., and </w:t>
      </w:r>
      <w:proofErr w:type="spellStart"/>
      <w:r w:rsidRPr="00BB0699">
        <w:t>Theerakulpisut</w:t>
      </w:r>
      <w:proofErr w:type="spellEnd"/>
      <w:r w:rsidRPr="00BB0699">
        <w:t>, S. (2022). Rheology, stability, antioxidant properties, and curcumin release of oil-in-water Pickering emulsions stabilized by rice starch nanoparticles. International Journal of Biological Macromolecules, 214, 370–380. https://doi.org/10.1016/j.ijbiomac.2022.06.032</w:t>
      </w:r>
    </w:p>
    <w:p w14:paraId="0975D0E0" w14:textId="77777777" w:rsidR="00E66509" w:rsidRPr="00BB0699" w:rsidRDefault="00E66509" w:rsidP="00E66509">
      <w:pPr>
        <w:pStyle w:val="CETReferencetext"/>
      </w:pPr>
      <w:r w:rsidRPr="00BB0699">
        <w:t xml:space="preserve">Kim, H., Park, S. S., and Lim, S. (2015). Preparation, characterization and utilization of starch nanoparticles. Colloids and Surfaces B: </w:t>
      </w:r>
      <w:proofErr w:type="spellStart"/>
      <w:r w:rsidRPr="00BB0699">
        <w:t>Biointerfaces</w:t>
      </w:r>
      <w:proofErr w:type="spellEnd"/>
      <w:r w:rsidRPr="00BB0699">
        <w:t>, 126, 607–620. https://doi.org/10.1016/j.colsurfb.2014.11.011</w:t>
      </w:r>
    </w:p>
    <w:p w14:paraId="07DAC904" w14:textId="77777777" w:rsidR="00E66509" w:rsidRPr="00BB0699" w:rsidRDefault="00E66509" w:rsidP="00E66509">
      <w:pPr>
        <w:pStyle w:val="CETReferencetext"/>
      </w:pPr>
      <w:r w:rsidRPr="00BB0699">
        <w:t>Ko, E. B., and Kim, J. (2021). Application of starch nanoparticles as a stabilizer for Pickering emulsions: Effect of environmental factors and approach for enhancing its storage stability. Food Hydrocolloids, 120, 106984. https://doi.org/10.1016/j.foodhyd.2021.106984</w:t>
      </w:r>
    </w:p>
    <w:p w14:paraId="6F5E554C" w14:textId="77777777" w:rsidR="00E66509" w:rsidRPr="00BB0699" w:rsidRDefault="00E66509" w:rsidP="00E66509">
      <w:pPr>
        <w:pStyle w:val="CETReferencetext"/>
      </w:pPr>
      <w:r w:rsidRPr="00BB0699">
        <w:t xml:space="preserve">Li, S., Zhang, B., Li, C., Fu, X., and Huang, Q. (2020). Pickering emulsion gel stabilized by </w:t>
      </w:r>
      <w:proofErr w:type="spellStart"/>
      <w:r w:rsidRPr="00BB0699">
        <w:t>octenylsuccinate</w:t>
      </w:r>
      <w:proofErr w:type="spellEnd"/>
      <w:r w:rsidRPr="00BB0699">
        <w:t xml:space="preserve"> quinoa starch granule as lutein carrier: Role of the gel network. Food Chemistry, 305, 125476. https://doi.org/10.1016/j.foodchem.2019.125476</w:t>
      </w:r>
    </w:p>
    <w:p w14:paraId="10FB4351" w14:textId="77777777" w:rsidR="00E66509" w:rsidRPr="00BB0699" w:rsidRDefault="00E66509" w:rsidP="00E66509">
      <w:pPr>
        <w:pStyle w:val="CETReferencetext"/>
        <w:rPr>
          <w:lang w:val="pt-BR"/>
        </w:rPr>
      </w:pPr>
      <w:r w:rsidRPr="00BB0699">
        <w:t>Li, S., Ward, R., and Gao, Q. (2011). Effect of heat-moisture treatment on the formation and physicochemical properties of resistant starch from mung bean (</w:t>
      </w:r>
      <w:r w:rsidRPr="00BB0699">
        <w:rPr>
          <w:i/>
          <w:iCs/>
        </w:rPr>
        <w:t>Phaseolus radiatus</w:t>
      </w:r>
      <w:r w:rsidRPr="00BB0699">
        <w:t xml:space="preserve">) starch. </w:t>
      </w:r>
      <w:r w:rsidRPr="00BB0699">
        <w:rPr>
          <w:lang w:val="pt-BR"/>
        </w:rPr>
        <w:t xml:space="preserve">Food </w:t>
      </w:r>
      <w:proofErr w:type="spellStart"/>
      <w:r w:rsidRPr="00BB0699">
        <w:rPr>
          <w:lang w:val="pt-BR"/>
        </w:rPr>
        <w:t>Hydrocolloids</w:t>
      </w:r>
      <w:proofErr w:type="spellEnd"/>
      <w:r w:rsidRPr="00BB0699">
        <w:rPr>
          <w:lang w:val="pt-BR"/>
        </w:rPr>
        <w:t>, 25(7), 1702–1709.</w:t>
      </w:r>
    </w:p>
    <w:p w14:paraId="125233E6" w14:textId="77777777" w:rsidR="00E66509" w:rsidRPr="00BB0699" w:rsidRDefault="00E66509" w:rsidP="00E66509">
      <w:pPr>
        <w:pStyle w:val="CETReferencetext"/>
      </w:pPr>
      <w:r w:rsidRPr="00BB0699">
        <w:rPr>
          <w:lang w:val="pt-BR"/>
        </w:rPr>
        <w:t xml:space="preserve">Lima, K. T. S., Garcez, J., Alves, M. J. S., Monteiro, A. R., </w:t>
      </w:r>
      <w:proofErr w:type="spellStart"/>
      <w:r w:rsidRPr="00BB0699">
        <w:rPr>
          <w:lang w:val="pt-BR"/>
        </w:rPr>
        <w:t>and</w:t>
      </w:r>
      <w:proofErr w:type="spellEnd"/>
      <w:r w:rsidRPr="00BB0699">
        <w:rPr>
          <w:lang w:val="pt-BR"/>
        </w:rPr>
        <w:t xml:space="preserve"> Valencia, G. A. (2021). </w:t>
      </w:r>
      <w:r w:rsidRPr="00BB0699">
        <w:t xml:space="preserve">Physicochemical Properties of modified starches obtained by anti-solvent precipitation containing anthocyanins from </w:t>
      </w:r>
      <w:proofErr w:type="spellStart"/>
      <w:r w:rsidRPr="00BB0699">
        <w:t>jambolan</w:t>
      </w:r>
      <w:proofErr w:type="spellEnd"/>
      <w:r w:rsidRPr="00BB0699">
        <w:t xml:space="preserve"> (</w:t>
      </w:r>
      <w:proofErr w:type="spellStart"/>
      <w:r w:rsidRPr="00BB0699">
        <w:rPr>
          <w:i/>
          <w:iCs/>
        </w:rPr>
        <w:t>Syzygium</w:t>
      </w:r>
      <w:proofErr w:type="spellEnd"/>
      <w:r w:rsidRPr="00BB0699">
        <w:rPr>
          <w:i/>
          <w:iCs/>
        </w:rPr>
        <w:t xml:space="preserve"> </w:t>
      </w:r>
      <w:proofErr w:type="spellStart"/>
      <w:r w:rsidRPr="00BB0699">
        <w:rPr>
          <w:i/>
          <w:iCs/>
        </w:rPr>
        <w:t>cumini</w:t>
      </w:r>
      <w:proofErr w:type="spellEnd"/>
      <w:r w:rsidRPr="00BB0699">
        <w:t>) Fruit. Starch/</w:t>
      </w:r>
      <w:proofErr w:type="spellStart"/>
      <w:r w:rsidRPr="00BB0699">
        <w:t>Staerke</w:t>
      </w:r>
      <w:proofErr w:type="spellEnd"/>
      <w:r w:rsidRPr="00BB0699">
        <w:t>, 73(3–4). https://doi.org/10.1002/star.202000221</w:t>
      </w:r>
    </w:p>
    <w:p w14:paraId="769DBE3E" w14:textId="77777777" w:rsidR="00E66509" w:rsidRPr="00BB0699" w:rsidRDefault="00E66509" w:rsidP="00E66509">
      <w:pPr>
        <w:pStyle w:val="CETReferencetext"/>
      </w:pPr>
      <w:r w:rsidRPr="00BB0699">
        <w:t xml:space="preserve">Lu, H., and Tian, Y. (2021). </w:t>
      </w:r>
      <w:proofErr w:type="spellStart"/>
      <w:r w:rsidRPr="00BB0699">
        <w:t>Nanostarch</w:t>
      </w:r>
      <w:proofErr w:type="spellEnd"/>
      <w:r w:rsidRPr="00BB0699">
        <w:t>: Preparation, modification, and application in Pickering emulsions. Journal of Agricultural and Food Chemistry, 69(25), 6929–6942. https://doi.org/10.1021/ACS.JAFC.1C01244/ASSET/IMAGES/MEDIUM/JF1C01244_M001.GIF</w:t>
      </w:r>
    </w:p>
    <w:p w14:paraId="1C983980" w14:textId="77777777" w:rsidR="00E66509" w:rsidRPr="00BB0699" w:rsidRDefault="00E66509" w:rsidP="00E66509">
      <w:pPr>
        <w:pStyle w:val="CETReferencetext"/>
      </w:pPr>
      <w:r w:rsidRPr="00BB0699">
        <w:t xml:space="preserve">Owens, C., Griffin, K., </w:t>
      </w:r>
      <w:proofErr w:type="spellStart"/>
      <w:r w:rsidRPr="00BB0699">
        <w:t>Khouryieh</w:t>
      </w:r>
      <w:proofErr w:type="spellEnd"/>
      <w:r w:rsidRPr="00BB0699">
        <w:t xml:space="preserve">, H., and Williams, K. (2018). Creaming and oxidative stability of fish oil-in-water emulsions stabilized by whey protein-xanthan-locust bean complexes: Impact of </w:t>
      </w:r>
      <w:proofErr w:type="spellStart"/>
      <w:r w:rsidRPr="00BB0699">
        <w:t>pH.</w:t>
      </w:r>
      <w:proofErr w:type="spellEnd"/>
      <w:r w:rsidRPr="00BB0699">
        <w:t xml:space="preserve"> Food Chemistry, 239, 314–322. https://doi.org/10.1016/J.FOODCHEM.2017.06.096</w:t>
      </w:r>
    </w:p>
    <w:p w14:paraId="16E2A969" w14:textId="77777777" w:rsidR="00E66509" w:rsidRPr="00BB0699" w:rsidRDefault="00E66509" w:rsidP="00E66509">
      <w:pPr>
        <w:pStyle w:val="CETReferencetext"/>
      </w:pPr>
      <w:proofErr w:type="spellStart"/>
      <w:r w:rsidRPr="00BB0699">
        <w:t>Piecyk</w:t>
      </w:r>
      <w:proofErr w:type="spellEnd"/>
      <w:r w:rsidRPr="00BB0699">
        <w:t xml:space="preserve">, M., and </w:t>
      </w:r>
      <w:proofErr w:type="spellStart"/>
      <w:r w:rsidRPr="00BB0699">
        <w:t>Domian</w:t>
      </w:r>
      <w:proofErr w:type="spellEnd"/>
      <w:r w:rsidRPr="00BB0699">
        <w:t xml:space="preserve">, K. (2021). Effects of heat–moisture treatment conditions on the physicochemical properties and digestibility of field bean starch (Vicia </w:t>
      </w:r>
      <w:proofErr w:type="spellStart"/>
      <w:r w:rsidRPr="00BB0699">
        <w:t>faba</w:t>
      </w:r>
      <w:proofErr w:type="spellEnd"/>
      <w:r w:rsidRPr="00BB0699">
        <w:t xml:space="preserve"> var. minor). International Journal of Biological Macromolecules, 182, 425–433. </w:t>
      </w:r>
      <w:r w:rsidR="00B51891" w:rsidRPr="00BB0699">
        <w:t>https://doi.org/10.1016/j.ijbiomac.2021.04.015</w:t>
      </w:r>
    </w:p>
    <w:p w14:paraId="1089E6AE" w14:textId="77777777" w:rsidR="00B51891" w:rsidRPr="00BB0699" w:rsidRDefault="00B51891" w:rsidP="00E66509">
      <w:pPr>
        <w:pStyle w:val="CETReferencetext"/>
      </w:pPr>
      <w:r w:rsidRPr="00F877B6">
        <w:t xml:space="preserve">Ramos, D. M., </w:t>
      </w:r>
      <w:proofErr w:type="spellStart"/>
      <w:r w:rsidRPr="00F877B6">
        <w:t>Sadtler</w:t>
      </w:r>
      <w:proofErr w:type="spellEnd"/>
      <w:r w:rsidRPr="00F877B6">
        <w:t xml:space="preserve">, V., </w:t>
      </w:r>
      <w:proofErr w:type="spellStart"/>
      <w:r w:rsidRPr="00F877B6">
        <w:t>Marchal</w:t>
      </w:r>
      <w:proofErr w:type="spellEnd"/>
      <w:r w:rsidRPr="00F877B6">
        <w:t xml:space="preserve">, P., </w:t>
      </w:r>
      <w:proofErr w:type="spellStart"/>
      <w:r w:rsidRPr="00F877B6">
        <w:t>Lemaître</w:t>
      </w:r>
      <w:proofErr w:type="spellEnd"/>
      <w:r w:rsidRPr="00F877B6">
        <w:t xml:space="preserve">, C., </w:t>
      </w:r>
      <w:proofErr w:type="spellStart"/>
      <w:r w:rsidRPr="00F877B6">
        <w:t>Benyahia</w:t>
      </w:r>
      <w:proofErr w:type="spellEnd"/>
      <w:r w:rsidRPr="00F877B6">
        <w:t>, L., &amp; Roques-</w:t>
      </w:r>
      <w:proofErr w:type="spellStart"/>
      <w:r w:rsidRPr="00F877B6">
        <w:t>Carmes</w:t>
      </w:r>
      <w:proofErr w:type="spellEnd"/>
      <w:r w:rsidRPr="00F877B6">
        <w:t xml:space="preserve">, T. (2021). </w:t>
      </w:r>
      <w:r w:rsidRPr="00BB0699">
        <w:t xml:space="preserve">Insight into the emulsification process effect on particles distribution in </w:t>
      </w:r>
      <w:proofErr w:type="spellStart"/>
      <w:r w:rsidRPr="00BB0699">
        <w:t>pickering</w:t>
      </w:r>
      <w:proofErr w:type="spellEnd"/>
      <w:r w:rsidRPr="00BB0699">
        <w:t xml:space="preserve"> emulsions: A series of rheological and gravimetric tests. Chemical Engineering Transactions, 86, 1291–1296. https://doi.org/10.3303/CET2186216</w:t>
      </w:r>
    </w:p>
    <w:p w14:paraId="15636A45" w14:textId="77777777" w:rsidR="00E66509" w:rsidRPr="00BB0699" w:rsidRDefault="00E66509" w:rsidP="00E66509">
      <w:pPr>
        <w:pStyle w:val="CETReferencetext"/>
      </w:pPr>
      <w:r w:rsidRPr="00BB0699">
        <w:t xml:space="preserve">Schroder, A., </w:t>
      </w:r>
      <w:proofErr w:type="spellStart"/>
      <w:r w:rsidRPr="00BB0699">
        <w:t>Sprakel</w:t>
      </w:r>
      <w:proofErr w:type="spellEnd"/>
      <w:r w:rsidRPr="00BB0699">
        <w:t xml:space="preserve">, J., </w:t>
      </w:r>
      <w:proofErr w:type="spellStart"/>
      <w:r w:rsidRPr="00BB0699">
        <w:t>Schroen</w:t>
      </w:r>
      <w:proofErr w:type="spellEnd"/>
      <w:r w:rsidRPr="00BB0699">
        <w:t xml:space="preserve">, K., </w:t>
      </w:r>
      <w:proofErr w:type="spellStart"/>
      <w:r w:rsidRPr="00BB0699">
        <w:t>Spaen</w:t>
      </w:r>
      <w:proofErr w:type="spellEnd"/>
      <w:r w:rsidRPr="00BB0699">
        <w:t>, J. N., and Berton-Carabin, C. C. (2018). Coalescence stability of Pickering emulsions produced with lipid particles: A micro fluidic study. Journal of Food Engineering, 234, 63–72. https://doi.org/10.1016/j.jfoodeng.2018.04.007</w:t>
      </w:r>
    </w:p>
    <w:p w14:paraId="21F0905E" w14:textId="77777777" w:rsidR="00E66509" w:rsidRPr="00BB0699" w:rsidRDefault="00E66509" w:rsidP="00E66509">
      <w:pPr>
        <w:pStyle w:val="CETReferencetext"/>
      </w:pPr>
      <w:r w:rsidRPr="00BB0699">
        <w:t xml:space="preserve">Song, X., Pei, Y., </w:t>
      </w:r>
      <w:proofErr w:type="spellStart"/>
      <w:r w:rsidRPr="00BB0699">
        <w:t>Qiao</w:t>
      </w:r>
      <w:proofErr w:type="spellEnd"/>
      <w:r w:rsidRPr="00BB0699">
        <w:t>, M., Ma, F., Ren, H., and Zhao, Q. (2015). Preparation and characterizations of Pickering emulsions stabilized by hydrophobic starch particles. Food Hydrocolloids, 45, 256–263. https://doi.org/10.1016/J.FOODHYD.2014.12.007</w:t>
      </w:r>
    </w:p>
    <w:p w14:paraId="24DF1B93" w14:textId="77777777" w:rsidR="00E66509" w:rsidRPr="00BB0699" w:rsidRDefault="00E66509" w:rsidP="00E66509">
      <w:pPr>
        <w:pStyle w:val="CETReferencetext"/>
      </w:pPr>
      <w:r w:rsidRPr="00BB0699">
        <w:rPr>
          <w:lang w:val="en-US"/>
        </w:rPr>
        <w:t xml:space="preserve">Souza, A. G., Ferreira, R. R., Aguilar, E. S. F., </w:t>
      </w:r>
      <w:proofErr w:type="spellStart"/>
      <w:r w:rsidRPr="00BB0699">
        <w:rPr>
          <w:lang w:val="en-US"/>
        </w:rPr>
        <w:t>Zanata</w:t>
      </w:r>
      <w:proofErr w:type="spellEnd"/>
      <w:r w:rsidRPr="00BB0699">
        <w:rPr>
          <w:lang w:val="en-US"/>
        </w:rPr>
        <w:t xml:space="preserve">, L., and Rosa, D. </w:t>
      </w:r>
      <w:r w:rsidRPr="00BB0699">
        <w:t>S. (2021). Cinnamon essential oil nanocellulose-based Pickering emulsions: Processing parameters effect on their formation, stabilization, and antimicrobial activity. Polysaccharides, 2(3), 608–625. https://doi.org/10.3390/polysaccharides2030037</w:t>
      </w:r>
    </w:p>
    <w:p w14:paraId="1E319D70" w14:textId="77777777" w:rsidR="00E66509" w:rsidRPr="00BB0699" w:rsidRDefault="00E66509" w:rsidP="00E66509">
      <w:pPr>
        <w:pStyle w:val="CETReferencetext"/>
      </w:pPr>
      <w:r w:rsidRPr="00BB0699">
        <w:t>Wang, C., Fu, X., Tang, C. H., Huang, Q., and Zhang, B. (2017). Octenylsuccinate starch spherulites as a stabilizer for Pickering emulsions. Food Chemistry, 227, 298–304. https://doi.org/10.1016/J.FOODCHEM.2017.01.092</w:t>
      </w:r>
    </w:p>
    <w:p w14:paraId="70718CA7" w14:textId="77777777" w:rsidR="00E66509" w:rsidRDefault="00E66509" w:rsidP="00E66509">
      <w:pPr>
        <w:pStyle w:val="CETReferencetext"/>
      </w:pPr>
      <w:r w:rsidRPr="00BB0699">
        <w:t xml:space="preserve">Wang, Q., Tang, Z., Li, Z., Luan, Y., Gu, C., Liu, R., Wu, M. (2023). Effects of octenyl </w:t>
      </w:r>
      <w:proofErr w:type="spellStart"/>
      <w:r w:rsidRPr="00BB0699">
        <w:t>succinylation</w:t>
      </w:r>
      <w:proofErr w:type="spellEnd"/>
      <w:r w:rsidRPr="00BB0699">
        <w:t xml:space="preserve"> on the properties of starches with distinct crystalline types and their Pickering emulsions. International Journal of Biological Macromolecules, 230, 123183. https://doi.org/10.1016/J.IJBIOMAC.2023.123183</w:t>
      </w:r>
    </w:p>
    <w:p w14:paraId="4F2DE0FF" w14:textId="77777777" w:rsidR="00727A85" w:rsidRDefault="00727A85"/>
    <w:sectPr w:rsidR="00727A85" w:rsidSect="00E66509">
      <w:pgSz w:w="11906" w:h="16838"/>
      <w:pgMar w:top="1701" w:right="1418" w:bottom="170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P696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decimal"/>
      <w:suff w:val="space"/>
      <w:lvlText w:val="Chapter %1"/>
      <w:lvlJc w:val="left"/>
      <w:pPr>
        <w:tabs>
          <w:tab w:val="num" w:pos="0"/>
        </w:tabs>
        <w:ind w:left="0" w:firstLine="0"/>
      </w:pPr>
      <w:rPr>
        <w:rFonts w:hint="default"/>
      </w:rPr>
    </w:lvl>
    <w:lvl w:ilvl="1">
      <w:start w:val="1"/>
      <w:numFmt w:val="decimal"/>
      <w:suff w:val="space"/>
      <w:lvlText w:val="%2."/>
      <w:lvlJc w:val="left"/>
      <w:pPr>
        <w:tabs>
          <w:tab w:val="num" w:pos="0"/>
        </w:tabs>
        <w:ind w:left="0" w:firstLine="0"/>
      </w:pPr>
      <w:rPr>
        <w:rFonts w:hint="default"/>
      </w:rPr>
    </w:lvl>
    <w:lvl w:ilvl="2">
      <w:start w:val="1"/>
      <w:numFmt w:val="decimal"/>
      <w:suff w:val="space"/>
      <w:lvlText w:val="%2.%3"/>
      <w:lvlJc w:val="left"/>
      <w:pPr>
        <w:tabs>
          <w:tab w:val="num" w:pos="0"/>
        </w:tabs>
        <w:ind w:left="0" w:firstLine="0"/>
      </w:pPr>
      <w:rPr>
        <w:rFonts w:hint="default"/>
      </w:rPr>
    </w:lvl>
    <w:lvl w:ilvl="3">
      <w:start w:val="1"/>
      <w:numFmt w:val="decimal"/>
      <w:suff w:val="space"/>
      <w:lvlText w:val="%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decimal"/>
      <w:suff w:val="space"/>
      <w:lvlText w:val="%1..%3.%4.%5.%6.%7.%8.%9."/>
      <w:lvlJc w:val="left"/>
      <w:pPr>
        <w:tabs>
          <w:tab w:val="num" w:pos="0"/>
        </w:tabs>
        <w:ind w:left="0" w:firstLine="0"/>
      </w:pPr>
      <w:rPr>
        <w:rFonts w:hint="default"/>
      </w:rPr>
    </w:lvl>
  </w:abstractNum>
  <w:abstractNum w:abstractNumId="1" w15:restartNumberingAfterBreak="0">
    <w:nsid w:val="1B9551F0"/>
    <w:multiLevelType w:val="multilevel"/>
    <w:tmpl w:val="49F46EB2"/>
    <w:lvl w:ilvl="0">
      <w:start w:val="1"/>
      <w:numFmt w:val="decimal"/>
      <w:pStyle w:val="CET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8875602">
    <w:abstractNumId w:val="0"/>
  </w:num>
  <w:num w:numId="2" w16cid:durableId="89844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22"/>
    <w:rsid w:val="00007265"/>
    <w:rsid w:val="0001653C"/>
    <w:rsid w:val="000464AA"/>
    <w:rsid w:val="00056874"/>
    <w:rsid w:val="000638D9"/>
    <w:rsid w:val="000942BB"/>
    <w:rsid w:val="000A713D"/>
    <w:rsid w:val="000C1DCD"/>
    <w:rsid w:val="00133824"/>
    <w:rsid w:val="00161E1F"/>
    <w:rsid w:val="00187628"/>
    <w:rsid w:val="00190F3E"/>
    <w:rsid w:val="001A34C2"/>
    <w:rsid w:val="001A3A5D"/>
    <w:rsid w:val="001D286E"/>
    <w:rsid w:val="00211732"/>
    <w:rsid w:val="00221BEF"/>
    <w:rsid w:val="00266CEE"/>
    <w:rsid w:val="002E0E51"/>
    <w:rsid w:val="00325196"/>
    <w:rsid w:val="003670E3"/>
    <w:rsid w:val="00373692"/>
    <w:rsid w:val="003847AA"/>
    <w:rsid w:val="00392041"/>
    <w:rsid w:val="003B00B9"/>
    <w:rsid w:val="003C5179"/>
    <w:rsid w:val="003F03D3"/>
    <w:rsid w:val="00410885"/>
    <w:rsid w:val="004248BE"/>
    <w:rsid w:val="00460509"/>
    <w:rsid w:val="00467D70"/>
    <w:rsid w:val="00474EA1"/>
    <w:rsid w:val="004A05F8"/>
    <w:rsid w:val="0051171E"/>
    <w:rsid w:val="00527D23"/>
    <w:rsid w:val="00552816"/>
    <w:rsid w:val="005630AE"/>
    <w:rsid w:val="005746A0"/>
    <w:rsid w:val="00591D64"/>
    <w:rsid w:val="005C0A45"/>
    <w:rsid w:val="005E315C"/>
    <w:rsid w:val="00626FED"/>
    <w:rsid w:val="00627F37"/>
    <w:rsid w:val="006A3DAF"/>
    <w:rsid w:val="006E1CCF"/>
    <w:rsid w:val="00721814"/>
    <w:rsid w:val="00727A85"/>
    <w:rsid w:val="007314D6"/>
    <w:rsid w:val="00737253"/>
    <w:rsid w:val="0076575A"/>
    <w:rsid w:val="00770222"/>
    <w:rsid w:val="00770567"/>
    <w:rsid w:val="00786799"/>
    <w:rsid w:val="007929F1"/>
    <w:rsid w:val="007A0D9C"/>
    <w:rsid w:val="007A3A09"/>
    <w:rsid w:val="007A7E3A"/>
    <w:rsid w:val="007A7F7C"/>
    <w:rsid w:val="007B460D"/>
    <w:rsid w:val="007C375F"/>
    <w:rsid w:val="007C7234"/>
    <w:rsid w:val="007D33E5"/>
    <w:rsid w:val="00800B47"/>
    <w:rsid w:val="0084668D"/>
    <w:rsid w:val="008652A9"/>
    <w:rsid w:val="0086743A"/>
    <w:rsid w:val="008874E5"/>
    <w:rsid w:val="008A12CA"/>
    <w:rsid w:val="008B7E91"/>
    <w:rsid w:val="00911136"/>
    <w:rsid w:val="00915C47"/>
    <w:rsid w:val="0095271A"/>
    <w:rsid w:val="00986631"/>
    <w:rsid w:val="009A2C92"/>
    <w:rsid w:val="009C08EE"/>
    <w:rsid w:val="009D4699"/>
    <w:rsid w:val="009E0635"/>
    <w:rsid w:val="009E2954"/>
    <w:rsid w:val="009E3793"/>
    <w:rsid w:val="009F1112"/>
    <w:rsid w:val="009F4C22"/>
    <w:rsid w:val="00A07F09"/>
    <w:rsid w:val="00A1677A"/>
    <w:rsid w:val="00A74B49"/>
    <w:rsid w:val="00AD10CF"/>
    <w:rsid w:val="00B34688"/>
    <w:rsid w:val="00B51891"/>
    <w:rsid w:val="00B61014"/>
    <w:rsid w:val="00B73ED8"/>
    <w:rsid w:val="00B90B10"/>
    <w:rsid w:val="00BB0699"/>
    <w:rsid w:val="00BD09B5"/>
    <w:rsid w:val="00CA20D8"/>
    <w:rsid w:val="00CC221D"/>
    <w:rsid w:val="00D544E2"/>
    <w:rsid w:val="00D86B30"/>
    <w:rsid w:val="00D900E0"/>
    <w:rsid w:val="00DA334B"/>
    <w:rsid w:val="00DE161E"/>
    <w:rsid w:val="00DF2CE9"/>
    <w:rsid w:val="00DF345D"/>
    <w:rsid w:val="00DF7DA6"/>
    <w:rsid w:val="00E017D3"/>
    <w:rsid w:val="00E01A55"/>
    <w:rsid w:val="00E66509"/>
    <w:rsid w:val="00EC5D09"/>
    <w:rsid w:val="00EF4D5A"/>
    <w:rsid w:val="00F266E7"/>
    <w:rsid w:val="00F27BEC"/>
    <w:rsid w:val="00F36405"/>
    <w:rsid w:val="00F877B6"/>
    <w:rsid w:val="00F95D6D"/>
    <w:rsid w:val="00FC16CA"/>
    <w:rsid w:val="00FC3B57"/>
    <w:rsid w:val="00FD7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BF05"/>
  <w15:docId w15:val="{F194FF4E-FCCC-497C-BF19-2814A2D5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09"/>
    <w:pPr>
      <w:tabs>
        <w:tab w:val="right" w:pos="7100"/>
      </w:tabs>
      <w:suppressAutoHyphens/>
      <w:spacing w:after="0" w:line="264" w:lineRule="auto"/>
      <w:jc w:val="both"/>
    </w:pPr>
    <w:rPr>
      <w:rFonts w:ascii="Arial" w:eastAsia="SimSun" w:hAnsi="Arial" w:cs="Arial"/>
      <w:sz w:val="18"/>
      <w:szCs w:val="20"/>
      <w:lang w:val="en-GB" w:eastAsia="zh-CN"/>
    </w:rPr>
  </w:style>
  <w:style w:type="paragraph" w:styleId="Ttulo3">
    <w:name w:val="heading 3"/>
    <w:basedOn w:val="Normal"/>
    <w:next w:val="Normal"/>
    <w:link w:val="Ttulo3Char"/>
    <w:uiPriority w:val="9"/>
    <w:unhideWhenUsed/>
    <w:qFormat/>
    <w:rsid w:val="003F03D3"/>
    <w:pPr>
      <w:keepNext/>
      <w:keepLines/>
      <w:spacing w:before="40"/>
      <w:outlineLvl w:val="2"/>
    </w:pPr>
    <w:rPr>
      <w:rFonts w:eastAsiaTheme="majorEastAsia" w:cstheme="majorBidi"/>
      <w: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F03D3"/>
    <w:rPr>
      <w:rFonts w:ascii="Arial" w:eastAsiaTheme="majorEastAsia" w:hAnsi="Arial" w:cstheme="majorBidi"/>
      <w:i/>
      <w:color w:val="1F3763" w:themeColor="accent1" w:themeShade="7F"/>
      <w:sz w:val="24"/>
      <w:szCs w:val="24"/>
    </w:rPr>
  </w:style>
  <w:style w:type="character" w:customStyle="1" w:styleId="CETCaptionCarattere">
    <w:name w:val="CET Caption Carattere"/>
    <w:rsid w:val="00E66509"/>
    <w:rPr>
      <w:rFonts w:ascii="Arial" w:eastAsia="Times New Roman" w:hAnsi="Arial" w:cs="Times New Roman"/>
      <w:i/>
      <w:sz w:val="18"/>
      <w:szCs w:val="20"/>
      <w:lang w:val="en-GB"/>
    </w:rPr>
  </w:style>
  <w:style w:type="character" w:styleId="Hyperlink">
    <w:name w:val="Hyperlink"/>
    <w:rsid w:val="00E66509"/>
    <w:rPr>
      <w:color w:val="0000FF"/>
      <w:u w:val="single"/>
    </w:rPr>
  </w:style>
  <w:style w:type="paragraph" w:customStyle="1" w:styleId="CETHeading1">
    <w:name w:val="CET Heading1"/>
    <w:next w:val="CETBodytext"/>
    <w:rsid w:val="00E66509"/>
    <w:pPr>
      <w:keepNext/>
      <w:numPr>
        <w:numId w:val="2"/>
      </w:numPr>
      <w:suppressAutoHyphens/>
      <w:spacing w:before="240" w:after="120" w:line="240" w:lineRule="auto"/>
    </w:pPr>
    <w:rPr>
      <w:rFonts w:ascii="Arial" w:eastAsia="SimSun" w:hAnsi="Arial" w:cs="Arial"/>
      <w:b/>
      <w:sz w:val="20"/>
      <w:szCs w:val="20"/>
      <w:lang w:val="en-US" w:eastAsia="zh-CN"/>
    </w:rPr>
  </w:style>
  <w:style w:type="paragraph" w:customStyle="1" w:styleId="CETBodytext">
    <w:name w:val="CET Body text"/>
    <w:rsid w:val="00E66509"/>
    <w:pPr>
      <w:tabs>
        <w:tab w:val="right" w:pos="7100"/>
      </w:tabs>
      <w:suppressAutoHyphens/>
      <w:spacing w:after="0" w:line="264" w:lineRule="auto"/>
      <w:jc w:val="both"/>
    </w:pPr>
    <w:rPr>
      <w:rFonts w:ascii="Arial" w:eastAsia="SimSun" w:hAnsi="Arial" w:cs="Arial"/>
      <w:sz w:val="18"/>
      <w:szCs w:val="20"/>
      <w:lang w:val="en-US" w:eastAsia="zh-CN"/>
    </w:rPr>
  </w:style>
  <w:style w:type="paragraph" w:customStyle="1" w:styleId="CETAuthors">
    <w:name w:val="CET Authors"/>
    <w:basedOn w:val="CETBodytext"/>
    <w:rsid w:val="00E66509"/>
    <w:pPr>
      <w:keepNext/>
      <w:spacing w:after="120"/>
    </w:pPr>
    <w:rPr>
      <w:sz w:val="24"/>
      <w:lang w:val="en-GB" w:eastAsia="pt-BR"/>
    </w:rPr>
  </w:style>
  <w:style w:type="paragraph" w:customStyle="1" w:styleId="CETTitle">
    <w:name w:val="CET Title"/>
    <w:next w:val="CETAuthors"/>
    <w:rsid w:val="00E66509"/>
    <w:pPr>
      <w:suppressAutoHyphens/>
      <w:spacing w:before="480" w:after="120" w:line="264" w:lineRule="auto"/>
      <w:jc w:val="center"/>
      <w:outlineLvl w:val="0"/>
    </w:pPr>
    <w:rPr>
      <w:rFonts w:ascii="Arial" w:eastAsia="SimSun" w:hAnsi="Arial" w:cs="Arial"/>
      <w:sz w:val="32"/>
      <w:szCs w:val="20"/>
      <w:lang w:val="en-GB" w:eastAsia="zh-CN"/>
    </w:rPr>
  </w:style>
  <w:style w:type="paragraph" w:customStyle="1" w:styleId="CETheadingx">
    <w:name w:val="CET headingx"/>
    <w:next w:val="CETBodytext"/>
    <w:rsid w:val="00E66509"/>
    <w:pPr>
      <w:keepNext/>
      <w:tabs>
        <w:tab w:val="num" w:pos="720"/>
      </w:tabs>
      <w:suppressAutoHyphens/>
      <w:spacing w:before="120" w:after="120" w:line="240" w:lineRule="auto"/>
      <w:ind w:left="720" w:hanging="720"/>
    </w:pPr>
    <w:rPr>
      <w:rFonts w:ascii="Arial" w:eastAsia="SimSun" w:hAnsi="Arial" w:cs="Arial"/>
      <w:b/>
      <w:sz w:val="18"/>
      <w:szCs w:val="20"/>
      <w:lang w:val="en-US" w:eastAsia="zh-CN"/>
    </w:rPr>
  </w:style>
  <w:style w:type="paragraph" w:customStyle="1" w:styleId="CETReference">
    <w:name w:val="CET Reference"/>
    <w:rsid w:val="00E66509"/>
    <w:pPr>
      <w:suppressAutoHyphens/>
      <w:spacing w:before="200" w:after="120" w:line="240" w:lineRule="auto"/>
    </w:pPr>
    <w:rPr>
      <w:rFonts w:ascii="Arial" w:eastAsia="SimSun" w:hAnsi="Arial" w:cs="Arial"/>
      <w:b/>
      <w:sz w:val="18"/>
      <w:szCs w:val="20"/>
      <w:lang w:val="en-GB" w:eastAsia="zh-CN"/>
    </w:rPr>
  </w:style>
  <w:style w:type="paragraph" w:customStyle="1" w:styleId="CETCaption">
    <w:name w:val="CET Caption"/>
    <w:rsid w:val="00E66509"/>
    <w:pPr>
      <w:suppressAutoHyphens/>
      <w:spacing w:before="240" w:after="240" w:line="264" w:lineRule="auto"/>
      <w:jc w:val="both"/>
    </w:pPr>
    <w:rPr>
      <w:rFonts w:ascii="Arial" w:eastAsia="SimSun" w:hAnsi="Arial" w:cs="Arial"/>
      <w:i/>
      <w:sz w:val="18"/>
      <w:szCs w:val="20"/>
      <w:lang w:val="en-GB" w:eastAsia="zh-CN"/>
    </w:rPr>
  </w:style>
  <w:style w:type="paragraph" w:customStyle="1" w:styleId="CETReferencetext">
    <w:name w:val="CET Reference text"/>
    <w:rsid w:val="00E66509"/>
    <w:pPr>
      <w:suppressAutoHyphens/>
      <w:spacing w:after="0" w:line="264" w:lineRule="auto"/>
      <w:ind w:left="284" w:hanging="284"/>
      <w:jc w:val="both"/>
    </w:pPr>
    <w:rPr>
      <w:rFonts w:ascii="Arial" w:eastAsia="SimSun" w:hAnsi="Arial" w:cs="Arial"/>
      <w:sz w:val="18"/>
      <w:szCs w:val="20"/>
      <w:lang w:val="en-GB" w:eastAsia="zh-CN"/>
    </w:rPr>
  </w:style>
  <w:style w:type="paragraph" w:styleId="NormalWeb">
    <w:name w:val="Normal (Web)"/>
    <w:basedOn w:val="Normal"/>
    <w:uiPriority w:val="99"/>
    <w:qFormat/>
    <w:rsid w:val="00E66509"/>
    <w:rPr>
      <w:sz w:val="24"/>
      <w:szCs w:val="24"/>
    </w:rPr>
  </w:style>
  <w:style w:type="paragraph" w:customStyle="1" w:styleId="CETemail">
    <w:name w:val="CET email"/>
    <w:next w:val="CETBodytext"/>
    <w:rsid w:val="00E66509"/>
    <w:pPr>
      <w:suppressAutoHyphens/>
      <w:spacing w:after="240" w:line="276" w:lineRule="auto"/>
    </w:pPr>
    <w:rPr>
      <w:rFonts w:ascii="Arial" w:eastAsia="SimSun" w:hAnsi="Arial" w:cs="Arial"/>
      <w:sz w:val="16"/>
      <w:szCs w:val="20"/>
      <w:lang w:val="en-GB" w:eastAsia="pt-BR"/>
    </w:rPr>
  </w:style>
  <w:style w:type="paragraph" w:customStyle="1" w:styleId="CETTabletitle">
    <w:name w:val="CET Table title"/>
    <w:rsid w:val="00E66509"/>
    <w:pPr>
      <w:keepNext/>
      <w:suppressAutoHyphens/>
      <w:spacing w:before="240" w:after="80" w:line="240" w:lineRule="exact"/>
    </w:pPr>
    <w:rPr>
      <w:rFonts w:ascii="Arial" w:eastAsia="SimSun" w:hAnsi="Arial" w:cs="Arial"/>
      <w:i/>
      <w:sz w:val="18"/>
      <w:szCs w:val="20"/>
      <w:lang w:val="en-GB" w:eastAsia="zh-CN"/>
    </w:rPr>
  </w:style>
  <w:style w:type="paragraph" w:customStyle="1" w:styleId="CETAcknowledgementstitle">
    <w:name w:val="CET Acknowledgements title"/>
    <w:next w:val="CETBodytext"/>
    <w:rsid w:val="00E66509"/>
    <w:pPr>
      <w:suppressAutoHyphens/>
      <w:spacing w:before="200" w:after="120" w:line="276" w:lineRule="auto"/>
    </w:pPr>
    <w:rPr>
      <w:rFonts w:ascii="Arial" w:eastAsia="SimSun" w:hAnsi="Arial" w:cs="Arial"/>
      <w:b/>
      <w:sz w:val="18"/>
      <w:szCs w:val="20"/>
      <w:lang w:val="en-GB" w:eastAsia="zh-CN"/>
    </w:rPr>
  </w:style>
  <w:style w:type="paragraph" w:customStyle="1" w:styleId="CETEquation">
    <w:name w:val="CET Equation"/>
    <w:basedOn w:val="CETBodytext"/>
    <w:next w:val="CETBodytext"/>
    <w:rsid w:val="00E66509"/>
    <w:pPr>
      <w:spacing w:before="120" w:after="120"/>
      <w:jc w:val="left"/>
    </w:pPr>
    <w:rPr>
      <w:lang w:val="en-GB"/>
    </w:rPr>
  </w:style>
  <w:style w:type="character" w:customStyle="1" w:styleId="MenoPendente1">
    <w:name w:val="Menção Pendente1"/>
    <w:basedOn w:val="Fontepargpadro"/>
    <w:uiPriority w:val="99"/>
    <w:semiHidden/>
    <w:unhideWhenUsed/>
    <w:rsid w:val="00B51891"/>
    <w:rPr>
      <w:color w:val="605E5C"/>
      <w:shd w:val="clear" w:color="auto" w:fill="E1DFDD"/>
    </w:rPr>
  </w:style>
  <w:style w:type="character" w:styleId="Refdecomentrio">
    <w:name w:val="annotation reference"/>
    <w:basedOn w:val="Fontepargpadro"/>
    <w:uiPriority w:val="99"/>
    <w:semiHidden/>
    <w:unhideWhenUsed/>
    <w:rsid w:val="00EC5D09"/>
    <w:rPr>
      <w:sz w:val="16"/>
      <w:szCs w:val="16"/>
    </w:rPr>
  </w:style>
  <w:style w:type="paragraph" w:styleId="Textodecomentrio">
    <w:name w:val="annotation text"/>
    <w:basedOn w:val="Normal"/>
    <w:link w:val="TextodecomentrioChar"/>
    <w:uiPriority w:val="99"/>
    <w:semiHidden/>
    <w:unhideWhenUsed/>
    <w:rsid w:val="00EC5D09"/>
    <w:pPr>
      <w:spacing w:line="240" w:lineRule="auto"/>
    </w:pPr>
    <w:rPr>
      <w:sz w:val="20"/>
    </w:rPr>
  </w:style>
  <w:style w:type="character" w:customStyle="1" w:styleId="TextodecomentrioChar">
    <w:name w:val="Texto de comentário Char"/>
    <w:basedOn w:val="Fontepargpadro"/>
    <w:link w:val="Textodecomentrio"/>
    <w:uiPriority w:val="99"/>
    <w:semiHidden/>
    <w:rsid w:val="00EC5D09"/>
    <w:rPr>
      <w:rFonts w:ascii="Arial" w:eastAsia="SimSun" w:hAnsi="Arial" w:cs="Arial"/>
      <w:sz w:val="20"/>
      <w:szCs w:val="20"/>
      <w:lang w:val="en-GB" w:eastAsia="zh-CN"/>
    </w:rPr>
  </w:style>
  <w:style w:type="paragraph" w:styleId="Assuntodocomentrio">
    <w:name w:val="annotation subject"/>
    <w:basedOn w:val="Textodecomentrio"/>
    <w:next w:val="Textodecomentrio"/>
    <w:link w:val="AssuntodocomentrioChar"/>
    <w:uiPriority w:val="99"/>
    <w:semiHidden/>
    <w:unhideWhenUsed/>
    <w:rsid w:val="00EC5D09"/>
    <w:rPr>
      <w:b/>
      <w:bCs/>
    </w:rPr>
  </w:style>
  <w:style w:type="character" w:customStyle="1" w:styleId="AssuntodocomentrioChar">
    <w:name w:val="Assunto do comentário Char"/>
    <w:basedOn w:val="TextodecomentrioChar"/>
    <w:link w:val="Assuntodocomentrio"/>
    <w:uiPriority w:val="99"/>
    <w:semiHidden/>
    <w:rsid w:val="00EC5D09"/>
    <w:rPr>
      <w:rFonts w:ascii="Arial" w:eastAsia="SimSun" w:hAnsi="Arial" w:cs="Arial"/>
      <w:b/>
      <w:bCs/>
      <w:sz w:val="20"/>
      <w:szCs w:val="20"/>
      <w:lang w:val="en-GB" w:eastAsia="zh-CN"/>
    </w:rPr>
  </w:style>
  <w:style w:type="paragraph" w:styleId="Textodebalo">
    <w:name w:val="Balloon Text"/>
    <w:basedOn w:val="Normal"/>
    <w:link w:val="TextodebaloChar"/>
    <w:uiPriority w:val="99"/>
    <w:semiHidden/>
    <w:unhideWhenUsed/>
    <w:rsid w:val="00EC5D09"/>
    <w:pPr>
      <w:spacing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EC5D09"/>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4095</Words>
  <Characters>22116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kal</cp:lastModifiedBy>
  <cp:revision>10</cp:revision>
  <dcterms:created xsi:type="dcterms:W3CDTF">2023-05-10T21:37:00Z</dcterms:created>
  <dcterms:modified xsi:type="dcterms:W3CDTF">2023-05-11T11:14:00Z</dcterms:modified>
</cp:coreProperties>
</file>