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940"/>
        <w:gridCol w:w="1842"/>
      </w:tblGrid>
      <w:tr w:rsidR="000A03B2" w:rsidRPr="00B57B36" w14:paraId="2A131A54" w14:textId="77777777" w:rsidTr="00DE264A">
        <w:trPr>
          <w:trHeight w:val="852"/>
          <w:jc w:val="center"/>
        </w:trPr>
        <w:tc>
          <w:tcPr>
            <w:tcW w:w="6946" w:type="dxa"/>
            <w:vMerge w:val="restart"/>
            <w:tcBorders>
              <w:right w:val="single" w:sz="4" w:space="0" w:color="auto"/>
            </w:tcBorders>
          </w:tcPr>
          <w:p w14:paraId="38C3D2BA" w14:textId="77777777" w:rsidR="000A03B2" w:rsidRPr="00B57B36" w:rsidRDefault="000A03B2" w:rsidP="00DE264A">
            <w:pPr>
              <w:tabs>
                <w:tab w:val="left" w:pos="-108"/>
              </w:tabs>
              <w:ind w:left="-108"/>
              <w:jc w:val="left"/>
              <w:rPr>
                <w:rFonts w:cs="Arial"/>
                <w:b/>
                <w:bCs/>
                <w:i/>
                <w:iCs/>
                <w:color w:val="000066"/>
                <w:sz w:val="12"/>
                <w:szCs w:val="12"/>
                <w:lang w:eastAsia="it-IT"/>
              </w:rPr>
            </w:pPr>
            <w:r w:rsidRPr="00B57B36">
              <w:rPr>
                <w:rFonts w:ascii="AdvP6960" w:hAnsi="AdvP6960" w:cs="AdvP6960"/>
                <w:noProof/>
                <w:color w:val="241F20"/>
                <w:szCs w:val="18"/>
                <w:lang w:val="it-IT" w:eastAsia="it-IT"/>
              </w:rPr>
              <w:drawing>
                <wp:inline distT="0" distB="0" distL="0" distR="0" wp14:anchorId="02B7C3D3" wp14:editId="5EE03112">
                  <wp:extent cx="640080" cy="373380"/>
                  <wp:effectExtent l="0" t="0" r="7620" b="7620"/>
                  <wp:docPr id="5" name="Immagine 5" descr="cet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et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00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57B36">
              <w:rPr>
                <w:rFonts w:ascii="AdvP6960" w:hAnsi="AdvP6960" w:cs="AdvP6960"/>
                <w:color w:val="241F20"/>
                <w:szCs w:val="18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4"/>
                <w:szCs w:val="24"/>
                <w:lang w:eastAsia="it-IT"/>
              </w:rPr>
              <w:t>CHEMICAL ENGINEERING</w:t>
            </w:r>
            <w:r w:rsidRPr="00B57B36">
              <w:rPr>
                <w:rFonts w:cs="Arial"/>
                <w:b/>
                <w:bCs/>
                <w:i/>
                <w:iCs/>
                <w:color w:val="0033FF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666666"/>
                <w:sz w:val="24"/>
                <w:szCs w:val="24"/>
                <w:lang w:eastAsia="it-IT"/>
              </w:rPr>
              <w:t>TRANSACTIONS</w:t>
            </w:r>
            <w:r w:rsidRPr="00B57B36">
              <w:rPr>
                <w:color w:val="333333"/>
                <w:sz w:val="24"/>
                <w:szCs w:val="24"/>
                <w:lang w:eastAsia="it-IT"/>
              </w:rPr>
              <w:t xml:space="preserve"> </w:t>
            </w:r>
            <w:r w:rsidRPr="00B57B36">
              <w:rPr>
                <w:rFonts w:cs="Arial"/>
                <w:b/>
                <w:bCs/>
                <w:i/>
                <w:iCs/>
                <w:color w:val="000066"/>
                <w:sz w:val="27"/>
                <w:szCs w:val="27"/>
                <w:lang w:eastAsia="it-IT"/>
              </w:rPr>
              <w:br/>
            </w:r>
          </w:p>
          <w:p w14:paraId="4B780582" w14:textId="6B805291" w:rsidR="000A03B2" w:rsidRPr="00B57B36" w:rsidRDefault="00A76EFC" w:rsidP="001D21AF">
            <w:pPr>
              <w:tabs>
                <w:tab w:val="left" w:pos="-108"/>
              </w:tabs>
              <w:ind w:left="-108"/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</w:pPr>
            <w:proofErr w:type="gramStart"/>
            <w:r w:rsidRPr="00B57B36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VOL.</w:t>
            </w:r>
            <w:r w:rsidR="00177EBE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r w:rsidR="007B48F9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,</w:t>
            </w:r>
            <w:proofErr w:type="gramEnd"/>
            <w:r w:rsidR="00FA5F5F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 xml:space="preserve"> </w:t>
            </w:r>
            <w:r w:rsidR="0030152C">
              <w:rPr>
                <w:rFonts w:cs="Arial"/>
                <w:b/>
                <w:bCs/>
                <w:i/>
                <w:iCs/>
                <w:color w:val="000066"/>
                <w:sz w:val="22"/>
                <w:szCs w:val="22"/>
                <w:lang w:eastAsia="it-IT"/>
              </w:rPr>
              <w:t>2023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678213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A publication of</w:t>
            </w:r>
          </w:p>
          <w:p w14:paraId="599E5441" w14:textId="77777777" w:rsidR="000A03B2" w:rsidRPr="00B57B36" w:rsidRDefault="000A03B2" w:rsidP="00CD5FE2">
            <w:pPr>
              <w:jc w:val="right"/>
            </w:pPr>
            <w:r w:rsidRPr="00B57B36">
              <w:rPr>
                <w:noProof/>
                <w:lang w:val="it-IT" w:eastAsia="it-IT"/>
              </w:rPr>
              <w:drawing>
                <wp:inline distT="0" distB="0" distL="0" distR="0" wp14:anchorId="59C75AF4" wp14:editId="4FF92432">
                  <wp:extent cx="670560" cy="358140"/>
                  <wp:effectExtent l="0" t="0" r="0" b="3810"/>
                  <wp:docPr id="6" name="Immagine 6" descr="aidiclogo_gran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aidiclogo_grand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0560" cy="358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03B2" w:rsidRPr="00B57B36" w14:paraId="380FA3CD" w14:textId="77777777" w:rsidTr="00DE264A">
        <w:trPr>
          <w:trHeight w:val="567"/>
          <w:jc w:val="center"/>
        </w:trPr>
        <w:tc>
          <w:tcPr>
            <w:tcW w:w="6946" w:type="dxa"/>
            <w:vMerge/>
            <w:tcBorders>
              <w:right w:val="single" w:sz="4" w:space="0" w:color="auto"/>
            </w:tcBorders>
          </w:tcPr>
          <w:p w14:paraId="39E5E4C1" w14:textId="77777777" w:rsidR="000A03B2" w:rsidRPr="00B57B36" w:rsidRDefault="000A03B2" w:rsidP="00CD5FE2">
            <w:pPr>
              <w:tabs>
                <w:tab w:val="left" w:pos="-108"/>
              </w:tabs>
            </w:pP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43858A98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The Italian Association</w:t>
            </w:r>
          </w:p>
          <w:p w14:paraId="7522B1D2" w14:textId="77777777" w:rsidR="000A03B2" w:rsidRPr="00B57B36" w:rsidRDefault="000A03B2" w:rsidP="00CD5FE2">
            <w:pPr>
              <w:spacing w:line="140" w:lineRule="atLeast"/>
              <w:jc w:val="right"/>
              <w:rPr>
                <w:rFonts w:cs="Arial"/>
                <w:sz w:val="14"/>
                <w:szCs w:val="14"/>
              </w:rPr>
            </w:pPr>
            <w:r w:rsidRPr="00B57B36">
              <w:rPr>
                <w:rFonts w:cs="Arial"/>
                <w:sz w:val="14"/>
                <w:szCs w:val="14"/>
              </w:rPr>
              <w:t>of Chemical Engineering</w:t>
            </w:r>
          </w:p>
          <w:p w14:paraId="4F0CC5DE" w14:textId="47FDB2FC" w:rsidR="000A03B2" w:rsidRPr="000D0268" w:rsidRDefault="000D0268" w:rsidP="00CD5FE2">
            <w:pPr>
              <w:spacing w:line="140" w:lineRule="atLeast"/>
              <w:jc w:val="right"/>
              <w:rPr>
                <w:rFonts w:cs="Arial"/>
                <w:sz w:val="13"/>
                <w:szCs w:val="13"/>
              </w:rPr>
            </w:pPr>
            <w:r w:rsidRPr="000D0268">
              <w:rPr>
                <w:rFonts w:cs="Arial"/>
                <w:sz w:val="13"/>
                <w:szCs w:val="13"/>
              </w:rPr>
              <w:t>Online at www.cetjournal.it</w:t>
            </w:r>
          </w:p>
        </w:tc>
      </w:tr>
      <w:tr w:rsidR="000A03B2" w:rsidRPr="00B57B36" w14:paraId="2D1B7169" w14:textId="77777777" w:rsidTr="00DE264A">
        <w:trPr>
          <w:trHeight w:val="68"/>
          <w:jc w:val="center"/>
        </w:trPr>
        <w:tc>
          <w:tcPr>
            <w:tcW w:w="8789" w:type="dxa"/>
            <w:gridSpan w:val="2"/>
          </w:tcPr>
          <w:p w14:paraId="1D8DD3C9" w14:textId="06DCB7F6" w:rsidR="00AA7D26" w:rsidRPr="003A6FC6" w:rsidRDefault="00AA7D26" w:rsidP="00AA7D26">
            <w:pPr>
              <w:ind w:left="-107"/>
              <w:outlineLvl w:val="2"/>
              <w:rPr>
                <w:rFonts w:ascii="Tahoma" w:hAnsi="Tahoma" w:cs="Tahoma"/>
                <w:bCs/>
                <w:color w:val="000000"/>
                <w:sz w:val="14"/>
                <w:szCs w:val="14"/>
                <w:lang w:val="it-IT" w:eastAsia="it-IT"/>
              </w:rPr>
            </w:pPr>
            <w:r w:rsidRPr="003A6FC6">
              <w:rPr>
                <w:rFonts w:ascii="Tahoma" w:hAnsi="Tahoma" w:cs="Tahoma"/>
                <w:iCs/>
                <w:color w:val="333333"/>
                <w:sz w:val="14"/>
                <w:szCs w:val="14"/>
                <w:lang w:val="it-IT" w:eastAsia="it-IT"/>
              </w:rPr>
              <w:t>Guest Editors:</w:t>
            </w:r>
            <w:r w:rsidRPr="003A6FC6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 xml:space="preserve"> </w:t>
            </w:r>
            <w:r w:rsidR="003A6FC6" w:rsidRPr="003A6FC6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>Laura Piazza, M</w:t>
            </w:r>
            <w:r w:rsidR="003A6FC6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 xml:space="preserve">auro Moresi, Francesco </w:t>
            </w:r>
            <w:proofErr w:type="spellStart"/>
            <w:r w:rsidR="003A6FC6">
              <w:rPr>
                <w:rFonts w:ascii="Tahoma" w:hAnsi="Tahoma" w:cs="Tahoma"/>
                <w:color w:val="000000"/>
                <w:sz w:val="14"/>
                <w:szCs w:val="14"/>
                <w:shd w:val="clear" w:color="auto" w:fill="FFFFFF"/>
                <w:lang w:val="it-IT"/>
              </w:rPr>
              <w:t>Donsì</w:t>
            </w:r>
            <w:proofErr w:type="spellEnd"/>
          </w:p>
          <w:p w14:paraId="1B0F1814" w14:textId="617BA86D" w:rsidR="000A03B2" w:rsidRPr="00B57B36" w:rsidRDefault="00AA7D26" w:rsidP="00AA7D26">
            <w:pPr>
              <w:tabs>
                <w:tab w:val="left" w:pos="-108"/>
              </w:tabs>
              <w:spacing w:line="140" w:lineRule="atLeast"/>
              <w:ind w:left="-107"/>
              <w:jc w:val="left"/>
            </w:pPr>
            <w:r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Copyright © 2023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, AIDIC </w:t>
            </w:r>
            <w:proofErr w:type="spellStart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Servizi</w:t>
            </w:r>
            <w:proofErr w:type="spellEnd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proofErr w:type="spellStart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S.r.l</w:t>
            </w:r>
            <w:proofErr w:type="spellEnd"/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.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br/>
            </w:r>
            <w:r w:rsidRPr="00B57B36">
              <w:rPr>
                <w:rFonts w:ascii="Tahoma" w:hAnsi="Tahoma" w:cs="Tahoma"/>
                <w:b/>
                <w:iCs/>
                <w:color w:val="000000"/>
                <w:sz w:val="14"/>
                <w:szCs w:val="14"/>
                <w:lang w:eastAsia="it-IT"/>
              </w:rPr>
              <w:t>ISBN</w:t>
            </w:r>
            <w:r w:rsidRPr="00B57B36">
              <w:rPr>
                <w:rFonts w:ascii="Tahoma" w:hAnsi="Tahoma" w:cs="Tahoma"/>
                <w:iCs/>
                <w:color w:val="000000"/>
                <w:sz w:val="14"/>
                <w:szCs w:val="14"/>
                <w:lang w:eastAsia="it-IT"/>
              </w:rPr>
              <w:t xml:space="preserve"> </w:t>
            </w:r>
            <w:r w:rsidR="008B7C03" w:rsidRPr="000562A9">
              <w:rPr>
                <w:rFonts w:ascii="Tahoma" w:hAnsi="Tahoma" w:cs="Tahoma"/>
                <w:sz w:val="14"/>
                <w:szCs w:val="14"/>
              </w:rPr>
              <w:t>97</w:t>
            </w:r>
            <w:r w:rsidR="008B7C03">
              <w:rPr>
                <w:rFonts w:ascii="Tahoma" w:hAnsi="Tahoma" w:cs="Tahoma"/>
                <w:sz w:val="14"/>
                <w:szCs w:val="14"/>
              </w:rPr>
              <w:t>9</w:t>
            </w:r>
            <w:r w:rsidR="008B7C03" w:rsidRPr="000562A9">
              <w:rPr>
                <w:rFonts w:ascii="Tahoma" w:hAnsi="Tahoma" w:cs="Tahoma"/>
                <w:sz w:val="14"/>
                <w:szCs w:val="14"/>
              </w:rPr>
              <w:t>-</w:t>
            </w:r>
            <w:r w:rsidR="008B7C03">
              <w:rPr>
                <w:rFonts w:ascii="Tahoma" w:hAnsi="Tahoma" w:cs="Tahoma"/>
                <w:sz w:val="14"/>
                <w:szCs w:val="14"/>
              </w:rPr>
              <w:t>12</w:t>
            </w:r>
            <w:r w:rsidR="008B7C03" w:rsidRPr="000562A9">
              <w:rPr>
                <w:rFonts w:ascii="Tahoma" w:hAnsi="Tahoma" w:cs="Tahoma"/>
                <w:sz w:val="14"/>
                <w:szCs w:val="14"/>
              </w:rPr>
              <w:t>-</w:t>
            </w:r>
            <w:r w:rsidR="008B7C03">
              <w:rPr>
                <w:rFonts w:ascii="Tahoma" w:hAnsi="Tahoma" w:cs="Tahoma"/>
                <w:sz w:val="14"/>
                <w:szCs w:val="14"/>
              </w:rPr>
              <w:t>81206</w:t>
            </w:r>
            <w:r>
              <w:rPr>
                <w:rFonts w:ascii="Tahoma" w:hAnsi="Tahoma" w:cs="Tahoma"/>
                <w:sz w:val="14"/>
                <w:szCs w:val="14"/>
              </w:rPr>
              <w:t>-</w:t>
            </w:r>
            <w:r w:rsidR="00E33DD7">
              <w:rPr>
                <w:rFonts w:ascii="Tahoma" w:hAnsi="Tahoma" w:cs="Tahoma"/>
                <w:sz w:val="14"/>
                <w:szCs w:val="14"/>
              </w:rPr>
              <w:t>0</w:t>
            </w:r>
            <w:r w:rsidR="003A6FC6">
              <w:rPr>
                <w:rFonts w:ascii="Tahoma" w:hAnsi="Tahoma" w:cs="Tahoma"/>
                <w:sz w:val="14"/>
                <w:szCs w:val="14"/>
              </w:rPr>
              <w:t>1</w:t>
            </w:r>
            <w:r>
              <w:rPr>
                <w:rFonts w:ascii="Tahoma" w:hAnsi="Tahoma" w:cs="Tahoma"/>
                <w:sz w:val="14"/>
                <w:szCs w:val="14"/>
              </w:rPr>
              <w:t>-</w:t>
            </w:r>
            <w:r w:rsidR="003A6FC6">
              <w:rPr>
                <w:rFonts w:ascii="Tahoma" w:hAnsi="Tahoma" w:cs="Tahoma"/>
                <w:sz w:val="14"/>
                <w:szCs w:val="14"/>
              </w:rPr>
              <w:t>4</w:t>
            </w:r>
            <w:r w:rsidRPr="00EF06D9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>;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</w:t>
            </w:r>
            <w:r w:rsidRPr="00B57B36">
              <w:rPr>
                <w:rFonts w:ascii="Tahoma" w:hAnsi="Tahoma" w:cs="Tahoma"/>
                <w:b/>
                <w:iCs/>
                <w:color w:val="333333"/>
                <w:sz w:val="14"/>
                <w:szCs w:val="14"/>
                <w:lang w:eastAsia="it-IT"/>
              </w:rPr>
              <w:t>ISSN</w:t>
            </w:r>
            <w:r w:rsidRPr="00B57B36">
              <w:rPr>
                <w:rFonts w:ascii="Tahoma" w:hAnsi="Tahoma" w:cs="Tahoma"/>
                <w:iCs/>
                <w:color w:val="333333"/>
                <w:sz w:val="14"/>
                <w:szCs w:val="14"/>
                <w:lang w:eastAsia="it-IT"/>
              </w:rPr>
              <w:t xml:space="preserve"> 2283-9216</w:t>
            </w:r>
          </w:p>
        </w:tc>
      </w:tr>
    </w:tbl>
    <w:p w14:paraId="2E667253" w14:textId="4E553927" w:rsidR="00E978D0" w:rsidRPr="00B57B36" w:rsidRDefault="00ED2BDE" w:rsidP="00E978D0">
      <w:pPr>
        <w:pStyle w:val="CETTitle"/>
      </w:pPr>
      <w:r>
        <w:t xml:space="preserve">Development of biodegradable PBS/PVOH-based films and evaluation of performance </w:t>
      </w:r>
      <w:bookmarkStart w:id="0" w:name="_Hlk129269694"/>
      <w:r>
        <w:t>for food packaging applications</w:t>
      </w:r>
      <w:bookmarkEnd w:id="0"/>
    </w:p>
    <w:p w14:paraId="0488FED2" w14:textId="35DD2606" w:rsidR="00B57E6F" w:rsidRPr="00ED2BDE" w:rsidRDefault="00ED2BDE" w:rsidP="00B57E6F">
      <w:pPr>
        <w:pStyle w:val="CETAuthors"/>
        <w:rPr>
          <w:lang w:val="it-IT"/>
        </w:rPr>
      </w:pPr>
      <w:r w:rsidRPr="00ED2BDE">
        <w:rPr>
          <w:lang w:val="it-IT"/>
        </w:rPr>
        <w:t>Antonio Barbato</w:t>
      </w:r>
      <w:r w:rsidR="00B57E6F" w:rsidRPr="00ED2BDE">
        <w:rPr>
          <w:lang w:val="it-IT"/>
        </w:rPr>
        <w:t xml:space="preserve">, </w:t>
      </w:r>
      <w:r w:rsidRPr="00ED2BDE">
        <w:rPr>
          <w:lang w:val="it-IT"/>
        </w:rPr>
        <w:t>Annalisa Apicella</w:t>
      </w:r>
      <w:r w:rsidR="009F5288">
        <w:rPr>
          <w:lang w:val="it-IT"/>
        </w:rPr>
        <w:t>*</w:t>
      </w:r>
      <w:r w:rsidRPr="00ED2BDE">
        <w:rPr>
          <w:lang w:val="it-IT"/>
        </w:rPr>
        <w:t xml:space="preserve">, </w:t>
      </w:r>
      <w:r>
        <w:rPr>
          <w:lang w:val="it-IT"/>
        </w:rPr>
        <w:t>Francesco Palmieri, Loredana Incarnato</w:t>
      </w:r>
    </w:p>
    <w:p w14:paraId="3D72B0B0" w14:textId="73F9DB0B" w:rsidR="00B57E6F" w:rsidRPr="00C81080" w:rsidRDefault="00ED2BDE" w:rsidP="00B57E6F">
      <w:pPr>
        <w:pStyle w:val="CETAddress"/>
        <w:rPr>
          <w:color w:val="FF0000"/>
          <w:lang w:val="it-IT"/>
        </w:rPr>
      </w:pPr>
      <w:r>
        <w:rPr>
          <w:rFonts w:eastAsiaTheme="minorHAnsi" w:cs="Arial"/>
          <w:szCs w:val="16"/>
          <w:lang w:val="it-IT"/>
        </w:rPr>
        <w:t>Università degli Studi di Salerno, Via Giovanni Paolo II, 134, 84084</w:t>
      </w:r>
      <w:r w:rsidRPr="00ED2BDE">
        <w:rPr>
          <w:vertAlign w:val="superscript"/>
          <w:lang w:val="it-IT"/>
        </w:rPr>
        <w:t xml:space="preserve"> </w:t>
      </w:r>
    </w:p>
    <w:p w14:paraId="73F1267A" w14:textId="6161F6C7" w:rsidR="00B57E6F" w:rsidRPr="003D5CE1" w:rsidRDefault="00000000" w:rsidP="00B57E6F">
      <w:pPr>
        <w:pStyle w:val="CETemail"/>
        <w:rPr>
          <w:lang w:val="en-US"/>
        </w:rPr>
      </w:pPr>
      <w:hyperlink r:id="rId10" w:history="1">
        <w:r w:rsidR="009F5288" w:rsidRPr="000F5AB2">
          <w:rPr>
            <w:rStyle w:val="Collegamentoipertestuale"/>
            <w:lang w:val="en-US"/>
          </w:rPr>
          <w:t>anapicella@unisa.it</w:t>
        </w:r>
      </w:hyperlink>
    </w:p>
    <w:p w14:paraId="7E5B9880" w14:textId="399CCAB0" w:rsidR="00904BD1" w:rsidRPr="004C0F80" w:rsidRDefault="00DA59C7" w:rsidP="000D656D">
      <w:pPr>
        <w:pStyle w:val="CETBodytext"/>
      </w:pPr>
      <w:r w:rsidRPr="004C0F80">
        <w:t xml:space="preserve">The objective of this work </w:t>
      </w:r>
      <w:r w:rsidR="001214D5" w:rsidRPr="004C0F80">
        <w:t xml:space="preserve">deals with </w:t>
      </w:r>
      <w:r w:rsidR="00042E63" w:rsidRPr="004C0F80">
        <w:t xml:space="preserve">the realization of </w:t>
      </w:r>
      <w:r w:rsidR="00DD6E87" w:rsidRPr="004C0F80">
        <w:t xml:space="preserve">high </w:t>
      </w:r>
      <w:r w:rsidR="00904BD1" w:rsidRPr="004C0F80">
        <w:t>O</w:t>
      </w:r>
      <w:r w:rsidR="00904BD1" w:rsidRPr="004C0F80">
        <w:rPr>
          <w:vertAlign w:val="subscript"/>
        </w:rPr>
        <w:t>2</w:t>
      </w:r>
      <w:r w:rsidR="00904BD1" w:rsidRPr="004C0F80">
        <w:t>-</w:t>
      </w:r>
      <w:r w:rsidR="00DD6E87" w:rsidRPr="004C0F80">
        <w:t xml:space="preserve">barrier </w:t>
      </w:r>
      <w:r w:rsidR="00042E63" w:rsidRPr="004C0F80">
        <w:t>blown films based on novel biodegradable blends of Polybutylene succinate (PBS) and Poly-vinyl alcohol (PVOH</w:t>
      </w:r>
      <w:r w:rsidR="00904BD1" w:rsidRPr="004C0F80">
        <w:t>)</w:t>
      </w:r>
      <w:r w:rsidR="00042E63" w:rsidRPr="004C0F80">
        <w:t xml:space="preserve"> </w:t>
      </w:r>
      <w:r w:rsidR="00904BD1" w:rsidRPr="004C0F80">
        <w:t>for food packaging applications</w:t>
      </w:r>
      <w:r w:rsidRPr="004C0F80">
        <w:t>.</w:t>
      </w:r>
      <w:r w:rsidR="005B528D" w:rsidRPr="004C0F80">
        <w:t xml:space="preserve"> </w:t>
      </w:r>
      <w:r w:rsidRPr="004C0F80">
        <w:t>Blends at different PBS/PVOH weight ratios (100/0, 80/20, 60/40, 0/100</w:t>
      </w:r>
      <w:r w:rsidR="009733F6" w:rsidRPr="004C0F80">
        <w:t xml:space="preserve"> </w:t>
      </w:r>
      <w:proofErr w:type="spellStart"/>
      <w:r w:rsidR="009733F6" w:rsidRPr="004C0F80">
        <w:t>wt</w:t>
      </w:r>
      <w:proofErr w:type="spellEnd"/>
      <w:r w:rsidR="009733F6" w:rsidRPr="004C0F80">
        <w:t>%</w:t>
      </w:r>
      <w:r w:rsidRPr="004C0F80">
        <w:t xml:space="preserve">) </w:t>
      </w:r>
      <w:r w:rsidR="0026763B" w:rsidRPr="004C0F80">
        <w:t xml:space="preserve">were produced </w:t>
      </w:r>
      <w:r w:rsidRPr="004C0F80">
        <w:t xml:space="preserve">and their processability and miscibility was </w:t>
      </w:r>
      <w:r w:rsidR="00492A66" w:rsidRPr="004C0F80">
        <w:t>preliminary</w:t>
      </w:r>
      <w:r w:rsidRPr="004C0F80">
        <w:t xml:space="preserve"> </w:t>
      </w:r>
      <w:r w:rsidR="00823DAC" w:rsidRPr="004C0F80">
        <w:t>assessed</w:t>
      </w:r>
      <w:r w:rsidRPr="004C0F80">
        <w:t xml:space="preserve"> by means of dynamic shear rheological tests. Afterwards,</w:t>
      </w:r>
      <w:r w:rsidR="007F5EF2" w:rsidRPr="004C0F80">
        <w:t xml:space="preserve"> blown films were realized and then characterized </w:t>
      </w:r>
      <w:r w:rsidR="00DD6E87" w:rsidRPr="004C0F80">
        <w:t xml:space="preserve">in terms of chemical properties and </w:t>
      </w:r>
      <w:r w:rsidR="007F5EF2" w:rsidRPr="004C0F80">
        <w:t xml:space="preserve">oxygen </w:t>
      </w:r>
      <w:r w:rsidR="00DD6E87" w:rsidRPr="004C0F80">
        <w:t>barrier performance</w:t>
      </w:r>
      <w:r w:rsidR="007F5EF2" w:rsidRPr="004C0F80">
        <w:t>. The results revealed that</w:t>
      </w:r>
      <w:r w:rsidR="001214D5" w:rsidRPr="004C0F80">
        <w:t>,</w:t>
      </w:r>
      <w:r w:rsidR="007F5EF2" w:rsidRPr="004C0F80">
        <w:t xml:space="preserve"> although immiscible, </w:t>
      </w:r>
      <w:r w:rsidR="0026763B" w:rsidRPr="004C0F80">
        <w:t>polymers in</w:t>
      </w:r>
      <w:r w:rsidR="006B3022" w:rsidRPr="004C0F80">
        <w:t xml:space="preserve"> the</w:t>
      </w:r>
      <w:r w:rsidR="0026763B" w:rsidRPr="004C0F80">
        <w:t xml:space="preserve"> blend</w:t>
      </w:r>
      <w:r w:rsidR="007F5EF2" w:rsidRPr="004C0F80">
        <w:t xml:space="preserve"> show some degree of interaction. </w:t>
      </w:r>
      <w:r w:rsidR="00904BD1" w:rsidRPr="004C0F80">
        <w:t xml:space="preserve">Moreover, as the concentration of PVOH in the films increased, a significant decrease in oxygen permeability was obtained with respect to the neat PBS film, up to 42% for the PBS/PVOH 60/40 sample. </w:t>
      </w:r>
      <w:r w:rsidR="007F5EF2" w:rsidRPr="004C0F80">
        <w:t xml:space="preserve">The findings of this study </w:t>
      </w:r>
      <w:r w:rsidR="00D9373D" w:rsidRPr="004C0F80">
        <w:t>highlighted</w:t>
      </w:r>
      <w:r w:rsidR="007F5EF2" w:rsidRPr="004C0F80">
        <w:t xml:space="preserve"> </w:t>
      </w:r>
      <w:r w:rsidR="00904BD1" w:rsidRPr="004C0F80">
        <w:t xml:space="preserve">the promising perspectives of </w:t>
      </w:r>
      <w:r w:rsidR="007F5EF2" w:rsidRPr="004C0F80">
        <w:t xml:space="preserve">these </w:t>
      </w:r>
      <w:r w:rsidR="00904BD1" w:rsidRPr="004C0F80">
        <w:t>films</w:t>
      </w:r>
      <w:r w:rsidR="007F5EF2" w:rsidRPr="004C0F80">
        <w:t xml:space="preserve"> </w:t>
      </w:r>
      <w:r w:rsidR="00904BD1" w:rsidRPr="004C0F80">
        <w:t>as sustainable packaging for sensitive foods with high O</w:t>
      </w:r>
      <w:r w:rsidR="00904BD1" w:rsidRPr="004C0F80">
        <w:rPr>
          <w:vertAlign w:val="subscript"/>
        </w:rPr>
        <w:t>2</w:t>
      </w:r>
      <w:r w:rsidR="00904BD1" w:rsidRPr="004C0F80">
        <w:t>-barrier requirements.</w:t>
      </w:r>
    </w:p>
    <w:p w14:paraId="476B2F2E" w14:textId="671177D7" w:rsidR="00600535" w:rsidRPr="004C0F80" w:rsidRDefault="00600535" w:rsidP="00600535">
      <w:pPr>
        <w:pStyle w:val="CETHeading1"/>
        <w:rPr>
          <w:lang w:val="en-GB"/>
        </w:rPr>
      </w:pPr>
      <w:r w:rsidRPr="004C0F80">
        <w:rPr>
          <w:lang w:val="en-GB"/>
        </w:rPr>
        <w:t>Introduction</w:t>
      </w:r>
    </w:p>
    <w:p w14:paraId="113CFBA6" w14:textId="4789AC2C" w:rsidR="00E1661C" w:rsidRPr="004C0F80" w:rsidRDefault="00BE1542" w:rsidP="00802C9D">
      <w:pPr>
        <w:pStyle w:val="CETBodytext"/>
      </w:pPr>
      <w:r w:rsidRPr="004C0F80">
        <w:rPr>
          <w:lang w:val="en-GB"/>
        </w:rPr>
        <w:t>A</w:t>
      </w:r>
      <w:proofErr w:type="spellStart"/>
      <w:r w:rsidR="00E20229" w:rsidRPr="004C0F80">
        <w:t>lthough</w:t>
      </w:r>
      <w:proofErr w:type="spellEnd"/>
      <w:r w:rsidR="00702111" w:rsidRPr="004C0F80">
        <w:t xml:space="preserve"> </w:t>
      </w:r>
      <w:r w:rsidR="00E20229" w:rsidRPr="004C0F80">
        <w:t xml:space="preserve">plastic pollution has become </w:t>
      </w:r>
      <w:r w:rsidR="000A0899" w:rsidRPr="004C0F80">
        <w:t>a</w:t>
      </w:r>
      <w:r w:rsidR="005107B2" w:rsidRPr="004C0F80">
        <w:t xml:space="preserve"> major </w:t>
      </w:r>
      <w:r w:rsidR="000A0899" w:rsidRPr="004C0F80">
        <w:t>issue</w:t>
      </w:r>
      <w:r w:rsidR="002A7CA2" w:rsidRPr="004C0F80">
        <w:t xml:space="preserve"> with important socio-economic implications</w:t>
      </w:r>
      <w:r w:rsidR="00C45D6F" w:rsidRPr="004C0F80">
        <w:t>,</w:t>
      </w:r>
      <w:r w:rsidR="00702111" w:rsidRPr="004C0F80">
        <w:t xml:space="preserve"> </w:t>
      </w:r>
      <w:r w:rsidR="00FF3398" w:rsidRPr="004C0F80">
        <w:t xml:space="preserve">plastic employment </w:t>
      </w:r>
      <w:r w:rsidRPr="004C0F80">
        <w:t xml:space="preserve">is </w:t>
      </w:r>
      <w:r w:rsidR="00FF3398" w:rsidRPr="004C0F80">
        <w:t>continuously increas</w:t>
      </w:r>
      <w:r w:rsidR="00C47F79" w:rsidRPr="004C0F80">
        <w:t>ing</w:t>
      </w:r>
      <w:r w:rsidR="00FF3398" w:rsidRPr="004C0F80">
        <w:t xml:space="preserve">, especially </w:t>
      </w:r>
      <w:r w:rsidR="008A624D" w:rsidRPr="004C0F80">
        <w:t>in</w:t>
      </w:r>
      <w:r w:rsidR="00C47F79" w:rsidRPr="004C0F80">
        <w:t xml:space="preserve"> the</w:t>
      </w:r>
      <w:r w:rsidR="00FF3398" w:rsidRPr="004C0F80">
        <w:t xml:space="preserve"> </w:t>
      </w:r>
      <w:r w:rsidR="00FF3398" w:rsidRPr="004C0F80">
        <w:rPr>
          <w:lang w:val="en-GB"/>
        </w:rPr>
        <w:t>packaging</w:t>
      </w:r>
      <w:r w:rsidR="00FF3398" w:rsidRPr="004C0F80">
        <w:t xml:space="preserve"> </w:t>
      </w:r>
      <w:r w:rsidR="008A624D" w:rsidRPr="004C0F80">
        <w:t>sector</w:t>
      </w:r>
      <w:r w:rsidR="008B27C6" w:rsidRPr="004C0F80">
        <w:t xml:space="preserve">. </w:t>
      </w:r>
      <w:r w:rsidR="00702111" w:rsidRPr="004C0F80">
        <w:t>I</w:t>
      </w:r>
      <w:r w:rsidR="002A7CA2" w:rsidRPr="004C0F80">
        <w:t xml:space="preserve">n this </w:t>
      </w:r>
      <w:r w:rsidR="008A624D" w:rsidRPr="004C0F80">
        <w:t>respect</w:t>
      </w:r>
      <w:r w:rsidR="002A7CA2" w:rsidRPr="004C0F80">
        <w:t xml:space="preserve">, </w:t>
      </w:r>
      <w:r w:rsidR="008A624D" w:rsidRPr="004C0F80">
        <w:t>b</w:t>
      </w:r>
      <w:r w:rsidR="009B414F" w:rsidRPr="004C0F80">
        <w:t>io-based and</w:t>
      </w:r>
      <w:r w:rsidR="005F0239" w:rsidRPr="004C0F80">
        <w:t xml:space="preserve"> biodegradable </w:t>
      </w:r>
      <w:r w:rsidR="009B414F" w:rsidRPr="004C0F80">
        <w:t>polymers</w:t>
      </w:r>
      <w:r w:rsidR="005F0239" w:rsidRPr="004C0F80">
        <w:t xml:space="preserve"> </w:t>
      </w:r>
      <w:r w:rsidR="001738E8" w:rsidRPr="004C0F80">
        <w:t>seem to be</w:t>
      </w:r>
      <w:r w:rsidR="006B1E71" w:rsidRPr="004C0F80">
        <w:t xml:space="preserve"> ideal</w:t>
      </w:r>
      <w:r w:rsidR="006B1E71" w:rsidRPr="004C0F80">
        <w:rPr>
          <w:rFonts w:eastAsiaTheme="minorHAnsi" w:cs="Arial"/>
          <w:szCs w:val="18"/>
        </w:rPr>
        <w:t xml:space="preserve"> candidates</w:t>
      </w:r>
      <w:r w:rsidR="00B020F9" w:rsidRPr="004C0F80">
        <w:rPr>
          <w:rFonts w:eastAsiaTheme="minorHAnsi" w:cs="Arial"/>
          <w:szCs w:val="18"/>
        </w:rPr>
        <w:t xml:space="preserve"> </w:t>
      </w:r>
      <w:r w:rsidR="006B1E71" w:rsidRPr="004C0F80">
        <w:rPr>
          <w:rFonts w:eastAsiaTheme="minorHAnsi" w:cs="Arial"/>
          <w:szCs w:val="18"/>
        </w:rPr>
        <w:t xml:space="preserve">for the </w:t>
      </w:r>
      <w:r w:rsidR="00C45D6F" w:rsidRPr="004C0F80">
        <w:rPr>
          <w:rFonts w:eastAsiaTheme="minorHAnsi" w:cs="Arial"/>
          <w:szCs w:val="18"/>
        </w:rPr>
        <w:t>replacement of fossil-based plastic</w:t>
      </w:r>
      <w:r w:rsidR="008C7B68" w:rsidRPr="004C0F80">
        <w:rPr>
          <w:rFonts w:eastAsiaTheme="minorHAnsi" w:cs="Arial"/>
          <w:szCs w:val="18"/>
        </w:rPr>
        <w:t>s</w:t>
      </w:r>
      <w:r w:rsidR="0097549C" w:rsidRPr="004C0F80">
        <w:rPr>
          <w:rFonts w:eastAsiaTheme="minorHAnsi" w:cs="Arial"/>
          <w:szCs w:val="18"/>
        </w:rPr>
        <w:t xml:space="preserve">. </w:t>
      </w:r>
      <w:r w:rsidR="00C47F79" w:rsidRPr="004C0F80">
        <w:rPr>
          <w:rFonts w:eastAsiaTheme="minorHAnsi" w:cs="Arial"/>
          <w:szCs w:val="18"/>
        </w:rPr>
        <w:t>Despite their ecological advantages, biopolymers suffer from inherent shortcomings due to their poor</w:t>
      </w:r>
      <w:r w:rsidR="008B27C6" w:rsidRPr="004C0F80">
        <w:rPr>
          <w:rFonts w:eastAsiaTheme="minorHAnsi" w:cs="Arial"/>
          <w:szCs w:val="18"/>
        </w:rPr>
        <w:t>er</w:t>
      </w:r>
      <w:r w:rsidR="00C47F79" w:rsidRPr="004C0F80">
        <w:rPr>
          <w:rFonts w:eastAsiaTheme="minorHAnsi" w:cs="Arial"/>
          <w:szCs w:val="18"/>
        </w:rPr>
        <w:t xml:space="preserve"> functional properties</w:t>
      </w:r>
      <w:r w:rsidR="007E7DA2" w:rsidRPr="004C0F80">
        <w:rPr>
          <w:rFonts w:eastAsiaTheme="minorHAnsi" w:cs="Arial"/>
          <w:szCs w:val="18"/>
        </w:rPr>
        <w:t>, which</w:t>
      </w:r>
      <w:r w:rsidR="008B27C6" w:rsidRPr="004C0F80">
        <w:rPr>
          <w:rFonts w:eastAsiaTheme="minorHAnsi" w:cs="Arial"/>
          <w:szCs w:val="18"/>
        </w:rPr>
        <w:t xml:space="preserve"> </w:t>
      </w:r>
      <w:r w:rsidR="00C47F79" w:rsidRPr="004C0F80">
        <w:rPr>
          <w:rFonts w:eastAsiaTheme="minorHAnsi" w:cs="Arial"/>
          <w:szCs w:val="18"/>
        </w:rPr>
        <w:t xml:space="preserve">limit their use in food packaging </w:t>
      </w:r>
      <w:r w:rsidR="007E7DA2" w:rsidRPr="004C0F80">
        <w:rPr>
          <w:rFonts w:eastAsiaTheme="minorHAnsi" w:cs="Arial"/>
          <w:szCs w:val="18"/>
        </w:rPr>
        <w:t>field</w:t>
      </w:r>
      <w:r w:rsidR="008B27C6" w:rsidRPr="004C0F80">
        <w:rPr>
          <w:rFonts w:eastAsiaTheme="minorHAnsi" w:cs="Arial"/>
          <w:szCs w:val="18"/>
        </w:rPr>
        <w:t xml:space="preserve"> </w:t>
      </w:r>
      <w:r w:rsidR="008B27C6" w:rsidRPr="004C0F80">
        <w:t>where high performances are constantly required (</w:t>
      </w:r>
      <w:proofErr w:type="spellStart"/>
      <w:r w:rsidR="008B27C6" w:rsidRPr="004C0F80">
        <w:t>Apicella</w:t>
      </w:r>
      <w:proofErr w:type="spellEnd"/>
      <w:r w:rsidR="008B27C6" w:rsidRPr="004C0F80">
        <w:t xml:space="preserve"> et al., 2018</w:t>
      </w:r>
      <w:r w:rsidR="007431E1" w:rsidRPr="004C0F80">
        <w:t>a</w:t>
      </w:r>
      <w:r w:rsidR="008B27C6" w:rsidRPr="004C0F80">
        <w:t>).</w:t>
      </w:r>
      <w:r w:rsidR="00C47F79" w:rsidRPr="004C0F80">
        <w:rPr>
          <w:rFonts w:eastAsiaTheme="minorHAnsi" w:cs="Arial"/>
          <w:szCs w:val="18"/>
        </w:rPr>
        <w:t xml:space="preserve"> </w:t>
      </w:r>
      <w:r w:rsidR="00C47F79" w:rsidRPr="004C0F80">
        <w:t>For this reason,</w:t>
      </w:r>
      <w:r w:rsidR="00F10E52" w:rsidRPr="004C0F80">
        <w:t xml:space="preserve"> they need to be functionalized through appropriate techniques</w:t>
      </w:r>
      <w:r w:rsidR="007E7DA2" w:rsidRPr="004C0F80">
        <w:t>,</w:t>
      </w:r>
      <w:r w:rsidR="007431E1" w:rsidRPr="004C0F80">
        <w:t xml:space="preserve"> such as </w:t>
      </w:r>
      <w:r w:rsidR="00C92989" w:rsidRPr="004C0F80">
        <w:t xml:space="preserve">deposition of </w:t>
      </w:r>
      <w:r w:rsidR="0097549C" w:rsidRPr="004C0F80">
        <w:t xml:space="preserve">high barrier </w:t>
      </w:r>
      <w:r w:rsidR="007431E1" w:rsidRPr="004C0F80">
        <w:t xml:space="preserve">coatings </w:t>
      </w:r>
      <w:r w:rsidR="007431E1" w:rsidRPr="004C0F80">
        <w:rPr>
          <w:rFonts w:cs="Arial"/>
        </w:rPr>
        <w:t>(</w:t>
      </w:r>
      <w:proofErr w:type="spellStart"/>
      <w:r w:rsidR="007431E1" w:rsidRPr="004C0F80">
        <w:rPr>
          <w:rFonts w:cs="Arial"/>
        </w:rPr>
        <w:t>Apicella</w:t>
      </w:r>
      <w:proofErr w:type="spellEnd"/>
      <w:r w:rsidR="007431E1" w:rsidRPr="004C0F80">
        <w:rPr>
          <w:rFonts w:cs="Arial"/>
        </w:rPr>
        <w:t xml:space="preserve"> et al., 2022)</w:t>
      </w:r>
      <w:r w:rsidR="007431E1" w:rsidRPr="004C0F80">
        <w:t xml:space="preserve">, </w:t>
      </w:r>
      <w:r w:rsidR="00037C82" w:rsidRPr="004C0F80">
        <w:t xml:space="preserve">blending, </w:t>
      </w:r>
      <w:r w:rsidR="007431E1" w:rsidRPr="004C0F80">
        <w:t xml:space="preserve">nanotechnologies or incorporation of </w:t>
      </w:r>
      <w:r w:rsidR="0097549C" w:rsidRPr="004C0F80">
        <w:t xml:space="preserve">antimicrobials </w:t>
      </w:r>
      <w:r w:rsidR="007431E1" w:rsidRPr="004C0F80">
        <w:t>(</w:t>
      </w:r>
      <w:proofErr w:type="spellStart"/>
      <w:r w:rsidR="007431E1" w:rsidRPr="004C0F80">
        <w:t>Apicella</w:t>
      </w:r>
      <w:proofErr w:type="spellEnd"/>
      <w:r w:rsidR="007431E1" w:rsidRPr="004C0F80">
        <w:t xml:space="preserve"> et al., 2018b)</w:t>
      </w:r>
      <w:r w:rsidR="0097549C" w:rsidRPr="004C0F80">
        <w:t xml:space="preserve"> or antioxidants </w:t>
      </w:r>
      <w:r w:rsidR="0097549C" w:rsidRPr="004C0F80">
        <w:rPr>
          <w:rFonts w:eastAsiaTheme="minorHAnsi" w:cs="Arial"/>
        </w:rPr>
        <w:t>(</w:t>
      </w:r>
      <w:proofErr w:type="spellStart"/>
      <w:r w:rsidR="0097549C" w:rsidRPr="004C0F80">
        <w:rPr>
          <w:rFonts w:eastAsiaTheme="minorHAnsi" w:cs="Arial"/>
        </w:rPr>
        <w:t>Apicella</w:t>
      </w:r>
      <w:proofErr w:type="spellEnd"/>
      <w:r w:rsidR="0097549C" w:rsidRPr="004C0F80">
        <w:rPr>
          <w:rFonts w:eastAsiaTheme="minorHAnsi" w:cs="Arial"/>
        </w:rPr>
        <w:t xml:space="preserve"> et al., 2021)</w:t>
      </w:r>
      <w:r w:rsidR="00037C82" w:rsidRPr="004C0F80">
        <w:rPr>
          <w:rFonts w:eastAsiaTheme="minorHAnsi" w:cs="Arial"/>
        </w:rPr>
        <w:t>,</w:t>
      </w:r>
      <w:r w:rsidR="007431E1" w:rsidRPr="004C0F80">
        <w:t xml:space="preserve"> </w:t>
      </w:r>
      <w:r w:rsidR="00F10E52" w:rsidRPr="004C0F80">
        <w:t xml:space="preserve">in order to </w:t>
      </w:r>
      <w:r w:rsidR="004C21A5" w:rsidRPr="004C0F80">
        <w:t>adapt</w:t>
      </w:r>
      <w:r w:rsidR="00F10E52" w:rsidRPr="004C0F80">
        <w:t xml:space="preserve"> their characteristics </w:t>
      </w:r>
      <w:r w:rsidR="004C21A5" w:rsidRPr="004C0F80">
        <w:t>for the target</w:t>
      </w:r>
      <w:r w:rsidR="00F10E52" w:rsidRPr="004C0F80">
        <w:t xml:space="preserve"> application</w:t>
      </w:r>
      <w:r w:rsidR="007431E1" w:rsidRPr="004C0F80">
        <w:t>.</w:t>
      </w:r>
      <w:r w:rsidR="00037C82" w:rsidRPr="004C0F80">
        <w:t xml:space="preserve"> </w:t>
      </w:r>
      <w:r w:rsidR="00802C9D" w:rsidRPr="004C0F80">
        <w:t>PBS and PVOH</w:t>
      </w:r>
      <w:r w:rsidR="00C92989" w:rsidRPr="004C0F80">
        <w:t>, in particular,</w:t>
      </w:r>
      <w:r w:rsidR="00802C9D" w:rsidRPr="004C0F80">
        <w:t xml:space="preserve"> </w:t>
      </w:r>
      <w:r w:rsidR="004C21A5" w:rsidRPr="004C0F80">
        <w:t>are identified as novel biopolymers with</w:t>
      </w:r>
      <w:r w:rsidR="00802C9D" w:rsidRPr="004C0F80">
        <w:t xml:space="preserve"> peculiar and complementary properties</w:t>
      </w:r>
      <w:r w:rsidR="00C92989" w:rsidRPr="004C0F80">
        <w:t xml:space="preserve"> </w:t>
      </w:r>
      <w:r w:rsidR="004256AD" w:rsidRPr="004C0F80">
        <w:t>desirable for a food package</w:t>
      </w:r>
      <w:r w:rsidR="00C83E45" w:rsidRPr="004C0F80">
        <w:t>.</w:t>
      </w:r>
      <w:r w:rsidR="00B14C9D" w:rsidRPr="004C0F80">
        <w:t xml:space="preserve"> </w:t>
      </w:r>
      <w:r w:rsidR="00B44977" w:rsidRPr="004C0F80">
        <w:t>PBS</w:t>
      </w:r>
      <w:r w:rsidR="007E2B83" w:rsidRPr="004C0F80">
        <w:t xml:space="preserve"> is characterized by good tensile strength and toughness, moderate </w:t>
      </w:r>
      <w:r w:rsidR="00B44977" w:rsidRPr="004C0F80">
        <w:t xml:space="preserve">stiffness, </w:t>
      </w:r>
      <w:r w:rsidR="000B6EDE" w:rsidRPr="004C0F80">
        <w:t xml:space="preserve">a </w:t>
      </w:r>
      <w:r w:rsidR="007E2B83" w:rsidRPr="004C0F80">
        <w:t>ductility</w:t>
      </w:r>
      <w:r w:rsidR="00B44977" w:rsidRPr="004C0F80">
        <w:t xml:space="preserve"> very similar to t</w:t>
      </w:r>
      <w:r w:rsidR="00C47F79" w:rsidRPr="004C0F80">
        <w:t>hat</w:t>
      </w:r>
      <w:r w:rsidR="00B44977" w:rsidRPr="004C0F80">
        <w:t xml:space="preserve"> of </w:t>
      </w:r>
      <w:r w:rsidR="00423966" w:rsidRPr="004C0F80">
        <w:t>low-density</w:t>
      </w:r>
      <w:r w:rsidR="002B2FBE" w:rsidRPr="004C0F80">
        <w:t xml:space="preserve"> polyethylene (LDPE)</w:t>
      </w:r>
      <w:r w:rsidR="00487562" w:rsidRPr="004C0F80">
        <w:t xml:space="preserve"> </w:t>
      </w:r>
      <w:r w:rsidR="00423966" w:rsidRPr="004C0F80">
        <w:t>and</w:t>
      </w:r>
      <w:r w:rsidR="00B44977" w:rsidRPr="004C0F80">
        <w:t xml:space="preserve"> good thermal stability</w:t>
      </w:r>
      <w:r w:rsidR="00C47F79" w:rsidRPr="004C0F80">
        <w:t xml:space="preserve"> </w:t>
      </w:r>
      <w:r w:rsidR="00C47F79" w:rsidRPr="004C0F80">
        <w:rPr>
          <w:rFonts w:cs="Arial"/>
        </w:rPr>
        <w:t>(Samir et al., 2022)</w:t>
      </w:r>
      <w:r w:rsidR="00487562" w:rsidRPr="004C0F80">
        <w:t>;</w:t>
      </w:r>
      <w:r w:rsidR="00B44977" w:rsidRPr="004C0F80">
        <w:t xml:space="preserve"> it is </w:t>
      </w:r>
      <w:r w:rsidR="00487562" w:rsidRPr="004C0F80">
        <w:t xml:space="preserve">also </w:t>
      </w:r>
      <w:r w:rsidR="00B44977" w:rsidRPr="004C0F80">
        <w:t>suitable for film casting and blowing production</w:t>
      </w:r>
      <w:r w:rsidR="00A50689" w:rsidRPr="004C0F80">
        <w:t xml:space="preserve"> </w:t>
      </w:r>
      <w:r w:rsidR="00A50689" w:rsidRPr="004C0F80">
        <w:rPr>
          <w:rFonts w:cs="Arial"/>
        </w:rPr>
        <w:t>(</w:t>
      </w:r>
      <w:proofErr w:type="spellStart"/>
      <w:r w:rsidR="00A50689" w:rsidRPr="004C0F80">
        <w:rPr>
          <w:rFonts w:cs="Arial"/>
        </w:rPr>
        <w:t>Aliotta</w:t>
      </w:r>
      <w:proofErr w:type="spellEnd"/>
      <w:r w:rsidR="00A50689" w:rsidRPr="004C0F80">
        <w:rPr>
          <w:rFonts w:cs="Arial"/>
        </w:rPr>
        <w:t xml:space="preserve"> et al., 2022)</w:t>
      </w:r>
      <w:r w:rsidR="00B44977" w:rsidRPr="004C0F80">
        <w:t xml:space="preserve">. However, its main drawback is related to its </w:t>
      </w:r>
      <w:r w:rsidR="00487562" w:rsidRPr="004C0F80">
        <w:t>poor</w:t>
      </w:r>
      <w:r w:rsidR="00B44977" w:rsidRPr="004C0F80">
        <w:t xml:space="preserve"> barrier properties, very similar to that of </w:t>
      </w:r>
      <w:r w:rsidR="00FF3398" w:rsidRPr="004C0F80">
        <w:t>p</w:t>
      </w:r>
      <w:r w:rsidR="00487562" w:rsidRPr="004C0F80">
        <w:t>olylactic acid (PLA)</w:t>
      </w:r>
      <w:r w:rsidR="00A50689" w:rsidRPr="004C0F80">
        <w:t xml:space="preserve"> </w:t>
      </w:r>
      <w:r w:rsidR="00A50689" w:rsidRPr="004C0F80">
        <w:rPr>
          <w:rFonts w:cs="Arial"/>
        </w:rPr>
        <w:t>(Wu et al., 2021)</w:t>
      </w:r>
      <w:r w:rsidR="00487562" w:rsidRPr="004C0F80">
        <w:t xml:space="preserve">. PVOH </w:t>
      </w:r>
      <w:r w:rsidR="00802C9D" w:rsidRPr="004C0F80">
        <w:t>has instead</w:t>
      </w:r>
      <w:r w:rsidR="00487562" w:rsidRPr="004C0F80">
        <w:t xml:space="preserve"> great chemical resistance, good transparency</w:t>
      </w:r>
      <w:r w:rsidR="00423966" w:rsidRPr="004C0F80">
        <w:t xml:space="preserve">, </w:t>
      </w:r>
      <w:r w:rsidR="00487562" w:rsidRPr="004C0F80">
        <w:t xml:space="preserve">excellent odor, </w:t>
      </w:r>
      <w:proofErr w:type="gramStart"/>
      <w:r w:rsidR="00E20229" w:rsidRPr="004C0F80">
        <w:t>aroma</w:t>
      </w:r>
      <w:proofErr w:type="gramEnd"/>
      <w:r w:rsidR="00487562" w:rsidRPr="004C0F80">
        <w:t xml:space="preserve"> and gas barrier</w:t>
      </w:r>
      <w:r w:rsidR="00A50689" w:rsidRPr="004C0F80">
        <w:t xml:space="preserve"> </w:t>
      </w:r>
      <w:r w:rsidR="00100D65" w:rsidRPr="004C0F80">
        <w:rPr>
          <w:rFonts w:cs="Arial"/>
        </w:rPr>
        <w:t>(</w:t>
      </w:r>
      <w:proofErr w:type="spellStart"/>
      <w:r w:rsidR="00100D65" w:rsidRPr="004C0F80">
        <w:rPr>
          <w:rFonts w:cs="Arial"/>
        </w:rPr>
        <w:t>Suganthi</w:t>
      </w:r>
      <w:proofErr w:type="spellEnd"/>
      <w:r w:rsidR="00100D65" w:rsidRPr="004C0F80">
        <w:rPr>
          <w:rFonts w:cs="Arial"/>
        </w:rPr>
        <w:t xml:space="preserve"> et al., 2020)</w:t>
      </w:r>
      <w:r w:rsidR="00487562" w:rsidRPr="004C0F80">
        <w:t xml:space="preserve">. </w:t>
      </w:r>
      <w:r w:rsidR="00802C9D" w:rsidRPr="004C0F80">
        <w:t>Nevertheless</w:t>
      </w:r>
      <w:r w:rsidR="00487562" w:rsidRPr="004C0F80">
        <w:t>, it is extremely brittle, heat and water sensitive and its melting and degradation temperatures are very close</w:t>
      </w:r>
      <w:r w:rsidR="004C21A5" w:rsidRPr="004C0F80">
        <w:t>,</w:t>
      </w:r>
      <w:r w:rsidR="00487562" w:rsidRPr="004C0F80">
        <w:t xml:space="preserve"> making </w:t>
      </w:r>
      <w:r w:rsidR="001738E8" w:rsidRPr="004C0F80">
        <w:t>its</w:t>
      </w:r>
      <w:r w:rsidR="00487562" w:rsidRPr="004C0F80">
        <w:t xml:space="preserve"> processing hard</w:t>
      </w:r>
      <w:r w:rsidR="00A50689" w:rsidRPr="004C0F80">
        <w:t xml:space="preserve"> </w:t>
      </w:r>
      <w:r w:rsidR="00A50689" w:rsidRPr="004C0F80">
        <w:rPr>
          <w:rFonts w:cs="Arial"/>
        </w:rPr>
        <w:t>(Tian et al., 2017)</w:t>
      </w:r>
      <w:r w:rsidR="00A50689" w:rsidRPr="004C0F80">
        <w:t>.</w:t>
      </w:r>
      <w:r w:rsidR="00E1661C" w:rsidRPr="004C0F80">
        <w:t xml:space="preserve"> </w:t>
      </w:r>
    </w:p>
    <w:p w14:paraId="12BEB7DB" w14:textId="2C5550B0" w:rsidR="00F45467" w:rsidRPr="004C0F80" w:rsidRDefault="00053253" w:rsidP="00423966">
      <w:pPr>
        <w:pStyle w:val="CETBodytext"/>
      </w:pPr>
      <w:r w:rsidRPr="004C0F80">
        <w:t xml:space="preserve">Melt blending technique can represent a valid strategy to overcome </w:t>
      </w:r>
      <w:r w:rsidR="00C81080" w:rsidRPr="004C0F80">
        <w:t>PBS</w:t>
      </w:r>
      <w:r w:rsidRPr="004C0F80">
        <w:t xml:space="preserve"> and PVOH respective issues and </w:t>
      </w:r>
      <w:r w:rsidR="00C81080" w:rsidRPr="004C0F80">
        <w:t xml:space="preserve">to </w:t>
      </w:r>
      <w:r w:rsidRPr="004C0F80">
        <w:t xml:space="preserve">produce a sustainable </w:t>
      </w:r>
      <w:r w:rsidR="00802C9D" w:rsidRPr="004C0F80">
        <w:t xml:space="preserve">multifunctional </w:t>
      </w:r>
      <w:r w:rsidRPr="004C0F80">
        <w:t xml:space="preserve">material </w:t>
      </w:r>
      <w:r w:rsidR="00C81080" w:rsidRPr="004C0F80">
        <w:t>combining</w:t>
      </w:r>
      <w:r w:rsidRPr="004C0F80">
        <w:t xml:space="preserve"> PBS ductility and processability with PVOH exceptional barrier properties. </w:t>
      </w:r>
      <w:r w:rsidR="00C47F79" w:rsidRPr="004C0F80">
        <w:t>S</w:t>
      </w:r>
      <w:r w:rsidR="00C81080" w:rsidRPr="004C0F80">
        <w:t>everal work</w:t>
      </w:r>
      <w:r w:rsidR="00C47F79" w:rsidRPr="004C0F80">
        <w:t>s already report</w:t>
      </w:r>
      <w:r w:rsidR="00C81080" w:rsidRPr="004C0F80">
        <w:t xml:space="preserve"> PBS </w:t>
      </w:r>
      <w:r w:rsidR="00C47F79" w:rsidRPr="004C0F80">
        <w:t>blending</w:t>
      </w:r>
      <w:r w:rsidR="00C81080" w:rsidRPr="004C0F80">
        <w:t xml:space="preserve"> with different </w:t>
      </w:r>
      <w:r w:rsidR="00C47F79" w:rsidRPr="004C0F80">
        <w:t>biopolymers,</w:t>
      </w:r>
      <w:r w:rsidR="00C81080" w:rsidRPr="004C0F80">
        <w:t xml:space="preserve"> such as PLA</w:t>
      </w:r>
      <w:r w:rsidR="00C81080" w:rsidRPr="004C0F80">
        <w:rPr>
          <w:rFonts w:eastAsiaTheme="minorHAnsi"/>
        </w:rPr>
        <w:t xml:space="preserve"> and </w:t>
      </w:r>
      <w:proofErr w:type="spellStart"/>
      <w:r w:rsidR="00C81080" w:rsidRPr="004C0F80">
        <w:rPr>
          <w:rFonts w:eastAsiaTheme="minorHAnsi"/>
        </w:rPr>
        <w:t>polyhydroxybutyrate</w:t>
      </w:r>
      <w:proofErr w:type="spellEnd"/>
      <w:r w:rsidR="00C81080" w:rsidRPr="004C0F80">
        <w:rPr>
          <w:rFonts w:eastAsiaTheme="minorHAnsi"/>
        </w:rPr>
        <w:t xml:space="preserve"> (PHB), to enhance their flexibility, elongation at break and tear resistance </w:t>
      </w:r>
      <w:r w:rsidR="00C81080" w:rsidRPr="004C0F80">
        <w:rPr>
          <w:rFonts w:eastAsiaTheme="minorHAnsi" w:cs="Arial"/>
        </w:rPr>
        <w:t>(</w:t>
      </w:r>
      <w:proofErr w:type="spellStart"/>
      <w:r w:rsidR="00C81080" w:rsidRPr="004C0F80">
        <w:rPr>
          <w:rFonts w:eastAsiaTheme="minorHAnsi" w:cs="Arial"/>
        </w:rPr>
        <w:t>Aliotta</w:t>
      </w:r>
      <w:proofErr w:type="spellEnd"/>
      <w:r w:rsidR="00C81080" w:rsidRPr="004C0F80">
        <w:rPr>
          <w:rFonts w:eastAsiaTheme="minorHAnsi" w:cs="Arial"/>
        </w:rPr>
        <w:t xml:space="preserve"> et al., 2022)</w:t>
      </w:r>
      <w:r w:rsidR="00C47F79" w:rsidRPr="004C0F80">
        <w:t xml:space="preserve">. </w:t>
      </w:r>
      <w:r w:rsidR="00C81080" w:rsidRPr="004C0F80">
        <w:t xml:space="preserve">On the other hand, </w:t>
      </w:r>
      <w:r w:rsidR="00D5459E" w:rsidRPr="004C0F80">
        <w:t>v</w:t>
      </w:r>
      <w:r w:rsidR="00C81080" w:rsidRPr="004C0F80">
        <w:t>ery few research focused instead on blending PVOH with other polymers</w:t>
      </w:r>
      <w:r w:rsidR="002B1DFD" w:rsidRPr="004C0F80">
        <w:t>:</w:t>
      </w:r>
      <w:r w:rsidR="00C81080" w:rsidRPr="004C0F80">
        <w:t xml:space="preserve"> some authors report</w:t>
      </w:r>
      <w:r w:rsidR="002B1DFD" w:rsidRPr="004C0F80">
        <w:t>ed</w:t>
      </w:r>
      <w:r w:rsidR="00C81080" w:rsidRPr="004C0F80">
        <w:t xml:space="preserve"> the melt blending of PVOH with xanthan or </w:t>
      </w:r>
      <w:proofErr w:type="spellStart"/>
      <w:r w:rsidR="00C81080" w:rsidRPr="004C0F80">
        <w:t>gellan</w:t>
      </w:r>
      <w:proofErr w:type="spellEnd"/>
      <w:r w:rsidR="00C81080" w:rsidRPr="004C0F80">
        <w:t xml:space="preserve"> to improve its biodegradability features </w:t>
      </w:r>
      <w:r w:rsidR="00C81080" w:rsidRPr="004C0F80">
        <w:rPr>
          <w:rFonts w:cs="Arial"/>
          <w:szCs w:val="24"/>
        </w:rPr>
        <w:t>(</w:t>
      </w:r>
      <w:proofErr w:type="spellStart"/>
      <w:r w:rsidR="00C81080" w:rsidRPr="004C0F80">
        <w:rPr>
          <w:rFonts w:cs="Arial"/>
          <w:szCs w:val="24"/>
        </w:rPr>
        <w:t>Kopčilová</w:t>
      </w:r>
      <w:proofErr w:type="spellEnd"/>
      <w:r w:rsidR="00C81080" w:rsidRPr="004C0F80">
        <w:rPr>
          <w:rFonts w:cs="Arial"/>
          <w:szCs w:val="24"/>
        </w:rPr>
        <w:t xml:space="preserve"> et al., 2013)</w:t>
      </w:r>
      <w:r w:rsidR="00C81080" w:rsidRPr="004C0F80">
        <w:t xml:space="preserve"> or with PLA for the production of compression molded films with improved hydrophobicity in presence of lactoglyceride as plasticizer </w:t>
      </w:r>
      <w:r w:rsidR="00C81080" w:rsidRPr="004C0F80">
        <w:rPr>
          <w:rFonts w:cs="Arial"/>
        </w:rPr>
        <w:t>(Li et al., 2014)</w:t>
      </w:r>
      <w:r w:rsidR="00C81080" w:rsidRPr="004C0F80">
        <w:t xml:space="preserve">. </w:t>
      </w:r>
      <w:r w:rsidRPr="004C0F80">
        <w:t xml:space="preserve">To our </w:t>
      </w:r>
      <w:r w:rsidR="00C81080" w:rsidRPr="004C0F80">
        <w:t xml:space="preserve">best </w:t>
      </w:r>
      <w:r w:rsidRPr="004C0F80">
        <w:t xml:space="preserve">knowledge, there are no previous studies in the literature concerning the production and characterization of PBS/PVOH mixtures and the evaluation of performance of blown films based on these blends. </w:t>
      </w:r>
      <w:r w:rsidR="004C21A5" w:rsidRPr="004C0F80">
        <w:t xml:space="preserve">In </w:t>
      </w:r>
      <w:r w:rsidR="00C81080" w:rsidRPr="004C0F80">
        <w:t>this perspective</w:t>
      </w:r>
      <w:r w:rsidR="004C21A5" w:rsidRPr="004C0F80">
        <w:t xml:space="preserve">, the goal of this work </w:t>
      </w:r>
      <w:r w:rsidR="00C81080" w:rsidRPr="004C0F80">
        <w:t>was</w:t>
      </w:r>
      <w:r w:rsidR="004C21A5" w:rsidRPr="004C0F80">
        <w:t xml:space="preserve"> </w:t>
      </w:r>
      <w:r w:rsidR="00FA49A0" w:rsidRPr="004C0F80">
        <w:t>to realize</w:t>
      </w:r>
      <w:r w:rsidR="004C21A5" w:rsidRPr="004C0F80">
        <w:t xml:space="preserve"> </w:t>
      </w:r>
      <w:r w:rsidR="004256AD" w:rsidRPr="004C0F80">
        <w:lastRenderedPageBreak/>
        <w:t xml:space="preserve">PBS/PVOH blends </w:t>
      </w:r>
      <w:r w:rsidR="00C81080" w:rsidRPr="004C0F80">
        <w:t xml:space="preserve">having different weight ratios (100/0, 80/20, 60/40, 0/100 </w:t>
      </w:r>
      <w:proofErr w:type="spellStart"/>
      <w:r w:rsidR="00C81080" w:rsidRPr="004C0F80">
        <w:t>wt</w:t>
      </w:r>
      <w:proofErr w:type="spellEnd"/>
      <w:r w:rsidR="00C81080" w:rsidRPr="004C0F80">
        <w:t xml:space="preserve">%) </w:t>
      </w:r>
      <w:r w:rsidR="004256AD" w:rsidRPr="004C0F80">
        <w:t>by melt-compounding technique</w:t>
      </w:r>
      <w:r w:rsidR="00C81080" w:rsidRPr="004C0F80">
        <w:t xml:space="preserve">. </w:t>
      </w:r>
      <w:r w:rsidR="00FA49A0" w:rsidRPr="004C0F80">
        <w:t xml:space="preserve">Rheological tests were carried out to study the processability of the pure materials and their blends. Then, </w:t>
      </w:r>
      <w:r w:rsidR="004C21A5" w:rsidRPr="004C0F80">
        <w:t xml:space="preserve">blown films based on </w:t>
      </w:r>
      <w:r w:rsidR="00C81080" w:rsidRPr="004C0F80">
        <w:t>these blends</w:t>
      </w:r>
      <w:r w:rsidR="00FA49A0" w:rsidRPr="004C0F80">
        <w:t xml:space="preserve"> were produced, and </w:t>
      </w:r>
      <w:r w:rsidR="00C92989" w:rsidRPr="004C0F80">
        <w:t>the chemical interaction between the polymer phases</w:t>
      </w:r>
      <w:r w:rsidR="0074480E" w:rsidRPr="004C0F80">
        <w:t xml:space="preserve"> was assessed by means </w:t>
      </w:r>
      <w:r w:rsidR="00FA49A0" w:rsidRPr="004C0F80">
        <w:t xml:space="preserve">of </w:t>
      </w:r>
      <w:r w:rsidR="0074480E" w:rsidRPr="004C0F80">
        <w:t>FTIR analysis</w:t>
      </w:r>
      <w:r w:rsidR="00FA49A0" w:rsidRPr="004C0F80">
        <w:t>, while</w:t>
      </w:r>
      <w:r w:rsidR="00523B30" w:rsidRPr="004C0F80">
        <w:t xml:space="preserve"> </w:t>
      </w:r>
      <w:r w:rsidR="0074480E" w:rsidRPr="004C0F80">
        <w:t>oxygen</w:t>
      </w:r>
      <w:r w:rsidR="008C7B68" w:rsidRPr="004C0F80">
        <w:t xml:space="preserve"> </w:t>
      </w:r>
      <w:r w:rsidR="00D70D83" w:rsidRPr="004C0F80">
        <w:t xml:space="preserve">barrier </w:t>
      </w:r>
      <w:r w:rsidR="00FA49A0" w:rsidRPr="004C0F80">
        <w:t xml:space="preserve">properties were </w:t>
      </w:r>
      <w:r w:rsidR="00C92989" w:rsidRPr="004C0F80">
        <w:t>analyzed</w:t>
      </w:r>
      <w:r w:rsidR="00FA49A0" w:rsidRPr="004C0F80">
        <w:t xml:space="preserve"> to </w:t>
      </w:r>
      <w:r w:rsidR="00C92989" w:rsidRPr="004C0F80">
        <w:t>evaluate</w:t>
      </w:r>
      <w:r w:rsidR="00FA49A0" w:rsidRPr="004C0F80">
        <w:t xml:space="preserve"> the films </w:t>
      </w:r>
      <w:r w:rsidR="0074480E" w:rsidRPr="004C0F80">
        <w:t xml:space="preserve">suitability for </w:t>
      </w:r>
      <w:r w:rsidR="00C92989" w:rsidRPr="004C0F80">
        <w:t xml:space="preserve">the packaging of </w:t>
      </w:r>
      <w:r w:rsidR="0074480E" w:rsidRPr="004C0F80">
        <w:t>O</w:t>
      </w:r>
      <w:r w:rsidR="0074480E" w:rsidRPr="004C0F80">
        <w:rPr>
          <w:vertAlign w:val="subscript"/>
        </w:rPr>
        <w:t>2</w:t>
      </w:r>
      <w:r w:rsidR="0074480E" w:rsidRPr="004C0F80">
        <w:t xml:space="preserve"> sensitive foods.</w:t>
      </w:r>
    </w:p>
    <w:p w14:paraId="5741900F" w14:textId="3940912D" w:rsidR="00453E24" w:rsidRPr="004C0F80" w:rsidRDefault="00744DFF" w:rsidP="00453E24">
      <w:pPr>
        <w:pStyle w:val="CETHeading1"/>
      </w:pPr>
      <w:r w:rsidRPr="004C0F80">
        <w:t>E</w:t>
      </w:r>
      <w:r w:rsidR="00C919F0" w:rsidRPr="004C0F80">
        <w:t>x</w:t>
      </w:r>
      <w:r w:rsidRPr="004C0F80">
        <w:t>perimental</w:t>
      </w:r>
    </w:p>
    <w:p w14:paraId="0636B784" w14:textId="24E976B7" w:rsidR="00453E24" w:rsidRPr="004C0F80" w:rsidRDefault="00E21761" w:rsidP="006C5C14">
      <w:pPr>
        <w:pStyle w:val="CETheadingx"/>
      </w:pPr>
      <w:r w:rsidRPr="004C0F80">
        <w:t>Material</w:t>
      </w:r>
      <w:r w:rsidR="006C5C14" w:rsidRPr="004C0F80">
        <w:t>s</w:t>
      </w:r>
    </w:p>
    <w:p w14:paraId="2DB7E857" w14:textId="03326CD2" w:rsidR="003A5640" w:rsidRPr="004C0F80" w:rsidRDefault="003A5640" w:rsidP="003A5640">
      <w:pPr>
        <w:pStyle w:val="CETBodytext"/>
      </w:pPr>
      <w:r w:rsidRPr="004C0F80">
        <w:t>PBS FZ91</w:t>
      </w:r>
      <w:r w:rsidR="00B11789" w:rsidRPr="004C0F80">
        <w:t xml:space="preserve"> (</w:t>
      </w:r>
      <w:r w:rsidRPr="004C0F80">
        <w:t>density</w:t>
      </w:r>
      <w:r w:rsidR="00B11789" w:rsidRPr="004C0F80">
        <w:t>=</w:t>
      </w:r>
      <w:r w:rsidRPr="004C0F80">
        <w:t>1.26 g/cm</w:t>
      </w:r>
      <w:r w:rsidRPr="004C0F80">
        <w:rPr>
          <w:vertAlign w:val="superscript"/>
        </w:rPr>
        <w:t>3</w:t>
      </w:r>
      <w:r w:rsidR="00B11789" w:rsidRPr="004C0F80">
        <w:t>, T</w:t>
      </w:r>
      <w:r w:rsidR="00B11789" w:rsidRPr="004C0F80">
        <w:rPr>
          <w:vertAlign w:val="subscript"/>
        </w:rPr>
        <w:t>m</w:t>
      </w:r>
      <w:r w:rsidRPr="004C0F80">
        <w:t xml:space="preserve"> </w:t>
      </w:r>
      <w:r w:rsidR="00B11789" w:rsidRPr="004C0F80">
        <w:t>=</w:t>
      </w:r>
      <w:r w:rsidRPr="004C0F80">
        <w:t xml:space="preserve"> 115°</w:t>
      </w:r>
      <w:r w:rsidR="00B11789" w:rsidRPr="004C0F80">
        <w:t xml:space="preserve">) was supplied by Mitsubishi Chemical Corporation (Tokyo, Japan). </w:t>
      </w:r>
      <w:r w:rsidRPr="004C0F80">
        <w:t xml:space="preserve">PVOH </w:t>
      </w:r>
      <w:proofErr w:type="spellStart"/>
      <w:r w:rsidRPr="004C0F80">
        <w:t>Mowiflex</w:t>
      </w:r>
      <w:proofErr w:type="spellEnd"/>
      <w:r w:rsidRPr="004C0F80">
        <w:t xml:space="preserve"> LP002</w:t>
      </w:r>
      <w:r w:rsidR="00D15A6E" w:rsidRPr="004C0F80">
        <w:t xml:space="preserve"> (bulk density= 0.6- 0.9 g/cm</w:t>
      </w:r>
      <w:r w:rsidR="00D15A6E" w:rsidRPr="004C0F80">
        <w:rPr>
          <w:vertAlign w:val="superscript"/>
        </w:rPr>
        <w:t>3</w:t>
      </w:r>
      <w:r w:rsidR="00D15A6E" w:rsidRPr="004C0F80">
        <w:t>, T</w:t>
      </w:r>
      <w:r w:rsidR="00D15A6E" w:rsidRPr="004C0F80">
        <w:rPr>
          <w:vertAlign w:val="subscript"/>
        </w:rPr>
        <w:t>m</w:t>
      </w:r>
      <w:r w:rsidR="00D15A6E" w:rsidRPr="004C0F80">
        <w:t xml:space="preserve"> =210-220 °C) </w:t>
      </w:r>
      <w:r w:rsidR="00C92989" w:rsidRPr="004C0F80">
        <w:t xml:space="preserve">was </w:t>
      </w:r>
      <w:r w:rsidRPr="004C0F80">
        <w:t>supplied by Kuraray Europe GmbH (</w:t>
      </w:r>
      <w:proofErr w:type="spellStart"/>
      <w:r w:rsidRPr="004C0F80">
        <w:t>Hattersheim</w:t>
      </w:r>
      <w:proofErr w:type="spellEnd"/>
      <w:r w:rsidRPr="004C0F80">
        <w:t xml:space="preserve"> am Main Germany)</w:t>
      </w:r>
      <w:r w:rsidR="00D15A6E" w:rsidRPr="004C0F80">
        <w:t>.</w:t>
      </w:r>
      <w:r w:rsidRPr="004C0F80">
        <w:t xml:space="preserve"> </w:t>
      </w:r>
    </w:p>
    <w:p w14:paraId="18BAFA6F" w14:textId="3346439E" w:rsidR="00453E24" w:rsidRPr="004C0F80" w:rsidRDefault="00F07D2D" w:rsidP="006C5C14">
      <w:pPr>
        <w:pStyle w:val="CETheadingx"/>
        <w:rPr>
          <w:color w:val="auto"/>
        </w:rPr>
      </w:pPr>
      <w:r w:rsidRPr="004C0F80">
        <w:rPr>
          <w:color w:val="auto"/>
        </w:rPr>
        <w:t>Films preparation</w:t>
      </w:r>
    </w:p>
    <w:p w14:paraId="299CC271" w14:textId="19918AAE" w:rsidR="003A5640" w:rsidRPr="004C0F80" w:rsidRDefault="00B620DB" w:rsidP="00B620DB">
      <w:pPr>
        <w:pStyle w:val="CETBodytext"/>
      </w:pPr>
      <w:r w:rsidRPr="004C0F80">
        <w:t xml:space="preserve">Before the </w:t>
      </w:r>
      <w:r w:rsidR="00A875EB" w:rsidRPr="004C0F80">
        <w:t>extrusion process</w:t>
      </w:r>
      <w:r w:rsidRPr="004C0F80">
        <w:t xml:space="preserve">, </w:t>
      </w:r>
      <w:r w:rsidR="00A875EB" w:rsidRPr="004C0F80">
        <w:t>PBS and PVOH pellets</w:t>
      </w:r>
      <w:r w:rsidRPr="004C0F80">
        <w:t xml:space="preserve"> were dried at 80 °C for 1</w:t>
      </w:r>
      <w:r w:rsidR="00C92989" w:rsidRPr="004C0F80">
        <w:t>4</w:t>
      </w:r>
      <w:r w:rsidRPr="004C0F80">
        <w:t xml:space="preserve"> h </w:t>
      </w:r>
      <w:r w:rsidR="00D15A6E" w:rsidRPr="004C0F80">
        <w:t>under vacuum</w:t>
      </w:r>
      <w:r w:rsidR="00A875EB" w:rsidRPr="004C0F80">
        <w:t>. Dried pellets</w:t>
      </w:r>
      <w:r w:rsidRPr="004C0F80">
        <w:t xml:space="preserve"> at different PBS/PVOH</w:t>
      </w:r>
      <w:r w:rsidR="00A875EB" w:rsidRPr="004C0F80">
        <w:t xml:space="preserve"> weight</w:t>
      </w:r>
      <w:r w:rsidRPr="004C0F80">
        <w:t xml:space="preserve"> ratios (100/0, 80/20, 60/40</w:t>
      </w:r>
      <w:r w:rsidR="00A875EB" w:rsidRPr="004C0F80">
        <w:t>, 0/100</w:t>
      </w:r>
      <w:r w:rsidR="009733F6" w:rsidRPr="004C0F80">
        <w:t xml:space="preserve"> </w:t>
      </w:r>
      <w:proofErr w:type="spellStart"/>
      <w:r w:rsidR="009733F6" w:rsidRPr="004C0F80">
        <w:t>wt</w:t>
      </w:r>
      <w:proofErr w:type="spellEnd"/>
      <w:r w:rsidR="009733F6" w:rsidRPr="004C0F80">
        <w:t>%</w:t>
      </w:r>
      <w:r w:rsidRPr="004C0F80">
        <w:t>) were melt</w:t>
      </w:r>
      <w:r w:rsidR="00A875EB" w:rsidRPr="004C0F80">
        <w:t>-</w:t>
      </w:r>
      <w:r w:rsidRPr="004C0F80">
        <w:t>blended in a Collin ZK 25-48D co-rotating twin extruder (D = 25 mm, L/D = 42)</w:t>
      </w:r>
      <w:r w:rsidR="00D15A6E" w:rsidRPr="004C0F80">
        <w:t xml:space="preserve"> with a</w:t>
      </w:r>
      <w:r w:rsidRPr="004C0F80">
        <w:t xml:space="preserve"> screw speed of 200 rpm and a flat temperature profile </w:t>
      </w:r>
      <w:r w:rsidR="00994419" w:rsidRPr="004C0F80">
        <w:t>set at</w:t>
      </w:r>
      <w:r w:rsidR="00D15A6E" w:rsidRPr="004C0F80">
        <w:t xml:space="preserve"> 220°C</w:t>
      </w:r>
      <w:r w:rsidRPr="004C0F80">
        <w:t xml:space="preserve">. The extruded strand was </w:t>
      </w:r>
      <w:r w:rsidR="00A875EB" w:rsidRPr="004C0F80">
        <w:t xml:space="preserve">then </w:t>
      </w:r>
      <w:r w:rsidRPr="004C0F80">
        <w:t>air-cooled and pelletized.</w:t>
      </w:r>
      <w:r w:rsidR="00F50640" w:rsidRPr="004C0F80">
        <w:t xml:space="preserve"> Pure PBS and PVOH polymers and their blends were re-dried in vacuum prior to blown film production. Blown films were produced by means a single screw extruder GIMAC (D=12 mm, L/D= 24)</w:t>
      </w:r>
      <w:r w:rsidR="00994419" w:rsidRPr="004C0F80">
        <w:t xml:space="preserve"> operating</w:t>
      </w:r>
      <w:r w:rsidR="008B445D" w:rsidRPr="004C0F80">
        <w:t xml:space="preserve"> </w:t>
      </w:r>
      <w:r w:rsidR="00F67C96" w:rsidRPr="004C0F80">
        <w:t>with a flat temperature profile</w:t>
      </w:r>
      <w:r w:rsidR="00994419" w:rsidRPr="004C0F80">
        <w:t xml:space="preserve"> </w:t>
      </w:r>
      <w:r w:rsidR="008B445D" w:rsidRPr="004C0F80">
        <w:t>equal to 220°C</w:t>
      </w:r>
      <w:r w:rsidR="00F50640" w:rsidRPr="004C0F80">
        <w:t>. PBS,</w:t>
      </w:r>
      <w:r w:rsidR="00F67C96" w:rsidRPr="004C0F80">
        <w:t xml:space="preserve"> PVOH,</w:t>
      </w:r>
      <w:r w:rsidR="00F50640" w:rsidRPr="004C0F80">
        <w:t xml:space="preserve"> PBS</w:t>
      </w:r>
      <w:r w:rsidR="00C92989" w:rsidRPr="004C0F80">
        <w:t>/</w:t>
      </w:r>
      <w:r w:rsidR="00F50640" w:rsidRPr="004C0F80">
        <w:t>PVOH 80</w:t>
      </w:r>
      <w:r w:rsidR="00C92989" w:rsidRPr="004C0F80">
        <w:t>/</w:t>
      </w:r>
      <w:r w:rsidR="00F50640" w:rsidRPr="004C0F80">
        <w:t>20 and PBS</w:t>
      </w:r>
      <w:r w:rsidR="00C92989" w:rsidRPr="004C0F80">
        <w:t>/</w:t>
      </w:r>
      <w:r w:rsidR="00F50640" w:rsidRPr="004C0F80">
        <w:t>PVOH 60</w:t>
      </w:r>
      <w:r w:rsidR="00C92989" w:rsidRPr="004C0F80">
        <w:t>/</w:t>
      </w:r>
      <w:r w:rsidR="00F50640" w:rsidRPr="004C0F80">
        <w:t xml:space="preserve">40 </w:t>
      </w:r>
      <w:r w:rsidR="003D73BD" w:rsidRPr="004C0F80">
        <w:t>films</w:t>
      </w:r>
      <w:r w:rsidR="008B445D" w:rsidRPr="004C0F80">
        <w:t>,</w:t>
      </w:r>
      <w:r w:rsidR="003D73BD" w:rsidRPr="004C0F80">
        <w:t xml:space="preserve"> </w:t>
      </w:r>
      <w:r w:rsidR="00913083" w:rsidRPr="004C0F80">
        <w:t>with an average thicknesses of 4</w:t>
      </w:r>
      <w:r w:rsidR="00F67C96" w:rsidRPr="004C0F80">
        <w:t xml:space="preserve">0 </w:t>
      </w:r>
      <w:r w:rsidR="00F67C96" w:rsidRPr="004C0F80">
        <w:rPr>
          <w:rFonts w:cs="Arial"/>
        </w:rPr>
        <w:t xml:space="preserve">± </w:t>
      </w:r>
      <w:r w:rsidR="00F67C96" w:rsidRPr="004C0F80">
        <w:t xml:space="preserve">5 </w:t>
      </w:r>
      <w:r w:rsidR="00F67C96" w:rsidRPr="004C0F80">
        <w:rPr>
          <w:rFonts w:ascii="Verdana" w:hAnsi="Verdana"/>
        </w:rPr>
        <w:t>µ</w:t>
      </w:r>
      <w:r w:rsidR="00F67C96" w:rsidRPr="004C0F80">
        <w:t>m</w:t>
      </w:r>
      <w:r w:rsidR="008B445D" w:rsidRPr="004C0F80">
        <w:t>,</w:t>
      </w:r>
      <w:r w:rsidR="00913083" w:rsidRPr="004C0F80">
        <w:t xml:space="preserve"> </w:t>
      </w:r>
      <w:r w:rsidR="00994419" w:rsidRPr="004C0F80">
        <w:t xml:space="preserve">were collected at </w:t>
      </w:r>
      <w:r w:rsidR="00F67C96" w:rsidRPr="004C0F80">
        <w:t xml:space="preserve">a take-up speed of </w:t>
      </w:r>
      <w:r w:rsidR="00994419" w:rsidRPr="004C0F80">
        <w:t>3 m/min</w:t>
      </w:r>
      <w:r w:rsidR="00913083" w:rsidRPr="004C0F80">
        <w:t xml:space="preserve">. </w:t>
      </w:r>
    </w:p>
    <w:p w14:paraId="7055DEBB" w14:textId="32645834" w:rsidR="00783C27" w:rsidRPr="004C0F80" w:rsidRDefault="00783C27" w:rsidP="006C5C14">
      <w:pPr>
        <w:pStyle w:val="CETheadingx"/>
        <w:rPr>
          <w:color w:val="auto"/>
        </w:rPr>
      </w:pPr>
      <w:r w:rsidRPr="004C0F80">
        <w:rPr>
          <w:color w:val="auto"/>
        </w:rPr>
        <w:t>Characterization techniques</w:t>
      </w:r>
    </w:p>
    <w:p w14:paraId="4E9883A1" w14:textId="44EC085A" w:rsidR="00AC54DB" w:rsidRPr="004C0F80" w:rsidRDefault="00AC54DB" w:rsidP="00AC54DB">
      <w:pPr>
        <w:pStyle w:val="CETBodytext"/>
      </w:pPr>
      <w:r w:rsidRPr="004C0F80">
        <w:t>Dynamic shear rheological tests were conducted on pellets of pure materials and their blends.</w:t>
      </w:r>
      <w:r w:rsidR="00722808" w:rsidRPr="004C0F80">
        <w:t xml:space="preserve"> Pellets were dried at 80 °C for 1</w:t>
      </w:r>
      <w:r w:rsidR="005F13D1" w:rsidRPr="004C0F80">
        <w:t>4</w:t>
      </w:r>
      <w:r w:rsidR="00722808" w:rsidRPr="004C0F80">
        <w:t xml:space="preserve"> h </w:t>
      </w:r>
      <w:r w:rsidR="005F13D1" w:rsidRPr="004C0F80">
        <w:t xml:space="preserve">under </w:t>
      </w:r>
      <w:r w:rsidR="00722808" w:rsidRPr="004C0F80">
        <w:t>vacuum before testing. Frequency sweep tests were carried out with a p</w:t>
      </w:r>
      <w:r w:rsidRPr="004C0F80">
        <w:t>arallel-plate geometry (d=25 mm)</w:t>
      </w:r>
      <w:r w:rsidR="00722808" w:rsidRPr="004C0F80">
        <w:t xml:space="preserve"> in an angular frequency range of 0.1 to 100 rad/s</w:t>
      </w:r>
      <w:r w:rsidR="00B55795" w:rsidRPr="004C0F80">
        <w:t>,</w:t>
      </w:r>
      <w:r w:rsidR="00722808" w:rsidRPr="004C0F80">
        <w:t xml:space="preserve"> </w:t>
      </w:r>
      <w:r w:rsidRPr="004C0F80">
        <w:t xml:space="preserve">at 220 °C </w:t>
      </w:r>
      <w:r w:rsidR="005F13D1" w:rsidRPr="004C0F80">
        <w:t>under nitrogen atmosphere</w:t>
      </w:r>
      <w:r w:rsidRPr="004C0F80">
        <w:t xml:space="preserve">. During the shear rheological experiments, </w:t>
      </w:r>
      <w:r w:rsidR="005F13D1" w:rsidRPr="004C0F80">
        <w:t>a</w:t>
      </w:r>
      <w:r w:rsidRPr="004C0F80">
        <w:t xml:space="preserve"> strain amplitude</w:t>
      </w:r>
      <w:r w:rsidR="005F13D1" w:rsidRPr="004C0F80">
        <w:t xml:space="preserve"> equal to 5%</w:t>
      </w:r>
      <w:r w:rsidRPr="004C0F80">
        <w:t xml:space="preserve"> was applied to ensure the linear viscoelastic regime for all materials.</w:t>
      </w:r>
    </w:p>
    <w:p w14:paraId="6CDF5D76" w14:textId="74FEE9ED" w:rsidR="00E566F3" w:rsidRPr="004C0F80" w:rsidRDefault="003379DE" w:rsidP="00276BF3">
      <w:pPr>
        <w:pStyle w:val="CETBodytext"/>
      </w:pPr>
      <w:r w:rsidRPr="004C0F80">
        <w:t>Fourier</w:t>
      </w:r>
      <w:r w:rsidR="008B445D" w:rsidRPr="004C0F80">
        <w:t xml:space="preserve">-transform infrared spectroscopy (FTIR) </w:t>
      </w:r>
      <w:r w:rsidR="00E566F3" w:rsidRPr="004C0F80">
        <w:t>analysis in attenuated total-reflection (ATR) mode was conducted to capture infrared spectra of the films. A Nicolet 600 FT-IR spectrophotometer (</w:t>
      </w:r>
      <w:proofErr w:type="spellStart"/>
      <w:r w:rsidR="00E566F3" w:rsidRPr="004C0F80">
        <w:t>Thermo</w:t>
      </w:r>
      <w:proofErr w:type="spellEnd"/>
      <w:r w:rsidR="00E566F3" w:rsidRPr="004C0F80">
        <w:t xml:space="preserve"> Scientific, Waltham, USA) equipped with the Smart </w:t>
      </w:r>
      <w:r w:rsidRPr="004C0F80">
        <w:t>Performer</w:t>
      </w:r>
      <w:r w:rsidR="00E566F3" w:rsidRPr="004C0F80">
        <w:t xml:space="preserve"> tool was used. The spectra were taken in the frequency range 4000-</w:t>
      </w:r>
      <w:r w:rsidR="00E3241C">
        <w:t>7</w:t>
      </w:r>
      <w:r w:rsidR="00E566F3" w:rsidRPr="004C0F80">
        <w:t>00 cm</w:t>
      </w:r>
      <w:r w:rsidR="00E566F3" w:rsidRPr="004C0F80">
        <w:rPr>
          <w:vertAlign w:val="superscript"/>
        </w:rPr>
        <w:t>-1</w:t>
      </w:r>
      <w:r w:rsidR="00E566F3" w:rsidRPr="004C0F80">
        <w:t xml:space="preserve"> with a resolution of 2 cm</w:t>
      </w:r>
      <w:r w:rsidR="00E566F3" w:rsidRPr="004C0F80">
        <w:rPr>
          <w:vertAlign w:val="superscript"/>
        </w:rPr>
        <w:t>-1</w:t>
      </w:r>
      <w:r w:rsidR="00E566F3" w:rsidRPr="004C0F80">
        <w:t xml:space="preserve"> and averaged across 64 scans. </w:t>
      </w:r>
      <w:r w:rsidR="00EA624C" w:rsidRPr="004C0F80">
        <w:t>Normalization</w:t>
      </w:r>
      <w:r w:rsidR="00E566F3" w:rsidRPr="004C0F80">
        <w:t xml:space="preserve"> and peak integration were performed by means </w:t>
      </w:r>
      <w:proofErr w:type="spellStart"/>
      <w:r w:rsidR="00E566F3" w:rsidRPr="004C0F80">
        <w:t>Omnic</w:t>
      </w:r>
      <w:proofErr w:type="spellEnd"/>
      <w:r w:rsidR="00E566F3" w:rsidRPr="004C0F80">
        <w:t xml:space="preserve"> software.</w:t>
      </w:r>
    </w:p>
    <w:p w14:paraId="790BFA1E" w14:textId="349C94D6" w:rsidR="00205A15" w:rsidRPr="004C0F80" w:rsidRDefault="005F1FC1" w:rsidP="00276BF3">
      <w:pPr>
        <w:pStyle w:val="CETBodytext"/>
      </w:pPr>
      <w:r w:rsidRPr="004C0F80">
        <w:t xml:space="preserve">Oxygen transmission rate (OTR) of the films were </w:t>
      </w:r>
      <w:r w:rsidR="003379DE" w:rsidRPr="004C0F80">
        <w:t>evaluated</w:t>
      </w:r>
      <w:r w:rsidRPr="004C0F80">
        <w:t xml:space="preserve"> using a gas </w:t>
      </w:r>
      <w:proofErr w:type="spellStart"/>
      <w:r w:rsidRPr="004C0F80">
        <w:t>permeabilimeter</w:t>
      </w:r>
      <w:proofErr w:type="spellEnd"/>
      <w:r w:rsidRPr="004C0F80">
        <w:t xml:space="preserve"> (GTT, Brugger, Munich, Germany) in accordance with ISO 15105-1. </w:t>
      </w:r>
      <w:r w:rsidR="003379DE" w:rsidRPr="004C0F80">
        <w:t xml:space="preserve">Measurements </w:t>
      </w:r>
      <w:r w:rsidR="003379DE" w:rsidRPr="004C0F80">
        <w:rPr>
          <w:lang w:val="en-GB"/>
        </w:rPr>
        <w:t>were</w:t>
      </w:r>
      <w:r w:rsidRPr="004C0F80">
        <w:rPr>
          <w:lang w:val="en-GB"/>
        </w:rPr>
        <w:t xml:space="preserve"> carried out in triple</w:t>
      </w:r>
      <w:r w:rsidR="00B55795" w:rsidRPr="004C0F80">
        <w:t xml:space="preserve"> </w:t>
      </w:r>
      <w:r w:rsidRPr="004C0F80">
        <w:rPr>
          <w:lang w:val="en-GB"/>
        </w:rPr>
        <w:t>at 23 °C and 0% R.H., under pressure difference of oxygen equal to 1 bar, with the oxygen</w:t>
      </w:r>
      <w:r w:rsidR="00B55795" w:rsidRPr="004C0F80">
        <w:t xml:space="preserve"> </w:t>
      </w:r>
      <w:r w:rsidRPr="004C0F80">
        <w:rPr>
          <w:lang w:val="en-GB"/>
        </w:rPr>
        <w:t xml:space="preserve">flow rate of 80 mL/min. </w:t>
      </w:r>
      <w:r w:rsidR="00B55795" w:rsidRPr="004C0F80">
        <w:t>O</w:t>
      </w:r>
      <w:proofErr w:type="spellStart"/>
      <w:r w:rsidRPr="004C0F80">
        <w:rPr>
          <w:lang w:val="en-GB"/>
        </w:rPr>
        <w:t>xygen</w:t>
      </w:r>
      <w:proofErr w:type="spellEnd"/>
      <w:r w:rsidRPr="004C0F80">
        <w:rPr>
          <w:lang w:val="en-GB"/>
        </w:rPr>
        <w:t xml:space="preserve"> permeability coefficients (P</w:t>
      </w:r>
      <w:r w:rsidRPr="004C0F80">
        <w:rPr>
          <w:vertAlign w:val="subscript"/>
          <w:lang w:val="en-GB"/>
        </w:rPr>
        <w:t>O2</w:t>
      </w:r>
      <w:r w:rsidRPr="004C0F80">
        <w:rPr>
          <w:lang w:val="en-GB"/>
        </w:rPr>
        <w:t>) were determined</w:t>
      </w:r>
      <w:r w:rsidRPr="004C0F80">
        <w:t xml:space="preserve"> by multiplying the obtained OTR value by the sample thickness (mm).</w:t>
      </w:r>
    </w:p>
    <w:p w14:paraId="7426A4C8" w14:textId="1F31D591" w:rsidR="00783C27" w:rsidRPr="004C0F80" w:rsidRDefault="00783C27" w:rsidP="00783C27">
      <w:pPr>
        <w:pStyle w:val="CETHeading1"/>
      </w:pPr>
      <w:r w:rsidRPr="004C0F80">
        <w:t>Results and discussion</w:t>
      </w:r>
    </w:p>
    <w:p w14:paraId="04963A06" w14:textId="78C42887" w:rsidR="00600535" w:rsidRPr="004C0F80" w:rsidRDefault="0050030F" w:rsidP="006C5C14">
      <w:pPr>
        <w:pStyle w:val="CETheadingx"/>
        <w:rPr>
          <w:color w:val="auto"/>
        </w:rPr>
      </w:pPr>
      <w:r w:rsidRPr="004C0F80">
        <w:rPr>
          <w:color w:val="auto"/>
        </w:rPr>
        <w:t>Rheological characterization of the pure materials and of the biodegradable blends</w:t>
      </w:r>
    </w:p>
    <w:p w14:paraId="20D7062D" w14:textId="48F7891F" w:rsidR="00FE7114" w:rsidRPr="004C0F80" w:rsidRDefault="00FD6B68" w:rsidP="00FD6B68">
      <w:pPr>
        <w:pStyle w:val="CETBodytext"/>
      </w:pPr>
      <w:r w:rsidRPr="004C0F80">
        <w:t xml:space="preserve">Preliminary </w:t>
      </w:r>
      <w:r w:rsidR="00E94618" w:rsidRPr="004C0F80">
        <w:t>rheological</w:t>
      </w:r>
      <w:r w:rsidRPr="004C0F80">
        <w:t xml:space="preserve"> analysis </w:t>
      </w:r>
      <w:proofErr w:type="gramStart"/>
      <w:r w:rsidRPr="004C0F80">
        <w:t>were</w:t>
      </w:r>
      <w:proofErr w:type="gramEnd"/>
      <w:r w:rsidRPr="004C0F80">
        <w:t xml:space="preserve"> </w:t>
      </w:r>
      <w:r w:rsidR="00FE7114" w:rsidRPr="004C0F80">
        <w:t>carried</w:t>
      </w:r>
      <w:r w:rsidRPr="004C0F80">
        <w:t xml:space="preserve"> on </w:t>
      </w:r>
      <w:r w:rsidR="00F5045F" w:rsidRPr="004C0F80">
        <w:t>pure</w:t>
      </w:r>
      <w:r w:rsidRPr="004C0F80">
        <w:t xml:space="preserve"> PBS</w:t>
      </w:r>
      <w:r w:rsidR="006C5C14" w:rsidRPr="004C0F80">
        <w:t xml:space="preserve">, </w:t>
      </w:r>
      <w:r w:rsidRPr="004C0F80">
        <w:t xml:space="preserve">PVOH and </w:t>
      </w:r>
      <w:r w:rsidR="006C5C14" w:rsidRPr="004C0F80">
        <w:t xml:space="preserve">on the produced </w:t>
      </w:r>
      <w:r w:rsidRPr="004C0F80">
        <w:t xml:space="preserve">blends to </w:t>
      </w:r>
      <w:r w:rsidR="000E0E37" w:rsidRPr="004C0F80">
        <w:t>study</w:t>
      </w:r>
      <w:r w:rsidRPr="004C0F80">
        <w:t xml:space="preserve"> their processability</w:t>
      </w:r>
      <w:r w:rsidR="00FE7114" w:rsidRPr="004C0F80">
        <w:t xml:space="preserve"> and</w:t>
      </w:r>
      <w:r w:rsidR="00317F0E" w:rsidRPr="004C0F80">
        <w:t xml:space="preserve"> collect information about the </w:t>
      </w:r>
      <w:r w:rsidR="004F5D1D" w:rsidRPr="004C0F80">
        <w:t>polymers</w:t>
      </w:r>
      <w:r w:rsidR="00317F0E" w:rsidRPr="004C0F80">
        <w:t xml:space="preserve"> miscibility</w:t>
      </w:r>
      <w:r w:rsidRPr="004C0F80">
        <w:t>.</w:t>
      </w:r>
      <w:r w:rsidR="00E94618" w:rsidRPr="004C0F80">
        <w:t xml:space="preserve"> In Figure 1</w:t>
      </w:r>
      <w:r w:rsidR="00E62606" w:rsidRPr="004C0F80">
        <w:t xml:space="preserve"> the</w:t>
      </w:r>
      <w:r w:rsidR="00E94618" w:rsidRPr="004C0F80">
        <w:t xml:space="preserve"> complex viscosity</w:t>
      </w:r>
      <w:r w:rsidR="00B7536F" w:rsidRPr="004C0F80">
        <w:t xml:space="preserve"> </w:t>
      </w:r>
      <w:r w:rsidR="00115F56" w:rsidRPr="004C0F80">
        <w:t>(</w:t>
      </w:r>
      <w:r w:rsidR="00B7536F" w:rsidRPr="004C0F80">
        <w:t>η*</w:t>
      </w:r>
      <w:r w:rsidR="00115F56" w:rsidRPr="004C0F80">
        <w:t>)</w:t>
      </w:r>
      <w:r w:rsidR="00E62606" w:rsidRPr="004C0F80">
        <w:t xml:space="preserve"> curve</w:t>
      </w:r>
      <w:r w:rsidR="00257BB9" w:rsidRPr="004C0F80">
        <w:t>s</w:t>
      </w:r>
      <w:r w:rsidR="00E94618" w:rsidRPr="004C0F80">
        <w:t xml:space="preserve"> (Figure 1 (a))</w:t>
      </w:r>
      <w:r w:rsidR="00E62606" w:rsidRPr="004C0F80">
        <w:t xml:space="preserve">, </w:t>
      </w:r>
      <w:r w:rsidR="0057482D" w:rsidRPr="004C0F80">
        <w:t>and</w:t>
      </w:r>
      <w:r w:rsidR="00FE7114" w:rsidRPr="004C0F80">
        <w:t xml:space="preserve"> the Han plot</w:t>
      </w:r>
      <w:r w:rsidR="00257BB9" w:rsidRPr="004C0F80">
        <w:t>s</w:t>
      </w:r>
      <w:r w:rsidR="00FE7114" w:rsidRPr="004C0F80">
        <w:t xml:space="preserve"> (Log G’ vs </w:t>
      </w:r>
      <w:proofErr w:type="spellStart"/>
      <w:r w:rsidR="00FE7114" w:rsidRPr="004C0F80">
        <w:t>LogG</w:t>
      </w:r>
      <w:proofErr w:type="spellEnd"/>
      <w:r w:rsidR="00FE7114" w:rsidRPr="004C0F80">
        <w:t>’’)</w:t>
      </w:r>
      <w:r w:rsidR="00E94618" w:rsidRPr="004C0F80">
        <w:t xml:space="preserve"> </w:t>
      </w:r>
      <w:r w:rsidR="00FE7114" w:rsidRPr="004C0F80">
        <w:t>(Figure 1 (</w:t>
      </w:r>
      <w:r w:rsidR="0057482D" w:rsidRPr="004C0F80">
        <w:t>b</w:t>
      </w:r>
      <w:r w:rsidR="00FE7114" w:rsidRPr="004C0F80">
        <w:t xml:space="preserve">)) </w:t>
      </w:r>
      <w:r w:rsidR="00E94618" w:rsidRPr="004C0F80">
        <w:t>are reported</w:t>
      </w:r>
      <w:r w:rsidR="00FE7114" w:rsidRPr="004C0F80">
        <w:t>.</w:t>
      </w:r>
    </w:p>
    <w:p w14:paraId="34AB8A56" w14:textId="01D9121B" w:rsidR="006B3022" w:rsidRPr="004C0F80" w:rsidRDefault="003379DE" w:rsidP="00B6708E">
      <w:pPr>
        <w:pStyle w:val="CETBodytext"/>
      </w:pPr>
      <w:r w:rsidRPr="004C0F80">
        <w:t>As shown in Figure 1(a)</w:t>
      </w:r>
      <w:r w:rsidR="00993C84" w:rsidRPr="004C0F80">
        <w:t>,</w:t>
      </w:r>
      <w:r w:rsidR="00E62606" w:rsidRPr="004C0F80">
        <w:t xml:space="preserve"> </w:t>
      </w:r>
      <w:r w:rsidR="007B2F98" w:rsidRPr="004C0F80">
        <w:t>PBS exhibits</w:t>
      </w:r>
      <w:r w:rsidR="00993C84" w:rsidRPr="004C0F80">
        <w:t xml:space="preserve"> the</w:t>
      </w:r>
      <w:r w:rsidR="007B2F98" w:rsidRPr="004C0F80">
        <w:t xml:space="preserve"> </w:t>
      </w:r>
      <w:r w:rsidR="00B7536F" w:rsidRPr="004C0F80">
        <w:t>highe</w:t>
      </w:r>
      <w:r w:rsidR="00993C84" w:rsidRPr="004C0F80">
        <w:t>st</w:t>
      </w:r>
      <w:r w:rsidR="00630300" w:rsidRPr="004C0F80">
        <w:t xml:space="preserve"> viscosity values </w:t>
      </w:r>
      <w:r w:rsidR="001470D9" w:rsidRPr="004C0F80">
        <w:t>at low frequencies</w:t>
      </w:r>
      <w:r w:rsidRPr="004C0F80">
        <w:t xml:space="preserve"> and</w:t>
      </w:r>
      <w:r w:rsidR="00E62606" w:rsidRPr="004C0F80">
        <w:t xml:space="preserve"> is characterized by a</w:t>
      </w:r>
      <w:r w:rsidR="001470D9" w:rsidRPr="004C0F80">
        <w:t xml:space="preserve"> pronounced shear thinning </w:t>
      </w:r>
      <w:r w:rsidR="00E62606" w:rsidRPr="004C0F80">
        <w:t xml:space="preserve">behavior, </w:t>
      </w:r>
      <w:r w:rsidR="00F84F5B" w:rsidRPr="004C0F80">
        <w:t>typical of materials suitable for blown film process</w:t>
      </w:r>
      <w:r w:rsidR="005A2F31" w:rsidRPr="004C0F80">
        <w:t>. On the other hand, PVO</w:t>
      </w:r>
      <w:r w:rsidR="000E0E37" w:rsidRPr="004C0F80">
        <w:t xml:space="preserve">H </w:t>
      </w:r>
      <w:r w:rsidR="00B7536F" w:rsidRPr="004C0F80">
        <w:t>shows</w:t>
      </w:r>
      <w:r w:rsidR="000E0E37" w:rsidRPr="004C0F80">
        <w:t xml:space="preserve"> a wide</w:t>
      </w:r>
      <w:r w:rsidR="00993C84" w:rsidRPr="004C0F80">
        <w:t>r</w:t>
      </w:r>
      <w:r w:rsidR="000E0E37" w:rsidRPr="004C0F80">
        <w:t xml:space="preserve"> Newtonian </w:t>
      </w:r>
      <w:r w:rsidR="00081602" w:rsidRPr="004C0F80">
        <w:t>plateau</w:t>
      </w:r>
      <w:r w:rsidR="00993C84" w:rsidRPr="004C0F80">
        <w:t>,</w:t>
      </w:r>
      <w:r w:rsidR="000E0E37" w:rsidRPr="004C0F80">
        <w:t xml:space="preserve"> up to a frequency of 1 rad/s</w:t>
      </w:r>
      <w:r w:rsidR="00993C84" w:rsidRPr="004C0F80">
        <w:t>,</w:t>
      </w:r>
      <w:r w:rsidR="005A2F31" w:rsidRPr="004C0F80">
        <w:t xml:space="preserve"> an</w:t>
      </w:r>
      <w:r w:rsidR="00875C06" w:rsidRPr="004C0F80">
        <w:t xml:space="preserve">d a less </w:t>
      </w:r>
      <w:r w:rsidR="00993C84" w:rsidRPr="004C0F80">
        <w:t xml:space="preserve">pronounced shear thinning </w:t>
      </w:r>
      <w:proofErr w:type="spellStart"/>
      <w:r w:rsidR="00993C84" w:rsidRPr="004C0F80">
        <w:t>behaviour</w:t>
      </w:r>
      <w:proofErr w:type="spellEnd"/>
      <w:r w:rsidR="00875C06" w:rsidRPr="004C0F80">
        <w:t>.</w:t>
      </w:r>
      <w:r w:rsidR="00115F56" w:rsidRPr="004C0F80">
        <w:t xml:space="preserve"> </w:t>
      </w:r>
      <w:r w:rsidR="006C5C14" w:rsidRPr="004C0F80">
        <w:t xml:space="preserve">The complex viscosity curves of </w:t>
      </w:r>
      <w:r w:rsidR="0050030F" w:rsidRPr="004C0F80">
        <w:t>the</w:t>
      </w:r>
      <w:r w:rsidR="00115F56" w:rsidRPr="004C0F80">
        <w:t xml:space="preserve"> </w:t>
      </w:r>
      <w:r w:rsidR="00D8664C" w:rsidRPr="004C0F80">
        <w:t>PBS</w:t>
      </w:r>
      <w:r w:rsidR="00115F56" w:rsidRPr="004C0F80">
        <w:t>/</w:t>
      </w:r>
      <w:r w:rsidR="00D8664C" w:rsidRPr="004C0F80">
        <w:t xml:space="preserve">PVOH </w:t>
      </w:r>
      <w:r w:rsidR="006C5C14" w:rsidRPr="004C0F80">
        <w:t>blends</w:t>
      </w:r>
      <w:r w:rsidR="00D8664C" w:rsidRPr="004C0F80">
        <w:t xml:space="preserve"> </w:t>
      </w:r>
      <w:r w:rsidRPr="004C0F80">
        <w:t xml:space="preserve">qualitatively </w:t>
      </w:r>
      <w:r w:rsidR="00115F56" w:rsidRPr="004C0F80">
        <w:t>follow</w:t>
      </w:r>
      <w:r w:rsidR="00D8664C" w:rsidRPr="004C0F80">
        <w:t xml:space="preserve"> </w:t>
      </w:r>
      <w:r w:rsidRPr="004C0F80">
        <w:t>the same</w:t>
      </w:r>
      <w:r w:rsidR="00292EC6" w:rsidRPr="004C0F80">
        <w:t xml:space="preserve"> shear thinning</w:t>
      </w:r>
      <w:r w:rsidRPr="004C0F80">
        <w:t xml:space="preserve"> </w:t>
      </w:r>
      <w:r w:rsidR="006C5C14" w:rsidRPr="004C0F80">
        <w:t>behavior</w:t>
      </w:r>
      <w:r w:rsidR="00875C06" w:rsidRPr="004C0F80">
        <w:t xml:space="preserve"> </w:t>
      </w:r>
      <w:r w:rsidR="00115F56" w:rsidRPr="004C0F80">
        <w:t>of</w:t>
      </w:r>
      <w:r w:rsidR="00875C06" w:rsidRPr="004C0F80">
        <w:t xml:space="preserve"> PBS</w:t>
      </w:r>
      <w:r w:rsidR="006C5C14" w:rsidRPr="004C0F80">
        <w:t xml:space="preserve">. However, </w:t>
      </w:r>
      <w:r w:rsidR="00875C06" w:rsidRPr="004C0F80">
        <w:t xml:space="preserve">by increasing </w:t>
      </w:r>
      <w:r w:rsidR="006C5C14" w:rsidRPr="004C0F80">
        <w:t xml:space="preserve">the </w:t>
      </w:r>
      <w:r w:rsidR="00875C06" w:rsidRPr="004C0F80">
        <w:t>PVOH content</w:t>
      </w:r>
      <w:r w:rsidR="0074246C" w:rsidRPr="004C0F80">
        <w:t>,</w:t>
      </w:r>
      <w:r w:rsidR="00875C06" w:rsidRPr="004C0F80">
        <w:t xml:space="preserve"> a significant </w:t>
      </w:r>
      <w:r w:rsidR="00115F56" w:rsidRPr="004C0F80">
        <w:t>drop</w:t>
      </w:r>
      <w:r w:rsidR="00875C06" w:rsidRPr="004C0F80">
        <w:t xml:space="preserve"> in η*</w:t>
      </w:r>
      <w:r w:rsidR="00115F56" w:rsidRPr="004C0F80">
        <w:t xml:space="preserve"> values</w:t>
      </w:r>
      <w:r w:rsidR="00875C06" w:rsidRPr="004C0F80">
        <w:t xml:space="preserve"> </w:t>
      </w:r>
      <w:proofErr w:type="gramStart"/>
      <w:r w:rsidR="00115F56" w:rsidRPr="004C0F80">
        <w:t>was</w:t>
      </w:r>
      <w:proofErr w:type="gramEnd"/>
      <w:r w:rsidR="00875C06" w:rsidRPr="004C0F80">
        <w:t xml:space="preserve"> observed</w:t>
      </w:r>
      <w:r w:rsidR="00115F56" w:rsidRPr="004C0F80">
        <w:t xml:space="preserve"> compared to </w:t>
      </w:r>
      <w:r w:rsidR="006C5C14" w:rsidRPr="004C0F80">
        <w:t>both</w:t>
      </w:r>
      <w:r w:rsidR="00115F56" w:rsidRPr="004C0F80">
        <w:t xml:space="preserve"> pure polymers</w:t>
      </w:r>
      <w:r w:rsidR="006B3022" w:rsidRPr="004C0F80">
        <w:t>. T</w:t>
      </w:r>
      <w:r w:rsidR="006C5C14" w:rsidRPr="004C0F80">
        <w:t>his behavior</w:t>
      </w:r>
      <w:r w:rsidR="00EC5C83" w:rsidRPr="004C0F80">
        <w:t xml:space="preserve"> is </w:t>
      </w:r>
      <w:r w:rsidR="006C5C14" w:rsidRPr="004C0F80">
        <w:t>typical of two immiscible phases</w:t>
      </w:r>
      <w:r w:rsidR="00EC5C83" w:rsidRPr="004C0F80">
        <w:t xml:space="preserve"> and is attributable to a slippage between the two polymer phases within the blend</w:t>
      </w:r>
      <w:r w:rsidR="006C5C14" w:rsidRPr="004C0F80">
        <w:t>, suggest</w:t>
      </w:r>
      <w:r w:rsidR="00EC5C83" w:rsidRPr="004C0F80">
        <w:t>ing</w:t>
      </w:r>
      <w:r w:rsidR="00875C06" w:rsidRPr="004C0F80">
        <w:t xml:space="preserve"> </w:t>
      </w:r>
      <w:r w:rsidR="006C5C14" w:rsidRPr="004C0F80">
        <w:t>the</w:t>
      </w:r>
      <w:r w:rsidR="00875C06" w:rsidRPr="004C0F80">
        <w:t xml:space="preserve"> </w:t>
      </w:r>
      <w:r w:rsidR="00323076" w:rsidRPr="004C0F80">
        <w:t>PBS and PVOH intrinsic incompatibility</w:t>
      </w:r>
      <w:r w:rsidR="006B3022" w:rsidRPr="004C0F80">
        <w:t xml:space="preserve"> (</w:t>
      </w:r>
      <w:proofErr w:type="spellStart"/>
      <w:r w:rsidR="0048189C" w:rsidRPr="004C0F80">
        <w:rPr>
          <w:lang w:val="en-GB"/>
        </w:rPr>
        <w:t>Utracki</w:t>
      </w:r>
      <w:proofErr w:type="spellEnd"/>
      <w:r w:rsidR="0048189C" w:rsidRPr="004C0F80">
        <w:rPr>
          <w:lang w:val="en-GB"/>
        </w:rPr>
        <w:t xml:space="preserve"> et al., 1991</w:t>
      </w:r>
      <w:r w:rsidR="006B3022" w:rsidRPr="004C0F80">
        <w:t>)</w:t>
      </w:r>
      <w:r w:rsidR="00BE2AB4" w:rsidRPr="004C0F80">
        <w:t>.</w:t>
      </w:r>
      <w:r w:rsidR="00875C06" w:rsidRPr="004C0F80">
        <w:t xml:space="preserve"> </w:t>
      </w:r>
    </w:p>
    <w:p w14:paraId="38C4648F" w14:textId="4B5524A7" w:rsidR="006B3022" w:rsidRPr="004C0F80" w:rsidRDefault="006B3022" w:rsidP="00B6708E">
      <w:pPr>
        <w:pStyle w:val="CETBodytext"/>
      </w:pPr>
      <w:r w:rsidRPr="004C0F80">
        <w:t xml:space="preserve">The compatibility of the polymer blend in the melt state was further investigated through a Han plot, which shows a linear correlation in the plot of log G’ (storage modulus) versus log G’’ (loss modulus). According to this, compatible systems observed at various compositions </w:t>
      </w:r>
      <w:r w:rsidR="003C6528" w:rsidRPr="004C0F80">
        <w:t>will show the</w:t>
      </w:r>
      <w:r w:rsidRPr="004C0F80">
        <w:t xml:space="preserve"> same slope of the pure components. Otherwise, the blend is considered to be </w:t>
      </w:r>
      <w:proofErr w:type="gramStart"/>
      <w:r w:rsidRPr="004C0F80">
        <w:t>immiscible</w:t>
      </w:r>
      <w:proofErr w:type="gramEnd"/>
      <w:r w:rsidRPr="004C0F80">
        <w:t xml:space="preserve"> or </w:t>
      </w:r>
      <w:r w:rsidR="00257BB9" w:rsidRPr="004C0F80">
        <w:t>phase separated</w:t>
      </w:r>
      <w:r w:rsidRPr="004C0F80">
        <w:t xml:space="preserve"> </w:t>
      </w:r>
      <w:r w:rsidR="00EC5C83" w:rsidRPr="004C0F80">
        <w:t>(</w:t>
      </w:r>
      <w:proofErr w:type="spellStart"/>
      <w:r w:rsidR="00EC5C83" w:rsidRPr="004C0F80">
        <w:t>Walha</w:t>
      </w:r>
      <w:proofErr w:type="spellEnd"/>
      <w:r w:rsidR="00EC5C83" w:rsidRPr="004C0F80">
        <w:t xml:space="preserve"> et al., 2015)</w:t>
      </w:r>
    </w:p>
    <w:p w14:paraId="5758E3A1" w14:textId="08112CB0" w:rsidR="00BD23B1" w:rsidRPr="004C0F80" w:rsidRDefault="00EC5C83" w:rsidP="00872AC1">
      <w:pPr>
        <w:pStyle w:val="CETBodytext"/>
      </w:pPr>
      <w:r w:rsidRPr="004C0F80">
        <w:lastRenderedPageBreak/>
        <w:t>Figure 1(</w:t>
      </w:r>
      <w:r w:rsidR="0057482D" w:rsidRPr="004C0F80">
        <w:t>b</w:t>
      </w:r>
      <w:r w:rsidRPr="004C0F80">
        <w:t xml:space="preserve">) displays a plot of the neat polymers (PBS and PVOH) and their blends. It is clearly shown that curves of these blends exhibited </w:t>
      </w:r>
      <w:r w:rsidR="00BD23B1" w:rsidRPr="004C0F80">
        <w:t xml:space="preserve">different slopes </w:t>
      </w:r>
      <w:r w:rsidRPr="004C0F80">
        <w:t xml:space="preserve">which indicates </w:t>
      </w:r>
      <w:proofErr w:type="spellStart"/>
      <w:r w:rsidRPr="004C0F80">
        <w:t>nonmiscibility</w:t>
      </w:r>
      <w:proofErr w:type="spellEnd"/>
      <w:r w:rsidRPr="004C0F80">
        <w:t xml:space="preserve"> and incompatibility between these polymers.</w:t>
      </w:r>
      <w:r w:rsidR="00BD23B1" w:rsidRPr="004C0F80">
        <w:t xml:space="preserve"> Moreover, either the pure polymers </w:t>
      </w:r>
      <w:proofErr w:type="gramStart"/>
      <w:r w:rsidR="00BD23B1" w:rsidRPr="004C0F80">
        <w:t>and</w:t>
      </w:r>
      <w:proofErr w:type="gramEnd"/>
      <w:r w:rsidR="00BD23B1" w:rsidRPr="004C0F80">
        <w:t xml:space="preserve"> their blends plots show a predominant viscous response, </w:t>
      </w:r>
      <w:r w:rsidR="0088064C" w:rsidRPr="004C0F80">
        <w:t>exhibiting</w:t>
      </w:r>
      <w:r w:rsidR="00BD23B1" w:rsidRPr="004C0F80">
        <w:t xml:space="preserve"> a </w:t>
      </w:r>
      <w:r w:rsidR="00BD23B1" w:rsidRPr="004C0F80">
        <w:rPr>
          <w:i/>
          <w:iCs/>
        </w:rPr>
        <w:t>liquid-like</w:t>
      </w:r>
      <w:r w:rsidR="00BD23B1" w:rsidRPr="004C0F80">
        <w:t xml:space="preserve"> behavior.</w:t>
      </w:r>
    </w:p>
    <w:p w14:paraId="5AB16CF1" w14:textId="0A5E7926" w:rsidR="007B04F1" w:rsidRPr="004C0F80" w:rsidRDefault="007B04F1" w:rsidP="00872AC1">
      <w:pPr>
        <w:pStyle w:val="CETBodytext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6"/>
      </w:tblGrid>
      <w:tr w:rsidR="00177EBE" w:rsidRPr="004C0F80" w14:paraId="0DAA0727" w14:textId="77777777" w:rsidTr="001F4C18">
        <w:tc>
          <w:tcPr>
            <w:tcW w:w="5616" w:type="dxa"/>
            <w:hideMark/>
          </w:tcPr>
          <w:p w14:paraId="0E91764C" w14:textId="240E1A93" w:rsidR="0057482D" w:rsidRPr="004C0F80" w:rsidRDefault="0057482D" w:rsidP="001F4C18">
            <w:pPr>
              <w:pStyle w:val="CETBodytext"/>
              <w:jc w:val="left"/>
              <w:rPr>
                <w:b/>
                <w:bCs/>
              </w:rPr>
            </w:pPr>
            <w:r w:rsidRPr="004C0F80">
              <w:rPr>
                <w:b/>
                <w:noProof/>
              </w:rPr>
              <w:drawing>
                <wp:inline distT="0" distB="0" distL="0" distR="0" wp14:anchorId="7C9DE81E" wp14:editId="7E11E621">
                  <wp:extent cx="3271457" cy="2340000"/>
                  <wp:effectExtent l="0" t="0" r="5715" b="317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4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1457" cy="23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740019" w14:textId="77777777" w:rsidR="0057482D" w:rsidRPr="004C0F80" w:rsidRDefault="0057482D" w:rsidP="001F4C18">
            <w:pPr>
              <w:pStyle w:val="CETBodytext"/>
              <w:jc w:val="left"/>
              <w:rPr>
                <w:b/>
                <w:bCs/>
              </w:rPr>
            </w:pPr>
            <w:r w:rsidRPr="004C0F80">
              <w:rPr>
                <w:b/>
                <w:bCs/>
              </w:rPr>
              <w:t>(a)</w:t>
            </w:r>
          </w:p>
        </w:tc>
      </w:tr>
      <w:tr w:rsidR="00177EBE" w:rsidRPr="004C0F80" w14:paraId="10059722" w14:textId="77777777" w:rsidTr="001F4C18">
        <w:tblPrEx>
          <w:tblCellMar>
            <w:left w:w="70" w:type="dxa"/>
            <w:right w:w="70" w:type="dxa"/>
          </w:tblCellMar>
        </w:tblPrEx>
        <w:tc>
          <w:tcPr>
            <w:tcW w:w="5616" w:type="dxa"/>
          </w:tcPr>
          <w:p w14:paraId="23D05F4E" w14:textId="5E01E942" w:rsidR="0057482D" w:rsidRPr="004C0F80" w:rsidRDefault="00347520" w:rsidP="001F4C18">
            <w:pPr>
              <w:pStyle w:val="CETBodytext"/>
              <w:jc w:val="left"/>
              <w:rPr>
                <w:b/>
                <w:noProof/>
              </w:rPr>
            </w:pPr>
            <w:r w:rsidRPr="004C0F80">
              <w:rPr>
                <w:b/>
                <w:noProof/>
              </w:rPr>
              <w:drawing>
                <wp:inline distT="0" distB="0" distL="0" distR="0" wp14:anchorId="3790A7D2" wp14:editId="258932E3">
                  <wp:extent cx="3241675" cy="2200940"/>
                  <wp:effectExtent l="0" t="0" r="0" b="8890"/>
                  <wp:docPr id="13" name="Immagin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86" t="2727" r="1631" b="3145"/>
                          <a:stretch/>
                        </pic:blipFill>
                        <pic:spPr bwMode="auto">
                          <a:xfrm>
                            <a:off x="0" y="0"/>
                            <a:ext cx="3244090" cy="220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6F66B711" w14:textId="0BE4F414" w:rsidR="0057482D" w:rsidRPr="004C0F80" w:rsidRDefault="0057482D" w:rsidP="001F4C18">
            <w:pPr>
              <w:pStyle w:val="CETBodytext"/>
              <w:jc w:val="left"/>
              <w:rPr>
                <w:b/>
                <w:noProof/>
              </w:rPr>
            </w:pPr>
            <w:r w:rsidRPr="004C0F80">
              <w:rPr>
                <w:b/>
                <w:bCs/>
              </w:rPr>
              <w:t>(b)</w:t>
            </w:r>
          </w:p>
        </w:tc>
      </w:tr>
    </w:tbl>
    <w:p w14:paraId="6E0E6494" w14:textId="15F438CE" w:rsidR="00464FFE" w:rsidRPr="004C0F80" w:rsidRDefault="00406E81" w:rsidP="00406E81">
      <w:pPr>
        <w:pStyle w:val="CETCaption"/>
      </w:pPr>
      <w:r w:rsidRPr="004C0F80">
        <w:t>Figure 1: (a) Complex viscosity</w:t>
      </w:r>
      <w:r w:rsidR="0057482D" w:rsidRPr="004C0F80">
        <w:t xml:space="preserve"> and (b)</w:t>
      </w:r>
      <w:r w:rsidRPr="004C0F80">
        <w:t xml:space="preserve"> Han plots of neat PBS, neat PVOH pellets and their blends </w:t>
      </w:r>
      <w:r w:rsidR="0057482D" w:rsidRPr="004C0F80">
        <w:t>PBS/PVOH 80/20</w:t>
      </w:r>
      <w:r w:rsidRPr="004C0F80">
        <w:t xml:space="preserve"> </w:t>
      </w:r>
      <w:r w:rsidR="005F42C5" w:rsidRPr="004C0F80">
        <w:t xml:space="preserve">and </w:t>
      </w:r>
      <w:r w:rsidR="0057482D" w:rsidRPr="004C0F80">
        <w:t>PBS/PVOH 60/40</w:t>
      </w:r>
      <w:r w:rsidRPr="004C0F80">
        <w:t xml:space="preserve">. </w:t>
      </w:r>
    </w:p>
    <w:p w14:paraId="3C0B6183" w14:textId="0074B386" w:rsidR="0050030F" w:rsidRPr="004C0F80" w:rsidRDefault="0050030F" w:rsidP="006C5C14">
      <w:pPr>
        <w:pStyle w:val="CETheadingx"/>
        <w:rPr>
          <w:color w:val="auto"/>
        </w:rPr>
      </w:pPr>
      <w:r w:rsidRPr="004C0F80">
        <w:rPr>
          <w:color w:val="auto"/>
        </w:rPr>
        <w:t>Characterization of the chemical and barrier properties of the produced films</w:t>
      </w:r>
    </w:p>
    <w:p w14:paraId="18A622EA" w14:textId="443ACA87" w:rsidR="00E62606" w:rsidRPr="004C0F80" w:rsidRDefault="00B66637" w:rsidP="00A674C9">
      <w:pPr>
        <w:pStyle w:val="CETBodytext"/>
      </w:pPr>
      <w:r w:rsidRPr="004C0F80">
        <w:t>FTIR analysis was conducted on pure and blend</w:t>
      </w:r>
      <w:r w:rsidR="00F86CB5" w:rsidRPr="004C0F80">
        <w:t>-based</w:t>
      </w:r>
      <w:r w:rsidRPr="004C0F80">
        <w:t xml:space="preserve"> films to identify </w:t>
      </w:r>
      <w:r w:rsidR="00E76AB6" w:rsidRPr="004C0F80">
        <w:t xml:space="preserve">the </w:t>
      </w:r>
      <w:r w:rsidR="00E62606" w:rsidRPr="004C0F80">
        <w:t>main</w:t>
      </w:r>
      <w:r w:rsidRPr="004C0F80">
        <w:t xml:space="preserve"> functional groups</w:t>
      </w:r>
      <w:r w:rsidR="00E62606" w:rsidRPr="004C0F80">
        <w:t xml:space="preserve"> characteristic of </w:t>
      </w:r>
      <w:r w:rsidR="00E76AB6" w:rsidRPr="004C0F80">
        <w:t xml:space="preserve">the </w:t>
      </w:r>
      <w:r w:rsidR="00E62606" w:rsidRPr="004C0F80">
        <w:t>polymeric matrices</w:t>
      </w:r>
      <w:r w:rsidRPr="004C0F80">
        <w:t xml:space="preserve"> and possible chemical interaction among </w:t>
      </w:r>
      <w:r w:rsidR="00E62606" w:rsidRPr="004C0F80">
        <w:t>the two phases</w:t>
      </w:r>
      <w:r w:rsidRPr="004C0F80">
        <w:t>.</w:t>
      </w:r>
      <w:r w:rsidR="006973A7" w:rsidRPr="004C0F80">
        <w:t xml:space="preserve"> Figure </w:t>
      </w:r>
      <w:r w:rsidR="00BC2B7C" w:rsidRPr="004C0F80">
        <w:t xml:space="preserve">2 </w:t>
      </w:r>
      <w:r w:rsidR="006973A7" w:rsidRPr="004C0F80">
        <w:t xml:space="preserve">(a) displays </w:t>
      </w:r>
      <w:r w:rsidR="00E76AB6" w:rsidRPr="004C0F80">
        <w:t xml:space="preserve">the </w:t>
      </w:r>
      <w:r w:rsidR="00A674C9" w:rsidRPr="004C0F80">
        <w:t xml:space="preserve">full </w:t>
      </w:r>
      <w:r w:rsidR="006973A7" w:rsidRPr="004C0F80">
        <w:t xml:space="preserve">spectra of PBS, </w:t>
      </w:r>
      <w:bookmarkStart w:id="1" w:name="_Hlk127461483"/>
      <w:r w:rsidR="0057482D" w:rsidRPr="004C0F80">
        <w:t>PBS/PVOH 80/20</w:t>
      </w:r>
      <w:r w:rsidR="006973A7" w:rsidRPr="004C0F80">
        <w:t xml:space="preserve">, </w:t>
      </w:r>
      <w:r w:rsidR="0057482D" w:rsidRPr="004C0F80">
        <w:t>PBS/PVOH 60/40</w:t>
      </w:r>
      <w:r w:rsidR="006973A7" w:rsidRPr="004C0F80">
        <w:t xml:space="preserve"> </w:t>
      </w:r>
      <w:bookmarkEnd w:id="1"/>
      <w:r w:rsidR="006973A7" w:rsidRPr="004C0F80">
        <w:t>and PVOH films</w:t>
      </w:r>
      <w:r w:rsidR="00A674C9" w:rsidRPr="004C0F80">
        <w:t>, while magnifications are shown in Figure 2 (b), (c) and (d).</w:t>
      </w:r>
    </w:p>
    <w:p w14:paraId="1D6B0DDA" w14:textId="4421D131" w:rsidR="003D0786" w:rsidRPr="004C0F80" w:rsidRDefault="006973A7" w:rsidP="00B66637">
      <w:pPr>
        <w:pStyle w:val="CETBodytext"/>
      </w:pPr>
      <w:r w:rsidRPr="004C0F80">
        <w:t>Pure films show characteristic peak</w:t>
      </w:r>
      <w:r w:rsidR="00F86CB5" w:rsidRPr="004C0F80">
        <w:t>s</w:t>
      </w:r>
      <w:r w:rsidRPr="004C0F80">
        <w:t xml:space="preserve"> of PBS and PVOH</w:t>
      </w:r>
      <w:r w:rsidR="00E76AB6" w:rsidRPr="004C0F80">
        <w:t xml:space="preserve"> polymers</w:t>
      </w:r>
      <w:r w:rsidRPr="004C0F80">
        <w:t>. In particular</w:t>
      </w:r>
      <w:r w:rsidR="00E62606" w:rsidRPr="004C0F80">
        <w:t>,</w:t>
      </w:r>
      <w:r w:rsidRPr="004C0F80">
        <w:t xml:space="preserve"> </w:t>
      </w:r>
      <w:r w:rsidR="000276CE" w:rsidRPr="004C0F80">
        <w:t xml:space="preserve">the ATR-FTIR plot of the PBS film </w:t>
      </w:r>
      <w:r w:rsidR="000276CE" w:rsidRPr="004C0F80">
        <w:rPr>
          <w:rFonts w:cstheme="minorHAnsi"/>
        </w:rPr>
        <w:t xml:space="preserve">exhibits the principal characteristic absorptions as follows: </w:t>
      </w:r>
      <w:r w:rsidR="000276CE" w:rsidRPr="004C0F80">
        <w:t>the</w:t>
      </w:r>
      <w:r w:rsidRPr="004C0F80">
        <w:t xml:space="preserve"> C-H </w:t>
      </w:r>
      <w:r w:rsidR="00892FAE" w:rsidRPr="004C0F80">
        <w:t>asymmetric</w:t>
      </w:r>
      <w:r w:rsidRPr="004C0F80">
        <w:t xml:space="preserve"> stretching vibration at 2888-2849 cm</w:t>
      </w:r>
      <w:r w:rsidRPr="004C0F80">
        <w:rPr>
          <w:vertAlign w:val="superscript"/>
        </w:rPr>
        <w:t>-1</w:t>
      </w:r>
      <w:r w:rsidR="00A674C9" w:rsidRPr="004C0F80">
        <w:t xml:space="preserve">; </w:t>
      </w:r>
      <w:r w:rsidR="000276CE" w:rsidRPr="004C0F80">
        <w:t xml:space="preserve">the stretching vibration of the carbonyl group C=O in the </w:t>
      </w:r>
      <w:r w:rsidR="00A674C9" w:rsidRPr="004C0F80">
        <w:t xml:space="preserve">PBS </w:t>
      </w:r>
      <w:r w:rsidR="000276CE" w:rsidRPr="004C0F80">
        <w:t>crystalline phase</w:t>
      </w:r>
      <w:r w:rsidR="00A674C9" w:rsidRPr="004C0F80">
        <w:t xml:space="preserve"> is located</w:t>
      </w:r>
      <w:r w:rsidR="000276CE" w:rsidRPr="004C0F80">
        <w:t xml:space="preserve"> at 1709 cm</w:t>
      </w:r>
      <w:r w:rsidR="000276CE" w:rsidRPr="004C0F80">
        <w:rPr>
          <w:vertAlign w:val="superscript"/>
        </w:rPr>
        <w:t>-1</w:t>
      </w:r>
      <w:r w:rsidR="00A674C9" w:rsidRPr="004C0F80">
        <w:t xml:space="preserve">, </w:t>
      </w:r>
      <w:r w:rsidR="00D1782C" w:rsidRPr="004C0F80">
        <w:t>while</w:t>
      </w:r>
      <w:r w:rsidR="00F86CB5" w:rsidRPr="004C0F80">
        <w:t xml:space="preserve"> </w:t>
      </w:r>
      <w:r w:rsidR="00367B18" w:rsidRPr="004C0F80">
        <w:t xml:space="preserve">the broad </w:t>
      </w:r>
      <w:r w:rsidR="00A674C9" w:rsidRPr="004C0F80">
        <w:t>shoulder</w:t>
      </w:r>
      <w:r w:rsidR="00367B18" w:rsidRPr="004C0F80">
        <w:t xml:space="preserve"> </w:t>
      </w:r>
      <w:r w:rsidR="00F86CB5" w:rsidRPr="004C0F80">
        <w:t>at 1738</w:t>
      </w:r>
      <w:r w:rsidR="00367B18" w:rsidRPr="004C0F80">
        <w:t xml:space="preserve"> cm</w:t>
      </w:r>
      <w:r w:rsidR="00367B18" w:rsidRPr="004C0F80">
        <w:rPr>
          <w:vertAlign w:val="superscript"/>
        </w:rPr>
        <w:t>-1</w:t>
      </w:r>
      <w:r w:rsidR="00A674C9" w:rsidRPr="004C0F80">
        <w:t xml:space="preserve"> is attributable</w:t>
      </w:r>
      <w:r w:rsidR="00367B18" w:rsidRPr="004C0F80">
        <w:t xml:space="preserve"> to the amorphous phase of the polymer</w:t>
      </w:r>
      <w:r w:rsidR="00A674C9" w:rsidRPr="004C0F80">
        <w:t xml:space="preserve"> </w:t>
      </w:r>
      <w:r w:rsidR="004B3E3D" w:rsidRPr="004C0F80">
        <w:rPr>
          <w:rFonts w:cs="Arial"/>
        </w:rPr>
        <w:t>(de Matos Costa et al., 2020)</w:t>
      </w:r>
      <w:r w:rsidR="00A674C9" w:rsidRPr="004C0F80">
        <w:t>;</w:t>
      </w:r>
      <w:r w:rsidR="00D1782C" w:rsidRPr="004C0F80">
        <w:t xml:space="preserve"> </w:t>
      </w:r>
      <w:r w:rsidR="00A674C9" w:rsidRPr="004C0F80">
        <w:t>p</w:t>
      </w:r>
      <w:r w:rsidR="00367B18" w:rsidRPr="004C0F80">
        <w:rPr>
          <w:rFonts w:cstheme="minorHAnsi"/>
        </w:rPr>
        <w:t>eaks in 1469-1308 cm</w:t>
      </w:r>
      <w:r w:rsidR="00367B18" w:rsidRPr="004C0F80">
        <w:rPr>
          <w:rFonts w:cstheme="minorHAnsi"/>
          <w:vertAlign w:val="superscript"/>
        </w:rPr>
        <w:t>-1</w:t>
      </w:r>
      <w:r w:rsidR="00367B18" w:rsidRPr="004C0F80">
        <w:rPr>
          <w:rFonts w:cstheme="minorHAnsi"/>
        </w:rPr>
        <w:t xml:space="preserve"> band are ascribed to</w:t>
      </w:r>
      <w:r w:rsidRPr="004C0F80">
        <w:rPr>
          <w:rFonts w:cstheme="minorHAnsi"/>
        </w:rPr>
        <w:t xml:space="preserve"> CH stretching in CH</w:t>
      </w:r>
      <w:r w:rsidRPr="004C0F80">
        <w:rPr>
          <w:rFonts w:cstheme="minorHAnsi"/>
          <w:vertAlign w:val="subscript"/>
        </w:rPr>
        <w:t>2</w:t>
      </w:r>
      <w:r w:rsidR="00A674C9" w:rsidRPr="004C0F80">
        <w:rPr>
          <w:rFonts w:cstheme="minorHAnsi"/>
        </w:rPr>
        <w:t xml:space="preserve">; the asymmetric and symmetric C-O stretching in C-O-C adsorption peaks are noticeable </w:t>
      </w:r>
      <w:r w:rsidR="00F86CB5" w:rsidRPr="004C0F80">
        <w:rPr>
          <w:rFonts w:cstheme="minorHAnsi"/>
        </w:rPr>
        <w:t>at 1152 and 1044 cm</w:t>
      </w:r>
      <w:r w:rsidR="00F86CB5" w:rsidRPr="004C0F80">
        <w:rPr>
          <w:rFonts w:cstheme="minorHAnsi"/>
          <w:vertAlign w:val="superscript"/>
        </w:rPr>
        <w:t>-1</w:t>
      </w:r>
      <w:r w:rsidR="00A674C9" w:rsidRPr="004C0F80">
        <w:rPr>
          <w:rFonts w:cstheme="minorHAnsi"/>
        </w:rPr>
        <w:t xml:space="preserve">, while the C-OH bending in the terminal acid groups is located </w:t>
      </w:r>
      <w:r w:rsidR="00F86CB5" w:rsidRPr="004C0F80">
        <w:rPr>
          <w:rFonts w:cstheme="minorHAnsi"/>
        </w:rPr>
        <w:t>at 917 cm</w:t>
      </w:r>
      <w:r w:rsidR="00F86CB5" w:rsidRPr="004C0F80">
        <w:rPr>
          <w:rFonts w:cstheme="minorHAnsi"/>
          <w:vertAlign w:val="superscript"/>
        </w:rPr>
        <w:t>-1</w:t>
      </w:r>
      <w:r w:rsidR="00F86CB5" w:rsidRPr="004C0F80">
        <w:t xml:space="preserve">. </w:t>
      </w:r>
      <w:r w:rsidR="00B306C0" w:rsidRPr="004C0F80">
        <w:t>Absorption characteristic peaks of PVOH film</w:t>
      </w:r>
      <w:r w:rsidR="00677E20" w:rsidRPr="004C0F80">
        <w:t xml:space="preserve"> </w:t>
      </w:r>
      <w:r w:rsidR="00D072DB" w:rsidRPr="004C0F80">
        <w:t>are</w:t>
      </w:r>
      <w:r w:rsidR="00A674C9" w:rsidRPr="004C0F80">
        <w:t xml:space="preserve">: -OH stretching at </w:t>
      </w:r>
      <w:r w:rsidR="00677E20" w:rsidRPr="004C0F80">
        <w:t>3272 cm</w:t>
      </w:r>
      <w:r w:rsidR="00677E20" w:rsidRPr="004C0F80">
        <w:rPr>
          <w:vertAlign w:val="superscript"/>
        </w:rPr>
        <w:t>-1</w:t>
      </w:r>
      <w:r w:rsidR="00A674C9" w:rsidRPr="004C0F80">
        <w:t>; asymmetric and symmetric stretching of CH</w:t>
      </w:r>
      <w:r w:rsidR="00A674C9" w:rsidRPr="004C0F80">
        <w:rPr>
          <w:vertAlign w:val="subscript"/>
        </w:rPr>
        <w:t>2</w:t>
      </w:r>
      <w:r w:rsidR="00A674C9" w:rsidRPr="004C0F80">
        <w:t xml:space="preserve"> groups </w:t>
      </w:r>
      <w:r w:rsidR="00E226F0" w:rsidRPr="004C0F80">
        <w:t>at 2936</w:t>
      </w:r>
      <w:r w:rsidR="00A674C9" w:rsidRPr="004C0F80">
        <w:t xml:space="preserve"> and </w:t>
      </w:r>
      <w:r w:rsidR="00E226F0" w:rsidRPr="004C0F80">
        <w:t>2902 cm</w:t>
      </w:r>
      <w:r w:rsidR="00E226F0" w:rsidRPr="004C0F80">
        <w:rPr>
          <w:vertAlign w:val="superscript"/>
        </w:rPr>
        <w:t>-1</w:t>
      </w:r>
      <w:r w:rsidR="00E226F0" w:rsidRPr="004C0F80">
        <w:t xml:space="preserve"> respectively</w:t>
      </w:r>
      <w:r w:rsidR="00A674C9" w:rsidRPr="004C0F80">
        <w:t>;</w:t>
      </w:r>
      <w:r w:rsidR="00E226F0" w:rsidRPr="004C0F80">
        <w:t xml:space="preserve"> </w:t>
      </w:r>
      <w:r w:rsidR="00A674C9" w:rsidRPr="004C0F80">
        <w:t xml:space="preserve">H-O-H bending of the absorbed water </w:t>
      </w:r>
      <w:r w:rsidR="00E226F0" w:rsidRPr="004C0F80">
        <w:t>at 1644 cm</w:t>
      </w:r>
      <w:r w:rsidR="00E226F0" w:rsidRPr="004C0F80">
        <w:rPr>
          <w:vertAlign w:val="superscript"/>
        </w:rPr>
        <w:t>-1</w:t>
      </w:r>
      <w:r w:rsidR="00A674C9" w:rsidRPr="004C0F80">
        <w:t>;</w:t>
      </w:r>
      <w:r w:rsidR="00E226F0" w:rsidRPr="004C0F80">
        <w:t xml:space="preserve"> </w:t>
      </w:r>
      <w:r w:rsidR="00A674C9" w:rsidRPr="004C0F80">
        <w:t xml:space="preserve">C=C stretching </w:t>
      </w:r>
      <w:r w:rsidR="00E226F0" w:rsidRPr="004C0F80">
        <w:t>at 1538 cm</w:t>
      </w:r>
      <w:r w:rsidR="00E226F0" w:rsidRPr="004C0F80">
        <w:rPr>
          <w:vertAlign w:val="superscript"/>
        </w:rPr>
        <w:t>-1</w:t>
      </w:r>
      <w:r w:rsidR="00A674C9" w:rsidRPr="004C0F80">
        <w:t>;</w:t>
      </w:r>
      <w:r w:rsidR="00E226F0" w:rsidRPr="004C0F80">
        <w:t xml:space="preserve"> </w:t>
      </w:r>
      <w:r w:rsidR="00A674C9" w:rsidRPr="004C0F80">
        <w:t>CH</w:t>
      </w:r>
      <w:r w:rsidR="00A674C9" w:rsidRPr="004C0F80">
        <w:rPr>
          <w:vertAlign w:val="subscript"/>
        </w:rPr>
        <w:t>2</w:t>
      </w:r>
      <w:r w:rsidR="00A674C9" w:rsidRPr="004C0F80">
        <w:t xml:space="preserve"> bending and wagging </w:t>
      </w:r>
      <w:r w:rsidR="00E226F0" w:rsidRPr="004C0F80">
        <w:t>at 1415 cm</w:t>
      </w:r>
      <w:r w:rsidR="00E226F0" w:rsidRPr="004C0F80">
        <w:rPr>
          <w:vertAlign w:val="superscript"/>
        </w:rPr>
        <w:t>-1</w:t>
      </w:r>
      <w:r w:rsidR="00E226F0" w:rsidRPr="004C0F80">
        <w:t xml:space="preserve"> and 1324 cm</w:t>
      </w:r>
      <w:r w:rsidR="00E226F0" w:rsidRPr="004C0F80">
        <w:rPr>
          <w:vertAlign w:val="superscript"/>
        </w:rPr>
        <w:t>-1</w:t>
      </w:r>
      <w:r w:rsidR="00A674C9" w:rsidRPr="004C0F80">
        <w:t>,</w:t>
      </w:r>
      <w:r w:rsidR="00E226F0" w:rsidRPr="004C0F80">
        <w:t xml:space="preserve"> respectively</w:t>
      </w:r>
      <w:r w:rsidR="002C43BF" w:rsidRPr="004C0F80">
        <w:t>; a</w:t>
      </w:r>
      <w:r w:rsidR="003D0786" w:rsidRPr="004C0F80">
        <w:t xml:space="preserve"> peak imputable to the CO stretching is noticeable at </w:t>
      </w:r>
      <w:r w:rsidR="003D0786" w:rsidRPr="004C0F80">
        <w:lastRenderedPageBreak/>
        <w:t>1138</w:t>
      </w:r>
      <w:r w:rsidR="008D44C0" w:rsidRPr="004C0F80">
        <w:t xml:space="preserve"> cm</w:t>
      </w:r>
      <w:r w:rsidR="008D44C0" w:rsidRPr="004C0F80">
        <w:rPr>
          <w:vertAlign w:val="superscript"/>
        </w:rPr>
        <w:t>-1</w:t>
      </w:r>
      <w:r w:rsidR="002C43BF" w:rsidRPr="004C0F80">
        <w:t xml:space="preserve">, and </w:t>
      </w:r>
      <w:r w:rsidR="003D0786" w:rsidRPr="004C0F80">
        <w:t>identifies the crystalline sequence of PVOH</w:t>
      </w:r>
      <w:r w:rsidR="00924130" w:rsidRPr="004C0F80">
        <w:t xml:space="preserve"> </w:t>
      </w:r>
      <w:r w:rsidR="00924130" w:rsidRPr="004C0F80">
        <w:rPr>
          <w:rFonts w:cs="Arial"/>
        </w:rPr>
        <w:t>(</w:t>
      </w:r>
      <w:proofErr w:type="spellStart"/>
      <w:r w:rsidR="00924130" w:rsidRPr="004C0F80">
        <w:rPr>
          <w:rFonts w:cs="Arial"/>
        </w:rPr>
        <w:t>Tretinnikov</w:t>
      </w:r>
      <w:proofErr w:type="spellEnd"/>
      <w:r w:rsidR="00924130" w:rsidRPr="004C0F80">
        <w:rPr>
          <w:rFonts w:cs="Arial"/>
        </w:rPr>
        <w:t xml:space="preserve"> and </w:t>
      </w:r>
      <w:proofErr w:type="spellStart"/>
      <w:r w:rsidR="00924130" w:rsidRPr="004C0F80">
        <w:rPr>
          <w:rFonts w:cs="Arial"/>
        </w:rPr>
        <w:t>Zagorskaya</w:t>
      </w:r>
      <w:proofErr w:type="spellEnd"/>
      <w:r w:rsidR="00924130" w:rsidRPr="004C0F80">
        <w:rPr>
          <w:rFonts w:cs="Arial"/>
        </w:rPr>
        <w:t>, 2012</w:t>
      </w:r>
      <w:r w:rsidR="00D072DB" w:rsidRPr="004C0F80">
        <w:rPr>
          <w:rFonts w:cs="Arial"/>
        </w:rPr>
        <w:t>)</w:t>
      </w:r>
      <w:r w:rsidR="00D072DB" w:rsidRPr="004C0F80">
        <w:t xml:space="preserve"> </w:t>
      </w:r>
      <w:r w:rsidR="002C43BF" w:rsidRPr="004C0F80">
        <w:t xml:space="preserve">while </w:t>
      </w:r>
      <w:r w:rsidR="003D0786" w:rsidRPr="004C0F80">
        <w:t xml:space="preserve">the sharp peak </w:t>
      </w:r>
      <w:r w:rsidR="002C43BF" w:rsidRPr="004C0F80">
        <w:t>at 1086 cm</w:t>
      </w:r>
      <w:r w:rsidR="002C43BF" w:rsidRPr="004C0F80">
        <w:rPr>
          <w:vertAlign w:val="superscript"/>
        </w:rPr>
        <w:t>-1</w:t>
      </w:r>
      <w:r w:rsidR="002C43BF" w:rsidRPr="004C0F80">
        <w:t>, referred to the C-O stretching and the OH bending, identifies</w:t>
      </w:r>
      <w:r w:rsidR="003D0786" w:rsidRPr="004C0F80">
        <w:t xml:space="preserve"> the amorphous </w:t>
      </w:r>
      <w:r w:rsidR="005249D4" w:rsidRPr="004C0F80">
        <w:t>phase</w:t>
      </w:r>
      <w:r w:rsidR="002C43BF" w:rsidRPr="004C0F80">
        <w:t>; f</w:t>
      </w:r>
      <w:r w:rsidR="003D0786" w:rsidRPr="004C0F80">
        <w:t>inally,</w:t>
      </w:r>
      <w:r w:rsidR="00717285" w:rsidRPr="004C0F80">
        <w:t xml:space="preserve"> peaks due to</w:t>
      </w:r>
      <w:r w:rsidR="003D0786" w:rsidRPr="004C0F80">
        <w:t xml:space="preserve"> </w:t>
      </w:r>
      <w:r w:rsidR="008D44C0" w:rsidRPr="004C0F80">
        <w:t>CH</w:t>
      </w:r>
      <w:r w:rsidR="008D44C0" w:rsidRPr="004C0F80">
        <w:rPr>
          <w:vertAlign w:val="subscript"/>
        </w:rPr>
        <w:t>2</w:t>
      </w:r>
      <w:r w:rsidR="008D44C0" w:rsidRPr="004C0F80">
        <w:t xml:space="preserve"> rocking and C-C stretching</w:t>
      </w:r>
      <w:r w:rsidR="007075AE" w:rsidRPr="004C0F80">
        <w:t xml:space="preserve"> </w:t>
      </w:r>
      <w:r w:rsidR="008D44C0" w:rsidRPr="004C0F80">
        <w:t xml:space="preserve">are </w:t>
      </w:r>
      <w:r w:rsidR="007075AE" w:rsidRPr="004C0F80">
        <w:t>noticeable</w:t>
      </w:r>
      <w:r w:rsidR="008D44C0" w:rsidRPr="004C0F80">
        <w:t xml:space="preserve"> </w:t>
      </w:r>
      <w:r w:rsidR="003D0786" w:rsidRPr="004C0F80">
        <w:t>at 911 cm</w:t>
      </w:r>
      <w:r w:rsidR="003D0786" w:rsidRPr="004C0F80">
        <w:rPr>
          <w:vertAlign w:val="superscript"/>
        </w:rPr>
        <w:t>-1</w:t>
      </w:r>
      <w:r w:rsidR="003D0786" w:rsidRPr="004C0F80">
        <w:t xml:space="preserve"> and 827 cm</w:t>
      </w:r>
      <w:r w:rsidR="003D0786" w:rsidRPr="004C0F80">
        <w:rPr>
          <w:vertAlign w:val="superscript"/>
        </w:rPr>
        <w:t>-1</w:t>
      </w:r>
      <w:r w:rsidR="008D44C0" w:rsidRPr="004C0F80">
        <w:t xml:space="preserve">, </w:t>
      </w:r>
      <w:r w:rsidR="004E6A1B" w:rsidRPr="004C0F80">
        <w:t>respectively</w:t>
      </w:r>
      <w:r w:rsidR="007E205F" w:rsidRPr="004C0F80">
        <w:t xml:space="preserve"> </w:t>
      </w:r>
      <w:r w:rsidR="004B3E3D" w:rsidRPr="004C0F80">
        <w:rPr>
          <w:rFonts w:cs="Arial"/>
        </w:rPr>
        <w:t>(</w:t>
      </w:r>
      <w:proofErr w:type="spellStart"/>
      <w:r w:rsidR="004B3E3D" w:rsidRPr="004C0F80">
        <w:rPr>
          <w:rFonts w:cs="Arial"/>
        </w:rPr>
        <w:t>Jipa</w:t>
      </w:r>
      <w:proofErr w:type="spellEnd"/>
      <w:r w:rsidR="004B3E3D" w:rsidRPr="004C0F80">
        <w:rPr>
          <w:rFonts w:cs="Arial"/>
        </w:rPr>
        <w:t xml:space="preserve"> et al., 2012)</w:t>
      </w:r>
      <w:r w:rsidR="00924130" w:rsidRPr="004C0F80">
        <w:t>.</w:t>
      </w:r>
    </w:p>
    <w:p w14:paraId="24F81C24" w14:textId="67718246" w:rsidR="009C2FC1" w:rsidRPr="004C0F80" w:rsidRDefault="00727FE9" w:rsidP="00B66637">
      <w:pPr>
        <w:pStyle w:val="CETBodytext"/>
      </w:pPr>
      <w:r w:rsidRPr="004C0F80">
        <w:rPr>
          <w:rFonts w:cstheme="minorHAnsi"/>
        </w:rPr>
        <w:t>No new absorption bands were detectable in the spectra of the PBS/PVOH blends, although some peak shifts were observed.</w:t>
      </w:r>
      <w:r w:rsidRPr="004C0F80">
        <w:t xml:space="preserve"> </w:t>
      </w:r>
      <w:r w:rsidR="009C2FC1" w:rsidRPr="004C0F80">
        <w:t xml:space="preserve">In particular, </w:t>
      </w:r>
      <w:r w:rsidR="00496936" w:rsidRPr="004C0F80">
        <w:t xml:space="preserve">the PBS peak related to the stretching of the C = O bond of the crystalline phase </w:t>
      </w:r>
      <w:r w:rsidR="007E14C9" w:rsidRPr="004C0F80">
        <w:t>shifted</w:t>
      </w:r>
      <w:r w:rsidR="00496936" w:rsidRPr="004C0F80">
        <w:t xml:space="preserve"> from a wavelength of 1709 cm</w:t>
      </w:r>
      <w:r w:rsidR="00496936" w:rsidRPr="004C0F80">
        <w:rPr>
          <w:vertAlign w:val="superscript"/>
        </w:rPr>
        <w:t>-1</w:t>
      </w:r>
      <w:r w:rsidR="00496936" w:rsidRPr="004C0F80">
        <w:t xml:space="preserve"> to 1712 cm</w:t>
      </w:r>
      <w:r w:rsidR="00496936" w:rsidRPr="004C0F80">
        <w:rPr>
          <w:vertAlign w:val="superscript"/>
        </w:rPr>
        <w:t>-1</w:t>
      </w:r>
      <w:r w:rsidR="00496936" w:rsidRPr="004C0F80">
        <w:t xml:space="preserve"> and 1713 cm</w:t>
      </w:r>
      <w:r w:rsidR="00496936" w:rsidRPr="004C0F80">
        <w:rPr>
          <w:vertAlign w:val="superscript"/>
        </w:rPr>
        <w:t>-1</w:t>
      </w:r>
      <w:r w:rsidR="00496936" w:rsidRPr="004C0F80">
        <w:t xml:space="preserve">, for the </w:t>
      </w:r>
      <w:r w:rsidR="0057482D" w:rsidRPr="004C0F80">
        <w:t>PBS/PVOH 80/20</w:t>
      </w:r>
      <w:r w:rsidR="004F5D1D" w:rsidRPr="004C0F80">
        <w:t xml:space="preserve"> and</w:t>
      </w:r>
      <w:r w:rsidR="00496936" w:rsidRPr="004C0F80">
        <w:t xml:space="preserve"> </w:t>
      </w:r>
      <w:r w:rsidR="0057482D" w:rsidRPr="004C0F80">
        <w:t>PBS/PVOH 60/40</w:t>
      </w:r>
      <w:r w:rsidR="00496936" w:rsidRPr="004C0F80">
        <w:t xml:space="preserve"> </w:t>
      </w:r>
      <w:r w:rsidR="00DE2554" w:rsidRPr="004C0F80">
        <w:t>film samples</w:t>
      </w:r>
      <w:r w:rsidR="00496936" w:rsidRPr="004C0F80">
        <w:t xml:space="preserve"> </w:t>
      </w:r>
      <w:r w:rsidR="00961F2A" w:rsidRPr="004C0F80">
        <w:t>respectivel</w:t>
      </w:r>
      <w:r w:rsidR="00BC2B7C" w:rsidRPr="004C0F80">
        <w:t>y (Figure 2 (c))</w:t>
      </w:r>
      <w:r w:rsidR="00961F2A" w:rsidRPr="004C0F80">
        <w:t xml:space="preserve">, while </w:t>
      </w:r>
      <w:r w:rsidR="00DE2554" w:rsidRPr="004C0F80">
        <w:t xml:space="preserve">the </w:t>
      </w:r>
      <w:r w:rsidR="006D1232" w:rsidRPr="004C0F80">
        <w:t>characteristic</w:t>
      </w:r>
      <w:r w:rsidR="00DE2554" w:rsidRPr="004C0F80">
        <w:t xml:space="preserve"> peak of the amorphous phase of PVOH, </w:t>
      </w:r>
      <w:r w:rsidR="004F5D1D" w:rsidRPr="004C0F80">
        <w:t xml:space="preserve">originally </w:t>
      </w:r>
      <w:r w:rsidR="00DE2554" w:rsidRPr="004C0F80">
        <w:t xml:space="preserve">located at </w:t>
      </w:r>
      <w:r w:rsidR="00DE2554" w:rsidRPr="004C0F80">
        <w:rPr>
          <w:spacing w:val="-1"/>
        </w:rPr>
        <w:t>1086</w:t>
      </w:r>
      <w:r w:rsidR="00DE2554" w:rsidRPr="004C0F80">
        <w:rPr>
          <w:spacing w:val="-7"/>
        </w:rPr>
        <w:t xml:space="preserve"> </w:t>
      </w:r>
      <w:r w:rsidR="00DE2554" w:rsidRPr="004C0F80">
        <w:rPr>
          <w:spacing w:val="-1"/>
        </w:rPr>
        <w:t>cm</w:t>
      </w:r>
      <w:r w:rsidR="00DE2554" w:rsidRPr="004C0F80">
        <w:rPr>
          <w:spacing w:val="-1"/>
          <w:vertAlign w:val="superscript"/>
        </w:rPr>
        <w:t>­1</w:t>
      </w:r>
      <w:r w:rsidR="00245DC8" w:rsidRPr="004C0F80">
        <w:rPr>
          <w:spacing w:val="-1"/>
        </w:rPr>
        <w:t>,</w:t>
      </w:r>
      <w:r w:rsidR="00DE2554" w:rsidRPr="004C0F80">
        <w:rPr>
          <w:spacing w:val="-1"/>
          <w:vertAlign w:val="superscript"/>
        </w:rPr>
        <w:t xml:space="preserve"> </w:t>
      </w:r>
      <w:r w:rsidR="007E14C9" w:rsidRPr="004C0F80">
        <w:rPr>
          <w:spacing w:val="-1"/>
        </w:rPr>
        <w:t>moved</w:t>
      </w:r>
      <w:r w:rsidR="00DE2554" w:rsidRPr="004C0F80">
        <w:rPr>
          <w:spacing w:val="-1"/>
        </w:rPr>
        <w:t xml:space="preserve"> to </w:t>
      </w:r>
      <w:r w:rsidR="00DE2554" w:rsidRPr="004C0F80">
        <w:t>1092 cm</w:t>
      </w:r>
      <w:r w:rsidR="00DE2554" w:rsidRPr="004C0F80">
        <w:rPr>
          <w:vertAlign w:val="superscript"/>
        </w:rPr>
        <w:t>­1</w:t>
      </w:r>
      <w:r w:rsidR="00DE2554" w:rsidRPr="004C0F80">
        <w:t xml:space="preserve"> </w:t>
      </w:r>
      <w:r w:rsidR="006D1232" w:rsidRPr="004C0F80">
        <w:t xml:space="preserve">in </w:t>
      </w:r>
      <w:r w:rsidR="00DE2554" w:rsidRPr="004C0F80">
        <w:t>PBS/PVOH 60/40</w:t>
      </w:r>
      <w:r w:rsidR="006D1232" w:rsidRPr="004C0F80">
        <w:t xml:space="preserve"> film and to </w:t>
      </w:r>
      <w:r w:rsidR="00DE2554" w:rsidRPr="004C0F80">
        <w:t>1096 cm</w:t>
      </w:r>
      <w:r w:rsidR="00DE2554" w:rsidRPr="004C0F80">
        <w:rPr>
          <w:vertAlign w:val="superscript"/>
        </w:rPr>
        <w:t>­1</w:t>
      </w:r>
      <w:r w:rsidR="00DE2554" w:rsidRPr="004C0F80">
        <w:t xml:space="preserve"> </w:t>
      </w:r>
      <w:r w:rsidR="006D1232" w:rsidRPr="004C0F80">
        <w:t xml:space="preserve">in </w:t>
      </w:r>
      <w:r w:rsidR="00DE2554" w:rsidRPr="004C0F80">
        <w:t>PBS/PVOH 80/20</w:t>
      </w:r>
      <w:r w:rsidR="006D1232" w:rsidRPr="004C0F80">
        <w:t xml:space="preserve"> </w:t>
      </w:r>
      <w:r w:rsidR="007E14C9" w:rsidRPr="004C0F80">
        <w:t>sample</w:t>
      </w:r>
      <w:r w:rsidR="00BC2B7C" w:rsidRPr="004C0F80">
        <w:t xml:space="preserve"> (Figure 2 (b))</w:t>
      </w:r>
      <w:r w:rsidR="00DE2554" w:rsidRPr="004C0F80">
        <w:t xml:space="preserve">. </w:t>
      </w:r>
      <w:r w:rsidR="00961F2A" w:rsidRPr="004C0F80">
        <w:t>In addition, the peak at 827 cm</w:t>
      </w:r>
      <w:r w:rsidR="00961F2A" w:rsidRPr="004C0F80">
        <w:rPr>
          <w:vertAlign w:val="superscript"/>
        </w:rPr>
        <w:t xml:space="preserve">-1 </w:t>
      </w:r>
      <w:r w:rsidR="00961F2A" w:rsidRPr="004C0F80">
        <w:t>associated with the C-C stretching in PVOH film sample came out downshifted around 850 cm</w:t>
      </w:r>
      <w:r w:rsidR="00961F2A" w:rsidRPr="004C0F80">
        <w:rPr>
          <w:vertAlign w:val="superscript"/>
        </w:rPr>
        <w:t>-1</w:t>
      </w:r>
      <w:r w:rsidR="00961F2A" w:rsidRPr="004C0F80">
        <w:t xml:space="preserve"> in blend-based films</w:t>
      </w:r>
      <w:r w:rsidR="00BC2B7C" w:rsidRPr="004C0F80">
        <w:t xml:space="preserve"> (Figure 2 (d))</w:t>
      </w:r>
      <w:r w:rsidR="00961F2A" w:rsidRPr="004C0F80">
        <w:t xml:space="preserve">. </w:t>
      </w:r>
      <w:r w:rsidR="007E14C9" w:rsidRPr="004C0F80">
        <w:t>T</w:t>
      </w:r>
      <w:r w:rsidR="00956057" w:rsidRPr="004C0F80">
        <w:t>hese</w:t>
      </w:r>
      <w:r w:rsidR="00961F2A" w:rsidRPr="004C0F80">
        <w:t xml:space="preserve"> </w:t>
      </w:r>
      <w:r w:rsidR="007E14C9" w:rsidRPr="004C0F80">
        <w:t>changings in absorption band positions</w:t>
      </w:r>
      <w:r w:rsidR="00961F2A" w:rsidRPr="004C0F80">
        <w:t xml:space="preserve"> evidenced that </w:t>
      </w:r>
      <w:r w:rsidRPr="004C0F80">
        <w:t xml:space="preserve">the two </w:t>
      </w:r>
      <w:r w:rsidR="00956057" w:rsidRPr="004C0F80">
        <w:t>polymers, despite</w:t>
      </w:r>
      <w:r w:rsidR="00961F2A" w:rsidRPr="004C0F80">
        <w:t xml:space="preserve"> of their immiscibility, </w:t>
      </w:r>
      <w:r w:rsidRPr="004C0F80">
        <w:t>have a</w:t>
      </w:r>
      <w:r w:rsidR="00956057" w:rsidRPr="004C0F80">
        <w:t xml:space="preserve"> certain degree of interaction.</w:t>
      </w:r>
      <w:r w:rsidR="00F91041" w:rsidRPr="004C0F80">
        <w:t xml:space="preserve"> </w:t>
      </w:r>
    </w:p>
    <w:p w14:paraId="07234ECC" w14:textId="70929523" w:rsidR="007B04F1" w:rsidRPr="004C0F80" w:rsidRDefault="007B04F1" w:rsidP="00B66637">
      <w:pPr>
        <w:pStyle w:val="CETBodytext"/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7"/>
      </w:tblGrid>
      <w:tr w:rsidR="00177EBE" w:rsidRPr="004C0F80" w14:paraId="6B3A836A" w14:textId="77777777" w:rsidTr="001F4C18">
        <w:tc>
          <w:tcPr>
            <w:tcW w:w="8787" w:type="dxa"/>
            <w:hideMark/>
          </w:tcPr>
          <w:p w14:paraId="3926184B" w14:textId="4C391ECD" w:rsidR="007B04F1" w:rsidRPr="004C0F80" w:rsidRDefault="007B04F1" w:rsidP="001F4C18">
            <w:pPr>
              <w:pStyle w:val="CETBodytext"/>
              <w:jc w:val="left"/>
              <w:rPr>
                <w:b/>
                <w:bCs/>
              </w:rPr>
            </w:pPr>
            <w:r w:rsidRPr="004C0F80">
              <w:rPr>
                <w:b/>
                <w:noProof/>
              </w:rPr>
              <w:drawing>
                <wp:inline distT="0" distB="0" distL="0" distR="0" wp14:anchorId="67D31031" wp14:editId="38A27A43">
                  <wp:extent cx="4991100" cy="2533650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049" b="575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91100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7EC439" w14:textId="77777777" w:rsidR="007B04F1" w:rsidRPr="004C0F80" w:rsidRDefault="007B04F1">
            <w:pPr>
              <w:pStyle w:val="CETBodytext"/>
              <w:jc w:val="center"/>
              <w:rPr>
                <w:b/>
                <w:bCs/>
              </w:rPr>
            </w:pPr>
            <w:r w:rsidRPr="004C0F80">
              <w:rPr>
                <w:b/>
                <w:bCs/>
              </w:rPr>
              <w:t>(a)</w:t>
            </w:r>
          </w:p>
        </w:tc>
      </w:tr>
      <w:tr w:rsidR="00177EBE" w:rsidRPr="004C0F80" w14:paraId="5ED33D27" w14:textId="77777777" w:rsidTr="001F4C18">
        <w:tc>
          <w:tcPr>
            <w:tcW w:w="8787" w:type="dxa"/>
            <w:hideMark/>
          </w:tcPr>
          <w:p w14:paraId="3ED06900" w14:textId="352E1244" w:rsidR="007B04F1" w:rsidRPr="004C0F80" w:rsidRDefault="007B04F1" w:rsidP="001F4C18">
            <w:pPr>
              <w:pStyle w:val="CETBodytext"/>
              <w:jc w:val="left"/>
              <w:rPr>
                <w:b/>
                <w:bCs/>
                <w:noProof/>
              </w:rPr>
            </w:pPr>
            <w:r w:rsidRPr="004C0F80">
              <w:rPr>
                <w:b/>
                <w:noProof/>
              </w:rPr>
              <w:drawing>
                <wp:inline distT="0" distB="0" distL="0" distR="0" wp14:anchorId="27210769" wp14:editId="0955A1D5">
                  <wp:extent cx="4114800" cy="2695575"/>
                  <wp:effectExtent l="0" t="0" r="0" b="9525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14800" cy="2695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5909A1" w14:textId="1C8AEE4E" w:rsidR="007B04F1" w:rsidRPr="004C0F80" w:rsidRDefault="00177EBE">
            <w:pPr>
              <w:pStyle w:val="CETBodytext"/>
              <w:rPr>
                <w:b/>
                <w:bCs/>
                <w:noProof/>
              </w:rPr>
            </w:pPr>
            <w:r w:rsidRPr="004C0F80">
              <w:rPr>
                <w:b/>
                <w:bCs/>
                <w:noProof/>
              </w:rPr>
              <w:t xml:space="preserve">             </w:t>
            </w:r>
            <w:r w:rsidR="00790654" w:rsidRPr="004C0F80">
              <w:rPr>
                <w:b/>
                <w:bCs/>
                <w:noProof/>
              </w:rPr>
              <w:t xml:space="preserve">     </w:t>
            </w:r>
            <w:r w:rsidR="007B04F1" w:rsidRPr="004C0F80">
              <w:rPr>
                <w:b/>
                <w:bCs/>
                <w:noProof/>
              </w:rPr>
              <w:t>(b)</w:t>
            </w:r>
            <w:r w:rsidRPr="004C0F80">
              <w:rPr>
                <w:b/>
                <w:bCs/>
                <w:noProof/>
              </w:rPr>
              <w:t xml:space="preserve">                     </w:t>
            </w:r>
            <w:r w:rsidR="00790654" w:rsidRPr="004C0F80">
              <w:rPr>
                <w:b/>
                <w:bCs/>
                <w:noProof/>
              </w:rPr>
              <w:t xml:space="preserve">                      </w:t>
            </w:r>
            <w:r w:rsidRPr="004C0F80">
              <w:rPr>
                <w:b/>
                <w:bCs/>
                <w:noProof/>
              </w:rPr>
              <w:t xml:space="preserve"> </w:t>
            </w:r>
            <w:r w:rsidR="007B04F1" w:rsidRPr="004C0F80">
              <w:rPr>
                <w:b/>
                <w:bCs/>
                <w:noProof/>
              </w:rPr>
              <w:t>(c)</w:t>
            </w:r>
            <w:r w:rsidRPr="004C0F80">
              <w:rPr>
                <w:b/>
                <w:bCs/>
                <w:noProof/>
              </w:rPr>
              <w:t xml:space="preserve">                  </w:t>
            </w:r>
            <w:r w:rsidR="00790654" w:rsidRPr="004C0F80">
              <w:rPr>
                <w:b/>
                <w:bCs/>
                <w:noProof/>
              </w:rPr>
              <w:t xml:space="preserve">                 </w:t>
            </w:r>
            <w:r w:rsidRPr="004C0F80">
              <w:rPr>
                <w:b/>
                <w:bCs/>
                <w:noProof/>
              </w:rPr>
              <w:t xml:space="preserve"> </w:t>
            </w:r>
            <w:r w:rsidR="007B04F1" w:rsidRPr="004C0F80">
              <w:rPr>
                <w:b/>
                <w:bCs/>
                <w:noProof/>
              </w:rPr>
              <w:t>(d)</w:t>
            </w:r>
          </w:p>
        </w:tc>
      </w:tr>
    </w:tbl>
    <w:p w14:paraId="35C87699" w14:textId="0D17EF3B" w:rsidR="00464FFE" w:rsidRPr="004C0F80" w:rsidRDefault="00406E81" w:rsidP="00556036">
      <w:pPr>
        <w:pStyle w:val="CETCaption"/>
      </w:pPr>
      <w:r w:rsidRPr="004C0F80">
        <w:t xml:space="preserve">Figure 2: (a) FTIR-ATR spectra of PBS, PVOH, </w:t>
      </w:r>
      <w:r w:rsidR="0057482D" w:rsidRPr="004C0F80">
        <w:t>PBS/PVOH 80/20</w:t>
      </w:r>
      <w:r w:rsidRPr="004C0F80">
        <w:t xml:space="preserve"> and </w:t>
      </w:r>
      <w:r w:rsidR="0057482D" w:rsidRPr="004C0F80">
        <w:t>PBS/PVOH 60/40</w:t>
      </w:r>
      <w:r w:rsidRPr="004C0F80">
        <w:t xml:space="preserve"> films. </w:t>
      </w:r>
      <w:r w:rsidR="00760A6F" w:rsidRPr="004C0F80">
        <w:t>Spectra magnification</w:t>
      </w:r>
      <w:r w:rsidR="00BD636A" w:rsidRPr="004C0F80">
        <w:t xml:space="preserve"> between (</w:t>
      </w:r>
      <w:r w:rsidR="00A674C9" w:rsidRPr="004C0F80">
        <w:t>b</w:t>
      </w:r>
      <w:r w:rsidR="00BD636A" w:rsidRPr="004C0F80">
        <w:t>) 1200 and 1000 cm</w:t>
      </w:r>
      <w:r w:rsidR="00BD636A" w:rsidRPr="004C0F80">
        <w:rPr>
          <w:vertAlign w:val="superscript"/>
        </w:rPr>
        <w:t>-1</w:t>
      </w:r>
      <w:r w:rsidR="00BD636A" w:rsidRPr="004C0F80">
        <w:t>, (</w:t>
      </w:r>
      <w:r w:rsidR="00A674C9" w:rsidRPr="004C0F80">
        <w:t>c</w:t>
      </w:r>
      <w:r w:rsidR="00BD636A" w:rsidRPr="004C0F80">
        <w:t>) 1800 and 1600 cm</w:t>
      </w:r>
      <w:r w:rsidR="00BD636A" w:rsidRPr="004C0F80">
        <w:rPr>
          <w:vertAlign w:val="superscript"/>
        </w:rPr>
        <w:t>-1</w:t>
      </w:r>
      <w:r w:rsidR="00BD636A" w:rsidRPr="004C0F80">
        <w:t>, (</w:t>
      </w:r>
      <w:r w:rsidR="00A674C9" w:rsidRPr="004C0F80">
        <w:t>d</w:t>
      </w:r>
      <w:r w:rsidR="00BD636A" w:rsidRPr="004C0F80">
        <w:t xml:space="preserve">) </w:t>
      </w:r>
      <w:r w:rsidR="0057482D" w:rsidRPr="004C0F80">
        <w:t>950</w:t>
      </w:r>
      <w:r w:rsidR="00BD636A" w:rsidRPr="004C0F80">
        <w:t xml:space="preserve"> and 700 cm</w:t>
      </w:r>
      <w:r w:rsidR="00BD636A" w:rsidRPr="004C0F80">
        <w:rPr>
          <w:vertAlign w:val="superscript"/>
        </w:rPr>
        <w:t>-1</w:t>
      </w:r>
      <w:r w:rsidR="00BD636A" w:rsidRPr="004C0F80">
        <w:t>.</w:t>
      </w:r>
    </w:p>
    <w:p w14:paraId="4F513FFD" w14:textId="4070ADCF" w:rsidR="00F20C3C" w:rsidRPr="004C0F80" w:rsidRDefault="00183D37" w:rsidP="00A06DE7">
      <w:pPr>
        <w:pStyle w:val="CETBodytext"/>
        <w:rPr>
          <w:rFonts w:eastAsiaTheme="minorHAnsi"/>
        </w:rPr>
      </w:pPr>
      <w:r w:rsidRPr="004C0F80">
        <w:t xml:space="preserve">Oxygen barrier properties are one of key properties to </w:t>
      </w:r>
      <w:r w:rsidR="00571449" w:rsidRPr="004C0F80">
        <w:t>assess the</w:t>
      </w:r>
      <w:r w:rsidRPr="004C0F80">
        <w:t xml:space="preserve"> suitability of a film </w:t>
      </w:r>
      <w:r w:rsidR="0019519A" w:rsidRPr="004C0F80">
        <w:t>for food packaging applications</w:t>
      </w:r>
      <w:r w:rsidR="00F30969" w:rsidRPr="004C0F80">
        <w:t>.</w:t>
      </w:r>
      <w:r w:rsidR="00D80056" w:rsidRPr="004C0F80">
        <w:t xml:space="preserve"> </w:t>
      </w:r>
      <w:r w:rsidR="00F30969" w:rsidRPr="004C0F80">
        <w:t xml:space="preserve">This is </w:t>
      </w:r>
      <w:r w:rsidR="00D80056" w:rsidRPr="004C0F80">
        <w:t xml:space="preserve">especially </w:t>
      </w:r>
      <w:r w:rsidR="006A080F" w:rsidRPr="004C0F80">
        <w:t>valid for the packaging of specific categories of foods</w:t>
      </w:r>
      <w:r w:rsidR="00E30D9E" w:rsidRPr="004C0F80">
        <w:t>,</w:t>
      </w:r>
      <w:r w:rsidR="006A080F" w:rsidRPr="004C0F80">
        <w:t xml:space="preserve"> such </w:t>
      </w:r>
      <w:r w:rsidR="00F30969" w:rsidRPr="004C0F80">
        <w:t>as f</w:t>
      </w:r>
      <w:r w:rsidR="00D80056" w:rsidRPr="004C0F80">
        <w:t xml:space="preserve">resh and fatty </w:t>
      </w:r>
      <w:r w:rsidR="00D80056" w:rsidRPr="004C0F80">
        <w:lastRenderedPageBreak/>
        <w:t>foods</w:t>
      </w:r>
      <w:r w:rsidR="00E30D9E" w:rsidRPr="004C0F80">
        <w:t>,</w:t>
      </w:r>
      <w:r w:rsidR="00D80056" w:rsidRPr="004C0F80">
        <w:t xml:space="preserve"> that require adequate protection against oxidation phenomena, mainly responsible of their quality decay</w:t>
      </w:r>
      <w:r w:rsidR="008B1574" w:rsidRPr="004C0F80">
        <w:t xml:space="preserve"> </w:t>
      </w:r>
      <w:r w:rsidR="004C38A2" w:rsidRPr="004C0F80">
        <w:t>(</w:t>
      </w:r>
      <w:r w:rsidR="004B3E3D" w:rsidRPr="004C0F80">
        <w:t>Robertson, 2013</w:t>
      </w:r>
      <w:r w:rsidR="004C38A2" w:rsidRPr="004C0F80">
        <w:t>)</w:t>
      </w:r>
      <w:r w:rsidR="00D80056" w:rsidRPr="004C0F80">
        <w:t xml:space="preserve">. </w:t>
      </w:r>
      <w:r w:rsidR="00FF2FF1" w:rsidRPr="004C0F80">
        <w:t xml:space="preserve">For </w:t>
      </w:r>
      <w:r w:rsidR="000B6BBC" w:rsidRPr="004C0F80">
        <w:t>this reason</w:t>
      </w:r>
      <w:r w:rsidR="00660FD5" w:rsidRPr="004C0F80">
        <w:t>,</w:t>
      </w:r>
      <w:r w:rsidR="00FF2FF1" w:rsidRPr="004C0F80">
        <w:t xml:space="preserve"> films were characterized</w:t>
      </w:r>
      <w:r w:rsidR="00FF2FF1" w:rsidRPr="004C0F80">
        <w:rPr>
          <w:rFonts w:eastAsiaTheme="minorHAnsi"/>
        </w:rPr>
        <w:t xml:space="preserve"> in terms of oxygen transport properties and the resulting</w:t>
      </w:r>
      <w:r w:rsidR="00EA624C" w:rsidRPr="004C0F80">
        <w:rPr>
          <w:rFonts w:eastAsiaTheme="minorHAnsi"/>
        </w:rPr>
        <w:t xml:space="preserve"> </w:t>
      </w:r>
      <w:r w:rsidR="00FF2FF1" w:rsidRPr="004C0F80">
        <w:rPr>
          <w:rFonts w:eastAsiaTheme="minorHAnsi"/>
        </w:rPr>
        <w:t>P</w:t>
      </w:r>
      <w:r w:rsidR="00FF2FF1" w:rsidRPr="004C0F80">
        <w:rPr>
          <w:rFonts w:eastAsiaTheme="minorHAnsi"/>
          <w:vertAlign w:val="subscript"/>
        </w:rPr>
        <w:t>O2</w:t>
      </w:r>
      <w:r w:rsidR="00FF2FF1" w:rsidRPr="004C0F80">
        <w:rPr>
          <w:rFonts w:eastAsiaTheme="minorHAnsi"/>
        </w:rPr>
        <w:t xml:space="preserve"> </w:t>
      </w:r>
      <w:r w:rsidR="00E30D9E" w:rsidRPr="004C0F80">
        <w:rPr>
          <w:rFonts w:eastAsiaTheme="minorHAnsi"/>
        </w:rPr>
        <w:t xml:space="preserve">values </w:t>
      </w:r>
      <w:r w:rsidR="00FF2FF1" w:rsidRPr="004C0F80">
        <w:rPr>
          <w:rFonts w:eastAsiaTheme="minorHAnsi"/>
        </w:rPr>
        <w:t xml:space="preserve">are </w:t>
      </w:r>
      <w:r w:rsidR="00827B16" w:rsidRPr="004C0F80">
        <w:rPr>
          <w:rFonts w:eastAsiaTheme="minorHAnsi"/>
        </w:rPr>
        <w:t>displayed</w:t>
      </w:r>
      <w:r w:rsidR="00FF2FF1" w:rsidRPr="004C0F80">
        <w:rPr>
          <w:rFonts w:eastAsiaTheme="minorHAnsi"/>
        </w:rPr>
        <w:t xml:space="preserve"> in Figure 3.</w:t>
      </w:r>
      <w:r w:rsidR="005E3F67" w:rsidRPr="004C0F80">
        <w:rPr>
          <w:rFonts w:eastAsiaTheme="minorHAnsi"/>
        </w:rPr>
        <w:t xml:space="preserve"> </w:t>
      </w:r>
    </w:p>
    <w:p w14:paraId="3DC8C560" w14:textId="49B00E20" w:rsidR="00F20C3C" w:rsidRPr="004C0F80" w:rsidRDefault="00F20C3C" w:rsidP="00A06DE7">
      <w:pPr>
        <w:pStyle w:val="CETBodytext"/>
        <w:rPr>
          <w:rFonts w:eastAsiaTheme="minorHAnsi"/>
        </w:rPr>
      </w:pPr>
      <w:r w:rsidRPr="004C0F80">
        <w:rPr>
          <w:rFonts w:eastAsiaTheme="minorHAnsi"/>
        </w:rPr>
        <w:t>The oxygen permeability coefficient related to the pure PBS film is 12.3 ± 0.4 cm</w:t>
      </w:r>
      <w:r w:rsidRPr="004C0F80">
        <w:rPr>
          <w:rFonts w:eastAsiaTheme="minorHAnsi"/>
          <w:vertAlign w:val="superscript"/>
        </w:rPr>
        <w:t>3</w:t>
      </w:r>
      <w:r w:rsidRPr="004C0F80">
        <w:rPr>
          <w:rFonts w:eastAsiaTheme="minorHAnsi"/>
        </w:rPr>
        <w:t xml:space="preserve"> mm / m</w:t>
      </w:r>
      <w:r w:rsidRPr="004C0F80">
        <w:rPr>
          <w:rFonts w:eastAsiaTheme="minorHAnsi"/>
          <w:vertAlign w:val="superscript"/>
        </w:rPr>
        <w:t>2</w:t>
      </w:r>
      <w:r w:rsidRPr="004C0F80">
        <w:rPr>
          <w:rFonts w:eastAsiaTheme="minorHAnsi"/>
        </w:rPr>
        <w:t xml:space="preserve"> day bar, while that related to PVOH is 0.040 ± 0.004 cm</w:t>
      </w:r>
      <w:r w:rsidRPr="004C0F80">
        <w:rPr>
          <w:rFonts w:eastAsiaTheme="minorHAnsi"/>
          <w:vertAlign w:val="superscript"/>
        </w:rPr>
        <w:t>3</w:t>
      </w:r>
      <w:r w:rsidRPr="004C0F80">
        <w:rPr>
          <w:rFonts w:eastAsiaTheme="minorHAnsi"/>
        </w:rPr>
        <w:t xml:space="preserve"> mm / m</w:t>
      </w:r>
      <w:r w:rsidRPr="004C0F80">
        <w:rPr>
          <w:rFonts w:eastAsiaTheme="minorHAnsi"/>
          <w:vertAlign w:val="superscript"/>
        </w:rPr>
        <w:t>2</w:t>
      </w:r>
      <w:r w:rsidRPr="004C0F80">
        <w:rPr>
          <w:rFonts w:eastAsiaTheme="minorHAnsi"/>
        </w:rPr>
        <w:t xml:space="preserve"> day bar. These values are comparable with results reported in literature about </w:t>
      </w:r>
      <w:r w:rsidR="00413556" w:rsidRPr="004C0F80">
        <w:rPr>
          <w:rFonts w:eastAsiaTheme="minorHAnsi"/>
        </w:rPr>
        <w:t xml:space="preserve">both </w:t>
      </w:r>
      <w:r w:rsidRPr="004C0F80">
        <w:rPr>
          <w:rFonts w:eastAsiaTheme="minorHAnsi"/>
        </w:rPr>
        <w:t xml:space="preserve">PBS </w:t>
      </w:r>
      <w:r w:rsidR="00413556" w:rsidRPr="004C0F80">
        <w:rPr>
          <w:rFonts w:eastAsiaTheme="minorHAnsi"/>
        </w:rPr>
        <w:t>(</w:t>
      </w:r>
      <w:proofErr w:type="spellStart"/>
      <w:r w:rsidR="0048189C" w:rsidRPr="004C0F80">
        <w:rPr>
          <w:lang w:eastAsia="it-IT"/>
        </w:rPr>
        <w:t>Bumbudsanpharoke</w:t>
      </w:r>
      <w:proofErr w:type="spellEnd"/>
      <w:r w:rsidR="0048189C" w:rsidRPr="004C0F80">
        <w:rPr>
          <w:rFonts w:eastAsiaTheme="minorHAnsi"/>
        </w:rPr>
        <w:t xml:space="preserve"> </w:t>
      </w:r>
      <w:r w:rsidR="00413556" w:rsidRPr="004C0F80">
        <w:rPr>
          <w:rFonts w:eastAsiaTheme="minorHAnsi"/>
        </w:rPr>
        <w:t>et al.</w:t>
      </w:r>
      <w:r w:rsidR="00C35B13" w:rsidRPr="004C0F80">
        <w:rPr>
          <w:rFonts w:eastAsiaTheme="minorHAnsi"/>
        </w:rPr>
        <w:t>, 2022</w:t>
      </w:r>
      <w:r w:rsidR="00413556" w:rsidRPr="004C0F80">
        <w:rPr>
          <w:rFonts w:eastAsiaTheme="minorHAnsi"/>
        </w:rPr>
        <w:t xml:space="preserve">) </w:t>
      </w:r>
      <w:r w:rsidRPr="004C0F80">
        <w:rPr>
          <w:rFonts w:eastAsiaTheme="minorHAnsi"/>
        </w:rPr>
        <w:t xml:space="preserve">and PVOH </w:t>
      </w:r>
      <w:r w:rsidR="00413556" w:rsidRPr="004C0F80">
        <w:rPr>
          <w:rFonts w:eastAsiaTheme="minorHAnsi"/>
        </w:rPr>
        <w:t>matrices (</w:t>
      </w:r>
      <w:proofErr w:type="spellStart"/>
      <w:r w:rsidR="00413556" w:rsidRPr="004C0F80">
        <w:rPr>
          <w:rFonts w:eastAsiaTheme="minorHAnsi"/>
        </w:rPr>
        <w:t>Apicella</w:t>
      </w:r>
      <w:proofErr w:type="spellEnd"/>
      <w:r w:rsidR="00413556" w:rsidRPr="004C0F80">
        <w:rPr>
          <w:rFonts w:eastAsiaTheme="minorHAnsi"/>
        </w:rPr>
        <w:t xml:space="preserve"> et al., 2022)</w:t>
      </w:r>
      <w:r w:rsidRPr="004C0F80">
        <w:rPr>
          <w:rFonts w:eastAsiaTheme="minorHAnsi"/>
        </w:rPr>
        <w:t xml:space="preserve">. </w:t>
      </w:r>
    </w:p>
    <w:p w14:paraId="48A347E1" w14:textId="533D2708" w:rsidR="00F20C3C" w:rsidRPr="004C0F80" w:rsidRDefault="008429D9" w:rsidP="00A06DE7">
      <w:pPr>
        <w:pStyle w:val="CETBodytext"/>
        <w:rPr>
          <w:rFonts w:eastAsiaTheme="minorHAnsi"/>
        </w:rPr>
      </w:pPr>
      <w:r w:rsidRPr="004C0F80">
        <w:rPr>
          <w:rFonts w:eastAsiaTheme="minorHAnsi"/>
        </w:rPr>
        <w:t>In accordance with the classification made by Wang et al. (2018), PBS has a permeability that falls in the range of 4 to 40 cm</w:t>
      </w:r>
      <w:r w:rsidRPr="004C0F80">
        <w:rPr>
          <w:rFonts w:eastAsiaTheme="minorHAnsi"/>
          <w:vertAlign w:val="superscript"/>
        </w:rPr>
        <w:t>3</w:t>
      </w:r>
      <w:r w:rsidRPr="004C0F80">
        <w:rPr>
          <w:rFonts w:eastAsiaTheme="minorHAnsi"/>
        </w:rPr>
        <w:t xml:space="preserve"> mm / m</w:t>
      </w:r>
      <w:r w:rsidRPr="004C0F80">
        <w:rPr>
          <w:rFonts w:eastAsiaTheme="minorHAnsi"/>
          <w:vertAlign w:val="superscript"/>
        </w:rPr>
        <w:t>2</w:t>
      </w:r>
      <w:r w:rsidRPr="004C0F80">
        <w:rPr>
          <w:rFonts w:eastAsiaTheme="minorHAnsi"/>
        </w:rPr>
        <w:t xml:space="preserve"> day bar and thus can be classified as a low-barrier polymer; in contrast, PVOH has a PO</w:t>
      </w:r>
      <w:r w:rsidRPr="004C0F80">
        <w:rPr>
          <w:rFonts w:eastAsiaTheme="minorHAnsi"/>
          <w:vertAlign w:val="subscript"/>
        </w:rPr>
        <w:t>2</w:t>
      </w:r>
      <w:r w:rsidRPr="004C0F80">
        <w:rPr>
          <w:rFonts w:eastAsiaTheme="minorHAnsi"/>
        </w:rPr>
        <w:t xml:space="preserve"> that falls in the range of 0.040 to 0.40 cm</w:t>
      </w:r>
      <w:r w:rsidRPr="004C0F80">
        <w:rPr>
          <w:rFonts w:eastAsiaTheme="minorHAnsi"/>
          <w:vertAlign w:val="superscript"/>
        </w:rPr>
        <w:t>3</w:t>
      </w:r>
      <w:r w:rsidRPr="004C0F80">
        <w:rPr>
          <w:rFonts w:eastAsiaTheme="minorHAnsi"/>
        </w:rPr>
        <w:t xml:space="preserve"> mm / m</w:t>
      </w:r>
      <w:r w:rsidRPr="004C0F80">
        <w:rPr>
          <w:rFonts w:eastAsiaTheme="minorHAnsi"/>
          <w:vertAlign w:val="superscript"/>
        </w:rPr>
        <w:t>2</w:t>
      </w:r>
      <w:r w:rsidRPr="004C0F80">
        <w:rPr>
          <w:rFonts w:eastAsiaTheme="minorHAnsi"/>
        </w:rPr>
        <w:t xml:space="preserve"> day bar, thus can be classified as a high-barrier polymer.</w:t>
      </w:r>
    </w:p>
    <w:p w14:paraId="6B328757" w14:textId="7B9B7F4E" w:rsidR="00AA3356" w:rsidRPr="004C0F80" w:rsidRDefault="0089275F" w:rsidP="00A06DE7">
      <w:pPr>
        <w:pStyle w:val="CETBodytext"/>
        <w:rPr>
          <w:rFonts w:eastAsiaTheme="minorHAnsi"/>
        </w:rPr>
      </w:pPr>
      <w:r w:rsidRPr="004C0F80">
        <w:rPr>
          <w:rFonts w:eastAsiaTheme="minorHAnsi"/>
        </w:rPr>
        <w:t>As can be observed in Figure 3, t</w:t>
      </w:r>
      <w:r w:rsidR="00E30D9E" w:rsidRPr="004C0F80">
        <w:rPr>
          <w:rFonts w:eastAsiaTheme="minorHAnsi"/>
        </w:rPr>
        <w:t xml:space="preserve">he incorporation of </w:t>
      </w:r>
      <w:r w:rsidR="005E3F67" w:rsidRPr="004C0F80">
        <w:rPr>
          <w:rFonts w:eastAsiaTheme="minorHAnsi"/>
        </w:rPr>
        <w:t>PVOH</w:t>
      </w:r>
      <w:r w:rsidR="00E30D9E" w:rsidRPr="004C0F80">
        <w:rPr>
          <w:rFonts w:eastAsiaTheme="minorHAnsi"/>
        </w:rPr>
        <w:t xml:space="preserve"> in the blends results in a decrease in the oxygen permeability coefficient</w:t>
      </w:r>
      <w:r w:rsidR="00F20C3C" w:rsidRPr="004C0F80">
        <w:rPr>
          <w:rFonts w:eastAsiaTheme="minorHAnsi"/>
        </w:rPr>
        <w:t>,</w:t>
      </w:r>
      <w:r w:rsidR="00E30D9E" w:rsidRPr="004C0F80">
        <w:rPr>
          <w:rFonts w:eastAsiaTheme="minorHAnsi"/>
        </w:rPr>
        <w:t xml:space="preserve"> compared with </w:t>
      </w:r>
      <w:r w:rsidR="00F20C3C" w:rsidRPr="004C0F80">
        <w:rPr>
          <w:rFonts w:eastAsiaTheme="minorHAnsi"/>
        </w:rPr>
        <w:t xml:space="preserve">the </w:t>
      </w:r>
      <w:r w:rsidR="00E30D9E" w:rsidRPr="004C0F80">
        <w:rPr>
          <w:rFonts w:eastAsiaTheme="minorHAnsi"/>
        </w:rPr>
        <w:t>pure PBS film.</w:t>
      </w:r>
      <w:r w:rsidR="00F20C3C" w:rsidRPr="004C0F80">
        <w:rPr>
          <w:rFonts w:eastAsiaTheme="minorHAnsi"/>
        </w:rPr>
        <w:t xml:space="preserve"> </w:t>
      </w:r>
      <w:r w:rsidR="00496F85" w:rsidRPr="004C0F80">
        <w:rPr>
          <w:rFonts w:eastAsiaTheme="minorHAnsi"/>
        </w:rPr>
        <w:t>Specifically, a reduction in permeability</w:t>
      </w:r>
      <w:r w:rsidR="00F20C3C" w:rsidRPr="004C0F80">
        <w:rPr>
          <w:rFonts w:eastAsiaTheme="minorHAnsi"/>
        </w:rPr>
        <w:t xml:space="preserve"> values</w:t>
      </w:r>
      <w:r w:rsidR="00496F85" w:rsidRPr="004C0F80">
        <w:rPr>
          <w:rFonts w:eastAsiaTheme="minorHAnsi"/>
        </w:rPr>
        <w:t xml:space="preserve"> of 24% is observed for the </w:t>
      </w:r>
      <w:r w:rsidR="0057482D" w:rsidRPr="004C0F80">
        <w:rPr>
          <w:rFonts w:eastAsiaTheme="minorHAnsi"/>
        </w:rPr>
        <w:t>PBS/PVOH 80/20</w:t>
      </w:r>
      <w:r w:rsidR="00496F85" w:rsidRPr="004C0F80">
        <w:rPr>
          <w:rFonts w:eastAsiaTheme="minorHAnsi"/>
        </w:rPr>
        <w:t xml:space="preserve"> sample</w:t>
      </w:r>
      <w:r w:rsidR="00F20C3C" w:rsidRPr="004C0F80">
        <w:rPr>
          <w:rFonts w:eastAsiaTheme="minorHAnsi"/>
        </w:rPr>
        <w:t>,</w:t>
      </w:r>
      <w:r w:rsidR="005E3F67" w:rsidRPr="004C0F80">
        <w:rPr>
          <w:rFonts w:eastAsiaTheme="minorHAnsi"/>
        </w:rPr>
        <w:t xml:space="preserve"> and of</w:t>
      </w:r>
      <w:r w:rsidR="00496F85" w:rsidRPr="004C0F80">
        <w:rPr>
          <w:rFonts w:eastAsiaTheme="minorHAnsi"/>
        </w:rPr>
        <w:t xml:space="preserve"> 42% for the </w:t>
      </w:r>
      <w:r w:rsidR="0057482D" w:rsidRPr="004C0F80">
        <w:rPr>
          <w:rFonts w:eastAsiaTheme="minorHAnsi"/>
        </w:rPr>
        <w:t>PBS/PVOH 60/40</w:t>
      </w:r>
      <w:r w:rsidR="00FD7DB0" w:rsidRPr="004C0F80">
        <w:rPr>
          <w:rFonts w:eastAsiaTheme="minorHAnsi"/>
        </w:rPr>
        <w:t xml:space="preserve">. </w:t>
      </w:r>
      <w:r w:rsidR="00AA3356" w:rsidRPr="004C0F80">
        <w:rPr>
          <w:rFonts w:eastAsiaTheme="minorHAnsi"/>
        </w:rPr>
        <w:t>The</w:t>
      </w:r>
      <w:r w:rsidR="00FD7DB0" w:rsidRPr="004C0F80">
        <w:rPr>
          <w:rFonts w:eastAsiaTheme="minorHAnsi"/>
        </w:rPr>
        <w:t xml:space="preserve"> </w:t>
      </w:r>
      <w:r w:rsidR="00AA3356" w:rsidRPr="004C0F80">
        <w:rPr>
          <w:rFonts w:eastAsiaTheme="minorHAnsi"/>
        </w:rPr>
        <w:t>O</w:t>
      </w:r>
      <w:r w:rsidR="00AA3356" w:rsidRPr="004C0F80">
        <w:rPr>
          <w:rFonts w:eastAsiaTheme="minorHAnsi"/>
          <w:vertAlign w:val="subscript"/>
        </w:rPr>
        <w:t>2</w:t>
      </w:r>
      <w:r w:rsidR="00AA3356" w:rsidRPr="004C0F80">
        <w:rPr>
          <w:rFonts w:eastAsiaTheme="minorHAnsi"/>
        </w:rPr>
        <w:t xml:space="preserve"> permeability values</w:t>
      </w:r>
      <w:r w:rsidR="00FD7DB0" w:rsidRPr="004C0F80">
        <w:rPr>
          <w:rFonts w:eastAsiaTheme="minorHAnsi"/>
        </w:rPr>
        <w:t xml:space="preserve"> </w:t>
      </w:r>
      <w:r w:rsidR="00AA3356" w:rsidRPr="004C0F80">
        <w:rPr>
          <w:rFonts w:eastAsiaTheme="minorHAnsi"/>
        </w:rPr>
        <w:t>obtained for PBS/PVOH films are comparable to those of conventional</w:t>
      </w:r>
      <w:r w:rsidR="005A09E4">
        <w:rPr>
          <w:rFonts w:eastAsiaTheme="minorHAnsi"/>
        </w:rPr>
        <w:t xml:space="preserve"> fossil-based</w:t>
      </w:r>
      <w:r w:rsidR="00AA3356" w:rsidRPr="004C0F80">
        <w:rPr>
          <w:rFonts w:eastAsiaTheme="minorHAnsi"/>
        </w:rPr>
        <w:t xml:space="preserve"> packaging films based on laminated polyamide</w:t>
      </w:r>
      <w:r w:rsidR="00107851" w:rsidRPr="004C0F80">
        <w:rPr>
          <w:rFonts w:eastAsiaTheme="minorHAnsi"/>
        </w:rPr>
        <w:t xml:space="preserve">, </w:t>
      </w:r>
      <w:r w:rsidR="00AA3356" w:rsidRPr="004C0F80">
        <w:rPr>
          <w:rFonts w:eastAsiaTheme="minorHAnsi"/>
        </w:rPr>
        <w:t xml:space="preserve">polyethylene </w:t>
      </w:r>
      <w:r w:rsidR="00C35B13" w:rsidRPr="004C0F80">
        <w:rPr>
          <w:rFonts w:eastAsiaTheme="minorHAnsi"/>
        </w:rPr>
        <w:t>terephthalate (</w:t>
      </w:r>
      <w:r w:rsidR="00107851" w:rsidRPr="004C0F80">
        <w:rPr>
          <w:rFonts w:eastAsiaTheme="minorHAnsi"/>
        </w:rPr>
        <w:t>PET)</w:t>
      </w:r>
      <w:r w:rsidR="00AA3356" w:rsidRPr="004C0F80">
        <w:rPr>
          <w:rFonts w:eastAsiaTheme="minorHAnsi"/>
        </w:rPr>
        <w:t xml:space="preserve">/low density </w:t>
      </w:r>
      <w:r w:rsidR="00177EBE" w:rsidRPr="004C0F80">
        <w:rPr>
          <w:rFonts w:eastAsiaTheme="minorHAnsi"/>
        </w:rPr>
        <w:t>polyethylene (</w:t>
      </w:r>
      <w:r w:rsidR="00107851" w:rsidRPr="004C0F80">
        <w:rPr>
          <w:rFonts w:eastAsiaTheme="minorHAnsi"/>
        </w:rPr>
        <w:t xml:space="preserve">LDPE) or nylon/linear </w:t>
      </w:r>
      <w:r w:rsidR="00E3241C" w:rsidRPr="004C0F80">
        <w:rPr>
          <w:rFonts w:eastAsiaTheme="minorHAnsi"/>
        </w:rPr>
        <w:t>low-density</w:t>
      </w:r>
      <w:r w:rsidR="00107851" w:rsidRPr="004C0F80">
        <w:rPr>
          <w:rFonts w:eastAsiaTheme="minorHAnsi"/>
        </w:rPr>
        <w:t xml:space="preserve"> </w:t>
      </w:r>
      <w:r w:rsidR="00257BB9" w:rsidRPr="004C0F80">
        <w:rPr>
          <w:rFonts w:eastAsiaTheme="minorHAnsi"/>
        </w:rPr>
        <w:t>polyethylene (</w:t>
      </w:r>
      <w:r w:rsidR="00107851" w:rsidRPr="004C0F80">
        <w:rPr>
          <w:rFonts w:eastAsiaTheme="minorHAnsi"/>
        </w:rPr>
        <w:t xml:space="preserve">LLDPE) </w:t>
      </w:r>
      <w:r w:rsidR="00AA3356" w:rsidRPr="004C0F80">
        <w:rPr>
          <w:rFonts w:eastAsiaTheme="minorHAnsi"/>
        </w:rPr>
        <w:t>films</w:t>
      </w:r>
      <w:r w:rsidR="005C39E0">
        <w:rPr>
          <w:rFonts w:eastAsiaTheme="minorHAnsi"/>
        </w:rPr>
        <w:t xml:space="preserve"> </w:t>
      </w:r>
      <w:r w:rsidR="00D32EC2">
        <w:rPr>
          <w:rFonts w:eastAsiaTheme="minorHAnsi"/>
        </w:rPr>
        <w:t xml:space="preserve">which oxygen permeability </w:t>
      </w:r>
      <w:r w:rsidR="005C39E0">
        <w:rPr>
          <w:rFonts w:eastAsiaTheme="minorHAnsi"/>
        </w:rPr>
        <w:t xml:space="preserve">fall </w:t>
      </w:r>
      <w:r w:rsidR="00A41236">
        <w:rPr>
          <w:rFonts w:eastAsiaTheme="minorHAnsi"/>
        </w:rPr>
        <w:t>within the range</w:t>
      </w:r>
      <w:r w:rsidR="00BA6067">
        <w:rPr>
          <w:rFonts w:eastAsiaTheme="minorHAnsi"/>
        </w:rPr>
        <w:t xml:space="preserve"> </w:t>
      </w:r>
      <w:r w:rsidR="005C39E0">
        <w:rPr>
          <w:rFonts w:eastAsiaTheme="minorHAnsi"/>
        </w:rPr>
        <w:t>8</w:t>
      </w:r>
      <w:r w:rsidR="00BA6067">
        <w:rPr>
          <w:rFonts w:eastAsiaTheme="minorHAnsi"/>
        </w:rPr>
        <w:t>.15</w:t>
      </w:r>
      <w:r w:rsidR="005C39E0">
        <w:rPr>
          <w:rFonts w:eastAsiaTheme="minorHAnsi"/>
        </w:rPr>
        <w:t>-0.06</w:t>
      </w:r>
      <w:r w:rsidR="00A41236">
        <w:rPr>
          <w:rFonts w:eastAsiaTheme="minorHAnsi"/>
        </w:rPr>
        <w:t xml:space="preserve"> </w:t>
      </w:r>
      <w:r w:rsidR="005C39E0" w:rsidRPr="004C0F80">
        <w:rPr>
          <w:rFonts w:eastAsiaTheme="minorHAnsi"/>
        </w:rPr>
        <w:t>cm</w:t>
      </w:r>
      <w:r w:rsidR="005C39E0" w:rsidRPr="004C0F80">
        <w:rPr>
          <w:rFonts w:eastAsiaTheme="minorHAnsi"/>
          <w:vertAlign w:val="superscript"/>
        </w:rPr>
        <w:t>3</w:t>
      </w:r>
      <w:r w:rsidR="005C39E0" w:rsidRPr="004C0F80">
        <w:rPr>
          <w:rFonts w:eastAsiaTheme="minorHAnsi"/>
        </w:rPr>
        <w:t xml:space="preserve"> mm / m</w:t>
      </w:r>
      <w:r w:rsidR="005C39E0" w:rsidRPr="004C0F80">
        <w:rPr>
          <w:rFonts w:eastAsiaTheme="minorHAnsi"/>
          <w:vertAlign w:val="superscript"/>
        </w:rPr>
        <w:t>2</w:t>
      </w:r>
      <w:r w:rsidR="005C39E0" w:rsidRPr="004C0F80">
        <w:rPr>
          <w:rFonts w:eastAsiaTheme="minorHAnsi"/>
        </w:rPr>
        <w:t xml:space="preserve"> day bar</w:t>
      </w:r>
      <w:r w:rsidR="005C39E0">
        <w:rPr>
          <w:rFonts w:eastAsiaTheme="minorHAnsi"/>
        </w:rPr>
        <w:t>, highlighting</w:t>
      </w:r>
      <w:r w:rsidR="00107851" w:rsidRPr="004C0F80">
        <w:rPr>
          <w:rFonts w:eastAsiaTheme="minorHAnsi"/>
        </w:rPr>
        <w:t xml:space="preserve"> the suitability of the developed films as biodegradable alternative for the preservation of O</w:t>
      </w:r>
      <w:r w:rsidR="00107851" w:rsidRPr="004C0F80">
        <w:rPr>
          <w:rFonts w:eastAsiaTheme="minorHAnsi"/>
          <w:vertAlign w:val="subscript"/>
        </w:rPr>
        <w:t>2</w:t>
      </w:r>
      <w:r w:rsidR="00107851" w:rsidRPr="004C0F80">
        <w:rPr>
          <w:rFonts w:eastAsiaTheme="minorHAnsi"/>
        </w:rPr>
        <w:t xml:space="preserve">-sensitive foods, such as seafood or bakery products </w:t>
      </w:r>
      <w:r w:rsidR="00AA3356" w:rsidRPr="004C0F80">
        <w:rPr>
          <w:rFonts w:eastAsiaTheme="minorHAnsi"/>
        </w:rPr>
        <w:t>(</w:t>
      </w:r>
      <w:proofErr w:type="spellStart"/>
      <w:r w:rsidR="00AA3356" w:rsidRPr="004C0F80">
        <w:rPr>
          <w:rFonts w:eastAsiaTheme="minorHAnsi"/>
        </w:rPr>
        <w:t>Upasen</w:t>
      </w:r>
      <w:proofErr w:type="spellEnd"/>
      <w:r w:rsidR="00AA3356" w:rsidRPr="004C0F80">
        <w:rPr>
          <w:rFonts w:eastAsiaTheme="minorHAnsi"/>
        </w:rPr>
        <w:t xml:space="preserve"> </w:t>
      </w:r>
      <w:r w:rsidR="00347520" w:rsidRPr="004C0F80">
        <w:rPr>
          <w:rFonts w:eastAsiaTheme="minorHAnsi"/>
        </w:rPr>
        <w:t xml:space="preserve">and </w:t>
      </w:r>
      <w:proofErr w:type="spellStart"/>
      <w:r w:rsidR="00AA3356" w:rsidRPr="004C0F80">
        <w:rPr>
          <w:rFonts w:eastAsiaTheme="minorHAnsi"/>
        </w:rPr>
        <w:t>Wattanachai</w:t>
      </w:r>
      <w:proofErr w:type="spellEnd"/>
      <w:r w:rsidR="000F15D6">
        <w:rPr>
          <w:rFonts w:eastAsiaTheme="minorHAnsi"/>
        </w:rPr>
        <w:t>,</w:t>
      </w:r>
      <w:r w:rsidR="00AA3356" w:rsidRPr="004C0F80">
        <w:rPr>
          <w:rFonts w:eastAsiaTheme="minorHAnsi"/>
        </w:rPr>
        <w:t xml:space="preserve"> 2018). </w:t>
      </w:r>
    </w:p>
    <w:p w14:paraId="0E7E7BBE" w14:textId="728762D3" w:rsidR="0057482D" w:rsidRPr="004C0F80" w:rsidRDefault="00177EBE" w:rsidP="001F4C18">
      <w:pPr>
        <w:pStyle w:val="CETBodytext"/>
        <w:jc w:val="left"/>
        <w:rPr>
          <w:rFonts w:eastAsiaTheme="minorHAnsi"/>
        </w:rPr>
      </w:pPr>
      <w:r w:rsidRPr="004C0F80">
        <w:rPr>
          <w:rFonts w:eastAsiaTheme="minorHAnsi"/>
          <w:noProof/>
        </w:rPr>
        <w:drawing>
          <wp:inline distT="0" distB="0" distL="0" distR="0" wp14:anchorId="79189B6F" wp14:editId="57D006FA">
            <wp:extent cx="3192477" cy="2340000"/>
            <wp:effectExtent l="0" t="0" r="8255" b="3175"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2477" cy="234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B1BEE1" w14:textId="4144409F" w:rsidR="00571449" w:rsidRPr="004C0F80" w:rsidRDefault="00760A6F" w:rsidP="003D5CE1">
      <w:pPr>
        <w:pStyle w:val="CETCaption"/>
      </w:pPr>
      <w:r w:rsidRPr="004C0F80">
        <w:t>Figure 3: Oxygen permeability coefficients (P</w:t>
      </w:r>
      <w:r w:rsidRPr="004C0F80">
        <w:rPr>
          <w:vertAlign w:val="subscript"/>
        </w:rPr>
        <w:t>O2</w:t>
      </w:r>
      <w:r w:rsidRPr="004C0F80">
        <w:t xml:space="preserve">) of PBS, PVOH, </w:t>
      </w:r>
      <w:r w:rsidR="0057482D" w:rsidRPr="004C0F80">
        <w:t>PBS/PVOH 80/20</w:t>
      </w:r>
      <w:r w:rsidRPr="004C0F80">
        <w:t xml:space="preserve"> and </w:t>
      </w:r>
      <w:r w:rsidR="0057482D" w:rsidRPr="004C0F80">
        <w:t>PBS/PVOH 60/40</w:t>
      </w:r>
      <w:r w:rsidRPr="004C0F80">
        <w:t xml:space="preserve"> films.</w:t>
      </w:r>
    </w:p>
    <w:p w14:paraId="68D26B83" w14:textId="009D7485" w:rsidR="00600535" w:rsidRPr="004C0F80" w:rsidRDefault="00600535" w:rsidP="00600535">
      <w:pPr>
        <w:pStyle w:val="CETHeading1"/>
        <w:rPr>
          <w:lang w:val="en-GB"/>
        </w:rPr>
      </w:pPr>
      <w:r w:rsidRPr="004C0F80">
        <w:rPr>
          <w:lang w:val="en-GB"/>
        </w:rPr>
        <w:t>Conclusions</w:t>
      </w:r>
    </w:p>
    <w:p w14:paraId="32DBC84C" w14:textId="0132EF3C" w:rsidR="00C478AD" w:rsidRPr="004C0F80" w:rsidRDefault="006041B2" w:rsidP="00FD7DB0">
      <w:pPr>
        <w:pStyle w:val="CETBodytext"/>
      </w:pPr>
      <w:r w:rsidRPr="004C0F80">
        <w:t>In this work,</w:t>
      </w:r>
      <w:r w:rsidR="00A80A06" w:rsidRPr="004C0F80">
        <w:t xml:space="preserve"> innovative biodegradable</w:t>
      </w:r>
      <w:r w:rsidRPr="004C0F80">
        <w:t xml:space="preserve"> </w:t>
      </w:r>
      <w:r w:rsidR="00C478AD" w:rsidRPr="004C0F80">
        <w:t>films</w:t>
      </w:r>
      <w:r w:rsidR="00A80A06" w:rsidRPr="004C0F80">
        <w:t xml:space="preserve"> </w:t>
      </w:r>
      <w:r w:rsidR="00336016" w:rsidRPr="004C0F80">
        <w:t>based on</w:t>
      </w:r>
      <w:r w:rsidRPr="004C0F80">
        <w:t xml:space="preserve"> PBS</w:t>
      </w:r>
      <w:r w:rsidR="00C478AD" w:rsidRPr="004C0F80">
        <w:t>/</w:t>
      </w:r>
      <w:r w:rsidRPr="004C0F80">
        <w:t xml:space="preserve">PVOH </w:t>
      </w:r>
      <w:r w:rsidR="00C478AD" w:rsidRPr="004C0F80">
        <w:t xml:space="preserve">blends </w:t>
      </w:r>
      <w:r w:rsidRPr="004C0F80">
        <w:t xml:space="preserve">at different weight ratios (100/0, 80/20, 60/40 0/100 </w:t>
      </w:r>
      <w:proofErr w:type="spellStart"/>
      <w:r w:rsidRPr="004C0F80">
        <w:t>wt</w:t>
      </w:r>
      <w:proofErr w:type="spellEnd"/>
      <w:r w:rsidRPr="004C0F80">
        <w:t xml:space="preserve">%) were prepared </w:t>
      </w:r>
      <w:r w:rsidR="00C478AD" w:rsidRPr="004C0F80">
        <w:t xml:space="preserve">by blown film extrusion. Rheological analyses, conducted in order to study the processability of the two pure polymers and their blends, </w:t>
      </w:r>
      <w:r w:rsidR="000B73CB" w:rsidRPr="004C0F80">
        <w:t>revealed a more pronounced shear thinning behavior for PBS with respect to PVOH, and the intrinsic immiscibility of the two polymer phases within the blends.</w:t>
      </w:r>
    </w:p>
    <w:p w14:paraId="5D6A84FC" w14:textId="49D8ABAE" w:rsidR="000C78A4" w:rsidRPr="004C0F80" w:rsidRDefault="005F42C5" w:rsidP="00FD7DB0">
      <w:pPr>
        <w:pStyle w:val="CETBodytext"/>
      </w:pPr>
      <w:r w:rsidRPr="004C0F80">
        <w:t xml:space="preserve">Despite of </w:t>
      </w:r>
      <w:r w:rsidR="00AB4FE8" w:rsidRPr="004C0F80">
        <w:t xml:space="preserve">their </w:t>
      </w:r>
      <w:r w:rsidR="000661DD" w:rsidRPr="004C0F80">
        <w:t>immiscibility</w:t>
      </w:r>
      <w:r w:rsidR="005062E3" w:rsidRPr="004C0F80">
        <w:t xml:space="preserve">, </w:t>
      </w:r>
      <w:r w:rsidR="0088064C" w:rsidRPr="004C0F80">
        <w:t>some structural modification of polymeric matrices within the blends occurred, as underlined by the shifts in the FTIR spectra</w:t>
      </w:r>
      <w:r w:rsidRPr="004C0F80">
        <w:t>.</w:t>
      </w:r>
      <w:r w:rsidR="007E2F76" w:rsidRPr="004C0F80">
        <w:t xml:space="preserve"> T</w:t>
      </w:r>
      <w:r w:rsidR="00DA2A2A" w:rsidRPr="004C0F80">
        <w:t xml:space="preserve">he oxygen permeability </w:t>
      </w:r>
      <w:r w:rsidR="0076145F" w:rsidRPr="004C0F80">
        <w:rPr>
          <w:rFonts w:eastAsiaTheme="minorHAnsi" w:cs="Arial"/>
          <w:szCs w:val="18"/>
        </w:rPr>
        <w:t>measurements</w:t>
      </w:r>
      <w:r w:rsidR="00DA2A2A" w:rsidRPr="004C0F80">
        <w:t xml:space="preserve"> </w:t>
      </w:r>
      <w:r w:rsidR="0076145F" w:rsidRPr="004C0F80">
        <w:t>revealed the improvement of the O</w:t>
      </w:r>
      <w:r w:rsidR="0076145F" w:rsidRPr="004C0F80">
        <w:rPr>
          <w:vertAlign w:val="subscript"/>
        </w:rPr>
        <w:t>2</w:t>
      </w:r>
      <w:r w:rsidR="0076145F" w:rsidRPr="004C0F80">
        <w:t xml:space="preserve"> barrier performance of the PBS/PVOH based films, thanks to the excellent barrier properties of PVOH</w:t>
      </w:r>
      <w:r w:rsidR="000C78A4" w:rsidRPr="004C0F80">
        <w:t xml:space="preserve">: in particular, a </w:t>
      </w:r>
      <w:r w:rsidR="0076145F" w:rsidRPr="004C0F80">
        <w:t>decrease in PO</w:t>
      </w:r>
      <w:r w:rsidR="0076145F" w:rsidRPr="00F1001D">
        <w:rPr>
          <w:vertAlign w:val="subscript"/>
        </w:rPr>
        <w:t>2</w:t>
      </w:r>
      <w:r w:rsidR="0076145F" w:rsidRPr="004C0F80">
        <w:t xml:space="preserve"> values equal to </w:t>
      </w:r>
      <w:r w:rsidR="00E925CD" w:rsidRPr="004C0F80">
        <w:t xml:space="preserve">24 % and 42% for </w:t>
      </w:r>
      <w:r w:rsidR="0057482D" w:rsidRPr="004C0F80">
        <w:rPr>
          <w:rFonts w:eastAsiaTheme="minorHAnsi" w:cs="Arial"/>
          <w:szCs w:val="18"/>
        </w:rPr>
        <w:t>PBS/PVOH 80/20</w:t>
      </w:r>
      <w:r w:rsidR="005062E3" w:rsidRPr="004C0F80">
        <w:rPr>
          <w:rFonts w:eastAsiaTheme="minorHAnsi" w:cs="Arial"/>
          <w:szCs w:val="18"/>
        </w:rPr>
        <w:t xml:space="preserve"> and</w:t>
      </w:r>
      <w:r w:rsidR="00E925CD" w:rsidRPr="004C0F80">
        <w:rPr>
          <w:rFonts w:eastAsiaTheme="minorHAnsi" w:cs="Arial"/>
          <w:szCs w:val="18"/>
        </w:rPr>
        <w:t xml:space="preserve"> </w:t>
      </w:r>
      <w:r w:rsidR="0057482D" w:rsidRPr="004C0F80">
        <w:rPr>
          <w:rFonts w:eastAsiaTheme="minorHAnsi" w:cs="Arial"/>
          <w:szCs w:val="18"/>
        </w:rPr>
        <w:t>PBS/PVOH 60/40</w:t>
      </w:r>
      <w:r w:rsidR="00D94804" w:rsidRPr="004C0F80">
        <w:rPr>
          <w:rFonts w:eastAsiaTheme="minorHAnsi" w:cs="Arial"/>
          <w:szCs w:val="18"/>
        </w:rPr>
        <w:t>, respectively</w:t>
      </w:r>
      <w:r w:rsidR="0076145F" w:rsidRPr="004C0F80">
        <w:rPr>
          <w:rFonts w:eastAsiaTheme="minorHAnsi" w:cs="Arial"/>
          <w:szCs w:val="18"/>
        </w:rPr>
        <w:t>,</w:t>
      </w:r>
      <w:r w:rsidR="00D94804" w:rsidRPr="004C0F80">
        <w:rPr>
          <w:rFonts w:eastAsiaTheme="minorHAnsi" w:cs="Arial"/>
          <w:szCs w:val="18"/>
        </w:rPr>
        <w:t xml:space="preserve"> </w:t>
      </w:r>
      <w:r w:rsidR="000C78A4" w:rsidRPr="004C0F80">
        <w:rPr>
          <w:rFonts w:eastAsiaTheme="minorHAnsi" w:cs="Arial"/>
          <w:szCs w:val="18"/>
        </w:rPr>
        <w:t xml:space="preserve">was achieved with respect to neat </w:t>
      </w:r>
      <w:r w:rsidR="005062E3" w:rsidRPr="004C0F80">
        <w:rPr>
          <w:rFonts w:eastAsiaTheme="minorHAnsi" w:cs="Arial"/>
          <w:szCs w:val="18"/>
        </w:rPr>
        <w:t xml:space="preserve">PBS </w:t>
      </w:r>
      <w:r w:rsidR="001000DE" w:rsidRPr="004C0F80">
        <w:rPr>
          <w:rFonts w:eastAsiaTheme="minorHAnsi" w:cs="Arial"/>
          <w:szCs w:val="18"/>
        </w:rPr>
        <w:t>film</w:t>
      </w:r>
      <w:r w:rsidR="00E925CD" w:rsidRPr="004C0F80">
        <w:t xml:space="preserve">. These </w:t>
      </w:r>
      <w:r w:rsidR="00DA2A2A" w:rsidRPr="004C0F80">
        <w:t>outcomes</w:t>
      </w:r>
      <w:r w:rsidR="000C038C" w:rsidRPr="004C0F80">
        <w:t xml:space="preserve"> pointed out that melt blending of PBS with PVOH is </w:t>
      </w:r>
      <w:r w:rsidR="000C78A4" w:rsidRPr="004C0F80">
        <w:t>a promising strategy to obtain sustainable packaging films with enhanced barrier performance, suitable for the preservation of O</w:t>
      </w:r>
      <w:r w:rsidR="000C78A4" w:rsidRPr="004C0F80">
        <w:rPr>
          <w:vertAlign w:val="subscript"/>
        </w:rPr>
        <w:t>2</w:t>
      </w:r>
      <w:r w:rsidR="000C78A4" w:rsidRPr="004C0F80">
        <w:t>-sensitive foods</w:t>
      </w:r>
      <w:r w:rsidR="000C78A4" w:rsidRPr="004C0F80">
        <w:rPr>
          <w:rFonts w:eastAsiaTheme="minorHAnsi"/>
        </w:rPr>
        <w:t xml:space="preserve"> such as seafood or bakery products.</w:t>
      </w:r>
    </w:p>
    <w:p w14:paraId="777AD94A" w14:textId="2CBC6C6B" w:rsidR="000C78A4" w:rsidRPr="004C0F80" w:rsidRDefault="00FB5600" w:rsidP="00FD7DB0">
      <w:pPr>
        <w:pStyle w:val="CETBodytext"/>
      </w:pPr>
      <w:r w:rsidRPr="004C0F80">
        <w:t xml:space="preserve">Future prospects will focus on the study of </w:t>
      </w:r>
      <w:r w:rsidR="00257BB9" w:rsidRPr="004C0F80">
        <w:t>compatibilizers</w:t>
      </w:r>
      <w:r w:rsidRPr="004C0F80">
        <w:t xml:space="preserve"> to improve the miscibility of polymers in blends, and on the investigation of their effect on the barrier and mechanical performance of the films.</w:t>
      </w:r>
    </w:p>
    <w:p w14:paraId="4F1327F8" w14:textId="77777777" w:rsidR="00600535" w:rsidRPr="004C0F80" w:rsidRDefault="00600535" w:rsidP="00600535">
      <w:pPr>
        <w:pStyle w:val="CETReference"/>
        <w:rPr>
          <w:lang w:val="en-US"/>
        </w:rPr>
      </w:pPr>
      <w:r w:rsidRPr="004C0F80">
        <w:rPr>
          <w:lang w:val="en-US"/>
        </w:rPr>
        <w:t>References</w:t>
      </w:r>
    </w:p>
    <w:p w14:paraId="5D25C0D6" w14:textId="77777777" w:rsidR="007B04F1" w:rsidRPr="004C0F80" w:rsidRDefault="007B04F1" w:rsidP="008011AB">
      <w:pPr>
        <w:pStyle w:val="CETReferencetext"/>
        <w:rPr>
          <w:lang w:val="en-US"/>
        </w:rPr>
      </w:pPr>
      <w:proofErr w:type="spellStart"/>
      <w:r w:rsidRPr="004C0F80">
        <w:rPr>
          <w:lang w:val="en-US"/>
        </w:rPr>
        <w:t>Aliotta</w:t>
      </w:r>
      <w:proofErr w:type="spellEnd"/>
      <w:r w:rsidRPr="004C0F80">
        <w:rPr>
          <w:lang w:val="en-US"/>
        </w:rPr>
        <w:t xml:space="preserve"> L., </w:t>
      </w:r>
      <w:proofErr w:type="spellStart"/>
      <w:r w:rsidRPr="004C0F80">
        <w:rPr>
          <w:lang w:val="en-US"/>
        </w:rPr>
        <w:t>Seggiani</w:t>
      </w:r>
      <w:proofErr w:type="spellEnd"/>
      <w:r w:rsidRPr="004C0F80">
        <w:rPr>
          <w:lang w:val="en-US"/>
        </w:rPr>
        <w:t xml:space="preserve"> M., </w:t>
      </w:r>
      <w:proofErr w:type="spellStart"/>
      <w:r w:rsidRPr="004C0F80">
        <w:rPr>
          <w:lang w:val="en-US"/>
        </w:rPr>
        <w:t>Lazzeri</w:t>
      </w:r>
      <w:proofErr w:type="spellEnd"/>
      <w:r w:rsidRPr="004C0F80">
        <w:rPr>
          <w:lang w:val="en-US"/>
        </w:rPr>
        <w:t xml:space="preserve"> A., </w:t>
      </w:r>
      <w:proofErr w:type="spellStart"/>
      <w:r w:rsidRPr="004C0F80">
        <w:rPr>
          <w:lang w:val="en-US"/>
        </w:rPr>
        <w:t>Gigante</w:t>
      </w:r>
      <w:proofErr w:type="spellEnd"/>
      <w:r w:rsidRPr="004C0F80">
        <w:rPr>
          <w:lang w:val="en-US"/>
        </w:rPr>
        <w:t xml:space="preserve"> V., Cinelli P., 2022, </w:t>
      </w:r>
      <w:r w:rsidRPr="004C0F80">
        <w:t xml:space="preserve">A Brief Review of Poly (Butylene Succinate) (PBS) and Its Main Copolymers: Synthesis, Blends, Composites, Biodegradability, and Applications, </w:t>
      </w:r>
      <w:r w:rsidRPr="004C0F80">
        <w:rPr>
          <w:lang w:val="en-US"/>
        </w:rPr>
        <w:t>Polymers, 14, 844.</w:t>
      </w:r>
    </w:p>
    <w:p w14:paraId="0C63AFDB" w14:textId="77777777" w:rsidR="007B04F1" w:rsidRPr="004C0F80" w:rsidRDefault="007B04F1" w:rsidP="008011AB">
      <w:pPr>
        <w:pStyle w:val="CETReferencetext"/>
      </w:pPr>
      <w:proofErr w:type="spellStart"/>
      <w:r w:rsidRPr="004C0F80">
        <w:rPr>
          <w:lang w:val="en-US"/>
        </w:rPr>
        <w:lastRenderedPageBreak/>
        <w:t>Apicella</w:t>
      </w:r>
      <w:proofErr w:type="spellEnd"/>
      <w:r w:rsidRPr="004C0F80">
        <w:rPr>
          <w:lang w:val="en-US"/>
        </w:rPr>
        <w:t xml:space="preserve"> A., </w:t>
      </w:r>
      <w:proofErr w:type="spellStart"/>
      <w:r w:rsidRPr="004C0F80">
        <w:rPr>
          <w:lang w:val="en-US"/>
        </w:rPr>
        <w:t>Adiletta</w:t>
      </w:r>
      <w:proofErr w:type="spellEnd"/>
      <w:r w:rsidRPr="004C0F80">
        <w:rPr>
          <w:lang w:val="en-US"/>
        </w:rPr>
        <w:t xml:space="preserve"> G., Albanese D., Di Matteo M., </w:t>
      </w:r>
      <w:proofErr w:type="spellStart"/>
      <w:r w:rsidRPr="004C0F80">
        <w:rPr>
          <w:lang w:val="en-US"/>
        </w:rPr>
        <w:t>Incarnato</w:t>
      </w:r>
      <w:proofErr w:type="spellEnd"/>
      <w:r w:rsidRPr="004C0F80">
        <w:rPr>
          <w:lang w:val="en-US"/>
        </w:rPr>
        <w:t xml:space="preserve"> L., 2021, </w:t>
      </w:r>
      <w:r w:rsidRPr="004C0F80">
        <w:t xml:space="preserve">Biodegradable Films Based on Poly(lactic Acid) Coatings and Natural Olive-wastewater Extracts for Active Food Packaging, Chemical Engineering Transactions, 87, 85–90. </w:t>
      </w:r>
    </w:p>
    <w:p w14:paraId="675E1D6D" w14:textId="77777777" w:rsidR="007B04F1" w:rsidRPr="004C0F80" w:rsidRDefault="007B04F1" w:rsidP="008011AB">
      <w:pPr>
        <w:pStyle w:val="CETReferencetext"/>
        <w:rPr>
          <w:lang w:val="en-US"/>
        </w:rPr>
      </w:pPr>
      <w:r w:rsidRPr="004C0F80">
        <w:rPr>
          <w:lang w:val="it-IT"/>
        </w:rPr>
        <w:t xml:space="preserve">Apicella A., Barbato A., Garofalo E., Incarnato, L., </w:t>
      </w:r>
      <w:proofErr w:type="spellStart"/>
      <w:r w:rsidRPr="004C0F80">
        <w:rPr>
          <w:lang w:val="it-IT"/>
        </w:rPr>
        <w:t>Scarfato</w:t>
      </w:r>
      <w:proofErr w:type="spellEnd"/>
      <w:r w:rsidRPr="004C0F80">
        <w:rPr>
          <w:lang w:val="it-IT"/>
        </w:rPr>
        <w:t xml:space="preserve"> P., 2022. </w:t>
      </w:r>
      <w:r w:rsidRPr="004C0F80">
        <w:t xml:space="preserve">Effect of PVOH/PLA + Wax Coatings on Physical and Functional Properties of Biodegradable Food Packaging Films, </w:t>
      </w:r>
      <w:r w:rsidRPr="004C0F80">
        <w:rPr>
          <w:lang w:val="en-US"/>
        </w:rPr>
        <w:t xml:space="preserve">Polymers, 14, 935. </w:t>
      </w:r>
    </w:p>
    <w:p w14:paraId="209BD9A2" w14:textId="409C6333" w:rsidR="007B04F1" w:rsidRPr="004C0F80" w:rsidRDefault="007B04F1" w:rsidP="007431E1">
      <w:pPr>
        <w:pStyle w:val="CETReferencetext"/>
      </w:pPr>
      <w:proofErr w:type="spellStart"/>
      <w:r w:rsidRPr="004C0F80">
        <w:rPr>
          <w:lang w:val="en-US"/>
        </w:rPr>
        <w:t>Apicella</w:t>
      </w:r>
      <w:proofErr w:type="spellEnd"/>
      <w:r w:rsidRPr="004C0F80">
        <w:rPr>
          <w:lang w:val="en-US"/>
        </w:rPr>
        <w:t xml:space="preserve"> A., </w:t>
      </w:r>
      <w:proofErr w:type="spellStart"/>
      <w:r w:rsidRPr="004C0F80">
        <w:rPr>
          <w:lang w:val="en-US"/>
        </w:rPr>
        <w:t>Scarfato</w:t>
      </w:r>
      <w:proofErr w:type="spellEnd"/>
      <w:r w:rsidRPr="004C0F80">
        <w:rPr>
          <w:lang w:val="en-US"/>
        </w:rPr>
        <w:t xml:space="preserve"> P., </w:t>
      </w:r>
      <w:proofErr w:type="spellStart"/>
      <w:r w:rsidRPr="004C0F80">
        <w:rPr>
          <w:lang w:val="en-US"/>
        </w:rPr>
        <w:t>D’Arienzo</w:t>
      </w:r>
      <w:proofErr w:type="spellEnd"/>
      <w:r w:rsidRPr="004C0F80">
        <w:rPr>
          <w:lang w:val="en-US"/>
        </w:rPr>
        <w:t xml:space="preserve"> L., Garofalo E., Di Maio L., </w:t>
      </w:r>
      <w:proofErr w:type="spellStart"/>
      <w:r w:rsidRPr="004C0F80">
        <w:rPr>
          <w:lang w:val="en-US"/>
        </w:rPr>
        <w:t>Incarnato</w:t>
      </w:r>
      <w:proofErr w:type="spellEnd"/>
      <w:r w:rsidRPr="004C0F80">
        <w:rPr>
          <w:lang w:val="en-US"/>
        </w:rPr>
        <w:t xml:space="preserve"> L</w:t>
      </w:r>
      <w:r w:rsidR="00177EBE" w:rsidRPr="004C0F80">
        <w:rPr>
          <w:lang w:val="en-US"/>
        </w:rPr>
        <w:t>.</w:t>
      </w:r>
      <w:r w:rsidRPr="004C0F80">
        <w:rPr>
          <w:lang w:val="en-US"/>
        </w:rPr>
        <w:t xml:space="preserve"> </w:t>
      </w:r>
      <w:r w:rsidR="00177EBE" w:rsidRPr="004C0F80">
        <w:rPr>
          <w:lang w:val="en-US"/>
        </w:rPr>
        <w:t>,</w:t>
      </w:r>
      <w:r w:rsidRPr="004C0F80">
        <w:rPr>
          <w:lang w:val="en-US"/>
        </w:rPr>
        <w:t>2018b</w:t>
      </w:r>
      <w:r w:rsidR="00177EBE" w:rsidRPr="004C0F80">
        <w:rPr>
          <w:lang w:val="en-US"/>
        </w:rPr>
        <w:t>,</w:t>
      </w:r>
      <w:r w:rsidRPr="004C0F80">
        <w:rPr>
          <w:lang w:val="en-US"/>
        </w:rPr>
        <w:t xml:space="preserve"> </w:t>
      </w:r>
      <w:r w:rsidRPr="004C0F80">
        <w:t>Antimicrobial biodegradable coatings based on LAE for food packaging applications, Citation: AIP Conference Proceedings, 1981, 020010.</w:t>
      </w:r>
    </w:p>
    <w:p w14:paraId="15F8D912" w14:textId="07F67646" w:rsidR="007B04F1" w:rsidRPr="004C0F80" w:rsidRDefault="007B04F1" w:rsidP="00C35B13">
      <w:pPr>
        <w:pStyle w:val="CETReferencetext"/>
        <w:rPr>
          <w:lang w:val="en-US"/>
        </w:rPr>
      </w:pPr>
      <w:proofErr w:type="spellStart"/>
      <w:r w:rsidRPr="004C0F80">
        <w:rPr>
          <w:lang w:val="en-US"/>
        </w:rPr>
        <w:t>Apicella</w:t>
      </w:r>
      <w:proofErr w:type="spellEnd"/>
      <w:r w:rsidRPr="004C0F80">
        <w:rPr>
          <w:lang w:val="en-US"/>
        </w:rPr>
        <w:t xml:space="preserve"> A., </w:t>
      </w:r>
      <w:proofErr w:type="spellStart"/>
      <w:r w:rsidRPr="004C0F80">
        <w:rPr>
          <w:lang w:val="en-US"/>
        </w:rPr>
        <w:t>Scarfato</w:t>
      </w:r>
      <w:proofErr w:type="spellEnd"/>
      <w:r w:rsidRPr="004C0F80">
        <w:rPr>
          <w:lang w:val="en-US"/>
        </w:rPr>
        <w:t xml:space="preserve"> P., Di Maio L., </w:t>
      </w:r>
      <w:proofErr w:type="spellStart"/>
      <w:r w:rsidRPr="004C0F80">
        <w:rPr>
          <w:lang w:val="en-US"/>
        </w:rPr>
        <w:t>Incarnato</w:t>
      </w:r>
      <w:proofErr w:type="spellEnd"/>
      <w:r w:rsidRPr="004C0F80">
        <w:rPr>
          <w:lang w:val="en-US"/>
        </w:rPr>
        <w:t>, L., 2018</w:t>
      </w:r>
      <w:r w:rsidR="00177EBE" w:rsidRPr="004C0F80">
        <w:rPr>
          <w:lang w:val="en-US"/>
        </w:rPr>
        <w:t>a</w:t>
      </w:r>
      <w:r w:rsidRPr="004C0F80">
        <w:rPr>
          <w:lang w:val="en-US"/>
        </w:rPr>
        <w:t xml:space="preserve">, </w:t>
      </w:r>
      <w:r w:rsidRPr="004C0F80">
        <w:t xml:space="preserve">Oxygen absorption data of multilayer oxygen scavenger-polyester films with different layouts, </w:t>
      </w:r>
      <w:r w:rsidRPr="004C0F80">
        <w:rPr>
          <w:lang w:val="en-US"/>
        </w:rPr>
        <w:t xml:space="preserve">Data in Brief, 19, 1530–1536. </w:t>
      </w:r>
    </w:p>
    <w:p w14:paraId="06AC4A61" w14:textId="77777777" w:rsidR="007B04F1" w:rsidRPr="004C0F80" w:rsidRDefault="007B04F1" w:rsidP="0048189C">
      <w:pPr>
        <w:pStyle w:val="CETReferencetext"/>
        <w:rPr>
          <w:lang w:val="en-US" w:eastAsia="it-IT"/>
        </w:rPr>
      </w:pPr>
      <w:proofErr w:type="spellStart"/>
      <w:r w:rsidRPr="004C0F80">
        <w:rPr>
          <w:lang w:val="en-US" w:eastAsia="it-IT"/>
        </w:rPr>
        <w:t>Bumbudsanpharoke</w:t>
      </w:r>
      <w:proofErr w:type="spellEnd"/>
      <w:r w:rsidRPr="004C0F80">
        <w:rPr>
          <w:lang w:val="en-US" w:eastAsia="it-IT"/>
        </w:rPr>
        <w:t xml:space="preserve"> N., </w:t>
      </w:r>
      <w:proofErr w:type="spellStart"/>
      <w:r w:rsidRPr="004C0F80">
        <w:rPr>
          <w:lang w:val="en-US" w:eastAsia="it-IT"/>
        </w:rPr>
        <w:t>Wongphan</w:t>
      </w:r>
      <w:proofErr w:type="spellEnd"/>
      <w:r w:rsidRPr="004C0F80">
        <w:rPr>
          <w:lang w:val="en-US" w:eastAsia="it-IT"/>
        </w:rPr>
        <w:t xml:space="preserve"> P., </w:t>
      </w:r>
      <w:proofErr w:type="spellStart"/>
      <w:r w:rsidRPr="004C0F80">
        <w:rPr>
          <w:lang w:val="en-US" w:eastAsia="it-IT"/>
        </w:rPr>
        <w:t>Promhuad</w:t>
      </w:r>
      <w:proofErr w:type="spellEnd"/>
      <w:r w:rsidRPr="004C0F80">
        <w:rPr>
          <w:lang w:val="en-US" w:eastAsia="it-IT"/>
        </w:rPr>
        <w:t xml:space="preserve"> K., </w:t>
      </w:r>
      <w:proofErr w:type="spellStart"/>
      <w:r w:rsidRPr="004C0F80">
        <w:rPr>
          <w:lang w:val="en-US" w:eastAsia="it-IT"/>
        </w:rPr>
        <w:t>Leelaphiwat</w:t>
      </w:r>
      <w:proofErr w:type="spellEnd"/>
      <w:r w:rsidRPr="004C0F80">
        <w:rPr>
          <w:lang w:val="en-US" w:eastAsia="it-IT"/>
        </w:rPr>
        <w:t xml:space="preserve"> P., </w:t>
      </w:r>
      <w:proofErr w:type="spellStart"/>
      <w:r w:rsidRPr="004C0F80">
        <w:rPr>
          <w:lang w:val="en-US" w:eastAsia="it-IT"/>
        </w:rPr>
        <w:t>Harnkarnsujarit</w:t>
      </w:r>
      <w:proofErr w:type="spellEnd"/>
      <w:r w:rsidRPr="004C0F80">
        <w:rPr>
          <w:lang w:val="en-US" w:eastAsia="it-IT"/>
        </w:rPr>
        <w:t xml:space="preserve"> N., 2022, Morphology and permeability of bio-based poly(</w:t>
      </w:r>
      <w:proofErr w:type="spellStart"/>
      <w:r w:rsidRPr="004C0F80">
        <w:rPr>
          <w:lang w:val="en-US" w:eastAsia="it-IT"/>
        </w:rPr>
        <w:t>butyleneadipate</w:t>
      </w:r>
      <w:proofErr w:type="spellEnd"/>
      <w:r w:rsidRPr="004C0F80">
        <w:rPr>
          <w:lang w:val="en-US" w:eastAsia="it-IT"/>
        </w:rPr>
        <w:t xml:space="preserve">-co-terephthalate) (PBAT), poly(butylene succinate) (PBS) and </w:t>
      </w:r>
      <w:r w:rsidRPr="004C0F80">
        <w:t>linear low-density polyethylene (LLDPE) blend films control shelf-life of packaged bread</w:t>
      </w:r>
      <w:bookmarkStart w:id="2" w:name="_heading=h.3tbugp1" w:colFirst="0" w:colLast="0"/>
      <w:bookmarkEnd w:id="2"/>
      <w:r w:rsidRPr="004C0F80">
        <w:t>, Food Control, 132, 108541.</w:t>
      </w:r>
    </w:p>
    <w:p w14:paraId="1AAE1F9E" w14:textId="77777777" w:rsidR="007B04F1" w:rsidRPr="004C0F80" w:rsidRDefault="007B04F1" w:rsidP="008011AB">
      <w:pPr>
        <w:pStyle w:val="CETReferencetext"/>
      </w:pPr>
      <w:r w:rsidRPr="004C0F80">
        <w:t xml:space="preserve">de Matos Costa A.R., </w:t>
      </w:r>
      <w:proofErr w:type="spellStart"/>
      <w:r w:rsidRPr="004C0F80">
        <w:t>Crocitti</w:t>
      </w:r>
      <w:proofErr w:type="spellEnd"/>
      <w:r w:rsidRPr="004C0F80">
        <w:t xml:space="preserve"> A., Hecker de Carvalho L., Carroccio S.C., Cerruti P., </w:t>
      </w:r>
      <w:proofErr w:type="spellStart"/>
      <w:r w:rsidRPr="004C0F80">
        <w:t>Santagata</w:t>
      </w:r>
      <w:proofErr w:type="spellEnd"/>
      <w:r w:rsidRPr="004C0F80">
        <w:t xml:space="preserve"> G., 2020, Properties of Biodegradable Films Based on </w:t>
      </w:r>
      <w:proofErr w:type="gramStart"/>
      <w:r w:rsidRPr="004C0F80">
        <w:t>Poly(</w:t>
      </w:r>
      <w:proofErr w:type="gramEnd"/>
      <w:r w:rsidRPr="004C0F80">
        <w:t xml:space="preserve">butylene Succinate) (PBS) and Poly(butylene Adipate-co-Terephthalate) (PBAT) Blends, Polymers, 12, 2317. </w:t>
      </w:r>
    </w:p>
    <w:p w14:paraId="24FFA29A" w14:textId="77777777" w:rsidR="007B04F1" w:rsidRPr="004C0F80" w:rsidRDefault="007B04F1" w:rsidP="008011AB">
      <w:pPr>
        <w:pStyle w:val="CETReferencetext"/>
      </w:pPr>
      <w:proofErr w:type="spellStart"/>
      <w:r w:rsidRPr="004C0F80">
        <w:t>Jipa</w:t>
      </w:r>
      <w:proofErr w:type="spellEnd"/>
      <w:r w:rsidRPr="004C0F80">
        <w:t xml:space="preserve"> I., </w:t>
      </w:r>
      <w:proofErr w:type="spellStart"/>
      <w:r w:rsidRPr="004C0F80">
        <w:t>Stoica</w:t>
      </w:r>
      <w:proofErr w:type="spellEnd"/>
      <w:r w:rsidRPr="004C0F80">
        <w:t xml:space="preserve"> A., </w:t>
      </w:r>
      <w:proofErr w:type="spellStart"/>
      <w:r w:rsidRPr="004C0F80">
        <w:t>Stroescu</w:t>
      </w:r>
      <w:proofErr w:type="spellEnd"/>
      <w:r w:rsidRPr="004C0F80">
        <w:t xml:space="preserve"> M., </w:t>
      </w:r>
      <w:proofErr w:type="spellStart"/>
      <w:r w:rsidRPr="004C0F80">
        <w:t>Dobre</w:t>
      </w:r>
      <w:proofErr w:type="spellEnd"/>
      <w:r w:rsidRPr="004C0F80">
        <w:t xml:space="preserve"> L.-M., </w:t>
      </w:r>
      <w:proofErr w:type="spellStart"/>
      <w:r w:rsidRPr="004C0F80">
        <w:t>Dobre</w:t>
      </w:r>
      <w:proofErr w:type="spellEnd"/>
      <w:r w:rsidRPr="004C0F80">
        <w:t xml:space="preserve"> T., Jinga S., </w:t>
      </w:r>
      <w:proofErr w:type="spellStart"/>
      <w:r w:rsidRPr="004C0F80">
        <w:t>Tardei</w:t>
      </w:r>
      <w:proofErr w:type="spellEnd"/>
      <w:r w:rsidRPr="004C0F80">
        <w:t xml:space="preserve"> C., 2012, Potassium sorbate release from </w:t>
      </w:r>
      <w:proofErr w:type="gramStart"/>
      <w:r w:rsidRPr="004C0F80">
        <w:t>poly(</w:t>
      </w:r>
      <w:proofErr w:type="gramEnd"/>
      <w:r w:rsidRPr="004C0F80">
        <w:t>vinyl alcohol)-bacterial cellulose films, Chemical Papers, 66.</w:t>
      </w:r>
    </w:p>
    <w:p w14:paraId="7E0DBC3E" w14:textId="77777777" w:rsidR="007B04F1" w:rsidRPr="004C0F80" w:rsidRDefault="007B04F1" w:rsidP="008011AB">
      <w:pPr>
        <w:pStyle w:val="CETReferencetext"/>
      </w:pPr>
      <w:proofErr w:type="spellStart"/>
      <w:r w:rsidRPr="004C0F80">
        <w:t>Kopčilová</w:t>
      </w:r>
      <w:proofErr w:type="spellEnd"/>
      <w:r w:rsidRPr="004C0F80">
        <w:t xml:space="preserve"> M., </w:t>
      </w:r>
      <w:proofErr w:type="spellStart"/>
      <w:r w:rsidRPr="004C0F80">
        <w:t>Hubáčková</w:t>
      </w:r>
      <w:proofErr w:type="spellEnd"/>
      <w:r w:rsidRPr="004C0F80">
        <w:t xml:space="preserve"> J., </w:t>
      </w:r>
      <w:proofErr w:type="spellStart"/>
      <w:r w:rsidRPr="004C0F80">
        <w:t>Růžička</w:t>
      </w:r>
      <w:proofErr w:type="spellEnd"/>
      <w:r w:rsidRPr="004C0F80">
        <w:t xml:space="preserve"> J., </w:t>
      </w:r>
      <w:proofErr w:type="spellStart"/>
      <w:r w:rsidRPr="004C0F80">
        <w:t>Dvořáčková</w:t>
      </w:r>
      <w:proofErr w:type="spellEnd"/>
      <w:r w:rsidRPr="004C0F80">
        <w:t xml:space="preserve"> M., </w:t>
      </w:r>
      <w:proofErr w:type="spellStart"/>
      <w:r w:rsidRPr="004C0F80">
        <w:t>Julinová</w:t>
      </w:r>
      <w:proofErr w:type="spellEnd"/>
      <w:r w:rsidRPr="004C0F80">
        <w:t xml:space="preserve"> M., </w:t>
      </w:r>
      <w:proofErr w:type="spellStart"/>
      <w:r w:rsidRPr="004C0F80">
        <w:t>Koutný</w:t>
      </w:r>
      <w:proofErr w:type="spellEnd"/>
      <w:r w:rsidRPr="004C0F80">
        <w:t xml:space="preserve"> M., </w:t>
      </w:r>
      <w:proofErr w:type="spellStart"/>
      <w:r w:rsidRPr="004C0F80">
        <w:t>Tomalová</w:t>
      </w:r>
      <w:proofErr w:type="spellEnd"/>
      <w:r w:rsidRPr="004C0F80">
        <w:t xml:space="preserve"> M., </w:t>
      </w:r>
      <w:proofErr w:type="spellStart"/>
      <w:r w:rsidRPr="004C0F80">
        <w:t>Alexy</w:t>
      </w:r>
      <w:proofErr w:type="spellEnd"/>
      <w:r w:rsidRPr="004C0F80">
        <w:t xml:space="preserve"> P., Bugaj P., Filip J., 2013, Biodegradability and Mechanical Properties of </w:t>
      </w:r>
      <w:proofErr w:type="gramStart"/>
      <w:r w:rsidRPr="004C0F80">
        <w:t>Poly(</w:t>
      </w:r>
      <w:proofErr w:type="gramEnd"/>
      <w:r w:rsidRPr="004C0F80">
        <w:t xml:space="preserve">vinyl alcohol)-Based Blend Plastics Prepared Through Extrusion Method, Journal of Polymer and the Environment, 21, 88–94. </w:t>
      </w:r>
    </w:p>
    <w:p w14:paraId="6FFB8F9B" w14:textId="77777777" w:rsidR="007B04F1" w:rsidRPr="004C0F80" w:rsidRDefault="007B04F1" w:rsidP="008011AB">
      <w:pPr>
        <w:pStyle w:val="CETReferencetext"/>
      </w:pPr>
      <w:r w:rsidRPr="004C0F80">
        <w:rPr>
          <w:lang w:val="en-US"/>
        </w:rPr>
        <w:t xml:space="preserve">Li H.-Z., Chen S.-C., Wang Y.-Z., 2014, </w:t>
      </w:r>
      <w:r w:rsidRPr="004C0F80">
        <w:t>Thermoplastic PVA/PLA Blends with Improved Processability and Hydrophobicity, Industrial &amp; Engineering Chemistry Research. 53, 17355–17361.</w:t>
      </w:r>
    </w:p>
    <w:p w14:paraId="20C11B88" w14:textId="77777777" w:rsidR="007B04F1" w:rsidRPr="004C0F80" w:rsidRDefault="007B04F1" w:rsidP="008011AB">
      <w:pPr>
        <w:pStyle w:val="CETReferencetext"/>
      </w:pPr>
      <w:r w:rsidRPr="004C0F80">
        <w:t>López-</w:t>
      </w:r>
      <w:proofErr w:type="spellStart"/>
      <w:r w:rsidRPr="004C0F80">
        <w:t>Barrón</w:t>
      </w:r>
      <w:proofErr w:type="spellEnd"/>
      <w:r w:rsidRPr="004C0F80">
        <w:t xml:space="preserve"> C.R., </w:t>
      </w:r>
      <w:proofErr w:type="spellStart"/>
      <w:r w:rsidRPr="004C0F80">
        <w:t>Macosko</w:t>
      </w:r>
      <w:proofErr w:type="spellEnd"/>
      <w:r w:rsidRPr="004C0F80">
        <w:t xml:space="preserve"> C.W., 2014, Rheology of compatibilized immiscible blends with droplet-matrix and </w:t>
      </w:r>
      <w:proofErr w:type="spellStart"/>
      <w:r w:rsidRPr="004C0F80">
        <w:t>cocontinuous</w:t>
      </w:r>
      <w:proofErr w:type="spellEnd"/>
      <w:r w:rsidRPr="004C0F80">
        <w:t xml:space="preserve"> morphologies during coarsening, Journal of Rheology, 58, 1935–1953. </w:t>
      </w:r>
    </w:p>
    <w:p w14:paraId="2B49EB60" w14:textId="77777777" w:rsidR="007B04F1" w:rsidRPr="004C0F80" w:rsidRDefault="007B04F1" w:rsidP="008011AB">
      <w:pPr>
        <w:pStyle w:val="CETReferencetext"/>
        <w:rPr>
          <w:rFonts w:eastAsiaTheme="minorHAnsi"/>
        </w:rPr>
      </w:pPr>
      <w:r w:rsidRPr="004C0F80">
        <w:rPr>
          <w:rFonts w:eastAsiaTheme="minorHAnsi"/>
        </w:rPr>
        <w:t>Robertson G.L., Food Packaging: Principles and Practice, 3rd ed.; CRC Press: Boca Raton, FL, USA, 2012.</w:t>
      </w:r>
    </w:p>
    <w:p w14:paraId="6335B062" w14:textId="77777777" w:rsidR="007B04F1" w:rsidRPr="004C0F80" w:rsidRDefault="007B04F1" w:rsidP="008011AB">
      <w:pPr>
        <w:pStyle w:val="CETReferencetext"/>
      </w:pPr>
      <w:r w:rsidRPr="004C0F80">
        <w:t xml:space="preserve">Samir A., Ashour F.H., Hakim A.A.A., </w:t>
      </w:r>
      <w:proofErr w:type="spellStart"/>
      <w:r w:rsidRPr="004C0F80">
        <w:t>Bassyouni</w:t>
      </w:r>
      <w:proofErr w:type="spellEnd"/>
      <w:r w:rsidRPr="004C0F80">
        <w:t xml:space="preserve"> M., 2022, Recent advances in biodegradable polymers for sustainable applications, NPJ Materials Degradation, 6, 68. </w:t>
      </w:r>
    </w:p>
    <w:p w14:paraId="1DBC934B" w14:textId="77777777" w:rsidR="007B04F1" w:rsidRPr="004C0F80" w:rsidRDefault="007B04F1" w:rsidP="008011AB">
      <w:pPr>
        <w:pStyle w:val="CETReferencetext"/>
      </w:pPr>
      <w:proofErr w:type="spellStart"/>
      <w:r w:rsidRPr="004C0F80">
        <w:t>Suganthi</w:t>
      </w:r>
      <w:proofErr w:type="spellEnd"/>
      <w:r w:rsidRPr="004C0F80">
        <w:t xml:space="preserve"> S., Vignesh S., </w:t>
      </w:r>
      <w:proofErr w:type="spellStart"/>
      <w:r w:rsidRPr="004C0F80">
        <w:t>Kalyana</w:t>
      </w:r>
      <w:proofErr w:type="spellEnd"/>
      <w:r w:rsidRPr="004C0F80">
        <w:t xml:space="preserve"> Sundar J., Raj V., 2020, Fabrication of PVA polymer films with improved antibacterial activity by fine-tuning via organic acids for food packaging applications, Applied Water Science 10, 100. </w:t>
      </w:r>
    </w:p>
    <w:p w14:paraId="666B691A" w14:textId="77777777" w:rsidR="007B04F1" w:rsidRPr="004C0F80" w:rsidRDefault="007B04F1" w:rsidP="0048189C">
      <w:pPr>
        <w:pStyle w:val="CETReferencetext"/>
      </w:pPr>
      <w:r w:rsidRPr="004C0F80">
        <w:rPr>
          <w:lang w:val="en-US"/>
        </w:rPr>
        <w:t xml:space="preserve">Tian H., Liu D., Yao Y., Ma S., Zhang X., Xiang A., 2017, </w:t>
      </w:r>
      <w:r w:rsidRPr="004C0F80">
        <w:t xml:space="preserve">Effect of Sorbitol Plasticizer on the Structure and Properties of Melt Processed Polyvinyl Alcohol Films: Polyvinyl alcohol films, Journal of Food Science, 82, 2926–2932. </w:t>
      </w:r>
    </w:p>
    <w:p w14:paraId="41AC07E0" w14:textId="77777777" w:rsidR="007B04F1" w:rsidRPr="004C0F80" w:rsidRDefault="007B04F1" w:rsidP="008011AB">
      <w:pPr>
        <w:pStyle w:val="CETReferencetext"/>
      </w:pPr>
      <w:proofErr w:type="spellStart"/>
      <w:r w:rsidRPr="004C0F80">
        <w:t>Tretinnikov</w:t>
      </w:r>
      <w:proofErr w:type="spellEnd"/>
      <w:r w:rsidRPr="004C0F80">
        <w:t xml:space="preserve"> O.N., </w:t>
      </w:r>
      <w:proofErr w:type="spellStart"/>
      <w:r w:rsidRPr="004C0F80">
        <w:t>Zagorskaya</w:t>
      </w:r>
      <w:proofErr w:type="spellEnd"/>
      <w:r w:rsidRPr="004C0F80">
        <w:t xml:space="preserve"> S.A., 2012, Determination of the degree of crystallinity of </w:t>
      </w:r>
      <w:proofErr w:type="gramStart"/>
      <w:r w:rsidRPr="004C0F80">
        <w:t>poly(</w:t>
      </w:r>
      <w:proofErr w:type="gramEnd"/>
      <w:r w:rsidRPr="004C0F80">
        <w:t xml:space="preserve">vinyl alcohol) by FTIR spectroscopy. Journal of Applied Spectroscopy, 79, 521–526. </w:t>
      </w:r>
    </w:p>
    <w:p w14:paraId="7FB6F8C2" w14:textId="77777777" w:rsidR="007B04F1" w:rsidRPr="004C0F80" w:rsidRDefault="007B04F1" w:rsidP="0048189C">
      <w:pPr>
        <w:pStyle w:val="CETReferencetext"/>
      </w:pPr>
      <w:proofErr w:type="spellStart"/>
      <w:r w:rsidRPr="004C0F80">
        <w:rPr>
          <w:rStyle w:val="fal6plv"/>
        </w:rPr>
        <w:t>Upasen</w:t>
      </w:r>
      <w:proofErr w:type="spellEnd"/>
      <w:r w:rsidRPr="004C0F80">
        <w:rPr>
          <w:rStyle w:val="fal6plv"/>
        </w:rPr>
        <w:t xml:space="preserve">, S., </w:t>
      </w:r>
      <w:proofErr w:type="spellStart"/>
      <w:r w:rsidRPr="004C0F80">
        <w:rPr>
          <w:rStyle w:val="fal6plv"/>
        </w:rPr>
        <w:t>Wattanachai</w:t>
      </w:r>
      <w:proofErr w:type="spellEnd"/>
      <w:r w:rsidRPr="004C0F80">
        <w:rPr>
          <w:rStyle w:val="fal6plv"/>
        </w:rPr>
        <w:t>, P., 2018, Packaging to prolong shelf life of preservative-free white bread, </w:t>
      </w:r>
      <w:proofErr w:type="spellStart"/>
      <w:r w:rsidRPr="004C0F80">
        <w:rPr>
          <w:rStyle w:val="fal6plv"/>
        </w:rPr>
        <w:t>Heliyon</w:t>
      </w:r>
      <w:proofErr w:type="spellEnd"/>
      <w:r w:rsidRPr="004C0F80">
        <w:rPr>
          <w:rStyle w:val="fal6plv"/>
        </w:rPr>
        <w:t>, 4(9), e00802.</w:t>
      </w:r>
    </w:p>
    <w:p w14:paraId="29722942" w14:textId="4543B8AF" w:rsidR="007B04F1" w:rsidRPr="004C0F80" w:rsidRDefault="007B04F1" w:rsidP="0048189C">
      <w:pPr>
        <w:pStyle w:val="CETReferencetext"/>
      </w:pPr>
      <w:proofErr w:type="spellStart"/>
      <w:r w:rsidRPr="004C0F80">
        <w:t>Utracki</w:t>
      </w:r>
      <w:proofErr w:type="spellEnd"/>
      <w:r w:rsidRPr="004C0F80">
        <w:t xml:space="preserve"> L.A., </w:t>
      </w:r>
      <w:r w:rsidR="00257BB9" w:rsidRPr="004C0F80">
        <w:t xml:space="preserve">1991, </w:t>
      </w:r>
      <w:hyperlink r:id="rId16" w:history="1">
        <w:r w:rsidRPr="004C0F80">
          <w:rPr>
            <w:rStyle w:val="Collegamentoipertestuale"/>
            <w:color w:val="auto"/>
            <w:u w:val="none"/>
          </w:rPr>
          <w:t>On the viscosity</w:t>
        </w:r>
        <w:r w:rsidRPr="004C0F80">
          <w:rPr>
            <w:rStyle w:val="Collegamentoipertestuale"/>
            <w:rFonts w:ascii="Cambria Math" w:hAnsi="Cambria Math" w:cs="Cambria Math"/>
            <w:color w:val="auto"/>
            <w:u w:val="none"/>
          </w:rPr>
          <w:t>‐</w:t>
        </w:r>
        <w:r w:rsidRPr="004C0F80">
          <w:rPr>
            <w:rStyle w:val="Collegamentoipertestuale"/>
            <w:color w:val="auto"/>
            <w:u w:val="none"/>
          </w:rPr>
          <w:t>concentration dependence of immiscible polymer blends</w:t>
        </w:r>
      </w:hyperlink>
      <w:r w:rsidRPr="004C0F80">
        <w:t>, Journal of Rheology, 35,1615-1637.</w:t>
      </w:r>
    </w:p>
    <w:p w14:paraId="1BA58958" w14:textId="77777777" w:rsidR="007B04F1" w:rsidRPr="004C0F80" w:rsidRDefault="007B04F1" w:rsidP="007B04F1">
      <w:pPr>
        <w:pStyle w:val="CETReferencetext"/>
      </w:pPr>
      <w:proofErr w:type="spellStart"/>
      <w:r w:rsidRPr="004C0F80">
        <w:t>Walha</w:t>
      </w:r>
      <w:proofErr w:type="spellEnd"/>
      <w:r w:rsidRPr="004C0F80">
        <w:t xml:space="preserve"> F., </w:t>
      </w:r>
      <w:proofErr w:type="spellStart"/>
      <w:r w:rsidRPr="004C0F80">
        <w:t>Lamnawar</w:t>
      </w:r>
      <w:proofErr w:type="spellEnd"/>
      <w:r w:rsidRPr="004C0F80">
        <w:t xml:space="preserve">, K., </w:t>
      </w:r>
      <w:proofErr w:type="spellStart"/>
      <w:r w:rsidRPr="004C0F80">
        <w:t>Maazouz</w:t>
      </w:r>
      <w:proofErr w:type="spellEnd"/>
      <w:r w:rsidRPr="004C0F80">
        <w:t xml:space="preserve">, A. &amp; Jaziri M., 2016, Rheological, Morphological and Mechanical Studies of Sustainably Sourced Polymer Blends Based on </w:t>
      </w:r>
      <w:proofErr w:type="gramStart"/>
      <w:r w:rsidRPr="004C0F80">
        <w:t>Poly(</w:t>
      </w:r>
      <w:proofErr w:type="gramEnd"/>
      <w:r w:rsidRPr="004C0F80">
        <w:t>Lactic Acid) and Polyamide 11, Polymers, 8. 1-23.</w:t>
      </w:r>
    </w:p>
    <w:p w14:paraId="3892A992" w14:textId="77777777" w:rsidR="007B04F1" w:rsidRPr="004C0F80" w:rsidRDefault="007B04F1" w:rsidP="008011AB">
      <w:pPr>
        <w:pStyle w:val="CETReferencetext"/>
      </w:pPr>
      <w:r w:rsidRPr="004C0F80">
        <w:t xml:space="preserve">Wang J., Gardner D.J., Stark N.M., Bousfield D.W., </w:t>
      </w:r>
      <w:proofErr w:type="spellStart"/>
      <w:r w:rsidRPr="004C0F80">
        <w:t>Tajvidi</w:t>
      </w:r>
      <w:proofErr w:type="spellEnd"/>
      <w:r w:rsidRPr="004C0F80">
        <w:t xml:space="preserve"> M., Cai Z., 2018, Moisture and Oxygen Barrier Properties of Cellulose Nanomaterial-Based Films, ACS Sustainable Chemistry &amp; Engineering 6, 49–70. </w:t>
      </w:r>
    </w:p>
    <w:p w14:paraId="6D800D25" w14:textId="77777777" w:rsidR="007B04F1" w:rsidRPr="00177EBE" w:rsidRDefault="007B04F1" w:rsidP="00FE1DBA">
      <w:pPr>
        <w:pStyle w:val="CETReferencetext"/>
      </w:pPr>
      <w:r w:rsidRPr="004C0F80">
        <w:t>Wu F., Misra M., Mohanty A.K., 2021, Challenges and new opportunities on barrier performance of biodegradable polymers for sustainable packaging, Progress in Polymer Science 117, 101395.</w:t>
      </w:r>
      <w:r w:rsidRPr="00177EBE">
        <w:t xml:space="preserve"> </w:t>
      </w:r>
    </w:p>
    <w:p w14:paraId="2DB55AA4" w14:textId="216308F1" w:rsidR="008011AB" w:rsidRPr="00177EBE" w:rsidRDefault="008011AB" w:rsidP="008011AB">
      <w:pPr>
        <w:pStyle w:val="CETReferencetext"/>
        <w:rPr>
          <w:rFonts w:eastAsiaTheme="minorHAnsi"/>
        </w:rPr>
      </w:pPr>
    </w:p>
    <w:sectPr w:rsidR="008011AB" w:rsidRPr="00177EBE" w:rsidSect="00EF06D9">
      <w:type w:val="continuous"/>
      <w:pgSz w:w="11906" w:h="16838" w:code="9"/>
      <w:pgMar w:top="1701" w:right="1418" w:bottom="1701" w:left="1701" w:header="1701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DAD3C" w14:textId="77777777" w:rsidR="0080046F" w:rsidRDefault="0080046F" w:rsidP="004F5E36">
      <w:r>
        <w:separator/>
      </w:r>
    </w:p>
  </w:endnote>
  <w:endnote w:type="continuationSeparator" w:id="0">
    <w:p w14:paraId="686F25C3" w14:textId="77777777" w:rsidR="0080046F" w:rsidRDefault="0080046F" w:rsidP="004F5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dvP6960">
    <w:altName w:val="Cambria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BCED0" w14:textId="77777777" w:rsidR="0080046F" w:rsidRDefault="0080046F" w:rsidP="004F5E36">
      <w:r>
        <w:separator/>
      </w:r>
    </w:p>
  </w:footnote>
  <w:footnote w:type="continuationSeparator" w:id="0">
    <w:p w14:paraId="662E857C" w14:textId="77777777" w:rsidR="0080046F" w:rsidRDefault="0080046F" w:rsidP="004F5E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58AF15E"/>
    <w:lvl w:ilvl="0">
      <w:start w:val="1"/>
      <w:numFmt w:val="decimal"/>
      <w:pStyle w:val="Numeroelenc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5EC884E"/>
    <w:lvl w:ilvl="0">
      <w:start w:val="1"/>
      <w:numFmt w:val="decimal"/>
      <w:pStyle w:val="Numeroelenc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8CBE96"/>
    <w:lvl w:ilvl="0">
      <w:start w:val="1"/>
      <w:numFmt w:val="decimal"/>
      <w:pStyle w:val="Numeroelenc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FC0B388"/>
    <w:lvl w:ilvl="0">
      <w:start w:val="1"/>
      <w:numFmt w:val="decimal"/>
      <w:pStyle w:val="Numeroelenc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A34EB48"/>
    <w:lvl w:ilvl="0">
      <w:start w:val="1"/>
      <w:numFmt w:val="bullet"/>
      <w:pStyle w:val="Puntoelenc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85C6BD6"/>
    <w:lvl w:ilvl="0">
      <w:start w:val="1"/>
      <w:numFmt w:val="bullet"/>
      <w:pStyle w:val="Puntoelenc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87A9968"/>
    <w:lvl w:ilvl="0">
      <w:start w:val="1"/>
      <w:numFmt w:val="bullet"/>
      <w:pStyle w:val="Puntoelenc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D27934"/>
    <w:lvl w:ilvl="0">
      <w:start w:val="1"/>
      <w:numFmt w:val="bullet"/>
      <w:pStyle w:val="Puntoelenc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5F4206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06ACE1A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38217E"/>
    <w:multiLevelType w:val="multilevel"/>
    <w:tmpl w:val="90442968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CETHeading1"/>
      <w:suff w:val="space"/>
      <w:lvlText w:val="%2."/>
      <w:lvlJc w:val="left"/>
      <w:pPr>
        <w:ind w:left="710" w:firstLine="0"/>
      </w:pPr>
      <w:rPr>
        <w:rFonts w:hint="default"/>
      </w:rPr>
    </w:lvl>
    <w:lvl w:ilvl="2">
      <w:start w:val="1"/>
      <w:numFmt w:val="decimal"/>
      <w:pStyle w:val="CETheadingx"/>
      <w:suff w:val="space"/>
      <w:lvlText w:val="%2.%3"/>
      <w:lvlJc w:val="left"/>
      <w:pPr>
        <w:ind w:left="710" w:firstLine="0"/>
      </w:pPr>
      <w:rPr>
        <w:rFonts w:hint="default"/>
      </w:rPr>
    </w:lvl>
    <w:lvl w:ilvl="3">
      <w:start w:val="1"/>
      <w:numFmt w:val="decimal"/>
      <w:pStyle w:val="Tabellasemplice1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330B7370"/>
    <w:multiLevelType w:val="hybridMultilevel"/>
    <w:tmpl w:val="12E2AD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1E0394"/>
    <w:multiLevelType w:val="hybridMultilevel"/>
    <w:tmpl w:val="806658E2"/>
    <w:lvl w:ilvl="0" w:tplc="14B0F7A8">
      <w:start w:val="1"/>
      <w:numFmt w:val="bullet"/>
      <w:pStyle w:val="CETnumberingbullets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C329B9"/>
    <w:multiLevelType w:val="hybridMultilevel"/>
    <w:tmpl w:val="A2E6C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100E8"/>
    <w:multiLevelType w:val="hybridMultilevel"/>
    <w:tmpl w:val="6F34C070"/>
    <w:lvl w:ilvl="0" w:tplc="1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A87BA7"/>
    <w:multiLevelType w:val="hybridMultilevel"/>
    <w:tmpl w:val="1F6A8AD4"/>
    <w:lvl w:ilvl="0" w:tplc="14B0F7A8">
      <w:start w:val="1"/>
      <w:numFmt w:val="bullet"/>
      <w:lvlText w:val=""/>
      <w:lvlJc w:val="left"/>
      <w:pPr>
        <w:ind w:left="340" w:hanging="22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217387"/>
    <w:multiLevelType w:val="hybridMultilevel"/>
    <w:tmpl w:val="C2AE185A"/>
    <w:lvl w:ilvl="0" w:tplc="14090011">
      <w:start w:val="1"/>
      <w:numFmt w:val="decimal"/>
      <w:lvlText w:val="%1)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5AD311D0"/>
    <w:multiLevelType w:val="hybridMultilevel"/>
    <w:tmpl w:val="F198FF08"/>
    <w:lvl w:ilvl="0" w:tplc="62EA088C">
      <w:start w:val="1"/>
      <w:numFmt w:val="decimal"/>
      <w:pStyle w:val="CETnumbering1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62015B5"/>
    <w:multiLevelType w:val="hybridMultilevel"/>
    <w:tmpl w:val="CCDE094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65266D"/>
    <w:multiLevelType w:val="hybridMultilevel"/>
    <w:tmpl w:val="F5BE3C4A"/>
    <w:lvl w:ilvl="0" w:tplc="9FC4D28C">
      <w:start w:val="1"/>
      <w:numFmt w:val="lowerLetter"/>
      <w:pStyle w:val="CETnumberinga"/>
      <w:lvlText w:val="%1."/>
      <w:lvlJc w:val="left"/>
      <w:pPr>
        <w:ind w:left="340" w:hanging="227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802C0"/>
    <w:multiLevelType w:val="hybridMultilevel"/>
    <w:tmpl w:val="74AECC0E"/>
    <w:lvl w:ilvl="0" w:tplc="F4EA3E4A">
      <w:start w:val="9"/>
      <w:numFmt w:val="decimal"/>
      <w:lvlText w:val="[%1]"/>
      <w:lvlJc w:val="left"/>
      <w:pPr>
        <w:ind w:left="133" w:hanging="341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2"/>
        <w:szCs w:val="22"/>
        <w:lang w:val="it-IT" w:eastAsia="en-US" w:bidi="ar-SA"/>
      </w:rPr>
    </w:lvl>
    <w:lvl w:ilvl="1" w:tplc="FCCE1406">
      <w:numFmt w:val="bullet"/>
      <w:lvlText w:val="•"/>
      <w:lvlJc w:val="left"/>
      <w:pPr>
        <w:ind w:left="1114" w:hanging="341"/>
      </w:pPr>
      <w:rPr>
        <w:rFonts w:hint="default"/>
        <w:lang w:val="it-IT" w:eastAsia="en-US" w:bidi="ar-SA"/>
      </w:rPr>
    </w:lvl>
    <w:lvl w:ilvl="2" w:tplc="9B6C15D8">
      <w:numFmt w:val="bullet"/>
      <w:lvlText w:val="•"/>
      <w:lvlJc w:val="left"/>
      <w:pPr>
        <w:ind w:left="2088" w:hanging="341"/>
      </w:pPr>
      <w:rPr>
        <w:rFonts w:hint="default"/>
        <w:lang w:val="it-IT" w:eastAsia="en-US" w:bidi="ar-SA"/>
      </w:rPr>
    </w:lvl>
    <w:lvl w:ilvl="3" w:tplc="3FEA458A">
      <w:numFmt w:val="bullet"/>
      <w:lvlText w:val="•"/>
      <w:lvlJc w:val="left"/>
      <w:pPr>
        <w:ind w:left="3063" w:hanging="341"/>
      </w:pPr>
      <w:rPr>
        <w:rFonts w:hint="default"/>
        <w:lang w:val="it-IT" w:eastAsia="en-US" w:bidi="ar-SA"/>
      </w:rPr>
    </w:lvl>
    <w:lvl w:ilvl="4" w:tplc="4418BBEA">
      <w:numFmt w:val="bullet"/>
      <w:lvlText w:val="•"/>
      <w:lvlJc w:val="left"/>
      <w:pPr>
        <w:ind w:left="4037" w:hanging="341"/>
      </w:pPr>
      <w:rPr>
        <w:rFonts w:hint="default"/>
        <w:lang w:val="it-IT" w:eastAsia="en-US" w:bidi="ar-SA"/>
      </w:rPr>
    </w:lvl>
    <w:lvl w:ilvl="5" w:tplc="8CEEF31A">
      <w:numFmt w:val="bullet"/>
      <w:lvlText w:val="•"/>
      <w:lvlJc w:val="left"/>
      <w:pPr>
        <w:ind w:left="5012" w:hanging="341"/>
      </w:pPr>
      <w:rPr>
        <w:rFonts w:hint="default"/>
        <w:lang w:val="it-IT" w:eastAsia="en-US" w:bidi="ar-SA"/>
      </w:rPr>
    </w:lvl>
    <w:lvl w:ilvl="6" w:tplc="BAC466FA">
      <w:numFmt w:val="bullet"/>
      <w:lvlText w:val="•"/>
      <w:lvlJc w:val="left"/>
      <w:pPr>
        <w:ind w:left="5986" w:hanging="341"/>
      </w:pPr>
      <w:rPr>
        <w:rFonts w:hint="default"/>
        <w:lang w:val="it-IT" w:eastAsia="en-US" w:bidi="ar-SA"/>
      </w:rPr>
    </w:lvl>
    <w:lvl w:ilvl="7" w:tplc="F3D01986">
      <w:numFmt w:val="bullet"/>
      <w:lvlText w:val="•"/>
      <w:lvlJc w:val="left"/>
      <w:pPr>
        <w:ind w:left="6960" w:hanging="341"/>
      </w:pPr>
      <w:rPr>
        <w:rFonts w:hint="default"/>
        <w:lang w:val="it-IT" w:eastAsia="en-US" w:bidi="ar-SA"/>
      </w:rPr>
    </w:lvl>
    <w:lvl w:ilvl="8" w:tplc="AC942576">
      <w:numFmt w:val="bullet"/>
      <w:lvlText w:val="•"/>
      <w:lvlJc w:val="left"/>
      <w:pPr>
        <w:ind w:left="7935" w:hanging="341"/>
      </w:pPr>
      <w:rPr>
        <w:rFonts w:hint="default"/>
        <w:lang w:val="it-IT" w:eastAsia="en-US" w:bidi="ar-SA"/>
      </w:rPr>
    </w:lvl>
  </w:abstractNum>
  <w:num w:numId="1" w16cid:durableId="1316882765">
    <w:abstractNumId w:val="10"/>
  </w:num>
  <w:num w:numId="2" w16cid:durableId="1954094313">
    <w:abstractNumId w:val="8"/>
  </w:num>
  <w:num w:numId="3" w16cid:durableId="2001083081">
    <w:abstractNumId w:val="3"/>
  </w:num>
  <w:num w:numId="4" w16cid:durableId="665287687">
    <w:abstractNumId w:val="2"/>
  </w:num>
  <w:num w:numId="5" w16cid:durableId="1763211618">
    <w:abstractNumId w:val="1"/>
  </w:num>
  <w:num w:numId="6" w16cid:durableId="733351894">
    <w:abstractNumId w:val="0"/>
  </w:num>
  <w:num w:numId="7" w16cid:durableId="1265187038">
    <w:abstractNumId w:val="9"/>
  </w:num>
  <w:num w:numId="8" w16cid:durableId="458382672">
    <w:abstractNumId w:val="7"/>
  </w:num>
  <w:num w:numId="9" w16cid:durableId="652636510">
    <w:abstractNumId w:val="6"/>
  </w:num>
  <w:num w:numId="10" w16cid:durableId="1972591888">
    <w:abstractNumId w:val="5"/>
  </w:num>
  <w:num w:numId="11" w16cid:durableId="1179278139">
    <w:abstractNumId w:val="4"/>
  </w:num>
  <w:num w:numId="12" w16cid:durableId="1575509198">
    <w:abstractNumId w:val="17"/>
  </w:num>
  <w:num w:numId="13" w16cid:durableId="695733619">
    <w:abstractNumId w:val="12"/>
  </w:num>
  <w:num w:numId="14" w16cid:durableId="145903400">
    <w:abstractNumId w:val="18"/>
  </w:num>
  <w:num w:numId="15" w16cid:durableId="19162326">
    <w:abstractNumId w:val="20"/>
  </w:num>
  <w:num w:numId="16" w16cid:durableId="1977102699">
    <w:abstractNumId w:val="19"/>
  </w:num>
  <w:num w:numId="17" w16cid:durableId="860774865">
    <w:abstractNumId w:val="11"/>
  </w:num>
  <w:num w:numId="18" w16cid:durableId="313221457">
    <w:abstractNumId w:val="12"/>
    <w:lvlOverride w:ilvl="0">
      <w:startOverride w:val="1"/>
    </w:lvlOverride>
  </w:num>
  <w:num w:numId="19" w16cid:durableId="534971577">
    <w:abstractNumId w:val="16"/>
  </w:num>
  <w:num w:numId="20" w16cid:durableId="1150947773">
    <w:abstractNumId w:val="15"/>
  </w:num>
  <w:num w:numId="21" w16cid:durableId="124660497">
    <w:abstractNumId w:val="14"/>
  </w:num>
  <w:num w:numId="22" w16cid:durableId="2099861471">
    <w:abstractNumId w:val="13"/>
  </w:num>
  <w:num w:numId="23" w16cid:durableId="108129709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0"/>
  <w:autoFormatOverride/>
  <w:styleLockTheme/>
  <w:styleLockQFSet/>
  <w:defaultTabStop w:val="708"/>
  <w:hyphenationZone w:val="283"/>
  <w:clickAndTypeStyle w:val="CETBodytext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TI0NzezsDA3M7MwMTJW0lEKTi0uzszPAymwrAUAugS3IywAAAA="/>
  </w:docVars>
  <w:rsids>
    <w:rsidRoot w:val="000E414A"/>
    <w:rsid w:val="000015FD"/>
    <w:rsid w:val="000027C0"/>
    <w:rsid w:val="000052FB"/>
    <w:rsid w:val="000117CB"/>
    <w:rsid w:val="00013CCA"/>
    <w:rsid w:val="000276CE"/>
    <w:rsid w:val="00030826"/>
    <w:rsid w:val="0003148D"/>
    <w:rsid w:val="00031EEC"/>
    <w:rsid w:val="00037C82"/>
    <w:rsid w:val="00042E63"/>
    <w:rsid w:val="00047492"/>
    <w:rsid w:val="00051566"/>
    <w:rsid w:val="00053253"/>
    <w:rsid w:val="000562A9"/>
    <w:rsid w:val="0006000D"/>
    <w:rsid w:val="00062A9A"/>
    <w:rsid w:val="000631FC"/>
    <w:rsid w:val="00065058"/>
    <w:rsid w:val="000661DD"/>
    <w:rsid w:val="00072D8E"/>
    <w:rsid w:val="0007333C"/>
    <w:rsid w:val="00076F83"/>
    <w:rsid w:val="00081602"/>
    <w:rsid w:val="00086C39"/>
    <w:rsid w:val="000A03B2"/>
    <w:rsid w:val="000A0899"/>
    <w:rsid w:val="000B6BBC"/>
    <w:rsid w:val="000B6EDE"/>
    <w:rsid w:val="000B73CB"/>
    <w:rsid w:val="000C038C"/>
    <w:rsid w:val="000C45F0"/>
    <w:rsid w:val="000C78A4"/>
    <w:rsid w:val="000D0268"/>
    <w:rsid w:val="000D0D03"/>
    <w:rsid w:val="000D34BE"/>
    <w:rsid w:val="000D3920"/>
    <w:rsid w:val="000D656D"/>
    <w:rsid w:val="000E0E37"/>
    <w:rsid w:val="000E102F"/>
    <w:rsid w:val="000E164E"/>
    <w:rsid w:val="000E36F1"/>
    <w:rsid w:val="000E3A73"/>
    <w:rsid w:val="000E414A"/>
    <w:rsid w:val="000E625D"/>
    <w:rsid w:val="000F093C"/>
    <w:rsid w:val="000F15D6"/>
    <w:rsid w:val="000F787B"/>
    <w:rsid w:val="001000DE"/>
    <w:rsid w:val="00100D65"/>
    <w:rsid w:val="00107851"/>
    <w:rsid w:val="00110693"/>
    <w:rsid w:val="001114F2"/>
    <w:rsid w:val="00115F56"/>
    <w:rsid w:val="0012091F"/>
    <w:rsid w:val="001214D5"/>
    <w:rsid w:val="00125010"/>
    <w:rsid w:val="00125BB4"/>
    <w:rsid w:val="00126BC2"/>
    <w:rsid w:val="001308B6"/>
    <w:rsid w:val="0013121F"/>
    <w:rsid w:val="00131FE6"/>
    <w:rsid w:val="0013263F"/>
    <w:rsid w:val="001331DF"/>
    <w:rsid w:val="00134DE4"/>
    <w:rsid w:val="0014034D"/>
    <w:rsid w:val="00142F09"/>
    <w:rsid w:val="00144B2B"/>
    <w:rsid w:val="00144D16"/>
    <w:rsid w:val="001470D9"/>
    <w:rsid w:val="00150E59"/>
    <w:rsid w:val="00152DE3"/>
    <w:rsid w:val="00155615"/>
    <w:rsid w:val="00164CF9"/>
    <w:rsid w:val="001667A6"/>
    <w:rsid w:val="001738E8"/>
    <w:rsid w:val="00177EBE"/>
    <w:rsid w:val="00183D37"/>
    <w:rsid w:val="00184AD6"/>
    <w:rsid w:val="00193ECA"/>
    <w:rsid w:val="0019519A"/>
    <w:rsid w:val="001A4AF7"/>
    <w:rsid w:val="001B0349"/>
    <w:rsid w:val="001B1E93"/>
    <w:rsid w:val="001B65C1"/>
    <w:rsid w:val="001C22EC"/>
    <w:rsid w:val="001C684B"/>
    <w:rsid w:val="001C7A7D"/>
    <w:rsid w:val="001D0CFB"/>
    <w:rsid w:val="001D21AF"/>
    <w:rsid w:val="001D53FC"/>
    <w:rsid w:val="001E5547"/>
    <w:rsid w:val="001E677F"/>
    <w:rsid w:val="001F42A5"/>
    <w:rsid w:val="001F4C18"/>
    <w:rsid w:val="001F7B9D"/>
    <w:rsid w:val="00201C93"/>
    <w:rsid w:val="00205A15"/>
    <w:rsid w:val="002224B4"/>
    <w:rsid w:val="002447EF"/>
    <w:rsid w:val="00245DC8"/>
    <w:rsid w:val="00251021"/>
    <w:rsid w:val="00251550"/>
    <w:rsid w:val="00257BB9"/>
    <w:rsid w:val="00260096"/>
    <w:rsid w:val="00263B05"/>
    <w:rsid w:val="0026763B"/>
    <w:rsid w:val="002721EC"/>
    <w:rsid w:val="0027221A"/>
    <w:rsid w:val="00275451"/>
    <w:rsid w:val="00275B61"/>
    <w:rsid w:val="00276BF3"/>
    <w:rsid w:val="00280FAF"/>
    <w:rsid w:val="00282656"/>
    <w:rsid w:val="00292EC6"/>
    <w:rsid w:val="00296B83"/>
    <w:rsid w:val="002A7CA2"/>
    <w:rsid w:val="002B1DFD"/>
    <w:rsid w:val="002B2FBE"/>
    <w:rsid w:val="002B4015"/>
    <w:rsid w:val="002B78CE"/>
    <w:rsid w:val="002C2FB6"/>
    <w:rsid w:val="002C43BF"/>
    <w:rsid w:val="002E5FA7"/>
    <w:rsid w:val="002F0DF3"/>
    <w:rsid w:val="002F3309"/>
    <w:rsid w:val="002F3FC6"/>
    <w:rsid w:val="003008CE"/>
    <w:rsid w:val="003009B7"/>
    <w:rsid w:val="00300E56"/>
    <w:rsid w:val="0030152C"/>
    <w:rsid w:val="00303325"/>
    <w:rsid w:val="0030469C"/>
    <w:rsid w:val="00317F0E"/>
    <w:rsid w:val="00321076"/>
    <w:rsid w:val="00321CA6"/>
    <w:rsid w:val="00322C5C"/>
    <w:rsid w:val="00323076"/>
    <w:rsid w:val="00323763"/>
    <w:rsid w:val="00323C5F"/>
    <w:rsid w:val="003256A4"/>
    <w:rsid w:val="00334C09"/>
    <w:rsid w:val="00336016"/>
    <w:rsid w:val="003379DE"/>
    <w:rsid w:val="00347520"/>
    <w:rsid w:val="00367B18"/>
    <w:rsid w:val="003723D4"/>
    <w:rsid w:val="00373541"/>
    <w:rsid w:val="00377ED5"/>
    <w:rsid w:val="00381905"/>
    <w:rsid w:val="00384CC8"/>
    <w:rsid w:val="003871FD"/>
    <w:rsid w:val="00396EF2"/>
    <w:rsid w:val="003A1E30"/>
    <w:rsid w:val="003A2829"/>
    <w:rsid w:val="003A4DC3"/>
    <w:rsid w:val="003A5640"/>
    <w:rsid w:val="003A6FC6"/>
    <w:rsid w:val="003A7D1C"/>
    <w:rsid w:val="003B304B"/>
    <w:rsid w:val="003B3146"/>
    <w:rsid w:val="003B3EE8"/>
    <w:rsid w:val="003C6528"/>
    <w:rsid w:val="003D0786"/>
    <w:rsid w:val="003D5CE1"/>
    <w:rsid w:val="003D6E18"/>
    <w:rsid w:val="003D73BD"/>
    <w:rsid w:val="003F015E"/>
    <w:rsid w:val="00400414"/>
    <w:rsid w:val="00406E81"/>
    <w:rsid w:val="00413556"/>
    <w:rsid w:val="0041446B"/>
    <w:rsid w:val="00421183"/>
    <w:rsid w:val="0042369C"/>
    <w:rsid w:val="00423966"/>
    <w:rsid w:val="004256AD"/>
    <w:rsid w:val="004315C3"/>
    <w:rsid w:val="0044071E"/>
    <w:rsid w:val="0044329C"/>
    <w:rsid w:val="00445FC4"/>
    <w:rsid w:val="004504FF"/>
    <w:rsid w:val="00453E24"/>
    <w:rsid w:val="00457456"/>
    <w:rsid w:val="004577FE"/>
    <w:rsid w:val="00457B9C"/>
    <w:rsid w:val="0046164A"/>
    <w:rsid w:val="004628D2"/>
    <w:rsid w:val="00462DCD"/>
    <w:rsid w:val="00463ABB"/>
    <w:rsid w:val="004648AD"/>
    <w:rsid w:val="00464FFE"/>
    <w:rsid w:val="004703A9"/>
    <w:rsid w:val="004760DE"/>
    <w:rsid w:val="004763D7"/>
    <w:rsid w:val="0048189C"/>
    <w:rsid w:val="00481C31"/>
    <w:rsid w:val="00485315"/>
    <w:rsid w:val="00487562"/>
    <w:rsid w:val="00492A66"/>
    <w:rsid w:val="0049623D"/>
    <w:rsid w:val="00496936"/>
    <w:rsid w:val="00496F85"/>
    <w:rsid w:val="004A004E"/>
    <w:rsid w:val="004A24CF"/>
    <w:rsid w:val="004A6793"/>
    <w:rsid w:val="004A7AFC"/>
    <w:rsid w:val="004B3E3D"/>
    <w:rsid w:val="004B4346"/>
    <w:rsid w:val="004C0F80"/>
    <w:rsid w:val="004C21A5"/>
    <w:rsid w:val="004C38A2"/>
    <w:rsid w:val="004C3D1D"/>
    <w:rsid w:val="004C3D84"/>
    <w:rsid w:val="004C60EF"/>
    <w:rsid w:val="004C7913"/>
    <w:rsid w:val="004E18A9"/>
    <w:rsid w:val="004E4DD6"/>
    <w:rsid w:val="004E6A1B"/>
    <w:rsid w:val="004F5D1D"/>
    <w:rsid w:val="004F5E36"/>
    <w:rsid w:val="0050030F"/>
    <w:rsid w:val="005062E3"/>
    <w:rsid w:val="00507B47"/>
    <w:rsid w:val="00507BEF"/>
    <w:rsid w:val="00507CC9"/>
    <w:rsid w:val="005107B2"/>
    <w:rsid w:val="005119A5"/>
    <w:rsid w:val="00516AAC"/>
    <w:rsid w:val="00523B30"/>
    <w:rsid w:val="00524609"/>
    <w:rsid w:val="005249D4"/>
    <w:rsid w:val="005278B7"/>
    <w:rsid w:val="00532016"/>
    <w:rsid w:val="005346C8"/>
    <w:rsid w:val="00540866"/>
    <w:rsid w:val="00543E7D"/>
    <w:rsid w:val="005446DE"/>
    <w:rsid w:val="00547A68"/>
    <w:rsid w:val="005503A1"/>
    <w:rsid w:val="005527EE"/>
    <w:rsid w:val="005531C9"/>
    <w:rsid w:val="005539DF"/>
    <w:rsid w:val="00556036"/>
    <w:rsid w:val="00570C43"/>
    <w:rsid w:val="00571449"/>
    <w:rsid w:val="0057482D"/>
    <w:rsid w:val="00593F50"/>
    <w:rsid w:val="005A09E4"/>
    <w:rsid w:val="005A2F31"/>
    <w:rsid w:val="005B2110"/>
    <w:rsid w:val="005B528D"/>
    <w:rsid w:val="005B61E6"/>
    <w:rsid w:val="005C220A"/>
    <w:rsid w:val="005C300F"/>
    <w:rsid w:val="005C39E0"/>
    <w:rsid w:val="005C77E1"/>
    <w:rsid w:val="005D668A"/>
    <w:rsid w:val="005D6A2F"/>
    <w:rsid w:val="005E1A82"/>
    <w:rsid w:val="005E3F67"/>
    <w:rsid w:val="005E794C"/>
    <w:rsid w:val="005F0239"/>
    <w:rsid w:val="005F0A28"/>
    <w:rsid w:val="005F0E5E"/>
    <w:rsid w:val="005F13D1"/>
    <w:rsid w:val="005F1FC1"/>
    <w:rsid w:val="005F42C5"/>
    <w:rsid w:val="00600535"/>
    <w:rsid w:val="006041B2"/>
    <w:rsid w:val="00610CD6"/>
    <w:rsid w:val="0061505C"/>
    <w:rsid w:val="00620DEE"/>
    <w:rsid w:val="00621F92"/>
    <w:rsid w:val="0062280A"/>
    <w:rsid w:val="00625639"/>
    <w:rsid w:val="00630300"/>
    <w:rsid w:val="00631B33"/>
    <w:rsid w:val="0064184D"/>
    <w:rsid w:val="00641FC7"/>
    <w:rsid w:val="006422CC"/>
    <w:rsid w:val="0064690A"/>
    <w:rsid w:val="0065200A"/>
    <w:rsid w:val="00652D61"/>
    <w:rsid w:val="00660E3E"/>
    <w:rsid w:val="00660FD5"/>
    <w:rsid w:val="00662E74"/>
    <w:rsid w:val="00664DB0"/>
    <w:rsid w:val="00677E20"/>
    <w:rsid w:val="00680C23"/>
    <w:rsid w:val="00681CD4"/>
    <w:rsid w:val="00693766"/>
    <w:rsid w:val="006940E3"/>
    <w:rsid w:val="006973A7"/>
    <w:rsid w:val="006A080F"/>
    <w:rsid w:val="006A3281"/>
    <w:rsid w:val="006A3902"/>
    <w:rsid w:val="006B1E71"/>
    <w:rsid w:val="006B3022"/>
    <w:rsid w:val="006B4888"/>
    <w:rsid w:val="006C2E45"/>
    <w:rsid w:val="006C359C"/>
    <w:rsid w:val="006C5579"/>
    <w:rsid w:val="006C5C14"/>
    <w:rsid w:val="006D1232"/>
    <w:rsid w:val="006D6E8B"/>
    <w:rsid w:val="006E3E6D"/>
    <w:rsid w:val="006E737D"/>
    <w:rsid w:val="00702111"/>
    <w:rsid w:val="007075AE"/>
    <w:rsid w:val="00711BC4"/>
    <w:rsid w:val="00713973"/>
    <w:rsid w:val="00717285"/>
    <w:rsid w:val="00720A24"/>
    <w:rsid w:val="00722808"/>
    <w:rsid w:val="00727FE9"/>
    <w:rsid w:val="00730CED"/>
    <w:rsid w:val="00732386"/>
    <w:rsid w:val="00732C8C"/>
    <w:rsid w:val="0073514D"/>
    <w:rsid w:val="0074246C"/>
    <w:rsid w:val="007431E1"/>
    <w:rsid w:val="007447F3"/>
    <w:rsid w:val="0074480E"/>
    <w:rsid w:val="00744DFF"/>
    <w:rsid w:val="00753330"/>
    <w:rsid w:val="0075499F"/>
    <w:rsid w:val="00760A6F"/>
    <w:rsid w:val="0076145F"/>
    <w:rsid w:val="007661C8"/>
    <w:rsid w:val="00766357"/>
    <w:rsid w:val="0077098D"/>
    <w:rsid w:val="00783C27"/>
    <w:rsid w:val="00790654"/>
    <w:rsid w:val="007931FA"/>
    <w:rsid w:val="007A21F5"/>
    <w:rsid w:val="007A4861"/>
    <w:rsid w:val="007A7BBA"/>
    <w:rsid w:val="007B04F1"/>
    <w:rsid w:val="007B0C50"/>
    <w:rsid w:val="007B2F98"/>
    <w:rsid w:val="007B48F9"/>
    <w:rsid w:val="007C120C"/>
    <w:rsid w:val="007C1A43"/>
    <w:rsid w:val="007D0951"/>
    <w:rsid w:val="007D408D"/>
    <w:rsid w:val="007D577B"/>
    <w:rsid w:val="007D7FD4"/>
    <w:rsid w:val="007E0A03"/>
    <w:rsid w:val="007E14C9"/>
    <w:rsid w:val="007E205F"/>
    <w:rsid w:val="007E2B83"/>
    <w:rsid w:val="007E2F76"/>
    <w:rsid w:val="007E7DA2"/>
    <w:rsid w:val="007F5EF2"/>
    <w:rsid w:val="0080013E"/>
    <w:rsid w:val="0080046F"/>
    <w:rsid w:val="008011AB"/>
    <w:rsid w:val="00802C9D"/>
    <w:rsid w:val="00805BAC"/>
    <w:rsid w:val="00813288"/>
    <w:rsid w:val="008154A8"/>
    <w:rsid w:val="008168FC"/>
    <w:rsid w:val="00817B34"/>
    <w:rsid w:val="0082245D"/>
    <w:rsid w:val="00823DAC"/>
    <w:rsid w:val="00827B16"/>
    <w:rsid w:val="00830996"/>
    <w:rsid w:val="008345F1"/>
    <w:rsid w:val="008429D9"/>
    <w:rsid w:val="008531F0"/>
    <w:rsid w:val="00865B07"/>
    <w:rsid w:val="008667EA"/>
    <w:rsid w:val="00866C6D"/>
    <w:rsid w:val="00866D06"/>
    <w:rsid w:val="008702ED"/>
    <w:rsid w:val="00872AC1"/>
    <w:rsid w:val="00875C06"/>
    <w:rsid w:val="0087637F"/>
    <w:rsid w:val="00880105"/>
    <w:rsid w:val="0088064C"/>
    <w:rsid w:val="008840CB"/>
    <w:rsid w:val="0089275F"/>
    <w:rsid w:val="00892AD5"/>
    <w:rsid w:val="00892FAE"/>
    <w:rsid w:val="00896B4C"/>
    <w:rsid w:val="008A08EA"/>
    <w:rsid w:val="008A1512"/>
    <w:rsid w:val="008A624D"/>
    <w:rsid w:val="008B1574"/>
    <w:rsid w:val="008B27C6"/>
    <w:rsid w:val="008B445D"/>
    <w:rsid w:val="008B7C03"/>
    <w:rsid w:val="008C71F3"/>
    <w:rsid w:val="008C7B68"/>
    <w:rsid w:val="008D32B9"/>
    <w:rsid w:val="008D3678"/>
    <w:rsid w:val="008D433B"/>
    <w:rsid w:val="008D44C0"/>
    <w:rsid w:val="008D4A16"/>
    <w:rsid w:val="008E1350"/>
    <w:rsid w:val="008E566E"/>
    <w:rsid w:val="008E5942"/>
    <w:rsid w:val="0090161A"/>
    <w:rsid w:val="00901EB6"/>
    <w:rsid w:val="00902755"/>
    <w:rsid w:val="00904BD1"/>
    <w:rsid w:val="00904C62"/>
    <w:rsid w:val="00913083"/>
    <w:rsid w:val="0092028C"/>
    <w:rsid w:val="00922BA8"/>
    <w:rsid w:val="00923336"/>
    <w:rsid w:val="00924130"/>
    <w:rsid w:val="00924DAC"/>
    <w:rsid w:val="00927058"/>
    <w:rsid w:val="00942750"/>
    <w:rsid w:val="009450CE"/>
    <w:rsid w:val="009459BB"/>
    <w:rsid w:val="00946565"/>
    <w:rsid w:val="00947179"/>
    <w:rsid w:val="0095164B"/>
    <w:rsid w:val="00954090"/>
    <w:rsid w:val="00956057"/>
    <w:rsid w:val="00956D40"/>
    <w:rsid w:val="009573E7"/>
    <w:rsid w:val="00961F2A"/>
    <w:rsid w:val="00963E05"/>
    <w:rsid w:val="00964A45"/>
    <w:rsid w:val="00967843"/>
    <w:rsid w:val="00967D54"/>
    <w:rsid w:val="00971028"/>
    <w:rsid w:val="009733F6"/>
    <w:rsid w:val="0097549C"/>
    <w:rsid w:val="00975C2D"/>
    <w:rsid w:val="009775C4"/>
    <w:rsid w:val="009915F2"/>
    <w:rsid w:val="00993B84"/>
    <w:rsid w:val="00993C84"/>
    <w:rsid w:val="00994419"/>
    <w:rsid w:val="00996483"/>
    <w:rsid w:val="00996F5A"/>
    <w:rsid w:val="009B041A"/>
    <w:rsid w:val="009B414F"/>
    <w:rsid w:val="009B52EA"/>
    <w:rsid w:val="009C192C"/>
    <w:rsid w:val="009C2FC1"/>
    <w:rsid w:val="009C37C3"/>
    <w:rsid w:val="009C7C86"/>
    <w:rsid w:val="009D2FF7"/>
    <w:rsid w:val="009D32E4"/>
    <w:rsid w:val="009E2585"/>
    <w:rsid w:val="009E6370"/>
    <w:rsid w:val="009E7884"/>
    <w:rsid w:val="009E788A"/>
    <w:rsid w:val="009F0E08"/>
    <w:rsid w:val="009F5288"/>
    <w:rsid w:val="00A00D21"/>
    <w:rsid w:val="00A06DE7"/>
    <w:rsid w:val="00A1763D"/>
    <w:rsid w:val="00A17CEC"/>
    <w:rsid w:val="00A25CA4"/>
    <w:rsid w:val="00A26A04"/>
    <w:rsid w:val="00A27EF0"/>
    <w:rsid w:val="00A41236"/>
    <w:rsid w:val="00A42361"/>
    <w:rsid w:val="00A423DF"/>
    <w:rsid w:val="00A50689"/>
    <w:rsid w:val="00A50B20"/>
    <w:rsid w:val="00A51390"/>
    <w:rsid w:val="00A60D13"/>
    <w:rsid w:val="00A674C9"/>
    <w:rsid w:val="00A7223D"/>
    <w:rsid w:val="00A72745"/>
    <w:rsid w:val="00A7306D"/>
    <w:rsid w:val="00A76EFC"/>
    <w:rsid w:val="00A80A06"/>
    <w:rsid w:val="00A83542"/>
    <w:rsid w:val="00A875EB"/>
    <w:rsid w:val="00A87D50"/>
    <w:rsid w:val="00A9068C"/>
    <w:rsid w:val="00A91010"/>
    <w:rsid w:val="00A97F29"/>
    <w:rsid w:val="00AA3356"/>
    <w:rsid w:val="00AA702E"/>
    <w:rsid w:val="00AA7D26"/>
    <w:rsid w:val="00AB0964"/>
    <w:rsid w:val="00AB1092"/>
    <w:rsid w:val="00AB4FE8"/>
    <w:rsid w:val="00AB5011"/>
    <w:rsid w:val="00AC44D6"/>
    <w:rsid w:val="00AC54DB"/>
    <w:rsid w:val="00AC7368"/>
    <w:rsid w:val="00AD16B9"/>
    <w:rsid w:val="00AD4539"/>
    <w:rsid w:val="00AE377D"/>
    <w:rsid w:val="00AF0EBA"/>
    <w:rsid w:val="00AF2422"/>
    <w:rsid w:val="00AF33FF"/>
    <w:rsid w:val="00B020F9"/>
    <w:rsid w:val="00B02C8A"/>
    <w:rsid w:val="00B11789"/>
    <w:rsid w:val="00B14C9D"/>
    <w:rsid w:val="00B17FBD"/>
    <w:rsid w:val="00B306C0"/>
    <w:rsid w:val="00B30C9A"/>
    <w:rsid w:val="00B315A6"/>
    <w:rsid w:val="00B31813"/>
    <w:rsid w:val="00B33365"/>
    <w:rsid w:val="00B44977"/>
    <w:rsid w:val="00B44FA6"/>
    <w:rsid w:val="00B55795"/>
    <w:rsid w:val="00B57B36"/>
    <w:rsid w:val="00B57E6F"/>
    <w:rsid w:val="00B620DB"/>
    <w:rsid w:val="00B66637"/>
    <w:rsid w:val="00B66A07"/>
    <w:rsid w:val="00B6708E"/>
    <w:rsid w:val="00B70579"/>
    <w:rsid w:val="00B7091D"/>
    <w:rsid w:val="00B75119"/>
    <w:rsid w:val="00B7536F"/>
    <w:rsid w:val="00B7637C"/>
    <w:rsid w:val="00B8686D"/>
    <w:rsid w:val="00B93F69"/>
    <w:rsid w:val="00BA6067"/>
    <w:rsid w:val="00BA6E21"/>
    <w:rsid w:val="00BB1DDC"/>
    <w:rsid w:val="00BC2B7C"/>
    <w:rsid w:val="00BC30C9"/>
    <w:rsid w:val="00BC62C2"/>
    <w:rsid w:val="00BD077D"/>
    <w:rsid w:val="00BD0AFA"/>
    <w:rsid w:val="00BD23B1"/>
    <w:rsid w:val="00BD636A"/>
    <w:rsid w:val="00BE1542"/>
    <w:rsid w:val="00BE2AB4"/>
    <w:rsid w:val="00BE3E58"/>
    <w:rsid w:val="00BE47C2"/>
    <w:rsid w:val="00C01616"/>
    <w:rsid w:val="00C0162B"/>
    <w:rsid w:val="00C068ED"/>
    <w:rsid w:val="00C207F6"/>
    <w:rsid w:val="00C22E0C"/>
    <w:rsid w:val="00C33A92"/>
    <w:rsid w:val="00C345B1"/>
    <w:rsid w:val="00C35B13"/>
    <w:rsid w:val="00C40142"/>
    <w:rsid w:val="00C45D6F"/>
    <w:rsid w:val="00C478AD"/>
    <w:rsid w:val="00C47F79"/>
    <w:rsid w:val="00C52C3C"/>
    <w:rsid w:val="00C57182"/>
    <w:rsid w:val="00C574DF"/>
    <w:rsid w:val="00C57863"/>
    <w:rsid w:val="00C63053"/>
    <w:rsid w:val="00C638C8"/>
    <w:rsid w:val="00C640AF"/>
    <w:rsid w:val="00C655FD"/>
    <w:rsid w:val="00C75407"/>
    <w:rsid w:val="00C81080"/>
    <w:rsid w:val="00C83E45"/>
    <w:rsid w:val="00C870A8"/>
    <w:rsid w:val="00C919F0"/>
    <w:rsid w:val="00C92989"/>
    <w:rsid w:val="00C94434"/>
    <w:rsid w:val="00CA0D4A"/>
    <w:rsid w:val="00CA0D75"/>
    <w:rsid w:val="00CA1C95"/>
    <w:rsid w:val="00CA5A9C"/>
    <w:rsid w:val="00CB51FD"/>
    <w:rsid w:val="00CB7788"/>
    <w:rsid w:val="00CC4C20"/>
    <w:rsid w:val="00CC58DF"/>
    <w:rsid w:val="00CD09C9"/>
    <w:rsid w:val="00CD3517"/>
    <w:rsid w:val="00CD5FE2"/>
    <w:rsid w:val="00CE0390"/>
    <w:rsid w:val="00CE7C68"/>
    <w:rsid w:val="00D02B4C"/>
    <w:rsid w:val="00D040C4"/>
    <w:rsid w:val="00D072DB"/>
    <w:rsid w:val="00D0775E"/>
    <w:rsid w:val="00D15A6E"/>
    <w:rsid w:val="00D1782C"/>
    <w:rsid w:val="00D20527"/>
    <w:rsid w:val="00D20AD1"/>
    <w:rsid w:val="00D2276A"/>
    <w:rsid w:val="00D32EC2"/>
    <w:rsid w:val="00D46B7E"/>
    <w:rsid w:val="00D51229"/>
    <w:rsid w:val="00D51CD8"/>
    <w:rsid w:val="00D52F33"/>
    <w:rsid w:val="00D5459E"/>
    <w:rsid w:val="00D57C84"/>
    <w:rsid w:val="00D6057D"/>
    <w:rsid w:val="00D648EC"/>
    <w:rsid w:val="00D70D83"/>
    <w:rsid w:val="00D71640"/>
    <w:rsid w:val="00D80056"/>
    <w:rsid w:val="00D836C5"/>
    <w:rsid w:val="00D84576"/>
    <w:rsid w:val="00D8664C"/>
    <w:rsid w:val="00D90DFB"/>
    <w:rsid w:val="00D9373D"/>
    <w:rsid w:val="00D94804"/>
    <w:rsid w:val="00DA06CF"/>
    <w:rsid w:val="00DA1399"/>
    <w:rsid w:val="00DA24C6"/>
    <w:rsid w:val="00DA2A2A"/>
    <w:rsid w:val="00DA4D7B"/>
    <w:rsid w:val="00DA59C7"/>
    <w:rsid w:val="00DB26DB"/>
    <w:rsid w:val="00DD271C"/>
    <w:rsid w:val="00DD5FFA"/>
    <w:rsid w:val="00DD6E87"/>
    <w:rsid w:val="00DE2554"/>
    <w:rsid w:val="00DE264A"/>
    <w:rsid w:val="00DE3E06"/>
    <w:rsid w:val="00DE3FA6"/>
    <w:rsid w:val="00DE417B"/>
    <w:rsid w:val="00DF5072"/>
    <w:rsid w:val="00E00B72"/>
    <w:rsid w:val="00E01F04"/>
    <w:rsid w:val="00E02D18"/>
    <w:rsid w:val="00E041E7"/>
    <w:rsid w:val="00E05460"/>
    <w:rsid w:val="00E1661C"/>
    <w:rsid w:val="00E20229"/>
    <w:rsid w:val="00E21761"/>
    <w:rsid w:val="00E226F0"/>
    <w:rsid w:val="00E23CA1"/>
    <w:rsid w:val="00E252B2"/>
    <w:rsid w:val="00E30D9E"/>
    <w:rsid w:val="00E3241C"/>
    <w:rsid w:val="00E33DD7"/>
    <w:rsid w:val="00E409A8"/>
    <w:rsid w:val="00E50C12"/>
    <w:rsid w:val="00E566F3"/>
    <w:rsid w:val="00E62606"/>
    <w:rsid w:val="00E65B91"/>
    <w:rsid w:val="00E7209D"/>
    <w:rsid w:val="00E72EAD"/>
    <w:rsid w:val="00E76AB6"/>
    <w:rsid w:val="00E77223"/>
    <w:rsid w:val="00E8528B"/>
    <w:rsid w:val="00E85B94"/>
    <w:rsid w:val="00E86B7F"/>
    <w:rsid w:val="00E910B5"/>
    <w:rsid w:val="00E925CD"/>
    <w:rsid w:val="00E94618"/>
    <w:rsid w:val="00E978D0"/>
    <w:rsid w:val="00EA1BD1"/>
    <w:rsid w:val="00EA4613"/>
    <w:rsid w:val="00EA624C"/>
    <w:rsid w:val="00EA7F91"/>
    <w:rsid w:val="00EB1523"/>
    <w:rsid w:val="00EC0217"/>
    <w:rsid w:val="00EC0E49"/>
    <w:rsid w:val="00EC101F"/>
    <w:rsid w:val="00EC1D9F"/>
    <w:rsid w:val="00EC5C83"/>
    <w:rsid w:val="00ED2BDE"/>
    <w:rsid w:val="00EE0131"/>
    <w:rsid w:val="00EE17B0"/>
    <w:rsid w:val="00EE5A13"/>
    <w:rsid w:val="00EF06D9"/>
    <w:rsid w:val="00F0429C"/>
    <w:rsid w:val="00F06452"/>
    <w:rsid w:val="00F07D2D"/>
    <w:rsid w:val="00F1001D"/>
    <w:rsid w:val="00F10E52"/>
    <w:rsid w:val="00F20C3C"/>
    <w:rsid w:val="00F21E9F"/>
    <w:rsid w:val="00F22FB7"/>
    <w:rsid w:val="00F3049E"/>
    <w:rsid w:val="00F30969"/>
    <w:rsid w:val="00F30C64"/>
    <w:rsid w:val="00F32BA2"/>
    <w:rsid w:val="00F32CDB"/>
    <w:rsid w:val="00F42B84"/>
    <w:rsid w:val="00F45467"/>
    <w:rsid w:val="00F5045F"/>
    <w:rsid w:val="00F50640"/>
    <w:rsid w:val="00F565FE"/>
    <w:rsid w:val="00F63A70"/>
    <w:rsid w:val="00F63D8C"/>
    <w:rsid w:val="00F6675C"/>
    <w:rsid w:val="00F670B9"/>
    <w:rsid w:val="00F67C96"/>
    <w:rsid w:val="00F70907"/>
    <w:rsid w:val="00F7534E"/>
    <w:rsid w:val="00F84F5B"/>
    <w:rsid w:val="00F86CB5"/>
    <w:rsid w:val="00F91041"/>
    <w:rsid w:val="00F93EDF"/>
    <w:rsid w:val="00FA1802"/>
    <w:rsid w:val="00FA21D0"/>
    <w:rsid w:val="00FA49A0"/>
    <w:rsid w:val="00FA5F5F"/>
    <w:rsid w:val="00FB23F9"/>
    <w:rsid w:val="00FB46D4"/>
    <w:rsid w:val="00FB5600"/>
    <w:rsid w:val="00FB609D"/>
    <w:rsid w:val="00FB730C"/>
    <w:rsid w:val="00FC1887"/>
    <w:rsid w:val="00FC2695"/>
    <w:rsid w:val="00FC3E03"/>
    <w:rsid w:val="00FC3FC1"/>
    <w:rsid w:val="00FD6B68"/>
    <w:rsid w:val="00FD7DB0"/>
    <w:rsid w:val="00FE1BB5"/>
    <w:rsid w:val="00FE1DBA"/>
    <w:rsid w:val="00FE7114"/>
    <w:rsid w:val="00FF2FF1"/>
    <w:rsid w:val="00FF3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E0CC22"/>
  <w14:defaultImageDpi w14:val="330"/>
  <w15:docId w15:val="{0B95FB59-9D38-42B5-B090-D2348EE1E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CET Top_page"/>
    <w:rsid w:val="00620DEE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Titolo1">
    <w:name w:val="heading 1"/>
    <w:basedOn w:val="CETHeading1"/>
    <w:next w:val="Normale"/>
    <w:link w:val="Titolo1Carattere"/>
    <w:uiPriority w:val="9"/>
    <w:rsid w:val="004F5E36"/>
    <w:pPr>
      <w:tabs>
        <w:tab w:val="clear" w:pos="360"/>
        <w:tab w:val="right" w:pos="7100"/>
      </w:tabs>
      <w:jc w:val="both"/>
      <w:outlineLvl w:val="0"/>
    </w:pPr>
    <w:rPr>
      <w:lang w:val="en-GB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3148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3148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3148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3148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3148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3148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3148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3148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ETAuthors">
    <w:name w:val="CET Authors"/>
    <w:basedOn w:val="CETBodytext"/>
    <w:link w:val="CETAuthorsCarattere"/>
    <w:qFormat/>
    <w:rsid w:val="000E414A"/>
    <w:pPr>
      <w:keepNext/>
      <w:suppressAutoHyphens/>
      <w:spacing w:after="120"/>
    </w:pPr>
    <w:rPr>
      <w:noProof/>
      <w:sz w:val="24"/>
      <w:lang w:val="en-GB"/>
    </w:rPr>
  </w:style>
  <w:style w:type="paragraph" w:customStyle="1" w:styleId="CETTitle">
    <w:name w:val="CET Title"/>
    <w:next w:val="CETAuthors"/>
    <w:link w:val="CETTitleCarattere"/>
    <w:rsid w:val="00FB730C"/>
    <w:pPr>
      <w:suppressAutoHyphens/>
      <w:spacing w:before="480" w:after="120" w:line="264" w:lineRule="auto"/>
      <w:jc w:val="center"/>
      <w:outlineLvl w:val="0"/>
    </w:pPr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CETAuthorsCarattere">
    <w:name w:val="CET Authors Carattere"/>
    <w:link w:val="CETAuthors"/>
    <w:rsid w:val="009E788A"/>
    <w:rPr>
      <w:rFonts w:ascii="Arial" w:eastAsia="Times New Roman" w:hAnsi="Arial" w:cs="Times New Roman"/>
      <w:noProof/>
      <w:sz w:val="24"/>
      <w:szCs w:val="20"/>
      <w:lang w:val="en-GB"/>
    </w:rPr>
  </w:style>
  <w:style w:type="character" w:customStyle="1" w:styleId="CETTitleCarattere">
    <w:name w:val="CET Title Carattere"/>
    <w:link w:val="CETTitle"/>
    <w:rsid w:val="00FB730C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CETHeading1">
    <w:name w:val="CET Heading1"/>
    <w:next w:val="CETBodytext"/>
    <w:qFormat/>
    <w:rsid w:val="009E788A"/>
    <w:pPr>
      <w:keepNext/>
      <w:numPr>
        <w:ilvl w:val="1"/>
        <w:numId w:val="1"/>
      </w:numPr>
      <w:tabs>
        <w:tab w:val="num" w:pos="360"/>
      </w:tabs>
      <w:suppressAutoHyphens/>
      <w:spacing w:before="240" w:after="120" w:line="240" w:lineRule="auto"/>
      <w:ind w:left="0"/>
    </w:pPr>
    <w:rPr>
      <w:rFonts w:ascii="Arial" w:eastAsia="Times New Roman" w:hAnsi="Arial" w:cs="Times New Roman"/>
      <w:b/>
      <w:sz w:val="20"/>
      <w:szCs w:val="20"/>
      <w:lang w:val="en-US"/>
    </w:rPr>
  </w:style>
  <w:style w:type="paragraph" w:customStyle="1" w:styleId="CETBodytext">
    <w:name w:val="CET Body text"/>
    <w:link w:val="CETBodytextCarattere"/>
    <w:qFormat/>
    <w:rsid w:val="000E414A"/>
    <w:pPr>
      <w:tabs>
        <w:tab w:val="right" w:pos="7100"/>
      </w:tabs>
      <w:spacing w:after="0" w:line="264" w:lineRule="auto"/>
      <w:jc w:val="both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headingx">
    <w:name w:val="CET headingx"/>
    <w:next w:val="CETBodytext"/>
    <w:link w:val="CETheadingxCarattere"/>
    <w:autoRedefine/>
    <w:qFormat/>
    <w:rsid w:val="006C5C14"/>
    <w:pPr>
      <w:keepNext/>
      <w:numPr>
        <w:ilvl w:val="2"/>
        <w:numId w:val="1"/>
      </w:numPr>
      <w:suppressAutoHyphens/>
      <w:spacing w:before="120" w:after="120" w:line="240" w:lineRule="auto"/>
      <w:ind w:left="0"/>
    </w:pPr>
    <w:rPr>
      <w:rFonts w:ascii="Arial" w:eastAsia="Times New Roman" w:hAnsi="Arial" w:cs="Times New Roman"/>
      <w:b/>
      <w:color w:val="000000" w:themeColor="text1"/>
      <w:sz w:val="18"/>
      <w:szCs w:val="20"/>
      <w:lang w:val="en-US"/>
    </w:rPr>
  </w:style>
  <w:style w:type="paragraph" w:customStyle="1" w:styleId="CETAddress">
    <w:name w:val="CET Address"/>
    <w:link w:val="CETAddressCarattere"/>
    <w:qFormat/>
    <w:rsid w:val="009E788A"/>
    <w:pPr>
      <w:keepNext/>
      <w:suppressAutoHyphens/>
      <w:spacing w:after="0"/>
      <w:contextualSpacing/>
    </w:pPr>
    <w:rPr>
      <w:rFonts w:ascii="Arial" w:eastAsia="Times New Roman" w:hAnsi="Arial" w:cs="Times New Roman"/>
      <w:noProof/>
      <w:sz w:val="16"/>
      <w:szCs w:val="20"/>
      <w:lang w:val="en-GB"/>
    </w:rPr>
  </w:style>
  <w:style w:type="table" w:styleId="Tabellasemplice1">
    <w:name w:val="Table Simple 1"/>
    <w:basedOn w:val="Tabellanormale"/>
    <w:semiHidden/>
    <w:rsid w:val="000E414A"/>
    <w:pPr>
      <w:numPr>
        <w:ilvl w:val="3"/>
        <w:numId w:val="1"/>
      </w:num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CETBodytextCarattere">
    <w:name w:val="CET Body text Carattere"/>
    <w:link w:val="CETBodytext"/>
    <w:rsid w:val="000E414A"/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Reference">
    <w:name w:val="CET Reference"/>
    <w:qFormat/>
    <w:rsid w:val="00FC2695"/>
    <w:pPr>
      <w:spacing w:before="200" w:after="120" w:line="240" w:lineRule="auto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Caption">
    <w:name w:val="CET Caption"/>
    <w:link w:val="CETCaptionCarattere"/>
    <w:qFormat/>
    <w:rsid w:val="00F7534E"/>
    <w:pPr>
      <w:spacing w:before="240" w:after="240" w:line="264" w:lineRule="auto"/>
      <w:jc w:val="both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customStyle="1" w:styleId="CETheadingxCarattere">
    <w:name w:val="CET headingx Carattere"/>
    <w:link w:val="CETheadingx"/>
    <w:rsid w:val="006C5C14"/>
    <w:rPr>
      <w:rFonts w:ascii="Arial" w:eastAsia="Times New Roman" w:hAnsi="Arial" w:cs="Times New Roman"/>
      <w:b/>
      <w:color w:val="000000" w:themeColor="text1"/>
      <w:sz w:val="18"/>
      <w:szCs w:val="20"/>
      <w:lang w:val="en-US"/>
    </w:rPr>
  </w:style>
  <w:style w:type="character" w:customStyle="1" w:styleId="CETCaptionCarattere">
    <w:name w:val="CET Caption Carattere"/>
    <w:link w:val="CETCaption"/>
    <w:rsid w:val="00F7534E"/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BodytextItalic">
    <w:name w:val="CET Body text (Italic)"/>
    <w:basedOn w:val="CETBodytext"/>
    <w:qFormat/>
    <w:rsid w:val="004F5E36"/>
    <w:rPr>
      <w:i/>
      <w:lang w:val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4577FE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34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D34BE"/>
    <w:rPr>
      <w:rFonts w:ascii="Tahoma" w:hAnsi="Tahoma" w:cs="Tahoma"/>
      <w:sz w:val="16"/>
      <w:szCs w:val="16"/>
    </w:rPr>
  </w:style>
  <w:style w:type="paragraph" w:styleId="Bibliografia">
    <w:name w:val="Bibliography"/>
    <w:basedOn w:val="CETReferencetext"/>
    <w:uiPriority w:val="37"/>
    <w:unhideWhenUsed/>
    <w:rsid w:val="00631B33"/>
    <w:pPr>
      <w:spacing w:line="240" w:lineRule="auto"/>
      <w:ind w:left="720" w:hanging="720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03148D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03148D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03148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03148D"/>
    <w:rPr>
      <w:sz w:val="16"/>
      <w:szCs w:val="16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3148D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3148D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03148D"/>
  </w:style>
  <w:style w:type="character" w:customStyle="1" w:styleId="DataCarattere">
    <w:name w:val="Data Carattere"/>
    <w:basedOn w:val="Carpredefinitoparagrafo"/>
    <w:link w:val="Data"/>
    <w:uiPriority w:val="99"/>
    <w:semiHidden/>
    <w:rsid w:val="0003148D"/>
  </w:style>
  <w:style w:type="paragraph" w:styleId="Didascalia">
    <w:name w:val="caption"/>
    <w:basedOn w:val="Normale"/>
    <w:next w:val="Normale"/>
    <w:uiPriority w:val="35"/>
    <w:semiHidden/>
    <w:unhideWhenUsed/>
    <w:qFormat/>
    <w:rsid w:val="0003148D"/>
    <w:pPr>
      <w:spacing w:line="240" w:lineRule="auto"/>
    </w:pPr>
    <w:rPr>
      <w:b/>
      <w:bCs/>
      <w:color w:val="4F81BD" w:themeColor="accent1"/>
      <w:szCs w:val="18"/>
    </w:rPr>
  </w:style>
  <w:style w:type="paragraph" w:styleId="Elenco">
    <w:name w:val="List"/>
    <w:basedOn w:val="Normale"/>
    <w:uiPriority w:val="99"/>
    <w:semiHidden/>
    <w:unhideWhenUsed/>
    <w:rsid w:val="0003148D"/>
    <w:pPr>
      <w:ind w:left="283" w:hanging="283"/>
      <w:contextualSpacing/>
    </w:pPr>
  </w:style>
  <w:style w:type="paragraph" w:styleId="Elenco2">
    <w:name w:val="List 2"/>
    <w:basedOn w:val="Normale"/>
    <w:uiPriority w:val="99"/>
    <w:semiHidden/>
    <w:unhideWhenUsed/>
    <w:rsid w:val="0003148D"/>
    <w:pPr>
      <w:ind w:left="566" w:hanging="283"/>
      <w:contextualSpacing/>
    </w:pPr>
  </w:style>
  <w:style w:type="paragraph" w:styleId="Elenco3">
    <w:name w:val="List 3"/>
    <w:basedOn w:val="Normale"/>
    <w:uiPriority w:val="99"/>
    <w:semiHidden/>
    <w:unhideWhenUsed/>
    <w:rsid w:val="0003148D"/>
    <w:pPr>
      <w:ind w:left="849" w:hanging="283"/>
      <w:contextualSpacing/>
    </w:pPr>
  </w:style>
  <w:style w:type="paragraph" w:styleId="Elenco4">
    <w:name w:val="List 4"/>
    <w:basedOn w:val="Normale"/>
    <w:uiPriority w:val="99"/>
    <w:semiHidden/>
    <w:unhideWhenUsed/>
    <w:rsid w:val="0003148D"/>
    <w:pPr>
      <w:ind w:left="1132" w:hanging="283"/>
      <w:contextualSpacing/>
    </w:pPr>
  </w:style>
  <w:style w:type="paragraph" w:styleId="Elenco5">
    <w:name w:val="List 5"/>
    <w:basedOn w:val="Normale"/>
    <w:uiPriority w:val="99"/>
    <w:semiHidden/>
    <w:unhideWhenUsed/>
    <w:rsid w:val="0003148D"/>
    <w:pPr>
      <w:ind w:left="1415" w:hanging="283"/>
      <w:contextualSpacing/>
    </w:pPr>
  </w:style>
  <w:style w:type="paragraph" w:styleId="Elencocontinua">
    <w:name w:val="List Continue"/>
    <w:basedOn w:val="Normale"/>
    <w:uiPriority w:val="99"/>
    <w:semiHidden/>
    <w:unhideWhenUsed/>
    <w:rsid w:val="0003148D"/>
    <w:pPr>
      <w:spacing w:after="120"/>
      <w:ind w:left="283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03148D"/>
    <w:pPr>
      <w:spacing w:after="120"/>
      <w:ind w:left="566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03148D"/>
    <w:pPr>
      <w:spacing w:after="120"/>
      <w:ind w:left="849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03148D"/>
    <w:pPr>
      <w:spacing w:after="120"/>
      <w:ind w:left="1132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03148D"/>
    <w:pPr>
      <w:spacing w:after="120"/>
      <w:ind w:left="1415"/>
      <w:contextualSpacing/>
    </w:pPr>
  </w:style>
  <w:style w:type="paragraph" w:styleId="Firma">
    <w:name w:val="Signature"/>
    <w:basedOn w:val="Normale"/>
    <w:link w:val="Firm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03148D"/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03148D"/>
    <w:pPr>
      <w:spacing w:line="240" w:lineRule="auto"/>
    </w:pPr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03148D"/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03148D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03148D"/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03148D"/>
    <w:pPr>
      <w:spacing w:line="240" w:lineRule="auto"/>
      <w:ind w:left="4252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03148D"/>
  </w:style>
  <w:style w:type="paragraph" w:styleId="Indice1">
    <w:name w:val="index 1"/>
    <w:basedOn w:val="Normale"/>
    <w:next w:val="Normale"/>
    <w:autoRedefine/>
    <w:uiPriority w:val="99"/>
    <w:semiHidden/>
    <w:unhideWhenUsed/>
    <w:rsid w:val="0003148D"/>
    <w:pPr>
      <w:spacing w:line="240" w:lineRule="auto"/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03148D"/>
    <w:pPr>
      <w:spacing w:line="240" w:lineRule="auto"/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03148D"/>
    <w:pPr>
      <w:spacing w:line="240" w:lineRule="auto"/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03148D"/>
    <w:pPr>
      <w:spacing w:line="240" w:lineRule="auto"/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03148D"/>
    <w:pPr>
      <w:spacing w:line="240" w:lineRule="auto"/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03148D"/>
    <w:pPr>
      <w:spacing w:line="240" w:lineRule="auto"/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03148D"/>
    <w:pPr>
      <w:spacing w:line="240" w:lineRule="auto"/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03148D"/>
    <w:pPr>
      <w:spacing w:line="240" w:lineRule="auto"/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03148D"/>
    <w:pPr>
      <w:spacing w:line="240" w:lineRule="auto"/>
      <w:ind w:left="1980" w:hanging="220"/>
    </w:pPr>
  </w:style>
  <w:style w:type="paragraph" w:styleId="Indicedellefigure">
    <w:name w:val="table of figures"/>
    <w:basedOn w:val="Normale"/>
    <w:next w:val="Normale"/>
    <w:uiPriority w:val="99"/>
    <w:semiHidden/>
    <w:unhideWhenUsed/>
    <w:rsid w:val="0003148D"/>
  </w:style>
  <w:style w:type="paragraph" w:styleId="Indicefonti">
    <w:name w:val="table of authorities"/>
    <w:basedOn w:val="Normale"/>
    <w:next w:val="Normale"/>
    <w:uiPriority w:val="99"/>
    <w:semiHidden/>
    <w:unhideWhenUsed/>
    <w:rsid w:val="0003148D"/>
    <w:pPr>
      <w:ind w:left="220" w:hanging="220"/>
    </w:pPr>
  </w:style>
  <w:style w:type="paragraph" w:styleId="Indirizzodestinatario">
    <w:name w:val="envelope address"/>
    <w:basedOn w:val="Normale"/>
    <w:uiPriority w:val="99"/>
    <w:semiHidden/>
    <w:unhideWhenUsed/>
    <w:rsid w:val="0003148D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03148D"/>
    <w:pPr>
      <w:spacing w:line="240" w:lineRule="auto"/>
    </w:pPr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03148D"/>
    <w:rPr>
      <w:i/>
      <w:iCs/>
    </w:rPr>
  </w:style>
  <w:style w:type="paragraph" w:styleId="Indirizzomittente">
    <w:name w:val="envelope return"/>
    <w:basedOn w:val="Normale"/>
    <w:uiPriority w:val="99"/>
    <w:semiHidden/>
    <w:unhideWhenUsed/>
    <w:rsid w:val="0003148D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03148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03148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03148D"/>
    <w:pPr>
      <w:spacing w:line="240" w:lineRule="auto"/>
    </w:pPr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03148D"/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0314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03148D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03148D"/>
    <w:rPr>
      <w:sz w:val="24"/>
      <w:szCs w:val="24"/>
    </w:rPr>
  </w:style>
  <w:style w:type="paragraph" w:styleId="Numeroelenco">
    <w:name w:val="List Number"/>
    <w:basedOn w:val="Normale"/>
    <w:uiPriority w:val="99"/>
    <w:semiHidden/>
    <w:unhideWhenUsed/>
    <w:rsid w:val="0003148D"/>
    <w:pPr>
      <w:numPr>
        <w:numId w:val="2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03148D"/>
    <w:pPr>
      <w:numPr>
        <w:numId w:val="3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03148D"/>
    <w:pPr>
      <w:numPr>
        <w:numId w:val="4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03148D"/>
    <w:pPr>
      <w:numPr>
        <w:numId w:val="5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03148D"/>
    <w:pPr>
      <w:numPr>
        <w:numId w:val="6"/>
      </w:numPr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03148D"/>
    <w:pPr>
      <w:spacing w:after="20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03148D"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03148D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03148D"/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03148D"/>
    <w:pPr>
      <w:spacing w:after="200"/>
      <w:ind w:left="360"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03148D"/>
  </w:style>
  <w:style w:type="paragraph" w:styleId="Puntoelenco">
    <w:name w:val="List Bullet"/>
    <w:basedOn w:val="Normale"/>
    <w:uiPriority w:val="99"/>
    <w:semiHidden/>
    <w:unhideWhenUsed/>
    <w:rsid w:val="0003148D"/>
    <w:pPr>
      <w:numPr>
        <w:numId w:val="7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03148D"/>
    <w:pPr>
      <w:numPr>
        <w:numId w:val="8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03148D"/>
    <w:pPr>
      <w:numPr>
        <w:numId w:val="9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03148D"/>
    <w:pPr>
      <w:numPr>
        <w:numId w:val="10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03148D"/>
    <w:pPr>
      <w:numPr>
        <w:numId w:val="11"/>
      </w:numPr>
      <w:contextualSpacing/>
    </w:p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03148D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03148D"/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03148D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03148D"/>
    <w:rPr>
      <w:sz w:val="16"/>
      <w:szCs w:val="16"/>
    </w:rPr>
  </w:style>
  <w:style w:type="paragraph" w:styleId="Rientronormale">
    <w:name w:val="Normal Indent"/>
    <w:basedOn w:val="Normale"/>
    <w:uiPriority w:val="99"/>
    <w:semiHidden/>
    <w:unhideWhenUsed/>
    <w:rsid w:val="0003148D"/>
    <w:pPr>
      <w:ind w:left="720"/>
    </w:pPr>
  </w:style>
  <w:style w:type="paragraph" w:styleId="Testocommento">
    <w:name w:val="annotation text"/>
    <w:basedOn w:val="Normale"/>
    <w:link w:val="TestocommentoCarattere"/>
    <w:uiPriority w:val="99"/>
    <w:unhideWhenUsed/>
    <w:rsid w:val="0003148D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3148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148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48D"/>
    <w:rPr>
      <w:b/>
      <w:bCs/>
      <w:sz w:val="20"/>
      <w:szCs w:val="20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03148D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03148D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03148D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03148D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03148D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03148D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03148D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03148D"/>
    <w:pPr>
      <w:spacing w:after="100"/>
      <w:ind w:left="1540"/>
    </w:pPr>
  </w:style>
  <w:style w:type="paragraph" w:styleId="Sommario9">
    <w:name w:val="toc 9"/>
    <w:basedOn w:val="Normale"/>
    <w:next w:val="Normale"/>
    <w:autoRedefine/>
    <w:uiPriority w:val="39"/>
    <w:semiHidden/>
    <w:unhideWhenUsed/>
    <w:rsid w:val="0003148D"/>
    <w:pPr>
      <w:spacing w:after="100"/>
      <w:ind w:left="1760"/>
    </w:pPr>
  </w:style>
  <w:style w:type="paragraph" w:styleId="Testodelblocco">
    <w:name w:val="Block Text"/>
    <w:basedOn w:val="Normale"/>
    <w:uiPriority w:val="99"/>
    <w:semiHidden/>
    <w:unhideWhenUsed/>
    <w:rsid w:val="0003148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Testomacro">
    <w:name w:val="macro"/>
    <w:link w:val="TestomacroCarattere"/>
    <w:uiPriority w:val="99"/>
    <w:semiHidden/>
    <w:unhideWhenUsed/>
    <w:rsid w:val="000314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03148D"/>
    <w:rPr>
      <w:rFonts w:ascii="Consolas" w:hAnsi="Consolas" w:cs="Consolas"/>
      <w:sz w:val="20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03148D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03148D"/>
    <w:rPr>
      <w:rFonts w:ascii="Consolas" w:hAnsi="Consolas" w:cs="Consolas"/>
      <w:sz w:val="21"/>
      <w:szCs w:val="21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3148D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3148D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03148D"/>
    <w:pPr>
      <w:spacing w:line="240" w:lineRule="auto"/>
    </w:p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03148D"/>
    <w:rPr>
      <w:sz w:val="20"/>
      <w:szCs w:val="20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F5E36"/>
    <w:rPr>
      <w:rFonts w:ascii="Arial" w:eastAsia="Times New Roman" w:hAnsi="Arial" w:cs="Times New Roman"/>
      <w:b/>
      <w:sz w:val="20"/>
      <w:szCs w:val="20"/>
      <w:lang w:val="en-GB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3148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03148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3148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3148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3148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314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3148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indice">
    <w:name w:val="index heading"/>
    <w:basedOn w:val="Normale"/>
    <w:next w:val="Indice1"/>
    <w:uiPriority w:val="99"/>
    <w:semiHidden/>
    <w:unhideWhenUsed/>
    <w:rsid w:val="0003148D"/>
    <w:rPr>
      <w:rFonts w:asciiTheme="majorHAnsi" w:eastAsiaTheme="majorEastAsia" w:hAnsiTheme="majorHAnsi" w:cstheme="majorBidi"/>
      <w:b/>
      <w:bCs/>
    </w:rPr>
  </w:style>
  <w:style w:type="paragraph" w:styleId="Titoloindicefonti">
    <w:name w:val="toa heading"/>
    <w:basedOn w:val="Normale"/>
    <w:next w:val="Normale"/>
    <w:uiPriority w:val="99"/>
    <w:semiHidden/>
    <w:unhideWhenUsed/>
    <w:rsid w:val="0003148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03148D"/>
    <w:pPr>
      <w:outlineLvl w:val="9"/>
    </w:pPr>
  </w:style>
  <w:style w:type="paragraph" w:customStyle="1" w:styleId="CETemail">
    <w:name w:val="CET email"/>
    <w:next w:val="CETBodytext"/>
    <w:rsid w:val="009E788A"/>
    <w:pPr>
      <w:spacing w:after="240"/>
    </w:pPr>
    <w:rPr>
      <w:rFonts w:ascii="Arial" w:eastAsia="Times New Roman" w:hAnsi="Arial" w:cs="Times New Roman"/>
      <w:noProof/>
      <w:sz w:val="16"/>
      <w:szCs w:val="20"/>
      <w:lang w:val="en-GB"/>
    </w:rPr>
  </w:style>
  <w:style w:type="character" w:customStyle="1" w:styleId="CETAddressCarattere">
    <w:name w:val="CET Address Carattere"/>
    <w:basedOn w:val="Carpredefinitoparagrafo"/>
    <w:link w:val="CETAddress"/>
    <w:rsid w:val="009E788A"/>
    <w:rPr>
      <w:rFonts w:ascii="Arial" w:eastAsia="Times New Roman" w:hAnsi="Arial" w:cs="Times New Roman"/>
      <w:noProof/>
      <w:sz w:val="16"/>
      <w:szCs w:val="20"/>
      <w:lang w:val="en-GB"/>
    </w:rPr>
  </w:style>
  <w:style w:type="paragraph" w:customStyle="1" w:styleId="CETBodytextBold">
    <w:name w:val="CET Body text (Bold)"/>
    <w:basedOn w:val="CETBodytext"/>
    <w:rsid w:val="00901EB6"/>
    <w:rPr>
      <w:b/>
    </w:rPr>
  </w:style>
  <w:style w:type="paragraph" w:customStyle="1" w:styleId="CETnumberingbullets">
    <w:name w:val="CET numbering (bullets)"/>
    <w:rsid w:val="008D433B"/>
    <w:pPr>
      <w:numPr>
        <w:numId w:val="13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numbering1">
    <w:name w:val="CET numbering (1"/>
    <w:aliases w:val="2..)"/>
    <w:rsid w:val="00B57B36"/>
    <w:pPr>
      <w:numPr>
        <w:numId w:val="14"/>
      </w:numPr>
      <w:spacing w:after="0" w:line="264" w:lineRule="auto"/>
      <w:ind w:left="340" w:hanging="227"/>
    </w:pPr>
    <w:rPr>
      <w:rFonts w:ascii="Arial" w:eastAsia="Times New Roman" w:hAnsi="Arial" w:cs="Times New Roman"/>
      <w:sz w:val="18"/>
      <w:szCs w:val="20"/>
      <w:lang w:val="en-US"/>
    </w:rPr>
  </w:style>
  <w:style w:type="paragraph" w:customStyle="1" w:styleId="CETnumberinga">
    <w:name w:val="CET numbering (a"/>
    <w:aliases w:val="b,..)"/>
    <w:rsid w:val="00B57B36"/>
    <w:pPr>
      <w:numPr>
        <w:numId w:val="15"/>
      </w:numPr>
      <w:spacing w:after="0" w:line="264" w:lineRule="auto"/>
    </w:pPr>
    <w:rPr>
      <w:rFonts w:ascii="Arial" w:eastAsia="Times New Roman" w:hAnsi="Arial" w:cs="Times New Roman"/>
      <w:sz w:val="18"/>
      <w:szCs w:val="20"/>
      <w:lang w:val="en-GB"/>
    </w:rPr>
  </w:style>
  <w:style w:type="paragraph" w:styleId="Intestazione">
    <w:name w:val="header"/>
    <w:basedOn w:val="Normale"/>
    <w:link w:val="Intestazione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paragraph" w:styleId="Pidipagina">
    <w:name w:val="footer"/>
    <w:basedOn w:val="Normale"/>
    <w:link w:val="PidipaginaCarattere"/>
    <w:uiPriority w:val="99"/>
    <w:unhideWhenUsed/>
    <w:rsid w:val="005278B7"/>
    <w:pPr>
      <w:tabs>
        <w:tab w:val="clear" w:pos="7100"/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78B7"/>
    <w:rPr>
      <w:rFonts w:ascii="Arial" w:eastAsia="Times New Roman" w:hAnsi="Arial" w:cs="Times New Roman"/>
      <w:sz w:val="18"/>
      <w:szCs w:val="20"/>
      <w:lang w:val="en-GB"/>
    </w:rPr>
  </w:style>
  <w:style w:type="table" w:styleId="Grigliatabella">
    <w:name w:val="Table Grid"/>
    <w:basedOn w:val="Tabellanormale"/>
    <w:uiPriority w:val="59"/>
    <w:rsid w:val="00660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04C62"/>
    <w:rPr>
      <w:color w:val="0000FF" w:themeColor="hyperlink"/>
      <w:u w:val="single"/>
    </w:rPr>
  </w:style>
  <w:style w:type="character" w:customStyle="1" w:styleId="eudoraheader">
    <w:name w:val="eudoraheader"/>
    <w:basedOn w:val="Carpredefinitoparagrafo"/>
    <w:rsid w:val="00904C62"/>
  </w:style>
  <w:style w:type="paragraph" w:customStyle="1" w:styleId="CETListbullets">
    <w:name w:val="CET List bullets"/>
    <w:qFormat/>
    <w:rsid w:val="004577FE"/>
    <w:pPr>
      <w:spacing w:after="0" w:line="264" w:lineRule="auto"/>
      <w:ind w:left="340" w:hanging="227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Referencetext">
    <w:name w:val="CET Reference text"/>
    <w:qFormat/>
    <w:rsid w:val="00600535"/>
    <w:pPr>
      <w:spacing w:after="0" w:line="264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/>
    </w:rPr>
  </w:style>
  <w:style w:type="paragraph" w:customStyle="1" w:styleId="CETTabletitle">
    <w:name w:val="CET Table title"/>
    <w:qFormat/>
    <w:rsid w:val="00600535"/>
    <w:pPr>
      <w:keepNext/>
      <w:spacing w:before="240" w:after="80" w:line="240" w:lineRule="exact"/>
    </w:pPr>
    <w:rPr>
      <w:rFonts w:ascii="Arial" w:eastAsia="Times New Roman" w:hAnsi="Arial" w:cs="Times New Roman"/>
      <w:i/>
      <w:sz w:val="18"/>
      <w:szCs w:val="20"/>
      <w:lang w:val="en-GB"/>
    </w:rPr>
  </w:style>
  <w:style w:type="paragraph" w:customStyle="1" w:styleId="CETAcknowledgementstitle">
    <w:name w:val="CET Acknowledgements title"/>
    <w:next w:val="CETBodytext"/>
    <w:qFormat/>
    <w:rsid w:val="00600535"/>
    <w:pPr>
      <w:spacing w:before="200" w:after="120"/>
    </w:pPr>
    <w:rPr>
      <w:rFonts w:ascii="Arial" w:eastAsia="Times New Roman" w:hAnsi="Arial" w:cs="Times New Roman"/>
      <w:b/>
      <w:sz w:val="18"/>
      <w:szCs w:val="20"/>
      <w:lang w:val="en-GB"/>
    </w:rPr>
  </w:style>
  <w:style w:type="paragraph" w:customStyle="1" w:styleId="CETEquation">
    <w:name w:val="CET Equation"/>
    <w:basedOn w:val="CETBodytext"/>
    <w:next w:val="CETBodytext"/>
    <w:qFormat/>
    <w:rsid w:val="00600535"/>
    <w:pPr>
      <w:spacing w:before="120" w:after="120"/>
      <w:jc w:val="left"/>
    </w:pPr>
    <w:rPr>
      <w:lang w:val="en-GB"/>
    </w:rPr>
  </w:style>
  <w:style w:type="paragraph" w:customStyle="1" w:styleId="CETHeadingxx">
    <w:name w:val="CET Headingxx"/>
    <w:basedOn w:val="CETheadingx"/>
    <w:link w:val="CETHeadingxxChar"/>
    <w:qFormat/>
    <w:rsid w:val="000F787B"/>
    <w:pPr>
      <w:numPr>
        <w:ilvl w:val="0"/>
        <w:numId w:val="0"/>
      </w:numPr>
    </w:pPr>
  </w:style>
  <w:style w:type="character" w:customStyle="1" w:styleId="CETHeadingxxChar">
    <w:name w:val="CET Headingxx Char"/>
    <w:basedOn w:val="CETheadingxCarattere"/>
    <w:link w:val="CETHeadingxx"/>
    <w:rsid w:val="000F787B"/>
    <w:rPr>
      <w:rFonts w:ascii="Arial" w:eastAsia="Times New Roman" w:hAnsi="Arial" w:cs="Times New Roman"/>
      <w:b/>
      <w:color w:val="000000" w:themeColor="text1"/>
      <w:sz w:val="18"/>
      <w:szCs w:val="20"/>
      <w:lang w:val="en-US"/>
    </w:rPr>
  </w:style>
  <w:style w:type="paragraph" w:styleId="Paragrafoelenco">
    <w:name w:val="List Paragraph"/>
    <w:basedOn w:val="Normale"/>
    <w:uiPriority w:val="34"/>
    <w:rsid w:val="00280FAF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593F50"/>
    <w:rPr>
      <w:color w:val="808080"/>
    </w:rPr>
  </w:style>
  <w:style w:type="paragraph" w:customStyle="1" w:styleId="Corpotesi">
    <w:name w:val="Corpo tesi"/>
    <w:basedOn w:val="Normale"/>
    <w:link w:val="CorpotesiCarattere"/>
    <w:qFormat/>
    <w:rsid w:val="00205A15"/>
    <w:pPr>
      <w:tabs>
        <w:tab w:val="clear" w:pos="7100"/>
      </w:tabs>
      <w:spacing w:before="120" w:after="120" w:line="276" w:lineRule="auto"/>
    </w:pPr>
    <w:rPr>
      <w:rFonts w:ascii="Times New Roman" w:eastAsiaTheme="minorHAnsi" w:hAnsi="Times New Roman" w:cstheme="minorBidi"/>
      <w:sz w:val="24"/>
      <w:szCs w:val="24"/>
      <w:lang w:val="it-IT"/>
    </w:rPr>
  </w:style>
  <w:style w:type="character" w:customStyle="1" w:styleId="CorpotesiCarattere">
    <w:name w:val="Corpo tesi Carattere"/>
    <w:basedOn w:val="Carpredefinitoparagrafo"/>
    <w:link w:val="Corpotesi"/>
    <w:rsid w:val="00205A15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E946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677E2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677E20"/>
    <w:pPr>
      <w:widowControl w:val="0"/>
      <w:tabs>
        <w:tab w:val="clear" w:pos="7100"/>
      </w:tabs>
      <w:autoSpaceDE w:val="0"/>
      <w:autoSpaceDN w:val="0"/>
      <w:spacing w:before="39" w:line="240" w:lineRule="auto"/>
      <w:jc w:val="center"/>
    </w:pPr>
    <w:rPr>
      <w:rFonts w:ascii="Times New Roman" w:hAnsi="Times New Roman"/>
      <w:sz w:val="22"/>
      <w:szCs w:val="22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B4346"/>
    <w:rPr>
      <w:vertAlign w:val="superscrip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D656D"/>
    <w:rPr>
      <w:color w:val="605E5C"/>
      <w:shd w:val="clear" w:color="auto" w:fill="E1DFDD"/>
    </w:rPr>
  </w:style>
  <w:style w:type="character" w:customStyle="1" w:styleId="author">
    <w:name w:val="author"/>
    <w:basedOn w:val="Carpredefinitoparagrafo"/>
    <w:rsid w:val="00100D65"/>
  </w:style>
  <w:style w:type="character" w:customStyle="1" w:styleId="pubyear">
    <w:name w:val="pubyear"/>
    <w:basedOn w:val="Carpredefinitoparagrafo"/>
    <w:rsid w:val="00100D65"/>
  </w:style>
  <w:style w:type="character" w:customStyle="1" w:styleId="articletitle">
    <w:name w:val="articletitle"/>
    <w:basedOn w:val="Carpredefinitoparagrafo"/>
    <w:rsid w:val="00100D65"/>
  </w:style>
  <w:style w:type="character" w:customStyle="1" w:styleId="vol">
    <w:name w:val="vol"/>
    <w:basedOn w:val="Carpredefinitoparagrafo"/>
    <w:rsid w:val="00100D65"/>
  </w:style>
  <w:style w:type="character" w:customStyle="1" w:styleId="fal6plv">
    <w:name w:val="fal6plv"/>
    <w:basedOn w:val="Carpredefinitoparagrafo"/>
    <w:rsid w:val="004818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3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83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3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3504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0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1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461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99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08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40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6597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sor.scitation.org/doi/abs/10.1122/1.550248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hyperlink" Target="mailto:anapicella@unisa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3983C9-6D0A-480C-BF79-A63BD3D9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6</Pages>
  <Words>3045</Words>
  <Characters>17360</Characters>
  <Application>Microsoft Office Word</Application>
  <DocSecurity>0</DocSecurity>
  <Lines>144</Lines>
  <Paragraphs>40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Dipartimento CMIC - Politecnico di Milano</Company>
  <LinksUpToDate>false</LinksUpToDate>
  <CharactersWithSpaces>20365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raffaella</dc:creator>
  <cp:lastModifiedBy>Antonio BARBATO</cp:lastModifiedBy>
  <cp:revision>60</cp:revision>
  <cp:lastPrinted>2015-05-12T18:31:00Z</cp:lastPrinted>
  <dcterms:created xsi:type="dcterms:W3CDTF">2023-03-09T14:33:00Z</dcterms:created>
  <dcterms:modified xsi:type="dcterms:W3CDTF">2023-04-27T10:35:00Z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zotero-version="6.0.22"&gt;&lt;session id="ZxxT5dWz"/&gt;&lt;style id="http://www.zotero.org/styles/chemical-engineering-science" hasBibliography="1" bibliographyStyleHasBeenSet="1"/&gt;&lt;prefs&gt;&lt;pref name="fieldType" value="Field"/&gt;&lt;pref name="stor</vt:lpwstr>
  </property>
  <property fmtid="{D5CDD505-2E9C-101B-9397-08002B2CF9AE}" pid="3" name="ZOTERO_PREF_2">
    <vt:lpwstr>eReferences" value="true"/&gt;&lt;/prefs&gt;&lt;/data&gt;</vt:lpwstr>
  </property>
</Properties>
</file>