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7252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B7FCE2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38103F">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7252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72521">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auro Moresi, Francesco Donsì</w:t>
            </w:r>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042B058" w14:textId="77777777" w:rsidR="00772521" w:rsidRPr="00772521" w:rsidRDefault="00772521" w:rsidP="00772521">
      <w:pPr>
        <w:pStyle w:val="CETAuthors"/>
        <w:rPr>
          <w:noProof w:val="0"/>
          <w:sz w:val="32"/>
        </w:rPr>
      </w:pPr>
    </w:p>
    <w:p w14:paraId="0E0C3321" w14:textId="08EFB746" w:rsidR="00772521" w:rsidRDefault="00772521" w:rsidP="00772521">
      <w:pPr>
        <w:pStyle w:val="CETAuthors"/>
        <w:rPr>
          <w:noProof w:val="0"/>
          <w:sz w:val="32"/>
        </w:rPr>
      </w:pPr>
      <w:r>
        <w:rPr>
          <w:noProof w:val="0"/>
          <w:sz w:val="32"/>
        </w:rPr>
        <w:t>C</w:t>
      </w:r>
      <w:r w:rsidRPr="00772521">
        <w:rPr>
          <w:noProof w:val="0"/>
          <w:sz w:val="32"/>
        </w:rPr>
        <w:t xml:space="preserve">oextrusion film blowing of </w:t>
      </w:r>
      <w:r>
        <w:rPr>
          <w:noProof w:val="0"/>
          <w:sz w:val="32"/>
        </w:rPr>
        <w:t>PHB</w:t>
      </w:r>
      <w:r w:rsidRPr="00772521">
        <w:rPr>
          <w:noProof w:val="0"/>
          <w:sz w:val="32"/>
        </w:rPr>
        <w:t xml:space="preserve">, </w:t>
      </w:r>
      <w:r>
        <w:rPr>
          <w:noProof w:val="0"/>
          <w:sz w:val="32"/>
        </w:rPr>
        <w:t>PLA</w:t>
      </w:r>
      <w:r w:rsidRPr="00772521">
        <w:rPr>
          <w:noProof w:val="0"/>
          <w:sz w:val="32"/>
        </w:rPr>
        <w:t xml:space="preserve"> and </w:t>
      </w:r>
      <w:r>
        <w:rPr>
          <w:noProof w:val="0"/>
          <w:sz w:val="32"/>
        </w:rPr>
        <w:t>PBAT</w:t>
      </w:r>
      <w:r w:rsidRPr="00772521">
        <w:rPr>
          <w:noProof w:val="0"/>
          <w:sz w:val="32"/>
        </w:rPr>
        <w:t>-based blends for the production of biodegradable food packages</w:t>
      </w:r>
    </w:p>
    <w:p w14:paraId="0488FED2" w14:textId="66F39C6F" w:rsidR="00B57E6F" w:rsidRPr="00725FC1" w:rsidRDefault="00ED2BDE" w:rsidP="00B36967">
      <w:pPr>
        <w:pStyle w:val="CETAuthors"/>
        <w:rPr>
          <w:lang w:val="it-IT"/>
        </w:rPr>
      </w:pPr>
      <w:r w:rsidRPr="00725FC1">
        <w:rPr>
          <w:lang w:val="it-IT"/>
        </w:rPr>
        <w:t>Annalisa Apicella</w:t>
      </w:r>
      <w:r w:rsidR="00416180" w:rsidRPr="00725FC1">
        <w:rPr>
          <w:lang w:val="it-IT"/>
        </w:rPr>
        <w:t>*</w:t>
      </w:r>
      <w:r w:rsidRPr="00725FC1">
        <w:rPr>
          <w:lang w:val="it-IT"/>
        </w:rPr>
        <w:t xml:space="preserve">, </w:t>
      </w:r>
      <w:r w:rsidR="00772521" w:rsidRPr="00725FC1">
        <w:rPr>
          <w:lang w:val="it-IT"/>
        </w:rPr>
        <w:t>Antonio Barbato</w:t>
      </w:r>
      <w:r w:rsidR="008D6353" w:rsidRPr="00725FC1">
        <w:rPr>
          <w:lang w:val="it-IT"/>
        </w:rPr>
        <w:t>,</w:t>
      </w:r>
      <w:r w:rsidR="006C0351" w:rsidRPr="00725FC1">
        <w:rPr>
          <w:lang w:val="it-IT"/>
        </w:rPr>
        <w:t xml:space="preserve"> Margherita Grimaldi,</w:t>
      </w:r>
      <w:r w:rsidR="008D6353" w:rsidRPr="00725FC1">
        <w:rPr>
          <w:lang w:val="it-IT"/>
        </w:rPr>
        <w:t xml:space="preserve"> </w:t>
      </w:r>
      <w:r w:rsidR="00772521" w:rsidRPr="00725FC1">
        <w:rPr>
          <w:lang w:val="it-IT"/>
        </w:rPr>
        <w:t>Paola Scarfato</w:t>
      </w:r>
      <w:r w:rsidRPr="00725FC1">
        <w:rPr>
          <w:lang w:val="it-IT"/>
        </w:rPr>
        <w:t>, Loredana Incarnato</w:t>
      </w:r>
    </w:p>
    <w:p w14:paraId="3D72B0B0" w14:textId="06122692" w:rsidR="00B57E6F" w:rsidRPr="00725FC1" w:rsidRDefault="00ED2BDE" w:rsidP="00B57E6F">
      <w:pPr>
        <w:pStyle w:val="CETAddress"/>
        <w:rPr>
          <w:lang w:val="it-IT"/>
        </w:rPr>
      </w:pPr>
      <w:r w:rsidRPr="00725FC1">
        <w:rPr>
          <w:rFonts w:eastAsiaTheme="minorHAnsi" w:cs="Arial"/>
          <w:szCs w:val="16"/>
          <w:lang w:val="it-IT"/>
        </w:rPr>
        <w:t>Università degli Studi di Salerno, Via Giovanni Paolo II, 134, 84084</w:t>
      </w:r>
    </w:p>
    <w:p w14:paraId="73F1267A" w14:textId="63945687" w:rsidR="00B57E6F" w:rsidRDefault="00BD0C9F" w:rsidP="00725FC1">
      <w:pPr>
        <w:pStyle w:val="CETAddress"/>
        <w:rPr>
          <w:lang w:val="en-US"/>
        </w:rPr>
      </w:pPr>
      <w:r w:rsidRPr="00725FC1">
        <w:rPr>
          <w:lang w:val="en-US"/>
        </w:rPr>
        <w:t>anapicella@unisa.it</w:t>
      </w:r>
      <w:r>
        <w:rPr>
          <w:lang w:val="en-US"/>
        </w:rPr>
        <w:t xml:space="preserve"> </w:t>
      </w:r>
    </w:p>
    <w:p w14:paraId="4CC863E4" w14:textId="77777777" w:rsidR="00725FC1" w:rsidRPr="00BD0C9F" w:rsidRDefault="00725FC1" w:rsidP="00725FC1">
      <w:pPr>
        <w:pStyle w:val="CETAddress"/>
        <w:rPr>
          <w:color w:val="FF0000"/>
          <w:lang w:val="en-US"/>
        </w:rPr>
      </w:pPr>
    </w:p>
    <w:p w14:paraId="1F8C8FAD" w14:textId="2D80DA8F" w:rsidR="00783773" w:rsidRDefault="00623B08" w:rsidP="000D656D">
      <w:pPr>
        <w:pStyle w:val="CETBodytext"/>
        <w:rPr>
          <w:color w:val="000000" w:themeColor="text1"/>
          <w:szCs w:val="24"/>
        </w:rPr>
      </w:pPr>
      <w:r w:rsidRPr="0076257D">
        <w:t>In this work, melt blending and co-extrusion techniques have been investigated as functionalization strategies to realize bi</w:t>
      </w:r>
      <w:r w:rsidR="007B11D2" w:rsidRPr="0076257D">
        <w:t>l</w:t>
      </w:r>
      <w:r w:rsidRPr="0076257D">
        <w:t xml:space="preserve">ayer biodegradable films </w:t>
      </w:r>
      <w:r w:rsidR="007B11D2" w:rsidRPr="0076257D">
        <w:t xml:space="preserve">suitable for food packaging applications, </w:t>
      </w:r>
      <w:r w:rsidRPr="0076257D">
        <w:t xml:space="preserve">combining </w:t>
      </w:r>
      <w:r w:rsidR="007B11D2" w:rsidRPr="0076257D">
        <w:t xml:space="preserve">enhanced </w:t>
      </w:r>
      <w:r w:rsidR="0023063E" w:rsidRPr="0076257D">
        <w:t>barrier performance</w:t>
      </w:r>
      <w:r w:rsidR="007B11D2" w:rsidRPr="0076257D">
        <w:t>, good</w:t>
      </w:r>
      <w:r w:rsidR="0023063E" w:rsidRPr="0076257D">
        <w:t xml:space="preserve"> </w:t>
      </w:r>
      <w:r w:rsidR="007B11D2" w:rsidRPr="0076257D">
        <w:t xml:space="preserve">heat sealability </w:t>
      </w:r>
      <w:r w:rsidR="0023063E" w:rsidRPr="0076257D">
        <w:t xml:space="preserve">and </w:t>
      </w:r>
      <w:r w:rsidRPr="0076257D">
        <w:t>ductilit</w:t>
      </w:r>
      <w:r w:rsidR="0023063E" w:rsidRPr="0076257D">
        <w:t>y</w:t>
      </w:r>
      <w:r w:rsidRPr="0076257D">
        <w:t xml:space="preserve">. </w:t>
      </w:r>
      <w:r w:rsidR="007B11D2" w:rsidRPr="0076257D">
        <w:t xml:space="preserve">The ductile, heat sealable inner layer was realized by mixing </w:t>
      </w:r>
      <w:r w:rsidR="007B11D2" w:rsidRPr="0076257D">
        <w:rPr>
          <w:color w:val="000000" w:themeColor="text1"/>
          <w:lang w:bidi="en-US"/>
        </w:rPr>
        <w:t xml:space="preserve">Ecovio, a commercial blend based on </w:t>
      </w:r>
      <w:r w:rsidR="007B11D2" w:rsidRPr="0076257D">
        <w:rPr>
          <w:lang w:val="en-GB"/>
        </w:rPr>
        <w:t xml:space="preserve">polylactide (PLA) and polybutylene adipate terephthalate (PBAT) with an </w:t>
      </w:r>
      <w:r w:rsidRPr="0076257D">
        <w:rPr>
          <w:color w:val="000000" w:themeColor="text1"/>
          <w:lang w:bidi="en-US"/>
        </w:rPr>
        <w:t xml:space="preserve">amorphous </w:t>
      </w:r>
      <w:r w:rsidR="007B11D2" w:rsidRPr="0076257D">
        <w:rPr>
          <w:color w:val="000000" w:themeColor="text1"/>
          <w:lang w:bidi="en-US"/>
        </w:rPr>
        <w:t xml:space="preserve">PLA grade; the outer barrier layer, on its side, was realized by blending </w:t>
      </w:r>
      <w:r w:rsidRPr="0076257D">
        <w:rPr>
          <w:rFonts w:cstheme="minorHAnsi"/>
        </w:rPr>
        <w:t>poly(hydroxybutyrate</w:t>
      </w:r>
      <w:r w:rsidRPr="0076257D">
        <w:rPr>
          <w:color w:val="000000" w:themeColor="text1"/>
        </w:rPr>
        <w:t xml:space="preserve">) (PHB) </w:t>
      </w:r>
      <w:r w:rsidR="007B11D2" w:rsidRPr="0076257D">
        <w:rPr>
          <w:color w:val="000000" w:themeColor="text1"/>
        </w:rPr>
        <w:t xml:space="preserve">with a </w:t>
      </w:r>
      <w:r w:rsidRPr="0076257D">
        <w:rPr>
          <w:color w:val="000000" w:themeColor="text1"/>
        </w:rPr>
        <w:t>semicrystalline PLA</w:t>
      </w:r>
      <w:r w:rsidR="007B11D2" w:rsidRPr="0076257D">
        <w:rPr>
          <w:color w:val="000000" w:themeColor="text1"/>
        </w:rPr>
        <w:t xml:space="preserve"> grade.</w:t>
      </w:r>
      <w:r w:rsidR="0076257D" w:rsidRPr="0076257D">
        <w:t xml:space="preserve"> </w:t>
      </w:r>
      <w:r w:rsidR="0076257D" w:rsidRPr="00E932A8">
        <w:t xml:space="preserve">Three </w:t>
      </w:r>
      <w:r w:rsidR="0076257D">
        <w:t>different</w:t>
      </w:r>
      <w:r w:rsidR="0076257D" w:rsidRPr="00E932A8">
        <w:t xml:space="preserve"> structures were </w:t>
      </w:r>
      <w:r w:rsidR="0076257D">
        <w:t xml:space="preserve">realized changing the </w:t>
      </w:r>
      <w:r w:rsidR="0076257D" w:rsidRPr="00E932A8">
        <w:t xml:space="preserve">relative thicknesses of </w:t>
      </w:r>
      <w:r w:rsidR="0076257D">
        <w:t>t</w:t>
      </w:r>
      <w:r w:rsidR="0076257D" w:rsidRPr="00E932A8">
        <w:t xml:space="preserve">he </w:t>
      </w:r>
      <w:r w:rsidR="0076257D">
        <w:t xml:space="preserve">two </w:t>
      </w:r>
      <w:r w:rsidR="0076257D" w:rsidRPr="00E932A8">
        <w:t>layers</w:t>
      </w:r>
      <w:r w:rsidR="0076257D">
        <w:t>, and were characterized for their surface wettability, O</w:t>
      </w:r>
      <w:r w:rsidR="0076257D" w:rsidRPr="009A28A3">
        <w:rPr>
          <w:vertAlign w:val="subscript"/>
        </w:rPr>
        <w:t>2</w:t>
      </w:r>
      <w:r w:rsidR="0076257D">
        <w:t xml:space="preserve"> barrier, heat-sealability and tensile properties.</w:t>
      </w:r>
      <w:r w:rsidR="00FD283C">
        <w:t xml:space="preserve"> </w:t>
      </w:r>
      <w:r w:rsidR="00FD283C" w:rsidRPr="00817520">
        <w:rPr>
          <w:color w:val="000000" w:themeColor="text1"/>
          <w:szCs w:val="24"/>
        </w:rPr>
        <w:t xml:space="preserve">The results highlighted the impact of the </w:t>
      </w:r>
      <w:r w:rsidR="00FD283C">
        <w:rPr>
          <w:color w:val="000000" w:themeColor="text1"/>
          <w:szCs w:val="24"/>
        </w:rPr>
        <w:t>bilayer</w:t>
      </w:r>
      <w:r w:rsidR="00FD283C" w:rsidRPr="00817520">
        <w:rPr>
          <w:color w:val="000000" w:themeColor="text1"/>
          <w:szCs w:val="24"/>
        </w:rPr>
        <w:t xml:space="preserve"> films </w:t>
      </w:r>
      <w:r w:rsidR="00FD283C">
        <w:rPr>
          <w:color w:val="000000" w:themeColor="text1"/>
          <w:szCs w:val="24"/>
        </w:rPr>
        <w:t xml:space="preserve">layout on the functional performance, and pointed out </w:t>
      </w:r>
      <w:r w:rsidR="00FD283C" w:rsidRPr="00244F59">
        <w:rPr>
          <w:rFonts w:eastAsiaTheme="minorHAnsi"/>
          <w:color w:val="000000" w:themeColor="text1"/>
        </w:rPr>
        <w:t>the attractiveness</w:t>
      </w:r>
      <w:r w:rsidR="00FD283C">
        <w:rPr>
          <w:rFonts w:eastAsiaTheme="minorHAnsi"/>
          <w:color w:val="000000" w:themeColor="text1"/>
        </w:rPr>
        <w:t xml:space="preserve"> of the developed structures</w:t>
      </w:r>
      <w:r w:rsidR="00FD283C" w:rsidRPr="00244F59">
        <w:rPr>
          <w:rFonts w:eastAsiaTheme="minorHAnsi"/>
          <w:color w:val="000000" w:themeColor="text1"/>
        </w:rPr>
        <w:t xml:space="preserve"> for food packaging applications w</w:t>
      </w:r>
      <w:r w:rsidR="00FD283C">
        <w:rPr>
          <w:rFonts w:eastAsiaTheme="minorHAnsi"/>
          <w:color w:val="000000" w:themeColor="text1"/>
        </w:rPr>
        <w:t>h</w:t>
      </w:r>
      <w:r w:rsidR="00FD283C" w:rsidRPr="00244F59">
        <w:rPr>
          <w:rFonts w:eastAsiaTheme="minorHAnsi"/>
          <w:color w:val="000000" w:themeColor="text1"/>
        </w:rPr>
        <w:t>ere barrier to oxygen is critical to reduce oxidative processes</w:t>
      </w:r>
      <w:r w:rsidR="00FD283C">
        <w:rPr>
          <w:rFonts w:eastAsiaTheme="minorHAnsi"/>
          <w:color w:val="FF0000"/>
        </w:rPr>
        <w:t>.</w:t>
      </w:r>
    </w:p>
    <w:p w14:paraId="476B2F2E" w14:textId="38F20A02" w:rsidR="00600535" w:rsidRDefault="00600535" w:rsidP="00600535">
      <w:pPr>
        <w:pStyle w:val="CETHeading1"/>
        <w:rPr>
          <w:lang w:val="en-GB"/>
        </w:rPr>
      </w:pPr>
      <w:r w:rsidRPr="00B57B36">
        <w:rPr>
          <w:lang w:val="en-GB"/>
        </w:rPr>
        <w:t>Introduction</w:t>
      </w:r>
    </w:p>
    <w:p w14:paraId="7919B59C" w14:textId="2D004738" w:rsidR="00645A3D" w:rsidRPr="00767145" w:rsidRDefault="00DF50C4" w:rsidP="00DF50C4">
      <w:pPr>
        <w:pStyle w:val="CETBodytext"/>
        <w:rPr>
          <w:lang w:val="en-GB"/>
        </w:rPr>
      </w:pPr>
      <w:r w:rsidRPr="00DF50C4">
        <w:rPr>
          <w:lang w:val="en-GB"/>
        </w:rPr>
        <w:t>In recent years, the packaging industry has shown increasing interest in the development of new biopolymer-based packaging solutions and innovative process</w:t>
      </w:r>
      <w:r>
        <w:rPr>
          <w:lang w:val="en-GB"/>
        </w:rPr>
        <w:t>ing</w:t>
      </w:r>
      <w:r w:rsidRPr="00DF50C4">
        <w:rPr>
          <w:lang w:val="en-GB"/>
        </w:rPr>
        <w:t xml:space="preserve"> technologies</w:t>
      </w:r>
      <w:r>
        <w:rPr>
          <w:lang w:val="en-GB"/>
        </w:rPr>
        <w:t>,</w:t>
      </w:r>
      <w:r w:rsidRPr="00DF50C4">
        <w:rPr>
          <w:lang w:val="en-GB"/>
        </w:rPr>
        <w:t xml:space="preserve"> </w:t>
      </w:r>
      <w:r>
        <w:rPr>
          <w:lang w:val="en-GB"/>
        </w:rPr>
        <w:t>aimed at</w:t>
      </w:r>
      <w:r w:rsidRPr="00DF50C4">
        <w:rPr>
          <w:lang w:val="en-GB"/>
        </w:rPr>
        <w:t xml:space="preserve"> reduc</w:t>
      </w:r>
      <w:r>
        <w:rPr>
          <w:lang w:val="en-GB"/>
        </w:rPr>
        <w:t>ing</w:t>
      </w:r>
      <w:r w:rsidRPr="00DF50C4">
        <w:rPr>
          <w:lang w:val="en-GB"/>
        </w:rPr>
        <w:t xml:space="preserve"> </w:t>
      </w:r>
      <w:r>
        <w:rPr>
          <w:lang w:val="en-GB"/>
        </w:rPr>
        <w:t xml:space="preserve">the </w:t>
      </w:r>
      <w:r w:rsidRPr="00DF50C4">
        <w:rPr>
          <w:lang w:val="en-GB"/>
        </w:rPr>
        <w:t>dependence on fossil resources and shift</w:t>
      </w:r>
      <w:r>
        <w:rPr>
          <w:lang w:val="en-GB"/>
        </w:rPr>
        <w:t>ing</w:t>
      </w:r>
      <w:r w:rsidRPr="00DF50C4">
        <w:rPr>
          <w:lang w:val="en-GB"/>
        </w:rPr>
        <w:t xml:space="preserve"> to a sustainable materials base</w:t>
      </w:r>
      <w:r w:rsidR="00111F50">
        <w:rPr>
          <w:lang w:val="en-GB"/>
        </w:rPr>
        <w:t xml:space="preserve"> (Rhim et al., 2013)</w:t>
      </w:r>
      <w:r w:rsidRPr="00DF50C4">
        <w:rPr>
          <w:lang w:val="en-GB"/>
        </w:rPr>
        <w:t>.</w:t>
      </w:r>
      <w:r w:rsidR="00111F50">
        <w:rPr>
          <w:lang w:val="en-GB"/>
        </w:rPr>
        <w:t xml:space="preserve"> </w:t>
      </w:r>
      <w:r w:rsidR="001060B3">
        <w:rPr>
          <w:lang w:val="en-GB"/>
        </w:rPr>
        <w:t xml:space="preserve">However, a </w:t>
      </w:r>
      <w:r w:rsidR="00767145">
        <w:rPr>
          <w:lang w:val="en-GB"/>
        </w:rPr>
        <w:t xml:space="preserve">food </w:t>
      </w:r>
      <w:r w:rsidR="001060B3">
        <w:rPr>
          <w:lang w:val="en-GB"/>
        </w:rPr>
        <w:t xml:space="preserve">packaging material with good performance must be able to </w:t>
      </w:r>
      <w:r w:rsidR="002F0178" w:rsidRPr="002F0178">
        <w:rPr>
          <w:lang w:val="en-GB"/>
        </w:rPr>
        <w:t>prevent microbial</w:t>
      </w:r>
      <w:r w:rsidR="002F0178">
        <w:rPr>
          <w:lang w:val="en-GB"/>
        </w:rPr>
        <w:t xml:space="preserve"> </w:t>
      </w:r>
      <w:r w:rsidR="002F0178" w:rsidRPr="002F0178">
        <w:rPr>
          <w:lang w:val="en-GB"/>
        </w:rPr>
        <w:t>contamination and act as a barrier against permeation of</w:t>
      </w:r>
      <w:r w:rsidR="002F0178">
        <w:rPr>
          <w:lang w:val="en-GB"/>
        </w:rPr>
        <w:t xml:space="preserve"> </w:t>
      </w:r>
      <w:r w:rsidR="002F0178" w:rsidRPr="002F0178">
        <w:rPr>
          <w:lang w:val="en-GB"/>
        </w:rPr>
        <w:t>water vapor, oxygen, carbon dioxide and other volatile</w:t>
      </w:r>
      <w:r w:rsidR="002F0178">
        <w:rPr>
          <w:lang w:val="en-GB"/>
        </w:rPr>
        <w:t xml:space="preserve"> </w:t>
      </w:r>
      <w:r w:rsidR="002F0178" w:rsidRPr="002F0178">
        <w:rPr>
          <w:lang w:val="en-GB"/>
        </w:rPr>
        <w:t>compounds</w:t>
      </w:r>
      <w:r w:rsidR="002F0178">
        <w:rPr>
          <w:lang w:val="en-GB"/>
        </w:rPr>
        <w:t xml:space="preserve">, in addition to provide good </w:t>
      </w:r>
      <w:r w:rsidR="002F0178" w:rsidRPr="002F0178">
        <w:rPr>
          <w:lang w:val="en-GB"/>
        </w:rPr>
        <w:t>mechanical, optical, and thermal properties</w:t>
      </w:r>
      <w:r w:rsidR="003E4A47">
        <w:rPr>
          <w:lang w:val="en-GB"/>
        </w:rPr>
        <w:t xml:space="preserve"> (Apicella et al., 2018a</w:t>
      </w:r>
      <w:r w:rsidR="001060B3">
        <w:rPr>
          <w:lang w:val="en-GB"/>
        </w:rPr>
        <w:t>; Apicella et al., 2018b</w:t>
      </w:r>
      <w:r w:rsidR="003E4A47">
        <w:rPr>
          <w:lang w:val="en-GB"/>
        </w:rPr>
        <w:t>)</w:t>
      </w:r>
      <w:r w:rsidR="002F0178">
        <w:rPr>
          <w:lang w:val="en-GB"/>
        </w:rPr>
        <w:t>.</w:t>
      </w:r>
      <w:r w:rsidR="006D065A" w:rsidRPr="006D065A">
        <w:rPr>
          <w:lang w:val="en-GB"/>
        </w:rPr>
        <w:t xml:space="preserve"> </w:t>
      </w:r>
      <w:r w:rsidR="001060B3" w:rsidRPr="001060B3">
        <w:rPr>
          <w:lang w:val="en-GB"/>
        </w:rPr>
        <w:t>To this end, biodegradable polymers must be properly functionalized</w:t>
      </w:r>
      <w:r w:rsidR="004B1F34">
        <w:rPr>
          <w:lang w:val="en-GB"/>
        </w:rPr>
        <w:t xml:space="preserve"> including </w:t>
      </w:r>
      <w:r w:rsidR="004B1F34" w:rsidRPr="00767145">
        <w:rPr>
          <w:lang w:val="en-GB"/>
        </w:rPr>
        <w:t xml:space="preserve">fillers, antioxidants </w:t>
      </w:r>
      <w:r w:rsidR="004B1F34">
        <w:rPr>
          <w:lang w:val="en-GB"/>
        </w:rPr>
        <w:t>(</w:t>
      </w:r>
      <w:r w:rsidR="004B1F34" w:rsidRPr="003E4A47">
        <w:rPr>
          <w:lang w:val="en-GB"/>
        </w:rPr>
        <w:t>Leneveu-Jenvrin</w:t>
      </w:r>
      <w:r w:rsidR="004B1F34">
        <w:rPr>
          <w:lang w:val="en-GB"/>
        </w:rPr>
        <w:t xml:space="preserve"> et al., 2021)</w:t>
      </w:r>
      <w:r w:rsidR="004B1F34" w:rsidRPr="00F47F75">
        <w:rPr>
          <w:lang w:val="en-GB"/>
        </w:rPr>
        <w:t>,</w:t>
      </w:r>
      <w:r w:rsidR="004B1F34" w:rsidRPr="004B1F34">
        <w:rPr>
          <w:lang w:val="en-GB"/>
        </w:rPr>
        <w:t xml:space="preserve"> </w:t>
      </w:r>
      <w:r w:rsidR="004B1F34" w:rsidRPr="00F47F75">
        <w:rPr>
          <w:lang w:val="en-GB"/>
        </w:rPr>
        <w:t>antimicrobials</w:t>
      </w:r>
      <w:r w:rsidR="004B1F34">
        <w:rPr>
          <w:lang w:val="en-GB"/>
        </w:rPr>
        <w:t xml:space="preserve"> (Apicella et al., 2018</w:t>
      </w:r>
      <w:r w:rsidR="00A131C4">
        <w:rPr>
          <w:lang w:val="en-GB"/>
        </w:rPr>
        <w:t>c</w:t>
      </w:r>
      <w:r w:rsidR="004B1F34">
        <w:rPr>
          <w:lang w:val="en-GB"/>
        </w:rPr>
        <w:t>)</w:t>
      </w:r>
      <w:r w:rsidR="004B1F34" w:rsidRPr="00767145">
        <w:rPr>
          <w:lang w:val="en-GB"/>
        </w:rPr>
        <w:t xml:space="preserve"> or processing aids. They can also be modified via polymer–polymer blending or multilayer assembly</w:t>
      </w:r>
      <w:r w:rsidR="00AF28EF" w:rsidRPr="00767145">
        <w:rPr>
          <w:lang w:val="en-GB"/>
        </w:rPr>
        <w:t>; t</w:t>
      </w:r>
      <w:r w:rsidR="004B1F34" w:rsidRPr="00767145">
        <w:rPr>
          <w:lang w:val="en-GB"/>
        </w:rPr>
        <w:t>h</w:t>
      </w:r>
      <w:r w:rsidR="00AF28EF" w:rsidRPr="00767145">
        <w:rPr>
          <w:lang w:val="en-GB"/>
        </w:rPr>
        <w:t xml:space="preserve">ese latter </w:t>
      </w:r>
      <w:r w:rsidR="004B1F34" w:rsidRPr="00767145">
        <w:rPr>
          <w:lang w:val="en-GB"/>
        </w:rPr>
        <w:t>routes</w:t>
      </w:r>
      <w:r w:rsidR="00AF28EF" w:rsidRPr="00767145">
        <w:rPr>
          <w:lang w:val="en-GB"/>
        </w:rPr>
        <w:t>, in particular,</w:t>
      </w:r>
      <w:r w:rsidR="004B1F34" w:rsidRPr="00767145">
        <w:rPr>
          <w:lang w:val="en-GB"/>
        </w:rPr>
        <w:t xml:space="preserve"> allow the creation of </w:t>
      </w:r>
      <w:r w:rsidR="00AF28EF" w:rsidRPr="00767145">
        <w:rPr>
          <w:lang w:val="en-GB"/>
        </w:rPr>
        <w:t>multifunctional systems</w:t>
      </w:r>
      <w:r w:rsidR="004B1F34" w:rsidRPr="00767145">
        <w:rPr>
          <w:lang w:val="en-GB"/>
        </w:rPr>
        <w:t xml:space="preserve"> with unique properties through easier, faster and cheaper techniques than other functionalization methods, such as copolymerization</w:t>
      </w:r>
      <w:r w:rsidR="00AF28EF" w:rsidRPr="00767145">
        <w:rPr>
          <w:lang w:val="en-GB"/>
        </w:rPr>
        <w:t>.</w:t>
      </w:r>
      <w:r w:rsidR="00767145" w:rsidRPr="00767145">
        <w:rPr>
          <w:lang w:val="en-GB"/>
        </w:rPr>
        <w:t xml:space="preserve"> </w:t>
      </w:r>
      <w:r w:rsidR="006D065A">
        <w:rPr>
          <w:lang w:val="en-GB"/>
        </w:rPr>
        <w:t xml:space="preserve">Among biodegradable polymers, </w:t>
      </w:r>
      <w:r w:rsidR="006D065A" w:rsidRPr="00767145">
        <w:rPr>
          <w:lang w:val="en-GB"/>
        </w:rPr>
        <w:t xml:space="preserve">biopolyesters, including polyhydroxybutyrate (PHB), polylactide (PLA) and polybutylene adipate terephthalate (PBAT) are of great interest to researchers </w:t>
      </w:r>
      <w:r w:rsidR="00734CD1">
        <w:t xml:space="preserve">and they </w:t>
      </w:r>
      <w:r w:rsidR="00645A3D" w:rsidRPr="00767145">
        <w:rPr>
          <w:lang w:val="en-GB"/>
        </w:rPr>
        <w:t>have proven to be attractive alternativ</w:t>
      </w:r>
      <w:r w:rsidR="00645A3D" w:rsidRPr="007505F1">
        <w:rPr>
          <w:color w:val="000000" w:themeColor="text1"/>
          <w:lang w:val="en-GB"/>
        </w:rPr>
        <w:t>e</w:t>
      </w:r>
      <w:r w:rsidR="00382AC3" w:rsidRPr="007505F1">
        <w:rPr>
          <w:color w:val="000000" w:themeColor="text1"/>
          <w:lang w:val="en-GB"/>
        </w:rPr>
        <w:t>s</w:t>
      </w:r>
      <w:r w:rsidR="00645A3D" w:rsidRPr="00382AC3">
        <w:rPr>
          <w:color w:val="FF0000"/>
          <w:lang w:val="en-GB"/>
        </w:rPr>
        <w:t xml:space="preserve"> </w:t>
      </w:r>
      <w:r w:rsidR="00645A3D" w:rsidRPr="00767145">
        <w:rPr>
          <w:lang w:val="en-GB"/>
        </w:rPr>
        <w:t xml:space="preserve">for potential applications (Padovani et al., 2016). PLA </w:t>
      </w:r>
      <w:r w:rsidR="00734CD1">
        <w:t>exhibits great processability, mechanical strength and heat sealability</w:t>
      </w:r>
      <w:r w:rsidR="00BD1C8F">
        <w:t xml:space="preserve">, </w:t>
      </w:r>
      <w:r w:rsidR="00734CD1">
        <w:t>for the amorphous grades</w:t>
      </w:r>
      <w:r w:rsidR="006B2026" w:rsidRPr="006B2026">
        <w:t xml:space="preserve"> </w:t>
      </w:r>
      <w:r w:rsidR="006B2026">
        <w:t>(Olejnik et al., 2021)</w:t>
      </w:r>
      <w:r w:rsidR="00767145" w:rsidRPr="00767145">
        <w:rPr>
          <w:lang w:val="en-GB"/>
        </w:rPr>
        <w:t>,</w:t>
      </w:r>
      <w:r w:rsidR="00645A3D" w:rsidRPr="00767145">
        <w:rPr>
          <w:lang w:val="en-GB"/>
        </w:rPr>
        <w:t xml:space="preserve"> while PHB displays better barrier properties</w:t>
      </w:r>
      <w:r w:rsidR="00767145" w:rsidRPr="00767145">
        <w:rPr>
          <w:lang w:val="en-GB"/>
        </w:rPr>
        <w:t xml:space="preserve"> thanks to its high crystallinity degree (Amabile et al., 2022). However, both are known for their brittleness</w:t>
      </w:r>
      <w:r w:rsidR="00734CD1">
        <w:rPr>
          <w:lang w:val="en-GB"/>
        </w:rPr>
        <w:t xml:space="preserve">. </w:t>
      </w:r>
      <w:r w:rsidR="00734CD1" w:rsidRPr="00C51C37">
        <w:t>PBAT is instead a flexible</w:t>
      </w:r>
      <w:r w:rsidR="00734CD1">
        <w:t xml:space="preserve"> and </w:t>
      </w:r>
      <w:r w:rsidR="006B2026">
        <w:t xml:space="preserve">very </w:t>
      </w:r>
      <w:r w:rsidR="00734CD1">
        <w:t>ductile material</w:t>
      </w:r>
      <w:r w:rsidR="004404D0">
        <w:t xml:space="preserve">, however it </w:t>
      </w:r>
      <w:r w:rsidR="00734CD1">
        <w:t xml:space="preserve">has </w:t>
      </w:r>
      <w:r w:rsidR="004404D0">
        <w:t xml:space="preserve">very </w:t>
      </w:r>
      <w:r w:rsidR="00734CD1">
        <w:t xml:space="preserve">low barrier </w:t>
      </w:r>
      <w:r w:rsidR="004404D0">
        <w:t xml:space="preserve">to gases and water vapor </w:t>
      </w:r>
      <w:r w:rsidR="00734CD1">
        <w:t>and no heat sealabilty</w:t>
      </w:r>
      <w:r w:rsidR="006B2026">
        <w:t xml:space="preserve"> (</w:t>
      </w:r>
      <w:r w:rsidR="006B2026" w:rsidRPr="00734CD1">
        <w:t>Olonisakin</w:t>
      </w:r>
      <w:r w:rsidR="006B2026">
        <w:t xml:space="preserve"> et al., 2023)</w:t>
      </w:r>
      <w:r w:rsidR="00665FB7">
        <w:t>.</w:t>
      </w:r>
    </w:p>
    <w:p w14:paraId="760A25B3" w14:textId="5F2B4C1B" w:rsidR="00572A62" w:rsidRDefault="003259A2" w:rsidP="00572A62">
      <w:pPr>
        <w:pStyle w:val="CETBodytext"/>
      </w:pPr>
      <w:r>
        <w:t xml:space="preserve">In this study, both melt blending and co-extrusion techniques have been investigated </w:t>
      </w:r>
      <w:r w:rsidRPr="00B24CD2">
        <w:t xml:space="preserve">to combine the functional performances of </w:t>
      </w:r>
      <w:r>
        <w:t xml:space="preserve">these </w:t>
      </w:r>
      <w:r w:rsidRPr="00B24CD2">
        <w:t xml:space="preserve">single biopolymers </w:t>
      </w:r>
      <w:r>
        <w:t xml:space="preserve">in the attempt to </w:t>
      </w:r>
      <w:r w:rsidRPr="00B24CD2">
        <w:t>overcom</w:t>
      </w:r>
      <w:r>
        <w:t>e</w:t>
      </w:r>
      <w:r w:rsidRPr="00B24CD2">
        <w:t xml:space="preserve"> their drawbacks and </w:t>
      </w:r>
      <w:r>
        <w:t>realiz</w:t>
      </w:r>
      <w:r w:rsidR="00E46939">
        <w:t>e</w:t>
      </w:r>
      <w:r>
        <w:t xml:space="preserve"> multifunctional structures. </w:t>
      </w:r>
      <w:r w:rsidRPr="00E932A8">
        <w:t xml:space="preserve">Three </w:t>
      </w:r>
      <w:r>
        <w:t>different</w:t>
      </w:r>
      <w:r w:rsidRPr="00E932A8">
        <w:t xml:space="preserve"> </w:t>
      </w:r>
      <w:r w:rsidR="009673F0">
        <w:t xml:space="preserve">bilayer </w:t>
      </w:r>
      <w:r w:rsidRPr="00E932A8">
        <w:t xml:space="preserve">structures were </w:t>
      </w:r>
      <w:r>
        <w:t xml:space="preserve">realized changing the </w:t>
      </w:r>
      <w:r w:rsidRPr="00E932A8">
        <w:t xml:space="preserve">relative thicknesses of </w:t>
      </w:r>
      <w:r>
        <w:t>t</w:t>
      </w:r>
      <w:r w:rsidRPr="00E932A8">
        <w:t xml:space="preserve">he </w:t>
      </w:r>
      <w:r>
        <w:t xml:space="preserve">two </w:t>
      </w:r>
      <w:r w:rsidRPr="00E932A8">
        <w:t>layers</w:t>
      </w:r>
      <w:r w:rsidR="00E46939">
        <w:t>, and were characterized for their surface wettability, O</w:t>
      </w:r>
      <w:r w:rsidR="00E46939" w:rsidRPr="009A28A3">
        <w:rPr>
          <w:vertAlign w:val="subscript"/>
        </w:rPr>
        <w:t>2</w:t>
      </w:r>
      <w:r w:rsidR="00E46939">
        <w:t xml:space="preserve"> barrier, heat-sealability and tensile properties. </w:t>
      </w:r>
    </w:p>
    <w:p w14:paraId="5741900F" w14:textId="3940912D" w:rsidR="00453E24" w:rsidRDefault="00744DFF" w:rsidP="00453E24">
      <w:pPr>
        <w:pStyle w:val="CETHeading1"/>
      </w:pPr>
      <w:r>
        <w:lastRenderedPageBreak/>
        <w:t>E</w:t>
      </w:r>
      <w:r w:rsidR="00C919F0">
        <w:t>x</w:t>
      </w:r>
      <w:r>
        <w:t>perimental</w:t>
      </w:r>
    </w:p>
    <w:p w14:paraId="0636B784" w14:textId="3D479DEF" w:rsidR="00453E24" w:rsidRDefault="00E21761" w:rsidP="00453E24">
      <w:pPr>
        <w:pStyle w:val="CETheadingx"/>
      </w:pPr>
      <w:r>
        <w:t>Material</w:t>
      </w:r>
      <w:r w:rsidR="00F8041B">
        <w:t>s</w:t>
      </w:r>
    </w:p>
    <w:p w14:paraId="0736BF6A" w14:textId="2423BCC5" w:rsidR="00523E95" w:rsidRDefault="00523E95" w:rsidP="00523E95">
      <w:pPr>
        <w:pStyle w:val="CETBodytext"/>
      </w:pPr>
      <w:r w:rsidRPr="00C53401">
        <w:t xml:space="preserve">PHB EnmatY3000p </w:t>
      </w:r>
      <w:r w:rsidR="00B11789">
        <w:t>(</w:t>
      </w:r>
      <w:r w:rsidR="003A5640" w:rsidRPr="00E10474">
        <w:t>density</w:t>
      </w:r>
      <w:r w:rsidR="00E10474" w:rsidRPr="00E10474">
        <w:t xml:space="preserve"> </w:t>
      </w:r>
      <w:r w:rsidR="00B11789" w:rsidRPr="00E10474">
        <w:t>=</w:t>
      </w:r>
      <w:r w:rsidR="003A5640" w:rsidRPr="00E10474">
        <w:t>1</w:t>
      </w:r>
      <w:r w:rsidR="003A5640" w:rsidRPr="003A5640">
        <w:t>.2</w:t>
      </w:r>
      <w:r>
        <w:t>5</w:t>
      </w:r>
      <w:r w:rsidR="003A5640" w:rsidRPr="003A5640">
        <w:t xml:space="preserve"> g/cm</w:t>
      </w:r>
      <w:r w:rsidR="003A5640" w:rsidRPr="003A5640">
        <w:rPr>
          <w:vertAlign w:val="superscript"/>
        </w:rPr>
        <w:t>3</w:t>
      </w:r>
      <w:r w:rsidR="00B11789">
        <w:t>, T</w:t>
      </w:r>
      <w:r w:rsidR="00B11789" w:rsidRPr="00B11789">
        <w:rPr>
          <w:vertAlign w:val="subscript"/>
        </w:rPr>
        <w:t>m</w:t>
      </w:r>
      <w:r w:rsidR="003A5640" w:rsidRPr="003A5640">
        <w:t xml:space="preserve"> </w:t>
      </w:r>
      <w:r w:rsidR="00B11789">
        <w:t>=</w:t>
      </w:r>
      <w:r w:rsidR="003A5640" w:rsidRPr="003A5640">
        <w:t xml:space="preserve"> 1</w:t>
      </w:r>
      <w:r>
        <w:t xml:space="preserve">75-180 </w:t>
      </w:r>
      <w:r w:rsidR="003A5640" w:rsidRPr="003A5640">
        <w:t>°</w:t>
      </w:r>
      <w:r>
        <w:t>C</w:t>
      </w:r>
      <w:r w:rsidR="00B11789">
        <w:t xml:space="preserve">) </w:t>
      </w:r>
      <w:r w:rsidRPr="00C53401">
        <w:t xml:space="preserve">was supplied by </w:t>
      </w:r>
      <w:r w:rsidRPr="00523E95">
        <w:t xml:space="preserve">TianAn Biologic Materials Co., Ltd </w:t>
      </w:r>
      <w:r w:rsidRPr="00C53401">
        <w:t>(China).</w:t>
      </w:r>
      <w:r w:rsidR="00F8041B">
        <w:t xml:space="preserve"> Ecovio</w:t>
      </w:r>
      <w:r w:rsidR="00F8041B" w:rsidRPr="00B47815">
        <w:t>® F2</w:t>
      </w:r>
      <w:r w:rsidR="0070180C">
        <w:t>332</w:t>
      </w:r>
      <w:r w:rsidR="00F8041B">
        <w:t xml:space="preserve"> </w:t>
      </w:r>
      <w:r w:rsidR="00F8041B" w:rsidRPr="00564678">
        <w:t>(</w:t>
      </w:r>
      <w:r w:rsidR="00F8041B">
        <w:t>density</w:t>
      </w:r>
      <w:r w:rsidR="00F8041B" w:rsidRPr="00564678">
        <w:t xml:space="preserve"> = </w:t>
      </w:r>
      <w:r w:rsidR="00F8041B">
        <w:t>1.24-</w:t>
      </w:r>
      <w:r w:rsidR="00F8041B" w:rsidRPr="00564678">
        <w:t>1.2</w:t>
      </w:r>
      <w:r w:rsidR="00F8041B">
        <w:t>6</w:t>
      </w:r>
      <w:r w:rsidR="00F8041B" w:rsidRPr="00564678">
        <w:t xml:space="preserve"> g/</w:t>
      </w:r>
      <w:r w:rsidR="00F8041B" w:rsidRPr="00E10474">
        <w:t>cm</w:t>
      </w:r>
      <w:r w:rsidR="00F8041B" w:rsidRPr="00E10474">
        <w:rPr>
          <w:vertAlign w:val="superscript"/>
        </w:rPr>
        <w:t>3</w:t>
      </w:r>
      <w:r w:rsidR="00F8041B" w:rsidRPr="00E10474">
        <w:t>, T</w:t>
      </w:r>
      <w:r w:rsidR="00F8041B" w:rsidRPr="00E10474">
        <w:rPr>
          <w:vertAlign w:val="subscript"/>
        </w:rPr>
        <w:t>m1</w:t>
      </w:r>
      <w:r w:rsidR="00E10474" w:rsidRPr="00E10474">
        <w:rPr>
          <w:vertAlign w:val="subscript"/>
        </w:rPr>
        <w:t xml:space="preserve"> </w:t>
      </w:r>
      <w:r w:rsidR="00F8041B" w:rsidRPr="00E10474">
        <w:t>=110-120 °C, T</w:t>
      </w:r>
      <w:r w:rsidR="00F8041B" w:rsidRPr="00E10474">
        <w:rPr>
          <w:vertAlign w:val="subscript"/>
        </w:rPr>
        <w:t>m2</w:t>
      </w:r>
      <w:r w:rsidR="00E10474" w:rsidRPr="00E10474">
        <w:rPr>
          <w:vertAlign w:val="subscript"/>
        </w:rPr>
        <w:t xml:space="preserve"> </w:t>
      </w:r>
      <w:r w:rsidR="00F8041B" w:rsidRPr="00E10474">
        <w:t>=140-155</w:t>
      </w:r>
      <w:r w:rsidR="00416180">
        <w:t xml:space="preserve"> °C</w:t>
      </w:r>
      <w:r w:rsidR="00F8041B" w:rsidRPr="00564678">
        <w:t>)</w:t>
      </w:r>
      <w:r w:rsidR="00F8041B">
        <w:t xml:space="preserve">, a commercial blend of Ecoflex® F (PBAT), as </w:t>
      </w:r>
      <w:r w:rsidR="00F8041B" w:rsidRPr="001352BC">
        <w:t>the continuous phase in the structure</w:t>
      </w:r>
      <w:r w:rsidR="00F8041B">
        <w:t>, and PLA, was supplied by BASF (</w:t>
      </w:r>
      <w:r w:rsidR="00F8041B" w:rsidRPr="00D552B2">
        <w:t>Ludwigshafen</w:t>
      </w:r>
      <w:r w:rsidR="00F8041B">
        <w:t xml:space="preserve">, Germany). </w:t>
      </w:r>
      <w:r w:rsidR="00F8041B" w:rsidRPr="00564678">
        <w:t>PLA</w:t>
      </w:r>
      <w:r w:rsidR="00F8041B">
        <w:t xml:space="preserve"> </w:t>
      </w:r>
      <w:r w:rsidR="00F8041B" w:rsidRPr="00564678">
        <w:t xml:space="preserve">4060D (amorphous, D-isomer content </w:t>
      </w:r>
      <w:r w:rsidR="00F8041B" w:rsidRPr="00E10474">
        <w:t>= 12 wt</w:t>
      </w:r>
      <w:r w:rsidR="00E10474">
        <w:t xml:space="preserve"> </w:t>
      </w:r>
      <w:r w:rsidR="00F8041B" w:rsidRPr="00E10474">
        <w:t>%,</w:t>
      </w:r>
      <w:r w:rsidR="00F8041B" w:rsidRPr="00564678">
        <w:t xml:space="preserve"> Mw ~190,000 g/mol, </w:t>
      </w:r>
      <w:r w:rsidR="00F8041B">
        <w:t>density</w:t>
      </w:r>
      <w:r w:rsidR="00F8041B" w:rsidRPr="00564678">
        <w:t xml:space="preserve"> = 1.24 g/cm</w:t>
      </w:r>
      <w:r w:rsidR="00F8041B" w:rsidRPr="009D57A6">
        <w:rPr>
          <w:vertAlign w:val="superscript"/>
        </w:rPr>
        <w:t>3</w:t>
      </w:r>
      <w:r w:rsidR="00F8041B">
        <w:t xml:space="preserve">) and PLA 4032D </w:t>
      </w:r>
      <w:r w:rsidR="00F8041B" w:rsidRPr="00564678">
        <w:t>(</w:t>
      </w:r>
      <w:r w:rsidR="00F8041B">
        <w:t>semicrystalline</w:t>
      </w:r>
      <w:r w:rsidR="00F8041B" w:rsidRPr="00564678">
        <w:t xml:space="preserve">, D-isomer content = </w:t>
      </w:r>
      <w:r w:rsidR="00F8041B">
        <w:t>1.</w:t>
      </w:r>
      <w:r w:rsidR="00F8041B" w:rsidRPr="00E10474">
        <w:t>5 wt</w:t>
      </w:r>
      <w:r w:rsidR="00E10474">
        <w:t xml:space="preserve"> </w:t>
      </w:r>
      <w:r w:rsidR="00F8041B" w:rsidRPr="00E10474">
        <w:t>%, Mw</w:t>
      </w:r>
      <w:r w:rsidR="00F8041B" w:rsidRPr="00564678">
        <w:t xml:space="preserve"> ~</w:t>
      </w:r>
      <w:r w:rsidR="00F8041B" w:rsidRPr="00A71981">
        <w:t>155 000 g/mol</w:t>
      </w:r>
      <w:r w:rsidR="00F8041B" w:rsidRPr="00564678">
        <w:t xml:space="preserve">, </w:t>
      </w:r>
      <w:r w:rsidR="00F8041B">
        <w:t>density</w:t>
      </w:r>
      <w:r w:rsidR="00F8041B" w:rsidRPr="00564678">
        <w:t xml:space="preserve"> = 1.24 g/cm</w:t>
      </w:r>
      <w:r w:rsidR="00F8041B" w:rsidRPr="009D57A6">
        <w:rPr>
          <w:vertAlign w:val="superscript"/>
        </w:rPr>
        <w:t>3</w:t>
      </w:r>
      <w:r w:rsidR="00F8041B">
        <w:t>,</w:t>
      </w:r>
      <w:r w:rsidR="00F8041B" w:rsidRPr="00A71981">
        <w:t xml:space="preserve"> </w:t>
      </w:r>
      <w:r w:rsidR="00F8041B">
        <w:t>T</w:t>
      </w:r>
      <w:r w:rsidR="00F8041B" w:rsidRPr="00A71981">
        <w:rPr>
          <w:vertAlign w:val="subscript"/>
        </w:rPr>
        <w:t>m</w:t>
      </w:r>
      <w:r w:rsidR="00F8041B">
        <w:t>=155-170 °C</w:t>
      </w:r>
      <w:r w:rsidR="00F8041B" w:rsidRPr="00564678">
        <w:t>)</w:t>
      </w:r>
      <w:r w:rsidR="00F8041B">
        <w:t xml:space="preserve"> were supplied by NatureWorks</w:t>
      </w:r>
      <w:r w:rsidR="00F8041B" w:rsidRPr="00F06C4F">
        <w:rPr>
          <w:vertAlign w:val="superscript"/>
        </w:rPr>
        <w:t xml:space="preserve">TM </w:t>
      </w:r>
      <w:r w:rsidR="00F8041B">
        <w:t>(Minnetonka, MN, USA).</w:t>
      </w:r>
    </w:p>
    <w:p w14:paraId="18BAFA6F" w14:textId="3346439E" w:rsidR="00453E24" w:rsidRDefault="00F07D2D" w:rsidP="00453E24">
      <w:pPr>
        <w:pStyle w:val="CETheadingx"/>
      </w:pPr>
      <w:r>
        <w:t>Films preparation</w:t>
      </w:r>
    </w:p>
    <w:p w14:paraId="31C2F99D" w14:textId="50A221F4" w:rsidR="009673F0" w:rsidRDefault="009673F0" w:rsidP="00473D61">
      <w:pPr>
        <w:pStyle w:val="CETBodytext"/>
      </w:pPr>
      <w:r w:rsidRPr="00DD5AAD">
        <w:t>Bilayer coextruded blown films were realized as follows: the inner layer (I) was obtained by blending Ecovio® F2332</w:t>
      </w:r>
      <w:r w:rsidR="0070180C" w:rsidRPr="00DD5AAD">
        <w:t xml:space="preserve"> </w:t>
      </w:r>
      <w:r w:rsidRPr="00DD5AAD">
        <w:t xml:space="preserve">with 20 wt % of </w:t>
      </w:r>
      <w:r w:rsidR="009B0F0D" w:rsidRPr="00DD5AAD">
        <w:t>PLA4060D</w:t>
      </w:r>
      <w:r w:rsidRPr="00DD5AAD">
        <w:t xml:space="preserve">, improving heat sealability; the outer layer (O), contributing to barrier properties and mechanical stiffness, was obtained by blending a semicrystalline grade of PLA with PHB </w:t>
      </w:r>
      <w:r w:rsidR="00DD5AAD" w:rsidRPr="00DD5AAD">
        <w:t xml:space="preserve">at </w:t>
      </w:r>
      <w:r w:rsidRPr="00DD5AAD">
        <w:t xml:space="preserve"> 70/30 weight ratio.</w:t>
      </w:r>
      <w:r w:rsidRPr="00E932A8">
        <w:t xml:space="preserve"> </w:t>
      </w:r>
      <w:r w:rsidRPr="0032095C">
        <w:t>This optimized composition was selected based on previous studies conducted on the processability and barrier performance of PLA/PHB blends</w:t>
      </w:r>
      <w:r>
        <w:t>,</w:t>
      </w:r>
      <w:r w:rsidRPr="0032095C">
        <w:t xml:space="preserve"> produced in a wide range of compositions</w:t>
      </w:r>
      <w:r>
        <w:t xml:space="preserve"> (Pietrosanto et al., 2021).</w:t>
      </w:r>
    </w:p>
    <w:p w14:paraId="6BD57514" w14:textId="77AF8FC8" w:rsidR="00F00428" w:rsidRDefault="00836615" w:rsidP="00473D61">
      <w:pPr>
        <w:tabs>
          <w:tab w:val="clear" w:pos="7100"/>
        </w:tabs>
        <w:autoSpaceDE w:val="0"/>
        <w:autoSpaceDN w:val="0"/>
        <w:adjustRightInd w:val="0"/>
        <w:spacing w:line="240" w:lineRule="auto"/>
      </w:pPr>
      <w:r>
        <w:t>Before</w:t>
      </w:r>
      <w:r w:rsidRPr="00402B57">
        <w:t xml:space="preserve"> processing</w:t>
      </w:r>
      <w:r>
        <w:t>,</w:t>
      </w:r>
      <w:r w:rsidRPr="00402B57">
        <w:t xml:space="preserve"> PLA</w:t>
      </w:r>
      <w:r>
        <w:t>, PHB and Ecovio granules</w:t>
      </w:r>
      <w:r w:rsidRPr="00402B57">
        <w:t xml:space="preserve"> were </w:t>
      </w:r>
      <w:r w:rsidRPr="00AC5C03">
        <w:t>vacuum</w:t>
      </w:r>
      <w:r>
        <w:t>-</w:t>
      </w:r>
      <w:r w:rsidRPr="00AC5C03">
        <w:t>dried</w:t>
      </w:r>
      <w:r>
        <w:t xml:space="preserve"> </w:t>
      </w:r>
      <w:r w:rsidRPr="00402B57">
        <w:t>at 70</w:t>
      </w:r>
      <w:r>
        <w:t xml:space="preserve"> °</w:t>
      </w:r>
      <w:r w:rsidRPr="00402B57">
        <w:t xml:space="preserve">C for </w:t>
      </w:r>
      <w:r>
        <w:t>14</w:t>
      </w:r>
      <w:r w:rsidRPr="00402B57">
        <w:t xml:space="preserve"> h. </w:t>
      </w:r>
      <w:r>
        <w:t xml:space="preserve">Blends of </w:t>
      </w:r>
      <w:r w:rsidR="00C21D1D">
        <w:t xml:space="preserve">PLA 4032D and </w:t>
      </w:r>
      <w:r>
        <w:t xml:space="preserve">PHB </w:t>
      </w:r>
      <w:r w:rsidR="00C21D1D">
        <w:t xml:space="preserve">70/30 by weight </w:t>
      </w:r>
      <w:r>
        <w:t xml:space="preserve">and of Ecovio and PLA 4060D </w:t>
      </w:r>
      <w:r w:rsidR="00C21D1D">
        <w:t>80/20</w:t>
      </w:r>
      <w:r>
        <w:t xml:space="preserve"> by weight </w:t>
      </w:r>
      <w:r w:rsidRPr="00402B57">
        <w:t>were</w:t>
      </w:r>
      <w:r>
        <w:t xml:space="preserve"> realized </w:t>
      </w:r>
      <w:r w:rsidRPr="00402B57">
        <w:t>in a co-rotating twin</w:t>
      </w:r>
      <w:r>
        <w:t xml:space="preserve"> </w:t>
      </w:r>
      <w:r w:rsidRPr="00473D61">
        <w:t>screw extruder (</w:t>
      </w:r>
      <w:r w:rsidR="00DD5AAD" w:rsidRPr="00473D61">
        <w:t>dr. Collin GmBH model ZK 25-48D</w:t>
      </w:r>
      <w:r w:rsidRPr="00473D61">
        <w:t>, with screw diameter equal to</w:t>
      </w:r>
      <w:r w:rsidRPr="00473D61">
        <w:rPr>
          <w:rFonts w:ascii="Rpxr" w:hAnsi="Rpxr" w:cs="Rpxr"/>
        </w:rPr>
        <w:t xml:space="preserve"> </w:t>
      </w:r>
      <w:r w:rsidRPr="00473D61">
        <w:t>25 mm and L</w:t>
      </w:r>
      <w:r w:rsidRPr="00473D61">
        <w:rPr>
          <w:rFonts w:ascii="Rpxr" w:hAnsi="Rpxr" w:cs="Rpxr"/>
        </w:rPr>
        <w:t>/</w:t>
      </w:r>
      <w:r w:rsidRPr="00473D61">
        <w:t xml:space="preserve">D </w:t>
      </w:r>
      <w:r w:rsidRPr="00473D61">
        <w:rPr>
          <w:rFonts w:ascii="Rpxr" w:hAnsi="Rpxr" w:cs="Rpxr"/>
        </w:rPr>
        <w:t xml:space="preserve">= </w:t>
      </w:r>
      <w:r w:rsidRPr="00473D61">
        <w:t xml:space="preserve">42), selecting a screw speed equal to </w:t>
      </w:r>
      <w:r w:rsidR="0006238F" w:rsidRPr="00473D61">
        <w:t>200</w:t>
      </w:r>
      <w:r w:rsidRPr="00473D61">
        <w:t xml:space="preserve"> rpm, a temperature profile from 150 °C to 1</w:t>
      </w:r>
      <w:r w:rsidR="0006238F" w:rsidRPr="00473D61">
        <w:t>8</w:t>
      </w:r>
      <w:r w:rsidRPr="00473D61">
        <w:t>0°C for</w:t>
      </w:r>
      <w:r w:rsidR="0006238F" w:rsidRPr="00473D61">
        <w:t xml:space="preserve"> the</w:t>
      </w:r>
      <w:r w:rsidRPr="00473D61">
        <w:t xml:space="preserve"> </w:t>
      </w:r>
      <w:r w:rsidR="0006238F" w:rsidRPr="00473D61">
        <w:t xml:space="preserve">PLA/PHB </w:t>
      </w:r>
      <w:r w:rsidRPr="00473D61">
        <w:t>blend and from 140 °C to 1</w:t>
      </w:r>
      <w:r w:rsidR="0006238F" w:rsidRPr="00473D61">
        <w:t>8</w:t>
      </w:r>
      <w:r w:rsidRPr="00473D61">
        <w:t xml:space="preserve">0 °C for </w:t>
      </w:r>
      <w:r w:rsidR="0006238F" w:rsidRPr="00473D61">
        <w:t xml:space="preserve">the </w:t>
      </w:r>
      <w:r w:rsidRPr="00473D61">
        <w:t>Ecovio/PLA blend</w:t>
      </w:r>
      <w:r w:rsidR="00F00428" w:rsidRPr="00473D61">
        <w:t>. Coextruded films based on the blends were realized by a Gimac film blowing unit</w:t>
      </w:r>
      <w:r w:rsidR="00F00428" w:rsidRPr="00F00428">
        <w:t xml:space="preserve"> </w:t>
      </w:r>
      <w:r w:rsidR="00F00428">
        <w:t>equipped by two single screw extruders (D</w:t>
      </w:r>
      <w:r w:rsidR="00F00428" w:rsidRPr="00402B57">
        <w:t xml:space="preserve"> </w:t>
      </w:r>
      <w:r w:rsidR="00F00428" w:rsidRPr="005A2F12">
        <w:t xml:space="preserve">= </w:t>
      </w:r>
      <w:r w:rsidR="00F00428" w:rsidRPr="00402B57">
        <w:t>12 mm, L</w:t>
      </w:r>
      <w:r w:rsidR="00F00428" w:rsidRPr="005A2F12">
        <w:t>/</w:t>
      </w:r>
      <w:r w:rsidR="00F00428" w:rsidRPr="00402B57">
        <w:t xml:space="preserve">D </w:t>
      </w:r>
      <w:r w:rsidR="00F00428" w:rsidRPr="005A2F12">
        <w:t xml:space="preserve">= </w:t>
      </w:r>
      <w:r w:rsidR="00F00428" w:rsidRPr="00402B57">
        <w:t>24)</w:t>
      </w:r>
      <w:r w:rsidR="004178E4" w:rsidRPr="00402B57">
        <w:t>,</w:t>
      </w:r>
      <w:r w:rsidR="004178E4">
        <w:t xml:space="preserve"> </w:t>
      </w:r>
      <w:r w:rsidR="004178E4" w:rsidRPr="007D644A">
        <w:t>a blow film spiral mandrel die</w:t>
      </w:r>
      <w:r w:rsidR="00473D61">
        <w:t xml:space="preserve"> </w:t>
      </w:r>
      <w:r w:rsidR="00473D61" w:rsidRPr="00473D61">
        <w:t>(Collin, Type RWT 25, D</w:t>
      </w:r>
      <w:r w:rsidR="00473D61" w:rsidRPr="00473D61">
        <w:rPr>
          <w:vertAlign w:val="subscript"/>
        </w:rPr>
        <w:t>in</w:t>
      </w:r>
      <w:r w:rsidR="00473D61" w:rsidRPr="00473D61">
        <w:t>=30 mm, D</w:t>
      </w:r>
      <w:r w:rsidR="00473D61" w:rsidRPr="00473D61">
        <w:rPr>
          <w:vertAlign w:val="subscript"/>
        </w:rPr>
        <w:t>ext</w:t>
      </w:r>
      <w:r w:rsidR="00473D61" w:rsidRPr="00473D61">
        <w:t>=30.5</w:t>
      </w:r>
      <w:r w:rsidR="00473D61">
        <w:t xml:space="preserve"> </w:t>
      </w:r>
      <w:r w:rsidR="00473D61" w:rsidRPr="00473D61">
        <w:t>mm) and a take-up/cooling system (Collin Film Blowing Line Type BL 50)</w:t>
      </w:r>
      <w:r w:rsidR="00F00428">
        <w:t>. Both the</w:t>
      </w:r>
      <w:r w:rsidR="00F00428" w:rsidRPr="00101483">
        <w:t xml:space="preserve"> extruders </w:t>
      </w:r>
      <w:r w:rsidR="00F00428">
        <w:t xml:space="preserve">operated with a temperature profile equal to </w:t>
      </w:r>
      <w:r w:rsidR="0038103F">
        <w:t>19</w:t>
      </w:r>
      <w:r w:rsidR="00F00428">
        <w:t>0-175-175-185 °C from the hopper to the die. Three bilayer films were realized by varying the screw speed</w:t>
      </w:r>
      <w:r w:rsidR="00F00428" w:rsidRPr="009976F6">
        <w:t xml:space="preserve"> </w:t>
      </w:r>
      <w:r w:rsidR="00F00428">
        <w:t xml:space="preserve">of the two extruders, and therefore the mass flow rates, yielding to two different thicknesses (i.e. 30 and 50 </w:t>
      </w:r>
      <w:r w:rsidR="00F00428" w:rsidRPr="005A2F12">
        <w:t>μ</w:t>
      </w:r>
      <w:r w:rsidR="00F00428">
        <w:t xml:space="preserve">m) for the outer (O) and inner (I) layer, as displayed in </w:t>
      </w:r>
      <w:r w:rsidR="00F00428">
        <w:fldChar w:fldCharType="begin"/>
      </w:r>
      <w:r w:rsidR="00F00428">
        <w:instrText xml:space="preserve"> REF _Ref123202553 \h  \* MERGEFORMAT </w:instrText>
      </w:r>
      <w:r w:rsidR="00F00428">
        <w:fldChar w:fldCharType="separate"/>
      </w:r>
      <w:r w:rsidR="00F00428" w:rsidRPr="005A2F12">
        <w:t xml:space="preserve">Table </w:t>
      </w:r>
      <w:r w:rsidR="00F00428">
        <w:rPr>
          <w:noProof/>
        </w:rPr>
        <w:t>1</w:t>
      </w:r>
      <w:r w:rsidR="00F00428">
        <w:fldChar w:fldCharType="end"/>
      </w:r>
      <w:r w:rsidR="00F00428">
        <w:t>. Single layer films were also produced for comparison</w:t>
      </w:r>
      <w:r w:rsidR="00461873">
        <w:t>. T</w:t>
      </w:r>
      <w:r w:rsidR="00F00428">
        <w:t>he blow-u</w:t>
      </w:r>
      <w:r w:rsidR="00F00428" w:rsidRPr="00101483">
        <w:t xml:space="preserve">p ratio (BUR) </w:t>
      </w:r>
      <w:r w:rsidR="00F00428">
        <w:t xml:space="preserve">was fixed at </w:t>
      </w:r>
      <w:r w:rsidR="00F00428" w:rsidRPr="005A2F12">
        <w:t>2.5</w:t>
      </w:r>
      <w:r w:rsidR="00F00428">
        <w:t xml:space="preserve"> for all the films</w:t>
      </w:r>
      <w:r w:rsidR="00461873">
        <w:t xml:space="preserve">, while the collection speed was set at </w:t>
      </w:r>
      <w:r w:rsidR="00461873" w:rsidRPr="005A2F12">
        <w:t>3 m/min</w:t>
      </w:r>
      <w:r w:rsidR="00461873">
        <w:t>.</w:t>
      </w:r>
    </w:p>
    <w:p w14:paraId="3BC45462" w14:textId="3C9E1F64" w:rsidR="00461873" w:rsidRPr="00E715B1" w:rsidRDefault="00461873" w:rsidP="00461873">
      <w:pPr>
        <w:pStyle w:val="CETTabletitle"/>
        <w:jc w:val="both"/>
        <w:rPr>
          <w:color w:val="FF0000"/>
        </w:rPr>
      </w:pPr>
      <w:r w:rsidRPr="009472E4">
        <w:t xml:space="preserve">Table 1: </w:t>
      </w:r>
      <w:r>
        <w:t>Coextruded films nomenclature, n</w:t>
      </w:r>
      <w:r w:rsidRPr="005A2F12">
        <w:t xml:space="preserve">ominal thicknesses of the </w:t>
      </w:r>
      <w:r>
        <w:t>outer (O)</w:t>
      </w:r>
      <w:r w:rsidRPr="005A2F12">
        <w:t xml:space="preserve"> and </w:t>
      </w:r>
      <w:r>
        <w:t>inner (I)</w:t>
      </w:r>
      <w:r w:rsidRPr="005A2F12">
        <w:t xml:space="preserve"> layers</w:t>
      </w:r>
      <w:r>
        <w:t xml:space="preserve"> and</w:t>
      </w:r>
      <w:r w:rsidRPr="005A2F12">
        <w:t xml:space="preserve"> screw speed of</w:t>
      </w:r>
      <w:r>
        <w:t xml:space="preserve"> the</w:t>
      </w:r>
      <w:r w:rsidRPr="005A2F12">
        <w:t xml:space="preserve"> extruders</w:t>
      </w:r>
      <w:r>
        <w:t>.</w:t>
      </w:r>
      <w:r w:rsidR="00E715B1">
        <w:t xml:space="preserve"> </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276"/>
        <w:gridCol w:w="1189"/>
        <w:gridCol w:w="1220"/>
        <w:gridCol w:w="1646"/>
        <w:gridCol w:w="1471"/>
      </w:tblGrid>
      <w:tr w:rsidR="00461873" w:rsidRPr="00B57B36" w14:paraId="588B7611" w14:textId="77777777" w:rsidTr="00461873">
        <w:trPr>
          <w:trHeight w:val="566"/>
        </w:trPr>
        <w:tc>
          <w:tcPr>
            <w:tcW w:w="1985" w:type="dxa"/>
            <w:tcBorders>
              <w:top w:val="single" w:sz="12" w:space="0" w:color="008000"/>
              <w:bottom w:val="single" w:sz="6" w:space="0" w:color="008000"/>
            </w:tcBorders>
            <w:shd w:val="clear" w:color="auto" w:fill="FFFFFF"/>
          </w:tcPr>
          <w:p w14:paraId="75E6093E" w14:textId="77777777" w:rsidR="00461873" w:rsidRPr="00724748" w:rsidRDefault="00461873" w:rsidP="00461873">
            <w:pPr>
              <w:pStyle w:val="CETBodytext"/>
              <w:rPr>
                <w:lang w:val="en-GB"/>
              </w:rPr>
            </w:pPr>
            <w:r w:rsidRPr="00724748">
              <w:rPr>
                <w:lang w:eastAsia="en-GB"/>
              </w:rPr>
              <w:t>Sample</w:t>
            </w:r>
          </w:p>
        </w:tc>
        <w:tc>
          <w:tcPr>
            <w:tcW w:w="1276" w:type="dxa"/>
            <w:tcBorders>
              <w:top w:val="single" w:sz="12" w:space="0" w:color="008000"/>
              <w:bottom w:val="single" w:sz="6" w:space="0" w:color="008000"/>
            </w:tcBorders>
            <w:shd w:val="clear" w:color="auto" w:fill="FFFFFF"/>
          </w:tcPr>
          <w:p w14:paraId="14FD80F8" w14:textId="67EA244A" w:rsidR="00461873" w:rsidRPr="00724748" w:rsidRDefault="00461873" w:rsidP="00461873">
            <w:pPr>
              <w:pStyle w:val="CETBodytext"/>
              <w:rPr>
                <w:lang w:val="en-GB"/>
              </w:rPr>
            </w:pPr>
            <w:r w:rsidRPr="00724748">
              <w:rPr>
                <w:lang w:eastAsia="en-GB"/>
              </w:rPr>
              <w:t>Total thickness [µm]</w:t>
            </w:r>
          </w:p>
        </w:tc>
        <w:tc>
          <w:tcPr>
            <w:tcW w:w="1189" w:type="dxa"/>
            <w:tcBorders>
              <w:top w:val="single" w:sz="12" w:space="0" w:color="008000"/>
              <w:bottom w:val="single" w:sz="6" w:space="0" w:color="008000"/>
            </w:tcBorders>
            <w:shd w:val="clear" w:color="auto" w:fill="FFFFFF"/>
          </w:tcPr>
          <w:p w14:paraId="5C495DDE" w14:textId="559EFCEC" w:rsidR="00461873" w:rsidRPr="00724748" w:rsidRDefault="00461873" w:rsidP="00461873">
            <w:pPr>
              <w:pStyle w:val="CETBodytext"/>
              <w:rPr>
                <w:lang w:val="en-GB"/>
              </w:rPr>
            </w:pPr>
            <w:r w:rsidRPr="00724748">
              <w:rPr>
                <w:lang w:eastAsia="en-GB"/>
              </w:rPr>
              <w:t>Outer layer [µm]</w:t>
            </w:r>
          </w:p>
        </w:tc>
        <w:tc>
          <w:tcPr>
            <w:tcW w:w="1220" w:type="dxa"/>
            <w:tcBorders>
              <w:top w:val="single" w:sz="12" w:space="0" w:color="008000"/>
              <w:bottom w:val="single" w:sz="6" w:space="0" w:color="008000"/>
            </w:tcBorders>
            <w:shd w:val="clear" w:color="auto" w:fill="FFFFFF"/>
          </w:tcPr>
          <w:p w14:paraId="313893D2" w14:textId="60C1EA3F" w:rsidR="00461873" w:rsidRPr="00724748" w:rsidRDefault="00461873" w:rsidP="00461873">
            <w:pPr>
              <w:pStyle w:val="CETBodytext"/>
              <w:rPr>
                <w:lang w:eastAsia="en-GB"/>
              </w:rPr>
            </w:pPr>
            <w:r w:rsidRPr="00724748">
              <w:rPr>
                <w:lang w:eastAsia="en-GB"/>
              </w:rPr>
              <w:t>Inner layer [µm]</w:t>
            </w:r>
          </w:p>
        </w:tc>
        <w:tc>
          <w:tcPr>
            <w:tcW w:w="1646" w:type="dxa"/>
            <w:tcBorders>
              <w:top w:val="single" w:sz="12" w:space="0" w:color="008000"/>
              <w:bottom w:val="single" w:sz="6" w:space="0" w:color="008000"/>
            </w:tcBorders>
            <w:shd w:val="clear" w:color="auto" w:fill="FFFFFF"/>
          </w:tcPr>
          <w:p w14:paraId="74AD716D" w14:textId="2D44D9C5" w:rsidR="00461873" w:rsidRPr="00724748" w:rsidRDefault="00461873" w:rsidP="00461873">
            <w:pPr>
              <w:pStyle w:val="CETBodytext"/>
              <w:rPr>
                <w:lang w:eastAsia="en-GB"/>
              </w:rPr>
            </w:pPr>
            <w:r w:rsidRPr="00724748">
              <w:rPr>
                <w:lang w:eastAsia="en-GB"/>
              </w:rPr>
              <w:t>Extruder screw speed outer layer [rpm]</w:t>
            </w:r>
          </w:p>
        </w:tc>
        <w:tc>
          <w:tcPr>
            <w:tcW w:w="1471" w:type="dxa"/>
            <w:tcBorders>
              <w:top w:val="single" w:sz="12" w:space="0" w:color="008000"/>
              <w:bottom w:val="single" w:sz="6" w:space="0" w:color="008000"/>
            </w:tcBorders>
            <w:shd w:val="clear" w:color="auto" w:fill="FFFFFF"/>
          </w:tcPr>
          <w:p w14:paraId="05A2FB33" w14:textId="4CBABE90" w:rsidR="00461873" w:rsidRPr="00724748" w:rsidRDefault="00461873" w:rsidP="00461873">
            <w:pPr>
              <w:pStyle w:val="CETBodytext"/>
              <w:rPr>
                <w:rFonts w:cs="Arial"/>
                <w:color w:val="000000" w:themeColor="text1"/>
                <w:sz w:val="20"/>
                <w:lang w:eastAsia="it-IT"/>
              </w:rPr>
            </w:pPr>
            <w:r w:rsidRPr="00724748">
              <w:rPr>
                <w:lang w:eastAsia="en-GB"/>
              </w:rPr>
              <w:t>Extruder screw speed inner layer [rpm]</w:t>
            </w:r>
          </w:p>
        </w:tc>
      </w:tr>
      <w:tr w:rsidR="00461873" w:rsidRPr="00B57B36" w14:paraId="555A061D" w14:textId="77777777" w:rsidTr="00461873">
        <w:trPr>
          <w:trHeight w:val="215"/>
        </w:trPr>
        <w:tc>
          <w:tcPr>
            <w:tcW w:w="1985" w:type="dxa"/>
            <w:shd w:val="clear" w:color="auto" w:fill="FFFFFF"/>
          </w:tcPr>
          <w:p w14:paraId="793D6042" w14:textId="77777777" w:rsidR="00461873" w:rsidRPr="00B57B36" w:rsidRDefault="00461873" w:rsidP="00461873">
            <w:pPr>
              <w:pStyle w:val="CETBodytext"/>
              <w:rPr>
                <w:lang w:val="en-GB"/>
              </w:rPr>
            </w:pPr>
            <w:r>
              <w:rPr>
                <w:lang w:val="en-GB"/>
              </w:rPr>
              <w:t>PLA4032/PHB 70/30</w:t>
            </w:r>
          </w:p>
        </w:tc>
        <w:tc>
          <w:tcPr>
            <w:tcW w:w="1276" w:type="dxa"/>
            <w:shd w:val="clear" w:color="auto" w:fill="FFFFFF"/>
          </w:tcPr>
          <w:p w14:paraId="42A2CE5F" w14:textId="4EA77822" w:rsidR="00461873" w:rsidRPr="00B57B36" w:rsidRDefault="00461873" w:rsidP="00461873">
            <w:pPr>
              <w:pStyle w:val="CETBodytext"/>
              <w:rPr>
                <w:lang w:val="en-GB"/>
              </w:rPr>
            </w:pPr>
            <w:r>
              <w:rPr>
                <w:lang w:eastAsia="en-GB"/>
              </w:rPr>
              <w:t xml:space="preserve">50 </w:t>
            </w:r>
            <w:r w:rsidRPr="00983588">
              <w:t>±</w:t>
            </w:r>
            <w:r>
              <w:t xml:space="preserve"> 1</w:t>
            </w:r>
          </w:p>
        </w:tc>
        <w:tc>
          <w:tcPr>
            <w:tcW w:w="1189" w:type="dxa"/>
            <w:shd w:val="clear" w:color="auto" w:fill="FFFFFF"/>
          </w:tcPr>
          <w:p w14:paraId="7AD3D8DE" w14:textId="3301650A" w:rsidR="00461873" w:rsidRPr="00B57B36" w:rsidRDefault="00461873" w:rsidP="00461873">
            <w:pPr>
              <w:pStyle w:val="CETBodytext"/>
              <w:rPr>
                <w:lang w:val="en-GB"/>
              </w:rPr>
            </w:pPr>
            <w:r>
              <w:rPr>
                <w:lang w:val="en-GB"/>
              </w:rPr>
              <w:t>-</w:t>
            </w:r>
          </w:p>
        </w:tc>
        <w:tc>
          <w:tcPr>
            <w:tcW w:w="1220" w:type="dxa"/>
            <w:shd w:val="clear" w:color="auto" w:fill="FFFFFF"/>
          </w:tcPr>
          <w:p w14:paraId="24B47F63" w14:textId="578E05D3" w:rsidR="00461873" w:rsidRPr="00B57B36" w:rsidRDefault="00461873" w:rsidP="00461873">
            <w:pPr>
              <w:pStyle w:val="CETBodytext"/>
              <w:rPr>
                <w:lang w:val="en-GB"/>
              </w:rPr>
            </w:pPr>
            <w:r>
              <w:rPr>
                <w:lang w:val="en-GB"/>
              </w:rPr>
              <w:t>-</w:t>
            </w:r>
          </w:p>
        </w:tc>
        <w:tc>
          <w:tcPr>
            <w:tcW w:w="1646" w:type="dxa"/>
            <w:shd w:val="clear" w:color="auto" w:fill="FFFFFF"/>
          </w:tcPr>
          <w:p w14:paraId="4534B96E" w14:textId="20ACAD46" w:rsidR="00461873" w:rsidRPr="00B57B36" w:rsidRDefault="00461873" w:rsidP="00461873">
            <w:pPr>
              <w:pStyle w:val="CETBodytext"/>
              <w:rPr>
                <w:lang w:val="en-GB"/>
              </w:rPr>
            </w:pPr>
            <w:r>
              <w:rPr>
                <w:lang w:eastAsia="en-GB"/>
              </w:rPr>
              <w:t>96</w:t>
            </w:r>
          </w:p>
        </w:tc>
        <w:tc>
          <w:tcPr>
            <w:tcW w:w="1471" w:type="dxa"/>
            <w:shd w:val="clear" w:color="auto" w:fill="FFFFFF"/>
          </w:tcPr>
          <w:p w14:paraId="2C33ABFE" w14:textId="699690BC" w:rsidR="00461873" w:rsidRPr="00B57B36" w:rsidRDefault="00461873" w:rsidP="00461873">
            <w:pPr>
              <w:pStyle w:val="CETBodytext"/>
              <w:rPr>
                <w:lang w:val="en-GB"/>
              </w:rPr>
            </w:pPr>
            <w:r>
              <w:rPr>
                <w:lang w:eastAsia="en-GB"/>
              </w:rPr>
              <w:t>-</w:t>
            </w:r>
          </w:p>
        </w:tc>
      </w:tr>
      <w:tr w:rsidR="00461873" w:rsidRPr="00B57B36" w14:paraId="2D6C865C" w14:textId="77777777" w:rsidTr="00461873">
        <w:trPr>
          <w:trHeight w:val="232"/>
        </w:trPr>
        <w:tc>
          <w:tcPr>
            <w:tcW w:w="1985" w:type="dxa"/>
            <w:shd w:val="clear" w:color="auto" w:fill="FFFFFF"/>
          </w:tcPr>
          <w:p w14:paraId="79A97460" w14:textId="77777777" w:rsidR="00461873" w:rsidRPr="00B57B36" w:rsidRDefault="00461873" w:rsidP="00461873">
            <w:pPr>
              <w:pStyle w:val="CETBodytext"/>
              <w:ind w:right="-1"/>
              <w:rPr>
                <w:rFonts w:cs="Arial"/>
                <w:szCs w:val="18"/>
                <w:lang w:val="en-GB"/>
              </w:rPr>
            </w:pPr>
            <w:r>
              <w:rPr>
                <w:rFonts w:cs="Arial"/>
                <w:szCs w:val="18"/>
                <w:lang w:val="en-GB"/>
              </w:rPr>
              <w:t>Ecovio/PLA4060 80/20</w:t>
            </w:r>
          </w:p>
        </w:tc>
        <w:tc>
          <w:tcPr>
            <w:tcW w:w="1276" w:type="dxa"/>
            <w:shd w:val="clear" w:color="auto" w:fill="FFFFFF"/>
          </w:tcPr>
          <w:p w14:paraId="74E29204" w14:textId="07CB2947" w:rsidR="00461873" w:rsidRPr="00B57B36" w:rsidRDefault="00461873" w:rsidP="00461873">
            <w:pPr>
              <w:pStyle w:val="CETBodytext"/>
              <w:ind w:right="-1"/>
              <w:rPr>
                <w:rFonts w:cs="Arial"/>
                <w:szCs w:val="18"/>
                <w:lang w:val="en-GB"/>
              </w:rPr>
            </w:pPr>
            <w:r>
              <w:rPr>
                <w:lang w:eastAsia="en-GB"/>
              </w:rPr>
              <w:t xml:space="preserve">50 </w:t>
            </w:r>
            <w:r w:rsidRPr="00983588">
              <w:t>±</w:t>
            </w:r>
            <w:r>
              <w:t xml:space="preserve"> 1</w:t>
            </w:r>
          </w:p>
        </w:tc>
        <w:tc>
          <w:tcPr>
            <w:tcW w:w="1189" w:type="dxa"/>
            <w:shd w:val="clear" w:color="auto" w:fill="FFFFFF"/>
          </w:tcPr>
          <w:p w14:paraId="33088922" w14:textId="6A4F75A8" w:rsidR="00461873" w:rsidRPr="00B57B36" w:rsidRDefault="00461873" w:rsidP="00461873">
            <w:pPr>
              <w:pStyle w:val="CETBodytext"/>
              <w:ind w:right="-1"/>
              <w:rPr>
                <w:rFonts w:cs="Arial"/>
                <w:szCs w:val="18"/>
                <w:lang w:val="en-GB"/>
              </w:rPr>
            </w:pPr>
            <w:r>
              <w:rPr>
                <w:rFonts w:cs="Arial"/>
                <w:szCs w:val="18"/>
                <w:lang w:val="en-GB"/>
              </w:rPr>
              <w:t>-</w:t>
            </w:r>
          </w:p>
        </w:tc>
        <w:tc>
          <w:tcPr>
            <w:tcW w:w="1220" w:type="dxa"/>
            <w:shd w:val="clear" w:color="auto" w:fill="FFFFFF"/>
          </w:tcPr>
          <w:p w14:paraId="623C56B3" w14:textId="7E825DA5" w:rsidR="00461873" w:rsidRPr="00B57B36" w:rsidRDefault="00461873" w:rsidP="00461873">
            <w:pPr>
              <w:pStyle w:val="CETBodytext"/>
              <w:ind w:right="-1"/>
              <w:rPr>
                <w:rFonts w:cs="Arial"/>
                <w:szCs w:val="18"/>
                <w:lang w:val="en-GB"/>
              </w:rPr>
            </w:pPr>
            <w:r>
              <w:rPr>
                <w:rFonts w:cs="Arial"/>
                <w:szCs w:val="18"/>
                <w:lang w:val="en-GB"/>
              </w:rPr>
              <w:t>-</w:t>
            </w:r>
          </w:p>
        </w:tc>
        <w:tc>
          <w:tcPr>
            <w:tcW w:w="1646" w:type="dxa"/>
            <w:shd w:val="clear" w:color="auto" w:fill="FFFFFF"/>
          </w:tcPr>
          <w:p w14:paraId="18325A3E" w14:textId="503B6605" w:rsidR="00461873" w:rsidRPr="00B57B36" w:rsidRDefault="00461873" w:rsidP="00461873">
            <w:pPr>
              <w:pStyle w:val="CETBodytext"/>
              <w:ind w:right="-1"/>
              <w:rPr>
                <w:rFonts w:cs="Arial"/>
                <w:szCs w:val="18"/>
                <w:lang w:val="en-GB"/>
              </w:rPr>
            </w:pPr>
            <w:r>
              <w:rPr>
                <w:lang w:eastAsia="en-GB"/>
              </w:rPr>
              <w:t>-</w:t>
            </w:r>
          </w:p>
        </w:tc>
        <w:tc>
          <w:tcPr>
            <w:tcW w:w="1471" w:type="dxa"/>
            <w:shd w:val="clear" w:color="auto" w:fill="FFFFFF"/>
          </w:tcPr>
          <w:p w14:paraId="6981A38F" w14:textId="1B05CF93" w:rsidR="00461873" w:rsidRPr="00B57B36" w:rsidRDefault="00461873" w:rsidP="00461873">
            <w:pPr>
              <w:pStyle w:val="CETBodytext"/>
              <w:ind w:right="-1"/>
              <w:rPr>
                <w:rFonts w:cs="Arial"/>
                <w:szCs w:val="18"/>
                <w:lang w:val="en-GB"/>
              </w:rPr>
            </w:pPr>
            <w:r>
              <w:rPr>
                <w:lang w:eastAsia="en-GB"/>
              </w:rPr>
              <w:t>96</w:t>
            </w:r>
          </w:p>
        </w:tc>
      </w:tr>
      <w:tr w:rsidR="00461873" w:rsidRPr="00B57B36" w14:paraId="1F8E1391" w14:textId="77777777" w:rsidTr="00461873">
        <w:trPr>
          <w:trHeight w:val="232"/>
        </w:trPr>
        <w:tc>
          <w:tcPr>
            <w:tcW w:w="1985" w:type="dxa"/>
            <w:shd w:val="clear" w:color="auto" w:fill="FFFFFF"/>
          </w:tcPr>
          <w:p w14:paraId="376B2FFE" w14:textId="77777777" w:rsidR="00461873" w:rsidRDefault="00461873" w:rsidP="00461873">
            <w:pPr>
              <w:pStyle w:val="CETBodytext"/>
              <w:ind w:right="-1"/>
              <w:rPr>
                <w:rFonts w:cs="Arial"/>
                <w:szCs w:val="18"/>
                <w:lang w:val="en-GB"/>
              </w:rPr>
            </w:pPr>
            <w:r>
              <w:rPr>
                <w:rFonts w:cs="Arial"/>
                <w:szCs w:val="18"/>
                <w:lang w:val="en-GB"/>
              </w:rPr>
              <w:t>Bilayer O30/I30</w:t>
            </w:r>
          </w:p>
        </w:tc>
        <w:tc>
          <w:tcPr>
            <w:tcW w:w="1276" w:type="dxa"/>
            <w:shd w:val="clear" w:color="auto" w:fill="FFFFFF"/>
          </w:tcPr>
          <w:p w14:paraId="261D026F" w14:textId="1D328A02" w:rsidR="00461873" w:rsidRPr="00B57B36" w:rsidRDefault="00461873" w:rsidP="00461873">
            <w:pPr>
              <w:pStyle w:val="CETBodytext"/>
              <w:ind w:right="-1"/>
              <w:rPr>
                <w:rFonts w:cs="Arial"/>
                <w:szCs w:val="18"/>
                <w:lang w:val="en-GB"/>
              </w:rPr>
            </w:pPr>
            <w:r>
              <w:rPr>
                <w:lang w:eastAsia="en-GB"/>
              </w:rPr>
              <w:t xml:space="preserve">60 </w:t>
            </w:r>
            <w:r w:rsidRPr="00983588">
              <w:t>±</w:t>
            </w:r>
            <w:r>
              <w:t xml:space="preserve"> 4</w:t>
            </w:r>
          </w:p>
        </w:tc>
        <w:tc>
          <w:tcPr>
            <w:tcW w:w="1189" w:type="dxa"/>
            <w:shd w:val="clear" w:color="auto" w:fill="FFFFFF"/>
          </w:tcPr>
          <w:p w14:paraId="41F32A06" w14:textId="559AA1E9" w:rsidR="00461873" w:rsidRPr="00B57B36" w:rsidRDefault="00461873" w:rsidP="00461873">
            <w:pPr>
              <w:pStyle w:val="CETBodytext"/>
              <w:ind w:right="-1"/>
              <w:rPr>
                <w:rFonts w:cs="Arial"/>
                <w:szCs w:val="18"/>
                <w:lang w:val="en-GB"/>
              </w:rPr>
            </w:pPr>
            <w:r>
              <w:rPr>
                <w:lang w:eastAsia="en-GB"/>
              </w:rPr>
              <w:t>30</w:t>
            </w:r>
          </w:p>
        </w:tc>
        <w:tc>
          <w:tcPr>
            <w:tcW w:w="1220" w:type="dxa"/>
            <w:shd w:val="clear" w:color="auto" w:fill="FFFFFF"/>
          </w:tcPr>
          <w:p w14:paraId="3552FD6C" w14:textId="28425005" w:rsidR="00461873" w:rsidRDefault="00461873" w:rsidP="00461873">
            <w:pPr>
              <w:pStyle w:val="CETBodytext"/>
              <w:ind w:right="-1"/>
              <w:rPr>
                <w:rFonts w:cs="Arial"/>
                <w:szCs w:val="18"/>
                <w:lang w:val="en-GB"/>
              </w:rPr>
            </w:pPr>
            <w:r>
              <w:rPr>
                <w:lang w:eastAsia="en-GB"/>
              </w:rPr>
              <w:t>30</w:t>
            </w:r>
          </w:p>
        </w:tc>
        <w:tc>
          <w:tcPr>
            <w:tcW w:w="1646" w:type="dxa"/>
            <w:shd w:val="clear" w:color="auto" w:fill="FFFFFF"/>
          </w:tcPr>
          <w:p w14:paraId="0BBAF382" w14:textId="3893EDE1" w:rsidR="00461873" w:rsidRDefault="00461873" w:rsidP="00461873">
            <w:pPr>
              <w:pStyle w:val="CETBodytext"/>
              <w:ind w:right="-1"/>
              <w:rPr>
                <w:rFonts w:cs="Arial"/>
                <w:szCs w:val="18"/>
                <w:lang w:val="en-GB"/>
              </w:rPr>
            </w:pPr>
            <w:r>
              <w:rPr>
                <w:lang w:eastAsia="en-GB"/>
              </w:rPr>
              <w:t>54</w:t>
            </w:r>
          </w:p>
        </w:tc>
        <w:tc>
          <w:tcPr>
            <w:tcW w:w="1471" w:type="dxa"/>
            <w:shd w:val="clear" w:color="auto" w:fill="FFFFFF"/>
          </w:tcPr>
          <w:p w14:paraId="28A00FE2" w14:textId="561CCAB1" w:rsidR="00461873" w:rsidRPr="00B57B36" w:rsidRDefault="00461873" w:rsidP="00461873">
            <w:pPr>
              <w:pStyle w:val="CETBodytext"/>
              <w:ind w:right="-1"/>
              <w:rPr>
                <w:rFonts w:cs="Arial"/>
                <w:szCs w:val="18"/>
                <w:lang w:val="en-GB"/>
              </w:rPr>
            </w:pPr>
            <w:r>
              <w:rPr>
                <w:lang w:eastAsia="en-GB"/>
              </w:rPr>
              <w:t>54</w:t>
            </w:r>
          </w:p>
        </w:tc>
      </w:tr>
      <w:tr w:rsidR="00461873" w:rsidRPr="00B57B36" w14:paraId="1FAF2750" w14:textId="77777777" w:rsidTr="00461873">
        <w:trPr>
          <w:trHeight w:val="232"/>
        </w:trPr>
        <w:tc>
          <w:tcPr>
            <w:tcW w:w="1985" w:type="dxa"/>
            <w:shd w:val="clear" w:color="auto" w:fill="FFFFFF"/>
          </w:tcPr>
          <w:p w14:paraId="28915993" w14:textId="77777777" w:rsidR="00461873" w:rsidRDefault="00461873" w:rsidP="00461873">
            <w:pPr>
              <w:pStyle w:val="CETBodytext"/>
              <w:ind w:right="-1"/>
              <w:rPr>
                <w:rFonts w:cs="Arial"/>
                <w:szCs w:val="18"/>
                <w:lang w:val="en-GB"/>
              </w:rPr>
            </w:pPr>
            <w:r>
              <w:rPr>
                <w:rFonts w:cs="Arial"/>
                <w:szCs w:val="18"/>
                <w:lang w:val="en-GB"/>
              </w:rPr>
              <w:t>Bilayer O30/I50</w:t>
            </w:r>
          </w:p>
        </w:tc>
        <w:tc>
          <w:tcPr>
            <w:tcW w:w="1276" w:type="dxa"/>
            <w:shd w:val="clear" w:color="auto" w:fill="FFFFFF"/>
          </w:tcPr>
          <w:p w14:paraId="6B262335" w14:textId="06431E1F" w:rsidR="00461873" w:rsidRPr="00B57B36" w:rsidRDefault="00461873" w:rsidP="00461873">
            <w:pPr>
              <w:pStyle w:val="CETBodytext"/>
              <w:ind w:right="-1"/>
              <w:rPr>
                <w:rFonts w:cs="Arial"/>
                <w:szCs w:val="18"/>
                <w:lang w:val="en-GB"/>
              </w:rPr>
            </w:pPr>
            <w:r>
              <w:rPr>
                <w:lang w:eastAsia="en-GB"/>
              </w:rPr>
              <w:t xml:space="preserve">80 </w:t>
            </w:r>
            <w:r w:rsidRPr="00983588">
              <w:t>±</w:t>
            </w:r>
            <w:r>
              <w:t xml:space="preserve"> 4</w:t>
            </w:r>
          </w:p>
        </w:tc>
        <w:tc>
          <w:tcPr>
            <w:tcW w:w="1189" w:type="dxa"/>
            <w:shd w:val="clear" w:color="auto" w:fill="FFFFFF"/>
          </w:tcPr>
          <w:p w14:paraId="31219B0C" w14:textId="1C3DB943" w:rsidR="00461873" w:rsidRPr="00B57B36" w:rsidRDefault="00504467" w:rsidP="00461873">
            <w:pPr>
              <w:pStyle w:val="CETBodytext"/>
              <w:ind w:right="-1"/>
              <w:rPr>
                <w:rFonts w:cs="Arial"/>
                <w:szCs w:val="18"/>
                <w:lang w:val="en-GB"/>
              </w:rPr>
            </w:pPr>
            <w:r>
              <w:t>30</w:t>
            </w:r>
          </w:p>
        </w:tc>
        <w:tc>
          <w:tcPr>
            <w:tcW w:w="1220" w:type="dxa"/>
            <w:shd w:val="clear" w:color="auto" w:fill="FFFFFF"/>
          </w:tcPr>
          <w:p w14:paraId="27D86C1D" w14:textId="1A22EF99" w:rsidR="00461873" w:rsidRDefault="00504467" w:rsidP="00461873">
            <w:pPr>
              <w:pStyle w:val="CETBodytext"/>
              <w:ind w:right="-1"/>
              <w:rPr>
                <w:rFonts w:cs="Arial"/>
                <w:szCs w:val="18"/>
                <w:lang w:val="en-GB"/>
              </w:rPr>
            </w:pPr>
            <w:r>
              <w:rPr>
                <w:lang w:eastAsia="en-GB"/>
              </w:rPr>
              <w:t>5</w:t>
            </w:r>
            <w:r w:rsidR="00461873">
              <w:rPr>
                <w:lang w:eastAsia="en-GB"/>
              </w:rPr>
              <w:t>0</w:t>
            </w:r>
          </w:p>
        </w:tc>
        <w:tc>
          <w:tcPr>
            <w:tcW w:w="1646" w:type="dxa"/>
            <w:shd w:val="clear" w:color="auto" w:fill="FFFFFF"/>
          </w:tcPr>
          <w:p w14:paraId="42C883FD" w14:textId="13DE3EFA" w:rsidR="00461873" w:rsidRDefault="00461873" w:rsidP="00461873">
            <w:pPr>
              <w:pStyle w:val="CETBodytext"/>
              <w:ind w:right="-1"/>
              <w:rPr>
                <w:rFonts w:cs="Arial"/>
                <w:szCs w:val="18"/>
                <w:lang w:val="en-GB"/>
              </w:rPr>
            </w:pPr>
            <w:r>
              <w:rPr>
                <w:lang w:eastAsia="en-GB"/>
              </w:rPr>
              <w:t>96</w:t>
            </w:r>
          </w:p>
        </w:tc>
        <w:tc>
          <w:tcPr>
            <w:tcW w:w="1471" w:type="dxa"/>
            <w:shd w:val="clear" w:color="auto" w:fill="FFFFFF"/>
          </w:tcPr>
          <w:p w14:paraId="7145D953" w14:textId="780B34CA" w:rsidR="00461873" w:rsidRPr="00B57B36" w:rsidRDefault="00461873" w:rsidP="00461873">
            <w:pPr>
              <w:pStyle w:val="CETBodytext"/>
              <w:ind w:right="-1"/>
              <w:rPr>
                <w:rFonts w:cs="Arial"/>
                <w:szCs w:val="18"/>
                <w:lang w:val="en-GB"/>
              </w:rPr>
            </w:pPr>
            <w:r>
              <w:rPr>
                <w:lang w:eastAsia="en-GB"/>
              </w:rPr>
              <w:t>54</w:t>
            </w:r>
          </w:p>
        </w:tc>
      </w:tr>
      <w:tr w:rsidR="00461873" w:rsidRPr="00B57B36" w14:paraId="4D7ADF82" w14:textId="77777777" w:rsidTr="00461873">
        <w:trPr>
          <w:trHeight w:val="232"/>
        </w:trPr>
        <w:tc>
          <w:tcPr>
            <w:tcW w:w="1985" w:type="dxa"/>
            <w:shd w:val="clear" w:color="auto" w:fill="FFFFFF"/>
          </w:tcPr>
          <w:p w14:paraId="1D83D9BE" w14:textId="77777777" w:rsidR="00461873" w:rsidRDefault="00461873" w:rsidP="00461873">
            <w:pPr>
              <w:pStyle w:val="CETBodytext"/>
              <w:ind w:right="-1"/>
              <w:rPr>
                <w:rFonts w:cs="Arial"/>
                <w:szCs w:val="18"/>
                <w:lang w:val="en-GB"/>
              </w:rPr>
            </w:pPr>
            <w:r>
              <w:rPr>
                <w:rFonts w:cs="Arial"/>
                <w:szCs w:val="18"/>
                <w:lang w:val="en-GB"/>
              </w:rPr>
              <w:t>Bilayer O50/I30</w:t>
            </w:r>
          </w:p>
        </w:tc>
        <w:tc>
          <w:tcPr>
            <w:tcW w:w="1276" w:type="dxa"/>
            <w:shd w:val="clear" w:color="auto" w:fill="FFFFFF"/>
          </w:tcPr>
          <w:p w14:paraId="664511E8" w14:textId="5EBA7AAF" w:rsidR="00461873" w:rsidRPr="00B57B36" w:rsidRDefault="00461873" w:rsidP="00461873">
            <w:pPr>
              <w:pStyle w:val="CETBodytext"/>
              <w:ind w:right="-1"/>
              <w:rPr>
                <w:rFonts w:cs="Arial"/>
                <w:szCs w:val="18"/>
                <w:lang w:val="en-GB"/>
              </w:rPr>
            </w:pPr>
            <w:r>
              <w:rPr>
                <w:lang w:eastAsia="en-GB"/>
              </w:rPr>
              <w:t xml:space="preserve">80 </w:t>
            </w:r>
            <w:r w:rsidRPr="00983588">
              <w:t>±</w:t>
            </w:r>
            <w:r>
              <w:t xml:space="preserve"> 4</w:t>
            </w:r>
          </w:p>
        </w:tc>
        <w:tc>
          <w:tcPr>
            <w:tcW w:w="1189" w:type="dxa"/>
            <w:shd w:val="clear" w:color="auto" w:fill="FFFFFF"/>
          </w:tcPr>
          <w:p w14:paraId="02CCE0DB" w14:textId="26FF4DB6" w:rsidR="00504467" w:rsidRPr="00B57B36" w:rsidRDefault="00504467" w:rsidP="00461873">
            <w:pPr>
              <w:pStyle w:val="CETBodytext"/>
              <w:ind w:right="-1"/>
              <w:rPr>
                <w:rFonts w:cs="Arial"/>
                <w:szCs w:val="18"/>
                <w:lang w:val="en-GB"/>
              </w:rPr>
            </w:pPr>
            <w:r>
              <w:t>50</w:t>
            </w:r>
          </w:p>
        </w:tc>
        <w:tc>
          <w:tcPr>
            <w:tcW w:w="1220" w:type="dxa"/>
            <w:shd w:val="clear" w:color="auto" w:fill="FFFFFF"/>
          </w:tcPr>
          <w:p w14:paraId="1FC8C912" w14:textId="79C54B05" w:rsidR="00461873" w:rsidRDefault="00504467" w:rsidP="00461873">
            <w:pPr>
              <w:pStyle w:val="CETBodytext"/>
              <w:ind w:right="-1"/>
              <w:rPr>
                <w:rFonts w:cs="Arial"/>
                <w:szCs w:val="18"/>
                <w:lang w:val="en-GB"/>
              </w:rPr>
            </w:pPr>
            <w:r>
              <w:rPr>
                <w:lang w:eastAsia="en-GB"/>
              </w:rPr>
              <w:t>3</w:t>
            </w:r>
            <w:r w:rsidR="00461873">
              <w:rPr>
                <w:lang w:eastAsia="en-GB"/>
              </w:rPr>
              <w:t>0</w:t>
            </w:r>
          </w:p>
        </w:tc>
        <w:tc>
          <w:tcPr>
            <w:tcW w:w="1646" w:type="dxa"/>
            <w:shd w:val="clear" w:color="auto" w:fill="FFFFFF"/>
          </w:tcPr>
          <w:p w14:paraId="39E6329B" w14:textId="07E306AD" w:rsidR="00461873" w:rsidRDefault="00461873" w:rsidP="00461873">
            <w:pPr>
              <w:pStyle w:val="CETBodytext"/>
              <w:ind w:right="-1"/>
              <w:rPr>
                <w:rFonts w:cs="Arial"/>
                <w:szCs w:val="18"/>
                <w:lang w:val="en-GB"/>
              </w:rPr>
            </w:pPr>
            <w:r>
              <w:rPr>
                <w:lang w:eastAsia="en-GB"/>
              </w:rPr>
              <w:t>54</w:t>
            </w:r>
          </w:p>
        </w:tc>
        <w:tc>
          <w:tcPr>
            <w:tcW w:w="1471" w:type="dxa"/>
            <w:shd w:val="clear" w:color="auto" w:fill="FFFFFF"/>
          </w:tcPr>
          <w:p w14:paraId="08DAD06F" w14:textId="6102808D" w:rsidR="00461873" w:rsidRPr="00B57B36" w:rsidRDefault="00461873" w:rsidP="00461873">
            <w:pPr>
              <w:pStyle w:val="CETBodytext"/>
              <w:ind w:right="-1"/>
              <w:rPr>
                <w:rFonts w:cs="Arial"/>
                <w:szCs w:val="18"/>
                <w:lang w:val="en-GB"/>
              </w:rPr>
            </w:pPr>
            <w:r>
              <w:rPr>
                <w:lang w:eastAsia="en-GB"/>
              </w:rPr>
              <w:t>96</w:t>
            </w:r>
          </w:p>
        </w:tc>
      </w:tr>
    </w:tbl>
    <w:p w14:paraId="7D5F2491" w14:textId="460AC822" w:rsidR="00461873" w:rsidRDefault="00461873" w:rsidP="00B620DB">
      <w:pPr>
        <w:pStyle w:val="CETBodytext"/>
      </w:pPr>
    </w:p>
    <w:p w14:paraId="7055DEBB" w14:textId="5BD8959F" w:rsidR="00783C27" w:rsidRDefault="00783C27" w:rsidP="00783C27">
      <w:pPr>
        <w:pStyle w:val="CETheadingx"/>
      </w:pPr>
      <w:r>
        <w:t>Characterization</w:t>
      </w:r>
      <w:r w:rsidR="00B060C8">
        <w:t xml:space="preserve"> of the produced films</w:t>
      </w:r>
    </w:p>
    <w:p w14:paraId="426B7C43" w14:textId="16082C07" w:rsidR="00DC3E9F" w:rsidRDefault="00DC3E9F" w:rsidP="00BB4C3A">
      <w:pPr>
        <w:pStyle w:val="CETBodytext"/>
      </w:pPr>
      <w:r w:rsidRPr="00A037C1">
        <w:t xml:space="preserve">Oxygen permeability </w:t>
      </w:r>
      <w:r>
        <w:t>analyses</w:t>
      </w:r>
      <w:r w:rsidRPr="00A037C1">
        <w:t xml:space="preserve"> were </w:t>
      </w:r>
      <w:r>
        <w:t>carried out in triple</w:t>
      </w:r>
      <w:r w:rsidRPr="00A037C1">
        <w:t xml:space="preserve"> by </w:t>
      </w:r>
      <w:r>
        <w:t xml:space="preserve">a </w:t>
      </w:r>
      <w:r w:rsidRPr="00A037C1">
        <w:t>GDP-C</w:t>
      </w:r>
      <w:r>
        <w:t xml:space="preserve"> </w:t>
      </w:r>
      <w:r w:rsidRPr="00A037C1">
        <w:t>gas permeabilimeter (Brugger, Munich, Germany)</w:t>
      </w:r>
      <w:r>
        <w:t xml:space="preserve"> </w:t>
      </w:r>
      <w:r w:rsidRPr="00A037C1">
        <w:t>at 23 °C</w:t>
      </w:r>
      <w:r w:rsidRPr="00724748">
        <w:t>, 0</w:t>
      </w:r>
      <w:r w:rsidR="00724748" w:rsidRPr="00724748">
        <w:t xml:space="preserve"> </w:t>
      </w:r>
      <w:r w:rsidRPr="00724748">
        <w:t>% R</w:t>
      </w:r>
      <w:r w:rsidRPr="00A037C1">
        <w:t>.H.</w:t>
      </w:r>
      <w:r>
        <w:t xml:space="preserve"> and</w:t>
      </w:r>
      <w:r w:rsidRPr="00A037C1">
        <w:t xml:space="preserve"> with 80 mL/min oxygen flow rate</w:t>
      </w:r>
      <w:r>
        <w:t xml:space="preserve">, </w:t>
      </w:r>
      <w:r w:rsidRPr="00A037C1">
        <w:t xml:space="preserve">according </w:t>
      </w:r>
      <w:r w:rsidRPr="003467A6">
        <w:t>to ASTM D1434-82 procedure</w:t>
      </w:r>
      <w:r w:rsidR="003467A6">
        <w:t>.</w:t>
      </w:r>
      <w:r w:rsidR="009817B6">
        <w:rPr>
          <w:color w:val="FF0000"/>
        </w:rPr>
        <w:t xml:space="preserve"> </w:t>
      </w:r>
      <w:r>
        <w:t>The permeability coefficients (P</w:t>
      </w:r>
      <w:r w:rsidRPr="00BB4C3A">
        <w:t>O</w:t>
      </w:r>
      <w:r w:rsidRPr="001D2306">
        <w:rPr>
          <w:vertAlign w:val="subscript"/>
        </w:rPr>
        <w:t>2</w:t>
      </w:r>
      <w:r>
        <w:t xml:space="preserve">) were gained by multiplying the obtained oxygen transmission rate values by the thickness (mm) of each film. </w:t>
      </w:r>
      <w:r w:rsidRPr="00F212B8">
        <w:t>For multilayer structure</w:t>
      </w:r>
      <w:r>
        <w:t>s</w:t>
      </w:r>
      <w:r w:rsidRPr="00F212B8">
        <w:t xml:space="preserve"> </w:t>
      </w:r>
      <w:r>
        <w:t>the oxygen</w:t>
      </w:r>
      <w:r w:rsidRPr="00F212B8">
        <w:t xml:space="preserve"> permeability coefficient</w:t>
      </w:r>
      <w:r>
        <w:t>s were further calculated</w:t>
      </w:r>
      <w:r w:rsidRPr="00F212B8">
        <w:t xml:space="preserve"> considering the permeability coefficient</w:t>
      </w:r>
      <w:r>
        <w:t>s</w:t>
      </w:r>
      <w:r w:rsidRPr="00F212B8">
        <w:t xml:space="preserve"> of the monolayers and their thickness</w:t>
      </w:r>
      <w:r>
        <w:t>, according to the following equations:</w:t>
      </w:r>
    </w:p>
    <w:tbl>
      <w:tblPr>
        <w:tblStyle w:val="Grigliatabella"/>
        <w:tblW w:w="0" w:type="auto"/>
        <w:tblCellMar>
          <w:top w:w="28" w:type="dxa"/>
          <w:bottom w:w="28" w:type="dxa"/>
        </w:tblCellMar>
        <w:tblLook w:val="04A0" w:firstRow="1" w:lastRow="0" w:firstColumn="1" w:lastColumn="0" w:noHBand="0" w:noVBand="1"/>
      </w:tblPr>
      <w:tblGrid>
        <w:gridCol w:w="7958"/>
        <w:gridCol w:w="829"/>
      </w:tblGrid>
      <w:tr w:rsidR="00DC3E9F" w14:paraId="0AEE9CD2" w14:textId="77777777" w:rsidTr="00F01692">
        <w:trPr>
          <w:trHeight w:val="624"/>
        </w:trPr>
        <w:tc>
          <w:tcPr>
            <w:tcW w:w="8897" w:type="dxa"/>
            <w:tcBorders>
              <w:top w:val="nil"/>
              <w:left w:val="nil"/>
              <w:bottom w:val="nil"/>
              <w:right w:val="nil"/>
            </w:tcBorders>
            <w:vAlign w:val="center"/>
          </w:tcPr>
          <w:p w14:paraId="308AED8F" w14:textId="2D5E740B" w:rsidR="00DC3E9F" w:rsidRPr="00E83716" w:rsidRDefault="00000000" w:rsidP="00F01692">
            <w:pPr>
              <w:contextualSpacing/>
              <w:jc w:val="left"/>
            </w:pPr>
            <m:oMathPara>
              <m:oMathParaPr>
                <m:jc m:val="left"/>
              </m:oMathParaPr>
              <m:oMath>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Bilayer</m:t>
                        </m:r>
                      </m:sub>
                    </m:sSub>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Bilayer</m:t>
                        </m:r>
                      </m:sub>
                    </m:sSub>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O</m:t>
                        </m:r>
                      </m:sub>
                    </m:sSub>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O</m:t>
                        </m:r>
                      </m:sub>
                    </m:sSub>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den>
                </m:f>
              </m:oMath>
            </m:oMathPara>
          </w:p>
        </w:tc>
        <w:tc>
          <w:tcPr>
            <w:tcW w:w="881" w:type="dxa"/>
            <w:tcBorders>
              <w:top w:val="nil"/>
              <w:left w:val="nil"/>
              <w:bottom w:val="nil"/>
              <w:right w:val="nil"/>
            </w:tcBorders>
            <w:vAlign w:val="center"/>
          </w:tcPr>
          <w:p w14:paraId="5CC84AE8" w14:textId="77777777" w:rsidR="00DC3E9F" w:rsidRDefault="00DC3E9F" w:rsidP="00E83716">
            <w:pPr>
              <w:contextualSpacing/>
              <w:jc w:val="right"/>
            </w:pPr>
            <w:r>
              <w:t>(1)</w:t>
            </w:r>
          </w:p>
        </w:tc>
      </w:tr>
      <w:tr w:rsidR="00DC3E9F" w14:paraId="5DA6F1DD" w14:textId="77777777" w:rsidTr="00F01692">
        <w:trPr>
          <w:trHeight w:val="624"/>
        </w:trPr>
        <w:tc>
          <w:tcPr>
            <w:tcW w:w="8897" w:type="dxa"/>
            <w:tcBorders>
              <w:top w:val="nil"/>
              <w:left w:val="nil"/>
              <w:bottom w:val="nil"/>
              <w:right w:val="nil"/>
            </w:tcBorders>
            <w:vAlign w:val="center"/>
          </w:tcPr>
          <w:p w14:paraId="7F02E566" w14:textId="77777777" w:rsidR="00DC3E9F" w:rsidRPr="00E83716" w:rsidRDefault="00000000" w:rsidP="00F01692">
            <w:pPr>
              <w:contextualSpacing/>
              <w:jc w:val="left"/>
              <w:rPr>
                <w:rFonts w:ascii="Calibri" w:eastAsia="Calibri" w:hAnsi="Calibri"/>
                <w:color w:val="000000" w:themeColor="text1"/>
              </w:rPr>
            </w:pPr>
            <m:oMathPara>
              <m:oMathParaPr>
                <m:jc m:val="left"/>
              </m:oMathParaPr>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tot</m:t>
                        </m:r>
                      </m:sub>
                    </m:sSub>
                  </m:den>
                </m:f>
                <m:r>
                  <w:rPr>
                    <w:rFonts w:ascii="Cambria Math" w:hAnsi="Cambria Math"/>
                    <w:color w:val="000000" w:themeColor="text1"/>
                  </w:rPr>
                  <m:t>=</m:t>
                </m:r>
                <m:nary>
                  <m:naryPr>
                    <m:chr m:val="∑"/>
                    <m:limLoc m:val="undOvr"/>
                    <m:subHide m:val="1"/>
                    <m:supHide m:val="1"/>
                    <m:ctrlPr>
                      <w:rPr>
                        <w:rFonts w:ascii="Cambria Math" w:hAnsi="Cambria Math"/>
                        <w:i/>
                        <w:color w:val="000000" w:themeColor="text1"/>
                      </w:rPr>
                    </m:ctrlPr>
                  </m:naryPr>
                  <m:sub/>
                  <m:sup/>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den>
                    </m:f>
                    <m:r>
                      <w:rPr>
                        <w:rFonts w:ascii="Cambria Math" w:hAnsi="Cambria Math"/>
                        <w:color w:val="000000" w:themeColor="text1"/>
                      </w:rPr>
                      <m:t>=</m:t>
                    </m:r>
                  </m:e>
                </m:nary>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den>
                </m:f>
                <m:r>
                  <w:rPr>
                    <w:rFonts w:ascii="Cambria Math" w:hAnsi="Cambria Math"/>
                    <w:color w:val="000000" w:themeColor="text1"/>
                  </w:rPr>
                  <m:t>+…</m:t>
                </m:r>
              </m:oMath>
            </m:oMathPara>
          </w:p>
        </w:tc>
        <w:tc>
          <w:tcPr>
            <w:tcW w:w="881" w:type="dxa"/>
            <w:tcBorders>
              <w:top w:val="nil"/>
              <w:left w:val="nil"/>
              <w:bottom w:val="nil"/>
              <w:right w:val="nil"/>
            </w:tcBorders>
            <w:vAlign w:val="center"/>
          </w:tcPr>
          <w:p w14:paraId="2D277457" w14:textId="77777777" w:rsidR="00DC3E9F" w:rsidRDefault="00DC3E9F" w:rsidP="00E83716">
            <w:pPr>
              <w:contextualSpacing/>
              <w:jc w:val="right"/>
            </w:pPr>
            <w:r>
              <w:t>(2)</w:t>
            </w:r>
          </w:p>
        </w:tc>
      </w:tr>
    </w:tbl>
    <w:p w14:paraId="2781FEF4" w14:textId="79A3AF39" w:rsidR="00DC3E9F" w:rsidRDefault="00724748" w:rsidP="00BB4C3A">
      <w:pPr>
        <w:pStyle w:val="CETBodytext"/>
      </w:pPr>
      <w:r>
        <w:t>w</w:t>
      </w:r>
      <w:r w:rsidR="00DC3E9F" w:rsidRPr="00DC214F">
        <w:t xml:space="preserve">here </w:t>
      </w:r>
      <m:oMath>
        <m:r>
          <w:rPr>
            <w:rFonts w:ascii="Cambria Math" w:hAnsi="Cambria Math"/>
          </w:rPr>
          <m:t>x</m:t>
        </m:r>
      </m:oMath>
      <w:r w:rsidR="00DC3E9F" w:rsidRPr="00DC214F">
        <w:t xml:space="preserve"> and </w:t>
      </w:r>
      <m:oMath>
        <m:r>
          <w:rPr>
            <w:rFonts w:ascii="Cambria Math" w:hAnsi="Cambria Math"/>
          </w:rPr>
          <m:t>P</m:t>
        </m:r>
      </m:oMath>
      <w:r w:rsidR="00DC3E9F" w:rsidRPr="00DC214F">
        <w:t xml:space="preserve"> </w:t>
      </w:r>
      <w:r w:rsidR="00DC3E9F">
        <w:t>refer to the</w:t>
      </w:r>
      <w:r w:rsidR="00DC3E9F" w:rsidRPr="00DC214F">
        <w:t xml:space="preserve"> thickness and the permeability </w:t>
      </w:r>
      <w:r w:rsidR="00DC3E9F">
        <w:t xml:space="preserve">coefficient </w:t>
      </w:r>
      <w:r w:rsidR="00DC3E9F" w:rsidRPr="00DC214F">
        <w:t>of each layer</w:t>
      </w:r>
      <w:r w:rsidR="00DC3E9F">
        <w:t xml:space="preserve"> </w:t>
      </w:r>
      <m:oMath>
        <m:r>
          <w:rPr>
            <w:rFonts w:ascii="Cambria Math" w:hAnsi="Cambria Math"/>
          </w:rPr>
          <m:t>i</m:t>
        </m:r>
      </m:oMath>
      <w:r w:rsidR="00DC3E9F">
        <w:t xml:space="preserve">, subscripts </w:t>
      </w:r>
      <w:r w:rsidR="00DC3E9F" w:rsidRPr="00DC214F">
        <w:t>“</w:t>
      </w:r>
      <w:r w:rsidR="00DC3E9F">
        <w:t>O</w:t>
      </w:r>
      <w:r w:rsidR="00DC3E9F" w:rsidRPr="00DC214F">
        <w:t xml:space="preserve">” </w:t>
      </w:r>
      <w:r w:rsidR="00DC3E9F">
        <w:t xml:space="preserve">and </w:t>
      </w:r>
      <w:r w:rsidR="00DC3E9F" w:rsidRPr="00DC214F">
        <w:t>“</w:t>
      </w:r>
      <w:r w:rsidR="00DC3E9F">
        <w:t>I</w:t>
      </w:r>
      <w:r w:rsidR="00DC3E9F" w:rsidRPr="00DC214F">
        <w:t xml:space="preserve">” </w:t>
      </w:r>
      <w:r w:rsidR="00DC3E9F">
        <w:t>stand for</w:t>
      </w:r>
      <w:r w:rsidR="00DC3E9F" w:rsidRPr="00DC214F">
        <w:t xml:space="preserve"> the </w:t>
      </w:r>
      <w:r w:rsidR="00DC3E9F">
        <w:t>outer and inner layer, respectively,</w:t>
      </w:r>
      <w:r w:rsidR="00DC3E9F" w:rsidRPr="00DC214F">
        <w:t xml:space="preserve"> and “</w:t>
      </w:r>
      <w:r w:rsidR="00DC3E9F">
        <w:t>Coex</w:t>
      </w:r>
      <w:r w:rsidR="00DC3E9F" w:rsidRPr="00DC214F">
        <w:t xml:space="preserve">” for the </w:t>
      </w:r>
      <w:r w:rsidR="00DC3E9F">
        <w:t>coextruded</w:t>
      </w:r>
      <w:r w:rsidR="00DC3E9F" w:rsidRPr="00DC214F">
        <w:t xml:space="preserve"> structure</w:t>
      </w:r>
      <w:r w:rsidR="005D66A0">
        <w:t>.</w:t>
      </w:r>
    </w:p>
    <w:p w14:paraId="30CAC55B" w14:textId="22DE6997" w:rsidR="005D66A0" w:rsidRPr="00501F64" w:rsidRDefault="005D66A0" w:rsidP="00B060C8">
      <w:pPr>
        <w:pStyle w:val="CETBodytext"/>
      </w:pPr>
      <w:r>
        <w:t>S</w:t>
      </w:r>
      <w:r w:rsidRPr="007D0DCF">
        <w:t>tatic contact angle measurements</w:t>
      </w:r>
      <w:r>
        <w:t xml:space="preserve"> were performed by </w:t>
      </w:r>
      <w:r w:rsidRPr="007D0DCF">
        <w:t xml:space="preserve">a FTA 1000 Analyzer (First Ten Angstroms, Inc., Portsmouth, VA, USA) </w:t>
      </w:r>
      <w:r w:rsidRPr="002230D4">
        <w:t>according to ASTM D</w:t>
      </w:r>
      <w:r w:rsidR="002230D4" w:rsidRPr="002230D4">
        <w:t xml:space="preserve"> </w:t>
      </w:r>
      <w:r w:rsidR="005E4F56">
        <w:t>7490</w:t>
      </w:r>
      <w:r w:rsidRPr="002230D4">
        <w:t xml:space="preserve"> procedure, with 2 ± 0.</w:t>
      </w:r>
      <w:r w:rsidRPr="007D0DCF">
        <w:t>5 µL</w:t>
      </w:r>
      <w:r w:rsidRPr="00A1325D">
        <w:t xml:space="preserve"> </w:t>
      </w:r>
      <w:r w:rsidRPr="007D0DCF">
        <w:t>drop volume</w:t>
      </w:r>
      <w:r>
        <w:t xml:space="preserve"> and </w:t>
      </w:r>
      <w:r w:rsidRPr="007D0DCF">
        <w:t xml:space="preserve">ten replicate </w:t>
      </w:r>
      <w:r w:rsidRPr="007D0DCF">
        <w:lastRenderedPageBreak/>
        <w:t>measurements</w:t>
      </w:r>
      <w:r>
        <w:t xml:space="preserve">. </w:t>
      </w:r>
      <w:r w:rsidRPr="007D0DCF">
        <w:t>Owens–</w:t>
      </w:r>
      <w:r w:rsidRPr="00916561">
        <w:t xml:space="preserve">Wendt (OW) geometric mean equation was applied to calculate the surface free energies (SFEs) of the inner and outer layer surfaces of the multilayer films, as well as the relative dispersive </w:t>
      </w:r>
      <w:r w:rsidR="00F33324" w:rsidRPr="00916561">
        <w:rPr>
          <w:lang w:bidi="en-US"/>
        </w:rPr>
        <w:t>(γ</w:t>
      </w:r>
      <w:r w:rsidR="00F33324" w:rsidRPr="00916561">
        <w:rPr>
          <w:vertAlign w:val="subscript"/>
          <w:lang w:bidi="en-US"/>
        </w:rPr>
        <w:t>s</w:t>
      </w:r>
      <w:r w:rsidR="00F33324" w:rsidRPr="00916561">
        <w:rPr>
          <w:vertAlign w:val="superscript"/>
          <w:lang w:bidi="en-US"/>
        </w:rPr>
        <w:t>d</w:t>
      </w:r>
      <w:r w:rsidR="00F33324" w:rsidRPr="00916561">
        <w:rPr>
          <w:lang w:bidi="en-US"/>
        </w:rPr>
        <w:t>) and polar (γ</w:t>
      </w:r>
      <w:r w:rsidR="00F33324" w:rsidRPr="00916561">
        <w:rPr>
          <w:vertAlign w:val="subscript"/>
          <w:lang w:bidi="en-US"/>
        </w:rPr>
        <w:t>s</w:t>
      </w:r>
      <w:r w:rsidR="00F33324" w:rsidRPr="00916561">
        <w:rPr>
          <w:vertAlign w:val="superscript"/>
          <w:lang w:bidi="en-US"/>
        </w:rPr>
        <w:t>p</w:t>
      </w:r>
      <w:r w:rsidR="00F33324" w:rsidRPr="00916561">
        <w:rPr>
          <w:lang w:bidi="en-US"/>
        </w:rPr>
        <w:t>) components</w:t>
      </w:r>
      <w:r w:rsidRPr="00916561">
        <w:t>. (Owens &amp; Wendt, 1969). Diiodomethane (DM) and distilled water (H</w:t>
      </w:r>
      <w:r w:rsidRPr="00916561">
        <w:rPr>
          <w:vertAlign w:val="subscript"/>
        </w:rPr>
        <w:t>2</w:t>
      </w:r>
      <w:r w:rsidRPr="00916561">
        <w:t>O), having known SE values were employed as testing liquids. The OW approach was also employed to calculate the work of adhesion W</w:t>
      </w:r>
      <w:r w:rsidRPr="008D15D0">
        <w:rPr>
          <w:vertAlign w:val="subscript"/>
        </w:rPr>
        <w:t>a</w:t>
      </w:r>
      <w:r w:rsidRPr="00916561">
        <w:t>, in order to evaluate the quality of the interlayer adhesion of the coextruded films. In particular, the following set of equations was used (Ebnesajjad &amp; Landrock, 2015):</w:t>
      </w:r>
    </w:p>
    <w:tbl>
      <w:tblPr>
        <w:tblStyle w:val="Grigliatabella"/>
        <w:tblW w:w="0" w:type="auto"/>
        <w:tblLook w:val="04A0" w:firstRow="1" w:lastRow="0" w:firstColumn="1" w:lastColumn="0" w:noHBand="0" w:noVBand="1"/>
      </w:tblPr>
      <w:tblGrid>
        <w:gridCol w:w="7938"/>
        <w:gridCol w:w="849"/>
      </w:tblGrid>
      <w:tr w:rsidR="005D66A0" w14:paraId="691A69DB" w14:textId="77777777" w:rsidTr="00E83716">
        <w:trPr>
          <w:trHeight w:val="456"/>
        </w:trPr>
        <w:tc>
          <w:tcPr>
            <w:tcW w:w="7938" w:type="dxa"/>
            <w:tcBorders>
              <w:top w:val="nil"/>
              <w:left w:val="nil"/>
              <w:bottom w:val="nil"/>
              <w:right w:val="nil"/>
            </w:tcBorders>
          </w:tcPr>
          <w:p w14:paraId="6E020A4C" w14:textId="77777777" w:rsidR="005D66A0" w:rsidRPr="00E83716" w:rsidRDefault="00000000" w:rsidP="00F01692">
            <w:pPr>
              <w:contextualSpacing/>
              <w:jc w:val="left"/>
              <w:rPr>
                <w:lang w:bidi="en-US"/>
              </w:rPr>
            </w:pPr>
            <m:oMathPara>
              <m:oMathParaPr>
                <m:jc m:val="left"/>
              </m:oMathParaPr>
              <m:oMath>
                <m:sSubSup>
                  <m:sSubSupPr>
                    <m:ctrlPr>
                      <w:rPr>
                        <w:rFonts w:ascii="Cambria Math" w:hAnsi="Cambria Math"/>
                        <w:i/>
                        <w:lang w:bidi="en-US"/>
                      </w:rPr>
                    </m:ctrlPr>
                  </m:sSubSupPr>
                  <m:e>
                    <m:r>
                      <w:rPr>
                        <w:rFonts w:ascii="Cambria Math" w:hAnsi="Cambria Math"/>
                        <w:lang w:bidi="en-US"/>
                      </w:rPr>
                      <m:t>W</m:t>
                    </m:r>
                  </m:e>
                  <m:sub>
                    <m:r>
                      <w:rPr>
                        <w:rFonts w:ascii="Cambria Math" w:hAnsi="Cambria Math"/>
                        <w:lang w:bidi="en-US"/>
                      </w:rPr>
                      <m:t>a</m:t>
                    </m:r>
                  </m:sub>
                  <m:sup/>
                </m:sSubSup>
                <m:r>
                  <w:rPr>
                    <w:rFonts w:ascii="Cambria Math" w:hAnsi="Cambria Math"/>
                    <w:lang w:bidi="en-US"/>
                  </w:rPr>
                  <m:t xml:space="preserve">= </m:t>
                </m:r>
                <m:sSub>
                  <m:sSubPr>
                    <m:ctrlPr>
                      <w:rPr>
                        <w:rFonts w:ascii="Cambria Math" w:hAnsi="Cambria Math"/>
                        <w:i/>
                        <w:lang w:bidi="en-US"/>
                      </w:rPr>
                    </m:ctrlPr>
                  </m:sSubPr>
                  <m:e>
                    <m:r>
                      <w:rPr>
                        <w:rFonts w:ascii="Cambria Math" w:hAnsi="Cambria Math"/>
                        <w:lang w:bidi="en-US"/>
                      </w:rPr>
                      <m:t>γ</m:t>
                    </m:r>
                  </m:e>
                  <m:sub>
                    <m:r>
                      <w:rPr>
                        <w:rFonts w:ascii="Cambria Math" w:hAnsi="Cambria Math"/>
                        <w:lang w:bidi="en-US"/>
                      </w:rPr>
                      <m:t>S</m:t>
                    </m:r>
                  </m:sub>
                </m:sSub>
                <m:r>
                  <w:rPr>
                    <w:rFonts w:ascii="Cambria Math" w:hAnsi="Cambria Math"/>
                    <w:lang w:bidi="en-US"/>
                  </w:rPr>
                  <m:t>+</m:t>
                </m:r>
                <m:sSub>
                  <m:sSubPr>
                    <m:ctrlPr>
                      <w:rPr>
                        <w:rFonts w:ascii="Cambria Math" w:hAnsi="Cambria Math"/>
                        <w:i/>
                        <w:lang w:bidi="en-US"/>
                      </w:rPr>
                    </m:ctrlPr>
                  </m:sSubPr>
                  <m:e>
                    <m:r>
                      <w:rPr>
                        <w:rFonts w:ascii="Cambria Math" w:hAnsi="Cambria Math"/>
                        <w:lang w:bidi="en-US"/>
                      </w:rPr>
                      <m:t>γ</m:t>
                    </m:r>
                  </m:e>
                  <m:sub>
                    <m:r>
                      <w:rPr>
                        <w:rFonts w:ascii="Cambria Math" w:hAnsi="Cambria Math"/>
                        <w:lang w:bidi="en-US"/>
                      </w:rPr>
                      <m:t>L</m:t>
                    </m:r>
                  </m:sub>
                </m:sSub>
                <m:r>
                  <w:rPr>
                    <w:rFonts w:ascii="Cambria Math" w:hAnsi="Cambria Math"/>
                    <w:lang w:bidi="en-US"/>
                  </w:rPr>
                  <m:t>-</m:t>
                </m:r>
                <m:sSub>
                  <m:sSubPr>
                    <m:ctrlPr>
                      <w:rPr>
                        <w:rFonts w:ascii="Cambria Math" w:hAnsi="Cambria Math"/>
                        <w:i/>
                        <w:lang w:bidi="en-US"/>
                      </w:rPr>
                    </m:ctrlPr>
                  </m:sSubPr>
                  <m:e>
                    <m:r>
                      <w:rPr>
                        <w:rFonts w:ascii="Cambria Math" w:hAnsi="Cambria Math"/>
                        <w:lang w:bidi="en-US"/>
                      </w:rPr>
                      <m:t>γ</m:t>
                    </m:r>
                  </m:e>
                  <m:sub>
                    <m:r>
                      <w:rPr>
                        <w:rFonts w:ascii="Cambria Math" w:hAnsi="Cambria Math"/>
                        <w:lang w:bidi="en-US"/>
                      </w:rPr>
                      <m:t>SL</m:t>
                    </m:r>
                  </m:sub>
                </m:sSub>
              </m:oMath>
            </m:oMathPara>
          </w:p>
        </w:tc>
        <w:tc>
          <w:tcPr>
            <w:tcW w:w="849" w:type="dxa"/>
            <w:tcBorders>
              <w:top w:val="nil"/>
              <w:left w:val="nil"/>
              <w:bottom w:val="nil"/>
              <w:right w:val="nil"/>
            </w:tcBorders>
            <w:vAlign w:val="center"/>
          </w:tcPr>
          <w:p w14:paraId="5F52086F" w14:textId="77777777" w:rsidR="005D66A0" w:rsidRDefault="005D66A0" w:rsidP="00E83716">
            <w:pPr>
              <w:contextualSpacing/>
              <w:jc w:val="right"/>
              <w:rPr>
                <w:lang w:bidi="en-US"/>
              </w:rPr>
            </w:pPr>
            <w:r w:rsidRPr="007D0DCF">
              <w:rPr>
                <w:lang w:bidi="en-US"/>
              </w:rPr>
              <w:t>(</w:t>
            </w:r>
            <w:r>
              <w:rPr>
                <w:lang w:bidi="en-US"/>
              </w:rPr>
              <w:t>3</w:t>
            </w:r>
            <w:r w:rsidRPr="007D0DCF">
              <w:rPr>
                <w:lang w:bidi="en-US"/>
              </w:rPr>
              <w:t>)</w:t>
            </w:r>
          </w:p>
        </w:tc>
      </w:tr>
      <w:tr w:rsidR="005D66A0" w14:paraId="0F2CEB09" w14:textId="77777777" w:rsidTr="00E83716">
        <w:trPr>
          <w:trHeight w:val="456"/>
        </w:trPr>
        <w:tc>
          <w:tcPr>
            <w:tcW w:w="7938" w:type="dxa"/>
            <w:tcBorders>
              <w:top w:val="nil"/>
              <w:left w:val="nil"/>
              <w:bottom w:val="nil"/>
              <w:right w:val="nil"/>
            </w:tcBorders>
          </w:tcPr>
          <w:p w14:paraId="21BDA38B" w14:textId="77777777" w:rsidR="005D66A0" w:rsidRPr="00E83716" w:rsidRDefault="00000000" w:rsidP="00F01692">
            <w:pPr>
              <w:contextualSpacing/>
              <w:jc w:val="left"/>
              <w:rPr>
                <w:lang w:bidi="en-US"/>
              </w:rPr>
            </w:pPr>
            <m:oMathPara>
              <m:oMathParaPr>
                <m:jc m:val="left"/>
              </m:oMathParaPr>
              <m:oMath>
                <m:sSubSup>
                  <m:sSubSupPr>
                    <m:ctrlPr>
                      <w:rPr>
                        <w:rFonts w:ascii="Cambria Math" w:hAnsi="Cambria Math"/>
                        <w:i/>
                        <w:lang w:bidi="en-US"/>
                      </w:rPr>
                    </m:ctrlPr>
                  </m:sSubSupPr>
                  <m:e>
                    <m:r>
                      <w:rPr>
                        <w:rFonts w:ascii="Cambria Math" w:hAnsi="Cambria Math"/>
                        <w:lang w:bidi="en-US"/>
                      </w:rPr>
                      <m:t>W</m:t>
                    </m:r>
                  </m:e>
                  <m:sub>
                    <m:r>
                      <w:rPr>
                        <w:rFonts w:ascii="Cambria Math" w:hAnsi="Cambria Math"/>
                        <w:lang w:bidi="en-US"/>
                      </w:rPr>
                      <m:t>a</m:t>
                    </m:r>
                  </m:sub>
                  <m:sup/>
                </m:sSubSup>
                <m:r>
                  <w:rPr>
                    <w:rFonts w:ascii="Cambria Math" w:hAnsi="Cambria Math"/>
                    <w:lang w:bidi="en-US"/>
                  </w:rPr>
                  <m:t>= 2</m:t>
                </m:r>
                <m:d>
                  <m:dPr>
                    <m:ctrlPr>
                      <w:rPr>
                        <w:rFonts w:ascii="Cambria Math" w:hAnsi="Cambria Math"/>
                        <w:i/>
                        <w:lang w:bidi="en-US"/>
                      </w:rPr>
                    </m:ctrlPr>
                  </m:dPr>
                  <m:e>
                    <m:rad>
                      <m:radPr>
                        <m:degHide m:val="1"/>
                        <m:ctrlPr>
                          <w:rPr>
                            <w:rFonts w:ascii="Cambria Math" w:hAnsi="Cambria Math"/>
                            <w:i/>
                            <w:lang w:bidi="en-US"/>
                          </w:rPr>
                        </m:ctrlPr>
                      </m:radPr>
                      <m:deg/>
                      <m:e>
                        <m:sSubSup>
                          <m:sSubSupPr>
                            <m:ctrlPr>
                              <w:rPr>
                                <w:rFonts w:ascii="Cambria Math" w:hAnsi="Cambria Math"/>
                                <w:i/>
                                <w:lang w:bidi="en-US"/>
                              </w:rPr>
                            </m:ctrlPr>
                          </m:sSubSupPr>
                          <m:e>
                            <m:r>
                              <w:rPr>
                                <w:rFonts w:ascii="Cambria Math" w:hAnsi="Cambria Math"/>
                                <w:lang w:bidi="en-US"/>
                              </w:rPr>
                              <m:t>γ</m:t>
                            </m:r>
                          </m:e>
                          <m:sub>
                            <m:r>
                              <w:rPr>
                                <w:rFonts w:ascii="Cambria Math" w:hAnsi="Cambria Math"/>
                                <w:lang w:bidi="en-US"/>
                              </w:rPr>
                              <m:t>O</m:t>
                            </m:r>
                          </m:sub>
                          <m:sup>
                            <m:r>
                              <w:rPr>
                                <w:rFonts w:ascii="Cambria Math" w:hAnsi="Cambria Math"/>
                                <w:lang w:bidi="en-US"/>
                              </w:rPr>
                              <m:t>d</m:t>
                            </m:r>
                          </m:sup>
                        </m:sSubSup>
                        <m:sSubSup>
                          <m:sSubSupPr>
                            <m:ctrlPr>
                              <w:rPr>
                                <w:rFonts w:ascii="Cambria Math" w:hAnsi="Cambria Math"/>
                                <w:i/>
                                <w:lang w:bidi="en-US"/>
                              </w:rPr>
                            </m:ctrlPr>
                          </m:sSubSupPr>
                          <m:e>
                            <m:r>
                              <w:rPr>
                                <w:rFonts w:ascii="Cambria Math" w:hAnsi="Cambria Math"/>
                                <w:lang w:bidi="en-US"/>
                              </w:rPr>
                              <m:t>γ</m:t>
                            </m:r>
                          </m:e>
                          <m:sub>
                            <m:r>
                              <w:rPr>
                                <w:rFonts w:ascii="Cambria Math" w:hAnsi="Cambria Math"/>
                                <w:lang w:bidi="en-US"/>
                              </w:rPr>
                              <m:t>I</m:t>
                            </m:r>
                          </m:sub>
                          <m:sup>
                            <m:r>
                              <w:rPr>
                                <w:rFonts w:ascii="Cambria Math" w:hAnsi="Cambria Math"/>
                                <w:lang w:bidi="en-US"/>
                              </w:rPr>
                              <m:t>d</m:t>
                            </m:r>
                          </m:sup>
                        </m:sSubSup>
                      </m:e>
                    </m:rad>
                    <m:r>
                      <w:rPr>
                        <w:rFonts w:ascii="Cambria Math" w:hAnsi="Cambria Math"/>
                        <w:lang w:bidi="en-US"/>
                      </w:rPr>
                      <m:t>+</m:t>
                    </m:r>
                    <m:rad>
                      <m:radPr>
                        <m:degHide m:val="1"/>
                        <m:ctrlPr>
                          <w:rPr>
                            <w:rFonts w:ascii="Cambria Math" w:hAnsi="Cambria Math"/>
                            <w:i/>
                            <w:lang w:bidi="en-US"/>
                          </w:rPr>
                        </m:ctrlPr>
                      </m:radPr>
                      <m:deg/>
                      <m:e>
                        <m:sSubSup>
                          <m:sSubSupPr>
                            <m:ctrlPr>
                              <w:rPr>
                                <w:rFonts w:ascii="Cambria Math" w:hAnsi="Cambria Math"/>
                                <w:i/>
                                <w:lang w:bidi="en-US"/>
                              </w:rPr>
                            </m:ctrlPr>
                          </m:sSubSupPr>
                          <m:e>
                            <m:r>
                              <w:rPr>
                                <w:rFonts w:ascii="Cambria Math" w:hAnsi="Cambria Math"/>
                                <w:lang w:bidi="en-US"/>
                              </w:rPr>
                              <m:t>γ</m:t>
                            </m:r>
                          </m:e>
                          <m:sub>
                            <m:r>
                              <w:rPr>
                                <w:rFonts w:ascii="Cambria Math" w:hAnsi="Cambria Math"/>
                                <w:lang w:bidi="en-US"/>
                              </w:rPr>
                              <m:t>O</m:t>
                            </m:r>
                          </m:sub>
                          <m:sup>
                            <m:r>
                              <w:rPr>
                                <w:rFonts w:ascii="Cambria Math" w:hAnsi="Cambria Math"/>
                                <w:lang w:bidi="en-US"/>
                              </w:rPr>
                              <m:t>p</m:t>
                            </m:r>
                          </m:sup>
                        </m:sSubSup>
                        <m:sSubSup>
                          <m:sSubSupPr>
                            <m:ctrlPr>
                              <w:rPr>
                                <w:rFonts w:ascii="Cambria Math" w:hAnsi="Cambria Math"/>
                                <w:i/>
                                <w:lang w:bidi="en-US"/>
                              </w:rPr>
                            </m:ctrlPr>
                          </m:sSubSupPr>
                          <m:e>
                            <m:r>
                              <w:rPr>
                                <w:rFonts w:ascii="Cambria Math" w:hAnsi="Cambria Math"/>
                                <w:lang w:bidi="en-US"/>
                              </w:rPr>
                              <m:t>γ</m:t>
                            </m:r>
                          </m:e>
                          <m:sub>
                            <m:r>
                              <w:rPr>
                                <w:rFonts w:ascii="Cambria Math" w:hAnsi="Cambria Math"/>
                                <w:lang w:bidi="en-US"/>
                              </w:rPr>
                              <m:t>I</m:t>
                            </m:r>
                          </m:sub>
                          <m:sup>
                            <m:r>
                              <w:rPr>
                                <w:rFonts w:ascii="Cambria Math" w:hAnsi="Cambria Math"/>
                                <w:lang w:bidi="en-US"/>
                              </w:rPr>
                              <m:t>p</m:t>
                            </m:r>
                          </m:sup>
                        </m:sSubSup>
                      </m:e>
                    </m:rad>
                  </m:e>
                </m:d>
              </m:oMath>
            </m:oMathPara>
          </w:p>
        </w:tc>
        <w:tc>
          <w:tcPr>
            <w:tcW w:w="849" w:type="dxa"/>
            <w:tcBorders>
              <w:top w:val="nil"/>
              <w:left w:val="nil"/>
              <w:bottom w:val="nil"/>
              <w:right w:val="nil"/>
            </w:tcBorders>
            <w:vAlign w:val="center"/>
          </w:tcPr>
          <w:p w14:paraId="0337CFD6" w14:textId="77777777" w:rsidR="005D66A0" w:rsidRDefault="005D66A0" w:rsidP="00E83716">
            <w:pPr>
              <w:contextualSpacing/>
              <w:jc w:val="right"/>
              <w:rPr>
                <w:lang w:bidi="en-US"/>
              </w:rPr>
            </w:pPr>
            <w:r w:rsidRPr="007D0DCF">
              <w:rPr>
                <w:lang w:bidi="en-US"/>
              </w:rPr>
              <w:t>(</w:t>
            </w:r>
            <w:r>
              <w:rPr>
                <w:lang w:bidi="en-US"/>
              </w:rPr>
              <w:t>4</w:t>
            </w:r>
            <w:r w:rsidRPr="007D0DCF">
              <w:rPr>
                <w:lang w:bidi="en-US"/>
              </w:rPr>
              <w:t>)</w:t>
            </w:r>
          </w:p>
        </w:tc>
      </w:tr>
    </w:tbl>
    <w:p w14:paraId="494164C7" w14:textId="77777777" w:rsidR="005D66A0" w:rsidRPr="000F05A9" w:rsidRDefault="005D66A0" w:rsidP="00B060C8">
      <w:pPr>
        <w:pStyle w:val="CETBodytext"/>
      </w:pPr>
      <w:r>
        <w:t xml:space="preserve">In Equation (3), </w:t>
      </w:r>
      <w:r w:rsidRPr="007D0DCF">
        <w:t>γ</w:t>
      </w:r>
      <w:r w:rsidRPr="00F33324">
        <w:rPr>
          <w:vertAlign w:val="subscript"/>
        </w:rPr>
        <w:t>SL</w:t>
      </w:r>
      <w:r>
        <w:t>,</w:t>
      </w:r>
      <w:r w:rsidRPr="007D0DCF">
        <w:t xml:space="preserve"> γ</w:t>
      </w:r>
      <w:r w:rsidRPr="00F33324">
        <w:rPr>
          <w:vertAlign w:val="subscript"/>
        </w:rPr>
        <w:t>L</w:t>
      </w:r>
      <w:r w:rsidRPr="007D0DCF">
        <w:t xml:space="preserve"> </w:t>
      </w:r>
      <w:r>
        <w:t xml:space="preserve">and </w:t>
      </w:r>
      <w:r w:rsidRPr="007D0DCF">
        <w:t>γ</w:t>
      </w:r>
      <w:r w:rsidRPr="00F33324">
        <w:rPr>
          <w:vertAlign w:val="subscript"/>
        </w:rPr>
        <w:t>S</w:t>
      </w:r>
      <w:r w:rsidRPr="00B060C8">
        <w:t xml:space="preserve"> </w:t>
      </w:r>
      <w:r w:rsidRPr="000F05A9">
        <w:t>are</w:t>
      </w:r>
      <w:r>
        <w:t xml:space="preserve"> the </w:t>
      </w:r>
      <w:r w:rsidRPr="007D0DCF">
        <w:t>interfacial energy</w:t>
      </w:r>
      <w:r>
        <w:t xml:space="preserve"> and the surface energies of the </w:t>
      </w:r>
      <w:r w:rsidRPr="007D0DCF">
        <w:t xml:space="preserve">liquid </w:t>
      </w:r>
      <w:r>
        <w:t xml:space="preserve">and </w:t>
      </w:r>
      <w:r w:rsidRPr="007D0DCF">
        <w:t>solid phase</w:t>
      </w:r>
      <w:r>
        <w:t>s</w:t>
      </w:r>
      <w:r w:rsidRPr="007D0DCF">
        <w:t>,</w:t>
      </w:r>
      <w:r>
        <w:t xml:space="preserve"> respectively. In Equation 4, the subscript “I” and “O” stand for the </w:t>
      </w:r>
      <w:r w:rsidRPr="00B060C8">
        <w:t>inner and outer layer surfaces</w:t>
      </w:r>
      <w:r>
        <w:t xml:space="preserve">, respectively, while the superscript “d” and “p” indicate the </w:t>
      </w:r>
      <w:r w:rsidRPr="00B060C8">
        <w:t>dispersive and polar components, respectively.</w:t>
      </w:r>
    </w:p>
    <w:p w14:paraId="3178DC78" w14:textId="073A03CD" w:rsidR="00CC347D" w:rsidRDefault="00CC347D" w:rsidP="00CC347D">
      <w:pPr>
        <w:jc w:val="left"/>
      </w:pPr>
      <w:r>
        <w:t xml:space="preserve">Hot-tack tests were carried out by a </w:t>
      </w:r>
      <w:r w:rsidRPr="005152E9">
        <w:t>HSG-C</w:t>
      </w:r>
      <w:r>
        <w:t xml:space="preserve"> </w:t>
      </w:r>
      <w:r w:rsidRPr="005152E9">
        <w:t>heat seal tester (Brugger, Germany)</w:t>
      </w:r>
      <w:r>
        <w:t xml:space="preserve">, </w:t>
      </w:r>
      <w:r w:rsidRPr="000F708E">
        <w:t>according to ASTM F1921-98, Method B procedure, between 80 °C (corresponding to the initiation sealing temperature) and 100</w:t>
      </w:r>
      <w:r w:rsidRPr="005152E9">
        <w:t xml:space="preserve"> °</w:t>
      </w:r>
      <w:r>
        <w:t>C (the maximum temperature</w:t>
      </w:r>
      <w:r w:rsidRPr="00222F99">
        <w:t xml:space="preserve"> above which the film undergoes excessive</w:t>
      </w:r>
      <w:r>
        <w:t xml:space="preserve"> distortion). </w:t>
      </w:r>
      <w:r w:rsidRPr="005152E9">
        <w:t xml:space="preserve">The welds were carried out </w:t>
      </w:r>
      <w:r>
        <w:t>on 15 mm-width samples, with</w:t>
      </w:r>
      <w:r w:rsidRPr="005152E9">
        <w:t xml:space="preserve"> </w:t>
      </w:r>
      <w:r>
        <w:t>0.5</w:t>
      </w:r>
      <w:r w:rsidRPr="007B1C65">
        <w:t xml:space="preserve"> N/mm</w:t>
      </w:r>
      <w:r w:rsidRPr="007B1C65">
        <w:rPr>
          <w:vertAlign w:val="superscript"/>
        </w:rPr>
        <w:t>2</w:t>
      </w:r>
      <w:r w:rsidRPr="007B1C65">
        <w:t xml:space="preserve"> </w:t>
      </w:r>
      <w:r>
        <w:t xml:space="preserve">sealing pressure and </w:t>
      </w:r>
      <w:r w:rsidRPr="005152E9">
        <w:t>1</w:t>
      </w:r>
      <w:r>
        <w:t xml:space="preserve"> </w:t>
      </w:r>
      <w:r w:rsidRPr="005152E9">
        <w:t>s</w:t>
      </w:r>
      <w:r>
        <w:t xml:space="preserve"> welding time.</w:t>
      </w:r>
    </w:p>
    <w:p w14:paraId="6F15C245" w14:textId="5251BFB9" w:rsidR="005D66A0" w:rsidRPr="00DC3E9F" w:rsidRDefault="00B060C8" w:rsidP="00BB4C3A">
      <w:pPr>
        <w:pStyle w:val="CETBodytext"/>
      </w:pPr>
      <w:r w:rsidRPr="001565CB">
        <w:t xml:space="preserve">Tensile </w:t>
      </w:r>
      <w:r>
        <w:t xml:space="preserve">tests were </w:t>
      </w:r>
      <w:r w:rsidR="00CC347D">
        <w:t>performed</w:t>
      </w:r>
      <w:r>
        <w:t xml:space="preserve"> on films with at least ten replicates by </w:t>
      </w:r>
      <w:r w:rsidRPr="00944E09">
        <w:t xml:space="preserve">a CMT 4000 SANS testing machine (MTS, China) </w:t>
      </w:r>
      <w:r>
        <w:t>using a</w:t>
      </w:r>
      <w:r w:rsidRPr="00944E09">
        <w:t xml:space="preserve"> 100 N load cell</w:t>
      </w:r>
      <w:r>
        <w:t>,</w:t>
      </w:r>
      <w:r w:rsidRPr="00AE3DB7">
        <w:t xml:space="preserve"> </w:t>
      </w:r>
      <w:r>
        <w:t xml:space="preserve">following the to </w:t>
      </w:r>
      <w:r w:rsidRPr="001565CB">
        <w:t>ASTM D 882-91</w:t>
      </w:r>
      <w:r>
        <w:t xml:space="preserve"> procedure. Film specimens having</w:t>
      </w:r>
      <w:r w:rsidRPr="001565CB">
        <w:t xml:space="preserve"> rectangular geometry (12.7 x 80 mm</w:t>
      </w:r>
      <w:r w:rsidRPr="00B060C8">
        <w:rPr>
          <w:vertAlign w:val="superscript"/>
        </w:rPr>
        <w:t>2</w:t>
      </w:r>
      <w:r w:rsidRPr="001565CB">
        <w:t xml:space="preserve">) </w:t>
      </w:r>
      <w:r>
        <w:t xml:space="preserve">were extended </w:t>
      </w:r>
      <w:r w:rsidRPr="001565CB">
        <w:t xml:space="preserve">along the </w:t>
      </w:r>
      <w:r>
        <w:t>machine</w:t>
      </w:r>
      <w:r w:rsidRPr="001565CB">
        <w:t xml:space="preserve"> direction</w:t>
      </w:r>
      <w:r>
        <w:t xml:space="preserve">. </w:t>
      </w:r>
      <w:r w:rsidR="0059696D">
        <w:t xml:space="preserve">The results were expressed in terms of </w:t>
      </w:r>
      <w:r w:rsidR="0059696D" w:rsidRPr="00944E09">
        <w:t>elastic modulus (E), tensile strength (σ</w:t>
      </w:r>
      <w:r w:rsidR="0059696D" w:rsidRPr="00944E09">
        <w:rPr>
          <w:vertAlign w:val="subscript"/>
        </w:rPr>
        <w:t>b</w:t>
      </w:r>
      <w:r w:rsidR="0059696D" w:rsidRPr="00944E09">
        <w:t>) and percentage elongation at break (ε</w:t>
      </w:r>
      <w:r w:rsidR="0059696D" w:rsidRPr="00944E09">
        <w:rPr>
          <w:vertAlign w:val="subscript"/>
        </w:rPr>
        <w:t>b</w:t>
      </w:r>
      <w:r w:rsidR="0059696D" w:rsidRPr="00944E09">
        <w:t>)</w:t>
      </w:r>
      <w:r w:rsidR="0059696D">
        <w:t>.</w:t>
      </w:r>
    </w:p>
    <w:p w14:paraId="7426A4C8" w14:textId="1F31D591" w:rsidR="00783C27" w:rsidRDefault="00783C27" w:rsidP="00783C27">
      <w:pPr>
        <w:pStyle w:val="CETHeading1"/>
      </w:pPr>
      <w:r>
        <w:t>Results and discussion</w:t>
      </w:r>
    </w:p>
    <w:p w14:paraId="6CA3564B" w14:textId="5C4D0075" w:rsidR="004A7AFC" w:rsidRDefault="00E31B79" w:rsidP="004A7AFC">
      <w:pPr>
        <w:pStyle w:val="CETheadingx"/>
      </w:pPr>
      <w:r>
        <w:t>O</w:t>
      </w:r>
      <w:r w:rsidR="00F06452">
        <w:t>xygen</w:t>
      </w:r>
      <w:r w:rsidR="004A7AFC">
        <w:t xml:space="preserve"> </w:t>
      </w:r>
      <w:r w:rsidR="00A73031">
        <w:t>barrier performance</w:t>
      </w:r>
      <w:r w:rsidR="004A7AFC">
        <w:t xml:space="preserve"> </w:t>
      </w:r>
    </w:p>
    <w:p w14:paraId="54A33BE4" w14:textId="60F08378" w:rsidR="00A10BE3" w:rsidRPr="009F585B" w:rsidRDefault="001D2306" w:rsidP="009F585B">
      <w:pPr>
        <w:pStyle w:val="CETBodytext"/>
      </w:pPr>
      <w:r>
        <w:t>The knowledge of oxygen barrier properties is fundamental for food packaging materials, as oxygen is responsible of the qualitative decay of many sensitive foods. The results of oxygen permeability tests</w:t>
      </w:r>
      <w:r w:rsidR="00A10BE3">
        <w:t xml:space="preserve"> carried out on the single layer and coextruded films</w:t>
      </w:r>
      <w:r>
        <w:t>, expressed as oxygen permeability coefficients (PO</w:t>
      </w:r>
      <w:r w:rsidRPr="001D2306">
        <w:rPr>
          <w:vertAlign w:val="subscript"/>
        </w:rPr>
        <w:t>2</w:t>
      </w:r>
      <w:r>
        <w:t xml:space="preserve">) are displayed in Table </w:t>
      </w:r>
      <w:r w:rsidR="008B0C5E">
        <w:t>2</w:t>
      </w:r>
      <w:r>
        <w:t>.</w:t>
      </w:r>
      <w:r w:rsidR="00A10BE3">
        <w:t xml:space="preserve"> The single layer film</w:t>
      </w:r>
      <w:r w:rsidR="00A10BE3" w:rsidRPr="00A10BE3">
        <w:t xml:space="preserve"> PLA4032/PHB 70/30</w:t>
      </w:r>
      <w:r w:rsidR="00A10BE3">
        <w:t xml:space="preserve"> exhibited the lowest permeability value (14.1 </w:t>
      </w:r>
      <w:r w:rsidR="001B6D66">
        <w:t>cm</w:t>
      </w:r>
      <w:r w:rsidR="001B6D66" w:rsidRPr="001B6D66">
        <w:rPr>
          <w:vertAlign w:val="superscript"/>
        </w:rPr>
        <w:t>2</w:t>
      </w:r>
      <w:r w:rsidR="001B6D66">
        <w:t xml:space="preserve"> mm/m</w:t>
      </w:r>
      <w:r w:rsidR="001B6D66" w:rsidRPr="001B6D66">
        <w:rPr>
          <w:vertAlign w:val="superscript"/>
        </w:rPr>
        <w:t>2</w:t>
      </w:r>
      <w:r w:rsidR="001B6D66">
        <w:t xml:space="preserve"> d bar</w:t>
      </w:r>
      <w:r w:rsidR="00A10BE3">
        <w:t>)</w:t>
      </w:r>
      <w:r w:rsidR="0012262D">
        <w:t xml:space="preserve">, thanks to the inherent good barrier properties of PHB, which are significantly higher than neat PLA </w:t>
      </w:r>
      <w:r w:rsidR="0012262D" w:rsidRPr="00916561">
        <w:rPr>
          <w:color w:val="000000" w:themeColor="text1"/>
        </w:rPr>
        <w:t>(Wu et al., 2021</w:t>
      </w:r>
      <w:r w:rsidR="009D63CA">
        <w:rPr>
          <w:color w:val="000000" w:themeColor="text1"/>
        </w:rPr>
        <w:t>).</w:t>
      </w:r>
      <w:r w:rsidR="001E7EA0">
        <w:t xml:space="preserve"> </w:t>
      </w:r>
      <w:r w:rsidR="009D63CA">
        <w:t>As expectable</w:t>
      </w:r>
      <w:r w:rsidR="001E7EA0">
        <w:t xml:space="preserve">, </w:t>
      </w:r>
      <w:r w:rsidR="009D63CA" w:rsidRPr="009F585B">
        <w:t xml:space="preserve">Ecovio/PLA4060 monolayer </w:t>
      </w:r>
      <w:r w:rsidR="009D63CA">
        <w:t xml:space="preserve">shows higher </w:t>
      </w:r>
      <w:r w:rsidR="001E7EA0">
        <w:t>PO</w:t>
      </w:r>
      <w:r w:rsidR="001E7EA0" w:rsidRPr="001E7EA0">
        <w:rPr>
          <w:vertAlign w:val="subscript"/>
        </w:rPr>
        <w:t>2</w:t>
      </w:r>
      <w:r w:rsidR="001E7EA0" w:rsidRPr="001E7EA0">
        <w:t xml:space="preserve"> </w:t>
      </w:r>
      <w:r w:rsidR="001E7EA0" w:rsidRPr="009F585B">
        <w:t xml:space="preserve">value </w:t>
      </w:r>
      <w:r w:rsidR="009D63CA">
        <w:t>due to the poor barrier of both PBAT and PLA (Jost, 2018).</w:t>
      </w:r>
    </w:p>
    <w:p w14:paraId="7040B320" w14:textId="74CA20FE" w:rsidR="00A10BE3" w:rsidRPr="00244F59" w:rsidRDefault="002521C1" w:rsidP="001D2306">
      <w:pPr>
        <w:pStyle w:val="CETBodytext"/>
        <w:rPr>
          <w:rFonts w:eastAsiaTheme="minorHAnsi"/>
          <w:color w:val="FF0000"/>
        </w:rPr>
      </w:pPr>
      <w:r w:rsidRPr="009F585B">
        <w:t xml:space="preserve">As for the coextruded films, their oxygen permeability coefficients are averaged over the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O</m:t>
                </m:r>
              </m:e>
              <m:sub>
                <m:r>
                  <m:rPr>
                    <m:sty m:val="p"/>
                  </m:rPr>
                  <w:rPr>
                    <w:rFonts w:ascii="Cambria Math" w:hAnsi="Cambria Math"/>
                  </w:rPr>
                  <m:t>2</m:t>
                </m:r>
              </m:sub>
            </m:sSub>
          </m:sub>
        </m:sSub>
      </m:oMath>
      <w:r w:rsidRPr="009F585B">
        <w:t>values of the inner and outer layer films, and</w:t>
      </w:r>
      <w:r w:rsidRPr="009F585B">
        <w:rPr>
          <w:rFonts w:eastAsiaTheme="minorEastAsia"/>
        </w:rPr>
        <w:t xml:space="preserve"> weighted on their relative thicknesses. In particular, the permeability </w:t>
      </w:r>
      <w:r w:rsidRPr="009F585B">
        <w:t>decreases by increasing the thickness of the outer barrier layer, while it increases by increasing the thickness of the inner layer</w:t>
      </w:r>
      <w:r w:rsidR="00384C85">
        <w:t>. A</w:t>
      </w:r>
      <w:r w:rsidR="009F585B" w:rsidRPr="009D63CA">
        <w:t>mong these samples, the best barrier performance were obtained for Bilayer O50/I30 sample, exhibiting P</w:t>
      </w:r>
      <w:r w:rsidR="009F585B" w:rsidRPr="009D63CA">
        <w:rPr>
          <w:vertAlign w:val="subscript"/>
        </w:rPr>
        <w:t>O2</w:t>
      </w:r>
      <w:r w:rsidR="009F585B" w:rsidRPr="009D63CA">
        <w:t xml:space="preserve"> value equal to 16.8 cm</w:t>
      </w:r>
      <w:r w:rsidR="009F585B" w:rsidRPr="009D63CA">
        <w:rPr>
          <w:vertAlign w:val="superscript"/>
        </w:rPr>
        <w:t>2</w:t>
      </w:r>
      <w:r w:rsidR="009F585B" w:rsidRPr="009D63CA">
        <w:t xml:space="preserve"> mm/m</w:t>
      </w:r>
      <w:r w:rsidR="009F585B" w:rsidRPr="009D63CA">
        <w:rPr>
          <w:vertAlign w:val="superscript"/>
        </w:rPr>
        <w:t>2</w:t>
      </w:r>
      <w:r w:rsidR="009F585B" w:rsidRPr="009D63CA">
        <w:t xml:space="preserve"> d bar</w:t>
      </w:r>
      <w:r w:rsidR="00384C85">
        <w:t xml:space="preserve">, and a reduction in oxygen permeability of 53% with respect to the single </w:t>
      </w:r>
      <w:r w:rsidR="00384C85">
        <w:rPr>
          <w:rFonts w:cs="Arial"/>
          <w:szCs w:val="18"/>
          <w:lang w:val="en-GB"/>
        </w:rPr>
        <w:t>Ecovio/PLA4060 80/20 inner layer.</w:t>
      </w:r>
      <w:r w:rsidR="009F585B" w:rsidRPr="009D63CA">
        <w:t xml:space="preserve"> </w:t>
      </w:r>
      <w:r w:rsidR="00CD41DF" w:rsidRPr="009D63CA">
        <w:rPr>
          <w:color w:val="000000" w:themeColor="text1"/>
        </w:rPr>
        <w:t xml:space="preserve">The </w:t>
      </w:r>
      <w:r w:rsidR="00B96F91" w:rsidRPr="009D63CA">
        <w:rPr>
          <w:rFonts w:eastAsiaTheme="minorHAnsi"/>
          <w:color w:val="000000" w:themeColor="text1"/>
        </w:rPr>
        <w:t>O</w:t>
      </w:r>
      <w:r w:rsidR="00B96F91" w:rsidRPr="009D63CA">
        <w:rPr>
          <w:rFonts w:eastAsiaTheme="minorHAnsi"/>
          <w:color w:val="000000" w:themeColor="text1"/>
          <w:vertAlign w:val="subscript"/>
        </w:rPr>
        <w:t>2</w:t>
      </w:r>
      <w:r w:rsidR="00B96F91" w:rsidRPr="009D63CA">
        <w:rPr>
          <w:rFonts w:eastAsiaTheme="minorHAnsi"/>
          <w:color w:val="000000" w:themeColor="text1"/>
        </w:rPr>
        <w:t xml:space="preserve"> permeability values obtained for </w:t>
      </w:r>
      <w:r w:rsidR="00CD41DF" w:rsidRPr="009D63CA">
        <w:rPr>
          <w:rFonts w:eastAsiaTheme="minorHAnsi"/>
          <w:color w:val="000000" w:themeColor="text1"/>
        </w:rPr>
        <w:t>the coextruded</w:t>
      </w:r>
      <w:r w:rsidR="00B96F91" w:rsidRPr="009D63CA">
        <w:rPr>
          <w:rFonts w:eastAsiaTheme="minorHAnsi"/>
          <w:color w:val="000000" w:themeColor="text1"/>
        </w:rPr>
        <w:t xml:space="preserve"> films are comparable to those of </w:t>
      </w:r>
      <w:r w:rsidR="00CD41DF" w:rsidRPr="009D63CA">
        <w:rPr>
          <w:rFonts w:eastAsiaTheme="minorHAnsi"/>
          <w:color w:val="000000" w:themeColor="text1"/>
        </w:rPr>
        <w:t xml:space="preserve">other PLA/PHB blends reported in literature with PHB content </w:t>
      </w:r>
      <w:r w:rsidR="00244F59" w:rsidRPr="009D63CA">
        <w:rPr>
          <w:rFonts w:ascii="Cambria Math" w:eastAsiaTheme="minorHAnsi" w:hAnsi="Cambria Math"/>
          <w:color w:val="000000" w:themeColor="text1"/>
        </w:rPr>
        <w:t>≥</w:t>
      </w:r>
      <w:r w:rsidR="00244F59" w:rsidRPr="009D63CA">
        <w:rPr>
          <w:rFonts w:eastAsiaTheme="minorHAnsi"/>
          <w:color w:val="000000" w:themeColor="text1"/>
        </w:rPr>
        <w:t xml:space="preserve"> 25% </w:t>
      </w:r>
      <w:r w:rsidR="00CD41DF" w:rsidRPr="009D63CA">
        <w:rPr>
          <w:rFonts w:eastAsiaTheme="minorHAnsi"/>
          <w:color w:val="000000" w:themeColor="text1"/>
        </w:rPr>
        <w:t xml:space="preserve">(Arrieta et al. 2014; </w:t>
      </w:r>
      <w:r w:rsidR="00244F59" w:rsidRPr="009D63CA">
        <w:rPr>
          <w:rFonts w:eastAsiaTheme="minorHAnsi"/>
          <w:color w:val="000000" w:themeColor="text1"/>
        </w:rPr>
        <w:t>Pietrosanto et al.,</w:t>
      </w:r>
      <w:r w:rsidR="009D63CA" w:rsidRPr="009D63CA">
        <w:rPr>
          <w:rFonts w:eastAsiaTheme="minorHAnsi"/>
          <w:color w:val="000000" w:themeColor="text1"/>
        </w:rPr>
        <w:t xml:space="preserve"> 2021</w:t>
      </w:r>
      <w:r w:rsidR="00CD41DF" w:rsidRPr="009D63CA">
        <w:rPr>
          <w:rFonts w:eastAsiaTheme="minorHAnsi"/>
          <w:color w:val="000000" w:themeColor="text1"/>
        </w:rPr>
        <w:t>)</w:t>
      </w:r>
      <w:r w:rsidR="00244F59" w:rsidRPr="009D63CA">
        <w:rPr>
          <w:rFonts w:eastAsiaTheme="minorHAnsi"/>
          <w:color w:val="000000" w:themeColor="text1"/>
        </w:rPr>
        <w:t xml:space="preserve"> and points</w:t>
      </w:r>
      <w:r w:rsidR="00244F59">
        <w:rPr>
          <w:rFonts w:eastAsiaTheme="minorHAnsi"/>
          <w:color w:val="000000" w:themeColor="text1"/>
        </w:rPr>
        <w:t xml:space="preserve"> out</w:t>
      </w:r>
      <w:r w:rsidR="00244F59" w:rsidRPr="00244F59">
        <w:rPr>
          <w:rFonts w:eastAsiaTheme="minorHAnsi"/>
          <w:color w:val="000000" w:themeColor="text1"/>
        </w:rPr>
        <w:t xml:space="preserve"> the attractiveness</w:t>
      </w:r>
      <w:r w:rsidR="00244F59">
        <w:rPr>
          <w:rFonts w:eastAsiaTheme="minorHAnsi"/>
          <w:color w:val="000000" w:themeColor="text1"/>
        </w:rPr>
        <w:t xml:space="preserve"> of the developed structures</w:t>
      </w:r>
      <w:r w:rsidR="00244F59" w:rsidRPr="00244F59">
        <w:rPr>
          <w:rFonts w:eastAsiaTheme="minorHAnsi"/>
          <w:color w:val="000000" w:themeColor="text1"/>
        </w:rPr>
        <w:t xml:space="preserve"> </w:t>
      </w:r>
      <w:r w:rsidR="00CD41DF" w:rsidRPr="00244F59">
        <w:rPr>
          <w:rFonts w:eastAsiaTheme="minorHAnsi"/>
          <w:color w:val="000000" w:themeColor="text1"/>
        </w:rPr>
        <w:t>for food packaging applications w</w:t>
      </w:r>
      <w:r w:rsidR="009D63CA">
        <w:rPr>
          <w:rFonts w:eastAsiaTheme="minorHAnsi"/>
          <w:color w:val="000000" w:themeColor="text1"/>
        </w:rPr>
        <w:t>h</w:t>
      </w:r>
      <w:r w:rsidR="00CD41DF" w:rsidRPr="00244F59">
        <w:rPr>
          <w:rFonts w:eastAsiaTheme="minorHAnsi"/>
          <w:color w:val="000000" w:themeColor="text1"/>
        </w:rPr>
        <w:t>ere barrier to oxygen is</w:t>
      </w:r>
      <w:r w:rsidR="00244F59" w:rsidRPr="00244F59">
        <w:rPr>
          <w:rFonts w:eastAsiaTheme="minorHAnsi"/>
          <w:color w:val="000000" w:themeColor="text1"/>
        </w:rPr>
        <w:t xml:space="preserve"> </w:t>
      </w:r>
      <w:r w:rsidR="00CD41DF" w:rsidRPr="00244F59">
        <w:rPr>
          <w:rFonts w:eastAsiaTheme="minorHAnsi"/>
          <w:color w:val="000000" w:themeColor="text1"/>
        </w:rPr>
        <w:t>critical to reduce oxidative processe</w:t>
      </w:r>
      <w:r w:rsidR="00244F59" w:rsidRPr="00244F59">
        <w:rPr>
          <w:rFonts w:eastAsiaTheme="minorHAnsi"/>
          <w:color w:val="000000" w:themeColor="text1"/>
        </w:rPr>
        <w:t>s</w:t>
      </w:r>
      <w:r w:rsidR="00244F59">
        <w:rPr>
          <w:rFonts w:eastAsiaTheme="minorHAnsi"/>
          <w:color w:val="FF0000"/>
        </w:rPr>
        <w:t xml:space="preserve">. </w:t>
      </w:r>
      <w:r w:rsidRPr="009F585B">
        <w:t>The O</w:t>
      </w:r>
      <w:r w:rsidRPr="009F585B">
        <w:rPr>
          <w:vertAlign w:val="subscript"/>
        </w:rPr>
        <w:t>2</w:t>
      </w:r>
      <w:r w:rsidRPr="009F585B">
        <w:t xml:space="preserve"> permeability coefficients of multilayer films were also calculated according to the Eq(1) and (2), and</w:t>
      </w:r>
      <w:r w:rsidR="009F585B" w:rsidRPr="009F585B">
        <w:t xml:space="preserve"> reported in Table </w:t>
      </w:r>
      <w:r w:rsidR="008B0C5E">
        <w:t>2</w:t>
      </w:r>
      <w:r w:rsidR="009F585B" w:rsidRPr="009F585B">
        <w:t xml:space="preserve"> as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calc</m:t>
                </m:r>
                <m:r>
                  <m:rPr>
                    <m:sty m:val="p"/>
                  </m:rPr>
                  <w:rPr>
                    <w:rFonts w:ascii="Cambria Math" w:hAnsi="Cambria Math"/>
                  </w:rPr>
                  <m:t>_</m:t>
                </m:r>
                <m:r>
                  <w:rPr>
                    <w:rFonts w:ascii="Cambria Math" w:hAnsi="Cambria Math"/>
                  </w:rPr>
                  <m:t>O</m:t>
                </m:r>
              </m:e>
              <m:sub>
                <m:r>
                  <m:rPr>
                    <m:sty m:val="p"/>
                  </m:rPr>
                  <w:rPr>
                    <w:rFonts w:ascii="Cambria Math" w:hAnsi="Cambria Math"/>
                  </w:rPr>
                  <m:t>2</m:t>
                </m:r>
              </m:sub>
            </m:sSub>
          </m:sub>
        </m:sSub>
      </m:oMath>
      <w:r w:rsidR="009F585B" w:rsidRPr="009F585B">
        <w:t xml:space="preserve">. As noticeable, a good agreement was found between measured and experimental oxygen permeability values, with a calculated percentage difference of less than </w:t>
      </w:r>
      <w:r w:rsidR="00DF73A3">
        <w:t>9</w:t>
      </w:r>
      <w:r w:rsidR="009217CA">
        <w:t xml:space="preserve">% </w:t>
      </w:r>
      <w:r w:rsidR="009F585B" w:rsidRPr="009F585B">
        <w:t xml:space="preserve">in each case, highlighting </w:t>
      </w:r>
      <w:r w:rsidR="009F585B">
        <w:t>a</w:t>
      </w:r>
      <w:r w:rsidR="009F585B" w:rsidRPr="009F585B">
        <w:t xml:space="preserve"> good control of the relative film thicknesses achieved during the coextrusion process.</w:t>
      </w:r>
    </w:p>
    <w:p w14:paraId="5F8F1902" w14:textId="70A8B800" w:rsidR="005874DD" w:rsidRPr="009472E4" w:rsidRDefault="005874DD" w:rsidP="005874DD">
      <w:pPr>
        <w:pStyle w:val="CETTabletitle"/>
        <w:jc w:val="both"/>
      </w:pPr>
      <w:r w:rsidRPr="009472E4">
        <w:t xml:space="preserve">Table </w:t>
      </w:r>
      <w:r w:rsidR="00CF5881">
        <w:t>2</w:t>
      </w:r>
      <w:r w:rsidRPr="009472E4">
        <w:t xml:space="preserve">: Measured oxygen permeability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O</m:t>
                </m:r>
              </m:e>
              <m:sub>
                <m:r>
                  <w:rPr>
                    <w:rFonts w:ascii="Cambria Math" w:hAnsi="Cambria Math"/>
                  </w:rPr>
                  <m:t>2</m:t>
                </m:r>
              </m:sub>
            </m:sSub>
          </m:sub>
        </m:sSub>
        <m:r>
          <w:rPr>
            <w:rFonts w:ascii="Cambria Math" w:hAnsi="Cambria Math"/>
          </w:rPr>
          <m:t>)</m:t>
        </m:r>
      </m:oMath>
      <w:r w:rsidRPr="009472E4">
        <w:t xml:space="preserve"> coefficients for all monolayer and bilayer films. Calculated oxygen permeability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calc_O</m:t>
                </m:r>
              </m:e>
              <m:sub>
                <m:r>
                  <w:rPr>
                    <w:rFonts w:ascii="Cambria Math" w:hAnsi="Cambria Math"/>
                  </w:rPr>
                  <m:t>2</m:t>
                </m:r>
              </m:sub>
            </m:sSub>
          </m:sub>
        </m:sSub>
        <m:r>
          <w:rPr>
            <w:rFonts w:ascii="Cambria Math" w:hAnsi="Cambria Math"/>
          </w:rPr>
          <m:t xml:space="preserve">) </m:t>
        </m:r>
      </m:oMath>
      <w:r w:rsidRPr="009472E4">
        <w:t>values for multilayer films according to equations (1) and (2). Percentage difference among experimental and calculated oxygen permeability values calculated as follows: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O</m:t>
                </m:r>
              </m:e>
              <m:sub>
                <m:r>
                  <w:rPr>
                    <w:rFonts w:ascii="Cambria Math" w:hAnsi="Cambria Math"/>
                  </w:rPr>
                  <m:t>2</m:t>
                </m:r>
              </m:sub>
            </m:sSub>
          </m:sub>
        </m:sSub>
      </m:oMath>
      <w:r w:rsidRPr="009472E4">
        <w:t>−</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calc_O</m:t>
                </m:r>
              </m:e>
              <m:sub>
                <m:r>
                  <w:rPr>
                    <w:rFonts w:ascii="Cambria Math" w:hAnsi="Cambria Math"/>
                  </w:rPr>
                  <m:t>2</m:t>
                </m:r>
              </m:sub>
            </m:sSub>
          </m:sub>
        </m:sSub>
      </m:oMath>
      <w:r w:rsidRPr="009472E4">
        <w:t>|/[(</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O</m:t>
                </m:r>
              </m:e>
              <m:sub>
                <m:r>
                  <w:rPr>
                    <w:rFonts w:ascii="Cambria Math" w:hAnsi="Cambria Math"/>
                  </w:rPr>
                  <m:t>2</m:t>
                </m:r>
              </m:sub>
            </m:sSub>
          </m:sub>
        </m:sSub>
      </m:oMath>
      <w:r w:rsidRPr="009472E4">
        <w:t>+</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calc_O</m:t>
                </m:r>
              </m:e>
              <m:sub>
                <m:r>
                  <w:rPr>
                    <w:rFonts w:ascii="Cambria Math" w:hAnsi="Cambria Math"/>
                  </w:rPr>
                  <m:t>2</m:t>
                </m:r>
              </m:sub>
            </m:sSub>
          </m:sub>
        </m:sSub>
      </m:oMath>
      <w:r w:rsidRPr="009472E4">
        <w:t>)/2]×100.</w:t>
      </w:r>
      <w:r w:rsidR="009817B6">
        <w:t xml:space="preserve">   </w:t>
      </w:r>
    </w:p>
    <w:tbl>
      <w:tblPr>
        <w:tblW w:w="892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843"/>
        <w:gridCol w:w="2552"/>
        <w:gridCol w:w="2265"/>
      </w:tblGrid>
      <w:tr w:rsidR="005874DD" w:rsidRPr="00B57B36" w14:paraId="47E01775" w14:textId="77777777" w:rsidTr="00F01692">
        <w:trPr>
          <w:trHeight w:val="580"/>
        </w:trPr>
        <w:tc>
          <w:tcPr>
            <w:tcW w:w="2268" w:type="dxa"/>
            <w:tcBorders>
              <w:top w:val="single" w:sz="12" w:space="0" w:color="008000"/>
              <w:bottom w:val="single" w:sz="6" w:space="0" w:color="008000"/>
            </w:tcBorders>
            <w:shd w:val="clear" w:color="auto" w:fill="FFFFFF"/>
          </w:tcPr>
          <w:p w14:paraId="0FBF515F" w14:textId="77777777" w:rsidR="005874DD" w:rsidRPr="00B57B36" w:rsidRDefault="005874DD" w:rsidP="00F01692">
            <w:pPr>
              <w:pStyle w:val="CETBodytext"/>
              <w:rPr>
                <w:lang w:val="en-GB"/>
              </w:rPr>
            </w:pPr>
            <w:r w:rsidRPr="00817520">
              <w:rPr>
                <w:lang w:eastAsia="en-GB"/>
              </w:rPr>
              <w:t>Sample</w:t>
            </w:r>
          </w:p>
        </w:tc>
        <w:tc>
          <w:tcPr>
            <w:tcW w:w="1843" w:type="dxa"/>
            <w:tcBorders>
              <w:top w:val="single" w:sz="12" w:space="0" w:color="008000"/>
              <w:bottom w:val="single" w:sz="6" w:space="0" w:color="008000"/>
            </w:tcBorders>
            <w:shd w:val="clear" w:color="auto" w:fill="FFFFFF"/>
          </w:tcPr>
          <w:p w14:paraId="39A175B7" w14:textId="77777777" w:rsidR="005874DD" w:rsidRPr="000F708E" w:rsidRDefault="00000000" w:rsidP="00DB037B">
            <w:pPr>
              <w:pStyle w:val="CETBodytext"/>
              <w:jc w:val="center"/>
              <w:rPr>
                <w:lang w:val="en-GB"/>
              </w:rPr>
            </w:pPr>
            <m:oMathPara>
              <m:oMath>
                <m:sSub>
                  <m:sSubPr>
                    <m:ctrlPr>
                      <w:rPr>
                        <w:rFonts w:ascii="Cambria Math" w:hAnsi="Cambria Math"/>
                        <w:color w:val="000000" w:themeColor="text1"/>
                        <w:sz w:val="20"/>
                        <w:lang w:eastAsia="it-IT"/>
                      </w:rPr>
                    </m:ctrlPr>
                  </m:sSubPr>
                  <m:e>
                    <m:r>
                      <w:rPr>
                        <w:rFonts w:ascii="Cambria Math" w:hAnsi="Cambria Math"/>
                        <w:color w:val="000000" w:themeColor="text1"/>
                        <w:sz w:val="20"/>
                        <w:lang w:eastAsia="it-IT"/>
                      </w:rPr>
                      <m:t>P</m:t>
                    </m:r>
                  </m:e>
                  <m:sub>
                    <m:sSub>
                      <m:sSubPr>
                        <m:ctrlPr>
                          <w:rPr>
                            <w:rFonts w:ascii="Cambria Math" w:hAnsi="Cambria Math"/>
                            <w:color w:val="000000" w:themeColor="text1"/>
                            <w:sz w:val="20"/>
                            <w:lang w:eastAsia="it-IT"/>
                          </w:rPr>
                        </m:ctrlPr>
                      </m:sSubPr>
                      <m:e>
                        <m:r>
                          <w:rPr>
                            <w:rFonts w:ascii="Cambria Math" w:hAnsi="Cambria Math"/>
                            <w:color w:val="000000" w:themeColor="text1"/>
                            <w:sz w:val="20"/>
                            <w:lang w:eastAsia="it-IT"/>
                          </w:rPr>
                          <m:t>O</m:t>
                        </m:r>
                      </m:e>
                      <m:sub>
                        <m:r>
                          <m:rPr>
                            <m:sty m:val="p"/>
                          </m:rPr>
                          <w:rPr>
                            <w:rFonts w:ascii="Cambria Math" w:hAnsi="Cambria Math"/>
                            <w:color w:val="000000" w:themeColor="text1"/>
                            <w:sz w:val="20"/>
                            <w:lang w:eastAsia="it-IT"/>
                          </w:rPr>
                          <m:t>2</m:t>
                        </m:r>
                      </m:sub>
                    </m:sSub>
                  </m:sub>
                </m:sSub>
                <m:d>
                  <m:dPr>
                    <m:begChr m:val="["/>
                    <m:endChr m:val="]"/>
                    <m:ctrlPr>
                      <w:rPr>
                        <w:rFonts w:ascii="Cambria Math" w:hAnsi="Cambria Math"/>
                        <w:color w:val="000000" w:themeColor="text1"/>
                        <w:sz w:val="20"/>
                        <w:lang w:eastAsia="it-IT"/>
                      </w:rPr>
                    </m:ctrlPr>
                  </m:dPr>
                  <m:e>
                    <m:f>
                      <m:fPr>
                        <m:ctrlPr>
                          <w:rPr>
                            <w:rFonts w:ascii="Cambria Math" w:hAnsi="Cambria Math"/>
                            <w:color w:val="000000" w:themeColor="text1"/>
                            <w:sz w:val="20"/>
                            <w:lang w:eastAsia="it-IT"/>
                          </w:rPr>
                        </m:ctrlPr>
                      </m:fPr>
                      <m:num>
                        <m:sSup>
                          <m:sSupPr>
                            <m:ctrlPr>
                              <w:rPr>
                                <w:rFonts w:ascii="Cambria Math" w:hAnsi="Cambria Math"/>
                                <w:color w:val="000000" w:themeColor="text1"/>
                                <w:sz w:val="20"/>
                                <w:lang w:eastAsia="it-IT"/>
                              </w:rPr>
                            </m:ctrlPr>
                          </m:sSupPr>
                          <m:e>
                            <m:r>
                              <w:rPr>
                                <w:rFonts w:ascii="Cambria Math" w:hAnsi="Cambria Math"/>
                                <w:color w:val="000000" w:themeColor="text1"/>
                                <w:sz w:val="20"/>
                                <w:lang w:eastAsia="it-IT"/>
                              </w:rPr>
                              <m:t>cm</m:t>
                            </m:r>
                          </m:e>
                          <m:sup>
                            <m:r>
                              <m:rPr>
                                <m:sty m:val="p"/>
                              </m:rPr>
                              <w:rPr>
                                <w:rFonts w:ascii="Cambria Math" w:hAnsi="Cambria Math"/>
                                <w:color w:val="000000" w:themeColor="text1"/>
                                <w:sz w:val="20"/>
                                <w:lang w:eastAsia="it-IT"/>
                              </w:rPr>
                              <m:t>3</m:t>
                            </m:r>
                          </m:sup>
                        </m:sSup>
                        <m:r>
                          <m:rPr>
                            <m:sty m:val="p"/>
                          </m:rPr>
                          <w:rPr>
                            <w:rFonts w:ascii="Cambria Math" w:hAnsi="Cambria Math"/>
                            <w:color w:val="000000" w:themeColor="text1"/>
                            <w:sz w:val="20"/>
                            <w:lang w:eastAsia="it-IT"/>
                          </w:rPr>
                          <m:t xml:space="preserve"> </m:t>
                        </m:r>
                        <m:r>
                          <w:rPr>
                            <w:rFonts w:ascii="Cambria Math" w:hAnsi="Cambria Math"/>
                            <w:color w:val="000000" w:themeColor="text1"/>
                            <w:sz w:val="20"/>
                            <w:lang w:eastAsia="it-IT"/>
                          </w:rPr>
                          <m:t>mm</m:t>
                        </m:r>
                      </m:num>
                      <m:den>
                        <m:sSup>
                          <m:sSupPr>
                            <m:ctrlPr>
                              <w:rPr>
                                <w:rFonts w:ascii="Cambria Math" w:hAnsi="Cambria Math"/>
                                <w:color w:val="000000" w:themeColor="text1"/>
                                <w:sz w:val="20"/>
                                <w:lang w:eastAsia="it-IT"/>
                              </w:rPr>
                            </m:ctrlPr>
                          </m:sSupPr>
                          <m:e>
                            <m:r>
                              <w:rPr>
                                <w:rFonts w:ascii="Cambria Math" w:hAnsi="Cambria Math"/>
                                <w:color w:val="000000" w:themeColor="text1"/>
                                <w:sz w:val="20"/>
                                <w:lang w:eastAsia="it-IT"/>
                              </w:rPr>
                              <m:t>m</m:t>
                            </m:r>
                          </m:e>
                          <m:sup>
                            <m:r>
                              <m:rPr>
                                <m:sty m:val="p"/>
                              </m:rPr>
                              <w:rPr>
                                <w:rFonts w:ascii="Cambria Math" w:hAnsi="Cambria Math"/>
                                <w:color w:val="000000" w:themeColor="text1"/>
                                <w:sz w:val="20"/>
                                <w:lang w:eastAsia="it-IT"/>
                              </w:rPr>
                              <m:t xml:space="preserve">2 </m:t>
                            </m:r>
                          </m:sup>
                        </m:sSup>
                        <m:r>
                          <w:rPr>
                            <w:rFonts w:ascii="Cambria Math" w:hAnsi="Cambria Math"/>
                            <w:color w:val="000000" w:themeColor="text1"/>
                            <w:sz w:val="20"/>
                            <w:lang w:eastAsia="it-IT"/>
                          </w:rPr>
                          <m:t>d</m:t>
                        </m:r>
                        <m:r>
                          <m:rPr>
                            <m:sty m:val="p"/>
                          </m:rPr>
                          <w:rPr>
                            <w:rFonts w:ascii="Cambria Math" w:hAnsi="Cambria Math"/>
                            <w:color w:val="000000" w:themeColor="text1"/>
                            <w:sz w:val="20"/>
                            <w:lang w:eastAsia="it-IT"/>
                          </w:rPr>
                          <m:t xml:space="preserve"> </m:t>
                        </m:r>
                        <m:r>
                          <w:rPr>
                            <w:rFonts w:ascii="Cambria Math" w:hAnsi="Cambria Math"/>
                            <w:color w:val="000000" w:themeColor="text1"/>
                            <w:sz w:val="20"/>
                            <w:lang w:eastAsia="it-IT"/>
                          </w:rPr>
                          <m:t>bar</m:t>
                        </m:r>
                      </m:den>
                    </m:f>
                  </m:e>
                </m:d>
              </m:oMath>
            </m:oMathPara>
          </w:p>
        </w:tc>
        <w:tc>
          <w:tcPr>
            <w:tcW w:w="2552" w:type="dxa"/>
            <w:tcBorders>
              <w:top w:val="single" w:sz="12" w:space="0" w:color="008000"/>
              <w:bottom w:val="single" w:sz="6" w:space="0" w:color="008000"/>
            </w:tcBorders>
            <w:shd w:val="clear" w:color="auto" w:fill="FFFFFF"/>
          </w:tcPr>
          <w:p w14:paraId="022DBCE9" w14:textId="77777777" w:rsidR="005874DD" w:rsidRPr="000F708E" w:rsidRDefault="00000000" w:rsidP="00DB037B">
            <w:pPr>
              <w:pStyle w:val="CETBodytext"/>
              <w:jc w:val="center"/>
              <w:rPr>
                <w:lang w:val="en-GB"/>
              </w:rPr>
            </w:pPr>
            <m:oMathPara>
              <m:oMath>
                <m:sSub>
                  <m:sSubPr>
                    <m:ctrlPr>
                      <w:rPr>
                        <w:rFonts w:ascii="Cambria Math" w:hAnsi="Cambria Math"/>
                        <w:color w:val="000000" w:themeColor="text1"/>
                        <w:sz w:val="20"/>
                        <w:lang w:eastAsia="it-IT"/>
                      </w:rPr>
                    </m:ctrlPr>
                  </m:sSubPr>
                  <m:e>
                    <m:r>
                      <w:rPr>
                        <w:rFonts w:ascii="Cambria Math" w:hAnsi="Cambria Math"/>
                        <w:color w:val="000000" w:themeColor="text1"/>
                        <w:sz w:val="20"/>
                        <w:lang w:eastAsia="it-IT"/>
                      </w:rPr>
                      <m:t>P</m:t>
                    </m:r>
                  </m:e>
                  <m:sub>
                    <m:sSub>
                      <m:sSubPr>
                        <m:ctrlPr>
                          <w:rPr>
                            <w:rFonts w:ascii="Cambria Math" w:hAnsi="Cambria Math"/>
                            <w:color w:val="000000" w:themeColor="text1"/>
                            <w:sz w:val="20"/>
                            <w:lang w:eastAsia="it-IT"/>
                          </w:rPr>
                        </m:ctrlPr>
                      </m:sSubPr>
                      <m:e>
                        <m:r>
                          <w:rPr>
                            <w:rFonts w:ascii="Cambria Math" w:hAnsi="Cambria Math"/>
                            <w:color w:val="000000" w:themeColor="text1"/>
                            <w:sz w:val="20"/>
                            <w:lang w:eastAsia="it-IT"/>
                          </w:rPr>
                          <m:t>calc_O</m:t>
                        </m:r>
                      </m:e>
                      <m:sub>
                        <m:r>
                          <m:rPr>
                            <m:sty m:val="p"/>
                          </m:rPr>
                          <w:rPr>
                            <w:rFonts w:ascii="Cambria Math" w:hAnsi="Cambria Math"/>
                            <w:color w:val="000000" w:themeColor="text1"/>
                            <w:sz w:val="20"/>
                            <w:lang w:eastAsia="it-IT"/>
                          </w:rPr>
                          <m:t>2</m:t>
                        </m:r>
                      </m:sub>
                    </m:sSub>
                  </m:sub>
                </m:sSub>
                <m:d>
                  <m:dPr>
                    <m:begChr m:val="["/>
                    <m:endChr m:val="]"/>
                    <m:ctrlPr>
                      <w:rPr>
                        <w:rFonts w:ascii="Cambria Math" w:hAnsi="Cambria Math"/>
                        <w:color w:val="000000" w:themeColor="text1"/>
                        <w:sz w:val="20"/>
                        <w:lang w:eastAsia="it-IT"/>
                      </w:rPr>
                    </m:ctrlPr>
                  </m:dPr>
                  <m:e>
                    <m:f>
                      <m:fPr>
                        <m:ctrlPr>
                          <w:rPr>
                            <w:rFonts w:ascii="Cambria Math" w:hAnsi="Cambria Math"/>
                            <w:color w:val="000000" w:themeColor="text1"/>
                            <w:sz w:val="20"/>
                            <w:lang w:eastAsia="it-IT"/>
                          </w:rPr>
                        </m:ctrlPr>
                      </m:fPr>
                      <m:num>
                        <m:sSup>
                          <m:sSupPr>
                            <m:ctrlPr>
                              <w:rPr>
                                <w:rFonts w:ascii="Cambria Math" w:hAnsi="Cambria Math"/>
                                <w:color w:val="000000" w:themeColor="text1"/>
                                <w:sz w:val="20"/>
                                <w:lang w:eastAsia="it-IT"/>
                              </w:rPr>
                            </m:ctrlPr>
                          </m:sSupPr>
                          <m:e>
                            <m:r>
                              <w:rPr>
                                <w:rFonts w:ascii="Cambria Math" w:hAnsi="Cambria Math"/>
                                <w:color w:val="000000" w:themeColor="text1"/>
                                <w:sz w:val="20"/>
                                <w:lang w:eastAsia="it-IT"/>
                              </w:rPr>
                              <m:t>cm</m:t>
                            </m:r>
                          </m:e>
                          <m:sup>
                            <m:r>
                              <m:rPr>
                                <m:sty m:val="p"/>
                              </m:rPr>
                              <w:rPr>
                                <w:rFonts w:ascii="Cambria Math" w:hAnsi="Cambria Math"/>
                                <w:color w:val="000000" w:themeColor="text1"/>
                                <w:sz w:val="20"/>
                                <w:lang w:eastAsia="it-IT"/>
                              </w:rPr>
                              <m:t>3</m:t>
                            </m:r>
                          </m:sup>
                        </m:sSup>
                        <m:r>
                          <m:rPr>
                            <m:sty m:val="p"/>
                          </m:rPr>
                          <w:rPr>
                            <w:rFonts w:ascii="Cambria Math" w:hAnsi="Cambria Math"/>
                            <w:color w:val="000000" w:themeColor="text1"/>
                            <w:sz w:val="20"/>
                            <w:lang w:eastAsia="it-IT"/>
                          </w:rPr>
                          <m:t xml:space="preserve"> </m:t>
                        </m:r>
                        <m:r>
                          <w:rPr>
                            <w:rFonts w:ascii="Cambria Math" w:hAnsi="Cambria Math"/>
                            <w:color w:val="000000" w:themeColor="text1"/>
                            <w:sz w:val="20"/>
                            <w:lang w:eastAsia="it-IT"/>
                          </w:rPr>
                          <m:t>mm</m:t>
                        </m:r>
                      </m:num>
                      <m:den>
                        <m:sSup>
                          <m:sSupPr>
                            <m:ctrlPr>
                              <w:rPr>
                                <w:rFonts w:ascii="Cambria Math" w:hAnsi="Cambria Math"/>
                                <w:color w:val="000000" w:themeColor="text1"/>
                                <w:sz w:val="20"/>
                                <w:lang w:eastAsia="it-IT"/>
                              </w:rPr>
                            </m:ctrlPr>
                          </m:sSupPr>
                          <m:e>
                            <m:r>
                              <w:rPr>
                                <w:rFonts w:ascii="Cambria Math" w:hAnsi="Cambria Math"/>
                                <w:color w:val="000000" w:themeColor="text1"/>
                                <w:sz w:val="20"/>
                                <w:lang w:eastAsia="it-IT"/>
                              </w:rPr>
                              <m:t>m</m:t>
                            </m:r>
                          </m:e>
                          <m:sup>
                            <m:r>
                              <m:rPr>
                                <m:sty m:val="p"/>
                              </m:rPr>
                              <w:rPr>
                                <w:rFonts w:ascii="Cambria Math" w:hAnsi="Cambria Math"/>
                                <w:color w:val="000000" w:themeColor="text1"/>
                                <w:sz w:val="20"/>
                                <w:lang w:eastAsia="it-IT"/>
                              </w:rPr>
                              <m:t xml:space="preserve">2 </m:t>
                            </m:r>
                          </m:sup>
                        </m:sSup>
                        <m:r>
                          <w:rPr>
                            <w:rFonts w:ascii="Cambria Math" w:hAnsi="Cambria Math"/>
                            <w:color w:val="000000" w:themeColor="text1"/>
                            <w:sz w:val="20"/>
                            <w:lang w:eastAsia="it-IT"/>
                          </w:rPr>
                          <m:t>d</m:t>
                        </m:r>
                        <m:r>
                          <m:rPr>
                            <m:sty m:val="p"/>
                          </m:rPr>
                          <w:rPr>
                            <w:rFonts w:ascii="Cambria Math" w:hAnsi="Cambria Math"/>
                            <w:color w:val="000000" w:themeColor="text1"/>
                            <w:sz w:val="20"/>
                            <w:lang w:eastAsia="it-IT"/>
                          </w:rPr>
                          <m:t xml:space="preserve"> </m:t>
                        </m:r>
                        <m:r>
                          <w:rPr>
                            <w:rFonts w:ascii="Cambria Math" w:hAnsi="Cambria Math"/>
                            <w:color w:val="000000" w:themeColor="text1"/>
                            <w:sz w:val="20"/>
                            <w:lang w:eastAsia="it-IT"/>
                          </w:rPr>
                          <m:t>bar</m:t>
                        </m:r>
                      </m:den>
                    </m:f>
                  </m:e>
                </m:d>
              </m:oMath>
            </m:oMathPara>
          </w:p>
        </w:tc>
        <w:tc>
          <w:tcPr>
            <w:tcW w:w="2265" w:type="dxa"/>
            <w:tcBorders>
              <w:top w:val="single" w:sz="12" w:space="0" w:color="008000"/>
              <w:bottom w:val="single" w:sz="6" w:space="0" w:color="008000"/>
            </w:tcBorders>
            <w:shd w:val="clear" w:color="auto" w:fill="FFFFFF"/>
          </w:tcPr>
          <w:p w14:paraId="2FB4D870" w14:textId="77777777" w:rsidR="005874DD" w:rsidRPr="000F708E" w:rsidRDefault="005874DD" w:rsidP="00DB037B">
            <w:pPr>
              <w:pStyle w:val="CETBodytext"/>
              <w:jc w:val="center"/>
              <w:rPr>
                <w:rFonts w:cs="Arial"/>
                <w:color w:val="000000" w:themeColor="text1"/>
                <w:sz w:val="20"/>
                <w:lang w:eastAsia="it-IT"/>
              </w:rPr>
            </w:pPr>
            <w:r w:rsidRPr="000F708E">
              <w:rPr>
                <w:lang w:eastAsia="en-GB"/>
              </w:rPr>
              <w:t>Percentage difference [%]</w:t>
            </w:r>
          </w:p>
        </w:tc>
      </w:tr>
      <w:tr w:rsidR="005874DD" w:rsidRPr="00B57B36" w14:paraId="12D9AF62" w14:textId="77777777" w:rsidTr="00F01692">
        <w:trPr>
          <w:trHeight w:val="221"/>
        </w:trPr>
        <w:tc>
          <w:tcPr>
            <w:tcW w:w="2268" w:type="dxa"/>
            <w:shd w:val="clear" w:color="auto" w:fill="FFFFFF"/>
          </w:tcPr>
          <w:p w14:paraId="7AF0BB04" w14:textId="77777777" w:rsidR="005874DD" w:rsidRPr="00B57B36" w:rsidRDefault="005874DD" w:rsidP="00F01692">
            <w:pPr>
              <w:pStyle w:val="CETBodytext"/>
              <w:rPr>
                <w:lang w:val="en-GB"/>
              </w:rPr>
            </w:pPr>
            <w:bookmarkStart w:id="0" w:name="_Hlk129306710"/>
            <w:r>
              <w:rPr>
                <w:lang w:val="en-GB"/>
              </w:rPr>
              <w:t>PLA4032/PHB 70/30</w:t>
            </w:r>
            <w:bookmarkEnd w:id="0"/>
          </w:p>
        </w:tc>
        <w:tc>
          <w:tcPr>
            <w:tcW w:w="1843" w:type="dxa"/>
            <w:shd w:val="clear" w:color="auto" w:fill="FFFFFF"/>
          </w:tcPr>
          <w:p w14:paraId="00438EA7" w14:textId="77777777" w:rsidR="005874DD" w:rsidRPr="00B57B36" w:rsidRDefault="005874DD" w:rsidP="00F01692">
            <w:pPr>
              <w:pStyle w:val="CETBodytext"/>
              <w:rPr>
                <w:lang w:val="en-GB"/>
              </w:rPr>
            </w:pPr>
            <w:r>
              <w:rPr>
                <w:lang w:val="en-GB"/>
              </w:rPr>
              <w:t>14.1</w:t>
            </w:r>
          </w:p>
        </w:tc>
        <w:tc>
          <w:tcPr>
            <w:tcW w:w="2552" w:type="dxa"/>
            <w:shd w:val="clear" w:color="auto" w:fill="FFFFFF"/>
          </w:tcPr>
          <w:p w14:paraId="3AC45C6F" w14:textId="58150C8A" w:rsidR="005874DD" w:rsidRPr="00B57B36" w:rsidRDefault="00A10BE3" w:rsidP="00F01692">
            <w:pPr>
              <w:pStyle w:val="CETBodytext"/>
              <w:rPr>
                <w:lang w:val="en-GB"/>
              </w:rPr>
            </w:pPr>
            <w:r>
              <w:rPr>
                <w:lang w:val="en-GB"/>
              </w:rPr>
              <w:t>-</w:t>
            </w:r>
          </w:p>
        </w:tc>
        <w:tc>
          <w:tcPr>
            <w:tcW w:w="2265" w:type="dxa"/>
            <w:shd w:val="clear" w:color="auto" w:fill="FFFFFF"/>
          </w:tcPr>
          <w:p w14:paraId="1A1AD7E8" w14:textId="3A8F010B" w:rsidR="005874DD" w:rsidRPr="00B57B36" w:rsidRDefault="00A10BE3" w:rsidP="00F01692">
            <w:pPr>
              <w:pStyle w:val="CETBodytext"/>
              <w:rPr>
                <w:lang w:val="en-GB"/>
              </w:rPr>
            </w:pPr>
            <w:r>
              <w:rPr>
                <w:lang w:val="en-GB"/>
              </w:rPr>
              <w:t>-</w:t>
            </w:r>
          </w:p>
        </w:tc>
      </w:tr>
      <w:tr w:rsidR="005874DD" w:rsidRPr="00B57B36" w14:paraId="230320DE" w14:textId="77777777" w:rsidTr="00F01692">
        <w:trPr>
          <w:trHeight w:val="238"/>
        </w:trPr>
        <w:tc>
          <w:tcPr>
            <w:tcW w:w="2268" w:type="dxa"/>
            <w:shd w:val="clear" w:color="auto" w:fill="FFFFFF"/>
          </w:tcPr>
          <w:p w14:paraId="4429FCBF" w14:textId="77777777" w:rsidR="005874DD" w:rsidRPr="00B57B36" w:rsidRDefault="005874DD" w:rsidP="00F01692">
            <w:pPr>
              <w:pStyle w:val="CETBodytext"/>
              <w:ind w:right="-1"/>
              <w:rPr>
                <w:rFonts w:cs="Arial"/>
                <w:szCs w:val="18"/>
                <w:lang w:val="en-GB"/>
              </w:rPr>
            </w:pPr>
            <w:r>
              <w:rPr>
                <w:rFonts w:cs="Arial"/>
                <w:szCs w:val="18"/>
                <w:lang w:val="en-GB"/>
              </w:rPr>
              <w:t>Ecovio/PLA4060 80/20</w:t>
            </w:r>
          </w:p>
        </w:tc>
        <w:tc>
          <w:tcPr>
            <w:tcW w:w="1843" w:type="dxa"/>
            <w:shd w:val="clear" w:color="auto" w:fill="FFFFFF"/>
          </w:tcPr>
          <w:p w14:paraId="19D2036E" w14:textId="77777777" w:rsidR="005874DD" w:rsidRPr="00B57B36" w:rsidRDefault="005874DD" w:rsidP="00F01692">
            <w:pPr>
              <w:pStyle w:val="CETBodytext"/>
              <w:ind w:right="-1"/>
              <w:rPr>
                <w:rFonts w:cs="Arial"/>
                <w:szCs w:val="18"/>
                <w:lang w:val="en-GB"/>
              </w:rPr>
            </w:pPr>
            <w:r>
              <w:rPr>
                <w:rFonts w:cs="Arial"/>
                <w:szCs w:val="18"/>
                <w:lang w:val="en-GB"/>
              </w:rPr>
              <w:t>35.7</w:t>
            </w:r>
          </w:p>
        </w:tc>
        <w:tc>
          <w:tcPr>
            <w:tcW w:w="2552" w:type="dxa"/>
            <w:shd w:val="clear" w:color="auto" w:fill="FFFFFF"/>
          </w:tcPr>
          <w:p w14:paraId="28DA56D9" w14:textId="64D3DDF4" w:rsidR="005874DD" w:rsidRPr="00B57B36" w:rsidRDefault="00A10BE3" w:rsidP="00F01692">
            <w:pPr>
              <w:pStyle w:val="CETBodytext"/>
              <w:ind w:right="-1"/>
              <w:rPr>
                <w:rFonts w:cs="Arial"/>
                <w:szCs w:val="18"/>
                <w:lang w:val="en-GB"/>
              </w:rPr>
            </w:pPr>
            <w:r>
              <w:rPr>
                <w:rFonts w:cs="Arial"/>
                <w:szCs w:val="18"/>
                <w:lang w:val="en-GB"/>
              </w:rPr>
              <w:t>-</w:t>
            </w:r>
          </w:p>
        </w:tc>
        <w:tc>
          <w:tcPr>
            <w:tcW w:w="2265" w:type="dxa"/>
            <w:shd w:val="clear" w:color="auto" w:fill="FFFFFF"/>
          </w:tcPr>
          <w:p w14:paraId="5B428C09" w14:textId="1B27E6F4" w:rsidR="005874DD" w:rsidRPr="00B57B36" w:rsidRDefault="00A10BE3" w:rsidP="00F01692">
            <w:pPr>
              <w:pStyle w:val="CETBodytext"/>
              <w:ind w:right="-1"/>
              <w:rPr>
                <w:rFonts w:cs="Arial"/>
                <w:szCs w:val="18"/>
                <w:lang w:val="en-GB"/>
              </w:rPr>
            </w:pPr>
            <w:r>
              <w:rPr>
                <w:rFonts w:cs="Arial"/>
                <w:szCs w:val="18"/>
                <w:lang w:val="en-GB"/>
              </w:rPr>
              <w:t>-</w:t>
            </w:r>
          </w:p>
        </w:tc>
      </w:tr>
      <w:tr w:rsidR="005874DD" w:rsidRPr="00B57B36" w14:paraId="6E00529F" w14:textId="77777777" w:rsidTr="00F01692">
        <w:trPr>
          <w:trHeight w:val="238"/>
        </w:trPr>
        <w:tc>
          <w:tcPr>
            <w:tcW w:w="2268" w:type="dxa"/>
            <w:shd w:val="clear" w:color="auto" w:fill="FFFFFF"/>
          </w:tcPr>
          <w:p w14:paraId="4A10B831" w14:textId="77777777" w:rsidR="005874DD" w:rsidRDefault="005874DD" w:rsidP="00F01692">
            <w:pPr>
              <w:pStyle w:val="CETBodytext"/>
              <w:ind w:right="-1"/>
              <w:rPr>
                <w:rFonts w:cs="Arial"/>
                <w:szCs w:val="18"/>
                <w:lang w:val="en-GB"/>
              </w:rPr>
            </w:pPr>
            <w:r>
              <w:rPr>
                <w:rFonts w:cs="Arial"/>
                <w:szCs w:val="18"/>
                <w:lang w:val="en-GB"/>
              </w:rPr>
              <w:t>Bilayer O30/I30</w:t>
            </w:r>
          </w:p>
        </w:tc>
        <w:tc>
          <w:tcPr>
            <w:tcW w:w="1843" w:type="dxa"/>
            <w:shd w:val="clear" w:color="auto" w:fill="FFFFFF"/>
          </w:tcPr>
          <w:p w14:paraId="7E771DF1" w14:textId="77777777" w:rsidR="005874DD" w:rsidRPr="00B57B36" w:rsidRDefault="005874DD" w:rsidP="00F01692">
            <w:pPr>
              <w:pStyle w:val="CETBodytext"/>
              <w:ind w:right="-1"/>
              <w:rPr>
                <w:rFonts w:cs="Arial"/>
                <w:szCs w:val="18"/>
                <w:lang w:val="en-GB"/>
              </w:rPr>
            </w:pPr>
            <w:r>
              <w:rPr>
                <w:rFonts w:cs="Arial"/>
                <w:szCs w:val="18"/>
                <w:lang w:val="en-GB"/>
              </w:rPr>
              <w:t>22.1</w:t>
            </w:r>
          </w:p>
        </w:tc>
        <w:tc>
          <w:tcPr>
            <w:tcW w:w="2552" w:type="dxa"/>
            <w:shd w:val="clear" w:color="auto" w:fill="FFFFFF"/>
          </w:tcPr>
          <w:p w14:paraId="3AC4A734" w14:textId="77777777" w:rsidR="005874DD" w:rsidRPr="00B57B36" w:rsidRDefault="005874DD" w:rsidP="00F01692">
            <w:pPr>
              <w:pStyle w:val="CETBodytext"/>
              <w:ind w:right="-1"/>
              <w:rPr>
                <w:rFonts w:cs="Arial"/>
                <w:szCs w:val="18"/>
                <w:lang w:val="en-GB"/>
              </w:rPr>
            </w:pPr>
            <w:r>
              <w:rPr>
                <w:rFonts w:cs="Arial"/>
                <w:szCs w:val="18"/>
                <w:lang w:val="en-GB"/>
              </w:rPr>
              <w:t>20.2</w:t>
            </w:r>
          </w:p>
        </w:tc>
        <w:tc>
          <w:tcPr>
            <w:tcW w:w="2265" w:type="dxa"/>
            <w:shd w:val="clear" w:color="auto" w:fill="FFFFFF"/>
          </w:tcPr>
          <w:p w14:paraId="254F4B16" w14:textId="77777777" w:rsidR="005874DD" w:rsidRPr="00B57B36" w:rsidRDefault="005874DD" w:rsidP="00F01692">
            <w:pPr>
              <w:pStyle w:val="CETBodytext"/>
              <w:ind w:right="-1"/>
              <w:rPr>
                <w:rFonts w:cs="Arial"/>
                <w:szCs w:val="18"/>
                <w:lang w:val="en-GB"/>
              </w:rPr>
            </w:pPr>
            <w:r>
              <w:rPr>
                <w:rFonts w:cs="Arial"/>
                <w:szCs w:val="18"/>
                <w:lang w:val="en-GB"/>
              </w:rPr>
              <w:t>8.9</w:t>
            </w:r>
          </w:p>
        </w:tc>
      </w:tr>
      <w:tr w:rsidR="005874DD" w:rsidRPr="00B57B36" w14:paraId="65C68822" w14:textId="77777777" w:rsidTr="00F01692">
        <w:trPr>
          <w:trHeight w:val="238"/>
        </w:trPr>
        <w:tc>
          <w:tcPr>
            <w:tcW w:w="2268" w:type="dxa"/>
            <w:shd w:val="clear" w:color="auto" w:fill="FFFFFF"/>
          </w:tcPr>
          <w:p w14:paraId="1D6E907B" w14:textId="77777777" w:rsidR="005874DD" w:rsidRDefault="005874DD" w:rsidP="00F01692">
            <w:pPr>
              <w:pStyle w:val="CETBodytext"/>
              <w:ind w:right="-1"/>
              <w:rPr>
                <w:rFonts w:cs="Arial"/>
                <w:szCs w:val="18"/>
                <w:lang w:val="en-GB"/>
              </w:rPr>
            </w:pPr>
            <w:r>
              <w:rPr>
                <w:rFonts w:cs="Arial"/>
                <w:szCs w:val="18"/>
                <w:lang w:val="en-GB"/>
              </w:rPr>
              <w:t>Bilayer O30/I50</w:t>
            </w:r>
          </w:p>
        </w:tc>
        <w:tc>
          <w:tcPr>
            <w:tcW w:w="1843" w:type="dxa"/>
            <w:shd w:val="clear" w:color="auto" w:fill="FFFFFF"/>
          </w:tcPr>
          <w:p w14:paraId="35A975C2" w14:textId="77777777" w:rsidR="005874DD" w:rsidRPr="00B57B36" w:rsidRDefault="005874DD" w:rsidP="00F01692">
            <w:pPr>
              <w:pStyle w:val="CETBodytext"/>
              <w:ind w:right="-1"/>
              <w:rPr>
                <w:rFonts w:cs="Arial"/>
                <w:szCs w:val="18"/>
                <w:lang w:val="en-GB"/>
              </w:rPr>
            </w:pPr>
            <w:r>
              <w:rPr>
                <w:rFonts w:cs="Arial"/>
                <w:szCs w:val="18"/>
                <w:lang w:val="en-GB"/>
              </w:rPr>
              <w:t>24.2</w:t>
            </w:r>
          </w:p>
        </w:tc>
        <w:tc>
          <w:tcPr>
            <w:tcW w:w="2552" w:type="dxa"/>
            <w:shd w:val="clear" w:color="auto" w:fill="FFFFFF"/>
          </w:tcPr>
          <w:p w14:paraId="41175A5C" w14:textId="77777777" w:rsidR="005874DD" w:rsidRPr="00B57B36" w:rsidRDefault="005874DD" w:rsidP="00F01692">
            <w:pPr>
              <w:pStyle w:val="CETBodytext"/>
              <w:ind w:right="-1"/>
              <w:rPr>
                <w:rFonts w:cs="Arial"/>
                <w:szCs w:val="18"/>
                <w:lang w:val="en-GB"/>
              </w:rPr>
            </w:pPr>
            <w:r>
              <w:rPr>
                <w:rFonts w:cs="Arial"/>
                <w:szCs w:val="18"/>
                <w:lang w:val="en-GB"/>
              </w:rPr>
              <w:t>22.7</w:t>
            </w:r>
          </w:p>
        </w:tc>
        <w:tc>
          <w:tcPr>
            <w:tcW w:w="2265" w:type="dxa"/>
            <w:shd w:val="clear" w:color="auto" w:fill="FFFFFF"/>
          </w:tcPr>
          <w:p w14:paraId="37F24ED1" w14:textId="77777777" w:rsidR="005874DD" w:rsidRPr="00B57B36" w:rsidRDefault="005874DD" w:rsidP="00F01692">
            <w:pPr>
              <w:pStyle w:val="CETBodytext"/>
              <w:ind w:right="-1"/>
              <w:rPr>
                <w:rFonts w:cs="Arial"/>
                <w:szCs w:val="18"/>
                <w:lang w:val="en-GB"/>
              </w:rPr>
            </w:pPr>
            <w:r>
              <w:rPr>
                <w:rFonts w:cs="Arial"/>
                <w:szCs w:val="18"/>
                <w:lang w:val="en-GB"/>
              </w:rPr>
              <w:t>6.4</w:t>
            </w:r>
          </w:p>
        </w:tc>
      </w:tr>
      <w:tr w:rsidR="005874DD" w:rsidRPr="00B57B36" w14:paraId="5E9A3E81" w14:textId="77777777" w:rsidTr="00F01692">
        <w:trPr>
          <w:trHeight w:val="238"/>
        </w:trPr>
        <w:tc>
          <w:tcPr>
            <w:tcW w:w="2268" w:type="dxa"/>
            <w:shd w:val="clear" w:color="auto" w:fill="FFFFFF"/>
          </w:tcPr>
          <w:p w14:paraId="0C6162E3" w14:textId="77777777" w:rsidR="005874DD" w:rsidRDefault="005874DD" w:rsidP="00F01692">
            <w:pPr>
              <w:pStyle w:val="CETBodytext"/>
              <w:ind w:right="-1"/>
              <w:rPr>
                <w:rFonts w:cs="Arial"/>
                <w:szCs w:val="18"/>
                <w:lang w:val="en-GB"/>
              </w:rPr>
            </w:pPr>
            <w:r>
              <w:rPr>
                <w:rFonts w:cs="Arial"/>
                <w:szCs w:val="18"/>
                <w:lang w:val="en-GB"/>
              </w:rPr>
              <w:lastRenderedPageBreak/>
              <w:t>Bilayer O50/I30</w:t>
            </w:r>
          </w:p>
        </w:tc>
        <w:tc>
          <w:tcPr>
            <w:tcW w:w="1843" w:type="dxa"/>
            <w:shd w:val="clear" w:color="auto" w:fill="FFFFFF"/>
          </w:tcPr>
          <w:p w14:paraId="0F1B4C79" w14:textId="77777777" w:rsidR="005874DD" w:rsidRPr="00B57B36" w:rsidRDefault="005874DD" w:rsidP="00F01692">
            <w:pPr>
              <w:pStyle w:val="CETBodytext"/>
              <w:ind w:right="-1"/>
              <w:rPr>
                <w:rFonts w:cs="Arial"/>
                <w:szCs w:val="18"/>
                <w:lang w:val="en-GB"/>
              </w:rPr>
            </w:pPr>
            <w:r>
              <w:rPr>
                <w:rFonts w:cs="Arial"/>
                <w:szCs w:val="18"/>
                <w:lang w:val="en-GB"/>
              </w:rPr>
              <w:t>16.8</w:t>
            </w:r>
          </w:p>
        </w:tc>
        <w:tc>
          <w:tcPr>
            <w:tcW w:w="2552" w:type="dxa"/>
            <w:shd w:val="clear" w:color="auto" w:fill="FFFFFF"/>
          </w:tcPr>
          <w:p w14:paraId="255185AA" w14:textId="77777777" w:rsidR="005874DD" w:rsidRPr="00B57B36" w:rsidRDefault="005874DD" w:rsidP="00F01692">
            <w:pPr>
              <w:pStyle w:val="CETBodytext"/>
              <w:ind w:right="-1"/>
              <w:rPr>
                <w:rFonts w:cs="Arial"/>
                <w:szCs w:val="18"/>
                <w:lang w:val="en-GB"/>
              </w:rPr>
            </w:pPr>
            <w:r>
              <w:rPr>
                <w:rFonts w:cs="Arial"/>
                <w:szCs w:val="18"/>
                <w:lang w:val="en-GB"/>
              </w:rPr>
              <w:t>18.2</w:t>
            </w:r>
          </w:p>
        </w:tc>
        <w:tc>
          <w:tcPr>
            <w:tcW w:w="2265" w:type="dxa"/>
            <w:shd w:val="clear" w:color="auto" w:fill="FFFFFF"/>
          </w:tcPr>
          <w:p w14:paraId="43819E14" w14:textId="77777777" w:rsidR="005874DD" w:rsidRPr="00B57B36" w:rsidRDefault="005874DD" w:rsidP="00F01692">
            <w:pPr>
              <w:pStyle w:val="CETBodytext"/>
              <w:ind w:right="-1"/>
              <w:rPr>
                <w:rFonts w:cs="Arial"/>
                <w:szCs w:val="18"/>
                <w:lang w:val="en-GB"/>
              </w:rPr>
            </w:pPr>
            <w:r>
              <w:rPr>
                <w:rFonts w:cs="Arial"/>
                <w:szCs w:val="18"/>
                <w:lang w:val="en-GB"/>
              </w:rPr>
              <w:t>8.0</w:t>
            </w:r>
          </w:p>
        </w:tc>
      </w:tr>
    </w:tbl>
    <w:p w14:paraId="6882088E" w14:textId="77777777" w:rsidR="005874DD" w:rsidRPr="005874DD" w:rsidRDefault="005874DD" w:rsidP="005874DD">
      <w:pPr>
        <w:pStyle w:val="CETBodytext"/>
      </w:pPr>
    </w:p>
    <w:p w14:paraId="2056E92B" w14:textId="26BCD45D" w:rsidR="00E31B79" w:rsidRDefault="00E31B79" w:rsidP="00E31B79">
      <w:pPr>
        <w:pStyle w:val="CETheadingx"/>
      </w:pPr>
      <w:r w:rsidRPr="007C0BFF">
        <w:t xml:space="preserve">Evaluation of </w:t>
      </w:r>
      <w:r w:rsidR="00CD6F00">
        <w:t>heat sealability</w:t>
      </w:r>
      <w:r w:rsidRPr="007C0BFF">
        <w:t>, surface energies and the work of adhesion</w:t>
      </w:r>
    </w:p>
    <w:p w14:paraId="160710C8" w14:textId="4297962D" w:rsidR="008D6093" w:rsidRPr="000D2F1D" w:rsidRDefault="00DD1607" w:rsidP="00422898">
      <w:pPr>
        <w:pStyle w:val="Paragrafoelenco"/>
        <w:ind w:left="0"/>
      </w:pPr>
      <w:r>
        <w:rPr>
          <w:lang w:val="en-US"/>
        </w:rPr>
        <w:t>The single inner and outer layers films were tested to measure their heat sealable properties, which is a functionality of primary importance for food packaging applications.</w:t>
      </w:r>
      <w:r w:rsidR="00CA20EE" w:rsidRPr="00CA20EE">
        <w:rPr>
          <w:lang w:val="en-US"/>
        </w:rPr>
        <w:t xml:space="preserve"> </w:t>
      </w:r>
      <w:r w:rsidR="00D850C6">
        <w:rPr>
          <w:lang w:val="en-US"/>
        </w:rPr>
        <w:t xml:space="preserve">Table </w:t>
      </w:r>
      <w:r w:rsidR="008B0C5E">
        <w:rPr>
          <w:lang w:val="en-US"/>
        </w:rPr>
        <w:t>3</w:t>
      </w:r>
      <w:r w:rsidR="00D850C6">
        <w:rPr>
          <w:lang w:val="en-US"/>
        </w:rPr>
        <w:t xml:space="preserve"> displays the results of the maximum hot tack force obtained. </w:t>
      </w:r>
      <w:r w:rsidR="00CA20EE">
        <w:rPr>
          <w:lang w:val="en-US"/>
        </w:rPr>
        <w:t xml:space="preserve">The </w:t>
      </w:r>
      <w:r w:rsidR="00CA20EE">
        <w:t>PLA4032/PHB 70/30 sample was not sealable in the whole range of temperatures investigated</w:t>
      </w:r>
      <w:r w:rsidR="00D850C6">
        <w:t xml:space="preserve">, whereas neat Ecovio was sealable only between 90 °C and 100°C with maximum hot tack strength equal to 200 g/15 mm at 95°C. The addition of 20% PLA4060 in the Ecovio matrix, instead, allowed to extend the film heat sealability in the range 80-100 °C and to increase the hot tack strength too, which was maximum at 90 °C and equal to 400 g/15 mm. </w:t>
      </w:r>
      <w:r w:rsidR="008D6093">
        <w:t xml:space="preserve">Films surface wettability and the extent of interlayer adhesion in bilayer samples were </w:t>
      </w:r>
      <w:r w:rsidR="00D850C6">
        <w:t xml:space="preserve">then </w:t>
      </w:r>
      <w:r w:rsidR="008D6093">
        <w:t xml:space="preserve">analysed by contact angle measurements. </w:t>
      </w:r>
      <w:r w:rsidR="009C71F1">
        <w:t xml:space="preserve">In </w:t>
      </w:r>
      <w:r w:rsidR="008D6093">
        <w:t xml:space="preserve">Table </w:t>
      </w:r>
      <w:r w:rsidR="008B0C5E">
        <w:t>3</w:t>
      </w:r>
      <w:r w:rsidR="009C71F1">
        <w:t xml:space="preserve"> </w:t>
      </w:r>
      <w:r w:rsidR="008D6093">
        <w:t>the s</w:t>
      </w:r>
      <w:r w:rsidR="008D6093" w:rsidRPr="007F3ECD">
        <w:t>tatic contact angles</w:t>
      </w:r>
      <w:r w:rsidR="008D6093">
        <w:t xml:space="preserve"> in water and diiodomethane </w:t>
      </w:r>
      <w:r w:rsidR="008D6093" w:rsidRPr="007F3ECD">
        <w:t xml:space="preserve">of the </w:t>
      </w:r>
      <w:r w:rsidR="008D6093">
        <w:t>inner and outer</w:t>
      </w:r>
      <w:r w:rsidR="008D6093" w:rsidRPr="007F3ECD">
        <w:t xml:space="preserve"> multilayer’s surfaces</w:t>
      </w:r>
      <w:r w:rsidR="009C71F1">
        <w:t xml:space="preserve"> are presented</w:t>
      </w:r>
      <w:r w:rsidR="008D6093">
        <w:t>. These values, considering small variations due to analytical method, were similar</w:t>
      </w:r>
      <w:r w:rsidR="008D6093" w:rsidRPr="001E0832">
        <w:t xml:space="preserve"> for all the </w:t>
      </w:r>
      <w:r w:rsidR="008D6093">
        <w:t>bilayer</w:t>
      </w:r>
      <w:r w:rsidR="008D6093" w:rsidRPr="001E0832">
        <w:t xml:space="preserve"> films</w:t>
      </w:r>
      <w:r w:rsidR="008D6093">
        <w:t xml:space="preserve">. According to the </w:t>
      </w:r>
      <w:r w:rsidR="008D6093" w:rsidRPr="007F3ECD">
        <w:t>Owens–Wendt approach</w:t>
      </w:r>
      <w:r w:rsidR="008D6093">
        <w:t xml:space="preserve">, the </w:t>
      </w:r>
      <w:r w:rsidR="008D6093" w:rsidRPr="007F3ECD">
        <w:t>surface</w:t>
      </w:r>
      <w:r w:rsidR="008D6093">
        <w:t xml:space="preserve"> free</w:t>
      </w:r>
      <w:r w:rsidR="008D6093" w:rsidRPr="007F3ECD">
        <w:t xml:space="preserve"> energies (γ</w:t>
      </w:r>
      <w:r w:rsidR="008D6093" w:rsidRPr="008D6093">
        <w:rPr>
          <w:vertAlign w:val="subscript"/>
        </w:rPr>
        <w:t>S</w:t>
      </w:r>
      <w:r w:rsidR="008D6093" w:rsidRPr="007F3ECD">
        <w:t>)</w:t>
      </w:r>
      <w:r w:rsidR="008D6093">
        <w:t>,</w:t>
      </w:r>
      <w:r w:rsidR="008D6093" w:rsidRPr="007F3ECD">
        <w:t xml:space="preserve"> comprising of polar (γ</w:t>
      </w:r>
      <w:r w:rsidR="008D6093" w:rsidRPr="008D6093">
        <w:rPr>
          <w:vertAlign w:val="subscript"/>
        </w:rPr>
        <w:t>s</w:t>
      </w:r>
      <w:r w:rsidR="008D6093" w:rsidRPr="008D6093">
        <w:rPr>
          <w:vertAlign w:val="superscript"/>
        </w:rPr>
        <w:t>p</w:t>
      </w:r>
      <w:r w:rsidR="008D6093" w:rsidRPr="007F3ECD">
        <w:t>) and dispersive (γ</w:t>
      </w:r>
      <w:r w:rsidR="008D6093" w:rsidRPr="008D6093">
        <w:rPr>
          <w:vertAlign w:val="subscript"/>
        </w:rPr>
        <w:t>s</w:t>
      </w:r>
      <w:r w:rsidR="008D6093" w:rsidRPr="008D6093">
        <w:rPr>
          <w:vertAlign w:val="superscript"/>
        </w:rPr>
        <w:t>d</w:t>
      </w:r>
      <w:r w:rsidR="008D6093" w:rsidRPr="007F3ECD">
        <w:t>) components</w:t>
      </w:r>
      <w:r w:rsidR="008D6093">
        <w:t>,</w:t>
      </w:r>
      <w:r w:rsidR="008D6093" w:rsidRPr="007F3ECD">
        <w:t xml:space="preserve"> and</w:t>
      </w:r>
      <w:r w:rsidR="008D6093">
        <w:t xml:space="preserve"> the</w:t>
      </w:r>
      <w:r w:rsidR="008D6093" w:rsidRPr="007F3ECD">
        <w:t xml:space="preserve"> polarity (P</w:t>
      </w:r>
      <w:r w:rsidR="008D6093" w:rsidRPr="008D6093">
        <w:rPr>
          <w:vertAlign w:val="subscript"/>
        </w:rPr>
        <w:t>s</w:t>
      </w:r>
      <w:r w:rsidR="008D6093" w:rsidRPr="007F3ECD">
        <w:t xml:space="preserve">) </w:t>
      </w:r>
      <w:r w:rsidR="008D6093">
        <w:t>were</w:t>
      </w:r>
      <w:r w:rsidR="008D6093" w:rsidRPr="007F3ECD">
        <w:t xml:space="preserve"> estimated</w:t>
      </w:r>
      <w:r w:rsidR="009C71F1">
        <w:t xml:space="preserve"> and reported in Table </w:t>
      </w:r>
      <w:r w:rsidR="008B0C5E">
        <w:t>3</w:t>
      </w:r>
      <w:r w:rsidR="008D6093">
        <w:t>. The work of</w:t>
      </w:r>
      <w:r w:rsidR="008D6093" w:rsidRPr="00A74ACF">
        <w:t xml:space="preserve"> </w:t>
      </w:r>
      <w:r w:rsidR="008D6093">
        <w:t>a</w:t>
      </w:r>
      <w:r w:rsidR="008D6093" w:rsidRPr="00A74ACF">
        <w:t xml:space="preserve">dhesion and interfacial energy </w:t>
      </w:r>
      <w:r w:rsidR="008D6093">
        <w:t xml:space="preserve">at the interface </w:t>
      </w:r>
      <w:r w:rsidR="008D6093" w:rsidRPr="004336D2">
        <w:t>of the multilayer films</w:t>
      </w:r>
      <w:r w:rsidR="008D6093">
        <w:t xml:space="preserve"> was also calculated and reported in Table </w:t>
      </w:r>
      <w:r w:rsidR="008B0C5E">
        <w:t>4</w:t>
      </w:r>
      <w:r w:rsidR="008D6093">
        <w:t>.</w:t>
      </w:r>
    </w:p>
    <w:p w14:paraId="2373B2EF" w14:textId="246F6AA5" w:rsidR="005874DD" w:rsidRPr="00A97608" w:rsidRDefault="005874DD" w:rsidP="005874DD">
      <w:pPr>
        <w:pStyle w:val="CETTabletitle"/>
        <w:jc w:val="both"/>
        <w:rPr>
          <w:rFonts w:eastAsiaTheme="minorHAnsi"/>
          <w:i w:val="0"/>
        </w:rPr>
      </w:pPr>
      <w:r w:rsidRPr="00A058DE">
        <w:rPr>
          <w:rFonts w:eastAsiaTheme="minorHAnsi"/>
        </w:rPr>
        <w:t xml:space="preserve">Table </w:t>
      </w:r>
      <w:r w:rsidR="00CF5881">
        <w:rPr>
          <w:rFonts w:eastAsiaTheme="minorHAnsi"/>
        </w:rPr>
        <w:t>3</w:t>
      </w:r>
      <w:r w:rsidRPr="00A058DE">
        <w:rPr>
          <w:rFonts w:eastAsiaTheme="minorHAnsi"/>
        </w:rPr>
        <w:t>:</w:t>
      </w:r>
      <w:r w:rsidRPr="00A058DE">
        <w:t xml:space="preserve"> </w:t>
      </w:r>
      <w:r w:rsidR="00D850C6">
        <w:t>Maximum h</w:t>
      </w:r>
      <w:r w:rsidR="00CD6F00">
        <w:t xml:space="preserve">ot tack force, </w:t>
      </w:r>
      <w:r w:rsidRPr="005D32AC">
        <w:t xml:space="preserve">Static contact angles </w:t>
      </w:r>
      <w:r>
        <w:t xml:space="preserve">for the </w:t>
      </w:r>
      <w:r w:rsidRPr="005D32AC">
        <w:t xml:space="preserve">inner (Ecovio/PLA4060 </w:t>
      </w:r>
      <w:r>
        <w:t>8</w:t>
      </w:r>
      <w:r w:rsidRPr="005D32AC">
        <w:t>0/</w:t>
      </w:r>
      <w:r>
        <w:t>2</w:t>
      </w:r>
      <w:r w:rsidRPr="005D32AC">
        <w:t>0) and outer (</w:t>
      </w:r>
      <w:r>
        <w:t>PHB</w:t>
      </w:r>
      <w:r w:rsidRPr="005D32AC">
        <w:t>/PLA4032 70/30) layers surfaces of the coextruded films</w:t>
      </w:r>
      <w:r>
        <w:t xml:space="preserve"> </w:t>
      </w:r>
      <w:r w:rsidRPr="005D32AC">
        <w:t xml:space="preserve">in </w:t>
      </w:r>
      <w:r w:rsidRPr="004336D2">
        <w:t>water (</w:t>
      </w:r>
      <w:r w:rsidRPr="004336D2">
        <w:rPr>
          <w:szCs w:val="18"/>
          <w:lang w:eastAsia="it-IT"/>
        </w:rPr>
        <w:t>CA</w:t>
      </w:r>
      <w:r w:rsidRPr="004336D2">
        <w:rPr>
          <w:szCs w:val="18"/>
          <w:vertAlign w:val="subscript"/>
          <w:lang w:eastAsia="it-IT"/>
        </w:rPr>
        <w:t>W</w:t>
      </w:r>
      <w:r w:rsidRPr="004336D2">
        <w:t>) and diiodomethane (</w:t>
      </w:r>
      <w:r w:rsidRPr="004336D2">
        <w:rPr>
          <w:szCs w:val="18"/>
          <w:lang w:eastAsia="it-IT"/>
        </w:rPr>
        <w:t>CA</w:t>
      </w:r>
      <w:r w:rsidRPr="004336D2">
        <w:rPr>
          <w:szCs w:val="18"/>
          <w:vertAlign w:val="subscript"/>
          <w:lang w:eastAsia="it-IT"/>
        </w:rPr>
        <w:t>DM</w:t>
      </w:r>
      <w:r w:rsidRPr="004336D2">
        <w:t>)</w:t>
      </w:r>
      <w:r>
        <w:t>. S</w:t>
      </w:r>
      <w:r w:rsidRPr="004336D2">
        <w:t xml:space="preserve">urface free energies </w:t>
      </w:r>
      <w:bookmarkStart w:id="1" w:name="_Hlk123909664"/>
      <w:r w:rsidRPr="004336D2">
        <w:t>(</w:t>
      </w:r>
      <w:r w:rsidRPr="004336D2">
        <w:rPr>
          <w:szCs w:val="18"/>
          <w:lang w:eastAsia="it-IT"/>
        </w:rPr>
        <w:t>γ</w:t>
      </w:r>
      <w:r w:rsidRPr="004336D2">
        <w:rPr>
          <w:szCs w:val="18"/>
          <w:vertAlign w:val="subscript"/>
          <w:lang w:eastAsia="it-IT"/>
        </w:rPr>
        <w:t>S</w:t>
      </w:r>
      <w:r w:rsidRPr="004336D2">
        <w:t>) comprising of polar (</w:t>
      </w:r>
      <w:r w:rsidRPr="004336D2">
        <w:rPr>
          <w:szCs w:val="18"/>
          <w:lang w:eastAsia="it-IT"/>
        </w:rPr>
        <w:t>γ</w:t>
      </w:r>
      <w:r w:rsidRPr="004336D2">
        <w:rPr>
          <w:szCs w:val="18"/>
          <w:vertAlign w:val="subscript"/>
          <w:lang w:eastAsia="it-IT"/>
        </w:rPr>
        <w:t>s</w:t>
      </w:r>
      <w:r w:rsidRPr="004336D2">
        <w:rPr>
          <w:szCs w:val="18"/>
          <w:vertAlign w:val="superscript"/>
          <w:lang w:eastAsia="it-IT"/>
        </w:rPr>
        <w:t>p</w:t>
      </w:r>
      <w:r w:rsidRPr="004336D2">
        <w:t>) and dispersive (</w:t>
      </w:r>
      <w:r w:rsidRPr="004336D2">
        <w:rPr>
          <w:szCs w:val="18"/>
          <w:lang w:eastAsia="it-IT"/>
        </w:rPr>
        <w:t>γ</w:t>
      </w:r>
      <w:r w:rsidRPr="004336D2">
        <w:rPr>
          <w:szCs w:val="18"/>
          <w:vertAlign w:val="subscript"/>
          <w:lang w:eastAsia="it-IT"/>
        </w:rPr>
        <w:t>s</w:t>
      </w:r>
      <w:r w:rsidRPr="004336D2">
        <w:rPr>
          <w:szCs w:val="18"/>
          <w:vertAlign w:val="superscript"/>
          <w:lang w:eastAsia="it-IT"/>
        </w:rPr>
        <w:t>d</w:t>
      </w:r>
      <w:r w:rsidRPr="004336D2">
        <w:t>) components and polarity (</w:t>
      </w:r>
      <w:r w:rsidRPr="004336D2">
        <w:rPr>
          <w:szCs w:val="18"/>
          <w:lang w:eastAsia="it-IT"/>
        </w:rPr>
        <w:t>P</w:t>
      </w:r>
      <w:r w:rsidRPr="004336D2">
        <w:rPr>
          <w:szCs w:val="18"/>
          <w:vertAlign w:val="subscript"/>
          <w:lang w:eastAsia="it-IT"/>
        </w:rPr>
        <w:t>s</w:t>
      </w:r>
      <w:r w:rsidRPr="004336D2">
        <w:t>)</w:t>
      </w:r>
      <w:r>
        <w:t>,</w:t>
      </w:r>
      <w:r w:rsidRPr="004336D2">
        <w:t xml:space="preserve"> following the Owens–Wendt approach</w:t>
      </w:r>
      <w:bookmarkEnd w:id="1"/>
      <w:r>
        <w:t>.</w:t>
      </w:r>
      <w:r w:rsidR="00A97608">
        <w:t xml:space="preserve">  </w:t>
      </w:r>
    </w:p>
    <w:tbl>
      <w:tblPr>
        <w:tblW w:w="88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73"/>
        <w:gridCol w:w="1388"/>
        <w:gridCol w:w="850"/>
        <w:gridCol w:w="851"/>
        <w:gridCol w:w="778"/>
        <w:gridCol w:w="748"/>
        <w:gridCol w:w="998"/>
        <w:gridCol w:w="1384"/>
      </w:tblGrid>
      <w:tr w:rsidR="00CD6F00" w:rsidRPr="00B57B36" w14:paraId="500AB7D9" w14:textId="77777777" w:rsidTr="00727EC7">
        <w:trPr>
          <w:trHeight w:val="554"/>
        </w:trPr>
        <w:tc>
          <w:tcPr>
            <w:tcW w:w="1873" w:type="dxa"/>
            <w:tcBorders>
              <w:top w:val="single" w:sz="12" w:space="0" w:color="008000"/>
              <w:bottom w:val="single" w:sz="6" w:space="0" w:color="008000"/>
            </w:tcBorders>
            <w:shd w:val="clear" w:color="auto" w:fill="FFFFFF"/>
            <w:vAlign w:val="center"/>
          </w:tcPr>
          <w:p w14:paraId="28A438CB" w14:textId="66D512F3" w:rsidR="00CD6F00" w:rsidRPr="000F708E" w:rsidRDefault="00CD6F00" w:rsidP="00DB037B">
            <w:pPr>
              <w:pStyle w:val="CETBodytext"/>
              <w:jc w:val="left"/>
              <w:rPr>
                <w:lang w:val="en-GB"/>
              </w:rPr>
            </w:pPr>
            <w:r w:rsidRPr="000F708E">
              <w:t>Film sample</w:t>
            </w:r>
          </w:p>
        </w:tc>
        <w:tc>
          <w:tcPr>
            <w:tcW w:w="1388" w:type="dxa"/>
            <w:tcBorders>
              <w:top w:val="single" w:sz="12" w:space="0" w:color="008000"/>
              <w:bottom w:val="single" w:sz="6" w:space="0" w:color="008000"/>
            </w:tcBorders>
            <w:shd w:val="clear" w:color="auto" w:fill="FFFFFF"/>
          </w:tcPr>
          <w:p w14:paraId="2395A21E" w14:textId="24E34C89" w:rsidR="00727EC7" w:rsidRPr="000F708E" w:rsidRDefault="00D850C6" w:rsidP="00DB037B">
            <w:pPr>
              <w:pStyle w:val="CETBodytext"/>
              <w:jc w:val="center"/>
              <w:rPr>
                <w:rFonts w:cstheme="minorHAnsi"/>
                <w:color w:val="000000" w:themeColor="text1"/>
                <w:lang w:eastAsia="it-IT"/>
              </w:rPr>
            </w:pPr>
            <w:r w:rsidRPr="000F708E">
              <w:rPr>
                <w:rFonts w:cstheme="minorHAnsi"/>
                <w:color w:val="000000" w:themeColor="text1"/>
                <w:lang w:eastAsia="it-IT"/>
              </w:rPr>
              <w:t>Maximum h</w:t>
            </w:r>
            <w:r w:rsidR="00CD6F00" w:rsidRPr="000F708E">
              <w:rPr>
                <w:rFonts w:cstheme="minorHAnsi"/>
                <w:color w:val="000000" w:themeColor="text1"/>
                <w:lang w:eastAsia="it-IT"/>
              </w:rPr>
              <w:t>ot tack force</w:t>
            </w:r>
          </w:p>
          <w:p w14:paraId="4B991137" w14:textId="3E7927E0" w:rsidR="00CD6F00" w:rsidRPr="000F708E" w:rsidRDefault="00CD6F00" w:rsidP="00DB037B">
            <w:pPr>
              <w:pStyle w:val="CETBodytext"/>
              <w:jc w:val="center"/>
              <w:rPr>
                <w:rFonts w:cstheme="minorHAnsi"/>
                <w:color w:val="000000" w:themeColor="text1"/>
                <w:lang w:eastAsia="it-IT"/>
              </w:rPr>
            </w:pPr>
            <w:r w:rsidRPr="000F708E">
              <w:rPr>
                <w:rFonts w:cstheme="minorHAnsi"/>
                <w:color w:val="000000" w:themeColor="text1"/>
                <w:lang w:eastAsia="it-IT"/>
              </w:rPr>
              <w:t>[g/15 mm]</w:t>
            </w:r>
          </w:p>
        </w:tc>
        <w:tc>
          <w:tcPr>
            <w:tcW w:w="850" w:type="dxa"/>
            <w:tcBorders>
              <w:top w:val="single" w:sz="12" w:space="0" w:color="008000"/>
              <w:bottom w:val="single" w:sz="6" w:space="0" w:color="008000"/>
            </w:tcBorders>
            <w:shd w:val="clear" w:color="auto" w:fill="FFFFFF"/>
            <w:vAlign w:val="center"/>
          </w:tcPr>
          <w:p w14:paraId="3F237F8A" w14:textId="493684FF" w:rsidR="00CD6F00" w:rsidRPr="004500E5" w:rsidRDefault="00CD6F00" w:rsidP="00DB037B">
            <w:pPr>
              <w:pStyle w:val="CETBodytext"/>
              <w:jc w:val="center"/>
              <w:rPr>
                <w:lang w:val="en-GB"/>
              </w:rPr>
            </w:pPr>
            <w:r w:rsidRPr="002065C3">
              <w:rPr>
                <w:rFonts w:cstheme="minorHAnsi"/>
                <w:color w:val="000000" w:themeColor="text1"/>
                <w:lang w:eastAsia="it-IT"/>
              </w:rPr>
              <w:t>CA</w:t>
            </w:r>
            <w:r w:rsidRPr="002065C3">
              <w:rPr>
                <w:rFonts w:cstheme="minorHAnsi"/>
                <w:color w:val="000000" w:themeColor="text1"/>
                <w:vertAlign w:val="subscript"/>
                <w:lang w:eastAsia="it-IT"/>
              </w:rPr>
              <w:t xml:space="preserve">W </w:t>
            </w:r>
            <w:r w:rsidRPr="002065C3">
              <w:rPr>
                <w:rFonts w:cstheme="minorHAnsi"/>
                <w:color w:val="000000" w:themeColor="text1"/>
                <w:lang w:eastAsia="it-IT"/>
              </w:rPr>
              <w:t>[°]</w:t>
            </w:r>
          </w:p>
        </w:tc>
        <w:tc>
          <w:tcPr>
            <w:tcW w:w="851" w:type="dxa"/>
            <w:tcBorders>
              <w:top w:val="single" w:sz="12" w:space="0" w:color="008000"/>
              <w:bottom w:val="single" w:sz="6" w:space="0" w:color="008000"/>
            </w:tcBorders>
            <w:shd w:val="clear" w:color="auto" w:fill="FFFFFF"/>
            <w:vAlign w:val="center"/>
          </w:tcPr>
          <w:p w14:paraId="4FE0A906" w14:textId="77777777" w:rsidR="00CD6F00" w:rsidRPr="004500E5" w:rsidRDefault="00CD6F00" w:rsidP="00DB037B">
            <w:pPr>
              <w:pStyle w:val="CETBodytext"/>
              <w:jc w:val="center"/>
              <w:rPr>
                <w:lang w:val="en-GB"/>
              </w:rPr>
            </w:pPr>
            <w:r w:rsidRPr="002065C3">
              <w:rPr>
                <w:rFonts w:cstheme="minorHAnsi"/>
                <w:color w:val="000000" w:themeColor="text1"/>
                <w:lang w:eastAsia="it-IT"/>
              </w:rPr>
              <w:t>CA</w:t>
            </w:r>
            <w:r w:rsidRPr="002065C3">
              <w:rPr>
                <w:rFonts w:cstheme="minorHAnsi"/>
                <w:color w:val="000000" w:themeColor="text1"/>
                <w:vertAlign w:val="subscript"/>
                <w:lang w:eastAsia="it-IT"/>
              </w:rPr>
              <w:t xml:space="preserve">DM </w:t>
            </w:r>
            <w:r w:rsidRPr="002065C3">
              <w:rPr>
                <w:rFonts w:cstheme="minorHAnsi"/>
                <w:color w:val="000000" w:themeColor="text1"/>
                <w:lang w:eastAsia="it-IT"/>
              </w:rPr>
              <w:t>[°]</w:t>
            </w:r>
          </w:p>
        </w:tc>
        <w:tc>
          <w:tcPr>
            <w:tcW w:w="778" w:type="dxa"/>
            <w:tcBorders>
              <w:top w:val="single" w:sz="12" w:space="0" w:color="008000"/>
              <w:bottom w:val="single" w:sz="6" w:space="0" w:color="008000"/>
            </w:tcBorders>
            <w:shd w:val="clear" w:color="auto" w:fill="FFFFFF"/>
            <w:vAlign w:val="center"/>
          </w:tcPr>
          <w:p w14:paraId="78C1277D" w14:textId="77777777" w:rsidR="00CD6F00" w:rsidRPr="004500E5" w:rsidRDefault="00CD6F00" w:rsidP="00DB037B">
            <w:pPr>
              <w:pStyle w:val="CETBodytext"/>
              <w:jc w:val="center"/>
              <w:rPr>
                <w:lang w:eastAsia="en-GB"/>
              </w:rPr>
            </w:pPr>
            <w:r w:rsidRPr="002065C3">
              <w:rPr>
                <w:rFonts w:cstheme="minorHAnsi"/>
                <w:color w:val="000000" w:themeColor="text1"/>
                <w:lang w:eastAsia="it-IT"/>
              </w:rPr>
              <w:t>γ</w:t>
            </w:r>
            <w:r w:rsidRPr="002065C3">
              <w:rPr>
                <w:rFonts w:cstheme="minorHAnsi"/>
                <w:color w:val="000000" w:themeColor="text1"/>
                <w:vertAlign w:val="subscript"/>
                <w:lang w:eastAsia="it-IT"/>
              </w:rPr>
              <w:t>s</w:t>
            </w:r>
            <w:r w:rsidRPr="002065C3">
              <w:rPr>
                <w:rFonts w:cstheme="minorHAnsi"/>
                <w:color w:val="000000" w:themeColor="text1"/>
                <w:vertAlign w:val="superscript"/>
                <w:lang w:eastAsia="it-IT"/>
              </w:rPr>
              <w:t>p</w:t>
            </w:r>
          </w:p>
        </w:tc>
        <w:tc>
          <w:tcPr>
            <w:tcW w:w="748" w:type="dxa"/>
            <w:tcBorders>
              <w:top w:val="single" w:sz="12" w:space="0" w:color="008000"/>
              <w:bottom w:val="single" w:sz="6" w:space="0" w:color="008000"/>
            </w:tcBorders>
            <w:shd w:val="clear" w:color="auto" w:fill="FFFFFF"/>
            <w:vAlign w:val="center"/>
          </w:tcPr>
          <w:p w14:paraId="2514DE39" w14:textId="77777777" w:rsidR="00CD6F00" w:rsidRPr="004500E5" w:rsidRDefault="00CD6F00" w:rsidP="00DB037B">
            <w:pPr>
              <w:pStyle w:val="CETBodytext"/>
              <w:jc w:val="center"/>
              <w:rPr>
                <w:lang w:eastAsia="en-GB"/>
              </w:rPr>
            </w:pPr>
            <w:r w:rsidRPr="002065C3">
              <w:rPr>
                <w:rFonts w:cstheme="minorHAnsi"/>
                <w:color w:val="000000" w:themeColor="text1"/>
                <w:lang w:eastAsia="it-IT"/>
              </w:rPr>
              <w:t>γ</w:t>
            </w:r>
            <w:r w:rsidRPr="002065C3">
              <w:rPr>
                <w:rFonts w:cstheme="minorHAnsi"/>
                <w:color w:val="000000" w:themeColor="text1"/>
                <w:vertAlign w:val="subscript"/>
                <w:lang w:eastAsia="it-IT"/>
              </w:rPr>
              <w:t>s</w:t>
            </w:r>
            <w:r w:rsidRPr="002065C3">
              <w:rPr>
                <w:rFonts w:cstheme="minorHAnsi"/>
                <w:color w:val="000000" w:themeColor="text1"/>
                <w:vertAlign w:val="superscript"/>
                <w:lang w:eastAsia="it-IT"/>
              </w:rPr>
              <w:t>d</w:t>
            </w:r>
          </w:p>
        </w:tc>
        <w:tc>
          <w:tcPr>
            <w:tcW w:w="998" w:type="dxa"/>
            <w:tcBorders>
              <w:top w:val="single" w:sz="12" w:space="0" w:color="008000"/>
              <w:bottom w:val="single" w:sz="6" w:space="0" w:color="008000"/>
            </w:tcBorders>
            <w:shd w:val="clear" w:color="auto" w:fill="FFFFFF"/>
            <w:vAlign w:val="center"/>
          </w:tcPr>
          <w:p w14:paraId="2C9DF545" w14:textId="77777777" w:rsidR="00CD6F00" w:rsidRPr="004500E5" w:rsidRDefault="00CD6F00" w:rsidP="00DB037B">
            <w:pPr>
              <w:spacing w:line="276" w:lineRule="auto"/>
              <w:jc w:val="center"/>
              <w:rPr>
                <w:lang w:eastAsia="en-GB"/>
              </w:rPr>
            </w:pPr>
            <w:r w:rsidRPr="002065C3">
              <w:rPr>
                <w:rFonts w:cstheme="minorHAnsi"/>
                <w:color w:val="000000" w:themeColor="text1"/>
                <w:lang w:eastAsia="it-IT"/>
              </w:rPr>
              <w:t>P</w:t>
            </w:r>
            <w:r w:rsidRPr="002065C3">
              <w:rPr>
                <w:rFonts w:cstheme="minorHAnsi"/>
                <w:color w:val="000000" w:themeColor="text1"/>
                <w:vertAlign w:val="subscript"/>
                <w:lang w:eastAsia="it-IT"/>
              </w:rPr>
              <w:t xml:space="preserve">s </w:t>
            </w:r>
            <w:r w:rsidRPr="002065C3">
              <w:rPr>
                <w:rFonts w:cstheme="minorHAnsi"/>
                <w:color w:val="000000" w:themeColor="text1"/>
                <w:lang w:eastAsia="it-IT"/>
              </w:rPr>
              <w:t>[-]</w:t>
            </w:r>
          </w:p>
        </w:tc>
        <w:tc>
          <w:tcPr>
            <w:tcW w:w="1384" w:type="dxa"/>
            <w:tcBorders>
              <w:top w:val="single" w:sz="12" w:space="0" w:color="008000"/>
              <w:bottom w:val="single" w:sz="6" w:space="0" w:color="008000"/>
            </w:tcBorders>
            <w:shd w:val="clear" w:color="auto" w:fill="FFFFFF"/>
            <w:vAlign w:val="center"/>
          </w:tcPr>
          <w:p w14:paraId="42D71343" w14:textId="77777777" w:rsidR="00CD6F00" w:rsidRDefault="00CD6F00" w:rsidP="00DB037B">
            <w:pPr>
              <w:pStyle w:val="CETBodytext"/>
              <w:jc w:val="center"/>
              <w:rPr>
                <w:rFonts w:cs="Arial"/>
                <w:color w:val="000000" w:themeColor="text1"/>
                <w:sz w:val="20"/>
                <w:lang w:eastAsia="it-IT"/>
              </w:rPr>
            </w:pPr>
            <w:r w:rsidRPr="002065C3">
              <w:rPr>
                <w:rFonts w:cstheme="minorHAnsi"/>
                <w:color w:val="000000" w:themeColor="text1"/>
                <w:lang w:eastAsia="it-IT"/>
              </w:rPr>
              <w:t>γ</w:t>
            </w:r>
            <w:r w:rsidRPr="002065C3">
              <w:rPr>
                <w:rFonts w:cstheme="minorHAnsi"/>
                <w:color w:val="000000" w:themeColor="text1"/>
                <w:vertAlign w:val="subscript"/>
                <w:lang w:eastAsia="it-IT"/>
              </w:rPr>
              <w:t xml:space="preserve">S </w:t>
            </w:r>
            <w:r w:rsidRPr="002065C3">
              <w:rPr>
                <w:rFonts w:cstheme="minorHAnsi"/>
                <w:color w:val="000000" w:themeColor="text1"/>
                <w:lang w:eastAsia="it-IT"/>
              </w:rPr>
              <w:t>[mN/m]</w:t>
            </w:r>
          </w:p>
        </w:tc>
      </w:tr>
      <w:tr w:rsidR="00CD6F00" w:rsidRPr="00B57B36" w14:paraId="790710BB" w14:textId="77777777" w:rsidTr="00727EC7">
        <w:trPr>
          <w:trHeight w:val="210"/>
        </w:trPr>
        <w:tc>
          <w:tcPr>
            <w:tcW w:w="1873" w:type="dxa"/>
            <w:shd w:val="clear" w:color="auto" w:fill="FFFFFF"/>
          </w:tcPr>
          <w:p w14:paraId="463BD6C0" w14:textId="77777777" w:rsidR="00CD6F00" w:rsidRPr="00B57B36" w:rsidRDefault="00CD6F00" w:rsidP="0002418A">
            <w:pPr>
              <w:pStyle w:val="CETBodytext"/>
              <w:jc w:val="left"/>
              <w:rPr>
                <w:lang w:val="en-GB"/>
              </w:rPr>
            </w:pPr>
            <w:r>
              <w:rPr>
                <w:lang w:val="en-GB"/>
              </w:rPr>
              <w:t>PLA4032/PHB 70/30</w:t>
            </w:r>
          </w:p>
        </w:tc>
        <w:tc>
          <w:tcPr>
            <w:tcW w:w="1388" w:type="dxa"/>
            <w:shd w:val="clear" w:color="auto" w:fill="FFFFFF"/>
          </w:tcPr>
          <w:p w14:paraId="1D0F7414" w14:textId="23876AF4" w:rsidR="00CD6F00" w:rsidRPr="0077635A" w:rsidRDefault="00DD1607" w:rsidP="00F01692">
            <w:pPr>
              <w:pStyle w:val="CETBodytext"/>
            </w:pPr>
            <w:r>
              <w:t>N</w:t>
            </w:r>
            <w:r w:rsidR="00727EC7">
              <w:t>ot sealable</w:t>
            </w:r>
          </w:p>
        </w:tc>
        <w:tc>
          <w:tcPr>
            <w:tcW w:w="850" w:type="dxa"/>
            <w:shd w:val="clear" w:color="auto" w:fill="FFFFFF"/>
          </w:tcPr>
          <w:p w14:paraId="00AA5234" w14:textId="4A363802" w:rsidR="00CD6F00" w:rsidRPr="00B57B36" w:rsidRDefault="00CD6F00" w:rsidP="00F01692">
            <w:pPr>
              <w:pStyle w:val="CETBodytext"/>
              <w:rPr>
                <w:lang w:val="en-GB"/>
              </w:rPr>
            </w:pPr>
            <w:r w:rsidRPr="0077635A">
              <w:t>66.9±0.</w:t>
            </w:r>
            <w:r>
              <w:t>8</w:t>
            </w:r>
          </w:p>
        </w:tc>
        <w:tc>
          <w:tcPr>
            <w:tcW w:w="851" w:type="dxa"/>
            <w:shd w:val="clear" w:color="auto" w:fill="FFFFFF"/>
          </w:tcPr>
          <w:p w14:paraId="21204F30" w14:textId="77777777" w:rsidR="00CD6F00" w:rsidRPr="00B57B36" w:rsidRDefault="00CD6F00" w:rsidP="00F01692">
            <w:pPr>
              <w:pStyle w:val="CETBodytext"/>
              <w:rPr>
                <w:lang w:val="en-GB"/>
              </w:rPr>
            </w:pPr>
            <w:r>
              <w:t>34.9</w:t>
            </w:r>
            <w:r w:rsidRPr="0077635A">
              <w:t>±</w:t>
            </w:r>
            <w:r>
              <w:t>0</w:t>
            </w:r>
            <w:r w:rsidRPr="0077635A">
              <w:t>.</w:t>
            </w:r>
            <w:r>
              <w:t>9</w:t>
            </w:r>
          </w:p>
        </w:tc>
        <w:tc>
          <w:tcPr>
            <w:tcW w:w="778" w:type="dxa"/>
            <w:shd w:val="clear" w:color="auto" w:fill="FFFFFF"/>
            <w:vAlign w:val="bottom"/>
          </w:tcPr>
          <w:p w14:paraId="6F8AA40D" w14:textId="77777777" w:rsidR="00CD6F00" w:rsidRPr="00304EA5" w:rsidRDefault="00CD6F00" w:rsidP="00F01692">
            <w:pPr>
              <w:pStyle w:val="CETBodytext"/>
            </w:pPr>
            <w:r w:rsidRPr="00304EA5">
              <w:t>9.2</w:t>
            </w:r>
          </w:p>
        </w:tc>
        <w:tc>
          <w:tcPr>
            <w:tcW w:w="748" w:type="dxa"/>
            <w:shd w:val="clear" w:color="auto" w:fill="FFFFFF"/>
            <w:vAlign w:val="bottom"/>
          </w:tcPr>
          <w:p w14:paraId="34C4743B" w14:textId="77777777" w:rsidR="00CD6F00" w:rsidRPr="00304EA5" w:rsidRDefault="00CD6F00" w:rsidP="00F01692">
            <w:pPr>
              <w:pStyle w:val="CETBodytext"/>
            </w:pPr>
            <w:r w:rsidRPr="00304EA5">
              <w:t>39.9</w:t>
            </w:r>
          </w:p>
        </w:tc>
        <w:tc>
          <w:tcPr>
            <w:tcW w:w="998" w:type="dxa"/>
            <w:shd w:val="clear" w:color="auto" w:fill="FFFFFF"/>
          </w:tcPr>
          <w:p w14:paraId="6FABD412" w14:textId="77777777" w:rsidR="00CD6F00" w:rsidRPr="00B57B36" w:rsidRDefault="00CD6F00" w:rsidP="00F01692">
            <w:pPr>
              <w:pStyle w:val="CETBodytext"/>
              <w:rPr>
                <w:lang w:val="en-GB"/>
              </w:rPr>
            </w:pPr>
            <w:r w:rsidRPr="0077635A">
              <w:t>0.</w:t>
            </w:r>
            <w:r>
              <w:t>19</w:t>
            </w:r>
          </w:p>
        </w:tc>
        <w:tc>
          <w:tcPr>
            <w:tcW w:w="1384" w:type="dxa"/>
            <w:shd w:val="clear" w:color="auto" w:fill="FFFFFF"/>
          </w:tcPr>
          <w:p w14:paraId="2DF3B22C" w14:textId="77777777" w:rsidR="00CD6F00" w:rsidRPr="00B57B36" w:rsidRDefault="00CD6F00" w:rsidP="00F01692">
            <w:pPr>
              <w:pStyle w:val="CETBodytext"/>
              <w:rPr>
                <w:lang w:val="en-GB"/>
              </w:rPr>
            </w:pPr>
            <w:r w:rsidRPr="0077635A">
              <w:t>4</w:t>
            </w:r>
            <w:r>
              <w:t>9</w:t>
            </w:r>
            <w:r w:rsidRPr="0077635A">
              <w:t>.2</w:t>
            </w:r>
          </w:p>
        </w:tc>
      </w:tr>
      <w:tr w:rsidR="00CD6F00" w:rsidRPr="00B57B36" w14:paraId="24CCF25B" w14:textId="77777777" w:rsidTr="00727EC7">
        <w:trPr>
          <w:trHeight w:val="226"/>
        </w:trPr>
        <w:tc>
          <w:tcPr>
            <w:tcW w:w="1873" w:type="dxa"/>
            <w:shd w:val="clear" w:color="auto" w:fill="FFFFFF"/>
          </w:tcPr>
          <w:p w14:paraId="1F19D277" w14:textId="77777777" w:rsidR="00CD6F00" w:rsidRPr="00B57B36" w:rsidRDefault="00CD6F00" w:rsidP="0002418A">
            <w:pPr>
              <w:pStyle w:val="CETBodytext"/>
              <w:ind w:right="-1"/>
              <w:jc w:val="left"/>
              <w:rPr>
                <w:rFonts w:cs="Arial"/>
                <w:szCs w:val="18"/>
                <w:lang w:val="en-GB"/>
              </w:rPr>
            </w:pPr>
            <w:r>
              <w:rPr>
                <w:rFonts w:cs="Arial"/>
                <w:szCs w:val="18"/>
                <w:lang w:val="en-GB"/>
              </w:rPr>
              <w:t>Ecovio/PLA4060 80/20</w:t>
            </w:r>
          </w:p>
        </w:tc>
        <w:tc>
          <w:tcPr>
            <w:tcW w:w="1388" w:type="dxa"/>
            <w:shd w:val="clear" w:color="auto" w:fill="FFFFFF"/>
          </w:tcPr>
          <w:p w14:paraId="0C1D1108" w14:textId="6451F952" w:rsidR="00CD6F00" w:rsidRPr="0077635A" w:rsidRDefault="00CD6F00" w:rsidP="00F01692">
            <w:pPr>
              <w:pStyle w:val="CETBodytext"/>
              <w:ind w:right="-1"/>
            </w:pPr>
            <w:r>
              <w:t>400</w:t>
            </w:r>
          </w:p>
        </w:tc>
        <w:tc>
          <w:tcPr>
            <w:tcW w:w="850" w:type="dxa"/>
            <w:shd w:val="clear" w:color="auto" w:fill="FFFFFF"/>
          </w:tcPr>
          <w:p w14:paraId="3CABF4E0" w14:textId="74E4E473" w:rsidR="00CD6F00" w:rsidRPr="00B57B36" w:rsidRDefault="00CD6F00" w:rsidP="00F01692">
            <w:pPr>
              <w:pStyle w:val="CETBodytext"/>
              <w:ind w:right="-1"/>
              <w:rPr>
                <w:rFonts w:cs="Arial"/>
                <w:szCs w:val="18"/>
                <w:lang w:val="en-GB"/>
              </w:rPr>
            </w:pPr>
            <w:r w:rsidRPr="0077635A">
              <w:t>6</w:t>
            </w:r>
            <w:r>
              <w:t>7</w:t>
            </w:r>
            <w:r w:rsidRPr="0077635A">
              <w:t>.</w:t>
            </w:r>
            <w:r>
              <w:t>2</w:t>
            </w:r>
            <w:r w:rsidRPr="0077635A">
              <w:t>±1.</w:t>
            </w:r>
            <w:r>
              <w:t>7</w:t>
            </w:r>
          </w:p>
        </w:tc>
        <w:tc>
          <w:tcPr>
            <w:tcW w:w="851" w:type="dxa"/>
            <w:shd w:val="clear" w:color="auto" w:fill="FFFFFF"/>
          </w:tcPr>
          <w:p w14:paraId="2BDE0074" w14:textId="77777777" w:rsidR="00CD6F00" w:rsidRPr="00B57B36" w:rsidRDefault="00CD6F00" w:rsidP="00F01692">
            <w:pPr>
              <w:pStyle w:val="CETBodytext"/>
              <w:ind w:right="-1"/>
              <w:rPr>
                <w:rFonts w:cs="Arial"/>
                <w:szCs w:val="18"/>
                <w:lang w:val="en-GB"/>
              </w:rPr>
            </w:pPr>
            <w:r w:rsidRPr="0077635A">
              <w:t>3</w:t>
            </w:r>
            <w:r>
              <w:t>4</w:t>
            </w:r>
            <w:r w:rsidRPr="0077635A">
              <w:t>.</w:t>
            </w:r>
            <w:r>
              <w:t>5</w:t>
            </w:r>
            <w:r w:rsidRPr="0077635A">
              <w:t>±</w:t>
            </w:r>
            <w:r>
              <w:t>0.8</w:t>
            </w:r>
          </w:p>
        </w:tc>
        <w:tc>
          <w:tcPr>
            <w:tcW w:w="778" w:type="dxa"/>
            <w:shd w:val="clear" w:color="auto" w:fill="FFFFFF"/>
            <w:vAlign w:val="bottom"/>
          </w:tcPr>
          <w:p w14:paraId="7EC43C20" w14:textId="77777777" w:rsidR="00CD6F00" w:rsidRPr="00304EA5" w:rsidRDefault="00CD6F00" w:rsidP="00F01692">
            <w:pPr>
              <w:pStyle w:val="CETBodytext"/>
            </w:pPr>
            <w:r w:rsidRPr="00304EA5">
              <w:t>9.</w:t>
            </w:r>
            <w:r>
              <w:t>1</w:t>
            </w:r>
          </w:p>
        </w:tc>
        <w:tc>
          <w:tcPr>
            <w:tcW w:w="748" w:type="dxa"/>
            <w:shd w:val="clear" w:color="auto" w:fill="FFFFFF"/>
            <w:vAlign w:val="bottom"/>
          </w:tcPr>
          <w:p w14:paraId="49439D99" w14:textId="77777777" w:rsidR="00CD6F00" w:rsidRPr="00304EA5" w:rsidRDefault="00CD6F00" w:rsidP="00F01692">
            <w:pPr>
              <w:pStyle w:val="CETBodytext"/>
            </w:pPr>
            <w:r w:rsidRPr="00304EA5">
              <w:t>40.</w:t>
            </w:r>
            <w:r>
              <w:t>2</w:t>
            </w:r>
          </w:p>
        </w:tc>
        <w:tc>
          <w:tcPr>
            <w:tcW w:w="998" w:type="dxa"/>
            <w:shd w:val="clear" w:color="auto" w:fill="FFFFFF"/>
          </w:tcPr>
          <w:p w14:paraId="4201C7BB" w14:textId="77777777" w:rsidR="00CD6F00" w:rsidRPr="00B57B36" w:rsidRDefault="00CD6F00" w:rsidP="00F01692">
            <w:pPr>
              <w:pStyle w:val="CETBodytext"/>
              <w:ind w:right="-1"/>
              <w:rPr>
                <w:rFonts w:cs="Arial"/>
                <w:szCs w:val="18"/>
                <w:lang w:val="en-GB"/>
              </w:rPr>
            </w:pPr>
            <w:r w:rsidRPr="0077635A">
              <w:t>0.</w:t>
            </w:r>
            <w:r>
              <w:t>18</w:t>
            </w:r>
          </w:p>
        </w:tc>
        <w:tc>
          <w:tcPr>
            <w:tcW w:w="1384" w:type="dxa"/>
            <w:shd w:val="clear" w:color="auto" w:fill="FFFFFF"/>
          </w:tcPr>
          <w:p w14:paraId="59581FE8" w14:textId="77777777" w:rsidR="00CD6F00" w:rsidRPr="00B57B36" w:rsidRDefault="00CD6F00" w:rsidP="00F01692">
            <w:pPr>
              <w:pStyle w:val="CETBodytext"/>
              <w:ind w:right="-1"/>
              <w:rPr>
                <w:rFonts w:cs="Arial"/>
                <w:szCs w:val="18"/>
                <w:lang w:val="en-GB"/>
              </w:rPr>
            </w:pPr>
            <w:r w:rsidRPr="0077635A">
              <w:t>4</w:t>
            </w:r>
            <w:r>
              <w:t>9</w:t>
            </w:r>
            <w:r w:rsidRPr="0077635A">
              <w:t>.</w:t>
            </w:r>
            <w:r>
              <w:t>5</w:t>
            </w:r>
          </w:p>
        </w:tc>
      </w:tr>
    </w:tbl>
    <w:p w14:paraId="152AE7D8" w14:textId="797743D7" w:rsidR="005874DD" w:rsidRDefault="005874DD" w:rsidP="005874DD">
      <w:pPr>
        <w:pStyle w:val="CETTabletitle"/>
        <w:jc w:val="both"/>
        <w:rPr>
          <w:rFonts w:eastAsiaTheme="minorHAnsi"/>
        </w:rPr>
      </w:pPr>
      <w:r w:rsidRPr="00A058DE">
        <w:rPr>
          <w:rFonts w:eastAsiaTheme="minorHAnsi"/>
        </w:rPr>
        <w:t xml:space="preserve">Table </w:t>
      </w:r>
      <w:r w:rsidR="00CF5881">
        <w:rPr>
          <w:rFonts w:eastAsiaTheme="minorHAnsi"/>
        </w:rPr>
        <w:t>4</w:t>
      </w:r>
      <w:r w:rsidRPr="00A058DE">
        <w:rPr>
          <w:rFonts w:eastAsiaTheme="minorHAnsi"/>
        </w:rPr>
        <w:t>:</w:t>
      </w:r>
      <w:r w:rsidRPr="00A058DE">
        <w:t xml:space="preserve"> </w:t>
      </w:r>
      <w:r>
        <w:t xml:space="preserve">Calculated work of adhesion </w:t>
      </w:r>
      <w:r w:rsidRPr="00D40B93">
        <w:t>(</w:t>
      </w:r>
      <m:oMath>
        <m:sSubSup>
          <m:sSubSupPr>
            <m:ctrlPr>
              <w:rPr>
                <w:rFonts w:ascii="Cambria Math" w:hAnsi="Cambria Math"/>
              </w:rPr>
            </m:ctrlPr>
          </m:sSubSupPr>
          <m:e>
            <m:r>
              <w:rPr>
                <w:rFonts w:ascii="Cambria Math" w:hAnsi="Cambria Math"/>
              </w:rPr>
              <m:t>W</m:t>
            </m:r>
          </m:e>
          <m:sub>
            <m:r>
              <w:rPr>
                <w:rFonts w:ascii="Cambria Math" w:hAnsi="Cambria Math"/>
              </w:rPr>
              <m:t>a</m:t>
            </m:r>
          </m:sub>
          <m:sup/>
        </m:sSubSup>
      </m:oMath>
      <w:r w:rsidRPr="00D40B93">
        <w:t>)</w:t>
      </w:r>
      <w:r w:rsidR="0038103F">
        <w:t xml:space="preserve"> </w:t>
      </w:r>
      <w:r w:rsidRPr="00D40B93">
        <w:rPr>
          <w:bCs/>
          <w:lang w:bidi="en-US"/>
        </w:rPr>
        <w:t xml:space="preserve">and interfacial energy </w:t>
      </w:r>
      <w:r w:rsidRPr="00D40B93">
        <w:t>(</w:t>
      </w:r>
      <m:oMath>
        <m:sSubSup>
          <m:sSubSupPr>
            <m:ctrlPr>
              <w:rPr>
                <w:rFonts w:ascii="Cambria Math" w:hAnsi="Cambria Math"/>
              </w:rPr>
            </m:ctrlPr>
          </m:sSubSupPr>
          <m:e>
            <m:r>
              <w:rPr>
                <w:rFonts w:ascii="Cambria Math" w:hAnsi="Cambria Math"/>
              </w:rPr>
              <m:t>γ</m:t>
            </m:r>
          </m:e>
          <m:sub>
            <m:r>
              <w:rPr>
                <w:rFonts w:ascii="Cambria Math" w:hAnsi="Cambria Math"/>
              </w:rPr>
              <m:t>SL</m:t>
            </m:r>
          </m:sub>
          <m:sup/>
        </m:sSubSup>
      </m:oMath>
      <w:r w:rsidRPr="00D40B93">
        <w:t>)</w:t>
      </w:r>
      <w:r>
        <w:t xml:space="preserve"> </w:t>
      </w:r>
      <w:r w:rsidRPr="00D40B93">
        <w:rPr>
          <w:bCs/>
          <w:lang w:bidi="en-US"/>
        </w:rPr>
        <w:t xml:space="preserve">of the </w:t>
      </w:r>
      <w:r>
        <w:rPr>
          <w:bCs/>
          <w:lang w:bidi="en-US"/>
        </w:rPr>
        <w:t>coextruded</w:t>
      </w:r>
      <w:r w:rsidRPr="00D40B93">
        <w:rPr>
          <w:bCs/>
          <w:lang w:bidi="en-US"/>
        </w:rPr>
        <w:t xml:space="preserve"> films </w:t>
      </w:r>
      <w:r>
        <w:t>Bilayer</w:t>
      </w:r>
      <w:r w:rsidRPr="00D40B93">
        <w:t xml:space="preserve"> O30/I30, </w:t>
      </w:r>
      <w:r>
        <w:t>Bilayer</w:t>
      </w:r>
      <w:r w:rsidRPr="00D40B93">
        <w:t xml:space="preserve"> O30/I50 and </w:t>
      </w:r>
      <w:r>
        <w:t>Bilayer</w:t>
      </w:r>
      <w:r w:rsidRPr="00D40B93">
        <w:t xml:space="preserve"> O50/I30</w:t>
      </w:r>
      <w:r>
        <w:t>.</w:t>
      </w:r>
    </w:p>
    <w:tbl>
      <w:tblPr>
        <w:tblW w:w="439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134"/>
        <w:gridCol w:w="1134"/>
      </w:tblGrid>
      <w:tr w:rsidR="005874DD" w:rsidRPr="00B57B36" w14:paraId="0ECC9244" w14:textId="77777777" w:rsidTr="00F01692">
        <w:trPr>
          <w:trHeight w:val="621"/>
        </w:trPr>
        <w:tc>
          <w:tcPr>
            <w:tcW w:w="2127" w:type="dxa"/>
            <w:tcBorders>
              <w:top w:val="single" w:sz="12" w:space="0" w:color="008000"/>
              <w:bottom w:val="single" w:sz="6" w:space="0" w:color="008000"/>
            </w:tcBorders>
            <w:shd w:val="clear" w:color="auto" w:fill="FFFFFF"/>
            <w:vAlign w:val="center"/>
          </w:tcPr>
          <w:p w14:paraId="2A0D10E1" w14:textId="77777777" w:rsidR="005874DD" w:rsidRPr="00304EA5" w:rsidRDefault="005874DD" w:rsidP="0002418A">
            <w:pPr>
              <w:pStyle w:val="CETBodytext"/>
              <w:jc w:val="left"/>
              <w:rPr>
                <w:lang w:val="en-GB"/>
              </w:rPr>
            </w:pPr>
            <w:r w:rsidRPr="00304EA5">
              <w:rPr>
                <w:rFonts w:cstheme="minorHAnsi"/>
                <w:color w:val="000000" w:themeColor="text1"/>
                <w:lang w:eastAsia="it-IT"/>
              </w:rPr>
              <w:t>Films interface</w:t>
            </w:r>
          </w:p>
        </w:tc>
        <w:tc>
          <w:tcPr>
            <w:tcW w:w="1134" w:type="dxa"/>
            <w:tcBorders>
              <w:top w:val="single" w:sz="12" w:space="0" w:color="008000"/>
              <w:bottom w:val="single" w:sz="6" w:space="0" w:color="008000"/>
            </w:tcBorders>
            <w:shd w:val="clear" w:color="auto" w:fill="FFFFFF"/>
            <w:vAlign w:val="center"/>
          </w:tcPr>
          <w:p w14:paraId="524D3F2F" w14:textId="77777777" w:rsidR="005874DD" w:rsidRPr="00304EA5" w:rsidRDefault="00000000" w:rsidP="00DB037B">
            <w:pPr>
              <w:pStyle w:val="CETBodytext"/>
              <w:jc w:val="center"/>
              <w:rPr>
                <w:lang w:val="en-GB"/>
              </w:rPr>
            </w:pPr>
            <m:oMath>
              <m:sSubSup>
                <m:sSubSupPr>
                  <m:ctrlPr>
                    <w:rPr>
                      <w:rFonts w:ascii="Cambria Math" w:hAnsi="Cambria Math" w:cstheme="minorHAnsi"/>
                      <w:i/>
                      <w:color w:val="000000" w:themeColor="text1"/>
                      <w:lang w:eastAsia="it-IT"/>
                    </w:rPr>
                  </m:ctrlPr>
                </m:sSubSupPr>
                <m:e>
                  <m:r>
                    <w:rPr>
                      <w:rFonts w:ascii="Cambria Math" w:hAnsi="Cambria Math" w:cstheme="minorHAnsi"/>
                      <w:color w:val="000000" w:themeColor="text1"/>
                      <w:lang w:eastAsia="it-IT"/>
                    </w:rPr>
                    <m:t>W</m:t>
                  </m:r>
                </m:e>
                <m:sub>
                  <m:r>
                    <w:rPr>
                      <w:rFonts w:ascii="Cambria Math" w:hAnsi="Cambria Math" w:cstheme="minorHAnsi"/>
                      <w:color w:val="000000" w:themeColor="text1"/>
                      <w:lang w:eastAsia="it-IT"/>
                    </w:rPr>
                    <m:t>a</m:t>
                  </m:r>
                </m:sub>
                <m:sup/>
              </m:sSubSup>
            </m:oMath>
            <w:r w:rsidR="005874DD" w:rsidRPr="00304EA5">
              <w:rPr>
                <w:rFonts w:cstheme="minorHAnsi"/>
                <w:color w:val="000000" w:themeColor="text1"/>
                <w:lang w:eastAsia="it-IT"/>
              </w:rPr>
              <w:t xml:space="preserve"> [mN/m]</w:t>
            </w:r>
          </w:p>
        </w:tc>
        <w:tc>
          <w:tcPr>
            <w:tcW w:w="1134" w:type="dxa"/>
            <w:tcBorders>
              <w:top w:val="single" w:sz="12" w:space="0" w:color="008000"/>
              <w:bottom w:val="single" w:sz="6" w:space="0" w:color="008000"/>
            </w:tcBorders>
            <w:shd w:val="clear" w:color="auto" w:fill="FFFFFF"/>
            <w:vAlign w:val="center"/>
          </w:tcPr>
          <w:p w14:paraId="787DD7CB" w14:textId="77777777" w:rsidR="005874DD" w:rsidRPr="00304EA5" w:rsidRDefault="00000000" w:rsidP="00DB037B">
            <w:pPr>
              <w:pStyle w:val="CETBodytext"/>
              <w:jc w:val="center"/>
              <w:rPr>
                <w:lang w:val="en-GB"/>
              </w:rPr>
            </w:pPr>
            <m:oMath>
              <m:sSubSup>
                <m:sSubSupPr>
                  <m:ctrlPr>
                    <w:rPr>
                      <w:rFonts w:ascii="Cambria Math" w:hAnsi="Cambria Math" w:cstheme="minorHAnsi"/>
                      <w:i/>
                      <w:color w:val="000000" w:themeColor="text1"/>
                      <w:lang w:eastAsia="it-IT"/>
                    </w:rPr>
                  </m:ctrlPr>
                </m:sSubSupPr>
                <m:e>
                  <m:r>
                    <w:rPr>
                      <w:rFonts w:ascii="Cambria Math" w:hAnsi="Cambria Math" w:cstheme="minorHAnsi"/>
                      <w:color w:val="000000" w:themeColor="text1"/>
                      <w:lang w:eastAsia="it-IT"/>
                    </w:rPr>
                    <m:t>γ</m:t>
                  </m:r>
                </m:e>
                <m:sub>
                  <m:r>
                    <w:rPr>
                      <w:rFonts w:ascii="Cambria Math" w:hAnsi="Cambria Math" w:cstheme="minorHAnsi"/>
                      <w:color w:val="000000" w:themeColor="text1"/>
                      <w:lang w:eastAsia="it-IT"/>
                    </w:rPr>
                    <m:t>SL</m:t>
                  </m:r>
                </m:sub>
                <m:sup/>
              </m:sSubSup>
            </m:oMath>
            <w:r w:rsidR="005874DD" w:rsidRPr="00304EA5">
              <w:rPr>
                <w:rFonts w:cstheme="minorHAnsi"/>
                <w:color w:val="000000" w:themeColor="text1"/>
                <w:lang w:eastAsia="it-IT"/>
              </w:rPr>
              <w:t xml:space="preserve"> [mN/m]</w:t>
            </w:r>
          </w:p>
        </w:tc>
      </w:tr>
      <w:tr w:rsidR="005874DD" w:rsidRPr="00B57B36" w14:paraId="0EF1E949" w14:textId="77777777" w:rsidTr="00F01692">
        <w:trPr>
          <w:trHeight w:val="236"/>
        </w:trPr>
        <w:tc>
          <w:tcPr>
            <w:tcW w:w="2127" w:type="dxa"/>
            <w:shd w:val="clear" w:color="auto" w:fill="FFFFFF"/>
          </w:tcPr>
          <w:p w14:paraId="5913F692" w14:textId="77777777" w:rsidR="005874DD" w:rsidRPr="00B57B36" w:rsidRDefault="005874DD" w:rsidP="00F01692">
            <w:pPr>
              <w:pStyle w:val="CETBodytext"/>
              <w:rPr>
                <w:lang w:val="en-GB"/>
              </w:rPr>
            </w:pPr>
            <w:r>
              <w:rPr>
                <w:rFonts w:cs="Arial"/>
                <w:szCs w:val="18"/>
                <w:lang w:val="en-GB"/>
              </w:rPr>
              <w:t>Bilayer O30/I30</w:t>
            </w:r>
          </w:p>
        </w:tc>
        <w:tc>
          <w:tcPr>
            <w:tcW w:w="1134" w:type="dxa"/>
            <w:shd w:val="clear" w:color="auto" w:fill="FFFFFF"/>
          </w:tcPr>
          <w:p w14:paraId="6DE71DE5" w14:textId="77777777" w:rsidR="005874DD" w:rsidRPr="00B57B36" w:rsidRDefault="005874DD" w:rsidP="00F01692">
            <w:pPr>
              <w:pStyle w:val="CETBodytext"/>
              <w:rPr>
                <w:lang w:val="en-GB"/>
              </w:rPr>
            </w:pPr>
            <w:r w:rsidRPr="00AE5598">
              <w:t>95.9</w:t>
            </w:r>
          </w:p>
        </w:tc>
        <w:tc>
          <w:tcPr>
            <w:tcW w:w="1134" w:type="dxa"/>
            <w:shd w:val="clear" w:color="auto" w:fill="FFFFFF"/>
          </w:tcPr>
          <w:p w14:paraId="5672D8BF" w14:textId="77777777" w:rsidR="005874DD" w:rsidRPr="00B57B36" w:rsidRDefault="005874DD" w:rsidP="00F01692">
            <w:pPr>
              <w:pStyle w:val="CETBodytext"/>
              <w:rPr>
                <w:lang w:val="en-GB"/>
              </w:rPr>
            </w:pPr>
            <w:r w:rsidRPr="00AE5598">
              <w:t>0.138</w:t>
            </w:r>
          </w:p>
        </w:tc>
      </w:tr>
      <w:tr w:rsidR="005874DD" w:rsidRPr="00B57B36" w14:paraId="219247CF" w14:textId="77777777" w:rsidTr="00F01692">
        <w:trPr>
          <w:trHeight w:val="254"/>
        </w:trPr>
        <w:tc>
          <w:tcPr>
            <w:tcW w:w="2127" w:type="dxa"/>
            <w:shd w:val="clear" w:color="auto" w:fill="FFFFFF"/>
          </w:tcPr>
          <w:p w14:paraId="718F5D73" w14:textId="77777777" w:rsidR="005874DD" w:rsidRPr="00B57B36" w:rsidRDefault="005874DD" w:rsidP="00F01692">
            <w:pPr>
              <w:pStyle w:val="CETBodytext"/>
              <w:ind w:right="-1"/>
              <w:rPr>
                <w:rFonts w:cs="Arial"/>
                <w:szCs w:val="18"/>
                <w:lang w:val="en-GB"/>
              </w:rPr>
            </w:pPr>
            <w:r>
              <w:rPr>
                <w:rFonts w:cs="Arial"/>
                <w:szCs w:val="18"/>
                <w:lang w:val="en-GB"/>
              </w:rPr>
              <w:t>Bilayer O30/I50</w:t>
            </w:r>
          </w:p>
        </w:tc>
        <w:tc>
          <w:tcPr>
            <w:tcW w:w="1134" w:type="dxa"/>
            <w:shd w:val="clear" w:color="auto" w:fill="FFFFFF"/>
          </w:tcPr>
          <w:p w14:paraId="2400ED01" w14:textId="77777777" w:rsidR="005874DD" w:rsidRPr="00B57B36" w:rsidRDefault="005874DD" w:rsidP="00F01692">
            <w:pPr>
              <w:pStyle w:val="CETBodytext"/>
              <w:ind w:right="-1"/>
              <w:rPr>
                <w:rFonts w:cs="Arial"/>
                <w:szCs w:val="18"/>
                <w:lang w:val="en-GB"/>
              </w:rPr>
            </w:pPr>
            <w:r w:rsidRPr="00AE5598">
              <w:t>93.7</w:t>
            </w:r>
          </w:p>
        </w:tc>
        <w:tc>
          <w:tcPr>
            <w:tcW w:w="1134" w:type="dxa"/>
            <w:shd w:val="clear" w:color="auto" w:fill="FFFFFF"/>
          </w:tcPr>
          <w:p w14:paraId="52910C50" w14:textId="77777777" w:rsidR="005874DD" w:rsidRPr="00B57B36" w:rsidRDefault="005874DD" w:rsidP="00F01692">
            <w:pPr>
              <w:pStyle w:val="CETBodytext"/>
              <w:ind w:right="-1"/>
              <w:rPr>
                <w:rFonts w:cs="Arial"/>
                <w:szCs w:val="18"/>
                <w:lang w:val="en-GB"/>
              </w:rPr>
            </w:pPr>
            <w:r w:rsidRPr="00AE5598">
              <w:t>0.628</w:t>
            </w:r>
          </w:p>
        </w:tc>
      </w:tr>
      <w:tr w:rsidR="005874DD" w:rsidRPr="00B57B36" w14:paraId="0CD5863E" w14:textId="77777777" w:rsidTr="00F01692">
        <w:trPr>
          <w:trHeight w:val="254"/>
        </w:trPr>
        <w:tc>
          <w:tcPr>
            <w:tcW w:w="2127" w:type="dxa"/>
            <w:shd w:val="clear" w:color="auto" w:fill="FFFFFF"/>
          </w:tcPr>
          <w:p w14:paraId="03D99583" w14:textId="77777777" w:rsidR="005874DD" w:rsidRPr="0077635A" w:rsidRDefault="005874DD" w:rsidP="00F01692">
            <w:pPr>
              <w:pStyle w:val="CETBodytext"/>
              <w:ind w:right="-1"/>
            </w:pPr>
            <w:r>
              <w:rPr>
                <w:rFonts w:cs="Arial"/>
                <w:szCs w:val="18"/>
                <w:lang w:val="en-GB"/>
              </w:rPr>
              <w:t>Bilayer O50/I30</w:t>
            </w:r>
          </w:p>
        </w:tc>
        <w:tc>
          <w:tcPr>
            <w:tcW w:w="1134" w:type="dxa"/>
            <w:shd w:val="clear" w:color="auto" w:fill="FFFFFF"/>
          </w:tcPr>
          <w:p w14:paraId="4D4976BD" w14:textId="77777777" w:rsidR="005874DD" w:rsidRPr="0077635A" w:rsidRDefault="005874DD" w:rsidP="00F01692">
            <w:pPr>
              <w:pStyle w:val="CETBodytext"/>
              <w:ind w:right="-1"/>
            </w:pPr>
            <w:r w:rsidRPr="00AE5598">
              <w:t>98.4</w:t>
            </w:r>
          </w:p>
        </w:tc>
        <w:tc>
          <w:tcPr>
            <w:tcW w:w="1134" w:type="dxa"/>
            <w:shd w:val="clear" w:color="auto" w:fill="FFFFFF"/>
          </w:tcPr>
          <w:p w14:paraId="165D1AB0" w14:textId="77777777" w:rsidR="005874DD" w:rsidRPr="0077635A" w:rsidRDefault="005874DD" w:rsidP="00F01692">
            <w:pPr>
              <w:pStyle w:val="CETBodytext"/>
              <w:ind w:right="-1"/>
            </w:pPr>
            <w:r w:rsidRPr="00AE5598">
              <w:t>0.001</w:t>
            </w:r>
          </w:p>
        </w:tc>
      </w:tr>
    </w:tbl>
    <w:p w14:paraId="5D5A884E" w14:textId="09C56F6B" w:rsidR="005874DD" w:rsidRDefault="005874DD" w:rsidP="005874DD">
      <w:pPr>
        <w:pStyle w:val="CETBodytext"/>
      </w:pPr>
    </w:p>
    <w:p w14:paraId="7650108B" w14:textId="266E7C84" w:rsidR="008B03CD" w:rsidRDefault="008B03CD" w:rsidP="005874DD">
      <w:pPr>
        <w:pStyle w:val="CETBodytext"/>
        <w:rPr>
          <w:rFonts w:cstheme="minorHAnsi"/>
        </w:rPr>
      </w:pPr>
      <w:r w:rsidRPr="00DB3892">
        <w:rPr>
          <w:rFonts w:cstheme="minorHAnsi"/>
        </w:rPr>
        <w:t xml:space="preserve">The </w:t>
      </w:r>
      <w:r w:rsidRPr="005D32AC">
        <w:t xml:space="preserve">Ecovio/PLA4060 </w:t>
      </w:r>
      <w:r>
        <w:t>8</w:t>
      </w:r>
      <w:r w:rsidRPr="005D32AC">
        <w:t>0/</w:t>
      </w:r>
      <w:r>
        <w:t>2</w:t>
      </w:r>
      <w:r w:rsidRPr="005D32AC">
        <w:t>0</w:t>
      </w:r>
      <w:r>
        <w:t xml:space="preserve"> and </w:t>
      </w:r>
      <w:r w:rsidRPr="005D32AC">
        <w:t>PLA4032</w:t>
      </w:r>
      <w:r>
        <w:t>/PHB</w:t>
      </w:r>
      <w:r w:rsidRPr="005D32AC">
        <w:t xml:space="preserve"> 70/30</w:t>
      </w:r>
      <w:r>
        <w:t xml:space="preserve"> films surfaces exhibit contact angle values comparable to those r</w:t>
      </w:r>
      <w:r w:rsidRPr="00DB3892">
        <w:rPr>
          <w:rFonts w:cstheme="minorHAnsi"/>
        </w:rPr>
        <w:t xml:space="preserve">eported in literature for </w:t>
      </w:r>
      <w:r w:rsidR="00392F0C">
        <w:rPr>
          <w:rFonts w:cstheme="minorHAnsi"/>
        </w:rPr>
        <w:t>PHB</w:t>
      </w:r>
      <w:r>
        <w:rPr>
          <w:rFonts w:cstheme="minorHAnsi"/>
        </w:rPr>
        <w:t xml:space="preserve"> (Chen </w:t>
      </w:r>
      <w:r w:rsidR="00392F0C">
        <w:rPr>
          <w:rFonts w:cstheme="minorHAnsi"/>
        </w:rPr>
        <w:t>et al</w:t>
      </w:r>
      <w:r w:rsidR="009C71F1">
        <w:rPr>
          <w:rFonts w:cstheme="minorHAnsi"/>
        </w:rPr>
        <w:t>., 2016</w:t>
      </w:r>
      <w:r w:rsidR="00392F0C">
        <w:rPr>
          <w:rFonts w:cstheme="minorHAnsi"/>
        </w:rPr>
        <w:t>), PLA (</w:t>
      </w:r>
      <w:r w:rsidR="00126269" w:rsidRPr="00126269">
        <w:rPr>
          <w:rFonts w:cs="Arial"/>
          <w:color w:val="000000"/>
          <w:szCs w:val="18"/>
        </w:rPr>
        <w:t>Galindo</w:t>
      </w:r>
      <w:r w:rsidR="00126269">
        <w:rPr>
          <w:rFonts w:cs="Arial"/>
          <w:color w:val="000000"/>
          <w:szCs w:val="18"/>
        </w:rPr>
        <w:t xml:space="preserve"> </w:t>
      </w:r>
      <w:r w:rsidR="00126269" w:rsidRPr="00126269">
        <w:rPr>
          <w:rFonts w:cs="Arial"/>
          <w:color w:val="000000"/>
          <w:szCs w:val="18"/>
        </w:rPr>
        <w:t>&amp; Ureña-Núñez</w:t>
      </w:r>
      <w:r w:rsidR="00126269">
        <w:rPr>
          <w:rFonts w:cs="Arial"/>
          <w:color w:val="000000"/>
          <w:szCs w:val="18"/>
        </w:rPr>
        <w:t>, 2018</w:t>
      </w:r>
      <w:r w:rsidR="00392F0C">
        <w:rPr>
          <w:rFonts w:cstheme="minorHAnsi"/>
        </w:rPr>
        <w:t>) and PBAT (</w:t>
      </w:r>
      <w:r w:rsidR="00392F0C">
        <w:t>Wang</w:t>
      </w:r>
      <w:r w:rsidR="00126269">
        <w:t xml:space="preserve"> et al., </w:t>
      </w:r>
      <w:r w:rsidR="00392F0C">
        <w:t>2016</w:t>
      </w:r>
      <w:r w:rsidR="00392F0C">
        <w:rPr>
          <w:rFonts w:cstheme="minorHAnsi"/>
        </w:rPr>
        <w:t xml:space="preserve">). The ratio between the values of the </w:t>
      </w:r>
      <w:r w:rsidR="00392F0C" w:rsidRPr="004336D2">
        <w:t>polar (</w:t>
      </w:r>
      <w:r w:rsidR="00392F0C" w:rsidRPr="004336D2">
        <w:rPr>
          <w:color w:val="000000" w:themeColor="text1"/>
          <w:szCs w:val="18"/>
          <w:lang w:eastAsia="it-IT"/>
        </w:rPr>
        <w:t>γ</w:t>
      </w:r>
      <w:r w:rsidR="00392F0C" w:rsidRPr="004336D2">
        <w:rPr>
          <w:color w:val="000000" w:themeColor="text1"/>
          <w:szCs w:val="18"/>
          <w:vertAlign w:val="subscript"/>
          <w:lang w:eastAsia="it-IT"/>
        </w:rPr>
        <w:t>s</w:t>
      </w:r>
      <w:r w:rsidR="00392F0C" w:rsidRPr="004336D2">
        <w:rPr>
          <w:color w:val="000000" w:themeColor="text1"/>
          <w:szCs w:val="18"/>
          <w:vertAlign w:val="superscript"/>
          <w:lang w:eastAsia="it-IT"/>
        </w:rPr>
        <w:t>p</w:t>
      </w:r>
      <w:r w:rsidR="00392F0C" w:rsidRPr="004336D2">
        <w:t>) and dispersive (</w:t>
      </w:r>
      <w:r w:rsidR="00392F0C" w:rsidRPr="004336D2">
        <w:rPr>
          <w:color w:val="000000" w:themeColor="text1"/>
          <w:szCs w:val="18"/>
          <w:lang w:eastAsia="it-IT"/>
        </w:rPr>
        <w:t>γ</w:t>
      </w:r>
      <w:r w:rsidR="00392F0C" w:rsidRPr="004336D2">
        <w:rPr>
          <w:color w:val="000000" w:themeColor="text1"/>
          <w:szCs w:val="18"/>
          <w:vertAlign w:val="subscript"/>
          <w:lang w:eastAsia="it-IT"/>
        </w:rPr>
        <w:t>s</w:t>
      </w:r>
      <w:r w:rsidR="00392F0C" w:rsidRPr="004336D2">
        <w:rPr>
          <w:color w:val="000000" w:themeColor="text1"/>
          <w:szCs w:val="18"/>
          <w:vertAlign w:val="superscript"/>
          <w:lang w:eastAsia="it-IT"/>
        </w:rPr>
        <w:t>d</w:t>
      </w:r>
      <w:r w:rsidR="00392F0C" w:rsidRPr="004336D2">
        <w:t>) components</w:t>
      </w:r>
      <w:r w:rsidR="00392F0C">
        <w:t xml:space="preserve"> of the surface free energy for the inner and outer layers surfaces</w:t>
      </w:r>
      <w:r w:rsidR="006A2FF2">
        <w:t xml:space="preserve"> is close to unity</w:t>
      </w:r>
      <w:r w:rsidR="00392F0C">
        <w:t>, denoting a</w:t>
      </w:r>
      <w:r w:rsidR="006A2FF2">
        <w:t xml:space="preserve">n optimum </w:t>
      </w:r>
      <w:r w:rsidR="00392F0C">
        <w:t>interlayer adhesion</w:t>
      </w:r>
      <w:r w:rsidR="006A2FF2">
        <w:t xml:space="preserve"> </w:t>
      </w:r>
      <w:r w:rsidR="006A2FF2">
        <w:rPr>
          <w:rFonts w:cstheme="minorHAnsi"/>
        </w:rPr>
        <w:t>achieved for bilayer films after the coextrusion process</w:t>
      </w:r>
      <w:r w:rsidR="006A2FF2">
        <w:t xml:space="preserve"> (Lindener et al.</w:t>
      </w:r>
      <w:r w:rsidR="000E45B1">
        <w:t xml:space="preserve"> 2017</w:t>
      </w:r>
      <w:r w:rsidR="006A2FF2">
        <w:t>). As further evidence, high values of the work of adhesion were found for all the</w:t>
      </w:r>
      <w:r w:rsidR="00893B78">
        <w:t xml:space="preserve"> multilayer</w:t>
      </w:r>
      <w:r w:rsidR="006A2FF2">
        <w:t xml:space="preserve"> films, while minimum interfacial energy values were obtained, indicating high interfacial compatibility </w:t>
      </w:r>
      <w:r w:rsidR="006A2FF2">
        <w:rPr>
          <w:lang w:bidi="en-US"/>
        </w:rPr>
        <w:t>(</w:t>
      </w:r>
      <w:r w:rsidR="006A2FF2" w:rsidRPr="008D6B2E">
        <w:t>Ebnesajjad</w:t>
      </w:r>
      <w:r w:rsidR="006A2FF2">
        <w:t xml:space="preserve"> &amp; </w:t>
      </w:r>
      <w:r w:rsidR="006A2FF2" w:rsidRPr="008D6B2E">
        <w:t>Landrock</w:t>
      </w:r>
      <w:r w:rsidR="006A2FF2">
        <w:t>, 2015</w:t>
      </w:r>
      <w:r w:rsidR="006A2FF2">
        <w:rPr>
          <w:lang w:bidi="en-US"/>
        </w:rPr>
        <w:t>).</w:t>
      </w:r>
    </w:p>
    <w:p w14:paraId="44FF5C41" w14:textId="40F4B2B2" w:rsidR="00F71516" w:rsidRPr="00F71516" w:rsidRDefault="00F71516" w:rsidP="0090125C">
      <w:pPr>
        <w:pStyle w:val="CETheadingx"/>
      </w:pPr>
      <w:r>
        <w:t>Tensile properties</w:t>
      </w:r>
    </w:p>
    <w:p w14:paraId="5BFD6743" w14:textId="7F981E91" w:rsidR="007D7CF6" w:rsidRPr="00B43B29" w:rsidRDefault="00CA3532" w:rsidP="007D7CF6">
      <w:pPr>
        <w:contextualSpacing/>
        <w:rPr>
          <w:lang w:val="en-US"/>
        </w:rPr>
      </w:pPr>
      <w:r w:rsidRPr="00CA3532">
        <w:t>Tensile tests were performed in order to verify whether the produced films had adequate mechanical strength and ductility to ensure the integrity of the food packaging throughout the entire life cycle of the product</w:t>
      </w:r>
      <w:r>
        <w:t xml:space="preserve">. Figure 1 </w:t>
      </w:r>
      <w:r w:rsidR="00F31349">
        <w:t xml:space="preserve">(a) </w:t>
      </w:r>
      <w:r>
        <w:t>shows the elastic modulus E</w:t>
      </w:r>
      <w:r w:rsidR="00F31349">
        <w:t xml:space="preserve">, while </w:t>
      </w:r>
      <w:r w:rsidR="00F31349">
        <w:t>Figure 1 (</w:t>
      </w:r>
      <w:r w:rsidR="00F31349" w:rsidRPr="00CA3532">
        <w:t xml:space="preserve">b) </w:t>
      </w:r>
      <w:r w:rsidR="00F31349">
        <w:t xml:space="preserve">displays </w:t>
      </w:r>
      <w:r>
        <w:t xml:space="preserve">the </w:t>
      </w:r>
      <w:r w:rsidR="002F6512">
        <w:t>tensile strength</w:t>
      </w:r>
      <w:r w:rsidRPr="00EB4AEE">
        <w:t xml:space="preserve"> at break σ</w:t>
      </w:r>
      <w:r w:rsidRPr="00EB4AEE">
        <w:rPr>
          <w:vertAlign w:val="subscript"/>
        </w:rPr>
        <w:t xml:space="preserve">b </w:t>
      </w:r>
      <w:r w:rsidRPr="00EB4AEE">
        <w:t>and</w:t>
      </w:r>
      <w:r>
        <w:t xml:space="preserve"> the</w:t>
      </w:r>
      <w:r w:rsidRPr="00EB4AEE">
        <w:t xml:space="preserve"> </w:t>
      </w:r>
      <w:r w:rsidR="002F6512">
        <w:t>percentage elongation</w:t>
      </w:r>
      <w:r w:rsidRPr="00EB4AEE">
        <w:t xml:space="preserve"> at break ε</w:t>
      </w:r>
      <w:r w:rsidRPr="00EB4AEE">
        <w:rPr>
          <w:vertAlign w:val="subscript"/>
        </w:rPr>
        <w:t>b</w:t>
      </w:r>
      <w:r>
        <w:rPr>
          <w:vertAlign w:val="subscript"/>
        </w:rPr>
        <w:t xml:space="preserve"> </w:t>
      </w:r>
      <w:r w:rsidRPr="00CA3532">
        <w:t>of the coextruded films</w:t>
      </w:r>
      <w:r>
        <w:t>,</w:t>
      </w:r>
      <w:r w:rsidRPr="00CA3532">
        <w:t xml:space="preserve"> </w:t>
      </w:r>
      <w:r>
        <w:t xml:space="preserve">compared to those measured for the single inner and outer layers films. </w:t>
      </w:r>
      <w:r w:rsidR="007D7CF6" w:rsidRPr="004D4140">
        <w:t>The monolayer PLA4032/PHB 70</w:t>
      </w:r>
      <w:r w:rsidR="007D7CF6">
        <w:t>/</w:t>
      </w:r>
      <w:r w:rsidR="007D7CF6" w:rsidRPr="004D4140">
        <w:t>30 film shows the highest elastic modulus, equal to 22</w:t>
      </w:r>
      <w:r w:rsidR="007D7CF6">
        <w:t>2</w:t>
      </w:r>
      <w:r w:rsidR="007D7CF6" w:rsidRPr="004D4140">
        <w:t xml:space="preserve">0 MPa, tensile strength at break, equal to </w:t>
      </w:r>
      <w:r w:rsidR="007D7CF6">
        <w:t>38</w:t>
      </w:r>
      <w:r w:rsidR="007D7CF6" w:rsidRPr="004D4140">
        <w:t xml:space="preserve"> MPa, as well as the lowest elongation at break</w:t>
      </w:r>
      <w:r w:rsidR="007D7CF6">
        <w:t>,</w:t>
      </w:r>
      <w:r w:rsidR="007D7CF6" w:rsidRPr="004D4140">
        <w:t xml:space="preserve"> equal to 13%</w:t>
      </w:r>
      <w:r w:rsidR="007D7CF6">
        <w:t xml:space="preserve">. These attributes are due </w:t>
      </w:r>
      <w:r w:rsidR="007D7CF6" w:rsidRPr="004D4140">
        <w:t xml:space="preserve">to the </w:t>
      </w:r>
      <w:r w:rsidR="007D7CF6">
        <w:t xml:space="preserve">inherent </w:t>
      </w:r>
      <w:r w:rsidR="007D7CF6" w:rsidRPr="0053079A">
        <w:t>stiffness and brittleness</w:t>
      </w:r>
      <w:r w:rsidR="007D7CF6">
        <w:t xml:space="preserve"> </w:t>
      </w:r>
      <w:r w:rsidR="007D7CF6" w:rsidRPr="004D4140">
        <w:t>of both PLA4032 and PHB</w:t>
      </w:r>
      <w:r w:rsidR="007D7CF6">
        <w:t>; similar outcomes were obtained in literature for PLA/PHB blends with 30</w:t>
      </w:r>
      <w:r w:rsidR="00416180">
        <w:t xml:space="preserve"> </w:t>
      </w:r>
      <w:r w:rsidR="007D7CF6" w:rsidRPr="000F708E">
        <w:t>wt</w:t>
      </w:r>
      <w:r w:rsidR="000F708E" w:rsidRPr="000F708E">
        <w:t xml:space="preserve"> </w:t>
      </w:r>
      <w:r w:rsidR="00416180" w:rsidRPr="000F708E">
        <w:t>%</w:t>
      </w:r>
      <w:r w:rsidR="007D7CF6">
        <w:t xml:space="preserve"> PHB content (</w:t>
      </w:r>
      <w:r w:rsidR="007D7CF6" w:rsidRPr="007D7CF6">
        <w:t>Olejnik et al., 2021).</w:t>
      </w:r>
      <w:r w:rsidR="007D7CF6">
        <w:t xml:space="preserve"> C</w:t>
      </w:r>
      <w:r w:rsidR="007D7CF6" w:rsidRPr="00CD4929">
        <w:rPr>
          <w:rFonts w:cstheme="minorHAnsi"/>
        </w:rPr>
        <w:t>ontrariwise</w:t>
      </w:r>
      <w:r w:rsidR="007D7CF6" w:rsidRPr="00B75F6A">
        <w:rPr>
          <w:rFonts w:cstheme="minorHAnsi"/>
        </w:rPr>
        <w:t xml:space="preserve">, the Ecovio/PLA4060 </w:t>
      </w:r>
      <w:r w:rsidR="007D7CF6">
        <w:rPr>
          <w:rFonts w:cstheme="minorHAnsi"/>
        </w:rPr>
        <w:t>8</w:t>
      </w:r>
      <w:r w:rsidR="007D7CF6" w:rsidRPr="00B75F6A">
        <w:rPr>
          <w:rFonts w:cstheme="minorHAnsi"/>
        </w:rPr>
        <w:t>0/</w:t>
      </w:r>
      <w:r w:rsidR="007D7CF6">
        <w:rPr>
          <w:rFonts w:cstheme="minorHAnsi"/>
        </w:rPr>
        <w:t>2</w:t>
      </w:r>
      <w:r w:rsidR="007D7CF6" w:rsidRPr="00B75F6A">
        <w:rPr>
          <w:rFonts w:cstheme="minorHAnsi"/>
        </w:rPr>
        <w:t xml:space="preserve">0 </w:t>
      </w:r>
      <w:r w:rsidR="007D7CF6">
        <w:rPr>
          <w:rFonts w:cstheme="minorHAnsi"/>
        </w:rPr>
        <w:t xml:space="preserve">monolayer </w:t>
      </w:r>
      <w:r w:rsidR="007D7CF6" w:rsidRPr="00B75F6A">
        <w:rPr>
          <w:rFonts w:cstheme="minorHAnsi"/>
        </w:rPr>
        <w:t xml:space="preserve">shows a very ductile behavior, with a percentage </w:t>
      </w:r>
      <w:r w:rsidR="007D7CF6" w:rsidRPr="00396D7C">
        <w:t xml:space="preserve">of elongation at break equal to </w:t>
      </w:r>
      <w:r w:rsidR="007D7CF6">
        <w:t>355</w:t>
      </w:r>
      <w:r w:rsidR="007D7CF6" w:rsidRPr="00396D7C">
        <w:t xml:space="preserve"> %</w:t>
      </w:r>
      <w:r w:rsidR="007D7CF6">
        <w:t xml:space="preserve">, and its addition in the coextruded structures helps to </w:t>
      </w:r>
      <w:r w:rsidR="005B0F17">
        <w:t>attenuate</w:t>
      </w:r>
      <w:r w:rsidR="007D7CF6">
        <w:t xml:space="preserve"> the brittle </w:t>
      </w:r>
      <w:r w:rsidR="00A97608">
        <w:t>behaviour</w:t>
      </w:r>
      <w:r w:rsidR="007D7CF6">
        <w:t xml:space="preserve"> of the PLA/PHB layer. The resulting </w:t>
      </w:r>
      <w:r w:rsidR="007D7CF6">
        <w:rPr>
          <w:lang w:val="en-US"/>
        </w:rPr>
        <w:t xml:space="preserve">tensile </w:t>
      </w:r>
      <w:r w:rsidR="007D7CF6" w:rsidRPr="007E4844">
        <w:t xml:space="preserve">properties </w:t>
      </w:r>
      <w:r w:rsidR="007D7CF6">
        <w:t xml:space="preserve">of the bilayer films </w:t>
      </w:r>
      <w:r w:rsidR="007D7CF6" w:rsidRPr="007E4844">
        <w:t>are influenced by the layout of the systems</w:t>
      </w:r>
      <w:r w:rsidR="007D7CF6">
        <w:t xml:space="preserve">: in particular, the one </w:t>
      </w:r>
      <w:r w:rsidR="007D7CF6">
        <w:lastRenderedPageBreak/>
        <w:t xml:space="preserve">with the </w:t>
      </w:r>
      <w:r w:rsidR="007D7CF6" w:rsidRPr="007E4844">
        <w:t>largest thickness of the inner layer</w:t>
      </w:r>
      <w:r w:rsidR="007D7CF6">
        <w:t xml:space="preserve"> (i.e., </w:t>
      </w:r>
      <w:r w:rsidR="007D7CF6" w:rsidRPr="007E4844">
        <w:t>Bilayer O30/I5</w:t>
      </w:r>
      <w:r w:rsidR="007D7CF6">
        <w:t xml:space="preserve"> sample), displays the largest recovery in ductility</w:t>
      </w:r>
      <w:r w:rsidR="007D7CF6" w:rsidRPr="007E4844">
        <w:t xml:space="preserve"> (ε</w:t>
      </w:r>
      <w:r w:rsidR="007D7CF6" w:rsidRPr="007E4844">
        <w:rPr>
          <w:vertAlign w:val="subscript"/>
        </w:rPr>
        <w:t>b</w:t>
      </w:r>
      <w:r w:rsidR="007D7CF6" w:rsidRPr="007E4844">
        <w:t xml:space="preserve"> value equal to 39%)</w:t>
      </w:r>
      <w:r w:rsidR="007D7CF6">
        <w:t xml:space="preserve">, while the one with </w:t>
      </w:r>
      <w:r w:rsidR="007D7CF6" w:rsidRPr="007E4844">
        <w:t>the highest thickness of the outer layer</w:t>
      </w:r>
      <w:r w:rsidR="007D7CF6">
        <w:t xml:space="preserve"> (i.e., </w:t>
      </w:r>
      <w:r w:rsidR="007D7CF6" w:rsidRPr="007E4844">
        <w:t>Bilayer O50/I30</w:t>
      </w:r>
      <w:r w:rsidR="007D7CF6">
        <w:t xml:space="preserve"> sample) </w:t>
      </w:r>
      <w:r w:rsidR="007D7CF6" w:rsidRPr="007E4844">
        <w:t>exhibits the lowest elongation at break (23%)</w:t>
      </w:r>
      <w:r w:rsidR="007D7CF6">
        <w:t xml:space="preserve"> and the </w:t>
      </w:r>
      <w:r w:rsidR="007D7CF6" w:rsidRPr="007E4844">
        <w:t>highest elastic modulus and ultimate tensile strength (equal to 1546 MPa and 26 MPa, respectively)</w:t>
      </w:r>
      <w:r w:rsidR="007D7CF6">
        <w:t xml:space="preserve">. </w:t>
      </w:r>
    </w:p>
    <w:p w14:paraId="40F15AB2" w14:textId="77777777" w:rsidR="008A2AF4" w:rsidRDefault="008A2AF4" w:rsidP="00A06DE7">
      <w:pPr>
        <w:pStyle w:val="CETBodytext"/>
        <w:rPr>
          <w:rFonts w:eastAsia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4593"/>
      </w:tblGrid>
      <w:tr w:rsidR="00DB037B" w14:paraId="0F9F9506" w14:textId="761058D4" w:rsidTr="00A667C9">
        <w:tc>
          <w:tcPr>
            <w:tcW w:w="4395" w:type="dxa"/>
          </w:tcPr>
          <w:p w14:paraId="600A8BBC" w14:textId="20396A70" w:rsidR="00A667C9" w:rsidRPr="000F708E" w:rsidRDefault="00A667C9" w:rsidP="000F708E">
            <w:pPr>
              <w:pStyle w:val="CETBodytext"/>
              <w:jc w:val="left"/>
              <w:rPr>
                <w:rFonts w:eastAsiaTheme="minorHAnsi"/>
              </w:rPr>
            </w:pPr>
            <w:r w:rsidRPr="000F708E">
              <w:rPr>
                <w:rFonts w:eastAsiaTheme="minorHAnsi"/>
                <w:noProof/>
                <w:lang w:val="it-IT" w:eastAsia="it-IT"/>
              </w:rPr>
              <w:drawing>
                <wp:anchor distT="0" distB="0" distL="114300" distR="114300" simplePos="0" relativeHeight="251661312" behindDoc="0" locked="0" layoutInCell="1" allowOverlap="1" wp14:anchorId="570DF251" wp14:editId="2589BBD4">
                  <wp:simplePos x="0" y="0"/>
                  <wp:positionH relativeFrom="column">
                    <wp:posOffset>-68580</wp:posOffset>
                  </wp:positionH>
                  <wp:positionV relativeFrom="paragraph">
                    <wp:posOffset>41275</wp:posOffset>
                  </wp:positionV>
                  <wp:extent cx="2661920" cy="2194560"/>
                  <wp:effectExtent l="0" t="0" r="5080" b="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2762"/>
                          <a:stretch/>
                        </pic:blipFill>
                        <pic:spPr bwMode="auto">
                          <a:xfrm>
                            <a:off x="0" y="0"/>
                            <a:ext cx="2661920" cy="219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92" w:type="dxa"/>
          </w:tcPr>
          <w:p w14:paraId="6C2CBE1D" w14:textId="384A015D" w:rsidR="00A667C9" w:rsidRPr="00504467" w:rsidRDefault="00DB037B" w:rsidP="000F708E">
            <w:pPr>
              <w:pStyle w:val="CETBodytext"/>
              <w:jc w:val="left"/>
              <w:rPr>
                <w:rFonts w:eastAsiaTheme="minorHAnsi"/>
                <w:noProof/>
                <w:lang w:eastAsia="it-IT"/>
              </w:rPr>
            </w:pPr>
            <w:r>
              <w:rPr>
                <w:rFonts w:eastAsiaTheme="minorHAnsi"/>
                <w:noProof/>
                <w:lang w:eastAsia="it-IT"/>
              </w:rPr>
              <w:drawing>
                <wp:anchor distT="0" distB="0" distL="114300" distR="114300" simplePos="0" relativeHeight="251662336" behindDoc="0" locked="0" layoutInCell="1" allowOverlap="1" wp14:anchorId="2EB00D65" wp14:editId="6308261C">
                  <wp:simplePos x="0" y="0"/>
                  <wp:positionH relativeFrom="column">
                    <wp:posOffset>-68339</wp:posOffset>
                  </wp:positionH>
                  <wp:positionV relativeFrom="paragraph">
                    <wp:posOffset>86994</wp:posOffset>
                  </wp:positionV>
                  <wp:extent cx="2935364" cy="2202815"/>
                  <wp:effectExtent l="0" t="0" r="0" b="698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6546" cy="2203702"/>
                          </a:xfrm>
                          <a:prstGeom prst="rect">
                            <a:avLst/>
                          </a:prstGeom>
                          <a:noFill/>
                        </pic:spPr>
                      </pic:pic>
                    </a:graphicData>
                  </a:graphic>
                  <wp14:sizeRelH relativeFrom="margin">
                    <wp14:pctWidth>0</wp14:pctWidth>
                  </wp14:sizeRelH>
                  <wp14:sizeRelV relativeFrom="margin">
                    <wp14:pctHeight>0</wp14:pctHeight>
                  </wp14:sizeRelV>
                </wp:anchor>
              </w:drawing>
            </w:r>
          </w:p>
        </w:tc>
      </w:tr>
      <w:tr w:rsidR="00DB037B" w14:paraId="35CB9D2D" w14:textId="0B865D8B" w:rsidTr="00A667C9">
        <w:tc>
          <w:tcPr>
            <w:tcW w:w="4395" w:type="dxa"/>
          </w:tcPr>
          <w:p w14:paraId="7824C5F7" w14:textId="55B51BC2" w:rsidR="00A667C9" w:rsidRPr="000F708E" w:rsidRDefault="00A667C9" w:rsidP="000F708E">
            <w:pPr>
              <w:pStyle w:val="CETBodytext"/>
              <w:jc w:val="left"/>
              <w:rPr>
                <w:rFonts w:eastAsiaTheme="minorHAnsi"/>
                <w:color w:val="FF0000"/>
              </w:rPr>
            </w:pPr>
            <w:r w:rsidRPr="000F708E">
              <w:rPr>
                <w:rFonts w:eastAsiaTheme="minorHAnsi"/>
              </w:rPr>
              <w:t>(a)</w:t>
            </w:r>
          </w:p>
        </w:tc>
        <w:tc>
          <w:tcPr>
            <w:tcW w:w="4392" w:type="dxa"/>
          </w:tcPr>
          <w:p w14:paraId="3CBF4C7A" w14:textId="6FC703BD" w:rsidR="00A667C9" w:rsidRDefault="00A667C9" w:rsidP="000F708E">
            <w:pPr>
              <w:pStyle w:val="CETBodytext"/>
              <w:jc w:val="left"/>
              <w:rPr>
                <w:rFonts w:eastAsiaTheme="minorHAnsi"/>
                <w:noProof/>
              </w:rPr>
            </w:pPr>
            <w:r w:rsidRPr="000F708E">
              <w:rPr>
                <w:rFonts w:eastAsiaTheme="minorHAnsi"/>
              </w:rPr>
              <w:t xml:space="preserve">(b)    </w:t>
            </w:r>
          </w:p>
        </w:tc>
      </w:tr>
    </w:tbl>
    <w:p w14:paraId="68D26B83" w14:textId="75A3AFE4" w:rsidR="00600535" w:rsidRDefault="00760A6F" w:rsidP="00114119">
      <w:pPr>
        <w:pStyle w:val="CETCaption"/>
      </w:pPr>
      <w:r>
        <w:t xml:space="preserve">Figure </w:t>
      </w:r>
      <w:r w:rsidR="00546758">
        <w:t>1</w:t>
      </w:r>
      <w:r>
        <w:t xml:space="preserve">: </w:t>
      </w:r>
      <w:r w:rsidR="00DB037B" w:rsidRPr="00114119">
        <w:t>(a)</w:t>
      </w:r>
      <w:r w:rsidR="00DB037B">
        <w:t xml:space="preserve"> </w:t>
      </w:r>
      <w:r w:rsidR="00114119" w:rsidRPr="00114119">
        <w:t>Elastic modulus (E)</w:t>
      </w:r>
      <w:r w:rsidR="00DB037B">
        <w:t xml:space="preserve"> and (b) </w:t>
      </w:r>
      <w:r w:rsidR="00114119">
        <w:t xml:space="preserve">percentage </w:t>
      </w:r>
      <w:r w:rsidR="00114119" w:rsidRPr="00114119">
        <w:t>elongation at break (ε</w:t>
      </w:r>
      <w:r w:rsidR="00114119" w:rsidRPr="000F708E">
        <w:rPr>
          <w:vertAlign w:val="subscript"/>
        </w:rPr>
        <w:t>b</w:t>
      </w:r>
      <w:r w:rsidR="00114119" w:rsidRPr="00114119">
        <w:t>) and tensile strength at break (σ</w:t>
      </w:r>
      <w:r w:rsidR="00114119" w:rsidRPr="000F708E">
        <w:rPr>
          <w:vertAlign w:val="subscript"/>
        </w:rPr>
        <w:t>b</w:t>
      </w:r>
      <w:r w:rsidR="00114119" w:rsidRPr="00114119">
        <w:t>) for single outer (PLA4032</w:t>
      </w:r>
      <w:r w:rsidR="00114119">
        <w:t>/PHB</w:t>
      </w:r>
      <w:r w:rsidR="00114119" w:rsidRPr="00114119">
        <w:t xml:space="preserve"> 70/30) and inner (Ecovio/PLA4060 </w:t>
      </w:r>
      <w:r w:rsidR="00114119">
        <w:t>8</w:t>
      </w:r>
      <w:r w:rsidR="00114119" w:rsidRPr="00114119">
        <w:t>0/</w:t>
      </w:r>
      <w:r w:rsidR="00114119">
        <w:t>2</w:t>
      </w:r>
      <w:r w:rsidR="00114119" w:rsidRPr="00114119">
        <w:t xml:space="preserve">0) layers and </w:t>
      </w:r>
      <w:r w:rsidR="00114119">
        <w:t>bilayer</w:t>
      </w:r>
      <w:r w:rsidR="00114119" w:rsidRPr="00114119">
        <w:t xml:space="preserve"> films</w:t>
      </w:r>
      <w:r w:rsidR="00114119">
        <w:t>.</w:t>
      </w:r>
    </w:p>
    <w:p w14:paraId="0DAB6AB6" w14:textId="1C331C94" w:rsidR="00114119" w:rsidRPr="006A6946" w:rsidRDefault="006A6946" w:rsidP="006A6946">
      <w:pPr>
        <w:pStyle w:val="CETReference"/>
        <w:rPr>
          <w:lang w:val="en-US"/>
        </w:rPr>
      </w:pPr>
      <w:r w:rsidRPr="006A6946">
        <w:rPr>
          <w:lang w:val="en-US"/>
        </w:rPr>
        <w:t>Conclusions</w:t>
      </w:r>
    </w:p>
    <w:p w14:paraId="3F79C4F9" w14:textId="2F349FD4" w:rsidR="006A6946" w:rsidRPr="0070305E" w:rsidRDefault="006A6946" w:rsidP="0002418A">
      <w:pPr>
        <w:contextualSpacing/>
      </w:pPr>
      <w:r w:rsidRPr="0070305E">
        <w:t xml:space="preserve">In this study, coextruded blown films based on PLA/PHB and Ecovio/PLA biodegradable blends were realized by lab-scale co-extrusion plant, with the aim </w:t>
      </w:r>
      <w:r w:rsidR="001121AD" w:rsidRPr="0070305E">
        <w:t xml:space="preserve">of developing </w:t>
      </w:r>
      <w:r w:rsidRPr="0070305E">
        <w:t xml:space="preserve">a </w:t>
      </w:r>
      <w:r w:rsidR="001121AD" w:rsidRPr="0070305E">
        <w:t>sustainable</w:t>
      </w:r>
      <w:r w:rsidRPr="0070305E">
        <w:t xml:space="preserve"> structure combining high barrier properties</w:t>
      </w:r>
      <w:r w:rsidR="001652C5" w:rsidRPr="0070305E">
        <w:t>, heat sealability</w:t>
      </w:r>
      <w:r w:rsidRPr="0070305E">
        <w:t xml:space="preserve"> and adequate ductility for food packaging applications. </w:t>
      </w:r>
    </w:p>
    <w:p w14:paraId="61C673E0" w14:textId="336A321E" w:rsidR="00882445" w:rsidRPr="0070305E" w:rsidRDefault="008616B6" w:rsidP="0002418A">
      <w:pPr>
        <w:contextualSpacing/>
        <w:rPr>
          <w:color w:val="000000" w:themeColor="text1"/>
          <w:szCs w:val="24"/>
        </w:rPr>
      </w:pPr>
      <w:r w:rsidRPr="0070305E">
        <w:t xml:space="preserve">All the </w:t>
      </w:r>
      <w:r w:rsidR="002F7067" w:rsidRPr="0070305E">
        <w:t>bilayer</w:t>
      </w:r>
      <w:r w:rsidRPr="0070305E">
        <w:t xml:space="preserve"> films exhibited high interlayer adhesion and interfacial compatibility,</w:t>
      </w:r>
      <w:r w:rsidR="00882445" w:rsidRPr="0070305E">
        <w:rPr>
          <w:color w:val="000000" w:themeColor="text1"/>
          <w:szCs w:val="24"/>
        </w:rPr>
        <w:t xml:space="preserve"> </w:t>
      </w:r>
      <w:r w:rsidR="002F7067" w:rsidRPr="0070305E">
        <w:rPr>
          <w:color w:val="000000" w:themeColor="text1"/>
          <w:szCs w:val="24"/>
        </w:rPr>
        <w:t>and a good control of the inner/outer layers relative thicknesses achieved during the coextrusion process.</w:t>
      </w:r>
    </w:p>
    <w:p w14:paraId="12F9C6B8" w14:textId="3AC43203" w:rsidR="002F7067" w:rsidRPr="00791110" w:rsidRDefault="002F7067" w:rsidP="00791110">
      <w:pPr>
        <w:pStyle w:val="CETBodytext"/>
        <w:ind w:right="-1"/>
        <w:rPr>
          <w:rFonts w:cs="Arial"/>
          <w:szCs w:val="18"/>
        </w:rPr>
      </w:pPr>
      <w:r w:rsidRPr="0070305E">
        <w:rPr>
          <w:rFonts w:cstheme="minorHAnsi"/>
        </w:rPr>
        <w:t>The Ecovio/PLA inner layer, on its side, was effective in providing good ductility and sealability function within an extended temperature range</w:t>
      </w:r>
      <w:r w:rsidR="0002418A">
        <w:rPr>
          <w:rFonts w:cstheme="minorHAnsi"/>
        </w:rPr>
        <w:t xml:space="preserve"> from 80 to 100 °C</w:t>
      </w:r>
      <w:r w:rsidRPr="0070305E">
        <w:rPr>
          <w:rFonts w:cstheme="minorHAnsi"/>
        </w:rPr>
        <w:t>, commonly used in the food packaging industry</w:t>
      </w:r>
      <w:r w:rsidR="0002418A">
        <w:rPr>
          <w:rFonts w:cstheme="minorHAnsi"/>
        </w:rPr>
        <w:t>, and a maximum hot tack force of 400 g/15mm</w:t>
      </w:r>
      <w:r w:rsidRPr="0070305E">
        <w:rPr>
          <w:rFonts w:cstheme="minorHAnsi"/>
        </w:rPr>
        <w:t>. The PLA/PHB outer layer, on its turn, was effective in decreasing the oxygen permeation</w:t>
      </w:r>
      <w:r w:rsidR="0070305E" w:rsidRPr="0070305E">
        <w:rPr>
          <w:rFonts w:cstheme="minorHAnsi"/>
        </w:rPr>
        <w:t>.</w:t>
      </w:r>
      <w:r w:rsidR="0002418A">
        <w:rPr>
          <w:rFonts w:cstheme="minorHAnsi"/>
        </w:rPr>
        <w:t xml:space="preserve"> </w:t>
      </w:r>
      <w:r w:rsidR="0070305E">
        <w:t>T</w:t>
      </w:r>
      <w:r w:rsidR="0070305E" w:rsidRPr="00141716">
        <w:t xml:space="preserve">he </w:t>
      </w:r>
      <w:r w:rsidR="0070305E">
        <w:t xml:space="preserve">multilayer </w:t>
      </w:r>
      <w:r w:rsidR="0070305E" w:rsidRPr="00141716">
        <w:t xml:space="preserve">films had functional performance intermediate with respect to those of single outer and inner layers, </w:t>
      </w:r>
      <w:r w:rsidR="0070305E" w:rsidRPr="001B618E">
        <w:rPr>
          <w:color w:val="000000" w:themeColor="text1"/>
          <w:szCs w:val="24"/>
        </w:rPr>
        <w:t>and were influenced by the layout of the systems</w:t>
      </w:r>
      <w:r w:rsidR="0070305E" w:rsidRPr="00141716">
        <w:t>. In particular, the barrier properties and the stiffness increased by increasing the thickness of the outer layer, whereas the ductility increased by increasing the thickness of the inner layer.</w:t>
      </w:r>
      <w:r w:rsidR="0070305E">
        <w:rPr>
          <w:rFonts w:cstheme="minorHAnsi"/>
        </w:rPr>
        <w:t xml:space="preserve"> </w:t>
      </w:r>
      <w:r w:rsidR="0070305E">
        <w:t>A</w:t>
      </w:r>
      <w:r w:rsidR="0070305E" w:rsidRPr="009D63CA">
        <w:t xml:space="preserve">mong these samples, the best barrier performance </w:t>
      </w:r>
      <w:r w:rsidR="00B91EEE" w:rsidRPr="000F708E">
        <w:rPr>
          <w:color w:val="000000" w:themeColor="text1"/>
        </w:rPr>
        <w:t>was</w:t>
      </w:r>
      <w:r w:rsidR="00B91EEE">
        <w:rPr>
          <w:color w:val="FF0000"/>
        </w:rPr>
        <w:t xml:space="preserve"> </w:t>
      </w:r>
      <w:r w:rsidR="0070305E" w:rsidRPr="009D63CA">
        <w:t xml:space="preserve">obtained for Bilayer O50/I30 </w:t>
      </w:r>
      <w:r w:rsidR="0070305E">
        <w:t>film</w:t>
      </w:r>
      <w:r w:rsidR="0070305E" w:rsidRPr="009D63CA">
        <w:t>, exhibiting P</w:t>
      </w:r>
      <w:r w:rsidR="0070305E" w:rsidRPr="009D63CA">
        <w:rPr>
          <w:vertAlign w:val="subscript"/>
        </w:rPr>
        <w:t>O2</w:t>
      </w:r>
      <w:r w:rsidR="0070305E" w:rsidRPr="009D63CA">
        <w:t xml:space="preserve"> value equal to 16.8 cm</w:t>
      </w:r>
      <w:r w:rsidR="0070305E" w:rsidRPr="009D63CA">
        <w:rPr>
          <w:vertAlign w:val="superscript"/>
        </w:rPr>
        <w:t>2</w:t>
      </w:r>
      <w:r w:rsidR="0070305E" w:rsidRPr="009D63CA">
        <w:t xml:space="preserve"> mm/m</w:t>
      </w:r>
      <w:r w:rsidR="0070305E" w:rsidRPr="009D63CA">
        <w:rPr>
          <w:vertAlign w:val="superscript"/>
        </w:rPr>
        <w:t>2</w:t>
      </w:r>
      <w:r w:rsidR="0070305E" w:rsidRPr="009D63CA">
        <w:t xml:space="preserve"> d bar</w:t>
      </w:r>
      <w:r w:rsidR="0070305E">
        <w:t>, and a reduction in oxygen permeability of 53</w:t>
      </w:r>
      <w:r w:rsidR="00791110">
        <w:t xml:space="preserve"> </w:t>
      </w:r>
      <w:r w:rsidR="0070305E">
        <w:t xml:space="preserve">% with respect to the single </w:t>
      </w:r>
      <w:r w:rsidR="0070305E">
        <w:rPr>
          <w:rFonts w:cs="Arial"/>
          <w:szCs w:val="18"/>
        </w:rPr>
        <w:t xml:space="preserve">Ecovio/PLA4060 80/20 inner layer. </w:t>
      </w:r>
      <w:r w:rsidR="005B0F17">
        <w:rPr>
          <w:rFonts w:cs="Arial"/>
          <w:szCs w:val="18"/>
        </w:rPr>
        <w:t xml:space="preserve">For this sample, a partial recover in ductility was </w:t>
      </w:r>
      <w:r w:rsidR="00791110">
        <w:rPr>
          <w:rFonts w:cs="Arial"/>
          <w:szCs w:val="18"/>
        </w:rPr>
        <w:t xml:space="preserve">achieved thanks to the Ecovio/PLA4060 80/20 inner layer, with an increase in the elongation at break of 78 % compared to the single </w:t>
      </w:r>
      <w:r w:rsidR="00791110">
        <w:t xml:space="preserve">PLA/PHB 70/30 outer layer. </w:t>
      </w:r>
      <w:r w:rsidRPr="00141716">
        <w:rPr>
          <w:rFonts w:cstheme="minorHAnsi"/>
        </w:rPr>
        <w:t xml:space="preserve">The </w:t>
      </w:r>
      <w:r>
        <w:rPr>
          <w:rFonts w:cstheme="minorHAnsi"/>
        </w:rPr>
        <w:t xml:space="preserve">obtained </w:t>
      </w:r>
      <w:r w:rsidRPr="00141716">
        <w:rPr>
          <w:rFonts w:cstheme="minorHAnsi"/>
        </w:rPr>
        <w:t>results</w:t>
      </w:r>
      <w:r>
        <w:rPr>
          <w:rFonts w:cstheme="minorHAnsi"/>
        </w:rPr>
        <w:t>, overall,</w:t>
      </w:r>
      <w:r w:rsidRPr="00141716">
        <w:rPr>
          <w:rFonts w:cstheme="minorHAnsi"/>
        </w:rPr>
        <w:t xml:space="preserve"> </w:t>
      </w:r>
      <w:r w:rsidR="00B91EEE">
        <w:rPr>
          <w:rFonts w:cstheme="minorHAnsi"/>
        </w:rPr>
        <w:t xml:space="preserve">underlined </w:t>
      </w:r>
      <w:r w:rsidR="00B91EEE" w:rsidRPr="00141716">
        <w:rPr>
          <w:rFonts w:cstheme="minorHAnsi"/>
        </w:rPr>
        <w:t>that</w:t>
      </w:r>
      <w:r w:rsidRPr="00141716">
        <w:rPr>
          <w:rFonts w:cstheme="minorHAnsi"/>
        </w:rPr>
        <w:t xml:space="preserve"> the approach pursued </w:t>
      </w:r>
      <w:r w:rsidR="0070305E">
        <w:rPr>
          <w:rFonts w:cstheme="minorHAnsi"/>
        </w:rPr>
        <w:t>is</w:t>
      </w:r>
      <w:r w:rsidRPr="00141716">
        <w:rPr>
          <w:rFonts w:cstheme="minorHAnsi"/>
        </w:rPr>
        <w:t xml:space="preserve"> </w:t>
      </w:r>
      <w:r>
        <w:rPr>
          <w:rFonts w:cstheme="minorHAnsi"/>
        </w:rPr>
        <w:t>promising</w:t>
      </w:r>
      <w:r w:rsidRPr="00141716">
        <w:rPr>
          <w:rFonts w:cstheme="minorHAnsi"/>
        </w:rPr>
        <w:t xml:space="preserve"> in developing innovative, eco-sustainable films having multiple functional performance through technique</w:t>
      </w:r>
      <w:r w:rsidR="0070305E">
        <w:rPr>
          <w:rFonts w:cstheme="minorHAnsi"/>
        </w:rPr>
        <w:t>s</w:t>
      </w:r>
      <w:r w:rsidRPr="00141716">
        <w:rPr>
          <w:rFonts w:cstheme="minorHAnsi"/>
        </w:rPr>
        <w:t xml:space="preserve"> commonly used in the packaging industry.</w:t>
      </w:r>
    </w:p>
    <w:p w14:paraId="4F1327F8" w14:textId="77777777" w:rsidR="00600535" w:rsidRPr="00D2276A" w:rsidRDefault="00600535" w:rsidP="00057E36">
      <w:pPr>
        <w:pStyle w:val="CETReference"/>
        <w:rPr>
          <w:lang w:val="en-US"/>
        </w:rPr>
      </w:pPr>
      <w:r w:rsidRPr="00D2276A">
        <w:rPr>
          <w:lang w:val="en-US"/>
        </w:rPr>
        <w:t>References</w:t>
      </w:r>
    </w:p>
    <w:p w14:paraId="4DBE85A8" w14:textId="77777777" w:rsidR="00535DFC" w:rsidRDefault="00535DFC" w:rsidP="009774C8">
      <w:pPr>
        <w:pStyle w:val="CETReferencetext"/>
      </w:pPr>
      <w:r>
        <w:t>Amabile C., Abate T., De Crescenzo C., Sabbarese S., Capece G., Ciampa R., Chianese S., Musmarra D., 2022, Enhancing Poly(3-hydroxybutyrate) Production Through the Optimization of Reactor Geometry, Chemical Engineering Transactions, 93, 277- 282.</w:t>
      </w:r>
    </w:p>
    <w:p w14:paraId="25AF93B7" w14:textId="77777777" w:rsidR="00A74117" w:rsidRPr="009774C8" w:rsidRDefault="00A74117" w:rsidP="00A74117">
      <w:pPr>
        <w:pStyle w:val="CETReferencetext"/>
      </w:pPr>
      <w:r w:rsidRPr="0017614A">
        <w:t>Apicella A., Scarfato P., Di Maio L.,</w:t>
      </w:r>
      <w:r>
        <w:t xml:space="preserve"> </w:t>
      </w:r>
      <w:r w:rsidRPr="0017614A">
        <w:t>Incarnato L.</w:t>
      </w:r>
      <w:r>
        <w:t xml:space="preserve">, </w:t>
      </w:r>
      <w:r w:rsidRPr="0017614A">
        <w:t>2018a</w:t>
      </w:r>
      <w:r>
        <w:t xml:space="preserve">, </w:t>
      </w:r>
      <w:r w:rsidRPr="0017614A">
        <w:t>Oxygen absorption data of multilayer oxygen scavenger-polyester films with different layouts</w:t>
      </w:r>
      <w:r>
        <w:t>,</w:t>
      </w:r>
      <w:r w:rsidRPr="0017614A">
        <w:t xml:space="preserve"> Data in Brief, 19, 1530–1536. </w:t>
      </w:r>
    </w:p>
    <w:p w14:paraId="4ACD5561" w14:textId="77777777" w:rsidR="00A74117" w:rsidRPr="009774C8" w:rsidRDefault="00A74117" w:rsidP="00A74117">
      <w:pPr>
        <w:pStyle w:val="CETReferencetext"/>
      </w:pPr>
      <w:r w:rsidRPr="009774C8">
        <w:t>Apicella</w:t>
      </w:r>
      <w:r>
        <w:t xml:space="preserve"> A.</w:t>
      </w:r>
      <w:r w:rsidRPr="009774C8">
        <w:t>, Scarfato</w:t>
      </w:r>
      <w:r>
        <w:t xml:space="preserve"> P.</w:t>
      </w:r>
      <w:r w:rsidRPr="009774C8">
        <w:t>, Di Maio</w:t>
      </w:r>
      <w:r>
        <w:t xml:space="preserve"> L.</w:t>
      </w:r>
      <w:r w:rsidRPr="009774C8">
        <w:t>, Garofalo</w:t>
      </w:r>
      <w:r>
        <w:t xml:space="preserve"> E.</w:t>
      </w:r>
      <w:r w:rsidRPr="009774C8">
        <w:t xml:space="preserve">, Incarnato </w:t>
      </w:r>
      <w:r>
        <w:t>L.</w:t>
      </w:r>
      <w:r w:rsidRPr="009774C8">
        <w:t xml:space="preserve">, </w:t>
      </w:r>
      <w:r>
        <w:t xml:space="preserve">2018b, </w:t>
      </w:r>
      <w:r w:rsidRPr="009774C8">
        <w:t>Evaluation of performance of PET packaging films based on different copolyester O2-scavengers, AIP Conference Proceedings 1981, 020130</w:t>
      </w:r>
      <w:r>
        <w:t>.</w:t>
      </w:r>
    </w:p>
    <w:p w14:paraId="211A4EBB" w14:textId="42514F9E" w:rsidR="00535DFC" w:rsidRPr="009774C8" w:rsidRDefault="00535DFC" w:rsidP="008F61D7">
      <w:pPr>
        <w:pStyle w:val="CETReferencetext"/>
      </w:pPr>
      <w:r w:rsidRPr="008F61D7">
        <w:t>Apicella A., Scarfato P., D’Arienzo L., Garofalo E., Di Maio L., Incarnato L., 2018c</w:t>
      </w:r>
      <w:r>
        <w:t xml:space="preserve">, </w:t>
      </w:r>
      <w:r w:rsidRPr="008F61D7">
        <w:t>Antimicrobial</w:t>
      </w:r>
      <w:r w:rsidRPr="00026E5D">
        <w:t xml:space="preserve"> biodegradable coatings based on LAE for food packaging applications</w:t>
      </w:r>
      <w:r>
        <w:t>,</w:t>
      </w:r>
      <w:r w:rsidRPr="009774C8">
        <w:t xml:space="preserve"> AIP Conference Proceedings</w:t>
      </w:r>
      <w:r>
        <w:t>,</w:t>
      </w:r>
      <w:r w:rsidRPr="009774C8">
        <w:t xml:space="preserve"> 1981, 020010</w:t>
      </w:r>
      <w:r w:rsidR="00A74117">
        <w:t>.</w:t>
      </w:r>
      <w:r w:rsidRPr="009774C8">
        <w:t xml:space="preserve"> </w:t>
      </w:r>
    </w:p>
    <w:p w14:paraId="5EC5F237" w14:textId="77777777" w:rsidR="00535DFC" w:rsidRPr="00F47291" w:rsidRDefault="00535DFC" w:rsidP="009774C8">
      <w:pPr>
        <w:pStyle w:val="CETReferencetext"/>
        <w:rPr>
          <w:lang w:val="en-US"/>
        </w:rPr>
      </w:pPr>
      <w:r w:rsidRPr="00F47291">
        <w:lastRenderedPageBreak/>
        <w:t>Arrieta M.P., Fortunati E., Dominici F., Rayón E., López J., Kenny J.M., 2014,</w:t>
      </w:r>
      <w:r>
        <w:t xml:space="preserve"> </w:t>
      </w:r>
      <w:r w:rsidRPr="00CD41DF">
        <w:rPr>
          <w:lang w:val="en-US"/>
        </w:rPr>
        <w:t>PLA-PHB/cellulose-based films: Mechanical, barrier and disintegration properties,</w:t>
      </w:r>
      <w:r>
        <w:rPr>
          <w:lang w:val="en-US"/>
        </w:rPr>
        <w:t xml:space="preserve"> </w:t>
      </w:r>
      <w:r w:rsidRPr="00CD41DF">
        <w:rPr>
          <w:lang w:val="en-US"/>
        </w:rPr>
        <w:t>Polymer Degradation and Stability, 107,</w:t>
      </w:r>
      <w:r>
        <w:rPr>
          <w:lang w:val="en-US"/>
        </w:rPr>
        <w:t xml:space="preserve"> </w:t>
      </w:r>
      <w:r w:rsidRPr="00F47291">
        <w:rPr>
          <w:lang w:val="en-US"/>
        </w:rPr>
        <w:t>139-149</w:t>
      </w:r>
      <w:r>
        <w:rPr>
          <w:lang w:val="en-US"/>
        </w:rPr>
        <w:t>.</w:t>
      </w:r>
    </w:p>
    <w:p w14:paraId="3E3D511A" w14:textId="4C1F1F86" w:rsidR="007337BE" w:rsidRDefault="007337BE" w:rsidP="007337BE">
      <w:pPr>
        <w:pStyle w:val="CETReferencetext"/>
        <w:rPr>
          <w:lang w:val="en-US"/>
        </w:rPr>
      </w:pPr>
      <w:r>
        <w:rPr>
          <w:lang w:val="en-US"/>
        </w:rPr>
        <w:t xml:space="preserve">ASTM </w:t>
      </w:r>
      <w:r w:rsidRPr="007337BE">
        <w:rPr>
          <w:lang w:val="en-US"/>
        </w:rPr>
        <w:t>D 1434</w:t>
      </w:r>
      <w:r w:rsidR="005E4F56">
        <w:rPr>
          <w:lang w:val="en-US"/>
        </w:rPr>
        <w:t>-</w:t>
      </w:r>
      <w:r w:rsidRPr="007337BE">
        <w:rPr>
          <w:lang w:val="en-US"/>
        </w:rPr>
        <w:t>82</w:t>
      </w:r>
      <w:r>
        <w:rPr>
          <w:lang w:val="en-US"/>
        </w:rPr>
        <w:t xml:space="preserve">. </w:t>
      </w:r>
      <w:r w:rsidRPr="007337BE">
        <w:rPr>
          <w:lang w:val="en-US"/>
        </w:rPr>
        <w:t>Standard Test Method for</w:t>
      </w:r>
      <w:r>
        <w:rPr>
          <w:lang w:val="en-US"/>
        </w:rPr>
        <w:t xml:space="preserve"> </w:t>
      </w:r>
      <w:r w:rsidRPr="007337BE">
        <w:rPr>
          <w:lang w:val="en-US"/>
        </w:rPr>
        <w:t>Determining Gas Permeability Characteristics of Plastic Film</w:t>
      </w:r>
      <w:r>
        <w:rPr>
          <w:lang w:val="en-US"/>
        </w:rPr>
        <w:t xml:space="preserve"> </w:t>
      </w:r>
      <w:r w:rsidRPr="007337BE">
        <w:rPr>
          <w:lang w:val="en-US"/>
        </w:rPr>
        <w:t>and Sheeting</w:t>
      </w:r>
      <w:r w:rsidR="005E4F56">
        <w:rPr>
          <w:lang w:val="en-US"/>
        </w:rPr>
        <w:t>.</w:t>
      </w:r>
    </w:p>
    <w:p w14:paraId="21CB9533" w14:textId="62D4AB31" w:rsidR="005E4F56" w:rsidRDefault="005E4F56" w:rsidP="007337BE">
      <w:pPr>
        <w:pStyle w:val="CETReferencetext"/>
        <w:rPr>
          <w:lang w:val="en-US"/>
        </w:rPr>
      </w:pPr>
      <w:r>
        <w:rPr>
          <w:lang w:val="en-US"/>
        </w:rPr>
        <w:t xml:space="preserve">ASTM D 7490-13. </w:t>
      </w:r>
      <w:r w:rsidRPr="005E4F56">
        <w:rPr>
          <w:lang w:val="en-US"/>
        </w:rPr>
        <w:t>Standard Test Method for Measurement of the Surface Tension of Solid Coatings, Substrates and Pigments using Contact Angle Measurements</w:t>
      </w:r>
      <w:r>
        <w:rPr>
          <w:lang w:val="en-US"/>
        </w:rPr>
        <w:t>.</w:t>
      </w:r>
    </w:p>
    <w:p w14:paraId="13B859C9" w14:textId="5855EFA9" w:rsidR="00E47464" w:rsidRDefault="00E47464" w:rsidP="007337BE">
      <w:pPr>
        <w:pStyle w:val="CETReferencetext"/>
        <w:rPr>
          <w:lang w:val="en-US"/>
        </w:rPr>
      </w:pPr>
      <w:r>
        <w:rPr>
          <w:lang w:val="en-US"/>
        </w:rPr>
        <w:t>ASTM F 1921</w:t>
      </w:r>
      <w:r w:rsidR="000F708E">
        <w:rPr>
          <w:lang w:val="en-US"/>
        </w:rPr>
        <w:t>-98</w:t>
      </w:r>
      <w:r>
        <w:rPr>
          <w:lang w:val="en-US"/>
        </w:rPr>
        <w:t xml:space="preserve">. </w:t>
      </w:r>
      <w:r w:rsidRPr="00E47464">
        <w:rPr>
          <w:lang w:val="en-US"/>
        </w:rPr>
        <w:t>Standard Test Methods for Hot Seal Strength (Hot Tack) of Thermoplastic Polymers and Blends Comprising the Sealing Surfaces of Flexible Webs</w:t>
      </w:r>
      <w:r>
        <w:rPr>
          <w:lang w:val="en-US"/>
        </w:rPr>
        <w:t>.</w:t>
      </w:r>
    </w:p>
    <w:p w14:paraId="6AEA21BD" w14:textId="392AE91A" w:rsidR="00535DFC" w:rsidRPr="00F47291" w:rsidRDefault="00535DFC" w:rsidP="00F47291">
      <w:pPr>
        <w:pStyle w:val="CETReferencetext"/>
        <w:rPr>
          <w:lang w:val="en-US"/>
        </w:rPr>
      </w:pPr>
      <w:r w:rsidRPr="008B03CD">
        <w:rPr>
          <w:lang w:val="en-US"/>
        </w:rPr>
        <w:t>Chen</w:t>
      </w:r>
      <w:r>
        <w:rPr>
          <w:lang w:val="en-US"/>
        </w:rPr>
        <w:t xml:space="preserve"> J.</w:t>
      </w:r>
      <w:r w:rsidRPr="008B03CD">
        <w:rPr>
          <w:lang w:val="en-US"/>
        </w:rPr>
        <w:t>, Wu</w:t>
      </w:r>
      <w:r>
        <w:rPr>
          <w:lang w:val="en-US"/>
        </w:rPr>
        <w:t xml:space="preserve"> D.</w:t>
      </w:r>
      <w:r w:rsidRPr="008B03CD">
        <w:rPr>
          <w:lang w:val="en-US"/>
        </w:rPr>
        <w:t>, Pan</w:t>
      </w:r>
      <w:r>
        <w:rPr>
          <w:lang w:val="en-US"/>
        </w:rPr>
        <w:t xml:space="preserve"> K.</w:t>
      </w:r>
      <w:r w:rsidRPr="008B03CD">
        <w:rPr>
          <w:lang w:val="en-US"/>
        </w:rPr>
        <w:t>,</w:t>
      </w:r>
      <w:r>
        <w:rPr>
          <w:lang w:val="en-US"/>
        </w:rPr>
        <w:t xml:space="preserve"> 2016, </w:t>
      </w:r>
      <w:r w:rsidRPr="008B03CD">
        <w:rPr>
          <w:lang w:val="en-US"/>
        </w:rPr>
        <w:t>Effects of ethyl cellulose on the crystallization and mechanical properties of poly(β-hydroxybutyrate), International Journal of Biological Macromolecules,</w:t>
      </w:r>
      <w:r>
        <w:rPr>
          <w:lang w:val="en-US"/>
        </w:rPr>
        <w:t xml:space="preserve"> </w:t>
      </w:r>
      <w:r w:rsidRPr="00F47291">
        <w:rPr>
          <w:lang w:val="en-US"/>
        </w:rPr>
        <w:t>88,120-129</w:t>
      </w:r>
      <w:r>
        <w:rPr>
          <w:lang w:val="en-US"/>
        </w:rPr>
        <w:t>.</w:t>
      </w:r>
    </w:p>
    <w:p w14:paraId="331D2FDF" w14:textId="77777777" w:rsidR="00535DFC" w:rsidRDefault="00535DFC" w:rsidP="009774C8">
      <w:pPr>
        <w:pStyle w:val="CETReferencetext"/>
        <w:rPr>
          <w:lang w:val="en-US"/>
        </w:rPr>
      </w:pPr>
      <w:bookmarkStart w:id="2" w:name="_Hlk125502739"/>
      <w:r w:rsidRPr="008D6B2E">
        <w:t>Ebnesajjad, S.</w:t>
      </w:r>
      <w:r>
        <w:t>,</w:t>
      </w:r>
      <w:r w:rsidRPr="008D6B2E">
        <w:t xml:space="preserve"> Landrock</w:t>
      </w:r>
      <w:bookmarkEnd w:id="2"/>
      <w:r w:rsidRPr="008D6B2E">
        <w:t>, A.H.</w:t>
      </w:r>
      <w:r>
        <w:t xml:space="preserve"> (</w:t>
      </w:r>
      <w:r w:rsidRPr="008D6B2E">
        <w:t>3rd ed.</w:t>
      </w:r>
      <w:r>
        <w:t>),</w:t>
      </w:r>
      <w:r w:rsidRPr="008D6B2E">
        <w:t xml:space="preserve"> </w:t>
      </w:r>
      <w:r>
        <w:t>2015, Adhesives</w:t>
      </w:r>
      <w:r w:rsidRPr="008D6B2E">
        <w:t xml:space="preserve"> Technology Handbook</w:t>
      </w:r>
      <w:r>
        <w:t xml:space="preserve">, </w:t>
      </w:r>
      <w:r w:rsidRPr="008D6B2E">
        <w:t>William Andrew Publishing</w:t>
      </w:r>
      <w:r>
        <w:t>, USA.</w:t>
      </w:r>
    </w:p>
    <w:p w14:paraId="01C23A2F" w14:textId="6353B117" w:rsidR="00535DFC" w:rsidRPr="00F47291" w:rsidRDefault="00535DFC" w:rsidP="00F47291">
      <w:pPr>
        <w:pStyle w:val="CETReferencetext"/>
      </w:pPr>
      <w:r w:rsidRPr="00F47291">
        <w:t>Galindo S., Ureña-Núñez, F.,2018, Enhanced surface hydrophobicity of poly(lactic acid) by Co60 gamma ray irradiation, Revista mexicana de física, 64, 1-7. </w:t>
      </w:r>
    </w:p>
    <w:p w14:paraId="133ECB15" w14:textId="2826D773" w:rsidR="00535DFC" w:rsidRPr="00F47291" w:rsidRDefault="00535DFC" w:rsidP="00F47291">
      <w:pPr>
        <w:pStyle w:val="CETReferencetext"/>
      </w:pPr>
      <w:r w:rsidRPr="00F47291">
        <w:t>Jost V., 2018, Packaging related properties of commercially available biopolymers–An overview of the status quo, Express Polymer Letters, 12, 429-435.</w:t>
      </w:r>
    </w:p>
    <w:p w14:paraId="6B01AC56" w14:textId="77777777" w:rsidR="00535DFC" w:rsidRPr="0017614A" w:rsidRDefault="00535DFC" w:rsidP="0017614A">
      <w:pPr>
        <w:pStyle w:val="CETReferencetext"/>
      </w:pPr>
      <w:r w:rsidRPr="0017614A">
        <w:rPr>
          <w:rStyle w:val="author"/>
        </w:rPr>
        <w:t>Leneveu-Jenvrin C.</w:t>
      </w:r>
      <w:r w:rsidRPr="0017614A">
        <w:t>, </w:t>
      </w:r>
      <w:r w:rsidRPr="0017614A">
        <w:rPr>
          <w:rStyle w:val="author"/>
        </w:rPr>
        <w:t>Apicella A.</w:t>
      </w:r>
      <w:r w:rsidRPr="0017614A">
        <w:t>, </w:t>
      </w:r>
      <w:r w:rsidRPr="0017614A">
        <w:rPr>
          <w:rStyle w:val="author"/>
        </w:rPr>
        <w:t>Bradley K</w:t>
      </w:r>
      <w:r w:rsidRPr="0017614A">
        <w:t xml:space="preserve">., </w:t>
      </w:r>
      <w:hyperlink r:id="rId12" w:history="1">
        <w:r w:rsidRPr="0017614A">
          <w:t xml:space="preserve"> Meile</w:t>
        </w:r>
      </w:hyperlink>
      <w:r w:rsidRPr="0017614A">
        <w:t xml:space="preserve"> J.C., </w:t>
      </w:r>
      <w:hyperlink r:id="rId13" w:history="1">
        <w:r w:rsidRPr="0017614A">
          <w:t>Chillet</w:t>
        </w:r>
      </w:hyperlink>
      <w:r w:rsidRPr="0017614A">
        <w:t xml:space="preserve"> M., </w:t>
      </w:r>
      <w:hyperlink r:id="rId14" w:history="1">
        <w:r w:rsidRPr="0017614A">
          <w:t>Scarfato</w:t>
        </w:r>
      </w:hyperlink>
      <w:r w:rsidRPr="0017614A">
        <w:t xml:space="preserve"> P., </w:t>
      </w:r>
      <w:hyperlink r:id="rId15" w:history="1">
        <w:r w:rsidRPr="0017614A">
          <w:t>Incarnato</w:t>
        </w:r>
      </w:hyperlink>
      <w:r w:rsidRPr="0017614A">
        <w:t xml:space="preserve"> L., </w:t>
      </w:r>
      <w:hyperlink r:id="rId16" w:history="1">
        <w:r w:rsidRPr="0017614A">
          <w:t>Remize</w:t>
        </w:r>
      </w:hyperlink>
      <w:r w:rsidRPr="0017614A">
        <w:t xml:space="preserve"> F, 2021, </w:t>
      </w:r>
      <w:r w:rsidRPr="0017614A">
        <w:rPr>
          <w:rStyle w:val="articletitle"/>
        </w:rPr>
        <w:t>Effects of maturity level, steam treatment, or active packaging to maintain the quality of minimally processed mango (Mangifera indica cv. José)</w:t>
      </w:r>
      <w:r w:rsidRPr="0017614A">
        <w:t>. Journal of Food Processing and Preservation, </w:t>
      </w:r>
      <w:r w:rsidRPr="0017614A">
        <w:rPr>
          <w:rStyle w:val="vol"/>
        </w:rPr>
        <w:t>45</w:t>
      </w:r>
      <w:r w:rsidRPr="0017614A">
        <w:t xml:space="preserve">, e15600.  </w:t>
      </w:r>
    </w:p>
    <w:p w14:paraId="3A3D4991" w14:textId="3AB21AE2" w:rsidR="00535DFC" w:rsidRPr="009774C8" w:rsidRDefault="00535DFC" w:rsidP="00535DFC">
      <w:pPr>
        <w:pStyle w:val="CETReferencetext"/>
      </w:pPr>
      <w:r w:rsidRPr="00535DFC">
        <w:t>Lindner M., Rodler N., Jesdinszki M., Schmid  M., Sängerlaub S., 2017, Surface energy of corona treated PP, PE and PET films, its alteration as function of storage time and the effect of various corona dosages on their bond strength after lamination</w:t>
      </w:r>
      <w:r w:rsidRPr="009774C8">
        <w:t xml:space="preserve">. </w:t>
      </w:r>
      <w:r>
        <w:t>Journal of Applied Polymer Science, 135, 45842.</w:t>
      </w:r>
    </w:p>
    <w:p w14:paraId="5C3C0FEC" w14:textId="2FAA5278" w:rsidR="00535DFC" w:rsidRPr="009774C8" w:rsidRDefault="00535DFC" w:rsidP="009774C8">
      <w:pPr>
        <w:pStyle w:val="CETReferencetext"/>
        <w:rPr>
          <w:lang w:val="en-US"/>
        </w:rPr>
      </w:pPr>
      <w:r>
        <w:t xml:space="preserve">Olejnik O., Masek A., Zawadziłło J., 2021, Processability and Mechanical Properties of Thermoplastic Polylactide/Polyhydroxybutyrate (PLA/PHB) Bioblends, </w:t>
      </w:r>
      <w:r w:rsidRPr="009774C8">
        <w:rPr>
          <w:lang w:val="en-US"/>
        </w:rPr>
        <w:t>Materials, 14, 898</w:t>
      </w:r>
      <w:r w:rsidR="00213A20">
        <w:rPr>
          <w:lang w:val="en-US"/>
        </w:rPr>
        <w:t>.</w:t>
      </w:r>
    </w:p>
    <w:p w14:paraId="073BBF2F" w14:textId="77777777" w:rsidR="00535DFC" w:rsidRPr="008F61D7" w:rsidRDefault="00535DFC" w:rsidP="008F61D7">
      <w:pPr>
        <w:pStyle w:val="CETReferencetext"/>
      </w:pPr>
      <w:r w:rsidRPr="008F61D7">
        <w:t>Olonisakin K., Wen A</w:t>
      </w:r>
      <w:r>
        <w:t>.,</w:t>
      </w:r>
      <w:r w:rsidRPr="008F61D7">
        <w:t xml:space="preserve"> He S.</w:t>
      </w:r>
      <w:r>
        <w:t>,</w:t>
      </w:r>
      <w:r w:rsidRPr="008F61D7">
        <w:t> </w:t>
      </w:r>
      <w:hyperlink r:id="rId17" w:history="1">
        <w:r w:rsidRPr="008F61D7">
          <w:rPr>
            <w:rStyle w:val="Collegamentoipertestuale"/>
            <w:color w:val="auto"/>
            <w:u w:val="none"/>
          </w:rPr>
          <w:t>Lin</w:t>
        </w:r>
      </w:hyperlink>
      <w:r>
        <w:t xml:space="preserve"> H., </w:t>
      </w:r>
      <w:r w:rsidRPr="00057E36">
        <w:t>Tao</w:t>
      </w:r>
      <w:r>
        <w:t xml:space="preserve"> W., </w:t>
      </w:r>
      <w:r w:rsidRPr="00057E36">
        <w:t>Chen</w:t>
      </w:r>
      <w:r>
        <w:t xml:space="preserve"> S.,</w:t>
      </w:r>
      <w:r w:rsidRPr="00057E36">
        <w:t>Lin</w:t>
      </w:r>
      <w:r>
        <w:t xml:space="preserve"> W, </w:t>
      </w:r>
      <w:r w:rsidRPr="00057E36">
        <w:t>L</w:t>
      </w:r>
      <w:r>
        <w:t xml:space="preserve">I R., </w:t>
      </w:r>
      <w:r w:rsidRPr="00057E36">
        <w:t>Zhang</w:t>
      </w:r>
      <w:r>
        <w:t xml:space="preserve"> X.X., </w:t>
      </w:r>
      <w:r w:rsidRPr="00057E36">
        <w:t>Yang</w:t>
      </w:r>
      <w:r>
        <w:t xml:space="preserve"> W., 2023,</w:t>
      </w:r>
      <w:r w:rsidRPr="008F61D7">
        <w:t>The Development of Biodegradable PBAT-Lignin-Tannic Acid Composite Film: Properties, Biodegradability, and Potential Barrier Application in Food Packaging</w:t>
      </w:r>
      <w:r>
        <w:t>,</w:t>
      </w:r>
      <w:r w:rsidRPr="008F61D7">
        <w:t xml:space="preserve"> Food </w:t>
      </w:r>
      <w:r>
        <w:t xml:space="preserve">and </w:t>
      </w:r>
      <w:r w:rsidRPr="008F61D7">
        <w:t>Bioprocess Technol</w:t>
      </w:r>
      <w:r>
        <w:t>ogy.</w:t>
      </w:r>
      <w:r w:rsidRPr="008F61D7">
        <w:t xml:space="preserve"> </w:t>
      </w:r>
    </w:p>
    <w:p w14:paraId="1A221783" w14:textId="77777777" w:rsidR="00535DFC" w:rsidRPr="00535DFC" w:rsidRDefault="00535DFC" w:rsidP="009774C8">
      <w:pPr>
        <w:pStyle w:val="CETReferencetext"/>
      </w:pPr>
      <w:r w:rsidRPr="00FD67AC">
        <w:t>Owens D.K.</w:t>
      </w:r>
      <w:r>
        <w:t xml:space="preserve">, </w:t>
      </w:r>
      <w:r w:rsidRPr="00FD67AC">
        <w:t>Wendt R.C.</w:t>
      </w:r>
      <w:r>
        <w:t>,</w:t>
      </w:r>
      <w:r w:rsidRPr="00FD67AC">
        <w:t xml:space="preserve"> </w:t>
      </w:r>
      <w:r>
        <w:t xml:space="preserve">1969, </w:t>
      </w:r>
      <w:r w:rsidRPr="00FD67AC">
        <w:t>Estimation of the Surface Free Energy of Polymers</w:t>
      </w:r>
      <w:r>
        <w:t>,</w:t>
      </w:r>
      <w:r w:rsidRPr="00FD67AC">
        <w:t xml:space="preserve"> </w:t>
      </w:r>
      <w:r w:rsidRPr="00F47291">
        <w:t>Journal of Applied Polymer Science</w:t>
      </w:r>
      <w:r>
        <w:rPr>
          <w:i/>
          <w:iCs/>
        </w:rPr>
        <w:t xml:space="preserve">, </w:t>
      </w:r>
      <w:r w:rsidRPr="00F47291">
        <w:t>13, 1741–1747</w:t>
      </w:r>
      <w:r w:rsidRPr="00FD67AC">
        <w:t>.</w:t>
      </w:r>
    </w:p>
    <w:p w14:paraId="28ECC13A" w14:textId="77777777" w:rsidR="00535DFC" w:rsidRPr="00645A3D" w:rsidRDefault="00535DFC" w:rsidP="008F61D7">
      <w:pPr>
        <w:pStyle w:val="CETReferencetext"/>
        <w:rPr>
          <w:lang w:val="en-US"/>
        </w:rPr>
      </w:pPr>
      <w:r>
        <w:t>Padovani G., Carlozzi P., Seggiani M., Cinelli P., Vitolo S., Lazzeri A., 2016, Phb-rich biomass and bioh2 production by means of photosynthetic microorganisms, Chemical Engineering Transactions, 49, 55-60.</w:t>
      </w:r>
    </w:p>
    <w:p w14:paraId="1DBD903C" w14:textId="77777777" w:rsidR="00535DFC" w:rsidRPr="00F47291" w:rsidRDefault="00535DFC" w:rsidP="00F47291">
      <w:pPr>
        <w:pStyle w:val="CETReferencetext"/>
      </w:pPr>
      <w:r w:rsidRPr="00535DFC">
        <w:rPr>
          <w:rFonts w:eastAsiaTheme="minorHAnsi"/>
          <w:lang w:val="en-US"/>
        </w:rPr>
        <w:t xml:space="preserve">Pietrosanto A., Scarfato P., Di Maio L., Incarnato L., 2021, Development of PLA / PHB Blown Films with </w:t>
      </w:r>
      <w:r w:rsidRPr="00F47291">
        <w:rPr>
          <w:rFonts w:eastAsiaTheme="minorHAnsi"/>
        </w:rPr>
        <w:t>Improved Performance for Food Packaging Applications, Chemical Engineering Transactions, 87, 91-96</w:t>
      </w:r>
      <w:r>
        <w:rPr>
          <w:rFonts w:eastAsiaTheme="minorHAnsi"/>
        </w:rPr>
        <w:t>.</w:t>
      </w:r>
    </w:p>
    <w:p w14:paraId="0C531030" w14:textId="77777777" w:rsidR="00535DFC" w:rsidRPr="00645A3D" w:rsidRDefault="00535DFC" w:rsidP="009774C8">
      <w:pPr>
        <w:pStyle w:val="CETReferencetext"/>
        <w:rPr>
          <w:lang w:val="en-US"/>
        </w:rPr>
      </w:pPr>
      <w:r w:rsidRPr="00767145">
        <w:rPr>
          <w:lang w:val="en-US"/>
        </w:rPr>
        <w:t>Plavec</w:t>
      </w:r>
      <w:r>
        <w:rPr>
          <w:lang w:val="en-US"/>
        </w:rPr>
        <w:t xml:space="preserve"> R.</w:t>
      </w:r>
      <w:r w:rsidRPr="00767145">
        <w:rPr>
          <w:lang w:val="en-US"/>
        </w:rPr>
        <w:t>, Hlaváčiková</w:t>
      </w:r>
      <w:r>
        <w:rPr>
          <w:lang w:val="en-US"/>
        </w:rPr>
        <w:t xml:space="preserve"> S.</w:t>
      </w:r>
      <w:r w:rsidRPr="00767145">
        <w:rPr>
          <w:lang w:val="en-US"/>
        </w:rPr>
        <w:t>, Omaníková</w:t>
      </w:r>
      <w:r>
        <w:rPr>
          <w:lang w:val="en-US"/>
        </w:rPr>
        <w:t xml:space="preserve"> L.</w:t>
      </w:r>
      <w:r w:rsidRPr="00767145">
        <w:rPr>
          <w:lang w:val="en-US"/>
        </w:rPr>
        <w:t>, Feranc</w:t>
      </w:r>
      <w:r>
        <w:rPr>
          <w:lang w:val="en-US"/>
        </w:rPr>
        <w:t xml:space="preserve"> J.</w:t>
      </w:r>
      <w:r w:rsidRPr="00767145">
        <w:rPr>
          <w:lang w:val="en-US"/>
        </w:rPr>
        <w:t>, Vanovčanová</w:t>
      </w:r>
      <w:r>
        <w:rPr>
          <w:lang w:val="en-US"/>
        </w:rPr>
        <w:t xml:space="preserve"> Z.</w:t>
      </w:r>
      <w:r w:rsidRPr="00767145">
        <w:rPr>
          <w:lang w:val="en-US"/>
        </w:rPr>
        <w:t>, Tomanová</w:t>
      </w:r>
      <w:r>
        <w:rPr>
          <w:lang w:val="en-US"/>
        </w:rPr>
        <w:t xml:space="preserve"> K.</w:t>
      </w:r>
      <w:r w:rsidRPr="00767145">
        <w:rPr>
          <w:lang w:val="en-US"/>
        </w:rPr>
        <w:t>, Bočkaj</w:t>
      </w:r>
      <w:r>
        <w:rPr>
          <w:lang w:val="en-US"/>
        </w:rPr>
        <w:t xml:space="preserve"> J.</w:t>
      </w:r>
      <w:r w:rsidRPr="00767145">
        <w:rPr>
          <w:lang w:val="en-US"/>
        </w:rPr>
        <w:t>, Kruželák</w:t>
      </w:r>
      <w:r>
        <w:rPr>
          <w:lang w:val="en-US"/>
        </w:rPr>
        <w:t xml:space="preserve"> J.</w:t>
      </w:r>
      <w:r w:rsidRPr="00767145">
        <w:rPr>
          <w:lang w:val="en-US"/>
        </w:rPr>
        <w:t>, Medlenová</w:t>
      </w:r>
      <w:r>
        <w:rPr>
          <w:lang w:val="en-US"/>
        </w:rPr>
        <w:t xml:space="preserve"> E.</w:t>
      </w:r>
      <w:r w:rsidRPr="00767145">
        <w:rPr>
          <w:lang w:val="en-US"/>
        </w:rPr>
        <w:t>, Gálisová</w:t>
      </w:r>
      <w:r>
        <w:rPr>
          <w:lang w:val="en-US"/>
        </w:rPr>
        <w:t xml:space="preserve"> I.</w:t>
      </w:r>
      <w:r w:rsidRPr="00767145">
        <w:rPr>
          <w:lang w:val="en-US"/>
        </w:rPr>
        <w:t>, Danišová</w:t>
      </w:r>
      <w:r>
        <w:rPr>
          <w:lang w:val="en-US"/>
        </w:rPr>
        <w:t xml:space="preserve"> L.</w:t>
      </w:r>
      <w:r w:rsidRPr="00767145">
        <w:rPr>
          <w:lang w:val="en-US"/>
        </w:rPr>
        <w:t>, Přikryl</w:t>
      </w:r>
      <w:r>
        <w:rPr>
          <w:lang w:val="en-US"/>
        </w:rPr>
        <w:t xml:space="preserve"> R.</w:t>
      </w:r>
      <w:r w:rsidRPr="00767145">
        <w:rPr>
          <w:lang w:val="en-US"/>
        </w:rPr>
        <w:t>, Figalla</w:t>
      </w:r>
      <w:r>
        <w:rPr>
          <w:lang w:val="en-US"/>
        </w:rPr>
        <w:t xml:space="preserve"> S.</w:t>
      </w:r>
      <w:r w:rsidRPr="00767145">
        <w:rPr>
          <w:lang w:val="en-US"/>
        </w:rPr>
        <w:t>, Melčová</w:t>
      </w:r>
      <w:r>
        <w:rPr>
          <w:lang w:val="en-US"/>
        </w:rPr>
        <w:t xml:space="preserve"> V.</w:t>
      </w:r>
      <w:r w:rsidRPr="00767145">
        <w:rPr>
          <w:lang w:val="en-US"/>
        </w:rPr>
        <w:t>, Alexy</w:t>
      </w:r>
      <w:r>
        <w:rPr>
          <w:lang w:val="en-US"/>
        </w:rPr>
        <w:t xml:space="preserve"> P.</w:t>
      </w:r>
      <w:r w:rsidRPr="00767145">
        <w:rPr>
          <w:lang w:val="en-US"/>
        </w:rPr>
        <w:t>,</w:t>
      </w:r>
      <w:r>
        <w:rPr>
          <w:lang w:val="en-US"/>
        </w:rPr>
        <w:t xml:space="preserve">2020, </w:t>
      </w:r>
      <w:r w:rsidRPr="00767145">
        <w:rPr>
          <w:lang w:val="en-US"/>
        </w:rPr>
        <w:t>Recycling possibilities of bioplastics based on PLA/PHB blends,Polymer Testing,</w:t>
      </w:r>
      <w:r>
        <w:rPr>
          <w:lang w:val="en-US"/>
        </w:rPr>
        <w:t xml:space="preserve"> </w:t>
      </w:r>
      <w:r w:rsidRPr="00767145">
        <w:rPr>
          <w:lang w:val="en-US"/>
        </w:rPr>
        <w:t>92,106880</w:t>
      </w:r>
      <w:r>
        <w:rPr>
          <w:lang w:val="en-US"/>
        </w:rPr>
        <w:t>.</w:t>
      </w:r>
    </w:p>
    <w:p w14:paraId="69A0B25D" w14:textId="77777777" w:rsidR="00535DFC" w:rsidRPr="00111F50" w:rsidRDefault="00535DFC" w:rsidP="009774C8">
      <w:pPr>
        <w:pStyle w:val="CETReferencetext"/>
        <w:rPr>
          <w:lang w:val="en-US"/>
        </w:rPr>
      </w:pPr>
      <w:r w:rsidRPr="00111F50">
        <w:rPr>
          <w:lang w:val="en-US"/>
        </w:rPr>
        <w:t>Rhim</w:t>
      </w:r>
      <w:r>
        <w:rPr>
          <w:lang w:val="en-US"/>
        </w:rPr>
        <w:t xml:space="preserve"> J.W.</w:t>
      </w:r>
      <w:r w:rsidRPr="00111F50">
        <w:rPr>
          <w:lang w:val="en-US"/>
        </w:rPr>
        <w:t>, Park</w:t>
      </w:r>
      <w:r>
        <w:rPr>
          <w:lang w:val="en-US"/>
        </w:rPr>
        <w:t xml:space="preserve"> H.M.</w:t>
      </w:r>
      <w:r w:rsidRPr="00111F50">
        <w:rPr>
          <w:lang w:val="en-US"/>
        </w:rPr>
        <w:t>, Ha</w:t>
      </w:r>
      <w:r>
        <w:rPr>
          <w:lang w:val="en-US"/>
        </w:rPr>
        <w:t xml:space="preserve"> C.S.</w:t>
      </w:r>
      <w:r w:rsidRPr="00111F50">
        <w:rPr>
          <w:lang w:val="en-US"/>
        </w:rPr>
        <w:t>,</w:t>
      </w:r>
      <w:r>
        <w:rPr>
          <w:lang w:val="en-US"/>
        </w:rPr>
        <w:t xml:space="preserve"> </w:t>
      </w:r>
      <w:r w:rsidRPr="00111F50">
        <w:rPr>
          <w:lang w:val="en-US"/>
        </w:rPr>
        <w:t>2013</w:t>
      </w:r>
      <w:r>
        <w:rPr>
          <w:lang w:val="en-US"/>
        </w:rPr>
        <w:t xml:space="preserve">, </w:t>
      </w:r>
      <w:r w:rsidRPr="00111F50">
        <w:rPr>
          <w:lang w:val="en-US"/>
        </w:rPr>
        <w:t>Bio-nanocomposites for food packaging applications,</w:t>
      </w:r>
      <w:r>
        <w:rPr>
          <w:lang w:val="en-US"/>
        </w:rPr>
        <w:t xml:space="preserve"> </w:t>
      </w:r>
      <w:r w:rsidRPr="00111F50">
        <w:rPr>
          <w:lang w:val="en-US"/>
        </w:rPr>
        <w:t>Progress in Polymer Science,</w:t>
      </w:r>
      <w:r>
        <w:rPr>
          <w:lang w:val="en-US"/>
        </w:rPr>
        <w:t xml:space="preserve"> </w:t>
      </w:r>
      <w:r w:rsidRPr="00111F50">
        <w:rPr>
          <w:lang w:val="en-US"/>
        </w:rPr>
        <w:t>38,</w:t>
      </w:r>
      <w:r>
        <w:rPr>
          <w:lang w:val="en-US"/>
        </w:rPr>
        <w:t xml:space="preserve"> </w:t>
      </w:r>
      <w:r w:rsidRPr="00111F50">
        <w:rPr>
          <w:lang w:val="en-US"/>
        </w:rPr>
        <w:t>1629-1652</w:t>
      </w:r>
      <w:r>
        <w:rPr>
          <w:lang w:val="en-US"/>
        </w:rPr>
        <w:t>.</w:t>
      </w:r>
    </w:p>
    <w:p w14:paraId="54E78B13" w14:textId="77777777" w:rsidR="00535DFC" w:rsidRPr="00535DFC" w:rsidRDefault="00535DFC" w:rsidP="00535DFC">
      <w:pPr>
        <w:pStyle w:val="CETReferencetext"/>
      </w:pPr>
      <w:r>
        <w:t xml:space="preserve">Wang </w:t>
      </w:r>
      <w:r w:rsidRPr="00535DFC">
        <w:t xml:space="preserve">L.F., Rhim J.W., Hong S.I., 2016, Preparation of poly(lactide)/poly(butylene adipate-co-terephthalate) blend films using a solvent casting method and their food packaging application, LWT - Food Science and Technology, 68, 454-461. </w:t>
      </w:r>
    </w:p>
    <w:p w14:paraId="51CF4A51" w14:textId="02D872FC" w:rsidR="00535DFC" w:rsidRPr="00F47291" w:rsidRDefault="00535DFC" w:rsidP="00F47291">
      <w:pPr>
        <w:pStyle w:val="CETReferencetext"/>
      </w:pPr>
      <w:bookmarkStart w:id="3" w:name="_Ref95069024"/>
      <w:r w:rsidRPr="00F47291">
        <w:t>Wu F.</w:t>
      </w:r>
      <w:r w:rsidR="009D4741">
        <w:t>,</w:t>
      </w:r>
      <w:r w:rsidRPr="00F47291">
        <w:t xml:space="preserve"> Misra M.</w:t>
      </w:r>
      <w:r w:rsidR="009D4741">
        <w:t>,</w:t>
      </w:r>
      <w:r w:rsidRPr="00F47291">
        <w:t xml:space="preserve"> Mohanty A.K., 2021, Challenges and New Opportunities on Barrier Performance of Biodegradable Polymers for Sustainable Packaging</w:t>
      </w:r>
      <w:r>
        <w:t xml:space="preserve">, </w:t>
      </w:r>
      <w:r w:rsidRPr="00F47291">
        <w:t>Progress in Polymer Science, 117</w:t>
      </w:r>
      <w:r w:rsidR="009D4741">
        <w:t xml:space="preserve">, </w:t>
      </w:r>
      <w:r w:rsidR="009D4741" w:rsidRPr="009D4741">
        <w:t>101395</w:t>
      </w:r>
      <w:r w:rsidRPr="00F47291">
        <w:t>.</w:t>
      </w:r>
      <w:bookmarkEnd w:id="3"/>
    </w:p>
    <w:sectPr w:rsidR="00535DFC" w:rsidRPr="00F4729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F543" w14:textId="77777777" w:rsidR="00E241BB" w:rsidRDefault="00E241BB" w:rsidP="004F5E36">
      <w:r>
        <w:separator/>
      </w:r>
    </w:p>
  </w:endnote>
  <w:endnote w:type="continuationSeparator" w:id="0">
    <w:p w14:paraId="3C0498A4" w14:textId="77777777" w:rsidR="00E241BB" w:rsidRDefault="00E241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Rpx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7225" w14:textId="77777777" w:rsidR="00E241BB" w:rsidRDefault="00E241BB" w:rsidP="004F5E36">
      <w:r>
        <w:separator/>
      </w:r>
    </w:p>
  </w:footnote>
  <w:footnote w:type="continuationSeparator" w:id="0">
    <w:p w14:paraId="59914008" w14:textId="77777777" w:rsidR="00E241BB" w:rsidRDefault="00E241B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A687299"/>
    <w:multiLevelType w:val="hybridMultilevel"/>
    <w:tmpl w:val="3B269A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FB75F0"/>
    <w:multiLevelType w:val="hybridMultilevel"/>
    <w:tmpl w:val="7AFEF854"/>
    <w:lvl w:ilvl="0" w:tplc="CDCEE7DA">
      <w:start w:val="1"/>
      <w:numFmt w:val="decimal"/>
      <w:lvlText w:val="%1."/>
      <w:lvlJc w:val="left"/>
      <w:pPr>
        <w:ind w:left="80" w:hanging="360"/>
      </w:pPr>
    </w:lvl>
    <w:lvl w:ilvl="1" w:tplc="04100019" w:tentative="1">
      <w:start w:val="1"/>
      <w:numFmt w:val="lowerLetter"/>
      <w:lvlText w:val="%2."/>
      <w:lvlJc w:val="left"/>
      <w:pPr>
        <w:ind w:left="800" w:hanging="360"/>
      </w:pPr>
    </w:lvl>
    <w:lvl w:ilvl="2" w:tplc="0410001B" w:tentative="1">
      <w:start w:val="1"/>
      <w:numFmt w:val="lowerRoman"/>
      <w:lvlText w:val="%3."/>
      <w:lvlJc w:val="right"/>
      <w:pPr>
        <w:ind w:left="1520" w:hanging="180"/>
      </w:pPr>
    </w:lvl>
    <w:lvl w:ilvl="3" w:tplc="0410000F" w:tentative="1">
      <w:start w:val="1"/>
      <w:numFmt w:val="decimal"/>
      <w:lvlText w:val="%4."/>
      <w:lvlJc w:val="left"/>
      <w:pPr>
        <w:ind w:left="2240" w:hanging="360"/>
      </w:pPr>
    </w:lvl>
    <w:lvl w:ilvl="4" w:tplc="04100019" w:tentative="1">
      <w:start w:val="1"/>
      <w:numFmt w:val="lowerLetter"/>
      <w:lvlText w:val="%5."/>
      <w:lvlJc w:val="left"/>
      <w:pPr>
        <w:ind w:left="2960" w:hanging="360"/>
      </w:pPr>
    </w:lvl>
    <w:lvl w:ilvl="5" w:tplc="0410001B" w:tentative="1">
      <w:start w:val="1"/>
      <w:numFmt w:val="lowerRoman"/>
      <w:lvlText w:val="%6."/>
      <w:lvlJc w:val="right"/>
      <w:pPr>
        <w:ind w:left="3680" w:hanging="180"/>
      </w:pPr>
    </w:lvl>
    <w:lvl w:ilvl="6" w:tplc="0410000F" w:tentative="1">
      <w:start w:val="1"/>
      <w:numFmt w:val="decimal"/>
      <w:lvlText w:val="%7."/>
      <w:lvlJc w:val="left"/>
      <w:pPr>
        <w:ind w:left="4400" w:hanging="360"/>
      </w:pPr>
    </w:lvl>
    <w:lvl w:ilvl="7" w:tplc="04100019" w:tentative="1">
      <w:start w:val="1"/>
      <w:numFmt w:val="lowerLetter"/>
      <w:lvlText w:val="%8."/>
      <w:lvlJc w:val="left"/>
      <w:pPr>
        <w:ind w:left="5120" w:hanging="360"/>
      </w:pPr>
    </w:lvl>
    <w:lvl w:ilvl="8" w:tplc="0410001B" w:tentative="1">
      <w:start w:val="1"/>
      <w:numFmt w:val="lowerRoman"/>
      <w:lvlText w:val="%9."/>
      <w:lvlJc w:val="right"/>
      <w:pPr>
        <w:ind w:left="584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710" w:firstLine="0"/>
      </w:pPr>
      <w:rPr>
        <w:rFonts w:hint="default"/>
      </w:rPr>
    </w:lvl>
    <w:lvl w:ilvl="2">
      <w:start w:val="1"/>
      <w:numFmt w:val="decimal"/>
      <w:pStyle w:val="CETheadingx"/>
      <w:suff w:val="space"/>
      <w:lvlText w:val="%2.%3"/>
      <w:lvlJc w:val="left"/>
      <w:pPr>
        <w:ind w:left="71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4E368C"/>
    <w:multiLevelType w:val="multilevel"/>
    <w:tmpl w:val="D3FCEE3C"/>
    <w:lvl w:ilvl="0">
      <w:start w:val="1"/>
      <w:numFmt w:val="decimal"/>
      <w:lvlText w:val="%1"/>
      <w:lvlJc w:val="left"/>
      <w:pPr>
        <w:ind w:left="432" w:hanging="432"/>
      </w:pPr>
    </w:lvl>
    <w:lvl w:ilvl="1">
      <w:start w:val="1"/>
      <w:numFmt w:val="decimal"/>
      <w:lvlText w:val="%1.%2"/>
      <w:lvlJc w:val="left"/>
      <w:pPr>
        <w:ind w:left="1007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7802C0"/>
    <w:multiLevelType w:val="hybridMultilevel"/>
    <w:tmpl w:val="74AECC0E"/>
    <w:lvl w:ilvl="0" w:tplc="F4EA3E4A">
      <w:start w:val="9"/>
      <w:numFmt w:val="decimal"/>
      <w:lvlText w:val="[%1]"/>
      <w:lvlJc w:val="left"/>
      <w:pPr>
        <w:ind w:left="133" w:hanging="341"/>
      </w:pPr>
      <w:rPr>
        <w:rFonts w:ascii="Times New Roman" w:eastAsia="Times New Roman" w:hAnsi="Times New Roman" w:cs="Times New Roman" w:hint="default"/>
        <w:b/>
        <w:bCs/>
        <w:spacing w:val="-2"/>
        <w:w w:val="100"/>
        <w:sz w:val="22"/>
        <w:szCs w:val="22"/>
        <w:lang w:val="it-IT" w:eastAsia="en-US" w:bidi="ar-SA"/>
      </w:rPr>
    </w:lvl>
    <w:lvl w:ilvl="1" w:tplc="FCCE1406">
      <w:numFmt w:val="bullet"/>
      <w:lvlText w:val="•"/>
      <w:lvlJc w:val="left"/>
      <w:pPr>
        <w:ind w:left="1114" w:hanging="341"/>
      </w:pPr>
      <w:rPr>
        <w:rFonts w:hint="default"/>
        <w:lang w:val="it-IT" w:eastAsia="en-US" w:bidi="ar-SA"/>
      </w:rPr>
    </w:lvl>
    <w:lvl w:ilvl="2" w:tplc="9B6C15D8">
      <w:numFmt w:val="bullet"/>
      <w:lvlText w:val="•"/>
      <w:lvlJc w:val="left"/>
      <w:pPr>
        <w:ind w:left="2088" w:hanging="341"/>
      </w:pPr>
      <w:rPr>
        <w:rFonts w:hint="default"/>
        <w:lang w:val="it-IT" w:eastAsia="en-US" w:bidi="ar-SA"/>
      </w:rPr>
    </w:lvl>
    <w:lvl w:ilvl="3" w:tplc="3FEA458A">
      <w:numFmt w:val="bullet"/>
      <w:lvlText w:val="•"/>
      <w:lvlJc w:val="left"/>
      <w:pPr>
        <w:ind w:left="3063" w:hanging="341"/>
      </w:pPr>
      <w:rPr>
        <w:rFonts w:hint="default"/>
        <w:lang w:val="it-IT" w:eastAsia="en-US" w:bidi="ar-SA"/>
      </w:rPr>
    </w:lvl>
    <w:lvl w:ilvl="4" w:tplc="4418BBEA">
      <w:numFmt w:val="bullet"/>
      <w:lvlText w:val="•"/>
      <w:lvlJc w:val="left"/>
      <w:pPr>
        <w:ind w:left="4037" w:hanging="341"/>
      </w:pPr>
      <w:rPr>
        <w:rFonts w:hint="default"/>
        <w:lang w:val="it-IT" w:eastAsia="en-US" w:bidi="ar-SA"/>
      </w:rPr>
    </w:lvl>
    <w:lvl w:ilvl="5" w:tplc="8CEEF31A">
      <w:numFmt w:val="bullet"/>
      <w:lvlText w:val="•"/>
      <w:lvlJc w:val="left"/>
      <w:pPr>
        <w:ind w:left="5012" w:hanging="341"/>
      </w:pPr>
      <w:rPr>
        <w:rFonts w:hint="default"/>
        <w:lang w:val="it-IT" w:eastAsia="en-US" w:bidi="ar-SA"/>
      </w:rPr>
    </w:lvl>
    <w:lvl w:ilvl="6" w:tplc="BAC466FA">
      <w:numFmt w:val="bullet"/>
      <w:lvlText w:val="•"/>
      <w:lvlJc w:val="left"/>
      <w:pPr>
        <w:ind w:left="5986" w:hanging="341"/>
      </w:pPr>
      <w:rPr>
        <w:rFonts w:hint="default"/>
        <w:lang w:val="it-IT" w:eastAsia="en-US" w:bidi="ar-SA"/>
      </w:rPr>
    </w:lvl>
    <w:lvl w:ilvl="7" w:tplc="F3D01986">
      <w:numFmt w:val="bullet"/>
      <w:lvlText w:val="•"/>
      <w:lvlJc w:val="left"/>
      <w:pPr>
        <w:ind w:left="6960" w:hanging="341"/>
      </w:pPr>
      <w:rPr>
        <w:rFonts w:hint="default"/>
        <w:lang w:val="it-IT" w:eastAsia="en-US" w:bidi="ar-SA"/>
      </w:rPr>
    </w:lvl>
    <w:lvl w:ilvl="8" w:tplc="AC942576">
      <w:numFmt w:val="bullet"/>
      <w:lvlText w:val="•"/>
      <w:lvlJc w:val="left"/>
      <w:pPr>
        <w:ind w:left="7935" w:hanging="341"/>
      </w:pPr>
      <w:rPr>
        <w:rFonts w:hint="default"/>
        <w:lang w:val="it-IT" w:eastAsia="en-US" w:bidi="ar-SA"/>
      </w:rPr>
    </w:lvl>
  </w:abstractNum>
  <w:num w:numId="1" w16cid:durableId="573930987">
    <w:abstractNumId w:val="12"/>
  </w:num>
  <w:num w:numId="2" w16cid:durableId="76559405">
    <w:abstractNumId w:val="8"/>
  </w:num>
  <w:num w:numId="3" w16cid:durableId="1887788855">
    <w:abstractNumId w:val="3"/>
  </w:num>
  <w:num w:numId="4" w16cid:durableId="895551350">
    <w:abstractNumId w:val="2"/>
  </w:num>
  <w:num w:numId="5" w16cid:durableId="2055617457">
    <w:abstractNumId w:val="1"/>
  </w:num>
  <w:num w:numId="6" w16cid:durableId="1611399978">
    <w:abstractNumId w:val="0"/>
  </w:num>
  <w:num w:numId="7" w16cid:durableId="2106268741">
    <w:abstractNumId w:val="9"/>
  </w:num>
  <w:num w:numId="8" w16cid:durableId="812141135">
    <w:abstractNumId w:val="7"/>
  </w:num>
  <w:num w:numId="9" w16cid:durableId="486359973">
    <w:abstractNumId w:val="6"/>
  </w:num>
  <w:num w:numId="10" w16cid:durableId="408892773">
    <w:abstractNumId w:val="5"/>
  </w:num>
  <w:num w:numId="11" w16cid:durableId="1257638084">
    <w:abstractNumId w:val="4"/>
  </w:num>
  <w:num w:numId="12" w16cid:durableId="463281348">
    <w:abstractNumId w:val="19"/>
  </w:num>
  <w:num w:numId="13" w16cid:durableId="1075393923">
    <w:abstractNumId w:val="14"/>
  </w:num>
  <w:num w:numId="14" w16cid:durableId="1813058323">
    <w:abstractNumId w:val="21"/>
  </w:num>
  <w:num w:numId="15" w16cid:durableId="2045713318">
    <w:abstractNumId w:val="23"/>
  </w:num>
  <w:num w:numId="16" w16cid:durableId="1554343409">
    <w:abstractNumId w:val="22"/>
  </w:num>
  <w:num w:numId="17" w16cid:durableId="1683388910">
    <w:abstractNumId w:val="13"/>
  </w:num>
  <w:num w:numId="18" w16cid:durableId="406155510">
    <w:abstractNumId w:val="14"/>
    <w:lvlOverride w:ilvl="0">
      <w:startOverride w:val="1"/>
    </w:lvlOverride>
  </w:num>
  <w:num w:numId="19" w16cid:durableId="1884781497">
    <w:abstractNumId w:val="18"/>
  </w:num>
  <w:num w:numId="20" w16cid:durableId="1216284122">
    <w:abstractNumId w:val="17"/>
  </w:num>
  <w:num w:numId="21" w16cid:durableId="1489903893">
    <w:abstractNumId w:val="16"/>
  </w:num>
  <w:num w:numId="22" w16cid:durableId="208223157">
    <w:abstractNumId w:val="15"/>
  </w:num>
  <w:num w:numId="23" w16cid:durableId="1992950773">
    <w:abstractNumId w:val="24"/>
  </w:num>
  <w:num w:numId="24" w16cid:durableId="1579096819">
    <w:abstractNumId w:val="20"/>
  </w:num>
  <w:num w:numId="25" w16cid:durableId="1227761095">
    <w:abstractNumId w:val="11"/>
  </w:num>
  <w:num w:numId="26" w16cid:durableId="1125735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CCA"/>
    <w:rsid w:val="0002418A"/>
    <w:rsid w:val="0002634C"/>
    <w:rsid w:val="00026E5D"/>
    <w:rsid w:val="00030826"/>
    <w:rsid w:val="0003148D"/>
    <w:rsid w:val="00031EEC"/>
    <w:rsid w:val="0003789A"/>
    <w:rsid w:val="00042E63"/>
    <w:rsid w:val="000462C9"/>
    <w:rsid w:val="00047492"/>
    <w:rsid w:val="00051566"/>
    <w:rsid w:val="00053253"/>
    <w:rsid w:val="000562A9"/>
    <w:rsid w:val="00057E36"/>
    <w:rsid w:val="0006000D"/>
    <w:rsid w:val="0006238F"/>
    <w:rsid w:val="00062A9A"/>
    <w:rsid w:val="000631FC"/>
    <w:rsid w:val="00065058"/>
    <w:rsid w:val="000661DD"/>
    <w:rsid w:val="00072D8E"/>
    <w:rsid w:val="0007333C"/>
    <w:rsid w:val="00076F83"/>
    <w:rsid w:val="00081602"/>
    <w:rsid w:val="00086C39"/>
    <w:rsid w:val="000A03B2"/>
    <w:rsid w:val="000A0899"/>
    <w:rsid w:val="000B6EDE"/>
    <w:rsid w:val="000C038C"/>
    <w:rsid w:val="000C45F0"/>
    <w:rsid w:val="000D0268"/>
    <w:rsid w:val="000D0D03"/>
    <w:rsid w:val="000D34BE"/>
    <w:rsid w:val="000D3920"/>
    <w:rsid w:val="000D656D"/>
    <w:rsid w:val="000E0E37"/>
    <w:rsid w:val="000E102F"/>
    <w:rsid w:val="000E36F1"/>
    <w:rsid w:val="000E3A73"/>
    <w:rsid w:val="000E414A"/>
    <w:rsid w:val="000E45B1"/>
    <w:rsid w:val="000E625D"/>
    <w:rsid w:val="000F093C"/>
    <w:rsid w:val="000F708E"/>
    <w:rsid w:val="000F787B"/>
    <w:rsid w:val="001000DE"/>
    <w:rsid w:val="00100563"/>
    <w:rsid w:val="00100D65"/>
    <w:rsid w:val="001060B3"/>
    <w:rsid w:val="00107DF2"/>
    <w:rsid w:val="00110693"/>
    <w:rsid w:val="001114F2"/>
    <w:rsid w:val="001119F2"/>
    <w:rsid w:val="00111F50"/>
    <w:rsid w:val="001121AD"/>
    <w:rsid w:val="00114119"/>
    <w:rsid w:val="00115F56"/>
    <w:rsid w:val="0012091F"/>
    <w:rsid w:val="001214D5"/>
    <w:rsid w:val="0012262D"/>
    <w:rsid w:val="00125010"/>
    <w:rsid w:val="00126269"/>
    <w:rsid w:val="00126BC2"/>
    <w:rsid w:val="001308B6"/>
    <w:rsid w:val="0013121F"/>
    <w:rsid w:val="00131FE6"/>
    <w:rsid w:val="0013263F"/>
    <w:rsid w:val="001331DF"/>
    <w:rsid w:val="00134DE4"/>
    <w:rsid w:val="0014034D"/>
    <w:rsid w:val="00140C99"/>
    <w:rsid w:val="00142F09"/>
    <w:rsid w:val="00144D16"/>
    <w:rsid w:val="001470D9"/>
    <w:rsid w:val="00150E59"/>
    <w:rsid w:val="00152DE3"/>
    <w:rsid w:val="00155615"/>
    <w:rsid w:val="00164CF9"/>
    <w:rsid w:val="001652C5"/>
    <w:rsid w:val="001667A6"/>
    <w:rsid w:val="001738E8"/>
    <w:rsid w:val="0017614A"/>
    <w:rsid w:val="00183D37"/>
    <w:rsid w:val="00184AD6"/>
    <w:rsid w:val="00193ECA"/>
    <w:rsid w:val="0019519A"/>
    <w:rsid w:val="001A323D"/>
    <w:rsid w:val="001A4AF7"/>
    <w:rsid w:val="001B0349"/>
    <w:rsid w:val="001B1E93"/>
    <w:rsid w:val="001B65C1"/>
    <w:rsid w:val="001B6D66"/>
    <w:rsid w:val="001C22EC"/>
    <w:rsid w:val="001C684B"/>
    <w:rsid w:val="001C7A7D"/>
    <w:rsid w:val="001D0CFB"/>
    <w:rsid w:val="001D21AF"/>
    <w:rsid w:val="001D2306"/>
    <w:rsid w:val="001D41A9"/>
    <w:rsid w:val="001D4E1E"/>
    <w:rsid w:val="001D53FC"/>
    <w:rsid w:val="001E4F0F"/>
    <w:rsid w:val="001E5547"/>
    <w:rsid w:val="001E7EA0"/>
    <w:rsid w:val="001F2658"/>
    <w:rsid w:val="001F42A5"/>
    <w:rsid w:val="001F7B9D"/>
    <w:rsid w:val="00201C93"/>
    <w:rsid w:val="00201DD4"/>
    <w:rsid w:val="00205A15"/>
    <w:rsid w:val="00213A20"/>
    <w:rsid w:val="00214FFB"/>
    <w:rsid w:val="002224B4"/>
    <w:rsid w:val="002230D4"/>
    <w:rsid w:val="0023063E"/>
    <w:rsid w:val="00243812"/>
    <w:rsid w:val="002447EF"/>
    <w:rsid w:val="00244F59"/>
    <w:rsid w:val="00245DC8"/>
    <w:rsid w:val="002500A3"/>
    <w:rsid w:val="00251021"/>
    <w:rsid w:val="00251550"/>
    <w:rsid w:val="002521C1"/>
    <w:rsid w:val="00260096"/>
    <w:rsid w:val="00263B05"/>
    <w:rsid w:val="0026763B"/>
    <w:rsid w:val="002721EC"/>
    <w:rsid w:val="0027221A"/>
    <w:rsid w:val="00275451"/>
    <w:rsid w:val="00275B61"/>
    <w:rsid w:val="00275CD3"/>
    <w:rsid w:val="00276BF3"/>
    <w:rsid w:val="00280FAF"/>
    <w:rsid w:val="00282656"/>
    <w:rsid w:val="00284CFA"/>
    <w:rsid w:val="00292EC6"/>
    <w:rsid w:val="00296B83"/>
    <w:rsid w:val="002A7CA2"/>
    <w:rsid w:val="002B2FBE"/>
    <w:rsid w:val="002B4015"/>
    <w:rsid w:val="002B5A5F"/>
    <w:rsid w:val="002B78CE"/>
    <w:rsid w:val="002C2FB6"/>
    <w:rsid w:val="002E5FA7"/>
    <w:rsid w:val="002F0178"/>
    <w:rsid w:val="002F0DF3"/>
    <w:rsid w:val="002F3309"/>
    <w:rsid w:val="002F3FC6"/>
    <w:rsid w:val="002F6512"/>
    <w:rsid w:val="002F7067"/>
    <w:rsid w:val="003008CE"/>
    <w:rsid w:val="003009B7"/>
    <w:rsid w:val="00300E56"/>
    <w:rsid w:val="0030152C"/>
    <w:rsid w:val="00303325"/>
    <w:rsid w:val="0030469C"/>
    <w:rsid w:val="00304EA5"/>
    <w:rsid w:val="003128E5"/>
    <w:rsid w:val="00317F0E"/>
    <w:rsid w:val="0032095C"/>
    <w:rsid w:val="00321076"/>
    <w:rsid w:val="00321CA6"/>
    <w:rsid w:val="00322C5C"/>
    <w:rsid w:val="00323076"/>
    <w:rsid w:val="00323462"/>
    <w:rsid w:val="00323763"/>
    <w:rsid w:val="00323C5F"/>
    <w:rsid w:val="003259A2"/>
    <w:rsid w:val="00331525"/>
    <w:rsid w:val="0033412D"/>
    <w:rsid w:val="00334C09"/>
    <w:rsid w:val="00336016"/>
    <w:rsid w:val="003379DE"/>
    <w:rsid w:val="00342811"/>
    <w:rsid w:val="003467A6"/>
    <w:rsid w:val="00367B18"/>
    <w:rsid w:val="003723D4"/>
    <w:rsid w:val="00373541"/>
    <w:rsid w:val="00377ED5"/>
    <w:rsid w:val="0038103F"/>
    <w:rsid w:val="00381905"/>
    <w:rsid w:val="00382AC3"/>
    <w:rsid w:val="00384C85"/>
    <w:rsid w:val="00384CC8"/>
    <w:rsid w:val="003871FD"/>
    <w:rsid w:val="00392F0C"/>
    <w:rsid w:val="00396EF2"/>
    <w:rsid w:val="003A1E30"/>
    <w:rsid w:val="003A2829"/>
    <w:rsid w:val="003A4DC3"/>
    <w:rsid w:val="003A5640"/>
    <w:rsid w:val="003A6FC6"/>
    <w:rsid w:val="003A7D1C"/>
    <w:rsid w:val="003B304B"/>
    <w:rsid w:val="003B3146"/>
    <w:rsid w:val="003D0786"/>
    <w:rsid w:val="003D5B37"/>
    <w:rsid w:val="003D5CE1"/>
    <w:rsid w:val="003D6E18"/>
    <w:rsid w:val="003D73BD"/>
    <w:rsid w:val="003E4A47"/>
    <w:rsid w:val="003F015E"/>
    <w:rsid w:val="00400414"/>
    <w:rsid w:val="00406E81"/>
    <w:rsid w:val="0041446B"/>
    <w:rsid w:val="00416180"/>
    <w:rsid w:val="004178E4"/>
    <w:rsid w:val="00421183"/>
    <w:rsid w:val="00422898"/>
    <w:rsid w:val="0042369C"/>
    <w:rsid w:val="00423966"/>
    <w:rsid w:val="004256AD"/>
    <w:rsid w:val="004315C3"/>
    <w:rsid w:val="004404D0"/>
    <w:rsid w:val="0044071E"/>
    <w:rsid w:val="0044329C"/>
    <w:rsid w:val="00445FC4"/>
    <w:rsid w:val="004500E5"/>
    <w:rsid w:val="004504FF"/>
    <w:rsid w:val="00453E24"/>
    <w:rsid w:val="00457456"/>
    <w:rsid w:val="004577FE"/>
    <w:rsid w:val="00457B9C"/>
    <w:rsid w:val="0046164A"/>
    <w:rsid w:val="00461873"/>
    <w:rsid w:val="0046253E"/>
    <w:rsid w:val="004628D2"/>
    <w:rsid w:val="00462DCD"/>
    <w:rsid w:val="004648AD"/>
    <w:rsid w:val="00464FFE"/>
    <w:rsid w:val="004703A9"/>
    <w:rsid w:val="00473D61"/>
    <w:rsid w:val="004760DE"/>
    <w:rsid w:val="004763D7"/>
    <w:rsid w:val="00481C31"/>
    <w:rsid w:val="00485315"/>
    <w:rsid w:val="00487562"/>
    <w:rsid w:val="00492A66"/>
    <w:rsid w:val="0049623D"/>
    <w:rsid w:val="00496936"/>
    <w:rsid w:val="00496F85"/>
    <w:rsid w:val="004A004E"/>
    <w:rsid w:val="004A24CF"/>
    <w:rsid w:val="004A6793"/>
    <w:rsid w:val="004A7AFC"/>
    <w:rsid w:val="004B0EDB"/>
    <w:rsid w:val="004B1F34"/>
    <w:rsid w:val="004B3E3D"/>
    <w:rsid w:val="004B4346"/>
    <w:rsid w:val="004C21A5"/>
    <w:rsid w:val="004C38A2"/>
    <w:rsid w:val="004C3D1D"/>
    <w:rsid w:val="004C3D84"/>
    <w:rsid w:val="004C60EF"/>
    <w:rsid w:val="004C7913"/>
    <w:rsid w:val="004D4140"/>
    <w:rsid w:val="004D7782"/>
    <w:rsid w:val="004E4DD6"/>
    <w:rsid w:val="004E6A1B"/>
    <w:rsid w:val="004F5D1D"/>
    <w:rsid w:val="004F5E36"/>
    <w:rsid w:val="00504467"/>
    <w:rsid w:val="005062E3"/>
    <w:rsid w:val="00507B47"/>
    <w:rsid w:val="00507BEF"/>
    <w:rsid w:val="00507CC9"/>
    <w:rsid w:val="005107B2"/>
    <w:rsid w:val="005119A5"/>
    <w:rsid w:val="00516AAC"/>
    <w:rsid w:val="00523B30"/>
    <w:rsid w:val="00523E95"/>
    <w:rsid w:val="00524609"/>
    <w:rsid w:val="005278B7"/>
    <w:rsid w:val="0053079A"/>
    <w:rsid w:val="00532016"/>
    <w:rsid w:val="005346C8"/>
    <w:rsid w:val="00535DFC"/>
    <w:rsid w:val="00543E7D"/>
    <w:rsid w:val="005446DE"/>
    <w:rsid w:val="00546758"/>
    <w:rsid w:val="00546BDA"/>
    <w:rsid w:val="00547A68"/>
    <w:rsid w:val="005503A1"/>
    <w:rsid w:val="005527EE"/>
    <w:rsid w:val="005531C9"/>
    <w:rsid w:val="00556036"/>
    <w:rsid w:val="00570C43"/>
    <w:rsid w:val="00571449"/>
    <w:rsid w:val="00572A62"/>
    <w:rsid w:val="005874DD"/>
    <w:rsid w:val="00593F50"/>
    <w:rsid w:val="0059696D"/>
    <w:rsid w:val="005A2F31"/>
    <w:rsid w:val="005B0F17"/>
    <w:rsid w:val="005B2110"/>
    <w:rsid w:val="005B528D"/>
    <w:rsid w:val="005B61E6"/>
    <w:rsid w:val="005C220A"/>
    <w:rsid w:val="005C300F"/>
    <w:rsid w:val="005C77E1"/>
    <w:rsid w:val="005D668A"/>
    <w:rsid w:val="005D66A0"/>
    <w:rsid w:val="005D6A2F"/>
    <w:rsid w:val="005E1A82"/>
    <w:rsid w:val="005E3F67"/>
    <w:rsid w:val="005E4F56"/>
    <w:rsid w:val="005E794C"/>
    <w:rsid w:val="005F0239"/>
    <w:rsid w:val="005F0A28"/>
    <w:rsid w:val="005F0E5E"/>
    <w:rsid w:val="005F1FC1"/>
    <w:rsid w:val="005F42C5"/>
    <w:rsid w:val="00600535"/>
    <w:rsid w:val="006041B2"/>
    <w:rsid w:val="00610CD6"/>
    <w:rsid w:val="0061505C"/>
    <w:rsid w:val="00620DEE"/>
    <w:rsid w:val="00621F92"/>
    <w:rsid w:val="00622334"/>
    <w:rsid w:val="0062280A"/>
    <w:rsid w:val="00623B08"/>
    <w:rsid w:val="00625639"/>
    <w:rsid w:val="00627F13"/>
    <w:rsid w:val="00630300"/>
    <w:rsid w:val="00631B33"/>
    <w:rsid w:val="00633B38"/>
    <w:rsid w:val="006350F2"/>
    <w:rsid w:val="0064184D"/>
    <w:rsid w:val="00641FC7"/>
    <w:rsid w:val="006422CC"/>
    <w:rsid w:val="0064550B"/>
    <w:rsid w:val="00645A3D"/>
    <w:rsid w:val="0064690A"/>
    <w:rsid w:val="00647E6C"/>
    <w:rsid w:val="0065200A"/>
    <w:rsid w:val="00652D61"/>
    <w:rsid w:val="00660E3E"/>
    <w:rsid w:val="00660FD5"/>
    <w:rsid w:val="00661EEB"/>
    <w:rsid w:val="00662E74"/>
    <w:rsid w:val="00664DB0"/>
    <w:rsid w:val="00665FB7"/>
    <w:rsid w:val="00677E20"/>
    <w:rsid w:val="00680C23"/>
    <w:rsid w:val="00693766"/>
    <w:rsid w:val="006940E3"/>
    <w:rsid w:val="006973A7"/>
    <w:rsid w:val="006A080F"/>
    <w:rsid w:val="006A2FF2"/>
    <w:rsid w:val="006A3281"/>
    <w:rsid w:val="006A3902"/>
    <w:rsid w:val="006A6946"/>
    <w:rsid w:val="006B1E71"/>
    <w:rsid w:val="006B2026"/>
    <w:rsid w:val="006B4888"/>
    <w:rsid w:val="006C0351"/>
    <w:rsid w:val="006C2E45"/>
    <w:rsid w:val="006C359C"/>
    <w:rsid w:val="006C5579"/>
    <w:rsid w:val="006D065A"/>
    <w:rsid w:val="006D1232"/>
    <w:rsid w:val="006D6E8B"/>
    <w:rsid w:val="006E3255"/>
    <w:rsid w:val="006E3E6D"/>
    <w:rsid w:val="006E737D"/>
    <w:rsid w:val="0070180C"/>
    <w:rsid w:val="00702111"/>
    <w:rsid w:val="0070305E"/>
    <w:rsid w:val="007075AE"/>
    <w:rsid w:val="00713973"/>
    <w:rsid w:val="00717285"/>
    <w:rsid w:val="00720A24"/>
    <w:rsid w:val="00722808"/>
    <w:rsid w:val="00724748"/>
    <w:rsid w:val="00725FC1"/>
    <w:rsid w:val="00727EC7"/>
    <w:rsid w:val="00730CED"/>
    <w:rsid w:val="00732386"/>
    <w:rsid w:val="007337BE"/>
    <w:rsid w:val="00734CD1"/>
    <w:rsid w:val="0073514D"/>
    <w:rsid w:val="007447F3"/>
    <w:rsid w:val="0074480E"/>
    <w:rsid w:val="00744DFF"/>
    <w:rsid w:val="007505F1"/>
    <w:rsid w:val="00753330"/>
    <w:rsid w:val="0075499F"/>
    <w:rsid w:val="00760058"/>
    <w:rsid w:val="00760A6F"/>
    <w:rsid w:val="0076257D"/>
    <w:rsid w:val="007661C8"/>
    <w:rsid w:val="00766357"/>
    <w:rsid w:val="00767145"/>
    <w:rsid w:val="0077098D"/>
    <w:rsid w:val="00772521"/>
    <w:rsid w:val="00783773"/>
    <w:rsid w:val="00783C27"/>
    <w:rsid w:val="00791110"/>
    <w:rsid w:val="007931FA"/>
    <w:rsid w:val="007A4861"/>
    <w:rsid w:val="007A7BBA"/>
    <w:rsid w:val="007B0C50"/>
    <w:rsid w:val="007B11D2"/>
    <w:rsid w:val="007B2F98"/>
    <w:rsid w:val="007B48F9"/>
    <w:rsid w:val="007C120C"/>
    <w:rsid w:val="007C1A43"/>
    <w:rsid w:val="007D0951"/>
    <w:rsid w:val="007D408D"/>
    <w:rsid w:val="007D577B"/>
    <w:rsid w:val="007D7CF6"/>
    <w:rsid w:val="007E0A03"/>
    <w:rsid w:val="007E14C9"/>
    <w:rsid w:val="007E1839"/>
    <w:rsid w:val="007E205F"/>
    <w:rsid w:val="007E2B83"/>
    <w:rsid w:val="007E4844"/>
    <w:rsid w:val="007F5EF2"/>
    <w:rsid w:val="0080013E"/>
    <w:rsid w:val="008011AB"/>
    <w:rsid w:val="00802C9D"/>
    <w:rsid w:val="00805BAC"/>
    <w:rsid w:val="00813288"/>
    <w:rsid w:val="008154A8"/>
    <w:rsid w:val="008168FC"/>
    <w:rsid w:val="00817B34"/>
    <w:rsid w:val="0082245D"/>
    <w:rsid w:val="00823DAC"/>
    <w:rsid w:val="00827B16"/>
    <w:rsid w:val="00830996"/>
    <w:rsid w:val="008345F1"/>
    <w:rsid w:val="00836615"/>
    <w:rsid w:val="008531F0"/>
    <w:rsid w:val="008616B6"/>
    <w:rsid w:val="00865B07"/>
    <w:rsid w:val="008667EA"/>
    <w:rsid w:val="00866C6D"/>
    <w:rsid w:val="00866D06"/>
    <w:rsid w:val="00870019"/>
    <w:rsid w:val="008702ED"/>
    <w:rsid w:val="00872AC1"/>
    <w:rsid w:val="00875C06"/>
    <w:rsid w:val="0087637F"/>
    <w:rsid w:val="00880105"/>
    <w:rsid w:val="00882445"/>
    <w:rsid w:val="008840CB"/>
    <w:rsid w:val="00892AD5"/>
    <w:rsid w:val="00892FAE"/>
    <w:rsid w:val="00893B78"/>
    <w:rsid w:val="00896B4C"/>
    <w:rsid w:val="008A08EA"/>
    <w:rsid w:val="008A1512"/>
    <w:rsid w:val="008A2AF4"/>
    <w:rsid w:val="008A624D"/>
    <w:rsid w:val="008B03CD"/>
    <w:rsid w:val="008B0C5E"/>
    <w:rsid w:val="008B1574"/>
    <w:rsid w:val="008B445D"/>
    <w:rsid w:val="008B7C03"/>
    <w:rsid w:val="008C71F3"/>
    <w:rsid w:val="008C7B68"/>
    <w:rsid w:val="008D15D0"/>
    <w:rsid w:val="008D32B9"/>
    <w:rsid w:val="008D3678"/>
    <w:rsid w:val="008D433B"/>
    <w:rsid w:val="008D44C0"/>
    <w:rsid w:val="008D4A16"/>
    <w:rsid w:val="008D6093"/>
    <w:rsid w:val="008D6353"/>
    <w:rsid w:val="008E1350"/>
    <w:rsid w:val="008E38E8"/>
    <w:rsid w:val="008E566E"/>
    <w:rsid w:val="008F61D7"/>
    <w:rsid w:val="0090161A"/>
    <w:rsid w:val="00901EB6"/>
    <w:rsid w:val="00902755"/>
    <w:rsid w:val="00904C62"/>
    <w:rsid w:val="00913083"/>
    <w:rsid w:val="00916561"/>
    <w:rsid w:val="0092028C"/>
    <w:rsid w:val="009217CA"/>
    <w:rsid w:val="00922BA8"/>
    <w:rsid w:val="00924130"/>
    <w:rsid w:val="00924DAC"/>
    <w:rsid w:val="00927058"/>
    <w:rsid w:val="009404C3"/>
    <w:rsid w:val="00942750"/>
    <w:rsid w:val="009450CE"/>
    <w:rsid w:val="009459BB"/>
    <w:rsid w:val="00946565"/>
    <w:rsid w:val="00947179"/>
    <w:rsid w:val="009472E4"/>
    <w:rsid w:val="0095164B"/>
    <w:rsid w:val="00954090"/>
    <w:rsid w:val="00956057"/>
    <w:rsid w:val="00956D40"/>
    <w:rsid w:val="009573E7"/>
    <w:rsid w:val="00961F2A"/>
    <w:rsid w:val="00963E05"/>
    <w:rsid w:val="00964A45"/>
    <w:rsid w:val="00966966"/>
    <w:rsid w:val="009673F0"/>
    <w:rsid w:val="00967843"/>
    <w:rsid w:val="00967D54"/>
    <w:rsid w:val="00971028"/>
    <w:rsid w:val="009733F6"/>
    <w:rsid w:val="0097437A"/>
    <w:rsid w:val="00975C2D"/>
    <w:rsid w:val="009774C8"/>
    <w:rsid w:val="009775C4"/>
    <w:rsid w:val="009817B6"/>
    <w:rsid w:val="009915F2"/>
    <w:rsid w:val="00993B84"/>
    <w:rsid w:val="00994419"/>
    <w:rsid w:val="00996483"/>
    <w:rsid w:val="00996F5A"/>
    <w:rsid w:val="009B041A"/>
    <w:rsid w:val="009B0F0D"/>
    <w:rsid w:val="009B414F"/>
    <w:rsid w:val="009B5058"/>
    <w:rsid w:val="009B52EA"/>
    <w:rsid w:val="009C098D"/>
    <w:rsid w:val="009C192C"/>
    <w:rsid w:val="009C2FC1"/>
    <w:rsid w:val="009C37C3"/>
    <w:rsid w:val="009C71F1"/>
    <w:rsid w:val="009C7C86"/>
    <w:rsid w:val="009D2FF7"/>
    <w:rsid w:val="009D32E4"/>
    <w:rsid w:val="009D4741"/>
    <w:rsid w:val="009D63CA"/>
    <w:rsid w:val="009E2585"/>
    <w:rsid w:val="009E6370"/>
    <w:rsid w:val="009E7884"/>
    <w:rsid w:val="009E788A"/>
    <w:rsid w:val="009F0E08"/>
    <w:rsid w:val="009F585B"/>
    <w:rsid w:val="00A00D21"/>
    <w:rsid w:val="00A058DE"/>
    <w:rsid w:val="00A06DE7"/>
    <w:rsid w:val="00A10BE3"/>
    <w:rsid w:val="00A131C4"/>
    <w:rsid w:val="00A1763D"/>
    <w:rsid w:val="00A17CEC"/>
    <w:rsid w:val="00A25CA4"/>
    <w:rsid w:val="00A26A04"/>
    <w:rsid w:val="00A27EF0"/>
    <w:rsid w:val="00A42361"/>
    <w:rsid w:val="00A50689"/>
    <w:rsid w:val="00A50B20"/>
    <w:rsid w:val="00A51390"/>
    <w:rsid w:val="00A60D13"/>
    <w:rsid w:val="00A667C9"/>
    <w:rsid w:val="00A66D3C"/>
    <w:rsid w:val="00A7223D"/>
    <w:rsid w:val="00A72745"/>
    <w:rsid w:val="00A73031"/>
    <w:rsid w:val="00A7306D"/>
    <w:rsid w:val="00A74117"/>
    <w:rsid w:val="00A76EFC"/>
    <w:rsid w:val="00A80A06"/>
    <w:rsid w:val="00A83542"/>
    <w:rsid w:val="00A875EB"/>
    <w:rsid w:val="00A87D50"/>
    <w:rsid w:val="00A9068C"/>
    <w:rsid w:val="00A91010"/>
    <w:rsid w:val="00A97608"/>
    <w:rsid w:val="00A97F29"/>
    <w:rsid w:val="00AA5D90"/>
    <w:rsid w:val="00AA702E"/>
    <w:rsid w:val="00AA7D26"/>
    <w:rsid w:val="00AB0964"/>
    <w:rsid w:val="00AB1092"/>
    <w:rsid w:val="00AB4FE8"/>
    <w:rsid w:val="00AB5011"/>
    <w:rsid w:val="00AC54DB"/>
    <w:rsid w:val="00AC7368"/>
    <w:rsid w:val="00AD16B9"/>
    <w:rsid w:val="00AD4539"/>
    <w:rsid w:val="00AE377D"/>
    <w:rsid w:val="00AF0EBA"/>
    <w:rsid w:val="00AF2422"/>
    <w:rsid w:val="00AF28EF"/>
    <w:rsid w:val="00AF33FF"/>
    <w:rsid w:val="00AF6931"/>
    <w:rsid w:val="00B020F9"/>
    <w:rsid w:val="00B02C8A"/>
    <w:rsid w:val="00B060C8"/>
    <w:rsid w:val="00B11789"/>
    <w:rsid w:val="00B14C9D"/>
    <w:rsid w:val="00B17FBD"/>
    <w:rsid w:val="00B306C0"/>
    <w:rsid w:val="00B30C9A"/>
    <w:rsid w:val="00B315A6"/>
    <w:rsid w:val="00B31813"/>
    <w:rsid w:val="00B33365"/>
    <w:rsid w:val="00B36967"/>
    <w:rsid w:val="00B43B29"/>
    <w:rsid w:val="00B44977"/>
    <w:rsid w:val="00B44FA6"/>
    <w:rsid w:val="00B55795"/>
    <w:rsid w:val="00B57B36"/>
    <w:rsid w:val="00B57E6F"/>
    <w:rsid w:val="00B57ED9"/>
    <w:rsid w:val="00B620DB"/>
    <w:rsid w:val="00B63DB9"/>
    <w:rsid w:val="00B66637"/>
    <w:rsid w:val="00B6708E"/>
    <w:rsid w:val="00B70579"/>
    <w:rsid w:val="00B7091D"/>
    <w:rsid w:val="00B75119"/>
    <w:rsid w:val="00B7536F"/>
    <w:rsid w:val="00B7637C"/>
    <w:rsid w:val="00B8686D"/>
    <w:rsid w:val="00B91EEE"/>
    <w:rsid w:val="00B93F69"/>
    <w:rsid w:val="00B96F91"/>
    <w:rsid w:val="00BA6E21"/>
    <w:rsid w:val="00BB1DDC"/>
    <w:rsid w:val="00BB4C3A"/>
    <w:rsid w:val="00BC2B7C"/>
    <w:rsid w:val="00BC30C9"/>
    <w:rsid w:val="00BC62C2"/>
    <w:rsid w:val="00BD077D"/>
    <w:rsid w:val="00BD0AFA"/>
    <w:rsid w:val="00BD0C9F"/>
    <w:rsid w:val="00BD1C8F"/>
    <w:rsid w:val="00BD636A"/>
    <w:rsid w:val="00BE2AB4"/>
    <w:rsid w:val="00BE3E58"/>
    <w:rsid w:val="00BE4075"/>
    <w:rsid w:val="00BE47C2"/>
    <w:rsid w:val="00C01616"/>
    <w:rsid w:val="00C0162B"/>
    <w:rsid w:val="00C068ED"/>
    <w:rsid w:val="00C06A09"/>
    <w:rsid w:val="00C207F6"/>
    <w:rsid w:val="00C21B56"/>
    <w:rsid w:val="00C21D1D"/>
    <w:rsid w:val="00C22E0C"/>
    <w:rsid w:val="00C33A92"/>
    <w:rsid w:val="00C345B1"/>
    <w:rsid w:val="00C40142"/>
    <w:rsid w:val="00C45D6F"/>
    <w:rsid w:val="00C52C3C"/>
    <w:rsid w:val="00C53401"/>
    <w:rsid w:val="00C57182"/>
    <w:rsid w:val="00C574DF"/>
    <w:rsid w:val="00C57863"/>
    <w:rsid w:val="00C63053"/>
    <w:rsid w:val="00C638C8"/>
    <w:rsid w:val="00C640AF"/>
    <w:rsid w:val="00C655FD"/>
    <w:rsid w:val="00C75407"/>
    <w:rsid w:val="00C83E45"/>
    <w:rsid w:val="00C870A8"/>
    <w:rsid w:val="00C919F0"/>
    <w:rsid w:val="00C94434"/>
    <w:rsid w:val="00CA0D4A"/>
    <w:rsid w:val="00CA0D75"/>
    <w:rsid w:val="00CA1C95"/>
    <w:rsid w:val="00CA20EE"/>
    <w:rsid w:val="00CA3532"/>
    <w:rsid w:val="00CA5A9C"/>
    <w:rsid w:val="00CB51FD"/>
    <w:rsid w:val="00CB7788"/>
    <w:rsid w:val="00CC347D"/>
    <w:rsid w:val="00CC4C20"/>
    <w:rsid w:val="00CC58DF"/>
    <w:rsid w:val="00CD09C9"/>
    <w:rsid w:val="00CD3517"/>
    <w:rsid w:val="00CD41DF"/>
    <w:rsid w:val="00CD4929"/>
    <w:rsid w:val="00CD5FE2"/>
    <w:rsid w:val="00CD6F00"/>
    <w:rsid w:val="00CD790B"/>
    <w:rsid w:val="00CE0390"/>
    <w:rsid w:val="00CE7C68"/>
    <w:rsid w:val="00CF09B5"/>
    <w:rsid w:val="00CF5881"/>
    <w:rsid w:val="00D005B3"/>
    <w:rsid w:val="00D02B4C"/>
    <w:rsid w:val="00D040C4"/>
    <w:rsid w:val="00D072DB"/>
    <w:rsid w:val="00D0775E"/>
    <w:rsid w:val="00D15A6E"/>
    <w:rsid w:val="00D1782C"/>
    <w:rsid w:val="00D20527"/>
    <w:rsid w:val="00D20AD1"/>
    <w:rsid w:val="00D2276A"/>
    <w:rsid w:val="00D46B7E"/>
    <w:rsid w:val="00D51229"/>
    <w:rsid w:val="00D51CD8"/>
    <w:rsid w:val="00D52F33"/>
    <w:rsid w:val="00D57C84"/>
    <w:rsid w:val="00D6057D"/>
    <w:rsid w:val="00D648EC"/>
    <w:rsid w:val="00D70D83"/>
    <w:rsid w:val="00D71640"/>
    <w:rsid w:val="00D80056"/>
    <w:rsid w:val="00D836C5"/>
    <w:rsid w:val="00D84576"/>
    <w:rsid w:val="00D850C6"/>
    <w:rsid w:val="00D8664C"/>
    <w:rsid w:val="00D90DFB"/>
    <w:rsid w:val="00D94804"/>
    <w:rsid w:val="00DA06CF"/>
    <w:rsid w:val="00DA1399"/>
    <w:rsid w:val="00DA24C6"/>
    <w:rsid w:val="00DA2A2A"/>
    <w:rsid w:val="00DA4D7B"/>
    <w:rsid w:val="00DA59C7"/>
    <w:rsid w:val="00DB037B"/>
    <w:rsid w:val="00DB26DB"/>
    <w:rsid w:val="00DC3E9F"/>
    <w:rsid w:val="00DD1607"/>
    <w:rsid w:val="00DD271C"/>
    <w:rsid w:val="00DD5AAD"/>
    <w:rsid w:val="00DD5FFA"/>
    <w:rsid w:val="00DE2554"/>
    <w:rsid w:val="00DE264A"/>
    <w:rsid w:val="00DE3E06"/>
    <w:rsid w:val="00DE3FA6"/>
    <w:rsid w:val="00DE417B"/>
    <w:rsid w:val="00DF5072"/>
    <w:rsid w:val="00DF50C4"/>
    <w:rsid w:val="00DF73A3"/>
    <w:rsid w:val="00E00B72"/>
    <w:rsid w:val="00E01B2C"/>
    <w:rsid w:val="00E01F04"/>
    <w:rsid w:val="00E02D18"/>
    <w:rsid w:val="00E041E7"/>
    <w:rsid w:val="00E05460"/>
    <w:rsid w:val="00E10474"/>
    <w:rsid w:val="00E1661C"/>
    <w:rsid w:val="00E20229"/>
    <w:rsid w:val="00E21761"/>
    <w:rsid w:val="00E226F0"/>
    <w:rsid w:val="00E23CA1"/>
    <w:rsid w:val="00E241BB"/>
    <w:rsid w:val="00E24D68"/>
    <w:rsid w:val="00E252B2"/>
    <w:rsid w:val="00E31B79"/>
    <w:rsid w:val="00E33DD7"/>
    <w:rsid w:val="00E409A8"/>
    <w:rsid w:val="00E46939"/>
    <w:rsid w:val="00E47464"/>
    <w:rsid w:val="00E50C12"/>
    <w:rsid w:val="00E566F3"/>
    <w:rsid w:val="00E567FA"/>
    <w:rsid w:val="00E62606"/>
    <w:rsid w:val="00E65B91"/>
    <w:rsid w:val="00E715B1"/>
    <w:rsid w:val="00E7209D"/>
    <w:rsid w:val="00E72EAD"/>
    <w:rsid w:val="00E77223"/>
    <w:rsid w:val="00E81EE1"/>
    <w:rsid w:val="00E83716"/>
    <w:rsid w:val="00E8528B"/>
    <w:rsid w:val="00E85B94"/>
    <w:rsid w:val="00E86B7F"/>
    <w:rsid w:val="00E925CD"/>
    <w:rsid w:val="00E94618"/>
    <w:rsid w:val="00E978D0"/>
    <w:rsid w:val="00EA1BD1"/>
    <w:rsid w:val="00EA4613"/>
    <w:rsid w:val="00EA624C"/>
    <w:rsid w:val="00EA7F91"/>
    <w:rsid w:val="00EB1523"/>
    <w:rsid w:val="00EB3CB2"/>
    <w:rsid w:val="00EC0217"/>
    <w:rsid w:val="00EC0E49"/>
    <w:rsid w:val="00EC101F"/>
    <w:rsid w:val="00EC1D9F"/>
    <w:rsid w:val="00ED2BDE"/>
    <w:rsid w:val="00EE0131"/>
    <w:rsid w:val="00EE17B0"/>
    <w:rsid w:val="00EF06D9"/>
    <w:rsid w:val="00F00428"/>
    <w:rsid w:val="00F0429C"/>
    <w:rsid w:val="00F06452"/>
    <w:rsid w:val="00F07D2D"/>
    <w:rsid w:val="00F10E52"/>
    <w:rsid w:val="00F21E9F"/>
    <w:rsid w:val="00F22FB7"/>
    <w:rsid w:val="00F3049E"/>
    <w:rsid w:val="00F30969"/>
    <w:rsid w:val="00F30C64"/>
    <w:rsid w:val="00F31349"/>
    <w:rsid w:val="00F32BA2"/>
    <w:rsid w:val="00F32CDB"/>
    <w:rsid w:val="00F33324"/>
    <w:rsid w:val="00F42B84"/>
    <w:rsid w:val="00F45467"/>
    <w:rsid w:val="00F47291"/>
    <w:rsid w:val="00F47F75"/>
    <w:rsid w:val="00F5045F"/>
    <w:rsid w:val="00F50640"/>
    <w:rsid w:val="00F565FE"/>
    <w:rsid w:val="00F63A70"/>
    <w:rsid w:val="00F63D8C"/>
    <w:rsid w:val="00F6675C"/>
    <w:rsid w:val="00F670B9"/>
    <w:rsid w:val="00F70907"/>
    <w:rsid w:val="00F71516"/>
    <w:rsid w:val="00F7534E"/>
    <w:rsid w:val="00F802FF"/>
    <w:rsid w:val="00F8041B"/>
    <w:rsid w:val="00F84F5B"/>
    <w:rsid w:val="00F86CB5"/>
    <w:rsid w:val="00F91041"/>
    <w:rsid w:val="00F93EDF"/>
    <w:rsid w:val="00F94FCA"/>
    <w:rsid w:val="00FA1802"/>
    <w:rsid w:val="00FA21D0"/>
    <w:rsid w:val="00FA5F5F"/>
    <w:rsid w:val="00FA6C05"/>
    <w:rsid w:val="00FB46D4"/>
    <w:rsid w:val="00FB730C"/>
    <w:rsid w:val="00FC2695"/>
    <w:rsid w:val="00FC3E03"/>
    <w:rsid w:val="00FC3FC1"/>
    <w:rsid w:val="00FD0266"/>
    <w:rsid w:val="00FD283C"/>
    <w:rsid w:val="00FD6B68"/>
    <w:rsid w:val="00FD7DB0"/>
    <w:rsid w:val="00FE1BB5"/>
    <w:rsid w:val="00FE1DBA"/>
    <w:rsid w:val="00FE7114"/>
    <w:rsid w:val="00FF2FF1"/>
    <w:rsid w:val="00FF3398"/>
    <w:rsid w:val="00FF72C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Testosegnaposto">
    <w:name w:val="Placeholder Text"/>
    <w:basedOn w:val="Carpredefinitoparagrafo"/>
    <w:uiPriority w:val="99"/>
    <w:semiHidden/>
    <w:rsid w:val="00593F50"/>
    <w:rPr>
      <w:color w:val="808080"/>
    </w:rPr>
  </w:style>
  <w:style w:type="paragraph" w:customStyle="1" w:styleId="Corpotesi">
    <w:name w:val="Corpo tesi"/>
    <w:basedOn w:val="Normale"/>
    <w:link w:val="CorpotesiCarattere"/>
    <w:qFormat/>
    <w:rsid w:val="00205A15"/>
    <w:pPr>
      <w:tabs>
        <w:tab w:val="clear" w:pos="7100"/>
      </w:tabs>
      <w:spacing w:before="120" w:after="120" w:line="276" w:lineRule="auto"/>
    </w:pPr>
    <w:rPr>
      <w:rFonts w:ascii="Times New Roman" w:eastAsiaTheme="minorHAnsi" w:hAnsi="Times New Roman" w:cstheme="minorBidi"/>
      <w:sz w:val="24"/>
      <w:szCs w:val="24"/>
      <w:lang w:val="it-IT"/>
    </w:rPr>
  </w:style>
  <w:style w:type="character" w:customStyle="1" w:styleId="CorpotesiCarattere">
    <w:name w:val="Corpo tesi Carattere"/>
    <w:basedOn w:val="Carpredefinitoparagrafo"/>
    <w:link w:val="Corpotesi"/>
    <w:rsid w:val="00205A15"/>
    <w:rPr>
      <w:rFonts w:ascii="Times New Roman" w:hAnsi="Times New Roman"/>
      <w:sz w:val="24"/>
      <w:szCs w:val="24"/>
    </w:rPr>
  </w:style>
  <w:style w:type="paragraph" w:customStyle="1" w:styleId="Default">
    <w:name w:val="Default"/>
    <w:rsid w:val="00E9461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77E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7E20"/>
    <w:pPr>
      <w:widowControl w:val="0"/>
      <w:tabs>
        <w:tab w:val="clear" w:pos="7100"/>
      </w:tabs>
      <w:autoSpaceDE w:val="0"/>
      <w:autoSpaceDN w:val="0"/>
      <w:spacing w:before="39" w:line="240" w:lineRule="auto"/>
      <w:jc w:val="center"/>
    </w:pPr>
    <w:rPr>
      <w:rFonts w:ascii="Times New Roman" w:hAnsi="Times New Roman"/>
      <w:sz w:val="22"/>
      <w:szCs w:val="22"/>
      <w:lang w:val="it-IT"/>
    </w:rPr>
  </w:style>
  <w:style w:type="character" w:styleId="Rimandonotaapidipagina">
    <w:name w:val="footnote reference"/>
    <w:basedOn w:val="Carpredefinitoparagrafo"/>
    <w:uiPriority w:val="99"/>
    <w:semiHidden/>
    <w:unhideWhenUsed/>
    <w:rsid w:val="004B4346"/>
    <w:rPr>
      <w:vertAlign w:val="superscript"/>
    </w:rPr>
  </w:style>
  <w:style w:type="character" w:customStyle="1" w:styleId="Menzionenonrisolta1">
    <w:name w:val="Menzione non risolta1"/>
    <w:basedOn w:val="Carpredefinitoparagrafo"/>
    <w:uiPriority w:val="99"/>
    <w:semiHidden/>
    <w:unhideWhenUsed/>
    <w:rsid w:val="000D656D"/>
    <w:rPr>
      <w:color w:val="605E5C"/>
      <w:shd w:val="clear" w:color="auto" w:fill="E1DFDD"/>
    </w:rPr>
  </w:style>
  <w:style w:type="character" w:customStyle="1" w:styleId="author">
    <w:name w:val="author"/>
    <w:basedOn w:val="Carpredefinitoparagrafo"/>
    <w:rsid w:val="00100D65"/>
  </w:style>
  <w:style w:type="character" w:customStyle="1" w:styleId="pubyear">
    <w:name w:val="pubyear"/>
    <w:basedOn w:val="Carpredefinitoparagrafo"/>
    <w:rsid w:val="00100D65"/>
  </w:style>
  <w:style w:type="character" w:customStyle="1" w:styleId="articletitle">
    <w:name w:val="articletitle"/>
    <w:basedOn w:val="Carpredefinitoparagrafo"/>
    <w:rsid w:val="00100D65"/>
  </w:style>
  <w:style w:type="character" w:customStyle="1" w:styleId="vol">
    <w:name w:val="vol"/>
    <w:basedOn w:val="Carpredefinitoparagrafo"/>
    <w:rsid w:val="00100D65"/>
  </w:style>
  <w:style w:type="character" w:customStyle="1" w:styleId="anchor-text">
    <w:name w:val="anchor-text"/>
    <w:basedOn w:val="Carpredefinitoparagrafo"/>
    <w:rsid w:val="00AF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885">
      <w:bodyDiv w:val="1"/>
      <w:marLeft w:val="0"/>
      <w:marRight w:val="0"/>
      <w:marTop w:val="0"/>
      <w:marBottom w:val="0"/>
      <w:divBdr>
        <w:top w:val="none" w:sz="0" w:space="0" w:color="auto"/>
        <w:left w:val="none" w:sz="0" w:space="0" w:color="auto"/>
        <w:bottom w:val="none" w:sz="0" w:space="0" w:color="auto"/>
        <w:right w:val="none" w:sz="0" w:space="0" w:color="auto"/>
      </w:divBdr>
    </w:div>
    <w:div w:id="161438794">
      <w:bodyDiv w:val="1"/>
      <w:marLeft w:val="0"/>
      <w:marRight w:val="0"/>
      <w:marTop w:val="0"/>
      <w:marBottom w:val="0"/>
      <w:divBdr>
        <w:top w:val="none" w:sz="0" w:space="0" w:color="auto"/>
        <w:left w:val="none" w:sz="0" w:space="0" w:color="auto"/>
        <w:bottom w:val="none" w:sz="0" w:space="0" w:color="auto"/>
        <w:right w:val="none" w:sz="0" w:space="0" w:color="auto"/>
      </w:divBdr>
    </w:div>
    <w:div w:id="226764225">
      <w:bodyDiv w:val="1"/>
      <w:marLeft w:val="0"/>
      <w:marRight w:val="0"/>
      <w:marTop w:val="0"/>
      <w:marBottom w:val="0"/>
      <w:divBdr>
        <w:top w:val="none" w:sz="0" w:space="0" w:color="auto"/>
        <w:left w:val="none" w:sz="0" w:space="0" w:color="auto"/>
        <w:bottom w:val="none" w:sz="0" w:space="0" w:color="auto"/>
        <w:right w:val="none" w:sz="0" w:space="0" w:color="auto"/>
      </w:divBdr>
      <w:divsChild>
        <w:div w:id="60106198">
          <w:marLeft w:val="0"/>
          <w:marRight w:val="0"/>
          <w:marTop w:val="0"/>
          <w:marBottom w:val="0"/>
          <w:divBdr>
            <w:top w:val="none" w:sz="0" w:space="0" w:color="auto"/>
            <w:left w:val="none" w:sz="0" w:space="0" w:color="auto"/>
            <w:bottom w:val="none" w:sz="0" w:space="0" w:color="auto"/>
            <w:right w:val="none" w:sz="0" w:space="0" w:color="auto"/>
          </w:divBdr>
          <w:divsChild>
            <w:div w:id="2070036581">
              <w:marLeft w:val="0"/>
              <w:marRight w:val="0"/>
              <w:marTop w:val="0"/>
              <w:marBottom w:val="0"/>
              <w:divBdr>
                <w:top w:val="none" w:sz="0" w:space="0" w:color="auto"/>
                <w:left w:val="none" w:sz="0" w:space="0" w:color="auto"/>
                <w:bottom w:val="none" w:sz="0" w:space="0" w:color="auto"/>
                <w:right w:val="none" w:sz="0" w:space="0" w:color="auto"/>
              </w:divBdr>
              <w:divsChild>
                <w:div w:id="588271138">
                  <w:marLeft w:val="0"/>
                  <w:marRight w:val="0"/>
                  <w:marTop w:val="0"/>
                  <w:marBottom w:val="0"/>
                  <w:divBdr>
                    <w:top w:val="none" w:sz="0" w:space="0" w:color="auto"/>
                    <w:left w:val="none" w:sz="0" w:space="0" w:color="auto"/>
                    <w:bottom w:val="none" w:sz="0" w:space="0" w:color="auto"/>
                    <w:right w:val="none" w:sz="0" w:space="0" w:color="auto"/>
                  </w:divBdr>
                  <w:divsChild>
                    <w:div w:id="1535995722">
                      <w:marLeft w:val="0"/>
                      <w:marRight w:val="0"/>
                      <w:marTop w:val="0"/>
                      <w:marBottom w:val="0"/>
                      <w:divBdr>
                        <w:top w:val="none" w:sz="0" w:space="0" w:color="auto"/>
                        <w:left w:val="none" w:sz="0" w:space="0" w:color="auto"/>
                        <w:bottom w:val="none" w:sz="0" w:space="0" w:color="auto"/>
                        <w:right w:val="none" w:sz="0" w:space="0" w:color="auto"/>
                      </w:divBdr>
                      <w:divsChild>
                        <w:div w:id="17837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68">
      <w:bodyDiv w:val="1"/>
      <w:marLeft w:val="0"/>
      <w:marRight w:val="0"/>
      <w:marTop w:val="0"/>
      <w:marBottom w:val="0"/>
      <w:divBdr>
        <w:top w:val="none" w:sz="0" w:space="0" w:color="auto"/>
        <w:left w:val="none" w:sz="0" w:space="0" w:color="auto"/>
        <w:bottom w:val="none" w:sz="0" w:space="0" w:color="auto"/>
        <w:right w:val="none" w:sz="0" w:space="0" w:color="auto"/>
      </w:divBdr>
    </w:div>
    <w:div w:id="1237786631">
      <w:bodyDiv w:val="1"/>
      <w:marLeft w:val="0"/>
      <w:marRight w:val="0"/>
      <w:marTop w:val="0"/>
      <w:marBottom w:val="0"/>
      <w:divBdr>
        <w:top w:val="none" w:sz="0" w:space="0" w:color="auto"/>
        <w:left w:val="none" w:sz="0" w:space="0" w:color="auto"/>
        <w:bottom w:val="none" w:sz="0" w:space="0" w:color="auto"/>
        <w:right w:val="none" w:sz="0" w:space="0" w:color="auto"/>
      </w:divBdr>
      <w:divsChild>
        <w:div w:id="513569275">
          <w:marLeft w:val="-30"/>
          <w:marRight w:val="0"/>
          <w:marTop w:val="0"/>
          <w:marBottom w:val="225"/>
          <w:divBdr>
            <w:top w:val="none" w:sz="0" w:space="0" w:color="auto"/>
            <w:left w:val="none" w:sz="0" w:space="0" w:color="auto"/>
            <w:bottom w:val="none" w:sz="0" w:space="0" w:color="auto"/>
            <w:right w:val="none" w:sz="0" w:space="0" w:color="auto"/>
          </w:divBdr>
          <w:divsChild>
            <w:div w:id="9057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730">
      <w:bodyDiv w:val="1"/>
      <w:marLeft w:val="0"/>
      <w:marRight w:val="0"/>
      <w:marTop w:val="0"/>
      <w:marBottom w:val="0"/>
      <w:divBdr>
        <w:top w:val="none" w:sz="0" w:space="0" w:color="auto"/>
        <w:left w:val="none" w:sz="0" w:space="0" w:color="auto"/>
        <w:bottom w:val="none" w:sz="0" w:space="0" w:color="auto"/>
        <w:right w:val="none" w:sz="0" w:space="0" w:color="auto"/>
      </w:divBdr>
    </w:div>
    <w:div w:id="1939407146">
      <w:bodyDiv w:val="1"/>
      <w:marLeft w:val="0"/>
      <w:marRight w:val="0"/>
      <w:marTop w:val="0"/>
      <w:marBottom w:val="0"/>
      <w:divBdr>
        <w:top w:val="none" w:sz="0" w:space="0" w:color="auto"/>
        <w:left w:val="none" w:sz="0" w:space="0" w:color="auto"/>
        <w:bottom w:val="none" w:sz="0" w:space="0" w:color="auto"/>
        <w:right w:val="none" w:sz="0" w:space="0" w:color="auto"/>
      </w:divBdr>
    </w:div>
    <w:div w:id="1996838268">
      <w:bodyDiv w:val="1"/>
      <w:marLeft w:val="0"/>
      <w:marRight w:val="0"/>
      <w:marTop w:val="0"/>
      <w:marBottom w:val="0"/>
      <w:divBdr>
        <w:top w:val="none" w:sz="0" w:space="0" w:color="auto"/>
        <w:left w:val="none" w:sz="0" w:space="0" w:color="auto"/>
        <w:bottom w:val="none" w:sz="0" w:space="0" w:color="auto"/>
        <w:right w:val="none" w:sz="0" w:space="0" w:color="auto"/>
      </w:divBdr>
    </w:div>
    <w:div w:id="200685688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ag.nal.usda.gov/?q=%22Marc+Chillet%22&amp;search_field=auth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ag.nal.usda.gov/?q=%22Jean%E2%80%90Christophe+Meile%22&amp;search_field=author" TargetMode="External"/><Relationship Id="rId17" Type="http://schemas.openxmlformats.org/officeDocument/2006/relationships/hyperlink" Target="https://www.researchgate.net/scientific-contributions/Huiping-Lin-2163262623" TargetMode="External"/><Relationship Id="rId2" Type="http://schemas.openxmlformats.org/officeDocument/2006/relationships/numbering" Target="numbering.xml"/><Relationship Id="rId16" Type="http://schemas.openxmlformats.org/officeDocument/2006/relationships/hyperlink" Target="https://pubag.nal.usda.gov/?q=%22Fabienne+Remize%22&amp;search_field=auth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ubag.nal.usda.gov/?q=%22Loredana+Incarnato%22&amp;search_field=autho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ag.nal.usda.gov/?q=%22Paola+Scarfato%22&amp;search_field=autho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BBCD-E9CC-46CF-B7FC-FC72AA94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3675</Words>
  <Characters>20949</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Annalisa APICELLA</cp:lastModifiedBy>
  <cp:revision>9</cp:revision>
  <cp:lastPrinted>2015-05-12T18:31:00Z</cp:lastPrinted>
  <dcterms:created xsi:type="dcterms:W3CDTF">2023-06-13T13:25:00Z</dcterms:created>
  <dcterms:modified xsi:type="dcterms:W3CDTF">2023-06-13T13:39:00Z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id="2FeuiMyD"/&gt;&lt;style id="http://www.zotero.org/styles/chemical-engineering-science" hasBibliography="1" bibliographyStyleHasBeenSet="1"/&gt;&lt;prefs&gt;&lt;pref name="fieldType" value="Field"/&gt;&lt;pref name="stor</vt:lpwstr>
  </property>
  <property fmtid="{D5CDD505-2E9C-101B-9397-08002B2CF9AE}" pid="3" name="ZOTERO_PREF_2">
    <vt:lpwstr>eReferences" value="true"/&gt;&lt;/prefs&gt;&lt;/data&gt;</vt:lpwstr>
  </property>
</Properties>
</file>