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E7DF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E7DFF" w:rsidRDefault="000A03B2" w:rsidP="00DE264A">
            <w:pPr>
              <w:tabs>
                <w:tab w:val="left" w:pos="-108"/>
              </w:tabs>
              <w:ind w:left="-108"/>
              <w:rPr>
                <w:rFonts w:cs="Arial"/>
                <w:b/>
                <w:bCs/>
                <w:i/>
                <w:iCs/>
                <w:color w:val="000066"/>
                <w:sz w:val="12"/>
                <w:szCs w:val="12"/>
                <w:lang w:eastAsia="it-IT"/>
              </w:rPr>
            </w:pPr>
            <w:r w:rsidRPr="003E7DFF">
              <w:rPr>
                <w:rFonts w:ascii="AdvP6960" w:hAnsi="AdvP6960" w:cs="AdvP6960"/>
                <w:noProof/>
                <w:color w:val="241F20"/>
                <w:szCs w:val="18"/>
                <w:lang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E7DFF">
              <w:rPr>
                <w:rFonts w:ascii="AdvP6960" w:hAnsi="AdvP6960" w:cs="AdvP6960"/>
                <w:color w:val="241F20"/>
                <w:szCs w:val="18"/>
                <w:lang w:eastAsia="it-IT"/>
              </w:rPr>
              <w:t xml:space="preserve"> </w:t>
            </w:r>
            <w:r w:rsidRPr="003E7DFF">
              <w:rPr>
                <w:rFonts w:cs="Arial"/>
                <w:b/>
                <w:bCs/>
                <w:i/>
                <w:iCs/>
                <w:color w:val="000066"/>
                <w:lang w:eastAsia="it-IT"/>
              </w:rPr>
              <w:t>CHEMICAL ENGINEERING</w:t>
            </w:r>
            <w:r w:rsidRPr="003E7DFF">
              <w:rPr>
                <w:rFonts w:cs="Arial"/>
                <w:b/>
                <w:bCs/>
                <w:i/>
                <w:iCs/>
                <w:color w:val="0033FF"/>
                <w:lang w:eastAsia="it-IT"/>
              </w:rPr>
              <w:t xml:space="preserve"> </w:t>
            </w:r>
            <w:r w:rsidRPr="003E7DFF">
              <w:rPr>
                <w:rFonts w:cs="Arial"/>
                <w:b/>
                <w:bCs/>
                <w:i/>
                <w:iCs/>
                <w:color w:val="666666"/>
                <w:lang w:eastAsia="it-IT"/>
              </w:rPr>
              <w:t>TRANSACTIONS</w:t>
            </w:r>
            <w:r w:rsidRPr="003E7DFF">
              <w:rPr>
                <w:color w:val="333333"/>
                <w:lang w:eastAsia="it-IT"/>
              </w:rPr>
              <w:t xml:space="preserve"> </w:t>
            </w:r>
            <w:r w:rsidRPr="003E7DFF">
              <w:rPr>
                <w:rFonts w:cs="Arial"/>
                <w:b/>
                <w:bCs/>
                <w:i/>
                <w:iCs/>
                <w:color w:val="000066"/>
                <w:sz w:val="27"/>
                <w:szCs w:val="27"/>
                <w:lang w:eastAsia="it-IT"/>
              </w:rPr>
              <w:br/>
            </w:r>
          </w:p>
          <w:p w14:paraId="4B780582" w14:textId="530285EB" w:rsidR="000A03B2" w:rsidRPr="003E7DFF" w:rsidRDefault="00A76EFC" w:rsidP="001D21AF">
            <w:pPr>
              <w:tabs>
                <w:tab w:val="left" w:pos="-108"/>
              </w:tabs>
              <w:ind w:left="-108"/>
              <w:rPr>
                <w:rFonts w:cs="Arial"/>
                <w:b/>
                <w:bCs/>
                <w:i/>
                <w:iCs/>
                <w:color w:val="000066"/>
                <w:sz w:val="22"/>
                <w:szCs w:val="22"/>
                <w:lang w:eastAsia="it-IT"/>
              </w:rPr>
            </w:pPr>
            <w:r w:rsidRPr="003E7DFF">
              <w:rPr>
                <w:rFonts w:cs="Arial"/>
                <w:b/>
                <w:bCs/>
                <w:i/>
                <w:iCs/>
                <w:color w:val="000066"/>
                <w:sz w:val="22"/>
                <w:szCs w:val="22"/>
                <w:lang w:eastAsia="it-IT"/>
              </w:rPr>
              <w:t xml:space="preserve">VOL. </w:t>
            </w:r>
            <w:r w:rsidR="0030152C" w:rsidRPr="003E7DFF">
              <w:rPr>
                <w:rFonts w:cs="Arial"/>
                <w:b/>
                <w:bCs/>
                <w:i/>
                <w:iCs/>
                <w:color w:val="000066"/>
                <w:sz w:val="22"/>
                <w:szCs w:val="22"/>
                <w:lang w:eastAsia="it-IT"/>
              </w:rPr>
              <w:t xml:space="preserve"> </w:t>
            </w:r>
            <w:proofErr w:type="gramStart"/>
            <w:r w:rsidR="0030152C" w:rsidRPr="003E7DFF">
              <w:rPr>
                <w:rFonts w:cs="Arial"/>
                <w:b/>
                <w:bCs/>
                <w:i/>
                <w:iCs/>
                <w:color w:val="000066"/>
                <w:sz w:val="22"/>
                <w:szCs w:val="22"/>
                <w:lang w:eastAsia="it-IT"/>
              </w:rPr>
              <w:t xml:space="preserve">  </w:t>
            </w:r>
            <w:r w:rsidR="007B48F9" w:rsidRPr="003E7DFF">
              <w:rPr>
                <w:rFonts w:cs="Arial"/>
                <w:b/>
                <w:bCs/>
                <w:i/>
                <w:iCs/>
                <w:color w:val="000066"/>
                <w:sz w:val="22"/>
                <w:szCs w:val="22"/>
                <w:lang w:eastAsia="it-IT"/>
              </w:rPr>
              <w:t>,</w:t>
            </w:r>
            <w:proofErr w:type="gramEnd"/>
            <w:r w:rsidR="00FA5F5F" w:rsidRPr="003E7DFF">
              <w:rPr>
                <w:rFonts w:cs="Arial"/>
                <w:b/>
                <w:bCs/>
                <w:i/>
                <w:iCs/>
                <w:color w:val="000066"/>
                <w:sz w:val="22"/>
                <w:szCs w:val="22"/>
                <w:lang w:eastAsia="it-IT"/>
              </w:rPr>
              <w:t xml:space="preserve"> </w:t>
            </w:r>
            <w:r w:rsidR="0030152C" w:rsidRPr="003E7DFF">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3E7DFF" w:rsidRDefault="000A03B2" w:rsidP="00CD5FE2">
            <w:pPr>
              <w:spacing w:line="140" w:lineRule="atLeast"/>
              <w:jc w:val="right"/>
              <w:rPr>
                <w:rFonts w:cs="Arial"/>
                <w:sz w:val="14"/>
                <w:szCs w:val="14"/>
              </w:rPr>
            </w:pPr>
            <w:r w:rsidRPr="003E7DFF">
              <w:rPr>
                <w:rFonts w:cs="Arial"/>
                <w:sz w:val="14"/>
                <w:szCs w:val="14"/>
              </w:rPr>
              <w:t>A publication of</w:t>
            </w:r>
          </w:p>
          <w:p w14:paraId="599E5441" w14:textId="77777777" w:rsidR="000A03B2" w:rsidRPr="003E7DFF" w:rsidRDefault="000A03B2" w:rsidP="00CD5FE2">
            <w:pPr>
              <w:jc w:val="right"/>
            </w:pPr>
            <w:r w:rsidRPr="003E7DFF">
              <w:rPr>
                <w:noProof/>
                <w:lang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E7DFF" w14:paraId="380FA3CD" w14:textId="77777777" w:rsidTr="00DE264A">
        <w:trPr>
          <w:trHeight w:val="567"/>
          <w:jc w:val="center"/>
        </w:trPr>
        <w:tc>
          <w:tcPr>
            <w:tcW w:w="6946" w:type="dxa"/>
            <w:vMerge/>
            <w:tcBorders>
              <w:right w:val="single" w:sz="4" w:space="0" w:color="auto"/>
            </w:tcBorders>
          </w:tcPr>
          <w:p w14:paraId="39E5E4C1" w14:textId="77777777" w:rsidR="000A03B2" w:rsidRPr="003E7DFF"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E7DFF" w:rsidRDefault="000A03B2" w:rsidP="00CD5FE2">
            <w:pPr>
              <w:spacing w:line="140" w:lineRule="atLeast"/>
              <w:jc w:val="right"/>
              <w:rPr>
                <w:rFonts w:cs="Arial"/>
                <w:sz w:val="14"/>
                <w:szCs w:val="14"/>
              </w:rPr>
            </w:pPr>
            <w:r w:rsidRPr="003E7DFF">
              <w:rPr>
                <w:rFonts w:cs="Arial"/>
                <w:sz w:val="14"/>
                <w:szCs w:val="14"/>
              </w:rPr>
              <w:t>The Italian Association</w:t>
            </w:r>
          </w:p>
          <w:p w14:paraId="7522B1D2" w14:textId="77777777" w:rsidR="000A03B2" w:rsidRPr="003E7DFF" w:rsidRDefault="000A03B2" w:rsidP="00CD5FE2">
            <w:pPr>
              <w:spacing w:line="140" w:lineRule="atLeast"/>
              <w:jc w:val="right"/>
              <w:rPr>
                <w:rFonts w:cs="Arial"/>
                <w:sz w:val="14"/>
                <w:szCs w:val="14"/>
              </w:rPr>
            </w:pPr>
            <w:r w:rsidRPr="003E7DFF">
              <w:rPr>
                <w:rFonts w:cs="Arial"/>
                <w:sz w:val="14"/>
                <w:szCs w:val="14"/>
              </w:rPr>
              <w:t>of Chemical Engineering</w:t>
            </w:r>
          </w:p>
          <w:p w14:paraId="4F0CC5DE" w14:textId="47FDB2FC" w:rsidR="000A03B2" w:rsidRPr="003E7DFF" w:rsidRDefault="000D0268" w:rsidP="00CD5FE2">
            <w:pPr>
              <w:spacing w:line="140" w:lineRule="atLeast"/>
              <w:jc w:val="right"/>
              <w:rPr>
                <w:rFonts w:cs="Arial"/>
                <w:sz w:val="13"/>
                <w:szCs w:val="13"/>
              </w:rPr>
            </w:pPr>
            <w:r w:rsidRPr="003E7DFF">
              <w:rPr>
                <w:rFonts w:cs="Arial"/>
                <w:sz w:val="13"/>
                <w:szCs w:val="13"/>
              </w:rPr>
              <w:t>Online at www.cetjournal.it</w:t>
            </w:r>
          </w:p>
        </w:tc>
      </w:tr>
      <w:tr w:rsidR="000A03B2" w:rsidRPr="003E7DFF" w14:paraId="2D1B7169" w14:textId="77777777" w:rsidTr="00DE264A">
        <w:trPr>
          <w:trHeight w:val="68"/>
          <w:jc w:val="center"/>
        </w:trPr>
        <w:tc>
          <w:tcPr>
            <w:tcW w:w="8789" w:type="dxa"/>
            <w:gridSpan w:val="2"/>
          </w:tcPr>
          <w:p w14:paraId="1D8DD3C9" w14:textId="06DCB7F6" w:rsidR="00AA7D26" w:rsidRPr="003E7DFF" w:rsidRDefault="00AA7D26" w:rsidP="00AA7D26">
            <w:pPr>
              <w:ind w:left="-107"/>
              <w:outlineLvl w:val="2"/>
              <w:rPr>
                <w:rFonts w:ascii="Tahoma" w:hAnsi="Tahoma" w:cs="Tahoma"/>
                <w:bCs/>
                <w:color w:val="000000"/>
                <w:sz w:val="14"/>
                <w:szCs w:val="14"/>
                <w:lang w:eastAsia="it-IT"/>
              </w:rPr>
            </w:pPr>
            <w:r w:rsidRPr="003E7DFF">
              <w:rPr>
                <w:rFonts w:ascii="Tahoma" w:hAnsi="Tahoma" w:cs="Tahoma"/>
                <w:iCs/>
                <w:color w:val="333333"/>
                <w:sz w:val="14"/>
                <w:szCs w:val="14"/>
                <w:lang w:eastAsia="it-IT"/>
              </w:rPr>
              <w:t>Guest Editors:</w:t>
            </w:r>
            <w:r w:rsidRPr="003E7DFF">
              <w:rPr>
                <w:rFonts w:ascii="Tahoma" w:hAnsi="Tahoma" w:cs="Tahoma"/>
                <w:color w:val="000000"/>
                <w:sz w:val="14"/>
                <w:szCs w:val="14"/>
                <w:shd w:val="clear" w:color="auto" w:fill="FFFFFF"/>
              </w:rPr>
              <w:t xml:space="preserve"> </w:t>
            </w:r>
            <w:r w:rsidR="003A6FC6" w:rsidRPr="003E7DFF">
              <w:rPr>
                <w:rFonts w:ascii="Tahoma" w:hAnsi="Tahoma" w:cs="Tahoma"/>
                <w:color w:val="000000"/>
                <w:sz w:val="14"/>
                <w:szCs w:val="14"/>
                <w:shd w:val="clear" w:color="auto" w:fill="FFFFFF"/>
              </w:rPr>
              <w:t xml:space="preserve">Laura Piazza, Mauro </w:t>
            </w:r>
            <w:proofErr w:type="spellStart"/>
            <w:r w:rsidR="003A6FC6" w:rsidRPr="003E7DFF">
              <w:rPr>
                <w:rFonts w:ascii="Tahoma" w:hAnsi="Tahoma" w:cs="Tahoma"/>
                <w:color w:val="000000"/>
                <w:sz w:val="14"/>
                <w:szCs w:val="14"/>
                <w:shd w:val="clear" w:color="auto" w:fill="FFFFFF"/>
              </w:rPr>
              <w:t>Moresi</w:t>
            </w:r>
            <w:proofErr w:type="spellEnd"/>
            <w:r w:rsidR="003A6FC6" w:rsidRPr="003E7DFF">
              <w:rPr>
                <w:rFonts w:ascii="Tahoma" w:hAnsi="Tahoma" w:cs="Tahoma"/>
                <w:color w:val="000000"/>
                <w:sz w:val="14"/>
                <w:szCs w:val="14"/>
                <w:shd w:val="clear" w:color="auto" w:fill="FFFFFF"/>
              </w:rPr>
              <w:t xml:space="preserve">, Francesco </w:t>
            </w:r>
            <w:proofErr w:type="spellStart"/>
            <w:r w:rsidR="003A6FC6" w:rsidRPr="003E7DFF">
              <w:rPr>
                <w:rFonts w:ascii="Tahoma" w:hAnsi="Tahoma" w:cs="Tahoma"/>
                <w:color w:val="000000"/>
                <w:sz w:val="14"/>
                <w:szCs w:val="14"/>
                <w:shd w:val="clear" w:color="auto" w:fill="FFFFFF"/>
              </w:rPr>
              <w:t>Donsì</w:t>
            </w:r>
            <w:proofErr w:type="spellEnd"/>
          </w:p>
          <w:p w14:paraId="1B0F1814" w14:textId="617BA86D" w:rsidR="000A03B2" w:rsidRPr="003E7DFF" w:rsidRDefault="00AA7D26" w:rsidP="00AA7D26">
            <w:pPr>
              <w:tabs>
                <w:tab w:val="left" w:pos="-108"/>
              </w:tabs>
              <w:spacing w:line="140" w:lineRule="atLeast"/>
              <w:ind w:left="-107"/>
            </w:pPr>
            <w:r w:rsidRPr="003E7DFF">
              <w:rPr>
                <w:rFonts w:ascii="Tahoma" w:hAnsi="Tahoma" w:cs="Tahoma"/>
                <w:iCs/>
                <w:color w:val="333333"/>
                <w:sz w:val="14"/>
                <w:szCs w:val="14"/>
                <w:lang w:eastAsia="it-IT"/>
              </w:rPr>
              <w:t xml:space="preserve">Copyright © 2023, AIDIC </w:t>
            </w:r>
            <w:proofErr w:type="spellStart"/>
            <w:r w:rsidRPr="003E7DFF">
              <w:rPr>
                <w:rFonts w:ascii="Tahoma" w:hAnsi="Tahoma" w:cs="Tahoma"/>
                <w:iCs/>
                <w:color w:val="333333"/>
                <w:sz w:val="14"/>
                <w:szCs w:val="14"/>
                <w:lang w:eastAsia="it-IT"/>
              </w:rPr>
              <w:t>Servizi</w:t>
            </w:r>
            <w:proofErr w:type="spellEnd"/>
            <w:r w:rsidRPr="003E7DFF">
              <w:rPr>
                <w:rFonts w:ascii="Tahoma" w:hAnsi="Tahoma" w:cs="Tahoma"/>
                <w:iCs/>
                <w:color w:val="333333"/>
                <w:sz w:val="14"/>
                <w:szCs w:val="14"/>
                <w:lang w:eastAsia="it-IT"/>
              </w:rPr>
              <w:t xml:space="preserve"> </w:t>
            </w:r>
            <w:proofErr w:type="spellStart"/>
            <w:r w:rsidRPr="003E7DFF">
              <w:rPr>
                <w:rFonts w:ascii="Tahoma" w:hAnsi="Tahoma" w:cs="Tahoma"/>
                <w:iCs/>
                <w:color w:val="333333"/>
                <w:sz w:val="14"/>
                <w:szCs w:val="14"/>
                <w:lang w:eastAsia="it-IT"/>
              </w:rPr>
              <w:t>S.r.l</w:t>
            </w:r>
            <w:proofErr w:type="spellEnd"/>
            <w:r w:rsidRPr="003E7DFF">
              <w:rPr>
                <w:rFonts w:ascii="Tahoma" w:hAnsi="Tahoma" w:cs="Tahoma"/>
                <w:iCs/>
                <w:color w:val="333333"/>
                <w:sz w:val="14"/>
                <w:szCs w:val="14"/>
                <w:lang w:eastAsia="it-IT"/>
              </w:rPr>
              <w:t>.</w:t>
            </w:r>
            <w:r w:rsidRPr="003E7DFF">
              <w:rPr>
                <w:rFonts w:ascii="Tahoma" w:hAnsi="Tahoma" w:cs="Tahoma"/>
                <w:iCs/>
                <w:color w:val="333333"/>
                <w:sz w:val="14"/>
                <w:szCs w:val="14"/>
                <w:lang w:eastAsia="it-IT"/>
              </w:rPr>
              <w:br/>
            </w:r>
            <w:r w:rsidRPr="003E7DFF">
              <w:rPr>
                <w:rFonts w:ascii="Tahoma" w:hAnsi="Tahoma" w:cs="Tahoma"/>
                <w:b/>
                <w:iCs/>
                <w:color w:val="000000"/>
                <w:sz w:val="14"/>
                <w:szCs w:val="14"/>
                <w:lang w:eastAsia="it-IT"/>
              </w:rPr>
              <w:t>ISBN</w:t>
            </w:r>
            <w:r w:rsidRPr="003E7DFF">
              <w:rPr>
                <w:rFonts w:ascii="Tahoma" w:hAnsi="Tahoma" w:cs="Tahoma"/>
                <w:iCs/>
                <w:color w:val="000000"/>
                <w:sz w:val="14"/>
                <w:szCs w:val="14"/>
                <w:lang w:eastAsia="it-IT"/>
              </w:rPr>
              <w:t xml:space="preserve"> </w:t>
            </w:r>
            <w:r w:rsidR="008B7C03" w:rsidRPr="003E7DFF">
              <w:rPr>
                <w:rFonts w:ascii="Tahoma" w:hAnsi="Tahoma" w:cs="Tahoma"/>
                <w:sz w:val="14"/>
                <w:szCs w:val="14"/>
              </w:rPr>
              <w:t>979-12-81206</w:t>
            </w:r>
            <w:r w:rsidRPr="003E7DFF">
              <w:rPr>
                <w:rFonts w:ascii="Tahoma" w:hAnsi="Tahoma" w:cs="Tahoma"/>
                <w:sz w:val="14"/>
                <w:szCs w:val="14"/>
              </w:rPr>
              <w:t>-</w:t>
            </w:r>
            <w:r w:rsidR="00E33DD7" w:rsidRPr="003E7DFF">
              <w:rPr>
                <w:rFonts w:ascii="Tahoma" w:hAnsi="Tahoma" w:cs="Tahoma"/>
                <w:sz w:val="14"/>
                <w:szCs w:val="14"/>
              </w:rPr>
              <w:t>0</w:t>
            </w:r>
            <w:r w:rsidR="003A6FC6" w:rsidRPr="003E7DFF">
              <w:rPr>
                <w:rFonts w:ascii="Tahoma" w:hAnsi="Tahoma" w:cs="Tahoma"/>
                <w:sz w:val="14"/>
                <w:szCs w:val="14"/>
              </w:rPr>
              <w:t>1</w:t>
            </w:r>
            <w:r w:rsidRPr="003E7DFF">
              <w:rPr>
                <w:rFonts w:ascii="Tahoma" w:hAnsi="Tahoma" w:cs="Tahoma"/>
                <w:sz w:val="14"/>
                <w:szCs w:val="14"/>
              </w:rPr>
              <w:t>-</w:t>
            </w:r>
            <w:r w:rsidR="003A6FC6" w:rsidRPr="003E7DFF">
              <w:rPr>
                <w:rFonts w:ascii="Tahoma" w:hAnsi="Tahoma" w:cs="Tahoma"/>
                <w:sz w:val="14"/>
                <w:szCs w:val="14"/>
              </w:rPr>
              <w:t>4</w:t>
            </w:r>
            <w:r w:rsidRPr="003E7DFF">
              <w:rPr>
                <w:rFonts w:ascii="Tahoma" w:hAnsi="Tahoma" w:cs="Tahoma"/>
                <w:iCs/>
                <w:color w:val="333333"/>
                <w:sz w:val="14"/>
                <w:szCs w:val="14"/>
                <w:lang w:eastAsia="it-IT"/>
              </w:rPr>
              <w:t xml:space="preserve">; </w:t>
            </w:r>
            <w:r w:rsidRPr="003E7DFF">
              <w:rPr>
                <w:rFonts w:ascii="Tahoma" w:hAnsi="Tahoma" w:cs="Tahoma"/>
                <w:b/>
                <w:iCs/>
                <w:color w:val="333333"/>
                <w:sz w:val="14"/>
                <w:szCs w:val="14"/>
                <w:lang w:eastAsia="it-IT"/>
              </w:rPr>
              <w:t>ISSN</w:t>
            </w:r>
            <w:r w:rsidRPr="003E7DFF">
              <w:rPr>
                <w:rFonts w:ascii="Tahoma" w:hAnsi="Tahoma" w:cs="Tahoma"/>
                <w:iCs/>
                <w:color w:val="333333"/>
                <w:sz w:val="14"/>
                <w:szCs w:val="14"/>
                <w:lang w:eastAsia="it-IT"/>
              </w:rPr>
              <w:t xml:space="preserve"> 2283-9216</w:t>
            </w:r>
          </w:p>
        </w:tc>
      </w:tr>
    </w:tbl>
    <w:p w14:paraId="2E667253" w14:textId="7A04BEAD" w:rsidR="00E978D0" w:rsidRPr="003E7DFF" w:rsidRDefault="00322658" w:rsidP="00322658">
      <w:pPr>
        <w:pStyle w:val="CETTitle"/>
        <w:rPr>
          <w:lang w:val="en-US"/>
        </w:rPr>
      </w:pPr>
      <w:r w:rsidRPr="003E7DFF">
        <w:rPr>
          <w:lang w:val="en-US"/>
        </w:rPr>
        <w:t xml:space="preserve">Oil extraction from spent coffee grounds: Experimental studies and </w:t>
      </w:r>
      <w:proofErr w:type="spellStart"/>
      <w:r w:rsidRPr="003E7DFF">
        <w:rPr>
          <w:lang w:val="en-US"/>
        </w:rPr>
        <w:t>exergoeconomic</w:t>
      </w:r>
      <w:proofErr w:type="spellEnd"/>
      <w:r w:rsidRPr="003E7DFF">
        <w:rPr>
          <w:lang w:val="en-US"/>
        </w:rPr>
        <w:t xml:space="preserve"> analysis</w:t>
      </w:r>
    </w:p>
    <w:p w14:paraId="0488FED2" w14:textId="054759BC" w:rsidR="00B57E6F" w:rsidRPr="00123CEF" w:rsidRDefault="00322658" w:rsidP="00B57E6F">
      <w:pPr>
        <w:pStyle w:val="CETAuthors"/>
        <w:rPr>
          <w:lang w:val="es-ES"/>
        </w:rPr>
      </w:pPr>
      <w:r w:rsidRPr="00123CEF">
        <w:rPr>
          <w:lang w:val="es-ES"/>
        </w:rPr>
        <w:t>Diana L. Tinoco-Caicedo</w:t>
      </w:r>
      <w:r w:rsidR="00B57E6F" w:rsidRPr="00123CEF">
        <w:rPr>
          <w:vertAlign w:val="superscript"/>
          <w:lang w:val="es-ES"/>
        </w:rPr>
        <w:t>a</w:t>
      </w:r>
      <w:r w:rsidRPr="00123CEF">
        <w:rPr>
          <w:vertAlign w:val="superscript"/>
          <w:lang w:val="es-ES"/>
        </w:rPr>
        <w:t>,b,*</w:t>
      </w:r>
      <w:r w:rsidR="00B57E6F" w:rsidRPr="00123CEF">
        <w:rPr>
          <w:lang w:val="es-ES"/>
        </w:rPr>
        <w:t xml:space="preserve">, </w:t>
      </w:r>
      <w:r w:rsidRPr="00123CEF">
        <w:rPr>
          <w:lang w:val="es-ES"/>
        </w:rPr>
        <w:t>Medelyne Mero-Benavides</w:t>
      </w:r>
      <w:r w:rsidRPr="00123CEF">
        <w:rPr>
          <w:vertAlign w:val="superscript"/>
          <w:lang w:val="es-ES"/>
        </w:rPr>
        <w:t>a</w:t>
      </w:r>
      <w:r w:rsidR="00B57E6F" w:rsidRPr="00123CEF">
        <w:rPr>
          <w:lang w:val="es-ES"/>
        </w:rPr>
        <w:t xml:space="preserve">, </w:t>
      </w:r>
      <w:r w:rsidRPr="00123CEF">
        <w:rPr>
          <w:lang w:val="es-ES"/>
        </w:rPr>
        <w:t>Katherine Córdova-Molina</w:t>
      </w:r>
      <w:r w:rsidRPr="00123CEF">
        <w:rPr>
          <w:vertAlign w:val="superscript"/>
          <w:lang w:val="es-ES"/>
        </w:rPr>
        <w:t>a</w:t>
      </w:r>
      <w:r w:rsidRPr="00123CEF">
        <w:rPr>
          <w:lang w:val="es-ES"/>
        </w:rPr>
        <w:t>, Denisse Estrada-Ordoñez</w:t>
      </w:r>
      <w:r w:rsidRPr="00123CEF">
        <w:rPr>
          <w:vertAlign w:val="superscript"/>
          <w:lang w:val="es-ES"/>
        </w:rPr>
        <w:t>a</w:t>
      </w:r>
      <w:r w:rsidRPr="00123CEF">
        <w:rPr>
          <w:lang w:val="es-ES"/>
        </w:rPr>
        <w:t>, Ana M. Blanco-Marigorta</w:t>
      </w:r>
      <w:r w:rsidRPr="00123CEF">
        <w:rPr>
          <w:vertAlign w:val="superscript"/>
          <w:lang w:val="es-ES"/>
        </w:rPr>
        <w:t>c</w:t>
      </w:r>
    </w:p>
    <w:p w14:paraId="6B2D21B3" w14:textId="79F910F5" w:rsidR="00B57E6F" w:rsidRPr="007E4796" w:rsidRDefault="00B57E6F" w:rsidP="007E4796">
      <w:pPr>
        <w:pStyle w:val="CETAddress"/>
        <w:jc w:val="both"/>
        <w:rPr>
          <w:color w:val="000000" w:themeColor="text1"/>
          <w:lang w:val="es-ES"/>
        </w:rPr>
      </w:pPr>
      <w:r w:rsidRPr="007E4796">
        <w:rPr>
          <w:color w:val="000000" w:themeColor="text1"/>
          <w:vertAlign w:val="superscript"/>
          <w:lang w:val="es-ES"/>
        </w:rPr>
        <w:t>a</w:t>
      </w:r>
      <w:r w:rsidR="00160EF2" w:rsidRPr="007E4796">
        <w:rPr>
          <w:color w:val="000000" w:themeColor="text1"/>
          <w:lang w:val="es-ES"/>
        </w:rPr>
        <w:t xml:space="preserve">ESPOL Polytechnic University, Escuela Superior Politécnica del Litoral, ESPOL, Facultad de Ciencias Naturales y Matemáticas (FCNM), Campus Gustavo Galindo Km. 30.5 Via Perimetral, P.O. Box 09-01-5863  Guayaquil, Ecuador </w:t>
      </w:r>
    </w:p>
    <w:p w14:paraId="434413FF" w14:textId="7248BE4B" w:rsidR="00322658" w:rsidRPr="007E4796" w:rsidRDefault="00B57E6F" w:rsidP="007E4796">
      <w:pPr>
        <w:pStyle w:val="CETAddress"/>
        <w:jc w:val="both"/>
        <w:rPr>
          <w:color w:val="000000" w:themeColor="text1"/>
          <w:lang w:val="es-ES"/>
        </w:rPr>
      </w:pPr>
      <w:r w:rsidRPr="007E4796">
        <w:rPr>
          <w:color w:val="000000" w:themeColor="text1"/>
          <w:vertAlign w:val="superscript"/>
          <w:lang w:val="es-ES"/>
        </w:rPr>
        <w:t>b</w:t>
      </w:r>
      <w:r w:rsidR="00160EF2" w:rsidRPr="007E4796">
        <w:rPr>
          <w:color w:val="000000" w:themeColor="text1"/>
          <w:lang w:val="es-ES"/>
        </w:rPr>
        <w:t>ESPOL Polytechnic University, Escuela Superior Politécnica del Litoral, ESPOL,</w:t>
      </w:r>
      <w:r w:rsidR="00160EF2" w:rsidRPr="007E4796">
        <w:rPr>
          <w:color w:val="000000" w:themeColor="text1"/>
          <w:vertAlign w:val="superscript"/>
          <w:lang w:val="es-ES"/>
        </w:rPr>
        <w:t xml:space="preserve"> </w:t>
      </w:r>
      <w:r w:rsidR="00160EF2" w:rsidRPr="007E4796">
        <w:rPr>
          <w:color w:val="000000" w:themeColor="text1"/>
          <w:lang w:val="es-ES"/>
        </w:rPr>
        <w:t>Centro de Energías Renovables y Alternativas (CERA),  Campus Gustavo Galindo Km. 30.5 Via Perimetral, P.O. Box 09-01-5863  Guayaquil, Ecuador</w:t>
      </w:r>
    </w:p>
    <w:p w14:paraId="3D72B0B0" w14:textId="52E02500" w:rsidR="00B57E6F" w:rsidRPr="007E4796" w:rsidRDefault="00322658" w:rsidP="007E4796">
      <w:pPr>
        <w:pStyle w:val="CETAddress"/>
        <w:jc w:val="both"/>
        <w:rPr>
          <w:color w:val="000000" w:themeColor="text1"/>
          <w:lang w:val="es-ES"/>
        </w:rPr>
      </w:pPr>
      <w:r w:rsidRPr="007E4796">
        <w:rPr>
          <w:color w:val="000000" w:themeColor="text1"/>
          <w:vertAlign w:val="superscript"/>
          <w:lang w:val="es-ES"/>
        </w:rPr>
        <w:t>c</w:t>
      </w:r>
      <w:r w:rsidRPr="007E4796">
        <w:rPr>
          <w:color w:val="000000" w:themeColor="text1"/>
          <w:lang w:val="es-ES"/>
        </w:rPr>
        <w:t>Department of Process Engineering, Universidad de Las Palmas de Gran Canaria, 35017, Las Palmas de Gran Canaria, Canary Islands, Spain.</w:t>
      </w:r>
    </w:p>
    <w:p w14:paraId="16228915" w14:textId="77777777" w:rsidR="00322658" w:rsidRPr="007E4796" w:rsidRDefault="00322658" w:rsidP="007E4796">
      <w:pPr>
        <w:pStyle w:val="CETemail"/>
        <w:jc w:val="both"/>
        <w:rPr>
          <w:color w:val="000000" w:themeColor="text1"/>
          <w:lang w:val="en-US"/>
        </w:rPr>
      </w:pPr>
      <w:r w:rsidRPr="007E4796">
        <w:rPr>
          <w:color w:val="000000" w:themeColor="text1"/>
          <w:lang w:val="en-US"/>
        </w:rPr>
        <w:t>*dtinoco@espol.edu.ec</w:t>
      </w:r>
    </w:p>
    <w:p w14:paraId="2D2C6844" w14:textId="646D3EFA" w:rsidR="00322658" w:rsidRPr="003E7DFF" w:rsidRDefault="00322658" w:rsidP="00322658">
      <w:pPr>
        <w:pStyle w:val="CETBodytext"/>
      </w:pPr>
      <w:r w:rsidRPr="003E7DFF">
        <w:t xml:space="preserve">Currently, the spent coffee grounds (SCGs) are considered an agro-industrial waste with </w:t>
      </w:r>
      <w:r w:rsidR="00591026" w:rsidRPr="003E7DFF">
        <w:t xml:space="preserve">a </w:t>
      </w:r>
      <w:r w:rsidRPr="003E7DFF">
        <w:t>high</w:t>
      </w:r>
      <w:r w:rsidR="00591026" w:rsidRPr="003E7DFF">
        <w:t xml:space="preserve"> oil content that can be used </w:t>
      </w:r>
      <w:r w:rsidRPr="003E7DFF">
        <w:t xml:space="preserve">as a feedstock in biorefineries. </w:t>
      </w:r>
      <w:r w:rsidR="00591026" w:rsidRPr="003E7DFF">
        <w:t>Therefore,</w:t>
      </w:r>
      <w:r w:rsidR="00895C45" w:rsidRPr="003E7DFF">
        <w:t xml:space="preserve"> </w:t>
      </w:r>
      <w:r w:rsidRPr="003E7DFF">
        <w:t>the oil extraction</w:t>
      </w:r>
      <w:r w:rsidR="00591026" w:rsidRPr="003E7DFF">
        <w:t xml:space="preserve"> from SCGs is considered a main stage, that should</w:t>
      </w:r>
      <w:r w:rsidRPr="003E7DFF">
        <w:t xml:space="preserve"> be</w:t>
      </w:r>
      <w:r w:rsidR="00591026" w:rsidRPr="003E7DFF">
        <w:t xml:space="preserve"> </w:t>
      </w:r>
      <w:r w:rsidRPr="003E7DFF">
        <w:t>sustainable and low</w:t>
      </w:r>
      <w:r w:rsidR="00591026" w:rsidRPr="003E7DFF">
        <w:t>-</w:t>
      </w:r>
      <w:r w:rsidRPr="003E7DFF">
        <w:t xml:space="preserve">cost. The aim of this study is to </w:t>
      </w:r>
      <w:r w:rsidR="00591026" w:rsidRPr="003E7DFF">
        <w:t xml:space="preserve">determine and compare the </w:t>
      </w:r>
      <w:proofErr w:type="spellStart"/>
      <w:r w:rsidR="00591026" w:rsidRPr="003E7DFF">
        <w:t>exergetic</w:t>
      </w:r>
      <w:proofErr w:type="spellEnd"/>
      <w:r w:rsidR="00591026" w:rsidRPr="003E7DFF">
        <w:t xml:space="preserve"> and economic indicators</w:t>
      </w:r>
      <w:r w:rsidRPr="003E7DFF">
        <w:t xml:space="preserve"> of two SCGs oil extraction processes: </w:t>
      </w:r>
      <w:proofErr w:type="spellStart"/>
      <w:r w:rsidRPr="003E7DFF">
        <w:t>soxhlet</w:t>
      </w:r>
      <w:proofErr w:type="spellEnd"/>
      <w:r w:rsidRPr="003E7DFF">
        <w:t xml:space="preserve"> extraction (SE) and </w:t>
      </w:r>
      <w:r w:rsidR="002677BF">
        <w:t>ultrasound</w:t>
      </w:r>
      <w:r w:rsidRPr="003E7DFF">
        <w:t xml:space="preserve">-assisted extraction (UAE). The </w:t>
      </w:r>
      <w:proofErr w:type="spellStart"/>
      <w:r w:rsidRPr="003E7DFF">
        <w:t>exergoeconomic</w:t>
      </w:r>
      <w:proofErr w:type="spellEnd"/>
      <w:r w:rsidRPr="003E7DFF">
        <w:t xml:space="preserve"> balances were performed by using Engineering Equation Solver (ESS). </w:t>
      </w:r>
      <w:r>
        <w:t>In addition, the effect</w:t>
      </w:r>
      <w:r w:rsidR="00E51C06">
        <w:t>s</w:t>
      </w:r>
      <w:r>
        <w:t xml:space="preserve"> of the </w:t>
      </w:r>
      <w:r w:rsidR="00C035A5">
        <w:t>solvent</w:t>
      </w:r>
      <w:r>
        <w:t xml:space="preserve"> to SCGs ratio on </w:t>
      </w:r>
      <w:r w:rsidR="00F51732">
        <w:t xml:space="preserve">the extraction yield and </w:t>
      </w:r>
      <w:r w:rsidR="47ED3FF1">
        <w:t xml:space="preserve">on </w:t>
      </w:r>
      <w:r w:rsidR="00F51732">
        <w:t xml:space="preserve">the </w:t>
      </w:r>
      <w:proofErr w:type="spellStart"/>
      <w:r w:rsidR="00F51732">
        <w:t>exergoeconomic</w:t>
      </w:r>
      <w:proofErr w:type="spellEnd"/>
      <w:r w:rsidR="00F51732">
        <w:t xml:space="preserve"> indicators</w:t>
      </w:r>
      <w:r w:rsidR="002A1951">
        <w:t xml:space="preserve"> w</w:t>
      </w:r>
      <w:r w:rsidR="00E51C06">
        <w:t>ere</w:t>
      </w:r>
      <w:r w:rsidR="002A1951">
        <w:t xml:space="preserve"> studied</w:t>
      </w:r>
      <w:r w:rsidR="51AE78FF">
        <w:t>.</w:t>
      </w:r>
      <w:r w:rsidRPr="003E7DFF">
        <w:t xml:space="preserve"> The analysis aided by computational tools determined that the exergy destruction rate </w:t>
      </w:r>
      <w:r w:rsidR="00F51732" w:rsidRPr="003E7DFF">
        <w:t>of the</w:t>
      </w:r>
      <w:r w:rsidRPr="003E7DFF">
        <w:t xml:space="preserve"> SE </w:t>
      </w:r>
      <w:r w:rsidR="002677BF">
        <w:t>process</w:t>
      </w:r>
      <w:r w:rsidRPr="003E7DFF">
        <w:t xml:space="preserve"> (</w:t>
      </w:r>
      <w:r w:rsidR="00FB65BA" w:rsidRPr="003E7DFF">
        <w:t>14.</w:t>
      </w:r>
      <w:r w:rsidR="005D42DE">
        <w:t>3</w:t>
      </w:r>
      <w:r w:rsidRPr="003E7DFF">
        <w:t xml:space="preserve"> </w:t>
      </w:r>
      <w:r w:rsidR="00FB65BA" w:rsidRPr="003E7DFF">
        <w:t>kJ/kg</w:t>
      </w:r>
      <w:r w:rsidRPr="003E7DFF">
        <w:t>) i</w:t>
      </w:r>
      <w:r w:rsidR="00F51732" w:rsidRPr="003E7DFF">
        <w:t>s higher compared with</w:t>
      </w:r>
      <w:r w:rsidRPr="003E7DFF">
        <w:t xml:space="preserve"> </w:t>
      </w:r>
      <w:r w:rsidR="00F51732" w:rsidRPr="003E7DFF">
        <w:t>the</w:t>
      </w:r>
      <w:r w:rsidRPr="003E7DFF">
        <w:t xml:space="preserve"> UAE </w:t>
      </w:r>
      <w:r w:rsidR="002677BF">
        <w:t>process</w:t>
      </w:r>
      <w:r w:rsidRPr="003E7DFF">
        <w:t xml:space="preserve"> (</w:t>
      </w:r>
      <w:r w:rsidR="005D42DE">
        <w:t>4.50</w:t>
      </w:r>
      <w:r w:rsidR="00FB65BA" w:rsidRPr="003E7DFF">
        <w:t xml:space="preserve"> kJ/kg</w:t>
      </w:r>
      <w:r w:rsidRPr="003E7DFF">
        <w:t xml:space="preserve">). Therefore, the oil specific cost is reduced to </w:t>
      </w:r>
      <w:r w:rsidR="00FB65BA" w:rsidRPr="003E7DFF">
        <w:t>86</w:t>
      </w:r>
      <w:r w:rsidRPr="003E7DFF">
        <w:t xml:space="preserve">% when using UAE </w:t>
      </w:r>
      <w:r w:rsidR="002677BF">
        <w:t>process.</w:t>
      </w:r>
      <w:r w:rsidRPr="003E7DFF">
        <w:t xml:space="preserve"> Furthermore, </w:t>
      </w:r>
      <w:r w:rsidR="00F51732" w:rsidRPr="003E7DFF">
        <w:t xml:space="preserve">in the UAE </w:t>
      </w:r>
      <w:r w:rsidR="002677BF">
        <w:t>process</w:t>
      </w:r>
      <w:r w:rsidR="00F51732" w:rsidRPr="003E7DFF">
        <w:t xml:space="preserve">, </w:t>
      </w:r>
      <w:r w:rsidRPr="003E7DFF">
        <w:t xml:space="preserve">the </w:t>
      </w:r>
      <w:r w:rsidR="00F51732" w:rsidRPr="003E7DFF">
        <w:t>increase in</w:t>
      </w:r>
      <w:r w:rsidRPr="003E7DFF">
        <w:t xml:space="preserve"> the hexane to SCGs ratio from 5 mL/g to 20 mL/g</w:t>
      </w:r>
      <w:r w:rsidR="00F51732" w:rsidRPr="003E7DFF">
        <w:t xml:space="preserve">, reduces </w:t>
      </w:r>
      <w:r w:rsidRPr="003E7DFF">
        <w:t>the oil specific cost by 6</w:t>
      </w:r>
      <w:r w:rsidR="00FB65BA" w:rsidRPr="003E7DFF">
        <w:t>8.</w:t>
      </w:r>
      <w:r w:rsidR="00F14488">
        <w:t>5</w:t>
      </w:r>
      <w:r w:rsidR="008B70F7">
        <w:t xml:space="preserve"> </w:t>
      </w:r>
      <w:r w:rsidRPr="003E7DFF">
        <w:t>% and increase</w:t>
      </w:r>
      <w:r w:rsidR="00F51732" w:rsidRPr="003E7DFF">
        <w:t>s</w:t>
      </w:r>
      <w:r w:rsidRPr="003E7DFF">
        <w:t xml:space="preserve"> the</w:t>
      </w:r>
      <w:r w:rsidR="00F51732" w:rsidRPr="003E7DFF">
        <w:t xml:space="preserve"> oil extraction</w:t>
      </w:r>
      <w:r w:rsidRPr="003E7DFF">
        <w:t xml:space="preserve"> yield from 10.5</w:t>
      </w:r>
      <w:r w:rsidR="008B70F7">
        <w:t xml:space="preserve"> </w:t>
      </w:r>
      <w:r w:rsidRPr="003E7DFF">
        <w:t>% to 18.8</w:t>
      </w:r>
      <w:r w:rsidR="008B70F7">
        <w:t xml:space="preserve"> </w:t>
      </w:r>
      <w:r w:rsidRPr="003E7DFF">
        <w:t>%. Future studies should focus on the</w:t>
      </w:r>
      <w:r w:rsidR="00F51732" w:rsidRPr="003E7DFF">
        <w:t xml:space="preserve"> </w:t>
      </w:r>
      <w:r w:rsidR="002677BF">
        <w:t>ultrasound</w:t>
      </w:r>
      <w:r w:rsidR="00F51732" w:rsidRPr="003E7DFF">
        <w:t>-assisted extraction process</w:t>
      </w:r>
      <w:r w:rsidRPr="003E7DFF">
        <w:t xml:space="preserve"> scale-up</w:t>
      </w:r>
      <w:r w:rsidR="00F51732" w:rsidRPr="003E7DFF">
        <w:t>.</w:t>
      </w:r>
    </w:p>
    <w:p w14:paraId="644E4A62" w14:textId="1B373058" w:rsidR="00C04927" w:rsidRDefault="00600535" w:rsidP="00C04927">
      <w:pPr>
        <w:pStyle w:val="CETHeading1"/>
      </w:pPr>
      <w:r w:rsidRPr="003E7DFF">
        <w:t>Introduction</w:t>
      </w:r>
    </w:p>
    <w:p w14:paraId="3932801F" w14:textId="18797688" w:rsidR="00A7675B" w:rsidRPr="00907A2D" w:rsidRDefault="00A7675B" w:rsidP="00A7675B">
      <w:pPr>
        <w:pStyle w:val="CETBodytext"/>
      </w:pPr>
      <w:r w:rsidRPr="00907A2D">
        <w:t xml:space="preserve">Nowadays, the SCGs oil is considered a potential feedstock for the production of bioproducts used in health and energy applications </w:t>
      </w:r>
      <w:r w:rsidRPr="00907A2D">
        <w:rPr>
          <w:rStyle w:val="CETCaptionCarattere"/>
          <w:lang w:val="en-US"/>
        </w:rPr>
        <w:fldChar w:fldCharType="begin" w:fldLock="1"/>
      </w:r>
      <w:r w:rsidR="008B70F7" w:rsidRPr="00907A2D">
        <w:rPr>
          <w:rStyle w:val="CETCaptionCarattere"/>
          <w:lang w:val="en-US"/>
        </w:rPr>
        <w:instrText>ADDIN CSL_CITATION {"citationItems":[{"id":"ITEM-1","itemData":{"ISSN":"00162361","abstract":"Coffee is the second largest traded commodity after petroleum and the second most popular beverage after water. This big industry is believed to generate huge amount of waste with spent coffee grounds (SCGs) represents one of the main by-products. Recycling of such waste to fuels and value-added products through bio-refineries is a promising way to solve the problem of many countries that face daily challenges and heavy cost in waste disposal. This review aims to shadow the light on SCGs recycling potential in which over 230 published papers on SCGs recycling topic were gathered and discussed. Various opportunities to produce biofuels such as biodiesel, biogas, bioethanol, bio-oil and fuel pellets besides value-added products such as bioactive compounds, adsorbents, polymers, nanocomposites, and compost were discussed. Moreover, the potential of membrane technology related to various processes of biorefining, separation and purification in the proposed SCG-integrated biorefinery are presented. Based on the presented review, it is obvious that recycling of SCGs offers many worthwhile options to policymakers that can contribute towards huge financial saving on taxpayers of running and maintaining landfills besides saving the environment from harmful emissions. In conclusion, this review emphasizes that SCG-integrated biorefineries to produce different types of biofuels and value-added products are a very promising approach that shall be economically more scrutinized in the foreseen future.","author":[{"dropping-particle":"","family":"Atabani","given":"A. E.","non-dropping-particle":"","parse-names":false,"suffix":""},{"dropping-particle":"","family":"Al-Muhtaseb","given":"Ala'a H.","non-dropping-particle":"","parse-names":false,"suffix":""},{"dropping-particle":"","family":"Kumar","given":"Gopalakrishnan","non-dropping-particle":"","parse-names":false,"suffix":""},{"dropping-particle":"","family":"Saratale","given":"Ganesh Dattatraya","non-dropping-particle":"","parse-names":false,"suffix":""},{"dropping-particle":"","family":"Aslam","given":"Muhammad","non-dropping-particle":"","parse-names":false,"suffix":""},{"dropping-particle":"","family":"Khan","given":"Hassnain Abbas","non-dropping-particle":"","parse-names":false,"suffix":""},{"dropping-particle":"","family":"Said","given":"Zafar","non-dropping-particle":"","parse-names":false,"suffix":""},{"dropping-particle":"","family":"Mahmoud","given":"Eyas","non-dropping-particle":"","parse-names":false,"suffix":""}],"container-title":"Fuel","id":"ITEM-1","issue":"February","issued":{"date-parts":[["2019"]]},"page":"115640","publisher":"Elsevier","title":"Valorization of spent coffee grounds into biofuels and value-added products: Pathway towards integrated bio-refinery","type":"article-journal","volume":"254"},"uris":["http://www.mendeley.com/documents/?uuid=21c77a21-78c0-42ec-809e-ee172060ef04"]}],"mendeley":{"formattedCitation":"(Atabani et al., 2019)","plainTextFormattedCitation":"(Atabani et al., 2019)","previouslyFormattedCitation":"(Atabani et al., 2019)"},"properties":{"noteIndex":0},"schema":"https://github.com/citation-style-language/schema/raw/master/csl-citation.json"}</w:instrText>
      </w:r>
      <w:r w:rsidRPr="00907A2D">
        <w:rPr>
          <w:rStyle w:val="CETCaptionCarattere"/>
          <w:lang w:val="en-US"/>
        </w:rPr>
        <w:fldChar w:fldCharType="separate"/>
      </w:r>
      <w:r w:rsidRPr="00907A2D">
        <w:rPr>
          <w:rStyle w:val="CETCaptionCarattere"/>
          <w:i w:val="0"/>
          <w:noProof/>
          <w:lang w:val="en-US"/>
        </w:rPr>
        <w:t>(Atabani et al., 2019)</w:t>
      </w:r>
      <w:r w:rsidRPr="00907A2D">
        <w:rPr>
          <w:rStyle w:val="CETCaptionCarattere"/>
          <w:lang w:val="en-US"/>
        </w:rPr>
        <w:fldChar w:fldCharType="end"/>
      </w:r>
      <w:r w:rsidRPr="00907A2D">
        <w:t>. Previous studies have found useful chemical compounds</w:t>
      </w:r>
      <w:r w:rsidR="00B47888" w:rsidRPr="00907A2D">
        <w:t xml:space="preserve">, such as fatty acids and caffeine, </w:t>
      </w:r>
      <w:r w:rsidRPr="00907A2D">
        <w:t xml:space="preserve">derived from the SCGs oil. Moreover, the SCGs oil has exhibited antioxidant and enzyme inhibitory properties </w:t>
      </w:r>
      <w:r w:rsidRPr="00907A2D">
        <w:fldChar w:fldCharType="begin" w:fldLock="1"/>
      </w:r>
      <w:r w:rsidRPr="00907A2D">
        <w:instrText>ADDIN CSL_CITATION {"citationItems":[{"id":"ITEM-1","itemData":{"ISBN":"3907374045","ISSN":"23048158","abstract":"In a world where an eco-friendlier approach is becoming more and more necessary, it is essential to reduce waste production and to reuse residues of the company’s supply chain. Coffee silverskin (CS) and spent coffee ground (SCG), two by-products of coffee production, are important sources of bioactive compounds and, for this, some authors have proposed their reuse in the nutraceutical, food, and cosmetic sector. However, their potential enzyme inhibitory properties have been poorly investigated. Hence, the objective of the current work was to study the enzymatic inhibitory activities against acetylcholinesterase, butyrylcholinesterase, α-amylase, α-glucosidase, and tyrosinase of different extracts of CS and SCG. Before these in vitro bioassays, the phytochemical composition of each extract was investigated via colorimetric assays and HPLC-MS/MS analysis. In addition, the antioxidant activities were evaluated by different chemical approaches. SCG extracts contained a higher content of bioactive compounds, notably the SCG EtOH:H2O extract was the richest in caffeine and possessed the highest antioxidant activities. The hydroalcoholic and methanolic extracts were shown to be the most active against all tested enzymes, while the water extracts displayed lower activity. Our results showed a weak correlation between bioactive compounds and enzyme inhibitory effects, proving inhibitory activities likely due to non-phenolic molecules such as alkaloids and terpenoids. Obtained findings could be a starting point to develop novel nutraceuticals from CS and SCG.","author":[{"dropping-particle":"","family":"Zengin","given":"Gokhan","non-dropping-particle":"","parse-names":false,"suffix":""},{"dropping-particle":"","family":"Sinan","given":"Kouadio Ibrahime","non-dropping-particle":"","parse-names":false,"suffix":""},{"dropping-particle":"","family":"Mahomoodally","given":"Mohamad Fawzi","non-dropping-particle":"","parse-names":false,"suffix":""},{"dropping-particle":"","family":"Angeloni","given":"Simone","non-dropping-particle":"","parse-names":false,"suffix":""},{"dropping-particle":"","family":"Mustafa","given":"Ahmed M.","non-dropping-particle":"","parse-names":false,"suffix":""},{"dropping-particle":"","family":"Vittori","given":"Sauro","non-dropping-particle":"","parse-names":false,"suffix":""},{"dropping-particle":"","family":"Maggi","given":"Filippo","non-dropping-particle":"","parse-names":false,"suffix":""},{"dropping-particle":"","family":"Caprioli","given":"Giovanni","non-dropping-particle":"","parse-names":false,"suffix":""}],"container-title":"Foods","id":"ITEM-1","issue":"6","issued":{"date-parts":[["2020"]]},"page":"1-17","title":"Chemical composition, antioxidant and enzyme inhibitory properties of different extracts obtained from spent coffee ground and coffee silverskin","type":"article-journal","volume":"9"},"uris":["http://www.mendeley.com/documents/?uuid=fa03a49b-ee87-4e23-9555-61f80744a494","http://www.mendeley.com/documents/?uuid=8981363d-9559-4218-8017-1ce5a1faf4b2"]}],"mendeley":{"formattedCitation":"(Zengin et al., 2020)","plainTextFormattedCitation":"(Zengin et al., 2020)","previouslyFormattedCitation":"(Zengin et al., 2020)"},"properties":{"noteIndex":0},"schema":"https://github.com/citation-style-language/schema/raw/master/csl-citation.json"}</w:instrText>
      </w:r>
      <w:r w:rsidRPr="00907A2D">
        <w:fldChar w:fldCharType="separate"/>
      </w:r>
      <w:r w:rsidRPr="00907A2D">
        <w:rPr>
          <w:noProof/>
        </w:rPr>
        <w:t>(Zengin et al., 2020)</w:t>
      </w:r>
      <w:r w:rsidRPr="00907A2D">
        <w:fldChar w:fldCharType="end"/>
      </w:r>
      <w:r w:rsidRPr="00907A2D">
        <w:t xml:space="preserve">. Given that the oil extraction from SCGs is considered a main stage in a biorefinery for SCGs </w:t>
      </w:r>
      <w:r w:rsidRPr="00907A2D">
        <w:rPr>
          <w:color w:val="000000" w:themeColor="text1"/>
        </w:rPr>
        <w:t xml:space="preserve">valorization </w:t>
      </w:r>
      <w:r w:rsidRPr="00907A2D">
        <w:rPr>
          <w:color w:val="000000" w:themeColor="text1"/>
        </w:rPr>
        <w:fldChar w:fldCharType="begin" w:fldLock="1"/>
      </w:r>
      <w:r w:rsidR="008B70F7" w:rsidRPr="00907A2D">
        <w:rPr>
          <w:color w:val="000000" w:themeColor="text1"/>
        </w:rPr>
        <w:instrText>ADDIN CSL_CITATION {"citationItems":[{"id":"ITEM-1","itemData":{"ISSN":"00162361","abstract":"Coffee is the second largest traded commodity after petroleum and the second most popular beverage after water. This big industry is believed to generate huge amount of waste with spent coffee grounds (SCGs) represents one of the main by-products. Recycling of such waste to fuels and value-added products through bio-refineries is a promising way to solve the problem of many countries that face daily challenges and heavy cost in waste disposal. This review aims to shadow the light on SCGs recycling potential in which over 230 published papers on SCGs recycling topic were gathered and discussed. Various opportunities to produce biofuels such as biodiesel, biogas, bioethanol, bio-oil and fuel pellets besides value-added products such as bioactive compounds, adsorbents, polymers, nanocomposites, and compost were discussed. Moreover, the potential of membrane technology related to various processes of biorefining, separation and purification in the proposed SCG-integrated biorefinery are presented. Based on the presented review, it is obvious that recycling of SCGs offers many worthwhile options to policymakers that can contribute towards huge financial saving on taxpayers of running and maintaining landfills besides saving the environment from harmful emissions. In conclusion, this review emphasizes that SCG-integrated biorefineries to produce different types of biofuels and value-added products are a very promising approach that shall be economically more scrutinized in the foreseen future.","author":[{"dropping-particle":"","family":"Atabani","given":"A. E.","non-dropping-particle":"","parse-names":false,"suffix":""},{"dropping-particle":"","family":"Al-Muhtaseb","given":"Ala'a H.","non-dropping-particle":"","parse-names":false,"suffix":""},{"dropping-particle":"","family":"Kumar","given":"Gopalakrishnan","non-dropping-particle":"","parse-names":false,"suffix":""},{"dropping-particle":"","family":"Saratale","given":"Ganesh Dattatraya","non-dropping-particle":"","parse-names":false,"suffix":""},{"dropping-particle":"","family":"Aslam","given":"Muhammad","non-dropping-particle":"","parse-names":false,"suffix":""},{"dropping-particle":"","family":"Khan","given":"Hassnain Abbas","non-dropping-particle":"","parse-names":false,"suffix":""},{"dropping-particle":"","family":"Said","given":"Zafar","non-dropping-particle":"","parse-names":false,"suffix":""},{"dropping-particle":"","family":"Mahmoud","given":"Eyas","non-dropping-particle":"","parse-names":false,"suffix":""}],"container-title":"Fuel","id":"ITEM-1","issue":"February","issued":{"date-parts":[["2019"]]},"page":"115640","publisher":"Elsevier","title":"Valorization of spent coffee grounds into biofuels and value-added products: Pathway towards integrated bio-refinery","type":"article-journal","volume":"254"},"uris":["http://www.mendeley.com/documents/?uuid=21c77a21-78c0-42ec-809e-ee172060ef04"]}],"mendeley":{"formattedCitation":"(Atabani et al., 2019)","plainTextFormattedCitation":"(Atabani et al., 2019)","previouslyFormattedCitation":"(Atabani et al., 2019)"},"properties":{"noteIndex":0},"schema":"https://github.com/citation-style-language/schema/raw/master/csl-citation.json"}</w:instrText>
      </w:r>
      <w:r w:rsidRPr="00907A2D">
        <w:rPr>
          <w:color w:val="000000" w:themeColor="text1"/>
        </w:rPr>
        <w:fldChar w:fldCharType="separate"/>
      </w:r>
      <w:r w:rsidRPr="00907A2D">
        <w:rPr>
          <w:noProof/>
          <w:color w:val="000000" w:themeColor="text1"/>
        </w:rPr>
        <w:t>(Atabani et al., 2019)</w:t>
      </w:r>
      <w:r w:rsidRPr="00907A2D">
        <w:rPr>
          <w:color w:val="000000" w:themeColor="text1"/>
        </w:rPr>
        <w:fldChar w:fldCharType="end"/>
      </w:r>
      <w:r w:rsidRPr="00907A2D">
        <w:rPr>
          <w:color w:val="000000" w:themeColor="text1"/>
        </w:rPr>
        <w:t xml:space="preserve">, </w:t>
      </w:r>
      <w:r w:rsidRPr="00907A2D">
        <w:t xml:space="preserve">different aspects of the process </w:t>
      </w:r>
      <w:r w:rsidR="00F32EAC" w:rsidRPr="00907A2D">
        <w:rPr>
          <w:color w:val="000000" w:themeColor="text1"/>
        </w:rPr>
        <w:t>should be studied</w:t>
      </w:r>
      <w:r w:rsidR="00F32EAC" w:rsidRPr="00907A2D">
        <w:t xml:space="preserve"> </w:t>
      </w:r>
      <w:r w:rsidRPr="00907A2D">
        <w:t>such as oil extraction yield, sustainability and profitability.</w:t>
      </w:r>
    </w:p>
    <w:p w14:paraId="6169E792" w14:textId="6110670C" w:rsidR="00A7675B" w:rsidRPr="00907A2D" w:rsidRDefault="00A7675B" w:rsidP="00A7675B">
      <w:pPr>
        <w:pStyle w:val="CETBodytext"/>
        <w:rPr>
          <w:color w:val="000000" w:themeColor="text1"/>
        </w:rPr>
      </w:pPr>
      <w:r w:rsidRPr="00907A2D">
        <w:t>The oil extraction processes</w:t>
      </w:r>
      <w:r>
        <w:t xml:space="preserve"> such as </w:t>
      </w:r>
      <w:proofErr w:type="spellStart"/>
      <w:r>
        <w:t>soxhlet</w:t>
      </w:r>
      <w:proofErr w:type="spellEnd"/>
      <w:r>
        <w:t>, ultrasound-assisted, m</w:t>
      </w:r>
      <w:r w:rsidRPr="00A0585D">
        <w:t xml:space="preserve">icrowave assisted </w:t>
      </w:r>
      <w:r>
        <w:t xml:space="preserve">and </w:t>
      </w:r>
      <w:r w:rsidRPr="00907A2D">
        <w:t xml:space="preserve">maceration </w:t>
      </w:r>
      <w:r w:rsidR="00847D91" w:rsidRPr="00907A2D">
        <w:t xml:space="preserve">that </w:t>
      </w:r>
      <w:r w:rsidRPr="00907A2D">
        <w:t xml:space="preserve">have been experimentally studied at lab scale </w:t>
      </w:r>
      <w:r w:rsidRPr="00907A2D">
        <w:rPr>
          <w:b/>
        </w:rPr>
        <w:fldChar w:fldCharType="begin" w:fldLock="1"/>
      </w:r>
      <w:r w:rsidRPr="00907A2D">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grounds","type":"article-journal","volume":"56"},"uris":["http://www.mendeley.com/documents/?uuid=742e7abe-3be1-4062-b268-8abac196a52d","http://www.mendeley.com/documents/?uuid=1c549636-1154-402f-9fc0-09e1ff3650ba"]}],"mendeley":{"formattedCitation":"(Le et al., 2017)","plainTextFormattedCitation":"(Le et al., 2017)","previouslyFormattedCitation":"(Le et al., 2017)"},"properties":{"noteIndex":0},"schema":"https://github.com/citation-style-language/schema/raw/master/csl-citation.json"}</w:instrText>
      </w:r>
      <w:r w:rsidRPr="00907A2D">
        <w:rPr>
          <w:b/>
        </w:rPr>
        <w:fldChar w:fldCharType="separate"/>
      </w:r>
      <w:r w:rsidRPr="00907A2D">
        <w:rPr>
          <w:noProof/>
        </w:rPr>
        <w:t>(Le et al., 2017)</w:t>
      </w:r>
      <w:r w:rsidRPr="00907A2D">
        <w:rPr>
          <w:b/>
        </w:rPr>
        <w:fldChar w:fldCharType="end"/>
      </w:r>
      <w:r w:rsidRPr="00907A2D">
        <w:t xml:space="preserve"> highlight the disadvantage of using the maceration process because it is time consuming and ha</w:t>
      </w:r>
      <w:r w:rsidR="00DD2EB3" w:rsidRPr="00907A2D">
        <w:t>s</w:t>
      </w:r>
      <w:r w:rsidRPr="00907A2D">
        <w:t xml:space="preserve"> the lowest yield (11 %). </w:t>
      </w:r>
      <w:r w:rsidR="004A2645" w:rsidRPr="00907A2D">
        <w:t>In contrast</w:t>
      </w:r>
      <w:r w:rsidRPr="00907A2D">
        <w:t xml:space="preserve">, the </w:t>
      </w:r>
      <w:proofErr w:type="spellStart"/>
      <w:r w:rsidRPr="00907A2D">
        <w:t>soxhlet</w:t>
      </w:r>
      <w:proofErr w:type="spellEnd"/>
      <w:r w:rsidRPr="00907A2D">
        <w:t xml:space="preserve"> and microwave assisted process are the highest (between 15 % and 16 %). However, the microwave assisted process </w:t>
      </w:r>
      <w:r w:rsidRPr="00907A2D">
        <w:rPr>
          <w:color w:val="000000" w:themeColor="text1"/>
        </w:rPr>
        <w:t xml:space="preserve">has a potential for oxidative damage to valuable lipid products </w:t>
      </w:r>
      <w:r w:rsidRPr="00907A2D">
        <w:rPr>
          <w:color w:val="000000" w:themeColor="text1"/>
        </w:rPr>
        <w:fldChar w:fldCharType="begin" w:fldLock="1"/>
      </w:r>
      <w:r w:rsidR="008B70F7" w:rsidRPr="00907A2D">
        <w:rPr>
          <w:color w:val="000000" w:themeColor="text1"/>
        </w:rPr>
        <w:instrText>ADDIN CSL_CITATION {"citationItems":[{"id":"ITEM-1","itemData":{"ISSN":"14387697","abstract":"Microalgae are a diverse group of organisms with significant potential for industrial applications: as feedstock in aquaculture as well as in the production of valuable bioproducts such as lipids, carotenoids and enzymes. Lately, developments in molecular biology have improved production yields of algae bioproducts, thus increasing their industrial relevance. Additionally, variations in bioprocessing factors (i.e. temperature, pH, light, carbon source, salinity, nutrients, etc.) have been used to enhance both biomass and specific bioproducts' productivities. Particularly, microalgae have increasingly gained research interest as a source of specialty lipids such as arachidonic, eicosapentaenoic and docosahexaenoic acids, which are often reported in literature to provide several health benefits. Moreover, there has been a recent resurgence in interest in microalgae as an oil producer for biofuel applications. Significant advances have also been made in upstream processing to generate cellular biomass and oil. However, extracting and purifying oil from algae continues to prove a significant challenge in producing both microalgae bioproducts and biofuel, as microbial oil extraction is relatively energy-intensive and costly. Thus, developing inexpensive and robust oil extraction and purification processes is a major challenge facing both the microalgae to bioproduct, and biofuel industries. This paper presents an overview, based on the last 10years, of advances made in technologies for extracting and purifying microalgae oil. We compared solvent extraction technologies with extraction alternatives such as mechanical milling and pressing, enzymatic and supercritical fluid extraction. We also reviewed recent advances based on molecular engineering of microbes to aid oil extraction. Downstream processing for the potential commercial production of microalgae oil not only must consider economic costs, but should also consider minimizing environmental impacts in order to attain sustainable production processes. © 2011 WILEY-VCH Verlag GmbH &amp; Co. KGaA, Weinheim.","author":[{"dropping-particle":"","family":"Mercer","given":"Paula","non-dropping-particle":"","parse-names":false,"suffix":""},{"dropping-particle":"","family":"Armenta","given":"Roberto E.","non-dropping-particle":"","parse-names":false,"suffix":""}],"container-title":"European Journal of Lipid Science and Technology","id":"ITEM-1","issue":"5","issued":{"date-parts":[["2011"]]},"page":"539-547","title":"Developments in oil extraction from microalgae","type":"article-journal","volume":"113"},"uris":["http://www.mendeley.com/documents/?uuid=783508cb-af7e-406d-8749-3ab1a633907c","http://www.mendeley.com/documents/?uuid=0deb5f9f-c5fb-4b36-a399-d747e9bd6691"]}],"mendeley":{"formattedCitation":"(Mercer and Armenta, 2011)","plainTextFormattedCitation":"(Mercer and Armenta, 2011)","previouslyFormattedCitation":"(Mercer and Armenta, 2011)"},"properties":{"noteIndex":0},"schema":"https://github.com/citation-style-language/schema/raw/master/csl-citation.json"}</w:instrText>
      </w:r>
      <w:r w:rsidRPr="00907A2D">
        <w:rPr>
          <w:color w:val="000000" w:themeColor="text1"/>
        </w:rPr>
        <w:fldChar w:fldCharType="separate"/>
      </w:r>
      <w:r w:rsidRPr="00907A2D">
        <w:rPr>
          <w:noProof/>
          <w:color w:val="000000" w:themeColor="text1"/>
        </w:rPr>
        <w:t>(Mercer and Armenta, 2011)</w:t>
      </w:r>
      <w:r w:rsidRPr="00907A2D">
        <w:rPr>
          <w:color w:val="000000" w:themeColor="text1"/>
        </w:rPr>
        <w:fldChar w:fldCharType="end"/>
      </w:r>
      <w:r w:rsidRPr="00907A2D">
        <w:rPr>
          <w:color w:val="000000" w:themeColor="text1"/>
        </w:rPr>
        <w:t xml:space="preserve">, while the UAE method had minimum effects on extractable compounds </w:t>
      </w:r>
      <w:r w:rsidRPr="00907A2D">
        <w:rPr>
          <w:color w:val="000000" w:themeColor="text1"/>
        </w:rPr>
        <w:fldChar w:fldCharType="begin" w:fldLock="1"/>
      </w:r>
      <w:r w:rsidR="008B70F7" w:rsidRPr="00907A2D">
        <w:rPr>
          <w:color w:val="000000" w:themeColor="text1"/>
        </w:rPr>
        <w:instrText>ADDIN CSL_CITATION {"citationItems":[{"id":"ITEM-1","itemData":{"abstract":"Essential oils are composite mixtures of volatile compounds most frequently present at low concentrations in plants. Several different extraction techniques are widely employed for the extraction of essential oils such as steam distillation and solvent extraction. These methods are characterized by drawbacks such as low extraction efficiency and selectivity, use of large amounts of solvents, and long extraction times. In many cases, the quality of the essential oil obtained by conventional methods can be influenced by hydrolyzation or oxidation than can take place due to long extraction time and/or high water quantity. Due to these limitations, alternative methods for the extraction of essential oils have been developed which can typically overcome these problems. Supercritical fluid extraction, microwave assisted extraction and ultrasound are novel methods that are now recognized as efficient extraction methods and can significantly reduce extraction times, enhance yields, and quality of essential oil. Although these methods are predominantly exploited on the laboratory scale, they have also found industrial applications, although in most cases to a limited extent.","author":[{"dropping-particle":"","family":"Stratakos","given":"Alexandros Ch","non-dropping-particle":"","parse-names":false,"suffix":""},{"dropping-particle":"","family":"Koidis","given":"Anastasios","non-dropping-particle":"","parse-names":false,"suffix":""}],"container-title":"Essential Oils in Food Preservation, Flavor and Safety","id":"ITEM-1","issued":{"date-parts":[["2015"]]},"number-of-pages":"31-38","publisher":"Elsevier Inc.","title":"Methods for Extracting Essential Oils","type":"book"},"uris":["http://www.mendeley.com/documents/?uuid=b70a816c-6fb0-4bc0-80dc-073546cd0dee","http://www.mendeley.com/documents/?uuid=6254efe4-e51a-451d-b407-a0057f384b3c"]}],"mendeley":{"formattedCitation":"(Stratakos and Koidis, 2015)","plainTextFormattedCitation":"(Stratakos and Koidis, 2015)","previouslyFormattedCitation":"(Stratakos and Koidis, 2015)"},"properties":{"noteIndex":0},"schema":"https://github.com/citation-style-language/schema/raw/master/csl-citation.json"}</w:instrText>
      </w:r>
      <w:r w:rsidRPr="00907A2D">
        <w:rPr>
          <w:color w:val="000000" w:themeColor="text1"/>
        </w:rPr>
        <w:fldChar w:fldCharType="separate"/>
      </w:r>
      <w:r w:rsidRPr="00907A2D">
        <w:rPr>
          <w:noProof/>
          <w:color w:val="000000" w:themeColor="text1"/>
        </w:rPr>
        <w:t>(Stratakos and Koidis, 2015)</w:t>
      </w:r>
      <w:r w:rsidRPr="00907A2D">
        <w:rPr>
          <w:color w:val="000000" w:themeColor="text1"/>
        </w:rPr>
        <w:fldChar w:fldCharType="end"/>
      </w:r>
      <w:r w:rsidRPr="00907A2D">
        <w:rPr>
          <w:color w:val="000000" w:themeColor="text1"/>
        </w:rPr>
        <w:t xml:space="preserve">. Also, UAE method  has advantages over the other methods </w:t>
      </w:r>
      <w:r w:rsidRPr="00907A2D">
        <w:rPr>
          <w:color w:val="000000" w:themeColor="text1"/>
        </w:rPr>
        <w:fldChar w:fldCharType="begin" w:fldLock="1"/>
      </w:r>
      <w:r w:rsidRPr="00907A2D">
        <w:rPr>
          <w:color w:val="000000" w:themeColor="text1"/>
        </w:rPr>
        <w:instrText>ADDIN CSL_CITATION {"citationItems":[{"id":"ITEM-1","itemData":{"ISSN":"15414337","PMID":"33319516","abstract":"Conventional techniques of extracting oil using organic solvents pose health, safety, and environmental concerns. In modern extraction methods, green solvents such as water, ethanol, ethyl acetate, carbon dioxide, ionic liquids, and terpenes are currently gaining prominence. These green solvents present no signs of pollution and remain in liquid form over a temperature range of 0 to 140 °C. Other techniques covered in this review include microwave-assisted enzymatic extraction, ultrasound-assisted extraction, supercritical fluid technology, high pressure–assisted extraction, and pulse electric field–assisted extraction. These techniques are considered environmentally friendly because they exhibit less hazardous chemical synthesis, use renewable feedstock, and reduce the chemical load and emissions generated by organic solvents. Aqueous enzymatic extraction is a novel technique that uses enzymes as the medium for extraction of oil. Selection of the enzymes solely depends on the structure of the oilseed and the composition of the cell wall. Studies reveal an enzyme to substrate ratio of 1% to 8%, the temperature of 40 to 55 °C, and a pH of 4 to 8 to be typical for enzymatic extraction of oil from different oilseeds. Microwave-assisted extraction has proven to impart significant effects on mass transfer and offers high throughput and extraction efficiency. A microwave power of 275 to 1,000 W and a temperature range of 30 to 60 °C are noticed in the different studies. The review presents a comprehensive account of the modern extraction techniques, the parameters responsible for yield and quality, and their industrial applications. Besides, the review highlights the optimized parameters for oil extraction from different oil-bearing materials.","author":[{"dropping-particle":"","family":"Mwaurah","given":"Peter Waboi","non-dropping-particle":"","parse-names":false,"suffix":""},{"dropping-particle":"","family":"Kumar","given":"Sunil","non-dropping-particle":"","parse-names":false,"suffix":""},{"dropping-particle":"","family":"Kumar","given":"Nitin","non-dropping-particle":"","parse-names":false,"suffix":""},{"dropping-particle":"","family":"Attkan","given":"Arun Kumar","non-dropping-particle":"","parse-names":false,"suffix":""},{"dropping-particle":"","family":"Panghal","given":"Anil","non-dropping-particle":"","parse-names":false,"suffix":""},{"dropping-particle":"","family":"Singh","given":"Vijay Kumar","non-dropping-particle":"","parse-names":false,"suffix":""},{"dropping-particle":"","family":"Garg","given":"Mukesh Kumar","non-dropping-particle":"","parse-names":false,"suffix":""}],"container-title":"Comprehensive Reviews in Food Science and Food Safety","id":"ITEM-1","issue":"1","issued":{"date-parts":[["2020"]]},"page":"3-20","title":"Novel oil extraction technologies: Process conditions, quality parameters, and optimization","type":"article-journal","volume":"19"},"uris":["http://www.mendeley.com/documents/?uuid=80e17e4d-9b06-47b9-9ded-05a765c020b0","http://www.mendeley.com/documents/?uuid=8b6482e8-8653-4908-8403-c6ca9be86cd9"]}],"mendeley":{"formattedCitation":"(Mwaurah et al., 2020)","plainTextFormattedCitation":"(Mwaurah et al., 2020)","previouslyFormattedCitation":"(Mwaurah et al., 2020)"},"properties":{"noteIndex":0},"schema":"https://github.com/citation-style-language/schema/raw/master/csl-citation.json"}</w:instrText>
      </w:r>
      <w:r w:rsidRPr="00907A2D">
        <w:rPr>
          <w:color w:val="000000" w:themeColor="text1"/>
        </w:rPr>
        <w:fldChar w:fldCharType="separate"/>
      </w:r>
      <w:r w:rsidRPr="00907A2D">
        <w:rPr>
          <w:noProof/>
          <w:color w:val="000000" w:themeColor="text1"/>
        </w:rPr>
        <w:t>(Mwaurah et al., 2020)</w:t>
      </w:r>
      <w:r w:rsidRPr="00907A2D">
        <w:rPr>
          <w:color w:val="000000" w:themeColor="text1"/>
        </w:rPr>
        <w:fldChar w:fldCharType="end"/>
      </w:r>
      <w:r w:rsidRPr="00907A2D">
        <w:rPr>
          <w:color w:val="000000" w:themeColor="text1"/>
        </w:rPr>
        <w:t>, because it is had the lowest energy, water and solvent consumption. Therefore, the SE and the UAE processes are considered the most promising methods to extract oil on an industrial scale.</w:t>
      </w:r>
    </w:p>
    <w:p w14:paraId="36E5C2BA" w14:textId="28F77E85" w:rsidR="00A7675B" w:rsidRPr="00794874" w:rsidRDefault="00A7675B" w:rsidP="00A7675B">
      <w:pPr>
        <w:pStyle w:val="CETBodytext"/>
        <w:rPr>
          <w:color w:val="000000" w:themeColor="text1"/>
        </w:rPr>
      </w:pPr>
      <w:r w:rsidRPr="00907A2D">
        <w:rPr>
          <w:color w:val="000000" w:themeColor="text1"/>
        </w:rPr>
        <w:t xml:space="preserve">Furthermore, the experimental oil extraction yield from SCGs had been studied by using different solvents.  </w:t>
      </w:r>
      <w:r w:rsidRPr="00907A2D">
        <w:rPr>
          <w:color w:val="000000" w:themeColor="text1"/>
        </w:rPr>
        <w:fldChar w:fldCharType="begin" w:fldLock="1"/>
      </w:r>
      <w:r w:rsidR="008B70F7" w:rsidRPr="00907A2D">
        <w:rPr>
          <w:color w:val="000000" w:themeColor="text1"/>
        </w:rPr>
        <w:instrText>ADDIN CSL_CITATION {"citationItems":[{"id":"ITEM-1","itemData":{"ISSN":"2452316X","abstract":"The optimization of two parameters—espresso coffee oil extraction time and the ratio of dried spent coffee grounds (DSCG)-to-solvent—were conducted on DSCG employing four solvents. Extracted yields were investigated using response surface methodology. The two independent variables—ratio of DSCG-to-solvent (5.1–24.9 g/g) and extraction time (0.2–39.8 min)—were optimized in the batch mode. The predicted model was verified using actual experiments. The experimental yields achieved were 14.7 percent by weight (wt%; using hexane), 13.1 wt% (using anhydrous ethanol), 11.8 wt% (using hydrous ethanol), and 7.5 wt% (using methanol). Prototype extraction was tested using a circulation process. Approximately 11.8 wt% oil yield of prototype extraction could be obtained from DSCG under the optimal conditions of 30.4 min extraction time and 22.5 g/g ratio of DSCG-to-hexane from the laboratory-scale results. In this study, the miscella (the solution of coffee oil dissolved in the solvent) from up to six successive extractions was investigated to determine the optimal oil extraction process. The repeated miscella from each successive extraction showed high efficiency and stability of coffee oil yield similar to that obtained using fresh hexane.","author":[{"dropping-particle":"","family":"Somnuk","given":"Krit","non-dropping-particle":"","parse-names":false,"suffix":""},{"dropping-particle":"","family":"Eawlex","given":"Pichai","non-dropping-particle":"","parse-names":false,"suffix":""},{"dropping-particle":"","family":"Prateepchaikul","given":"Gumpon","non-dropping-particle":"","parse-names":false,"suffix":""}],"container-title":"Agriculture and Natural Resources","id":"ITEM-1","issue":"3","issued":{"date-parts":[["2017"]]},"page":"181-189","publisher":"Kasetsart University","title":"Optimization of coffee oil extraction from spent coffee grounds using four solvents and prototype-scale extraction using circulation process","type":"article-journal","volume":"51"},"uris":["http://www.mendeley.com/documents/?uuid=873727e7-1f24-4a44-992c-69e8198784bc","http://www.mendeley.com/documents/?uuid=5aad1f64-f81a-4d42-ab92-c28c7835a450"]}],"mendeley":{"formattedCitation":"(Somnuk et al., 2017)","plainTextFormattedCitation":"(Somnuk et al., 2017)","previouslyFormattedCitation":"(Somnuk et al., 2017)"},"properties":{"noteIndex":0},"schema":"https://github.com/citation-style-language/schema/raw/master/csl-citation.json"}</w:instrText>
      </w:r>
      <w:r w:rsidRPr="00907A2D">
        <w:rPr>
          <w:color w:val="000000" w:themeColor="text1"/>
        </w:rPr>
        <w:fldChar w:fldCharType="separate"/>
      </w:r>
      <w:r w:rsidRPr="00907A2D">
        <w:rPr>
          <w:noProof/>
          <w:color w:val="000000" w:themeColor="text1"/>
        </w:rPr>
        <w:t>(Somnuk et al., 2017)</w:t>
      </w:r>
      <w:r w:rsidRPr="00907A2D">
        <w:rPr>
          <w:color w:val="000000" w:themeColor="text1"/>
        </w:rPr>
        <w:fldChar w:fldCharType="end"/>
      </w:r>
      <w:r w:rsidRPr="00907A2D">
        <w:rPr>
          <w:color w:val="000000" w:themeColor="text1"/>
        </w:rPr>
        <w:t xml:space="preserve"> analyzed the effect of using different solvents such as hexane, anhydrous ethanol, hydrous ethanol, and methanol. They concluded the highest oil extraction yield is achieved when using hexane (14.7 %) and the lowest oil yield (7.5 %) was achieved when using methanol. Also, they demonstrated that </w:t>
      </w:r>
      <w:r w:rsidR="007A5009" w:rsidRPr="00907A2D">
        <w:rPr>
          <w:color w:val="000000" w:themeColor="text1"/>
        </w:rPr>
        <w:t xml:space="preserve">the recirculation of hexane </w:t>
      </w:r>
      <w:r w:rsidRPr="00907A2D">
        <w:rPr>
          <w:color w:val="000000" w:themeColor="text1"/>
        </w:rPr>
        <w:t>is technically</w:t>
      </w:r>
      <w:r w:rsidRPr="00794874">
        <w:rPr>
          <w:color w:val="000000" w:themeColor="text1"/>
        </w:rPr>
        <w:t xml:space="preserve"> po</w:t>
      </w:r>
      <w:r>
        <w:rPr>
          <w:color w:val="000000" w:themeColor="text1"/>
        </w:rPr>
        <w:t>s</w:t>
      </w:r>
      <w:r w:rsidRPr="00794874">
        <w:rPr>
          <w:color w:val="000000" w:themeColor="text1"/>
        </w:rPr>
        <w:t>sible.</w:t>
      </w:r>
    </w:p>
    <w:p w14:paraId="276C289F" w14:textId="04A5E418" w:rsidR="00A7675B" w:rsidRDefault="00A7675B" w:rsidP="00A7675B">
      <w:pPr>
        <w:pStyle w:val="CETBodytext"/>
      </w:pPr>
      <w:r w:rsidRPr="003E7DFF">
        <w:lastRenderedPageBreak/>
        <w:t>Exergy is considered an important indicator of the sustainability of a process</w:t>
      </w:r>
      <w:r>
        <w:t xml:space="preserve"> </w:t>
      </w:r>
      <w:r>
        <w:fldChar w:fldCharType="begin" w:fldLock="1"/>
      </w:r>
      <w:r w:rsidR="008B70F7">
        <w:instrText>ADDIN CSL_CITATION {"citationItems":[{"id":"ITEM-1","itemData":{"ISSN":"23524847","abstract":"The present days can be considered a crossroad in the history of our world because the economic, social, and environmental needs do not agree one another. The result is the present socio-economic difficulties, from which it seems very difficult to escape. A new viewpoint must be introduced, but it cannot be based on the usual economic indicators. So, a new viewpoint and a new related approach are required. In this paper we suggest three new indicators based on an engineering approach of irreversibility. They allow us to evaluate both the technological level and the environmental impact of the production processes and the socio-economic conditions of the countries. Indeed, they are based on the exergy analysis and on the irreversible thermodynamic approach, in order to evaluate the inefficiency both of the process and of the production systems, and the related consequences. Three applications are summarized in order to highlight the possible interest from different scientists and researchers in engineering, economy, etc, in order to develop sustainable approaches and policies for decision makers.","author":[{"dropping-particle":"","family":"Lucia","given":"Umberto","non-dropping-particle":"","parse-names":false,"suffix":""},{"dropping-particle":"","family":"Grisolia","given":"Giulia","non-dropping-particle":"","parse-names":false,"suffix":""}],"container-title":"Energy Reports","id":"ITEM-1","issued":{"date-parts":[["2019"]]},"page":"62-69","publisher":"Elsevier Ltd","title":"Exergy inefficiency: An indicator for sustainable development analysis","type":"article-journal","volume":"5"},"uris":["http://www.mendeley.com/documents/?uuid=790ee2dc-33c9-4471-9b32-628c80f4d09a","http://www.mendeley.com/documents/?uuid=4b52a3d1-f9f4-47e4-9cf3-e262fb204b9d"]}],"mendeley":{"formattedCitation":"(Lucia and Grisolia, 2019)","plainTextFormattedCitation":"(Lucia and Grisolia, 2019)","previouslyFormattedCitation":"(Lucia and Grisolia, 2019)"},"properties":{"noteIndex":0},"schema":"https://github.com/citation-style-language/schema/raw/master/csl-citation.json"}</w:instrText>
      </w:r>
      <w:r>
        <w:fldChar w:fldCharType="separate"/>
      </w:r>
      <w:r w:rsidRPr="000C6B8C">
        <w:rPr>
          <w:noProof/>
        </w:rPr>
        <w:t>(Lucia and Grisolia, 2019)</w:t>
      </w:r>
      <w:r>
        <w:fldChar w:fldCharType="end"/>
      </w:r>
      <w:r>
        <w:t>. F</w:t>
      </w:r>
      <w:r w:rsidRPr="003E7DFF">
        <w:t xml:space="preserve">urthermore, the </w:t>
      </w:r>
      <w:proofErr w:type="spellStart"/>
      <w:r w:rsidRPr="003E7DFF">
        <w:t>exergoeconomic</w:t>
      </w:r>
      <w:proofErr w:type="spellEnd"/>
      <w:r w:rsidRPr="003E7DFF">
        <w:t xml:space="preserve"> analysis have been used for designing, improving and optimizing industrial operations to increase efficiency and reduce operating costs</w:t>
      </w:r>
      <w:r>
        <w:t xml:space="preserve"> </w:t>
      </w:r>
      <w:r>
        <w:fldChar w:fldCharType="begin" w:fldLock="1"/>
      </w:r>
      <w:r w:rsidR="008B70F7">
        <w:instrText>ADDIN CSL_CITATION {"citationItems":[{"id":"ITEM-1","itemData":{"abstract":"This is a review of the concepts of purpose, direction, and objective in the discipline of thermodynamics, which is a pillar of physics, natural sciences, life science, and engineering science. Reviewed is the relentless evolution of this discipline toward accounting for evolutionary design with direction, and for establishing the concept of purpose in methodologies of modeling, analysis, teaching, and design optimization. Evolution is change after change toward flow access, with direction in time, and purpose. Evolution does not have an ‘end’. In thermodynamics, purpose is already the defining feature of methods that have emerged to guide and facilitate the generation, distribution, and use of motive power, heating, and cooling: thermodynamic optimization, exergy-based methods (i.e., exergetic, exergoeconomic, and exergoenvironmental analysis), entropy generation minimiza-tion, extended exergy, environomics, thermoecology, finite time thermodynamics, pinch analysis, animal design, geophysical flow design, and constructal law. What distinguishes these approaches are the purpose and the performance evaluation used in each method.","author":[{"dropping-particle":"","family":"Bejan","given":"Adrian","non-dropping-particle":"","parse-names":false,"suffix":""},{"dropping-particle":"","family":"Tsatsaronis","given":"George","non-dropping-particle":"","parse-names":false,"suffix":""}],"container-title":"Energies","id":"ITEM-1","issue":"2","issued":{"date-parts":[["2021"]]},"title":"Purpose in thermodynamics","type":"article-journal","volume":"14"},"uris":["http://www.mendeley.com/documents/?uuid=f4077827-f412-434e-b8ff-47d6798578ce"]}],"mendeley":{"formattedCitation":"(Bejan and Tsatsaronis, 2021)","plainTextFormattedCitation":"(Bejan and Tsatsaronis, 2021)","previouslyFormattedCitation":"(Bejan and Tsatsaronis, 2021)"},"properties":{"noteIndex":0},"schema":"https://github.com/citation-style-language/schema/raw/master/csl-citation.json"}</w:instrText>
      </w:r>
      <w:r>
        <w:fldChar w:fldCharType="separate"/>
      </w:r>
      <w:r w:rsidRPr="000C6B8C">
        <w:rPr>
          <w:noProof/>
        </w:rPr>
        <w:t>(Bejan and Tsatsaronis, 2021)</w:t>
      </w:r>
      <w:r>
        <w:fldChar w:fldCharType="end"/>
      </w:r>
      <w:r>
        <w:t xml:space="preserve">. </w:t>
      </w:r>
      <w:r w:rsidRPr="003E7DFF">
        <w:t xml:space="preserve">Although there are some experimental studies of oil extraction from SCGs, these studies do not analyze the exergy destruction rate and the operating cost of the process. Thus, there has been no </w:t>
      </w:r>
      <w:proofErr w:type="spellStart"/>
      <w:r w:rsidRPr="003E7DFF">
        <w:t>exergoeconomic</w:t>
      </w:r>
      <w:proofErr w:type="spellEnd"/>
      <w:r w:rsidRPr="003E7DFF">
        <w:t xml:space="preserve"> analysis of the solvent oil extraction from </w:t>
      </w:r>
      <w:r>
        <w:t>SC</w:t>
      </w:r>
      <w:r w:rsidRPr="003E7DFF">
        <w:t>Gs or other biomass.</w:t>
      </w:r>
    </w:p>
    <w:p w14:paraId="2A8D1823" w14:textId="77777777" w:rsidR="00DD0EF8" w:rsidRPr="003E7DFF" w:rsidRDefault="00DD0EF8" w:rsidP="00A7675B">
      <w:pPr>
        <w:pStyle w:val="CETBodytext"/>
      </w:pPr>
    </w:p>
    <w:p w14:paraId="7B5F2770" w14:textId="6AAD434D" w:rsidR="00A7675B" w:rsidRPr="00907A2D" w:rsidRDefault="00A7675B" w:rsidP="00A7675B">
      <w:pPr>
        <w:pStyle w:val="CETBodytext"/>
      </w:pPr>
      <w:r w:rsidRPr="00907A2D">
        <w:t>There have</w:t>
      </w:r>
      <w:r w:rsidR="004E4BB4" w:rsidRPr="00907A2D">
        <w:t xml:space="preserve"> only </w:t>
      </w:r>
      <w:r w:rsidRPr="00907A2D">
        <w:t xml:space="preserve">been found exergy analysis performed to mechanical oil extraction processes from other biomasses in different biorefineries. </w:t>
      </w:r>
      <w:r w:rsidRPr="00907A2D">
        <w:rPr>
          <w:color w:val="000000" w:themeColor="text1"/>
        </w:rPr>
        <w:t xml:space="preserve">The palm oil extraction by expeller pressing was </w:t>
      </w:r>
      <w:r w:rsidRPr="00907A2D">
        <w:t xml:space="preserve">analyzed by exergy methods </w:t>
      </w:r>
      <w:r w:rsidRPr="00907A2D">
        <w:fldChar w:fldCharType="begin" w:fldLock="1"/>
      </w:r>
      <w:r w:rsidRPr="00907A2D">
        <w:instrText>ADDIN CSL_CITATION {"citationItems":[{"id":"ITEM-1","itemData":{"ISBN":"1264902101404","ISSN":"1877265X","abstract":"The production of biofuel from biomass is a viable option, due to the availability of biomass and its renewable character. This work aims to explore the production of bio-jet fuel via different routes in the context of a biorefinery in which the production of the bio-jet fuel is integrated with a palm oil mill and a transesterification plant for the production of biodiesel. In addition to handling the extraction and transesterification phases, the system has also a second-generation ethanol plant and facilities for the production of bio-jet fuel via HEFA and ATJ. The biorefinery has a cogeneration plant that is responsible for supplying all the processes with thermal and electric energy. The system is evaluated using the first and second laws of thermodynamics, and is shown to have efficiencies of 37% and 55%, respectively. An exergoeconomic and economic analysis is also carried out in this study. The thermodynamic analysis highlights the immature character of the bio-jet fuel production chain, due to the irreversibilities, in the HEFA scenario, 47 MW, and in the for the combination of 2G-ethanol and ATJ plants, 82 MW. In the ATJ process, the highest thermoeconomic costs were found for the biofuels. However, although the surplus of electricity produced had a higher cost than for any other product, at 65.53 US$/MWh, this was within the margins of market competitiveness in Brazil. The economic analysis showed that the project was not attractive due to the high initial investment required. From an environmental standpoint, the production of bio-jet fuel is an alternative that can mitigate the effects of global warming compared to fossil jet fuel, with reductions in emissions of 84.7% and 72.8% for HEFA and ATJ bio-jet fuels, respectively. In summary, it is shown that although diversification of the biorefinery’s products can contribute to the finances of the plant, the production chains are not fully prepared, and the processes of bio-jet acquisition has low production yields and a high level of irreversibility. Graphic Abstract: [Figure not available: see fulltext.].","author":[{"dropping-particle":"","family":"Julio","given":"Alisson Aparecido Vitoriano","non-dropping-particle":"","parse-names":false,"suffix":""},{"dropping-particle":"","family":"Batlle","given":"Eric Alberto Ocampo","non-dropping-particle":"","parse-names":false,"suffix":""},{"dropping-particle":"","family":"Rodriguez","given":"Christian Jeremi Coronado","non-dropping-particle":"","parse-names":false,"suffix":""},{"dropping-particle":"","family":"Palacio","given":"José Carlos Escobar","non-dropping-particle":"","parse-names":false,"suffix":""}],"container-title":"Waste and Biomass Valorization","id":"ITEM-1","issue":"10","issued":{"date-parts":[["2021"]]},"page":"5611-5637","publisher":"Springer Netherlands","title":"Exergoeconomic and Environmental Analysis of a Palm Oil Biorefinery for the Production of Bio-Jet Fuel","type":"article-journal","volume":"12"},"uris":["http://www.mendeley.com/documents/?uuid=d4918ca7-95f4-4150-a5a2-bbc113f04bc0","http://www.mendeley.com/documents/?uuid=d8105950-b3ca-45ed-b98c-5e5dcd748bd3"]}],"mendeley":{"formattedCitation":"(Julio et al., 2021)","plainTextFormattedCitation":"(Julio et al., 2021)","previouslyFormattedCitation":"(Julio et al., 2021)"},"properties":{"noteIndex":0},"schema":"https://github.com/citation-style-language/schema/raw/master/csl-citation.json"}</w:instrText>
      </w:r>
      <w:r w:rsidRPr="00907A2D">
        <w:fldChar w:fldCharType="separate"/>
      </w:r>
      <w:r w:rsidRPr="00907A2D">
        <w:rPr>
          <w:noProof/>
        </w:rPr>
        <w:t>(Julio et al., 2021)</w:t>
      </w:r>
      <w:r w:rsidRPr="00907A2D">
        <w:fldChar w:fldCharType="end"/>
      </w:r>
      <w:r w:rsidRPr="00907A2D">
        <w:t xml:space="preserve"> and it was determined that this stage has a lower </w:t>
      </w:r>
      <w:proofErr w:type="spellStart"/>
      <w:r w:rsidRPr="00907A2D">
        <w:t>exergetic</w:t>
      </w:r>
      <w:proofErr w:type="spellEnd"/>
      <w:r w:rsidRPr="00907A2D">
        <w:t xml:space="preserve"> efficiency (49.3 %) compared to other stages of the biorefinery process such as transesterification (89 %), and </w:t>
      </w:r>
      <w:proofErr w:type="spellStart"/>
      <w:r w:rsidRPr="00907A2D">
        <w:t>hydroprocessing</w:t>
      </w:r>
      <w:proofErr w:type="spellEnd"/>
      <w:r w:rsidRPr="00907A2D">
        <w:t xml:space="preserve"> (70%). Another study </w:t>
      </w:r>
      <w:r w:rsidRPr="00907A2D">
        <w:fldChar w:fldCharType="begin" w:fldLock="1"/>
      </w:r>
      <w:r w:rsidRPr="00907A2D">
        <w:instrText>ADDIN CSL_CITATION {"citationItems":[{"id":"ITEM-1","itemData":{"ISBN":"8415683111","ISSN":"10958630","PMID":"33348185","abstract":"The huge amount of agro-wastes generated due to expanding agricultural activities can potentially cause serious environmental and human health problems. Using the biorefinery concept, all parts of agricultural plants can be converted into multiple value-added bioproducts while reducing waste generation. This approach can be viewed as an effective strategy in developing and realizing a circular bioeconomy by accomplishing the dual goals of waste mitigation and energy recovery. However, the sustainability issue of biorefineries should still be thoroughly scrutinized using comprehensive resource accounting methods such as exergy-based approaches. In light of that, this study aims to conduct a detailed exergy analysis of whole-crop safflower biorefinery consisting of six units, i.e., straw handling, biomass pretreatment, bioethanol production, wastewater treatment, oil extraction, and biodiesel production. The analysis is carried out to find the major exergy sink in the developed biorefinery and discover the bottlenecks for further performance improvements. Overall, the wastewater treatment unit exhibits to be the major exergy sink, amounting to over 70% of the total thermodynamic irreversibility of the process. The biomass pretreatment and bioethanol production units account for 12.4 and 10.3% of the total thermodynamic inefficiencies of the process, respectively. The exergy rates associated with bioethanol, biodiesel, lignin, biogas, liquid digestate, seed cake, sodium sulfate, and glycerol are determined to be 5918.5, 16516.8, 10778.9, 1741.4, 6271.5, 15755.8, 3.4, and 823.5 kW, respectively. The overall exergetic efficiency of the system stands at 72.7%, demonstrating the adequacy of the developed biorefinery from the thermodynamic perspective.","author":[{"dropping-particle":"","family":"Khounani","given":"Zahra","non-dropping-particle":"","parse-names":false,"suffix":""},{"dropping-particle":"","family":"Hosseinzadeh-Bandbafha","given":"Homa","non-dropping-particle":"","parse-names":false,"suffix":""},{"dropping-particle":"","family":"Nazemi","given":"Farshid","non-dropping-particle":"","parse-names":false,"suffix":""},{"dropping-particle":"","family":"Shaeifi","given":"Marzieh","non-dropping-particle":"","parse-names":false,"suffix":""},{"dropping-particle":"","family":"Karimi","given":"Keikhosro","non-dropping-particle":"","parse-names":false,"suffix":""},{"dropping-particle":"","family":"Tabatabaei","given":"Meisam","non-dropping-particle":"","parse-names":false,"suffix":""},{"dropping-particle":"","family":"Aghbashlo","given":"Mortaza","non-dropping-particle":"","parse-names":false,"suffix":""},{"dropping-particle":"","family":"Lam","given":"Su Shiung","non-dropping-particle":"","parse-names":false,"suffix":""}],"container-title":"Journal of Environmental Management","id":"ITEM-1","issue":"November 2020","issued":{"date-parts":[["2021"]]},"page":"111822","publisher":"Elsevier Ltd","title":"Exergy analysis of a whole-crop safflower biorefinery: A step towards reducing agricultural wastes in a sustainable manner","type":"article-journal","volume":"279"},"uris":["http://www.mendeley.com/documents/?uuid=a30a1252-7a33-4253-bad0-64fe07f7906e","http://www.mendeley.com/documents/?uuid=f0e56692-2c21-4dcf-890d-047273f2575d"]}],"mendeley":{"formattedCitation":"(Khounani et al., 2021)","plainTextFormattedCitation":"(Khounani et al., 2021)","previouslyFormattedCitation":"(Khounani et al., 2021)"},"properties":{"noteIndex":0},"schema":"https://github.com/citation-style-language/schema/raw/master/csl-citation.json"}</w:instrText>
      </w:r>
      <w:r w:rsidRPr="00907A2D">
        <w:fldChar w:fldCharType="separate"/>
      </w:r>
      <w:r w:rsidRPr="00907A2D">
        <w:rPr>
          <w:noProof/>
        </w:rPr>
        <w:t>(Khounani et al., 2021)</w:t>
      </w:r>
      <w:r w:rsidRPr="00907A2D">
        <w:fldChar w:fldCharType="end"/>
      </w:r>
      <w:r w:rsidRPr="00907A2D">
        <w:t xml:space="preserve"> determined that the safflower oil from straw by using a two</w:t>
      </w:r>
      <w:r w:rsidR="00365886" w:rsidRPr="00907A2D">
        <w:t xml:space="preserve"> </w:t>
      </w:r>
      <w:r w:rsidRPr="00907A2D">
        <w:t>large oil screw expelle</w:t>
      </w:r>
      <w:r w:rsidR="00E90058" w:rsidRPr="00907A2D">
        <w:t>r,</w:t>
      </w:r>
      <w:r w:rsidR="00572C75" w:rsidRPr="00907A2D">
        <w:t xml:space="preserve"> destroyed the 2.6 % of the overall exergy destruction rate from the biorefinery</w:t>
      </w:r>
      <w:r w:rsidRPr="00907A2D">
        <w:t xml:space="preserve">  </w:t>
      </w:r>
    </w:p>
    <w:p w14:paraId="0C78DF10" w14:textId="46E9F476" w:rsidR="00A7675B" w:rsidRPr="003E7DFF" w:rsidRDefault="00A7675B" w:rsidP="00A7675B">
      <w:pPr>
        <w:pStyle w:val="CETListbullets"/>
        <w:ind w:left="0" w:firstLine="0"/>
        <w:rPr>
          <w:lang w:val="en-US"/>
        </w:rPr>
      </w:pPr>
      <w:r w:rsidRPr="00907A2D">
        <w:rPr>
          <w:lang w:val="en-US"/>
        </w:rPr>
        <w:t>In this context, this study aims to</w:t>
      </w:r>
      <w:r w:rsidRPr="003E7DFF">
        <w:rPr>
          <w:lang w:val="en-US"/>
        </w:rPr>
        <w:t xml:space="preserve"> perform an </w:t>
      </w:r>
      <w:proofErr w:type="spellStart"/>
      <w:r w:rsidRPr="003E7DFF">
        <w:rPr>
          <w:lang w:val="en-US"/>
        </w:rPr>
        <w:t>exergoeconomic</w:t>
      </w:r>
      <w:proofErr w:type="spellEnd"/>
      <w:r w:rsidRPr="003E7DFF">
        <w:rPr>
          <w:lang w:val="en-US"/>
        </w:rPr>
        <w:t xml:space="preserve"> analysis of the SCGs oil ultraso</w:t>
      </w:r>
      <w:r>
        <w:rPr>
          <w:lang w:val="en-US"/>
        </w:rPr>
        <w:t>und</w:t>
      </w:r>
      <w:r w:rsidRPr="003E7DFF">
        <w:rPr>
          <w:lang w:val="en-US"/>
        </w:rPr>
        <w:t xml:space="preserve">-assisted extraction (UAE) and the </w:t>
      </w:r>
      <w:proofErr w:type="spellStart"/>
      <w:r w:rsidRPr="003E7DFF">
        <w:rPr>
          <w:lang w:val="en-US"/>
        </w:rPr>
        <w:t>soxhlet</w:t>
      </w:r>
      <w:proofErr w:type="spellEnd"/>
      <w:r w:rsidRPr="003E7DFF">
        <w:rPr>
          <w:lang w:val="en-US"/>
        </w:rPr>
        <w:t xml:space="preserve"> extraction (SE) processes</w:t>
      </w:r>
      <w:r>
        <w:rPr>
          <w:lang w:val="en-US"/>
        </w:rPr>
        <w:t xml:space="preserve"> by using hexane as the solvent</w:t>
      </w:r>
      <w:r w:rsidRPr="003E7DFF">
        <w:rPr>
          <w:lang w:val="en-US"/>
        </w:rPr>
        <w:t xml:space="preserve">. In addition, the effect of the solvent to SCGs ratio on the oil UAE yield was studied experimentally. The </w:t>
      </w:r>
      <w:proofErr w:type="spellStart"/>
      <w:r w:rsidRPr="003E7DFF">
        <w:rPr>
          <w:lang w:val="en-US"/>
        </w:rPr>
        <w:t>exergetic</w:t>
      </w:r>
      <w:proofErr w:type="spellEnd"/>
      <w:r w:rsidRPr="003E7DFF">
        <w:rPr>
          <w:lang w:val="en-US"/>
        </w:rPr>
        <w:t xml:space="preserve">, economic, and </w:t>
      </w:r>
      <w:proofErr w:type="spellStart"/>
      <w:r w:rsidRPr="003E7DFF">
        <w:rPr>
          <w:lang w:val="en-US"/>
        </w:rPr>
        <w:t>exergoeconomic</w:t>
      </w:r>
      <w:proofErr w:type="spellEnd"/>
      <w:r w:rsidRPr="003E7DFF">
        <w:rPr>
          <w:lang w:val="en-US"/>
        </w:rPr>
        <w:t xml:space="preserve"> balances were performed by using Engineering Equation Solver (ESS) software following the methodology from </w:t>
      </w:r>
      <w:r>
        <w:fldChar w:fldCharType="begin" w:fldLock="1"/>
      </w:r>
      <w:r w:rsidR="008B70F7">
        <w:instrText>ADDIN CSL_CITATION {"citationItems":[{"id":"ITEM-1","itemData":{"abstract":"This is a review of the concepts of purpose, direction, and objective in the discipline of thermodynamics, which is a pillar of physics, natural sciences, life science, and engineering science. Reviewed is the relentless evolution of this discipline toward accounting for evolutionary design with direction, and for establishing the concept of purpose in methodologies of modeling, analysis, teaching, and design optimization. Evolution is change after change toward flow access, with direction in time, and purpose. Evolution does not have an ‘end’. In thermodynamics, purpose is already the defining feature of methods that have emerged to guide and facilitate the generation, distribution, and use of motive power, heating, and cooling: thermodynamic optimization, exergy-based methods (i.e., exergetic, exergoeconomic, and exergoenvironmental analysis), entropy generation minimiza-tion, extended exergy, environomics, thermoecology, finite time thermodynamics, pinch analysis, animal design, geophysical flow design, and constructal law. What distinguishes these approaches are the purpose and the performance evaluation used in each method.","author":[{"dropping-particle":"","family":"Bejan","given":"Adrian","non-dropping-particle":"","parse-names":false,"suffix":""},{"dropping-particle":"","family":"Tsatsaronis","given":"George","non-dropping-particle":"","parse-names":false,"suffix":""}],"container-title":"Energies","id":"ITEM-1","issue":"2","issued":{"date-parts":[["2021"]]},"title":"Purpose in thermodynamics","type":"article-journal","volume":"14"},"uris":["http://www.mendeley.com/documents/?uuid=f4077827-f412-434e-b8ff-47d6798578ce"]}],"mendeley":{"formattedCitation":"(Bejan and Tsatsaronis, 2021)","plainTextFormattedCitation":"(Bejan and Tsatsaronis, 2021)","previouslyFormattedCitation":"(Bejan and Tsatsaronis, 2021)"},"properties":{"noteIndex":0},"schema":"https://github.com/citation-style-language/schema/raw/master/csl-citation.json"}</w:instrText>
      </w:r>
      <w:r>
        <w:fldChar w:fldCharType="separate"/>
      </w:r>
      <w:r w:rsidRPr="000C6B8C">
        <w:rPr>
          <w:noProof/>
        </w:rPr>
        <w:t>(Bejan and Tsatsaronis, 2021)</w:t>
      </w:r>
      <w:r>
        <w:fldChar w:fldCharType="end"/>
      </w:r>
      <w:r>
        <w:t>.</w:t>
      </w:r>
    </w:p>
    <w:p w14:paraId="2F465B8A" w14:textId="77777777" w:rsidR="00A7675B" w:rsidRPr="00A7675B" w:rsidRDefault="00A7675B" w:rsidP="00A7675B">
      <w:pPr>
        <w:pStyle w:val="CETBodytext"/>
      </w:pPr>
    </w:p>
    <w:p w14:paraId="094BD7E2" w14:textId="77777777" w:rsidR="003D609A" w:rsidRPr="003E7DFF" w:rsidRDefault="003D609A" w:rsidP="003D609A">
      <w:pPr>
        <w:pStyle w:val="CETHeading1"/>
      </w:pPr>
      <w:r w:rsidRPr="003E7DFF">
        <w:t>Materials and methods</w:t>
      </w:r>
    </w:p>
    <w:p w14:paraId="6A5CB2B2" w14:textId="4B9F8DEE" w:rsidR="00BE270D" w:rsidRPr="003E7DFF" w:rsidRDefault="00BE270D" w:rsidP="00BE270D">
      <w:pPr>
        <w:pStyle w:val="CETHeading1"/>
        <w:numPr>
          <w:ilvl w:val="0"/>
          <w:numId w:val="0"/>
        </w:numPr>
        <w:rPr>
          <w:sz w:val="18"/>
        </w:rPr>
      </w:pPr>
      <w:r w:rsidRPr="003E7DFF">
        <w:rPr>
          <w:sz w:val="18"/>
        </w:rPr>
        <w:t xml:space="preserve">2.1 Ultrasound-assisted oil extraction </w:t>
      </w:r>
    </w:p>
    <w:p w14:paraId="3F066C2B" w14:textId="7B09E4FA" w:rsidR="003D609A" w:rsidRPr="003E7DFF" w:rsidRDefault="003D609A" w:rsidP="00356DAE">
      <w:pPr>
        <w:pStyle w:val="CETHeadingxx"/>
        <w:jc w:val="both"/>
        <w:rPr>
          <w:b w:val="0"/>
        </w:rPr>
      </w:pPr>
      <w:r w:rsidRPr="003E7DFF">
        <w:rPr>
          <w:b w:val="0"/>
        </w:rPr>
        <w:t>Spent coffee grounds (SCG</w:t>
      </w:r>
      <w:r w:rsidR="00356DAE" w:rsidRPr="003E7DFF">
        <w:rPr>
          <w:b w:val="0"/>
        </w:rPr>
        <w:t>s</w:t>
      </w:r>
      <w:r w:rsidRPr="003E7DFF">
        <w:rPr>
          <w:b w:val="0"/>
        </w:rPr>
        <w:t xml:space="preserve">) were obtained from an instant coffee factory </w:t>
      </w:r>
      <w:r w:rsidR="00BE270D" w:rsidRPr="003E7DFF">
        <w:rPr>
          <w:b w:val="0"/>
        </w:rPr>
        <w:t>located in</w:t>
      </w:r>
      <w:r w:rsidRPr="003E7DFF">
        <w:rPr>
          <w:b w:val="0"/>
        </w:rPr>
        <w:t xml:space="preserve"> Guayaquil, Ecuador</w:t>
      </w:r>
      <w:r w:rsidR="00356DAE" w:rsidRPr="003E7DFF">
        <w:rPr>
          <w:b w:val="0"/>
        </w:rPr>
        <w:t xml:space="preserve">. </w:t>
      </w:r>
      <w:r w:rsidRPr="003E7DFF">
        <w:rPr>
          <w:b w:val="0"/>
        </w:rPr>
        <w:t>SCGs w</w:t>
      </w:r>
      <w:r w:rsidR="00BE270D" w:rsidRPr="003E7DFF">
        <w:rPr>
          <w:b w:val="0"/>
        </w:rPr>
        <w:t>ere</w:t>
      </w:r>
      <w:r w:rsidRPr="003E7DFF">
        <w:rPr>
          <w:b w:val="0"/>
        </w:rPr>
        <w:t xml:space="preserve"> dried </w:t>
      </w:r>
      <w:r w:rsidR="001C714C" w:rsidRPr="003E7DFF">
        <w:rPr>
          <w:b w:val="0"/>
        </w:rPr>
        <w:t xml:space="preserve">in </w:t>
      </w:r>
      <w:r w:rsidR="007F06B3" w:rsidRPr="003E7DFF">
        <w:rPr>
          <w:b w:val="0"/>
        </w:rPr>
        <w:t>an</w:t>
      </w:r>
      <w:r w:rsidR="001C714C" w:rsidRPr="003E7DFF">
        <w:rPr>
          <w:b w:val="0"/>
        </w:rPr>
        <w:t xml:space="preserve"> oven drying (</w:t>
      </w:r>
      <w:r w:rsidR="007F06B3" w:rsidRPr="003E7DFF">
        <w:rPr>
          <w:b w:val="0"/>
        </w:rPr>
        <w:t xml:space="preserve">UNB 500, </w:t>
      </w:r>
      <w:proofErr w:type="spellStart"/>
      <w:r w:rsidR="007F06B3" w:rsidRPr="003E7DFF">
        <w:rPr>
          <w:b w:val="0"/>
        </w:rPr>
        <w:t>Memmert</w:t>
      </w:r>
      <w:proofErr w:type="spellEnd"/>
      <w:r w:rsidR="007F06B3" w:rsidRPr="003E7DFF">
        <w:rPr>
          <w:b w:val="0"/>
        </w:rPr>
        <w:t>, Germany</w:t>
      </w:r>
      <w:r w:rsidR="001C714C" w:rsidRPr="003E7DFF">
        <w:rPr>
          <w:b w:val="0"/>
        </w:rPr>
        <w:t xml:space="preserve">) </w:t>
      </w:r>
      <w:r w:rsidRPr="003E7DFF">
        <w:rPr>
          <w:b w:val="0"/>
        </w:rPr>
        <w:t>at 105 °C</w:t>
      </w:r>
      <w:r w:rsidR="00A237AA">
        <w:rPr>
          <w:b w:val="0"/>
        </w:rPr>
        <w:t xml:space="preserve"> </w:t>
      </w:r>
      <w:r w:rsidR="00A237AA" w:rsidRPr="00AD639A">
        <w:rPr>
          <w:b w:val="0"/>
          <w:color w:val="000000" w:themeColor="text1"/>
        </w:rPr>
        <w:t xml:space="preserve">according to </w:t>
      </w:r>
      <w:r w:rsidR="007C4A18" w:rsidRPr="00AD639A">
        <w:rPr>
          <w:b w:val="0"/>
          <w:color w:val="000000" w:themeColor="text1"/>
        </w:rPr>
        <w:t xml:space="preserve">the ASTM E871 </w:t>
      </w:r>
      <w:r w:rsidR="00A237AA" w:rsidRPr="00AD639A">
        <w:rPr>
          <w:b w:val="0"/>
          <w:color w:val="000000" w:themeColor="text1"/>
        </w:rPr>
        <w:t>method</w:t>
      </w:r>
      <w:r w:rsidR="007C4A18" w:rsidRPr="00AD639A">
        <w:rPr>
          <w:b w:val="0"/>
          <w:color w:val="000000" w:themeColor="text1"/>
        </w:rPr>
        <w:t>.</w:t>
      </w:r>
    </w:p>
    <w:p w14:paraId="17B1A076" w14:textId="230383D3" w:rsidR="003D609A" w:rsidRPr="003E7DFF" w:rsidRDefault="003D609A" w:rsidP="003D609A">
      <w:pPr>
        <w:pStyle w:val="ListParagraph"/>
        <w:ind w:left="0"/>
        <w:rPr>
          <w:lang w:val="en-US"/>
        </w:rPr>
      </w:pPr>
      <w:r w:rsidRPr="003E7DFF">
        <w:rPr>
          <w:bCs/>
          <w:lang w:val="en-US"/>
        </w:rPr>
        <w:t>Ultrasound-assisted extraction (UAE)</w:t>
      </w:r>
      <w:r w:rsidRPr="003E7DFF">
        <w:rPr>
          <w:lang w:val="en-US"/>
        </w:rPr>
        <w:t xml:space="preserve"> was conducted using a 205 W </w:t>
      </w:r>
      <w:r w:rsidR="002677BF">
        <w:rPr>
          <w:lang w:val="en-US"/>
        </w:rPr>
        <w:t>Ultrasound</w:t>
      </w:r>
      <w:r w:rsidRPr="003E7DFF">
        <w:rPr>
          <w:lang w:val="en-US"/>
        </w:rPr>
        <w:t xml:space="preserve"> homogenizer (Fisher Scientific)</w:t>
      </w:r>
      <w:r w:rsidR="00BE270D" w:rsidRPr="003E7DFF">
        <w:rPr>
          <w:lang w:val="en-US"/>
        </w:rPr>
        <w:t xml:space="preserve"> at room </w:t>
      </w:r>
      <w:r w:rsidR="00BE270D" w:rsidRPr="00AD639A">
        <w:rPr>
          <w:color w:val="000000" w:themeColor="text1"/>
          <w:lang w:val="en-US"/>
        </w:rPr>
        <w:t>temperature</w:t>
      </w:r>
      <w:r w:rsidR="00160EF2" w:rsidRPr="00AD639A">
        <w:rPr>
          <w:color w:val="000000" w:themeColor="text1"/>
          <w:lang w:val="en-US"/>
        </w:rPr>
        <w:t xml:space="preserve"> </w:t>
      </w:r>
      <w:r w:rsidR="00E01985" w:rsidRPr="00AD639A">
        <w:rPr>
          <w:color w:val="000000" w:themeColor="text1"/>
          <w:lang w:val="en-US"/>
        </w:rPr>
        <w:t xml:space="preserve">(25 °C) </w:t>
      </w:r>
      <w:r w:rsidR="00160EF2" w:rsidRPr="00AD639A">
        <w:rPr>
          <w:color w:val="000000" w:themeColor="text1"/>
          <w:lang w:val="en-US"/>
        </w:rPr>
        <w:t xml:space="preserve">according to a previous study </w:t>
      </w:r>
      <w:r w:rsidR="00160EF2" w:rsidRPr="00AD639A">
        <w:rPr>
          <w:color w:val="000000" w:themeColor="text1"/>
          <w:lang w:val="en-US"/>
        </w:rPr>
        <w:fldChar w:fldCharType="begin" w:fldLock="1"/>
      </w:r>
      <w:r w:rsidR="00A7675B">
        <w:rPr>
          <w:color w:val="000000" w:themeColor="text1"/>
          <w:lang w:val="en-US"/>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grounds","type":"article-journal","volume":"56"},"uris":["http://www.mendeley.com/documents/?uuid=1c549636-1154-402f-9fc0-09e1ff3650ba","http://www.mendeley.com/documents/?uuid=742e7abe-3be1-4062-b268-8abac196a52d"]}],"mendeley":{"formattedCitation":"(Le et al., 2017)","plainTextFormattedCitation":"(Le et al., 2017)","previouslyFormattedCitation":"(Le et al., 2017)"},"properties":{"noteIndex":0},"schema":"https://github.com/citation-style-language/schema/raw/master/csl-citation.json"}</w:instrText>
      </w:r>
      <w:r w:rsidR="00160EF2" w:rsidRPr="00AD639A">
        <w:rPr>
          <w:color w:val="000000" w:themeColor="text1"/>
          <w:lang w:val="en-US"/>
        </w:rPr>
        <w:fldChar w:fldCharType="separate"/>
      </w:r>
      <w:r w:rsidR="00160EF2" w:rsidRPr="00AD639A">
        <w:rPr>
          <w:noProof/>
          <w:color w:val="000000" w:themeColor="text1"/>
          <w:lang w:val="en-US"/>
        </w:rPr>
        <w:t>(Le et al., 2017)</w:t>
      </w:r>
      <w:r w:rsidR="00160EF2" w:rsidRPr="00AD639A">
        <w:rPr>
          <w:color w:val="000000" w:themeColor="text1"/>
          <w:lang w:val="en-US"/>
        </w:rPr>
        <w:fldChar w:fldCharType="end"/>
      </w:r>
      <w:r w:rsidRPr="00AD639A">
        <w:rPr>
          <w:color w:val="000000" w:themeColor="text1"/>
          <w:lang w:val="en-US"/>
        </w:rPr>
        <w:t xml:space="preserve">. </w:t>
      </w:r>
      <w:r w:rsidR="00DE6A8B" w:rsidRPr="003E7DFF">
        <w:rPr>
          <w:lang w:val="en-US"/>
        </w:rPr>
        <w:t xml:space="preserve">The </w:t>
      </w:r>
      <w:r w:rsidR="004B5F32" w:rsidRPr="003E7DFF">
        <w:rPr>
          <w:lang w:val="en-US"/>
        </w:rPr>
        <w:t>Hexane to SCGs ratio</w:t>
      </w:r>
      <w:r w:rsidR="00BE270D" w:rsidRPr="003E7DFF">
        <w:rPr>
          <w:lang w:val="en-US"/>
        </w:rPr>
        <w:t xml:space="preserve">s analyzed were </w:t>
      </w:r>
      <w:r w:rsidR="00DE6A8B" w:rsidRPr="003E7DFF">
        <w:rPr>
          <w:lang w:val="en-US"/>
        </w:rPr>
        <w:t xml:space="preserve">5:1, 10:1, 15:1 </w:t>
      </w:r>
      <w:r w:rsidR="00D24C0F" w:rsidRPr="003E7DFF">
        <w:rPr>
          <w:lang w:val="en-US"/>
        </w:rPr>
        <w:t>and</w:t>
      </w:r>
      <w:r w:rsidR="00DE6A8B" w:rsidRPr="003E7DFF">
        <w:rPr>
          <w:lang w:val="en-US"/>
        </w:rPr>
        <w:t xml:space="preserve"> 20:1</w:t>
      </w:r>
      <w:r w:rsidR="00BE270D" w:rsidRPr="003E7DFF">
        <w:rPr>
          <w:lang w:val="en-US"/>
        </w:rPr>
        <w:t>.</w:t>
      </w:r>
      <w:r w:rsidR="00DE6A8B" w:rsidRPr="003E7DFF">
        <w:rPr>
          <w:lang w:val="en-US"/>
        </w:rPr>
        <w:t xml:space="preserve"> </w:t>
      </w:r>
      <w:r w:rsidR="00123007" w:rsidRPr="003E7DFF">
        <w:rPr>
          <w:lang w:val="en-US"/>
        </w:rPr>
        <w:t>T</w:t>
      </w:r>
      <w:r w:rsidR="00CC53ED" w:rsidRPr="003E7DFF">
        <w:rPr>
          <w:lang w:val="en-US"/>
        </w:rPr>
        <w:t>he</w:t>
      </w:r>
      <w:r w:rsidR="001B79DE" w:rsidRPr="003E7DFF">
        <w:rPr>
          <w:lang w:val="en-US"/>
        </w:rPr>
        <w:t xml:space="preserve"> </w:t>
      </w:r>
      <w:r w:rsidR="00BE270D" w:rsidRPr="003E7DFF">
        <w:rPr>
          <w:lang w:val="en-US"/>
        </w:rPr>
        <w:t xml:space="preserve">oil extraction time was set at </w:t>
      </w:r>
      <w:r w:rsidRPr="003E7DFF">
        <w:rPr>
          <w:lang w:val="en-US"/>
        </w:rPr>
        <w:t>30 min</w:t>
      </w:r>
      <w:r w:rsidR="00BE270D" w:rsidRPr="003E7DFF">
        <w:rPr>
          <w:lang w:val="en-US"/>
        </w:rPr>
        <w:t>utes</w:t>
      </w:r>
      <w:r w:rsidRPr="003E7DFF">
        <w:rPr>
          <w:lang w:val="en-US"/>
        </w:rPr>
        <w:t xml:space="preserve">. At the end of the experimental run, the </w:t>
      </w:r>
      <w:r w:rsidR="0078717E" w:rsidRPr="003E7DFF">
        <w:rPr>
          <w:lang w:val="en-US"/>
        </w:rPr>
        <w:t>extract was filtered</w:t>
      </w:r>
      <w:r w:rsidR="009B3855" w:rsidRPr="003E7DFF">
        <w:rPr>
          <w:lang w:val="en-US"/>
        </w:rPr>
        <w:t xml:space="preserve"> through 0.45 um membrane filter. </w:t>
      </w:r>
      <w:r w:rsidR="0083140D" w:rsidRPr="003E7DFF">
        <w:rPr>
          <w:lang w:val="en-US"/>
        </w:rPr>
        <w:t xml:space="preserve">The </w:t>
      </w:r>
      <w:r w:rsidR="00BE270D" w:rsidRPr="003E7DFF">
        <w:rPr>
          <w:lang w:val="en-US"/>
        </w:rPr>
        <w:t>solvent recovery</w:t>
      </w:r>
      <w:r w:rsidR="0083140D" w:rsidRPr="003E7DFF">
        <w:rPr>
          <w:lang w:val="en-US"/>
        </w:rPr>
        <w:t xml:space="preserve"> was carried out </w:t>
      </w:r>
      <w:r w:rsidRPr="003E7DFF">
        <w:rPr>
          <w:lang w:val="en-US"/>
        </w:rPr>
        <w:t xml:space="preserve">at </w:t>
      </w:r>
      <w:r w:rsidR="00DF47AA" w:rsidRPr="003E7DFF">
        <w:rPr>
          <w:lang w:val="en-US"/>
        </w:rPr>
        <w:t>4</w:t>
      </w:r>
      <w:r w:rsidRPr="003E7DFF">
        <w:rPr>
          <w:lang w:val="en-US"/>
        </w:rPr>
        <w:t>0 rpm, 40°C, and 300 mbar</w:t>
      </w:r>
      <w:r w:rsidR="00BE270D" w:rsidRPr="003E7DFF">
        <w:rPr>
          <w:lang w:val="en-US"/>
        </w:rPr>
        <w:t xml:space="preserve"> in a rotatory evaporator (BÜCHI 87 Rotavapor R-215)</w:t>
      </w:r>
      <w:r w:rsidR="000A583F" w:rsidRPr="003E7DFF">
        <w:rPr>
          <w:lang w:val="en-US"/>
        </w:rPr>
        <w:t>.</w:t>
      </w:r>
      <w:r w:rsidR="006761E4" w:rsidRPr="003E7DFF">
        <w:rPr>
          <w:lang w:val="en-US"/>
        </w:rPr>
        <w:t xml:space="preserve"> </w:t>
      </w:r>
      <w:r w:rsidR="0083140D" w:rsidRPr="003E7DFF">
        <w:rPr>
          <w:lang w:val="en-US"/>
        </w:rPr>
        <w:t>Extracted oil w</w:t>
      </w:r>
      <w:r w:rsidR="00946DD7" w:rsidRPr="003E7DFF">
        <w:rPr>
          <w:lang w:val="en-US"/>
        </w:rPr>
        <w:t>as weighed</w:t>
      </w:r>
      <w:r w:rsidRPr="003E7DFF">
        <w:rPr>
          <w:lang w:val="en-US"/>
        </w:rPr>
        <w:t xml:space="preserve"> </w:t>
      </w:r>
      <w:r w:rsidR="0083140D" w:rsidRPr="003E7DFF">
        <w:rPr>
          <w:lang w:val="en-US"/>
        </w:rPr>
        <w:t>and o</w:t>
      </w:r>
      <w:r w:rsidRPr="003E7DFF">
        <w:rPr>
          <w:lang w:val="en-US"/>
        </w:rPr>
        <w:t>il yield was calculated using Eq. 1.</w:t>
      </w:r>
    </w:p>
    <w:tbl>
      <w:tblPr>
        <w:tblW w:w="5000" w:type="pct"/>
        <w:tblLook w:val="04A0" w:firstRow="1" w:lastRow="0" w:firstColumn="1" w:lastColumn="0" w:noHBand="0" w:noVBand="1"/>
      </w:tblPr>
      <w:tblGrid>
        <w:gridCol w:w="7282"/>
        <w:gridCol w:w="1505"/>
      </w:tblGrid>
      <w:tr w:rsidR="006761E4" w:rsidRPr="003E7DFF" w14:paraId="44AA8B8A" w14:textId="77777777" w:rsidTr="00591026">
        <w:trPr>
          <w:trHeight w:val="224"/>
        </w:trPr>
        <w:tc>
          <w:tcPr>
            <w:tcW w:w="7282" w:type="dxa"/>
            <w:shd w:val="clear" w:color="auto" w:fill="auto"/>
            <w:vAlign w:val="center"/>
          </w:tcPr>
          <w:p w14:paraId="2390AD75" w14:textId="1BF9844C" w:rsidR="006761E4" w:rsidRPr="003E7DFF" w:rsidRDefault="00CD406C" w:rsidP="00591026">
            <w:pPr>
              <w:pStyle w:val="CETEquation"/>
              <w:spacing w:after="0"/>
              <w:rPr>
                <w:iCs/>
                <w:sz w:val="16"/>
                <w:szCs w:val="16"/>
                <w:lang w:val="en-US"/>
              </w:rPr>
            </w:pPr>
            <m:oMathPara>
              <m:oMathParaPr>
                <m:jc m:val="left"/>
              </m:oMathParaPr>
              <m:oMath>
                <m:r>
                  <m:rPr>
                    <m:sty m:val="p"/>
                  </m:rPr>
                  <w:rPr>
                    <w:rFonts w:ascii="Cambria Math" w:hAnsi="Cambria Math"/>
                    <w:sz w:val="16"/>
                    <w:szCs w:val="16"/>
                    <w:lang w:val="en-US"/>
                  </w:rPr>
                  <m:t xml:space="preserve">Oil yield </m:t>
                </m:r>
                <m:d>
                  <m:dPr>
                    <m:ctrlPr>
                      <w:rPr>
                        <w:rFonts w:ascii="Cambria Math" w:hAnsi="Cambria Math"/>
                        <w:iCs/>
                        <w:sz w:val="16"/>
                        <w:szCs w:val="16"/>
                        <w:lang w:val="en-US"/>
                      </w:rPr>
                    </m:ctrlPr>
                  </m:dPr>
                  <m:e>
                    <m:r>
                      <m:rPr>
                        <m:sty m:val="p"/>
                      </m:rPr>
                      <w:rPr>
                        <w:rFonts w:ascii="Cambria Math" w:hAnsi="Cambria Math"/>
                        <w:sz w:val="16"/>
                        <w:szCs w:val="16"/>
                        <w:lang w:val="en-US"/>
                      </w:rPr>
                      <m:t>%</m:t>
                    </m:r>
                  </m:e>
                </m:d>
                <m:r>
                  <m:rPr>
                    <m:sty m:val="p"/>
                  </m:rPr>
                  <w:rPr>
                    <w:rFonts w:ascii="Cambria Math" w:hAnsi="Cambria Math"/>
                    <w:sz w:val="16"/>
                    <w:szCs w:val="16"/>
                    <w:lang w:val="en-US"/>
                  </w:rPr>
                  <m:t xml:space="preserve">= </m:t>
                </m:r>
                <m:f>
                  <m:fPr>
                    <m:ctrlPr>
                      <w:rPr>
                        <w:rFonts w:ascii="Cambria Math" w:hAnsi="Cambria Math"/>
                        <w:iCs/>
                        <w:sz w:val="16"/>
                        <w:szCs w:val="16"/>
                        <w:lang w:val="en-US"/>
                      </w:rPr>
                    </m:ctrlPr>
                  </m:fPr>
                  <m:num>
                    <m:sSub>
                      <m:sSubPr>
                        <m:ctrlPr>
                          <w:rPr>
                            <w:rFonts w:ascii="Cambria Math" w:hAnsi="Cambria Math"/>
                            <w:iCs/>
                            <w:sz w:val="16"/>
                            <w:szCs w:val="16"/>
                            <w:lang w:val="en-US"/>
                          </w:rPr>
                        </m:ctrlPr>
                      </m:sSubPr>
                      <m:e>
                        <m:r>
                          <m:rPr>
                            <m:sty m:val="p"/>
                          </m:rPr>
                          <w:rPr>
                            <w:rFonts w:ascii="Cambria Math" w:hAnsi="Cambria Math"/>
                            <w:sz w:val="16"/>
                            <w:szCs w:val="16"/>
                            <w:lang w:val="en-US"/>
                          </w:rPr>
                          <m:t>m</m:t>
                        </m:r>
                      </m:e>
                      <m:sub>
                        <m:r>
                          <m:rPr>
                            <m:sty m:val="p"/>
                          </m:rPr>
                          <w:rPr>
                            <w:rFonts w:ascii="Cambria Math" w:hAnsi="Cambria Math"/>
                            <w:sz w:val="16"/>
                            <w:szCs w:val="16"/>
                            <w:lang w:val="en-US"/>
                          </w:rPr>
                          <m:t>oil</m:t>
                        </m:r>
                      </m:sub>
                    </m:sSub>
                  </m:num>
                  <m:den>
                    <m:sSub>
                      <m:sSubPr>
                        <m:ctrlPr>
                          <w:rPr>
                            <w:rFonts w:ascii="Cambria Math" w:hAnsi="Cambria Math"/>
                            <w:iCs/>
                            <w:sz w:val="16"/>
                            <w:szCs w:val="16"/>
                            <w:lang w:val="en-US"/>
                          </w:rPr>
                        </m:ctrlPr>
                      </m:sSubPr>
                      <m:e>
                        <m:r>
                          <m:rPr>
                            <m:sty m:val="p"/>
                          </m:rPr>
                          <w:rPr>
                            <w:rFonts w:ascii="Cambria Math" w:hAnsi="Cambria Math"/>
                            <w:sz w:val="16"/>
                            <w:szCs w:val="16"/>
                            <w:lang w:val="en-US"/>
                          </w:rPr>
                          <m:t>m</m:t>
                        </m:r>
                      </m:e>
                      <m:sub>
                        <m:r>
                          <m:rPr>
                            <m:sty m:val="p"/>
                          </m:rPr>
                          <w:rPr>
                            <w:rFonts w:ascii="Cambria Math" w:hAnsi="Cambria Math"/>
                            <w:sz w:val="16"/>
                            <w:szCs w:val="16"/>
                            <w:lang w:val="en-US"/>
                          </w:rPr>
                          <m:t>SCGs</m:t>
                        </m:r>
                      </m:sub>
                    </m:sSub>
                  </m:den>
                </m:f>
                <m:r>
                  <m:rPr>
                    <m:sty m:val="p"/>
                  </m:rPr>
                  <w:rPr>
                    <w:rFonts w:ascii="Cambria Math" w:hAnsi="Cambria Math"/>
                    <w:sz w:val="16"/>
                    <w:szCs w:val="16"/>
                    <w:lang w:val="en-US"/>
                  </w:rPr>
                  <m:t>∙100</m:t>
                </m:r>
              </m:oMath>
            </m:oMathPara>
          </w:p>
        </w:tc>
        <w:tc>
          <w:tcPr>
            <w:tcW w:w="1505" w:type="dxa"/>
            <w:vAlign w:val="center"/>
          </w:tcPr>
          <w:p w14:paraId="005B2BC3" w14:textId="77777777" w:rsidR="006761E4" w:rsidRPr="003E7DFF" w:rsidRDefault="006761E4" w:rsidP="00591026">
            <w:pPr>
              <w:pStyle w:val="CETEquation"/>
              <w:spacing w:after="0"/>
              <w:jc w:val="right"/>
              <w:rPr>
                <w:lang w:val="en-US"/>
              </w:rPr>
            </w:pPr>
            <w:r w:rsidRPr="003E7DFF">
              <w:rPr>
                <w:lang w:val="en-US"/>
              </w:rPr>
              <w:t>(1)</w:t>
            </w:r>
          </w:p>
        </w:tc>
      </w:tr>
    </w:tbl>
    <w:p w14:paraId="1111AF47" w14:textId="396202A0" w:rsidR="003D609A" w:rsidRDefault="00BE270D" w:rsidP="00BE270D">
      <w:pPr>
        <w:pStyle w:val="CETHeading1"/>
        <w:numPr>
          <w:ilvl w:val="0"/>
          <w:numId w:val="0"/>
        </w:numPr>
        <w:rPr>
          <w:sz w:val="18"/>
        </w:rPr>
      </w:pPr>
      <w:r w:rsidRPr="003E7DFF">
        <w:rPr>
          <w:sz w:val="18"/>
        </w:rPr>
        <w:t xml:space="preserve">2.2 </w:t>
      </w:r>
      <w:r w:rsidR="003D609A" w:rsidRPr="003E7DFF">
        <w:rPr>
          <w:sz w:val="18"/>
        </w:rPr>
        <w:t>Process description</w:t>
      </w:r>
    </w:p>
    <w:p w14:paraId="56B614B2" w14:textId="27D00113" w:rsidR="00C47D44" w:rsidRPr="003E7DFF" w:rsidRDefault="00C47D44" w:rsidP="003D609A">
      <w:pPr>
        <w:pStyle w:val="CETBodytext"/>
        <w:rPr>
          <w:b/>
          <w:bCs/>
        </w:rPr>
      </w:pPr>
      <w:r w:rsidRPr="003E7DFF">
        <w:rPr>
          <w:b/>
          <w:bCs/>
        </w:rPr>
        <w:t>2.2.1. Ultrasound-assisted oil extraction</w:t>
      </w:r>
    </w:p>
    <w:p w14:paraId="6E7DEFF6" w14:textId="1C59AFFE" w:rsidR="003D609A" w:rsidRPr="00A7675B" w:rsidRDefault="00E34673" w:rsidP="003D609A">
      <w:pPr>
        <w:pStyle w:val="CETBodytext"/>
        <w:rPr>
          <w:color w:val="000000" w:themeColor="text1"/>
        </w:rPr>
      </w:pPr>
      <w:r w:rsidRPr="00E34673">
        <w:rPr>
          <w:color w:val="000000" w:themeColor="text1"/>
        </w:rPr>
        <w:t xml:space="preserve">The following UAE extraction process is based on the process conducted experimentally (described on section 2.1). </w:t>
      </w:r>
      <w:r w:rsidR="003D609A" w:rsidRPr="00E34673">
        <w:rPr>
          <w:color w:val="000000" w:themeColor="text1"/>
        </w:rPr>
        <w:t>Figure 1</w:t>
      </w:r>
      <w:r w:rsidR="00812938" w:rsidRPr="00E34673">
        <w:rPr>
          <w:color w:val="000000" w:themeColor="text1"/>
        </w:rPr>
        <w:t xml:space="preserve"> a) </w:t>
      </w:r>
      <w:r w:rsidR="003D609A" w:rsidRPr="00E34673">
        <w:rPr>
          <w:color w:val="000000" w:themeColor="text1"/>
        </w:rPr>
        <w:t xml:space="preserve">shows the process flow diagram </w:t>
      </w:r>
      <w:r w:rsidR="0083140D" w:rsidRPr="00E34673">
        <w:rPr>
          <w:color w:val="000000" w:themeColor="text1"/>
        </w:rPr>
        <w:t xml:space="preserve">of </w:t>
      </w:r>
      <w:r w:rsidR="00BE270D" w:rsidRPr="00E34673">
        <w:rPr>
          <w:color w:val="000000" w:themeColor="text1"/>
        </w:rPr>
        <w:t xml:space="preserve">the </w:t>
      </w:r>
      <w:r w:rsidR="003D609A" w:rsidRPr="00E34673">
        <w:rPr>
          <w:color w:val="000000" w:themeColor="text1"/>
        </w:rPr>
        <w:t xml:space="preserve">UAE </w:t>
      </w:r>
      <w:r w:rsidR="00C47D44" w:rsidRPr="00E34673">
        <w:rPr>
          <w:color w:val="000000" w:themeColor="text1"/>
        </w:rPr>
        <w:t>process for the production of</w:t>
      </w:r>
      <w:r w:rsidR="003D609A" w:rsidRPr="00E34673">
        <w:rPr>
          <w:color w:val="000000" w:themeColor="text1"/>
        </w:rPr>
        <w:t xml:space="preserve"> SCGs</w:t>
      </w:r>
      <w:r w:rsidR="00C47D44" w:rsidRPr="00E34673">
        <w:rPr>
          <w:color w:val="000000" w:themeColor="text1"/>
        </w:rPr>
        <w:t xml:space="preserve"> oil</w:t>
      </w:r>
      <w:r w:rsidR="003D609A" w:rsidRPr="00E34673">
        <w:rPr>
          <w:color w:val="000000" w:themeColor="text1"/>
        </w:rPr>
        <w:t xml:space="preserve">. </w:t>
      </w:r>
      <w:r w:rsidR="0048141D" w:rsidRPr="00E34673">
        <w:rPr>
          <w:color w:val="000000" w:themeColor="text1"/>
        </w:rPr>
        <w:t>SCGs (stream 1)</w:t>
      </w:r>
      <w:r w:rsidR="0083140D" w:rsidRPr="00E34673">
        <w:rPr>
          <w:color w:val="000000" w:themeColor="text1"/>
        </w:rPr>
        <w:t xml:space="preserve"> </w:t>
      </w:r>
      <w:r w:rsidR="00C47D44" w:rsidRPr="00E34673">
        <w:rPr>
          <w:color w:val="000000" w:themeColor="text1"/>
        </w:rPr>
        <w:t xml:space="preserve">and </w:t>
      </w:r>
      <w:r w:rsidR="00C47D44" w:rsidRPr="003E7DFF">
        <w:t xml:space="preserve">hexane </w:t>
      </w:r>
      <w:r w:rsidR="0083140D" w:rsidRPr="003E7DFF">
        <w:t>(stream 2</w:t>
      </w:r>
      <w:r w:rsidR="0083140D" w:rsidRPr="00160EF2">
        <w:t xml:space="preserve">) </w:t>
      </w:r>
      <w:r w:rsidR="00C47D44" w:rsidRPr="00160EF2">
        <w:t>enter the</w:t>
      </w:r>
      <w:r w:rsidR="00C47D44" w:rsidRPr="003E7DFF">
        <w:t xml:space="preserve"> ultra</w:t>
      </w:r>
      <w:r w:rsidR="00A237AA">
        <w:t>sound</w:t>
      </w:r>
      <w:r w:rsidR="00C47D44" w:rsidRPr="003E7DFF">
        <w:t>-assisted extractor (EX-101) which consume</w:t>
      </w:r>
      <w:r w:rsidR="218F4CF6" w:rsidRPr="003E7DFF">
        <w:t>s</w:t>
      </w:r>
      <w:r w:rsidR="00C47D44" w:rsidRPr="003E7DFF">
        <w:t xml:space="preserve"> electricity </w:t>
      </w:r>
      <w:r w:rsidR="00C47D44" w:rsidRPr="00A7675B">
        <w:rPr>
          <w:color w:val="000000" w:themeColor="text1"/>
        </w:rPr>
        <w:t>from the national network</w:t>
      </w:r>
      <w:r w:rsidR="0083140D" w:rsidRPr="00A7675B">
        <w:rPr>
          <w:color w:val="000000" w:themeColor="text1"/>
        </w:rPr>
        <w:t xml:space="preserve">. </w:t>
      </w:r>
      <w:r w:rsidR="00C47D44" w:rsidRPr="00A7675B">
        <w:rPr>
          <w:color w:val="000000" w:themeColor="text1"/>
        </w:rPr>
        <w:t>A solid</w:t>
      </w:r>
      <w:r w:rsidR="00A237AA" w:rsidRPr="00A7675B">
        <w:rPr>
          <w:color w:val="000000" w:themeColor="text1"/>
        </w:rPr>
        <w:t>-</w:t>
      </w:r>
      <w:r w:rsidR="00C47D44" w:rsidRPr="00A7675B">
        <w:rPr>
          <w:color w:val="000000" w:themeColor="text1"/>
        </w:rPr>
        <w:t>liquid mixture exits the EX</w:t>
      </w:r>
      <w:r w:rsidR="00A237AA" w:rsidRPr="00A7675B">
        <w:rPr>
          <w:color w:val="000000" w:themeColor="text1"/>
        </w:rPr>
        <w:t>-</w:t>
      </w:r>
      <w:r w:rsidR="00C47D44" w:rsidRPr="00A7675B">
        <w:rPr>
          <w:color w:val="000000" w:themeColor="text1"/>
        </w:rPr>
        <w:t>101</w:t>
      </w:r>
      <w:r w:rsidR="0083140D" w:rsidRPr="00A7675B">
        <w:rPr>
          <w:color w:val="000000" w:themeColor="text1"/>
        </w:rPr>
        <w:t xml:space="preserve"> </w:t>
      </w:r>
      <w:r w:rsidR="00C47D44" w:rsidRPr="00A7675B">
        <w:rPr>
          <w:color w:val="000000" w:themeColor="text1"/>
        </w:rPr>
        <w:t>and enters the separator</w:t>
      </w:r>
      <w:r w:rsidR="0083140D" w:rsidRPr="00A7675B">
        <w:rPr>
          <w:color w:val="000000" w:themeColor="text1"/>
        </w:rPr>
        <w:t xml:space="preserve"> </w:t>
      </w:r>
      <w:r w:rsidR="00C47D44" w:rsidRPr="00A7675B">
        <w:rPr>
          <w:color w:val="000000" w:themeColor="text1"/>
        </w:rPr>
        <w:t>(</w:t>
      </w:r>
      <w:r w:rsidR="0083140D" w:rsidRPr="00A7675B">
        <w:rPr>
          <w:color w:val="000000" w:themeColor="text1"/>
        </w:rPr>
        <w:t>F-101</w:t>
      </w:r>
      <w:r w:rsidR="00C47D44" w:rsidRPr="00A7675B">
        <w:rPr>
          <w:color w:val="000000" w:themeColor="text1"/>
        </w:rPr>
        <w:t>)</w:t>
      </w:r>
      <w:r w:rsidR="00160EF2" w:rsidRPr="00A7675B">
        <w:rPr>
          <w:color w:val="000000" w:themeColor="text1"/>
        </w:rPr>
        <w:t xml:space="preserve"> </w:t>
      </w:r>
      <w:r w:rsidRPr="00A7675B">
        <w:rPr>
          <w:color w:val="000000" w:themeColor="text1"/>
        </w:rPr>
        <w:t>to separate the</w:t>
      </w:r>
      <w:r w:rsidR="00160EF2" w:rsidRPr="00A7675B">
        <w:rPr>
          <w:color w:val="000000" w:themeColor="text1"/>
        </w:rPr>
        <w:t xml:space="preserve"> defatted SCGs (stream 4) </w:t>
      </w:r>
      <w:r w:rsidRPr="00A7675B">
        <w:rPr>
          <w:color w:val="000000" w:themeColor="text1"/>
        </w:rPr>
        <w:t>and the liquid mixture</w:t>
      </w:r>
      <w:r w:rsidR="00160EF2" w:rsidRPr="00A7675B">
        <w:rPr>
          <w:color w:val="000000" w:themeColor="text1"/>
        </w:rPr>
        <w:t xml:space="preserve"> (stream 5). </w:t>
      </w:r>
      <w:r w:rsidRPr="00A7675B">
        <w:rPr>
          <w:color w:val="000000" w:themeColor="text1"/>
        </w:rPr>
        <w:t>The liquid mixture of hexane and oil</w:t>
      </w:r>
      <w:r w:rsidR="00C47D44" w:rsidRPr="00A7675B">
        <w:rPr>
          <w:color w:val="000000" w:themeColor="text1"/>
        </w:rPr>
        <w:t xml:space="preserve"> enters the evaporator (EV-101) which consumes electricity to </w:t>
      </w:r>
      <w:r w:rsidR="00076C34" w:rsidRPr="00A7675B">
        <w:rPr>
          <w:color w:val="000000" w:themeColor="text1"/>
        </w:rPr>
        <w:t>evaporate hexane</w:t>
      </w:r>
      <w:r w:rsidRPr="00A7675B">
        <w:rPr>
          <w:color w:val="000000" w:themeColor="text1"/>
        </w:rPr>
        <w:t xml:space="preserve"> and to obtain </w:t>
      </w:r>
      <w:r w:rsidR="00C47D44" w:rsidRPr="00A7675B">
        <w:rPr>
          <w:color w:val="000000" w:themeColor="text1"/>
        </w:rPr>
        <w:t xml:space="preserve">the </w:t>
      </w:r>
      <w:r w:rsidRPr="00A7675B">
        <w:rPr>
          <w:color w:val="000000" w:themeColor="text1"/>
        </w:rPr>
        <w:t xml:space="preserve">purified </w:t>
      </w:r>
      <w:r w:rsidR="00C47D44" w:rsidRPr="00A7675B">
        <w:rPr>
          <w:color w:val="000000" w:themeColor="text1"/>
        </w:rPr>
        <w:t>oil (stream 6)</w:t>
      </w:r>
      <w:r w:rsidRPr="00A7675B">
        <w:rPr>
          <w:color w:val="000000" w:themeColor="text1"/>
        </w:rPr>
        <w:t xml:space="preserve">. Finally, </w:t>
      </w:r>
      <w:r w:rsidR="00C47D44" w:rsidRPr="00A7675B">
        <w:rPr>
          <w:color w:val="000000" w:themeColor="text1"/>
        </w:rPr>
        <w:t xml:space="preserve">the </w:t>
      </w:r>
      <w:r w:rsidR="00D52428" w:rsidRPr="00A7675B">
        <w:rPr>
          <w:color w:val="000000" w:themeColor="text1"/>
        </w:rPr>
        <w:t xml:space="preserve">solvent </w:t>
      </w:r>
      <w:r w:rsidR="00C47D44" w:rsidRPr="00A7675B">
        <w:rPr>
          <w:color w:val="000000" w:themeColor="text1"/>
        </w:rPr>
        <w:t xml:space="preserve">(stream 7) </w:t>
      </w:r>
      <w:r w:rsidRPr="00A7675B">
        <w:rPr>
          <w:color w:val="000000" w:themeColor="text1"/>
        </w:rPr>
        <w:t xml:space="preserve">is condensed t </w:t>
      </w:r>
      <w:r w:rsidR="00C47D44" w:rsidRPr="00A7675B">
        <w:rPr>
          <w:color w:val="000000" w:themeColor="text1"/>
        </w:rPr>
        <w:t>by using</w:t>
      </w:r>
      <w:r w:rsidR="00D52428" w:rsidRPr="00A7675B">
        <w:rPr>
          <w:color w:val="000000" w:themeColor="text1"/>
        </w:rPr>
        <w:t xml:space="preserve"> </w:t>
      </w:r>
      <w:r w:rsidR="00C47D44" w:rsidRPr="00A7675B">
        <w:rPr>
          <w:color w:val="000000" w:themeColor="text1"/>
        </w:rPr>
        <w:t xml:space="preserve">chilled water (stream 8). </w:t>
      </w:r>
    </w:p>
    <w:p w14:paraId="20805602" w14:textId="77777777" w:rsidR="00A261E5" w:rsidRPr="00A7675B" w:rsidRDefault="00A261E5" w:rsidP="00A261E5">
      <w:pPr>
        <w:pStyle w:val="CETBodytext"/>
        <w:rPr>
          <w:b/>
          <w:bCs/>
          <w:color w:val="000000" w:themeColor="text1"/>
        </w:rPr>
      </w:pPr>
    </w:p>
    <w:p w14:paraId="5D31C14A" w14:textId="59580338" w:rsidR="00A261E5" w:rsidRPr="00A7675B" w:rsidRDefault="00A261E5" w:rsidP="00A261E5">
      <w:pPr>
        <w:pStyle w:val="CETBodytext"/>
        <w:rPr>
          <w:b/>
          <w:bCs/>
          <w:color w:val="000000" w:themeColor="text1"/>
        </w:rPr>
      </w:pPr>
      <w:r w:rsidRPr="00A7675B">
        <w:rPr>
          <w:b/>
          <w:bCs/>
          <w:color w:val="000000" w:themeColor="text1"/>
        </w:rPr>
        <w:t>2.2.2. Soxhlet oil extraction</w:t>
      </w:r>
    </w:p>
    <w:p w14:paraId="6B4C92BC" w14:textId="3CA1DF12" w:rsidR="00A261E5" w:rsidRPr="00A7675B" w:rsidRDefault="00A261E5" w:rsidP="00A261E5">
      <w:pPr>
        <w:pStyle w:val="CETBodytext"/>
        <w:rPr>
          <w:color w:val="000000" w:themeColor="text1"/>
        </w:rPr>
      </w:pPr>
      <w:r w:rsidRPr="00A7675B">
        <w:rPr>
          <w:color w:val="000000" w:themeColor="text1"/>
        </w:rPr>
        <w:t xml:space="preserve">Figure 1 b) shows the process flow diagram of the </w:t>
      </w:r>
      <w:proofErr w:type="spellStart"/>
      <w:r w:rsidRPr="00A7675B">
        <w:rPr>
          <w:color w:val="000000" w:themeColor="text1"/>
        </w:rPr>
        <w:t>soxhlet</w:t>
      </w:r>
      <w:proofErr w:type="spellEnd"/>
      <w:r w:rsidRPr="00A7675B">
        <w:rPr>
          <w:color w:val="000000" w:themeColor="text1"/>
        </w:rPr>
        <w:t xml:space="preserve"> extraction (SE) process for the production of SCGs oil based on </w:t>
      </w:r>
      <w:r w:rsidR="00E34673" w:rsidRPr="00A7675B">
        <w:rPr>
          <w:color w:val="000000" w:themeColor="text1"/>
        </w:rPr>
        <w:t xml:space="preserve">the </w:t>
      </w:r>
      <w:r w:rsidRPr="00A7675B">
        <w:rPr>
          <w:color w:val="000000" w:themeColor="text1"/>
        </w:rPr>
        <w:t xml:space="preserve">operation conditions of </w:t>
      </w:r>
      <w:r w:rsidR="00E34673" w:rsidRPr="00A7675B">
        <w:rPr>
          <w:color w:val="000000" w:themeColor="text1"/>
        </w:rPr>
        <w:t xml:space="preserve">a </w:t>
      </w:r>
      <w:r w:rsidRPr="00A7675B">
        <w:rPr>
          <w:color w:val="000000" w:themeColor="text1"/>
        </w:rPr>
        <w:t>previous stud</w:t>
      </w:r>
      <w:r w:rsidR="00E34673" w:rsidRPr="00A7675B">
        <w:rPr>
          <w:color w:val="000000" w:themeColor="text1"/>
        </w:rPr>
        <w:t>y</w:t>
      </w:r>
      <w:r w:rsidRPr="00A7675B">
        <w:rPr>
          <w:color w:val="000000" w:themeColor="text1"/>
        </w:rPr>
        <w:t xml:space="preserve"> </w:t>
      </w:r>
      <w:r w:rsidR="00804235" w:rsidRPr="00A7675B">
        <w:rPr>
          <w:color w:val="000000" w:themeColor="text1"/>
        </w:rPr>
        <w:fldChar w:fldCharType="begin" w:fldLock="1"/>
      </w:r>
      <w:r w:rsidR="008B70F7">
        <w:rPr>
          <w:color w:val="000000" w:themeColor="text1"/>
        </w:rPr>
        <w:instrText>ADDIN CSL_CITATION {"citationItems":[{"id":"ITEM-1","itemData":{"ISSN":"00162361","abstract":"The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-1","issue":"x","issued":{"date-parts":[["2012"]]},"page":"70-76","publisher":"Elsevier Ltd","title":"Oil extracted from spent coffee grounds as a renewable source for fatty acid methyl ester manufacturing","type":"article-journal","volume":"96"},"uris":["http://www.mendeley.com/documents/?uuid=378fe7cc-7a3d-43db-a87e-0b42de9a7c66","http://www.mendeley.com/documents/?uuid=bd3d2214-36f0-4c3d-8b38-d5d2418d731c"]},{"id":"ITEM-2","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Transactions","id":"ITEM-2","issue":"January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A7675B" w:rsidRPr="00A7675B">
        <w:rPr>
          <w:noProof/>
          <w:color w:val="000000" w:themeColor="text1"/>
        </w:rPr>
        <w:t>(Al-Hamamre et al., 2012; Le et al., 2017)</w:t>
      </w:r>
      <w:r w:rsidR="00804235" w:rsidRPr="00A7675B">
        <w:rPr>
          <w:color w:val="000000" w:themeColor="text1"/>
        </w:rPr>
        <w:fldChar w:fldCharType="end"/>
      </w:r>
      <w:r w:rsidR="00804235" w:rsidRPr="00A7675B">
        <w:rPr>
          <w:color w:val="000000" w:themeColor="text1"/>
        </w:rPr>
        <w:t xml:space="preserve">. </w:t>
      </w:r>
      <w:r w:rsidRPr="00A7675B">
        <w:rPr>
          <w:color w:val="000000" w:themeColor="text1"/>
        </w:rPr>
        <w:t>SCGs (stream 1) and hexane (stream 2</w:t>
      </w:r>
      <w:r w:rsidRPr="00907A2D">
        <w:rPr>
          <w:color w:val="000000" w:themeColor="text1"/>
        </w:rPr>
        <w:t xml:space="preserve">) enter the </w:t>
      </w:r>
      <w:proofErr w:type="spellStart"/>
      <w:r w:rsidRPr="00907A2D">
        <w:rPr>
          <w:color w:val="000000" w:themeColor="text1"/>
        </w:rPr>
        <w:t>soxhlet</w:t>
      </w:r>
      <w:proofErr w:type="spellEnd"/>
      <w:r w:rsidRPr="00907A2D">
        <w:rPr>
          <w:color w:val="000000" w:themeColor="text1"/>
        </w:rPr>
        <w:t xml:space="preserve"> extractor (EX-201) which consume electricity from the national network to reach the operating temperature of 69 ºC</w:t>
      </w:r>
      <w:r w:rsidR="00E34673" w:rsidRPr="00907A2D">
        <w:rPr>
          <w:color w:val="000000" w:themeColor="text1"/>
        </w:rPr>
        <w:t xml:space="preserve"> (boiling point of the solvent)</w:t>
      </w:r>
      <w:r w:rsidRPr="00907A2D">
        <w:rPr>
          <w:color w:val="000000" w:themeColor="text1"/>
        </w:rPr>
        <w:t>. The retention time in the extractor is 3 hours</w:t>
      </w:r>
      <w:r w:rsidR="00804235" w:rsidRPr="00907A2D">
        <w:rPr>
          <w:color w:val="000000" w:themeColor="text1"/>
        </w:rPr>
        <w:t xml:space="preserve"> </w:t>
      </w:r>
      <w:r w:rsidR="00804235" w:rsidRPr="00907A2D">
        <w:rPr>
          <w:color w:val="000000" w:themeColor="text1"/>
        </w:rPr>
        <w:fldChar w:fldCharType="begin" w:fldLock="1"/>
      </w:r>
      <w:r w:rsidR="008B70F7" w:rsidRPr="00907A2D">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be8770f1-3d28-4b72-b007-4900549bfa1d"]}],"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907A2D">
        <w:rPr>
          <w:color w:val="000000" w:themeColor="text1"/>
        </w:rPr>
        <w:fldChar w:fldCharType="separate"/>
      </w:r>
      <w:r w:rsidR="00A7675B" w:rsidRPr="00907A2D">
        <w:rPr>
          <w:noProof/>
          <w:color w:val="000000" w:themeColor="text1"/>
        </w:rPr>
        <w:t>(Al-Hamamre et al., 2012; Le et al., 2017)</w:t>
      </w:r>
      <w:r w:rsidR="00804235" w:rsidRPr="00907A2D">
        <w:rPr>
          <w:color w:val="000000" w:themeColor="text1"/>
        </w:rPr>
        <w:fldChar w:fldCharType="end"/>
      </w:r>
      <w:r w:rsidRPr="00907A2D">
        <w:rPr>
          <w:color w:val="000000" w:themeColor="text1"/>
        </w:rPr>
        <w:t xml:space="preserve">. </w:t>
      </w:r>
      <w:r w:rsidR="00E34673" w:rsidRPr="00907A2D">
        <w:rPr>
          <w:color w:val="000000" w:themeColor="text1"/>
        </w:rPr>
        <w:t xml:space="preserve">From the </w:t>
      </w:r>
      <w:r w:rsidRPr="00907A2D">
        <w:rPr>
          <w:color w:val="000000" w:themeColor="text1"/>
        </w:rPr>
        <w:t xml:space="preserve">EX-201 </w:t>
      </w:r>
      <w:r w:rsidR="00E34673" w:rsidRPr="00907A2D">
        <w:rPr>
          <w:color w:val="000000" w:themeColor="text1"/>
        </w:rPr>
        <w:t>exits a</w:t>
      </w:r>
      <w:r w:rsidRPr="00907A2D">
        <w:rPr>
          <w:color w:val="000000" w:themeColor="text1"/>
        </w:rPr>
        <w:t xml:space="preserve"> liquid mixture (stream 5) </w:t>
      </w:r>
      <w:r w:rsidR="00E34673" w:rsidRPr="00907A2D">
        <w:rPr>
          <w:color w:val="000000" w:themeColor="text1"/>
        </w:rPr>
        <w:t>and the</w:t>
      </w:r>
      <w:r w:rsidRPr="00907A2D">
        <w:rPr>
          <w:color w:val="000000" w:themeColor="text1"/>
        </w:rPr>
        <w:t xml:space="preserve"> defatted SCGs (stream 4). </w:t>
      </w:r>
      <w:r w:rsidR="00E34673" w:rsidRPr="00907A2D">
        <w:rPr>
          <w:color w:val="000000" w:themeColor="text1"/>
        </w:rPr>
        <w:t>The liquid</w:t>
      </w:r>
      <w:r w:rsidR="00E34673" w:rsidRPr="00A7675B">
        <w:rPr>
          <w:color w:val="000000" w:themeColor="text1"/>
        </w:rPr>
        <w:t xml:space="preserve"> mixture of hexane and oil enters the </w:t>
      </w:r>
      <w:r w:rsidRPr="00A7675B">
        <w:rPr>
          <w:color w:val="000000" w:themeColor="text1"/>
        </w:rPr>
        <w:t xml:space="preserve">evaporator (EV-201) which consumes electricity to </w:t>
      </w:r>
      <w:r w:rsidR="00E34673" w:rsidRPr="00A7675B">
        <w:rPr>
          <w:color w:val="000000" w:themeColor="text1"/>
        </w:rPr>
        <w:t>evaporate hexane and to obtain the purified oil</w:t>
      </w:r>
      <w:r w:rsidRPr="00A7675B">
        <w:rPr>
          <w:color w:val="000000" w:themeColor="text1"/>
        </w:rPr>
        <w:t xml:space="preserve"> (stream 6)</w:t>
      </w:r>
      <w:r w:rsidR="00E34673" w:rsidRPr="00A7675B">
        <w:rPr>
          <w:color w:val="000000" w:themeColor="text1"/>
        </w:rPr>
        <w:t xml:space="preserve">. Finally, the solvent </w:t>
      </w:r>
      <w:r w:rsidRPr="00A7675B">
        <w:rPr>
          <w:color w:val="000000" w:themeColor="text1"/>
        </w:rPr>
        <w:t xml:space="preserve">(stream 7) </w:t>
      </w:r>
      <w:r w:rsidR="00E34673" w:rsidRPr="00A7675B">
        <w:rPr>
          <w:color w:val="000000" w:themeColor="text1"/>
        </w:rPr>
        <w:t xml:space="preserve">is condensed by using chilled water </w:t>
      </w:r>
      <w:r w:rsidRPr="00A7675B">
        <w:rPr>
          <w:color w:val="000000" w:themeColor="text1"/>
        </w:rPr>
        <w:t>(stream 8).</w:t>
      </w:r>
    </w:p>
    <w:p w14:paraId="00812F41" w14:textId="77777777" w:rsidR="00123CEF" w:rsidRDefault="00123CEF" w:rsidP="003D609A">
      <w:pPr>
        <w:pStyle w:val="CETBodytext"/>
      </w:pPr>
    </w:p>
    <w:p w14:paraId="7523704E" w14:textId="28BC2D22" w:rsidR="00F30009" w:rsidRPr="003E7DFF" w:rsidRDefault="002677BF" w:rsidP="003D609A">
      <w:pPr>
        <w:pStyle w:val="CETBodytext"/>
      </w:pPr>
      <w:r>
        <w:rPr>
          <w:noProof/>
        </w:rPr>
        <w:lastRenderedPageBreak/>
        <w:drawing>
          <wp:anchor distT="0" distB="0" distL="114300" distR="114300" simplePos="0" relativeHeight="251658246" behindDoc="0" locked="0" layoutInCell="1" allowOverlap="1" wp14:anchorId="75278701" wp14:editId="3F1A5CC2">
            <wp:simplePos x="0" y="0"/>
            <wp:positionH relativeFrom="column">
              <wp:posOffset>1270</wp:posOffset>
            </wp:positionH>
            <wp:positionV relativeFrom="paragraph">
              <wp:posOffset>0</wp:posOffset>
            </wp:positionV>
            <wp:extent cx="5095875" cy="2874645"/>
            <wp:effectExtent l="0" t="0" r="0" b="0"/>
            <wp:wrapSquare wrapText="bothSides"/>
            <wp:docPr id="7"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pic:cNvPicPr/>
                  </pic:nvPicPr>
                  <pic:blipFill rotWithShape="1">
                    <a:blip r:embed="rId10">
                      <a:extLst>
                        <a:ext uri="{96DAC541-7B7A-43D3-8B79-37D633B846F1}">
                          <asvg:svgBlip xmlns:asvg="http://schemas.microsoft.com/office/drawing/2016/SVG/main" r:embed="rId11"/>
                        </a:ext>
                      </a:extLst>
                    </a:blip>
                    <a:srcRect b="16029"/>
                    <a:stretch/>
                  </pic:blipFill>
                  <pic:spPr bwMode="auto">
                    <a:xfrm>
                      <a:off x="0" y="0"/>
                      <a:ext cx="5095875" cy="287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9F5EAD" w14:textId="54E9CF22" w:rsidR="00FF11CB" w:rsidRPr="003E7DFF" w:rsidRDefault="00FF11CB" w:rsidP="003D609A">
      <w:pPr>
        <w:pStyle w:val="CETBodytext"/>
      </w:pPr>
    </w:p>
    <w:p w14:paraId="197ED6AD" w14:textId="58976E81" w:rsidR="00FF11CB" w:rsidRPr="003E7DFF" w:rsidRDefault="00FF11CB" w:rsidP="003D609A">
      <w:pPr>
        <w:pStyle w:val="CETBodytext"/>
      </w:pPr>
    </w:p>
    <w:p w14:paraId="765C7D66" w14:textId="77777777" w:rsidR="004063BA" w:rsidRDefault="004063BA" w:rsidP="00891D20">
      <w:pPr>
        <w:pStyle w:val="CETBodytext"/>
        <w:tabs>
          <w:tab w:val="clear" w:pos="7100"/>
          <w:tab w:val="center" w:pos="4393"/>
        </w:tabs>
        <w:rPr>
          <w:rStyle w:val="CETCaptionCarattere"/>
          <w:lang w:val="en-US"/>
        </w:rPr>
      </w:pPr>
    </w:p>
    <w:p w14:paraId="1F1AB6BF" w14:textId="77777777" w:rsidR="004063BA" w:rsidRDefault="004063BA" w:rsidP="00891D20">
      <w:pPr>
        <w:pStyle w:val="CETBodytext"/>
        <w:tabs>
          <w:tab w:val="clear" w:pos="7100"/>
          <w:tab w:val="center" w:pos="4393"/>
        </w:tabs>
        <w:rPr>
          <w:rStyle w:val="CETCaptionCarattere"/>
          <w:lang w:val="en-US"/>
        </w:rPr>
      </w:pPr>
    </w:p>
    <w:p w14:paraId="0B5FECB1" w14:textId="77777777" w:rsidR="004063BA" w:rsidRDefault="004063BA" w:rsidP="00891D20">
      <w:pPr>
        <w:pStyle w:val="CETBodytext"/>
        <w:tabs>
          <w:tab w:val="clear" w:pos="7100"/>
          <w:tab w:val="center" w:pos="4393"/>
        </w:tabs>
        <w:rPr>
          <w:rStyle w:val="CETCaptionCarattere"/>
          <w:lang w:val="en-US"/>
        </w:rPr>
      </w:pPr>
    </w:p>
    <w:p w14:paraId="1E52C622" w14:textId="77777777" w:rsidR="004063BA" w:rsidRDefault="004063BA" w:rsidP="00891D20">
      <w:pPr>
        <w:pStyle w:val="CETBodytext"/>
        <w:tabs>
          <w:tab w:val="clear" w:pos="7100"/>
          <w:tab w:val="center" w:pos="4393"/>
        </w:tabs>
        <w:rPr>
          <w:rStyle w:val="CETCaptionCarattere"/>
          <w:lang w:val="en-US"/>
        </w:rPr>
      </w:pPr>
    </w:p>
    <w:p w14:paraId="39B18E89" w14:textId="77777777" w:rsidR="004063BA" w:rsidRDefault="004063BA" w:rsidP="00891D20">
      <w:pPr>
        <w:pStyle w:val="CETBodytext"/>
        <w:tabs>
          <w:tab w:val="clear" w:pos="7100"/>
          <w:tab w:val="center" w:pos="4393"/>
        </w:tabs>
        <w:rPr>
          <w:rStyle w:val="CETCaptionCarattere"/>
          <w:lang w:val="en-US"/>
        </w:rPr>
      </w:pPr>
    </w:p>
    <w:p w14:paraId="3B2E9848" w14:textId="77777777" w:rsidR="004063BA" w:rsidRDefault="004063BA" w:rsidP="00891D20">
      <w:pPr>
        <w:pStyle w:val="CETBodytext"/>
        <w:tabs>
          <w:tab w:val="clear" w:pos="7100"/>
          <w:tab w:val="center" w:pos="4393"/>
        </w:tabs>
        <w:rPr>
          <w:rStyle w:val="CETCaptionCarattere"/>
          <w:lang w:val="en-US"/>
        </w:rPr>
      </w:pPr>
    </w:p>
    <w:p w14:paraId="38CEAE12" w14:textId="77777777" w:rsidR="004063BA" w:rsidRDefault="004063BA" w:rsidP="00891D20">
      <w:pPr>
        <w:pStyle w:val="CETBodytext"/>
        <w:tabs>
          <w:tab w:val="clear" w:pos="7100"/>
          <w:tab w:val="center" w:pos="4393"/>
        </w:tabs>
        <w:rPr>
          <w:rStyle w:val="CETCaptionCarattere"/>
          <w:lang w:val="en-US"/>
        </w:rPr>
      </w:pPr>
    </w:p>
    <w:p w14:paraId="40AA9BE5" w14:textId="77777777" w:rsidR="004063BA" w:rsidRDefault="004063BA" w:rsidP="00891D20">
      <w:pPr>
        <w:pStyle w:val="CETBodytext"/>
        <w:tabs>
          <w:tab w:val="clear" w:pos="7100"/>
          <w:tab w:val="center" w:pos="4393"/>
        </w:tabs>
        <w:rPr>
          <w:rStyle w:val="CETCaptionCarattere"/>
          <w:lang w:val="en-US"/>
        </w:rPr>
      </w:pPr>
    </w:p>
    <w:p w14:paraId="59BEE48B" w14:textId="77777777" w:rsidR="004063BA" w:rsidRDefault="004063BA" w:rsidP="00891D20">
      <w:pPr>
        <w:pStyle w:val="CETBodytext"/>
        <w:tabs>
          <w:tab w:val="clear" w:pos="7100"/>
          <w:tab w:val="center" w:pos="4393"/>
        </w:tabs>
        <w:rPr>
          <w:rStyle w:val="CETCaptionCarattere"/>
          <w:lang w:val="en-US"/>
        </w:rPr>
      </w:pPr>
    </w:p>
    <w:p w14:paraId="7AC8C798" w14:textId="77777777" w:rsidR="004063BA" w:rsidRDefault="004063BA" w:rsidP="00891D20">
      <w:pPr>
        <w:pStyle w:val="CETBodytext"/>
        <w:tabs>
          <w:tab w:val="clear" w:pos="7100"/>
          <w:tab w:val="center" w:pos="4393"/>
        </w:tabs>
        <w:rPr>
          <w:rStyle w:val="CETCaptionCarattere"/>
          <w:lang w:val="en-US"/>
        </w:rPr>
      </w:pPr>
    </w:p>
    <w:p w14:paraId="641E34FE" w14:textId="77777777" w:rsidR="004063BA" w:rsidRDefault="004063BA" w:rsidP="00891D20">
      <w:pPr>
        <w:pStyle w:val="CETBodytext"/>
        <w:tabs>
          <w:tab w:val="clear" w:pos="7100"/>
          <w:tab w:val="center" w:pos="4393"/>
        </w:tabs>
        <w:rPr>
          <w:rStyle w:val="CETCaptionCarattere"/>
          <w:lang w:val="en-US"/>
        </w:rPr>
      </w:pPr>
    </w:p>
    <w:p w14:paraId="449FA412" w14:textId="77777777" w:rsidR="004063BA" w:rsidRDefault="004063BA" w:rsidP="00891D20">
      <w:pPr>
        <w:pStyle w:val="CETBodytext"/>
        <w:tabs>
          <w:tab w:val="clear" w:pos="7100"/>
          <w:tab w:val="center" w:pos="4393"/>
        </w:tabs>
        <w:rPr>
          <w:rStyle w:val="CETCaptionCarattere"/>
          <w:lang w:val="en-US"/>
        </w:rPr>
      </w:pPr>
    </w:p>
    <w:p w14:paraId="582E7853" w14:textId="77777777" w:rsidR="004063BA" w:rsidRDefault="004063BA" w:rsidP="00891D20">
      <w:pPr>
        <w:pStyle w:val="CETBodytext"/>
        <w:tabs>
          <w:tab w:val="clear" w:pos="7100"/>
          <w:tab w:val="center" w:pos="4393"/>
        </w:tabs>
        <w:rPr>
          <w:rStyle w:val="CETCaptionCarattere"/>
          <w:lang w:val="en-US"/>
        </w:rPr>
      </w:pPr>
    </w:p>
    <w:p w14:paraId="4660E98D" w14:textId="77777777" w:rsidR="004063BA" w:rsidRDefault="004063BA" w:rsidP="00891D20">
      <w:pPr>
        <w:pStyle w:val="CETBodytext"/>
        <w:tabs>
          <w:tab w:val="clear" w:pos="7100"/>
          <w:tab w:val="center" w:pos="4393"/>
        </w:tabs>
        <w:rPr>
          <w:rStyle w:val="CETCaptionCarattere"/>
          <w:lang w:val="en-US"/>
        </w:rPr>
      </w:pPr>
    </w:p>
    <w:p w14:paraId="259A64F0" w14:textId="77777777" w:rsidR="004063BA" w:rsidRDefault="004063BA" w:rsidP="00891D20">
      <w:pPr>
        <w:pStyle w:val="CETBodytext"/>
        <w:tabs>
          <w:tab w:val="clear" w:pos="7100"/>
          <w:tab w:val="center" w:pos="4393"/>
        </w:tabs>
        <w:rPr>
          <w:rStyle w:val="CETCaptionCarattere"/>
          <w:lang w:val="en-US"/>
        </w:rPr>
      </w:pPr>
    </w:p>
    <w:p w14:paraId="48B8F228" w14:textId="77777777" w:rsidR="002677BF" w:rsidRDefault="002677BF" w:rsidP="00891D20">
      <w:pPr>
        <w:pStyle w:val="CETBodytext"/>
        <w:tabs>
          <w:tab w:val="clear" w:pos="7100"/>
          <w:tab w:val="center" w:pos="4393"/>
        </w:tabs>
        <w:rPr>
          <w:rStyle w:val="CETCaptionCarattere"/>
          <w:lang w:val="en-US"/>
        </w:rPr>
      </w:pPr>
    </w:p>
    <w:p w14:paraId="1F2723E4" w14:textId="77777777" w:rsidR="00123CEF" w:rsidRDefault="00123CEF" w:rsidP="00891D20">
      <w:pPr>
        <w:pStyle w:val="CETBodytext"/>
        <w:tabs>
          <w:tab w:val="clear" w:pos="7100"/>
          <w:tab w:val="center" w:pos="4393"/>
        </w:tabs>
        <w:rPr>
          <w:rStyle w:val="CETCaptionCarattere"/>
          <w:lang w:val="en-US"/>
        </w:rPr>
      </w:pPr>
    </w:p>
    <w:p w14:paraId="6825FD30" w14:textId="77777777" w:rsidR="00123CEF" w:rsidRDefault="00123CEF" w:rsidP="00891D20">
      <w:pPr>
        <w:pStyle w:val="CETBodytext"/>
        <w:tabs>
          <w:tab w:val="clear" w:pos="7100"/>
          <w:tab w:val="center" w:pos="4393"/>
        </w:tabs>
        <w:rPr>
          <w:rStyle w:val="CETCaptionCarattere"/>
          <w:lang w:val="en-US"/>
        </w:rPr>
      </w:pPr>
    </w:p>
    <w:p w14:paraId="67996B0D" w14:textId="5B4172A0" w:rsidR="00891D20" w:rsidRDefault="00891D20" w:rsidP="00891D20">
      <w:pPr>
        <w:pStyle w:val="CETBodytext"/>
        <w:tabs>
          <w:tab w:val="clear" w:pos="7100"/>
          <w:tab w:val="center" w:pos="4393"/>
        </w:tabs>
        <w:rPr>
          <w:rStyle w:val="CETCaptionCarattere"/>
          <w:lang w:val="en-US"/>
        </w:rPr>
      </w:pPr>
      <w:r w:rsidRPr="003E7DFF">
        <w:rPr>
          <w:rStyle w:val="CETCaptionCarattere"/>
          <w:lang w:val="en-US"/>
        </w:rPr>
        <w:t xml:space="preserve">Figure 1: Process flow diagram of </w:t>
      </w:r>
      <w:r w:rsidR="003A78BC" w:rsidRPr="003E7DFF">
        <w:rPr>
          <w:rStyle w:val="CETCaptionCarattere"/>
          <w:lang w:val="en-US"/>
        </w:rPr>
        <w:t xml:space="preserve">a) </w:t>
      </w:r>
      <w:r w:rsidRPr="003E7DFF">
        <w:rPr>
          <w:rStyle w:val="CETCaptionCarattere"/>
          <w:lang w:val="en-US"/>
        </w:rPr>
        <w:t xml:space="preserve">UAE </w:t>
      </w:r>
      <w:r w:rsidR="003A78BC" w:rsidRPr="003E7DFF">
        <w:rPr>
          <w:rStyle w:val="CETCaptionCarattere"/>
          <w:lang w:val="en-US"/>
        </w:rPr>
        <w:t xml:space="preserve">and b) SE </w:t>
      </w:r>
      <w:r w:rsidRPr="00A7675B">
        <w:rPr>
          <w:rStyle w:val="CETCaptionCarattere"/>
          <w:color w:val="000000" w:themeColor="text1"/>
          <w:lang w:val="en-US"/>
        </w:rPr>
        <w:t>process</w:t>
      </w:r>
      <w:r w:rsidR="003A78BC" w:rsidRPr="00A7675B">
        <w:rPr>
          <w:rStyle w:val="CETCaptionCarattere"/>
          <w:color w:val="000000" w:themeColor="text1"/>
          <w:lang w:val="en-US"/>
        </w:rPr>
        <w:t>es</w:t>
      </w:r>
      <w:r w:rsidR="004063BA" w:rsidRPr="00A7675B">
        <w:rPr>
          <w:rStyle w:val="CETCaptionCarattere"/>
          <w:color w:val="000000" w:themeColor="text1"/>
          <w:lang w:val="en-US"/>
        </w:rPr>
        <w:t xml:space="preserve"> </w:t>
      </w:r>
      <w:r w:rsidR="00804235" w:rsidRPr="00A7675B">
        <w:rPr>
          <w:color w:val="000000" w:themeColor="text1"/>
        </w:rPr>
        <w:fldChar w:fldCharType="begin" w:fldLock="1"/>
      </w:r>
      <w:r w:rsidR="008B70F7">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584299a5-703d-4489-b1e6-60ba57031315"]}],"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A7675B" w:rsidRPr="00A7675B">
        <w:rPr>
          <w:noProof/>
          <w:color w:val="000000" w:themeColor="text1"/>
        </w:rPr>
        <w:t>(Al-Hamamre et al., 2012; Le et al., 2017)</w:t>
      </w:r>
      <w:r w:rsidR="00804235" w:rsidRPr="00A7675B">
        <w:rPr>
          <w:color w:val="000000" w:themeColor="text1"/>
        </w:rPr>
        <w:fldChar w:fldCharType="end"/>
      </w:r>
      <w:r w:rsidR="003A78BC" w:rsidRPr="00A7675B">
        <w:rPr>
          <w:rStyle w:val="CETCaptionCarattere"/>
          <w:color w:val="000000" w:themeColor="text1"/>
          <w:lang w:val="en-US"/>
        </w:rPr>
        <w:t>.</w:t>
      </w:r>
    </w:p>
    <w:p w14:paraId="706BA0E8" w14:textId="7B271642" w:rsidR="003D609A" w:rsidRPr="003E7DFF" w:rsidRDefault="003D609A" w:rsidP="00C47D44">
      <w:pPr>
        <w:pStyle w:val="CETheadingx"/>
        <w:numPr>
          <w:ilvl w:val="2"/>
          <w:numId w:val="26"/>
        </w:numPr>
      </w:pPr>
      <w:proofErr w:type="spellStart"/>
      <w:r w:rsidRPr="003E7DFF">
        <w:t>Exergoeconomic</w:t>
      </w:r>
      <w:proofErr w:type="spellEnd"/>
      <w:r w:rsidRPr="003E7DFF">
        <w:t xml:space="preserve"> Analysis</w:t>
      </w:r>
    </w:p>
    <w:p w14:paraId="2B35462D" w14:textId="0224F3A0" w:rsidR="003D609A" w:rsidRPr="003E7DFF" w:rsidRDefault="003D609A" w:rsidP="00CF54BB">
      <w:pPr>
        <w:pStyle w:val="CETBodytext"/>
      </w:pPr>
      <w:r w:rsidRPr="003E7DFF">
        <w:t xml:space="preserve">The </w:t>
      </w:r>
      <w:proofErr w:type="spellStart"/>
      <w:r w:rsidRPr="003E7DFF">
        <w:t>exergoeconomic</w:t>
      </w:r>
      <w:proofErr w:type="spellEnd"/>
      <w:r w:rsidRPr="003E7DFF">
        <w:t xml:space="preserve"> analysis of </w:t>
      </w:r>
      <w:r w:rsidR="00C47D44" w:rsidRPr="003E7DFF">
        <w:t xml:space="preserve">the </w:t>
      </w:r>
      <w:r w:rsidR="00174477" w:rsidRPr="003E7DFF">
        <w:t xml:space="preserve">UAE </w:t>
      </w:r>
      <w:r w:rsidR="0067027A" w:rsidRPr="003E7DFF">
        <w:t xml:space="preserve">and </w:t>
      </w:r>
      <w:r w:rsidR="00174477" w:rsidRPr="003E7DFF">
        <w:t xml:space="preserve">SE </w:t>
      </w:r>
      <w:r w:rsidR="00C47D44" w:rsidRPr="003E7DFF">
        <w:t>processe</w:t>
      </w:r>
      <w:r w:rsidR="0067027A" w:rsidRPr="003E7DFF">
        <w:t>s</w:t>
      </w:r>
      <w:r w:rsidR="00174477" w:rsidRPr="003E7DFF">
        <w:t xml:space="preserve"> </w:t>
      </w:r>
      <w:r w:rsidRPr="003E7DFF">
        <w:t>w</w:t>
      </w:r>
      <w:r w:rsidR="00174477" w:rsidRPr="003E7DFF">
        <w:t>ere</w:t>
      </w:r>
      <w:r w:rsidRPr="003E7DFF">
        <w:t xml:space="preserve"> developed by using equations Eq. (</w:t>
      </w:r>
      <w:r w:rsidR="00BD3B83">
        <w:t>2</w:t>
      </w:r>
      <w:r w:rsidRPr="003E7DFF">
        <w:t>) to Eq. (6)</w:t>
      </w:r>
      <w:r w:rsidR="00101ECA" w:rsidRPr="003E7DFF">
        <w:t xml:space="preserve"> </w:t>
      </w:r>
      <w:r w:rsidR="00A7675B" w:rsidRPr="003E7DFF">
        <w:t xml:space="preserve">) </w:t>
      </w:r>
      <w:r w:rsidR="00A7675B">
        <w:fldChar w:fldCharType="begin" w:fldLock="1"/>
      </w:r>
      <w:r w:rsidR="008B70F7">
        <w:instrText>ADDIN CSL_CITATION {"citationItems":[{"id":"ITEM-1","itemData":{"abstract":"This is a review of the concepts of purpose, direction, and objective in the discipline of thermodynamics, which is a pillar of physics, natural sciences, life science, and engineering science. Reviewed is the relentless evolution of this discipline toward accounting for evolutionary design with direction, and for establishing the concept of purpose in methodologies of modeling, analysis, teaching, and design optimization. Evolution is change after change toward flow access, with direction in time, and purpose. Evolution does not have an ‘end’. In thermodynamics, purpose is already the defining feature of methods that have emerged to guide and facilitate the generation, distribution, and use of motive power, heating, and cooling: thermodynamic optimization, exergy-based methods (i.e., exergetic, exergoeconomic, and exergoenvironmental analysis), entropy generation minimiza-tion, extended exergy, environomics, thermoecology, finite time thermodynamics, pinch analysis, animal design, geophysical flow design, and constructal law. What distinguishes these approaches are the purpose and the performance evaluation used in each method.","author":[{"dropping-particle":"","family":"Bejan","given":"Adrian","non-dropping-particle":"","parse-names":false,"suffix":""},{"dropping-particle":"","family":"Tsatsaronis","given":"George","non-dropping-particle":"","parse-names":false,"suffix":""}],"container-title":"Energies","id":"ITEM-1","issue":"2","issued":{"date-parts":[["2021"]]},"title":"Purpose in thermodynamics","type":"article-journal","volume":"14"},"uris":["http://www.mendeley.com/documents/?uuid=f4077827-f412-434e-b8ff-47d6798578ce"]}],"mendeley":{"formattedCitation":"(Bejan and Tsatsaronis, 2021)","plainTextFormattedCitation":"(Bejan and Tsatsaronis, 2021)","previouslyFormattedCitation":"(Bejan and Tsatsaronis, 2021)"},"properties":{"noteIndex":0},"schema":"https://github.com/citation-style-language/schema/raw/master/csl-citation.json"}</w:instrText>
      </w:r>
      <w:r w:rsidR="00A7675B">
        <w:fldChar w:fldCharType="separate"/>
      </w:r>
      <w:r w:rsidR="00A7675B" w:rsidRPr="000C6B8C">
        <w:rPr>
          <w:noProof/>
        </w:rPr>
        <w:t>(Bejan and Tsatsaronis, 2021)</w:t>
      </w:r>
      <w:r w:rsidR="00A7675B">
        <w:fldChar w:fldCharType="end"/>
      </w:r>
      <w:r w:rsidRPr="003E7DFF">
        <w:t xml:space="preserve">. Engineering Equations Solver (EES) software was used to determine the thermophysical properties for the calculation of enthalpy and entropy of each state. The enthalpy (h) and entropy (s) of SCGs were determined using the heat capacity taken from literature </w:t>
      </w:r>
      <w:r w:rsidRPr="003E7DFF">
        <w:fldChar w:fldCharType="begin" w:fldLock="1"/>
      </w:r>
      <w:r w:rsidR="008B70F7">
        <w:instrText xml:space="preserve">ADDIN CSL_CITATION {"citationItems":[{"id":"ITEM-1","itemData":{"ISSN":"18790682","abstract":"Current ways of managing spent coffee grounds (SCGs) are uneconomical and have significant environmental impacts. Alternative approaches, such as hydrothermal carbonisation (HTC), which can utilise their rich organic matter for energy recovery purposes are essential. Here we present, a response surface methodology (RSM) for understanding the combined interactive effects due to the main HTC operating conditions, i.e. reaction temperature and residence time, as well as optimising them to produce hydrochar from SCGs of maximal yield and calorific value. The fuel properties and combustion behaviours of hydrochar were further evaluated to assess its suitability to replace coals for energy applications. Depending on the operating conditions, the atomic carbon content and calorific values of the hydrochar were significantly improved: by 11.2–30.7% and 15.8–44.7% respectively. The highest hydrochar calorific value recorded, 33.5 MJ kg−1, resembled that of anthracite and dry steam coal, generally used in the UK. At optimal conditions of </w:instrText>
      </w:r>
      <w:r w:rsidR="008B70F7">
        <w:rPr>
          <w:rFonts w:ascii="Cambria Math" w:hAnsi="Cambria Math" w:cs="Cambria Math"/>
        </w:rPr>
        <w:instrText>∼</w:instrText>
      </w:r>
      <w:r w:rsidR="008B70F7">
        <w:instrText xml:space="preserve">216 </w:instrText>
      </w:r>
      <w:r w:rsidR="008B70F7">
        <w:rPr>
          <w:rFonts w:cs="Arial"/>
        </w:rPr>
        <w:instrText>°</w:instrText>
      </w:r>
      <w:r w:rsidR="008B70F7">
        <w:instrText xml:space="preserve">C and 1hr - guided by the RSM - a maximal hydrochar yield of </w:instrText>
      </w:r>
      <w:r w:rsidR="008B70F7">
        <w:rPr>
          <w:rFonts w:ascii="Cambria Math" w:hAnsi="Cambria Math" w:cs="Cambria Math"/>
        </w:rPr>
        <w:instrText>∼</w:instrText>
      </w:r>
      <w:r w:rsidR="008B70F7">
        <w:instrText>64% and a calorific value of 31.6 MJ kg</w:instrText>
      </w:r>
      <w:r w:rsidR="008B70F7">
        <w:rPr>
          <w:rFonts w:cs="Arial"/>
        </w:rPr>
        <w:instrText>−</w:instrText>
      </w:r>
      <w:r w:rsidR="008B70F7">
        <w:instrText>1 are feasible. Using this as a benchmark, the 500,000 tonnes of SCGs generated annually in the UK has the potential of replacing 4.4% of the coal used for electricity generation in the country.","author":[{"dropping-particle":"","family":"Afolabi","given":"Oluwasola O.D.","non-dropping-particle":"","parse-names":false,"suffix":""},{"dropping-particle":"","family":"Sohail","given":"M.","non-dropping-particle":"","parse-names":false,"suffix":""},{"dropping-particle":"","family":"Cheng","given":"Yu Ling","non-dropping-particle":"","parse-names":false,"suffix":""}],"container-title":"Renewable Energy","id":"ITEM-1","issued":{"date-parts":[["2020"]]},"page":"1380-1391","publisher":"Elsevier Ltd","title":"Optimisation and characterisation of hydrochar production from spent coffee grounds by hydrothermal carbonisation","type":"article-journal","volume":"147"},"uris":["http://www.mendeley.com/documents/?uuid=197027fe-b0f2-426c-b17e-3b62483db74f"]}],"mendeley":{"formattedCitation":"(Afolabi et al., 2020)","plainTextFormattedCitation":"(Afolabi et al., 2020)","previouslyFormattedCitation":"(Afolabi et al., 2020)"},"properties":{"noteIndex":0},"schema":"https://github.com/citation-style-language/schema/raw/master/csl-citation.json"}</w:instrText>
      </w:r>
      <w:r w:rsidRPr="003E7DFF">
        <w:fldChar w:fldCharType="separate"/>
      </w:r>
      <w:r w:rsidR="00E33ECA" w:rsidRPr="003E7DFF">
        <w:rPr>
          <w:noProof/>
        </w:rPr>
        <w:t>(Afolabi et al., 2020)</w:t>
      </w:r>
      <w:r w:rsidRPr="003E7DFF">
        <w:fldChar w:fldCharType="end"/>
      </w:r>
      <w:r w:rsidRPr="003E7DFF">
        <w:t>.</w:t>
      </w:r>
    </w:p>
    <w:tbl>
      <w:tblPr>
        <w:tblW w:w="5000" w:type="pct"/>
        <w:tblLook w:val="04A0" w:firstRow="1" w:lastRow="0" w:firstColumn="1" w:lastColumn="0" w:noHBand="0" w:noVBand="1"/>
      </w:tblPr>
      <w:tblGrid>
        <w:gridCol w:w="7282"/>
        <w:gridCol w:w="1505"/>
      </w:tblGrid>
      <w:tr w:rsidR="003D609A" w:rsidRPr="003E7DFF" w14:paraId="7F4D6D8D" w14:textId="77777777" w:rsidTr="00591026">
        <w:trPr>
          <w:trHeight w:val="224"/>
        </w:trPr>
        <w:tc>
          <w:tcPr>
            <w:tcW w:w="7282" w:type="dxa"/>
            <w:shd w:val="clear" w:color="auto" w:fill="auto"/>
            <w:vAlign w:val="center"/>
          </w:tcPr>
          <w:p w14:paraId="35D1F7CD" w14:textId="77777777" w:rsidR="003D609A" w:rsidRPr="003E7DFF" w:rsidRDefault="0078037F" w:rsidP="004063BA">
            <w:pPr>
              <w:pStyle w:val="CETEquation"/>
              <w:spacing w:before="0" w:after="0" w:line="360" w:lineRule="auto"/>
              <w:rPr>
                <w:rFonts w:ascii="Cambria Math" w:hAnsi="Cambria Math"/>
                <w:sz w:val="16"/>
                <w:szCs w:val="16"/>
                <w:lang w:val="en-US"/>
              </w:rPr>
            </w:pPr>
            <m:oMathPara>
              <m:oMathParaPr>
                <m:jc m:val="left"/>
              </m:oMathParaPr>
              <m:oMath>
                <m:sSubSup>
                  <m:sSubSupPr>
                    <m:ctrlPr>
                      <w:rPr>
                        <w:rFonts w:ascii="Cambria Math" w:hAnsi="Cambria Math"/>
                        <w:sz w:val="16"/>
                        <w:szCs w:val="16"/>
                        <w:lang w:val="en-US"/>
                      </w:rPr>
                    </m:ctrlPr>
                  </m:sSubSupPr>
                  <m:e>
                    <m:r>
                      <m:rPr>
                        <m:sty m:val="p"/>
                      </m:rPr>
                      <w:rPr>
                        <w:rFonts w:ascii="Cambria Math" w:hAnsi="Cambria Math"/>
                        <w:sz w:val="16"/>
                        <w:szCs w:val="16"/>
                        <w:lang w:val="en-US"/>
                      </w:rPr>
                      <m:t>e</m:t>
                    </m:r>
                  </m:e>
                  <m:sub>
                    <m:r>
                      <m:rPr>
                        <m:sty m:val="p"/>
                      </m:rPr>
                      <w:rPr>
                        <w:rFonts w:ascii="Cambria Math" w:hAnsi="Cambria Math"/>
                        <w:sz w:val="16"/>
                        <w:szCs w:val="16"/>
                        <w:lang w:val="en-US"/>
                      </w:rPr>
                      <m:t>i</m:t>
                    </m:r>
                  </m:sub>
                  <m:sup>
                    <m:r>
                      <m:rPr>
                        <m:sty m:val="p"/>
                      </m:rPr>
                      <w:rPr>
                        <w:rFonts w:ascii="Cambria Math" w:hAnsi="Cambria Math"/>
                        <w:sz w:val="16"/>
                        <w:szCs w:val="16"/>
                        <w:lang w:val="en-US"/>
                      </w:rPr>
                      <m:t>PH</m:t>
                    </m:r>
                  </m:sup>
                </m:sSubSup>
                <m:r>
                  <m:rPr>
                    <m:sty m:val="p"/>
                  </m:rPr>
                  <w:rPr>
                    <w:rFonts w:ascii="Cambria Math" w:hAnsi="Cambria Math"/>
                    <w:sz w:val="16"/>
                    <w:szCs w:val="16"/>
                    <w:lang w:val="en-US"/>
                  </w:rPr>
                  <m:t>=</m:t>
                </m:r>
                <m:d>
                  <m:dPr>
                    <m:ctrlPr>
                      <w:rPr>
                        <w:rFonts w:ascii="Cambria Math" w:hAnsi="Cambria Math"/>
                        <w:sz w:val="16"/>
                        <w:szCs w:val="16"/>
                        <w:lang w:val="en-US"/>
                      </w:rPr>
                    </m:ctrlPr>
                  </m:dPr>
                  <m:e>
                    <m:sSub>
                      <m:sSubPr>
                        <m:ctrlPr>
                          <w:rPr>
                            <w:rFonts w:ascii="Cambria Math" w:hAnsi="Cambria Math"/>
                            <w:sz w:val="16"/>
                            <w:szCs w:val="16"/>
                            <w:lang w:val="en-US"/>
                          </w:rPr>
                        </m:ctrlPr>
                      </m:sSubPr>
                      <m:e>
                        <m:r>
                          <m:rPr>
                            <m:sty m:val="p"/>
                          </m:rPr>
                          <w:rPr>
                            <w:rFonts w:ascii="Cambria Math" w:hAnsi="Cambria Math"/>
                            <w:sz w:val="16"/>
                            <w:szCs w:val="16"/>
                            <w:lang w:val="en-US"/>
                          </w:rPr>
                          <m:t>h</m:t>
                        </m:r>
                      </m:e>
                      <m:sub>
                        <m:r>
                          <m:rPr>
                            <m:sty m:val="p"/>
                          </m:rPr>
                          <w:rPr>
                            <w:rFonts w:ascii="Cambria Math" w:hAnsi="Cambria Math"/>
                            <w:sz w:val="16"/>
                            <w:szCs w:val="16"/>
                            <w:lang w:val="en-US"/>
                          </w:rPr>
                          <m:t>i</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h</m:t>
                        </m:r>
                      </m:e>
                      <m:sub>
                        <m:r>
                          <m:rPr>
                            <m:sty m:val="p"/>
                          </m:rPr>
                          <w:rPr>
                            <w:rFonts w:ascii="Cambria Math" w:hAnsi="Cambria Math"/>
                            <w:sz w:val="16"/>
                            <w:szCs w:val="16"/>
                            <w:lang w:val="en-US"/>
                          </w:rPr>
                          <m:t>o</m:t>
                        </m:r>
                      </m:sub>
                    </m:sSub>
                  </m:e>
                </m:d>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T</m:t>
                    </m:r>
                  </m:e>
                  <m:sub>
                    <m:r>
                      <m:rPr>
                        <m:sty m:val="p"/>
                      </m:rPr>
                      <w:rPr>
                        <w:rFonts w:ascii="Cambria Math" w:hAnsi="Cambria Math"/>
                        <w:sz w:val="16"/>
                        <w:szCs w:val="16"/>
                        <w:lang w:val="en-US"/>
                      </w:rPr>
                      <m:t>o</m:t>
                    </m:r>
                  </m:sub>
                </m:sSub>
                <m:d>
                  <m:dPr>
                    <m:ctrlPr>
                      <w:rPr>
                        <w:rFonts w:ascii="Cambria Math" w:hAnsi="Cambria Math"/>
                        <w:sz w:val="16"/>
                        <w:szCs w:val="16"/>
                        <w:lang w:val="en-US"/>
                      </w:rPr>
                    </m:ctrlPr>
                  </m:dPr>
                  <m:e>
                    <m:sSub>
                      <m:sSubPr>
                        <m:ctrlPr>
                          <w:rPr>
                            <w:rFonts w:ascii="Cambria Math" w:hAnsi="Cambria Math"/>
                            <w:sz w:val="16"/>
                            <w:szCs w:val="16"/>
                            <w:lang w:val="en-US"/>
                          </w:rPr>
                        </m:ctrlPr>
                      </m:sSubPr>
                      <m:e>
                        <m:r>
                          <m:rPr>
                            <m:sty m:val="p"/>
                          </m:rPr>
                          <w:rPr>
                            <w:rFonts w:ascii="Cambria Math" w:hAnsi="Cambria Math"/>
                            <w:sz w:val="16"/>
                            <w:szCs w:val="16"/>
                            <w:lang w:val="en-US"/>
                          </w:rPr>
                          <m:t>s</m:t>
                        </m:r>
                      </m:e>
                      <m:sub>
                        <m:r>
                          <m:rPr>
                            <m:sty m:val="p"/>
                          </m:rPr>
                          <w:rPr>
                            <w:rFonts w:ascii="Cambria Math" w:hAnsi="Cambria Math"/>
                            <w:sz w:val="16"/>
                            <w:szCs w:val="16"/>
                            <w:lang w:val="en-US"/>
                          </w:rPr>
                          <m:t>i</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s</m:t>
                        </m:r>
                      </m:e>
                      <m:sub>
                        <m:r>
                          <m:rPr>
                            <m:sty m:val="p"/>
                          </m:rPr>
                          <w:rPr>
                            <w:rFonts w:ascii="Cambria Math" w:hAnsi="Cambria Math"/>
                            <w:sz w:val="16"/>
                            <w:szCs w:val="16"/>
                            <w:lang w:val="en-US"/>
                          </w:rPr>
                          <m:t>o</m:t>
                        </m:r>
                      </m:sub>
                    </m:sSub>
                  </m:e>
                </m:d>
                <m:r>
                  <m:rPr>
                    <m:sty m:val="p"/>
                  </m:rPr>
                  <w:rPr>
                    <w:rFonts w:ascii="Cambria Math" w:hAnsi="Cambria Math"/>
                    <w:sz w:val="16"/>
                    <w:szCs w:val="16"/>
                    <w:lang w:val="en-US"/>
                  </w:rPr>
                  <m:t xml:space="preserve">  </m:t>
                </m:r>
              </m:oMath>
            </m:oMathPara>
          </w:p>
        </w:tc>
        <w:tc>
          <w:tcPr>
            <w:tcW w:w="1505" w:type="dxa"/>
            <w:vAlign w:val="center"/>
          </w:tcPr>
          <w:p w14:paraId="531C49F0" w14:textId="0DBAB5E7" w:rsidR="003D609A" w:rsidRPr="003E7DFF" w:rsidRDefault="003D609A" w:rsidP="004063BA">
            <w:pPr>
              <w:pStyle w:val="CETEquation"/>
              <w:spacing w:before="0" w:after="0" w:line="360" w:lineRule="auto"/>
              <w:jc w:val="right"/>
              <w:rPr>
                <w:lang w:val="en-US"/>
              </w:rPr>
            </w:pPr>
            <w:r w:rsidRPr="003E7DFF">
              <w:rPr>
                <w:lang w:val="en-US"/>
              </w:rPr>
              <w:t>(</w:t>
            </w:r>
            <w:r w:rsidR="00931C19">
              <w:rPr>
                <w:lang w:val="en-US"/>
              </w:rPr>
              <w:t>2</w:t>
            </w:r>
            <w:r w:rsidRPr="003E7DFF">
              <w:rPr>
                <w:lang w:val="en-US"/>
              </w:rPr>
              <w:t>)</w:t>
            </w:r>
          </w:p>
        </w:tc>
      </w:tr>
      <w:tr w:rsidR="003D609A" w:rsidRPr="003E7DFF" w14:paraId="0544C169" w14:textId="77777777" w:rsidTr="00591026">
        <w:trPr>
          <w:trHeight w:val="224"/>
        </w:trPr>
        <w:tc>
          <w:tcPr>
            <w:tcW w:w="7282" w:type="dxa"/>
            <w:shd w:val="clear" w:color="auto" w:fill="auto"/>
            <w:vAlign w:val="center"/>
          </w:tcPr>
          <w:p w14:paraId="5870B39B" w14:textId="77777777" w:rsidR="003D609A" w:rsidRPr="003E7DFF" w:rsidRDefault="0078037F" w:rsidP="004063BA">
            <w:pPr>
              <w:pStyle w:val="CETEquation"/>
              <w:spacing w:before="0" w:after="0" w:line="360" w:lineRule="auto"/>
              <w:rPr>
                <w:rFonts w:ascii="Cambria Math" w:hAnsi="Cambria Math"/>
                <w:sz w:val="16"/>
                <w:szCs w:val="16"/>
                <w:lang w:val="en-US"/>
              </w:rPr>
            </w:pPr>
            <m:oMathPara>
              <m:oMathParaPr>
                <m:jc m:val="left"/>
              </m:oMathParaPr>
              <m:oMath>
                <m:sSubSup>
                  <m:sSubSupPr>
                    <m:ctrlPr>
                      <w:rPr>
                        <w:rFonts w:ascii="Cambria Math" w:hAnsi="Cambria Math"/>
                        <w:sz w:val="16"/>
                        <w:szCs w:val="16"/>
                        <w:lang w:val="en-US"/>
                      </w:rPr>
                    </m:ctrlPr>
                  </m:sSubSupPr>
                  <m:e>
                    <m:r>
                      <m:rPr>
                        <m:sty m:val="p"/>
                      </m:rPr>
                      <w:rPr>
                        <w:rFonts w:ascii="Cambria Math" w:hAnsi="Cambria Math"/>
                        <w:sz w:val="16"/>
                        <w:szCs w:val="16"/>
                        <w:lang w:val="en-US"/>
                      </w:rPr>
                      <m:t>e</m:t>
                    </m:r>
                  </m:e>
                  <m:sub>
                    <m:r>
                      <m:rPr>
                        <m:sty m:val="p"/>
                      </m:rPr>
                      <w:rPr>
                        <w:rFonts w:ascii="Cambria Math" w:hAnsi="Cambria Math"/>
                        <w:sz w:val="16"/>
                        <w:szCs w:val="16"/>
                        <w:lang w:val="en-US"/>
                      </w:rPr>
                      <m:t>i</m:t>
                    </m:r>
                  </m:sub>
                  <m:sup>
                    <m:r>
                      <m:rPr>
                        <m:sty m:val="p"/>
                      </m:rPr>
                      <w:rPr>
                        <w:rFonts w:ascii="Cambria Math" w:hAnsi="Cambria Math"/>
                        <w:sz w:val="16"/>
                        <w:szCs w:val="16"/>
                        <w:lang w:val="en-US"/>
                      </w:rPr>
                      <m:t>CH</m:t>
                    </m:r>
                  </m:sup>
                </m:sSubSup>
                <m:r>
                  <m:rPr>
                    <m:sty m:val="p"/>
                  </m:rPr>
                  <w:rPr>
                    <w:rFonts w:ascii="Cambria Math" w:hAnsi="Cambria Math"/>
                    <w:sz w:val="16"/>
                    <w:szCs w:val="16"/>
                    <w:lang w:val="en-US"/>
                  </w:rPr>
                  <m:t>=</m:t>
                </m:r>
                <m:nary>
                  <m:naryPr>
                    <m:chr m:val="∑"/>
                    <m:limLoc m:val="undOvr"/>
                    <m:supHide m:val="1"/>
                    <m:ctrlPr>
                      <w:rPr>
                        <w:rFonts w:ascii="Cambria Math" w:hAnsi="Cambria Math"/>
                        <w:sz w:val="16"/>
                        <w:szCs w:val="16"/>
                        <w:lang w:val="en-US"/>
                      </w:rPr>
                    </m:ctrlPr>
                  </m:naryPr>
                  <m:sub>
                    <m:r>
                      <m:rPr>
                        <m:sty m:val="p"/>
                      </m:rPr>
                      <w:rPr>
                        <w:rFonts w:ascii="Cambria Math" w:hAnsi="Cambria Math"/>
                        <w:sz w:val="16"/>
                        <w:szCs w:val="16"/>
                        <w:lang w:val="en-US"/>
                      </w:rPr>
                      <m:t>i</m:t>
                    </m:r>
                  </m:sub>
                  <m:sup/>
                  <m:e>
                    <m:sSub>
                      <m:sSubPr>
                        <m:ctrlPr>
                          <w:rPr>
                            <w:rFonts w:ascii="Cambria Math" w:hAnsi="Cambria Math"/>
                            <w:sz w:val="16"/>
                            <w:szCs w:val="16"/>
                            <w:lang w:val="en-US"/>
                          </w:rPr>
                        </m:ctrlPr>
                      </m:sSubPr>
                      <m:e>
                        <m:r>
                          <m:rPr>
                            <m:sty m:val="p"/>
                          </m:rPr>
                          <w:rPr>
                            <w:rFonts w:ascii="Cambria Math" w:hAnsi="Cambria Math"/>
                            <w:sz w:val="16"/>
                            <w:szCs w:val="16"/>
                            <w:lang w:val="en-US"/>
                          </w:rPr>
                          <m:t>x</m:t>
                        </m:r>
                      </m:e>
                      <m:sub>
                        <m:r>
                          <m:rPr>
                            <m:sty m:val="p"/>
                          </m:rPr>
                          <w:rPr>
                            <w:rFonts w:ascii="Cambria Math" w:hAnsi="Cambria Math"/>
                            <w:sz w:val="16"/>
                            <w:szCs w:val="16"/>
                            <w:lang w:val="en-US"/>
                          </w:rPr>
                          <m:t>i</m:t>
                        </m:r>
                      </m:sub>
                    </m:sSub>
                    <m:sSup>
                      <m:sSupPr>
                        <m:ctrlPr>
                          <w:rPr>
                            <w:rFonts w:ascii="Cambria Math" w:hAnsi="Cambria Math"/>
                            <w:sz w:val="16"/>
                            <w:szCs w:val="16"/>
                            <w:lang w:val="en-US"/>
                          </w:rPr>
                        </m:ctrlPr>
                      </m:sSupPr>
                      <m:e>
                        <m:sSub>
                          <m:sSubPr>
                            <m:ctrlPr>
                              <w:rPr>
                                <w:rFonts w:ascii="Cambria Math" w:hAnsi="Cambria Math"/>
                                <w:sz w:val="16"/>
                                <w:szCs w:val="16"/>
                                <w:lang w:val="en-US"/>
                              </w:rPr>
                            </m:ctrlPr>
                          </m:sSubPr>
                          <m:e>
                            <m:r>
                              <m:rPr>
                                <m:sty m:val="p"/>
                              </m:rPr>
                              <w:rPr>
                                <w:rFonts w:ascii="Cambria Math" w:hAnsi="Cambria Math"/>
                                <w:sz w:val="16"/>
                                <w:szCs w:val="16"/>
                                <w:lang w:val="en-US"/>
                              </w:rPr>
                              <m:t>e</m:t>
                            </m:r>
                          </m:e>
                          <m:sub>
                            <m:r>
                              <m:rPr>
                                <m:sty m:val="p"/>
                              </m:rPr>
                              <w:rPr>
                                <w:rFonts w:ascii="Cambria Math" w:hAnsi="Cambria Math"/>
                                <w:sz w:val="16"/>
                                <w:szCs w:val="16"/>
                                <w:lang w:val="en-US"/>
                              </w:rPr>
                              <m:t>i</m:t>
                            </m:r>
                          </m:sub>
                        </m:sSub>
                      </m:e>
                      <m:sup>
                        <m:r>
                          <m:rPr>
                            <m:sty m:val="p"/>
                          </m:rPr>
                          <w:rPr>
                            <w:rFonts w:ascii="Cambria Math" w:hAnsi="Cambria Math"/>
                            <w:sz w:val="16"/>
                            <w:szCs w:val="16"/>
                            <w:lang w:val="en-US"/>
                          </w:rPr>
                          <m:t>ch</m:t>
                        </m:r>
                      </m:sup>
                    </m:sSup>
                  </m:e>
                </m:nary>
                <m:r>
                  <m:rPr>
                    <m:sty m:val="p"/>
                  </m:rPr>
                  <w:rPr>
                    <w:rFonts w:ascii="Cambria Math" w:hAnsi="Cambria Math"/>
                    <w:sz w:val="16"/>
                    <w:szCs w:val="16"/>
                    <w:lang w:val="en-US"/>
                  </w:rPr>
                  <m:t>+R</m:t>
                </m:r>
                <m:sSub>
                  <m:sSubPr>
                    <m:ctrlPr>
                      <w:rPr>
                        <w:rFonts w:ascii="Cambria Math" w:hAnsi="Cambria Math"/>
                        <w:sz w:val="16"/>
                        <w:szCs w:val="16"/>
                        <w:lang w:val="en-US"/>
                      </w:rPr>
                    </m:ctrlPr>
                  </m:sSubPr>
                  <m:e>
                    <m:r>
                      <m:rPr>
                        <m:sty m:val="p"/>
                      </m:rPr>
                      <w:rPr>
                        <w:rFonts w:ascii="Cambria Math" w:hAnsi="Cambria Math"/>
                        <w:sz w:val="16"/>
                        <w:szCs w:val="16"/>
                        <w:lang w:val="en-US"/>
                      </w:rPr>
                      <m:t>T</m:t>
                    </m:r>
                  </m:e>
                  <m:sub>
                    <m:r>
                      <m:rPr>
                        <m:sty m:val="p"/>
                      </m:rPr>
                      <w:rPr>
                        <w:rFonts w:ascii="Cambria Math" w:hAnsi="Cambria Math"/>
                        <w:sz w:val="16"/>
                        <w:szCs w:val="16"/>
                        <w:lang w:val="en-US"/>
                      </w:rPr>
                      <m:t>o</m:t>
                    </m:r>
                  </m:sub>
                </m:sSub>
                <m:nary>
                  <m:naryPr>
                    <m:chr m:val="∑"/>
                    <m:limLoc m:val="undOvr"/>
                    <m:supHide m:val="1"/>
                    <m:ctrlPr>
                      <w:rPr>
                        <w:rFonts w:ascii="Cambria Math" w:hAnsi="Cambria Math"/>
                        <w:sz w:val="16"/>
                        <w:szCs w:val="16"/>
                        <w:lang w:val="en-US"/>
                      </w:rPr>
                    </m:ctrlPr>
                  </m:naryPr>
                  <m:sub>
                    <m:r>
                      <m:rPr>
                        <m:sty m:val="p"/>
                      </m:rPr>
                      <w:rPr>
                        <w:rFonts w:ascii="Cambria Math" w:hAnsi="Cambria Math"/>
                        <w:sz w:val="16"/>
                        <w:szCs w:val="16"/>
                        <w:lang w:val="en-US"/>
                      </w:rPr>
                      <m:t>i</m:t>
                    </m:r>
                  </m:sub>
                  <m:sup/>
                  <m:e>
                    <m:sSub>
                      <m:sSubPr>
                        <m:ctrlPr>
                          <w:rPr>
                            <w:rFonts w:ascii="Cambria Math" w:hAnsi="Cambria Math"/>
                            <w:sz w:val="16"/>
                            <w:szCs w:val="16"/>
                            <w:lang w:val="en-US"/>
                          </w:rPr>
                        </m:ctrlPr>
                      </m:sSubPr>
                      <m:e>
                        <m:r>
                          <m:rPr>
                            <m:sty m:val="p"/>
                          </m:rPr>
                          <w:rPr>
                            <w:rFonts w:ascii="Cambria Math" w:hAnsi="Cambria Math"/>
                            <w:sz w:val="16"/>
                            <w:szCs w:val="16"/>
                            <w:lang w:val="en-US"/>
                          </w:rPr>
                          <m:t>x</m:t>
                        </m:r>
                      </m:e>
                      <m:sub>
                        <m:r>
                          <m:rPr>
                            <m:sty m:val="p"/>
                          </m:rPr>
                          <w:rPr>
                            <w:rFonts w:ascii="Cambria Math" w:hAnsi="Cambria Math"/>
                            <w:sz w:val="16"/>
                            <w:szCs w:val="16"/>
                            <w:lang w:val="en-US"/>
                          </w:rPr>
                          <m:t>i</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m:rPr>
                            <m:sty m:val="p"/>
                          </m:rPr>
                          <w:rPr>
                            <w:rFonts w:ascii="Cambria Math" w:hAnsi="Cambria Math"/>
                            <w:sz w:val="16"/>
                            <w:szCs w:val="16"/>
                            <w:lang w:val="en-US"/>
                          </w:rPr>
                          <m:t>x</m:t>
                        </m:r>
                      </m:e>
                      <m:sub>
                        <m:r>
                          <m:rPr>
                            <m:sty m:val="p"/>
                          </m:rPr>
                          <w:rPr>
                            <w:rFonts w:ascii="Cambria Math" w:hAnsi="Cambria Math"/>
                            <w:sz w:val="16"/>
                            <w:szCs w:val="16"/>
                            <w:lang w:val="en-US"/>
                          </w:rPr>
                          <m:t>i</m:t>
                        </m:r>
                      </m:sub>
                    </m:sSub>
                  </m:e>
                </m:nary>
              </m:oMath>
            </m:oMathPara>
          </w:p>
        </w:tc>
        <w:tc>
          <w:tcPr>
            <w:tcW w:w="1505" w:type="dxa"/>
            <w:vAlign w:val="center"/>
          </w:tcPr>
          <w:p w14:paraId="76A72509" w14:textId="0E6E38BD" w:rsidR="003D609A" w:rsidRPr="003E7DFF" w:rsidRDefault="003D609A" w:rsidP="004063BA">
            <w:pPr>
              <w:pStyle w:val="CETEquation"/>
              <w:spacing w:before="0" w:after="0" w:line="360" w:lineRule="auto"/>
              <w:jc w:val="right"/>
              <w:rPr>
                <w:lang w:val="en-US"/>
              </w:rPr>
            </w:pPr>
            <w:r w:rsidRPr="003E7DFF">
              <w:rPr>
                <w:lang w:val="en-US"/>
              </w:rPr>
              <w:t>(</w:t>
            </w:r>
            <w:r w:rsidR="00BD3B83">
              <w:rPr>
                <w:lang w:val="en-US"/>
              </w:rPr>
              <w:t>3</w:t>
            </w:r>
            <w:r w:rsidRPr="003E7DFF">
              <w:rPr>
                <w:lang w:val="en-US"/>
              </w:rPr>
              <w:t>)</w:t>
            </w:r>
          </w:p>
        </w:tc>
      </w:tr>
      <w:tr w:rsidR="003D609A" w:rsidRPr="003E7DFF" w14:paraId="09E9A337" w14:textId="77777777" w:rsidTr="00591026">
        <w:trPr>
          <w:trHeight w:val="224"/>
        </w:trPr>
        <w:tc>
          <w:tcPr>
            <w:tcW w:w="7282" w:type="dxa"/>
            <w:shd w:val="clear" w:color="auto" w:fill="auto"/>
            <w:vAlign w:val="center"/>
          </w:tcPr>
          <w:p w14:paraId="39BC856E" w14:textId="77777777" w:rsidR="003D609A" w:rsidRPr="003E7DFF" w:rsidRDefault="0078037F" w:rsidP="004063BA">
            <w:pPr>
              <w:pStyle w:val="CETEquation"/>
              <w:spacing w:before="0" w:after="0" w:line="360" w:lineRule="auto"/>
              <w:rPr>
                <w:lang w:val="en-US"/>
              </w:rPr>
            </w:pPr>
            <m:oMathPara>
              <m:oMathParaPr>
                <m:jc m:val="left"/>
              </m:oMathParaPr>
              <m:oMath>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E</m:t>
                        </m:r>
                      </m:e>
                    </m:acc>
                  </m:e>
                  <m:sub>
                    <m:r>
                      <m:rPr>
                        <m:sty m:val="p"/>
                      </m:rPr>
                      <w:rPr>
                        <w:rFonts w:ascii="Cambria Math" w:hAnsi="Cambria Math"/>
                        <w:sz w:val="16"/>
                        <w:szCs w:val="16"/>
                        <w:lang w:val="en-US"/>
                      </w:rPr>
                      <m:t>D,k</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E</m:t>
                        </m:r>
                      </m:e>
                    </m:acc>
                  </m:e>
                  <m:sub>
                    <m:r>
                      <m:rPr>
                        <m:sty m:val="p"/>
                      </m:rPr>
                      <w:rPr>
                        <w:rFonts w:ascii="Cambria Math" w:hAnsi="Cambria Math"/>
                        <w:sz w:val="16"/>
                        <w:szCs w:val="16"/>
                        <w:lang w:val="en-US"/>
                      </w:rPr>
                      <m:t>F,k</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E</m:t>
                        </m:r>
                      </m:e>
                    </m:acc>
                  </m:e>
                  <m:sub>
                    <m:r>
                      <m:rPr>
                        <m:sty m:val="p"/>
                      </m:rPr>
                      <w:rPr>
                        <w:rFonts w:ascii="Cambria Math" w:hAnsi="Cambria Math"/>
                        <w:sz w:val="16"/>
                        <w:szCs w:val="16"/>
                        <w:lang w:val="en-US"/>
                      </w:rPr>
                      <m:t>P,k</m:t>
                    </m:r>
                  </m:sub>
                </m:sSub>
              </m:oMath>
            </m:oMathPara>
          </w:p>
        </w:tc>
        <w:tc>
          <w:tcPr>
            <w:tcW w:w="1505" w:type="dxa"/>
            <w:vAlign w:val="center"/>
          </w:tcPr>
          <w:p w14:paraId="10578DDA" w14:textId="0DEFBD2C" w:rsidR="003D609A" w:rsidRPr="003E7DFF" w:rsidRDefault="003D609A" w:rsidP="004063BA">
            <w:pPr>
              <w:pStyle w:val="CETEquation"/>
              <w:spacing w:before="0" w:after="0" w:line="360" w:lineRule="auto"/>
              <w:jc w:val="right"/>
              <w:rPr>
                <w:lang w:val="en-US"/>
              </w:rPr>
            </w:pPr>
            <w:r w:rsidRPr="003E7DFF">
              <w:rPr>
                <w:lang w:val="en-US"/>
              </w:rPr>
              <w:t>(</w:t>
            </w:r>
            <w:r w:rsidR="00BD3B83">
              <w:rPr>
                <w:lang w:val="en-US"/>
              </w:rPr>
              <w:t>4</w:t>
            </w:r>
            <w:r w:rsidRPr="003E7DFF">
              <w:rPr>
                <w:lang w:val="en-US"/>
              </w:rPr>
              <w:t>)</w:t>
            </w:r>
          </w:p>
        </w:tc>
      </w:tr>
      <w:tr w:rsidR="003D609A" w:rsidRPr="003E7DFF" w14:paraId="3243039C" w14:textId="77777777" w:rsidTr="00591026">
        <w:trPr>
          <w:trHeight w:val="224"/>
        </w:trPr>
        <w:tc>
          <w:tcPr>
            <w:tcW w:w="7282" w:type="dxa"/>
            <w:shd w:val="clear" w:color="auto" w:fill="auto"/>
            <w:vAlign w:val="center"/>
          </w:tcPr>
          <w:p w14:paraId="1C50E519" w14:textId="77777777" w:rsidR="003D609A" w:rsidRPr="003E7DFF" w:rsidRDefault="0078037F" w:rsidP="004063BA">
            <w:pPr>
              <w:pStyle w:val="CETEquation"/>
              <w:spacing w:before="0" w:after="0" w:line="360" w:lineRule="auto"/>
              <w:rPr>
                <w:sz w:val="16"/>
                <w:szCs w:val="16"/>
                <w:lang w:val="en-US"/>
              </w:rPr>
            </w:pPr>
            <m:oMathPara>
              <m:oMathParaPr>
                <m:jc m:val="left"/>
              </m:oMathParaPr>
              <m:oMath>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C</m:t>
                        </m:r>
                      </m:e>
                    </m:acc>
                  </m:e>
                  <m:sub>
                    <m:r>
                      <m:rPr>
                        <m:sty m:val="p"/>
                      </m:rPr>
                      <w:rPr>
                        <w:rFonts w:ascii="Cambria Math" w:hAnsi="Cambria Math"/>
                        <w:sz w:val="16"/>
                        <w:szCs w:val="16"/>
                        <w:lang w:val="en-US"/>
                      </w:rPr>
                      <m:t>F,  k</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Z</m:t>
                        </m:r>
                      </m:e>
                    </m:acc>
                  </m:e>
                  <m:sub>
                    <m:r>
                      <m:rPr>
                        <m:sty m:val="p"/>
                      </m:rPr>
                      <w:rPr>
                        <w:rFonts w:ascii="Cambria Math" w:hAnsi="Cambria Math"/>
                        <w:sz w:val="16"/>
                        <w:szCs w:val="16"/>
                        <w:lang w:val="en-US"/>
                      </w:rPr>
                      <m:t>k</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C</m:t>
                        </m:r>
                      </m:e>
                    </m:acc>
                  </m:e>
                  <m:sub>
                    <m:r>
                      <m:rPr>
                        <m:sty m:val="p"/>
                      </m:rPr>
                      <w:rPr>
                        <w:rFonts w:ascii="Cambria Math" w:hAnsi="Cambria Math"/>
                        <w:sz w:val="16"/>
                        <w:szCs w:val="16"/>
                        <w:lang w:val="en-US"/>
                      </w:rPr>
                      <m:t>P, k</m:t>
                    </m:r>
                  </m:sub>
                </m:sSub>
              </m:oMath>
            </m:oMathPara>
          </w:p>
        </w:tc>
        <w:tc>
          <w:tcPr>
            <w:tcW w:w="1505" w:type="dxa"/>
            <w:vAlign w:val="center"/>
          </w:tcPr>
          <w:p w14:paraId="6671AE92" w14:textId="414381D3" w:rsidR="003D609A" w:rsidRPr="003E7DFF" w:rsidRDefault="003D609A" w:rsidP="004063BA">
            <w:pPr>
              <w:pStyle w:val="CETEquation"/>
              <w:spacing w:before="0" w:after="0" w:line="360" w:lineRule="auto"/>
              <w:jc w:val="right"/>
              <w:rPr>
                <w:lang w:val="en-US"/>
              </w:rPr>
            </w:pPr>
            <w:r w:rsidRPr="003E7DFF">
              <w:rPr>
                <w:lang w:val="en-US"/>
              </w:rPr>
              <w:t>(</w:t>
            </w:r>
            <w:r w:rsidR="00BD3B83">
              <w:rPr>
                <w:lang w:val="en-US"/>
              </w:rPr>
              <w:t>5</w:t>
            </w:r>
            <w:r w:rsidRPr="003E7DFF">
              <w:rPr>
                <w:lang w:val="en-US"/>
              </w:rPr>
              <w:t>)</w:t>
            </w:r>
          </w:p>
        </w:tc>
      </w:tr>
      <w:tr w:rsidR="003D609A" w:rsidRPr="003E7DFF" w14:paraId="6BA50AAF" w14:textId="77777777" w:rsidTr="00591026">
        <w:trPr>
          <w:trHeight w:val="224"/>
        </w:trPr>
        <w:tc>
          <w:tcPr>
            <w:tcW w:w="7282" w:type="dxa"/>
            <w:shd w:val="clear" w:color="auto" w:fill="auto"/>
            <w:vAlign w:val="center"/>
          </w:tcPr>
          <w:p w14:paraId="4FEE5914" w14:textId="77777777" w:rsidR="003D609A" w:rsidRPr="003E7DFF" w:rsidRDefault="0078037F" w:rsidP="004063BA">
            <w:pPr>
              <w:pStyle w:val="CETEquation"/>
              <w:spacing w:before="0" w:after="0" w:line="360" w:lineRule="auto"/>
              <w:rPr>
                <w:sz w:val="16"/>
                <w:szCs w:val="16"/>
                <w:lang w:val="en-US"/>
              </w:rPr>
            </w:pPr>
            <m:oMathPara>
              <m:oMathParaPr>
                <m:jc m:val="left"/>
              </m:oMathParaPr>
              <m:oMath>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C</m:t>
                        </m:r>
                      </m:e>
                    </m:acc>
                  </m:e>
                  <m:sub>
                    <m:r>
                      <m:rPr>
                        <m:sty m:val="p"/>
                      </m:rPr>
                      <w:rPr>
                        <w:rFonts w:ascii="Cambria Math" w:hAnsi="Cambria Math"/>
                        <w:sz w:val="16"/>
                        <w:szCs w:val="16"/>
                        <w:lang w:val="en-US"/>
                      </w:rPr>
                      <m:t>D,k</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c</m:t>
                    </m:r>
                  </m:e>
                  <m:sub>
                    <m:r>
                      <m:rPr>
                        <m:sty m:val="p"/>
                      </m:rPr>
                      <w:rPr>
                        <w:rFonts w:ascii="Cambria Math" w:hAnsi="Cambria Math"/>
                        <w:sz w:val="16"/>
                        <w:szCs w:val="16"/>
                        <w:lang w:val="en-US"/>
                      </w:rPr>
                      <m:t>F,k</m:t>
                    </m:r>
                  </m:sub>
                </m:sSub>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E</m:t>
                        </m:r>
                      </m:e>
                    </m:acc>
                  </m:e>
                  <m:sub>
                    <m:r>
                      <m:rPr>
                        <m:sty m:val="p"/>
                      </m:rPr>
                      <w:rPr>
                        <w:rFonts w:ascii="Cambria Math" w:hAnsi="Cambria Math"/>
                        <w:sz w:val="16"/>
                        <w:szCs w:val="16"/>
                        <w:lang w:val="en-US"/>
                      </w:rPr>
                      <m:t>D,k</m:t>
                    </m:r>
                  </m:sub>
                </m:sSub>
              </m:oMath>
            </m:oMathPara>
          </w:p>
        </w:tc>
        <w:tc>
          <w:tcPr>
            <w:tcW w:w="1505" w:type="dxa"/>
            <w:vAlign w:val="center"/>
          </w:tcPr>
          <w:p w14:paraId="05DC3334" w14:textId="65CAC629" w:rsidR="003D609A" w:rsidRPr="003E7DFF" w:rsidRDefault="003D609A" w:rsidP="004063BA">
            <w:pPr>
              <w:pStyle w:val="CETEquation"/>
              <w:spacing w:before="0" w:after="0" w:line="360" w:lineRule="auto"/>
              <w:jc w:val="right"/>
              <w:rPr>
                <w:lang w:val="en-US"/>
              </w:rPr>
            </w:pPr>
            <w:r w:rsidRPr="003E7DFF">
              <w:rPr>
                <w:lang w:val="en-US"/>
              </w:rPr>
              <w:t>(</w:t>
            </w:r>
            <w:r w:rsidR="00BD3B83">
              <w:rPr>
                <w:lang w:val="en-US"/>
              </w:rPr>
              <w:t>6</w:t>
            </w:r>
            <w:r w:rsidRPr="003E7DFF">
              <w:rPr>
                <w:lang w:val="en-US"/>
              </w:rPr>
              <w:t>)</w:t>
            </w:r>
          </w:p>
        </w:tc>
      </w:tr>
    </w:tbl>
    <w:p w14:paraId="1C0587FE" w14:textId="42B4BAF4" w:rsidR="003D609A" w:rsidRPr="003E7DFF" w:rsidRDefault="003D609A" w:rsidP="00CF54BB">
      <w:pPr>
        <w:pStyle w:val="CETBodytext"/>
      </w:pPr>
      <w:r w:rsidRPr="003E7DFF">
        <w:t>The economic analysis was carried out following the</w:t>
      </w:r>
      <w:r w:rsidR="00FF11CB" w:rsidRPr="003E7DFF">
        <w:t xml:space="preserve"> Total</w:t>
      </w:r>
      <w:r w:rsidRPr="003E7DFF">
        <w:t xml:space="preserve"> </w:t>
      </w:r>
      <w:r w:rsidR="00FF11CB" w:rsidRPr="003E7DFF">
        <w:t>R</w:t>
      </w:r>
      <w:r w:rsidRPr="003E7DFF">
        <w:t xml:space="preserve">evenue </w:t>
      </w:r>
      <w:r w:rsidR="00FF11CB" w:rsidRPr="003E7DFF">
        <w:t>R</w:t>
      </w:r>
      <w:r w:rsidRPr="003E7DFF">
        <w:t>equirement method</w:t>
      </w:r>
      <w:r w:rsidR="00101ECA" w:rsidRPr="003E7DFF">
        <w:t xml:space="preserve"> </w:t>
      </w:r>
      <w:r w:rsidR="008B70F7">
        <w:fldChar w:fldCharType="begin" w:fldLock="1"/>
      </w:r>
      <w:r w:rsidR="008B70F7">
        <w:instrText>ADDIN CSL_CITATION {"citationItems":[{"id":"ITEM-1","itemData":{"abstract":"This is a review of the concepts of purpose, direction, and objective in the discipline of thermodynamics, which is a pillar of physics, natural sciences, life science, and engineering science. Reviewed is the relentless evolution of this discipline toward accounting for evolutionary design with direction, and for establishing the concept of purpose in methodologies of modeling, analysis, teaching, and design optimization. Evolution is change after change toward flow access, with direction in time, and purpose. Evolution does not have an ‘end’. In thermodynamics, purpose is already the defining feature of methods that have emerged to guide and facilitate the generation, distribution, and use of motive power, heating, and cooling: thermodynamic optimization, exergy-based methods (i.e., exergetic, exergoeconomic, and exergoenvironmental analysis), entropy generation minimiza-tion, extended exergy, environomics, thermoecology, finite time thermodynamics, pinch analysis, animal design, geophysical flow design, and constructal law. What distinguishes these approaches are the purpose and the performance evaluation used in each method.","author":[{"dropping-particle":"","family":"Bejan","given":"Adrian","non-dropping-particle":"","parse-names":false,"suffix":""},{"dropping-particle":"","family":"Tsatsaronis","given":"George","non-dropping-particle":"","parse-names":false,"suffix":""}],"container-title":"Energies","id":"ITEM-1","issue":"2","issued":{"date-parts":[["2021"]]},"title":"Purpose in thermodynamics","type":"article-journal","volume":"14"},"uris":["http://www.mendeley.com/documents/?uuid=f4077827-f412-434e-b8ff-47d6798578ce"]}],"mendeley":{"formattedCitation":"(Bejan and Tsatsaronis, 2021)","plainTextFormattedCitation":"(Bejan and Tsatsaronis, 2021)","previouslyFormattedCitation":"(Bejan and Tsatsaronis, 2021)"},"properties":{"noteIndex":0},"schema":"https://github.com/citation-style-language/schema/raw/master/csl-citation.json"}</w:instrText>
      </w:r>
      <w:r w:rsidR="008B70F7">
        <w:fldChar w:fldCharType="separate"/>
      </w:r>
      <w:r w:rsidR="008B70F7" w:rsidRPr="000C6B8C">
        <w:rPr>
          <w:noProof/>
        </w:rPr>
        <w:t>(Bejan and Tsatsaronis, 2021)</w:t>
      </w:r>
      <w:r w:rsidR="008B70F7">
        <w:fldChar w:fldCharType="end"/>
      </w:r>
      <w:r w:rsidR="008B70F7">
        <w:t xml:space="preserve">. </w:t>
      </w:r>
      <w:r w:rsidR="00FF11CB" w:rsidRPr="003E7DFF">
        <w:t xml:space="preserve">The purchase equipment cost (PEC) for each component of the process was obtained from vendors based on the required characteristics and </w:t>
      </w:r>
      <w:r w:rsidR="00101ECA" w:rsidRPr="003E7DFF">
        <w:t xml:space="preserve">they </w:t>
      </w:r>
      <w:r w:rsidR="00FF11CB" w:rsidRPr="003E7DFF">
        <w:t>are presented in the results section.</w:t>
      </w:r>
      <w:r w:rsidRPr="003E7DFF">
        <w:t xml:space="preserve"> </w:t>
      </w:r>
      <w:r w:rsidR="00B70779" w:rsidRPr="003E7DFF">
        <w:t>The cost of cooling water</w:t>
      </w:r>
      <w:r w:rsidR="006856EF" w:rsidRPr="003E7DFF">
        <w:t>, n-hexane and electricity</w:t>
      </w:r>
      <w:r w:rsidR="00B70779" w:rsidRPr="003E7DFF">
        <w:t xml:space="preserve"> </w:t>
      </w:r>
      <w:r w:rsidR="00DF47AA" w:rsidRPr="003E7DFF">
        <w:t>are</w:t>
      </w:r>
      <w:r w:rsidR="00B70779" w:rsidRPr="003E7DFF">
        <w:t xml:space="preserve"> 0.72</w:t>
      </w:r>
      <w:r w:rsidR="00DF47AA" w:rsidRPr="003E7DFF">
        <w:t xml:space="preserve"> $</w:t>
      </w:r>
      <w:r w:rsidR="00B70779" w:rsidRPr="003E7DFF">
        <w:t>/m</w:t>
      </w:r>
      <w:r w:rsidR="00B70779" w:rsidRPr="003E7DFF">
        <w:rPr>
          <w:vertAlign w:val="superscript"/>
        </w:rPr>
        <w:t>3</w:t>
      </w:r>
      <w:r w:rsidR="00DF06DB" w:rsidRPr="003E7DFF">
        <w:rPr>
          <w:vertAlign w:val="superscript"/>
        </w:rPr>
        <w:t xml:space="preserve"> </w:t>
      </w:r>
      <w:r w:rsidR="00DF06DB" w:rsidRPr="003E7DFF">
        <w:rPr>
          <w:vertAlign w:val="superscript"/>
        </w:rPr>
        <w:fldChar w:fldCharType="begin" w:fldLock="1"/>
      </w:r>
      <w:r w:rsidR="008B70F7">
        <w:rPr>
          <w:vertAlign w:val="superscript"/>
        </w:rPr>
        <w:instrText>ADDIN CSL_CITATION {"citationItems":[{"id":"ITEM-1","itemData":{"author":[{"dropping-particle":"","family":"International Water Services Interagua C. Ltda.","given":"","non-dropping-particle":"","parse-names":false,"suffix":""}],"id":"ITEM-1","issued":{"date-parts":[["2019"]]},"publisher-place":"Guayaquil","title":"Informe Anual 2018-2019","type":"report"},"uris":["http://www.mendeley.com/documents/?uuid=4c828dfa-e9ef-4ad9-849a-57955f4c2de9"]}],"mendeley":{"formattedCitation":"(International Water Services Interagua C. Ltda., 2019)","plainTextFormattedCitation":"(International Water Services Interagua C. Ltda., 2019)","previouslyFormattedCitation":"(International Water Services Interagua C. Ltda., 2019)"},"properties":{"noteIndex":0},"schema":"https://github.com/citation-style-language/schema/raw/master/csl-citation.json"}</w:instrText>
      </w:r>
      <w:r w:rsidR="00DF06DB" w:rsidRPr="003E7DFF">
        <w:rPr>
          <w:vertAlign w:val="superscript"/>
        </w:rPr>
        <w:fldChar w:fldCharType="separate"/>
      </w:r>
      <w:r w:rsidR="00DF06DB" w:rsidRPr="003E7DFF">
        <w:rPr>
          <w:noProof/>
        </w:rPr>
        <w:t>(International Water Services Interagua C. Ltda., 2019)</w:t>
      </w:r>
      <w:r w:rsidR="00DF06DB" w:rsidRPr="003E7DFF">
        <w:rPr>
          <w:vertAlign w:val="superscript"/>
        </w:rPr>
        <w:fldChar w:fldCharType="end"/>
      </w:r>
      <w:r w:rsidR="00DF47AA" w:rsidRPr="003E7DFF">
        <w:t xml:space="preserve">, </w:t>
      </w:r>
      <w:r w:rsidR="00B70779" w:rsidRPr="003E7DFF">
        <w:t>0.03</w:t>
      </w:r>
      <w:r w:rsidR="00DF47AA" w:rsidRPr="003E7DFF">
        <w:t xml:space="preserve"> $</w:t>
      </w:r>
      <w:r w:rsidR="00B70779" w:rsidRPr="003E7DFF">
        <w:t>/kg,</w:t>
      </w:r>
      <w:r w:rsidR="00DA3081" w:rsidRPr="003E7DFF">
        <w:t xml:space="preserve"> and 0.0765 $/kWh</w:t>
      </w:r>
      <w:r w:rsidR="00174477" w:rsidRPr="003E7DFF">
        <w:t xml:space="preserve"> </w:t>
      </w:r>
      <w:r w:rsidR="00DF06DB" w:rsidRPr="003E7DFF">
        <w:rPr>
          <w:b/>
        </w:rPr>
        <w:fldChar w:fldCharType="begin" w:fldLock="1"/>
      </w:r>
      <w:r w:rsidR="008B70F7">
        <w:instrText>ADDIN CSL_CITATION {"citationItems":[{"id":"ITEM-1","itemData":{"abstract":"El presente documento tiene como finalidad indagar sobre el sector eléctrico ecuatoriano (SEE), ya que este ha tenido un cambio muy diverso en el país, aparte de que los actuales documentos sobre la evolución del SE no presentan información actualizada según y hasta la presente Ley Orgánica Del Servicio Público De Energía Eléctrica (LOSPEE). Además de investigar sus orígenes, evoluciones, precios y estructuras que lo han moldeado hasta las presentes entidades que lo representan, se realizará una breve comparación con otros países. Palabras claves— empresas, tarifas, regulaciones, precios, producción de energía, servicio eléctrico. Abstract This document has a purpose on the Ecuadorian electricity sector (SEE), which has had a very different change in the country, apart from the current documents on the evolution of the SE. Organic Public Electric Power Service (LOSPEE). In addition to investigating its origins, evolutions, prices and structures that have been molded to the present, the entities that represent it, a brief comparison is made with other countries. Index Terms— companies, tariffs, regulations, prices, energy production, electric service.","author":[{"dropping-particle":"","family":"Macías Centeno","given":"Josué Eduardo","non-dropping-particle":"","parse-names":false,"suffix":""},{"dropping-particle":"","family":"Valarezo Molina","given":"Lucio Alfredo","non-dropping-particle":"","parse-names":false,"suffix":""},{"dropping-particle":"","family":"Loor Castillo","given":"Guillermo","non-dropping-particle":"","parse-names":false,"suffix":""}],"container-title":"Revista de Investigaciones en Energía, Medio Ambiente y Tecnología: RIEMAT ISSN: 2588-0721","id":"ITEM-1","issue":"2","issued":{"date-parts":[["2018"]]},"page":"29","title":"Los Diferentes Costos que Tiene la Energía Eléctrica en el Ecuador Considerando los Cambios de la Estructura Actual","type":"article-journal","volume":"3"},"uris":["http://www.mendeley.com/documents/?uuid=0f37ff47-03bc-4a0b-9ea3-66dfc49f2deb","http://www.mendeley.com/documents/?uuid=a4d0ba52-ed0f-43d8-9378-734aae5d1c69"]}],"mendeley":{"formattedCitation":"(Macías Centeno et al., 2018)","plainTextFormattedCitation":"(Macías Centeno et al., 2018)","previouslyFormattedCitation":"(Macías Centeno et al., 2018)"},"properties":{"noteIndex":0},"schema":"https://github.com/citation-style-language/schema/raw/master/csl-citation.json"}</w:instrText>
      </w:r>
      <w:r w:rsidR="00DF06DB" w:rsidRPr="003E7DFF">
        <w:rPr>
          <w:b/>
        </w:rPr>
        <w:fldChar w:fldCharType="separate"/>
      </w:r>
      <w:r w:rsidR="00DF06DB" w:rsidRPr="003E7DFF">
        <w:rPr>
          <w:noProof/>
        </w:rPr>
        <w:t>(Macías Centeno et al., 2018)</w:t>
      </w:r>
      <w:r w:rsidR="00DF06DB" w:rsidRPr="003E7DFF">
        <w:rPr>
          <w:b/>
        </w:rPr>
        <w:fldChar w:fldCharType="end"/>
      </w:r>
      <w:r w:rsidR="00B70779" w:rsidRPr="003E7DFF">
        <w:t xml:space="preserve">, respectively. </w:t>
      </w:r>
      <w:r w:rsidRPr="003E7DFF">
        <w:t xml:space="preserve">The </w:t>
      </w:r>
      <w:r w:rsidRPr="00EC70C7">
        <w:t xml:space="preserve">economic parameters </w:t>
      </w:r>
      <w:r w:rsidR="00CF54BB" w:rsidRPr="00EC70C7">
        <w:t>used for</w:t>
      </w:r>
      <w:r w:rsidR="00CF54BB">
        <w:t xml:space="preserve"> </w:t>
      </w:r>
      <w:r w:rsidR="47D5C4F3">
        <w:t>the</w:t>
      </w:r>
      <w:r w:rsidR="00CF54BB" w:rsidRPr="00EC70C7">
        <w:t xml:space="preserve"> economic analysis </w:t>
      </w:r>
      <w:r w:rsidR="00DA3081" w:rsidRPr="003E7DFF">
        <w:t xml:space="preserve">and specific cost of biomass </w:t>
      </w:r>
      <w:r w:rsidRPr="003E7DFF">
        <w:t xml:space="preserve">were taken from a previous study by authors </w:t>
      </w:r>
      <w:r w:rsidRPr="003E7DFF">
        <w:fldChar w:fldCharType="begin" w:fldLock="1"/>
      </w:r>
      <w:r w:rsidR="008B70F7">
        <w:instrText>ADDIN CSL_CITATION {"citationItems":[{"id":"ITEM-1","itemData":{"ISSN":"2214157X","abstract":"The integrated production of biofuels from agro-industrial wastes is increasing around the world. The thermodynamic performance and economic analysis of these processes have become topics of interest given the need to reduce the cost of biofuels and their impact on the environment. This study develops a simulation of the production process of syngas and biodiesel from spent coffee grounds, and an exergoeconomic analysis that mainly determines the exergy destruction rate, the investment and operational cost rate, and the exergy destruction cost rate at component level and for the overall system. The total investment cost for the integrated process resulted in 13.2 million dollars. The specific cost of syngas and biodiesel from spent coffee grounds were estimated in $0.36/kg and $0.71/kg, respectively. The results show that the drying process including the air heating for the pretreatment of the biomass had an exergy destruction rate of 11,463 kW and was responsible of the 92% of the overall exergy destruction cost rate. An increment of the dead state temperature reduced the specific cost of syngas and biodiesel in 17% and 8%, respectively. Future studies should focus on the exergoeconomic optimization of the drying process of biomass in order to minimize the operational costs.","author":[{"dropping-particle":"","family":"Tinoco-Caicedo","given":"Diana L.","non-dropping-particle":"","parse-names":false,"suffix":""},{"dropping-particle":"","family":"Mero-Benavides","given":"Medelyne","non-dropping-particle":"","parse-names":false,"suffix":""},{"dropping-particle":"","family":"Santos-Torres","given":"Myrian","non-dropping-particle":"","parse-names":false,"suffix":""},{"dropping-particle":"","family":"Lozano-Medina","given":"Alexis","non-dropping-particle":"","parse-names":false,"suffix":""},{"dropping-particle":"","family":"Blanco-Marigorta","given":"Ana M.","non-dropping-particle":"","parse-names":false,"suffix":""}],"container-title":"Case Studies in Thermal Engineering","id":"ITEM-1","issue":"October","issued":{"date-parts":[["2021"]]},"page":"101556","publisher":"Elsevier Ltd","title":"Simulation and exergoeconomic analysis of the syngas and biodiesel production process from spent coffee grounds","type":"article-journal","volume":"28"},"uris":["http://www.mendeley.com/documents/?uuid=7e031599-209d-4aae-be09-38d23e396d54"]}],"mendeley":{"formattedCitation":"(Tinoco-Caicedo et al., 2021)","manualFormatting":"(Tinoco-Caicedo et al., 2021)","plainTextFormattedCitation":"(Tinoco-Caicedo et al., 2021)","previouslyFormattedCitation":"(Tinoco-Caicedo et al., 2021)"},"properties":{"noteIndex":0},"schema":"https://github.com/citation-style-language/schema/raw/master/csl-citation.json"}</w:instrText>
      </w:r>
      <w:r w:rsidRPr="003E7DFF">
        <w:fldChar w:fldCharType="separate"/>
      </w:r>
      <w:r w:rsidRPr="003E7DFF">
        <w:rPr>
          <w:noProof/>
        </w:rPr>
        <w:t>(Tinoco-Caicedo et al., 2021)</w:t>
      </w:r>
      <w:r w:rsidRPr="003E7DFF">
        <w:fldChar w:fldCharType="end"/>
      </w:r>
      <w:r w:rsidRPr="003E7DFF">
        <w:t xml:space="preserve">. </w:t>
      </w:r>
    </w:p>
    <w:p w14:paraId="25712654" w14:textId="5AA00689" w:rsidR="003D609A" w:rsidRPr="003E7DFF" w:rsidRDefault="00FF11CB" w:rsidP="00CF54BB">
      <w:pPr>
        <w:pStyle w:val="CETBodytext"/>
      </w:pPr>
      <w:r w:rsidRPr="003E7DFF">
        <w:t xml:space="preserve">The total </w:t>
      </w:r>
      <w:r w:rsidR="00101ECA" w:rsidRPr="003E7DFF">
        <w:t xml:space="preserve">operating </w:t>
      </w:r>
      <w:r w:rsidRPr="003E7DFF">
        <w:t>cost rate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Z</m:t>
                </m:r>
              </m:e>
            </m:acc>
          </m:e>
          <m:sub>
            <m:r>
              <m:rPr>
                <m:sty m:val="p"/>
              </m:rPr>
              <w:rPr>
                <w:rFonts w:ascii="Cambria Math" w:hAnsi="Cambria Math"/>
              </w:rPr>
              <m:t>k</m:t>
            </m:r>
          </m:sub>
        </m:sSub>
      </m:oMath>
      <w:r w:rsidRPr="003E7DFF">
        <w:t>) was determined as is shown in Eq. (</w:t>
      </w:r>
      <w:r w:rsidR="00146C6E">
        <w:t>7</w:t>
      </w:r>
      <w:r w:rsidRPr="003E7DFF">
        <w:t>).</w:t>
      </w:r>
    </w:p>
    <w:tbl>
      <w:tblPr>
        <w:tblW w:w="5000" w:type="pct"/>
        <w:tblLook w:val="04A0" w:firstRow="1" w:lastRow="0" w:firstColumn="1" w:lastColumn="0" w:noHBand="0" w:noVBand="1"/>
      </w:tblPr>
      <w:tblGrid>
        <w:gridCol w:w="7282"/>
        <w:gridCol w:w="1505"/>
      </w:tblGrid>
      <w:tr w:rsidR="00FF11CB" w:rsidRPr="003E7DFF" w14:paraId="288B4571" w14:textId="77777777" w:rsidTr="00591026">
        <w:trPr>
          <w:trHeight w:val="224"/>
        </w:trPr>
        <w:tc>
          <w:tcPr>
            <w:tcW w:w="7282" w:type="dxa"/>
            <w:shd w:val="clear" w:color="auto" w:fill="auto"/>
            <w:vAlign w:val="center"/>
          </w:tcPr>
          <w:p w14:paraId="12126936" w14:textId="77777777" w:rsidR="00FF11CB" w:rsidRPr="003E7DFF" w:rsidRDefault="0078037F" w:rsidP="00591026">
            <w:pPr>
              <w:pStyle w:val="CETEquation"/>
              <w:spacing w:after="0"/>
              <w:rPr>
                <w:sz w:val="16"/>
                <w:szCs w:val="16"/>
                <w:lang w:val="en-US"/>
              </w:rPr>
            </w:pPr>
            <m:oMathPara>
              <m:oMathParaPr>
                <m:jc m:val="left"/>
              </m:oMathParaPr>
              <m:oMath>
                <m:sSub>
                  <m:sSubPr>
                    <m:ctrlPr>
                      <w:rPr>
                        <w:rFonts w:ascii="Cambria Math" w:hAnsi="Cambria Math"/>
                        <w:sz w:val="16"/>
                        <w:szCs w:val="16"/>
                        <w:lang w:val="en-US"/>
                      </w:rPr>
                    </m:ctrlPr>
                  </m:sSubPr>
                  <m:e>
                    <m:acc>
                      <m:accPr>
                        <m:chr m:val="̇"/>
                        <m:ctrlPr>
                          <w:rPr>
                            <w:rFonts w:ascii="Cambria Math" w:hAnsi="Cambria Math"/>
                            <w:sz w:val="16"/>
                            <w:szCs w:val="16"/>
                            <w:lang w:val="en-US"/>
                          </w:rPr>
                        </m:ctrlPr>
                      </m:accPr>
                      <m:e>
                        <m:r>
                          <m:rPr>
                            <m:sty m:val="p"/>
                          </m:rPr>
                          <w:rPr>
                            <w:rFonts w:ascii="Cambria Math" w:hAnsi="Cambria Math"/>
                            <w:sz w:val="16"/>
                            <w:szCs w:val="16"/>
                            <w:lang w:val="en-US"/>
                          </w:rPr>
                          <m:t>Z</m:t>
                        </m:r>
                      </m:e>
                    </m:acc>
                  </m:e>
                  <m:sub>
                    <m:r>
                      <m:rPr>
                        <m:sty m:val="p"/>
                      </m:rPr>
                      <w:rPr>
                        <w:rFonts w:ascii="Cambria Math" w:hAnsi="Cambria Math"/>
                        <w:sz w:val="16"/>
                        <w:szCs w:val="16"/>
                        <w:lang w:val="en-US"/>
                      </w:rPr>
                      <m:t>k</m:t>
                    </m:r>
                  </m:sub>
                </m:sSub>
                <m:r>
                  <m:rPr>
                    <m:sty m:val="p"/>
                  </m:rPr>
                  <w:rPr>
                    <w:rFonts w:ascii="Cambria Math" w:hAnsi="Cambria Math"/>
                    <w:sz w:val="16"/>
                    <w:szCs w:val="16"/>
                    <w:lang w:val="en-US"/>
                  </w:rPr>
                  <m:t>=</m:t>
                </m:r>
                <m:sSubSup>
                  <m:sSubSupPr>
                    <m:ctrlPr>
                      <w:rPr>
                        <w:rFonts w:ascii="Cambria Math" w:hAnsi="Cambria Math"/>
                        <w:sz w:val="16"/>
                        <w:szCs w:val="16"/>
                        <w:lang w:val="en-US"/>
                      </w:rPr>
                    </m:ctrlPr>
                  </m:sSubSupPr>
                  <m:e>
                    <m:acc>
                      <m:accPr>
                        <m:chr m:val="̇"/>
                        <m:ctrlPr>
                          <w:rPr>
                            <w:rFonts w:ascii="Cambria Math" w:hAnsi="Cambria Math"/>
                            <w:sz w:val="16"/>
                            <w:szCs w:val="16"/>
                            <w:lang w:val="en-US"/>
                          </w:rPr>
                        </m:ctrlPr>
                      </m:accPr>
                      <m:e>
                        <m:r>
                          <m:rPr>
                            <m:sty m:val="p"/>
                          </m:rPr>
                          <w:rPr>
                            <w:rFonts w:ascii="Cambria Math" w:hAnsi="Cambria Math"/>
                            <w:sz w:val="16"/>
                            <w:szCs w:val="16"/>
                            <w:lang w:val="en-US"/>
                          </w:rPr>
                          <m:t>Z</m:t>
                        </m:r>
                      </m:e>
                    </m:acc>
                  </m:e>
                  <m:sub>
                    <m:r>
                      <m:rPr>
                        <m:sty m:val="p"/>
                      </m:rPr>
                      <w:rPr>
                        <w:rFonts w:ascii="Cambria Math" w:hAnsi="Cambria Math"/>
                        <w:sz w:val="16"/>
                        <w:szCs w:val="16"/>
                        <w:lang w:val="en-US"/>
                      </w:rPr>
                      <m:t>k</m:t>
                    </m:r>
                  </m:sub>
                  <m:sup>
                    <m:r>
                      <m:rPr>
                        <m:sty m:val="p"/>
                      </m:rPr>
                      <w:rPr>
                        <w:rFonts w:ascii="Cambria Math" w:hAnsi="Cambria Math"/>
                        <w:sz w:val="16"/>
                        <w:szCs w:val="16"/>
                        <w:lang w:val="en-US"/>
                      </w:rPr>
                      <m:t>O</m:t>
                    </m:r>
                    <m:r>
                      <m:rPr>
                        <m:lit/>
                        <m:sty m:val="p"/>
                      </m:rPr>
                      <w:rPr>
                        <w:rFonts w:ascii="Cambria Math" w:hAnsi="Cambria Math"/>
                        <w:sz w:val="16"/>
                        <w:szCs w:val="16"/>
                        <w:lang w:val="en-US"/>
                      </w:rPr>
                      <m:t>&amp;</m:t>
                    </m:r>
                    <m:r>
                      <m:rPr>
                        <m:sty m:val="p"/>
                      </m:rPr>
                      <w:rPr>
                        <w:rFonts w:ascii="Cambria Math" w:hAnsi="Cambria Math"/>
                        <w:sz w:val="16"/>
                        <w:szCs w:val="16"/>
                        <w:lang w:val="en-US"/>
                      </w:rPr>
                      <m:t>M</m:t>
                    </m:r>
                  </m:sup>
                </m:sSubSup>
                <m:r>
                  <m:rPr>
                    <m:sty m:val="p"/>
                  </m:rPr>
                  <w:rPr>
                    <w:rFonts w:ascii="Cambria Math" w:hAnsi="Cambria Math"/>
                    <w:sz w:val="16"/>
                    <w:szCs w:val="16"/>
                    <w:lang w:val="en-US"/>
                  </w:rPr>
                  <m:t>+</m:t>
                </m:r>
                <m:sSubSup>
                  <m:sSubSupPr>
                    <m:ctrlPr>
                      <w:rPr>
                        <w:rFonts w:ascii="Cambria Math" w:hAnsi="Cambria Math"/>
                        <w:sz w:val="16"/>
                        <w:szCs w:val="16"/>
                        <w:lang w:val="en-US"/>
                      </w:rPr>
                    </m:ctrlPr>
                  </m:sSubSupPr>
                  <m:e>
                    <m:acc>
                      <m:accPr>
                        <m:chr m:val="̇"/>
                        <m:ctrlPr>
                          <w:rPr>
                            <w:rFonts w:ascii="Cambria Math" w:hAnsi="Cambria Math"/>
                            <w:sz w:val="16"/>
                            <w:szCs w:val="16"/>
                            <w:lang w:val="en-US"/>
                          </w:rPr>
                        </m:ctrlPr>
                      </m:accPr>
                      <m:e>
                        <m:r>
                          <m:rPr>
                            <m:sty m:val="p"/>
                          </m:rPr>
                          <w:rPr>
                            <w:rFonts w:ascii="Cambria Math" w:hAnsi="Cambria Math"/>
                            <w:sz w:val="16"/>
                            <w:szCs w:val="16"/>
                            <w:lang w:val="en-US"/>
                          </w:rPr>
                          <m:t>Z</m:t>
                        </m:r>
                      </m:e>
                    </m:acc>
                  </m:e>
                  <m:sub>
                    <m:r>
                      <m:rPr>
                        <m:sty m:val="p"/>
                      </m:rPr>
                      <w:rPr>
                        <w:rFonts w:ascii="Cambria Math" w:hAnsi="Cambria Math"/>
                        <w:sz w:val="16"/>
                        <w:szCs w:val="16"/>
                        <w:lang w:val="en-US"/>
                      </w:rPr>
                      <m:t>k</m:t>
                    </m:r>
                  </m:sub>
                  <m:sup>
                    <m:r>
                      <m:rPr>
                        <m:sty m:val="p"/>
                      </m:rPr>
                      <w:rPr>
                        <w:rFonts w:ascii="Cambria Math" w:hAnsi="Cambria Math"/>
                        <w:sz w:val="16"/>
                        <w:szCs w:val="16"/>
                        <w:lang w:val="en-US"/>
                      </w:rPr>
                      <m:t>CI</m:t>
                    </m:r>
                  </m:sup>
                </m:sSubSup>
              </m:oMath>
            </m:oMathPara>
          </w:p>
        </w:tc>
        <w:tc>
          <w:tcPr>
            <w:tcW w:w="1505" w:type="dxa"/>
            <w:vAlign w:val="center"/>
          </w:tcPr>
          <w:p w14:paraId="675AFC3B" w14:textId="21346B49" w:rsidR="00FF11CB" w:rsidRPr="003E7DFF" w:rsidRDefault="00FF11CB" w:rsidP="00591026">
            <w:pPr>
              <w:pStyle w:val="CETEquation"/>
              <w:spacing w:after="0"/>
              <w:jc w:val="right"/>
              <w:rPr>
                <w:lang w:val="en-US"/>
              </w:rPr>
            </w:pPr>
            <w:r w:rsidRPr="003E7DFF">
              <w:rPr>
                <w:lang w:val="en-US"/>
              </w:rPr>
              <w:t>(</w:t>
            </w:r>
            <w:r w:rsidR="00BD3B83">
              <w:rPr>
                <w:lang w:val="en-US"/>
              </w:rPr>
              <w:t>7</w:t>
            </w:r>
            <w:r w:rsidRPr="003E7DFF">
              <w:rPr>
                <w:lang w:val="en-US"/>
              </w:rPr>
              <w:t>)</w:t>
            </w:r>
          </w:p>
        </w:tc>
      </w:tr>
    </w:tbl>
    <w:p w14:paraId="6A1A67F1" w14:textId="77777777" w:rsidR="00FF11CB" w:rsidRPr="003E7DFF" w:rsidRDefault="00FF11CB" w:rsidP="003D609A">
      <w:pPr>
        <w:pStyle w:val="Els-body-text"/>
        <w:rPr>
          <w:rFonts w:ascii="Arial" w:hAnsi="Arial"/>
          <w:sz w:val="18"/>
        </w:rPr>
      </w:pPr>
    </w:p>
    <w:p w14:paraId="00D82D80" w14:textId="3989B225" w:rsidR="003D609A" w:rsidRPr="003E7DFF" w:rsidRDefault="003D609A" w:rsidP="00CF54BB">
      <w:pPr>
        <w:pStyle w:val="CETBodytext"/>
      </w:pPr>
      <w:r w:rsidRPr="003E7DFF">
        <w:t xml:space="preserve">where </w:t>
      </w:r>
      <m:oMath>
        <m:sSubSup>
          <m:sSubSupPr>
            <m:ctrlPr>
              <w:rPr>
                <w:rFonts w:ascii="Cambria Math" w:hAnsi="Cambria Math"/>
                <w:sz w:val="16"/>
                <w:szCs w:val="16"/>
              </w:rPr>
            </m:ctrlPr>
          </m:sSubSupPr>
          <m:e>
            <m:acc>
              <m:accPr>
                <m:chr m:val="̇"/>
                <m:ctrlPr>
                  <w:rPr>
                    <w:rFonts w:ascii="Cambria Math" w:hAnsi="Cambria Math"/>
                    <w:sz w:val="16"/>
                    <w:szCs w:val="16"/>
                  </w:rPr>
                </m:ctrlPr>
              </m:accPr>
              <m:e>
                <m:r>
                  <m:rPr>
                    <m:sty m:val="p"/>
                  </m:rPr>
                  <w:rPr>
                    <w:rFonts w:ascii="Cambria Math" w:hAnsi="Cambria Math"/>
                    <w:sz w:val="16"/>
                    <w:szCs w:val="16"/>
                  </w:rPr>
                  <m:t>Z</m:t>
                </m:r>
              </m:e>
            </m:acc>
          </m:e>
          <m:sub>
            <m:r>
              <m:rPr>
                <m:sty m:val="p"/>
              </m:rPr>
              <w:rPr>
                <w:rFonts w:ascii="Cambria Math" w:hAnsi="Cambria Math"/>
                <w:sz w:val="16"/>
                <w:szCs w:val="16"/>
              </w:rPr>
              <m:t>k</m:t>
            </m:r>
          </m:sub>
          <m:sup>
            <m:r>
              <m:rPr>
                <m:sty m:val="p"/>
              </m:rPr>
              <w:rPr>
                <w:rFonts w:ascii="Cambria Math" w:hAnsi="Cambria Math"/>
                <w:sz w:val="16"/>
                <w:szCs w:val="16"/>
              </w:rPr>
              <m:t>O</m:t>
            </m:r>
            <m:r>
              <m:rPr>
                <m:lit/>
                <m:sty m:val="p"/>
              </m:rPr>
              <w:rPr>
                <w:rFonts w:ascii="Cambria Math" w:hAnsi="Cambria Math"/>
                <w:sz w:val="16"/>
                <w:szCs w:val="16"/>
              </w:rPr>
              <m:t>&amp;</m:t>
            </m:r>
            <m:r>
              <m:rPr>
                <m:sty m:val="p"/>
              </m:rPr>
              <w:rPr>
                <w:rFonts w:ascii="Cambria Math" w:hAnsi="Cambria Math"/>
                <w:sz w:val="16"/>
                <w:szCs w:val="16"/>
              </w:rPr>
              <m:t>M</m:t>
            </m:r>
          </m:sup>
        </m:sSubSup>
      </m:oMath>
      <w:r w:rsidR="0061127D" w:rsidRPr="003E7DFF">
        <w:rPr>
          <w:sz w:val="16"/>
          <w:szCs w:val="16"/>
        </w:rPr>
        <w:t xml:space="preserve"> and </w:t>
      </w:r>
      <m:oMath>
        <m:sSubSup>
          <m:sSubSupPr>
            <m:ctrlPr>
              <w:rPr>
                <w:rFonts w:ascii="Cambria Math" w:hAnsi="Cambria Math"/>
                <w:sz w:val="16"/>
                <w:szCs w:val="16"/>
              </w:rPr>
            </m:ctrlPr>
          </m:sSubSupPr>
          <m:e>
            <m:acc>
              <m:accPr>
                <m:chr m:val="̇"/>
                <m:ctrlPr>
                  <w:rPr>
                    <w:rFonts w:ascii="Cambria Math" w:hAnsi="Cambria Math"/>
                    <w:sz w:val="16"/>
                    <w:szCs w:val="16"/>
                  </w:rPr>
                </m:ctrlPr>
              </m:accPr>
              <m:e>
                <m:r>
                  <m:rPr>
                    <m:sty m:val="p"/>
                  </m:rPr>
                  <w:rPr>
                    <w:rFonts w:ascii="Cambria Math" w:hAnsi="Cambria Math"/>
                    <w:sz w:val="16"/>
                    <w:szCs w:val="16"/>
                  </w:rPr>
                  <m:t>Z</m:t>
                </m:r>
              </m:e>
            </m:acc>
          </m:e>
          <m:sub>
            <m:r>
              <m:rPr>
                <m:sty m:val="p"/>
              </m:rPr>
              <w:rPr>
                <w:rFonts w:ascii="Cambria Math" w:hAnsi="Cambria Math"/>
                <w:sz w:val="16"/>
                <w:szCs w:val="16"/>
              </w:rPr>
              <m:t>k</m:t>
            </m:r>
          </m:sub>
          <m:sup>
            <m:r>
              <m:rPr>
                <m:sty m:val="p"/>
              </m:rPr>
              <w:rPr>
                <w:rFonts w:ascii="Cambria Math" w:hAnsi="Cambria Math"/>
                <w:sz w:val="16"/>
                <w:szCs w:val="16"/>
              </w:rPr>
              <m:t>CI</m:t>
            </m:r>
          </m:sup>
        </m:sSubSup>
      </m:oMath>
      <w:r w:rsidR="0061127D" w:rsidRPr="003E7DFF">
        <w:rPr>
          <w:sz w:val="16"/>
          <w:szCs w:val="16"/>
        </w:rPr>
        <w:t xml:space="preserve"> </w:t>
      </w:r>
      <w:r w:rsidR="0061127D" w:rsidRPr="003E7DFF">
        <w:t>are</w:t>
      </w:r>
      <w:r w:rsidRPr="003E7DFF">
        <w:t xml:space="preserve"> the </w:t>
      </w:r>
      <w:r w:rsidR="009B3AC8" w:rsidRPr="003E7DFF">
        <w:t>cost rate associated with the capital investment and the cost rate for operation and maintenance, respectively.</w:t>
      </w:r>
    </w:p>
    <w:p w14:paraId="005637D5" w14:textId="708CA989" w:rsidR="003D609A" w:rsidRPr="003E7DFF" w:rsidRDefault="003D609A" w:rsidP="00CF54BB">
      <w:pPr>
        <w:pStyle w:val="CETBodytext"/>
      </w:pPr>
      <w:r w:rsidRPr="003E7DFF">
        <w:t>Table 1 shows the fuel exergy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E</m:t>
                </m:r>
              </m:e>
            </m:acc>
          </m:e>
          <m:sub>
            <m:r>
              <m:rPr>
                <m:sty m:val="p"/>
              </m:rPr>
              <w:rPr>
                <w:rFonts w:ascii="Cambria Math" w:hAnsi="Cambria Math"/>
              </w:rPr>
              <m:t>F</m:t>
            </m:r>
          </m:sub>
        </m:sSub>
      </m:oMath>
      <w:r w:rsidRPr="003E7DFF">
        <w:t>), product exergy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E</m:t>
                </m:r>
              </m:e>
            </m:acc>
          </m:e>
          <m:sub>
            <m:r>
              <m:rPr>
                <m:sty m:val="p"/>
              </m:rPr>
              <w:rPr>
                <w:rFonts w:ascii="Cambria Math" w:hAnsi="Cambria Math"/>
              </w:rPr>
              <m:t>P</m:t>
            </m:r>
          </m:sub>
        </m:sSub>
      </m:oMath>
      <w:r w:rsidRPr="003E7DFF">
        <w:t>), fuel cost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F</m:t>
            </m:r>
          </m:sub>
        </m:sSub>
      </m:oMath>
      <w:r w:rsidRPr="003E7DFF">
        <w:t>), product cost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P</m:t>
            </m:r>
          </m:sub>
        </m:sSub>
        <m:r>
          <m:rPr>
            <m:sty m:val="p"/>
          </m:rPr>
          <w:rPr>
            <w:rFonts w:ascii="Cambria Math" w:hAnsi="Cambria Math"/>
          </w:rPr>
          <m:t xml:space="preserve">) </m:t>
        </m:r>
      </m:oMath>
      <w:r w:rsidRPr="003E7DFF">
        <w:t>and auxiliary equations at component level</w:t>
      </w:r>
      <w:r w:rsidR="00174477" w:rsidRPr="003E7DFF">
        <w:t xml:space="preserve"> and </w:t>
      </w:r>
      <w:r w:rsidR="00101ECA" w:rsidRPr="003E7DFF">
        <w:t xml:space="preserve">for the </w:t>
      </w:r>
      <w:r w:rsidR="00174477" w:rsidRPr="003E7DFF">
        <w:t>overall system</w:t>
      </w:r>
      <w:r w:rsidRPr="003E7DFF">
        <w:t>.</w:t>
      </w:r>
    </w:p>
    <w:p w14:paraId="06A89FEE" w14:textId="6AE5BBE9" w:rsidR="003D609A" w:rsidRPr="003E7DFF" w:rsidRDefault="003D609A" w:rsidP="003D609A">
      <w:pPr>
        <w:pStyle w:val="CETTabletitle"/>
        <w:rPr>
          <w:lang w:val="en-US"/>
        </w:rPr>
      </w:pPr>
      <w:r w:rsidRPr="003E7DFF">
        <w:rPr>
          <w:lang w:val="en-US"/>
        </w:rPr>
        <w:t xml:space="preserve">Table 1: </w:t>
      </w:r>
      <w:r w:rsidR="00101ECA" w:rsidRPr="003E7DFF">
        <w:rPr>
          <w:lang w:val="en-US"/>
        </w:rPr>
        <w:t xml:space="preserve">Equations used for the </w:t>
      </w:r>
      <w:proofErr w:type="spellStart"/>
      <w:r w:rsidR="00101ECA" w:rsidRPr="003E7DFF">
        <w:rPr>
          <w:lang w:val="en-US"/>
        </w:rPr>
        <w:t>exergoeconomic</w:t>
      </w:r>
      <w:proofErr w:type="spellEnd"/>
      <w:r w:rsidR="00101ECA" w:rsidRPr="003E7DFF">
        <w:rPr>
          <w:lang w:val="en-US"/>
        </w:rPr>
        <w:t xml:space="preserve"> </w:t>
      </w:r>
      <w:r w:rsidR="000614EA" w:rsidRPr="003E7DFF">
        <w:rPr>
          <w:lang w:val="en-US"/>
        </w:rPr>
        <w:t>analysis.</w:t>
      </w:r>
    </w:p>
    <w:tbl>
      <w:tblPr>
        <w:tblW w:w="864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985"/>
        <w:gridCol w:w="850"/>
        <w:gridCol w:w="2410"/>
        <w:gridCol w:w="709"/>
        <w:gridCol w:w="1276"/>
      </w:tblGrid>
      <w:tr w:rsidR="003D609A" w:rsidRPr="003E7DFF" w14:paraId="2212E571" w14:textId="77777777" w:rsidTr="00812938">
        <w:tc>
          <w:tcPr>
            <w:tcW w:w="1418" w:type="dxa"/>
            <w:tcBorders>
              <w:top w:val="single" w:sz="12" w:space="0" w:color="008000"/>
              <w:bottom w:val="single" w:sz="6" w:space="0" w:color="008000"/>
            </w:tcBorders>
            <w:shd w:val="clear" w:color="auto" w:fill="FFFFFF"/>
          </w:tcPr>
          <w:p w14:paraId="0E0C1942" w14:textId="77777777" w:rsidR="003D609A" w:rsidRPr="003E7DFF" w:rsidRDefault="003D609A" w:rsidP="00591026">
            <w:pPr>
              <w:pStyle w:val="CETBodytext"/>
            </w:pPr>
            <w:r w:rsidRPr="003E7DFF">
              <w:t xml:space="preserve">Component </w:t>
            </w:r>
          </w:p>
        </w:tc>
        <w:tc>
          <w:tcPr>
            <w:tcW w:w="1985" w:type="dxa"/>
            <w:tcBorders>
              <w:top w:val="single" w:sz="12" w:space="0" w:color="008000"/>
              <w:bottom w:val="single" w:sz="6" w:space="0" w:color="008000"/>
            </w:tcBorders>
            <w:shd w:val="clear" w:color="auto" w:fill="FFFFFF"/>
          </w:tcPr>
          <w:p w14:paraId="0131B1FF" w14:textId="77777777" w:rsidR="003D609A" w:rsidRPr="003E7DFF" w:rsidRDefault="0078037F" w:rsidP="00591026">
            <w:pPr>
              <w:pStyle w:val="CETBodytext"/>
            </w:pPr>
            <m:oMathPara>
              <m:oMath>
                <m:sSub>
                  <m:sSubPr>
                    <m:ctrlPr>
                      <w:rPr>
                        <w:rFonts w:ascii="Cambria Math" w:hAnsi="Cambria Math"/>
                        <w:sz w:val="16"/>
                        <w:szCs w:val="16"/>
                      </w:rPr>
                    </m:ctrlPr>
                  </m:sSubPr>
                  <m:e>
                    <m:acc>
                      <m:accPr>
                        <m:chr m:val="̇"/>
                        <m:ctrlPr>
                          <w:rPr>
                            <w:rFonts w:ascii="Cambria Math" w:hAnsi="Cambria Math"/>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F, k</m:t>
                    </m:r>
                  </m:sub>
                </m:sSub>
              </m:oMath>
            </m:oMathPara>
          </w:p>
        </w:tc>
        <w:tc>
          <w:tcPr>
            <w:tcW w:w="850" w:type="dxa"/>
            <w:tcBorders>
              <w:top w:val="single" w:sz="12" w:space="0" w:color="008000"/>
              <w:bottom w:val="single" w:sz="6" w:space="0" w:color="008000"/>
            </w:tcBorders>
            <w:shd w:val="clear" w:color="auto" w:fill="FFFFFF"/>
          </w:tcPr>
          <w:p w14:paraId="6A863841" w14:textId="77777777" w:rsidR="003D609A" w:rsidRPr="003E7DFF" w:rsidRDefault="0078037F" w:rsidP="00591026">
            <w:pPr>
              <w:pStyle w:val="CETBodytext"/>
              <w:rPr>
                <w:iCs/>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P,k</m:t>
                    </m:r>
                  </m:sub>
                </m:sSub>
              </m:oMath>
            </m:oMathPara>
          </w:p>
        </w:tc>
        <w:tc>
          <w:tcPr>
            <w:tcW w:w="2410" w:type="dxa"/>
            <w:tcBorders>
              <w:top w:val="single" w:sz="12" w:space="0" w:color="008000"/>
              <w:bottom w:val="single" w:sz="6" w:space="0" w:color="008000"/>
            </w:tcBorders>
            <w:shd w:val="clear" w:color="auto" w:fill="FFFFFF"/>
          </w:tcPr>
          <w:p w14:paraId="3A28FB3D" w14:textId="77777777" w:rsidR="003D609A" w:rsidRPr="003E7DFF" w:rsidRDefault="0078037F" w:rsidP="00591026">
            <w:pPr>
              <w:pStyle w:val="CETBodytext"/>
              <w:ind w:right="-1"/>
              <w:rPr>
                <w:rFonts w:cs="Arial"/>
                <w:szCs w:val="18"/>
              </w:rPr>
            </w:pPr>
            <m:oMathPara>
              <m:oMath>
                <m:sSub>
                  <m:sSubPr>
                    <m:ctrlPr>
                      <w:rPr>
                        <w:rFonts w:ascii="Cambria Math" w:hAnsi="Cambria Math"/>
                        <w:sz w:val="16"/>
                        <w:szCs w:val="16"/>
                      </w:rPr>
                    </m:ctrlPr>
                  </m:sSubPr>
                  <m:e>
                    <m:acc>
                      <m:accPr>
                        <m:chr m:val="̇"/>
                        <m:ctrlPr>
                          <w:rPr>
                            <w:rFonts w:ascii="Cambria Math" w:hAnsi="Cambria Math"/>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F, k</m:t>
                    </m:r>
                  </m:sub>
                </m:sSub>
              </m:oMath>
            </m:oMathPara>
          </w:p>
        </w:tc>
        <w:tc>
          <w:tcPr>
            <w:tcW w:w="709" w:type="dxa"/>
            <w:tcBorders>
              <w:top w:val="single" w:sz="12" w:space="0" w:color="008000"/>
              <w:bottom w:val="single" w:sz="6" w:space="0" w:color="008000"/>
            </w:tcBorders>
            <w:shd w:val="clear" w:color="auto" w:fill="FFFFFF"/>
          </w:tcPr>
          <w:p w14:paraId="513B15FF" w14:textId="77777777" w:rsidR="003D609A" w:rsidRPr="003E7DFF" w:rsidRDefault="0078037F" w:rsidP="00591026">
            <w:pPr>
              <w:pStyle w:val="CETBodytext"/>
              <w:ind w:right="-1"/>
              <w:rPr>
                <w:rFonts w:cs="Arial"/>
                <w:iCs/>
                <w:szCs w:val="18"/>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P,k</m:t>
                    </m:r>
                  </m:sub>
                </m:sSub>
              </m:oMath>
            </m:oMathPara>
          </w:p>
        </w:tc>
        <w:tc>
          <w:tcPr>
            <w:tcW w:w="1276" w:type="dxa"/>
            <w:tcBorders>
              <w:top w:val="single" w:sz="12" w:space="0" w:color="008000"/>
              <w:bottom w:val="single" w:sz="6" w:space="0" w:color="008000"/>
            </w:tcBorders>
            <w:shd w:val="clear" w:color="auto" w:fill="FFFFFF"/>
          </w:tcPr>
          <w:p w14:paraId="62C7B260" w14:textId="77777777" w:rsidR="003D609A" w:rsidRPr="003E7DFF" w:rsidRDefault="003D609A" w:rsidP="00591026">
            <w:pPr>
              <w:pStyle w:val="CETBodytext"/>
              <w:ind w:right="-1"/>
              <w:rPr>
                <w:rFonts w:cs="Arial"/>
                <w:szCs w:val="18"/>
              </w:rPr>
            </w:pPr>
            <w:r w:rsidRPr="003E7DFF">
              <w:rPr>
                <w:rFonts w:eastAsiaTheme="minorEastAsia"/>
                <w:sz w:val="16"/>
                <w:szCs w:val="16"/>
              </w:rPr>
              <w:t>Auxiliary equation</w:t>
            </w:r>
          </w:p>
        </w:tc>
      </w:tr>
      <w:tr w:rsidR="00DA71E6" w:rsidRPr="003E7DFF" w14:paraId="7239AE19" w14:textId="77777777" w:rsidTr="00812938">
        <w:tc>
          <w:tcPr>
            <w:tcW w:w="1418" w:type="dxa"/>
            <w:shd w:val="clear" w:color="auto" w:fill="FFFFFF"/>
          </w:tcPr>
          <w:p w14:paraId="49F8EE5A" w14:textId="48E4F867" w:rsidR="00DA71E6" w:rsidRPr="003E7DFF" w:rsidRDefault="00FB18D1" w:rsidP="00DA71E6">
            <w:pPr>
              <w:pStyle w:val="CETBodytext"/>
            </w:pPr>
            <w:r w:rsidRPr="003E7DFF">
              <w:t>EX</w:t>
            </w:r>
            <w:r w:rsidR="00DA71E6" w:rsidRPr="003E7DFF">
              <w:t>-101</w:t>
            </w:r>
            <w:r w:rsidR="00812938" w:rsidRPr="003E7DFF">
              <w:t>/</w:t>
            </w:r>
            <w:r w:rsidRPr="003E7DFF">
              <w:t>EX</w:t>
            </w:r>
            <w:r w:rsidR="00812938" w:rsidRPr="003E7DFF">
              <w:t>-</w:t>
            </w:r>
            <w:r w:rsidR="00C91A55">
              <w:t>2</w:t>
            </w:r>
            <w:r w:rsidR="00812938" w:rsidRPr="003E7DFF">
              <w:t>01</w:t>
            </w:r>
          </w:p>
        </w:tc>
        <w:tc>
          <w:tcPr>
            <w:tcW w:w="1985" w:type="dxa"/>
            <w:shd w:val="clear" w:color="auto" w:fill="FFFFFF"/>
          </w:tcPr>
          <w:p w14:paraId="6DDCC56A" w14:textId="0B088680" w:rsidR="00DA71E6" w:rsidRPr="003E7DFF" w:rsidRDefault="0078037F" w:rsidP="00DA71E6">
            <w:pPr>
              <w:pStyle w:val="CETBodytext"/>
              <w:rPr>
                <w:iCs/>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4</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U-101</m:t>
                    </m:r>
                  </m:sub>
                </m:sSub>
              </m:oMath>
            </m:oMathPara>
          </w:p>
        </w:tc>
        <w:tc>
          <w:tcPr>
            <w:tcW w:w="850" w:type="dxa"/>
            <w:shd w:val="clear" w:color="auto" w:fill="FFFFFF"/>
          </w:tcPr>
          <w:p w14:paraId="498E61BA" w14:textId="15D06689" w:rsidR="00DA71E6" w:rsidRPr="003E7DFF" w:rsidRDefault="0078037F" w:rsidP="00DA71E6">
            <w:pPr>
              <w:pStyle w:val="CETBodytext"/>
              <w:rPr>
                <w:iCs/>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5</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2</m:t>
                    </m:r>
                  </m:sub>
                </m:sSub>
              </m:oMath>
            </m:oMathPara>
          </w:p>
        </w:tc>
        <w:tc>
          <w:tcPr>
            <w:tcW w:w="2410" w:type="dxa"/>
            <w:shd w:val="clear" w:color="auto" w:fill="FFFFFF"/>
          </w:tcPr>
          <w:p w14:paraId="7647FDE6" w14:textId="73DF1F77" w:rsidR="00DA71E6" w:rsidRPr="003E7DFF" w:rsidRDefault="0078037F" w:rsidP="00DA71E6">
            <w:pPr>
              <w:pStyle w:val="CETBodytext"/>
              <w:ind w:right="-1"/>
              <w:rPr>
                <w:rFonts w:cs="Arial"/>
                <w:iCs/>
                <w:szCs w:val="18"/>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4</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U-101</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c</m:t>
                    </m:r>
                  </m:e>
                  <m:sub>
                    <m:r>
                      <m:rPr>
                        <m:sty m:val="p"/>
                      </m:rPr>
                      <w:rPr>
                        <w:rFonts w:ascii="Cambria Math" w:hAnsi="Cambria Math"/>
                        <w:sz w:val="16"/>
                        <w:szCs w:val="16"/>
                      </w:rPr>
                      <m:t>EP</m:t>
                    </m:r>
                  </m:sub>
                </m:sSub>
              </m:oMath>
            </m:oMathPara>
          </w:p>
        </w:tc>
        <w:tc>
          <w:tcPr>
            <w:tcW w:w="709" w:type="dxa"/>
            <w:shd w:val="clear" w:color="auto" w:fill="FFFFFF"/>
          </w:tcPr>
          <w:p w14:paraId="42E45EE2" w14:textId="777A8412" w:rsidR="00DA71E6" w:rsidRPr="003E7DFF" w:rsidRDefault="0078037F" w:rsidP="00DA71E6">
            <w:pPr>
              <w:pStyle w:val="CETBodytext"/>
              <w:ind w:right="-1"/>
              <w:rPr>
                <w:rFonts w:cs="Arial"/>
                <w:iCs/>
                <w:szCs w:val="18"/>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5</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2</m:t>
                    </m:r>
                  </m:sub>
                </m:sSub>
              </m:oMath>
            </m:oMathPara>
          </w:p>
        </w:tc>
        <w:tc>
          <w:tcPr>
            <w:tcW w:w="1276" w:type="dxa"/>
            <w:shd w:val="clear" w:color="auto" w:fill="FFFFFF"/>
          </w:tcPr>
          <w:p w14:paraId="0EECC4D0" w14:textId="2A7C82FD" w:rsidR="00DA71E6" w:rsidRPr="003E7DFF" w:rsidRDefault="0078037F" w:rsidP="00DA71E6">
            <w:pPr>
              <w:jc w:val="center"/>
              <w:rPr>
                <w:iCs/>
                <w:sz w:val="16"/>
                <w:szCs w:val="16"/>
              </w:rPr>
            </w:pPr>
            <m:oMathPara>
              <m:oMath>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4</m:t>
                    </m:r>
                  </m:sub>
                </m:sSub>
                <m:r>
                  <m:rPr>
                    <m:sty m:val="p"/>
                  </m:rPr>
                  <w:rPr>
                    <w:rFonts w:ascii="Cambria Math" w:eastAsia="Calibri" w:hAnsi="Cambria Math"/>
                    <w:sz w:val="16"/>
                    <w:szCs w:val="16"/>
                  </w:rPr>
                  <m:t>=</m:t>
                </m:r>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5</m:t>
                    </m:r>
                  </m:sub>
                </m:sSub>
              </m:oMath>
            </m:oMathPara>
          </w:p>
          <w:p w14:paraId="2C7727AC" w14:textId="30976810" w:rsidR="00DA71E6" w:rsidRPr="003E7DFF" w:rsidRDefault="00DA71E6" w:rsidP="00DA71E6">
            <w:pPr>
              <w:pStyle w:val="CETBodytext"/>
              <w:ind w:right="-1"/>
              <w:rPr>
                <w:rFonts w:cs="Arial"/>
                <w:iCs/>
                <w:szCs w:val="18"/>
              </w:rPr>
            </w:pPr>
          </w:p>
        </w:tc>
      </w:tr>
      <w:tr w:rsidR="00DA71E6" w:rsidRPr="003E7DFF" w14:paraId="70DCF591" w14:textId="77777777" w:rsidTr="00812938">
        <w:tc>
          <w:tcPr>
            <w:tcW w:w="1418" w:type="dxa"/>
            <w:tcBorders>
              <w:bottom w:val="single" w:sz="4" w:space="0" w:color="008000"/>
            </w:tcBorders>
            <w:shd w:val="clear" w:color="auto" w:fill="FFFFFF"/>
          </w:tcPr>
          <w:p w14:paraId="6F0447B7" w14:textId="754E7B71" w:rsidR="00DA71E6" w:rsidRPr="003E7DFF" w:rsidRDefault="00DA71E6" w:rsidP="00DA71E6">
            <w:pPr>
              <w:pStyle w:val="CETBodytext"/>
            </w:pPr>
            <w:r w:rsidRPr="003E7DFF">
              <w:t>EV-</w:t>
            </w:r>
            <w:r w:rsidR="00C91A55">
              <w:t>1</w:t>
            </w:r>
            <w:r w:rsidRPr="003E7DFF">
              <w:t>01</w:t>
            </w:r>
            <w:r w:rsidR="00812938" w:rsidRPr="003E7DFF">
              <w:t>/EV-201</w:t>
            </w:r>
          </w:p>
        </w:tc>
        <w:tc>
          <w:tcPr>
            <w:tcW w:w="1985" w:type="dxa"/>
            <w:tcBorders>
              <w:bottom w:val="single" w:sz="4" w:space="0" w:color="008000"/>
            </w:tcBorders>
            <w:shd w:val="clear" w:color="auto" w:fill="FFFFFF"/>
          </w:tcPr>
          <w:p w14:paraId="12401DE9" w14:textId="41A2BF1F" w:rsidR="00DA71E6" w:rsidRPr="003E7DFF" w:rsidRDefault="0078037F" w:rsidP="00DA71E6">
            <w:pPr>
              <w:pStyle w:val="CETBodytext"/>
              <w:rPr>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5</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7</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9</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8</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EV-201</m:t>
                    </m:r>
                  </m:sub>
                </m:sSub>
              </m:oMath>
            </m:oMathPara>
          </w:p>
        </w:tc>
        <w:tc>
          <w:tcPr>
            <w:tcW w:w="850" w:type="dxa"/>
            <w:tcBorders>
              <w:bottom w:val="single" w:sz="4" w:space="0" w:color="008000"/>
            </w:tcBorders>
            <w:shd w:val="clear" w:color="auto" w:fill="FFFFFF"/>
          </w:tcPr>
          <w:p w14:paraId="40C832CF" w14:textId="341E8A6E" w:rsidR="00DA71E6" w:rsidRPr="003E7DFF" w:rsidRDefault="0078037F" w:rsidP="00DA71E6">
            <w:pPr>
              <w:pStyle w:val="CETBodytext"/>
              <w:rPr>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6</m:t>
                    </m:r>
                  </m:sub>
                </m:sSub>
              </m:oMath>
            </m:oMathPara>
          </w:p>
        </w:tc>
        <w:tc>
          <w:tcPr>
            <w:tcW w:w="2410" w:type="dxa"/>
            <w:tcBorders>
              <w:bottom w:val="single" w:sz="4" w:space="0" w:color="008000"/>
            </w:tcBorders>
            <w:shd w:val="clear" w:color="auto" w:fill="FFFFFF"/>
          </w:tcPr>
          <w:p w14:paraId="5B520DC2" w14:textId="4554DAF9" w:rsidR="00DA71E6" w:rsidRPr="003E7DFF" w:rsidRDefault="0078037F" w:rsidP="00DA71E6">
            <w:pPr>
              <w:pStyle w:val="CETBodytext"/>
              <w:ind w:right="-1"/>
              <w:rPr>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5</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C</m:t>
                    </m:r>
                  </m:e>
                  <m:sub>
                    <m:r>
                      <m:rPr>
                        <m:sty m:val="p"/>
                      </m:rPr>
                      <w:rPr>
                        <w:rFonts w:ascii="Cambria Math" w:hAnsi="Cambria Math"/>
                        <w:sz w:val="16"/>
                        <w:szCs w:val="16"/>
                      </w:rPr>
                      <m:t>7</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C</m:t>
                    </m:r>
                  </m:e>
                  <m:sub>
                    <m:r>
                      <m:rPr>
                        <m:sty m:val="p"/>
                      </m:rPr>
                      <w:rPr>
                        <w:rFonts w:ascii="Cambria Math" w:hAnsi="Cambria Math"/>
                        <w:sz w:val="16"/>
                        <w:szCs w:val="16"/>
                      </w:rPr>
                      <m:t>9</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8</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EV-101</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c</m:t>
                    </m:r>
                  </m:e>
                  <m:sub>
                    <m:r>
                      <m:rPr>
                        <m:sty m:val="p"/>
                      </m:rPr>
                      <w:rPr>
                        <w:rFonts w:ascii="Cambria Math" w:hAnsi="Cambria Math"/>
                        <w:sz w:val="16"/>
                        <w:szCs w:val="16"/>
                      </w:rPr>
                      <m:t>EP</m:t>
                    </m:r>
                  </m:sub>
                </m:sSub>
              </m:oMath>
            </m:oMathPara>
          </w:p>
        </w:tc>
        <w:tc>
          <w:tcPr>
            <w:tcW w:w="709" w:type="dxa"/>
            <w:tcBorders>
              <w:bottom w:val="single" w:sz="4" w:space="0" w:color="008000"/>
            </w:tcBorders>
            <w:shd w:val="clear" w:color="auto" w:fill="FFFFFF"/>
          </w:tcPr>
          <w:p w14:paraId="75E6AE27" w14:textId="706377B8" w:rsidR="00DA71E6" w:rsidRPr="003E7DFF" w:rsidRDefault="0078037F" w:rsidP="00DA71E6">
            <w:pPr>
              <w:pStyle w:val="CETBodytext"/>
              <w:ind w:right="-1"/>
              <w:rPr>
                <w:rFonts w:cs="Arial"/>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6</m:t>
                    </m:r>
                  </m:sub>
                </m:sSub>
              </m:oMath>
            </m:oMathPara>
          </w:p>
        </w:tc>
        <w:tc>
          <w:tcPr>
            <w:tcW w:w="1276" w:type="dxa"/>
            <w:tcBorders>
              <w:bottom w:val="single" w:sz="4" w:space="0" w:color="008000"/>
            </w:tcBorders>
            <w:shd w:val="clear" w:color="auto" w:fill="FFFFFF"/>
          </w:tcPr>
          <w:p w14:paraId="51116970" w14:textId="1CA87962" w:rsidR="00DA71E6" w:rsidRPr="003E7DFF" w:rsidRDefault="0078037F" w:rsidP="00DA71E6">
            <w:pPr>
              <w:jc w:val="center"/>
              <w:rPr>
                <w:rFonts w:cs="Arial"/>
                <w:iCs/>
                <w:sz w:val="16"/>
                <w:szCs w:val="16"/>
              </w:rPr>
            </w:pPr>
            <m:oMathPara>
              <m:oMath>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7</m:t>
                    </m:r>
                  </m:sub>
                </m:sSub>
                <m:r>
                  <m:rPr>
                    <m:sty m:val="p"/>
                  </m:rPr>
                  <w:rPr>
                    <w:rFonts w:ascii="Cambria Math" w:eastAsia="Calibri" w:hAnsi="Cambria Math"/>
                    <w:sz w:val="16"/>
                    <w:szCs w:val="16"/>
                  </w:rPr>
                  <m:t>=</m:t>
                </m:r>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6</m:t>
                    </m:r>
                  </m:sub>
                </m:sSub>
              </m:oMath>
            </m:oMathPara>
          </w:p>
          <w:p w14:paraId="2DB416D7" w14:textId="2ACB689A" w:rsidR="00ED15BA" w:rsidRPr="003E7DFF" w:rsidRDefault="0078037F" w:rsidP="00DA71E6">
            <w:pPr>
              <w:jc w:val="center"/>
              <w:rPr>
                <w:rFonts w:cs="Arial"/>
                <w:iCs/>
                <w:sz w:val="16"/>
                <w:szCs w:val="16"/>
              </w:rPr>
            </w:pPr>
            <m:oMathPara>
              <m:oMath>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9</m:t>
                    </m:r>
                  </m:sub>
                </m:sSub>
                <m:r>
                  <m:rPr>
                    <m:sty m:val="p"/>
                  </m:rPr>
                  <w:rPr>
                    <w:rFonts w:ascii="Cambria Math" w:eastAsia="Calibri" w:hAnsi="Cambria Math"/>
                    <w:sz w:val="16"/>
                    <w:szCs w:val="16"/>
                  </w:rPr>
                  <m:t>=</m:t>
                </m:r>
                <m:sSub>
                  <m:sSubPr>
                    <m:ctrlPr>
                      <w:rPr>
                        <w:rFonts w:ascii="Cambria Math" w:eastAsia="Calibri" w:hAnsi="Cambria Math"/>
                        <w:iCs/>
                        <w:sz w:val="16"/>
                        <w:szCs w:val="16"/>
                      </w:rPr>
                    </m:ctrlPr>
                  </m:sSubPr>
                  <m:e>
                    <m:r>
                      <m:rPr>
                        <m:sty m:val="p"/>
                      </m:rPr>
                      <w:rPr>
                        <w:rFonts w:ascii="Cambria Math" w:eastAsia="Calibri" w:hAnsi="Cambria Math"/>
                        <w:sz w:val="16"/>
                        <w:szCs w:val="16"/>
                      </w:rPr>
                      <m:t>c</m:t>
                    </m:r>
                  </m:e>
                  <m:sub>
                    <m:r>
                      <m:rPr>
                        <m:sty m:val="p"/>
                      </m:rPr>
                      <w:rPr>
                        <w:rFonts w:ascii="Cambria Math" w:eastAsia="Calibri" w:hAnsi="Cambria Math"/>
                        <w:sz w:val="16"/>
                        <w:szCs w:val="16"/>
                      </w:rPr>
                      <m:t>8</m:t>
                    </m:r>
                  </m:sub>
                </m:sSub>
              </m:oMath>
            </m:oMathPara>
          </w:p>
        </w:tc>
      </w:tr>
      <w:tr w:rsidR="00812938" w:rsidRPr="003E7DFF" w14:paraId="31011944" w14:textId="77777777" w:rsidTr="00812938">
        <w:tc>
          <w:tcPr>
            <w:tcW w:w="1418" w:type="dxa"/>
            <w:tcBorders>
              <w:top w:val="single" w:sz="4" w:space="0" w:color="008000"/>
              <w:bottom w:val="single" w:sz="12" w:space="0" w:color="008000"/>
            </w:tcBorders>
            <w:shd w:val="clear" w:color="auto" w:fill="FFFFFF"/>
          </w:tcPr>
          <w:p w14:paraId="6F9794A2" w14:textId="4EBC1842" w:rsidR="00812938" w:rsidRPr="003E7DFF" w:rsidRDefault="00812938" w:rsidP="00DA71E6">
            <w:pPr>
              <w:pStyle w:val="CETBodytext"/>
            </w:pPr>
            <w:r w:rsidRPr="003E7DFF">
              <w:t>Overall system</w:t>
            </w:r>
          </w:p>
        </w:tc>
        <w:tc>
          <w:tcPr>
            <w:tcW w:w="7230" w:type="dxa"/>
            <w:gridSpan w:val="5"/>
            <w:tcBorders>
              <w:top w:val="single" w:sz="4" w:space="0" w:color="008000"/>
              <w:bottom w:val="single" w:sz="12" w:space="0" w:color="008000"/>
            </w:tcBorders>
            <w:shd w:val="clear" w:color="auto" w:fill="FFFFFF"/>
          </w:tcPr>
          <w:p w14:paraId="6B4561C8" w14:textId="77777777" w:rsidR="00812938" w:rsidRPr="003E7DFF" w:rsidRDefault="0078037F" w:rsidP="00812938">
            <w:pPr>
              <w:pStyle w:val="CETBodytext"/>
              <w:ind w:right="-1"/>
              <w:jc w:val="center"/>
              <w:rPr>
                <w:rFonts w:cs="Arial"/>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F</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U-101</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W</m:t>
                        </m:r>
                      </m:e>
                    </m:acc>
                  </m:e>
                  <m:sub>
                    <m:r>
                      <m:rPr>
                        <m:sty m:val="p"/>
                      </m:rPr>
                      <w:rPr>
                        <w:rFonts w:ascii="Cambria Math" w:hAnsi="Cambria Math"/>
                        <w:sz w:val="16"/>
                        <w:szCs w:val="16"/>
                      </w:rPr>
                      <m:t>EV-101</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4</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2</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7</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9</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8</m:t>
                    </m:r>
                  </m:sub>
                </m:sSub>
              </m:oMath>
            </m:oMathPara>
          </w:p>
          <w:p w14:paraId="40986254" w14:textId="5FC5199C" w:rsidR="00812938" w:rsidRPr="003E7DFF" w:rsidRDefault="0078037F" w:rsidP="00812938">
            <w:pPr>
              <w:jc w:val="center"/>
              <w:rPr>
                <w:rFonts w:cs="Arial"/>
                <w:iCs/>
                <w:sz w:val="16"/>
                <w:szCs w:val="16"/>
              </w:rPr>
            </w:pPr>
            <m:oMathPara>
              <m:oMath>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P</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E</m:t>
                        </m:r>
                      </m:e>
                    </m:acc>
                  </m:e>
                  <m:sub>
                    <m:r>
                      <m:rPr>
                        <m:sty m:val="p"/>
                      </m:rPr>
                      <w:rPr>
                        <w:rFonts w:ascii="Cambria Math" w:hAnsi="Cambria Math"/>
                        <w:sz w:val="16"/>
                        <w:szCs w:val="16"/>
                      </w:rPr>
                      <m:t>6</m:t>
                    </m:r>
                  </m:sub>
                </m:sSub>
              </m:oMath>
            </m:oMathPara>
          </w:p>
        </w:tc>
      </w:tr>
    </w:tbl>
    <w:p w14:paraId="7655809C" w14:textId="77777777" w:rsidR="003D609A" w:rsidRPr="003E7DFF" w:rsidRDefault="003D609A" w:rsidP="003D609A">
      <w:pPr>
        <w:pStyle w:val="CETHeading1"/>
      </w:pPr>
      <w:r w:rsidRPr="003E7DFF">
        <w:lastRenderedPageBreak/>
        <w:t>Results and discussion</w:t>
      </w:r>
    </w:p>
    <w:p w14:paraId="4933DA81" w14:textId="12BDCFE8" w:rsidR="003D609A" w:rsidRPr="003E7DFF" w:rsidRDefault="003D609A" w:rsidP="003D609A">
      <w:pPr>
        <w:pStyle w:val="CETheadingx"/>
      </w:pPr>
      <w:r w:rsidRPr="003E7DFF">
        <w:t>Experimental studies</w:t>
      </w:r>
    </w:p>
    <w:p w14:paraId="499050AE" w14:textId="25E5ABA6" w:rsidR="00B75218" w:rsidRPr="003E7DFF" w:rsidRDefault="00A261E5" w:rsidP="00E82663">
      <w:pPr>
        <w:pStyle w:val="CETBodytext"/>
      </w:pPr>
      <w:r w:rsidRPr="003E7DFF">
        <w:rPr>
          <w:noProof/>
        </w:rPr>
        <w:drawing>
          <wp:anchor distT="0" distB="0" distL="114300" distR="114300" simplePos="0" relativeHeight="251658240" behindDoc="0" locked="0" layoutInCell="1" allowOverlap="1" wp14:anchorId="63FE114A" wp14:editId="4337D1C4">
            <wp:simplePos x="0" y="0"/>
            <wp:positionH relativeFrom="column">
              <wp:posOffset>41967</wp:posOffset>
            </wp:positionH>
            <wp:positionV relativeFrom="paragraph">
              <wp:posOffset>1057275</wp:posOffset>
            </wp:positionV>
            <wp:extent cx="2479040" cy="1529715"/>
            <wp:effectExtent l="0" t="0" r="0" b="0"/>
            <wp:wrapSquare wrapText="bothSides"/>
            <wp:docPr id="19" name="Gráfico 19">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D1079" w:rsidRPr="003E7DFF">
        <w:t xml:space="preserve">Figure </w:t>
      </w:r>
      <w:r w:rsidR="003E1299" w:rsidRPr="003E7DFF">
        <w:t>2</w:t>
      </w:r>
      <w:r w:rsidR="003F494F" w:rsidRPr="003E7DFF">
        <w:t xml:space="preserve"> a)</w:t>
      </w:r>
      <w:r w:rsidR="0044657C" w:rsidRPr="003E7DFF">
        <w:t xml:space="preserve"> </w:t>
      </w:r>
      <w:r w:rsidR="00FF11CB" w:rsidRPr="003E7DFF">
        <w:t>shows</w:t>
      </w:r>
      <w:r w:rsidR="0044657C" w:rsidRPr="003E7DFF">
        <w:t xml:space="preserve"> the </w:t>
      </w:r>
      <w:r w:rsidR="00EC4A76" w:rsidRPr="003E7DFF">
        <w:t xml:space="preserve">oil extraction </w:t>
      </w:r>
      <w:r w:rsidR="0044657C" w:rsidRPr="003E7DFF">
        <w:t>yield</w:t>
      </w:r>
      <w:r w:rsidR="00FF11CB" w:rsidRPr="003E7DFF">
        <w:t xml:space="preserve"> </w:t>
      </w:r>
      <w:r w:rsidR="00EC4A76" w:rsidRPr="003E7DFF">
        <w:t>for the</w:t>
      </w:r>
      <w:r w:rsidR="0044657C" w:rsidRPr="003E7DFF">
        <w:t xml:space="preserve"> UAE </w:t>
      </w:r>
      <w:r w:rsidR="00EC4A76" w:rsidRPr="003E7DFF">
        <w:t>process</w:t>
      </w:r>
      <w:r w:rsidR="0044657C" w:rsidRPr="003E7DFF">
        <w:t xml:space="preserve"> at different </w:t>
      </w:r>
      <w:r w:rsidR="00FC1ADA" w:rsidRPr="003E7DFF">
        <w:t>Hexane to SCGs</w:t>
      </w:r>
      <w:r w:rsidR="001840C5" w:rsidRPr="003E7DFF">
        <w:t xml:space="preserve"> </w:t>
      </w:r>
      <w:r w:rsidR="0044657C" w:rsidRPr="003E7DFF">
        <w:t>ratio</w:t>
      </w:r>
      <w:r w:rsidR="00EC4A76" w:rsidRPr="003E7DFF">
        <w:t>s</w:t>
      </w:r>
      <w:r w:rsidR="003F494F" w:rsidRPr="003E7DFF">
        <w:t>.</w:t>
      </w:r>
      <w:r w:rsidR="00DF47AA" w:rsidRPr="003E7DFF">
        <w:t xml:space="preserve"> </w:t>
      </w:r>
      <w:r w:rsidR="00EC4A76" w:rsidRPr="003E7DFF">
        <w:t xml:space="preserve">It is observed that the increase </w:t>
      </w:r>
      <w:r w:rsidR="00EC4A76" w:rsidRPr="00A7675B">
        <w:rPr>
          <w:color w:val="000000" w:themeColor="text1"/>
        </w:rPr>
        <w:t xml:space="preserve">of the Hexane to SCGs ratio from </w:t>
      </w:r>
      <w:r w:rsidR="003F494F" w:rsidRPr="00A7675B">
        <w:rPr>
          <w:color w:val="000000" w:themeColor="text1"/>
        </w:rPr>
        <w:t xml:space="preserve">5 mL/g </w:t>
      </w:r>
      <w:r w:rsidR="00EC4A76" w:rsidRPr="00A7675B">
        <w:rPr>
          <w:color w:val="000000" w:themeColor="text1"/>
        </w:rPr>
        <w:t>to</w:t>
      </w:r>
      <w:r w:rsidR="003F494F" w:rsidRPr="00A7675B">
        <w:rPr>
          <w:color w:val="000000" w:themeColor="text1"/>
        </w:rPr>
        <w:t xml:space="preserve"> 20 mL/g</w:t>
      </w:r>
      <w:r w:rsidR="00EC4A76" w:rsidRPr="00A7675B">
        <w:rPr>
          <w:color w:val="000000" w:themeColor="text1"/>
        </w:rPr>
        <w:t>, increase</w:t>
      </w:r>
      <w:r w:rsidR="06C5CBCC" w:rsidRPr="00A7675B">
        <w:rPr>
          <w:color w:val="000000" w:themeColor="text1"/>
        </w:rPr>
        <w:t>s</w:t>
      </w:r>
      <w:r w:rsidR="00EC4A76" w:rsidRPr="00A7675B">
        <w:rPr>
          <w:color w:val="000000" w:themeColor="text1"/>
        </w:rPr>
        <w:t xml:space="preserve"> the oil extraction yield from</w:t>
      </w:r>
      <w:r w:rsidR="003F494F" w:rsidRPr="00A7675B">
        <w:rPr>
          <w:color w:val="000000" w:themeColor="text1"/>
        </w:rPr>
        <w:t xml:space="preserve"> 10.5</w:t>
      </w:r>
      <w:r w:rsidR="00804235" w:rsidRPr="00A7675B">
        <w:rPr>
          <w:color w:val="000000" w:themeColor="text1"/>
        </w:rPr>
        <w:t xml:space="preserve"> </w:t>
      </w:r>
      <w:r w:rsidR="003F494F" w:rsidRPr="00A7675B">
        <w:rPr>
          <w:color w:val="000000" w:themeColor="text1"/>
        </w:rPr>
        <w:t xml:space="preserve">% </w:t>
      </w:r>
      <w:r w:rsidR="00EC4A76" w:rsidRPr="00A7675B">
        <w:rPr>
          <w:color w:val="000000" w:themeColor="text1"/>
        </w:rPr>
        <w:t>to</w:t>
      </w:r>
      <w:r w:rsidR="003F494F" w:rsidRPr="00A7675B">
        <w:rPr>
          <w:color w:val="000000" w:themeColor="text1"/>
        </w:rPr>
        <w:t xml:space="preserve"> 18.8</w:t>
      </w:r>
      <w:r w:rsidR="00804235" w:rsidRPr="00A7675B">
        <w:rPr>
          <w:color w:val="000000" w:themeColor="text1"/>
        </w:rPr>
        <w:t xml:space="preserve"> </w:t>
      </w:r>
      <w:r w:rsidR="003F494F" w:rsidRPr="00A7675B">
        <w:rPr>
          <w:color w:val="000000" w:themeColor="text1"/>
        </w:rPr>
        <w:t xml:space="preserve">%. </w:t>
      </w:r>
      <w:r w:rsidR="00EC4A76" w:rsidRPr="00A7675B">
        <w:rPr>
          <w:color w:val="000000" w:themeColor="text1"/>
        </w:rPr>
        <w:t xml:space="preserve">In addition, </w:t>
      </w:r>
      <w:r w:rsidR="003F494F" w:rsidRPr="00A7675B">
        <w:rPr>
          <w:color w:val="000000" w:themeColor="text1"/>
        </w:rPr>
        <w:t>Figur</w:t>
      </w:r>
      <w:r w:rsidR="00EC4A76" w:rsidRPr="00A7675B">
        <w:rPr>
          <w:color w:val="000000" w:themeColor="text1"/>
        </w:rPr>
        <w:t>e</w:t>
      </w:r>
      <w:r w:rsidR="003F494F" w:rsidRPr="00A7675B">
        <w:rPr>
          <w:color w:val="000000" w:themeColor="text1"/>
        </w:rPr>
        <w:t xml:space="preserve"> b)</w:t>
      </w:r>
      <w:r w:rsidR="00FC1ADA" w:rsidRPr="00A7675B">
        <w:rPr>
          <w:color w:val="000000" w:themeColor="text1"/>
        </w:rPr>
        <w:t xml:space="preserve"> </w:t>
      </w:r>
      <w:r w:rsidR="00EC4A76" w:rsidRPr="00A7675B">
        <w:rPr>
          <w:color w:val="000000" w:themeColor="text1"/>
        </w:rPr>
        <w:t xml:space="preserve">shows the results from literature </w:t>
      </w:r>
      <w:r w:rsidR="00804235" w:rsidRPr="00A7675B">
        <w:rPr>
          <w:color w:val="000000" w:themeColor="text1"/>
        </w:rPr>
        <w:fldChar w:fldCharType="begin" w:fldLock="1"/>
      </w:r>
      <w:r w:rsidR="00A7675B">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w:instrText>
      </w:r>
      <w:r w:rsidR="00A7675B" w:rsidRPr="00A7675B">
        <w:rPr>
          <w:color w:val="000000" w:themeColor="text1"/>
          <w:lang w:val="es-ES"/>
        </w:rPr>
        <w:instrText>,"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5d5fcfff-a214-48d3-bf91-0e30aac090ef"]}],"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804235" w:rsidRPr="00A7675B">
        <w:rPr>
          <w:noProof/>
          <w:color w:val="000000" w:themeColor="text1"/>
          <w:lang w:val="es-ES"/>
        </w:rPr>
        <w:t>(Al-Hamamre et al., 2012; Le et al., 2017)</w:t>
      </w:r>
      <w:r w:rsidR="00804235" w:rsidRPr="00A7675B">
        <w:rPr>
          <w:color w:val="000000" w:themeColor="text1"/>
        </w:rPr>
        <w:fldChar w:fldCharType="end"/>
      </w:r>
      <w:r w:rsidR="00804235" w:rsidRPr="00A7675B">
        <w:rPr>
          <w:color w:val="000000" w:themeColor="text1"/>
          <w:lang w:val="es-ES"/>
        </w:rPr>
        <w:t xml:space="preserve"> f</w:t>
      </w:r>
      <w:r w:rsidR="00EC4A76" w:rsidRPr="00A7675B">
        <w:rPr>
          <w:color w:val="000000" w:themeColor="text1"/>
          <w:lang w:val="es-ES"/>
        </w:rPr>
        <w:t>or the SE process</w:t>
      </w:r>
      <w:r w:rsidR="00EC4A76" w:rsidRPr="003575D5">
        <w:rPr>
          <w:color w:val="000000" w:themeColor="text1"/>
          <w:lang w:val="es-ES"/>
        </w:rPr>
        <w:t xml:space="preserve">. </w:t>
      </w:r>
      <w:r w:rsidR="00EC4A76" w:rsidRPr="003E7DFF">
        <w:t xml:space="preserve">It is observed that the highest yield is obtained at </w:t>
      </w:r>
      <w:r w:rsidR="00FC1ADA" w:rsidRPr="003E7DFF">
        <w:t>15 mL/g (17</w:t>
      </w:r>
      <w:r w:rsidR="008B70F7">
        <w:t xml:space="preserve"> </w:t>
      </w:r>
      <w:r w:rsidR="00FC1ADA" w:rsidRPr="003E7DFF">
        <w:t xml:space="preserve">%) </w:t>
      </w:r>
      <w:r w:rsidR="00EC4A76" w:rsidRPr="003E7DFF">
        <w:t xml:space="preserve">and at </w:t>
      </w:r>
      <w:r w:rsidR="0067027A" w:rsidRPr="00907A2D">
        <w:t>20 mL/g</w:t>
      </w:r>
      <w:r w:rsidR="00FC1ADA" w:rsidRPr="00907A2D">
        <w:t xml:space="preserve"> </w:t>
      </w:r>
      <w:r w:rsidR="00EC4A76" w:rsidRPr="00907A2D">
        <w:t xml:space="preserve">the yield decreases, even less than the UAE </w:t>
      </w:r>
      <w:r w:rsidR="00C47920" w:rsidRPr="00907A2D">
        <w:t>process</w:t>
      </w:r>
      <w:r w:rsidR="00EC4A76" w:rsidRPr="00907A2D">
        <w:t>. It can be noted</w:t>
      </w:r>
      <w:r w:rsidR="00C47920" w:rsidRPr="00907A2D">
        <w:t xml:space="preserve"> that</w:t>
      </w:r>
      <w:r w:rsidR="265F3080" w:rsidRPr="00907A2D">
        <w:t xml:space="preserve"> </w:t>
      </w:r>
      <w:r w:rsidR="00C47920" w:rsidRPr="00907A2D">
        <w:t>the u</w:t>
      </w:r>
      <w:r w:rsidR="00C47920" w:rsidRPr="00907A2D">
        <w:rPr>
          <w:color w:val="000000" w:themeColor="text1"/>
        </w:rPr>
        <w:t>se of</w:t>
      </w:r>
      <w:r w:rsidR="00C313DA" w:rsidRPr="00907A2D">
        <w:rPr>
          <w:color w:val="000000" w:themeColor="text1"/>
        </w:rPr>
        <w:t xml:space="preserve"> </w:t>
      </w:r>
      <w:r w:rsidR="002677BF" w:rsidRPr="00907A2D">
        <w:rPr>
          <w:color w:val="000000" w:themeColor="text1"/>
        </w:rPr>
        <w:t>ultrasound</w:t>
      </w:r>
      <w:r w:rsidR="00C313DA" w:rsidRPr="00907A2D">
        <w:rPr>
          <w:color w:val="000000" w:themeColor="text1"/>
        </w:rPr>
        <w:t xml:space="preserve"> waves</w:t>
      </w:r>
      <w:r w:rsidR="004150D8" w:rsidRPr="00907A2D">
        <w:rPr>
          <w:color w:val="000000" w:themeColor="text1"/>
        </w:rPr>
        <w:t xml:space="preserve"> </w:t>
      </w:r>
      <w:r w:rsidR="001A0551" w:rsidRPr="00907A2D">
        <w:t>is more efficient</w:t>
      </w:r>
      <w:r w:rsidR="001A0551" w:rsidRPr="00907A2D">
        <w:rPr>
          <w:color w:val="000000" w:themeColor="text1"/>
        </w:rPr>
        <w:t xml:space="preserve"> </w:t>
      </w:r>
      <w:r w:rsidR="00C47920" w:rsidRPr="00907A2D">
        <w:rPr>
          <w:color w:val="000000" w:themeColor="text1"/>
        </w:rPr>
        <w:t xml:space="preserve">because </w:t>
      </w:r>
      <w:r w:rsidR="5311DD4D" w:rsidRPr="00907A2D">
        <w:rPr>
          <w:color w:val="000000" w:themeColor="text1"/>
        </w:rPr>
        <w:t>they</w:t>
      </w:r>
      <w:r w:rsidR="00C47920" w:rsidRPr="00907A2D">
        <w:rPr>
          <w:color w:val="000000" w:themeColor="text1"/>
        </w:rPr>
        <w:t xml:space="preserve"> </w:t>
      </w:r>
      <w:r w:rsidR="00C313DA" w:rsidRPr="00907A2D">
        <w:rPr>
          <w:color w:val="000000" w:themeColor="text1"/>
        </w:rPr>
        <w:t>produce the</w:t>
      </w:r>
      <w:r w:rsidR="00C47920" w:rsidRPr="00907A2D">
        <w:rPr>
          <w:color w:val="000000" w:themeColor="text1"/>
        </w:rPr>
        <w:t xml:space="preserve"> </w:t>
      </w:r>
      <w:r w:rsidR="00C313DA" w:rsidRPr="00907A2D">
        <w:rPr>
          <w:rFonts w:cs="Arial"/>
          <w:color w:val="000000" w:themeColor="text1"/>
        </w:rPr>
        <w:t>destruction of cell membranes</w:t>
      </w:r>
      <w:r w:rsidR="00C313DA" w:rsidRPr="00907A2D">
        <w:rPr>
          <w:color w:val="000000" w:themeColor="text1"/>
        </w:rPr>
        <w:t xml:space="preserve"> of </w:t>
      </w:r>
      <w:r w:rsidR="3022862B" w:rsidRPr="00907A2D">
        <w:rPr>
          <w:color w:val="000000" w:themeColor="text1"/>
        </w:rPr>
        <w:t>the so</w:t>
      </w:r>
      <w:r w:rsidR="00A964C5" w:rsidRPr="00907A2D">
        <w:rPr>
          <w:color w:val="000000" w:themeColor="text1"/>
        </w:rPr>
        <w:t>li</w:t>
      </w:r>
      <w:r w:rsidR="3022862B" w:rsidRPr="00907A2D">
        <w:rPr>
          <w:color w:val="000000" w:themeColor="text1"/>
        </w:rPr>
        <w:t>d</w:t>
      </w:r>
      <w:r w:rsidR="00C313DA" w:rsidRPr="00907A2D">
        <w:rPr>
          <w:color w:val="000000" w:themeColor="text1"/>
        </w:rPr>
        <w:t xml:space="preserve"> </w:t>
      </w:r>
      <w:r w:rsidR="19D17AFE" w:rsidRPr="00907A2D">
        <w:rPr>
          <w:color w:val="000000" w:themeColor="text1"/>
        </w:rPr>
        <w:t>to</w:t>
      </w:r>
      <w:r w:rsidR="00C47920" w:rsidRPr="00907A2D">
        <w:rPr>
          <w:color w:val="000000" w:themeColor="text1"/>
        </w:rPr>
        <w:t xml:space="preserve"> </w:t>
      </w:r>
      <w:r w:rsidR="00C47920" w:rsidRPr="00907A2D">
        <w:t>extract the intracellular</w:t>
      </w:r>
      <w:r w:rsidR="00C47920" w:rsidRPr="003E7DFF">
        <w:t xml:space="preserve"> oil</w:t>
      </w:r>
      <w:r w:rsidR="00787C2C" w:rsidRPr="003E7DFF">
        <w:t xml:space="preserve"> </w:t>
      </w:r>
      <w:r w:rsidR="00E37D00" w:rsidRPr="003E7DFF">
        <w:fldChar w:fldCharType="begin" w:fldLock="1"/>
      </w:r>
      <w:r w:rsidR="00A7675B">
        <w:instrText>ADDIN CSL_CITATION {"citationItems":[{"id":"ITEM-1","itemData":{"ISBN":"9780123813749","abstract":"This chapter is a review on solvent-based extraction techniques for the determination of pesticides in different food matrices. Extraction can be categorized as conventional solvent extraction with acetonitrile, acetone, and ethyl acetate as primary solvents or energy-assisted extraction techniques such as pressurized liquid extraction, microwave assisted- and ultrasound-assisted liquid extraction. Discussion is based on these techniques as well as their applications on different food matrices, with an emphasis on multi-residue pesticide analysis. © 2011 Copyright","author":[{"dropping-particle":"","family":"Zhang","given":"K.","non-dropping-particle":"","parse-names":false,"suffix":""},{"dropping-particle":"","family":"Wong","given":"J. W.","non-dropping-particle":"","parse-names":false,"suffix":""}],"container-title":"Comprehensive Sampling and Sample Preparation: Analytical Techniques for Scientists","id":"ITEM-1","issued":{"date-parts":[["2012"]]},"number-of-pages":"245-261","publisher":"Elsevier","title":"Solvent-based extraction techniques for the determination of pesticides in food","type":"book","volume":"4"},"uris":["http://www.mendeley.com/documents/?uuid=203ef616-397c-4cde-b7e0-988c711b7e41","http://www.mendeley.com/documents/?uuid=8d6f2bb6-db8f-4d6f-bc7b-022182dbaaeb"]}],"mendeley":{"formattedCitation":"(Zhang and Wong, 2012)","plainTextFormattedCitation":"(Zhang and Wong, 2012)","previouslyFormattedCitation":"(Zhang and Wong, 2012)"},"properties":{"noteIndex":0},"schema":"https://github.com/citation-style-language/schema/raw/master/csl-citation.json"}</w:instrText>
      </w:r>
      <w:r w:rsidR="00E37D00" w:rsidRPr="003E7DFF">
        <w:fldChar w:fldCharType="separate"/>
      </w:r>
      <w:r w:rsidR="00E37D00" w:rsidRPr="003E7DFF">
        <w:rPr>
          <w:noProof/>
        </w:rPr>
        <w:t>(Zhang and Wong, 2012)</w:t>
      </w:r>
      <w:r w:rsidR="00E37D00" w:rsidRPr="003E7DFF">
        <w:fldChar w:fldCharType="end"/>
      </w:r>
      <w:r w:rsidR="00E37D00" w:rsidRPr="003E7DFF">
        <w:t>.</w:t>
      </w:r>
      <w:r w:rsidR="00C47920" w:rsidRPr="003E7DFF">
        <w:t xml:space="preserve"> While the Soxhlet process used</w:t>
      </w:r>
      <w:r w:rsidR="1271FC4B">
        <w:t xml:space="preserve"> </w:t>
      </w:r>
      <w:r w:rsidR="00C47920">
        <w:t>convection heating</w:t>
      </w:r>
      <w:r w:rsidR="00C47920" w:rsidRPr="003E7DFF">
        <w:t xml:space="preserve"> </w:t>
      </w:r>
      <w:r w:rsidR="70EC452A">
        <w:t xml:space="preserve">for </w:t>
      </w:r>
      <w:r w:rsidR="00C47920">
        <w:t>the oi</w:t>
      </w:r>
      <w:r w:rsidR="509BFF04">
        <w:t>l</w:t>
      </w:r>
      <w:r w:rsidR="00C47920">
        <w:t xml:space="preserve"> e</w:t>
      </w:r>
      <w:r w:rsidR="509BFF04">
        <w:t>xtr</w:t>
      </w:r>
      <w:r w:rsidR="00C47920">
        <w:t>a</w:t>
      </w:r>
      <w:r w:rsidR="509BFF04">
        <w:t>c</w:t>
      </w:r>
      <w:r w:rsidR="00C47920">
        <w:t>ti</w:t>
      </w:r>
      <w:r w:rsidR="509BFF04">
        <w:t>o</w:t>
      </w:r>
      <w:r w:rsidR="00C47920">
        <w:t>n.</w:t>
      </w:r>
    </w:p>
    <w:p w14:paraId="166363C1" w14:textId="4E2381CF" w:rsidR="007C0CC7" w:rsidRPr="003E7DFF" w:rsidRDefault="00A261E5" w:rsidP="00895C45">
      <w:pPr>
        <w:pStyle w:val="CETBodytext"/>
        <w:rPr>
          <w:rStyle w:val="CETCaptionCarattere"/>
          <w:lang w:val="en-US"/>
        </w:rPr>
      </w:pPr>
      <w:r w:rsidRPr="003E7DFF">
        <w:rPr>
          <w:noProof/>
        </w:rPr>
        <w:drawing>
          <wp:anchor distT="0" distB="0" distL="114300" distR="114300" simplePos="0" relativeHeight="251658241" behindDoc="0" locked="0" layoutInCell="1" allowOverlap="1" wp14:anchorId="0ED22617" wp14:editId="7D3FED59">
            <wp:simplePos x="0" y="0"/>
            <wp:positionH relativeFrom="column">
              <wp:posOffset>2740044</wp:posOffset>
            </wp:positionH>
            <wp:positionV relativeFrom="paragraph">
              <wp:posOffset>27305</wp:posOffset>
            </wp:positionV>
            <wp:extent cx="2400300" cy="1546860"/>
            <wp:effectExtent l="0" t="0" r="0" b="0"/>
            <wp:wrapSquare wrapText="bothSides"/>
            <wp:docPr id="27" name="Gráfico 27">
              <a:extLst xmlns:a="http://schemas.openxmlformats.org/drawingml/2006/main">
                <a:ext uri="{FF2B5EF4-FFF2-40B4-BE49-F238E27FC236}">
                  <a16:creationId xmlns:a16="http://schemas.microsoft.com/office/drawing/2014/main" id="{7C0ED773-9B44-43F3-ABA7-E98976017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5630C62" w14:textId="3C7083D2" w:rsidR="00980B7B" w:rsidRDefault="00980B7B" w:rsidP="00895C45">
      <w:pPr>
        <w:pStyle w:val="CETBodytext"/>
        <w:rPr>
          <w:rStyle w:val="CETCaptionCarattere"/>
          <w:lang w:val="en-US"/>
        </w:rPr>
      </w:pPr>
    </w:p>
    <w:p w14:paraId="4F086D41" w14:textId="3C7083D2" w:rsidR="00980B7B" w:rsidRDefault="00980B7B" w:rsidP="00895C45">
      <w:pPr>
        <w:pStyle w:val="CETBodytext"/>
        <w:rPr>
          <w:rStyle w:val="CETCaptionCarattere"/>
          <w:lang w:val="en-US"/>
        </w:rPr>
      </w:pPr>
    </w:p>
    <w:p w14:paraId="67325408" w14:textId="3C7083D2" w:rsidR="00980B7B" w:rsidRDefault="00980B7B" w:rsidP="00895C45">
      <w:pPr>
        <w:pStyle w:val="CETBodytext"/>
        <w:rPr>
          <w:rStyle w:val="CETCaptionCarattere"/>
          <w:lang w:val="en-US"/>
        </w:rPr>
      </w:pPr>
    </w:p>
    <w:p w14:paraId="64A7069A" w14:textId="3C7083D2" w:rsidR="00980B7B" w:rsidRDefault="00980B7B" w:rsidP="00895C45">
      <w:pPr>
        <w:pStyle w:val="CETBodytext"/>
        <w:rPr>
          <w:rStyle w:val="CETCaptionCarattere"/>
          <w:lang w:val="en-US"/>
        </w:rPr>
      </w:pPr>
    </w:p>
    <w:p w14:paraId="1F75E2FC" w14:textId="3C7083D2" w:rsidR="00980B7B" w:rsidRDefault="00980B7B" w:rsidP="00895C45">
      <w:pPr>
        <w:pStyle w:val="CETBodytext"/>
        <w:rPr>
          <w:rStyle w:val="CETCaptionCarattere"/>
          <w:lang w:val="en-US"/>
        </w:rPr>
      </w:pPr>
    </w:p>
    <w:p w14:paraId="54445B8A" w14:textId="3C7083D2" w:rsidR="00980B7B" w:rsidRDefault="00980B7B" w:rsidP="00895C45">
      <w:pPr>
        <w:pStyle w:val="CETBodytext"/>
        <w:rPr>
          <w:rStyle w:val="CETCaptionCarattere"/>
          <w:lang w:val="en-US"/>
        </w:rPr>
      </w:pPr>
    </w:p>
    <w:p w14:paraId="77BA4F50" w14:textId="3C7083D2" w:rsidR="00980B7B" w:rsidRDefault="00980B7B" w:rsidP="00895C45">
      <w:pPr>
        <w:pStyle w:val="CETBodytext"/>
        <w:rPr>
          <w:rStyle w:val="CETCaptionCarattere"/>
          <w:lang w:val="en-US"/>
        </w:rPr>
      </w:pPr>
    </w:p>
    <w:p w14:paraId="277670E6" w14:textId="3C7083D2" w:rsidR="00980B7B" w:rsidRDefault="00980B7B" w:rsidP="00895C45">
      <w:pPr>
        <w:pStyle w:val="CETBodytext"/>
        <w:rPr>
          <w:rStyle w:val="CETCaptionCarattere"/>
          <w:lang w:val="en-US"/>
        </w:rPr>
      </w:pPr>
    </w:p>
    <w:p w14:paraId="7D50F940" w14:textId="3C7083D2" w:rsidR="00980B7B" w:rsidRDefault="00980B7B" w:rsidP="00895C45">
      <w:pPr>
        <w:pStyle w:val="CETBodytext"/>
        <w:rPr>
          <w:rStyle w:val="CETCaptionCarattere"/>
          <w:lang w:val="en-US"/>
        </w:rPr>
      </w:pPr>
    </w:p>
    <w:p w14:paraId="7C17B279" w14:textId="77777777" w:rsidR="00123CEF" w:rsidRDefault="00123CEF" w:rsidP="00895C45">
      <w:pPr>
        <w:pStyle w:val="CETBodytext"/>
        <w:rPr>
          <w:rStyle w:val="CETCaptionCarattere"/>
          <w:lang w:val="en-US"/>
        </w:rPr>
      </w:pPr>
    </w:p>
    <w:p w14:paraId="50B6CB00" w14:textId="454D9D4C" w:rsidR="00895C45" w:rsidRPr="00A7675B" w:rsidRDefault="00895C45" w:rsidP="00895C45">
      <w:pPr>
        <w:pStyle w:val="CETBodytext"/>
        <w:rPr>
          <w:color w:val="000000" w:themeColor="text1"/>
        </w:rPr>
      </w:pPr>
      <w:r w:rsidRPr="003E7DFF">
        <w:rPr>
          <w:rStyle w:val="CETCaptionCarattere"/>
          <w:lang w:val="en-US"/>
        </w:rPr>
        <w:t xml:space="preserve">Figure </w:t>
      </w:r>
      <w:r w:rsidR="003E1299" w:rsidRPr="003E7DFF">
        <w:rPr>
          <w:rStyle w:val="CETCaptionCarattere"/>
          <w:lang w:val="en-US"/>
        </w:rPr>
        <w:t>2</w:t>
      </w:r>
      <w:r w:rsidRPr="003E7DFF">
        <w:rPr>
          <w:rStyle w:val="CETCaptionCarattere"/>
          <w:lang w:val="en-US"/>
        </w:rPr>
        <w:t>: The effect of Hexane to SCGs ratio</w:t>
      </w:r>
      <w:r w:rsidR="00CF54BB" w:rsidRPr="003E7DFF">
        <w:rPr>
          <w:rStyle w:val="CETCaptionCarattere"/>
          <w:lang w:val="en-US"/>
        </w:rPr>
        <w:t xml:space="preserve"> </w:t>
      </w:r>
      <w:r w:rsidR="3FE6D9EA" w:rsidRPr="35EEC1D6">
        <w:rPr>
          <w:rStyle w:val="CETCaptionCarattere"/>
          <w:lang w:val="en-US"/>
        </w:rPr>
        <w:t>on</w:t>
      </w:r>
      <w:r w:rsidR="00CF54BB" w:rsidRPr="003E7DFF">
        <w:rPr>
          <w:rStyle w:val="CETCaptionCarattere"/>
          <w:lang w:val="en-US"/>
        </w:rPr>
        <w:t xml:space="preserve"> the oil yield </w:t>
      </w:r>
      <w:r w:rsidR="6D619419" w:rsidRPr="35EEC1D6">
        <w:rPr>
          <w:rStyle w:val="CETCaptionCarattere"/>
          <w:lang w:val="en-US"/>
        </w:rPr>
        <w:t>for</w:t>
      </w:r>
      <w:r w:rsidR="00CF54BB" w:rsidRPr="003E7DFF">
        <w:rPr>
          <w:rStyle w:val="CETCaptionCarattere"/>
          <w:lang w:val="en-US"/>
        </w:rPr>
        <w:t xml:space="preserve"> </w:t>
      </w:r>
      <w:r w:rsidR="007C0CC7" w:rsidRPr="003E7DFF">
        <w:rPr>
          <w:rStyle w:val="CETCaptionCarattere"/>
          <w:lang w:val="en-US"/>
        </w:rPr>
        <w:t xml:space="preserve">a) UAE </w:t>
      </w:r>
      <w:r w:rsidR="00CF54BB" w:rsidRPr="003E7DFF">
        <w:rPr>
          <w:rStyle w:val="CETCaptionCarattere"/>
          <w:lang w:val="en-US"/>
        </w:rPr>
        <w:t xml:space="preserve">and b) SE </w:t>
      </w:r>
      <w:r w:rsidR="00CF54BB" w:rsidRPr="00A7675B">
        <w:rPr>
          <w:rStyle w:val="CETCaptionCarattere"/>
          <w:color w:val="000000" w:themeColor="text1"/>
          <w:lang w:val="en-US"/>
        </w:rPr>
        <w:t>processes</w:t>
      </w:r>
      <w:r w:rsidR="006A2F09" w:rsidRPr="00A7675B">
        <w:rPr>
          <w:rStyle w:val="CETCaptionCarattere"/>
          <w:color w:val="000000" w:themeColor="text1"/>
          <w:lang w:val="en-US"/>
        </w:rPr>
        <w:t xml:space="preserve"> </w:t>
      </w:r>
      <w:r w:rsidR="00804235" w:rsidRPr="00A7675B">
        <w:rPr>
          <w:color w:val="000000" w:themeColor="text1"/>
        </w:rPr>
        <w:fldChar w:fldCharType="begin" w:fldLock="1"/>
      </w:r>
      <w:r w:rsidR="00A7675B">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58f39a8b-a965-4478-b769-61643c8239b8"]}],"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804235" w:rsidRPr="00A7675B">
        <w:rPr>
          <w:noProof/>
          <w:color w:val="000000" w:themeColor="text1"/>
        </w:rPr>
        <w:t>(Al-Hamamre et al., 2012; Le et al., 2017)</w:t>
      </w:r>
      <w:r w:rsidR="00804235" w:rsidRPr="00A7675B">
        <w:rPr>
          <w:color w:val="000000" w:themeColor="text1"/>
        </w:rPr>
        <w:fldChar w:fldCharType="end"/>
      </w:r>
    </w:p>
    <w:p w14:paraId="08AC85D6" w14:textId="6DA9F641" w:rsidR="003D609A" w:rsidRPr="00A7675B" w:rsidRDefault="003D609A" w:rsidP="003D609A">
      <w:pPr>
        <w:pStyle w:val="CETheadingx"/>
        <w:rPr>
          <w:color w:val="000000" w:themeColor="text1"/>
        </w:rPr>
      </w:pPr>
      <w:proofErr w:type="spellStart"/>
      <w:r w:rsidRPr="00A7675B">
        <w:rPr>
          <w:color w:val="000000" w:themeColor="text1"/>
        </w:rPr>
        <w:t>Exergoeconomic</w:t>
      </w:r>
      <w:proofErr w:type="spellEnd"/>
      <w:r w:rsidRPr="00A7675B">
        <w:rPr>
          <w:color w:val="000000" w:themeColor="text1"/>
        </w:rPr>
        <w:t xml:space="preserve"> </w:t>
      </w:r>
      <w:r w:rsidR="00924814" w:rsidRPr="00A7675B">
        <w:rPr>
          <w:color w:val="000000" w:themeColor="text1"/>
        </w:rPr>
        <w:t>analysis</w:t>
      </w:r>
    </w:p>
    <w:p w14:paraId="54E7CD2B" w14:textId="73A4B032" w:rsidR="00A261E5" w:rsidRPr="003E7DFF" w:rsidRDefault="00AD1079" w:rsidP="001E056B">
      <w:pPr>
        <w:pStyle w:val="CETBodytext"/>
        <w:rPr>
          <w:i/>
        </w:rPr>
      </w:pPr>
      <w:r w:rsidRPr="003E7DFF">
        <w:t xml:space="preserve">The </w:t>
      </w:r>
      <w:proofErr w:type="spellStart"/>
      <w:r w:rsidRPr="003E7DFF">
        <w:t>exergoeconomic</w:t>
      </w:r>
      <w:proofErr w:type="spellEnd"/>
      <w:r w:rsidRPr="003E7DFF">
        <w:t xml:space="preserve"> indicators </w:t>
      </w:r>
      <w:r w:rsidR="00C47920" w:rsidRPr="003E7DFF">
        <w:t>for the</w:t>
      </w:r>
      <w:r w:rsidRPr="003E7DFF">
        <w:t xml:space="preserve"> </w:t>
      </w:r>
      <w:r w:rsidR="00E82663" w:rsidRPr="003E7DFF">
        <w:t xml:space="preserve">UAE and SE </w:t>
      </w:r>
      <w:r w:rsidR="00C47920" w:rsidRPr="003E7DFF">
        <w:t xml:space="preserve">processes </w:t>
      </w:r>
      <w:r w:rsidRPr="003E7DFF">
        <w:t>at different Hexane</w:t>
      </w:r>
      <w:r w:rsidR="00FA384C" w:rsidRPr="003E7DFF">
        <w:t xml:space="preserve"> </w:t>
      </w:r>
      <w:r w:rsidRPr="003E7DFF">
        <w:t>to</w:t>
      </w:r>
      <w:r w:rsidR="00FA384C" w:rsidRPr="003E7DFF">
        <w:t xml:space="preserve"> </w:t>
      </w:r>
      <w:r w:rsidRPr="003E7DFF">
        <w:t>SCGs ratio</w:t>
      </w:r>
      <w:r w:rsidR="00C47920" w:rsidRPr="003E7DFF">
        <w:t>s</w:t>
      </w:r>
      <w:r w:rsidRPr="003E7DFF">
        <w:t xml:space="preserve"> were determined.</w:t>
      </w:r>
      <w:r w:rsidR="003E1299" w:rsidRPr="003E7DFF">
        <w:t xml:space="preserve"> Figure 3 shows the exergy destruction rate </w:t>
      </w:r>
      <w:r w:rsidR="00C47920" w:rsidRPr="003E7DFF">
        <w:t xml:space="preserve">at a component level </w:t>
      </w:r>
      <w:r w:rsidR="003F3C7C" w:rsidRPr="003E7DFF">
        <w:t xml:space="preserve">and </w:t>
      </w:r>
      <w:r w:rsidR="00C47920" w:rsidRPr="003E7DFF">
        <w:t xml:space="preserve">the overall </w:t>
      </w:r>
      <w:proofErr w:type="spellStart"/>
      <w:r w:rsidR="003F3C7C" w:rsidRPr="003E7DFF">
        <w:t>exergetic</w:t>
      </w:r>
      <w:proofErr w:type="spellEnd"/>
      <w:r w:rsidR="003F3C7C" w:rsidRPr="003E7DFF">
        <w:t xml:space="preserve"> efficiency </w:t>
      </w:r>
      <w:r w:rsidR="00C47920" w:rsidRPr="003E7DFF">
        <w:t>for each process. SE process presents hi</w:t>
      </w:r>
      <w:r w:rsidR="001E056B" w:rsidRPr="003E7DFF">
        <w:t>g</w:t>
      </w:r>
      <w:r w:rsidR="00C47920" w:rsidRPr="003E7DFF">
        <w:t xml:space="preserve">her exergy </w:t>
      </w:r>
      <w:r w:rsidR="00CF54BB" w:rsidRPr="003E7DFF">
        <w:t>destruction</w:t>
      </w:r>
      <w:r w:rsidR="00C47920" w:rsidRPr="003E7DFF">
        <w:t xml:space="preserve"> rates than UAE process. Also, it is observed that the EV-201 </w:t>
      </w:r>
      <w:r w:rsidR="001E056B" w:rsidRPr="003E7DFF">
        <w:t>(</w:t>
      </w:r>
      <w:r w:rsidR="00C47920" w:rsidRPr="003E7DFF">
        <w:t>in the SE process</w:t>
      </w:r>
      <w:r w:rsidR="001E056B" w:rsidRPr="003E7DFF">
        <w:t>)</w:t>
      </w:r>
      <w:r w:rsidR="00C47920" w:rsidRPr="003E7DFF">
        <w:t xml:space="preserve"> is the component with </w:t>
      </w:r>
      <w:r w:rsidR="08D13648">
        <w:t xml:space="preserve">the </w:t>
      </w:r>
      <w:r w:rsidR="00C47920" w:rsidRPr="003E7DFF">
        <w:t xml:space="preserve">highest exergy destruction rate. This is mainly because the exergy rate of the hexane oil mixture </w:t>
      </w:r>
      <w:r w:rsidR="02EED206">
        <w:t>stream</w:t>
      </w:r>
      <w:r w:rsidR="00C47920">
        <w:t xml:space="preserve"> </w:t>
      </w:r>
      <w:r w:rsidR="00C47920" w:rsidRPr="003E7DFF">
        <w:t xml:space="preserve">in the SE process is higher than </w:t>
      </w:r>
      <w:r w:rsidR="33A77E52">
        <w:t xml:space="preserve">in </w:t>
      </w:r>
      <w:r w:rsidR="00C47920" w:rsidRPr="003E7DFF">
        <w:t xml:space="preserve">the UAE </w:t>
      </w:r>
      <w:r w:rsidR="00C313DA" w:rsidRPr="003E7DFF">
        <w:t>process</w:t>
      </w:r>
      <w:r w:rsidR="00C47920" w:rsidRPr="003E7DFF">
        <w:t xml:space="preserve">, due to the high energy consumption. </w:t>
      </w:r>
      <w:r w:rsidR="001E056B" w:rsidRPr="003E7DFF">
        <w:t xml:space="preserve">A previous study </w:t>
      </w:r>
      <w:r w:rsidR="001E056B" w:rsidRPr="003E7DFF">
        <w:rPr>
          <w:rStyle w:val="CETCaptionCarattere"/>
          <w:lang w:val="en-US"/>
        </w:rPr>
        <w:fldChar w:fldCharType="begin" w:fldLock="1"/>
      </w:r>
      <w:r w:rsidR="008B70F7">
        <w:rPr>
          <w:rStyle w:val="CETCaptionCarattere"/>
          <w:lang w:val="en-US"/>
        </w:rPr>
        <w:instrText>ADDIN CSL_CITATION {"citationItems":[{"id":"ITEM-1","itemData":{"ISSN":"00162361","abstract":"Coffee is the second largest traded commodity after petroleum and the second most popular beverage after water. This big industry is believed to generate huge amount of waste with spent coffee grounds (SCGs) represents one of the main by-products. Recycling of such waste to fuels and value-added products through bio-refineries is a promising way to solve the problem of many countries that face daily challenges and heavy cost in waste disposal. This review aims to shadow the light on SCGs recycling potential in which over 230 published papers on SCGs recycling topic were gathered and discussed. Various opportunities to produce biofuels such as biodiesel, biogas, bioethanol, bio-oil and fuel pellets besides value-added products such as bioactive compounds, adsorbents, polymers, nanocomposites, and compost were discussed. Moreover, the potential of membrane technology related to various processes of biorefining, separation and purification in the proposed SCG-integrated biorefinery are presented. Based on the presented review, it is obvious that recycling of SCGs offers many worthwhile options to policymakers that can contribute towards huge financial saving on taxpayers of running and maintaining landfills besides saving the environment from harmful emissions. In conclusion, this review emphasizes that SCG-integrated biorefineries to produce different types of biofuels and value-added products are a very promising approach that shall be economically more scrutinized in the foreseen future.","author":[{"dropping-particle":"","family":"Atabani","given":"A. E.","non-dropping-particle":"","parse-names":false,"suffix":""},{"dropping-particle":"","family":"Al-Muhtaseb","given":"Ala'a H.","non-dropping-particle":"","parse-names":false,"suffix":""},{"dropping-particle":"","family":"Kumar","given":"Gopalakrishnan","non-dropping-particle":"","parse-names":false,"suffix":""},{"dropping-particle":"","family":"Saratale","given":"Ganesh Dattatraya","non-dropping-particle":"","parse-names":false,"suffix":""},{"dropping-particle":"","family":"Aslam","given":"Muhammad","non-dropping-particle":"","parse-names":false,"suffix":""},{"dropping-particle":"","family":"Khan","given":"Hassnain Abbas","non-dropping-particle":"","parse-names":false,"suffix":""},{"dropping-particle":"","family":"Said","given":"Zafar","non-dropping-particle":"","parse-names":false,"suffix":""},{"dropping-particle":"","family":"Mahmoud","given":"Eyas","non-dropping-particle":"","parse-names":false,"suffix":""}],"container-title":"Fuel","id":"ITEM-1","issue":"February","issued":{"date-parts":[["2019"]]},"page":"115640","publisher":"Elsevier","title":"Valorization of spent coffee grounds into biofuels and value-added products: Pathway towards integrated bio-refinery","type":"article-journal","volume":"254"},"uris":["http://www.mendeley.com/documents/?uuid=21c77a21-78c0-42ec-809e-ee172060ef04"]}],"mendeley":{"formattedCitation":"(Atabani et al., 2019)","plainTextFormattedCitation":"(Atabani et al., 2019)","previouslyFormattedCitation":"(Atabani et al., 2019)"},"properties":{"noteIndex":0},"schema":"https://github.com/citation-style-language/schema/raw/master/csl-citation.json"}</w:instrText>
      </w:r>
      <w:r w:rsidR="001E056B" w:rsidRPr="003E7DFF">
        <w:rPr>
          <w:rStyle w:val="CETCaptionCarattere"/>
          <w:lang w:val="en-US"/>
        </w:rPr>
        <w:fldChar w:fldCharType="separate"/>
      </w:r>
      <w:r w:rsidR="001E056B" w:rsidRPr="003E7DFF">
        <w:rPr>
          <w:rStyle w:val="CETCaptionCarattere"/>
          <w:i w:val="0"/>
          <w:noProof/>
          <w:lang w:val="en-US"/>
        </w:rPr>
        <w:t>(Atabani et al., 2019)</w:t>
      </w:r>
      <w:r w:rsidR="001E056B" w:rsidRPr="003E7DFF">
        <w:rPr>
          <w:rStyle w:val="CETCaptionCarattere"/>
          <w:lang w:val="en-US"/>
        </w:rPr>
        <w:fldChar w:fldCharType="end"/>
      </w:r>
      <w:r w:rsidR="001E056B" w:rsidRPr="003E7DFF">
        <w:rPr>
          <w:rStyle w:val="CETCaptionCarattere"/>
          <w:lang w:val="en-US"/>
        </w:rPr>
        <w:t xml:space="preserve"> </w:t>
      </w:r>
      <w:r w:rsidR="1157D111">
        <w:t>observed</w:t>
      </w:r>
      <w:r w:rsidR="001E056B" w:rsidRPr="003E7DFF">
        <w:t xml:space="preserve"> that the SE process is a time-consuming process with low productivity that requires </w:t>
      </w:r>
      <w:r w:rsidR="6C510B6B">
        <w:t>a higher</w:t>
      </w:r>
      <w:r w:rsidR="001E056B" w:rsidRPr="003E7DFF">
        <w:t xml:space="preserve"> amount of solvent and energy.</w:t>
      </w:r>
      <w:r w:rsidR="001E056B" w:rsidRPr="003E7DFF">
        <w:rPr>
          <w:i/>
        </w:rPr>
        <w:t xml:space="preserve"> </w:t>
      </w:r>
    </w:p>
    <w:p w14:paraId="005BCA26" w14:textId="16EC4487" w:rsidR="415FB6B0" w:rsidRDefault="00123CEF" w:rsidP="6247C33B">
      <w:pPr>
        <w:pStyle w:val="CETBodytext"/>
        <w:rPr>
          <w:rStyle w:val="CETCaptionCarattere"/>
          <w:i w:val="0"/>
          <w:lang w:val="en-US"/>
        </w:rPr>
      </w:pPr>
      <w:r w:rsidRPr="003E7DFF">
        <w:rPr>
          <w:noProof/>
        </w:rPr>
        <w:drawing>
          <wp:anchor distT="0" distB="0" distL="114300" distR="114300" simplePos="0" relativeHeight="251658245" behindDoc="0" locked="0" layoutInCell="1" allowOverlap="1" wp14:anchorId="05F9F4DE" wp14:editId="20795DF3">
            <wp:simplePos x="0" y="0"/>
            <wp:positionH relativeFrom="column">
              <wp:posOffset>2789555</wp:posOffset>
            </wp:positionH>
            <wp:positionV relativeFrom="paragraph">
              <wp:posOffset>798992</wp:posOffset>
            </wp:positionV>
            <wp:extent cx="2628900" cy="1807210"/>
            <wp:effectExtent l="0" t="0" r="0" b="2540"/>
            <wp:wrapSquare wrapText="bothSides"/>
            <wp:docPr id="4" name="Gráfico 4">
              <a:extLst xmlns:a="http://schemas.openxmlformats.org/drawingml/2006/main">
                <a:ext uri="{FF2B5EF4-FFF2-40B4-BE49-F238E27FC236}">
                  <a16:creationId xmlns:a16="http://schemas.microsoft.com/office/drawing/2014/main" id="{2E1C7EFD-6771-4CB1-ACF4-59EFC05E0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3E7DFF">
        <w:rPr>
          <w:noProof/>
        </w:rPr>
        <w:drawing>
          <wp:anchor distT="0" distB="0" distL="114300" distR="114300" simplePos="0" relativeHeight="251658244" behindDoc="0" locked="0" layoutInCell="1" allowOverlap="1" wp14:anchorId="78E5A110" wp14:editId="34B2FD76">
            <wp:simplePos x="0" y="0"/>
            <wp:positionH relativeFrom="column">
              <wp:posOffset>159385</wp:posOffset>
            </wp:positionH>
            <wp:positionV relativeFrom="paragraph">
              <wp:posOffset>817245</wp:posOffset>
            </wp:positionV>
            <wp:extent cx="2681605" cy="1758315"/>
            <wp:effectExtent l="0" t="0" r="0" b="0"/>
            <wp:wrapSquare wrapText="bothSides"/>
            <wp:docPr id="3" name="Gráfico 3">
              <a:extLst xmlns:a="http://schemas.openxmlformats.org/drawingml/2006/main">
                <a:ext uri="{FF2B5EF4-FFF2-40B4-BE49-F238E27FC236}">
                  <a16:creationId xmlns:a16="http://schemas.microsoft.com/office/drawing/2014/main" id="{B3770307-4CCB-4F24-9C37-62B1DF100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415FB6B0" w:rsidRPr="6247C33B">
        <w:rPr>
          <w:rStyle w:val="CETCaptionCarattere"/>
          <w:i w:val="0"/>
          <w:lang w:val="en-US"/>
        </w:rPr>
        <w:t>In addition, t</w:t>
      </w:r>
      <w:r w:rsidR="001E056B" w:rsidRPr="6247C33B">
        <w:rPr>
          <w:rStyle w:val="CETCaptionCarattere"/>
          <w:i w:val="0"/>
          <w:lang w:val="en-US"/>
        </w:rPr>
        <w:t xml:space="preserve">he </w:t>
      </w:r>
      <w:proofErr w:type="spellStart"/>
      <w:r w:rsidR="001E056B" w:rsidRPr="6247C33B">
        <w:rPr>
          <w:rStyle w:val="CETCaptionCarattere"/>
          <w:i w:val="0"/>
          <w:lang w:val="en-US"/>
        </w:rPr>
        <w:t>exergetic</w:t>
      </w:r>
      <w:proofErr w:type="spellEnd"/>
      <w:r w:rsidR="001E056B" w:rsidRPr="6247C33B">
        <w:rPr>
          <w:rStyle w:val="CETCaptionCarattere"/>
          <w:i w:val="0"/>
          <w:lang w:val="en-US"/>
        </w:rPr>
        <w:t xml:space="preserve"> efficiency tends to decrease when the </w:t>
      </w:r>
      <w:r w:rsidR="5989DCD3" w:rsidRPr="6247C33B">
        <w:rPr>
          <w:rStyle w:val="CETCaptionCarattere"/>
          <w:i w:val="0"/>
          <w:lang w:val="en-US"/>
        </w:rPr>
        <w:t xml:space="preserve">solvent to SCGs </w:t>
      </w:r>
      <w:r w:rsidR="001E056B" w:rsidRPr="6247C33B">
        <w:rPr>
          <w:rStyle w:val="CETCaptionCarattere"/>
          <w:i w:val="0"/>
          <w:lang w:val="en-US"/>
        </w:rPr>
        <w:t>ratio increase</w:t>
      </w:r>
      <w:r w:rsidR="07DC1B38" w:rsidRPr="6247C33B">
        <w:rPr>
          <w:rStyle w:val="CETCaptionCarattere"/>
          <w:i w:val="0"/>
          <w:lang w:val="en-US"/>
        </w:rPr>
        <w:t>s</w:t>
      </w:r>
      <w:r w:rsidR="001E056B" w:rsidRPr="6247C33B">
        <w:rPr>
          <w:rStyle w:val="CETCaptionCarattere"/>
          <w:i w:val="0"/>
          <w:lang w:val="en-US"/>
        </w:rPr>
        <w:t xml:space="preserve"> for both processes. It is evidenced that the UAE process has a higher </w:t>
      </w:r>
      <w:proofErr w:type="spellStart"/>
      <w:r w:rsidR="001E056B" w:rsidRPr="6247C33B">
        <w:rPr>
          <w:rStyle w:val="CETCaptionCarattere"/>
          <w:i w:val="0"/>
          <w:lang w:val="en-US"/>
        </w:rPr>
        <w:t>exergetic</w:t>
      </w:r>
      <w:proofErr w:type="spellEnd"/>
      <w:r w:rsidR="001E056B" w:rsidRPr="6247C33B">
        <w:rPr>
          <w:rStyle w:val="CETCaptionCarattere"/>
          <w:i w:val="0"/>
          <w:lang w:val="en-US"/>
        </w:rPr>
        <w:t xml:space="preserve"> </w:t>
      </w:r>
      <w:r w:rsidR="00C313DA" w:rsidRPr="6247C33B">
        <w:rPr>
          <w:rStyle w:val="CETCaptionCarattere"/>
          <w:i w:val="0"/>
          <w:lang w:val="en-US"/>
        </w:rPr>
        <w:t>efficiency</w:t>
      </w:r>
      <w:r w:rsidR="001E056B" w:rsidRPr="6247C33B">
        <w:rPr>
          <w:rStyle w:val="CETCaptionCarattere"/>
          <w:i w:val="0"/>
          <w:lang w:val="en-US"/>
        </w:rPr>
        <w:t xml:space="preserve"> and </w:t>
      </w:r>
      <w:r w:rsidR="32E72D80" w:rsidRPr="6247C33B">
        <w:rPr>
          <w:rStyle w:val="CETCaptionCarattere"/>
          <w:i w:val="0"/>
          <w:lang w:val="en-US"/>
        </w:rPr>
        <w:t xml:space="preserve">a </w:t>
      </w:r>
      <w:r w:rsidR="001E056B" w:rsidRPr="6247C33B">
        <w:rPr>
          <w:rStyle w:val="CETCaptionCarattere"/>
          <w:i w:val="0"/>
          <w:lang w:val="en-US"/>
        </w:rPr>
        <w:t>lower exergy destruction rate than the SE process.</w:t>
      </w:r>
      <w:r w:rsidR="59087C34" w:rsidRPr="6247C33B">
        <w:rPr>
          <w:rStyle w:val="CETCaptionCarattere"/>
          <w:i w:val="0"/>
          <w:lang w:val="en-US"/>
        </w:rPr>
        <w:t xml:space="preserve"> This behavior could be attribute</w:t>
      </w:r>
      <w:r w:rsidR="7A1F0958" w:rsidRPr="6247C33B">
        <w:rPr>
          <w:rStyle w:val="CETCaptionCarattere"/>
          <w:i w:val="0"/>
          <w:lang w:val="en-US"/>
        </w:rPr>
        <w:t>d</w:t>
      </w:r>
      <w:r w:rsidR="59087C34" w:rsidRPr="6247C33B">
        <w:rPr>
          <w:rStyle w:val="CETCaptionCarattere"/>
          <w:i w:val="0"/>
          <w:lang w:val="en-US"/>
        </w:rPr>
        <w:t xml:space="preserve"> to the l</w:t>
      </w:r>
      <w:r w:rsidR="2FF82776" w:rsidRPr="6247C33B">
        <w:rPr>
          <w:rStyle w:val="CETCaptionCarattere"/>
          <w:i w:val="0"/>
          <w:lang w:val="en-US"/>
        </w:rPr>
        <w:t xml:space="preserve">ong </w:t>
      </w:r>
      <w:r w:rsidR="59087C34" w:rsidRPr="6247C33B">
        <w:rPr>
          <w:rStyle w:val="CETCaptionCarattere"/>
          <w:i w:val="0"/>
          <w:lang w:val="en-US"/>
        </w:rPr>
        <w:t>period</w:t>
      </w:r>
      <w:r w:rsidR="446EF568" w:rsidRPr="6247C33B">
        <w:rPr>
          <w:rStyle w:val="CETCaptionCarattere"/>
          <w:i w:val="0"/>
          <w:lang w:val="en-US"/>
        </w:rPr>
        <w:t xml:space="preserve"> of time</w:t>
      </w:r>
      <w:r w:rsidR="59087C34" w:rsidRPr="6247C33B">
        <w:rPr>
          <w:rStyle w:val="CETCaptionCarattere"/>
          <w:i w:val="0"/>
          <w:lang w:val="en-US"/>
        </w:rPr>
        <w:t xml:space="preserve"> </w:t>
      </w:r>
      <w:r w:rsidR="584AFCCE" w:rsidRPr="6247C33B">
        <w:rPr>
          <w:rStyle w:val="CETCaptionCarattere"/>
          <w:i w:val="0"/>
          <w:lang w:val="en-US"/>
        </w:rPr>
        <w:t>(2 to 3 hours)</w:t>
      </w:r>
      <w:r w:rsidR="59087C34" w:rsidRPr="6247C33B">
        <w:rPr>
          <w:rStyle w:val="CETCaptionCarattere"/>
          <w:i w:val="0"/>
          <w:lang w:val="en-US"/>
        </w:rPr>
        <w:t xml:space="preserve"> that </w:t>
      </w:r>
      <w:r w:rsidR="53B7126F" w:rsidRPr="6247C33B">
        <w:rPr>
          <w:rStyle w:val="CETCaptionCarattere"/>
          <w:i w:val="0"/>
          <w:lang w:val="en-US"/>
        </w:rPr>
        <w:t>is required for SE.</w:t>
      </w:r>
      <w:r w:rsidR="002677BF">
        <w:rPr>
          <w:rStyle w:val="CETCaptionCarattere"/>
          <w:i w:val="0"/>
          <w:lang w:val="en-US"/>
        </w:rPr>
        <w:t xml:space="preserve"> </w:t>
      </w:r>
      <w:r w:rsidR="002677BF" w:rsidRPr="003E7DFF">
        <w:t>In contrast, UAE process usually requires 30 minutes</w:t>
      </w:r>
      <w:r w:rsidR="002677BF">
        <w:t xml:space="preserve"> for the extraction</w:t>
      </w:r>
      <w:r w:rsidR="002677BF" w:rsidRPr="003E7DFF">
        <w:t xml:space="preserve">, because </w:t>
      </w:r>
      <w:r w:rsidR="002677BF">
        <w:t>longer periods of</w:t>
      </w:r>
      <w:r w:rsidR="002677BF" w:rsidRPr="003E7DFF">
        <w:t xml:space="preserve"> time could </w:t>
      </w:r>
      <w:bookmarkStart w:id="0" w:name="_GoBack"/>
      <w:bookmarkEnd w:id="0"/>
      <w:r w:rsidR="002677BF" w:rsidRPr="00907A2D">
        <w:t xml:space="preserve">reduce </w:t>
      </w:r>
      <w:r w:rsidR="004508F5" w:rsidRPr="00907A2D">
        <w:t>the</w:t>
      </w:r>
      <w:r w:rsidR="002677BF" w:rsidRPr="00907A2D">
        <w:t xml:space="preserve"> extraction</w:t>
      </w:r>
      <w:r w:rsidR="002677BF" w:rsidRPr="003E7DFF">
        <w:t xml:space="preserve"> yield</w:t>
      </w:r>
      <w:r w:rsidR="002677BF" w:rsidRPr="003E7DFF">
        <w:rPr>
          <w:noProof/>
        </w:rPr>
        <w:t xml:space="preserve"> </w:t>
      </w:r>
      <w:r w:rsidR="002677BF" w:rsidRPr="003E7DFF">
        <w:fldChar w:fldCharType="begin" w:fldLock="1"/>
      </w:r>
      <w:r w:rsidR="00A7675B">
        <w:instrText>ADDIN CSL_CITATION {"citationItems":[{"id":"ITEM-1","itemData":{"ISSN":"19961073","abstract":"Biodiesel is a proven alternative fuel that can serve as a substitute for petroleum diesel due to its renewability, non-toxicity, sulphur-free nature and superior lubricity. Waste-based non-edible oils are studied as potential biodiesel feedstocks owing to the focus on the valorisation of waste products. Instead of being treated as municipal waste, waste coffee grounds (WCG) can be utilised for oil extraction, thereby recovering an energy source in the form of biodiesel. This study evaluates oil extraction from WCG using ultrasonic and Soxhlet techniques, followed by biodiesel conversion using an ultrasonic-assisted transesterification process. It was found that n-hexane was the most effective solvent for the oil extraction process and ultrasonic-assisted technology offers a 13.5% higher yield compared to the conventional Soxhlet extraction process. Solid-to-solvent ratio and extraction time of the oil extraction process from the dried waste coffee grounds (DWCG) after the brewing process was optimised using the response surface methodology (RSM). The results showed that predicted yield of 17.75 wt. % of coffee oil can be obtained using 1:30 w/v of the mass ratio of DWCG-ton-hexane and 34 min of extraction time when 32% amplitude was used. The model was verified by the experiment where 17.23 wt. % yield of coffee oil was achieved when the extraction process was carried out under optimal conditions. The infrared absorption spectrum analysis of WCG oil determined suitable functional groups for biodiesel conversion which was further treated using an ultrasonic-assisted transesterification process to successfully convert to biodiesel.","author":[{"dropping-particle":"","family":"Mofijur","given":"M.","non-dropping-particle":"","parse-names":false,"suffix":""},{"dropping-particle":"","family":"Kusumo","given":"F.","non-dropping-particle":"","parse-names":false,"suffix":""},{"dropping-particle":"","family":"Rizwanul Fattah","given":"I. M.","non-dropping-particle":"","parse-names":false,"suffix":""},{"dropping-particle":"","family":"Mahmudul","given":"H. M.","non-dropping-particle":"","parse-names":false,"suffix":""},{"dropping-particle":"","family":"Rasul","given":"M. G.","non-dropping-particle":"","parse-names":false,"suffix":""},{"dropping-particle":"","family":"Shamsuddin","given":"A. H.","non-dropping-particle":"","parse-names":false,"suffix":""},{"dropping-particle":"","family":"Mahlia","given":"T. M.I.","non-dropping-particle":"","parse-names":false,"suffix":""}],"container-title":"Energies","id":"ITEM-1","issue":"7","issued":{"date-parts":[["2020"]]},"title":"Resource recovery from waste coffee grounds using ultrasonic-assisted technology for bioenergy production","type":"article-journal","volume":"13"},"uris":["http://www.mendeley.com/documents/?uuid=46fbfec2-0b83-4d66-b70e-32434cc46470","http://www.mendeley.com/documents/?uuid=19121854-5f7f-4c2a-97a2-1a768b4069f2"]}],"mendeley":{"formattedCitation":"(Mofijur et al., 2020)","plainTextFormattedCitation":"(Mofijur et al., 2020)","previouslyFormattedCitation":"(Mofijur et al., 2020)"},"properties":{"noteIndex":0},"schema":"https://github.com/citation-style-language/schema/raw/master/csl-citation.json"}</w:instrText>
      </w:r>
      <w:r w:rsidR="002677BF" w:rsidRPr="003E7DFF">
        <w:fldChar w:fldCharType="separate"/>
      </w:r>
      <w:r w:rsidR="002677BF" w:rsidRPr="003E7DFF">
        <w:rPr>
          <w:noProof/>
        </w:rPr>
        <w:t>(Mofijur et al., 2020)</w:t>
      </w:r>
      <w:r w:rsidR="002677BF" w:rsidRPr="003E7DFF">
        <w:fldChar w:fldCharType="end"/>
      </w:r>
      <w:r w:rsidR="002677BF" w:rsidRPr="003E7DFF">
        <w:t>.</w:t>
      </w:r>
    </w:p>
    <w:p w14:paraId="551DD003" w14:textId="2716F77D" w:rsidR="00A261E5" w:rsidRPr="003E7DFF" w:rsidRDefault="00BF5E2D" w:rsidP="003D609A">
      <w:pPr>
        <w:pStyle w:val="CETBodytext"/>
        <w:rPr>
          <w:rStyle w:val="CETCaptionCarattere"/>
          <w:lang w:val="en-US"/>
        </w:rPr>
      </w:pPr>
      <w:r w:rsidRPr="003E7DFF">
        <w:rPr>
          <w:noProof/>
        </w:rPr>
        <w:t xml:space="preserve"> </w:t>
      </w:r>
      <w:r w:rsidR="009C3A0D" w:rsidRPr="003E7DFF">
        <w:rPr>
          <w:noProof/>
        </w:rPr>
        <w:t xml:space="preserve">  </w:t>
      </w:r>
    </w:p>
    <w:p w14:paraId="59C73F8F" w14:textId="27EA6A44" w:rsidR="003D609A" w:rsidRPr="003E7DFF" w:rsidRDefault="003D609A" w:rsidP="003D609A">
      <w:pPr>
        <w:pStyle w:val="CETBodytext"/>
        <w:rPr>
          <w:rStyle w:val="CETCaptionCarattere"/>
          <w:lang w:val="en-US"/>
        </w:rPr>
      </w:pPr>
      <w:r w:rsidRPr="003E7DFF">
        <w:rPr>
          <w:rStyle w:val="CETCaptionCarattere"/>
          <w:lang w:val="en-US"/>
        </w:rPr>
        <w:t xml:space="preserve">Figure </w:t>
      </w:r>
      <w:r w:rsidR="003E1299" w:rsidRPr="003E7DFF">
        <w:rPr>
          <w:rStyle w:val="CETCaptionCarattere"/>
          <w:lang w:val="en-US"/>
        </w:rPr>
        <w:t>3</w:t>
      </w:r>
      <w:r w:rsidRPr="003E7DFF">
        <w:rPr>
          <w:rStyle w:val="CETCaptionCarattere"/>
          <w:lang w:val="en-US"/>
        </w:rPr>
        <w:t xml:space="preserve">: The effect of </w:t>
      </w:r>
      <w:r w:rsidR="00FF11CB" w:rsidRPr="003E7DFF">
        <w:rPr>
          <w:rStyle w:val="CETCaptionCarattere"/>
          <w:lang w:val="en-US"/>
        </w:rPr>
        <w:t>Hexane to SCGs ratio</w:t>
      </w:r>
      <w:r w:rsidR="007661F0" w:rsidRPr="003E7DFF">
        <w:rPr>
          <w:rStyle w:val="CETCaptionCarattere"/>
          <w:lang w:val="en-US"/>
        </w:rPr>
        <w:t xml:space="preserve"> </w:t>
      </w:r>
      <w:r w:rsidR="01BA54E2" w:rsidRPr="35EEC1D6">
        <w:rPr>
          <w:rStyle w:val="CETCaptionCarattere"/>
          <w:lang w:val="en-US"/>
        </w:rPr>
        <w:t>o</w:t>
      </w:r>
      <w:r w:rsidR="00473AA0" w:rsidRPr="35EEC1D6">
        <w:rPr>
          <w:rStyle w:val="CETCaptionCarattere"/>
          <w:lang w:val="en-US"/>
        </w:rPr>
        <w:t>n</w:t>
      </w:r>
      <w:r w:rsidR="007661F0" w:rsidRPr="003E7DFF">
        <w:rPr>
          <w:rStyle w:val="CETCaptionCarattere"/>
          <w:lang w:val="en-US"/>
        </w:rPr>
        <w:t xml:space="preserve"> the exergy destruction rate and </w:t>
      </w:r>
      <w:r w:rsidR="2A3F70D2" w:rsidRPr="35EEC1D6">
        <w:rPr>
          <w:rStyle w:val="CETCaptionCarattere"/>
          <w:lang w:val="en-US"/>
        </w:rPr>
        <w:t xml:space="preserve">the </w:t>
      </w:r>
      <w:proofErr w:type="spellStart"/>
      <w:r w:rsidR="007661F0" w:rsidRPr="003E7DFF">
        <w:rPr>
          <w:rStyle w:val="CETCaptionCarattere"/>
          <w:lang w:val="en-US"/>
        </w:rPr>
        <w:t>exergetic</w:t>
      </w:r>
      <w:proofErr w:type="spellEnd"/>
      <w:r w:rsidR="007661F0" w:rsidRPr="003E7DFF">
        <w:rPr>
          <w:rStyle w:val="CETCaptionCarattere"/>
          <w:lang w:val="en-US"/>
        </w:rPr>
        <w:t xml:space="preserve"> efficiency</w:t>
      </w:r>
      <w:r w:rsidR="00473AA0" w:rsidRPr="003E7DFF">
        <w:rPr>
          <w:rStyle w:val="CETCaptionCarattere"/>
          <w:lang w:val="en-US"/>
        </w:rPr>
        <w:t xml:space="preserve"> </w:t>
      </w:r>
      <w:r w:rsidR="26B50DB3" w:rsidRPr="35EEC1D6">
        <w:rPr>
          <w:rStyle w:val="CETCaptionCarattere"/>
          <w:lang w:val="en-US"/>
        </w:rPr>
        <w:t>for</w:t>
      </w:r>
      <w:r w:rsidR="00473AA0" w:rsidRPr="003E7DFF">
        <w:rPr>
          <w:rStyle w:val="CETCaptionCarattere"/>
          <w:lang w:val="en-US"/>
        </w:rPr>
        <w:t xml:space="preserve"> a) UAE and </w:t>
      </w:r>
      <w:r w:rsidR="00CD406C" w:rsidRPr="003E7DFF">
        <w:rPr>
          <w:rStyle w:val="CETCaptionCarattere"/>
          <w:lang w:val="en-US"/>
        </w:rPr>
        <w:t>b</w:t>
      </w:r>
      <w:r w:rsidRPr="003E7DFF">
        <w:rPr>
          <w:rStyle w:val="CETCaptionCarattere"/>
          <w:lang w:val="en-US"/>
        </w:rPr>
        <w:t xml:space="preserve">) </w:t>
      </w:r>
      <w:r w:rsidR="00473AA0" w:rsidRPr="003E7DFF">
        <w:rPr>
          <w:rStyle w:val="CETCaptionCarattere"/>
          <w:lang w:val="en-US"/>
        </w:rPr>
        <w:t xml:space="preserve">SE </w:t>
      </w:r>
      <w:r w:rsidR="003A78BC" w:rsidRPr="00A7675B">
        <w:rPr>
          <w:rStyle w:val="CETCaptionCarattere"/>
          <w:color w:val="000000" w:themeColor="text1"/>
          <w:lang w:val="en-US"/>
        </w:rPr>
        <w:t>processes</w:t>
      </w:r>
      <w:r w:rsidR="009C493D" w:rsidRPr="00A7675B">
        <w:rPr>
          <w:rStyle w:val="CETCaptionCarattere"/>
          <w:color w:val="000000" w:themeColor="text1"/>
          <w:lang w:val="en-US"/>
        </w:rPr>
        <w:t xml:space="preserve"> </w:t>
      </w:r>
      <w:r w:rsidR="00804235" w:rsidRPr="00A7675B">
        <w:rPr>
          <w:color w:val="000000" w:themeColor="text1"/>
        </w:rPr>
        <w:fldChar w:fldCharType="begin" w:fldLock="1"/>
      </w:r>
      <w:r w:rsidR="00A7675B">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72add585-120a-4030-b8fa-3e1291ff5473"]}],"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804235" w:rsidRPr="00A7675B">
        <w:rPr>
          <w:noProof/>
          <w:color w:val="000000" w:themeColor="text1"/>
        </w:rPr>
        <w:t>(Al-Hamamre et al., 2012; Le et al., 2017)</w:t>
      </w:r>
      <w:r w:rsidR="00804235" w:rsidRPr="00A7675B">
        <w:rPr>
          <w:color w:val="000000" w:themeColor="text1"/>
        </w:rPr>
        <w:fldChar w:fldCharType="end"/>
      </w:r>
      <w:r w:rsidR="009C493D" w:rsidRPr="00A7675B">
        <w:rPr>
          <w:rStyle w:val="CETCaptionCarattere"/>
          <w:i w:val="0"/>
          <w:iCs/>
          <w:color w:val="000000" w:themeColor="text1"/>
          <w:lang w:val="en-US"/>
        </w:rPr>
        <w:t>.</w:t>
      </w:r>
      <w:r w:rsidR="009C493D" w:rsidRPr="00A7675B">
        <w:rPr>
          <w:rStyle w:val="CETCaptionCarattere"/>
          <w:color w:val="000000" w:themeColor="text1"/>
          <w:lang w:val="en-US"/>
        </w:rPr>
        <w:t xml:space="preserve"> </w:t>
      </w:r>
      <w:r w:rsidR="00473AA0" w:rsidRPr="00A7675B">
        <w:rPr>
          <w:rStyle w:val="CETCaptionCarattere"/>
          <w:color w:val="000000" w:themeColor="text1"/>
          <w:lang w:val="en-US"/>
        </w:rPr>
        <w:t xml:space="preserve"> </w:t>
      </w:r>
    </w:p>
    <w:p w14:paraId="2A8E9371" w14:textId="3ABB0FD2" w:rsidR="00806D1F" w:rsidRPr="003E7DFF" w:rsidRDefault="00806D1F" w:rsidP="007F4436">
      <w:pPr>
        <w:pStyle w:val="CETBodytext"/>
        <w:rPr>
          <w:rStyle w:val="CETCaptionCarattere"/>
          <w:i w:val="0"/>
          <w:iCs/>
          <w:lang w:val="en-US"/>
        </w:rPr>
      </w:pPr>
    </w:p>
    <w:p w14:paraId="2912A675" w14:textId="48E3F159" w:rsidR="00A65B5B" w:rsidRPr="003E7DFF" w:rsidRDefault="00FB18D1" w:rsidP="00FB18D1">
      <w:pPr>
        <w:pStyle w:val="CETBodytext"/>
        <w:rPr>
          <w:rStyle w:val="CETCaptionCarattere"/>
          <w:i w:val="0"/>
          <w:iCs/>
          <w:lang w:val="en-US"/>
        </w:rPr>
      </w:pPr>
      <w:r w:rsidRPr="003E7DFF">
        <w:rPr>
          <w:rStyle w:val="CETCaptionCarattere"/>
          <w:i w:val="0"/>
          <w:iCs/>
          <w:lang w:val="en-US"/>
        </w:rPr>
        <w:t>Figur</w:t>
      </w:r>
      <w:r w:rsidR="001E056B" w:rsidRPr="003E7DFF">
        <w:rPr>
          <w:rStyle w:val="CETCaptionCarattere"/>
          <w:i w:val="0"/>
          <w:iCs/>
          <w:lang w:val="en-US"/>
        </w:rPr>
        <w:t>e</w:t>
      </w:r>
      <w:r w:rsidRPr="003E7DFF">
        <w:rPr>
          <w:rStyle w:val="CETCaptionCarattere"/>
          <w:i w:val="0"/>
          <w:iCs/>
          <w:lang w:val="en-US"/>
        </w:rPr>
        <w:t xml:space="preserve"> 4 </w:t>
      </w:r>
      <w:r w:rsidR="1C0D1DDE" w:rsidRPr="35EEC1D6">
        <w:rPr>
          <w:rStyle w:val="CETCaptionCarattere"/>
          <w:i w:val="0"/>
          <w:lang w:val="en-US"/>
        </w:rPr>
        <w:t>shows</w:t>
      </w:r>
      <w:r w:rsidR="001E056B" w:rsidRPr="003E7DFF">
        <w:rPr>
          <w:rStyle w:val="CETCaptionCarattere"/>
          <w:i w:val="0"/>
          <w:iCs/>
          <w:lang w:val="en-US"/>
        </w:rPr>
        <w:t xml:space="preserve"> the total investment cost for the UAE and SE processes.</w:t>
      </w:r>
      <w:r w:rsidRPr="003E7DFF">
        <w:rPr>
          <w:rStyle w:val="CETCaptionCarattere"/>
          <w:i w:val="0"/>
          <w:iCs/>
          <w:lang w:val="en-US"/>
        </w:rPr>
        <w:t xml:space="preserve"> </w:t>
      </w:r>
      <w:r w:rsidR="001E056B" w:rsidRPr="5B3B9109">
        <w:rPr>
          <w:rStyle w:val="CETCaptionCarattere"/>
          <w:i w:val="0"/>
          <w:lang w:val="en-US"/>
        </w:rPr>
        <w:t>The</w:t>
      </w:r>
      <w:r w:rsidR="0469718E" w:rsidRPr="5B3B9109">
        <w:rPr>
          <w:rStyle w:val="CETCaptionCarattere"/>
          <w:i w:val="0"/>
          <w:lang w:val="en-US"/>
        </w:rPr>
        <w:t xml:space="preserve"> </w:t>
      </w:r>
      <w:r w:rsidR="0469718E" w:rsidRPr="62F1326A">
        <w:rPr>
          <w:rStyle w:val="CETCaptionCarattere"/>
          <w:i w:val="0"/>
          <w:lang w:val="en-US"/>
        </w:rPr>
        <w:t xml:space="preserve">total </w:t>
      </w:r>
      <w:r w:rsidR="0469718E" w:rsidRPr="5B3B9109">
        <w:rPr>
          <w:rStyle w:val="CETCaptionCarattere"/>
          <w:i w:val="0"/>
          <w:lang w:val="en-US"/>
        </w:rPr>
        <w:t>investment</w:t>
      </w:r>
      <w:r w:rsidR="001E056B" w:rsidRPr="003E7DFF">
        <w:rPr>
          <w:rStyle w:val="CETCaptionCarattere"/>
          <w:i w:val="0"/>
          <w:iCs/>
          <w:lang w:val="en-US"/>
        </w:rPr>
        <w:t xml:space="preserve"> </w:t>
      </w:r>
      <w:r w:rsidR="0469718E" w:rsidRPr="62F1326A">
        <w:rPr>
          <w:rStyle w:val="CETCaptionCarattere"/>
          <w:i w:val="0"/>
          <w:lang w:val="en-US"/>
        </w:rPr>
        <w:t xml:space="preserve">cost for the </w:t>
      </w:r>
      <w:r w:rsidR="001E056B" w:rsidRPr="003E7DFF">
        <w:rPr>
          <w:rStyle w:val="CETCaptionCarattere"/>
          <w:i w:val="0"/>
          <w:iCs/>
          <w:lang w:val="en-US"/>
        </w:rPr>
        <w:t>SE process</w:t>
      </w:r>
      <w:r w:rsidR="11B1C9AB" w:rsidRPr="62F1326A">
        <w:rPr>
          <w:rStyle w:val="CETCaptionCarattere"/>
          <w:i w:val="0"/>
          <w:lang w:val="en-US"/>
        </w:rPr>
        <w:t xml:space="preserve"> is</w:t>
      </w:r>
      <w:r w:rsidR="001E056B" w:rsidRPr="003E7DFF">
        <w:rPr>
          <w:rStyle w:val="CETCaptionCarattere"/>
          <w:i w:val="0"/>
          <w:iCs/>
          <w:lang w:val="en-US"/>
        </w:rPr>
        <w:t xml:space="preserve"> </w:t>
      </w:r>
      <w:r w:rsidR="0121AF5E" w:rsidRPr="5CA862A3">
        <w:rPr>
          <w:rStyle w:val="CETCaptionCarattere"/>
          <w:i w:val="0"/>
          <w:lang w:val="en-US"/>
        </w:rPr>
        <w:t>28.4</w:t>
      </w:r>
      <w:r w:rsidR="002677BF">
        <w:rPr>
          <w:rStyle w:val="CETCaptionCarattere"/>
          <w:i w:val="0"/>
          <w:lang w:val="en-US"/>
        </w:rPr>
        <w:t xml:space="preserve"> </w:t>
      </w:r>
      <w:r w:rsidR="0121AF5E" w:rsidRPr="5CA862A3">
        <w:rPr>
          <w:rStyle w:val="CETCaptionCarattere"/>
          <w:i w:val="0"/>
          <w:lang w:val="en-US"/>
        </w:rPr>
        <w:t xml:space="preserve">% more expensive than </w:t>
      </w:r>
      <w:r w:rsidR="0121AF5E" w:rsidRPr="0CFDD9D9">
        <w:rPr>
          <w:rStyle w:val="CETCaptionCarattere"/>
          <w:i w:val="0"/>
          <w:lang w:val="en-US"/>
        </w:rPr>
        <w:t>the</w:t>
      </w:r>
      <w:r w:rsidR="001E056B" w:rsidRPr="003E7DFF">
        <w:rPr>
          <w:rStyle w:val="CETCaptionCarattere"/>
          <w:i w:val="0"/>
          <w:iCs/>
          <w:lang w:val="en-US"/>
        </w:rPr>
        <w:t xml:space="preserve"> UAE process</w:t>
      </w:r>
      <w:r w:rsidR="0121AF5E" w:rsidRPr="0CFDD9D9">
        <w:rPr>
          <w:rStyle w:val="CETCaptionCarattere"/>
          <w:i w:val="0"/>
          <w:lang w:val="en-US"/>
        </w:rPr>
        <w:t xml:space="preserve">. </w:t>
      </w:r>
      <w:r w:rsidR="0121AF5E" w:rsidRPr="1A4F3EE5">
        <w:rPr>
          <w:rStyle w:val="CETCaptionCarattere"/>
          <w:i w:val="0"/>
          <w:lang w:val="en-US"/>
        </w:rPr>
        <w:t>This occurs mainly b</w:t>
      </w:r>
      <w:r w:rsidR="001E056B" w:rsidRPr="1A4F3EE5">
        <w:rPr>
          <w:rStyle w:val="CETCaptionCarattere"/>
          <w:i w:val="0"/>
          <w:lang w:val="en-US"/>
        </w:rPr>
        <w:t>ecause</w:t>
      </w:r>
      <w:r w:rsidR="001E056B" w:rsidRPr="003E7DFF">
        <w:rPr>
          <w:rStyle w:val="CETCaptionCarattere"/>
          <w:i w:val="0"/>
          <w:iCs/>
          <w:lang w:val="en-US"/>
        </w:rPr>
        <w:t xml:space="preserve"> the purchase equipment </w:t>
      </w:r>
      <w:r w:rsidR="004063BA" w:rsidRPr="003E7DFF">
        <w:rPr>
          <w:rStyle w:val="CETCaptionCarattere"/>
          <w:i w:val="0"/>
          <w:iCs/>
          <w:lang w:val="en-US"/>
        </w:rPr>
        <w:t>costs,</w:t>
      </w:r>
      <w:r w:rsidR="001E056B" w:rsidRPr="003E7DFF">
        <w:rPr>
          <w:rStyle w:val="CETCaptionCarattere"/>
          <w:i w:val="0"/>
          <w:iCs/>
          <w:lang w:val="en-US"/>
        </w:rPr>
        <w:t xml:space="preserve"> and the energy consumption are higher in </w:t>
      </w:r>
      <w:r w:rsidR="521238D2" w:rsidRPr="35EEC1D6">
        <w:rPr>
          <w:rStyle w:val="CETCaptionCarattere"/>
          <w:i w:val="0"/>
          <w:lang w:val="en-US"/>
        </w:rPr>
        <w:t>the</w:t>
      </w:r>
      <w:r w:rsidR="001E056B" w:rsidRPr="35EEC1D6">
        <w:rPr>
          <w:rStyle w:val="CETCaptionCarattere"/>
          <w:i w:val="0"/>
          <w:lang w:val="en-US"/>
        </w:rPr>
        <w:t xml:space="preserve"> </w:t>
      </w:r>
      <w:r w:rsidR="001E056B" w:rsidRPr="003E7DFF">
        <w:rPr>
          <w:rStyle w:val="CETCaptionCarattere"/>
          <w:i w:val="0"/>
          <w:iCs/>
          <w:lang w:val="en-US"/>
        </w:rPr>
        <w:t xml:space="preserve">SE process. </w:t>
      </w:r>
    </w:p>
    <w:p w14:paraId="3DEFB6AB" w14:textId="604AD0FD" w:rsidR="00806D1F" w:rsidRPr="003E7DFF" w:rsidRDefault="00806D1F" w:rsidP="00806D1F">
      <w:pPr>
        <w:pStyle w:val="CETBodytext"/>
        <w:rPr>
          <w:rStyle w:val="CETCaptionCarattere"/>
          <w:i w:val="0"/>
          <w:iCs/>
          <w:lang w:val="en-US"/>
        </w:rPr>
      </w:pPr>
    </w:p>
    <w:p w14:paraId="459EC6A3" w14:textId="7541540E" w:rsidR="00806D1F" w:rsidRPr="003E7DFF" w:rsidRDefault="00806D1F" w:rsidP="00806D1F">
      <w:pPr>
        <w:pStyle w:val="CETBodytext"/>
        <w:rPr>
          <w:rStyle w:val="CETCaptionCarattere"/>
          <w:lang w:val="en-US"/>
        </w:rPr>
      </w:pPr>
    </w:p>
    <w:p w14:paraId="50F3B276" w14:textId="66428D7A" w:rsidR="00804235" w:rsidRDefault="00804235" w:rsidP="00123CEF">
      <w:pPr>
        <w:pStyle w:val="CETBodytext"/>
        <w:rPr>
          <w:rStyle w:val="CETCaptionCarattere"/>
          <w:lang w:val="en-US"/>
        </w:rPr>
      </w:pPr>
      <w:r w:rsidRPr="003E7DFF">
        <w:rPr>
          <w:noProof/>
        </w:rPr>
        <w:lastRenderedPageBreak/>
        <w:drawing>
          <wp:anchor distT="0" distB="0" distL="114300" distR="114300" simplePos="0" relativeHeight="251658243" behindDoc="0" locked="0" layoutInCell="1" allowOverlap="1" wp14:anchorId="0E9164A5" wp14:editId="16DA9DF5">
            <wp:simplePos x="0" y="0"/>
            <wp:positionH relativeFrom="column">
              <wp:posOffset>188595</wp:posOffset>
            </wp:positionH>
            <wp:positionV relativeFrom="paragraph">
              <wp:posOffset>470</wp:posOffset>
            </wp:positionV>
            <wp:extent cx="2497455" cy="1587500"/>
            <wp:effectExtent l="0" t="0" r="0" b="0"/>
            <wp:wrapSquare wrapText="bothSides"/>
            <wp:docPr id="2" name="Gráfico 2">
              <a:extLst xmlns:a="http://schemas.openxmlformats.org/drawingml/2006/main">
                <a:ext uri="{FF2B5EF4-FFF2-40B4-BE49-F238E27FC236}">
                  <a16:creationId xmlns:a16="http://schemas.microsoft.com/office/drawing/2014/main" id="{6EECB318-5BF9-4DB4-7C1F-1EB0FF3F7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261E5" w:rsidRPr="003E7DFF">
        <w:rPr>
          <w:noProof/>
        </w:rPr>
        <w:drawing>
          <wp:anchor distT="0" distB="0" distL="114300" distR="114300" simplePos="0" relativeHeight="251658242" behindDoc="0" locked="0" layoutInCell="1" allowOverlap="1" wp14:anchorId="3CCF3D86" wp14:editId="2E014A2A">
            <wp:simplePos x="0" y="0"/>
            <wp:positionH relativeFrom="column">
              <wp:posOffset>2832981</wp:posOffset>
            </wp:positionH>
            <wp:positionV relativeFrom="paragraph">
              <wp:posOffset>576</wp:posOffset>
            </wp:positionV>
            <wp:extent cx="2493010" cy="1592580"/>
            <wp:effectExtent l="0" t="0" r="2540" b="7620"/>
            <wp:wrapSquare wrapText="bothSides"/>
            <wp:docPr id="1" name="Gráfico 1">
              <a:extLst xmlns:a="http://schemas.openxmlformats.org/drawingml/2006/main">
                <a:ext uri="{FF2B5EF4-FFF2-40B4-BE49-F238E27FC236}">
                  <a16:creationId xmlns:a16="http://schemas.microsoft.com/office/drawing/2014/main" id="{9E4656C3-C3D5-420D-A585-69833EB37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35C8580" w14:textId="6FF849CC" w:rsidR="00A261E5" w:rsidRPr="005A4604" w:rsidRDefault="00A261E5" w:rsidP="00123CEF">
      <w:pPr>
        <w:pStyle w:val="CETBodytext"/>
      </w:pPr>
      <w:r w:rsidRPr="003E7DFF">
        <w:rPr>
          <w:rStyle w:val="CETCaptionCarattere"/>
          <w:lang w:val="en-US"/>
        </w:rPr>
        <w:t xml:space="preserve">Figure 4: The effect of Hexane to SCGs ratio </w:t>
      </w:r>
      <w:r w:rsidRPr="35EEC1D6">
        <w:rPr>
          <w:rStyle w:val="CETCaptionCarattere"/>
          <w:lang w:val="en-US"/>
        </w:rPr>
        <w:t>on the</w:t>
      </w:r>
      <w:r w:rsidRPr="003E7DFF">
        <w:rPr>
          <w:rStyle w:val="CETCaptionCarattere"/>
          <w:lang w:val="en-US"/>
        </w:rPr>
        <w:t xml:space="preserve"> total investment cost </w:t>
      </w:r>
      <w:r w:rsidRPr="35EEC1D6">
        <w:rPr>
          <w:rStyle w:val="CETCaptionCarattere"/>
          <w:lang w:val="en-US"/>
        </w:rPr>
        <w:t>for the</w:t>
      </w:r>
      <w:r w:rsidRPr="003E7DFF">
        <w:rPr>
          <w:rStyle w:val="CETCaptionCarattere"/>
          <w:lang w:val="en-US"/>
        </w:rPr>
        <w:t xml:space="preserve"> a) UAE and b) SE processes</w:t>
      </w:r>
      <w:r w:rsidRPr="12735958">
        <w:rPr>
          <w:rStyle w:val="CETCaptionCarattere"/>
          <w:lang w:val="en-US"/>
        </w:rPr>
        <w:t xml:space="preserve"> </w:t>
      </w:r>
      <w:r w:rsidR="00804235" w:rsidRPr="00A7675B">
        <w:rPr>
          <w:color w:val="000000" w:themeColor="text1"/>
        </w:rPr>
        <w:fldChar w:fldCharType="begin" w:fldLock="1"/>
      </w:r>
      <w:r w:rsidR="00A7675B">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d9fde57c-71f3-4280-8f92-cb18afd2d4d2"]}],"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804235" w:rsidRPr="005A4604">
        <w:rPr>
          <w:noProof/>
          <w:color w:val="000000" w:themeColor="text1"/>
        </w:rPr>
        <w:t>(Al-Hamamre et al., 2012; Le et al., 2017)</w:t>
      </w:r>
      <w:r w:rsidR="00804235" w:rsidRPr="00A7675B">
        <w:rPr>
          <w:color w:val="000000" w:themeColor="text1"/>
        </w:rPr>
        <w:fldChar w:fldCharType="end"/>
      </w:r>
      <w:r w:rsidR="00804235" w:rsidRPr="005A4604">
        <w:rPr>
          <w:color w:val="000000" w:themeColor="text1"/>
        </w:rPr>
        <w:t>.</w:t>
      </w:r>
    </w:p>
    <w:p w14:paraId="4004687A" w14:textId="77777777" w:rsidR="00A261E5" w:rsidRPr="005A4604" w:rsidRDefault="00A261E5" w:rsidP="00123CEF">
      <w:pPr>
        <w:pStyle w:val="CETBodytext"/>
        <w:rPr>
          <w:rStyle w:val="CETCaptionCarattere"/>
          <w:i w:val="0"/>
          <w:iCs/>
          <w:lang w:val="en-US"/>
        </w:rPr>
      </w:pPr>
    </w:p>
    <w:p w14:paraId="391E6317" w14:textId="1AADA9EC" w:rsidR="00123CEF" w:rsidRPr="003E7DFF" w:rsidRDefault="00123CEF" w:rsidP="00123CEF">
      <w:pPr>
        <w:pStyle w:val="CETBodytext"/>
        <w:rPr>
          <w:rStyle w:val="CETCaptionCarattere"/>
          <w:i w:val="0"/>
          <w:lang w:val="en-US"/>
        </w:rPr>
      </w:pPr>
      <w:r w:rsidRPr="00E34673">
        <w:rPr>
          <w:rStyle w:val="CETCaptionCarattere"/>
          <w:i w:val="0"/>
          <w:iCs/>
          <w:lang w:val="en-US"/>
        </w:rPr>
        <w:t xml:space="preserve">Figure 5 shows that, </w:t>
      </w:r>
      <w:r w:rsidRPr="00E34673">
        <w:rPr>
          <w:rStyle w:val="CETCaptionCarattere"/>
          <w:i w:val="0"/>
          <w:lang w:val="en-US"/>
        </w:rPr>
        <w:t>in all cases, the exergy destruction cost rate</w:t>
      </w:r>
      <w:r w:rsidRPr="00E34673">
        <w:t xml:space="preserve"> represents more than</w:t>
      </w:r>
      <w:r w:rsidRPr="00E34673">
        <w:rPr>
          <w:rStyle w:val="CETCaptionCarattere"/>
          <w:i w:val="0"/>
          <w:lang w:val="en-US"/>
        </w:rPr>
        <w:t xml:space="preserve"> 88.5 % of the operating cost rate, this means that the predominant cost in oil extraction processes is related to the exergy destruction rate. </w:t>
      </w:r>
      <w:r w:rsidRPr="35EEC1D6">
        <w:rPr>
          <w:rStyle w:val="CETCaptionCarattere"/>
          <w:i w:val="0"/>
          <w:lang w:val="en-US"/>
        </w:rPr>
        <w:t>Consequently, an</w:t>
      </w:r>
      <w:r w:rsidRPr="6FCD24C1">
        <w:rPr>
          <w:rStyle w:val="CETCaptionCarattere"/>
          <w:i w:val="0"/>
          <w:lang w:val="en-US"/>
        </w:rPr>
        <w:t xml:space="preserve"> increase of the </w:t>
      </w:r>
      <w:proofErr w:type="spellStart"/>
      <w:r w:rsidRPr="6FCD24C1">
        <w:rPr>
          <w:rStyle w:val="CETCaptionCarattere"/>
          <w:i w:val="0"/>
          <w:lang w:val="en-US"/>
        </w:rPr>
        <w:t>exergetic</w:t>
      </w:r>
      <w:proofErr w:type="spellEnd"/>
      <w:r w:rsidRPr="6FCD24C1">
        <w:rPr>
          <w:rStyle w:val="CETCaptionCarattere"/>
          <w:i w:val="0"/>
          <w:lang w:val="en-US"/>
        </w:rPr>
        <w:t xml:space="preserve"> efficiency of the extra</w:t>
      </w:r>
      <w:r>
        <w:rPr>
          <w:rStyle w:val="CETCaptionCarattere"/>
          <w:i w:val="0"/>
          <w:lang w:val="en-US"/>
        </w:rPr>
        <w:t>c</w:t>
      </w:r>
      <w:r w:rsidRPr="6FCD24C1">
        <w:rPr>
          <w:rStyle w:val="CETCaptionCarattere"/>
          <w:i w:val="0"/>
          <w:lang w:val="en-US"/>
        </w:rPr>
        <w:t xml:space="preserve">tion process would significantly reduce the operating </w:t>
      </w:r>
      <w:r w:rsidRPr="367150D0">
        <w:rPr>
          <w:rStyle w:val="CETCaptionCarattere"/>
          <w:i w:val="0"/>
          <w:lang w:val="en-US"/>
        </w:rPr>
        <w:t>cost</w:t>
      </w:r>
      <w:r>
        <w:rPr>
          <w:rStyle w:val="CETCaptionCarattere"/>
          <w:i w:val="0"/>
          <w:lang w:val="en-US"/>
        </w:rPr>
        <w:t>s</w:t>
      </w:r>
      <w:r w:rsidRPr="367150D0">
        <w:rPr>
          <w:rStyle w:val="CETCaptionCarattere"/>
          <w:i w:val="0"/>
          <w:lang w:val="en-US"/>
        </w:rPr>
        <w:t>.</w:t>
      </w:r>
      <w:r>
        <w:rPr>
          <w:rStyle w:val="CETCaptionCarattere"/>
          <w:i w:val="0"/>
          <w:lang w:val="en-US"/>
        </w:rPr>
        <w:t xml:space="preserve"> Furthermore, it can be observed </w:t>
      </w:r>
      <w:r w:rsidRPr="003E7DFF">
        <w:rPr>
          <w:rStyle w:val="CETCaptionCarattere"/>
          <w:i w:val="0"/>
          <w:lang w:val="en-US"/>
        </w:rPr>
        <w:t xml:space="preserve">that the </w:t>
      </w:r>
      <w:r w:rsidRPr="00C381AE">
        <w:rPr>
          <w:rStyle w:val="CETCaptionCarattere"/>
          <w:i w:val="0"/>
          <w:lang w:val="en-US"/>
        </w:rPr>
        <w:t xml:space="preserve">operating </w:t>
      </w:r>
      <w:r w:rsidRPr="35EEC1D6">
        <w:rPr>
          <w:rStyle w:val="CETCaptionCarattere"/>
          <w:i w:val="0"/>
          <w:lang w:val="en-US"/>
        </w:rPr>
        <w:t>cost</w:t>
      </w:r>
      <w:r w:rsidRPr="00C381AE">
        <w:rPr>
          <w:rStyle w:val="CETCaptionCarattere"/>
          <w:i w:val="0"/>
          <w:lang w:val="en-US"/>
        </w:rPr>
        <w:t xml:space="preserve"> rate of the </w:t>
      </w:r>
      <w:r w:rsidRPr="003E7DFF">
        <w:rPr>
          <w:rStyle w:val="CETCaptionCarattere"/>
          <w:i w:val="0"/>
          <w:lang w:val="en-US"/>
        </w:rPr>
        <w:t xml:space="preserve">SE process </w:t>
      </w:r>
      <w:r w:rsidRPr="00C381AE">
        <w:rPr>
          <w:rStyle w:val="CETCaptionCarattere"/>
          <w:i w:val="0"/>
          <w:lang w:val="en-US"/>
        </w:rPr>
        <w:t xml:space="preserve">is </w:t>
      </w:r>
      <w:r>
        <w:rPr>
          <w:rStyle w:val="CETCaptionCarattere"/>
          <w:i w:val="0"/>
          <w:lang w:val="en-US"/>
        </w:rPr>
        <w:t xml:space="preserve">78.2 </w:t>
      </w:r>
      <w:r w:rsidRPr="003E7DFF">
        <w:rPr>
          <w:rStyle w:val="CETCaptionCarattere"/>
          <w:i w:val="0"/>
          <w:lang w:val="en-US"/>
        </w:rPr>
        <w:t xml:space="preserve">% more </w:t>
      </w:r>
      <w:r w:rsidRPr="35EEC1D6">
        <w:rPr>
          <w:rStyle w:val="CETCaptionCarattere"/>
          <w:i w:val="0"/>
          <w:lang w:val="en-US"/>
        </w:rPr>
        <w:t>expensive</w:t>
      </w:r>
      <w:r w:rsidRPr="003E7DFF">
        <w:rPr>
          <w:rStyle w:val="CETCaptionCarattere"/>
          <w:i w:val="0"/>
          <w:lang w:val="en-US"/>
        </w:rPr>
        <w:t xml:space="preserve"> than the UAE process. </w:t>
      </w:r>
    </w:p>
    <w:p w14:paraId="2603DE56" w14:textId="31C586F4" w:rsidR="00A261E5" w:rsidRDefault="00A261E5" w:rsidP="00123CEF">
      <w:pPr>
        <w:pStyle w:val="CETBodytext"/>
        <w:rPr>
          <w:rStyle w:val="CETCaptionCarattere"/>
          <w:lang w:val="en-US"/>
        </w:rPr>
      </w:pPr>
      <w:r>
        <w:rPr>
          <w:noProof/>
        </w:rPr>
        <w:drawing>
          <wp:anchor distT="0" distB="0" distL="114300" distR="114300" simplePos="0" relativeHeight="251660294" behindDoc="0" locked="0" layoutInCell="1" allowOverlap="1" wp14:anchorId="4201EB22" wp14:editId="611A0BD1">
            <wp:simplePos x="0" y="0"/>
            <wp:positionH relativeFrom="column">
              <wp:posOffset>271869</wp:posOffset>
            </wp:positionH>
            <wp:positionV relativeFrom="paragraph">
              <wp:posOffset>73601</wp:posOffset>
            </wp:positionV>
            <wp:extent cx="2317750" cy="1587500"/>
            <wp:effectExtent l="0" t="0" r="6350" b="0"/>
            <wp:wrapSquare wrapText="bothSides"/>
            <wp:docPr id="8" name="Gráfico 8">
              <a:extLst xmlns:a="http://schemas.openxmlformats.org/drawingml/2006/main">
                <a:ext uri="{FF2B5EF4-FFF2-40B4-BE49-F238E27FC236}">
                  <a16:creationId xmlns:a16="http://schemas.microsoft.com/office/drawing/2014/main" id="{AFA4B444-39B9-4A72-811D-B44C22719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8" behindDoc="0" locked="0" layoutInCell="1" allowOverlap="1" wp14:anchorId="63A5EF0F" wp14:editId="70D89EE7">
            <wp:simplePos x="0" y="0"/>
            <wp:positionH relativeFrom="column">
              <wp:posOffset>2651804</wp:posOffset>
            </wp:positionH>
            <wp:positionV relativeFrom="paragraph">
              <wp:posOffset>148708</wp:posOffset>
            </wp:positionV>
            <wp:extent cx="2351405" cy="1587500"/>
            <wp:effectExtent l="0" t="0" r="0" b="0"/>
            <wp:wrapSquare wrapText="bothSides"/>
            <wp:docPr id="9" name="Gráfico 9">
              <a:extLst xmlns:a="http://schemas.openxmlformats.org/drawingml/2006/main">
                <a:ext uri="{FF2B5EF4-FFF2-40B4-BE49-F238E27FC236}">
                  <a16:creationId xmlns:a16="http://schemas.microsoft.com/office/drawing/2014/main" id="{FFCD0B77-92AA-48B3-89CA-D0B3D000C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3480737" w14:textId="77777777" w:rsidR="00A261E5" w:rsidRDefault="00A261E5" w:rsidP="00123CEF">
      <w:pPr>
        <w:pStyle w:val="CETBodytext"/>
        <w:rPr>
          <w:rStyle w:val="CETCaptionCarattere"/>
          <w:lang w:val="en-US"/>
        </w:rPr>
      </w:pPr>
    </w:p>
    <w:p w14:paraId="09466E84" w14:textId="77777777" w:rsidR="00A261E5" w:rsidRDefault="00A261E5" w:rsidP="00123CEF">
      <w:pPr>
        <w:pStyle w:val="CETBodytext"/>
        <w:rPr>
          <w:rStyle w:val="CETCaptionCarattere"/>
          <w:lang w:val="en-US"/>
        </w:rPr>
      </w:pPr>
    </w:p>
    <w:p w14:paraId="28FA4092" w14:textId="77777777" w:rsidR="00A261E5" w:rsidRDefault="00A261E5" w:rsidP="00123CEF">
      <w:pPr>
        <w:pStyle w:val="CETBodytext"/>
        <w:rPr>
          <w:rStyle w:val="CETCaptionCarattere"/>
          <w:lang w:val="en-US"/>
        </w:rPr>
      </w:pPr>
    </w:p>
    <w:p w14:paraId="48028B00" w14:textId="77777777" w:rsidR="00A261E5" w:rsidRDefault="00A261E5" w:rsidP="00123CEF">
      <w:pPr>
        <w:pStyle w:val="CETBodytext"/>
        <w:rPr>
          <w:rStyle w:val="CETCaptionCarattere"/>
          <w:lang w:val="en-US"/>
        </w:rPr>
      </w:pPr>
    </w:p>
    <w:p w14:paraId="79A89F60" w14:textId="77777777" w:rsidR="00A261E5" w:rsidRDefault="00A261E5" w:rsidP="00123CEF">
      <w:pPr>
        <w:pStyle w:val="CETBodytext"/>
        <w:rPr>
          <w:rStyle w:val="CETCaptionCarattere"/>
          <w:lang w:val="en-US"/>
        </w:rPr>
      </w:pPr>
    </w:p>
    <w:p w14:paraId="37842D60" w14:textId="77777777" w:rsidR="00A261E5" w:rsidRDefault="00A261E5" w:rsidP="00123CEF">
      <w:pPr>
        <w:pStyle w:val="CETBodytext"/>
        <w:rPr>
          <w:rStyle w:val="CETCaptionCarattere"/>
          <w:lang w:val="en-US"/>
        </w:rPr>
      </w:pPr>
    </w:p>
    <w:p w14:paraId="49F0ED5C" w14:textId="77777777" w:rsidR="00A261E5" w:rsidRDefault="00A261E5" w:rsidP="00123CEF">
      <w:pPr>
        <w:pStyle w:val="CETBodytext"/>
        <w:rPr>
          <w:rStyle w:val="CETCaptionCarattere"/>
          <w:lang w:val="en-US"/>
        </w:rPr>
      </w:pPr>
    </w:p>
    <w:p w14:paraId="11771518" w14:textId="77777777" w:rsidR="00A261E5" w:rsidRDefault="00A261E5" w:rsidP="00123CEF">
      <w:pPr>
        <w:pStyle w:val="CETBodytext"/>
        <w:rPr>
          <w:rStyle w:val="CETCaptionCarattere"/>
          <w:lang w:val="en-US"/>
        </w:rPr>
      </w:pPr>
    </w:p>
    <w:p w14:paraId="4EBFDC57" w14:textId="77777777" w:rsidR="00A261E5" w:rsidRDefault="00A261E5" w:rsidP="00123CEF">
      <w:pPr>
        <w:pStyle w:val="CETBodytext"/>
        <w:rPr>
          <w:rStyle w:val="CETCaptionCarattere"/>
          <w:lang w:val="en-US"/>
        </w:rPr>
      </w:pPr>
    </w:p>
    <w:p w14:paraId="4F051C34" w14:textId="77777777" w:rsidR="00A261E5" w:rsidRDefault="00A261E5" w:rsidP="00123CEF">
      <w:pPr>
        <w:pStyle w:val="CETBodytext"/>
        <w:rPr>
          <w:rStyle w:val="CETCaptionCarattere"/>
          <w:lang w:val="en-US"/>
        </w:rPr>
      </w:pPr>
    </w:p>
    <w:p w14:paraId="04C71B3B" w14:textId="77777777" w:rsidR="00A261E5" w:rsidRDefault="00A261E5" w:rsidP="00123CEF">
      <w:pPr>
        <w:pStyle w:val="CETBodytext"/>
        <w:rPr>
          <w:rStyle w:val="CETCaptionCarattere"/>
          <w:lang w:val="en-US"/>
        </w:rPr>
      </w:pPr>
    </w:p>
    <w:p w14:paraId="73243D79" w14:textId="77777777" w:rsidR="00A261E5" w:rsidRDefault="00A261E5" w:rsidP="00123CEF">
      <w:pPr>
        <w:pStyle w:val="CETBodytext"/>
        <w:rPr>
          <w:rStyle w:val="CETCaptionCarattere"/>
          <w:lang w:val="en-US"/>
        </w:rPr>
      </w:pPr>
    </w:p>
    <w:p w14:paraId="65A41AD3" w14:textId="4F5AD23E" w:rsidR="00123CEF" w:rsidRPr="003E7DFF" w:rsidRDefault="00123CEF" w:rsidP="00123CEF">
      <w:pPr>
        <w:pStyle w:val="CETBodytext"/>
        <w:rPr>
          <w:rStyle w:val="CETCaptionCarattere"/>
          <w:lang w:val="en-US"/>
        </w:rPr>
      </w:pPr>
      <w:r w:rsidRPr="003E7DFF">
        <w:rPr>
          <w:rStyle w:val="CETCaptionCarattere"/>
          <w:lang w:val="en-US"/>
        </w:rPr>
        <w:t xml:space="preserve">Figure </w:t>
      </w:r>
      <w:r>
        <w:rPr>
          <w:rStyle w:val="CETCaptionCarattere"/>
          <w:lang w:val="en-US"/>
        </w:rPr>
        <w:t>5</w:t>
      </w:r>
      <w:r w:rsidRPr="003E7DFF">
        <w:rPr>
          <w:rStyle w:val="CETCaptionCarattere"/>
          <w:lang w:val="en-US"/>
        </w:rPr>
        <w:t xml:space="preserve">: The effect of Hexane to SCGs ratio </w:t>
      </w:r>
      <w:r w:rsidRPr="35EEC1D6">
        <w:rPr>
          <w:rStyle w:val="CETCaptionCarattere"/>
          <w:lang w:val="en-US"/>
        </w:rPr>
        <w:t>on the</w:t>
      </w:r>
      <w:r w:rsidRPr="003E7DFF">
        <w:rPr>
          <w:rStyle w:val="CETCaptionCarattere"/>
          <w:lang w:val="en-US"/>
        </w:rPr>
        <w:t xml:space="preserve"> </w:t>
      </w:r>
      <w:r>
        <w:rPr>
          <w:rStyle w:val="CETCaptionCarattere"/>
          <w:lang w:val="en-US"/>
        </w:rPr>
        <w:t>operational cost rate</w:t>
      </w:r>
      <w:r w:rsidRPr="003E7DFF">
        <w:rPr>
          <w:rStyle w:val="CETCaptionCarattere"/>
          <w:lang w:val="en-US"/>
        </w:rPr>
        <w:t xml:space="preserve"> </w:t>
      </w:r>
      <w:r w:rsidRPr="35EEC1D6">
        <w:rPr>
          <w:rStyle w:val="CETCaptionCarattere"/>
          <w:lang w:val="en-US"/>
        </w:rPr>
        <w:t>for the</w:t>
      </w:r>
      <w:r w:rsidRPr="003E7DFF">
        <w:rPr>
          <w:rStyle w:val="CETCaptionCarattere"/>
          <w:lang w:val="en-US"/>
        </w:rPr>
        <w:t xml:space="preserve"> a) UAE and b) SE processes</w:t>
      </w:r>
      <w:r w:rsidRPr="12735958">
        <w:rPr>
          <w:rStyle w:val="CETCaptionCarattere"/>
          <w:lang w:val="en-US"/>
        </w:rPr>
        <w:t xml:space="preserve"> </w:t>
      </w:r>
      <w:r w:rsidR="00804235" w:rsidRPr="00A7675B">
        <w:rPr>
          <w:color w:val="000000" w:themeColor="text1"/>
        </w:rPr>
        <w:fldChar w:fldCharType="begin" w:fldLock="1"/>
      </w:r>
      <w:r w:rsidR="00A7675B">
        <w:rPr>
          <w:color w:val="000000" w:themeColor="text1"/>
        </w:rPr>
        <w:instrText>ADDIN CSL_CITATION {"citationItems":[{"id":"ITEM-1","itemData":{"ISBN":"9788895608471","ISSN":"22839216","abstract":"Spent coffee grounds (SCG) have grown its popularity as a low-cost and versatile resource in multiple application fields. The economic potential of SCG is highlighted by its abundance and rich contents of various beneficial compounds, such as polyphenols, polysaccharides, amino acids, antioxidants, etc. This study aimed to evaluate the content of lipid hydroperoxide (LP), total phenolic content (TPC), flavonoid content (TFC) and antioxidant in SCG's extract. The coffee grounds were extracted using n-hexane and methanol in three different SCG/solvent (w/v) ratios: 1 : 10, 1 : 15 and 1 : 20. Both conventional and advanced extraction methods were employed, including Maceration (MAC), Soxhlet (SOX), ultrasound-Assisted extraction (UAE), microwave-Assisted extraction (MAE). The highest contents of LP and TPC were 0.0191 mM and 13.466 mg gallic acid (AG)/g dry weight by using UAE at the ratio of 1 : 20. With the same ratio, TFC peaked the highest point at 31.15 mg quercetin/g dry weight when extracted by MAE method. The oil recovery yield was in the range from 9.42 % to 17.96 %. The phenolic recovery yield was between 5.76 % and 12.3 %. The results indicated the high antioxidant capacity of the extract.","author":[{"dropping-particle":"","family":"Le","given":"Phung T.K.","non-dropping-particle":"","parse-names":false,"suffix":""},{"dropping-particle":"","family":"Vu","given":"Quan T.H.","non-dropping-particle":"","parse-names":false,"suffix":""},{"dropping-particle":"","family":"Nguyen","given":"Quan T.V.","non-dropping-particle":"","parse-names":false,"suffix":""},{"dropping-particle":"","family":"Tran","given":"Khoa A.","non-dropping-particle":"","parse-names":false,"suffix":""},{"dropping-particle":"","family":"Le","given":"Kien A.","non-dropping-particle":"","parse-names":false,"suffix":""}],"container-title":"Chemical Engineering Transactions","id":"ITEM-1","issue":"January 2017","issued":{"date-parts":[["2017"]]},"page":"1729-1734","title":"Extraction and evaluation the biological activities of oil from spent coffee grounds","type":"article-journal","volume":"56"},"uris":["http://www.mendeley.com/documents/?uuid=1c549636-1154-402f-9fc0-09e1ff3650ba","http://www.mendeley.com/documents/?uuid=742e7abe-3be1-4062-b268-8abac196a52d"]},{"id":"ITEM-2","itemData":{"ISSN":"00162361","abstract":"The effect of different extraction solvents (polar and non-polar) on yield, chemical and physical properties, including free fatty acid content (FFA) or acid value (AV), saponification value (SV), density, viscosity, elemental composition and heating values of oil extracted from spent coffee grounds (SCG) is investigated. The Soxhlet extraction method is utilized for the extraction of oil from spent coffee grounds. Iso-propanol, ethanol, and acetone as polar solvents and toluene, chloroform, hexane and n-pentane as nonpolar solvents are used. For each solvent, the oil yield is recorded for different time spans. The results show that the highest oil yield (15.3%) is achieved using hexane as an extraction solvent after 30 min of extraction time. The AV and SV of the extracted oils vary depending on the extraction solvent. The results indicate that AV of SCG oil extracted with hexane is 3.65% (7.3 mg KOH/g). This value is lower than the values for spent coffee oil extracted with the other solvents (ethanol 3.85%, isopropanol 6.4%, chloroform 4.55%, and toluene 4.15%). Free fatty acids (FFA) of the extracted oil are converted into fatty acid methyl ester (FAME) by base-catalyzed esterification. Effects of temperature, the ratio of FFA to the methanol-KOH solution and the reaction time are investigated. With one step alkali-catalyzed transesterification, oil conversion to methyl ester can be enhanced from approx. 55-85% by increasing the reaction time, the reaction temperature and the MeOH-KOH/FFA ratio. However, a complete oil conversion could only be achieved by utilizing a two-steps transesterification process. © 2012 Elsevier Ltd. All rights reserved.","author":[{"dropping-particle":"","family":"Al-Hamamre","given":"Zayed","non-dropping-particle":"","parse-names":false,"suffix":""},{"dropping-particle":"","family":"Foerster","given":"Sascha","non-dropping-particle":"","parse-names":false,"suffix":""},{"dropping-particle":"","family":"Hartmann","given":"Franziska","non-dropping-particle":"","parse-names":false,"suffix":""},{"dropping-particle":"","family":"Kröger","given":"Michael","non-dropping-particle":"","parse-names":false,"suffix":""},{"dropping-particle":"","family":"Kaltschmitt","given":"Martin","non-dropping-particle":"","parse-names":false,"suffix":""}],"container-title":"Fuel","id":"ITEM-2","issue":"x","issued":{"date-parts":[["2012"]]},"page":"70-76","publisher":"Elsevier Ltd","title":"Oil extracted from spent coffee grounds as a renewable source for fatty acid methyl ester manufacturing","type":"article-journal","volume":"96"},"uris":["http://www.mendeley.com/documents/?uuid=bd3d2214-36f0-4c3d-8b38-d5d2418d731c","http://www.mendeley.com/documents/?uuid=378fe7cc-7a3d-43db-a87e-0b42de9a7c66","http://www.mendeley.com/documents/?uuid=bffefe65-85c3-4529-80ac-787ee182c35f"]}],"mendeley":{"formattedCitation":"(Al-Hamamre et al., 2012; Le et al., 2017)","plainTextFormattedCitation":"(Al-Hamamre et al., 2012; Le et al., 2017)","previouslyFormattedCitation":"(Al-Hamamre et al., 2012; Le et al., 2017)"},"properties":{"noteIndex":0},"schema":"https://github.com/citation-style-language/schema/raw/master/csl-citation.json"}</w:instrText>
      </w:r>
      <w:r w:rsidR="00804235" w:rsidRPr="00A7675B">
        <w:rPr>
          <w:color w:val="000000" w:themeColor="text1"/>
        </w:rPr>
        <w:fldChar w:fldCharType="separate"/>
      </w:r>
      <w:r w:rsidR="00804235" w:rsidRPr="00A7675B">
        <w:rPr>
          <w:noProof/>
          <w:color w:val="000000" w:themeColor="text1"/>
        </w:rPr>
        <w:t>(Al-Hamamre et al., 2012; Le et al., 2017)</w:t>
      </w:r>
      <w:r w:rsidR="00804235" w:rsidRPr="00A7675B">
        <w:rPr>
          <w:color w:val="000000" w:themeColor="text1"/>
        </w:rPr>
        <w:fldChar w:fldCharType="end"/>
      </w:r>
      <w:r w:rsidRPr="00A7675B">
        <w:rPr>
          <w:rStyle w:val="CETCaptionCarattere"/>
          <w:i w:val="0"/>
          <w:iCs/>
          <w:color w:val="000000" w:themeColor="text1"/>
          <w:lang w:val="en-US"/>
        </w:rPr>
        <w:t>.</w:t>
      </w:r>
    </w:p>
    <w:p w14:paraId="4BB8CA22" w14:textId="77777777" w:rsidR="00123CEF" w:rsidRDefault="00123CEF" w:rsidP="03DD4199">
      <w:pPr>
        <w:pStyle w:val="CETBodytext"/>
        <w:rPr>
          <w:rStyle w:val="CETCaptionCarattere"/>
          <w:i w:val="0"/>
          <w:lang w:val="en-US"/>
        </w:rPr>
      </w:pPr>
    </w:p>
    <w:p w14:paraId="2C458A65" w14:textId="4FB068C7" w:rsidR="003A78BC" w:rsidRPr="00123CEF" w:rsidRDefault="00123CEF" w:rsidP="007F4436">
      <w:pPr>
        <w:pStyle w:val="CETBodytext"/>
        <w:rPr>
          <w:rStyle w:val="CETCaptionCarattere"/>
          <w:i w:val="0"/>
          <w:lang w:val="en-US"/>
        </w:rPr>
      </w:pPr>
      <w:r>
        <w:rPr>
          <w:rStyle w:val="CETCaptionCarattere"/>
          <w:i w:val="0"/>
          <w:lang w:val="en-US"/>
        </w:rPr>
        <w:t>A</w:t>
      </w:r>
      <w:r w:rsidR="6242FDDE" w:rsidRPr="35EEC1D6">
        <w:rPr>
          <w:rStyle w:val="CETCaptionCarattere"/>
          <w:i w:val="0"/>
          <w:lang w:val="en-US"/>
        </w:rPr>
        <w:t>lthough</w:t>
      </w:r>
      <w:r w:rsidR="6242FDDE" w:rsidRPr="59819811">
        <w:rPr>
          <w:rStyle w:val="CETCaptionCarattere"/>
          <w:i w:val="0"/>
          <w:lang w:val="en-US"/>
        </w:rPr>
        <w:t xml:space="preserve"> the operating costs are </w:t>
      </w:r>
      <w:r w:rsidR="6242FDDE" w:rsidRPr="53F73B8E">
        <w:rPr>
          <w:rStyle w:val="CETCaptionCarattere"/>
          <w:i w:val="0"/>
          <w:lang w:val="en-US"/>
        </w:rPr>
        <w:t xml:space="preserve">increased with the increment of the solvent to SCGs ratio, </w:t>
      </w:r>
      <w:r>
        <w:rPr>
          <w:rStyle w:val="CETCaptionCarattere"/>
          <w:i w:val="0"/>
          <w:lang w:val="en-US"/>
        </w:rPr>
        <w:t xml:space="preserve">Table 2 shows that </w:t>
      </w:r>
      <w:r w:rsidR="6242FDDE" w:rsidRPr="53F73B8E">
        <w:rPr>
          <w:rStyle w:val="CETCaptionCarattere"/>
          <w:i w:val="0"/>
          <w:lang w:val="en-US"/>
        </w:rPr>
        <w:t xml:space="preserve">the </w:t>
      </w:r>
      <w:r w:rsidR="6242FDDE" w:rsidRPr="79F66D01">
        <w:rPr>
          <w:rStyle w:val="CETCaptionCarattere"/>
          <w:i w:val="0"/>
          <w:lang w:val="en-US"/>
        </w:rPr>
        <w:t xml:space="preserve">oil specific cost is reduced </w:t>
      </w:r>
      <w:r w:rsidR="14CC142B" w:rsidRPr="381E2A32">
        <w:rPr>
          <w:rStyle w:val="CETCaptionCarattere"/>
          <w:i w:val="0"/>
          <w:lang w:val="en-US"/>
        </w:rPr>
        <w:t>up to</w:t>
      </w:r>
      <w:r w:rsidR="6242FDDE" w:rsidRPr="381E2A32">
        <w:rPr>
          <w:rStyle w:val="CETCaptionCarattere"/>
          <w:i w:val="0"/>
          <w:lang w:val="en-US"/>
        </w:rPr>
        <w:t xml:space="preserve"> </w:t>
      </w:r>
      <w:r w:rsidR="311DD793" w:rsidRPr="433218EF">
        <w:rPr>
          <w:rStyle w:val="CETCaptionCarattere"/>
          <w:i w:val="0"/>
          <w:lang w:val="en-US"/>
        </w:rPr>
        <w:t>68</w:t>
      </w:r>
      <w:r w:rsidR="14CC142B" w:rsidRPr="40211CBB">
        <w:rPr>
          <w:rStyle w:val="CETCaptionCarattere"/>
          <w:i w:val="0"/>
          <w:lang w:val="en-US"/>
        </w:rPr>
        <w:t xml:space="preserve">.5% when using </w:t>
      </w:r>
      <w:r w:rsidR="14CC142B" w:rsidRPr="10A902A3">
        <w:rPr>
          <w:rStyle w:val="CETCaptionCarattere"/>
          <w:i w:val="0"/>
          <w:lang w:val="en-US"/>
        </w:rPr>
        <w:t>20</w:t>
      </w:r>
      <w:r w:rsidR="4DB55C33" w:rsidRPr="10A902A3">
        <w:rPr>
          <w:rStyle w:val="CETCaptionCarattere"/>
          <w:i w:val="0"/>
          <w:lang w:val="en-US"/>
        </w:rPr>
        <w:t xml:space="preserve"> </w:t>
      </w:r>
      <w:r w:rsidR="6ABDB398" w:rsidRPr="433218EF">
        <w:rPr>
          <w:rStyle w:val="CETCaptionCarattere"/>
          <w:i w:val="0"/>
          <w:lang w:val="en-US"/>
        </w:rPr>
        <w:t>m</w:t>
      </w:r>
      <w:r w:rsidR="4ADB4345" w:rsidRPr="433218EF">
        <w:rPr>
          <w:rStyle w:val="CETCaptionCarattere"/>
          <w:i w:val="0"/>
          <w:lang w:val="en-US"/>
        </w:rPr>
        <w:t>L</w:t>
      </w:r>
      <w:r w:rsidR="4DB55C33" w:rsidRPr="10A902A3">
        <w:rPr>
          <w:rStyle w:val="CETCaptionCarattere"/>
          <w:i w:val="0"/>
          <w:lang w:val="en-US"/>
        </w:rPr>
        <w:t>/g.</w:t>
      </w:r>
      <w:r w:rsidR="6242FDDE" w:rsidRPr="10A902A3">
        <w:rPr>
          <w:rStyle w:val="CETCaptionCarattere"/>
          <w:i w:val="0"/>
          <w:lang w:val="en-US"/>
        </w:rPr>
        <w:t xml:space="preserve"> </w:t>
      </w:r>
      <w:r w:rsidR="39CA6C1C" w:rsidRPr="10A902A3">
        <w:rPr>
          <w:rStyle w:val="CETCaptionCarattere"/>
          <w:i w:val="0"/>
          <w:lang w:val="en-US"/>
        </w:rPr>
        <w:t xml:space="preserve">Furthermore, the oil specific cost is reduced </w:t>
      </w:r>
      <w:r w:rsidR="6BA90344" w:rsidRPr="0AD9AF31">
        <w:rPr>
          <w:rStyle w:val="CETCaptionCarattere"/>
          <w:i w:val="0"/>
          <w:lang w:val="en-US"/>
        </w:rPr>
        <w:t>up to 8</w:t>
      </w:r>
      <w:r w:rsidR="00530615">
        <w:rPr>
          <w:rStyle w:val="CETCaptionCarattere"/>
          <w:i w:val="0"/>
          <w:lang w:val="en-US"/>
        </w:rPr>
        <w:t>3.5</w:t>
      </w:r>
      <w:r w:rsidR="6BA90344" w:rsidRPr="0AD9AF31">
        <w:rPr>
          <w:rStyle w:val="CETCaptionCarattere"/>
          <w:i w:val="0"/>
          <w:lang w:val="en-US"/>
        </w:rPr>
        <w:t xml:space="preserve">% </w:t>
      </w:r>
      <w:r w:rsidR="39CA6C1C" w:rsidRPr="10A902A3">
        <w:rPr>
          <w:rStyle w:val="CETCaptionCarattere"/>
          <w:i w:val="0"/>
          <w:lang w:val="en-US"/>
        </w:rPr>
        <w:t xml:space="preserve">when </w:t>
      </w:r>
      <w:r w:rsidR="6BA90344" w:rsidRPr="433218EF">
        <w:rPr>
          <w:rStyle w:val="CETCaptionCarattere"/>
          <w:i w:val="0"/>
          <w:lang w:val="en-US"/>
        </w:rPr>
        <w:t>UA</w:t>
      </w:r>
      <w:r w:rsidR="1866FE3D" w:rsidRPr="433218EF">
        <w:rPr>
          <w:rStyle w:val="CETCaptionCarattere"/>
          <w:i w:val="0"/>
          <w:lang w:val="en-US"/>
        </w:rPr>
        <w:t>E</w:t>
      </w:r>
      <w:r w:rsidR="39CA6C1C" w:rsidRPr="10A902A3">
        <w:rPr>
          <w:rStyle w:val="CETCaptionCarattere"/>
          <w:i w:val="0"/>
          <w:lang w:val="en-US"/>
        </w:rPr>
        <w:t xml:space="preserve"> process is </w:t>
      </w:r>
      <w:r w:rsidR="6BA90344" w:rsidRPr="433218EF">
        <w:rPr>
          <w:rStyle w:val="CETCaptionCarattere"/>
          <w:i w:val="0"/>
          <w:lang w:val="en-US"/>
        </w:rPr>
        <w:t>a</w:t>
      </w:r>
      <w:r w:rsidR="02A23742" w:rsidRPr="433218EF">
        <w:rPr>
          <w:rStyle w:val="CETCaptionCarattere"/>
          <w:i w:val="0"/>
          <w:lang w:val="en-US"/>
        </w:rPr>
        <w:t>p</w:t>
      </w:r>
      <w:r w:rsidR="6BA90344" w:rsidRPr="433218EF">
        <w:rPr>
          <w:rStyle w:val="CETCaptionCarattere"/>
          <w:i w:val="0"/>
          <w:lang w:val="en-US"/>
        </w:rPr>
        <w:t>plied</w:t>
      </w:r>
      <w:r w:rsidR="39CA6C1C" w:rsidRPr="10A902A3">
        <w:rPr>
          <w:rStyle w:val="CETCaptionCarattere"/>
          <w:i w:val="0"/>
          <w:lang w:val="en-US"/>
        </w:rPr>
        <w:t xml:space="preserve"> instead of</w:t>
      </w:r>
      <w:r w:rsidR="0051133A" w:rsidRPr="003E7DFF">
        <w:rPr>
          <w:rStyle w:val="CETCaptionCarattere"/>
          <w:i w:val="0"/>
          <w:iCs/>
          <w:lang w:val="en-US"/>
        </w:rPr>
        <w:t xml:space="preserve"> </w:t>
      </w:r>
      <w:r w:rsidR="76EEBF19" w:rsidRPr="433218EF">
        <w:rPr>
          <w:rStyle w:val="CETCaptionCarattere"/>
          <w:i w:val="0"/>
          <w:lang w:val="en-US"/>
        </w:rPr>
        <w:t>SE process at 20 mL/g.</w:t>
      </w:r>
      <w:r w:rsidR="003A78BC" w:rsidRPr="003E7DFF">
        <w:rPr>
          <w:rStyle w:val="CETCaptionCarattere"/>
          <w:i w:val="0"/>
          <w:iCs/>
          <w:lang w:val="en-US"/>
        </w:rPr>
        <w:t xml:space="preserve"> The minimum </w:t>
      </w:r>
      <w:r w:rsidR="685E05DA" w:rsidRPr="3C8F80F5">
        <w:rPr>
          <w:rStyle w:val="CETCaptionCarattere"/>
          <w:i w:val="0"/>
          <w:lang w:val="en-US"/>
        </w:rPr>
        <w:t xml:space="preserve">oil specific cost </w:t>
      </w:r>
      <w:r w:rsidR="685E05DA" w:rsidRPr="58386CA6">
        <w:rPr>
          <w:rStyle w:val="CETCaptionCarattere"/>
          <w:i w:val="0"/>
          <w:lang w:val="en-US"/>
        </w:rPr>
        <w:t xml:space="preserve">obtained </w:t>
      </w:r>
      <w:r w:rsidR="003A78BC" w:rsidRPr="003E7DFF">
        <w:rPr>
          <w:rStyle w:val="CETCaptionCarattere"/>
          <w:i w:val="0"/>
          <w:iCs/>
          <w:lang w:val="en-US"/>
        </w:rPr>
        <w:t>from SCGs was 0.12 $/kg</w:t>
      </w:r>
      <w:r w:rsidR="001968C1" w:rsidRPr="003E7DFF">
        <w:rPr>
          <w:rStyle w:val="CETCaptionCarattere"/>
          <w:i w:val="0"/>
          <w:iCs/>
          <w:lang w:val="en-US"/>
        </w:rPr>
        <w:t>.</w:t>
      </w:r>
    </w:p>
    <w:p w14:paraId="67456B2F" w14:textId="36EB26B5" w:rsidR="00BC646A" w:rsidRPr="003E7DFF" w:rsidRDefault="004063BA" w:rsidP="00BC646A">
      <w:pPr>
        <w:pStyle w:val="CETTabletitle"/>
        <w:rPr>
          <w:lang w:val="en-US"/>
        </w:rPr>
      </w:pPr>
      <w:r>
        <w:rPr>
          <w:lang w:val="en-US"/>
        </w:rPr>
        <w:t>T</w:t>
      </w:r>
      <w:r w:rsidR="00BC646A" w:rsidRPr="003E7DFF">
        <w:rPr>
          <w:lang w:val="en-US"/>
        </w:rPr>
        <w:t xml:space="preserve">able </w:t>
      </w:r>
      <w:r w:rsidR="00DC7A21" w:rsidRPr="003E7DFF">
        <w:rPr>
          <w:lang w:val="en-US"/>
        </w:rPr>
        <w:t>2</w:t>
      </w:r>
      <w:r w:rsidR="00BC646A" w:rsidRPr="003E7DFF">
        <w:rPr>
          <w:lang w:val="en-US"/>
        </w:rPr>
        <w:t xml:space="preserve">: </w:t>
      </w:r>
      <w:r w:rsidR="004D25E2" w:rsidRPr="003E7DFF">
        <w:rPr>
          <w:lang w:val="en-US"/>
        </w:rPr>
        <w:t xml:space="preserve">Results of </w:t>
      </w:r>
      <w:r w:rsidR="001E056B" w:rsidRPr="003E7DFF">
        <w:rPr>
          <w:lang w:val="en-US"/>
        </w:rPr>
        <w:t xml:space="preserve">the </w:t>
      </w:r>
      <w:proofErr w:type="spellStart"/>
      <w:r w:rsidR="004D25E2" w:rsidRPr="003E7DFF">
        <w:rPr>
          <w:lang w:val="en-US"/>
        </w:rPr>
        <w:t>exergoeconomic</w:t>
      </w:r>
      <w:proofErr w:type="spellEnd"/>
      <w:r w:rsidR="004D25E2" w:rsidRPr="003E7DFF">
        <w:rPr>
          <w:lang w:val="en-US"/>
        </w:rPr>
        <w:t xml:space="preserve"> analysis</w:t>
      </w:r>
      <w:r w:rsidR="003A78BC" w:rsidRPr="003E7DFF">
        <w:rPr>
          <w:lang w:val="en-US"/>
        </w:rPr>
        <w:t xml:space="preserve"> </w:t>
      </w:r>
      <w:r w:rsidR="001E056B" w:rsidRPr="003E7DFF">
        <w:rPr>
          <w:lang w:val="en-US"/>
        </w:rPr>
        <w:t xml:space="preserve">for UAE and SE processes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763"/>
        <w:gridCol w:w="782"/>
        <w:gridCol w:w="708"/>
        <w:gridCol w:w="709"/>
        <w:gridCol w:w="709"/>
        <w:gridCol w:w="850"/>
        <w:gridCol w:w="709"/>
        <w:gridCol w:w="709"/>
        <w:gridCol w:w="709"/>
      </w:tblGrid>
      <w:tr w:rsidR="00095BC3" w:rsidRPr="003E7DFF" w14:paraId="06591939" w14:textId="3FAAB3E4" w:rsidTr="002677BF">
        <w:tc>
          <w:tcPr>
            <w:tcW w:w="2763" w:type="dxa"/>
            <w:tcBorders>
              <w:top w:val="single" w:sz="12" w:space="0" w:color="008000"/>
              <w:bottom w:val="single" w:sz="6" w:space="0" w:color="008000"/>
            </w:tcBorders>
            <w:shd w:val="clear" w:color="auto" w:fill="FFFFFF" w:themeFill="background1"/>
          </w:tcPr>
          <w:p w14:paraId="0FA5215E" w14:textId="77777777" w:rsidR="00095BC3" w:rsidRPr="003E7DFF" w:rsidRDefault="00095BC3" w:rsidP="00591026">
            <w:pPr>
              <w:pStyle w:val="CETBodytext"/>
            </w:pPr>
          </w:p>
        </w:tc>
        <w:tc>
          <w:tcPr>
            <w:tcW w:w="2908" w:type="dxa"/>
            <w:gridSpan w:val="4"/>
            <w:tcBorders>
              <w:top w:val="single" w:sz="12" w:space="0" w:color="008000"/>
              <w:bottom w:val="single" w:sz="6" w:space="0" w:color="008000"/>
            </w:tcBorders>
            <w:shd w:val="clear" w:color="auto" w:fill="FFFFFF" w:themeFill="background1"/>
          </w:tcPr>
          <w:p w14:paraId="4B4BEB61" w14:textId="04B91F3D" w:rsidR="00095BC3" w:rsidRPr="003E7DFF" w:rsidRDefault="00095BC3" w:rsidP="00591026">
            <w:pPr>
              <w:pStyle w:val="CETBodytext"/>
              <w:ind w:right="-1"/>
              <w:rPr>
                <w:rFonts w:cs="Arial"/>
                <w:iCs/>
                <w:szCs w:val="18"/>
              </w:rPr>
            </w:pPr>
            <w:r w:rsidRPr="003E7DFF">
              <w:rPr>
                <w:rFonts w:cs="Arial"/>
                <w:iCs/>
                <w:szCs w:val="18"/>
              </w:rPr>
              <w:t>UAE</w:t>
            </w:r>
          </w:p>
        </w:tc>
        <w:tc>
          <w:tcPr>
            <w:tcW w:w="2977" w:type="dxa"/>
            <w:gridSpan w:val="4"/>
            <w:tcBorders>
              <w:top w:val="single" w:sz="12" w:space="0" w:color="008000"/>
              <w:bottom w:val="single" w:sz="6" w:space="0" w:color="008000"/>
            </w:tcBorders>
            <w:shd w:val="clear" w:color="auto" w:fill="FFFFFF" w:themeFill="background1"/>
          </w:tcPr>
          <w:p w14:paraId="12C4060D" w14:textId="610DC1CD" w:rsidR="00095BC3" w:rsidRPr="003E7DFF" w:rsidRDefault="00095BC3" w:rsidP="00591026">
            <w:pPr>
              <w:pStyle w:val="CETBodytext"/>
              <w:ind w:right="-1"/>
              <w:rPr>
                <w:rFonts w:cs="Arial"/>
                <w:iCs/>
                <w:szCs w:val="18"/>
              </w:rPr>
            </w:pPr>
            <w:r w:rsidRPr="003E7DFF">
              <w:rPr>
                <w:rFonts w:cs="Arial"/>
                <w:iCs/>
                <w:szCs w:val="18"/>
              </w:rPr>
              <w:t>SE</w:t>
            </w:r>
          </w:p>
        </w:tc>
      </w:tr>
      <w:tr w:rsidR="00746C26" w:rsidRPr="003E7DFF" w14:paraId="0BD81039" w14:textId="0528DA7F" w:rsidTr="002677BF">
        <w:tc>
          <w:tcPr>
            <w:tcW w:w="2763" w:type="dxa"/>
            <w:tcBorders>
              <w:top w:val="single" w:sz="12" w:space="0" w:color="008000"/>
              <w:bottom w:val="single" w:sz="6" w:space="0" w:color="008000"/>
            </w:tcBorders>
            <w:shd w:val="clear" w:color="auto" w:fill="FFFFFF" w:themeFill="background1"/>
          </w:tcPr>
          <w:p w14:paraId="6D2DE5EE" w14:textId="5F8906CB" w:rsidR="00095BC3" w:rsidRPr="003E7DFF" w:rsidRDefault="00E45F0B" w:rsidP="00591026">
            <w:pPr>
              <w:pStyle w:val="CETBodytext"/>
            </w:pPr>
            <w:r w:rsidRPr="003E7DFF">
              <w:t xml:space="preserve">Hexane to SCGs </w:t>
            </w:r>
            <w:proofErr w:type="gramStart"/>
            <w:r w:rsidRPr="003E7DFF">
              <w:t>ratio</w:t>
            </w:r>
            <w:r w:rsidR="00095BC3" w:rsidRPr="003E7DFF">
              <w:t xml:space="preserve"> </w:t>
            </w:r>
            <w:r w:rsidR="1C27BABC">
              <w:t xml:space="preserve"> (</w:t>
            </w:r>
            <w:proofErr w:type="gramEnd"/>
            <w:r w:rsidR="0EC50A51">
              <w:t>m</w:t>
            </w:r>
            <w:r w:rsidR="60CE40A4">
              <w:t>L</w:t>
            </w:r>
            <w:r w:rsidR="1C27BABC">
              <w:t>/g)</w:t>
            </w:r>
          </w:p>
        </w:tc>
        <w:tc>
          <w:tcPr>
            <w:tcW w:w="782" w:type="dxa"/>
            <w:tcBorders>
              <w:top w:val="single" w:sz="12" w:space="0" w:color="008000"/>
              <w:bottom w:val="single" w:sz="6" w:space="0" w:color="008000"/>
            </w:tcBorders>
            <w:shd w:val="clear" w:color="auto" w:fill="FFFFFF" w:themeFill="background1"/>
          </w:tcPr>
          <w:p w14:paraId="14DABEF8" w14:textId="17DB00C5" w:rsidR="00095BC3" w:rsidRPr="003E7DFF" w:rsidRDefault="00095BC3" w:rsidP="005479A6">
            <w:pPr>
              <w:pStyle w:val="CETBodytext"/>
              <w:jc w:val="left"/>
            </w:pPr>
            <w:r w:rsidRPr="003E7DFF">
              <w:t>5</w:t>
            </w:r>
          </w:p>
        </w:tc>
        <w:tc>
          <w:tcPr>
            <w:tcW w:w="708" w:type="dxa"/>
            <w:tcBorders>
              <w:top w:val="single" w:sz="12" w:space="0" w:color="008000"/>
              <w:bottom w:val="single" w:sz="6" w:space="0" w:color="008000"/>
            </w:tcBorders>
            <w:shd w:val="clear" w:color="auto" w:fill="FFFFFF" w:themeFill="background1"/>
          </w:tcPr>
          <w:p w14:paraId="26DCEBF7" w14:textId="18D592F7" w:rsidR="00095BC3" w:rsidRPr="003E7DFF" w:rsidRDefault="00095BC3" w:rsidP="005479A6">
            <w:pPr>
              <w:pStyle w:val="CETBodytext"/>
              <w:jc w:val="left"/>
              <w:rPr>
                <w:iCs/>
              </w:rPr>
            </w:pPr>
            <w:r w:rsidRPr="003E7DFF">
              <w:rPr>
                <w:iCs/>
              </w:rPr>
              <w:t>10</w:t>
            </w:r>
          </w:p>
        </w:tc>
        <w:tc>
          <w:tcPr>
            <w:tcW w:w="709" w:type="dxa"/>
            <w:tcBorders>
              <w:top w:val="single" w:sz="12" w:space="0" w:color="008000"/>
              <w:bottom w:val="single" w:sz="6" w:space="0" w:color="008000"/>
            </w:tcBorders>
            <w:shd w:val="clear" w:color="auto" w:fill="FFFFFF" w:themeFill="background1"/>
          </w:tcPr>
          <w:p w14:paraId="04551B3B" w14:textId="5258F56E" w:rsidR="00095BC3" w:rsidRPr="003E7DFF" w:rsidRDefault="00095BC3" w:rsidP="005479A6">
            <w:pPr>
              <w:pStyle w:val="CETBodytext"/>
              <w:ind w:right="-1"/>
              <w:jc w:val="left"/>
              <w:rPr>
                <w:rFonts w:cs="Arial"/>
                <w:szCs w:val="18"/>
              </w:rPr>
            </w:pPr>
            <w:r w:rsidRPr="003E7DFF">
              <w:rPr>
                <w:rFonts w:cs="Arial"/>
                <w:szCs w:val="18"/>
              </w:rPr>
              <w:t>15</w:t>
            </w:r>
          </w:p>
        </w:tc>
        <w:tc>
          <w:tcPr>
            <w:tcW w:w="709" w:type="dxa"/>
            <w:tcBorders>
              <w:top w:val="single" w:sz="12" w:space="0" w:color="008000"/>
              <w:bottom w:val="single" w:sz="6" w:space="0" w:color="008000"/>
            </w:tcBorders>
            <w:shd w:val="clear" w:color="auto" w:fill="FFFFFF" w:themeFill="background1"/>
          </w:tcPr>
          <w:p w14:paraId="50025843" w14:textId="2E061751" w:rsidR="00095BC3" w:rsidRPr="003E7DFF" w:rsidRDefault="00095BC3" w:rsidP="005479A6">
            <w:pPr>
              <w:pStyle w:val="CETBodytext"/>
              <w:ind w:right="-1"/>
              <w:jc w:val="left"/>
              <w:rPr>
                <w:rFonts w:cs="Arial"/>
                <w:iCs/>
                <w:szCs w:val="18"/>
              </w:rPr>
            </w:pPr>
            <w:r w:rsidRPr="003E7DFF">
              <w:rPr>
                <w:rFonts w:cs="Arial"/>
                <w:iCs/>
                <w:szCs w:val="18"/>
              </w:rPr>
              <w:t>20</w:t>
            </w:r>
          </w:p>
        </w:tc>
        <w:tc>
          <w:tcPr>
            <w:tcW w:w="850" w:type="dxa"/>
            <w:tcBorders>
              <w:top w:val="single" w:sz="12" w:space="0" w:color="008000"/>
              <w:bottom w:val="single" w:sz="6" w:space="0" w:color="008000"/>
            </w:tcBorders>
            <w:shd w:val="clear" w:color="auto" w:fill="FFFFFF" w:themeFill="background1"/>
          </w:tcPr>
          <w:p w14:paraId="255650BA" w14:textId="58C26019" w:rsidR="00095BC3" w:rsidRPr="003E7DFF" w:rsidRDefault="00095BC3" w:rsidP="005479A6">
            <w:pPr>
              <w:pStyle w:val="CETBodytext"/>
              <w:ind w:right="-1"/>
              <w:jc w:val="left"/>
              <w:rPr>
                <w:rFonts w:cs="Arial"/>
                <w:iCs/>
                <w:szCs w:val="18"/>
              </w:rPr>
            </w:pPr>
            <w:r w:rsidRPr="003E7DFF">
              <w:rPr>
                <w:rFonts w:cs="Arial"/>
                <w:iCs/>
                <w:szCs w:val="18"/>
              </w:rPr>
              <w:t>4.17</w:t>
            </w:r>
          </w:p>
        </w:tc>
        <w:tc>
          <w:tcPr>
            <w:tcW w:w="709" w:type="dxa"/>
            <w:tcBorders>
              <w:top w:val="single" w:sz="12" w:space="0" w:color="008000"/>
              <w:bottom w:val="single" w:sz="6" w:space="0" w:color="008000"/>
            </w:tcBorders>
            <w:shd w:val="clear" w:color="auto" w:fill="FFFFFF" w:themeFill="background1"/>
          </w:tcPr>
          <w:p w14:paraId="4FCCE7EE" w14:textId="6BD41534" w:rsidR="00095BC3" w:rsidRPr="003E7DFF" w:rsidRDefault="00095BC3" w:rsidP="005479A6">
            <w:pPr>
              <w:pStyle w:val="CETBodytext"/>
              <w:ind w:right="-1"/>
              <w:jc w:val="left"/>
              <w:rPr>
                <w:rFonts w:cs="Arial"/>
                <w:iCs/>
                <w:szCs w:val="18"/>
              </w:rPr>
            </w:pPr>
            <w:r w:rsidRPr="003E7DFF">
              <w:rPr>
                <w:rFonts w:cs="Arial"/>
                <w:iCs/>
                <w:szCs w:val="18"/>
              </w:rPr>
              <w:t>10</w:t>
            </w:r>
          </w:p>
        </w:tc>
        <w:tc>
          <w:tcPr>
            <w:tcW w:w="709" w:type="dxa"/>
            <w:tcBorders>
              <w:top w:val="single" w:sz="12" w:space="0" w:color="008000"/>
              <w:bottom w:val="single" w:sz="6" w:space="0" w:color="008000"/>
            </w:tcBorders>
            <w:shd w:val="clear" w:color="auto" w:fill="FFFFFF" w:themeFill="background1"/>
          </w:tcPr>
          <w:p w14:paraId="474613D3" w14:textId="5A99B243" w:rsidR="00095BC3" w:rsidRPr="003E7DFF" w:rsidRDefault="00095BC3" w:rsidP="005479A6">
            <w:pPr>
              <w:pStyle w:val="CETBodytext"/>
              <w:ind w:right="-1"/>
              <w:jc w:val="left"/>
              <w:rPr>
                <w:rFonts w:cs="Arial"/>
                <w:iCs/>
                <w:szCs w:val="18"/>
              </w:rPr>
            </w:pPr>
            <w:r w:rsidRPr="003E7DFF">
              <w:rPr>
                <w:rFonts w:cs="Arial"/>
                <w:iCs/>
                <w:szCs w:val="18"/>
              </w:rPr>
              <w:t>15</w:t>
            </w:r>
          </w:p>
        </w:tc>
        <w:tc>
          <w:tcPr>
            <w:tcW w:w="709" w:type="dxa"/>
            <w:tcBorders>
              <w:top w:val="single" w:sz="12" w:space="0" w:color="008000"/>
              <w:bottom w:val="single" w:sz="6" w:space="0" w:color="008000"/>
            </w:tcBorders>
            <w:shd w:val="clear" w:color="auto" w:fill="FFFFFF" w:themeFill="background1"/>
          </w:tcPr>
          <w:p w14:paraId="0B52EF57" w14:textId="549C5183" w:rsidR="00095BC3" w:rsidRPr="003E7DFF" w:rsidRDefault="00095BC3" w:rsidP="005479A6">
            <w:pPr>
              <w:pStyle w:val="CETBodytext"/>
              <w:ind w:right="-1"/>
              <w:jc w:val="left"/>
              <w:rPr>
                <w:rFonts w:cs="Arial"/>
                <w:iCs/>
                <w:szCs w:val="18"/>
              </w:rPr>
            </w:pPr>
            <w:r w:rsidRPr="003E7DFF">
              <w:rPr>
                <w:rFonts w:cs="Arial"/>
                <w:iCs/>
                <w:szCs w:val="18"/>
              </w:rPr>
              <w:t>20</w:t>
            </w:r>
          </w:p>
        </w:tc>
      </w:tr>
      <w:tr w:rsidR="00746C26" w:rsidRPr="003E7DFF" w14:paraId="262380C6" w14:textId="77777777" w:rsidTr="002677BF">
        <w:tc>
          <w:tcPr>
            <w:tcW w:w="2763" w:type="dxa"/>
            <w:shd w:val="clear" w:color="auto" w:fill="FFFFFF" w:themeFill="background1"/>
          </w:tcPr>
          <w:p w14:paraId="184BC009" w14:textId="765BF5D9" w:rsidR="001968C1" w:rsidRPr="003E7DFF" w:rsidRDefault="001968C1" w:rsidP="001968C1">
            <w:pPr>
              <w:pStyle w:val="CETBodytext"/>
              <w:rPr>
                <w:rFonts w:cs="Arial"/>
                <w:szCs w:val="18"/>
              </w:rPr>
            </w:pPr>
            <w:r w:rsidRPr="003E7DFF">
              <w:rPr>
                <w:rFonts w:cs="Arial"/>
                <w:szCs w:val="18"/>
              </w:rPr>
              <w:t>PEC ($)</w:t>
            </w:r>
          </w:p>
        </w:tc>
        <w:tc>
          <w:tcPr>
            <w:tcW w:w="782" w:type="dxa"/>
            <w:shd w:val="clear" w:color="auto" w:fill="FFFFFF" w:themeFill="background1"/>
          </w:tcPr>
          <w:p w14:paraId="2D12DC42" w14:textId="25AD127E" w:rsidR="001968C1" w:rsidRPr="003E7DFF" w:rsidRDefault="001968C1" w:rsidP="001968C1">
            <w:pPr>
              <w:pStyle w:val="CETBodytext"/>
              <w:jc w:val="left"/>
              <w:rPr>
                <w:rFonts w:cs="Arial"/>
                <w:szCs w:val="18"/>
              </w:rPr>
            </w:pPr>
            <w:r w:rsidRPr="003E7DFF">
              <w:rPr>
                <w:rFonts w:cs="Arial"/>
                <w:szCs w:val="18"/>
              </w:rPr>
              <w:t>26000</w:t>
            </w:r>
          </w:p>
        </w:tc>
        <w:tc>
          <w:tcPr>
            <w:tcW w:w="708" w:type="dxa"/>
            <w:shd w:val="clear" w:color="auto" w:fill="FFFFFF" w:themeFill="background1"/>
          </w:tcPr>
          <w:p w14:paraId="4798924A" w14:textId="6FE5FFE4" w:rsidR="001968C1" w:rsidRPr="003E7DFF" w:rsidRDefault="001968C1" w:rsidP="001968C1">
            <w:pPr>
              <w:pStyle w:val="CETBodytext"/>
              <w:jc w:val="left"/>
              <w:rPr>
                <w:rFonts w:cs="Arial"/>
                <w:szCs w:val="18"/>
              </w:rPr>
            </w:pPr>
            <w:r w:rsidRPr="003E7DFF">
              <w:rPr>
                <w:rFonts w:cs="Arial"/>
                <w:szCs w:val="18"/>
              </w:rPr>
              <w:t>27500</w:t>
            </w:r>
          </w:p>
        </w:tc>
        <w:tc>
          <w:tcPr>
            <w:tcW w:w="709" w:type="dxa"/>
            <w:shd w:val="clear" w:color="auto" w:fill="FFFFFF" w:themeFill="background1"/>
          </w:tcPr>
          <w:p w14:paraId="4330F135" w14:textId="656ADAA7" w:rsidR="001968C1" w:rsidRPr="003E7DFF" w:rsidRDefault="001968C1" w:rsidP="001968C1">
            <w:pPr>
              <w:pStyle w:val="CETBodytext"/>
              <w:ind w:right="-1"/>
              <w:jc w:val="left"/>
              <w:rPr>
                <w:rFonts w:cs="Arial"/>
                <w:szCs w:val="18"/>
              </w:rPr>
            </w:pPr>
            <w:r w:rsidRPr="003E7DFF">
              <w:rPr>
                <w:rFonts w:cs="Arial"/>
                <w:szCs w:val="18"/>
              </w:rPr>
              <w:t>28500</w:t>
            </w:r>
          </w:p>
        </w:tc>
        <w:tc>
          <w:tcPr>
            <w:tcW w:w="709" w:type="dxa"/>
            <w:shd w:val="clear" w:color="auto" w:fill="FFFFFF" w:themeFill="background1"/>
          </w:tcPr>
          <w:p w14:paraId="47A24D4E" w14:textId="41F3EBA6" w:rsidR="001968C1" w:rsidRPr="003E7DFF" w:rsidRDefault="001968C1" w:rsidP="001968C1">
            <w:pPr>
              <w:pStyle w:val="CETBodytext"/>
              <w:ind w:right="-1"/>
              <w:jc w:val="left"/>
              <w:rPr>
                <w:rFonts w:cs="Arial"/>
                <w:szCs w:val="18"/>
              </w:rPr>
            </w:pPr>
            <w:r w:rsidRPr="003E7DFF">
              <w:rPr>
                <w:rFonts w:cs="Arial"/>
                <w:szCs w:val="18"/>
              </w:rPr>
              <w:t>30000</w:t>
            </w:r>
          </w:p>
        </w:tc>
        <w:tc>
          <w:tcPr>
            <w:tcW w:w="850" w:type="dxa"/>
            <w:shd w:val="clear" w:color="auto" w:fill="FFFFFF" w:themeFill="background1"/>
          </w:tcPr>
          <w:p w14:paraId="387C7504" w14:textId="415769C8" w:rsidR="001968C1" w:rsidRPr="003E7DFF" w:rsidRDefault="001968C1" w:rsidP="001968C1">
            <w:pPr>
              <w:pStyle w:val="CETBodytext"/>
              <w:ind w:right="-1"/>
              <w:jc w:val="left"/>
              <w:rPr>
                <w:rFonts w:cs="Arial"/>
                <w:szCs w:val="18"/>
              </w:rPr>
            </w:pPr>
            <w:r w:rsidRPr="003E7DFF">
              <w:rPr>
                <w:rFonts w:cs="Arial"/>
                <w:szCs w:val="18"/>
              </w:rPr>
              <w:t>29500</w:t>
            </w:r>
          </w:p>
        </w:tc>
        <w:tc>
          <w:tcPr>
            <w:tcW w:w="709" w:type="dxa"/>
            <w:shd w:val="clear" w:color="auto" w:fill="FFFFFF" w:themeFill="background1"/>
          </w:tcPr>
          <w:p w14:paraId="19A1DF77" w14:textId="7FF84C37" w:rsidR="001968C1" w:rsidRPr="003E7DFF" w:rsidRDefault="001968C1" w:rsidP="001968C1">
            <w:pPr>
              <w:pStyle w:val="CETBodytext"/>
              <w:ind w:right="-1"/>
              <w:jc w:val="left"/>
              <w:rPr>
                <w:rFonts w:cs="Arial"/>
                <w:szCs w:val="18"/>
              </w:rPr>
            </w:pPr>
            <w:r w:rsidRPr="003E7DFF">
              <w:rPr>
                <w:rFonts w:cs="Arial"/>
                <w:szCs w:val="18"/>
              </w:rPr>
              <w:t>44500</w:t>
            </w:r>
          </w:p>
        </w:tc>
        <w:tc>
          <w:tcPr>
            <w:tcW w:w="709" w:type="dxa"/>
            <w:shd w:val="clear" w:color="auto" w:fill="FFFFFF" w:themeFill="background1"/>
          </w:tcPr>
          <w:p w14:paraId="720696DE" w14:textId="13CA9462" w:rsidR="001968C1" w:rsidRPr="003E7DFF" w:rsidRDefault="001968C1" w:rsidP="001968C1">
            <w:pPr>
              <w:pStyle w:val="CETBodytext"/>
              <w:ind w:right="-1"/>
              <w:jc w:val="left"/>
              <w:rPr>
                <w:rFonts w:cs="Arial"/>
                <w:szCs w:val="18"/>
              </w:rPr>
            </w:pPr>
            <w:r w:rsidRPr="003E7DFF">
              <w:rPr>
                <w:rFonts w:cs="Arial"/>
                <w:szCs w:val="18"/>
              </w:rPr>
              <w:t>59500</w:t>
            </w:r>
          </w:p>
        </w:tc>
        <w:tc>
          <w:tcPr>
            <w:tcW w:w="709" w:type="dxa"/>
            <w:shd w:val="clear" w:color="auto" w:fill="FFFFFF" w:themeFill="background1"/>
          </w:tcPr>
          <w:p w14:paraId="01D6BD29" w14:textId="0B76EB63" w:rsidR="001968C1" w:rsidRPr="003E7DFF" w:rsidRDefault="001968C1" w:rsidP="001968C1">
            <w:pPr>
              <w:pStyle w:val="CETBodytext"/>
              <w:ind w:right="-1"/>
              <w:jc w:val="left"/>
              <w:rPr>
                <w:rFonts w:cs="Arial"/>
                <w:szCs w:val="18"/>
              </w:rPr>
            </w:pPr>
            <w:r w:rsidRPr="003E7DFF">
              <w:rPr>
                <w:rFonts w:cs="Arial"/>
                <w:szCs w:val="18"/>
              </w:rPr>
              <w:t>74500</w:t>
            </w:r>
          </w:p>
        </w:tc>
      </w:tr>
      <w:tr w:rsidR="00D32D05" w:rsidRPr="003E7DFF" w14:paraId="4326D85B" w14:textId="07B48EBC" w:rsidTr="002677BF">
        <w:tc>
          <w:tcPr>
            <w:tcW w:w="2763" w:type="dxa"/>
            <w:shd w:val="clear" w:color="auto" w:fill="FFFFFF" w:themeFill="background1"/>
          </w:tcPr>
          <w:p w14:paraId="7AF320B0" w14:textId="4463F48D" w:rsidR="001968C1" w:rsidRPr="003E7DFF" w:rsidRDefault="0078037F" w:rsidP="001968C1">
            <w:pPr>
              <w:pStyle w:val="CETBodytext"/>
              <w:rPr>
                <w:rFonts w:cs="Arial"/>
                <w:szCs w:val="18"/>
              </w:rPr>
            </w:pPr>
            <m:oMath>
              <m:sSup>
                <m:sSupPr>
                  <m:ctrlPr>
                    <w:rPr>
                      <w:rFonts w:ascii="Cambria Math" w:hAnsi="Cambria Math" w:cs="Arial"/>
                      <w:iCs/>
                      <w:szCs w:val="18"/>
                    </w:rPr>
                  </m:ctrlPr>
                </m:sSupPr>
                <m:e>
                  <m:acc>
                    <m:accPr>
                      <m:chr m:val="̇"/>
                      <m:ctrlPr>
                        <w:rPr>
                          <w:rFonts w:ascii="Cambria Math" w:hAnsi="Cambria Math" w:cs="Arial"/>
                          <w:iCs/>
                          <w:szCs w:val="18"/>
                        </w:rPr>
                      </m:ctrlPr>
                    </m:accPr>
                    <m:e>
                      <m:r>
                        <m:rPr>
                          <m:sty m:val="p"/>
                        </m:rPr>
                        <w:rPr>
                          <w:rFonts w:ascii="Cambria Math" w:hAnsi="Cambria Math" w:cs="Arial"/>
                          <w:szCs w:val="18"/>
                        </w:rPr>
                        <m:t>Z</m:t>
                      </m:r>
                    </m:e>
                  </m:acc>
                </m:e>
                <m:sup>
                  <m:r>
                    <m:rPr>
                      <m:sty m:val="p"/>
                    </m:rPr>
                    <w:rPr>
                      <w:rFonts w:ascii="Cambria Math" w:hAnsi="Cambria Math" w:cs="Arial"/>
                      <w:szCs w:val="18"/>
                    </w:rPr>
                    <m:t>CI</m:t>
                  </m:r>
                </m:sup>
              </m:sSup>
            </m:oMath>
            <w:r w:rsidR="00D32D05" w:rsidRPr="003E7DFF">
              <w:rPr>
                <w:rFonts w:cs="Arial"/>
                <w:szCs w:val="18"/>
              </w:rPr>
              <w:t xml:space="preserve"> </w:t>
            </w:r>
            <w:r w:rsidR="001968C1" w:rsidRPr="003E7DFF">
              <w:rPr>
                <w:rFonts w:cs="Arial"/>
                <w:szCs w:val="18"/>
              </w:rPr>
              <w:t>($/h)</w:t>
            </w:r>
          </w:p>
        </w:tc>
        <w:tc>
          <w:tcPr>
            <w:tcW w:w="782" w:type="dxa"/>
            <w:shd w:val="clear" w:color="auto" w:fill="FFFFFF" w:themeFill="background1"/>
          </w:tcPr>
          <w:p w14:paraId="5C39F2CD" w14:textId="2CB0B8F2" w:rsidR="001968C1" w:rsidRPr="003E7DFF" w:rsidRDefault="001968C1" w:rsidP="001968C1">
            <w:pPr>
              <w:pStyle w:val="CETBodytext"/>
              <w:jc w:val="left"/>
              <w:rPr>
                <w:rFonts w:cs="Arial"/>
                <w:szCs w:val="18"/>
              </w:rPr>
            </w:pPr>
            <w:r w:rsidRPr="003E7DFF">
              <w:rPr>
                <w:rFonts w:cs="Arial"/>
                <w:szCs w:val="18"/>
              </w:rPr>
              <w:t>20.15</w:t>
            </w:r>
          </w:p>
        </w:tc>
        <w:tc>
          <w:tcPr>
            <w:tcW w:w="708" w:type="dxa"/>
            <w:shd w:val="clear" w:color="auto" w:fill="FFFFFF" w:themeFill="background1"/>
          </w:tcPr>
          <w:p w14:paraId="36248DD9" w14:textId="1C3B468C" w:rsidR="001968C1" w:rsidRPr="003E7DFF" w:rsidRDefault="001968C1" w:rsidP="001968C1">
            <w:pPr>
              <w:pStyle w:val="CETBodytext"/>
              <w:jc w:val="left"/>
              <w:rPr>
                <w:rFonts w:cs="Arial"/>
                <w:szCs w:val="18"/>
              </w:rPr>
            </w:pPr>
            <w:r w:rsidRPr="003E7DFF">
              <w:rPr>
                <w:rFonts w:cs="Arial"/>
                <w:szCs w:val="18"/>
              </w:rPr>
              <w:t>22.73</w:t>
            </w:r>
          </w:p>
        </w:tc>
        <w:tc>
          <w:tcPr>
            <w:tcW w:w="709" w:type="dxa"/>
            <w:shd w:val="clear" w:color="auto" w:fill="FFFFFF" w:themeFill="background1"/>
          </w:tcPr>
          <w:p w14:paraId="33627C79" w14:textId="1FE00435" w:rsidR="001968C1" w:rsidRPr="003E7DFF" w:rsidRDefault="001968C1" w:rsidP="001968C1">
            <w:pPr>
              <w:pStyle w:val="CETBodytext"/>
              <w:ind w:right="-1"/>
              <w:jc w:val="left"/>
              <w:rPr>
                <w:rFonts w:cs="Arial"/>
                <w:szCs w:val="18"/>
              </w:rPr>
            </w:pPr>
            <w:r w:rsidRPr="003E7DFF">
              <w:rPr>
                <w:rFonts w:cs="Arial"/>
                <w:szCs w:val="18"/>
              </w:rPr>
              <w:t>24.50</w:t>
            </w:r>
          </w:p>
        </w:tc>
        <w:tc>
          <w:tcPr>
            <w:tcW w:w="709" w:type="dxa"/>
            <w:shd w:val="clear" w:color="auto" w:fill="FFFFFF" w:themeFill="background1"/>
          </w:tcPr>
          <w:p w14:paraId="644E021A" w14:textId="68A6864B" w:rsidR="001968C1" w:rsidRPr="003E7DFF" w:rsidRDefault="001968C1" w:rsidP="001968C1">
            <w:pPr>
              <w:pStyle w:val="CETBodytext"/>
              <w:ind w:right="-1"/>
              <w:jc w:val="left"/>
              <w:rPr>
                <w:rFonts w:cs="Arial"/>
                <w:szCs w:val="18"/>
              </w:rPr>
            </w:pPr>
            <w:r w:rsidRPr="003E7DFF">
              <w:rPr>
                <w:rFonts w:cs="Arial"/>
                <w:szCs w:val="18"/>
              </w:rPr>
              <w:t>28.43</w:t>
            </w:r>
          </w:p>
        </w:tc>
        <w:tc>
          <w:tcPr>
            <w:tcW w:w="850" w:type="dxa"/>
            <w:shd w:val="clear" w:color="auto" w:fill="FFFFFF" w:themeFill="background1"/>
          </w:tcPr>
          <w:p w14:paraId="3E0774C2" w14:textId="1D631D98" w:rsidR="001968C1" w:rsidRPr="003E7DFF" w:rsidRDefault="001968C1" w:rsidP="001968C1">
            <w:pPr>
              <w:pStyle w:val="CETBodytext"/>
              <w:ind w:right="-1"/>
              <w:jc w:val="left"/>
              <w:rPr>
                <w:rFonts w:cs="Arial"/>
                <w:szCs w:val="18"/>
              </w:rPr>
            </w:pPr>
            <w:r w:rsidRPr="003E7DFF">
              <w:rPr>
                <w:rFonts w:cs="Arial"/>
                <w:szCs w:val="18"/>
              </w:rPr>
              <w:t>24.12</w:t>
            </w:r>
          </w:p>
        </w:tc>
        <w:tc>
          <w:tcPr>
            <w:tcW w:w="709" w:type="dxa"/>
            <w:shd w:val="clear" w:color="auto" w:fill="FFFFFF" w:themeFill="background1"/>
          </w:tcPr>
          <w:p w14:paraId="770A4B26" w14:textId="22079FCC" w:rsidR="001968C1" w:rsidRPr="003E7DFF" w:rsidRDefault="001968C1" w:rsidP="001968C1">
            <w:pPr>
              <w:pStyle w:val="CETBodytext"/>
              <w:ind w:right="-1"/>
              <w:jc w:val="left"/>
              <w:rPr>
                <w:rFonts w:cs="Arial"/>
                <w:szCs w:val="18"/>
              </w:rPr>
            </w:pPr>
            <w:r w:rsidRPr="003E7DFF">
              <w:rPr>
                <w:rFonts w:cs="Arial"/>
                <w:szCs w:val="18"/>
              </w:rPr>
              <w:t>26.00</w:t>
            </w:r>
          </w:p>
        </w:tc>
        <w:tc>
          <w:tcPr>
            <w:tcW w:w="709" w:type="dxa"/>
            <w:shd w:val="clear" w:color="auto" w:fill="FFFFFF" w:themeFill="background1"/>
          </w:tcPr>
          <w:p w14:paraId="723D40CA" w14:textId="626F1205" w:rsidR="001968C1" w:rsidRPr="003E7DFF" w:rsidRDefault="001968C1" w:rsidP="001968C1">
            <w:pPr>
              <w:pStyle w:val="CETBodytext"/>
              <w:ind w:right="-1"/>
              <w:jc w:val="left"/>
              <w:rPr>
                <w:rFonts w:cs="Arial"/>
                <w:szCs w:val="18"/>
              </w:rPr>
            </w:pPr>
            <w:r w:rsidRPr="003E7DFF">
              <w:rPr>
                <w:rFonts w:cs="Arial"/>
                <w:szCs w:val="18"/>
              </w:rPr>
              <w:t>27.61</w:t>
            </w:r>
          </w:p>
        </w:tc>
        <w:tc>
          <w:tcPr>
            <w:tcW w:w="709" w:type="dxa"/>
            <w:shd w:val="clear" w:color="auto" w:fill="FFFFFF" w:themeFill="background1"/>
          </w:tcPr>
          <w:p w14:paraId="34D489A1" w14:textId="2EE94C10" w:rsidR="001968C1" w:rsidRPr="003E7DFF" w:rsidRDefault="001968C1" w:rsidP="001968C1">
            <w:pPr>
              <w:pStyle w:val="CETBodytext"/>
              <w:ind w:right="-1"/>
              <w:jc w:val="left"/>
              <w:rPr>
                <w:rFonts w:cs="Arial"/>
                <w:szCs w:val="18"/>
              </w:rPr>
            </w:pPr>
            <w:r w:rsidRPr="003E7DFF">
              <w:rPr>
                <w:rFonts w:cs="Arial"/>
                <w:szCs w:val="18"/>
              </w:rPr>
              <w:t>39.89</w:t>
            </w:r>
          </w:p>
        </w:tc>
      </w:tr>
      <w:tr w:rsidR="00D32D05" w:rsidRPr="003E7DFF" w14:paraId="78FAEF5F" w14:textId="58B0BC54" w:rsidTr="002677BF">
        <w:tc>
          <w:tcPr>
            <w:tcW w:w="2763" w:type="dxa"/>
            <w:shd w:val="clear" w:color="auto" w:fill="FFFFFF" w:themeFill="background1"/>
          </w:tcPr>
          <w:p w14:paraId="4446F32D" w14:textId="1CEAFB99" w:rsidR="001968C1" w:rsidRPr="003E7DFF" w:rsidRDefault="0078037F" w:rsidP="001968C1">
            <w:pPr>
              <w:pStyle w:val="CETBodytext"/>
              <w:rPr>
                <w:rFonts w:cs="Arial"/>
                <w:szCs w:val="18"/>
              </w:rPr>
            </w:pPr>
            <m:oMath>
              <m:sSup>
                <m:sSupPr>
                  <m:ctrlPr>
                    <w:rPr>
                      <w:rFonts w:ascii="Cambria Math" w:hAnsi="Cambria Math" w:cs="Arial"/>
                      <w:iCs/>
                      <w:szCs w:val="18"/>
                    </w:rPr>
                  </m:ctrlPr>
                </m:sSupPr>
                <m:e>
                  <m:acc>
                    <m:accPr>
                      <m:chr m:val="̇"/>
                      <m:ctrlPr>
                        <w:rPr>
                          <w:rFonts w:ascii="Cambria Math" w:hAnsi="Cambria Math" w:cs="Arial"/>
                          <w:iCs/>
                          <w:szCs w:val="18"/>
                        </w:rPr>
                      </m:ctrlPr>
                    </m:accPr>
                    <m:e>
                      <m:r>
                        <m:rPr>
                          <m:sty m:val="p"/>
                        </m:rPr>
                        <w:rPr>
                          <w:rFonts w:ascii="Cambria Math" w:hAnsi="Cambria Math" w:cs="Arial"/>
                          <w:szCs w:val="18"/>
                        </w:rPr>
                        <m:t>Z</m:t>
                      </m:r>
                    </m:e>
                  </m:acc>
                </m:e>
                <m:sup>
                  <m:r>
                    <m:rPr>
                      <m:sty m:val="p"/>
                    </m:rPr>
                    <w:rPr>
                      <w:rFonts w:ascii="Cambria Math" w:hAnsi="Cambria Math" w:cs="Arial"/>
                      <w:szCs w:val="18"/>
                    </w:rPr>
                    <m:t>O&amp;M</m:t>
                  </m:r>
                </m:sup>
              </m:sSup>
              <m:r>
                <w:rPr>
                  <w:rFonts w:ascii="Cambria Math" w:hAnsi="Cambria Math" w:cs="Arial"/>
                  <w:szCs w:val="18"/>
                </w:rPr>
                <m:t xml:space="preserve"> </m:t>
              </m:r>
            </m:oMath>
            <w:r w:rsidR="001968C1" w:rsidRPr="003E7DFF">
              <w:rPr>
                <w:rFonts w:cs="Arial"/>
                <w:szCs w:val="18"/>
              </w:rPr>
              <w:t>($/h)</w:t>
            </w:r>
            <w:r w:rsidR="00E43F52" w:rsidRPr="003E7DFF">
              <w:rPr>
                <w:rFonts w:cs="Arial"/>
                <w:szCs w:val="18"/>
              </w:rPr>
              <w:t xml:space="preserve"> </w:t>
            </w:r>
          </w:p>
        </w:tc>
        <w:tc>
          <w:tcPr>
            <w:tcW w:w="782" w:type="dxa"/>
            <w:shd w:val="clear" w:color="auto" w:fill="FFFFFF" w:themeFill="background1"/>
          </w:tcPr>
          <w:p w14:paraId="70EBD033" w14:textId="75DD0F2B" w:rsidR="001968C1" w:rsidRPr="003E7DFF" w:rsidRDefault="001968C1" w:rsidP="001968C1">
            <w:pPr>
              <w:pStyle w:val="CETBodytext"/>
              <w:jc w:val="left"/>
              <w:rPr>
                <w:rFonts w:cs="Arial"/>
                <w:szCs w:val="18"/>
                <w:highlight w:val="yellow"/>
              </w:rPr>
            </w:pPr>
            <w:r w:rsidRPr="003E7DFF">
              <w:rPr>
                <w:rFonts w:cs="Arial"/>
                <w:szCs w:val="18"/>
              </w:rPr>
              <w:t>5.04</w:t>
            </w:r>
          </w:p>
        </w:tc>
        <w:tc>
          <w:tcPr>
            <w:tcW w:w="708" w:type="dxa"/>
            <w:shd w:val="clear" w:color="auto" w:fill="FFFFFF" w:themeFill="background1"/>
          </w:tcPr>
          <w:p w14:paraId="219F1FFA" w14:textId="44137F7C" w:rsidR="001968C1" w:rsidRPr="003E7DFF" w:rsidRDefault="001968C1" w:rsidP="001968C1">
            <w:pPr>
              <w:pStyle w:val="CETBodytext"/>
              <w:jc w:val="left"/>
              <w:rPr>
                <w:rFonts w:cs="Arial"/>
                <w:szCs w:val="18"/>
                <w:highlight w:val="yellow"/>
              </w:rPr>
            </w:pPr>
            <w:r w:rsidRPr="003E7DFF">
              <w:rPr>
                <w:rFonts w:cs="Arial"/>
                <w:szCs w:val="18"/>
              </w:rPr>
              <w:t>5.47</w:t>
            </w:r>
          </w:p>
        </w:tc>
        <w:tc>
          <w:tcPr>
            <w:tcW w:w="709" w:type="dxa"/>
            <w:shd w:val="clear" w:color="auto" w:fill="FFFFFF" w:themeFill="background1"/>
          </w:tcPr>
          <w:p w14:paraId="709A7F93" w14:textId="3980DD51" w:rsidR="001968C1" w:rsidRPr="003E7DFF" w:rsidRDefault="001968C1" w:rsidP="001968C1">
            <w:pPr>
              <w:pStyle w:val="CETBodytext"/>
              <w:ind w:right="-1"/>
              <w:jc w:val="left"/>
              <w:rPr>
                <w:rFonts w:cs="Arial"/>
                <w:szCs w:val="18"/>
                <w:highlight w:val="yellow"/>
              </w:rPr>
            </w:pPr>
            <w:r w:rsidRPr="003E7DFF">
              <w:rPr>
                <w:rFonts w:cs="Arial"/>
                <w:szCs w:val="18"/>
              </w:rPr>
              <w:t>5.90</w:t>
            </w:r>
          </w:p>
        </w:tc>
        <w:tc>
          <w:tcPr>
            <w:tcW w:w="709" w:type="dxa"/>
            <w:shd w:val="clear" w:color="auto" w:fill="FFFFFF" w:themeFill="background1"/>
          </w:tcPr>
          <w:p w14:paraId="721D2EB9" w14:textId="55F28628" w:rsidR="001968C1" w:rsidRPr="003E7DFF" w:rsidRDefault="001968C1" w:rsidP="001968C1">
            <w:pPr>
              <w:pStyle w:val="CETBodytext"/>
              <w:ind w:right="-1"/>
              <w:jc w:val="left"/>
              <w:rPr>
                <w:rFonts w:cs="Arial"/>
                <w:szCs w:val="18"/>
                <w:highlight w:val="yellow"/>
              </w:rPr>
            </w:pPr>
            <w:r w:rsidRPr="003E7DFF">
              <w:rPr>
                <w:rFonts w:cs="Arial"/>
                <w:szCs w:val="18"/>
              </w:rPr>
              <w:t>6.32</w:t>
            </w:r>
          </w:p>
        </w:tc>
        <w:tc>
          <w:tcPr>
            <w:tcW w:w="850" w:type="dxa"/>
            <w:shd w:val="clear" w:color="auto" w:fill="FFFFFF" w:themeFill="background1"/>
          </w:tcPr>
          <w:p w14:paraId="708F5F7A" w14:textId="423F7AF2" w:rsidR="001968C1" w:rsidRPr="003E7DFF" w:rsidRDefault="001968C1" w:rsidP="001968C1">
            <w:pPr>
              <w:pStyle w:val="CETBodytext"/>
              <w:ind w:right="-1"/>
              <w:jc w:val="left"/>
              <w:rPr>
                <w:rFonts w:cs="Arial"/>
                <w:szCs w:val="18"/>
                <w:highlight w:val="yellow"/>
              </w:rPr>
            </w:pPr>
            <w:r w:rsidRPr="003E7DFF">
              <w:rPr>
                <w:rFonts w:cs="Arial"/>
                <w:szCs w:val="18"/>
              </w:rPr>
              <w:t>7.17</w:t>
            </w:r>
          </w:p>
        </w:tc>
        <w:tc>
          <w:tcPr>
            <w:tcW w:w="709" w:type="dxa"/>
            <w:shd w:val="clear" w:color="auto" w:fill="FFFFFF" w:themeFill="background1"/>
          </w:tcPr>
          <w:p w14:paraId="3D391CA8" w14:textId="2F689791" w:rsidR="001968C1" w:rsidRPr="003E7DFF" w:rsidRDefault="001968C1" w:rsidP="001968C1">
            <w:pPr>
              <w:pStyle w:val="CETBodytext"/>
              <w:ind w:right="-1"/>
              <w:jc w:val="left"/>
              <w:rPr>
                <w:rFonts w:cs="Arial"/>
                <w:szCs w:val="18"/>
                <w:highlight w:val="yellow"/>
              </w:rPr>
            </w:pPr>
            <w:r w:rsidRPr="003E7DFF">
              <w:rPr>
                <w:rFonts w:cs="Arial"/>
                <w:szCs w:val="18"/>
              </w:rPr>
              <w:t>7.60</w:t>
            </w:r>
          </w:p>
        </w:tc>
        <w:tc>
          <w:tcPr>
            <w:tcW w:w="709" w:type="dxa"/>
            <w:shd w:val="clear" w:color="auto" w:fill="FFFFFF" w:themeFill="background1"/>
          </w:tcPr>
          <w:p w14:paraId="0E0978EB" w14:textId="327E49E9" w:rsidR="001968C1" w:rsidRPr="003E7DFF" w:rsidRDefault="001968C1" w:rsidP="001968C1">
            <w:pPr>
              <w:pStyle w:val="CETBodytext"/>
              <w:ind w:right="-1"/>
              <w:jc w:val="left"/>
              <w:rPr>
                <w:rFonts w:cs="Arial"/>
                <w:szCs w:val="18"/>
                <w:highlight w:val="yellow"/>
              </w:rPr>
            </w:pPr>
            <w:r w:rsidRPr="003E7DFF">
              <w:rPr>
                <w:rFonts w:cs="Arial"/>
                <w:szCs w:val="18"/>
              </w:rPr>
              <w:t>8.03</w:t>
            </w:r>
          </w:p>
        </w:tc>
        <w:tc>
          <w:tcPr>
            <w:tcW w:w="709" w:type="dxa"/>
            <w:shd w:val="clear" w:color="auto" w:fill="FFFFFF" w:themeFill="background1"/>
          </w:tcPr>
          <w:p w14:paraId="0F35D05D" w14:textId="69141D6F" w:rsidR="001968C1" w:rsidRPr="003E7DFF" w:rsidRDefault="001968C1" w:rsidP="001968C1">
            <w:pPr>
              <w:pStyle w:val="CETBodytext"/>
              <w:ind w:right="-1"/>
              <w:jc w:val="left"/>
              <w:rPr>
                <w:rFonts w:cs="Arial"/>
                <w:szCs w:val="18"/>
                <w:highlight w:val="yellow"/>
              </w:rPr>
            </w:pPr>
            <w:r w:rsidRPr="003E7DFF">
              <w:rPr>
                <w:rFonts w:cs="Arial"/>
                <w:szCs w:val="18"/>
              </w:rPr>
              <w:t>8.45</w:t>
            </w:r>
          </w:p>
        </w:tc>
      </w:tr>
      <w:tr w:rsidR="00D32D05" w:rsidRPr="003E7DFF" w14:paraId="0C9BF49F" w14:textId="77777777" w:rsidTr="002677BF">
        <w:tc>
          <w:tcPr>
            <w:tcW w:w="2763" w:type="dxa"/>
            <w:shd w:val="clear" w:color="auto" w:fill="FFFFFF" w:themeFill="background1"/>
          </w:tcPr>
          <w:p w14:paraId="56EED893" w14:textId="795D796B" w:rsidR="001968C1" w:rsidRPr="003E7DFF" w:rsidRDefault="001968C1" w:rsidP="001968C1">
            <w:pPr>
              <w:pStyle w:val="CETBodytext"/>
              <w:rPr>
                <w:rFonts w:cs="Arial"/>
                <w:iCs/>
                <w:szCs w:val="18"/>
              </w:rPr>
            </w:pPr>
            <w:r w:rsidRPr="003E7DFF">
              <w:rPr>
                <w:rFonts w:cs="Arial"/>
                <w:iCs/>
                <w:szCs w:val="18"/>
              </w:rPr>
              <w:t>Oil cost ($/kg)</w:t>
            </w:r>
          </w:p>
        </w:tc>
        <w:tc>
          <w:tcPr>
            <w:tcW w:w="782" w:type="dxa"/>
            <w:shd w:val="clear" w:color="auto" w:fill="FFFFFF" w:themeFill="background1"/>
          </w:tcPr>
          <w:p w14:paraId="23F76DEC" w14:textId="30990743" w:rsidR="001968C1" w:rsidRPr="003E7DFF" w:rsidRDefault="001968C1" w:rsidP="001968C1">
            <w:pPr>
              <w:pStyle w:val="CETBodytext"/>
              <w:jc w:val="left"/>
              <w:rPr>
                <w:rFonts w:cs="Arial"/>
                <w:szCs w:val="18"/>
              </w:rPr>
            </w:pPr>
            <w:r w:rsidRPr="003E7DFF">
              <w:rPr>
                <w:rFonts w:cs="Arial"/>
                <w:szCs w:val="18"/>
              </w:rPr>
              <w:t>0.38</w:t>
            </w:r>
          </w:p>
        </w:tc>
        <w:tc>
          <w:tcPr>
            <w:tcW w:w="708" w:type="dxa"/>
            <w:shd w:val="clear" w:color="auto" w:fill="FFFFFF" w:themeFill="background1"/>
          </w:tcPr>
          <w:p w14:paraId="6640CD80" w14:textId="33040F97" w:rsidR="001968C1" w:rsidRPr="003E7DFF" w:rsidRDefault="001968C1" w:rsidP="001968C1">
            <w:pPr>
              <w:pStyle w:val="CETBodytext"/>
              <w:jc w:val="left"/>
              <w:rPr>
                <w:rFonts w:cs="Arial"/>
                <w:szCs w:val="18"/>
              </w:rPr>
            </w:pPr>
            <w:r w:rsidRPr="003E7DFF">
              <w:rPr>
                <w:rFonts w:cs="Arial"/>
                <w:szCs w:val="18"/>
              </w:rPr>
              <w:t>0.21</w:t>
            </w:r>
          </w:p>
        </w:tc>
        <w:tc>
          <w:tcPr>
            <w:tcW w:w="709" w:type="dxa"/>
            <w:shd w:val="clear" w:color="auto" w:fill="FFFFFF" w:themeFill="background1"/>
          </w:tcPr>
          <w:p w14:paraId="5F188E60" w14:textId="7A440D81" w:rsidR="001968C1" w:rsidRPr="003E7DFF" w:rsidRDefault="001968C1" w:rsidP="001968C1">
            <w:pPr>
              <w:pStyle w:val="CETBodytext"/>
              <w:ind w:right="-1"/>
              <w:jc w:val="left"/>
              <w:rPr>
                <w:rFonts w:cs="Arial"/>
                <w:szCs w:val="18"/>
              </w:rPr>
            </w:pPr>
            <w:r w:rsidRPr="003E7DFF">
              <w:rPr>
                <w:rFonts w:cs="Arial"/>
                <w:szCs w:val="18"/>
              </w:rPr>
              <w:t>0.15</w:t>
            </w:r>
          </w:p>
        </w:tc>
        <w:tc>
          <w:tcPr>
            <w:tcW w:w="709" w:type="dxa"/>
            <w:shd w:val="clear" w:color="auto" w:fill="FFFFFF" w:themeFill="background1"/>
          </w:tcPr>
          <w:p w14:paraId="4C1AE1C6" w14:textId="3170BF90" w:rsidR="001968C1" w:rsidRPr="003E7DFF" w:rsidRDefault="001968C1" w:rsidP="001968C1">
            <w:pPr>
              <w:pStyle w:val="CETBodytext"/>
              <w:ind w:right="-1"/>
              <w:jc w:val="left"/>
              <w:rPr>
                <w:rFonts w:cs="Arial"/>
                <w:szCs w:val="18"/>
              </w:rPr>
            </w:pPr>
            <w:r w:rsidRPr="003E7DFF">
              <w:rPr>
                <w:rFonts w:cs="Arial"/>
                <w:szCs w:val="18"/>
              </w:rPr>
              <w:t>0.12</w:t>
            </w:r>
          </w:p>
        </w:tc>
        <w:tc>
          <w:tcPr>
            <w:tcW w:w="850" w:type="dxa"/>
            <w:shd w:val="clear" w:color="auto" w:fill="FFFFFF" w:themeFill="background1"/>
          </w:tcPr>
          <w:p w14:paraId="3E544E29" w14:textId="21830193" w:rsidR="001968C1" w:rsidRPr="003E7DFF" w:rsidRDefault="001968C1" w:rsidP="001968C1">
            <w:pPr>
              <w:pStyle w:val="CETBodytext"/>
              <w:ind w:right="-1"/>
              <w:jc w:val="left"/>
              <w:rPr>
                <w:rFonts w:cs="Arial"/>
                <w:szCs w:val="18"/>
              </w:rPr>
            </w:pPr>
            <w:r w:rsidRPr="003E7DFF">
              <w:rPr>
                <w:rFonts w:cs="Arial"/>
                <w:szCs w:val="18"/>
              </w:rPr>
              <w:t>2.72</w:t>
            </w:r>
          </w:p>
        </w:tc>
        <w:tc>
          <w:tcPr>
            <w:tcW w:w="709" w:type="dxa"/>
            <w:shd w:val="clear" w:color="auto" w:fill="FFFFFF" w:themeFill="background1"/>
          </w:tcPr>
          <w:p w14:paraId="43473D95" w14:textId="6A33C888" w:rsidR="001968C1" w:rsidRPr="003E7DFF" w:rsidRDefault="001968C1" w:rsidP="001968C1">
            <w:pPr>
              <w:pStyle w:val="CETBodytext"/>
              <w:ind w:right="-1"/>
              <w:jc w:val="left"/>
              <w:rPr>
                <w:rFonts w:cs="Arial"/>
                <w:szCs w:val="18"/>
              </w:rPr>
            </w:pPr>
            <w:r w:rsidRPr="003E7DFF">
              <w:rPr>
                <w:rFonts w:cs="Arial"/>
                <w:szCs w:val="18"/>
              </w:rPr>
              <w:t>1.28</w:t>
            </w:r>
          </w:p>
        </w:tc>
        <w:tc>
          <w:tcPr>
            <w:tcW w:w="709" w:type="dxa"/>
            <w:shd w:val="clear" w:color="auto" w:fill="FFFFFF" w:themeFill="background1"/>
          </w:tcPr>
          <w:p w14:paraId="1F1249EF" w14:textId="3BAD88E0" w:rsidR="001968C1" w:rsidRPr="003E7DFF" w:rsidRDefault="001968C1" w:rsidP="001968C1">
            <w:pPr>
              <w:pStyle w:val="CETBodytext"/>
              <w:ind w:right="-1"/>
              <w:jc w:val="left"/>
              <w:rPr>
                <w:rFonts w:cs="Arial"/>
                <w:szCs w:val="18"/>
              </w:rPr>
            </w:pPr>
            <w:r w:rsidRPr="003E7DFF">
              <w:rPr>
                <w:rFonts w:cs="Arial"/>
                <w:szCs w:val="18"/>
              </w:rPr>
              <w:t>0.91</w:t>
            </w:r>
          </w:p>
        </w:tc>
        <w:tc>
          <w:tcPr>
            <w:tcW w:w="709" w:type="dxa"/>
            <w:shd w:val="clear" w:color="auto" w:fill="FFFFFF" w:themeFill="background1"/>
          </w:tcPr>
          <w:p w14:paraId="1BAB1045" w14:textId="503C4DFD" w:rsidR="001968C1" w:rsidRPr="003E7DFF" w:rsidRDefault="001968C1" w:rsidP="001968C1">
            <w:pPr>
              <w:pStyle w:val="CETBodytext"/>
              <w:ind w:right="-1"/>
              <w:jc w:val="left"/>
              <w:rPr>
                <w:rFonts w:cs="Arial"/>
                <w:szCs w:val="18"/>
              </w:rPr>
            </w:pPr>
            <w:r w:rsidRPr="003E7DFF">
              <w:rPr>
                <w:rFonts w:cs="Arial"/>
                <w:szCs w:val="18"/>
              </w:rPr>
              <w:t>0.73</w:t>
            </w:r>
          </w:p>
        </w:tc>
      </w:tr>
    </w:tbl>
    <w:p w14:paraId="68D26B83" w14:textId="1E3CF452" w:rsidR="00600535" w:rsidRPr="003E7DFF" w:rsidRDefault="003D609A" w:rsidP="006F1C3A">
      <w:pPr>
        <w:pStyle w:val="CETHeading1"/>
      </w:pPr>
      <w:r w:rsidRPr="003E7DFF">
        <w:t>Conclusion</w:t>
      </w:r>
      <w:r w:rsidR="006F1C3A" w:rsidRPr="003E7DFF">
        <w:t>s</w:t>
      </w:r>
    </w:p>
    <w:p w14:paraId="06A18BAF" w14:textId="7273713B" w:rsidR="00D72545" w:rsidRPr="003E7DFF" w:rsidRDefault="00E33ECA" w:rsidP="00D72545">
      <w:pPr>
        <w:pStyle w:val="CETBodytext"/>
        <w:rPr>
          <w:color w:val="000000" w:themeColor="text1"/>
        </w:rPr>
      </w:pPr>
      <w:r w:rsidRPr="003E7DFF">
        <w:t xml:space="preserve">This study aimed to perform an </w:t>
      </w:r>
      <w:proofErr w:type="spellStart"/>
      <w:r w:rsidRPr="003E7DFF">
        <w:t>exergoeconomic</w:t>
      </w:r>
      <w:proofErr w:type="spellEnd"/>
      <w:r w:rsidRPr="003E7DFF">
        <w:t xml:space="preserve"> analysis of </w:t>
      </w:r>
      <w:r w:rsidR="006145B5" w:rsidRPr="003E7DFF">
        <w:t xml:space="preserve">two SCGs oil extraction processes: </w:t>
      </w:r>
      <w:proofErr w:type="spellStart"/>
      <w:r w:rsidR="006145B5" w:rsidRPr="003E7DFF">
        <w:t>soxhlet</w:t>
      </w:r>
      <w:proofErr w:type="spellEnd"/>
      <w:r w:rsidR="006145B5" w:rsidRPr="003E7DFF">
        <w:t xml:space="preserve"> extraction (SE) and </w:t>
      </w:r>
      <w:r w:rsidR="002677BF">
        <w:t>ultrasound</w:t>
      </w:r>
      <w:r w:rsidR="006145B5" w:rsidRPr="003E7DFF">
        <w:t xml:space="preserve">-assisted extraction (UAE) </w:t>
      </w:r>
      <w:r w:rsidRPr="003E7DFF">
        <w:t xml:space="preserve">based on </w:t>
      </w:r>
      <w:r w:rsidR="6E3A338C">
        <w:t xml:space="preserve">literature and </w:t>
      </w:r>
      <w:r w:rsidRPr="003E7DFF">
        <w:t xml:space="preserve">experimental </w:t>
      </w:r>
      <w:r w:rsidR="350C922F">
        <w:t xml:space="preserve">results, </w:t>
      </w:r>
      <w:r w:rsidR="382D6BAF">
        <w:t>respecti</w:t>
      </w:r>
      <w:r w:rsidR="370A9E50">
        <w:t>vel</w:t>
      </w:r>
      <w:r w:rsidR="382D6BAF">
        <w:t>y</w:t>
      </w:r>
      <w:r w:rsidR="50553AD1">
        <w:t>.</w:t>
      </w:r>
      <w:r w:rsidR="006145B5" w:rsidRPr="003E7DFF">
        <w:t xml:space="preserve"> </w:t>
      </w:r>
      <w:r>
        <w:t>This research shows</w:t>
      </w:r>
      <w:r w:rsidR="006145B5">
        <w:t xml:space="preserve"> </w:t>
      </w:r>
      <w:r w:rsidR="001E056B">
        <w:t xml:space="preserve">that the </w:t>
      </w:r>
      <w:r w:rsidR="0059043F" w:rsidRPr="003E7DFF">
        <w:t xml:space="preserve">exergy </w:t>
      </w:r>
      <w:r w:rsidR="581150FD">
        <w:t>destruc</w:t>
      </w:r>
      <w:r w:rsidR="05B475D4">
        <w:t>ti</w:t>
      </w:r>
      <w:r w:rsidR="581150FD">
        <w:t>on</w:t>
      </w:r>
      <w:r w:rsidR="0059043F" w:rsidRPr="003E7DFF">
        <w:t xml:space="preserve"> rate is reduced up to 7</w:t>
      </w:r>
      <w:r w:rsidR="009B6EBC">
        <w:t>9.7</w:t>
      </w:r>
      <w:r w:rsidR="00804235">
        <w:t xml:space="preserve"> </w:t>
      </w:r>
      <w:r w:rsidR="0059043F" w:rsidRPr="003E7DFF">
        <w:t xml:space="preserve">% when UAE process is used instead of SE process. </w:t>
      </w:r>
      <w:r w:rsidR="6905852C">
        <w:t>Also, t</w:t>
      </w:r>
      <w:r>
        <w:t xml:space="preserve">he </w:t>
      </w:r>
      <w:proofErr w:type="spellStart"/>
      <w:r w:rsidRPr="003E7DFF">
        <w:t>exergetic</w:t>
      </w:r>
      <w:proofErr w:type="spellEnd"/>
      <w:r w:rsidRPr="003E7DFF">
        <w:t xml:space="preserve"> efficiency </w:t>
      </w:r>
      <w:r w:rsidR="0059043F" w:rsidRPr="003E7DFF">
        <w:t xml:space="preserve">is increased </w:t>
      </w:r>
      <w:r w:rsidR="0059043F">
        <w:t>by</w:t>
      </w:r>
      <w:r w:rsidR="0059043F" w:rsidRPr="003E7DFF">
        <w:t xml:space="preserve"> </w:t>
      </w:r>
      <w:r w:rsidR="009D25BC">
        <w:t>5.5</w:t>
      </w:r>
      <w:r w:rsidR="00804235">
        <w:t xml:space="preserve"> </w:t>
      </w:r>
      <w:r w:rsidRPr="003E7DFF">
        <w:t xml:space="preserve">% when </w:t>
      </w:r>
      <w:r w:rsidR="006145B5" w:rsidRPr="003E7DFF">
        <w:t xml:space="preserve">the hexane to SCGs ratio </w:t>
      </w:r>
      <w:r w:rsidR="32556188">
        <w:t xml:space="preserve">increases </w:t>
      </w:r>
      <w:r w:rsidRPr="003E7DFF">
        <w:t xml:space="preserve">from </w:t>
      </w:r>
      <w:r w:rsidR="006145B5" w:rsidRPr="003E7DFF">
        <w:t>5 mL/g</w:t>
      </w:r>
      <w:r w:rsidRPr="003E7DFF">
        <w:t xml:space="preserve"> </w:t>
      </w:r>
      <w:r w:rsidR="006145B5" w:rsidRPr="003E7DFF">
        <w:t>to 20 mL/g</w:t>
      </w:r>
      <w:r w:rsidR="005B56BA" w:rsidRPr="003E7DFF">
        <w:t xml:space="preserve"> in </w:t>
      </w:r>
      <w:r w:rsidR="41E99F41">
        <w:t xml:space="preserve">the </w:t>
      </w:r>
      <w:r w:rsidR="005B56BA" w:rsidRPr="003E7DFF">
        <w:t xml:space="preserve">UAE </w:t>
      </w:r>
      <w:r w:rsidR="0059043F" w:rsidRPr="003E7DFF">
        <w:t>process</w:t>
      </w:r>
      <w:r w:rsidR="005B56BA" w:rsidRPr="003E7DFF">
        <w:t xml:space="preserve">. </w:t>
      </w:r>
      <w:r w:rsidR="24074214">
        <w:t>The operating</w:t>
      </w:r>
      <w:r>
        <w:t xml:space="preserve"> cost </w:t>
      </w:r>
      <w:r w:rsidRPr="003E7DFF">
        <w:t xml:space="preserve">can be reduced by </w:t>
      </w:r>
      <w:r w:rsidR="005B56BA" w:rsidRPr="003E7DFF">
        <w:t>7</w:t>
      </w:r>
      <w:r w:rsidR="008D2183">
        <w:t>8.2</w:t>
      </w:r>
      <w:r w:rsidR="00804235">
        <w:t xml:space="preserve"> </w:t>
      </w:r>
      <w:r w:rsidR="005B56BA" w:rsidRPr="003E7DFF">
        <w:t>%</w:t>
      </w:r>
      <w:r w:rsidR="0059043F" w:rsidRPr="003E7DFF">
        <w:t xml:space="preserve"> when using UAE process</w:t>
      </w:r>
      <w:r w:rsidR="005B56BA" w:rsidRPr="003E7DFF">
        <w:t xml:space="preserve">. </w:t>
      </w:r>
      <w:r w:rsidRPr="003E7DFF">
        <w:t xml:space="preserve">The specific </w:t>
      </w:r>
      <w:r w:rsidR="00D72545" w:rsidRPr="003E7DFF">
        <w:t xml:space="preserve">oil </w:t>
      </w:r>
      <w:r>
        <w:t>cost</w:t>
      </w:r>
      <w:r w:rsidRPr="003E7DFF">
        <w:t xml:space="preserve"> </w:t>
      </w:r>
      <w:r w:rsidR="058805B8">
        <w:t>is reduced from</w:t>
      </w:r>
      <w:r>
        <w:t xml:space="preserve"> </w:t>
      </w:r>
      <w:r w:rsidR="005B56BA" w:rsidRPr="003E7DFF">
        <w:t>0.38</w:t>
      </w:r>
      <w:r w:rsidRPr="003E7DFF">
        <w:t xml:space="preserve"> $/kg </w:t>
      </w:r>
      <w:r w:rsidR="3B63F46F">
        <w:t>to</w:t>
      </w:r>
      <w:r w:rsidRPr="003E7DFF">
        <w:t xml:space="preserve"> 0.</w:t>
      </w:r>
      <w:r w:rsidR="005B56BA" w:rsidRPr="003E7DFF">
        <w:t xml:space="preserve">12 $/kg </w:t>
      </w:r>
      <w:r w:rsidR="21289894">
        <w:t xml:space="preserve">when the solvent to SCGs ratio is increased </w:t>
      </w:r>
      <w:r w:rsidR="0059043F" w:rsidRPr="003E7DFF">
        <w:t>and at</w:t>
      </w:r>
      <w:r w:rsidR="003A78BC" w:rsidRPr="003E7DFF">
        <w:t xml:space="preserve"> 20 mL/g</w:t>
      </w:r>
      <w:r w:rsidR="081E0E0A" w:rsidRPr="003E7DFF">
        <w:t xml:space="preserve">, </w:t>
      </w:r>
      <w:r w:rsidR="3B2299E4">
        <w:t xml:space="preserve">the </w:t>
      </w:r>
      <w:r w:rsidR="1775BAE5" w:rsidRPr="003E7DFF">
        <w:t>lowest</w:t>
      </w:r>
      <w:r w:rsidR="3B2299E4" w:rsidRPr="003E7DFF">
        <w:t xml:space="preserve"> specific oil cost</w:t>
      </w:r>
      <w:r w:rsidR="7A08D9A0">
        <w:t xml:space="preserve"> is reached</w:t>
      </w:r>
      <w:r>
        <w:t>.</w:t>
      </w:r>
      <w:r w:rsidRPr="003E7DFF">
        <w:t xml:space="preserve"> Finally, the results suggest that </w:t>
      </w:r>
      <w:r w:rsidR="005B56BA" w:rsidRPr="003E7DFF">
        <w:t xml:space="preserve">UAE </w:t>
      </w:r>
      <w:r w:rsidR="00C313DA" w:rsidRPr="003E7DFF">
        <w:t xml:space="preserve">process </w:t>
      </w:r>
      <w:r w:rsidR="0059043F" w:rsidRPr="003E7DFF">
        <w:lastRenderedPageBreak/>
        <w:t xml:space="preserve">has more </w:t>
      </w:r>
      <w:r w:rsidRPr="003E7DFF">
        <w:t>benefits</w:t>
      </w:r>
      <w:r w:rsidR="005B56BA" w:rsidRPr="003E7DFF">
        <w:t xml:space="preserve"> </w:t>
      </w:r>
      <w:r w:rsidR="0059043F" w:rsidRPr="003E7DFF">
        <w:t xml:space="preserve">from the exergy and economic </w:t>
      </w:r>
      <w:r w:rsidR="00D72545" w:rsidRPr="003E7DFF">
        <w:t>viewpoints</w:t>
      </w:r>
      <w:r w:rsidR="0059043F" w:rsidRPr="003E7DFF">
        <w:t>.</w:t>
      </w:r>
      <w:r w:rsidRPr="003E7DFF">
        <w:t xml:space="preserve"> </w:t>
      </w:r>
      <w:r w:rsidRPr="0FF4D48E">
        <w:rPr>
          <w:color w:val="000000" w:themeColor="text1"/>
        </w:rPr>
        <w:t>Future studies should focus on</w:t>
      </w:r>
      <w:r w:rsidR="00D72545" w:rsidRPr="0FF4D48E">
        <w:rPr>
          <w:color w:val="000000" w:themeColor="text1"/>
        </w:rPr>
        <w:t xml:space="preserve"> </w:t>
      </w:r>
      <w:r w:rsidR="002677BF">
        <w:rPr>
          <w:color w:val="000000" w:themeColor="text1"/>
        </w:rPr>
        <w:t>ultrasound</w:t>
      </w:r>
      <w:r w:rsidR="00D72545" w:rsidRPr="0FF4D48E">
        <w:rPr>
          <w:color w:val="000000" w:themeColor="text1"/>
        </w:rPr>
        <w:t>-assisted extraction process scale-up.</w:t>
      </w:r>
    </w:p>
    <w:p w14:paraId="07A6D20F" w14:textId="0ECF229E" w:rsidR="00280FAF" w:rsidRPr="003E7DFF" w:rsidRDefault="00280FAF" w:rsidP="00280FAF">
      <w:pPr>
        <w:pStyle w:val="CETHeadingxx"/>
        <w:sectPr w:rsidR="00280FAF" w:rsidRPr="003E7DFF" w:rsidSect="007D0951">
          <w:type w:val="continuous"/>
          <w:pgSz w:w="11906" w:h="16838" w:code="9"/>
          <w:pgMar w:top="1701" w:right="1418" w:bottom="1701" w:left="1701" w:header="1701" w:footer="0" w:gutter="0"/>
          <w:cols w:space="708"/>
          <w:formProt w:val="0"/>
          <w:titlePg/>
          <w:docGrid w:linePitch="360"/>
        </w:sectPr>
      </w:pPr>
      <w:r w:rsidRPr="003E7DFF">
        <w:t>Nomenclature</w:t>
      </w:r>
    </w:p>
    <w:p w14:paraId="4E731306" w14:textId="21BF301A" w:rsidR="006F1C3A" w:rsidRPr="003E7DFF" w:rsidRDefault="006F1C3A" w:rsidP="006F1C3A">
      <w:pPr>
        <w:pStyle w:val="CETBodytext"/>
        <w:jc w:val="left"/>
        <w:rPr>
          <w:rFonts w:eastAsia="SimSun"/>
          <w:szCs w:val="18"/>
        </w:rPr>
        <w:sectPr w:rsidR="006F1C3A" w:rsidRPr="003E7DFF" w:rsidSect="0077098D">
          <w:type w:val="continuous"/>
          <w:pgSz w:w="11906" w:h="16838" w:code="9"/>
          <w:pgMar w:top="1701" w:right="1418" w:bottom="1701" w:left="1701" w:header="1701" w:footer="0" w:gutter="0"/>
          <w:cols w:space="708"/>
          <w:formProt w:val="0"/>
          <w:titlePg/>
          <w:docGrid w:linePitch="360"/>
        </w:sectPr>
      </w:pPr>
      <w:r w:rsidRPr="003E7DFF">
        <w:rPr>
          <w:rFonts w:eastAsia="SimSun"/>
          <w:szCs w:val="18"/>
        </w:rPr>
        <w:t>c</w:t>
      </w:r>
      <w:r w:rsidRPr="003E7DFF">
        <w:rPr>
          <w:rFonts w:eastAsia="SimSun"/>
          <w:szCs w:val="18"/>
          <w:vertAlign w:val="subscript"/>
        </w:rPr>
        <w:t xml:space="preserve">i </w:t>
      </w:r>
      <w:r w:rsidRPr="003E7DFF">
        <w:rPr>
          <w:rFonts w:eastAsia="SimSun"/>
          <w:szCs w:val="18"/>
        </w:rPr>
        <w:t>– unit exergy cost, $/</w:t>
      </w:r>
      <w:r w:rsidR="002677BF">
        <w:rPr>
          <w:rFonts w:eastAsia="SimSun"/>
          <w:szCs w:val="18"/>
        </w:rPr>
        <w:t>k</w:t>
      </w:r>
      <w:r w:rsidRPr="003E7DFF">
        <w:rPr>
          <w:rFonts w:eastAsia="SimSun"/>
          <w:szCs w:val="18"/>
        </w:rPr>
        <w:t>J</w:t>
      </w:r>
    </w:p>
    <w:p w14:paraId="2FADB628" w14:textId="64FF566A" w:rsidR="006F1C3A" w:rsidRPr="003E7DFF" w:rsidRDefault="0078037F" w:rsidP="006F1C3A">
      <w:pPr>
        <w:pStyle w:val="CETBodytext"/>
        <w:jc w:val="left"/>
        <w:rPr>
          <w:rFonts w:eastAsia="SimSun"/>
        </w:rPr>
      </w:pPr>
      <m:oMath>
        <m:sSub>
          <m:sSubPr>
            <m:ctrlPr>
              <w:rPr>
                <w:rFonts w:ascii="Cambria Math" w:hAnsi="Cambria Math"/>
                <w:sz w:val="16"/>
                <w:szCs w:val="16"/>
              </w:rPr>
            </m:ctrlPr>
          </m:sSubPr>
          <m:e>
            <m:acc>
              <m:accPr>
                <m:chr m:val="̇"/>
                <m:ctrlPr>
                  <w:rPr>
                    <w:rFonts w:ascii="Cambria Math" w:hAnsi="Cambria Math"/>
                    <w:sz w:val="16"/>
                    <w:szCs w:val="16"/>
                  </w:rPr>
                </m:ctrlPr>
              </m:accPr>
              <m:e>
                <m:r>
                  <m:rPr>
                    <m:sty m:val="p"/>
                  </m:rPr>
                  <w:rPr>
                    <w:rFonts w:ascii="Cambria Math" w:hAnsi="Cambria Math"/>
                    <w:sz w:val="16"/>
                    <w:szCs w:val="16"/>
                  </w:rPr>
                  <m:t>C</m:t>
                </m:r>
              </m:e>
            </m:acc>
          </m:e>
          <m:sub>
            <m:r>
              <m:rPr>
                <m:sty m:val="p"/>
              </m:rPr>
              <w:rPr>
                <w:rFonts w:ascii="Cambria Math" w:hAnsi="Cambria Math"/>
                <w:sz w:val="16"/>
                <w:szCs w:val="16"/>
              </w:rPr>
              <m:t>i</m:t>
            </m:r>
          </m:sub>
        </m:sSub>
      </m:oMath>
      <w:r w:rsidR="006F1C3A" w:rsidRPr="003E7DFF">
        <w:rPr>
          <w:rFonts w:eastAsia="SimSun"/>
          <w:vertAlign w:val="subscript"/>
        </w:rPr>
        <w:t xml:space="preserve"> </w:t>
      </w:r>
      <w:r w:rsidR="006F1C3A" w:rsidRPr="003E7DFF">
        <w:rPr>
          <w:rFonts w:eastAsia="SimSun"/>
          <w:szCs w:val="18"/>
        </w:rPr>
        <w:t>–</w:t>
      </w:r>
      <w:r w:rsidR="006F1C3A" w:rsidRPr="003E7DFF">
        <w:rPr>
          <w:rFonts w:eastAsia="SimSun"/>
        </w:rPr>
        <w:t xml:space="preserve"> cost rate associated with exergy, $/h</w:t>
      </w:r>
    </w:p>
    <w:p w14:paraId="72DE0BCF" w14:textId="77777777" w:rsidR="006F1C3A" w:rsidRPr="003E7DFF" w:rsidRDefault="0078037F" w:rsidP="006F1C3A">
      <w:pPr>
        <w:pStyle w:val="CETBodytext"/>
        <w:jc w:val="left"/>
        <w:rPr>
          <w:rFonts w:eastAsia="SimSun"/>
        </w:rPr>
      </w:pPr>
      <m:oMath>
        <m:acc>
          <m:accPr>
            <m:chr m:val="̇"/>
            <m:ctrlPr>
              <w:rPr>
                <w:rFonts w:ascii="Cambria Math" w:eastAsia="SimSun" w:hAnsi="Cambria Math"/>
                <w:szCs w:val="18"/>
              </w:rPr>
            </m:ctrlPr>
          </m:accPr>
          <m:e>
            <m:r>
              <m:rPr>
                <m:sty m:val="p"/>
              </m:rPr>
              <w:rPr>
                <w:rFonts w:ascii="Cambria Math" w:eastAsia="SimSun" w:hAnsi="Cambria Math"/>
                <w:szCs w:val="18"/>
              </w:rPr>
              <m:t>E</m:t>
            </m:r>
          </m:e>
        </m:acc>
      </m:oMath>
      <w:r w:rsidR="006F1C3A" w:rsidRPr="003E7DFF">
        <w:rPr>
          <w:rFonts w:eastAsia="SimSun"/>
          <w:szCs w:val="18"/>
        </w:rPr>
        <w:t xml:space="preserve"> </w:t>
      </w:r>
      <w:r w:rsidR="006F1C3A" w:rsidRPr="003E7DFF">
        <w:rPr>
          <w:rFonts w:eastAsia="SimSun"/>
        </w:rPr>
        <w:t xml:space="preserve"> – exergy rate, kJ/h</w:t>
      </w:r>
    </w:p>
    <w:p w14:paraId="593E5604" w14:textId="77777777" w:rsidR="006F1C3A" w:rsidRPr="003E7DFF" w:rsidRDefault="0078037F" w:rsidP="006F1C3A">
      <w:pPr>
        <w:pStyle w:val="CETBodytext"/>
        <w:jc w:val="left"/>
        <w:rPr>
          <w:rFonts w:eastAsia="SimSun"/>
        </w:rPr>
      </w:pPr>
      <m:oMath>
        <m:sSup>
          <m:sSupPr>
            <m:ctrlPr>
              <w:rPr>
                <w:rFonts w:ascii="Cambria Math" w:eastAsia="SimSun" w:hAnsi="Cambria Math"/>
                <w:szCs w:val="18"/>
              </w:rPr>
            </m:ctrlPr>
          </m:sSupPr>
          <m:e>
            <m:r>
              <m:rPr>
                <m:sty m:val="p"/>
              </m:rPr>
              <w:rPr>
                <w:rFonts w:ascii="Cambria Math" w:eastAsia="SimSun" w:hAnsi="Cambria Math"/>
                <w:szCs w:val="18"/>
              </w:rPr>
              <m:t>e</m:t>
            </m:r>
          </m:e>
          <m:sup>
            <m:r>
              <m:rPr>
                <m:sty m:val="p"/>
              </m:rPr>
              <w:rPr>
                <w:rFonts w:ascii="Cambria Math" w:eastAsia="SimSun" w:hAnsi="Cambria Math"/>
                <w:szCs w:val="18"/>
              </w:rPr>
              <m:t>PH</m:t>
            </m:r>
          </m:sup>
        </m:sSup>
      </m:oMath>
      <w:r w:rsidR="006F1C3A" w:rsidRPr="003E7DFF">
        <w:rPr>
          <w:rFonts w:eastAsia="SimSun"/>
        </w:rPr>
        <w:t>– physical exergy, kJ/kg</w:t>
      </w:r>
    </w:p>
    <w:p w14:paraId="31314843" w14:textId="77777777" w:rsidR="006F1C3A" w:rsidRDefault="0078037F" w:rsidP="006F1C3A">
      <w:pPr>
        <w:pStyle w:val="CETBodytext"/>
        <w:jc w:val="left"/>
        <w:rPr>
          <w:rFonts w:eastAsia="SimSun"/>
        </w:rPr>
      </w:pPr>
      <m:oMath>
        <m:sSup>
          <m:sSupPr>
            <m:ctrlPr>
              <w:rPr>
                <w:rFonts w:ascii="Cambria Math" w:eastAsia="SimSun" w:hAnsi="Cambria Math"/>
                <w:szCs w:val="18"/>
              </w:rPr>
            </m:ctrlPr>
          </m:sSupPr>
          <m:e>
            <m:r>
              <m:rPr>
                <m:sty m:val="p"/>
              </m:rPr>
              <w:rPr>
                <w:rFonts w:ascii="Cambria Math" w:eastAsia="SimSun" w:hAnsi="Cambria Math"/>
                <w:szCs w:val="18"/>
              </w:rPr>
              <m:t>e</m:t>
            </m:r>
          </m:e>
          <m:sup>
            <m:r>
              <m:rPr>
                <m:sty m:val="p"/>
              </m:rPr>
              <w:rPr>
                <w:rFonts w:ascii="Cambria Math" w:eastAsia="SimSun" w:hAnsi="Cambria Math"/>
                <w:szCs w:val="18"/>
              </w:rPr>
              <m:t>CH</m:t>
            </m:r>
          </m:sup>
        </m:sSup>
      </m:oMath>
      <w:r w:rsidR="006F1C3A" w:rsidRPr="003E7DFF">
        <w:rPr>
          <w:rFonts w:eastAsia="SimSun"/>
          <w:szCs w:val="18"/>
        </w:rPr>
        <w:t xml:space="preserve"> </w:t>
      </w:r>
      <w:r w:rsidR="006F1C3A" w:rsidRPr="003E7DFF">
        <w:rPr>
          <w:rFonts w:eastAsia="SimSun"/>
        </w:rPr>
        <w:t>– chemical exergy, kJ/kg</w:t>
      </w:r>
    </w:p>
    <w:p w14:paraId="5DDDE5B0" w14:textId="118F3BCA" w:rsidR="002677BF" w:rsidRPr="003E7DFF" w:rsidRDefault="002677BF" w:rsidP="006F1C3A">
      <w:pPr>
        <w:pStyle w:val="CETBodytext"/>
        <w:jc w:val="left"/>
        <w:rPr>
          <w:rFonts w:eastAsia="SimSun"/>
        </w:rPr>
      </w:pPr>
      <w:r>
        <w:rPr>
          <w:rFonts w:eastAsia="SimSun"/>
        </w:rPr>
        <w:t xml:space="preserve">EP </w:t>
      </w:r>
      <w:r w:rsidRPr="003E7DFF">
        <w:rPr>
          <w:rFonts w:eastAsia="SimSun"/>
        </w:rPr>
        <w:t>–</w:t>
      </w:r>
      <w:r>
        <w:rPr>
          <w:rFonts w:eastAsia="SimSun"/>
        </w:rPr>
        <w:t xml:space="preserve"> electric power</w:t>
      </w:r>
    </w:p>
    <w:p w14:paraId="4AADFF24" w14:textId="77777777" w:rsidR="006F1C3A" w:rsidRPr="003E7DFF" w:rsidRDefault="006F1C3A" w:rsidP="006F1C3A">
      <w:pPr>
        <w:pStyle w:val="CETBodytext"/>
        <w:jc w:val="left"/>
        <w:rPr>
          <w:rFonts w:eastAsia="SimSun"/>
        </w:rPr>
      </w:pPr>
      <w:r w:rsidRPr="003E7DFF">
        <w:rPr>
          <w:rFonts w:eastAsia="SimSun"/>
        </w:rPr>
        <w:t>h – specific enthalpy, kJ/kg</w:t>
      </w:r>
    </w:p>
    <w:p w14:paraId="273FFDFB" w14:textId="60B2F0BC" w:rsidR="00C313DA" w:rsidRPr="003E7DFF" w:rsidRDefault="00C313DA" w:rsidP="006F1C3A">
      <w:pPr>
        <w:pStyle w:val="CETBodytext"/>
        <w:jc w:val="left"/>
        <w:rPr>
          <w:rFonts w:eastAsia="SimSun"/>
        </w:rPr>
      </w:pPr>
      <w:r w:rsidRPr="003E7DFF">
        <w:rPr>
          <w:rFonts w:eastAsia="SimSun"/>
        </w:rPr>
        <w:t>m –</w:t>
      </w:r>
      <w:r w:rsidR="00C91A55">
        <w:rPr>
          <w:rFonts w:eastAsia="SimSun"/>
        </w:rPr>
        <w:t xml:space="preserve"> </w:t>
      </w:r>
      <w:r w:rsidRPr="003E7DFF">
        <w:rPr>
          <w:rFonts w:eastAsia="SimSun"/>
        </w:rPr>
        <w:t>mass</w:t>
      </w:r>
      <w:r w:rsidR="008B70F7">
        <w:rPr>
          <w:rFonts w:eastAsia="SimSun"/>
        </w:rPr>
        <w:t>, kg</w:t>
      </w:r>
    </w:p>
    <w:p w14:paraId="0AC06033" w14:textId="77777777" w:rsidR="006F1C3A" w:rsidRPr="003E7DFF" w:rsidRDefault="006F1C3A" w:rsidP="006F1C3A">
      <w:pPr>
        <w:pStyle w:val="CETBodytext"/>
        <w:jc w:val="left"/>
        <w:rPr>
          <w:rFonts w:eastAsia="SimSun"/>
        </w:rPr>
      </w:pPr>
      <w:r w:rsidRPr="003E7DFF">
        <w:rPr>
          <w:rFonts w:eastAsia="SimSun"/>
        </w:rPr>
        <w:t>PEC – purchased equipment cost, $</w:t>
      </w:r>
    </w:p>
    <w:p w14:paraId="110FD1A6" w14:textId="77777777" w:rsidR="006F1C3A" w:rsidRPr="003E7DFF" w:rsidRDefault="006F1C3A" w:rsidP="006F1C3A">
      <w:pPr>
        <w:pStyle w:val="CETBodytext"/>
        <w:jc w:val="left"/>
        <w:rPr>
          <w:rFonts w:eastAsia="SimSun"/>
        </w:rPr>
      </w:pPr>
      <w:r w:rsidRPr="003E7DFF">
        <w:rPr>
          <w:rFonts w:eastAsia="SimSun"/>
        </w:rPr>
        <w:t>R – ideal gas constant (kJ/</w:t>
      </w:r>
      <w:proofErr w:type="spellStart"/>
      <w:r w:rsidRPr="003E7DFF">
        <w:rPr>
          <w:rFonts w:eastAsia="SimSun"/>
        </w:rPr>
        <w:t>kmol</w:t>
      </w:r>
      <w:r w:rsidRPr="003E7DFF">
        <w:rPr>
          <w:rFonts w:ascii="Times New Roman" w:eastAsia="SimSun" w:hAnsi="Times New Roman"/>
        </w:rPr>
        <w:t>·</w:t>
      </w:r>
      <w:r w:rsidRPr="003E7DFF">
        <w:rPr>
          <w:rFonts w:eastAsia="SimSun"/>
        </w:rPr>
        <w:t>K</w:t>
      </w:r>
      <w:proofErr w:type="spellEnd"/>
      <w:r w:rsidRPr="003E7DFF">
        <w:rPr>
          <w:rFonts w:eastAsia="SimSun"/>
        </w:rPr>
        <w:t>)</w:t>
      </w:r>
    </w:p>
    <w:p w14:paraId="0BE2BB46" w14:textId="4BCA439F" w:rsidR="006F1C3A" w:rsidRDefault="006F1C3A" w:rsidP="006F1C3A">
      <w:pPr>
        <w:pStyle w:val="CETBodytext"/>
        <w:jc w:val="left"/>
        <w:rPr>
          <w:rFonts w:eastAsia="SimSun"/>
        </w:rPr>
      </w:pPr>
      <w:r w:rsidRPr="003E7DFF">
        <w:rPr>
          <w:rFonts w:eastAsia="SimSun"/>
        </w:rPr>
        <w:t>s – specific entropy, kJ/kg</w:t>
      </w:r>
    </w:p>
    <w:p w14:paraId="2991171C" w14:textId="766F9F91" w:rsidR="00C91A55" w:rsidRPr="003E7DFF" w:rsidRDefault="00C91A55" w:rsidP="006F1C3A">
      <w:pPr>
        <w:pStyle w:val="CETBodytext"/>
        <w:jc w:val="left"/>
        <w:rPr>
          <w:rFonts w:eastAsia="SimSun"/>
        </w:rPr>
      </w:pPr>
      <w:r>
        <w:rPr>
          <w:rFonts w:eastAsia="SimSun"/>
        </w:rPr>
        <w:t>T</w:t>
      </w:r>
      <w:r w:rsidRPr="00C91A55">
        <w:rPr>
          <w:rFonts w:eastAsia="SimSun"/>
          <w:vertAlign w:val="subscript"/>
        </w:rPr>
        <w:t>o</w:t>
      </w:r>
      <w:r>
        <w:rPr>
          <w:rFonts w:eastAsia="SimSun"/>
        </w:rPr>
        <w:t xml:space="preserve"> </w:t>
      </w:r>
      <w:r w:rsidRPr="003E7DFF">
        <w:rPr>
          <w:rFonts w:eastAsia="SimSun"/>
        </w:rPr>
        <w:t>–</w:t>
      </w:r>
      <w:r>
        <w:rPr>
          <w:rFonts w:eastAsia="SimSun"/>
        </w:rPr>
        <w:t xml:space="preserve"> dead state temperature </w:t>
      </w:r>
    </w:p>
    <w:p w14:paraId="2DFAB11A" w14:textId="56DC877C" w:rsidR="00174477" w:rsidRPr="003E7DFF" w:rsidRDefault="00174477" w:rsidP="006F1C3A">
      <w:pPr>
        <w:pStyle w:val="CETBodytext"/>
        <w:jc w:val="left"/>
        <w:rPr>
          <w:rFonts w:eastAsia="SimSun"/>
        </w:rPr>
      </w:pPr>
      <w:r w:rsidRPr="003E7DFF">
        <w:rPr>
          <w:rFonts w:eastAsia="SimSun"/>
          <w:szCs w:val="18"/>
        </w:rPr>
        <w:t>x</w:t>
      </w:r>
      <w:r w:rsidRPr="003E7DFF">
        <w:rPr>
          <w:rFonts w:eastAsia="SimSun"/>
          <w:szCs w:val="18"/>
          <w:vertAlign w:val="subscript"/>
        </w:rPr>
        <w:t xml:space="preserve">i </w:t>
      </w:r>
      <w:r w:rsidRPr="003E7DFF">
        <w:rPr>
          <w:rFonts w:eastAsia="SimSun"/>
        </w:rPr>
        <w:t xml:space="preserve">– molar composition </w:t>
      </w:r>
    </w:p>
    <w:p w14:paraId="5EA3D16A" w14:textId="77777777" w:rsidR="006F1C3A" w:rsidRPr="003E7DFF" w:rsidRDefault="0078037F" w:rsidP="006F1C3A">
      <w:pPr>
        <w:pStyle w:val="CETBodytext"/>
        <w:jc w:val="left"/>
        <w:rPr>
          <w:rFonts w:eastAsia="SimSun"/>
        </w:rPr>
      </w:pPr>
      <m:oMath>
        <m:sSub>
          <m:sSubPr>
            <m:ctrlPr>
              <w:rPr>
                <w:rFonts w:ascii="Cambria Math" w:hAnsi="Cambria Math"/>
                <w:sz w:val="16"/>
                <w:szCs w:val="16"/>
              </w:rPr>
            </m:ctrlPr>
          </m:sSubPr>
          <m:e>
            <m:acc>
              <m:accPr>
                <m:chr m:val="̇"/>
                <m:ctrlPr>
                  <w:rPr>
                    <w:rFonts w:ascii="Cambria Math" w:hAnsi="Cambria Math"/>
                    <w:sz w:val="16"/>
                    <w:szCs w:val="16"/>
                  </w:rPr>
                </m:ctrlPr>
              </m:accPr>
              <m:e>
                <m:r>
                  <m:rPr>
                    <m:sty m:val="p"/>
                  </m:rPr>
                  <w:rPr>
                    <w:rFonts w:ascii="Cambria Math" w:hAnsi="Cambria Math"/>
                    <w:sz w:val="16"/>
                    <w:szCs w:val="16"/>
                  </w:rPr>
                  <m:t>Z</m:t>
                </m:r>
              </m:e>
            </m:acc>
          </m:e>
          <m:sub>
            <m:r>
              <m:rPr>
                <m:sty m:val="p"/>
              </m:rPr>
              <w:rPr>
                <w:rFonts w:ascii="Cambria Math" w:hAnsi="Cambria Math"/>
                <w:sz w:val="16"/>
                <w:szCs w:val="16"/>
              </w:rPr>
              <m:t>k</m:t>
            </m:r>
          </m:sub>
        </m:sSub>
      </m:oMath>
      <w:r w:rsidR="006F1C3A" w:rsidRPr="003E7DFF">
        <w:rPr>
          <w:rFonts w:eastAsia="SimSun"/>
          <w:vertAlign w:val="subscript"/>
        </w:rPr>
        <w:t xml:space="preserve"> </w:t>
      </w:r>
      <w:r w:rsidR="006F1C3A" w:rsidRPr="003E7DFF">
        <w:rPr>
          <w:rFonts w:eastAsia="SimSun"/>
        </w:rPr>
        <w:t>– investment cost rate, $/h</w:t>
      </w:r>
    </w:p>
    <w:p w14:paraId="4A2CEAB1" w14:textId="77777777" w:rsidR="006F1C3A" w:rsidRPr="003E7DFF" w:rsidRDefault="006F1C3A" w:rsidP="006F1C3A">
      <w:pPr>
        <w:pStyle w:val="CETBodytext"/>
        <w:jc w:val="left"/>
        <w:rPr>
          <w:rFonts w:eastAsia="SimSun"/>
        </w:rPr>
        <w:sectPr w:rsidR="006F1C3A" w:rsidRPr="003E7DFF" w:rsidSect="00591026">
          <w:type w:val="continuous"/>
          <w:pgSz w:w="11906" w:h="16838" w:code="9"/>
          <w:pgMar w:top="1701" w:right="1418" w:bottom="1701" w:left="1701" w:header="1701" w:footer="0" w:gutter="0"/>
          <w:cols w:num="2" w:space="708"/>
          <w:formProt w:val="0"/>
          <w:titlePg/>
          <w:docGrid w:linePitch="360"/>
        </w:sectPr>
      </w:pPr>
      <w:r w:rsidRPr="003E7DFF">
        <w:rPr>
          <w:rFonts w:eastAsia="SimSun"/>
        </w:rPr>
        <w:t xml:space="preserve">η – </w:t>
      </w:r>
      <w:proofErr w:type="spellStart"/>
      <w:r w:rsidRPr="003E7DFF">
        <w:rPr>
          <w:rFonts w:eastAsia="SimSun"/>
        </w:rPr>
        <w:t>exergetic</w:t>
      </w:r>
      <w:proofErr w:type="spellEnd"/>
      <w:r w:rsidRPr="003E7DFF">
        <w:rPr>
          <w:rFonts w:eastAsia="SimSun"/>
        </w:rPr>
        <w:t xml:space="preserve"> efficiency, %</w:t>
      </w:r>
    </w:p>
    <w:p w14:paraId="4F1327F8" w14:textId="77777777" w:rsidR="00600535" w:rsidRPr="003E7DFF" w:rsidRDefault="00600535" w:rsidP="00600535">
      <w:pPr>
        <w:pStyle w:val="CETReference"/>
        <w:rPr>
          <w:lang w:val="en-US"/>
        </w:rPr>
      </w:pPr>
      <w:r w:rsidRPr="003E7DFF">
        <w:rPr>
          <w:lang w:val="en-US"/>
        </w:rPr>
        <w:t>References</w:t>
      </w:r>
    </w:p>
    <w:p w14:paraId="6BC13580" w14:textId="1263EFCA" w:rsidR="008B70F7" w:rsidRPr="008B70F7" w:rsidRDefault="00E33ECA" w:rsidP="008B70F7">
      <w:pPr>
        <w:widowControl w:val="0"/>
        <w:autoSpaceDE w:val="0"/>
        <w:autoSpaceDN w:val="0"/>
        <w:adjustRightInd w:val="0"/>
        <w:ind w:left="480" w:hanging="480"/>
        <w:rPr>
          <w:rFonts w:ascii="Arial" w:hAnsi="Arial" w:cs="Arial"/>
          <w:noProof/>
          <w:sz w:val="18"/>
        </w:rPr>
      </w:pPr>
      <w:r w:rsidRPr="003E7DFF">
        <w:fldChar w:fldCharType="begin" w:fldLock="1"/>
      </w:r>
      <w:r w:rsidRPr="003E7DFF">
        <w:instrText xml:space="preserve">ADDIN Mendeley Bibliography CSL_BIBLIOGRAPHY </w:instrText>
      </w:r>
      <w:r w:rsidRPr="003E7DFF">
        <w:fldChar w:fldCharType="separate"/>
      </w:r>
      <w:r w:rsidR="008B70F7" w:rsidRPr="008B70F7">
        <w:rPr>
          <w:rFonts w:ascii="Arial" w:hAnsi="Arial" w:cs="Arial"/>
          <w:noProof/>
          <w:sz w:val="18"/>
        </w:rPr>
        <w:t>Afolabi, O.O.D., Sohail, M., Cheng, Y.L., 2020. Optimisation and characterisation of hydrochar production from spent coffee grounds by hydrothermal carbonisation. Renew. Energy 147, 1380–1391.</w:t>
      </w:r>
    </w:p>
    <w:p w14:paraId="6E2E5121"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Al-Hamamre, Z., Foerster, S., Hartmann, F., Kröger, M., Kaltschmitt, M., 2012. Oil extracted from spent coffee grounds as a renewable source for fatty acid methyl ester manufacturing. Fuel 96, 70–76.</w:t>
      </w:r>
    </w:p>
    <w:p w14:paraId="01EB52E8"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Atabani, A.E., Al-Muhtaseb, A.H., Kumar, G., Saratale, G.D., Aslam, M., Khan, H.A., Said, Z., Mahmoud, E., 2019. Valorization of spent coffee grounds into biofuels and value-added products: Pathway towards integrated bio-refinery. Fuel 254, 115640.</w:t>
      </w:r>
    </w:p>
    <w:p w14:paraId="3BD841C2"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Bejan, A., Tsatsaronis, G., 2021. Purpose in thermodynamics. Energies 14.</w:t>
      </w:r>
    </w:p>
    <w:p w14:paraId="725F8126" w14:textId="77777777" w:rsidR="008B70F7" w:rsidRPr="00C035A5" w:rsidRDefault="008B70F7" w:rsidP="008B70F7">
      <w:pPr>
        <w:widowControl w:val="0"/>
        <w:autoSpaceDE w:val="0"/>
        <w:autoSpaceDN w:val="0"/>
        <w:adjustRightInd w:val="0"/>
        <w:ind w:left="480" w:hanging="480"/>
        <w:rPr>
          <w:rFonts w:ascii="Arial" w:hAnsi="Arial" w:cs="Arial"/>
          <w:noProof/>
          <w:sz w:val="18"/>
          <w:lang w:val="es-ES"/>
        </w:rPr>
      </w:pPr>
      <w:r w:rsidRPr="008B70F7">
        <w:rPr>
          <w:rFonts w:ascii="Arial" w:hAnsi="Arial" w:cs="Arial"/>
          <w:noProof/>
          <w:sz w:val="18"/>
        </w:rPr>
        <w:t xml:space="preserve">International Water Services Interagua C. Ltda., 2019. </w:t>
      </w:r>
      <w:r w:rsidRPr="00C035A5">
        <w:rPr>
          <w:rFonts w:ascii="Arial" w:hAnsi="Arial" w:cs="Arial"/>
          <w:noProof/>
          <w:sz w:val="18"/>
          <w:lang w:val="es-ES"/>
        </w:rPr>
        <w:t>Informe Anual 2018-2019. Guayaquil.</w:t>
      </w:r>
    </w:p>
    <w:p w14:paraId="54EA7F32"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C035A5">
        <w:rPr>
          <w:rFonts w:ascii="Arial" w:hAnsi="Arial" w:cs="Arial"/>
          <w:noProof/>
          <w:sz w:val="18"/>
          <w:lang w:val="es-ES"/>
        </w:rPr>
        <w:t xml:space="preserve">Julio, A.A.V., Batlle, E.A.O., Rodriguez, C.J.C., Palacio, J.C.E., 2021. </w:t>
      </w:r>
      <w:r w:rsidRPr="008B70F7">
        <w:rPr>
          <w:rFonts w:ascii="Arial" w:hAnsi="Arial" w:cs="Arial"/>
          <w:noProof/>
          <w:sz w:val="18"/>
        </w:rPr>
        <w:t>Exergoeconomic and Environmental Analysis of a Palm Oil Biorefinery for the Production of Bio-Jet Fuel. Waste and Biomass Valorization 12, 5611–5637.</w:t>
      </w:r>
    </w:p>
    <w:p w14:paraId="431E8CB0" w14:textId="77777777" w:rsidR="008B70F7" w:rsidRPr="00C035A5" w:rsidRDefault="008B70F7" w:rsidP="008B70F7">
      <w:pPr>
        <w:widowControl w:val="0"/>
        <w:autoSpaceDE w:val="0"/>
        <w:autoSpaceDN w:val="0"/>
        <w:adjustRightInd w:val="0"/>
        <w:ind w:left="480" w:hanging="480"/>
        <w:rPr>
          <w:rFonts w:ascii="Arial" w:hAnsi="Arial" w:cs="Arial"/>
          <w:noProof/>
          <w:sz w:val="18"/>
          <w:lang w:val="es-ES"/>
        </w:rPr>
      </w:pPr>
      <w:r w:rsidRPr="008B70F7">
        <w:rPr>
          <w:rFonts w:ascii="Arial" w:hAnsi="Arial" w:cs="Arial"/>
          <w:noProof/>
          <w:sz w:val="18"/>
        </w:rPr>
        <w:t xml:space="preserve">Khounani, Z., Hosseinzadeh-Bandbafha, H., Nazemi, F., Shaeifi, M., Karimi, K., Tabatabaei, M., Aghbashlo, M., Lam, S.S., 2021. Exergy analysis of a whole-crop safflower biorefinery: A step towards reducing agricultural wastes in a sustainable manner. </w:t>
      </w:r>
      <w:r w:rsidRPr="00C035A5">
        <w:rPr>
          <w:rFonts w:ascii="Arial" w:hAnsi="Arial" w:cs="Arial"/>
          <w:noProof/>
          <w:sz w:val="18"/>
          <w:lang w:val="es-ES"/>
        </w:rPr>
        <w:t>J. Environ. Manage. 279, 111822.</w:t>
      </w:r>
    </w:p>
    <w:p w14:paraId="06080885"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C035A5">
        <w:rPr>
          <w:rFonts w:ascii="Arial" w:hAnsi="Arial" w:cs="Arial"/>
          <w:noProof/>
          <w:sz w:val="18"/>
          <w:lang w:val="es-ES"/>
        </w:rPr>
        <w:t xml:space="preserve">Le, P.T.K., Vu, Q.T.H., Nguyen, Q.T.V., Tran, K.A., Le, K.A., 2017. </w:t>
      </w:r>
      <w:r w:rsidRPr="008B70F7">
        <w:rPr>
          <w:rFonts w:ascii="Arial" w:hAnsi="Arial" w:cs="Arial"/>
          <w:noProof/>
          <w:sz w:val="18"/>
        </w:rPr>
        <w:t>Extraction and evaluation the biological activities of oil from spent coffee grounds. Chem. Eng. Trans. 56, 1729–1734.</w:t>
      </w:r>
    </w:p>
    <w:p w14:paraId="7D3B7BDA" w14:textId="77777777" w:rsidR="008B70F7" w:rsidRPr="00C035A5" w:rsidRDefault="008B70F7" w:rsidP="008B70F7">
      <w:pPr>
        <w:widowControl w:val="0"/>
        <w:autoSpaceDE w:val="0"/>
        <w:autoSpaceDN w:val="0"/>
        <w:adjustRightInd w:val="0"/>
        <w:ind w:left="480" w:hanging="480"/>
        <w:rPr>
          <w:rFonts w:ascii="Arial" w:hAnsi="Arial" w:cs="Arial"/>
          <w:noProof/>
          <w:sz w:val="18"/>
          <w:lang w:val="es-ES"/>
        </w:rPr>
      </w:pPr>
      <w:r w:rsidRPr="008B70F7">
        <w:rPr>
          <w:rFonts w:ascii="Arial" w:hAnsi="Arial" w:cs="Arial"/>
          <w:noProof/>
          <w:sz w:val="18"/>
        </w:rPr>
        <w:t xml:space="preserve">Lucia, U., Grisolia, G., 2019. Exergy inefficiency: An indicator for sustainable development analysis. </w:t>
      </w:r>
      <w:r w:rsidRPr="00C035A5">
        <w:rPr>
          <w:rFonts w:ascii="Arial" w:hAnsi="Arial" w:cs="Arial"/>
          <w:noProof/>
          <w:sz w:val="18"/>
          <w:lang w:val="es-ES"/>
        </w:rPr>
        <w:t>Energy Reports 5, 62–69.</w:t>
      </w:r>
    </w:p>
    <w:p w14:paraId="6E0B5A78" w14:textId="77777777" w:rsidR="008B70F7" w:rsidRPr="00C035A5" w:rsidRDefault="008B70F7" w:rsidP="008B70F7">
      <w:pPr>
        <w:widowControl w:val="0"/>
        <w:autoSpaceDE w:val="0"/>
        <w:autoSpaceDN w:val="0"/>
        <w:adjustRightInd w:val="0"/>
        <w:ind w:left="480" w:hanging="480"/>
        <w:rPr>
          <w:rFonts w:ascii="Arial" w:hAnsi="Arial" w:cs="Arial"/>
          <w:noProof/>
          <w:sz w:val="18"/>
          <w:lang w:val="es-ES"/>
        </w:rPr>
      </w:pPr>
      <w:r w:rsidRPr="00C035A5">
        <w:rPr>
          <w:rFonts w:ascii="Arial" w:hAnsi="Arial" w:cs="Arial"/>
          <w:noProof/>
          <w:sz w:val="18"/>
          <w:lang w:val="es-ES"/>
        </w:rPr>
        <w:t>Macías Centeno, J.E., Valarezo Molina, L.A., Loor Castillo, G., 2018. Los Diferentes Costos que Tiene la Energía Eléctrica en el Ecuador Considerando los Cambios de la Estructura Actual. Rev. Investig. en Energía, Medio Ambient. y Tecnol. RIEMAT ISSN 2588-0721 3, 29.</w:t>
      </w:r>
    </w:p>
    <w:p w14:paraId="449AAC99"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C035A5">
        <w:rPr>
          <w:rFonts w:ascii="Arial" w:hAnsi="Arial" w:cs="Arial"/>
          <w:noProof/>
          <w:sz w:val="18"/>
          <w:lang w:val="es-ES"/>
        </w:rPr>
        <w:t xml:space="preserve">Mercer, P., Armenta, R.E., 2011. </w:t>
      </w:r>
      <w:r w:rsidRPr="008B70F7">
        <w:rPr>
          <w:rFonts w:ascii="Arial" w:hAnsi="Arial" w:cs="Arial"/>
          <w:noProof/>
          <w:sz w:val="18"/>
        </w:rPr>
        <w:t>Developments in oil extraction from microalgae. Eur. J. Lipid Sci. Technol. 113, 539–547.</w:t>
      </w:r>
    </w:p>
    <w:p w14:paraId="7CDC3EEC"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Mofijur, M., Kusumo, F., Rizwanul Fattah, I.M., Mahmudul, H.M., Rasul, M.G., Shamsuddin, A.H., Mahlia, T.M.I., 2020. Resource recovery from waste coffee grounds using ultrasonic-assisted technology for bioenergy production. Energies 13.</w:t>
      </w:r>
    </w:p>
    <w:p w14:paraId="2866DFAB"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Mwaurah, P.W., Kumar, S., Kumar, N., Attkan, A.K., Panghal, A., Singh, V.K., Garg, M.K., 2020. Novel oil extraction technologies: Process conditions, quality parameters, and optimization. Compr. Rev. Food Sci. Food Saf. 19, 3–20.</w:t>
      </w:r>
    </w:p>
    <w:p w14:paraId="0D9F6762"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Somnuk, K., Eawlex, P., Prateepchaikul, G., 2017. Optimization of coffee oil extraction from spent coffee grounds using four solvents and prototype-scale extraction using circulation process. Agric. Nat. Resour. 51, 181–189.</w:t>
      </w:r>
    </w:p>
    <w:p w14:paraId="374DE049" w14:textId="77777777" w:rsidR="008B70F7" w:rsidRPr="00C035A5" w:rsidRDefault="008B70F7" w:rsidP="008B70F7">
      <w:pPr>
        <w:widowControl w:val="0"/>
        <w:autoSpaceDE w:val="0"/>
        <w:autoSpaceDN w:val="0"/>
        <w:adjustRightInd w:val="0"/>
        <w:ind w:left="480" w:hanging="480"/>
        <w:rPr>
          <w:rFonts w:ascii="Arial" w:hAnsi="Arial" w:cs="Arial"/>
          <w:noProof/>
          <w:sz w:val="18"/>
          <w:lang w:val="es-ES"/>
        </w:rPr>
      </w:pPr>
      <w:r w:rsidRPr="008B70F7">
        <w:rPr>
          <w:rFonts w:ascii="Arial" w:hAnsi="Arial" w:cs="Arial"/>
          <w:noProof/>
          <w:sz w:val="18"/>
        </w:rPr>
        <w:t xml:space="preserve">Stratakos, A.C., Koidis, A., 2015. Methods for Extracting Essential Oils, Essential Oils in Food Preservation, Flavor and Safety. </w:t>
      </w:r>
      <w:r w:rsidRPr="00C035A5">
        <w:rPr>
          <w:rFonts w:ascii="Arial" w:hAnsi="Arial" w:cs="Arial"/>
          <w:noProof/>
          <w:sz w:val="18"/>
          <w:lang w:val="es-ES"/>
        </w:rPr>
        <w:t>Elsevier Inc.</w:t>
      </w:r>
    </w:p>
    <w:p w14:paraId="41A22783"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C035A5">
        <w:rPr>
          <w:rFonts w:ascii="Arial" w:hAnsi="Arial" w:cs="Arial"/>
          <w:noProof/>
          <w:sz w:val="18"/>
          <w:lang w:val="es-ES"/>
        </w:rPr>
        <w:t xml:space="preserve">Tinoco-Caicedo, D.L., Mero-Benavides, M., Santos-Torres, M., Lozano-Medina, A., Blanco-Marigorta, A.M., 2021. </w:t>
      </w:r>
      <w:r w:rsidRPr="008B70F7">
        <w:rPr>
          <w:rFonts w:ascii="Arial" w:hAnsi="Arial" w:cs="Arial"/>
          <w:noProof/>
          <w:sz w:val="18"/>
        </w:rPr>
        <w:t>Simulation and exergoeconomic analysis of the syngas and biodiesel production process from spent coffee grounds. Case Stud. Therm. Eng. 28, 101556.</w:t>
      </w:r>
    </w:p>
    <w:p w14:paraId="04D2A203"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Zengin, G., Sinan, K.I., Mahomoodally, M.F., Angeloni, S., Mustafa, A.M., Vittori, S., Maggi, F., Caprioli, G., 2020. Chemical composition, antioxidant and enzyme inhibitory properties of different extracts obtained from spent coffee ground and coffee silverskin. Foods 9, 1–17.</w:t>
      </w:r>
    </w:p>
    <w:p w14:paraId="1F9E0344" w14:textId="77777777" w:rsidR="008B70F7" w:rsidRPr="008B70F7" w:rsidRDefault="008B70F7" w:rsidP="008B70F7">
      <w:pPr>
        <w:widowControl w:val="0"/>
        <w:autoSpaceDE w:val="0"/>
        <w:autoSpaceDN w:val="0"/>
        <w:adjustRightInd w:val="0"/>
        <w:ind w:left="480" w:hanging="480"/>
        <w:rPr>
          <w:rFonts w:ascii="Arial" w:hAnsi="Arial" w:cs="Arial"/>
          <w:noProof/>
          <w:sz w:val="18"/>
        </w:rPr>
      </w:pPr>
      <w:r w:rsidRPr="008B70F7">
        <w:rPr>
          <w:rFonts w:ascii="Arial" w:hAnsi="Arial" w:cs="Arial"/>
          <w:noProof/>
          <w:sz w:val="18"/>
        </w:rPr>
        <w:t>Zhang, K., Wong, J.W., 2012. Solvent-based extraction techniques for the determination of pesticides in food, Comprehensive Sampling and Sample Preparation: Analytical Techniques for Scientists. Elsevier.</w:t>
      </w:r>
    </w:p>
    <w:p w14:paraId="19C4FC68" w14:textId="3D718F3E" w:rsidR="004628D2" w:rsidRPr="00A7675B" w:rsidRDefault="00E33ECA" w:rsidP="00A7675B">
      <w:pPr>
        <w:widowControl w:val="0"/>
        <w:autoSpaceDE w:val="0"/>
        <w:autoSpaceDN w:val="0"/>
        <w:adjustRightInd w:val="0"/>
        <w:ind w:left="480" w:hanging="480"/>
      </w:pPr>
      <w:r w:rsidRPr="003E7DFF">
        <w:fldChar w:fldCharType="end"/>
      </w:r>
    </w:p>
    <w:sectPr w:rsidR="004628D2" w:rsidRPr="00A7675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17F5" w14:textId="77777777" w:rsidR="0078037F" w:rsidRDefault="0078037F" w:rsidP="004F5E36">
      <w:r>
        <w:separator/>
      </w:r>
    </w:p>
  </w:endnote>
  <w:endnote w:type="continuationSeparator" w:id="0">
    <w:p w14:paraId="7ABA5C37" w14:textId="77777777" w:rsidR="0078037F" w:rsidRDefault="0078037F" w:rsidP="004F5E36">
      <w:r>
        <w:continuationSeparator/>
      </w:r>
    </w:p>
  </w:endnote>
  <w:endnote w:type="continuationNotice" w:id="1">
    <w:p w14:paraId="2F4EDE0C" w14:textId="77777777" w:rsidR="0078037F" w:rsidRDefault="0078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726E" w14:textId="77777777" w:rsidR="0078037F" w:rsidRDefault="0078037F" w:rsidP="004F5E36">
      <w:r>
        <w:separator/>
      </w:r>
    </w:p>
  </w:footnote>
  <w:footnote w:type="continuationSeparator" w:id="0">
    <w:p w14:paraId="3E553DF5" w14:textId="77777777" w:rsidR="0078037F" w:rsidRDefault="0078037F" w:rsidP="004F5E36">
      <w:r>
        <w:continuationSeparator/>
      </w:r>
    </w:p>
  </w:footnote>
  <w:footnote w:type="continuationNotice" w:id="1">
    <w:p w14:paraId="393F683F" w14:textId="77777777" w:rsidR="0078037F" w:rsidRDefault="007803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EB3910"/>
    <w:multiLevelType w:val="hybridMultilevel"/>
    <w:tmpl w:val="80E4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87BF5"/>
    <w:multiLevelType w:val="hybridMultilevel"/>
    <w:tmpl w:val="54B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22"/>
  </w:num>
  <w:num w:numId="24">
    <w:abstractNumId w:val="15"/>
  </w:num>
  <w:num w:numId="25">
    <w:abstractNumId w:val="10"/>
    <w:lvlOverride w:ilvl="0">
      <w:startOverride w:val="1"/>
    </w:lvlOverride>
    <w:lvlOverride w:ilvl="1">
      <w:startOverride w:val="2"/>
    </w:lvlOverride>
  </w:num>
  <w:num w:numId="26">
    <w:abstractNumId w:val="10"/>
    <w:lvlOverride w:ilvl="0">
      <w:startOverride w:val="1"/>
    </w:lvlOverride>
    <w:lvlOverride w:ilvl="1">
      <w:startOverride w:val="2"/>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01C6"/>
    <w:rsid w:val="00000CCD"/>
    <w:rsid w:val="00002224"/>
    <w:rsid w:val="0000276F"/>
    <w:rsid w:val="000027C0"/>
    <w:rsid w:val="00004B1C"/>
    <w:rsid w:val="000052FB"/>
    <w:rsid w:val="000117CB"/>
    <w:rsid w:val="00013E66"/>
    <w:rsid w:val="00013E9A"/>
    <w:rsid w:val="0001632C"/>
    <w:rsid w:val="0002629E"/>
    <w:rsid w:val="0003148D"/>
    <w:rsid w:val="00031C9A"/>
    <w:rsid w:val="00031EEC"/>
    <w:rsid w:val="0003571A"/>
    <w:rsid w:val="0004200E"/>
    <w:rsid w:val="0004682B"/>
    <w:rsid w:val="00051566"/>
    <w:rsid w:val="000524F5"/>
    <w:rsid w:val="000562A9"/>
    <w:rsid w:val="000614EA"/>
    <w:rsid w:val="00062A9A"/>
    <w:rsid w:val="00065058"/>
    <w:rsid w:val="0007121E"/>
    <w:rsid w:val="000717B4"/>
    <w:rsid w:val="000733F1"/>
    <w:rsid w:val="00076255"/>
    <w:rsid w:val="00076C34"/>
    <w:rsid w:val="000858A2"/>
    <w:rsid w:val="00086C39"/>
    <w:rsid w:val="0009013A"/>
    <w:rsid w:val="00094323"/>
    <w:rsid w:val="00095BC3"/>
    <w:rsid w:val="000A03B2"/>
    <w:rsid w:val="000A3055"/>
    <w:rsid w:val="000A4CFE"/>
    <w:rsid w:val="000A583F"/>
    <w:rsid w:val="000A6307"/>
    <w:rsid w:val="000B0038"/>
    <w:rsid w:val="000B54E8"/>
    <w:rsid w:val="000C0F7C"/>
    <w:rsid w:val="000C28E7"/>
    <w:rsid w:val="000D0268"/>
    <w:rsid w:val="000D34BE"/>
    <w:rsid w:val="000D42B1"/>
    <w:rsid w:val="000E0669"/>
    <w:rsid w:val="000E102F"/>
    <w:rsid w:val="000E34A9"/>
    <w:rsid w:val="000E36F1"/>
    <w:rsid w:val="000E3A73"/>
    <w:rsid w:val="000E414A"/>
    <w:rsid w:val="000F093C"/>
    <w:rsid w:val="000F231B"/>
    <w:rsid w:val="000F49EF"/>
    <w:rsid w:val="000F787B"/>
    <w:rsid w:val="000F7D64"/>
    <w:rsid w:val="001017ED"/>
    <w:rsid w:val="00101ECA"/>
    <w:rsid w:val="0010216A"/>
    <w:rsid w:val="0012091F"/>
    <w:rsid w:val="00120C0A"/>
    <w:rsid w:val="00121AE4"/>
    <w:rsid w:val="00123007"/>
    <w:rsid w:val="00123CEF"/>
    <w:rsid w:val="00124241"/>
    <w:rsid w:val="001245AE"/>
    <w:rsid w:val="00124A84"/>
    <w:rsid w:val="00125AF8"/>
    <w:rsid w:val="00125BDC"/>
    <w:rsid w:val="00126BC2"/>
    <w:rsid w:val="001308B6"/>
    <w:rsid w:val="0013119C"/>
    <w:rsid w:val="0013121F"/>
    <w:rsid w:val="00131FE6"/>
    <w:rsid w:val="00132097"/>
    <w:rsid w:val="0013263F"/>
    <w:rsid w:val="001331DF"/>
    <w:rsid w:val="00134DE4"/>
    <w:rsid w:val="0014034D"/>
    <w:rsid w:val="00141362"/>
    <w:rsid w:val="00142687"/>
    <w:rsid w:val="00144D16"/>
    <w:rsid w:val="00146C6E"/>
    <w:rsid w:val="00150E59"/>
    <w:rsid w:val="00152DE3"/>
    <w:rsid w:val="0015470D"/>
    <w:rsid w:val="00160EF2"/>
    <w:rsid w:val="00164CF9"/>
    <w:rsid w:val="00166548"/>
    <w:rsid w:val="001667A6"/>
    <w:rsid w:val="00173AEA"/>
    <w:rsid w:val="00174477"/>
    <w:rsid w:val="00174818"/>
    <w:rsid w:val="001802F8"/>
    <w:rsid w:val="00183C38"/>
    <w:rsid w:val="001840C5"/>
    <w:rsid w:val="00184AD6"/>
    <w:rsid w:val="001867AD"/>
    <w:rsid w:val="00193728"/>
    <w:rsid w:val="001957A2"/>
    <w:rsid w:val="001967A5"/>
    <w:rsid w:val="001968C1"/>
    <w:rsid w:val="001974F5"/>
    <w:rsid w:val="001A0551"/>
    <w:rsid w:val="001A3E28"/>
    <w:rsid w:val="001A4AF7"/>
    <w:rsid w:val="001B0349"/>
    <w:rsid w:val="001B1E93"/>
    <w:rsid w:val="001B4F5B"/>
    <w:rsid w:val="001B65C1"/>
    <w:rsid w:val="001B65FC"/>
    <w:rsid w:val="001B79DE"/>
    <w:rsid w:val="001B7CEE"/>
    <w:rsid w:val="001C684B"/>
    <w:rsid w:val="001C714C"/>
    <w:rsid w:val="001C7C98"/>
    <w:rsid w:val="001D0CFB"/>
    <w:rsid w:val="001D21AF"/>
    <w:rsid w:val="001D45BB"/>
    <w:rsid w:val="001D53FC"/>
    <w:rsid w:val="001D6787"/>
    <w:rsid w:val="001E056B"/>
    <w:rsid w:val="001E2E7C"/>
    <w:rsid w:val="001E32C5"/>
    <w:rsid w:val="001E6050"/>
    <w:rsid w:val="001E6257"/>
    <w:rsid w:val="001E78FF"/>
    <w:rsid w:val="001F0EC3"/>
    <w:rsid w:val="001F42A5"/>
    <w:rsid w:val="001F7B9D"/>
    <w:rsid w:val="00201C93"/>
    <w:rsid w:val="002137EB"/>
    <w:rsid w:val="0021561E"/>
    <w:rsid w:val="00217030"/>
    <w:rsid w:val="002208DB"/>
    <w:rsid w:val="002224B4"/>
    <w:rsid w:val="002250E9"/>
    <w:rsid w:val="0022607B"/>
    <w:rsid w:val="00230C66"/>
    <w:rsid w:val="00232D17"/>
    <w:rsid w:val="00240DF1"/>
    <w:rsid w:val="002447EF"/>
    <w:rsid w:val="00251550"/>
    <w:rsid w:val="002526BB"/>
    <w:rsid w:val="002575ED"/>
    <w:rsid w:val="00257A16"/>
    <w:rsid w:val="00257D60"/>
    <w:rsid w:val="00257FAD"/>
    <w:rsid w:val="00263B05"/>
    <w:rsid w:val="0026562B"/>
    <w:rsid w:val="002677BF"/>
    <w:rsid w:val="0027221A"/>
    <w:rsid w:val="00272604"/>
    <w:rsid w:val="00275B61"/>
    <w:rsid w:val="00280FAF"/>
    <w:rsid w:val="002811A4"/>
    <w:rsid w:val="00282656"/>
    <w:rsid w:val="002836D8"/>
    <w:rsid w:val="00283DFB"/>
    <w:rsid w:val="002861D6"/>
    <w:rsid w:val="00295310"/>
    <w:rsid w:val="00296B83"/>
    <w:rsid w:val="002A1951"/>
    <w:rsid w:val="002A52D0"/>
    <w:rsid w:val="002B3AD9"/>
    <w:rsid w:val="002B4015"/>
    <w:rsid w:val="002B78CE"/>
    <w:rsid w:val="002B7D5C"/>
    <w:rsid w:val="002C0607"/>
    <w:rsid w:val="002C2FB6"/>
    <w:rsid w:val="002C3E32"/>
    <w:rsid w:val="002D3A46"/>
    <w:rsid w:val="002E31C2"/>
    <w:rsid w:val="002E5FA7"/>
    <w:rsid w:val="002E762C"/>
    <w:rsid w:val="002F3309"/>
    <w:rsid w:val="003008CE"/>
    <w:rsid w:val="003009B7"/>
    <w:rsid w:val="00300E56"/>
    <w:rsid w:val="0030152C"/>
    <w:rsid w:val="003042D0"/>
    <w:rsid w:val="0030469C"/>
    <w:rsid w:val="00304720"/>
    <w:rsid w:val="00317140"/>
    <w:rsid w:val="0031770E"/>
    <w:rsid w:val="00321CA6"/>
    <w:rsid w:val="00322002"/>
    <w:rsid w:val="00322658"/>
    <w:rsid w:val="00323763"/>
    <w:rsid w:val="00323C5F"/>
    <w:rsid w:val="00324DE7"/>
    <w:rsid w:val="00325BC4"/>
    <w:rsid w:val="00334C09"/>
    <w:rsid w:val="0034082A"/>
    <w:rsid w:val="00340EF6"/>
    <w:rsid w:val="00344598"/>
    <w:rsid w:val="00344A90"/>
    <w:rsid w:val="00345042"/>
    <w:rsid w:val="003529C9"/>
    <w:rsid w:val="00356DAE"/>
    <w:rsid w:val="003575D5"/>
    <w:rsid w:val="003578A3"/>
    <w:rsid w:val="00362D16"/>
    <w:rsid w:val="00365886"/>
    <w:rsid w:val="003723D4"/>
    <w:rsid w:val="00373134"/>
    <w:rsid w:val="0037417F"/>
    <w:rsid w:val="003805D5"/>
    <w:rsid w:val="00381905"/>
    <w:rsid w:val="00384CC8"/>
    <w:rsid w:val="0038506B"/>
    <w:rsid w:val="00385F0C"/>
    <w:rsid w:val="003871FD"/>
    <w:rsid w:val="0039782F"/>
    <w:rsid w:val="003A1E30"/>
    <w:rsid w:val="003A2829"/>
    <w:rsid w:val="003A4BBA"/>
    <w:rsid w:val="003A5C1D"/>
    <w:rsid w:val="003A5E2B"/>
    <w:rsid w:val="003A6069"/>
    <w:rsid w:val="003A6FC6"/>
    <w:rsid w:val="003A78BC"/>
    <w:rsid w:val="003A7D1C"/>
    <w:rsid w:val="003B0BDD"/>
    <w:rsid w:val="003B304B"/>
    <w:rsid w:val="003B3146"/>
    <w:rsid w:val="003B3D8D"/>
    <w:rsid w:val="003C329E"/>
    <w:rsid w:val="003C3923"/>
    <w:rsid w:val="003C4C63"/>
    <w:rsid w:val="003D609A"/>
    <w:rsid w:val="003E1299"/>
    <w:rsid w:val="003E7DFF"/>
    <w:rsid w:val="003F015E"/>
    <w:rsid w:val="003F3C7C"/>
    <w:rsid w:val="003F494F"/>
    <w:rsid w:val="003F4EEC"/>
    <w:rsid w:val="003F5AA4"/>
    <w:rsid w:val="00400414"/>
    <w:rsid w:val="004063BA"/>
    <w:rsid w:val="0041446B"/>
    <w:rsid w:val="004150D8"/>
    <w:rsid w:val="00423391"/>
    <w:rsid w:val="004233C5"/>
    <w:rsid w:val="004255A4"/>
    <w:rsid w:val="004304A1"/>
    <w:rsid w:val="004307DC"/>
    <w:rsid w:val="00432EA1"/>
    <w:rsid w:val="0044071E"/>
    <w:rsid w:val="00441983"/>
    <w:rsid w:val="0044329C"/>
    <w:rsid w:val="0044547E"/>
    <w:rsid w:val="0044657C"/>
    <w:rsid w:val="00447147"/>
    <w:rsid w:val="004508F5"/>
    <w:rsid w:val="00450F3F"/>
    <w:rsid w:val="00453E24"/>
    <w:rsid w:val="00456AA7"/>
    <w:rsid w:val="00457456"/>
    <w:rsid w:val="004577FE"/>
    <w:rsid w:val="00457B9C"/>
    <w:rsid w:val="00457EA6"/>
    <w:rsid w:val="0046164A"/>
    <w:rsid w:val="004628D2"/>
    <w:rsid w:val="00462DCD"/>
    <w:rsid w:val="00463F05"/>
    <w:rsid w:val="004648AD"/>
    <w:rsid w:val="004703A9"/>
    <w:rsid w:val="00473AA0"/>
    <w:rsid w:val="004760DE"/>
    <w:rsid w:val="004763D7"/>
    <w:rsid w:val="00477A1B"/>
    <w:rsid w:val="00477CFC"/>
    <w:rsid w:val="0048141D"/>
    <w:rsid w:val="004A004E"/>
    <w:rsid w:val="004A2402"/>
    <w:rsid w:val="004A24CF"/>
    <w:rsid w:val="004A2645"/>
    <w:rsid w:val="004A2B74"/>
    <w:rsid w:val="004A5A74"/>
    <w:rsid w:val="004B1B77"/>
    <w:rsid w:val="004B4880"/>
    <w:rsid w:val="004B5F32"/>
    <w:rsid w:val="004B5F73"/>
    <w:rsid w:val="004B7454"/>
    <w:rsid w:val="004C0876"/>
    <w:rsid w:val="004C3D1D"/>
    <w:rsid w:val="004C3D84"/>
    <w:rsid w:val="004C7913"/>
    <w:rsid w:val="004D25E2"/>
    <w:rsid w:val="004E1317"/>
    <w:rsid w:val="004E4BB4"/>
    <w:rsid w:val="004E4DD6"/>
    <w:rsid w:val="004F2CDE"/>
    <w:rsid w:val="004F3BC1"/>
    <w:rsid w:val="004F53D1"/>
    <w:rsid w:val="004F5E36"/>
    <w:rsid w:val="004F7AB8"/>
    <w:rsid w:val="004F7C14"/>
    <w:rsid w:val="0050129F"/>
    <w:rsid w:val="00501888"/>
    <w:rsid w:val="00503142"/>
    <w:rsid w:val="00507B47"/>
    <w:rsid w:val="00507BEF"/>
    <w:rsid w:val="00507CC9"/>
    <w:rsid w:val="0051133A"/>
    <w:rsid w:val="005119A5"/>
    <w:rsid w:val="00513ACB"/>
    <w:rsid w:val="005162AA"/>
    <w:rsid w:val="00516AAC"/>
    <w:rsid w:val="00524204"/>
    <w:rsid w:val="005278B7"/>
    <w:rsid w:val="00530615"/>
    <w:rsid w:val="00531251"/>
    <w:rsid w:val="00531CE2"/>
    <w:rsid w:val="00531CF9"/>
    <w:rsid w:val="00532016"/>
    <w:rsid w:val="005346C8"/>
    <w:rsid w:val="00534A91"/>
    <w:rsid w:val="005424A7"/>
    <w:rsid w:val="00543E3D"/>
    <w:rsid w:val="00543E7D"/>
    <w:rsid w:val="005479A6"/>
    <w:rsid w:val="00547A68"/>
    <w:rsid w:val="00550821"/>
    <w:rsid w:val="005531C9"/>
    <w:rsid w:val="005612A7"/>
    <w:rsid w:val="00570C43"/>
    <w:rsid w:val="00572C75"/>
    <w:rsid w:val="00580D39"/>
    <w:rsid w:val="005829E9"/>
    <w:rsid w:val="00583F3D"/>
    <w:rsid w:val="0058749B"/>
    <w:rsid w:val="0059043F"/>
    <w:rsid w:val="00591026"/>
    <w:rsid w:val="005A1299"/>
    <w:rsid w:val="005A4604"/>
    <w:rsid w:val="005A578D"/>
    <w:rsid w:val="005B01FB"/>
    <w:rsid w:val="005B2110"/>
    <w:rsid w:val="005B23F3"/>
    <w:rsid w:val="005B56BA"/>
    <w:rsid w:val="005B61E6"/>
    <w:rsid w:val="005C25A5"/>
    <w:rsid w:val="005C4F56"/>
    <w:rsid w:val="005C77E1"/>
    <w:rsid w:val="005D1CB7"/>
    <w:rsid w:val="005D2058"/>
    <w:rsid w:val="005D42DE"/>
    <w:rsid w:val="005D6245"/>
    <w:rsid w:val="005D668A"/>
    <w:rsid w:val="005D6A2F"/>
    <w:rsid w:val="005E1A82"/>
    <w:rsid w:val="005E2D2D"/>
    <w:rsid w:val="005E794C"/>
    <w:rsid w:val="005F0A28"/>
    <w:rsid w:val="005F0E5E"/>
    <w:rsid w:val="005F1865"/>
    <w:rsid w:val="005F1928"/>
    <w:rsid w:val="005F4B15"/>
    <w:rsid w:val="00600535"/>
    <w:rsid w:val="00605DA9"/>
    <w:rsid w:val="00610CD6"/>
    <w:rsid w:val="0061127D"/>
    <w:rsid w:val="00611924"/>
    <w:rsid w:val="00611BA3"/>
    <w:rsid w:val="006145B5"/>
    <w:rsid w:val="00620DEE"/>
    <w:rsid w:val="00621F92"/>
    <w:rsid w:val="0062280A"/>
    <w:rsid w:val="0062514C"/>
    <w:rsid w:val="00625639"/>
    <w:rsid w:val="00630CBB"/>
    <w:rsid w:val="00631B33"/>
    <w:rsid w:val="00632535"/>
    <w:rsid w:val="0064184D"/>
    <w:rsid w:val="006422CC"/>
    <w:rsid w:val="00660E3E"/>
    <w:rsid w:val="00662E74"/>
    <w:rsid w:val="0067027A"/>
    <w:rsid w:val="00671D08"/>
    <w:rsid w:val="00671D7E"/>
    <w:rsid w:val="00673118"/>
    <w:rsid w:val="006761E4"/>
    <w:rsid w:val="00680C23"/>
    <w:rsid w:val="006848AC"/>
    <w:rsid w:val="006856EF"/>
    <w:rsid w:val="006908A6"/>
    <w:rsid w:val="00693766"/>
    <w:rsid w:val="00693F15"/>
    <w:rsid w:val="006A2F09"/>
    <w:rsid w:val="006A310D"/>
    <w:rsid w:val="006A3281"/>
    <w:rsid w:val="006B4888"/>
    <w:rsid w:val="006C0519"/>
    <w:rsid w:val="006C2E45"/>
    <w:rsid w:val="006C359C"/>
    <w:rsid w:val="006C5579"/>
    <w:rsid w:val="006D6E8B"/>
    <w:rsid w:val="006E5A47"/>
    <w:rsid w:val="006E737D"/>
    <w:rsid w:val="006F1C3A"/>
    <w:rsid w:val="00706E41"/>
    <w:rsid w:val="00713973"/>
    <w:rsid w:val="00714347"/>
    <w:rsid w:val="00715581"/>
    <w:rsid w:val="00720A24"/>
    <w:rsid w:val="0073002A"/>
    <w:rsid w:val="00730AC8"/>
    <w:rsid w:val="00732386"/>
    <w:rsid w:val="0073514D"/>
    <w:rsid w:val="00740AF5"/>
    <w:rsid w:val="0074445E"/>
    <w:rsid w:val="007447F3"/>
    <w:rsid w:val="00746C26"/>
    <w:rsid w:val="0075499F"/>
    <w:rsid w:val="00761F75"/>
    <w:rsid w:val="0076349C"/>
    <w:rsid w:val="007661C8"/>
    <w:rsid w:val="007661F0"/>
    <w:rsid w:val="007664E5"/>
    <w:rsid w:val="0077098D"/>
    <w:rsid w:val="0078037F"/>
    <w:rsid w:val="00784513"/>
    <w:rsid w:val="0078717E"/>
    <w:rsid w:val="00787C2C"/>
    <w:rsid w:val="007931FA"/>
    <w:rsid w:val="00794874"/>
    <w:rsid w:val="00796296"/>
    <w:rsid w:val="007970FA"/>
    <w:rsid w:val="007A385D"/>
    <w:rsid w:val="007A4861"/>
    <w:rsid w:val="007A4863"/>
    <w:rsid w:val="007A5009"/>
    <w:rsid w:val="007A7BBA"/>
    <w:rsid w:val="007B0C50"/>
    <w:rsid w:val="007B37C1"/>
    <w:rsid w:val="007B48F9"/>
    <w:rsid w:val="007C0CC7"/>
    <w:rsid w:val="007C1A43"/>
    <w:rsid w:val="007C4833"/>
    <w:rsid w:val="007C4A18"/>
    <w:rsid w:val="007D0951"/>
    <w:rsid w:val="007D5057"/>
    <w:rsid w:val="007D723E"/>
    <w:rsid w:val="007D76A0"/>
    <w:rsid w:val="007E27A2"/>
    <w:rsid w:val="007E4796"/>
    <w:rsid w:val="007F0593"/>
    <w:rsid w:val="007F06B3"/>
    <w:rsid w:val="007F4436"/>
    <w:rsid w:val="007F6DB6"/>
    <w:rsid w:val="0080013E"/>
    <w:rsid w:val="00804235"/>
    <w:rsid w:val="00804A97"/>
    <w:rsid w:val="0080628C"/>
    <w:rsid w:val="00806D1F"/>
    <w:rsid w:val="00807505"/>
    <w:rsid w:val="00812938"/>
    <w:rsid w:val="00813288"/>
    <w:rsid w:val="008168FC"/>
    <w:rsid w:val="00822200"/>
    <w:rsid w:val="00830996"/>
    <w:rsid w:val="0083140D"/>
    <w:rsid w:val="00832545"/>
    <w:rsid w:val="00834357"/>
    <w:rsid w:val="008345F1"/>
    <w:rsid w:val="00847D91"/>
    <w:rsid w:val="00865B07"/>
    <w:rsid w:val="00865B8A"/>
    <w:rsid w:val="008667EA"/>
    <w:rsid w:val="008668CB"/>
    <w:rsid w:val="00870AB6"/>
    <w:rsid w:val="00870E53"/>
    <w:rsid w:val="0087637F"/>
    <w:rsid w:val="00887CC1"/>
    <w:rsid w:val="00890208"/>
    <w:rsid w:val="00891D20"/>
    <w:rsid w:val="00892AD5"/>
    <w:rsid w:val="00893F6F"/>
    <w:rsid w:val="00895C45"/>
    <w:rsid w:val="008A1512"/>
    <w:rsid w:val="008B70F7"/>
    <w:rsid w:val="008B7C03"/>
    <w:rsid w:val="008C0ADE"/>
    <w:rsid w:val="008C46CB"/>
    <w:rsid w:val="008D1E05"/>
    <w:rsid w:val="008D2183"/>
    <w:rsid w:val="008D32B9"/>
    <w:rsid w:val="008D433B"/>
    <w:rsid w:val="008D4A16"/>
    <w:rsid w:val="008D5704"/>
    <w:rsid w:val="008D6423"/>
    <w:rsid w:val="008E1951"/>
    <w:rsid w:val="008E566E"/>
    <w:rsid w:val="008F2B50"/>
    <w:rsid w:val="008F6C42"/>
    <w:rsid w:val="0090161A"/>
    <w:rsid w:val="00901EB6"/>
    <w:rsid w:val="00904C62"/>
    <w:rsid w:val="00906F39"/>
    <w:rsid w:val="00907215"/>
    <w:rsid w:val="00907A2D"/>
    <w:rsid w:val="00922BA8"/>
    <w:rsid w:val="00924814"/>
    <w:rsid w:val="00924DAC"/>
    <w:rsid w:val="00927058"/>
    <w:rsid w:val="009275B7"/>
    <w:rsid w:val="00931C19"/>
    <w:rsid w:val="009341E5"/>
    <w:rsid w:val="00935C85"/>
    <w:rsid w:val="00935ED2"/>
    <w:rsid w:val="00936E15"/>
    <w:rsid w:val="00936F47"/>
    <w:rsid w:val="009371CA"/>
    <w:rsid w:val="00940FF7"/>
    <w:rsid w:val="00942750"/>
    <w:rsid w:val="00943F62"/>
    <w:rsid w:val="00944401"/>
    <w:rsid w:val="009450CE"/>
    <w:rsid w:val="009459BB"/>
    <w:rsid w:val="00946C46"/>
    <w:rsid w:val="00946DD7"/>
    <w:rsid w:val="00947179"/>
    <w:rsid w:val="0095164B"/>
    <w:rsid w:val="00952B65"/>
    <w:rsid w:val="00953D5C"/>
    <w:rsid w:val="00954090"/>
    <w:rsid w:val="009573E7"/>
    <w:rsid w:val="00963E05"/>
    <w:rsid w:val="00963EF7"/>
    <w:rsid w:val="009641DB"/>
    <w:rsid w:val="0096476A"/>
    <w:rsid w:val="00964A45"/>
    <w:rsid w:val="00967843"/>
    <w:rsid w:val="00967D54"/>
    <w:rsid w:val="00971028"/>
    <w:rsid w:val="00972A7C"/>
    <w:rsid w:val="00980B7B"/>
    <w:rsid w:val="0098316C"/>
    <w:rsid w:val="00986D8C"/>
    <w:rsid w:val="0099308E"/>
    <w:rsid w:val="00993B84"/>
    <w:rsid w:val="00996483"/>
    <w:rsid w:val="00996F5A"/>
    <w:rsid w:val="009A23A2"/>
    <w:rsid w:val="009A7955"/>
    <w:rsid w:val="009B041A"/>
    <w:rsid w:val="009B1E98"/>
    <w:rsid w:val="009B3855"/>
    <w:rsid w:val="009B3AC8"/>
    <w:rsid w:val="009B6EBC"/>
    <w:rsid w:val="009C37C3"/>
    <w:rsid w:val="009C3A0D"/>
    <w:rsid w:val="009C493D"/>
    <w:rsid w:val="009C7C12"/>
    <w:rsid w:val="009C7C86"/>
    <w:rsid w:val="009C7CCD"/>
    <w:rsid w:val="009D10EA"/>
    <w:rsid w:val="009D2085"/>
    <w:rsid w:val="009D25BC"/>
    <w:rsid w:val="009D2FF7"/>
    <w:rsid w:val="009E4226"/>
    <w:rsid w:val="009E4C16"/>
    <w:rsid w:val="009E7884"/>
    <w:rsid w:val="009E788A"/>
    <w:rsid w:val="009F0E08"/>
    <w:rsid w:val="009F3C92"/>
    <w:rsid w:val="00A00EC2"/>
    <w:rsid w:val="00A0585D"/>
    <w:rsid w:val="00A06936"/>
    <w:rsid w:val="00A07AB2"/>
    <w:rsid w:val="00A103A9"/>
    <w:rsid w:val="00A1763D"/>
    <w:rsid w:val="00A17CEC"/>
    <w:rsid w:val="00A202FA"/>
    <w:rsid w:val="00A237AA"/>
    <w:rsid w:val="00A25A90"/>
    <w:rsid w:val="00A261E5"/>
    <w:rsid w:val="00A27EF0"/>
    <w:rsid w:val="00A42361"/>
    <w:rsid w:val="00A432EE"/>
    <w:rsid w:val="00A50B20"/>
    <w:rsid w:val="00A51390"/>
    <w:rsid w:val="00A524BE"/>
    <w:rsid w:val="00A54041"/>
    <w:rsid w:val="00A54461"/>
    <w:rsid w:val="00A60D13"/>
    <w:rsid w:val="00A65B5B"/>
    <w:rsid w:val="00A67A53"/>
    <w:rsid w:val="00A67AD3"/>
    <w:rsid w:val="00A67AF7"/>
    <w:rsid w:val="00A7223D"/>
    <w:rsid w:val="00A72745"/>
    <w:rsid w:val="00A73B20"/>
    <w:rsid w:val="00A73FDF"/>
    <w:rsid w:val="00A7675B"/>
    <w:rsid w:val="00A76EFC"/>
    <w:rsid w:val="00A87D50"/>
    <w:rsid w:val="00A91010"/>
    <w:rsid w:val="00A964C5"/>
    <w:rsid w:val="00A97F29"/>
    <w:rsid w:val="00AA702E"/>
    <w:rsid w:val="00AA7124"/>
    <w:rsid w:val="00AA7D26"/>
    <w:rsid w:val="00AB0964"/>
    <w:rsid w:val="00AB5011"/>
    <w:rsid w:val="00AB564C"/>
    <w:rsid w:val="00AB5A8A"/>
    <w:rsid w:val="00AC13A1"/>
    <w:rsid w:val="00AC7368"/>
    <w:rsid w:val="00AD1079"/>
    <w:rsid w:val="00AD16B9"/>
    <w:rsid w:val="00AD1ADA"/>
    <w:rsid w:val="00AD1B8B"/>
    <w:rsid w:val="00AD639A"/>
    <w:rsid w:val="00AE03D7"/>
    <w:rsid w:val="00AE377D"/>
    <w:rsid w:val="00AE449B"/>
    <w:rsid w:val="00AF0EBA"/>
    <w:rsid w:val="00AF171D"/>
    <w:rsid w:val="00AF36AA"/>
    <w:rsid w:val="00B0209B"/>
    <w:rsid w:val="00B02C8A"/>
    <w:rsid w:val="00B06ECE"/>
    <w:rsid w:val="00B120B8"/>
    <w:rsid w:val="00B13278"/>
    <w:rsid w:val="00B16511"/>
    <w:rsid w:val="00B17FBD"/>
    <w:rsid w:val="00B224A0"/>
    <w:rsid w:val="00B315A6"/>
    <w:rsid w:val="00B31813"/>
    <w:rsid w:val="00B33365"/>
    <w:rsid w:val="00B372AD"/>
    <w:rsid w:val="00B46D1C"/>
    <w:rsid w:val="00B47888"/>
    <w:rsid w:val="00B532D8"/>
    <w:rsid w:val="00B55DA4"/>
    <w:rsid w:val="00B57B36"/>
    <w:rsid w:val="00B57E14"/>
    <w:rsid w:val="00B57E6F"/>
    <w:rsid w:val="00B62B57"/>
    <w:rsid w:val="00B641BC"/>
    <w:rsid w:val="00B70779"/>
    <w:rsid w:val="00B75218"/>
    <w:rsid w:val="00B777D8"/>
    <w:rsid w:val="00B81874"/>
    <w:rsid w:val="00B82676"/>
    <w:rsid w:val="00B8686D"/>
    <w:rsid w:val="00B93F69"/>
    <w:rsid w:val="00B968BB"/>
    <w:rsid w:val="00B96D50"/>
    <w:rsid w:val="00B979CF"/>
    <w:rsid w:val="00B97CC3"/>
    <w:rsid w:val="00BA44E0"/>
    <w:rsid w:val="00BA79BA"/>
    <w:rsid w:val="00BB1DDC"/>
    <w:rsid w:val="00BC2B43"/>
    <w:rsid w:val="00BC30C9"/>
    <w:rsid w:val="00BC5286"/>
    <w:rsid w:val="00BC646A"/>
    <w:rsid w:val="00BC78BB"/>
    <w:rsid w:val="00BD077D"/>
    <w:rsid w:val="00BD1A36"/>
    <w:rsid w:val="00BD3B83"/>
    <w:rsid w:val="00BD40EA"/>
    <w:rsid w:val="00BD4B87"/>
    <w:rsid w:val="00BD7235"/>
    <w:rsid w:val="00BE270D"/>
    <w:rsid w:val="00BE3E58"/>
    <w:rsid w:val="00BE4B09"/>
    <w:rsid w:val="00BF336B"/>
    <w:rsid w:val="00BF3B3D"/>
    <w:rsid w:val="00BF522A"/>
    <w:rsid w:val="00BF5E2D"/>
    <w:rsid w:val="00C01042"/>
    <w:rsid w:val="00C01616"/>
    <w:rsid w:val="00C0162B"/>
    <w:rsid w:val="00C02318"/>
    <w:rsid w:val="00C035A5"/>
    <w:rsid w:val="00C04927"/>
    <w:rsid w:val="00C06445"/>
    <w:rsid w:val="00C068ED"/>
    <w:rsid w:val="00C120D5"/>
    <w:rsid w:val="00C158EF"/>
    <w:rsid w:val="00C21E04"/>
    <w:rsid w:val="00C22E0C"/>
    <w:rsid w:val="00C26C11"/>
    <w:rsid w:val="00C27541"/>
    <w:rsid w:val="00C313DA"/>
    <w:rsid w:val="00C321DE"/>
    <w:rsid w:val="00C345B1"/>
    <w:rsid w:val="00C381AE"/>
    <w:rsid w:val="00C40142"/>
    <w:rsid w:val="00C47920"/>
    <w:rsid w:val="00C47D44"/>
    <w:rsid w:val="00C52C3C"/>
    <w:rsid w:val="00C57182"/>
    <w:rsid w:val="00C57863"/>
    <w:rsid w:val="00C62D33"/>
    <w:rsid w:val="00C640AF"/>
    <w:rsid w:val="00C655FD"/>
    <w:rsid w:val="00C71B13"/>
    <w:rsid w:val="00C75407"/>
    <w:rsid w:val="00C801DC"/>
    <w:rsid w:val="00C84800"/>
    <w:rsid w:val="00C86035"/>
    <w:rsid w:val="00C870A8"/>
    <w:rsid w:val="00C87C5A"/>
    <w:rsid w:val="00C91A55"/>
    <w:rsid w:val="00C929DB"/>
    <w:rsid w:val="00C94434"/>
    <w:rsid w:val="00C97181"/>
    <w:rsid w:val="00CA0D4A"/>
    <w:rsid w:val="00CA0D75"/>
    <w:rsid w:val="00CA1C95"/>
    <w:rsid w:val="00CA5A9C"/>
    <w:rsid w:val="00CB6023"/>
    <w:rsid w:val="00CB7AC4"/>
    <w:rsid w:val="00CC4C20"/>
    <w:rsid w:val="00CC53ED"/>
    <w:rsid w:val="00CD33C3"/>
    <w:rsid w:val="00CD3517"/>
    <w:rsid w:val="00CD406C"/>
    <w:rsid w:val="00CD5FE2"/>
    <w:rsid w:val="00CE1977"/>
    <w:rsid w:val="00CE7BEB"/>
    <w:rsid w:val="00CE7C68"/>
    <w:rsid w:val="00CF04C5"/>
    <w:rsid w:val="00CF54BB"/>
    <w:rsid w:val="00D01E56"/>
    <w:rsid w:val="00D02B4C"/>
    <w:rsid w:val="00D040C4"/>
    <w:rsid w:val="00D06699"/>
    <w:rsid w:val="00D0740E"/>
    <w:rsid w:val="00D13A7E"/>
    <w:rsid w:val="00D179E8"/>
    <w:rsid w:val="00D201F7"/>
    <w:rsid w:val="00D20AD1"/>
    <w:rsid w:val="00D24C0F"/>
    <w:rsid w:val="00D32D05"/>
    <w:rsid w:val="00D4107C"/>
    <w:rsid w:val="00D45BB7"/>
    <w:rsid w:val="00D46B7E"/>
    <w:rsid w:val="00D52428"/>
    <w:rsid w:val="00D56782"/>
    <w:rsid w:val="00D57B5F"/>
    <w:rsid w:val="00D57C84"/>
    <w:rsid w:val="00D6057D"/>
    <w:rsid w:val="00D634FA"/>
    <w:rsid w:val="00D648EC"/>
    <w:rsid w:val="00D672C1"/>
    <w:rsid w:val="00D71640"/>
    <w:rsid w:val="00D71F4E"/>
    <w:rsid w:val="00D72545"/>
    <w:rsid w:val="00D72ECD"/>
    <w:rsid w:val="00D767B1"/>
    <w:rsid w:val="00D836C5"/>
    <w:rsid w:val="00D84576"/>
    <w:rsid w:val="00D979C5"/>
    <w:rsid w:val="00DA1399"/>
    <w:rsid w:val="00DA1D93"/>
    <w:rsid w:val="00DA24C6"/>
    <w:rsid w:val="00DA3081"/>
    <w:rsid w:val="00DA4D7B"/>
    <w:rsid w:val="00DA71E6"/>
    <w:rsid w:val="00DC1FEC"/>
    <w:rsid w:val="00DC73A1"/>
    <w:rsid w:val="00DC7A21"/>
    <w:rsid w:val="00DD0350"/>
    <w:rsid w:val="00DD0EF8"/>
    <w:rsid w:val="00DD271C"/>
    <w:rsid w:val="00DD2EB3"/>
    <w:rsid w:val="00DE264A"/>
    <w:rsid w:val="00DE6A8B"/>
    <w:rsid w:val="00DF06DB"/>
    <w:rsid w:val="00DF47AA"/>
    <w:rsid w:val="00DF5072"/>
    <w:rsid w:val="00DF56DD"/>
    <w:rsid w:val="00DF69F0"/>
    <w:rsid w:val="00E01985"/>
    <w:rsid w:val="00E02D18"/>
    <w:rsid w:val="00E04198"/>
    <w:rsid w:val="00E041E7"/>
    <w:rsid w:val="00E06E5F"/>
    <w:rsid w:val="00E130E9"/>
    <w:rsid w:val="00E1791F"/>
    <w:rsid w:val="00E21B99"/>
    <w:rsid w:val="00E23CA1"/>
    <w:rsid w:val="00E244B9"/>
    <w:rsid w:val="00E33DD7"/>
    <w:rsid w:val="00E33ECA"/>
    <w:rsid w:val="00E34673"/>
    <w:rsid w:val="00E37D00"/>
    <w:rsid w:val="00E409A8"/>
    <w:rsid w:val="00E43F52"/>
    <w:rsid w:val="00E45F0B"/>
    <w:rsid w:val="00E50C12"/>
    <w:rsid w:val="00E51C06"/>
    <w:rsid w:val="00E52D24"/>
    <w:rsid w:val="00E552AA"/>
    <w:rsid w:val="00E56AE5"/>
    <w:rsid w:val="00E615D6"/>
    <w:rsid w:val="00E65B91"/>
    <w:rsid w:val="00E71DDA"/>
    <w:rsid w:val="00E7209D"/>
    <w:rsid w:val="00E72BB6"/>
    <w:rsid w:val="00E72EAD"/>
    <w:rsid w:val="00E736D4"/>
    <w:rsid w:val="00E7549E"/>
    <w:rsid w:val="00E77223"/>
    <w:rsid w:val="00E82663"/>
    <w:rsid w:val="00E8528B"/>
    <w:rsid w:val="00E85A54"/>
    <w:rsid w:val="00E85B94"/>
    <w:rsid w:val="00E86BCB"/>
    <w:rsid w:val="00E90058"/>
    <w:rsid w:val="00E90078"/>
    <w:rsid w:val="00E91B00"/>
    <w:rsid w:val="00E93F0F"/>
    <w:rsid w:val="00E955B3"/>
    <w:rsid w:val="00E95CD8"/>
    <w:rsid w:val="00E95FB1"/>
    <w:rsid w:val="00E969CF"/>
    <w:rsid w:val="00E978D0"/>
    <w:rsid w:val="00EA0945"/>
    <w:rsid w:val="00EA12A0"/>
    <w:rsid w:val="00EA4613"/>
    <w:rsid w:val="00EA7F91"/>
    <w:rsid w:val="00EB1523"/>
    <w:rsid w:val="00EB3763"/>
    <w:rsid w:val="00EC0E49"/>
    <w:rsid w:val="00EC101F"/>
    <w:rsid w:val="00EC1D9F"/>
    <w:rsid w:val="00EC2B2D"/>
    <w:rsid w:val="00EC4A76"/>
    <w:rsid w:val="00EC70C7"/>
    <w:rsid w:val="00ED15BA"/>
    <w:rsid w:val="00ED4DE0"/>
    <w:rsid w:val="00ED72B7"/>
    <w:rsid w:val="00EE0131"/>
    <w:rsid w:val="00EE17B0"/>
    <w:rsid w:val="00EF06D9"/>
    <w:rsid w:val="00EF4769"/>
    <w:rsid w:val="00F01B48"/>
    <w:rsid w:val="00F02287"/>
    <w:rsid w:val="00F13011"/>
    <w:rsid w:val="00F138C8"/>
    <w:rsid w:val="00F14488"/>
    <w:rsid w:val="00F21097"/>
    <w:rsid w:val="00F23F3F"/>
    <w:rsid w:val="00F30009"/>
    <w:rsid w:val="00F3049E"/>
    <w:rsid w:val="00F30C64"/>
    <w:rsid w:val="00F32BA2"/>
    <w:rsid w:val="00F32CDB"/>
    <w:rsid w:val="00F32EAC"/>
    <w:rsid w:val="00F42DF9"/>
    <w:rsid w:val="00F508E4"/>
    <w:rsid w:val="00F51732"/>
    <w:rsid w:val="00F565FE"/>
    <w:rsid w:val="00F63A0F"/>
    <w:rsid w:val="00F63A70"/>
    <w:rsid w:val="00F63D8C"/>
    <w:rsid w:val="00F7299B"/>
    <w:rsid w:val="00F74807"/>
    <w:rsid w:val="00F7534E"/>
    <w:rsid w:val="00F93EDF"/>
    <w:rsid w:val="00F95664"/>
    <w:rsid w:val="00FA1802"/>
    <w:rsid w:val="00FA21D0"/>
    <w:rsid w:val="00FA384C"/>
    <w:rsid w:val="00FA5C8D"/>
    <w:rsid w:val="00FA5F5F"/>
    <w:rsid w:val="00FB18D1"/>
    <w:rsid w:val="00FB2A63"/>
    <w:rsid w:val="00FB37EC"/>
    <w:rsid w:val="00FB65BA"/>
    <w:rsid w:val="00FB730C"/>
    <w:rsid w:val="00FC1ADA"/>
    <w:rsid w:val="00FC25D4"/>
    <w:rsid w:val="00FC2695"/>
    <w:rsid w:val="00FC3E03"/>
    <w:rsid w:val="00FC3FC1"/>
    <w:rsid w:val="00FC500E"/>
    <w:rsid w:val="00FC5C6B"/>
    <w:rsid w:val="00FC7F1E"/>
    <w:rsid w:val="00FD4142"/>
    <w:rsid w:val="00FF11CB"/>
    <w:rsid w:val="00FF402C"/>
    <w:rsid w:val="0121AF5E"/>
    <w:rsid w:val="016A797F"/>
    <w:rsid w:val="017A20BF"/>
    <w:rsid w:val="01BA54E2"/>
    <w:rsid w:val="01CC94DA"/>
    <w:rsid w:val="01E9A759"/>
    <w:rsid w:val="0232E5F5"/>
    <w:rsid w:val="02A23742"/>
    <w:rsid w:val="02B7D2CF"/>
    <w:rsid w:val="02EED206"/>
    <w:rsid w:val="03703EC2"/>
    <w:rsid w:val="03DD4199"/>
    <w:rsid w:val="03E70CCB"/>
    <w:rsid w:val="04371737"/>
    <w:rsid w:val="04387575"/>
    <w:rsid w:val="0469718E"/>
    <w:rsid w:val="058805B8"/>
    <w:rsid w:val="05B475D4"/>
    <w:rsid w:val="05F81EE0"/>
    <w:rsid w:val="0645F8C3"/>
    <w:rsid w:val="06BABDB4"/>
    <w:rsid w:val="06C5CBCC"/>
    <w:rsid w:val="078A518B"/>
    <w:rsid w:val="07DC1B38"/>
    <w:rsid w:val="081E0E0A"/>
    <w:rsid w:val="0861D609"/>
    <w:rsid w:val="0893461E"/>
    <w:rsid w:val="08A3102A"/>
    <w:rsid w:val="08AD4487"/>
    <w:rsid w:val="08BFA67A"/>
    <w:rsid w:val="08D13648"/>
    <w:rsid w:val="08DA24FA"/>
    <w:rsid w:val="0AD9AF31"/>
    <w:rsid w:val="0C0B37A2"/>
    <w:rsid w:val="0C4FA54D"/>
    <w:rsid w:val="0CFDD9D9"/>
    <w:rsid w:val="0DEF99F1"/>
    <w:rsid w:val="0E10B87B"/>
    <w:rsid w:val="0E267C41"/>
    <w:rsid w:val="0E3E8046"/>
    <w:rsid w:val="0EA6C79B"/>
    <w:rsid w:val="0EC50A51"/>
    <w:rsid w:val="0ECF2BBF"/>
    <w:rsid w:val="0F0B7C72"/>
    <w:rsid w:val="0F9CA433"/>
    <w:rsid w:val="0FF4D48E"/>
    <w:rsid w:val="109982A1"/>
    <w:rsid w:val="10A902A3"/>
    <w:rsid w:val="11085A7C"/>
    <w:rsid w:val="1157D111"/>
    <w:rsid w:val="116C035D"/>
    <w:rsid w:val="1170EB71"/>
    <w:rsid w:val="11944098"/>
    <w:rsid w:val="11B1C9AB"/>
    <w:rsid w:val="124DF8C0"/>
    <w:rsid w:val="1271FC4B"/>
    <w:rsid w:val="12735958"/>
    <w:rsid w:val="12B0D6FA"/>
    <w:rsid w:val="12DD6C03"/>
    <w:rsid w:val="12F106D0"/>
    <w:rsid w:val="12F9ED64"/>
    <w:rsid w:val="13C55A1E"/>
    <w:rsid w:val="13D39338"/>
    <w:rsid w:val="1446F57B"/>
    <w:rsid w:val="14A88C33"/>
    <w:rsid w:val="14C332BE"/>
    <w:rsid w:val="14CC142B"/>
    <w:rsid w:val="1562821B"/>
    <w:rsid w:val="156F9BAF"/>
    <w:rsid w:val="15906611"/>
    <w:rsid w:val="15F5822E"/>
    <w:rsid w:val="1619FFCE"/>
    <w:rsid w:val="161CEEB8"/>
    <w:rsid w:val="1637EC9C"/>
    <w:rsid w:val="16887261"/>
    <w:rsid w:val="1767E0DB"/>
    <w:rsid w:val="1775BAE5"/>
    <w:rsid w:val="17796268"/>
    <w:rsid w:val="1866FE3D"/>
    <w:rsid w:val="186C5B12"/>
    <w:rsid w:val="1894C608"/>
    <w:rsid w:val="18B15201"/>
    <w:rsid w:val="18D56016"/>
    <w:rsid w:val="1919E2F6"/>
    <w:rsid w:val="192B4181"/>
    <w:rsid w:val="19D17AFE"/>
    <w:rsid w:val="1A40D521"/>
    <w:rsid w:val="1A4F3EE5"/>
    <w:rsid w:val="1A6C27FF"/>
    <w:rsid w:val="1A88338D"/>
    <w:rsid w:val="1A8B28E5"/>
    <w:rsid w:val="1A9AB92C"/>
    <w:rsid w:val="1ABE5B29"/>
    <w:rsid w:val="1B1BC9C6"/>
    <w:rsid w:val="1B591098"/>
    <w:rsid w:val="1B6EAC25"/>
    <w:rsid w:val="1B86D863"/>
    <w:rsid w:val="1C011F7D"/>
    <w:rsid w:val="1C0330B1"/>
    <w:rsid w:val="1C098017"/>
    <w:rsid w:val="1C0D1DDE"/>
    <w:rsid w:val="1C1783DC"/>
    <w:rsid w:val="1C27BABC"/>
    <w:rsid w:val="1C911227"/>
    <w:rsid w:val="1C9C31A3"/>
    <w:rsid w:val="1CB793DD"/>
    <w:rsid w:val="1DC7ACB8"/>
    <w:rsid w:val="1DD4124D"/>
    <w:rsid w:val="1E9DE98B"/>
    <w:rsid w:val="1EF4C4F3"/>
    <w:rsid w:val="1F099637"/>
    <w:rsid w:val="1F64A17D"/>
    <w:rsid w:val="1FB8C7DD"/>
    <w:rsid w:val="1FD4F805"/>
    <w:rsid w:val="1FE002E8"/>
    <w:rsid w:val="1FEE4962"/>
    <w:rsid w:val="1FF5D146"/>
    <w:rsid w:val="20D2BE63"/>
    <w:rsid w:val="211134E6"/>
    <w:rsid w:val="21289894"/>
    <w:rsid w:val="212DC0DF"/>
    <w:rsid w:val="21751A93"/>
    <w:rsid w:val="218F4CF6"/>
    <w:rsid w:val="21B9D9CC"/>
    <w:rsid w:val="22B5BAFC"/>
    <w:rsid w:val="22B71A7C"/>
    <w:rsid w:val="22ED1E76"/>
    <w:rsid w:val="22FFDD0E"/>
    <w:rsid w:val="2317D67B"/>
    <w:rsid w:val="24074214"/>
    <w:rsid w:val="2468AB01"/>
    <w:rsid w:val="24ABEC27"/>
    <w:rsid w:val="2523703E"/>
    <w:rsid w:val="262E5A83"/>
    <w:rsid w:val="265F3080"/>
    <w:rsid w:val="26B50DB3"/>
    <w:rsid w:val="27328FF7"/>
    <w:rsid w:val="275A04AD"/>
    <w:rsid w:val="277A864C"/>
    <w:rsid w:val="27892D3E"/>
    <w:rsid w:val="2791AB5F"/>
    <w:rsid w:val="2810BD3C"/>
    <w:rsid w:val="28613F36"/>
    <w:rsid w:val="2880E397"/>
    <w:rsid w:val="28E729ED"/>
    <w:rsid w:val="2914276F"/>
    <w:rsid w:val="2945DFB6"/>
    <w:rsid w:val="294906E4"/>
    <w:rsid w:val="2968B833"/>
    <w:rsid w:val="2A2C62E6"/>
    <w:rsid w:val="2A3F70D2"/>
    <w:rsid w:val="2A4A67A2"/>
    <w:rsid w:val="2A63462C"/>
    <w:rsid w:val="2B4930A8"/>
    <w:rsid w:val="2BB48388"/>
    <w:rsid w:val="2BBBF835"/>
    <w:rsid w:val="2BE816D5"/>
    <w:rsid w:val="2D20D321"/>
    <w:rsid w:val="2D3E2963"/>
    <w:rsid w:val="2D555887"/>
    <w:rsid w:val="2D5D0E26"/>
    <w:rsid w:val="2D866364"/>
    <w:rsid w:val="2DAAFA7D"/>
    <w:rsid w:val="2E004EDD"/>
    <w:rsid w:val="2ECA1BBD"/>
    <w:rsid w:val="2EDE1279"/>
    <w:rsid w:val="2EEEC5F2"/>
    <w:rsid w:val="2F837E0F"/>
    <w:rsid w:val="2FA0A4AE"/>
    <w:rsid w:val="2FBE11BA"/>
    <w:rsid w:val="2FF82776"/>
    <w:rsid w:val="3022862B"/>
    <w:rsid w:val="3041C6BD"/>
    <w:rsid w:val="3073863B"/>
    <w:rsid w:val="308D2C1A"/>
    <w:rsid w:val="3094E6CF"/>
    <w:rsid w:val="30FA1866"/>
    <w:rsid w:val="311DD793"/>
    <w:rsid w:val="312DB272"/>
    <w:rsid w:val="3138644C"/>
    <w:rsid w:val="315E7257"/>
    <w:rsid w:val="31786A0F"/>
    <w:rsid w:val="32556188"/>
    <w:rsid w:val="32715C1A"/>
    <w:rsid w:val="3293CDAF"/>
    <w:rsid w:val="32E72D80"/>
    <w:rsid w:val="335240F3"/>
    <w:rsid w:val="33533212"/>
    <w:rsid w:val="3354404B"/>
    <w:rsid w:val="33A77E52"/>
    <w:rsid w:val="34D746D7"/>
    <w:rsid w:val="350C922F"/>
    <w:rsid w:val="353B2FEA"/>
    <w:rsid w:val="354ABC91"/>
    <w:rsid w:val="35D1C765"/>
    <w:rsid w:val="35EEC1D6"/>
    <w:rsid w:val="35FF8F30"/>
    <w:rsid w:val="367150D0"/>
    <w:rsid w:val="36925C2F"/>
    <w:rsid w:val="370A9E50"/>
    <w:rsid w:val="37EAF922"/>
    <w:rsid w:val="38131F26"/>
    <w:rsid w:val="381E2A32"/>
    <w:rsid w:val="382D6BAF"/>
    <w:rsid w:val="386DB1CB"/>
    <w:rsid w:val="388A8D30"/>
    <w:rsid w:val="38CECAE8"/>
    <w:rsid w:val="38E84B15"/>
    <w:rsid w:val="391155AD"/>
    <w:rsid w:val="3932C4A4"/>
    <w:rsid w:val="39451BB1"/>
    <w:rsid w:val="398A02A3"/>
    <w:rsid w:val="39CA6C1C"/>
    <w:rsid w:val="39CB356A"/>
    <w:rsid w:val="39E252B2"/>
    <w:rsid w:val="39F80116"/>
    <w:rsid w:val="3A08206B"/>
    <w:rsid w:val="3A7C5D06"/>
    <w:rsid w:val="3B103C8D"/>
    <w:rsid w:val="3B2299E4"/>
    <w:rsid w:val="3B2DA060"/>
    <w:rsid w:val="3B63F46F"/>
    <w:rsid w:val="3BB152F5"/>
    <w:rsid w:val="3BD10DB1"/>
    <w:rsid w:val="3C1C820C"/>
    <w:rsid w:val="3C8F80F5"/>
    <w:rsid w:val="3CA45239"/>
    <w:rsid w:val="3D16FE86"/>
    <w:rsid w:val="3D27CD60"/>
    <w:rsid w:val="3D65D80D"/>
    <w:rsid w:val="3DDD3EEC"/>
    <w:rsid w:val="3DED7DA4"/>
    <w:rsid w:val="3ED8E2D7"/>
    <w:rsid w:val="3F1049C5"/>
    <w:rsid w:val="3F6E2759"/>
    <w:rsid w:val="3F9830F9"/>
    <w:rsid w:val="3FDD12F5"/>
    <w:rsid w:val="3FE6D9EA"/>
    <w:rsid w:val="3FF08D53"/>
    <w:rsid w:val="40211CBB"/>
    <w:rsid w:val="4061B2F4"/>
    <w:rsid w:val="407260EB"/>
    <w:rsid w:val="40DC99A4"/>
    <w:rsid w:val="415FB6B0"/>
    <w:rsid w:val="41BDA9FA"/>
    <w:rsid w:val="41E99F41"/>
    <w:rsid w:val="42108399"/>
    <w:rsid w:val="4233B468"/>
    <w:rsid w:val="425676A7"/>
    <w:rsid w:val="42FBD0E6"/>
    <w:rsid w:val="433218EF"/>
    <w:rsid w:val="4377DA27"/>
    <w:rsid w:val="43BB7230"/>
    <w:rsid w:val="4423195B"/>
    <w:rsid w:val="444413C1"/>
    <w:rsid w:val="446E25BA"/>
    <w:rsid w:val="446EF568"/>
    <w:rsid w:val="44781C31"/>
    <w:rsid w:val="45020A0F"/>
    <w:rsid w:val="45045C5C"/>
    <w:rsid w:val="451FC4F8"/>
    <w:rsid w:val="4521BE31"/>
    <w:rsid w:val="457E3C7B"/>
    <w:rsid w:val="468D5E4F"/>
    <w:rsid w:val="4712C439"/>
    <w:rsid w:val="473F8EEA"/>
    <w:rsid w:val="47D5C4F3"/>
    <w:rsid w:val="47ED3FF1"/>
    <w:rsid w:val="47FE022E"/>
    <w:rsid w:val="482AFFB0"/>
    <w:rsid w:val="4870C0E8"/>
    <w:rsid w:val="4892123E"/>
    <w:rsid w:val="48FAF9F5"/>
    <w:rsid w:val="49A44B52"/>
    <w:rsid w:val="49D7D912"/>
    <w:rsid w:val="49FCD599"/>
    <w:rsid w:val="4A2631BB"/>
    <w:rsid w:val="4A2DC440"/>
    <w:rsid w:val="4A77627D"/>
    <w:rsid w:val="4ADB4345"/>
    <w:rsid w:val="4B0D9D9C"/>
    <w:rsid w:val="4B74A26C"/>
    <w:rsid w:val="4BC4562B"/>
    <w:rsid w:val="4BF37EBC"/>
    <w:rsid w:val="4C72C805"/>
    <w:rsid w:val="4CD22D55"/>
    <w:rsid w:val="4D04DCD1"/>
    <w:rsid w:val="4D565F77"/>
    <w:rsid w:val="4DB55C33"/>
    <w:rsid w:val="4E44A0F1"/>
    <w:rsid w:val="4E74D439"/>
    <w:rsid w:val="4ED4ECA2"/>
    <w:rsid w:val="4ED64F79"/>
    <w:rsid w:val="4EE4C088"/>
    <w:rsid w:val="4F1358E2"/>
    <w:rsid w:val="4F2B524F"/>
    <w:rsid w:val="4F604461"/>
    <w:rsid w:val="4FC37243"/>
    <w:rsid w:val="4FD42A06"/>
    <w:rsid w:val="50553AD1"/>
    <w:rsid w:val="509BFF04"/>
    <w:rsid w:val="51073DF7"/>
    <w:rsid w:val="51AE78FF"/>
    <w:rsid w:val="51C95DF3"/>
    <w:rsid w:val="521238D2"/>
    <w:rsid w:val="5279EF64"/>
    <w:rsid w:val="52CBCC07"/>
    <w:rsid w:val="5311DD4D"/>
    <w:rsid w:val="53B7126F"/>
    <w:rsid w:val="53F73B8E"/>
    <w:rsid w:val="53FB5EDB"/>
    <w:rsid w:val="54393A37"/>
    <w:rsid w:val="545D83D3"/>
    <w:rsid w:val="54C05174"/>
    <w:rsid w:val="54E2AC54"/>
    <w:rsid w:val="551BF717"/>
    <w:rsid w:val="5532E04D"/>
    <w:rsid w:val="556635AB"/>
    <w:rsid w:val="557357CD"/>
    <w:rsid w:val="568EBB6D"/>
    <w:rsid w:val="56BE3E0D"/>
    <w:rsid w:val="56D83FD2"/>
    <w:rsid w:val="5726F871"/>
    <w:rsid w:val="573E117E"/>
    <w:rsid w:val="577E1CAF"/>
    <w:rsid w:val="581150FD"/>
    <w:rsid w:val="582CD00A"/>
    <w:rsid w:val="58386CA6"/>
    <w:rsid w:val="58474000"/>
    <w:rsid w:val="584AFCCE"/>
    <w:rsid w:val="5852B688"/>
    <w:rsid w:val="58DE8F88"/>
    <w:rsid w:val="59087C34"/>
    <w:rsid w:val="591FACDD"/>
    <w:rsid w:val="5923DD6C"/>
    <w:rsid w:val="593F9E5D"/>
    <w:rsid w:val="595FA1D8"/>
    <w:rsid w:val="59819811"/>
    <w:rsid w:val="5989DCD3"/>
    <w:rsid w:val="5A53BB1A"/>
    <w:rsid w:val="5A818E4C"/>
    <w:rsid w:val="5A81DA1B"/>
    <w:rsid w:val="5AC6D10A"/>
    <w:rsid w:val="5B1CC0AE"/>
    <w:rsid w:val="5B274EDC"/>
    <w:rsid w:val="5B3B9109"/>
    <w:rsid w:val="5BBFC7D2"/>
    <w:rsid w:val="5C5E0EDF"/>
    <w:rsid w:val="5C71BB04"/>
    <w:rsid w:val="5CA862A3"/>
    <w:rsid w:val="5CBD9989"/>
    <w:rsid w:val="5CF66A9B"/>
    <w:rsid w:val="5CFD8DF8"/>
    <w:rsid w:val="5D0455E5"/>
    <w:rsid w:val="5E07C018"/>
    <w:rsid w:val="5E3AB36A"/>
    <w:rsid w:val="5E41390C"/>
    <w:rsid w:val="5E5C1F06"/>
    <w:rsid w:val="5EE0EF50"/>
    <w:rsid w:val="5F0B8CAF"/>
    <w:rsid w:val="5F0FE95E"/>
    <w:rsid w:val="5F4DC35A"/>
    <w:rsid w:val="5F704D71"/>
    <w:rsid w:val="5FD1947A"/>
    <w:rsid w:val="60CE40A4"/>
    <w:rsid w:val="60F3F49C"/>
    <w:rsid w:val="61168FFE"/>
    <w:rsid w:val="6124FEF5"/>
    <w:rsid w:val="615464EF"/>
    <w:rsid w:val="62189012"/>
    <w:rsid w:val="6242FDDE"/>
    <w:rsid w:val="6247C33B"/>
    <w:rsid w:val="624D1991"/>
    <w:rsid w:val="625C6A5E"/>
    <w:rsid w:val="62F1326A"/>
    <w:rsid w:val="62FBD2BA"/>
    <w:rsid w:val="6317A88A"/>
    <w:rsid w:val="6340AFC1"/>
    <w:rsid w:val="646E285C"/>
    <w:rsid w:val="65623321"/>
    <w:rsid w:val="65FF4317"/>
    <w:rsid w:val="6606F37C"/>
    <w:rsid w:val="66510B8C"/>
    <w:rsid w:val="66842EF6"/>
    <w:rsid w:val="66AC27DA"/>
    <w:rsid w:val="66C81102"/>
    <w:rsid w:val="67440658"/>
    <w:rsid w:val="67FCFC43"/>
    <w:rsid w:val="67FE25D4"/>
    <w:rsid w:val="685E05DA"/>
    <w:rsid w:val="6905852C"/>
    <w:rsid w:val="6A35A444"/>
    <w:rsid w:val="6A93B055"/>
    <w:rsid w:val="6ABDB398"/>
    <w:rsid w:val="6AC9FD66"/>
    <w:rsid w:val="6B1934EF"/>
    <w:rsid w:val="6B325BA6"/>
    <w:rsid w:val="6B5B5EBF"/>
    <w:rsid w:val="6B7D15B7"/>
    <w:rsid w:val="6BA90344"/>
    <w:rsid w:val="6BB51C23"/>
    <w:rsid w:val="6BDEE609"/>
    <w:rsid w:val="6C45AAFF"/>
    <w:rsid w:val="6C510B6B"/>
    <w:rsid w:val="6CC8609E"/>
    <w:rsid w:val="6CCFC144"/>
    <w:rsid w:val="6D619419"/>
    <w:rsid w:val="6D7AA3BB"/>
    <w:rsid w:val="6DB64474"/>
    <w:rsid w:val="6DC97884"/>
    <w:rsid w:val="6E3A338C"/>
    <w:rsid w:val="6F6B319F"/>
    <w:rsid w:val="6FCD24C1"/>
    <w:rsid w:val="6FDCE148"/>
    <w:rsid w:val="6FF258F3"/>
    <w:rsid w:val="6FF8A859"/>
    <w:rsid w:val="70352B99"/>
    <w:rsid w:val="7045AC83"/>
    <w:rsid w:val="7048FEF6"/>
    <w:rsid w:val="70EC452A"/>
    <w:rsid w:val="70F650E3"/>
    <w:rsid w:val="70FBBF7C"/>
    <w:rsid w:val="72276350"/>
    <w:rsid w:val="724219AA"/>
    <w:rsid w:val="7290185C"/>
    <w:rsid w:val="7366A375"/>
    <w:rsid w:val="73B64563"/>
    <w:rsid w:val="73E25571"/>
    <w:rsid w:val="74013A34"/>
    <w:rsid w:val="742B6515"/>
    <w:rsid w:val="747E1EFA"/>
    <w:rsid w:val="74890219"/>
    <w:rsid w:val="74D47EBC"/>
    <w:rsid w:val="751A450A"/>
    <w:rsid w:val="753A5DA1"/>
    <w:rsid w:val="755F3BF9"/>
    <w:rsid w:val="75F5F765"/>
    <w:rsid w:val="76574AE0"/>
    <w:rsid w:val="766C19DE"/>
    <w:rsid w:val="76EEBF19"/>
    <w:rsid w:val="77315828"/>
    <w:rsid w:val="773912DD"/>
    <w:rsid w:val="7743B799"/>
    <w:rsid w:val="7753E23F"/>
    <w:rsid w:val="7758B05C"/>
    <w:rsid w:val="78B52A06"/>
    <w:rsid w:val="78C56DD4"/>
    <w:rsid w:val="7922BED6"/>
    <w:rsid w:val="796CDBFE"/>
    <w:rsid w:val="79CE34DC"/>
    <w:rsid w:val="79ED8234"/>
    <w:rsid w:val="79F66D01"/>
    <w:rsid w:val="7A08D9A0"/>
    <w:rsid w:val="7A1F0958"/>
    <w:rsid w:val="7A64E73F"/>
    <w:rsid w:val="7A8CDAF1"/>
    <w:rsid w:val="7BE92C06"/>
    <w:rsid w:val="7CD3AE18"/>
    <w:rsid w:val="7CF45D5E"/>
    <w:rsid w:val="7DC45F4C"/>
    <w:rsid w:val="7DDBAAD7"/>
    <w:rsid w:val="7E94C146"/>
    <w:rsid w:val="7EDF47DB"/>
    <w:rsid w:val="7EEACE54"/>
    <w:rsid w:val="7FC5C07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E95FB1"/>
    <w:pPr>
      <w:spacing w:after="0" w:line="240" w:lineRule="auto"/>
    </w:pPr>
    <w:rPr>
      <w:rFonts w:ascii="Times New Roman" w:eastAsia="Times New Roman" w:hAnsi="Times New Roman" w:cs="Times New Roman"/>
      <w:sz w:val="24"/>
      <w:szCs w:val="24"/>
      <w:lang w:val="en-US"/>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tabs>
        <w:tab w:val="right" w:pos="7100"/>
      </w:tabs>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tabs>
        <w:tab w:val="right" w:pos="7100"/>
      </w:tabs>
      <w:spacing w:after="120" w:line="264" w:lineRule="auto"/>
      <w:jc w:val="both"/>
    </w:pPr>
    <w:rPr>
      <w:rFonts w:ascii="Arial" w:hAnsi="Arial"/>
      <w:sz w:val="18"/>
      <w:szCs w:val="20"/>
      <w:lang w:val="en-GB"/>
    </w:r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rPr>
      <w:b/>
      <w:bCs/>
      <w:color w:val="4F81BD" w:themeColor="accent1"/>
      <w:szCs w:val="18"/>
    </w:rPr>
  </w:style>
  <w:style w:type="paragraph" w:styleId="List">
    <w:name w:val="List"/>
    <w:basedOn w:val="Normal"/>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r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tabs>
        <w:tab w:val="right" w:pos="7100"/>
      </w:tabs>
      <w:ind w:left="220" w:hanging="220"/>
      <w:jc w:val="both"/>
    </w:pPr>
    <w:rPr>
      <w:rFonts w:ascii="Arial" w:hAnsi="Arial"/>
      <w:sz w:val="18"/>
      <w:szCs w:val="20"/>
      <w:lang w:val="en-GB"/>
    </w:rPr>
  </w:style>
  <w:style w:type="paragraph" w:styleId="Index2">
    <w:name w:val="index 2"/>
    <w:basedOn w:val="Normal"/>
    <w:next w:val="Normal"/>
    <w:autoRedefine/>
    <w:uiPriority w:val="99"/>
    <w:semiHidden/>
    <w:unhideWhenUsed/>
    <w:rsid w:val="0003148D"/>
    <w:pPr>
      <w:ind w:left="440" w:hanging="220"/>
    </w:pPr>
  </w:style>
  <w:style w:type="paragraph" w:styleId="Index3">
    <w:name w:val="index 3"/>
    <w:basedOn w:val="Normal"/>
    <w:next w:val="Normal"/>
    <w:autoRedefine/>
    <w:uiPriority w:val="99"/>
    <w:semiHidden/>
    <w:unhideWhenUsed/>
    <w:rsid w:val="0003148D"/>
    <w:pPr>
      <w:ind w:left="660" w:hanging="220"/>
    </w:pPr>
  </w:style>
  <w:style w:type="paragraph" w:styleId="Index4">
    <w:name w:val="index 4"/>
    <w:basedOn w:val="Normal"/>
    <w:next w:val="Normal"/>
    <w:autoRedefine/>
    <w:uiPriority w:val="99"/>
    <w:semiHidden/>
    <w:unhideWhenUsed/>
    <w:rsid w:val="0003148D"/>
    <w:pPr>
      <w:ind w:left="880" w:hanging="220"/>
    </w:pPr>
  </w:style>
  <w:style w:type="paragraph" w:styleId="Index5">
    <w:name w:val="index 5"/>
    <w:basedOn w:val="Normal"/>
    <w:next w:val="Normal"/>
    <w:autoRedefine/>
    <w:uiPriority w:val="99"/>
    <w:semiHidden/>
    <w:unhideWhenUsed/>
    <w:rsid w:val="0003148D"/>
    <w:pPr>
      <w:ind w:left="1100" w:hanging="220"/>
    </w:pPr>
  </w:style>
  <w:style w:type="paragraph" w:styleId="Index6">
    <w:name w:val="index 6"/>
    <w:basedOn w:val="Normal"/>
    <w:next w:val="Normal"/>
    <w:autoRedefine/>
    <w:uiPriority w:val="99"/>
    <w:semiHidden/>
    <w:unhideWhenUsed/>
    <w:rsid w:val="0003148D"/>
    <w:pPr>
      <w:ind w:left="1320" w:hanging="220"/>
    </w:pPr>
  </w:style>
  <w:style w:type="paragraph" w:styleId="Index7">
    <w:name w:val="index 7"/>
    <w:basedOn w:val="Normal"/>
    <w:next w:val="Normal"/>
    <w:autoRedefine/>
    <w:uiPriority w:val="99"/>
    <w:semiHidden/>
    <w:unhideWhenUsed/>
    <w:rsid w:val="0003148D"/>
    <w:pPr>
      <w:ind w:left="1540" w:hanging="220"/>
    </w:pPr>
  </w:style>
  <w:style w:type="paragraph" w:styleId="Index8">
    <w:name w:val="index 8"/>
    <w:basedOn w:val="Normal"/>
    <w:next w:val="Normal"/>
    <w:autoRedefine/>
    <w:uiPriority w:val="99"/>
    <w:semiHidden/>
    <w:unhideWhenUsed/>
    <w:rsid w:val="0003148D"/>
    <w:pPr>
      <w:ind w:left="1760" w:hanging="220"/>
    </w:pPr>
  </w:style>
  <w:style w:type="paragraph" w:styleId="Index9">
    <w:name w:val="index 9"/>
    <w:basedOn w:val="Normal"/>
    <w:next w:val="Normal"/>
    <w:autoRedefine/>
    <w:uiPriority w:val="99"/>
    <w:semiHidden/>
    <w:unhideWhenUsed/>
    <w:rsid w:val="0003148D"/>
    <w:pPr>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rPr>
  </w:style>
  <w:style w:type="paragraph" w:styleId="HTMLAddress">
    <w:name w:val="HTML Address"/>
    <w:basedOn w:val="Normal"/>
    <w:link w:val="HTMLAddressChar"/>
    <w:uiPriority w:val="99"/>
    <w:semiHidden/>
    <w:unhideWhenUsed/>
    <w:rsid w:val="0003148D"/>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r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tabs>
        <w:tab w:val="right" w:pos="7100"/>
      </w:tabs>
      <w:spacing w:line="264" w:lineRule="auto"/>
      <w:ind w:left="720"/>
      <w:jc w:val="both"/>
    </w:pPr>
    <w:rPr>
      <w:rFonts w:ascii="Arial" w:hAnsi="Arial"/>
      <w:sz w:val="18"/>
      <w:szCs w:val="20"/>
      <w:lang w:val="en-GB"/>
    </w:rPr>
  </w:style>
  <w:style w:type="paragraph" w:styleId="CommentText">
    <w:name w:val="annotation text"/>
    <w:basedOn w:val="Normal"/>
    <w:link w:val="CommentTextChar"/>
    <w:uiPriority w:val="99"/>
    <w:unhideWhenUsed/>
    <w:rsid w:val="0003148D"/>
    <w:pPr>
      <w:tabs>
        <w:tab w:val="right" w:pos="7100"/>
      </w:tabs>
      <w:jc w:val="both"/>
    </w:pPr>
    <w:rPr>
      <w:rFonts w:ascii="Arial" w:hAnsi="Arial"/>
      <w:sz w:val="18"/>
      <w:szCs w:val="20"/>
      <w:lang w:val="en-GB"/>
    </w:r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tabs>
        <w:tab w:val="right" w:pos="7100"/>
      </w:tabs>
      <w:spacing w:after="100" w:line="264" w:lineRule="auto"/>
      <w:jc w:val="both"/>
    </w:pPr>
    <w:rPr>
      <w:rFonts w:ascii="Arial" w:hAnsi="Arial"/>
      <w:sz w:val="18"/>
      <w:szCs w:val="20"/>
      <w:lang w:val="en-GB"/>
    </w:r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enter" w:pos="4819"/>
        <w:tab w:val="right" w:pos="9638"/>
      </w:tabs>
      <w:jc w:val="both"/>
    </w:pPr>
    <w:rPr>
      <w:rFonts w:ascii="Arial" w:hAnsi="Arial"/>
      <w:sz w:val="18"/>
      <w:szCs w:val="20"/>
      <w:lang w:val="en-GB"/>
    </w:r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enter" w:pos="4819"/>
        <w:tab w:val="right" w:pos="9638"/>
      </w:tabs>
      <w:jc w:val="both"/>
    </w:pPr>
    <w:rPr>
      <w:rFonts w:ascii="Arial" w:hAnsi="Arial"/>
      <w:sz w:val="18"/>
      <w:szCs w:val="20"/>
      <w:lang w:val="en-GB"/>
    </w:r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tabs>
        <w:tab w:val="right" w:pos="7100"/>
      </w:tabs>
      <w:spacing w:line="264" w:lineRule="auto"/>
      <w:ind w:left="720"/>
      <w:contextualSpacing/>
      <w:jc w:val="both"/>
    </w:pPr>
    <w:rPr>
      <w:rFonts w:ascii="Arial" w:hAnsi="Arial"/>
      <w:sz w:val="18"/>
      <w:szCs w:val="20"/>
      <w:lang w:val="en-GB"/>
    </w:rPr>
  </w:style>
  <w:style w:type="paragraph" w:customStyle="1" w:styleId="Els-body-text">
    <w:name w:val="Els-body-text"/>
    <w:rsid w:val="003D609A"/>
    <w:pPr>
      <w:spacing w:after="0" w:line="240" w:lineRule="auto"/>
      <w:jc w:val="both"/>
    </w:pPr>
    <w:rPr>
      <w:rFonts w:ascii="Times New Roman" w:eastAsia="Times New Roman" w:hAnsi="Times New Roman" w:cs="Times New Roman"/>
      <w:sz w:val="20"/>
      <w:szCs w:val="20"/>
      <w:lang w:val="en-US"/>
    </w:rPr>
  </w:style>
  <w:style w:type="character" w:customStyle="1" w:styleId="cf01">
    <w:name w:val="cf01"/>
    <w:basedOn w:val="DefaultParagraphFont"/>
    <w:rsid w:val="003D609A"/>
    <w:rPr>
      <w:rFonts w:ascii="Segoe UI" w:hAnsi="Segoe UI" w:cs="Segoe UI" w:hint="default"/>
      <w:sz w:val="18"/>
      <w:szCs w:val="18"/>
    </w:rPr>
  </w:style>
  <w:style w:type="table" w:styleId="PlainTable2">
    <w:name w:val="Plain Table 2"/>
    <w:basedOn w:val="TableNormal"/>
    <w:uiPriority w:val="42"/>
    <w:rsid w:val="0044657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reference-head">
    <w:name w:val="Els-reference-head"/>
    <w:basedOn w:val="Els-body-text"/>
    <w:next w:val="Normal"/>
    <w:rsid w:val="00E33ECA"/>
    <w:pPr>
      <w:keepNext/>
      <w:spacing w:before="240" w:after="60"/>
    </w:pPr>
    <w:rPr>
      <w:b/>
      <w:sz w:val="22"/>
      <w:szCs w:val="22"/>
    </w:rPr>
  </w:style>
  <w:style w:type="character" w:customStyle="1" w:styleId="addmd">
    <w:name w:val="addmd"/>
    <w:basedOn w:val="DefaultParagraphFont"/>
    <w:rsid w:val="00E95FB1"/>
  </w:style>
  <w:style w:type="paragraph" w:customStyle="1" w:styleId="MDPI31text">
    <w:name w:val="MDPI_3.1_text"/>
    <w:qFormat/>
    <w:rsid w:val="00ED4DE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styleId="PlaceholderText">
    <w:name w:val="Placeholder Text"/>
    <w:basedOn w:val="DefaultParagraphFont"/>
    <w:uiPriority w:val="99"/>
    <w:semiHidden/>
    <w:rsid w:val="00D32D05"/>
    <w:rPr>
      <w:color w:val="808080"/>
    </w:rPr>
  </w:style>
  <w:style w:type="paragraph" w:styleId="Revision">
    <w:name w:val="Revision"/>
    <w:hidden/>
    <w:uiPriority w:val="99"/>
    <w:semiHidden/>
    <w:rsid w:val="00E52D2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70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113650">
      <w:bodyDiv w:val="1"/>
      <w:marLeft w:val="0"/>
      <w:marRight w:val="0"/>
      <w:marTop w:val="0"/>
      <w:marBottom w:val="0"/>
      <w:divBdr>
        <w:top w:val="none" w:sz="0" w:space="0" w:color="auto"/>
        <w:left w:val="none" w:sz="0" w:space="0" w:color="auto"/>
        <w:bottom w:val="none" w:sz="0" w:space="0" w:color="auto"/>
        <w:right w:val="none" w:sz="0" w:space="0" w:color="auto"/>
      </w:divBdr>
    </w:div>
    <w:div w:id="157878763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3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us%20i5\Downloads\7%20FEB%20Oil%20extraction%20SCG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a)</a:t>
            </a:r>
          </a:p>
        </c:rich>
      </c:tx>
      <c:layout>
        <c:manualLayout>
          <c:xMode val="edge"/>
          <c:yMode val="edge"/>
          <c:x val="0.19301087364079486"/>
          <c:y val="7.5117370892018781E-2"/>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569068572310813"/>
          <c:y val="4.033909163157165E-2"/>
          <c:w val="0.81388914620966513"/>
          <c:h val="0.7679043288603008"/>
        </c:manualLayout>
      </c:layout>
      <c:barChart>
        <c:barDir val="col"/>
        <c:grouping val="clustered"/>
        <c:varyColors val="0"/>
        <c:ser>
          <c:idx val="1"/>
          <c:order val="0"/>
          <c:tx>
            <c:strRef>
              <c:f>Resultados!$AP$3</c:f>
              <c:strCache>
                <c:ptCount val="1"/>
                <c:pt idx="0">
                  <c:v>UAE</c:v>
                </c:pt>
              </c:strCache>
            </c:strRef>
          </c:tx>
          <c:spPr>
            <a:solidFill>
              <a:schemeClr val="dk1">
                <a:tint val="55000"/>
              </a:schemeClr>
            </a:solidFill>
            <a:ln w="12700">
              <a:noFill/>
              <a:prstDash val="dash"/>
            </a:ln>
            <a:effectLst/>
          </c:spPr>
          <c:invertIfNegative val="0"/>
          <c:cat>
            <c:numRef>
              <c:f>Resultados!$AQ$3:$AQ$6</c:f>
              <c:numCache>
                <c:formatCode>General</c:formatCode>
                <c:ptCount val="4"/>
                <c:pt idx="0">
                  <c:v>5</c:v>
                </c:pt>
                <c:pt idx="1">
                  <c:v>10</c:v>
                </c:pt>
                <c:pt idx="2">
                  <c:v>15</c:v>
                </c:pt>
                <c:pt idx="3">
                  <c:v>20</c:v>
                </c:pt>
              </c:numCache>
            </c:numRef>
          </c:cat>
          <c:val>
            <c:numRef>
              <c:f>Resultados!$AR$3:$AR$6</c:f>
              <c:numCache>
                <c:formatCode>General</c:formatCode>
                <c:ptCount val="4"/>
                <c:pt idx="0">
                  <c:v>10.47</c:v>
                </c:pt>
                <c:pt idx="1">
                  <c:v>14.96</c:v>
                </c:pt>
                <c:pt idx="2">
                  <c:v>15.87</c:v>
                </c:pt>
                <c:pt idx="3">
                  <c:v>18.77</c:v>
                </c:pt>
              </c:numCache>
            </c:numRef>
          </c:val>
          <c:extLst>
            <c:ext xmlns:c16="http://schemas.microsoft.com/office/drawing/2014/chart" uri="{C3380CC4-5D6E-409C-BE32-E72D297353CC}">
              <c16:uniqueId val="{00000001-6819-4EA1-87D1-EF2812ACB8E6}"/>
            </c:ext>
          </c:extLst>
        </c:ser>
        <c:dLbls>
          <c:showLegendKey val="0"/>
          <c:showVal val="0"/>
          <c:showCatName val="0"/>
          <c:showSerName val="0"/>
          <c:showPercent val="0"/>
          <c:showBubbleSize val="0"/>
        </c:dLbls>
        <c:gapWidth val="150"/>
        <c:axId val="969899999"/>
        <c:axId val="969904575"/>
      </c:barChart>
      <c:catAx>
        <c:axId val="969899999"/>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Hexane to SCGs ratio (mL/g)</a:t>
                </a:r>
              </a:p>
            </c:rich>
          </c:tx>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904575"/>
        <c:crosses val="autoZero"/>
        <c:auto val="1"/>
        <c:lblAlgn val="ctr"/>
        <c:lblOffset val="100"/>
        <c:noMultiLvlLbl val="0"/>
      </c:catAx>
      <c:valAx>
        <c:axId val="969904575"/>
        <c:scaling>
          <c:orientation val="minMax"/>
          <c:min val="1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Oil yield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899999"/>
        <c:crosses val="autoZero"/>
        <c:crossBetween val="between"/>
      </c:valAx>
      <c:spPr>
        <a:noFill/>
        <a:ln w="3175">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a:t>
            </a:r>
          </a:p>
        </c:rich>
      </c:tx>
      <c:layout>
        <c:manualLayout>
          <c:xMode val="edge"/>
          <c:yMode val="edge"/>
          <c:x val="0.19642968179803622"/>
          <c:y val="6.5696855936180201E-2"/>
        </c:manualLayout>
      </c:layout>
      <c:overlay val="0"/>
      <c:spPr>
        <a:noFill/>
        <a:ln>
          <a:noFill/>
        </a:ln>
        <a:effectLst/>
      </c:spPr>
      <c:txPr>
        <a:bodyPr rot="0" spcFirstLastPara="1" vertOverflow="ellipsis" vert="horz" wrap="square" anchor="ctr" anchorCtr="1"/>
        <a:lstStyle/>
        <a:p>
          <a:pPr>
            <a:defRPr sz="7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16356053548147"/>
          <c:y val="4.033909163157165E-2"/>
          <c:w val="0.82135876453450019"/>
          <c:h val="0.7897199296411832"/>
        </c:manualLayout>
      </c:layout>
      <c:barChart>
        <c:barDir val="col"/>
        <c:grouping val="clustered"/>
        <c:varyColors val="0"/>
        <c:ser>
          <c:idx val="0"/>
          <c:order val="0"/>
          <c:tx>
            <c:strRef>
              <c:f>Resultados!$AS$6</c:f>
              <c:strCache>
                <c:ptCount val="1"/>
                <c:pt idx="0">
                  <c:v>SE (from literature)</c:v>
                </c:pt>
              </c:strCache>
            </c:strRef>
          </c:tx>
          <c:spPr>
            <a:solidFill>
              <a:schemeClr val="dk1">
                <a:tint val="88500"/>
              </a:schemeClr>
            </a:solidFill>
            <a:ln>
              <a:noFill/>
            </a:ln>
            <a:effectLst/>
          </c:spPr>
          <c:invertIfNegative val="0"/>
          <c:cat>
            <c:numRef>
              <c:f>Resultados!$AT$3:$AT$6</c:f>
              <c:numCache>
                <c:formatCode>General</c:formatCode>
                <c:ptCount val="4"/>
                <c:pt idx="0">
                  <c:v>4.17</c:v>
                </c:pt>
                <c:pt idx="1">
                  <c:v>10</c:v>
                </c:pt>
                <c:pt idx="2">
                  <c:v>15</c:v>
                </c:pt>
                <c:pt idx="3">
                  <c:v>20</c:v>
                </c:pt>
              </c:numCache>
            </c:numRef>
          </c:cat>
          <c:val>
            <c:numRef>
              <c:f>Resultados!$AU$3:$AU$6</c:f>
              <c:numCache>
                <c:formatCode>General</c:formatCode>
                <c:ptCount val="4"/>
                <c:pt idx="0">
                  <c:v>15.18</c:v>
                </c:pt>
                <c:pt idx="1">
                  <c:v>16</c:v>
                </c:pt>
                <c:pt idx="2">
                  <c:v>17</c:v>
                </c:pt>
                <c:pt idx="3">
                  <c:v>16.600000000000001</c:v>
                </c:pt>
              </c:numCache>
            </c:numRef>
          </c:val>
          <c:extLst>
            <c:ext xmlns:c16="http://schemas.microsoft.com/office/drawing/2014/chart" uri="{C3380CC4-5D6E-409C-BE32-E72D297353CC}">
              <c16:uniqueId val="{00000000-DA89-4F6F-B35A-FC8E470964C5}"/>
            </c:ext>
          </c:extLst>
        </c:ser>
        <c:dLbls>
          <c:showLegendKey val="0"/>
          <c:showVal val="0"/>
          <c:showCatName val="0"/>
          <c:showSerName val="0"/>
          <c:showPercent val="0"/>
          <c:showBubbleSize val="0"/>
        </c:dLbls>
        <c:gapWidth val="150"/>
        <c:axId val="969899999"/>
        <c:axId val="969904575"/>
      </c:barChart>
      <c:catAx>
        <c:axId val="969899999"/>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Hexane to SCGs ratio (mL/g)</a:t>
                </a:r>
              </a:p>
            </c:rich>
          </c:tx>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904575"/>
        <c:crosses val="autoZero"/>
        <c:auto val="1"/>
        <c:lblAlgn val="ctr"/>
        <c:lblOffset val="100"/>
        <c:noMultiLvlLbl val="0"/>
      </c:catAx>
      <c:valAx>
        <c:axId val="969904575"/>
        <c:scaling>
          <c:orientation val="minMax"/>
          <c:max val="20"/>
          <c:min val="1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Oil yield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899999"/>
        <c:crosses val="autoZero"/>
        <c:crossBetween val="between"/>
      </c:valAx>
      <c:spPr>
        <a:noFill/>
        <a:ln w="3175">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a:t>
            </a:r>
          </a:p>
        </c:rich>
      </c:tx>
      <c:layout>
        <c:manualLayout>
          <c:xMode val="edge"/>
          <c:yMode val="edge"/>
          <c:x val="0.1231014462028924"/>
          <c:y val="0.12043658261196838"/>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394236909323116"/>
          <c:y val="3.2723311546840952E-2"/>
          <c:w val="0.75788154533844176"/>
          <c:h val="0.79703891848706132"/>
        </c:manualLayout>
      </c:layout>
      <c:barChart>
        <c:barDir val="col"/>
        <c:grouping val="stacked"/>
        <c:varyColors val="0"/>
        <c:ser>
          <c:idx val="1"/>
          <c:order val="0"/>
          <c:tx>
            <c:strRef>
              <c:f>Resultados!$AP$33</c:f>
              <c:strCache>
                <c:ptCount val="1"/>
                <c:pt idx="0">
                  <c:v>EV-201</c:v>
                </c:pt>
              </c:strCache>
            </c:strRef>
          </c:tx>
          <c:spPr>
            <a:solidFill>
              <a:schemeClr val="dk1">
                <a:tint val="55000"/>
              </a:schemeClr>
            </a:solidFill>
            <a:ln>
              <a:noFill/>
            </a:ln>
            <a:effectLst/>
          </c:spPr>
          <c:invertIfNegative val="0"/>
          <c:cat>
            <c:numRef>
              <c:f>Resultados!$AM$34:$AM$37</c:f>
              <c:numCache>
                <c:formatCode>General</c:formatCode>
                <c:ptCount val="4"/>
                <c:pt idx="0">
                  <c:v>4.17</c:v>
                </c:pt>
                <c:pt idx="1">
                  <c:v>10</c:v>
                </c:pt>
                <c:pt idx="2">
                  <c:v>15</c:v>
                </c:pt>
                <c:pt idx="3">
                  <c:v>20</c:v>
                </c:pt>
              </c:numCache>
            </c:numRef>
          </c:cat>
          <c:val>
            <c:numRef>
              <c:f>Resultados!$AP$34:$AP$37</c:f>
              <c:numCache>
                <c:formatCode>0.0</c:formatCode>
                <c:ptCount val="4"/>
                <c:pt idx="0">
                  <c:v>8.5658555832004097</c:v>
                </c:pt>
                <c:pt idx="1">
                  <c:v>7.9169172194037509</c:v>
                </c:pt>
                <c:pt idx="2">
                  <c:v>7.7382794059140858</c:v>
                </c:pt>
                <c:pt idx="3">
                  <c:v>8.3548970872767576</c:v>
                </c:pt>
              </c:numCache>
            </c:numRef>
          </c:val>
          <c:extLst>
            <c:ext xmlns:c16="http://schemas.microsoft.com/office/drawing/2014/chart" uri="{C3380CC4-5D6E-409C-BE32-E72D297353CC}">
              <c16:uniqueId val="{00000000-B654-489E-838A-E5EFD9CBA850}"/>
            </c:ext>
          </c:extLst>
        </c:ser>
        <c:ser>
          <c:idx val="0"/>
          <c:order val="1"/>
          <c:tx>
            <c:strRef>
              <c:f>Resultados!$AO$33</c:f>
              <c:strCache>
                <c:ptCount val="1"/>
                <c:pt idx="0">
                  <c:v>EX-201</c:v>
                </c:pt>
              </c:strCache>
            </c:strRef>
          </c:tx>
          <c:spPr>
            <a:solidFill>
              <a:schemeClr val="dk1">
                <a:tint val="88500"/>
              </a:schemeClr>
            </a:solidFill>
            <a:ln>
              <a:noFill/>
            </a:ln>
            <a:effectLst/>
          </c:spPr>
          <c:invertIfNegative val="0"/>
          <c:cat>
            <c:numRef>
              <c:f>Resultados!$AM$34:$AM$37</c:f>
              <c:numCache>
                <c:formatCode>General</c:formatCode>
                <c:ptCount val="4"/>
                <c:pt idx="0">
                  <c:v>4.17</c:v>
                </c:pt>
                <c:pt idx="1">
                  <c:v>10</c:v>
                </c:pt>
                <c:pt idx="2">
                  <c:v>15</c:v>
                </c:pt>
                <c:pt idx="3">
                  <c:v>20</c:v>
                </c:pt>
              </c:numCache>
            </c:numRef>
          </c:cat>
          <c:val>
            <c:numRef>
              <c:f>Resultados!$AO$34:$AO$37</c:f>
              <c:numCache>
                <c:formatCode>0.0</c:formatCode>
                <c:ptCount val="4"/>
                <c:pt idx="0">
                  <c:v>5.0420950086003398</c:v>
                </c:pt>
                <c:pt idx="1">
                  <c:v>5.3606877769811918</c:v>
                </c:pt>
                <c:pt idx="2">
                  <c:v>4.7582900024482138</c:v>
                </c:pt>
                <c:pt idx="3">
                  <c:v>5.9483303862805119</c:v>
                </c:pt>
              </c:numCache>
            </c:numRef>
          </c:val>
          <c:extLst>
            <c:ext xmlns:c16="http://schemas.microsoft.com/office/drawing/2014/chart" uri="{C3380CC4-5D6E-409C-BE32-E72D297353CC}">
              <c16:uniqueId val="{00000001-B654-489E-838A-E5EFD9CBA850}"/>
            </c:ext>
          </c:extLst>
        </c:ser>
        <c:dLbls>
          <c:showLegendKey val="0"/>
          <c:showVal val="0"/>
          <c:showCatName val="0"/>
          <c:showSerName val="0"/>
          <c:showPercent val="0"/>
          <c:showBubbleSize val="0"/>
        </c:dLbls>
        <c:gapWidth val="150"/>
        <c:overlap val="100"/>
        <c:axId val="374374079"/>
        <c:axId val="374380735"/>
      </c:barChart>
      <c:scatterChart>
        <c:scatterStyle val="smoothMarker"/>
        <c:varyColors val="0"/>
        <c:ser>
          <c:idx val="2"/>
          <c:order val="2"/>
          <c:tx>
            <c:strRef>
              <c:f>Resultados!$AT$28</c:f>
              <c:strCache>
                <c:ptCount val="1"/>
                <c:pt idx="0">
                  <c:v>ɳ </c:v>
                </c:pt>
              </c:strCache>
            </c:strRef>
          </c:tx>
          <c:spPr>
            <a:ln w="12700" cap="rnd">
              <a:solidFill>
                <a:schemeClr val="dk1">
                  <a:tint val="75000"/>
                </a:schemeClr>
              </a:solidFill>
              <a:prstDash val="sysDash"/>
              <a:round/>
            </a:ln>
            <a:effectLst/>
          </c:spPr>
          <c:marker>
            <c:symbol val="circle"/>
            <c:size val="3"/>
            <c:spPr>
              <a:solidFill>
                <a:schemeClr val="dk1">
                  <a:tint val="75000"/>
                </a:schemeClr>
              </a:solidFill>
              <a:ln w="9525">
                <a:solidFill>
                  <a:schemeClr val="dk1">
                    <a:tint val="75000"/>
                  </a:schemeClr>
                </a:solidFill>
              </a:ln>
              <a:effectLst/>
            </c:spPr>
          </c:marker>
          <c:yVal>
            <c:numRef>
              <c:f>Resultados!$AS$23:$AS$26</c:f>
              <c:numCache>
                <c:formatCode>0.0</c:formatCode>
                <c:ptCount val="4"/>
                <c:pt idx="0">
                  <c:v>74.871531346351489</c:v>
                </c:pt>
                <c:pt idx="1">
                  <c:v>72.314049586776861</c:v>
                </c:pt>
                <c:pt idx="2">
                  <c:v>71.050359712230218</c:v>
                </c:pt>
                <c:pt idx="3">
                  <c:v>64.943890274314214</c:v>
                </c:pt>
              </c:numCache>
            </c:numRef>
          </c:yVal>
          <c:smooth val="1"/>
          <c:extLst>
            <c:ext xmlns:c16="http://schemas.microsoft.com/office/drawing/2014/chart" uri="{C3380CC4-5D6E-409C-BE32-E72D297353CC}">
              <c16:uniqueId val="{00000002-B654-489E-838A-E5EFD9CBA850}"/>
            </c:ext>
          </c:extLst>
        </c:ser>
        <c:dLbls>
          <c:showLegendKey val="0"/>
          <c:showVal val="0"/>
          <c:showCatName val="0"/>
          <c:showSerName val="0"/>
          <c:showPercent val="0"/>
          <c:showBubbleSize val="0"/>
        </c:dLbls>
        <c:axId val="1893048416"/>
        <c:axId val="1893047168"/>
      </c:scatterChart>
      <c:catAx>
        <c:axId val="3743740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b="0" i="0" baseline="0">
                    <a:effectLst/>
                  </a:rPr>
                  <a:t>Hexane to SCGs ratio (mL/g)</a:t>
                </a:r>
                <a:endParaRPr lang="en-US" sz="600">
                  <a:effectLst/>
                </a:endParaRPr>
              </a:p>
            </c:rich>
          </c:tx>
          <c:layout>
            <c:manualLayout>
              <c:xMode val="edge"/>
              <c:yMode val="edge"/>
              <c:x val="0.27124094248188496"/>
              <c:y val="0.9244562720965863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80735"/>
        <c:crossesAt val="0"/>
        <c:auto val="1"/>
        <c:lblAlgn val="ctr"/>
        <c:lblOffset val="100"/>
        <c:noMultiLvlLbl val="0"/>
      </c:catAx>
      <c:valAx>
        <c:axId val="374380735"/>
        <c:scaling>
          <c:orientation val="minMax"/>
          <c:max val="25"/>
          <c:min val="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E</a:t>
                </a:r>
                <a:r>
                  <a:rPr lang="en-US" baseline="-25000"/>
                  <a:t>D</a:t>
                </a:r>
                <a:r>
                  <a:rPr lang="en-US" baseline="0"/>
                  <a:t> (k</a:t>
                </a:r>
                <a:r>
                  <a:rPr lang="en-US"/>
                  <a:t>J/kg</a:t>
                </a:r>
                <a:r>
                  <a:rPr lang="en-US" baseline="0"/>
                  <a:t> of product)</a:t>
                </a:r>
                <a:r>
                  <a:rPr lang="en-US"/>
                  <a:t>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74079"/>
        <c:crosses val="autoZero"/>
        <c:crossBetween val="between"/>
        <c:majorUnit val="5"/>
      </c:valAx>
      <c:valAx>
        <c:axId val="1893047168"/>
        <c:scaling>
          <c:orientation val="minMax"/>
          <c:max val="100"/>
          <c:min val="0"/>
        </c:scaling>
        <c:delete val="0"/>
        <c:axPos val="r"/>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ɳ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3048416"/>
        <c:crosses val="max"/>
        <c:crossBetween val="midCat"/>
        <c:majorUnit val="20"/>
      </c:valAx>
      <c:valAx>
        <c:axId val="1893048416"/>
        <c:scaling>
          <c:orientation val="minMax"/>
        </c:scaling>
        <c:delete val="1"/>
        <c:axPos val="b"/>
        <c:majorTickMark val="out"/>
        <c:minorTickMark val="none"/>
        <c:tickLblPos val="nextTo"/>
        <c:crossAx val="1893047168"/>
        <c:crosses val="autoZero"/>
        <c:crossBetween val="midCat"/>
      </c:valAx>
      <c:spPr>
        <a:noFill/>
        <a:ln w="3175">
          <a:solidFill>
            <a:schemeClr val="tx1"/>
          </a:solidFill>
        </a:ln>
        <a:effectLst/>
      </c:spPr>
    </c:plotArea>
    <c:legend>
      <c:legendPos val="l"/>
      <c:layout>
        <c:manualLayout>
          <c:xMode val="edge"/>
          <c:yMode val="edge"/>
          <c:x val="0.11275671429673038"/>
          <c:y val="4.074346095237863E-2"/>
          <c:w val="0.74180557936193059"/>
          <c:h val="4.3952745857088305E-2"/>
        </c:manualLayout>
      </c:layout>
      <c:overlay val="1"/>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a)</a:t>
            </a:r>
          </a:p>
        </c:rich>
      </c:tx>
      <c:layout>
        <c:manualLayout>
          <c:xMode val="edge"/>
          <c:yMode val="edge"/>
          <c:x val="0.11937494145805806"/>
          <c:y val="0.12167300380228137"/>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80507662835249"/>
          <c:y val="3.2723364244714385E-2"/>
          <c:w val="0.75653296615581089"/>
          <c:h val="0.79612711283587156"/>
        </c:manualLayout>
      </c:layout>
      <c:barChart>
        <c:barDir val="col"/>
        <c:grouping val="stacked"/>
        <c:varyColors val="0"/>
        <c:ser>
          <c:idx val="1"/>
          <c:order val="0"/>
          <c:tx>
            <c:strRef>
              <c:f>Resultados!$AP$28</c:f>
              <c:strCache>
                <c:ptCount val="1"/>
                <c:pt idx="0">
                  <c:v>EV-101</c:v>
                </c:pt>
              </c:strCache>
            </c:strRef>
          </c:tx>
          <c:spPr>
            <a:solidFill>
              <a:schemeClr val="dk1">
                <a:tint val="55000"/>
              </a:schemeClr>
            </a:solidFill>
            <a:ln>
              <a:noFill/>
            </a:ln>
            <a:effectLst/>
          </c:spPr>
          <c:invertIfNegative val="0"/>
          <c:cat>
            <c:numRef>
              <c:f>Resultados!$AM$29:$AM$32</c:f>
              <c:numCache>
                <c:formatCode>General</c:formatCode>
                <c:ptCount val="4"/>
                <c:pt idx="0">
                  <c:v>5</c:v>
                </c:pt>
                <c:pt idx="1">
                  <c:v>10</c:v>
                </c:pt>
                <c:pt idx="2">
                  <c:v>15</c:v>
                </c:pt>
                <c:pt idx="3">
                  <c:v>20</c:v>
                </c:pt>
              </c:numCache>
            </c:numRef>
          </c:cat>
          <c:val>
            <c:numRef>
              <c:f>Resultados!$AP$29:$AP$32</c:f>
              <c:numCache>
                <c:formatCode>0.00</c:formatCode>
                <c:ptCount val="4"/>
                <c:pt idx="0">
                  <c:v>1.8371631716953907</c:v>
                </c:pt>
                <c:pt idx="1">
                  <c:v>1.2453809305655048</c:v>
                </c:pt>
                <c:pt idx="2">
                  <c:v>1.1141995882389881</c:v>
                </c:pt>
                <c:pt idx="3" formatCode="0.0">
                  <c:v>0.93991520113733396</c:v>
                </c:pt>
              </c:numCache>
            </c:numRef>
          </c:val>
          <c:extLst>
            <c:ext xmlns:c16="http://schemas.microsoft.com/office/drawing/2014/chart" uri="{C3380CC4-5D6E-409C-BE32-E72D297353CC}">
              <c16:uniqueId val="{00000000-17D9-48B8-9407-292E833A42E4}"/>
            </c:ext>
          </c:extLst>
        </c:ser>
        <c:ser>
          <c:idx val="0"/>
          <c:order val="1"/>
          <c:tx>
            <c:strRef>
              <c:f>Resultados!$AO$28</c:f>
              <c:strCache>
                <c:ptCount val="1"/>
                <c:pt idx="0">
                  <c:v>EX-101</c:v>
                </c:pt>
              </c:strCache>
            </c:strRef>
          </c:tx>
          <c:spPr>
            <a:solidFill>
              <a:schemeClr val="dk1">
                <a:tint val="88500"/>
              </a:schemeClr>
            </a:solidFill>
            <a:ln>
              <a:noFill/>
            </a:ln>
            <a:effectLst/>
          </c:spPr>
          <c:invertIfNegative val="0"/>
          <c:cat>
            <c:numRef>
              <c:f>Resultados!$AM$29:$AM$32</c:f>
              <c:numCache>
                <c:formatCode>General</c:formatCode>
                <c:ptCount val="4"/>
                <c:pt idx="0">
                  <c:v>5</c:v>
                </c:pt>
                <c:pt idx="1">
                  <c:v>10</c:v>
                </c:pt>
                <c:pt idx="2">
                  <c:v>15</c:v>
                </c:pt>
                <c:pt idx="3">
                  <c:v>20</c:v>
                </c:pt>
              </c:numCache>
            </c:numRef>
          </c:cat>
          <c:val>
            <c:numRef>
              <c:f>Resultados!$AO$29:$AO$32</c:f>
              <c:numCache>
                <c:formatCode>0.00</c:formatCode>
                <c:ptCount val="4"/>
                <c:pt idx="0">
                  <c:v>1.7729986589442501</c:v>
                </c:pt>
                <c:pt idx="1">
                  <c:v>2.4105513646392072</c:v>
                </c:pt>
                <c:pt idx="2">
                  <c:v>3.5076653703819995</c:v>
                </c:pt>
                <c:pt idx="3" formatCode="0.0">
                  <c:v>3.5566184116800086</c:v>
                </c:pt>
              </c:numCache>
            </c:numRef>
          </c:val>
          <c:extLst>
            <c:ext xmlns:c16="http://schemas.microsoft.com/office/drawing/2014/chart" uri="{C3380CC4-5D6E-409C-BE32-E72D297353CC}">
              <c16:uniqueId val="{00000001-17D9-48B8-9407-292E833A42E4}"/>
            </c:ext>
          </c:extLst>
        </c:ser>
        <c:dLbls>
          <c:showLegendKey val="0"/>
          <c:showVal val="0"/>
          <c:showCatName val="0"/>
          <c:showSerName val="0"/>
          <c:showPercent val="0"/>
          <c:showBubbleSize val="0"/>
        </c:dLbls>
        <c:gapWidth val="150"/>
        <c:overlap val="100"/>
        <c:axId val="374374079"/>
        <c:axId val="374380735"/>
      </c:barChart>
      <c:scatterChart>
        <c:scatterStyle val="smoothMarker"/>
        <c:varyColors val="0"/>
        <c:ser>
          <c:idx val="2"/>
          <c:order val="2"/>
          <c:tx>
            <c:strRef>
              <c:f>Resultados!$AT$28</c:f>
              <c:strCache>
                <c:ptCount val="1"/>
                <c:pt idx="0">
                  <c:v>ɳ </c:v>
                </c:pt>
              </c:strCache>
            </c:strRef>
          </c:tx>
          <c:spPr>
            <a:ln w="12700" cap="rnd">
              <a:solidFill>
                <a:schemeClr val="dk1">
                  <a:tint val="75000"/>
                </a:schemeClr>
              </a:solidFill>
              <a:prstDash val="sysDash"/>
              <a:round/>
            </a:ln>
            <a:effectLst/>
          </c:spPr>
          <c:marker>
            <c:symbol val="circle"/>
            <c:size val="3"/>
            <c:spPr>
              <a:solidFill>
                <a:schemeClr val="dk1">
                  <a:tint val="75000"/>
                </a:schemeClr>
              </a:solidFill>
              <a:ln w="9525">
                <a:solidFill>
                  <a:schemeClr val="dk1">
                    <a:tint val="75000"/>
                  </a:schemeClr>
                </a:solidFill>
              </a:ln>
              <a:effectLst/>
            </c:spPr>
          </c:marker>
          <c:yVal>
            <c:numRef>
              <c:f>Resultados!$AS$15:$AS$18</c:f>
              <c:numCache>
                <c:formatCode>0.0</c:formatCode>
                <c:ptCount val="4"/>
                <c:pt idx="0">
                  <c:v>78.77995410151037</c:v>
                </c:pt>
                <c:pt idx="1">
                  <c:v>79.93687445491922</c:v>
                </c:pt>
                <c:pt idx="2">
                  <c:v>75.978967168262656</c:v>
                </c:pt>
                <c:pt idx="3">
                  <c:v>74.697858780554157</c:v>
                </c:pt>
              </c:numCache>
            </c:numRef>
          </c:yVal>
          <c:smooth val="1"/>
          <c:extLst>
            <c:ext xmlns:c16="http://schemas.microsoft.com/office/drawing/2014/chart" uri="{C3380CC4-5D6E-409C-BE32-E72D297353CC}">
              <c16:uniqueId val="{00000002-17D9-48B8-9407-292E833A42E4}"/>
            </c:ext>
          </c:extLst>
        </c:ser>
        <c:dLbls>
          <c:showLegendKey val="0"/>
          <c:showVal val="0"/>
          <c:showCatName val="0"/>
          <c:showSerName val="0"/>
          <c:showPercent val="0"/>
          <c:showBubbleSize val="0"/>
        </c:dLbls>
        <c:axId val="1967540272"/>
        <c:axId val="1967545680"/>
      </c:scatterChart>
      <c:catAx>
        <c:axId val="3743740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b="0" i="0" baseline="0">
                    <a:effectLst/>
                  </a:rPr>
                  <a:t>Hexane to SCGs ratio (mL/g)</a:t>
                </a:r>
                <a:endParaRPr lang="en-US" sz="600">
                  <a:effectLst/>
                </a:endParaRPr>
              </a:p>
            </c:rich>
          </c:tx>
          <c:layout>
            <c:manualLayout>
              <c:xMode val="edge"/>
              <c:yMode val="edge"/>
              <c:x val="0.26652118371308364"/>
              <c:y val="0.9170066764468131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80735"/>
        <c:crossesAt val="0"/>
        <c:auto val="1"/>
        <c:lblAlgn val="ctr"/>
        <c:lblOffset val="100"/>
        <c:noMultiLvlLbl val="0"/>
      </c:catAx>
      <c:valAx>
        <c:axId val="374380735"/>
        <c:scaling>
          <c:orientation val="minMax"/>
          <c:max val="10"/>
          <c:min val="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E</a:t>
                </a:r>
                <a:r>
                  <a:rPr lang="en-US" baseline="-25000"/>
                  <a:t>D</a:t>
                </a:r>
                <a:r>
                  <a:rPr lang="en-US"/>
                  <a:t> (kJ/kg</a:t>
                </a:r>
                <a:r>
                  <a:rPr lang="en-US" baseline="0"/>
                  <a:t> of product)</a:t>
                </a:r>
                <a:endParaRPr lang="en-US"/>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74079"/>
        <c:crosses val="autoZero"/>
        <c:crossBetween val="between"/>
        <c:majorUnit val="2"/>
        <c:minorUnit val="1.0000000000000002E-2"/>
      </c:valAx>
      <c:valAx>
        <c:axId val="1967545680"/>
        <c:scaling>
          <c:orientation val="minMax"/>
          <c:max val="100"/>
          <c:min val="0"/>
        </c:scaling>
        <c:delete val="0"/>
        <c:axPos val="r"/>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ɳ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7540272"/>
        <c:crosses val="max"/>
        <c:crossBetween val="midCat"/>
      </c:valAx>
      <c:valAx>
        <c:axId val="1967540272"/>
        <c:scaling>
          <c:orientation val="minMax"/>
        </c:scaling>
        <c:delete val="1"/>
        <c:axPos val="b"/>
        <c:majorTickMark val="out"/>
        <c:minorTickMark val="none"/>
        <c:tickLblPos val="nextTo"/>
        <c:crossAx val="1967545680"/>
        <c:crosses val="autoZero"/>
        <c:crossBetween val="midCat"/>
      </c:valAx>
      <c:spPr>
        <a:noFill/>
        <a:ln w="3175">
          <a:solidFill>
            <a:schemeClr val="tx1"/>
          </a:solidFill>
        </a:ln>
        <a:effectLst/>
      </c:spPr>
    </c:plotArea>
    <c:legend>
      <c:legendPos val="l"/>
      <c:layout>
        <c:manualLayout>
          <c:xMode val="edge"/>
          <c:yMode val="edge"/>
          <c:x val="0.10212356415517672"/>
          <c:y val="4.2082442204201043E-2"/>
          <c:w val="0.74407763949348305"/>
          <c:h val="5.4196714951326962E-2"/>
        </c:manualLayout>
      </c:layout>
      <c:overlay val="1"/>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a)</a:t>
            </a:r>
          </a:p>
        </c:rich>
      </c:tx>
      <c:layout>
        <c:manualLayout>
          <c:xMode val="edge"/>
          <c:yMode val="edge"/>
          <c:x val="0.23557061088187781"/>
          <c:y val="5.6000000000000001E-2"/>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572646493756007"/>
          <c:y val="3.9110618378911062E-2"/>
          <c:w val="0.7737740153698367"/>
          <c:h val="0.79186622320768663"/>
        </c:manualLayout>
      </c:layout>
      <c:barChart>
        <c:barDir val="col"/>
        <c:grouping val="stacked"/>
        <c:varyColors val="0"/>
        <c:ser>
          <c:idx val="0"/>
          <c:order val="0"/>
          <c:tx>
            <c:strRef>
              <c:f>Resultados!$AU$28</c:f>
              <c:strCache>
                <c:ptCount val="1"/>
                <c:pt idx="0">
                  <c:v>Inversión</c:v>
                </c:pt>
              </c:strCache>
            </c:strRef>
          </c:tx>
          <c:spPr>
            <a:solidFill>
              <a:schemeClr val="dk1">
                <a:tint val="88500"/>
              </a:schemeClr>
            </a:solidFill>
            <a:ln>
              <a:noFill/>
            </a:ln>
            <a:effectLst/>
          </c:spPr>
          <c:invertIfNegative val="0"/>
          <c:cat>
            <c:numRef>
              <c:f>Resultados!$AM$29:$AM$32</c:f>
              <c:numCache>
                <c:formatCode>General</c:formatCode>
                <c:ptCount val="4"/>
                <c:pt idx="0">
                  <c:v>5</c:v>
                </c:pt>
                <c:pt idx="1">
                  <c:v>10</c:v>
                </c:pt>
                <c:pt idx="2">
                  <c:v>15</c:v>
                </c:pt>
                <c:pt idx="3">
                  <c:v>20</c:v>
                </c:pt>
              </c:numCache>
            </c:numRef>
          </c:cat>
          <c:val>
            <c:numRef>
              <c:f>Resultados!$AU$29:$AU$32</c:f>
              <c:numCache>
                <c:formatCode>General</c:formatCode>
                <c:ptCount val="4"/>
                <c:pt idx="0">
                  <c:v>702744.23385079764</c:v>
                </c:pt>
                <c:pt idx="1">
                  <c:v>794220.66960166255</c:v>
                </c:pt>
                <c:pt idx="2">
                  <c:v>856795.46165556414</c:v>
                </c:pt>
                <c:pt idx="3">
                  <c:v>995974.21447441541</c:v>
                </c:pt>
              </c:numCache>
            </c:numRef>
          </c:val>
          <c:extLst>
            <c:ext xmlns:c16="http://schemas.microsoft.com/office/drawing/2014/chart" uri="{C3380CC4-5D6E-409C-BE32-E72D297353CC}">
              <c16:uniqueId val="{00000000-BD11-4D86-9261-FF34397C1EAB}"/>
            </c:ext>
          </c:extLst>
        </c:ser>
        <c:dLbls>
          <c:showLegendKey val="0"/>
          <c:showVal val="0"/>
          <c:showCatName val="0"/>
          <c:showSerName val="0"/>
          <c:showPercent val="0"/>
          <c:showBubbleSize val="0"/>
        </c:dLbls>
        <c:gapWidth val="150"/>
        <c:overlap val="100"/>
        <c:axId val="426475152"/>
        <c:axId val="426479728"/>
      </c:barChart>
      <c:catAx>
        <c:axId val="426475152"/>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Hexane to SCGs ratio (mL/g)</a:t>
                </a:r>
              </a:p>
            </c:rich>
          </c:tx>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6479728"/>
        <c:crosses val="autoZero"/>
        <c:auto val="1"/>
        <c:lblAlgn val="ctr"/>
        <c:lblOffset val="100"/>
        <c:noMultiLvlLbl val="0"/>
      </c:catAx>
      <c:valAx>
        <c:axId val="426479728"/>
        <c:scaling>
          <c:orientation val="minMax"/>
          <c:max val="1450000"/>
          <c:min val="65000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Total investment cost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6475152"/>
        <c:crosses val="autoZero"/>
        <c:crossBetween val="between"/>
        <c:majorUnit val="160000"/>
      </c:valAx>
      <c:spPr>
        <a:noFill/>
        <a:ln w="3175">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a:t>
            </a:r>
          </a:p>
        </c:rich>
      </c:tx>
      <c:layout>
        <c:manualLayout>
          <c:xMode val="edge"/>
          <c:yMode val="edge"/>
          <c:x val="0.23406765315823042"/>
          <c:y val="7.1770334928229665E-2"/>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572646493756007"/>
          <c:y val="3.9110618378911062E-2"/>
          <c:w val="0.7737740153698367"/>
          <c:h val="0.79186622320768663"/>
        </c:manualLayout>
      </c:layout>
      <c:barChart>
        <c:barDir val="col"/>
        <c:grouping val="stacked"/>
        <c:varyColors val="0"/>
        <c:ser>
          <c:idx val="0"/>
          <c:order val="0"/>
          <c:tx>
            <c:strRef>
              <c:f>Resultados!$AU$28</c:f>
              <c:strCache>
                <c:ptCount val="1"/>
                <c:pt idx="0">
                  <c:v>Inversión</c:v>
                </c:pt>
              </c:strCache>
            </c:strRef>
          </c:tx>
          <c:spPr>
            <a:solidFill>
              <a:schemeClr val="dk1">
                <a:tint val="88500"/>
              </a:schemeClr>
            </a:solidFill>
            <a:ln>
              <a:noFill/>
            </a:ln>
            <a:effectLst/>
          </c:spPr>
          <c:invertIfNegative val="0"/>
          <c:cat>
            <c:numRef>
              <c:f>Resultados!$AM$34:$AM$37</c:f>
              <c:numCache>
                <c:formatCode>General</c:formatCode>
                <c:ptCount val="4"/>
                <c:pt idx="0">
                  <c:v>4.17</c:v>
                </c:pt>
                <c:pt idx="1">
                  <c:v>10</c:v>
                </c:pt>
                <c:pt idx="2">
                  <c:v>15</c:v>
                </c:pt>
                <c:pt idx="3">
                  <c:v>20</c:v>
                </c:pt>
              </c:numCache>
            </c:numRef>
          </c:cat>
          <c:val>
            <c:numRef>
              <c:f>Resultados!$AU$34:$AU$37</c:f>
              <c:numCache>
                <c:formatCode>General</c:formatCode>
                <c:ptCount val="4"/>
                <c:pt idx="0">
                  <c:v>821702.95076696621</c:v>
                </c:pt>
                <c:pt idx="1">
                  <c:v>899015.43506037001</c:v>
                </c:pt>
                <c:pt idx="2">
                  <c:v>956200.4854846755</c:v>
                </c:pt>
                <c:pt idx="3">
                  <c:v>1391152.6768661302</c:v>
                </c:pt>
              </c:numCache>
            </c:numRef>
          </c:val>
          <c:extLst>
            <c:ext xmlns:c16="http://schemas.microsoft.com/office/drawing/2014/chart" uri="{C3380CC4-5D6E-409C-BE32-E72D297353CC}">
              <c16:uniqueId val="{00000000-AA83-4156-A4B9-B0EB8B6B83D4}"/>
            </c:ext>
          </c:extLst>
        </c:ser>
        <c:dLbls>
          <c:showLegendKey val="0"/>
          <c:showVal val="0"/>
          <c:showCatName val="0"/>
          <c:showSerName val="0"/>
          <c:showPercent val="0"/>
          <c:showBubbleSize val="0"/>
        </c:dLbls>
        <c:gapWidth val="150"/>
        <c:overlap val="100"/>
        <c:axId val="426475152"/>
        <c:axId val="426479728"/>
      </c:barChart>
      <c:catAx>
        <c:axId val="426475152"/>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Hexane to SCGs ratio (mL/g)</a:t>
                </a:r>
              </a:p>
            </c:rich>
          </c:tx>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6479728"/>
        <c:crosses val="autoZero"/>
        <c:auto val="1"/>
        <c:lblAlgn val="ctr"/>
        <c:lblOffset val="100"/>
        <c:noMultiLvlLbl val="0"/>
      </c:catAx>
      <c:valAx>
        <c:axId val="426479728"/>
        <c:scaling>
          <c:orientation val="minMax"/>
          <c:max val="1450000"/>
          <c:min val="65000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Total investment cost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6475152"/>
        <c:crosses val="autoZero"/>
        <c:crossBetween val="between"/>
        <c:majorUnit val="160000"/>
      </c:valAx>
      <c:spPr>
        <a:noFill/>
        <a:ln w="3175">
          <a:solidFill>
            <a:sysClr val="windowText" lastClr="000000"/>
          </a:solidFill>
        </a:ln>
        <a:effectLst/>
      </c:spPr>
    </c:plotArea>
    <c:legend>
      <c:legendPos val="t"/>
      <c:legendEntry>
        <c:idx val="0"/>
        <c:delete val="1"/>
      </c:legendEntry>
      <c:layout>
        <c:manualLayout>
          <c:xMode val="edge"/>
          <c:yMode val="edge"/>
          <c:x val="0.24555554934583723"/>
          <c:y val="7.1171762432019448E-2"/>
          <c:w val="0"/>
          <c:h val="4.7843254948668958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a)</a:t>
            </a:r>
          </a:p>
        </c:rich>
      </c:tx>
      <c:layout>
        <c:manualLayout>
          <c:xMode val="edge"/>
          <c:yMode val="edge"/>
          <c:x val="0.14620705803911607"/>
          <c:y val="5.9612518628912071E-2"/>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06017430279676"/>
          <c:y val="3.2723311546840952E-2"/>
          <c:w val="0.8334703588428275"/>
          <c:h val="0.79703891848706132"/>
        </c:manualLayout>
      </c:layout>
      <c:barChart>
        <c:barDir val="col"/>
        <c:grouping val="stacked"/>
        <c:varyColors val="0"/>
        <c:ser>
          <c:idx val="1"/>
          <c:order val="0"/>
          <c:tx>
            <c:strRef>
              <c:f>Resultados!$AM$61</c:f>
              <c:strCache>
                <c:ptCount val="1"/>
                <c:pt idx="0">
                  <c:v>Zci</c:v>
                </c:pt>
              </c:strCache>
            </c:strRef>
          </c:tx>
          <c:spPr>
            <a:solidFill>
              <a:schemeClr val="tx1">
                <a:lumMod val="50000"/>
                <a:lumOff val="50000"/>
              </a:schemeClr>
            </a:solidFill>
            <a:ln>
              <a:noFill/>
            </a:ln>
            <a:effectLst/>
          </c:spPr>
          <c:invertIfNegative val="0"/>
          <c:cat>
            <c:numRef>
              <c:f>Resultados!$AL$62:$AL$65</c:f>
              <c:numCache>
                <c:formatCode>General</c:formatCode>
                <c:ptCount val="4"/>
                <c:pt idx="0">
                  <c:v>5</c:v>
                </c:pt>
                <c:pt idx="1">
                  <c:v>10</c:v>
                </c:pt>
                <c:pt idx="2">
                  <c:v>15</c:v>
                </c:pt>
                <c:pt idx="3">
                  <c:v>20</c:v>
                </c:pt>
              </c:numCache>
            </c:numRef>
          </c:cat>
          <c:val>
            <c:numRef>
              <c:f>Resultados!$AM$62:$AM$65</c:f>
              <c:numCache>
                <c:formatCode>General</c:formatCode>
                <c:ptCount val="4"/>
                <c:pt idx="0">
                  <c:v>20.148450584624339</c:v>
                </c:pt>
                <c:pt idx="1">
                  <c:v>22.730462761143855</c:v>
                </c:pt>
                <c:pt idx="2">
                  <c:v>24.496701917692992</c:v>
                </c:pt>
                <c:pt idx="3">
                  <c:v>28.425151814577124</c:v>
                </c:pt>
              </c:numCache>
            </c:numRef>
          </c:val>
          <c:extLst>
            <c:ext xmlns:c16="http://schemas.microsoft.com/office/drawing/2014/chart" uri="{C3380CC4-5D6E-409C-BE32-E72D297353CC}">
              <c16:uniqueId val="{00000000-16DF-FC4C-9F77-6AA3ED5CAE41}"/>
            </c:ext>
          </c:extLst>
        </c:ser>
        <c:ser>
          <c:idx val="0"/>
          <c:order val="1"/>
          <c:tx>
            <c:strRef>
              <c:f>Resultados!$AN$61</c:f>
              <c:strCache>
                <c:ptCount val="1"/>
                <c:pt idx="0">
                  <c:v>Zom</c:v>
                </c:pt>
              </c:strCache>
            </c:strRef>
          </c:tx>
          <c:spPr>
            <a:solidFill>
              <a:schemeClr val="tx1"/>
            </a:solidFill>
            <a:ln>
              <a:noFill/>
            </a:ln>
            <a:effectLst/>
          </c:spPr>
          <c:invertIfNegative val="0"/>
          <c:cat>
            <c:numRef>
              <c:f>Resultados!$AL$62:$AL$65</c:f>
              <c:numCache>
                <c:formatCode>General</c:formatCode>
                <c:ptCount val="4"/>
                <c:pt idx="0">
                  <c:v>5</c:v>
                </c:pt>
                <c:pt idx="1">
                  <c:v>10</c:v>
                </c:pt>
                <c:pt idx="2">
                  <c:v>15</c:v>
                </c:pt>
                <c:pt idx="3">
                  <c:v>20</c:v>
                </c:pt>
              </c:numCache>
            </c:numRef>
          </c:cat>
          <c:val>
            <c:numRef>
              <c:f>Resultados!$AN$62:$AN$65</c:f>
              <c:numCache>
                <c:formatCode>General</c:formatCode>
                <c:ptCount val="4"/>
                <c:pt idx="0">
                  <c:v>5.0441765229072146</c:v>
                </c:pt>
                <c:pt idx="1">
                  <c:v>5.4700855911838149</c:v>
                </c:pt>
                <c:pt idx="2">
                  <c:v>5.8959946594604169</c:v>
                </c:pt>
                <c:pt idx="3">
                  <c:v>6.3219037277370198</c:v>
                </c:pt>
              </c:numCache>
            </c:numRef>
          </c:val>
          <c:extLst>
            <c:ext xmlns:c16="http://schemas.microsoft.com/office/drawing/2014/chart" uri="{C3380CC4-5D6E-409C-BE32-E72D297353CC}">
              <c16:uniqueId val="{00000001-16DF-FC4C-9F77-6AA3ED5CAE41}"/>
            </c:ext>
          </c:extLst>
        </c:ser>
        <c:ser>
          <c:idx val="2"/>
          <c:order val="2"/>
          <c:tx>
            <c:strRef>
              <c:f>Resultados!$AO$61</c:f>
              <c:strCache>
                <c:ptCount val="1"/>
                <c:pt idx="0">
                  <c:v>Cd</c:v>
                </c:pt>
              </c:strCache>
            </c:strRef>
          </c:tx>
          <c:spPr>
            <a:solidFill>
              <a:schemeClr val="bg1">
                <a:lumMod val="75000"/>
              </a:schemeClr>
            </a:solidFill>
            <a:ln>
              <a:noFill/>
            </a:ln>
            <a:effectLst/>
          </c:spPr>
          <c:invertIfNegative val="0"/>
          <c:cat>
            <c:numRef>
              <c:f>Resultados!$AL$62:$AL$65</c:f>
              <c:numCache>
                <c:formatCode>General</c:formatCode>
                <c:ptCount val="4"/>
                <c:pt idx="0">
                  <c:v>5</c:v>
                </c:pt>
                <c:pt idx="1">
                  <c:v>10</c:v>
                </c:pt>
                <c:pt idx="2">
                  <c:v>15</c:v>
                </c:pt>
                <c:pt idx="3">
                  <c:v>20</c:v>
                </c:pt>
              </c:numCache>
            </c:numRef>
          </c:cat>
          <c:val>
            <c:numRef>
              <c:f>Resultados!$AO$62:$AO$65</c:f>
              <c:numCache>
                <c:formatCode>General</c:formatCode>
                <c:ptCount val="4"/>
                <c:pt idx="0">
                  <c:v>219.55850000000001</c:v>
                </c:pt>
                <c:pt idx="1">
                  <c:v>216.84299999999999</c:v>
                </c:pt>
                <c:pt idx="2">
                  <c:v>278.24199999999996</c:v>
                </c:pt>
                <c:pt idx="3">
                  <c:v>346.71855000000005</c:v>
                </c:pt>
              </c:numCache>
            </c:numRef>
          </c:val>
          <c:extLst>
            <c:ext xmlns:c16="http://schemas.microsoft.com/office/drawing/2014/chart" uri="{C3380CC4-5D6E-409C-BE32-E72D297353CC}">
              <c16:uniqueId val="{00000002-16DF-FC4C-9F77-6AA3ED5CAE41}"/>
            </c:ext>
          </c:extLst>
        </c:ser>
        <c:dLbls>
          <c:showLegendKey val="0"/>
          <c:showVal val="0"/>
          <c:showCatName val="0"/>
          <c:showSerName val="0"/>
          <c:showPercent val="0"/>
          <c:showBubbleSize val="0"/>
        </c:dLbls>
        <c:gapWidth val="150"/>
        <c:overlap val="100"/>
        <c:axId val="374374079"/>
        <c:axId val="374380735"/>
      </c:barChart>
      <c:catAx>
        <c:axId val="3743740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b="0" i="0" baseline="0">
                    <a:effectLst/>
                  </a:rPr>
                  <a:t>Hexane to SCGs ratio (mL/g)</a:t>
                </a:r>
                <a:endParaRPr lang="en-US" sz="600">
                  <a:effectLst/>
                </a:endParaRPr>
              </a:p>
            </c:rich>
          </c:tx>
          <c:layout>
            <c:manualLayout>
              <c:xMode val="edge"/>
              <c:yMode val="edge"/>
              <c:x val="0.3677612412329867"/>
              <c:y val="0.90940191761617339"/>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80735"/>
        <c:crossesAt val="0"/>
        <c:auto val="1"/>
        <c:lblAlgn val="ctr"/>
        <c:lblOffset val="100"/>
        <c:noMultiLvlLbl val="0"/>
      </c:catAx>
      <c:valAx>
        <c:axId val="374380735"/>
        <c:scaling>
          <c:orientation val="minMax"/>
          <c:max val="1000"/>
          <c:min val="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Cost rate ($/h)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74079"/>
        <c:crosses val="autoZero"/>
        <c:crossBetween val="between"/>
        <c:majorUnit val="200"/>
      </c:valAx>
      <c:spPr>
        <a:noFill/>
        <a:ln w="3175">
          <a:solidFill>
            <a:schemeClr val="tx1"/>
          </a:solidFill>
        </a:ln>
        <a:effectLst/>
      </c:spPr>
    </c:plotArea>
    <c:legend>
      <c:legendPos val="l"/>
      <c:layout>
        <c:manualLayout>
          <c:xMode val="edge"/>
          <c:yMode val="edge"/>
          <c:x val="0.42525677863855721"/>
          <c:y val="7.0549890280108413E-2"/>
          <c:w val="0.51010319463700293"/>
          <c:h val="0.10862437145459176"/>
        </c:manualLayout>
      </c:layout>
      <c:overlay val="1"/>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a:t>
            </a:r>
          </a:p>
        </c:rich>
      </c:tx>
      <c:layout>
        <c:manualLayout>
          <c:xMode val="edge"/>
          <c:yMode val="edge"/>
          <c:x val="0.15628770320040633"/>
          <c:y val="5.9545962039449202E-2"/>
        </c:manualLayout>
      </c:layout>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09943290485085"/>
          <c:y val="3.2723311546840952E-2"/>
          <c:w val="0.82339184163871937"/>
          <c:h val="0.79703891848706132"/>
        </c:manualLayout>
      </c:layout>
      <c:barChart>
        <c:barDir val="col"/>
        <c:grouping val="stacked"/>
        <c:varyColors val="0"/>
        <c:ser>
          <c:idx val="1"/>
          <c:order val="0"/>
          <c:tx>
            <c:strRef>
              <c:f>Resultados!$AM$61</c:f>
              <c:strCache>
                <c:ptCount val="1"/>
                <c:pt idx="0">
                  <c:v>Zci</c:v>
                </c:pt>
              </c:strCache>
            </c:strRef>
          </c:tx>
          <c:spPr>
            <a:solidFill>
              <a:schemeClr val="bg1">
                <a:lumMod val="50000"/>
              </a:schemeClr>
            </a:solidFill>
            <a:ln>
              <a:noFill/>
            </a:ln>
            <a:effectLst/>
          </c:spPr>
          <c:invertIfNegative val="0"/>
          <c:cat>
            <c:numRef>
              <c:f>Resultados!$AL$67:$AL$70</c:f>
              <c:numCache>
                <c:formatCode>General</c:formatCode>
                <c:ptCount val="4"/>
                <c:pt idx="0">
                  <c:v>4.17</c:v>
                </c:pt>
                <c:pt idx="1">
                  <c:v>10</c:v>
                </c:pt>
                <c:pt idx="2">
                  <c:v>15</c:v>
                </c:pt>
                <c:pt idx="3">
                  <c:v>20</c:v>
                </c:pt>
              </c:numCache>
            </c:numRef>
          </c:cat>
          <c:val>
            <c:numRef>
              <c:f>Resultados!$AM$67:$AM$70</c:f>
              <c:numCache>
                <c:formatCode>General</c:formatCode>
                <c:ptCount val="4"/>
                <c:pt idx="0">
                  <c:v>24.119000005592117</c:v>
                </c:pt>
                <c:pt idx="1">
                  <c:v>25.999612769608788</c:v>
                </c:pt>
                <c:pt idx="2">
                  <c:v>27.613721969393701</c:v>
                </c:pt>
                <c:pt idx="3">
                  <c:v>39.887726564899907</c:v>
                </c:pt>
              </c:numCache>
            </c:numRef>
          </c:val>
          <c:extLst>
            <c:ext xmlns:c16="http://schemas.microsoft.com/office/drawing/2014/chart" uri="{C3380CC4-5D6E-409C-BE32-E72D297353CC}">
              <c16:uniqueId val="{00000000-0A00-D74E-8731-BE703281FA1D}"/>
            </c:ext>
          </c:extLst>
        </c:ser>
        <c:ser>
          <c:idx val="0"/>
          <c:order val="1"/>
          <c:tx>
            <c:strRef>
              <c:f>Resultados!$AN$61</c:f>
              <c:strCache>
                <c:ptCount val="1"/>
                <c:pt idx="0">
                  <c:v>Zom</c:v>
                </c:pt>
              </c:strCache>
            </c:strRef>
          </c:tx>
          <c:spPr>
            <a:solidFill>
              <a:schemeClr val="tx1"/>
            </a:solidFill>
            <a:ln>
              <a:noFill/>
            </a:ln>
            <a:effectLst/>
          </c:spPr>
          <c:invertIfNegative val="0"/>
          <c:cat>
            <c:numRef>
              <c:f>Resultados!$AL$67:$AL$70</c:f>
              <c:numCache>
                <c:formatCode>General</c:formatCode>
                <c:ptCount val="4"/>
                <c:pt idx="0">
                  <c:v>4.17</c:v>
                </c:pt>
                <c:pt idx="1">
                  <c:v>10</c:v>
                </c:pt>
                <c:pt idx="2">
                  <c:v>15</c:v>
                </c:pt>
                <c:pt idx="3">
                  <c:v>20</c:v>
                </c:pt>
              </c:numCache>
            </c:numRef>
          </c:cat>
          <c:val>
            <c:numRef>
              <c:f>Resultados!$AN$67:$AN$70</c:f>
              <c:numCache>
                <c:formatCode>General</c:formatCode>
                <c:ptCount val="4"/>
                <c:pt idx="0">
                  <c:v>7.1737218642902221</c:v>
                </c:pt>
                <c:pt idx="1">
                  <c:v>7.5996309325668223</c:v>
                </c:pt>
                <c:pt idx="2">
                  <c:v>8.0255400008434243</c:v>
                </c:pt>
                <c:pt idx="3">
                  <c:v>8.4514490691200255</c:v>
                </c:pt>
              </c:numCache>
            </c:numRef>
          </c:val>
          <c:extLst>
            <c:ext xmlns:c16="http://schemas.microsoft.com/office/drawing/2014/chart" uri="{C3380CC4-5D6E-409C-BE32-E72D297353CC}">
              <c16:uniqueId val="{00000001-0A00-D74E-8731-BE703281FA1D}"/>
            </c:ext>
          </c:extLst>
        </c:ser>
        <c:ser>
          <c:idx val="2"/>
          <c:order val="2"/>
          <c:tx>
            <c:strRef>
              <c:f>Resultados!$AO$61</c:f>
              <c:strCache>
                <c:ptCount val="1"/>
                <c:pt idx="0">
                  <c:v>Cd</c:v>
                </c:pt>
              </c:strCache>
            </c:strRef>
          </c:tx>
          <c:spPr>
            <a:solidFill>
              <a:schemeClr val="bg1">
                <a:lumMod val="75000"/>
              </a:schemeClr>
            </a:solidFill>
            <a:ln>
              <a:noFill/>
            </a:ln>
            <a:effectLst/>
          </c:spPr>
          <c:invertIfNegative val="0"/>
          <c:cat>
            <c:numRef>
              <c:f>Resultados!$AL$67:$AL$70</c:f>
              <c:numCache>
                <c:formatCode>General</c:formatCode>
                <c:ptCount val="4"/>
                <c:pt idx="0">
                  <c:v>4.17</c:v>
                </c:pt>
                <c:pt idx="1">
                  <c:v>10</c:v>
                </c:pt>
                <c:pt idx="2">
                  <c:v>15</c:v>
                </c:pt>
                <c:pt idx="3">
                  <c:v>20</c:v>
                </c:pt>
              </c:numCache>
            </c:numRef>
          </c:cat>
          <c:val>
            <c:numRef>
              <c:f>Resultados!$AO$67:$AO$70</c:f>
              <c:numCache>
                <c:formatCode>General</c:formatCode>
                <c:ptCount val="4"/>
                <c:pt idx="0">
                  <c:v>753.93000000000006</c:v>
                </c:pt>
                <c:pt idx="1">
                  <c:v>1003.6560000000001</c:v>
                </c:pt>
                <c:pt idx="2">
                  <c:v>1132.32</c:v>
                </c:pt>
                <c:pt idx="3">
                  <c:v>1708.3319999999999</c:v>
                </c:pt>
              </c:numCache>
            </c:numRef>
          </c:val>
          <c:extLst>
            <c:ext xmlns:c16="http://schemas.microsoft.com/office/drawing/2014/chart" uri="{C3380CC4-5D6E-409C-BE32-E72D297353CC}">
              <c16:uniqueId val="{00000002-0A00-D74E-8731-BE703281FA1D}"/>
            </c:ext>
          </c:extLst>
        </c:ser>
        <c:dLbls>
          <c:showLegendKey val="0"/>
          <c:showVal val="0"/>
          <c:showCatName val="0"/>
          <c:showSerName val="0"/>
          <c:showPercent val="0"/>
          <c:showBubbleSize val="0"/>
        </c:dLbls>
        <c:gapWidth val="150"/>
        <c:overlap val="100"/>
        <c:axId val="374374079"/>
        <c:axId val="374380735"/>
      </c:barChart>
      <c:catAx>
        <c:axId val="3743740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b="0" i="0" baseline="0">
                    <a:effectLst/>
                  </a:rPr>
                  <a:t>Hexane to SCGs ratio (mL/g)</a:t>
                </a:r>
                <a:endParaRPr lang="en-US" sz="600">
                  <a:effectLst/>
                </a:endParaRPr>
              </a:p>
            </c:rich>
          </c:tx>
          <c:layout>
            <c:manualLayout>
              <c:xMode val="edge"/>
              <c:yMode val="edge"/>
              <c:x val="0.3677612412329867"/>
              <c:y val="0.90940191761617339"/>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80735"/>
        <c:crossesAt val="0"/>
        <c:auto val="1"/>
        <c:lblAlgn val="ctr"/>
        <c:lblOffset val="100"/>
        <c:noMultiLvlLbl val="0"/>
      </c:catAx>
      <c:valAx>
        <c:axId val="374380735"/>
        <c:scaling>
          <c:orientation val="minMax"/>
          <c:max val="1800"/>
          <c:min val="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Cost rate ($/h)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4374079"/>
        <c:crosses val="autoZero"/>
        <c:crossBetween val="between"/>
        <c:majorUnit val="300"/>
      </c:valAx>
      <c:spPr>
        <a:noFill/>
        <a:ln w="3175">
          <a:solidFill>
            <a:schemeClr val="tx1"/>
          </a:solidFill>
        </a:ln>
        <a:effectLst/>
      </c:spPr>
    </c:plotArea>
    <c:legend>
      <c:legendPos val="l"/>
      <c:layout>
        <c:manualLayout>
          <c:xMode val="edge"/>
          <c:yMode val="edge"/>
          <c:x val="0.27404710121920245"/>
          <c:y val="5.5629760087209046E-2"/>
          <c:w val="0.51010319463700293"/>
          <c:h val="0.10862437145459176"/>
        </c:manualLayout>
      </c:layout>
      <c:overlay val="1"/>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E718-C190-2B45-8E04-AA1F8031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18869</Words>
  <Characters>107555</Characters>
  <Application>Microsoft Office Word</Application>
  <DocSecurity>0</DocSecurity>
  <Lines>896</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Diana Lucia Tinoco Caicedo</cp:lastModifiedBy>
  <cp:revision>2</cp:revision>
  <cp:lastPrinted>2015-05-12T18:31:00Z</cp:lastPrinted>
  <dcterms:created xsi:type="dcterms:W3CDTF">2023-04-10T14:12:00Z</dcterms:created>
  <dcterms:modified xsi:type="dcterms:W3CDTF">2023-04-10T14:12:00Z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http://www.zotero.org/styles/case-studies-in-thermal-engineering</vt:lpwstr>
  </property>
  <property fmtid="{D5CDD505-2E9C-101B-9397-08002B2CF9AE}" pid="5" name="Mendeley Recent Style Name 0_1">
    <vt:lpwstr>Case Studies in Thermal Engineering</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http://www.zotero.org/styles/computers-and-chemical-engineering</vt:lpwstr>
  </property>
  <property fmtid="{D5CDD505-2E9C-101B-9397-08002B2CF9AE}" pid="9" name="Mendeley Recent Style Name 2_1">
    <vt:lpwstr>Computers and Chemical Engineering</vt:lpwstr>
  </property>
  <property fmtid="{D5CDD505-2E9C-101B-9397-08002B2CF9AE}" pid="10" name="Mendeley Recent Style Id 3_1">
    <vt:lpwstr>http://www.zotero.org/styles/energies</vt:lpwstr>
  </property>
  <property fmtid="{D5CDD505-2E9C-101B-9397-08002B2CF9AE}" pid="11" name="Mendeley Recent Style Name 3_1">
    <vt:lpwstr>Energies</vt:lpwstr>
  </property>
  <property fmtid="{D5CDD505-2E9C-101B-9397-08002B2CF9AE}" pid="12" name="Mendeley Recent Style Id 4_1">
    <vt:lpwstr>http://www.zotero.org/styles/energy-conversion-and-management</vt:lpwstr>
  </property>
  <property fmtid="{D5CDD505-2E9C-101B-9397-08002B2CF9AE}" pid="13" name="Mendeley Recent Style Name 4_1">
    <vt:lpwstr>Energy Conversion and Management</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http://www.zotero.org/styles/sustainable-chemical-processes</vt:lpwstr>
  </property>
  <property fmtid="{D5CDD505-2E9C-101B-9397-08002B2CF9AE}" pid="21" name="Mendeley Recent Style Name 8_1">
    <vt:lpwstr>Sustainable Chemical Processes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1fba8ea9-772f-34f2-b474-f7a1b3aca0f7</vt:lpwstr>
  </property>
  <property fmtid="{D5CDD505-2E9C-101B-9397-08002B2CF9AE}" pid="26" name="Mendeley Citation Style_1">
    <vt:lpwstr>http://www.zotero.org/styles/computers-and-chemical-engineering</vt:lpwstr>
  </property>
</Properties>
</file>