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2F6EA8" w:rsidRPr="00B57B36" w14:paraId="6227F935" w14:textId="77777777" w:rsidTr="00582C8E">
        <w:trPr>
          <w:trHeight w:val="852"/>
          <w:jc w:val="center"/>
        </w:trPr>
        <w:tc>
          <w:tcPr>
            <w:tcW w:w="6946" w:type="dxa"/>
            <w:vMerge w:val="restart"/>
            <w:tcBorders>
              <w:right w:val="single" w:sz="4" w:space="0" w:color="auto"/>
            </w:tcBorders>
          </w:tcPr>
          <w:p w14:paraId="78330F13" w14:textId="77777777" w:rsidR="002F6EA8" w:rsidRPr="00B57B36" w:rsidRDefault="002F6EA8" w:rsidP="00582C8E">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BR" w:eastAsia="pt-BR"/>
              </w:rPr>
              <w:drawing>
                <wp:inline distT="0" distB="0" distL="0" distR="0" wp14:anchorId="21A0A7E1" wp14:editId="2B5521AE">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59D64BCE" w14:textId="77777777" w:rsidR="002F6EA8" w:rsidRPr="00B57B36" w:rsidRDefault="002F6EA8" w:rsidP="00582C8E">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proofErr w:type="gramStart"/>
            <w:r w:rsidRPr="00B57B36">
              <w:rPr>
                <w:rFonts w:cs="Arial"/>
                <w:b/>
                <w:bCs/>
                <w:i/>
                <w:iCs/>
                <w:color w:val="000066"/>
                <w:sz w:val="22"/>
                <w:szCs w:val="22"/>
                <w:lang w:eastAsia="it-IT"/>
              </w:rPr>
              <w:t xml:space="preserve"> </w:t>
            </w:r>
            <w:r>
              <w:rPr>
                <w:rFonts w:cs="Arial"/>
                <w:b/>
                <w:bCs/>
                <w:i/>
                <w:iCs/>
                <w:color w:val="000066"/>
                <w:sz w:val="22"/>
                <w:szCs w:val="22"/>
                <w:lang w:eastAsia="it-IT"/>
              </w:rPr>
              <w:t xml:space="preserve">   </w:t>
            </w:r>
            <w:proofErr w:type="gramEnd"/>
            <w:r>
              <w:rPr>
                <w:rFonts w:cs="Arial"/>
                <w:b/>
                <w:bCs/>
                <w:i/>
                <w:iCs/>
                <w:color w:val="000066"/>
                <w:sz w:val="22"/>
                <w:szCs w:val="22"/>
                <w:lang w:eastAsia="it-IT"/>
              </w:rPr>
              <w:t>, 2023</w:t>
            </w:r>
          </w:p>
        </w:tc>
        <w:tc>
          <w:tcPr>
            <w:tcW w:w="1843" w:type="dxa"/>
            <w:tcBorders>
              <w:left w:val="single" w:sz="4" w:space="0" w:color="auto"/>
              <w:bottom w:val="nil"/>
              <w:right w:val="single" w:sz="4" w:space="0" w:color="auto"/>
            </w:tcBorders>
          </w:tcPr>
          <w:p w14:paraId="0D26FA13" w14:textId="77777777" w:rsidR="002F6EA8" w:rsidRPr="00B57B36" w:rsidRDefault="002F6EA8" w:rsidP="00582C8E">
            <w:pPr>
              <w:spacing w:line="140" w:lineRule="atLeast"/>
              <w:jc w:val="right"/>
              <w:rPr>
                <w:rFonts w:cs="Arial"/>
                <w:sz w:val="14"/>
                <w:szCs w:val="14"/>
              </w:rPr>
            </w:pPr>
            <w:r w:rsidRPr="00B57B36">
              <w:rPr>
                <w:rFonts w:cs="Arial"/>
                <w:sz w:val="14"/>
                <w:szCs w:val="14"/>
              </w:rPr>
              <w:t xml:space="preserve">A </w:t>
            </w:r>
            <w:proofErr w:type="spellStart"/>
            <w:r w:rsidRPr="00B57B36">
              <w:rPr>
                <w:rFonts w:cs="Arial"/>
                <w:sz w:val="14"/>
                <w:szCs w:val="14"/>
              </w:rPr>
              <w:t>publication</w:t>
            </w:r>
            <w:proofErr w:type="spellEnd"/>
            <w:r w:rsidRPr="00B57B36">
              <w:rPr>
                <w:rFonts w:cs="Arial"/>
                <w:sz w:val="14"/>
                <w:szCs w:val="14"/>
              </w:rPr>
              <w:t xml:space="preserve"> </w:t>
            </w:r>
            <w:proofErr w:type="spellStart"/>
            <w:r w:rsidRPr="00B57B36">
              <w:rPr>
                <w:rFonts w:cs="Arial"/>
                <w:sz w:val="14"/>
                <w:szCs w:val="14"/>
              </w:rPr>
              <w:t>of</w:t>
            </w:r>
            <w:proofErr w:type="spellEnd"/>
          </w:p>
          <w:p w14:paraId="2B547562" w14:textId="77777777" w:rsidR="002F6EA8" w:rsidRPr="00B57B36" w:rsidRDefault="002F6EA8" w:rsidP="00582C8E">
            <w:pPr>
              <w:jc w:val="right"/>
            </w:pPr>
            <w:r w:rsidRPr="00B57B36">
              <w:rPr>
                <w:noProof/>
                <w:lang w:val="pt-BR" w:eastAsia="pt-BR"/>
              </w:rPr>
              <w:drawing>
                <wp:inline distT="0" distB="0" distL="0" distR="0" wp14:anchorId="7BF9D9DD" wp14:editId="3B27E254">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2F6EA8" w:rsidRPr="002F6EA8" w14:paraId="62067F36" w14:textId="77777777" w:rsidTr="00582C8E">
        <w:trPr>
          <w:trHeight w:val="567"/>
          <w:jc w:val="center"/>
        </w:trPr>
        <w:tc>
          <w:tcPr>
            <w:tcW w:w="6946" w:type="dxa"/>
            <w:vMerge/>
            <w:tcBorders>
              <w:right w:val="single" w:sz="4" w:space="0" w:color="auto"/>
            </w:tcBorders>
          </w:tcPr>
          <w:p w14:paraId="32904078" w14:textId="77777777" w:rsidR="002F6EA8" w:rsidRPr="00B57B36" w:rsidRDefault="002F6EA8" w:rsidP="00582C8E">
            <w:pPr>
              <w:tabs>
                <w:tab w:val="left" w:pos="-108"/>
              </w:tabs>
            </w:pPr>
          </w:p>
        </w:tc>
        <w:tc>
          <w:tcPr>
            <w:tcW w:w="1843" w:type="dxa"/>
            <w:tcBorders>
              <w:left w:val="single" w:sz="4" w:space="0" w:color="auto"/>
              <w:bottom w:val="nil"/>
              <w:right w:val="single" w:sz="4" w:space="0" w:color="auto"/>
            </w:tcBorders>
          </w:tcPr>
          <w:p w14:paraId="630609BE" w14:textId="77777777" w:rsidR="002F6EA8" w:rsidRPr="002F6EA8" w:rsidRDefault="002F6EA8" w:rsidP="00582C8E">
            <w:pPr>
              <w:spacing w:line="140" w:lineRule="atLeast"/>
              <w:jc w:val="right"/>
              <w:rPr>
                <w:rFonts w:cs="Arial"/>
                <w:sz w:val="14"/>
                <w:szCs w:val="14"/>
                <w:lang w:val="en-US"/>
              </w:rPr>
            </w:pPr>
            <w:r w:rsidRPr="002F6EA8">
              <w:rPr>
                <w:rFonts w:cs="Arial"/>
                <w:sz w:val="14"/>
                <w:szCs w:val="14"/>
                <w:lang w:val="en-US"/>
              </w:rPr>
              <w:t>The Italian Association</w:t>
            </w:r>
          </w:p>
          <w:p w14:paraId="79B0A92B" w14:textId="77777777" w:rsidR="002F6EA8" w:rsidRPr="002F6EA8" w:rsidRDefault="002F6EA8" w:rsidP="00582C8E">
            <w:pPr>
              <w:spacing w:line="140" w:lineRule="atLeast"/>
              <w:jc w:val="right"/>
              <w:rPr>
                <w:rFonts w:cs="Arial"/>
                <w:sz w:val="14"/>
                <w:szCs w:val="14"/>
                <w:lang w:val="en-US"/>
              </w:rPr>
            </w:pPr>
            <w:r w:rsidRPr="002F6EA8">
              <w:rPr>
                <w:rFonts w:cs="Arial"/>
                <w:sz w:val="14"/>
                <w:szCs w:val="14"/>
                <w:lang w:val="en-US"/>
              </w:rPr>
              <w:t>of Chemical Engineering</w:t>
            </w:r>
          </w:p>
          <w:p w14:paraId="0956CD16" w14:textId="77777777" w:rsidR="002F6EA8" w:rsidRPr="002F6EA8" w:rsidRDefault="002F6EA8" w:rsidP="00582C8E">
            <w:pPr>
              <w:spacing w:line="140" w:lineRule="atLeast"/>
              <w:jc w:val="right"/>
              <w:rPr>
                <w:rFonts w:cs="Arial"/>
                <w:sz w:val="13"/>
                <w:szCs w:val="13"/>
                <w:lang w:val="en-US"/>
              </w:rPr>
            </w:pPr>
            <w:r w:rsidRPr="002F6EA8">
              <w:rPr>
                <w:rFonts w:cs="Arial"/>
                <w:sz w:val="13"/>
                <w:szCs w:val="13"/>
                <w:lang w:val="en-US"/>
              </w:rPr>
              <w:t>Online at www.cetjournal.it</w:t>
            </w:r>
          </w:p>
        </w:tc>
      </w:tr>
      <w:tr w:rsidR="002F6EA8" w:rsidRPr="002F6EA8" w14:paraId="62278831" w14:textId="77777777" w:rsidTr="00582C8E">
        <w:trPr>
          <w:trHeight w:val="68"/>
          <w:jc w:val="center"/>
        </w:trPr>
        <w:tc>
          <w:tcPr>
            <w:tcW w:w="8789" w:type="dxa"/>
            <w:gridSpan w:val="2"/>
          </w:tcPr>
          <w:p w14:paraId="2E4B19A1" w14:textId="77777777" w:rsidR="002F6EA8" w:rsidRPr="003A6FC6" w:rsidRDefault="002F6EA8" w:rsidP="00582C8E">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Laura Piazza, M</w:t>
            </w:r>
            <w:r>
              <w:rPr>
                <w:rFonts w:ascii="Tahoma" w:hAnsi="Tahoma" w:cs="Tahoma"/>
                <w:color w:val="000000"/>
                <w:sz w:val="14"/>
                <w:szCs w:val="14"/>
                <w:shd w:val="clear" w:color="auto" w:fill="FFFFFF"/>
                <w:lang w:val="it-IT"/>
              </w:rPr>
              <w:t>auro Moresi, Francesco Donsì</w:t>
            </w:r>
          </w:p>
          <w:p w14:paraId="1222F541" w14:textId="77777777" w:rsidR="002F6EA8" w:rsidRPr="002F6EA8" w:rsidRDefault="002F6EA8" w:rsidP="00582C8E">
            <w:pPr>
              <w:tabs>
                <w:tab w:val="left" w:pos="-108"/>
              </w:tabs>
              <w:spacing w:line="140" w:lineRule="atLeast"/>
              <w:ind w:left="-107"/>
              <w:jc w:val="left"/>
              <w:rPr>
                <w:lang w:val="en-US"/>
              </w:rPr>
            </w:pPr>
            <w:r w:rsidRPr="002F6EA8">
              <w:rPr>
                <w:rFonts w:ascii="Tahoma" w:hAnsi="Tahoma" w:cs="Tahoma"/>
                <w:iCs/>
                <w:color w:val="333333"/>
                <w:sz w:val="14"/>
                <w:szCs w:val="14"/>
                <w:lang w:val="en-US" w:eastAsia="it-IT"/>
              </w:rPr>
              <w:t xml:space="preserve">Copyright © 2023, AIDIC </w:t>
            </w:r>
            <w:proofErr w:type="spellStart"/>
            <w:r w:rsidRPr="002F6EA8">
              <w:rPr>
                <w:rFonts w:ascii="Tahoma" w:hAnsi="Tahoma" w:cs="Tahoma"/>
                <w:iCs/>
                <w:color w:val="333333"/>
                <w:sz w:val="14"/>
                <w:szCs w:val="14"/>
                <w:lang w:val="en-US" w:eastAsia="it-IT"/>
              </w:rPr>
              <w:t>Servizi</w:t>
            </w:r>
            <w:proofErr w:type="spellEnd"/>
            <w:r w:rsidRPr="002F6EA8">
              <w:rPr>
                <w:rFonts w:ascii="Tahoma" w:hAnsi="Tahoma" w:cs="Tahoma"/>
                <w:iCs/>
                <w:color w:val="333333"/>
                <w:sz w:val="14"/>
                <w:szCs w:val="14"/>
                <w:lang w:val="en-US" w:eastAsia="it-IT"/>
              </w:rPr>
              <w:t xml:space="preserve"> </w:t>
            </w:r>
            <w:proofErr w:type="spellStart"/>
            <w:r w:rsidRPr="002F6EA8">
              <w:rPr>
                <w:rFonts w:ascii="Tahoma" w:hAnsi="Tahoma" w:cs="Tahoma"/>
                <w:iCs/>
                <w:color w:val="333333"/>
                <w:sz w:val="14"/>
                <w:szCs w:val="14"/>
                <w:lang w:val="en-US" w:eastAsia="it-IT"/>
              </w:rPr>
              <w:t>S.r.l</w:t>
            </w:r>
            <w:proofErr w:type="spellEnd"/>
            <w:r w:rsidRPr="002F6EA8">
              <w:rPr>
                <w:rFonts w:ascii="Tahoma" w:hAnsi="Tahoma" w:cs="Tahoma"/>
                <w:iCs/>
                <w:color w:val="333333"/>
                <w:sz w:val="14"/>
                <w:szCs w:val="14"/>
                <w:lang w:val="en-US" w:eastAsia="it-IT"/>
              </w:rPr>
              <w:t>.</w:t>
            </w:r>
            <w:r w:rsidRPr="002F6EA8">
              <w:rPr>
                <w:rFonts w:ascii="Tahoma" w:hAnsi="Tahoma" w:cs="Tahoma"/>
                <w:iCs/>
                <w:color w:val="333333"/>
                <w:sz w:val="14"/>
                <w:szCs w:val="14"/>
                <w:lang w:val="en-US" w:eastAsia="it-IT"/>
              </w:rPr>
              <w:br/>
            </w:r>
            <w:r w:rsidRPr="002F6EA8">
              <w:rPr>
                <w:rFonts w:ascii="Tahoma" w:hAnsi="Tahoma" w:cs="Tahoma"/>
                <w:b/>
                <w:iCs/>
                <w:color w:val="000000"/>
                <w:sz w:val="14"/>
                <w:szCs w:val="14"/>
                <w:lang w:val="en-US" w:eastAsia="it-IT"/>
              </w:rPr>
              <w:t>ISBN</w:t>
            </w:r>
            <w:r w:rsidRPr="002F6EA8">
              <w:rPr>
                <w:rFonts w:ascii="Tahoma" w:hAnsi="Tahoma" w:cs="Tahoma"/>
                <w:iCs/>
                <w:color w:val="000000"/>
                <w:sz w:val="14"/>
                <w:szCs w:val="14"/>
                <w:lang w:val="en-US" w:eastAsia="it-IT"/>
              </w:rPr>
              <w:t xml:space="preserve"> </w:t>
            </w:r>
            <w:r w:rsidRPr="002F6EA8">
              <w:rPr>
                <w:rFonts w:ascii="Tahoma" w:hAnsi="Tahoma" w:cs="Tahoma"/>
                <w:sz w:val="14"/>
                <w:szCs w:val="14"/>
                <w:lang w:val="en-US"/>
              </w:rPr>
              <w:t>979-12-81206-01-4</w:t>
            </w:r>
            <w:r w:rsidRPr="002F6EA8">
              <w:rPr>
                <w:rFonts w:ascii="Tahoma" w:hAnsi="Tahoma" w:cs="Tahoma"/>
                <w:iCs/>
                <w:color w:val="333333"/>
                <w:sz w:val="14"/>
                <w:szCs w:val="14"/>
                <w:lang w:val="en-US" w:eastAsia="it-IT"/>
              </w:rPr>
              <w:t xml:space="preserve">; </w:t>
            </w:r>
            <w:r w:rsidRPr="002F6EA8">
              <w:rPr>
                <w:rFonts w:ascii="Tahoma" w:hAnsi="Tahoma" w:cs="Tahoma"/>
                <w:b/>
                <w:iCs/>
                <w:color w:val="333333"/>
                <w:sz w:val="14"/>
                <w:szCs w:val="14"/>
                <w:lang w:val="en-US" w:eastAsia="it-IT"/>
              </w:rPr>
              <w:t>ISSN</w:t>
            </w:r>
            <w:r w:rsidRPr="002F6EA8">
              <w:rPr>
                <w:rFonts w:ascii="Tahoma" w:hAnsi="Tahoma" w:cs="Tahoma"/>
                <w:iCs/>
                <w:color w:val="333333"/>
                <w:sz w:val="14"/>
                <w:szCs w:val="14"/>
                <w:lang w:val="en-US" w:eastAsia="it-IT"/>
              </w:rPr>
              <w:t xml:space="preserve"> 2283-9216</w:t>
            </w:r>
          </w:p>
        </w:tc>
      </w:tr>
    </w:tbl>
    <w:p w14:paraId="7C2D7D76" w14:textId="77777777" w:rsidR="002F6EA8" w:rsidRDefault="002F6EA8" w:rsidP="00F957E3">
      <w:pPr>
        <w:pStyle w:val="CETAuthors"/>
        <w:jc w:val="center"/>
        <w:rPr>
          <w:noProof w:val="0"/>
          <w:sz w:val="32"/>
          <w:lang w:val="en-US"/>
        </w:rPr>
      </w:pPr>
    </w:p>
    <w:p w14:paraId="0053F2D7" w14:textId="4E505DDB" w:rsidR="006A0A89" w:rsidRDefault="006A0A89" w:rsidP="00F957E3">
      <w:pPr>
        <w:pStyle w:val="CETAuthors"/>
        <w:jc w:val="center"/>
        <w:rPr>
          <w:noProof w:val="0"/>
          <w:sz w:val="32"/>
          <w:lang w:val="en-US"/>
        </w:rPr>
      </w:pPr>
      <w:r w:rsidRPr="006A0A89">
        <w:rPr>
          <w:noProof w:val="0"/>
          <w:sz w:val="32"/>
          <w:lang w:val="en-US"/>
        </w:rPr>
        <w:t>In vitro Microbial Susceptibility to Celery Acetic Extract Powder and the Sensory Impact When Applied to Fresh Chicken Sausage</w:t>
      </w:r>
    </w:p>
    <w:p w14:paraId="0488FED2" w14:textId="5DC5E3AA" w:rsidR="00B57E6F" w:rsidRPr="006A0A89" w:rsidRDefault="00760AD0" w:rsidP="00B57E6F">
      <w:pPr>
        <w:pStyle w:val="CETAuthors"/>
        <w:rPr>
          <w:lang w:val="pt-BR"/>
        </w:rPr>
      </w:pPr>
      <w:r w:rsidRPr="006A0A89">
        <w:rPr>
          <w:lang w:val="pt-BR"/>
        </w:rPr>
        <w:t>Gisely de Mattos</w:t>
      </w:r>
      <w:r w:rsidR="00B57E6F" w:rsidRPr="006A0A89">
        <w:rPr>
          <w:vertAlign w:val="superscript"/>
          <w:lang w:val="pt-BR"/>
        </w:rPr>
        <w:t xml:space="preserve">a </w:t>
      </w:r>
      <w:r w:rsidR="00B57E6F" w:rsidRPr="006A0A89">
        <w:rPr>
          <w:lang w:val="pt-BR"/>
        </w:rPr>
        <w:t xml:space="preserve">, </w:t>
      </w:r>
      <w:r w:rsidR="006A0A89">
        <w:rPr>
          <w:lang w:val="pt-BR"/>
        </w:rPr>
        <w:t>Leila Larisa Medeiros Marques</w:t>
      </w:r>
      <w:r w:rsidR="002F6EA8" w:rsidRPr="006A0A89">
        <w:rPr>
          <w:vertAlign w:val="superscript"/>
          <w:lang w:val="pt-BR"/>
        </w:rPr>
        <w:t>a</w:t>
      </w:r>
      <w:r w:rsidR="002F6EA8" w:rsidRPr="006A0A89">
        <w:rPr>
          <w:lang w:val="pt-BR"/>
        </w:rPr>
        <w:t>*</w:t>
      </w:r>
      <w:r w:rsidR="006A0A89">
        <w:rPr>
          <w:lang w:val="pt-BR"/>
        </w:rPr>
        <w:t xml:space="preserve">, </w:t>
      </w:r>
      <w:r w:rsidR="005E164B" w:rsidRPr="006A0A89">
        <w:rPr>
          <w:rFonts w:cs="Arial"/>
          <w:lang w:val="pt-BR"/>
        </w:rPr>
        <w:t>Flávia A. R. Cardoso</w:t>
      </w:r>
      <w:r w:rsidR="005E164B" w:rsidRPr="006A0A89">
        <w:rPr>
          <w:vertAlign w:val="superscript"/>
          <w:lang w:val="pt-BR"/>
        </w:rPr>
        <w:t>a</w:t>
      </w:r>
      <w:r w:rsidR="00B57E6F" w:rsidRPr="006A0A89">
        <w:rPr>
          <w:lang w:val="pt-BR"/>
        </w:rPr>
        <w:t>,</w:t>
      </w:r>
      <w:r w:rsidR="005E164B" w:rsidRPr="006A0A89">
        <w:rPr>
          <w:lang w:val="pt-BR"/>
        </w:rPr>
        <w:t xml:space="preserve"> André F. Guerra</w:t>
      </w:r>
      <w:r w:rsidR="005E164B" w:rsidRPr="006A0A89">
        <w:rPr>
          <w:vertAlign w:val="superscript"/>
          <w:lang w:val="pt-BR"/>
        </w:rPr>
        <w:t>b</w:t>
      </w:r>
      <w:r w:rsidR="00B57E6F" w:rsidRPr="006A0A89">
        <w:rPr>
          <w:lang w:val="pt-BR"/>
        </w:rPr>
        <w:t xml:space="preserve"> </w:t>
      </w:r>
    </w:p>
    <w:p w14:paraId="6B2D21B3" w14:textId="39FCC5FF" w:rsidR="00B57E6F" w:rsidRPr="00B57B36" w:rsidRDefault="00B57E6F" w:rsidP="00B57E6F">
      <w:pPr>
        <w:pStyle w:val="CETAddress"/>
      </w:pPr>
      <w:r w:rsidRPr="00B57B36">
        <w:rPr>
          <w:vertAlign w:val="superscript"/>
        </w:rPr>
        <w:t xml:space="preserve">a </w:t>
      </w:r>
      <w:r w:rsidR="00DA187E">
        <w:t>Universidade Tecnológica Federal do Paraná</w:t>
      </w:r>
      <w:r w:rsidRPr="00B57B36">
        <w:t xml:space="preserve">, </w:t>
      </w:r>
      <w:r w:rsidR="00403FE0">
        <w:t>Paraná</w:t>
      </w:r>
      <w:r w:rsidR="00DA187E">
        <w:t>, Brasil</w:t>
      </w:r>
    </w:p>
    <w:p w14:paraId="3D72B0B0" w14:textId="2E6EB198" w:rsidR="00B57E6F" w:rsidRPr="00B57B36" w:rsidRDefault="00B57E6F" w:rsidP="00B57E6F">
      <w:pPr>
        <w:pStyle w:val="CETAddress"/>
      </w:pPr>
      <w:r w:rsidRPr="00B57B36">
        <w:rPr>
          <w:vertAlign w:val="superscript"/>
        </w:rPr>
        <w:t xml:space="preserve">b </w:t>
      </w:r>
      <w:r w:rsidR="00403FE0">
        <w:t>C</w:t>
      </w:r>
      <w:r w:rsidR="00DA187E">
        <w:t>entro Federal de Educação Tecnológica Celso Sucko</w:t>
      </w:r>
      <w:r w:rsidR="00403FE0">
        <w:t>w da Fonseca, Rio de Janeiro, Brasil</w:t>
      </w:r>
    </w:p>
    <w:p w14:paraId="73F1267A" w14:textId="7EF22DC7" w:rsidR="00B57E6F" w:rsidRPr="00B57B36" w:rsidRDefault="002F6EA8" w:rsidP="00B57E6F">
      <w:pPr>
        <w:pStyle w:val="CETemail"/>
      </w:pPr>
      <w:r>
        <w:t>*leilamarques@professores.utfpr.edu.br</w:t>
      </w:r>
    </w:p>
    <w:p w14:paraId="2E95A75D" w14:textId="1A912EE2" w:rsidR="006A0A89" w:rsidRDefault="006A0A89" w:rsidP="00F87111">
      <w:pPr>
        <w:rPr>
          <w:color w:val="000000"/>
          <w:lang w:val="en-US"/>
        </w:rPr>
      </w:pPr>
      <w:r w:rsidRPr="006A0A89">
        <w:rPr>
          <w:lang w:val="en-US"/>
        </w:rPr>
        <w:t xml:space="preserve">As a result of the negative aspects of the consumption of synthetic food additives, consumers have shown a strong inclination to consume </w:t>
      </w:r>
      <w:r w:rsidRPr="00F87111">
        <w:rPr>
          <w:lang w:val="en-US"/>
        </w:rPr>
        <w:t xml:space="preserve">preparations with natural ingredients. The </w:t>
      </w:r>
      <w:r w:rsidR="00775BC4" w:rsidRPr="00F87111">
        <w:rPr>
          <w:lang w:val="en-US"/>
        </w:rPr>
        <w:t>purpose</w:t>
      </w:r>
      <w:r w:rsidRPr="00F87111">
        <w:rPr>
          <w:lang w:val="en-US"/>
        </w:rPr>
        <w:t xml:space="preserve"> of this work was to evaluate the in vitro microbial susceptibility of powdered celery acetic extract (</w:t>
      </w:r>
      <w:r w:rsidR="00F87111" w:rsidRPr="00F87111">
        <w:rPr>
          <w:lang w:val="en-US"/>
        </w:rPr>
        <w:t>PCAE</w:t>
      </w:r>
      <w:r w:rsidRPr="00F87111">
        <w:rPr>
          <w:lang w:val="en-US"/>
        </w:rPr>
        <w:t xml:space="preserve">) on autochthonous and </w:t>
      </w:r>
      <w:proofErr w:type="spellStart"/>
      <w:r w:rsidRPr="00F87111">
        <w:rPr>
          <w:lang w:val="en-US"/>
        </w:rPr>
        <w:t>allochthonous</w:t>
      </w:r>
      <w:proofErr w:type="spellEnd"/>
      <w:r w:rsidRPr="00F87111">
        <w:rPr>
          <w:lang w:val="en-US"/>
        </w:rPr>
        <w:t xml:space="preserve"> microorganisms in fresh chicken sausage; produce fresh chicken sausage on a pilot-industrial scale and evaluate the sensory impact of adding </w:t>
      </w:r>
      <w:r w:rsidR="00F87111" w:rsidRPr="00F87111">
        <w:rPr>
          <w:lang w:val="en-US"/>
        </w:rPr>
        <w:t>PCAE</w:t>
      </w:r>
      <w:r w:rsidRPr="00F87111">
        <w:rPr>
          <w:lang w:val="en-US"/>
        </w:rPr>
        <w:t xml:space="preserve">; and characterize the physical-chemical parameters. </w:t>
      </w:r>
      <w:r w:rsidRPr="00F87111">
        <w:rPr>
          <w:color w:val="000000"/>
          <w:lang w:val="en-US"/>
        </w:rPr>
        <w:t xml:space="preserve">In vitro microbial susceptibility was evaluated by the </w:t>
      </w:r>
      <w:proofErr w:type="spellStart"/>
      <w:r w:rsidRPr="00F87111">
        <w:rPr>
          <w:color w:val="000000"/>
          <w:lang w:val="en-US"/>
        </w:rPr>
        <w:t>turbidimetric</w:t>
      </w:r>
      <w:proofErr w:type="spellEnd"/>
      <w:r w:rsidRPr="00F87111">
        <w:rPr>
          <w:color w:val="000000"/>
          <w:lang w:val="en-US"/>
        </w:rPr>
        <w:t xml:space="preserve"> method. In the </w:t>
      </w:r>
      <w:r w:rsidR="00F957E3" w:rsidRPr="00F87111">
        <w:rPr>
          <w:color w:val="000000"/>
          <w:lang w:val="en-US"/>
        </w:rPr>
        <w:t>in-situ</w:t>
      </w:r>
      <w:r w:rsidRPr="00F87111">
        <w:rPr>
          <w:color w:val="000000"/>
          <w:lang w:val="en-US"/>
        </w:rPr>
        <w:t xml:space="preserve"> test, five sausage formulations were carried out. The in vitro assay revealed that </w:t>
      </w:r>
      <w:r w:rsidRPr="00F87111">
        <w:rPr>
          <w:i/>
          <w:iCs/>
          <w:color w:val="000000"/>
          <w:lang w:val="en-US"/>
        </w:rPr>
        <w:t>Staphylococcus aureus</w:t>
      </w:r>
      <w:r w:rsidRPr="00F87111">
        <w:rPr>
          <w:color w:val="000000"/>
          <w:lang w:val="en-US"/>
        </w:rPr>
        <w:t xml:space="preserve"> and </w:t>
      </w:r>
      <w:r w:rsidRPr="00F87111">
        <w:rPr>
          <w:i/>
          <w:iCs/>
          <w:color w:val="000000"/>
          <w:lang w:val="en-US"/>
        </w:rPr>
        <w:t>Clostridium perfringens</w:t>
      </w:r>
      <w:r w:rsidRPr="00F87111">
        <w:rPr>
          <w:color w:val="000000"/>
          <w:lang w:val="en-US"/>
        </w:rPr>
        <w:t xml:space="preserve"> were resistant up to 5.0% </w:t>
      </w:r>
      <w:r w:rsidR="00F87111" w:rsidRPr="00F87111">
        <w:rPr>
          <w:color w:val="000000"/>
          <w:lang w:val="en-US"/>
        </w:rPr>
        <w:t>PCAE</w:t>
      </w:r>
      <w:r w:rsidRPr="00F87111">
        <w:rPr>
          <w:color w:val="000000"/>
          <w:lang w:val="en-US"/>
        </w:rPr>
        <w:t xml:space="preserve">. Partial susceptibility was detected at concentrations of 2.5 to 5.0% </w:t>
      </w:r>
      <w:r w:rsidR="00F87111" w:rsidRPr="00F87111">
        <w:rPr>
          <w:color w:val="000000"/>
          <w:lang w:val="en-US"/>
        </w:rPr>
        <w:t>PCAE</w:t>
      </w:r>
      <w:r w:rsidRPr="00F87111">
        <w:rPr>
          <w:color w:val="000000"/>
          <w:lang w:val="en-US"/>
        </w:rPr>
        <w:t xml:space="preserve"> for </w:t>
      </w:r>
      <w:r w:rsidRPr="00F87111">
        <w:rPr>
          <w:i/>
          <w:iCs/>
          <w:color w:val="000000"/>
          <w:lang w:val="en-US"/>
        </w:rPr>
        <w:t>Pseudomonas aeruginosa</w:t>
      </w:r>
      <w:r w:rsidRPr="00F87111">
        <w:rPr>
          <w:color w:val="000000"/>
          <w:lang w:val="en-US"/>
        </w:rPr>
        <w:t xml:space="preserve">, </w:t>
      </w:r>
      <w:r w:rsidRPr="00F87111">
        <w:rPr>
          <w:i/>
          <w:iCs/>
          <w:color w:val="000000"/>
          <w:lang w:val="en-US"/>
        </w:rPr>
        <w:t xml:space="preserve">Salmonella </w:t>
      </w:r>
      <w:proofErr w:type="spellStart"/>
      <w:r w:rsidRPr="00F87111">
        <w:rPr>
          <w:color w:val="000000"/>
          <w:lang w:val="en-US"/>
        </w:rPr>
        <w:t>serovar</w:t>
      </w:r>
      <w:proofErr w:type="spellEnd"/>
      <w:r w:rsidRPr="00F87111">
        <w:rPr>
          <w:i/>
          <w:iCs/>
          <w:color w:val="000000"/>
          <w:lang w:val="en-US"/>
        </w:rPr>
        <w:t xml:space="preserve"> </w:t>
      </w:r>
      <w:r w:rsidRPr="00F87111">
        <w:rPr>
          <w:color w:val="000000"/>
          <w:lang w:val="en-US"/>
        </w:rPr>
        <w:t xml:space="preserve">Typhimurium, </w:t>
      </w:r>
      <w:r w:rsidRPr="00F87111">
        <w:rPr>
          <w:i/>
          <w:iCs/>
          <w:color w:val="000000"/>
          <w:lang w:val="en-US"/>
        </w:rPr>
        <w:t xml:space="preserve">Listeria </w:t>
      </w:r>
      <w:proofErr w:type="spellStart"/>
      <w:r w:rsidRPr="00F87111">
        <w:rPr>
          <w:i/>
          <w:iCs/>
          <w:color w:val="000000"/>
          <w:lang w:val="en-US"/>
        </w:rPr>
        <w:t>innocua</w:t>
      </w:r>
      <w:proofErr w:type="spellEnd"/>
      <w:r w:rsidRPr="00F87111">
        <w:rPr>
          <w:color w:val="000000"/>
          <w:lang w:val="en-US"/>
        </w:rPr>
        <w:t xml:space="preserve"> and </w:t>
      </w:r>
      <w:r w:rsidRPr="00F87111">
        <w:rPr>
          <w:i/>
          <w:iCs/>
          <w:color w:val="000000"/>
          <w:lang w:val="en-US"/>
        </w:rPr>
        <w:t xml:space="preserve">Escherichia </w:t>
      </w:r>
      <w:proofErr w:type="gramStart"/>
      <w:r w:rsidRPr="00F87111">
        <w:rPr>
          <w:i/>
          <w:iCs/>
          <w:color w:val="000000"/>
          <w:lang w:val="en-US"/>
        </w:rPr>
        <w:t>coli</w:t>
      </w:r>
      <w:proofErr w:type="gramEnd"/>
      <w:r w:rsidRPr="00F87111">
        <w:rPr>
          <w:color w:val="000000"/>
          <w:lang w:val="en-US"/>
        </w:rPr>
        <w:t xml:space="preserve">. None of the microorganisms tested were susceptible to </w:t>
      </w:r>
      <w:r w:rsidR="00F87111" w:rsidRPr="00F87111">
        <w:rPr>
          <w:color w:val="000000"/>
          <w:lang w:val="en-US"/>
        </w:rPr>
        <w:t>PCAE</w:t>
      </w:r>
      <w:r w:rsidRPr="00F87111">
        <w:rPr>
          <w:color w:val="000000"/>
          <w:lang w:val="en-US"/>
        </w:rPr>
        <w:t>.</w:t>
      </w:r>
      <w:r w:rsidRPr="00F87111">
        <w:rPr>
          <w:lang w:val="en-US"/>
        </w:rPr>
        <w:t xml:space="preserve"> </w:t>
      </w:r>
      <w:r w:rsidRPr="00F87111">
        <w:rPr>
          <w:color w:val="000000"/>
          <w:lang w:val="en-US"/>
        </w:rPr>
        <w:t xml:space="preserve">All sausages complied with the physical-chemical standards, established by Brazilian legislation, but the values of residual nitrite, in T1, T2 and T3, exceeded the prescribed upper limit. The addition of 2.5%, and 3.5% of </w:t>
      </w:r>
      <w:r w:rsidR="00F87111" w:rsidRPr="00F87111">
        <w:rPr>
          <w:color w:val="000000"/>
          <w:lang w:val="en-US"/>
        </w:rPr>
        <w:t>PCAE</w:t>
      </w:r>
      <w:r w:rsidRPr="00F87111">
        <w:rPr>
          <w:color w:val="000000"/>
          <w:lang w:val="en-US"/>
        </w:rPr>
        <w:t xml:space="preserve"> did not negatively influence the sensory attributes of the sausage. It is concluded that the </w:t>
      </w:r>
      <w:r w:rsidR="00F87111" w:rsidRPr="00F87111">
        <w:rPr>
          <w:color w:val="000000"/>
          <w:lang w:val="en-US"/>
        </w:rPr>
        <w:t>PCAE</w:t>
      </w:r>
      <w:r w:rsidRPr="00F87111">
        <w:rPr>
          <w:color w:val="000000"/>
          <w:lang w:val="en-US"/>
        </w:rPr>
        <w:t xml:space="preserve"> is capable of partially</w:t>
      </w:r>
      <w:r w:rsidRPr="006A0A89">
        <w:rPr>
          <w:color w:val="000000"/>
          <w:lang w:val="en-US"/>
        </w:rPr>
        <w:t xml:space="preserve"> inhibiting some microorganisms that commonly occur in sausages without negatively interfering in the sensorial attributes, contributing to the microbiological safety.</w:t>
      </w:r>
    </w:p>
    <w:p w14:paraId="701CD660" w14:textId="77777777" w:rsidR="00F87111" w:rsidRDefault="00F87111" w:rsidP="00F87111">
      <w:pPr>
        <w:rPr>
          <w:color w:val="000000"/>
          <w:lang w:val="en-US"/>
        </w:rPr>
      </w:pPr>
    </w:p>
    <w:p w14:paraId="2F1E21A7" w14:textId="1AEC78B1" w:rsidR="00EE5C32" w:rsidRPr="004F524C" w:rsidRDefault="00E52D82" w:rsidP="00EE5C32">
      <w:pPr>
        <w:spacing w:line="360" w:lineRule="auto"/>
        <w:rPr>
          <w:b/>
          <w:bCs/>
          <w:sz w:val="20"/>
          <w:lang w:val="en-GB"/>
        </w:rPr>
      </w:pPr>
      <w:r w:rsidRPr="004F524C">
        <w:rPr>
          <w:b/>
          <w:bCs/>
          <w:sz w:val="20"/>
          <w:lang w:val="en-GB"/>
        </w:rPr>
        <w:t xml:space="preserve">1. </w:t>
      </w:r>
      <w:r w:rsidR="00EE5C32" w:rsidRPr="004F524C">
        <w:rPr>
          <w:b/>
          <w:bCs/>
          <w:sz w:val="20"/>
          <w:lang w:val="en-GB"/>
        </w:rPr>
        <w:t>Introduction</w:t>
      </w:r>
    </w:p>
    <w:p w14:paraId="65099AC2" w14:textId="77777777" w:rsidR="00EE5C32" w:rsidRDefault="00EE5C32" w:rsidP="00EE5C32">
      <w:pPr>
        <w:spacing w:line="360" w:lineRule="auto"/>
        <w:rPr>
          <w:lang w:val="en-GB"/>
        </w:rPr>
      </w:pPr>
      <w:r w:rsidRPr="00EE5C32">
        <w:rPr>
          <w:lang w:val="en-GB"/>
        </w:rPr>
        <w:t xml:space="preserve">During the production process, fresh preparations are not subjected to heat treatment. Therefore, there is no reduction in the pre-established autochthonous and </w:t>
      </w:r>
      <w:proofErr w:type="spellStart"/>
      <w:r w:rsidRPr="00EE5C32">
        <w:rPr>
          <w:lang w:val="en-GB"/>
        </w:rPr>
        <w:t>allochthonous</w:t>
      </w:r>
      <w:proofErr w:type="spellEnd"/>
      <w:r w:rsidRPr="00EE5C32">
        <w:rPr>
          <w:lang w:val="en-GB"/>
        </w:rPr>
        <w:t xml:space="preserve"> microbial load and because it has intrinsic factors </w:t>
      </w:r>
      <w:proofErr w:type="spellStart"/>
      <w:r w:rsidRPr="00EE5C32">
        <w:rPr>
          <w:lang w:val="en-GB"/>
        </w:rPr>
        <w:t>favorable</w:t>
      </w:r>
      <w:proofErr w:type="spellEnd"/>
      <w:r w:rsidRPr="00EE5C32">
        <w:rPr>
          <w:lang w:val="en-GB"/>
        </w:rPr>
        <w:t xml:space="preserve"> to microbial growth, the commercial validity (shelf-life) is generally short (Souza, 2014).</w:t>
      </w:r>
    </w:p>
    <w:p w14:paraId="110BC3F3" w14:textId="56FE2C72" w:rsidR="00EE5C32" w:rsidRDefault="00EE5C32" w:rsidP="00EE5C32">
      <w:pPr>
        <w:spacing w:line="360" w:lineRule="auto"/>
        <w:rPr>
          <w:lang w:val="en-US"/>
        </w:rPr>
      </w:pPr>
      <w:r w:rsidRPr="00EE5C32">
        <w:rPr>
          <w:lang w:val="en-US"/>
        </w:rPr>
        <w:t xml:space="preserve">Deteriorating and pathogenic microorganisms can be transmitted by chicken meat and derivatives. A series of factors can contribute to the contamination of the product, such as: raw material, handlers, utensils, hygiene of the processing environment, among others. </w:t>
      </w:r>
      <w:r w:rsidR="00126897" w:rsidRPr="00126897">
        <w:rPr>
          <w:lang w:val="en-US"/>
        </w:rPr>
        <w:t>Additives, which inhibit microbial growth, are used to impart microbiological safety to the product</w:t>
      </w:r>
      <w:r w:rsidR="004B73C0">
        <w:rPr>
          <w:lang w:val="en-US"/>
        </w:rPr>
        <w:t xml:space="preserve"> (Idris</w:t>
      </w:r>
      <w:r w:rsidR="00126897">
        <w:rPr>
          <w:lang w:val="en-US"/>
        </w:rPr>
        <w:t xml:space="preserve"> and </w:t>
      </w:r>
      <w:proofErr w:type="spellStart"/>
      <w:r w:rsidR="00126897">
        <w:rPr>
          <w:lang w:val="en-US"/>
        </w:rPr>
        <w:t>Nadzir</w:t>
      </w:r>
      <w:proofErr w:type="spellEnd"/>
      <w:r w:rsidR="00126897">
        <w:rPr>
          <w:lang w:val="en-US"/>
        </w:rPr>
        <w:t>, 2017)</w:t>
      </w:r>
      <w:r w:rsidRPr="00EE5C32">
        <w:rPr>
          <w:lang w:val="en-US"/>
        </w:rPr>
        <w:t>. The use of curing salt such as nitrite and/or nitrate and lactate are additives that control microbial growth in meat products (</w:t>
      </w:r>
      <w:proofErr w:type="spellStart"/>
      <w:r w:rsidRPr="00EE5C32">
        <w:rPr>
          <w:lang w:val="en-US"/>
        </w:rPr>
        <w:t>Adami</w:t>
      </w:r>
      <w:proofErr w:type="spellEnd"/>
      <w:r w:rsidRPr="00EE5C32">
        <w:rPr>
          <w:lang w:val="en-US"/>
        </w:rPr>
        <w:t xml:space="preserve">, 2015). The use of sodium nitrite in meat sausages is the most effective method to control the </w:t>
      </w:r>
      <w:proofErr w:type="spellStart"/>
      <w:r w:rsidRPr="00EE5C32">
        <w:rPr>
          <w:lang w:val="en-US"/>
        </w:rPr>
        <w:t>clostridial</w:t>
      </w:r>
      <w:proofErr w:type="spellEnd"/>
      <w:r w:rsidRPr="00EE5C32">
        <w:rPr>
          <w:lang w:val="en-US"/>
        </w:rPr>
        <w:t xml:space="preserve"> group, including </w:t>
      </w:r>
      <w:r w:rsidRPr="00EE5C32">
        <w:rPr>
          <w:i/>
          <w:iCs/>
          <w:lang w:val="en-US"/>
        </w:rPr>
        <w:t>C. botulinum</w:t>
      </w:r>
      <w:r w:rsidRPr="00EE5C32">
        <w:rPr>
          <w:lang w:val="en-US"/>
        </w:rPr>
        <w:t xml:space="preserve"> </w:t>
      </w:r>
      <w:r w:rsidRPr="00EE5C32">
        <w:rPr>
          <w:i/>
          <w:iCs/>
          <w:lang w:val="en-US"/>
        </w:rPr>
        <w:t>and C. perfringens</w:t>
      </w:r>
      <w:r w:rsidRPr="00EE5C32">
        <w:rPr>
          <w:lang w:val="en-US"/>
        </w:rPr>
        <w:t>. Faced with the current rejection of the consumption of synthetic additives, consumers have avoided the consumption of foods with direct addition of nitrite/nitrate. An imminent risk arises from the presence of toxigenic clostridia. Therefore, studies are being carried out to develop natural alternatives with a paired effect on nitrite and lactate (Lee et al., 2019).</w:t>
      </w:r>
    </w:p>
    <w:p w14:paraId="55EC917D" w14:textId="77777777" w:rsidR="00EE5C32" w:rsidRDefault="00EE5C32" w:rsidP="00EE5C32">
      <w:pPr>
        <w:spacing w:line="360" w:lineRule="auto"/>
        <w:rPr>
          <w:lang w:val="en-US"/>
        </w:rPr>
      </w:pPr>
    </w:p>
    <w:p w14:paraId="5D2CD6CA" w14:textId="24384DC2" w:rsidR="00EE5C32" w:rsidRPr="004F524C" w:rsidRDefault="00E52D82" w:rsidP="00EE5C32">
      <w:pPr>
        <w:spacing w:line="360" w:lineRule="auto"/>
        <w:rPr>
          <w:b/>
          <w:bCs/>
          <w:sz w:val="20"/>
          <w:lang w:val="en-US"/>
        </w:rPr>
      </w:pPr>
      <w:r w:rsidRPr="004F524C">
        <w:rPr>
          <w:b/>
          <w:bCs/>
          <w:sz w:val="20"/>
          <w:lang w:val="en-US"/>
        </w:rPr>
        <w:t xml:space="preserve">2. </w:t>
      </w:r>
      <w:r w:rsidR="00EE5C32" w:rsidRPr="004F524C">
        <w:rPr>
          <w:b/>
          <w:bCs/>
          <w:sz w:val="20"/>
          <w:lang w:val="en-US"/>
        </w:rPr>
        <w:t>Methodology</w:t>
      </w:r>
    </w:p>
    <w:p w14:paraId="76A40472" w14:textId="222751B8" w:rsidR="00EE5C32" w:rsidRPr="00E52D82" w:rsidRDefault="00EE5C32" w:rsidP="00E52D82">
      <w:pPr>
        <w:pStyle w:val="PargrafodaLista"/>
        <w:numPr>
          <w:ilvl w:val="1"/>
          <w:numId w:val="28"/>
        </w:numPr>
        <w:spacing w:line="360" w:lineRule="auto"/>
        <w:rPr>
          <w:b/>
          <w:bCs/>
          <w:lang w:val="en-US"/>
        </w:rPr>
      </w:pPr>
      <w:r w:rsidRPr="00E52D82">
        <w:rPr>
          <w:b/>
          <w:bCs/>
          <w:lang w:val="en-US"/>
        </w:rPr>
        <w:t>In vitro microbial susceptibility</w:t>
      </w:r>
    </w:p>
    <w:p w14:paraId="6EA89A4E" w14:textId="7A94AC6E" w:rsidR="00F87111" w:rsidRPr="00F87111" w:rsidRDefault="00EE5C32" w:rsidP="00F87111">
      <w:pPr>
        <w:spacing w:line="360" w:lineRule="auto"/>
        <w:rPr>
          <w:lang w:val="en-US"/>
        </w:rPr>
      </w:pPr>
      <w:r w:rsidRPr="00EE5C32">
        <w:rPr>
          <w:lang w:val="en-US"/>
        </w:rPr>
        <w:t xml:space="preserve">The </w:t>
      </w:r>
      <w:proofErr w:type="spellStart"/>
      <w:r w:rsidRPr="00EE5C32">
        <w:rPr>
          <w:lang w:val="en-US"/>
        </w:rPr>
        <w:t>turbidimetric</w:t>
      </w:r>
      <w:proofErr w:type="spellEnd"/>
      <w:r w:rsidRPr="00EE5C32">
        <w:rPr>
          <w:lang w:val="en-US"/>
        </w:rPr>
        <w:t xml:space="preserve"> method was used to assess the susceptibility of </w:t>
      </w:r>
      <w:r w:rsidRPr="00EE5C32">
        <w:rPr>
          <w:i/>
          <w:iCs/>
          <w:lang w:val="en-US"/>
        </w:rPr>
        <w:t xml:space="preserve">Salmonella </w:t>
      </w:r>
      <w:proofErr w:type="spellStart"/>
      <w:r w:rsidRPr="00EE5C32">
        <w:rPr>
          <w:lang w:val="en-US"/>
        </w:rPr>
        <w:t>serovar</w:t>
      </w:r>
      <w:proofErr w:type="spellEnd"/>
      <w:r w:rsidRPr="00EE5C32">
        <w:rPr>
          <w:lang w:val="en-US"/>
        </w:rPr>
        <w:t xml:space="preserve"> </w:t>
      </w:r>
      <w:r w:rsidRPr="00EE5C32">
        <w:rPr>
          <w:i/>
          <w:iCs/>
          <w:lang w:val="en-US"/>
        </w:rPr>
        <w:t>Typhimurium</w:t>
      </w:r>
      <w:r w:rsidRPr="00EE5C32">
        <w:rPr>
          <w:lang w:val="en-US"/>
        </w:rPr>
        <w:t xml:space="preserve"> (ATCC 14028), </w:t>
      </w:r>
      <w:r w:rsidRPr="00EE5C32">
        <w:rPr>
          <w:i/>
          <w:iCs/>
          <w:lang w:val="en-US"/>
        </w:rPr>
        <w:t>Escherichia coli</w:t>
      </w:r>
      <w:r w:rsidRPr="00EE5C32">
        <w:rPr>
          <w:lang w:val="en-US"/>
        </w:rPr>
        <w:t xml:space="preserve"> (ATCC 25922), </w:t>
      </w:r>
      <w:r w:rsidRPr="00EE5C32">
        <w:rPr>
          <w:i/>
          <w:iCs/>
          <w:lang w:val="en-US"/>
        </w:rPr>
        <w:t xml:space="preserve">Listeria </w:t>
      </w:r>
      <w:proofErr w:type="spellStart"/>
      <w:r w:rsidRPr="00EE5C32">
        <w:rPr>
          <w:i/>
          <w:iCs/>
          <w:lang w:val="en-US"/>
        </w:rPr>
        <w:t>innocua</w:t>
      </w:r>
      <w:proofErr w:type="spellEnd"/>
      <w:r w:rsidRPr="00EE5C32">
        <w:rPr>
          <w:lang w:val="en-US"/>
        </w:rPr>
        <w:t xml:space="preserve"> (ATCC 33090), </w:t>
      </w:r>
      <w:r w:rsidRPr="00EE5C32">
        <w:rPr>
          <w:i/>
          <w:iCs/>
          <w:lang w:val="en-US"/>
        </w:rPr>
        <w:t>Pseudomonas aeruginosa</w:t>
      </w:r>
      <w:r w:rsidRPr="00EE5C32">
        <w:rPr>
          <w:lang w:val="en-US"/>
        </w:rPr>
        <w:t xml:space="preserve"> (ATCC 27853), </w:t>
      </w:r>
      <w:r w:rsidRPr="00EE5C32">
        <w:rPr>
          <w:i/>
          <w:iCs/>
          <w:lang w:val="en-US"/>
        </w:rPr>
        <w:t>Staphylococcus aureus</w:t>
      </w:r>
      <w:r w:rsidRPr="00EE5C32">
        <w:rPr>
          <w:lang w:val="en-US"/>
        </w:rPr>
        <w:t xml:space="preserve"> (ATCC 25923) and </w:t>
      </w:r>
      <w:r w:rsidRPr="00EE5C32">
        <w:rPr>
          <w:i/>
          <w:iCs/>
          <w:lang w:val="en-US"/>
        </w:rPr>
        <w:t>Clostridium perfringens</w:t>
      </w:r>
      <w:r w:rsidRPr="00EE5C32">
        <w:rPr>
          <w:lang w:val="en-US"/>
        </w:rPr>
        <w:t xml:space="preserve"> (ATCC 13124) </w:t>
      </w:r>
      <w:r w:rsidRPr="00F87111">
        <w:rPr>
          <w:lang w:val="en-US"/>
        </w:rPr>
        <w:t xml:space="preserve">to the </w:t>
      </w:r>
      <w:r w:rsidR="00F87111" w:rsidRPr="00F87111">
        <w:rPr>
          <w:lang w:val="en-US"/>
        </w:rPr>
        <w:t>PCAE</w:t>
      </w:r>
      <w:r w:rsidRPr="00F87111">
        <w:rPr>
          <w:lang w:val="en-US"/>
        </w:rPr>
        <w:t xml:space="preserve">. The cultures were activated (3x) in brain heart infusion broth - BHI and incubated at 36 °C. A hermetically closed jar with an anaerobic generator sachet was used for activation of </w:t>
      </w:r>
      <w:r w:rsidRPr="00F87111">
        <w:rPr>
          <w:i/>
          <w:iCs/>
          <w:lang w:val="en-US"/>
        </w:rPr>
        <w:t>C. perfringens</w:t>
      </w:r>
      <w:r w:rsidRPr="00F87111">
        <w:rPr>
          <w:lang w:val="en-US"/>
        </w:rPr>
        <w:t xml:space="preserve"> under </w:t>
      </w:r>
      <w:proofErr w:type="spellStart"/>
      <w:r w:rsidRPr="00F87111">
        <w:rPr>
          <w:lang w:val="en-US"/>
        </w:rPr>
        <w:t>anaerobiosis</w:t>
      </w:r>
      <w:proofErr w:type="spellEnd"/>
      <w:r w:rsidRPr="00F87111">
        <w:rPr>
          <w:lang w:val="en-US"/>
        </w:rPr>
        <w:t>.</w:t>
      </w:r>
      <w:r w:rsidR="004C264C" w:rsidRPr="00F87111">
        <w:rPr>
          <w:lang w:val="en-US"/>
        </w:rPr>
        <w:t xml:space="preserve"> </w:t>
      </w:r>
      <w:bookmarkStart w:id="0" w:name="_Hlk117418517"/>
      <w:r w:rsidR="00775BC4" w:rsidRPr="00F87111">
        <w:rPr>
          <w:lang w:val="en-US"/>
        </w:rPr>
        <w:t>Cellular biomass was obtained by centrifugation at 6000g for 5 minutes and double washing of</w:t>
      </w:r>
      <w:r w:rsidR="00775BC4" w:rsidRPr="00775BC4">
        <w:rPr>
          <w:lang w:val="en-US"/>
        </w:rPr>
        <w:t xml:space="preserve"> the pellet with phosphate buffer pH 7.2. The biomass remaining after the last separation was reconstituted in BHI broth until obtaining a cell suspension equivalent to 5.5 </w:t>
      </w:r>
      <w:proofErr w:type="gramStart"/>
      <w:r w:rsidR="00775BC4" w:rsidRPr="00775BC4">
        <w:rPr>
          <w:lang w:val="en-US"/>
        </w:rPr>
        <w:t>log</w:t>
      </w:r>
      <w:proofErr w:type="gramEnd"/>
      <w:r w:rsidR="00775BC4" w:rsidRPr="00775BC4">
        <w:rPr>
          <w:lang w:val="en-US"/>
        </w:rPr>
        <w:t xml:space="preserve"> CFU/</w:t>
      </w:r>
      <w:proofErr w:type="spellStart"/>
      <w:r w:rsidR="00775BC4" w:rsidRPr="00775BC4">
        <w:rPr>
          <w:lang w:val="en-US"/>
        </w:rPr>
        <w:t>mL.</w:t>
      </w:r>
      <w:proofErr w:type="spellEnd"/>
      <w:r w:rsidR="00775BC4" w:rsidRPr="00775BC4">
        <w:rPr>
          <w:lang w:val="en-US"/>
        </w:rPr>
        <w:t xml:space="preserve"> Calibration curves were previously plotted and used to help adjust the </w:t>
      </w:r>
      <w:r w:rsidR="00775BC4" w:rsidRPr="00F87111">
        <w:rPr>
          <w:lang w:val="en-US"/>
        </w:rPr>
        <w:t xml:space="preserve">inoculum. </w:t>
      </w:r>
      <w:r w:rsidR="00F87111" w:rsidRPr="00F87111">
        <w:rPr>
          <w:lang w:val="en-US"/>
        </w:rPr>
        <w:t>PCAE</w:t>
      </w:r>
      <w:r w:rsidR="00775BC4" w:rsidRPr="00F87111">
        <w:rPr>
          <w:lang w:val="en-US"/>
        </w:rPr>
        <w:t>, purchased</w:t>
      </w:r>
      <w:r w:rsidR="00775BC4" w:rsidRPr="00775BC4">
        <w:rPr>
          <w:lang w:val="en-US"/>
        </w:rPr>
        <w:t xml:space="preserve"> commercially, was diluted in BHI broth to obtain a concentration of 0.5 to 5.0%, with increments of 0.5% from tube to tube.</w:t>
      </w:r>
      <w:r w:rsidR="00775BC4">
        <w:rPr>
          <w:lang w:val="en-US"/>
        </w:rPr>
        <w:t xml:space="preserve"> </w:t>
      </w:r>
      <w:bookmarkEnd w:id="0"/>
      <w:r w:rsidR="00F87111" w:rsidRPr="00F87111">
        <w:rPr>
          <w:lang w:val="en-US"/>
        </w:rPr>
        <w:t>Tubes devoid of mixture and inoculum were included as control and assay blank, respectively. The tubes were incubated at 36 °C in a thermostatic bath with agitation and the turbidity was determined by measuring the absorbance at 600</w:t>
      </w:r>
      <w:r w:rsidR="00F87111" w:rsidRPr="00F87111">
        <w:rPr>
          <w:lang w:val="pt-BR"/>
        </w:rPr>
        <w:t>λ</w:t>
      </w:r>
      <w:r w:rsidR="00F87111" w:rsidRPr="00F87111">
        <w:rPr>
          <w:lang w:val="en-US"/>
        </w:rPr>
        <w:t xml:space="preserve"> in a spectrophotometer at times 0, 13, 16, 19, 22</w:t>
      </w:r>
      <w:r w:rsidR="00F87111">
        <w:rPr>
          <w:lang w:val="en-US"/>
        </w:rPr>
        <w:t>,</w:t>
      </w:r>
      <w:r w:rsidR="00F87111" w:rsidRPr="00F87111">
        <w:rPr>
          <w:lang w:val="en-US"/>
        </w:rPr>
        <w:t xml:space="preserve"> and 37 hours. </w:t>
      </w:r>
      <w:r w:rsidR="00F87111" w:rsidRPr="00F87111">
        <w:rPr>
          <w:i/>
          <w:iCs/>
          <w:lang w:val="en-US"/>
        </w:rPr>
        <w:t xml:space="preserve">C. perfringens </w:t>
      </w:r>
      <w:r w:rsidR="00F87111" w:rsidRPr="00F87111">
        <w:rPr>
          <w:lang w:val="en-US"/>
        </w:rPr>
        <w:t xml:space="preserve">was incubated under </w:t>
      </w:r>
      <w:proofErr w:type="spellStart"/>
      <w:r w:rsidR="00F87111" w:rsidRPr="00F87111">
        <w:rPr>
          <w:lang w:val="en-US"/>
        </w:rPr>
        <w:t>anaerobiosis</w:t>
      </w:r>
      <w:proofErr w:type="spellEnd"/>
      <w:r w:rsidR="00F87111" w:rsidRPr="00F87111">
        <w:rPr>
          <w:lang w:val="en-US"/>
        </w:rPr>
        <w:t xml:space="preserve"> and incubated in a B.O.D. During the analytical series, the white tube was used to calibrate the equipment, the external surface of the tubes was dried with a paper towel and the absorbance value was measured directly in the tubes, dispensing with the use of a cuvette. The potential dose to achieve an inhibitory effect on each strain was expressed considering three categories: </w:t>
      </w:r>
      <w:proofErr w:type="spellStart"/>
      <w:r w:rsidR="00F87111" w:rsidRPr="00F87111">
        <w:rPr>
          <w:lang w:val="en-US"/>
        </w:rPr>
        <w:t>i</w:t>
      </w:r>
      <w:proofErr w:type="spellEnd"/>
      <w:r w:rsidR="00F87111" w:rsidRPr="00F87111">
        <w:rPr>
          <w:lang w:val="en-US"/>
        </w:rPr>
        <w:t>) susceptible, statistically (p &lt; 0.05) absorbance value equal to the blank; ii) partially susceptible, absorbance value between the white tube and the control; iii) resistant, absorbance value statistically (p &lt; 0.05) equal to the control tube.</w:t>
      </w:r>
    </w:p>
    <w:p w14:paraId="5B08D9AC" w14:textId="1562BCE3" w:rsidR="00F87111" w:rsidRPr="00D03FA9" w:rsidRDefault="00E52D82" w:rsidP="00F87111">
      <w:pPr>
        <w:pStyle w:val="CETTabletitle"/>
        <w:rPr>
          <w:b/>
          <w:bCs/>
          <w:i w:val="0"/>
          <w:lang w:val="en-US"/>
        </w:rPr>
      </w:pPr>
      <w:r>
        <w:rPr>
          <w:b/>
          <w:bCs/>
          <w:i w:val="0"/>
          <w:lang w:val="en-US"/>
        </w:rPr>
        <w:t>2</w:t>
      </w:r>
      <w:r w:rsidR="00F87111" w:rsidRPr="00D03FA9">
        <w:rPr>
          <w:b/>
          <w:bCs/>
          <w:i w:val="0"/>
          <w:lang w:val="en-US"/>
        </w:rPr>
        <w:t>.2 Production of fresh chicken sausage</w:t>
      </w:r>
    </w:p>
    <w:p w14:paraId="33338003" w14:textId="77777777" w:rsidR="00F87111" w:rsidRDefault="00F87111" w:rsidP="00D03FA9">
      <w:pPr>
        <w:pStyle w:val="CETTabletitle"/>
        <w:spacing w:before="0" w:after="0" w:line="360" w:lineRule="auto"/>
        <w:jc w:val="both"/>
        <w:rPr>
          <w:i w:val="0"/>
          <w:lang w:val="pt-BR"/>
        </w:rPr>
      </w:pPr>
      <w:r w:rsidRPr="00F87111">
        <w:rPr>
          <w:i w:val="0"/>
          <w:lang w:val="en-US"/>
        </w:rPr>
        <w:t xml:space="preserve">Five formulations were produced, being white, control and three treatments with PCAE doses that showed some inhibitory effect in the in vitro assay. White (B): without curing salt, sodium lactate and PCAE; Control (C): with 0.15% curing salt and 2.0% sodium lactate; Treatment 1 (T1): with 0.15% curing salt and 2.5% PCAE; Treatment 2 (T2): with 0.15% curing salt and 3.5% PCAE; Treatment 3 (T3): with 4.5% PCAE. </w:t>
      </w:r>
      <w:r w:rsidRPr="00F87111">
        <w:rPr>
          <w:i w:val="0"/>
          <w:lang w:val="pt-BR"/>
        </w:rPr>
        <w:t xml:space="preserve">The </w:t>
      </w:r>
      <w:proofErr w:type="spellStart"/>
      <w:r w:rsidRPr="00F87111">
        <w:rPr>
          <w:i w:val="0"/>
          <w:lang w:val="pt-BR"/>
        </w:rPr>
        <w:t>formulations</w:t>
      </w:r>
      <w:proofErr w:type="spellEnd"/>
      <w:r w:rsidRPr="00F87111">
        <w:rPr>
          <w:i w:val="0"/>
          <w:lang w:val="pt-BR"/>
        </w:rPr>
        <w:t xml:space="preserve"> are </w:t>
      </w:r>
      <w:proofErr w:type="spellStart"/>
      <w:r w:rsidRPr="00F87111">
        <w:rPr>
          <w:i w:val="0"/>
          <w:lang w:val="pt-BR"/>
        </w:rPr>
        <w:t>described</w:t>
      </w:r>
      <w:proofErr w:type="spellEnd"/>
      <w:r w:rsidRPr="00F87111">
        <w:rPr>
          <w:i w:val="0"/>
          <w:lang w:val="pt-BR"/>
        </w:rPr>
        <w:t xml:space="preserve"> in </w:t>
      </w:r>
      <w:proofErr w:type="spellStart"/>
      <w:r w:rsidRPr="00F87111">
        <w:rPr>
          <w:i w:val="0"/>
          <w:lang w:val="pt-BR"/>
        </w:rPr>
        <w:t>detail</w:t>
      </w:r>
      <w:proofErr w:type="spellEnd"/>
      <w:r w:rsidRPr="00F87111">
        <w:rPr>
          <w:i w:val="0"/>
          <w:lang w:val="pt-BR"/>
        </w:rPr>
        <w:t xml:space="preserve"> in </w:t>
      </w:r>
      <w:proofErr w:type="spellStart"/>
      <w:r w:rsidRPr="00F87111">
        <w:rPr>
          <w:i w:val="0"/>
          <w:lang w:val="pt-BR"/>
        </w:rPr>
        <w:t>Table</w:t>
      </w:r>
      <w:proofErr w:type="spellEnd"/>
      <w:r w:rsidRPr="00F87111">
        <w:rPr>
          <w:i w:val="0"/>
          <w:lang w:val="pt-BR"/>
        </w:rPr>
        <w:t xml:space="preserve"> 1.</w:t>
      </w:r>
    </w:p>
    <w:p w14:paraId="2F79CFD4" w14:textId="0444B1FE" w:rsidR="00D107FC" w:rsidRPr="00F87111" w:rsidRDefault="00F87111" w:rsidP="00F87111">
      <w:pPr>
        <w:pStyle w:val="CETTabletitle"/>
        <w:rPr>
          <w:i w:val="0"/>
          <w:lang w:val="en-US"/>
        </w:rPr>
      </w:pPr>
      <w:proofErr w:type="gramStart"/>
      <w:r w:rsidRPr="00F87111">
        <w:rPr>
          <w:i w:val="0"/>
          <w:lang w:val="en-US"/>
        </w:rPr>
        <w:t>Table 1: Fresh chicken sausage formulations without or with PCAE</w:t>
      </w:r>
      <w:r>
        <w:rPr>
          <w:i w:val="0"/>
          <w:lang w:val="en-US"/>
        </w:rPr>
        <w:t xml:space="preserve"> (</w:t>
      </w:r>
      <w:r w:rsidRPr="00F87111">
        <w:rPr>
          <w:i w:val="0"/>
          <w:iCs/>
          <w:lang w:val="en-US"/>
        </w:rPr>
        <w:t>powdered celery acetic extract).</w:t>
      </w:r>
      <w:proofErr w:type="gramEnd"/>
    </w:p>
    <w:tbl>
      <w:tblPr>
        <w:tblW w:w="8440" w:type="dxa"/>
        <w:tblCellMar>
          <w:left w:w="70" w:type="dxa"/>
          <w:right w:w="70" w:type="dxa"/>
        </w:tblCellMar>
        <w:tblLook w:val="04A0" w:firstRow="1" w:lastRow="0" w:firstColumn="1" w:lastColumn="0" w:noHBand="0" w:noVBand="1"/>
      </w:tblPr>
      <w:tblGrid>
        <w:gridCol w:w="4040"/>
        <w:gridCol w:w="880"/>
        <w:gridCol w:w="880"/>
        <w:gridCol w:w="880"/>
        <w:gridCol w:w="880"/>
        <w:gridCol w:w="880"/>
      </w:tblGrid>
      <w:tr w:rsidR="000F0914" w:rsidRPr="000F0914" w14:paraId="68168F1D" w14:textId="77777777" w:rsidTr="000F0914">
        <w:trPr>
          <w:trHeight w:val="315"/>
        </w:trPr>
        <w:tc>
          <w:tcPr>
            <w:tcW w:w="4040" w:type="dxa"/>
            <w:tcBorders>
              <w:top w:val="single" w:sz="12" w:space="0" w:color="008000"/>
              <w:left w:val="nil"/>
              <w:bottom w:val="single" w:sz="8" w:space="0" w:color="008000"/>
              <w:right w:val="nil"/>
            </w:tcBorders>
            <w:shd w:val="clear" w:color="000000" w:fill="FFFFFF"/>
            <w:vAlign w:val="center"/>
            <w:hideMark/>
          </w:tcPr>
          <w:p w14:paraId="3D57292B" w14:textId="77777777" w:rsidR="000F0914" w:rsidRPr="00F87111" w:rsidRDefault="000F0914" w:rsidP="000F0914">
            <w:pPr>
              <w:tabs>
                <w:tab w:val="clear" w:pos="7100"/>
              </w:tabs>
              <w:spacing w:line="240" w:lineRule="auto"/>
              <w:jc w:val="left"/>
              <w:rPr>
                <w:rFonts w:cs="Arial"/>
                <w:color w:val="000000"/>
                <w:szCs w:val="18"/>
                <w:lang w:val="en-US" w:eastAsia="pt-BR"/>
              </w:rPr>
            </w:pPr>
            <w:r w:rsidRPr="00F87111">
              <w:rPr>
                <w:rFonts w:cs="Arial"/>
                <w:color w:val="000000"/>
                <w:szCs w:val="18"/>
                <w:lang w:val="en-US" w:eastAsia="pt-BR"/>
              </w:rPr>
              <w:t> </w:t>
            </w:r>
          </w:p>
        </w:tc>
        <w:tc>
          <w:tcPr>
            <w:tcW w:w="4400" w:type="dxa"/>
            <w:gridSpan w:val="5"/>
            <w:tcBorders>
              <w:top w:val="single" w:sz="12" w:space="0" w:color="008000"/>
              <w:left w:val="nil"/>
              <w:bottom w:val="single" w:sz="8" w:space="0" w:color="008000"/>
              <w:right w:val="nil"/>
            </w:tcBorders>
            <w:shd w:val="clear" w:color="000000" w:fill="FFFFFF"/>
            <w:vAlign w:val="center"/>
            <w:hideMark/>
          </w:tcPr>
          <w:p w14:paraId="53D33149" w14:textId="327C08E4" w:rsidR="000F0914" w:rsidRPr="000F0914" w:rsidRDefault="00F87111" w:rsidP="000F0914">
            <w:pPr>
              <w:tabs>
                <w:tab w:val="clear" w:pos="7100"/>
              </w:tabs>
              <w:spacing w:line="240" w:lineRule="auto"/>
              <w:jc w:val="left"/>
              <w:rPr>
                <w:rFonts w:cs="Arial"/>
                <w:i/>
                <w:iCs/>
                <w:color w:val="000000"/>
                <w:szCs w:val="18"/>
                <w:lang w:val="pt-BR" w:eastAsia="pt-BR"/>
              </w:rPr>
            </w:pPr>
            <w:proofErr w:type="spellStart"/>
            <w:r w:rsidRPr="00F87111">
              <w:rPr>
                <w:rFonts w:cs="Arial"/>
                <w:i/>
                <w:iCs/>
                <w:color w:val="000000"/>
                <w:szCs w:val="18"/>
                <w:lang w:val="pt-BR" w:eastAsia="pt-BR"/>
              </w:rPr>
              <w:t>Treatments</w:t>
            </w:r>
            <w:proofErr w:type="spellEnd"/>
          </w:p>
        </w:tc>
      </w:tr>
      <w:tr w:rsidR="000F0914" w:rsidRPr="000F0914" w14:paraId="05C3AE7D" w14:textId="77777777" w:rsidTr="000F0914">
        <w:trPr>
          <w:trHeight w:val="300"/>
        </w:trPr>
        <w:tc>
          <w:tcPr>
            <w:tcW w:w="4040" w:type="dxa"/>
            <w:tcBorders>
              <w:top w:val="nil"/>
              <w:left w:val="nil"/>
              <w:bottom w:val="nil"/>
              <w:right w:val="nil"/>
            </w:tcBorders>
            <w:shd w:val="clear" w:color="000000" w:fill="FFFFFF"/>
            <w:vAlign w:val="center"/>
            <w:hideMark/>
          </w:tcPr>
          <w:p w14:paraId="447D4452" w14:textId="799FF2CC" w:rsidR="000F0914" w:rsidRPr="000F0914" w:rsidRDefault="00F87111" w:rsidP="000F0914">
            <w:pPr>
              <w:tabs>
                <w:tab w:val="clear" w:pos="7100"/>
              </w:tabs>
              <w:spacing w:line="240" w:lineRule="auto"/>
              <w:jc w:val="left"/>
              <w:rPr>
                <w:rFonts w:cs="Arial"/>
                <w:color w:val="000000"/>
                <w:szCs w:val="18"/>
                <w:lang w:val="pt-BR" w:eastAsia="pt-BR"/>
              </w:rPr>
            </w:pPr>
            <w:r w:rsidRPr="00F87111">
              <w:rPr>
                <w:rFonts w:cs="Arial"/>
                <w:szCs w:val="18"/>
                <w:lang w:val="en-GB" w:eastAsia="pt-BR"/>
              </w:rPr>
              <w:t>Ingredients</w:t>
            </w:r>
          </w:p>
        </w:tc>
        <w:tc>
          <w:tcPr>
            <w:tcW w:w="880" w:type="dxa"/>
            <w:tcBorders>
              <w:top w:val="nil"/>
              <w:left w:val="nil"/>
              <w:bottom w:val="nil"/>
              <w:right w:val="nil"/>
            </w:tcBorders>
            <w:shd w:val="clear" w:color="000000" w:fill="FFFFFF"/>
            <w:noWrap/>
            <w:vAlign w:val="center"/>
            <w:hideMark/>
          </w:tcPr>
          <w:p w14:paraId="14B2D023" w14:textId="77777777" w:rsidR="000F0914" w:rsidRPr="000F0914" w:rsidRDefault="000F0914" w:rsidP="000F0914">
            <w:pPr>
              <w:tabs>
                <w:tab w:val="clear" w:pos="7100"/>
              </w:tabs>
              <w:spacing w:line="240" w:lineRule="auto"/>
              <w:jc w:val="left"/>
              <w:rPr>
                <w:rFonts w:cs="Arial"/>
                <w:color w:val="000000"/>
                <w:szCs w:val="18"/>
                <w:lang w:val="pt-BR" w:eastAsia="pt-BR"/>
              </w:rPr>
            </w:pPr>
            <w:r w:rsidRPr="000F0914">
              <w:rPr>
                <w:rFonts w:cs="Arial"/>
                <w:color w:val="000000"/>
                <w:szCs w:val="18"/>
                <w:lang w:val="pt-BR" w:eastAsia="pt-BR"/>
              </w:rPr>
              <w:t>B</w:t>
            </w:r>
          </w:p>
        </w:tc>
        <w:tc>
          <w:tcPr>
            <w:tcW w:w="880" w:type="dxa"/>
            <w:tcBorders>
              <w:top w:val="nil"/>
              <w:left w:val="nil"/>
              <w:bottom w:val="nil"/>
              <w:right w:val="nil"/>
            </w:tcBorders>
            <w:shd w:val="clear" w:color="000000" w:fill="FFFFFF"/>
            <w:noWrap/>
            <w:vAlign w:val="center"/>
            <w:hideMark/>
          </w:tcPr>
          <w:p w14:paraId="2AE79A18" w14:textId="77777777" w:rsidR="000F0914" w:rsidRPr="000F0914" w:rsidRDefault="000F0914" w:rsidP="000F0914">
            <w:pPr>
              <w:tabs>
                <w:tab w:val="clear" w:pos="7100"/>
              </w:tabs>
              <w:spacing w:line="240" w:lineRule="auto"/>
              <w:jc w:val="left"/>
              <w:rPr>
                <w:rFonts w:cs="Arial"/>
                <w:color w:val="000000"/>
                <w:szCs w:val="18"/>
                <w:lang w:val="pt-BR" w:eastAsia="pt-BR"/>
              </w:rPr>
            </w:pPr>
            <w:r w:rsidRPr="000F0914">
              <w:rPr>
                <w:rFonts w:cs="Arial"/>
                <w:color w:val="000000"/>
                <w:szCs w:val="18"/>
                <w:lang w:val="pt-BR" w:eastAsia="pt-BR"/>
              </w:rPr>
              <w:t>C</w:t>
            </w:r>
          </w:p>
        </w:tc>
        <w:tc>
          <w:tcPr>
            <w:tcW w:w="880" w:type="dxa"/>
            <w:tcBorders>
              <w:top w:val="nil"/>
              <w:left w:val="nil"/>
              <w:bottom w:val="nil"/>
              <w:right w:val="nil"/>
            </w:tcBorders>
            <w:shd w:val="clear" w:color="000000" w:fill="FFFFFF"/>
            <w:noWrap/>
            <w:vAlign w:val="center"/>
            <w:hideMark/>
          </w:tcPr>
          <w:p w14:paraId="120F5A39" w14:textId="77777777" w:rsidR="000F0914" w:rsidRPr="000F0914" w:rsidRDefault="000F0914" w:rsidP="000F0914">
            <w:pPr>
              <w:tabs>
                <w:tab w:val="clear" w:pos="7100"/>
              </w:tabs>
              <w:spacing w:line="240" w:lineRule="auto"/>
              <w:jc w:val="left"/>
              <w:rPr>
                <w:rFonts w:cs="Arial"/>
                <w:color w:val="000000"/>
                <w:szCs w:val="18"/>
                <w:lang w:val="pt-BR" w:eastAsia="pt-BR"/>
              </w:rPr>
            </w:pPr>
            <w:r w:rsidRPr="000F0914">
              <w:rPr>
                <w:rFonts w:cs="Arial"/>
                <w:color w:val="000000"/>
                <w:szCs w:val="18"/>
                <w:lang w:val="pt-BR" w:eastAsia="pt-BR"/>
              </w:rPr>
              <w:t>T1</w:t>
            </w:r>
          </w:p>
        </w:tc>
        <w:tc>
          <w:tcPr>
            <w:tcW w:w="880" w:type="dxa"/>
            <w:tcBorders>
              <w:top w:val="nil"/>
              <w:left w:val="nil"/>
              <w:bottom w:val="nil"/>
              <w:right w:val="nil"/>
            </w:tcBorders>
            <w:shd w:val="clear" w:color="000000" w:fill="FFFFFF"/>
            <w:noWrap/>
            <w:vAlign w:val="center"/>
            <w:hideMark/>
          </w:tcPr>
          <w:p w14:paraId="7204E577" w14:textId="77777777" w:rsidR="000F0914" w:rsidRPr="000F0914" w:rsidRDefault="000F0914" w:rsidP="000F0914">
            <w:pPr>
              <w:tabs>
                <w:tab w:val="clear" w:pos="7100"/>
              </w:tabs>
              <w:spacing w:line="240" w:lineRule="auto"/>
              <w:jc w:val="left"/>
              <w:rPr>
                <w:rFonts w:cs="Arial"/>
                <w:color w:val="000000"/>
                <w:szCs w:val="18"/>
                <w:lang w:val="pt-BR" w:eastAsia="pt-BR"/>
              </w:rPr>
            </w:pPr>
            <w:r w:rsidRPr="000F0914">
              <w:rPr>
                <w:rFonts w:cs="Arial"/>
                <w:color w:val="000000"/>
                <w:szCs w:val="18"/>
                <w:lang w:val="pt-BR" w:eastAsia="pt-BR"/>
              </w:rPr>
              <w:t>T2</w:t>
            </w:r>
          </w:p>
        </w:tc>
        <w:tc>
          <w:tcPr>
            <w:tcW w:w="880" w:type="dxa"/>
            <w:tcBorders>
              <w:top w:val="nil"/>
              <w:left w:val="nil"/>
              <w:bottom w:val="nil"/>
              <w:right w:val="nil"/>
            </w:tcBorders>
            <w:shd w:val="clear" w:color="000000" w:fill="FFFFFF"/>
            <w:noWrap/>
            <w:vAlign w:val="center"/>
            <w:hideMark/>
          </w:tcPr>
          <w:p w14:paraId="40E3FF3D" w14:textId="77777777" w:rsidR="000F0914" w:rsidRPr="000F0914" w:rsidRDefault="000F0914" w:rsidP="000F0914">
            <w:pPr>
              <w:tabs>
                <w:tab w:val="clear" w:pos="7100"/>
              </w:tabs>
              <w:spacing w:line="240" w:lineRule="auto"/>
              <w:jc w:val="left"/>
              <w:rPr>
                <w:rFonts w:cs="Arial"/>
                <w:color w:val="000000"/>
                <w:szCs w:val="18"/>
                <w:lang w:val="pt-BR" w:eastAsia="pt-BR"/>
              </w:rPr>
            </w:pPr>
            <w:r w:rsidRPr="000F0914">
              <w:rPr>
                <w:rFonts w:cs="Arial"/>
                <w:color w:val="000000"/>
                <w:szCs w:val="18"/>
                <w:lang w:val="pt-BR" w:eastAsia="pt-BR"/>
              </w:rPr>
              <w:t>T3</w:t>
            </w:r>
          </w:p>
        </w:tc>
      </w:tr>
      <w:tr w:rsidR="000F0914" w:rsidRPr="000F0914" w14:paraId="78B0F890" w14:textId="77777777" w:rsidTr="000F0914">
        <w:trPr>
          <w:trHeight w:val="300"/>
        </w:trPr>
        <w:tc>
          <w:tcPr>
            <w:tcW w:w="4040" w:type="dxa"/>
            <w:tcBorders>
              <w:top w:val="nil"/>
              <w:left w:val="nil"/>
              <w:bottom w:val="nil"/>
              <w:right w:val="nil"/>
            </w:tcBorders>
            <w:shd w:val="clear" w:color="auto" w:fill="auto"/>
            <w:noWrap/>
            <w:vAlign w:val="center"/>
            <w:hideMark/>
          </w:tcPr>
          <w:p w14:paraId="3F09B765" w14:textId="2AE6CDD0" w:rsidR="000F0914" w:rsidRPr="000F0914" w:rsidRDefault="00F87111" w:rsidP="000F0914">
            <w:pPr>
              <w:tabs>
                <w:tab w:val="clear" w:pos="7100"/>
              </w:tabs>
              <w:spacing w:line="240" w:lineRule="auto"/>
              <w:jc w:val="left"/>
              <w:rPr>
                <w:rFonts w:cs="Arial"/>
                <w:color w:val="000000"/>
                <w:szCs w:val="18"/>
                <w:lang w:val="pt-BR" w:eastAsia="pt-BR"/>
              </w:rPr>
            </w:pPr>
            <w:proofErr w:type="spellStart"/>
            <w:r w:rsidRPr="00F87111">
              <w:rPr>
                <w:rFonts w:cs="Arial"/>
                <w:color w:val="000000"/>
                <w:szCs w:val="18"/>
                <w:lang w:val="pt-BR" w:eastAsia="pt-BR"/>
              </w:rPr>
              <w:t>Chicken</w:t>
            </w:r>
            <w:proofErr w:type="spellEnd"/>
            <w:r w:rsidRPr="00F87111">
              <w:rPr>
                <w:rFonts w:cs="Arial"/>
                <w:color w:val="000000"/>
                <w:szCs w:val="18"/>
                <w:lang w:val="pt-BR" w:eastAsia="pt-BR"/>
              </w:rPr>
              <w:t xml:space="preserve"> </w:t>
            </w:r>
            <w:proofErr w:type="spellStart"/>
            <w:r w:rsidRPr="00F87111">
              <w:rPr>
                <w:rFonts w:cs="Arial"/>
                <w:color w:val="000000"/>
                <w:szCs w:val="18"/>
                <w:lang w:val="pt-BR" w:eastAsia="pt-BR"/>
              </w:rPr>
              <w:t>meat</w:t>
            </w:r>
            <w:proofErr w:type="spellEnd"/>
          </w:p>
        </w:tc>
        <w:tc>
          <w:tcPr>
            <w:tcW w:w="880" w:type="dxa"/>
            <w:tcBorders>
              <w:top w:val="nil"/>
              <w:left w:val="nil"/>
              <w:bottom w:val="nil"/>
              <w:right w:val="nil"/>
            </w:tcBorders>
            <w:shd w:val="clear" w:color="auto" w:fill="auto"/>
            <w:noWrap/>
            <w:vAlign w:val="center"/>
            <w:hideMark/>
          </w:tcPr>
          <w:p w14:paraId="72CD6A31" w14:textId="177CAFC4" w:rsidR="000F0914" w:rsidRPr="000F0914" w:rsidRDefault="000F0914" w:rsidP="000F0914">
            <w:pPr>
              <w:tabs>
                <w:tab w:val="clear" w:pos="7100"/>
              </w:tabs>
              <w:spacing w:line="240" w:lineRule="auto"/>
              <w:jc w:val="left"/>
              <w:rPr>
                <w:rFonts w:cs="Arial"/>
                <w:color w:val="000000"/>
                <w:szCs w:val="18"/>
                <w:lang w:val="pt-BR" w:eastAsia="pt-BR"/>
              </w:rPr>
            </w:pPr>
            <w:r w:rsidRPr="000F0914">
              <w:rPr>
                <w:rFonts w:cs="Arial"/>
                <w:color w:val="000000"/>
                <w:szCs w:val="18"/>
                <w:lang w:val="pt-BR" w:eastAsia="pt-BR"/>
              </w:rPr>
              <w:t>86</w:t>
            </w:r>
            <w:r w:rsidR="002A6075">
              <w:rPr>
                <w:rFonts w:cs="Arial"/>
                <w:color w:val="000000"/>
                <w:szCs w:val="18"/>
                <w:lang w:val="pt-BR" w:eastAsia="pt-BR"/>
              </w:rPr>
              <w:t>.</w:t>
            </w:r>
            <w:r w:rsidRPr="000F0914">
              <w:rPr>
                <w:rFonts w:cs="Arial"/>
                <w:color w:val="000000"/>
                <w:szCs w:val="18"/>
                <w:lang w:val="pt-BR" w:eastAsia="pt-BR"/>
              </w:rPr>
              <w:t>81</w:t>
            </w:r>
          </w:p>
        </w:tc>
        <w:tc>
          <w:tcPr>
            <w:tcW w:w="880" w:type="dxa"/>
            <w:tcBorders>
              <w:top w:val="nil"/>
              <w:left w:val="nil"/>
              <w:bottom w:val="nil"/>
              <w:right w:val="nil"/>
            </w:tcBorders>
            <w:shd w:val="clear" w:color="auto" w:fill="auto"/>
            <w:noWrap/>
            <w:vAlign w:val="center"/>
            <w:hideMark/>
          </w:tcPr>
          <w:p w14:paraId="4D6FC519" w14:textId="48EBA218" w:rsidR="000F0914" w:rsidRPr="000F0914" w:rsidRDefault="000F0914" w:rsidP="000F0914">
            <w:pPr>
              <w:tabs>
                <w:tab w:val="clear" w:pos="7100"/>
              </w:tabs>
              <w:spacing w:line="240" w:lineRule="auto"/>
              <w:jc w:val="left"/>
              <w:rPr>
                <w:rFonts w:cs="Arial"/>
                <w:color w:val="000000"/>
                <w:szCs w:val="18"/>
                <w:lang w:val="pt-BR" w:eastAsia="pt-BR"/>
              </w:rPr>
            </w:pPr>
            <w:r w:rsidRPr="000F0914">
              <w:rPr>
                <w:rFonts w:cs="Arial"/>
                <w:color w:val="000000"/>
                <w:szCs w:val="18"/>
                <w:lang w:val="pt-BR" w:eastAsia="pt-BR"/>
              </w:rPr>
              <w:t>86</w:t>
            </w:r>
            <w:r w:rsidR="002A6075">
              <w:rPr>
                <w:rFonts w:cs="Arial"/>
                <w:color w:val="000000"/>
                <w:szCs w:val="18"/>
                <w:lang w:val="pt-BR" w:eastAsia="pt-BR"/>
              </w:rPr>
              <w:t>.</w:t>
            </w:r>
            <w:r w:rsidRPr="000F0914">
              <w:rPr>
                <w:rFonts w:cs="Arial"/>
                <w:color w:val="000000"/>
                <w:szCs w:val="18"/>
                <w:lang w:val="pt-BR" w:eastAsia="pt-BR"/>
              </w:rPr>
              <w:t>81</w:t>
            </w:r>
          </w:p>
        </w:tc>
        <w:tc>
          <w:tcPr>
            <w:tcW w:w="880" w:type="dxa"/>
            <w:tcBorders>
              <w:top w:val="nil"/>
              <w:left w:val="nil"/>
              <w:bottom w:val="nil"/>
              <w:right w:val="nil"/>
            </w:tcBorders>
            <w:shd w:val="clear" w:color="auto" w:fill="auto"/>
            <w:noWrap/>
            <w:vAlign w:val="center"/>
            <w:hideMark/>
          </w:tcPr>
          <w:p w14:paraId="53E92E1E" w14:textId="79D15705" w:rsidR="000F0914" w:rsidRPr="000F0914" w:rsidRDefault="000F0914" w:rsidP="000F0914">
            <w:pPr>
              <w:tabs>
                <w:tab w:val="clear" w:pos="7100"/>
              </w:tabs>
              <w:spacing w:line="240" w:lineRule="auto"/>
              <w:jc w:val="left"/>
              <w:rPr>
                <w:rFonts w:cs="Arial"/>
                <w:color w:val="000000"/>
                <w:szCs w:val="18"/>
                <w:lang w:val="pt-BR" w:eastAsia="pt-BR"/>
              </w:rPr>
            </w:pPr>
            <w:r w:rsidRPr="000F0914">
              <w:rPr>
                <w:rFonts w:cs="Arial"/>
                <w:color w:val="000000"/>
                <w:szCs w:val="18"/>
                <w:lang w:val="pt-BR" w:eastAsia="pt-BR"/>
              </w:rPr>
              <w:t>86</w:t>
            </w:r>
            <w:r w:rsidR="002A6075">
              <w:rPr>
                <w:rFonts w:cs="Arial"/>
                <w:color w:val="000000"/>
                <w:szCs w:val="18"/>
                <w:lang w:val="pt-BR" w:eastAsia="pt-BR"/>
              </w:rPr>
              <w:t>.</w:t>
            </w:r>
            <w:r w:rsidRPr="000F0914">
              <w:rPr>
                <w:rFonts w:cs="Arial"/>
                <w:color w:val="000000"/>
                <w:szCs w:val="18"/>
                <w:lang w:val="pt-BR" w:eastAsia="pt-BR"/>
              </w:rPr>
              <w:t>81</w:t>
            </w:r>
          </w:p>
        </w:tc>
        <w:tc>
          <w:tcPr>
            <w:tcW w:w="880" w:type="dxa"/>
            <w:tcBorders>
              <w:top w:val="nil"/>
              <w:left w:val="nil"/>
              <w:bottom w:val="nil"/>
              <w:right w:val="nil"/>
            </w:tcBorders>
            <w:shd w:val="clear" w:color="auto" w:fill="auto"/>
            <w:noWrap/>
            <w:vAlign w:val="center"/>
            <w:hideMark/>
          </w:tcPr>
          <w:p w14:paraId="339B0D2A" w14:textId="12C61BC7" w:rsidR="000F0914" w:rsidRPr="000F0914" w:rsidRDefault="000F0914" w:rsidP="000F0914">
            <w:pPr>
              <w:tabs>
                <w:tab w:val="clear" w:pos="7100"/>
              </w:tabs>
              <w:spacing w:line="240" w:lineRule="auto"/>
              <w:jc w:val="left"/>
              <w:rPr>
                <w:rFonts w:cs="Arial"/>
                <w:color w:val="000000"/>
                <w:szCs w:val="18"/>
                <w:lang w:val="pt-BR" w:eastAsia="pt-BR"/>
              </w:rPr>
            </w:pPr>
            <w:r w:rsidRPr="000F0914">
              <w:rPr>
                <w:rFonts w:cs="Arial"/>
                <w:color w:val="000000"/>
                <w:szCs w:val="18"/>
                <w:lang w:val="pt-BR" w:eastAsia="pt-BR"/>
              </w:rPr>
              <w:t>86</w:t>
            </w:r>
            <w:r w:rsidR="002A6075">
              <w:rPr>
                <w:rFonts w:cs="Arial"/>
                <w:color w:val="000000"/>
                <w:szCs w:val="18"/>
                <w:lang w:val="pt-BR" w:eastAsia="pt-BR"/>
              </w:rPr>
              <w:t>.</w:t>
            </w:r>
            <w:r w:rsidRPr="000F0914">
              <w:rPr>
                <w:rFonts w:cs="Arial"/>
                <w:color w:val="000000"/>
                <w:szCs w:val="18"/>
                <w:lang w:val="pt-BR" w:eastAsia="pt-BR"/>
              </w:rPr>
              <w:t>81</w:t>
            </w:r>
          </w:p>
        </w:tc>
        <w:tc>
          <w:tcPr>
            <w:tcW w:w="880" w:type="dxa"/>
            <w:tcBorders>
              <w:top w:val="nil"/>
              <w:left w:val="nil"/>
              <w:bottom w:val="nil"/>
              <w:right w:val="nil"/>
            </w:tcBorders>
            <w:shd w:val="clear" w:color="auto" w:fill="auto"/>
            <w:noWrap/>
            <w:vAlign w:val="center"/>
            <w:hideMark/>
          </w:tcPr>
          <w:p w14:paraId="5E54DD0C" w14:textId="719AAFC8" w:rsidR="000F0914" w:rsidRPr="000F0914" w:rsidRDefault="000F0914" w:rsidP="000F0914">
            <w:pPr>
              <w:tabs>
                <w:tab w:val="clear" w:pos="7100"/>
              </w:tabs>
              <w:spacing w:line="240" w:lineRule="auto"/>
              <w:jc w:val="left"/>
              <w:rPr>
                <w:rFonts w:cs="Arial"/>
                <w:color w:val="000000"/>
                <w:szCs w:val="18"/>
                <w:lang w:val="pt-BR" w:eastAsia="pt-BR"/>
              </w:rPr>
            </w:pPr>
            <w:r w:rsidRPr="000F0914">
              <w:rPr>
                <w:rFonts w:cs="Arial"/>
                <w:color w:val="000000"/>
                <w:szCs w:val="18"/>
                <w:lang w:val="pt-BR" w:eastAsia="pt-BR"/>
              </w:rPr>
              <w:t>86</w:t>
            </w:r>
            <w:r w:rsidR="002A6075">
              <w:rPr>
                <w:rFonts w:cs="Arial"/>
                <w:color w:val="000000"/>
                <w:szCs w:val="18"/>
                <w:lang w:val="pt-BR" w:eastAsia="pt-BR"/>
              </w:rPr>
              <w:t>.</w:t>
            </w:r>
            <w:r w:rsidRPr="000F0914">
              <w:rPr>
                <w:rFonts w:cs="Arial"/>
                <w:color w:val="000000"/>
                <w:szCs w:val="18"/>
                <w:lang w:val="pt-BR" w:eastAsia="pt-BR"/>
              </w:rPr>
              <w:t>81</w:t>
            </w:r>
          </w:p>
        </w:tc>
      </w:tr>
      <w:tr w:rsidR="000F0914" w:rsidRPr="000F0914" w14:paraId="0DD23BF6" w14:textId="77777777" w:rsidTr="000F0914">
        <w:trPr>
          <w:trHeight w:val="300"/>
        </w:trPr>
        <w:tc>
          <w:tcPr>
            <w:tcW w:w="4040" w:type="dxa"/>
            <w:tcBorders>
              <w:top w:val="nil"/>
              <w:left w:val="nil"/>
              <w:bottom w:val="nil"/>
              <w:right w:val="nil"/>
            </w:tcBorders>
            <w:shd w:val="clear" w:color="auto" w:fill="auto"/>
            <w:noWrap/>
            <w:vAlign w:val="center"/>
            <w:hideMark/>
          </w:tcPr>
          <w:p w14:paraId="383C9909" w14:textId="516AA140" w:rsidR="000F0914" w:rsidRPr="000F0914" w:rsidRDefault="00F87111" w:rsidP="000F0914">
            <w:pPr>
              <w:tabs>
                <w:tab w:val="clear" w:pos="7100"/>
              </w:tabs>
              <w:spacing w:line="240" w:lineRule="auto"/>
              <w:jc w:val="left"/>
              <w:rPr>
                <w:rFonts w:cs="Arial"/>
                <w:color w:val="000000"/>
                <w:szCs w:val="18"/>
                <w:lang w:val="pt-BR" w:eastAsia="pt-BR"/>
              </w:rPr>
            </w:pPr>
            <w:proofErr w:type="spellStart"/>
            <w:r w:rsidRPr="00F87111">
              <w:rPr>
                <w:rFonts w:cs="Arial"/>
                <w:color w:val="000000"/>
                <w:szCs w:val="18"/>
                <w:lang w:val="pt-BR" w:eastAsia="pt-BR"/>
              </w:rPr>
              <w:t>Soy</w:t>
            </w:r>
            <w:proofErr w:type="spellEnd"/>
            <w:r w:rsidRPr="00F87111">
              <w:rPr>
                <w:rFonts w:cs="Arial"/>
                <w:color w:val="000000"/>
                <w:szCs w:val="18"/>
                <w:lang w:val="pt-BR" w:eastAsia="pt-BR"/>
              </w:rPr>
              <w:t xml:space="preserve"> </w:t>
            </w:r>
            <w:proofErr w:type="spellStart"/>
            <w:r w:rsidRPr="00F87111">
              <w:rPr>
                <w:rFonts w:cs="Arial"/>
                <w:color w:val="000000"/>
                <w:szCs w:val="18"/>
                <w:lang w:val="pt-BR" w:eastAsia="pt-BR"/>
              </w:rPr>
              <w:t>protein</w:t>
            </w:r>
            <w:proofErr w:type="spellEnd"/>
          </w:p>
        </w:tc>
        <w:tc>
          <w:tcPr>
            <w:tcW w:w="880" w:type="dxa"/>
            <w:tcBorders>
              <w:top w:val="nil"/>
              <w:left w:val="nil"/>
              <w:bottom w:val="nil"/>
              <w:right w:val="nil"/>
            </w:tcBorders>
            <w:shd w:val="clear" w:color="auto" w:fill="auto"/>
            <w:noWrap/>
            <w:vAlign w:val="center"/>
            <w:hideMark/>
          </w:tcPr>
          <w:p w14:paraId="07C7B754" w14:textId="50A50FA7" w:rsidR="000F0914" w:rsidRPr="000F0914" w:rsidRDefault="000F0914" w:rsidP="000F0914">
            <w:pPr>
              <w:tabs>
                <w:tab w:val="clear" w:pos="7100"/>
              </w:tabs>
              <w:spacing w:line="240" w:lineRule="auto"/>
              <w:jc w:val="left"/>
              <w:rPr>
                <w:rFonts w:cs="Arial"/>
                <w:color w:val="000000"/>
                <w:szCs w:val="18"/>
                <w:lang w:val="pt-BR" w:eastAsia="pt-BR"/>
              </w:rPr>
            </w:pPr>
            <w:r w:rsidRPr="000F0914">
              <w:rPr>
                <w:rFonts w:cs="Arial"/>
                <w:color w:val="000000"/>
                <w:szCs w:val="18"/>
                <w:lang w:val="pt-BR" w:eastAsia="pt-BR"/>
              </w:rPr>
              <w:t>2</w:t>
            </w:r>
            <w:r w:rsidR="002A6075">
              <w:rPr>
                <w:rFonts w:cs="Arial"/>
                <w:color w:val="000000"/>
                <w:szCs w:val="18"/>
                <w:lang w:val="pt-BR" w:eastAsia="pt-BR"/>
              </w:rPr>
              <w:t>.</w:t>
            </w:r>
            <w:r w:rsidRPr="000F0914">
              <w:rPr>
                <w:rFonts w:cs="Arial"/>
                <w:color w:val="000000"/>
                <w:szCs w:val="18"/>
                <w:lang w:val="pt-BR" w:eastAsia="pt-BR"/>
              </w:rPr>
              <w:t>5</w:t>
            </w:r>
          </w:p>
        </w:tc>
        <w:tc>
          <w:tcPr>
            <w:tcW w:w="880" w:type="dxa"/>
            <w:tcBorders>
              <w:top w:val="nil"/>
              <w:left w:val="nil"/>
              <w:bottom w:val="nil"/>
              <w:right w:val="nil"/>
            </w:tcBorders>
            <w:shd w:val="clear" w:color="auto" w:fill="auto"/>
            <w:noWrap/>
            <w:vAlign w:val="center"/>
            <w:hideMark/>
          </w:tcPr>
          <w:p w14:paraId="13D0C8D1" w14:textId="75A355D6" w:rsidR="000F0914" w:rsidRPr="000F0914" w:rsidRDefault="000F0914" w:rsidP="000F0914">
            <w:pPr>
              <w:tabs>
                <w:tab w:val="clear" w:pos="7100"/>
              </w:tabs>
              <w:spacing w:line="240" w:lineRule="auto"/>
              <w:jc w:val="left"/>
              <w:rPr>
                <w:rFonts w:cs="Arial"/>
                <w:color w:val="000000"/>
                <w:szCs w:val="18"/>
                <w:lang w:val="pt-BR" w:eastAsia="pt-BR"/>
              </w:rPr>
            </w:pPr>
            <w:r w:rsidRPr="000F0914">
              <w:rPr>
                <w:rFonts w:cs="Arial"/>
                <w:color w:val="000000"/>
                <w:szCs w:val="18"/>
                <w:lang w:val="pt-BR" w:eastAsia="pt-BR"/>
              </w:rPr>
              <w:t>2</w:t>
            </w:r>
            <w:r w:rsidR="002A6075">
              <w:rPr>
                <w:rFonts w:cs="Arial"/>
                <w:color w:val="000000"/>
                <w:szCs w:val="18"/>
                <w:lang w:val="pt-BR" w:eastAsia="pt-BR"/>
              </w:rPr>
              <w:t>.</w:t>
            </w:r>
            <w:r w:rsidRPr="000F0914">
              <w:rPr>
                <w:rFonts w:cs="Arial"/>
                <w:color w:val="000000"/>
                <w:szCs w:val="18"/>
                <w:lang w:val="pt-BR" w:eastAsia="pt-BR"/>
              </w:rPr>
              <w:t>5</w:t>
            </w:r>
          </w:p>
        </w:tc>
        <w:tc>
          <w:tcPr>
            <w:tcW w:w="880" w:type="dxa"/>
            <w:tcBorders>
              <w:top w:val="nil"/>
              <w:left w:val="nil"/>
              <w:bottom w:val="nil"/>
              <w:right w:val="nil"/>
            </w:tcBorders>
            <w:shd w:val="clear" w:color="auto" w:fill="auto"/>
            <w:noWrap/>
            <w:vAlign w:val="center"/>
            <w:hideMark/>
          </w:tcPr>
          <w:p w14:paraId="4BB4AF59" w14:textId="06C7BA40" w:rsidR="000F0914" w:rsidRPr="000F0914" w:rsidRDefault="000F0914" w:rsidP="000F0914">
            <w:pPr>
              <w:tabs>
                <w:tab w:val="clear" w:pos="7100"/>
              </w:tabs>
              <w:spacing w:line="240" w:lineRule="auto"/>
              <w:jc w:val="left"/>
              <w:rPr>
                <w:rFonts w:cs="Arial"/>
                <w:color w:val="000000"/>
                <w:szCs w:val="18"/>
                <w:lang w:val="pt-BR" w:eastAsia="pt-BR"/>
              </w:rPr>
            </w:pPr>
            <w:r w:rsidRPr="000F0914">
              <w:rPr>
                <w:rFonts w:cs="Arial"/>
                <w:color w:val="000000"/>
                <w:szCs w:val="18"/>
                <w:lang w:val="pt-BR" w:eastAsia="pt-BR"/>
              </w:rPr>
              <w:t>2</w:t>
            </w:r>
            <w:r w:rsidR="002A6075">
              <w:rPr>
                <w:rFonts w:cs="Arial"/>
                <w:color w:val="000000"/>
                <w:szCs w:val="18"/>
                <w:lang w:val="pt-BR" w:eastAsia="pt-BR"/>
              </w:rPr>
              <w:t>.</w:t>
            </w:r>
            <w:r w:rsidRPr="000F0914">
              <w:rPr>
                <w:rFonts w:cs="Arial"/>
                <w:color w:val="000000"/>
                <w:szCs w:val="18"/>
                <w:lang w:val="pt-BR" w:eastAsia="pt-BR"/>
              </w:rPr>
              <w:t>5</w:t>
            </w:r>
          </w:p>
        </w:tc>
        <w:tc>
          <w:tcPr>
            <w:tcW w:w="880" w:type="dxa"/>
            <w:tcBorders>
              <w:top w:val="nil"/>
              <w:left w:val="nil"/>
              <w:bottom w:val="nil"/>
              <w:right w:val="nil"/>
            </w:tcBorders>
            <w:shd w:val="clear" w:color="auto" w:fill="auto"/>
            <w:noWrap/>
            <w:vAlign w:val="center"/>
            <w:hideMark/>
          </w:tcPr>
          <w:p w14:paraId="6DB7D6BA" w14:textId="5085A48A" w:rsidR="000F0914" w:rsidRPr="000F0914" w:rsidRDefault="000F0914" w:rsidP="000F0914">
            <w:pPr>
              <w:tabs>
                <w:tab w:val="clear" w:pos="7100"/>
              </w:tabs>
              <w:spacing w:line="240" w:lineRule="auto"/>
              <w:jc w:val="left"/>
              <w:rPr>
                <w:rFonts w:cs="Arial"/>
                <w:color w:val="000000"/>
                <w:szCs w:val="18"/>
                <w:lang w:val="pt-BR" w:eastAsia="pt-BR"/>
              </w:rPr>
            </w:pPr>
            <w:r w:rsidRPr="000F0914">
              <w:rPr>
                <w:rFonts w:cs="Arial"/>
                <w:color w:val="000000"/>
                <w:szCs w:val="18"/>
                <w:lang w:val="pt-BR" w:eastAsia="pt-BR"/>
              </w:rPr>
              <w:t>2</w:t>
            </w:r>
            <w:r w:rsidR="002A6075">
              <w:rPr>
                <w:rFonts w:cs="Arial"/>
                <w:color w:val="000000"/>
                <w:szCs w:val="18"/>
                <w:lang w:val="pt-BR" w:eastAsia="pt-BR"/>
              </w:rPr>
              <w:t>.</w:t>
            </w:r>
            <w:r w:rsidRPr="000F0914">
              <w:rPr>
                <w:rFonts w:cs="Arial"/>
                <w:color w:val="000000"/>
                <w:szCs w:val="18"/>
                <w:lang w:val="pt-BR" w:eastAsia="pt-BR"/>
              </w:rPr>
              <w:t>5</w:t>
            </w:r>
          </w:p>
        </w:tc>
        <w:tc>
          <w:tcPr>
            <w:tcW w:w="880" w:type="dxa"/>
            <w:tcBorders>
              <w:top w:val="nil"/>
              <w:left w:val="nil"/>
              <w:bottom w:val="nil"/>
              <w:right w:val="nil"/>
            </w:tcBorders>
            <w:shd w:val="clear" w:color="auto" w:fill="auto"/>
            <w:noWrap/>
            <w:vAlign w:val="center"/>
            <w:hideMark/>
          </w:tcPr>
          <w:p w14:paraId="40B57EE7" w14:textId="3220B1F6" w:rsidR="000F0914" w:rsidRPr="000F0914" w:rsidRDefault="000F0914" w:rsidP="000F0914">
            <w:pPr>
              <w:tabs>
                <w:tab w:val="clear" w:pos="7100"/>
              </w:tabs>
              <w:spacing w:line="240" w:lineRule="auto"/>
              <w:jc w:val="left"/>
              <w:rPr>
                <w:rFonts w:cs="Arial"/>
                <w:color w:val="000000"/>
                <w:szCs w:val="18"/>
                <w:lang w:val="pt-BR" w:eastAsia="pt-BR"/>
              </w:rPr>
            </w:pPr>
            <w:r w:rsidRPr="000F0914">
              <w:rPr>
                <w:rFonts w:cs="Arial"/>
                <w:color w:val="000000"/>
                <w:szCs w:val="18"/>
                <w:lang w:val="pt-BR" w:eastAsia="pt-BR"/>
              </w:rPr>
              <w:t>2</w:t>
            </w:r>
            <w:r w:rsidR="002A6075">
              <w:rPr>
                <w:rFonts w:cs="Arial"/>
                <w:color w:val="000000"/>
                <w:szCs w:val="18"/>
                <w:lang w:val="pt-BR" w:eastAsia="pt-BR"/>
              </w:rPr>
              <w:t>.</w:t>
            </w:r>
            <w:r w:rsidRPr="000F0914">
              <w:rPr>
                <w:rFonts w:cs="Arial"/>
                <w:color w:val="000000"/>
                <w:szCs w:val="18"/>
                <w:lang w:val="pt-BR" w:eastAsia="pt-BR"/>
              </w:rPr>
              <w:t>5</w:t>
            </w:r>
          </w:p>
        </w:tc>
      </w:tr>
      <w:tr w:rsidR="000F0914" w:rsidRPr="000F0914" w14:paraId="46C5E62B" w14:textId="77777777" w:rsidTr="000F0914">
        <w:trPr>
          <w:trHeight w:val="300"/>
        </w:trPr>
        <w:tc>
          <w:tcPr>
            <w:tcW w:w="4040" w:type="dxa"/>
            <w:tcBorders>
              <w:top w:val="nil"/>
              <w:left w:val="nil"/>
              <w:bottom w:val="nil"/>
              <w:right w:val="nil"/>
            </w:tcBorders>
            <w:shd w:val="clear" w:color="auto" w:fill="auto"/>
            <w:noWrap/>
            <w:vAlign w:val="center"/>
            <w:hideMark/>
          </w:tcPr>
          <w:p w14:paraId="55531040" w14:textId="27FD17FC" w:rsidR="000F0914" w:rsidRPr="000F0914" w:rsidRDefault="00F87111" w:rsidP="000F0914">
            <w:pPr>
              <w:tabs>
                <w:tab w:val="clear" w:pos="7100"/>
              </w:tabs>
              <w:spacing w:line="240" w:lineRule="auto"/>
              <w:jc w:val="left"/>
              <w:rPr>
                <w:rFonts w:cs="Arial"/>
                <w:color w:val="000000"/>
                <w:szCs w:val="18"/>
                <w:lang w:val="pt-BR" w:eastAsia="pt-BR"/>
              </w:rPr>
            </w:pPr>
            <w:proofErr w:type="spellStart"/>
            <w:r w:rsidRPr="00F87111">
              <w:rPr>
                <w:rFonts w:cs="Arial"/>
                <w:color w:val="000000"/>
                <w:szCs w:val="18"/>
                <w:lang w:val="pt-BR" w:eastAsia="pt-BR"/>
              </w:rPr>
              <w:t>Potable</w:t>
            </w:r>
            <w:proofErr w:type="spellEnd"/>
            <w:r w:rsidRPr="00F87111">
              <w:rPr>
                <w:rFonts w:cs="Arial"/>
                <w:color w:val="000000"/>
                <w:szCs w:val="18"/>
                <w:lang w:val="pt-BR" w:eastAsia="pt-BR"/>
              </w:rPr>
              <w:t xml:space="preserve"> </w:t>
            </w:r>
            <w:proofErr w:type="spellStart"/>
            <w:r w:rsidRPr="00F87111">
              <w:rPr>
                <w:rFonts w:cs="Arial"/>
                <w:color w:val="000000"/>
                <w:szCs w:val="18"/>
                <w:lang w:val="pt-BR" w:eastAsia="pt-BR"/>
              </w:rPr>
              <w:t>water</w:t>
            </w:r>
            <w:proofErr w:type="spellEnd"/>
          </w:p>
        </w:tc>
        <w:tc>
          <w:tcPr>
            <w:tcW w:w="880" w:type="dxa"/>
            <w:tcBorders>
              <w:top w:val="nil"/>
              <w:left w:val="nil"/>
              <w:bottom w:val="nil"/>
              <w:right w:val="nil"/>
            </w:tcBorders>
            <w:shd w:val="clear" w:color="auto" w:fill="auto"/>
            <w:noWrap/>
            <w:vAlign w:val="center"/>
            <w:hideMark/>
          </w:tcPr>
          <w:p w14:paraId="6EA356D1" w14:textId="77777777" w:rsidR="000F0914" w:rsidRPr="000F0914" w:rsidRDefault="000F0914" w:rsidP="000F0914">
            <w:pPr>
              <w:tabs>
                <w:tab w:val="clear" w:pos="7100"/>
              </w:tabs>
              <w:spacing w:line="240" w:lineRule="auto"/>
              <w:jc w:val="left"/>
              <w:rPr>
                <w:rFonts w:cs="Arial"/>
                <w:color w:val="000000"/>
                <w:szCs w:val="18"/>
                <w:lang w:val="pt-BR" w:eastAsia="pt-BR"/>
              </w:rPr>
            </w:pPr>
            <w:proofErr w:type="gramStart"/>
            <w:r w:rsidRPr="000F0914">
              <w:rPr>
                <w:rFonts w:cs="Arial"/>
                <w:color w:val="000000"/>
                <w:szCs w:val="18"/>
                <w:lang w:val="pt-BR" w:eastAsia="pt-BR"/>
              </w:rPr>
              <w:t>8</w:t>
            </w:r>
            <w:proofErr w:type="gramEnd"/>
          </w:p>
        </w:tc>
        <w:tc>
          <w:tcPr>
            <w:tcW w:w="880" w:type="dxa"/>
            <w:tcBorders>
              <w:top w:val="nil"/>
              <w:left w:val="nil"/>
              <w:bottom w:val="nil"/>
              <w:right w:val="nil"/>
            </w:tcBorders>
            <w:shd w:val="clear" w:color="auto" w:fill="auto"/>
            <w:noWrap/>
            <w:vAlign w:val="center"/>
            <w:hideMark/>
          </w:tcPr>
          <w:p w14:paraId="0B467B87" w14:textId="77777777" w:rsidR="000F0914" w:rsidRPr="000F0914" w:rsidRDefault="000F0914" w:rsidP="000F0914">
            <w:pPr>
              <w:tabs>
                <w:tab w:val="clear" w:pos="7100"/>
              </w:tabs>
              <w:spacing w:line="240" w:lineRule="auto"/>
              <w:jc w:val="left"/>
              <w:rPr>
                <w:rFonts w:cs="Arial"/>
                <w:color w:val="000000"/>
                <w:szCs w:val="18"/>
                <w:lang w:val="pt-BR" w:eastAsia="pt-BR"/>
              </w:rPr>
            </w:pPr>
            <w:proofErr w:type="gramStart"/>
            <w:r w:rsidRPr="000F0914">
              <w:rPr>
                <w:rFonts w:cs="Arial"/>
                <w:color w:val="000000"/>
                <w:szCs w:val="18"/>
                <w:lang w:val="pt-BR" w:eastAsia="pt-BR"/>
              </w:rPr>
              <w:t>8</w:t>
            </w:r>
            <w:proofErr w:type="gramEnd"/>
          </w:p>
        </w:tc>
        <w:tc>
          <w:tcPr>
            <w:tcW w:w="880" w:type="dxa"/>
            <w:tcBorders>
              <w:top w:val="nil"/>
              <w:left w:val="nil"/>
              <w:bottom w:val="nil"/>
              <w:right w:val="nil"/>
            </w:tcBorders>
            <w:shd w:val="clear" w:color="auto" w:fill="auto"/>
            <w:noWrap/>
            <w:vAlign w:val="center"/>
            <w:hideMark/>
          </w:tcPr>
          <w:p w14:paraId="29FD973A" w14:textId="77777777" w:rsidR="000F0914" w:rsidRPr="000F0914" w:rsidRDefault="000F0914" w:rsidP="000F0914">
            <w:pPr>
              <w:tabs>
                <w:tab w:val="clear" w:pos="7100"/>
              </w:tabs>
              <w:spacing w:line="240" w:lineRule="auto"/>
              <w:jc w:val="left"/>
              <w:rPr>
                <w:rFonts w:cs="Arial"/>
                <w:color w:val="000000"/>
                <w:szCs w:val="18"/>
                <w:lang w:val="pt-BR" w:eastAsia="pt-BR"/>
              </w:rPr>
            </w:pPr>
            <w:proofErr w:type="gramStart"/>
            <w:r w:rsidRPr="000F0914">
              <w:rPr>
                <w:rFonts w:cs="Arial"/>
                <w:color w:val="000000"/>
                <w:szCs w:val="18"/>
                <w:lang w:val="pt-BR" w:eastAsia="pt-BR"/>
              </w:rPr>
              <w:t>8</w:t>
            </w:r>
            <w:proofErr w:type="gramEnd"/>
          </w:p>
        </w:tc>
        <w:tc>
          <w:tcPr>
            <w:tcW w:w="880" w:type="dxa"/>
            <w:tcBorders>
              <w:top w:val="nil"/>
              <w:left w:val="nil"/>
              <w:bottom w:val="nil"/>
              <w:right w:val="nil"/>
            </w:tcBorders>
            <w:shd w:val="clear" w:color="auto" w:fill="auto"/>
            <w:noWrap/>
            <w:vAlign w:val="center"/>
            <w:hideMark/>
          </w:tcPr>
          <w:p w14:paraId="009F53DB" w14:textId="77777777" w:rsidR="000F0914" w:rsidRPr="000F0914" w:rsidRDefault="000F0914" w:rsidP="000F0914">
            <w:pPr>
              <w:tabs>
                <w:tab w:val="clear" w:pos="7100"/>
              </w:tabs>
              <w:spacing w:line="240" w:lineRule="auto"/>
              <w:jc w:val="left"/>
              <w:rPr>
                <w:rFonts w:cs="Arial"/>
                <w:color w:val="000000"/>
                <w:szCs w:val="18"/>
                <w:lang w:val="pt-BR" w:eastAsia="pt-BR"/>
              </w:rPr>
            </w:pPr>
            <w:proofErr w:type="gramStart"/>
            <w:r w:rsidRPr="000F0914">
              <w:rPr>
                <w:rFonts w:cs="Arial"/>
                <w:color w:val="000000"/>
                <w:szCs w:val="18"/>
                <w:lang w:val="pt-BR" w:eastAsia="pt-BR"/>
              </w:rPr>
              <w:t>8</w:t>
            </w:r>
            <w:proofErr w:type="gramEnd"/>
          </w:p>
        </w:tc>
        <w:tc>
          <w:tcPr>
            <w:tcW w:w="880" w:type="dxa"/>
            <w:tcBorders>
              <w:top w:val="nil"/>
              <w:left w:val="nil"/>
              <w:bottom w:val="nil"/>
              <w:right w:val="nil"/>
            </w:tcBorders>
            <w:shd w:val="clear" w:color="auto" w:fill="auto"/>
            <w:noWrap/>
            <w:vAlign w:val="center"/>
            <w:hideMark/>
          </w:tcPr>
          <w:p w14:paraId="7B60AC7B" w14:textId="77777777" w:rsidR="000F0914" w:rsidRPr="000F0914" w:rsidRDefault="000F0914" w:rsidP="000F0914">
            <w:pPr>
              <w:tabs>
                <w:tab w:val="clear" w:pos="7100"/>
              </w:tabs>
              <w:spacing w:line="240" w:lineRule="auto"/>
              <w:jc w:val="left"/>
              <w:rPr>
                <w:rFonts w:cs="Arial"/>
                <w:color w:val="000000"/>
                <w:szCs w:val="18"/>
                <w:lang w:val="pt-BR" w:eastAsia="pt-BR"/>
              </w:rPr>
            </w:pPr>
            <w:proofErr w:type="gramStart"/>
            <w:r w:rsidRPr="000F0914">
              <w:rPr>
                <w:rFonts w:cs="Arial"/>
                <w:color w:val="000000"/>
                <w:szCs w:val="18"/>
                <w:lang w:val="pt-BR" w:eastAsia="pt-BR"/>
              </w:rPr>
              <w:t>8</w:t>
            </w:r>
            <w:proofErr w:type="gramEnd"/>
          </w:p>
        </w:tc>
      </w:tr>
      <w:tr w:rsidR="000F0914" w:rsidRPr="000F0914" w14:paraId="19CB6888" w14:textId="77777777" w:rsidTr="000F0914">
        <w:trPr>
          <w:trHeight w:val="300"/>
        </w:trPr>
        <w:tc>
          <w:tcPr>
            <w:tcW w:w="4040" w:type="dxa"/>
            <w:tcBorders>
              <w:top w:val="nil"/>
              <w:left w:val="nil"/>
              <w:bottom w:val="nil"/>
              <w:right w:val="nil"/>
            </w:tcBorders>
            <w:shd w:val="clear" w:color="auto" w:fill="auto"/>
            <w:noWrap/>
            <w:vAlign w:val="center"/>
            <w:hideMark/>
          </w:tcPr>
          <w:p w14:paraId="311BCBD3" w14:textId="25DE62BB" w:rsidR="000F0914" w:rsidRPr="000F0914" w:rsidRDefault="00F87111" w:rsidP="000F0914">
            <w:pPr>
              <w:tabs>
                <w:tab w:val="clear" w:pos="7100"/>
              </w:tabs>
              <w:spacing w:line="240" w:lineRule="auto"/>
              <w:jc w:val="left"/>
              <w:rPr>
                <w:rFonts w:cs="Arial"/>
                <w:color w:val="000000"/>
                <w:szCs w:val="18"/>
                <w:lang w:val="pt-BR" w:eastAsia="pt-BR"/>
              </w:rPr>
            </w:pPr>
            <w:r w:rsidRPr="00F87111">
              <w:rPr>
                <w:rFonts w:cs="Arial"/>
                <w:color w:val="000000"/>
                <w:szCs w:val="18"/>
                <w:lang w:val="pt-BR" w:eastAsia="pt-BR"/>
              </w:rPr>
              <w:t>Salt (</w:t>
            </w:r>
            <w:proofErr w:type="spellStart"/>
            <w:r w:rsidRPr="00F87111">
              <w:rPr>
                <w:rFonts w:cs="Arial"/>
                <w:color w:val="000000"/>
                <w:szCs w:val="18"/>
                <w:lang w:val="pt-BR" w:eastAsia="pt-BR"/>
              </w:rPr>
              <w:t>sodium</w:t>
            </w:r>
            <w:proofErr w:type="spellEnd"/>
            <w:r w:rsidRPr="00F87111">
              <w:rPr>
                <w:rFonts w:cs="Arial"/>
                <w:color w:val="000000"/>
                <w:szCs w:val="18"/>
                <w:lang w:val="pt-BR" w:eastAsia="pt-BR"/>
              </w:rPr>
              <w:t xml:space="preserve"> </w:t>
            </w:r>
            <w:proofErr w:type="spellStart"/>
            <w:r w:rsidRPr="00F87111">
              <w:rPr>
                <w:rFonts w:cs="Arial"/>
                <w:color w:val="000000"/>
                <w:szCs w:val="18"/>
                <w:lang w:val="pt-BR" w:eastAsia="pt-BR"/>
              </w:rPr>
              <w:t>chloride</w:t>
            </w:r>
            <w:proofErr w:type="spellEnd"/>
            <w:r w:rsidRPr="00F87111">
              <w:rPr>
                <w:rFonts w:cs="Arial"/>
                <w:color w:val="000000"/>
                <w:szCs w:val="18"/>
                <w:lang w:val="pt-BR" w:eastAsia="pt-BR"/>
              </w:rPr>
              <w:t>)</w:t>
            </w:r>
          </w:p>
        </w:tc>
        <w:tc>
          <w:tcPr>
            <w:tcW w:w="880" w:type="dxa"/>
            <w:tcBorders>
              <w:top w:val="nil"/>
              <w:left w:val="nil"/>
              <w:bottom w:val="nil"/>
              <w:right w:val="nil"/>
            </w:tcBorders>
            <w:shd w:val="clear" w:color="auto" w:fill="auto"/>
            <w:noWrap/>
            <w:vAlign w:val="center"/>
            <w:hideMark/>
          </w:tcPr>
          <w:p w14:paraId="12672D14" w14:textId="6B38D054" w:rsidR="000F0914" w:rsidRPr="000F0914" w:rsidRDefault="000F0914" w:rsidP="000F0914">
            <w:pPr>
              <w:tabs>
                <w:tab w:val="clear" w:pos="7100"/>
              </w:tabs>
              <w:spacing w:line="240" w:lineRule="auto"/>
              <w:jc w:val="left"/>
              <w:rPr>
                <w:rFonts w:cs="Arial"/>
                <w:color w:val="000000"/>
                <w:szCs w:val="18"/>
                <w:lang w:val="pt-BR" w:eastAsia="pt-BR"/>
              </w:rPr>
            </w:pPr>
            <w:r w:rsidRPr="000F0914">
              <w:rPr>
                <w:rFonts w:cs="Arial"/>
                <w:color w:val="000000"/>
                <w:szCs w:val="18"/>
                <w:lang w:val="pt-BR" w:eastAsia="pt-BR"/>
              </w:rPr>
              <w:t>1</w:t>
            </w:r>
            <w:r w:rsidR="002A6075">
              <w:rPr>
                <w:rFonts w:cs="Arial"/>
                <w:color w:val="000000"/>
                <w:szCs w:val="18"/>
                <w:lang w:val="pt-BR" w:eastAsia="pt-BR"/>
              </w:rPr>
              <w:t>.</w:t>
            </w:r>
            <w:r w:rsidRPr="000F0914">
              <w:rPr>
                <w:rFonts w:cs="Arial"/>
                <w:color w:val="000000"/>
                <w:szCs w:val="18"/>
                <w:lang w:val="pt-BR" w:eastAsia="pt-BR"/>
              </w:rPr>
              <w:t>2</w:t>
            </w:r>
          </w:p>
        </w:tc>
        <w:tc>
          <w:tcPr>
            <w:tcW w:w="880" w:type="dxa"/>
            <w:tcBorders>
              <w:top w:val="nil"/>
              <w:left w:val="nil"/>
              <w:bottom w:val="nil"/>
              <w:right w:val="nil"/>
            </w:tcBorders>
            <w:shd w:val="clear" w:color="auto" w:fill="auto"/>
            <w:noWrap/>
            <w:vAlign w:val="center"/>
            <w:hideMark/>
          </w:tcPr>
          <w:p w14:paraId="1B39206D" w14:textId="0E11B2FB" w:rsidR="000F0914" w:rsidRPr="000F0914" w:rsidRDefault="000F0914" w:rsidP="000F0914">
            <w:pPr>
              <w:tabs>
                <w:tab w:val="clear" w:pos="7100"/>
              </w:tabs>
              <w:spacing w:line="240" w:lineRule="auto"/>
              <w:jc w:val="left"/>
              <w:rPr>
                <w:rFonts w:cs="Arial"/>
                <w:color w:val="000000"/>
                <w:szCs w:val="18"/>
                <w:lang w:val="pt-BR" w:eastAsia="pt-BR"/>
              </w:rPr>
            </w:pPr>
            <w:r w:rsidRPr="000F0914">
              <w:rPr>
                <w:rFonts w:cs="Arial"/>
                <w:color w:val="000000"/>
                <w:szCs w:val="18"/>
                <w:lang w:val="pt-BR" w:eastAsia="pt-BR"/>
              </w:rPr>
              <w:t>1</w:t>
            </w:r>
            <w:r w:rsidR="002A6075">
              <w:rPr>
                <w:rFonts w:cs="Arial"/>
                <w:color w:val="000000"/>
                <w:szCs w:val="18"/>
                <w:lang w:val="pt-BR" w:eastAsia="pt-BR"/>
              </w:rPr>
              <w:t>.</w:t>
            </w:r>
            <w:r w:rsidRPr="000F0914">
              <w:rPr>
                <w:rFonts w:cs="Arial"/>
                <w:color w:val="000000"/>
                <w:szCs w:val="18"/>
                <w:lang w:val="pt-BR" w:eastAsia="pt-BR"/>
              </w:rPr>
              <w:t>06</w:t>
            </w:r>
          </w:p>
        </w:tc>
        <w:tc>
          <w:tcPr>
            <w:tcW w:w="880" w:type="dxa"/>
            <w:tcBorders>
              <w:top w:val="nil"/>
              <w:left w:val="nil"/>
              <w:bottom w:val="nil"/>
              <w:right w:val="nil"/>
            </w:tcBorders>
            <w:shd w:val="clear" w:color="auto" w:fill="auto"/>
            <w:noWrap/>
            <w:vAlign w:val="center"/>
            <w:hideMark/>
          </w:tcPr>
          <w:p w14:paraId="799DA600" w14:textId="5E56FA2B" w:rsidR="000F0914" w:rsidRPr="000F0914" w:rsidRDefault="000F0914" w:rsidP="000F0914">
            <w:pPr>
              <w:tabs>
                <w:tab w:val="clear" w:pos="7100"/>
              </w:tabs>
              <w:spacing w:line="240" w:lineRule="auto"/>
              <w:jc w:val="left"/>
              <w:rPr>
                <w:rFonts w:cs="Arial"/>
                <w:color w:val="000000"/>
                <w:szCs w:val="18"/>
                <w:lang w:val="pt-BR" w:eastAsia="pt-BR"/>
              </w:rPr>
            </w:pPr>
            <w:r w:rsidRPr="000F0914">
              <w:rPr>
                <w:rFonts w:cs="Arial"/>
                <w:color w:val="000000"/>
                <w:szCs w:val="18"/>
                <w:lang w:val="pt-BR" w:eastAsia="pt-BR"/>
              </w:rPr>
              <w:t>1</w:t>
            </w:r>
            <w:r w:rsidR="002A6075">
              <w:rPr>
                <w:rFonts w:cs="Arial"/>
                <w:color w:val="000000"/>
                <w:szCs w:val="18"/>
                <w:lang w:val="pt-BR" w:eastAsia="pt-BR"/>
              </w:rPr>
              <w:t>.</w:t>
            </w:r>
            <w:r w:rsidRPr="000F0914">
              <w:rPr>
                <w:rFonts w:cs="Arial"/>
                <w:color w:val="000000"/>
                <w:szCs w:val="18"/>
                <w:lang w:val="pt-BR" w:eastAsia="pt-BR"/>
              </w:rPr>
              <w:t>06</w:t>
            </w:r>
          </w:p>
        </w:tc>
        <w:tc>
          <w:tcPr>
            <w:tcW w:w="880" w:type="dxa"/>
            <w:tcBorders>
              <w:top w:val="nil"/>
              <w:left w:val="nil"/>
              <w:bottom w:val="nil"/>
              <w:right w:val="nil"/>
            </w:tcBorders>
            <w:shd w:val="clear" w:color="auto" w:fill="auto"/>
            <w:noWrap/>
            <w:vAlign w:val="center"/>
            <w:hideMark/>
          </w:tcPr>
          <w:p w14:paraId="2FF634E1" w14:textId="2060A409" w:rsidR="000F0914" w:rsidRPr="000F0914" w:rsidRDefault="000F0914" w:rsidP="000F0914">
            <w:pPr>
              <w:tabs>
                <w:tab w:val="clear" w:pos="7100"/>
              </w:tabs>
              <w:spacing w:line="240" w:lineRule="auto"/>
              <w:jc w:val="left"/>
              <w:rPr>
                <w:rFonts w:cs="Arial"/>
                <w:color w:val="000000"/>
                <w:szCs w:val="18"/>
                <w:lang w:val="pt-BR" w:eastAsia="pt-BR"/>
              </w:rPr>
            </w:pPr>
            <w:r w:rsidRPr="000F0914">
              <w:rPr>
                <w:rFonts w:cs="Arial"/>
                <w:color w:val="000000"/>
                <w:szCs w:val="18"/>
                <w:lang w:val="pt-BR" w:eastAsia="pt-BR"/>
              </w:rPr>
              <w:t>1</w:t>
            </w:r>
            <w:r w:rsidR="002A6075">
              <w:rPr>
                <w:rFonts w:cs="Arial"/>
                <w:color w:val="000000"/>
                <w:szCs w:val="18"/>
                <w:lang w:val="pt-BR" w:eastAsia="pt-BR"/>
              </w:rPr>
              <w:t>.</w:t>
            </w:r>
            <w:r w:rsidRPr="000F0914">
              <w:rPr>
                <w:rFonts w:cs="Arial"/>
                <w:color w:val="000000"/>
                <w:szCs w:val="18"/>
                <w:lang w:val="pt-BR" w:eastAsia="pt-BR"/>
              </w:rPr>
              <w:t>06</w:t>
            </w:r>
          </w:p>
        </w:tc>
        <w:tc>
          <w:tcPr>
            <w:tcW w:w="880" w:type="dxa"/>
            <w:tcBorders>
              <w:top w:val="nil"/>
              <w:left w:val="nil"/>
              <w:bottom w:val="nil"/>
              <w:right w:val="nil"/>
            </w:tcBorders>
            <w:shd w:val="clear" w:color="auto" w:fill="auto"/>
            <w:noWrap/>
            <w:vAlign w:val="center"/>
            <w:hideMark/>
          </w:tcPr>
          <w:p w14:paraId="13575E5A" w14:textId="2ACED9B5" w:rsidR="000F0914" w:rsidRPr="000F0914" w:rsidRDefault="000F0914" w:rsidP="000F0914">
            <w:pPr>
              <w:tabs>
                <w:tab w:val="clear" w:pos="7100"/>
              </w:tabs>
              <w:spacing w:line="240" w:lineRule="auto"/>
              <w:jc w:val="left"/>
              <w:rPr>
                <w:rFonts w:cs="Arial"/>
                <w:color w:val="000000"/>
                <w:szCs w:val="18"/>
                <w:lang w:val="pt-BR" w:eastAsia="pt-BR"/>
              </w:rPr>
            </w:pPr>
            <w:r w:rsidRPr="000F0914">
              <w:rPr>
                <w:rFonts w:cs="Arial"/>
                <w:color w:val="000000"/>
                <w:szCs w:val="18"/>
                <w:lang w:val="pt-BR" w:eastAsia="pt-BR"/>
              </w:rPr>
              <w:t>1</w:t>
            </w:r>
            <w:r w:rsidR="002A6075">
              <w:rPr>
                <w:rFonts w:cs="Arial"/>
                <w:color w:val="000000"/>
                <w:szCs w:val="18"/>
                <w:lang w:val="pt-BR" w:eastAsia="pt-BR"/>
              </w:rPr>
              <w:t>.</w:t>
            </w:r>
            <w:r w:rsidRPr="000F0914">
              <w:rPr>
                <w:rFonts w:cs="Arial"/>
                <w:color w:val="000000"/>
                <w:szCs w:val="18"/>
                <w:lang w:val="pt-BR" w:eastAsia="pt-BR"/>
              </w:rPr>
              <w:t>2</w:t>
            </w:r>
          </w:p>
        </w:tc>
      </w:tr>
      <w:tr w:rsidR="000F0914" w:rsidRPr="000F0914" w14:paraId="2F36512D" w14:textId="77777777" w:rsidTr="000F0914">
        <w:trPr>
          <w:trHeight w:val="300"/>
        </w:trPr>
        <w:tc>
          <w:tcPr>
            <w:tcW w:w="4040" w:type="dxa"/>
            <w:tcBorders>
              <w:top w:val="nil"/>
              <w:left w:val="nil"/>
              <w:bottom w:val="nil"/>
              <w:right w:val="nil"/>
            </w:tcBorders>
            <w:shd w:val="clear" w:color="auto" w:fill="auto"/>
            <w:noWrap/>
            <w:vAlign w:val="center"/>
            <w:hideMark/>
          </w:tcPr>
          <w:p w14:paraId="2B75E7F9" w14:textId="1D8B2577" w:rsidR="000F0914" w:rsidRPr="00F87111" w:rsidRDefault="00F87111" w:rsidP="000F0914">
            <w:pPr>
              <w:tabs>
                <w:tab w:val="clear" w:pos="7100"/>
              </w:tabs>
              <w:spacing w:line="240" w:lineRule="auto"/>
              <w:jc w:val="left"/>
              <w:rPr>
                <w:rFonts w:cs="Arial"/>
                <w:color w:val="000000"/>
                <w:szCs w:val="18"/>
                <w:lang w:val="en-US" w:eastAsia="pt-BR"/>
              </w:rPr>
            </w:pPr>
            <w:r w:rsidRPr="00F87111">
              <w:rPr>
                <w:rFonts w:cs="Arial"/>
                <w:color w:val="000000"/>
                <w:szCs w:val="18"/>
                <w:lang w:val="en-US" w:eastAsia="pt-BR"/>
              </w:rPr>
              <w:t>Condiment (salt, sugar, spices and aroma)</w:t>
            </w:r>
          </w:p>
        </w:tc>
        <w:tc>
          <w:tcPr>
            <w:tcW w:w="880" w:type="dxa"/>
            <w:tcBorders>
              <w:top w:val="nil"/>
              <w:left w:val="nil"/>
              <w:bottom w:val="nil"/>
              <w:right w:val="nil"/>
            </w:tcBorders>
            <w:shd w:val="clear" w:color="auto" w:fill="auto"/>
            <w:noWrap/>
            <w:vAlign w:val="center"/>
            <w:hideMark/>
          </w:tcPr>
          <w:p w14:paraId="655108A2" w14:textId="214DAE1E" w:rsidR="000F0914" w:rsidRPr="000F0914" w:rsidRDefault="000F0914" w:rsidP="000F0914">
            <w:pPr>
              <w:tabs>
                <w:tab w:val="clear" w:pos="7100"/>
              </w:tabs>
              <w:spacing w:line="240" w:lineRule="auto"/>
              <w:jc w:val="left"/>
              <w:rPr>
                <w:rFonts w:cs="Arial"/>
                <w:color w:val="000000"/>
                <w:szCs w:val="18"/>
                <w:lang w:val="pt-BR" w:eastAsia="pt-BR"/>
              </w:rPr>
            </w:pPr>
            <w:r w:rsidRPr="000F0914">
              <w:rPr>
                <w:rFonts w:cs="Arial"/>
                <w:color w:val="000000"/>
                <w:szCs w:val="18"/>
                <w:lang w:val="pt-BR" w:eastAsia="pt-BR"/>
              </w:rPr>
              <w:t>1</w:t>
            </w:r>
            <w:r w:rsidR="002A6075">
              <w:rPr>
                <w:rFonts w:cs="Arial"/>
                <w:color w:val="000000"/>
                <w:szCs w:val="18"/>
                <w:lang w:val="pt-BR" w:eastAsia="pt-BR"/>
              </w:rPr>
              <w:t>.</w:t>
            </w:r>
            <w:r w:rsidRPr="000F0914">
              <w:rPr>
                <w:rFonts w:cs="Arial"/>
                <w:color w:val="000000"/>
                <w:szCs w:val="18"/>
                <w:lang w:val="pt-BR" w:eastAsia="pt-BR"/>
              </w:rPr>
              <w:t>04</w:t>
            </w:r>
          </w:p>
        </w:tc>
        <w:tc>
          <w:tcPr>
            <w:tcW w:w="880" w:type="dxa"/>
            <w:tcBorders>
              <w:top w:val="nil"/>
              <w:left w:val="nil"/>
              <w:bottom w:val="nil"/>
              <w:right w:val="nil"/>
            </w:tcBorders>
            <w:shd w:val="clear" w:color="auto" w:fill="auto"/>
            <w:noWrap/>
            <w:vAlign w:val="center"/>
            <w:hideMark/>
          </w:tcPr>
          <w:p w14:paraId="70C50C22" w14:textId="5133E5C9" w:rsidR="000F0914" w:rsidRPr="000F0914" w:rsidRDefault="000F0914" w:rsidP="000F0914">
            <w:pPr>
              <w:tabs>
                <w:tab w:val="clear" w:pos="7100"/>
              </w:tabs>
              <w:spacing w:line="240" w:lineRule="auto"/>
              <w:jc w:val="left"/>
              <w:rPr>
                <w:rFonts w:cs="Arial"/>
                <w:color w:val="000000"/>
                <w:szCs w:val="18"/>
                <w:lang w:val="pt-BR" w:eastAsia="pt-BR"/>
              </w:rPr>
            </w:pPr>
            <w:r w:rsidRPr="000F0914">
              <w:rPr>
                <w:rFonts w:cs="Arial"/>
                <w:color w:val="000000"/>
                <w:szCs w:val="18"/>
                <w:lang w:val="pt-BR" w:eastAsia="pt-BR"/>
              </w:rPr>
              <w:t>1</w:t>
            </w:r>
            <w:r w:rsidR="002A6075">
              <w:rPr>
                <w:rFonts w:cs="Arial"/>
                <w:color w:val="000000"/>
                <w:szCs w:val="18"/>
                <w:lang w:val="pt-BR" w:eastAsia="pt-BR"/>
              </w:rPr>
              <w:t>.</w:t>
            </w:r>
            <w:r w:rsidRPr="000F0914">
              <w:rPr>
                <w:rFonts w:cs="Arial"/>
                <w:color w:val="000000"/>
                <w:szCs w:val="18"/>
                <w:lang w:val="pt-BR" w:eastAsia="pt-BR"/>
              </w:rPr>
              <w:t>04</w:t>
            </w:r>
          </w:p>
        </w:tc>
        <w:tc>
          <w:tcPr>
            <w:tcW w:w="880" w:type="dxa"/>
            <w:tcBorders>
              <w:top w:val="nil"/>
              <w:left w:val="nil"/>
              <w:bottom w:val="nil"/>
              <w:right w:val="nil"/>
            </w:tcBorders>
            <w:shd w:val="clear" w:color="auto" w:fill="auto"/>
            <w:noWrap/>
            <w:vAlign w:val="center"/>
            <w:hideMark/>
          </w:tcPr>
          <w:p w14:paraId="526F7A06" w14:textId="47E26929" w:rsidR="000F0914" w:rsidRPr="000F0914" w:rsidRDefault="000F0914" w:rsidP="000F0914">
            <w:pPr>
              <w:tabs>
                <w:tab w:val="clear" w:pos="7100"/>
              </w:tabs>
              <w:spacing w:line="240" w:lineRule="auto"/>
              <w:jc w:val="left"/>
              <w:rPr>
                <w:rFonts w:cs="Arial"/>
                <w:color w:val="000000"/>
                <w:szCs w:val="18"/>
                <w:lang w:val="pt-BR" w:eastAsia="pt-BR"/>
              </w:rPr>
            </w:pPr>
            <w:r w:rsidRPr="000F0914">
              <w:rPr>
                <w:rFonts w:cs="Arial"/>
                <w:color w:val="000000"/>
                <w:szCs w:val="18"/>
                <w:lang w:val="pt-BR" w:eastAsia="pt-BR"/>
              </w:rPr>
              <w:t>1</w:t>
            </w:r>
            <w:r w:rsidR="002A6075">
              <w:rPr>
                <w:rFonts w:cs="Arial"/>
                <w:color w:val="000000"/>
                <w:szCs w:val="18"/>
                <w:lang w:val="pt-BR" w:eastAsia="pt-BR"/>
              </w:rPr>
              <w:t>.</w:t>
            </w:r>
            <w:r w:rsidRPr="000F0914">
              <w:rPr>
                <w:rFonts w:cs="Arial"/>
                <w:color w:val="000000"/>
                <w:szCs w:val="18"/>
                <w:lang w:val="pt-BR" w:eastAsia="pt-BR"/>
              </w:rPr>
              <w:t>04</w:t>
            </w:r>
          </w:p>
        </w:tc>
        <w:tc>
          <w:tcPr>
            <w:tcW w:w="880" w:type="dxa"/>
            <w:tcBorders>
              <w:top w:val="nil"/>
              <w:left w:val="nil"/>
              <w:bottom w:val="nil"/>
              <w:right w:val="nil"/>
            </w:tcBorders>
            <w:shd w:val="clear" w:color="auto" w:fill="auto"/>
            <w:noWrap/>
            <w:vAlign w:val="center"/>
            <w:hideMark/>
          </w:tcPr>
          <w:p w14:paraId="19A913D2" w14:textId="34CA156A" w:rsidR="000F0914" w:rsidRPr="000F0914" w:rsidRDefault="000F0914" w:rsidP="000F0914">
            <w:pPr>
              <w:tabs>
                <w:tab w:val="clear" w:pos="7100"/>
              </w:tabs>
              <w:spacing w:line="240" w:lineRule="auto"/>
              <w:jc w:val="left"/>
              <w:rPr>
                <w:rFonts w:cs="Arial"/>
                <w:color w:val="000000"/>
                <w:szCs w:val="18"/>
                <w:lang w:val="pt-BR" w:eastAsia="pt-BR"/>
              </w:rPr>
            </w:pPr>
            <w:r w:rsidRPr="000F0914">
              <w:rPr>
                <w:rFonts w:cs="Arial"/>
                <w:color w:val="000000"/>
                <w:szCs w:val="18"/>
                <w:lang w:val="pt-BR" w:eastAsia="pt-BR"/>
              </w:rPr>
              <w:t>1</w:t>
            </w:r>
            <w:r w:rsidR="002A6075">
              <w:rPr>
                <w:rFonts w:cs="Arial"/>
                <w:color w:val="000000"/>
                <w:szCs w:val="18"/>
                <w:lang w:val="pt-BR" w:eastAsia="pt-BR"/>
              </w:rPr>
              <w:t>.</w:t>
            </w:r>
            <w:r w:rsidRPr="000F0914">
              <w:rPr>
                <w:rFonts w:cs="Arial"/>
                <w:color w:val="000000"/>
                <w:szCs w:val="18"/>
                <w:lang w:val="pt-BR" w:eastAsia="pt-BR"/>
              </w:rPr>
              <w:t>04</w:t>
            </w:r>
          </w:p>
        </w:tc>
        <w:tc>
          <w:tcPr>
            <w:tcW w:w="880" w:type="dxa"/>
            <w:tcBorders>
              <w:top w:val="nil"/>
              <w:left w:val="nil"/>
              <w:bottom w:val="nil"/>
              <w:right w:val="nil"/>
            </w:tcBorders>
            <w:shd w:val="clear" w:color="auto" w:fill="auto"/>
            <w:noWrap/>
            <w:vAlign w:val="center"/>
            <w:hideMark/>
          </w:tcPr>
          <w:p w14:paraId="066A1863" w14:textId="06563FC0" w:rsidR="000F0914" w:rsidRPr="000F0914" w:rsidRDefault="000F0914" w:rsidP="000F0914">
            <w:pPr>
              <w:tabs>
                <w:tab w:val="clear" w:pos="7100"/>
              </w:tabs>
              <w:spacing w:line="240" w:lineRule="auto"/>
              <w:jc w:val="left"/>
              <w:rPr>
                <w:rFonts w:cs="Arial"/>
                <w:color w:val="000000"/>
                <w:szCs w:val="18"/>
                <w:lang w:val="pt-BR" w:eastAsia="pt-BR"/>
              </w:rPr>
            </w:pPr>
            <w:r w:rsidRPr="000F0914">
              <w:rPr>
                <w:rFonts w:cs="Arial"/>
                <w:color w:val="000000"/>
                <w:szCs w:val="18"/>
                <w:lang w:val="pt-BR" w:eastAsia="pt-BR"/>
              </w:rPr>
              <w:t>1</w:t>
            </w:r>
            <w:r w:rsidR="002A6075">
              <w:rPr>
                <w:rFonts w:cs="Arial"/>
                <w:color w:val="000000"/>
                <w:szCs w:val="18"/>
                <w:lang w:val="pt-BR" w:eastAsia="pt-BR"/>
              </w:rPr>
              <w:t>.</w:t>
            </w:r>
            <w:r w:rsidRPr="000F0914">
              <w:rPr>
                <w:rFonts w:cs="Arial"/>
                <w:color w:val="000000"/>
                <w:szCs w:val="18"/>
                <w:lang w:val="pt-BR" w:eastAsia="pt-BR"/>
              </w:rPr>
              <w:t>04</w:t>
            </w:r>
          </w:p>
        </w:tc>
      </w:tr>
      <w:tr w:rsidR="000F0914" w:rsidRPr="000F0914" w14:paraId="628FA4BF" w14:textId="77777777" w:rsidTr="000F0914">
        <w:trPr>
          <w:trHeight w:val="300"/>
        </w:trPr>
        <w:tc>
          <w:tcPr>
            <w:tcW w:w="4040" w:type="dxa"/>
            <w:tcBorders>
              <w:top w:val="nil"/>
              <w:left w:val="nil"/>
              <w:bottom w:val="nil"/>
              <w:right w:val="nil"/>
            </w:tcBorders>
            <w:shd w:val="clear" w:color="auto" w:fill="auto"/>
            <w:noWrap/>
            <w:vAlign w:val="center"/>
            <w:hideMark/>
          </w:tcPr>
          <w:p w14:paraId="51D50290" w14:textId="6B9E3940" w:rsidR="000F0914" w:rsidRPr="000F0914" w:rsidRDefault="00F87111" w:rsidP="000F0914">
            <w:pPr>
              <w:tabs>
                <w:tab w:val="clear" w:pos="7100"/>
              </w:tabs>
              <w:spacing w:line="240" w:lineRule="auto"/>
              <w:jc w:val="left"/>
              <w:rPr>
                <w:rFonts w:cs="Arial"/>
                <w:color w:val="000000"/>
                <w:szCs w:val="18"/>
                <w:lang w:val="pt-BR" w:eastAsia="pt-BR"/>
              </w:rPr>
            </w:pPr>
            <w:proofErr w:type="spellStart"/>
            <w:r>
              <w:rPr>
                <w:rFonts w:cs="Arial"/>
                <w:color w:val="000000"/>
                <w:szCs w:val="18"/>
                <w:lang w:val="pt-BR" w:eastAsia="pt-BR"/>
              </w:rPr>
              <w:t>S</w:t>
            </w:r>
            <w:r w:rsidRPr="00F87111">
              <w:rPr>
                <w:rFonts w:cs="Arial"/>
                <w:color w:val="000000"/>
                <w:szCs w:val="18"/>
                <w:lang w:val="pt-BR" w:eastAsia="pt-BR"/>
              </w:rPr>
              <w:t>odium</w:t>
            </w:r>
            <w:proofErr w:type="spellEnd"/>
            <w:r w:rsidRPr="00F87111">
              <w:rPr>
                <w:rFonts w:cs="Arial"/>
                <w:color w:val="000000"/>
                <w:szCs w:val="18"/>
                <w:lang w:val="pt-BR" w:eastAsia="pt-BR"/>
              </w:rPr>
              <w:t xml:space="preserve"> </w:t>
            </w:r>
            <w:proofErr w:type="spellStart"/>
            <w:r w:rsidRPr="00F87111">
              <w:rPr>
                <w:rFonts w:cs="Arial"/>
                <w:color w:val="000000"/>
                <w:szCs w:val="18"/>
                <w:lang w:val="pt-BR" w:eastAsia="pt-BR"/>
              </w:rPr>
              <w:t>tripolyphosphate</w:t>
            </w:r>
            <w:proofErr w:type="spellEnd"/>
          </w:p>
        </w:tc>
        <w:tc>
          <w:tcPr>
            <w:tcW w:w="880" w:type="dxa"/>
            <w:tcBorders>
              <w:top w:val="nil"/>
              <w:left w:val="nil"/>
              <w:bottom w:val="nil"/>
              <w:right w:val="nil"/>
            </w:tcBorders>
            <w:shd w:val="clear" w:color="auto" w:fill="auto"/>
            <w:noWrap/>
            <w:vAlign w:val="center"/>
            <w:hideMark/>
          </w:tcPr>
          <w:p w14:paraId="73D038A2" w14:textId="49AFDF39" w:rsidR="000F0914" w:rsidRPr="000F0914" w:rsidRDefault="000F0914" w:rsidP="000F0914">
            <w:pPr>
              <w:tabs>
                <w:tab w:val="clear" w:pos="7100"/>
              </w:tabs>
              <w:spacing w:line="240" w:lineRule="auto"/>
              <w:jc w:val="left"/>
              <w:rPr>
                <w:rFonts w:cs="Arial"/>
                <w:color w:val="000000"/>
                <w:szCs w:val="18"/>
                <w:lang w:val="pt-BR" w:eastAsia="pt-BR"/>
              </w:rPr>
            </w:pPr>
            <w:r w:rsidRPr="000F0914">
              <w:rPr>
                <w:rFonts w:cs="Arial"/>
                <w:color w:val="000000"/>
                <w:szCs w:val="18"/>
                <w:lang w:val="pt-BR" w:eastAsia="pt-BR"/>
              </w:rPr>
              <w:t>0</w:t>
            </w:r>
            <w:r w:rsidR="002A6075">
              <w:rPr>
                <w:rFonts w:cs="Arial"/>
                <w:color w:val="000000"/>
                <w:szCs w:val="18"/>
                <w:lang w:val="pt-BR" w:eastAsia="pt-BR"/>
              </w:rPr>
              <w:t>.</w:t>
            </w:r>
            <w:r w:rsidRPr="000F0914">
              <w:rPr>
                <w:rFonts w:cs="Arial"/>
                <w:color w:val="000000"/>
                <w:szCs w:val="18"/>
                <w:lang w:val="pt-BR" w:eastAsia="pt-BR"/>
              </w:rPr>
              <w:t>35</w:t>
            </w:r>
          </w:p>
        </w:tc>
        <w:tc>
          <w:tcPr>
            <w:tcW w:w="880" w:type="dxa"/>
            <w:tcBorders>
              <w:top w:val="nil"/>
              <w:left w:val="nil"/>
              <w:bottom w:val="nil"/>
              <w:right w:val="nil"/>
            </w:tcBorders>
            <w:shd w:val="clear" w:color="auto" w:fill="auto"/>
            <w:noWrap/>
            <w:vAlign w:val="center"/>
            <w:hideMark/>
          </w:tcPr>
          <w:p w14:paraId="16199564" w14:textId="3307F111" w:rsidR="000F0914" w:rsidRPr="000F0914" w:rsidRDefault="000F0914" w:rsidP="000F0914">
            <w:pPr>
              <w:tabs>
                <w:tab w:val="clear" w:pos="7100"/>
              </w:tabs>
              <w:spacing w:line="240" w:lineRule="auto"/>
              <w:jc w:val="left"/>
              <w:rPr>
                <w:rFonts w:cs="Arial"/>
                <w:color w:val="000000"/>
                <w:szCs w:val="18"/>
                <w:lang w:val="pt-BR" w:eastAsia="pt-BR"/>
              </w:rPr>
            </w:pPr>
            <w:r w:rsidRPr="000F0914">
              <w:rPr>
                <w:rFonts w:cs="Arial"/>
                <w:color w:val="000000"/>
                <w:szCs w:val="18"/>
                <w:lang w:val="pt-BR" w:eastAsia="pt-BR"/>
              </w:rPr>
              <w:t>0</w:t>
            </w:r>
            <w:r w:rsidR="002A6075">
              <w:rPr>
                <w:rFonts w:cs="Arial"/>
                <w:color w:val="000000"/>
                <w:szCs w:val="18"/>
                <w:lang w:val="pt-BR" w:eastAsia="pt-BR"/>
              </w:rPr>
              <w:t>.</w:t>
            </w:r>
            <w:r w:rsidRPr="000F0914">
              <w:rPr>
                <w:rFonts w:cs="Arial"/>
                <w:color w:val="000000"/>
                <w:szCs w:val="18"/>
                <w:lang w:val="pt-BR" w:eastAsia="pt-BR"/>
              </w:rPr>
              <w:t>35</w:t>
            </w:r>
          </w:p>
        </w:tc>
        <w:tc>
          <w:tcPr>
            <w:tcW w:w="880" w:type="dxa"/>
            <w:tcBorders>
              <w:top w:val="nil"/>
              <w:left w:val="nil"/>
              <w:bottom w:val="nil"/>
              <w:right w:val="nil"/>
            </w:tcBorders>
            <w:shd w:val="clear" w:color="auto" w:fill="auto"/>
            <w:noWrap/>
            <w:vAlign w:val="center"/>
            <w:hideMark/>
          </w:tcPr>
          <w:p w14:paraId="6E84DE97" w14:textId="73BF4B78" w:rsidR="000F0914" w:rsidRPr="000F0914" w:rsidRDefault="000F0914" w:rsidP="000F0914">
            <w:pPr>
              <w:tabs>
                <w:tab w:val="clear" w:pos="7100"/>
              </w:tabs>
              <w:spacing w:line="240" w:lineRule="auto"/>
              <w:jc w:val="left"/>
              <w:rPr>
                <w:rFonts w:cs="Arial"/>
                <w:color w:val="000000"/>
                <w:szCs w:val="18"/>
                <w:lang w:val="pt-BR" w:eastAsia="pt-BR"/>
              </w:rPr>
            </w:pPr>
            <w:r w:rsidRPr="000F0914">
              <w:rPr>
                <w:rFonts w:cs="Arial"/>
                <w:color w:val="000000"/>
                <w:szCs w:val="18"/>
                <w:lang w:val="pt-BR" w:eastAsia="pt-BR"/>
              </w:rPr>
              <w:t>0</w:t>
            </w:r>
            <w:r w:rsidR="002A6075">
              <w:rPr>
                <w:rFonts w:cs="Arial"/>
                <w:color w:val="000000"/>
                <w:szCs w:val="18"/>
                <w:lang w:val="pt-BR" w:eastAsia="pt-BR"/>
              </w:rPr>
              <w:t>.</w:t>
            </w:r>
            <w:r w:rsidRPr="000F0914">
              <w:rPr>
                <w:rFonts w:cs="Arial"/>
                <w:color w:val="000000"/>
                <w:szCs w:val="18"/>
                <w:lang w:val="pt-BR" w:eastAsia="pt-BR"/>
              </w:rPr>
              <w:t>35</w:t>
            </w:r>
          </w:p>
        </w:tc>
        <w:tc>
          <w:tcPr>
            <w:tcW w:w="880" w:type="dxa"/>
            <w:tcBorders>
              <w:top w:val="nil"/>
              <w:left w:val="nil"/>
              <w:bottom w:val="nil"/>
              <w:right w:val="nil"/>
            </w:tcBorders>
            <w:shd w:val="clear" w:color="auto" w:fill="auto"/>
            <w:noWrap/>
            <w:vAlign w:val="center"/>
            <w:hideMark/>
          </w:tcPr>
          <w:p w14:paraId="7A5C28B5" w14:textId="1F7EB303" w:rsidR="000F0914" w:rsidRPr="000F0914" w:rsidRDefault="000F0914" w:rsidP="000F0914">
            <w:pPr>
              <w:tabs>
                <w:tab w:val="clear" w:pos="7100"/>
              </w:tabs>
              <w:spacing w:line="240" w:lineRule="auto"/>
              <w:jc w:val="left"/>
              <w:rPr>
                <w:rFonts w:cs="Arial"/>
                <w:color w:val="000000"/>
                <w:szCs w:val="18"/>
                <w:lang w:val="pt-BR" w:eastAsia="pt-BR"/>
              </w:rPr>
            </w:pPr>
            <w:r w:rsidRPr="000F0914">
              <w:rPr>
                <w:rFonts w:cs="Arial"/>
                <w:color w:val="000000"/>
                <w:szCs w:val="18"/>
                <w:lang w:val="pt-BR" w:eastAsia="pt-BR"/>
              </w:rPr>
              <w:t>0</w:t>
            </w:r>
            <w:r w:rsidR="002A6075">
              <w:rPr>
                <w:rFonts w:cs="Arial"/>
                <w:color w:val="000000"/>
                <w:szCs w:val="18"/>
                <w:lang w:val="pt-BR" w:eastAsia="pt-BR"/>
              </w:rPr>
              <w:t>.</w:t>
            </w:r>
            <w:r w:rsidRPr="000F0914">
              <w:rPr>
                <w:rFonts w:cs="Arial"/>
                <w:color w:val="000000"/>
                <w:szCs w:val="18"/>
                <w:lang w:val="pt-BR" w:eastAsia="pt-BR"/>
              </w:rPr>
              <w:t>35</w:t>
            </w:r>
          </w:p>
        </w:tc>
        <w:tc>
          <w:tcPr>
            <w:tcW w:w="880" w:type="dxa"/>
            <w:tcBorders>
              <w:top w:val="nil"/>
              <w:left w:val="nil"/>
              <w:bottom w:val="nil"/>
              <w:right w:val="nil"/>
            </w:tcBorders>
            <w:shd w:val="clear" w:color="auto" w:fill="auto"/>
            <w:noWrap/>
            <w:vAlign w:val="center"/>
            <w:hideMark/>
          </w:tcPr>
          <w:p w14:paraId="3C92B0A6" w14:textId="38D20FF0" w:rsidR="000F0914" w:rsidRPr="000F0914" w:rsidRDefault="000F0914" w:rsidP="000F0914">
            <w:pPr>
              <w:tabs>
                <w:tab w:val="clear" w:pos="7100"/>
              </w:tabs>
              <w:spacing w:line="240" w:lineRule="auto"/>
              <w:jc w:val="left"/>
              <w:rPr>
                <w:rFonts w:cs="Arial"/>
                <w:color w:val="000000"/>
                <w:szCs w:val="18"/>
                <w:lang w:val="pt-BR" w:eastAsia="pt-BR"/>
              </w:rPr>
            </w:pPr>
            <w:r w:rsidRPr="000F0914">
              <w:rPr>
                <w:rFonts w:cs="Arial"/>
                <w:color w:val="000000"/>
                <w:szCs w:val="18"/>
                <w:lang w:val="pt-BR" w:eastAsia="pt-BR"/>
              </w:rPr>
              <w:t>0</w:t>
            </w:r>
            <w:r w:rsidR="002A6075">
              <w:rPr>
                <w:rFonts w:cs="Arial"/>
                <w:color w:val="000000"/>
                <w:szCs w:val="18"/>
                <w:lang w:val="pt-BR" w:eastAsia="pt-BR"/>
              </w:rPr>
              <w:t>.</w:t>
            </w:r>
            <w:r w:rsidRPr="000F0914">
              <w:rPr>
                <w:rFonts w:cs="Arial"/>
                <w:color w:val="000000"/>
                <w:szCs w:val="18"/>
                <w:lang w:val="pt-BR" w:eastAsia="pt-BR"/>
              </w:rPr>
              <w:t>35</w:t>
            </w:r>
          </w:p>
        </w:tc>
      </w:tr>
      <w:tr w:rsidR="000F0914" w:rsidRPr="000F0914" w14:paraId="2851EAFB" w14:textId="77777777" w:rsidTr="000F0914">
        <w:trPr>
          <w:trHeight w:val="300"/>
        </w:trPr>
        <w:tc>
          <w:tcPr>
            <w:tcW w:w="4040" w:type="dxa"/>
            <w:tcBorders>
              <w:top w:val="nil"/>
              <w:left w:val="nil"/>
              <w:bottom w:val="nil"/>
              <w:right w:val="nil"/>
            </w:tcBorders>
            <w:shd w:val="clear" w:color="auto" w:fill="auto"/>
            <w:noWrap/>
            <w:vAlign w:val="center"/>
            <w:hideMark/>
          </w:tcPr>
          <w:p w14:paraId="3BB0286D" w14:textId="183E8CED" w:rsidR="000F0914" w:rsidRPr="000F0914" w:rsidRDefault="00F87111" w:rsidP="000F0914">
            <w:pPr>
              <w:tabs>
                <w:tab w:val="clear" w:pos="7100"/>
              </w:tabs>
              <w:spacing w:line="240" w:lineRule="auto"/>
              <w:jc w:val="left"/>
              <w:rPr>
                <w:rFonts w:cs="Arial"/>
                <w:color w:val="000000"/>
                <w:szCs w:val="18"/>
                <w:lang w:val="pt-BR" w:eastAsia="pt-BR"/>
              </w:rPr>
            </w:pPr>
            <w:proofErr w:type="spellStart"/>
            <w:r>
              <w:rPr>
                <w:rFonts w:cs="Arial"/>
                <w:color w:val="000000"/>
                <w:szCs w:val="18"/>
                <w:lang w:val="pt-BR" w:eastAsia="pt-BR"/>
              </w:rPr>
              <w:t>S</w:t>
            </w:r>
            <w:r w:rsidRPr="00F87111">
              <w:rPr>
                <w:rFonts w:cs="Arial"/>
                <w:color w:val="000000"/>
                <w:szCs w:val="18"/>
                <w:lang w:val="pt-BR" w:eastAsia="pt-BR"/>
              </w:rPr>
              <w:t>odium</w:t>
            </w:r>
            <w:proofErr w:type="spellEnd"/>
            <w:r w:rsidRPr="00F87111">
              <w:rPr>
                <w:rFonts w:cs="Arial"/>
                <w:color w:val="000000"/>
                <w:szCs w:val="18"/>
                <w:lang w:val="pt-BR" w:eastAsia="pt-BR"/>
              </w:rPr>
              <w:t xml:space="preserve"> </w:t>
            </w:r>
            <w:proofErr w:type="spellStart"/>
            <w:r w:rsidRPr="00F87111">
              <w:rPr>
                <w:rFonts w:cs="Arial"/>
                <w:color w:val="000000"/>
                <w:szCs w:val="18"/>
                <w:lang w:val="pt-BR" w:eastAsia="pt-BR"/>
              </w:rPr>
              <w:t>erythorbate</w:t>
            </w:r>
            <w:proofErr w:type="spellEnd"/>
          </w:p>
        </w:tc>
        <w:tc>
          <w:tcPr>
            <w:tcW w:w="880" w:type="dxa"/>
            <w:tcBorders>
              <w:top w:val="nil"/>
              <w:left w:val="nil"/>
              <w:bottom w:val="nil"/>
              <w:right w:val="nil"/>
            </w:tcBorders>
            <w:shd w:val="clear" w:color="auto" w:fill="auto"/>
            <w:noWrap/>
            <w:vAlign w:val="center"/>
            <w:hideMark/>
          </w:tcPr>
          <w:p w14:paraId="700BACCB" w14:textId="1BA5CB2D" w:rsidR="000F0914" w:rsidRPr="000F0914" w:rsidRDefault="000F0914" w:rsidP="000F0914">
            <w:pPr>
              <w:tabs>
                <w:tab w:val="clear" w:pos="7100"/>
              </w:tabs>
              <w:spacing w:line="240" w:lineRule="auto"/>
              <w:jc w:val="left"/>
              <w:rPr>
                <w:rFonts w:cs="Arial"/>
                <w:color w:val="000000"/>
                <w:szCs w:val="18"/>
                <w:lang w:val="pt-BR" w:eastAsia="pt-BR"/>
              </w:rPr>
            </w:pPr>
            <w:r w:rsidRPr="000F0914">
              <w:rPr>
                <w:rFonts w:cs="Arial"/>
                <w:color w:val="000000"/>
                <w:szCs w:val="18"/>
                <w:lang w:val="pt-BR" w:eastAsia="pt-BR"/>
              </w:rPr>
              <w:t>0</w:t>
            </w:r>
            <w:r w:rsidR="002A6075">
              <w:rPr>
                <w:rFonts w:cs="Arial"/>
                <w:color w:val="000000"/>
                <w:szCs w:val="18"/>
                <w:lang w:val="pt-BR" w:eastAsia="pt-BR"/>
              </w:rPr>
              <w:t>.</w:t>
            </w:r>
            <w:r w:rsidRPr="000F0914">
              <w:rPr>
                <w:rFonts w:cs="Arial"/>
                <w:color w:val="000000"/>
                <w:szCs w:val="18"/>
                <w:lang w:val="pt-BR" w:eastAsia="pt-BR"/>
              </w:rPr>
              <w:t>1</w:t>
            </w:r>
          </w:p>
        </w:tc>
        <w:tc>
          <w:tcPr>
            <w:tcW w:w="880" w:type="dxa"/>
            <w:tcBorders>
              <w:top w:val="nil"/>
              <w:left w:val="nil"/>
              <w:bottom w:val="nil"/>
              <w:right w:val="nil"/>
            </w:tcBorders>
            <w:shd w:val="clear" w:color="auto" w:fill="auto"/>
            <w:noWrap/>
            <w:vAlign w:val="center"/>
            <w:hideMark/>
          </w:tcPr>
          <w:p w14:paraId="0AF0E7BA" w14:textId="69357079" w:rsidR="000F0914" w:rsidRPr="000F0914" w:rsidRDefault="000F0914" w:rsidP="000F0914">
            <w:pPr>
              <w:tabs>
                <w:tab w:val="clear" w:pos="7100"/>
              </w:tabs>
              <w:spacing w:line="240" w:lineRule="auto"/>
              <w:jc w:val="left"/>
              <w:rPr>
                <w:rFonts w:cs="Arial"/>
                <w:color w:val="000000"/>
                <w:szCs w:val="18"/>
                <w:lang w:val="pt-BR" w:eastAsia="pt-BR"/>
              </w:rPr>
            </w:pPr>
            <w:r w:rsidRPr="000F0914">
              <w:rPr>
                <w:rFonts w:cs="Arial"/>
                <w:color w:val="000000"/>
                <w:szCs w:val="18"/>
                <w:lang w:val="pt-BR" w:eastAsia="pt-BR"/>
              </w:rPr>
              <w:t>0</w:t>
            </w:r>
            <w:r w:rsidR="002A6075">
              <w:rPr>
                <w:rFonts w:cs="Arial"/>
                <w:color w:val="000000"/>
                <w:szCs w:val="18"/>
                <w:lang w:val="pt-BR" w:eastAsia="pt-BR"/>
              </w:rPr>
              <w:t>.</w:t>
            </w:r>
            <w:r w:rsidRPr="000F0914">
              <w:rPr>
                <w:rFonts w:cs="Arial"/>
                <w:color w:val="000000"/>
                <w:szCs w:val="18"/>
                <w:lang w:val="pt-BR" w:eastAsia="pt-BR"/>
              </w:rPr>
              <w:t>1</w:t>
            </w:r>
          </w:p>
        </w:tc>
        <w:tc>
          <w:tcPr>
            <w:tcW w:w="880" w:type="dxa"/>
            <w:tcBorders>
              <w:top w:val="nil"/>
              <w:left w:val="nil"/>
              <w:bottom w:val="nil"/>
              <w:right w:val="nil"/>
            </w:tcBorders>
            <w:shd w:val="clear" w:color="auto" w:fill="auto"/>
            <w:noWrap/>
            <w:vAlign w:val="center"/>
            <w:hideMark/>
          </w:tcPr>
          <w:p w14:paraId="56F68756" w14:textId="2EB7F2BF" w:rsidR="000F0914" w:rsidRPr="000F0914" w:rsidRDefault="000F0914" w:rsidP="000F0914">
            <w:pPr>
              <w:tabs>
                <w:tab w:val="clear" w:pos="7100"/>
              </w:tabs>
              <w:spacing w:line="240" w:lineRule="auto"/>
              <w:jc w:val="left"/>
              <w:rPr>
                <w:rFonts w:cs="Arial"/>
                <w:color w:val="000000"/>
                <w:szCs w:val="18"/>
                <w:lang w:val="pt-BR" w:eastAsia="pt-BR"/>
              </w:rPr>
            </w:pPr>
            <w:r w:rsidRPr="000F0914">
              <w:rPr>
                <w:rFonts w:cs="Arial"/>
                <w:color w:val="000000"/>
                <w:szCs w:val="18"/>
                <w:lang w:val="pt-BR" w:eastAsia="pt-BR"/>
              </w:rPr>
              <w:t>0</w:t>
            </w:r>
            <w:r w:rsidR="002A6075">
              <w:rPr>
                <w:rFonts w:cs="Arial"/>
                <w:color w:val="000000"/>
                <w:szCs w:val="18"/>
                <w:lang w:val="pt-BR" w:eastAsia="pt-BR"/>
              </w:rPr>
              <w:t>.</w:t>
            </w:r>
            <w:r w:rsidRPr="000F0914">
              <w:rPr>
                <w:rFonts w:cs="Arial"/>
                <w:color w:val="000000"/>
                <w:szCs w:val="18"/>
                <w:lang w:val="pt-BR" w:eastAsia="pt-BR"/>
              </w:rPr>
              <w:t>1</w:t>
            </w:r>
          </w:p>
        </w:tc>
        <w:tc>
          <w:tcPr>
            <w:tcW w:w="880" w:type="dxa"/>
            <w:tcBorders>
              <w:top w:val="nil"/>
              <w:left w:val="nil"/>
              <w:bottom w:val="nil"/>
              <w:right w:val="nil"/>
            </w:tcBorders>
            <w:shd w:val="clear" w:color="auto" w:fill="auto"/>
            <w:noWrap/>
            <w:vAlign w:val="center"/>
            <w:hideMark/>
          </w:tcPr>
          <w:p w14:paraId="4AB2D3FF" w14:textId="294ACFBB" w:rsidR="000F0914" w:rsidRPr="000F0914" w:rsidRDefault="000F0914" w:rsidP="000F0914">
            <w:pPr>
              <w:tabs>
                <w:tab w:val="clear" w:pos="7100"/>
              </w:tabs>
              <w:spacing w:line="240" w:lineRule="auto"/>
              <w:jc w:val="left"/>
              <w:rPr>
                <w:rFonts w:cs="Arial"/>
                <w:color w:val="000000"/>
                <w:szCs w:val="18"/>
                <w:lang w:val="pt-BR" w:eastAsia="pt-BR"/>
              </w:rPr>
            </w:pPr>
            <w:r w:rsidRPr="000F0914">
              <w:rPr>
                <w:rFonts w:cs="Arial"/>
                <w:color w:val="000000"/>
                <w:szCs w:val="18"/>
                <w:lang w:val="pt-BR" w:eastAsia="pt-BR"/>
              </w:rPr>
              <w:t>0</w:t>
            </w:r>
            <w:r w:rsidR="002A6075">
              <w:rPr>
                <w:rFonts w:cs="Arial"/>
                <w:color w:val="000000"/>
                <w:szCs w:val="18"/>
                <w:lang w:val="pt-BR" w:eastAsia="pt-BR"/>
              </w:rPr>
              <w:t>.</w:t>
            </w:r>
            <w:r w:rsidRPr="000F0914">
              <w:rPr>
                <w:rFonts w:cs="Arial"/>
                <w:color w:val="000000"/>
                <w:szCs w:val="18"/>
                <w:lang w:val="pt-BR" w:eastAsia="pt-BR"/>
              </w:rPr>
              <w:t>1</w:t>
            </w:r>
          </w:p>
        </w:tc>
        <w:tc>
          <w:tcPr>
            <w:tcW w:w="880" w:type="dxa"/>
            <w:tcBorders>
              <w:top w:val="nil"/>
              <w:left w:val="nil"/>
              <w:bottom w:val="nil"/>
              <w:right w:val="nil"/>
            </w:tcBorders>
            <w:shd w:val="clear" w:color="auto" w:fill="auto"/>
            <w:noWrap/>
            <w:vAlign w:val="center"/>
            <w:hideMark/>
          </w:tcPr>
          <w:p w14:paraId="497BAABD" w14:textId="1D5D3944" w:rsidR="000F0914" w:rsidRPr="000F0914" w:rsidRDefault="000F0914" w:rsidP="000F0914">
            <w:pPr>
              <w:tabs>
                <w:tab w:val="clear" w:pos="7100"/>
              </w:tabs>
              <w:spacing w:line="240" w:lineRule="auto"/>
              <w:jc w:val="left"/>
              <w:rPr>
                <w:rFonts w:cs="Arial"/>
                <w:color w:val="000000"/>
                <w:szCs w:val="18"/>
                <w:lang w:val="pt-BR" w:eastAsia="pt-BR"/>
              </w:rPr>
            </w:pPr>
            <w:r w:rsidRPr="000F0914">
              <w:rPr>
                <w:rFonts w:cs="Arial"/>
                <w:color w:val="000000"/>
                <w:szCs w:val="18"/>
                <w:lang w:val="pt-BR" w:eastAsia="pt-BR"/>
              </w:rPr>
              <w:t>0</w:t>
            </w:r>
            <w:r w:rsidR="002A6075">
              <w:rPr>
                <w:rFonts w:cs="Arial"/>
                <w:color w:val="000000"/>
                <w:szCs w:val="18"/>
                <w:lang w:val="pt-BR" w:eastAsia="pt-BR"/>
              </w:rPr>
              <w:t>.</w:t>
            </w:r>
            <w:r w:rsidRPr="000F0914">
              <w:rPr>
                <w:rFonts w:cs="Arial"/>
                <w:color w:val="000000"/>
                <w:szCs w:val="18"/>
                <w:lang w:val="pt-BR" w:eastAsia="pt-BR"/>
              </w:rPr>
              <w:t>1</w:t>
            </w:r>
          </w:p>
        </w:tc>
      </w:tr>
      <w:tr w:rsidR="000F0914" w:rsidRPr="000F0914" w14:paraId="69617E85" w14:textId="77777777" w:rsidTr="000F0914">
        <w:trPr>
          <w:trHeight w:val="300"/>
        </w:trPr>
        <w:tc>
          <w:tcPr>
            <w:tcW w:w="4040" w:type="dxa"/>
            <w:tcBorders>
              <w:top w:val="nil"/>
              <w:left w:val="nil"/>
              <w:bottom w:val="nil"/>
              <w:right w:val="nil"/>
            </w:tcBorders>
            <w:shd w:val="clear" w:color="auto" w:fill="auto"/>
            <w:noWrap/>
            <w:vAlign w:val="center"/>
            <w:hideMark/>
          </w:tcPr>
          <w:p w14:paraId="69B05C3F" w14:textId="0C7891EB" w:rsidR="000F0914" w:rsidRPr="00F87111" w:rsidRDefault="00F87111" w:rsidP="000F0914">
            <w:pPr>
              <w:tabs>
                <w:tab w:val="clear" w:pos="7100"/>
              </w:tabs>
              <w:spacing w:line="240" w:lineRule="auto"/>
              <w:jc w:val="left"/>
              <w:rPr>
                <w:rFonts w:cs="Arial"/>
                <w:color w:val="000000"/>
                <w:szCs w:val="18"/>
                <w:lang w:val="en-US" w:eastAsia="pt-BR"/>
              </w:rPr>
            </w:pPr>
            <w:r w:rsidRPr="00F87111">
              <w:rPr>
                <w:rFonts w:cs="Arial"/>
                <w:color w:val="000000"/>
                <w:szCs w:val="18"/>
                <w:lang w:val="en-US" w:eastAsia="pt-BR"/>
              </w:rPr>
              <w:t>Curing salt (salt and sodium nitrite)</w:t>
            </w:r>
          </w:p>
        </w:tc>
        <w:tc>
          <w:tcPr>
            <w:tcW w:w="880" w:type="dxa"/>
            <w:tcBorders>
              <w:top w:val="nil"/>
              <w:left w:val="nil"/>
              <w:bottom w:val="nil"/>
              <w:right w:val="nil"/>
            </w:tcBorders>
            <w:shd w:val="clear" w:color="auto" w:fill="auto"/>
            <w:noWrap/>
            <w:vAlign w:val="center"/>
            <w:hideMark/>
          </w:tcPr>
          <w:p w14:paraId="2DCFDE84" w14:textId="77777777" w:rsidR="000F0914" w:rsidRPr="000F0914" w:rsidRDefault="000F0914" w:rsidP="000F0914">
            <w:pPr>
              <w:tabs>
                <w:tab w:val="clear" w:pos="7100"/>
              </w:tabs>
              <w:spacing w:line="240" w:lineRule="auto"/>
              <w:jc w:val="left"/>
              <w:rPr>
                <w:rFonts w:cs="Arial"/>
                <w:color w:val="000000"/>
                <w:szCs w:val="18"/>
                <w:lang w:val="pt-BR" w:eastAsia="pt-BR"/>
              </w:rPr>
            </w:pPr>
            <w:proofErr w:type="gramStart"/>
            <w:r w:rsidRPr="000F0914">
              <w:rPr>
                <w:rFonts w:cs="Arial"/>
                <w:color w:val="000000"/>
                <w:szCs w:val="18"/>
                <w:lang w:val="pt-BR" w:eastAsia="pt-BR"/>
              </w:rPr>
              <w:t>0</w:t>
            </w:r>
            <w:proofErr w:type="gramEnd"/>
          </w:p>
        </w:tc>
        <w:tc>
          <w:tcPr>
            <w:tcW w:w="880" w:type="dxa"/>
            <w:tcBorders>
              <w:top w:val="nil"/>
              <w:left w:val="nil"/>
              <w:bottom w:val="nil"/>
              <w:right w:val="nil"/>
            </w:tcBorders>
            <w:shd w:val="clear" w:color="auto" w:fill="auto"/>
            <w:noWrap/>
            <w:vAlign w:val="center"/>
            <w:hideMark/>
          </w:tcPr>
          <w:p w14:paraId="1A982A93" w14:textId="41E1FB9B" w:rsidR="000F0914" w:rsidRPr="000F0914" w:rsidRDefault="000F0914" w:rsidP="000F0914">
            <w:pPr>
              <w:tabs>
                <w:tab w:val="clear" w:pos="7100"/>
              </w:tabs>
              <w:spacing w:line="240" w:lineRule="auto"/>
              <w:jc w:val="left"/>
              <w:rPr>
                <w:rFonts w:cs="Arial"/>
                <w:color w:val="000000"/>
                <w:szCs w:val="18"/>
                <w:lang w:val="pt-BR" w:eastAsia="pt-BR"/>
              </w:rPr>
            </w:pPr>
            <w:r w:rsidRPr="000F0914">
              <w:rPr>
                <w:rFonts w:cs="Arial"/>
                <w:color w:val="000000"/>
                <w:szCs w:val="18"/>
                <w:lang w:val="pt-BR" w:eastAsia="pt-BR"/>
              </w:rPr>
              <w:t>0</w:t>
            </w:r>
            <w:r w:rsidR="002A6075">
              <w:rPr>
                <w:rFonts w:cs="Arial"/>
                <w:color w:val="000000"/>
                <w:szCs w:val="18"/>
                <w:lang w:val="pt-BR" w:eastAsia="pt-BR"/>
              </w:rPr>
              <w:t>.</w:t>
            </w:r>
            <w:r w:rsidRPr="000F0914">
              <w:rPr>
                <w:rFonts w:cs="Arial"/>
                <w:color w:val="000000"/>
                <w:szCs w:val="18"/>
                <w:lang w:val="pt-BR" w:eastAsia="pt-BR"/>
              </w:rPr>
              <w:t>15</w:t>
            </w:r>
          </w:p>
        </w:tc>
        <w:tc>
          <w:tcPr>
            <w:tcW w:w="880" w:type="dxa"/>
            <w:tcBorders>
              <w:top w:val="nil"/>
              <w:left w:val="nil"/>
              <w:bottom w:val="nil"/>
              <w:right w:val="nil"/>
            </w:tcBorders>
            <w:shd w:val="clear" w:color="auto" w:fill="auto"/>
            <w:noWrap/>
            <w:vAlign w:val="center"/>
            <w:hideMark/>
          </w:tcPr>
          <w:p w14:paraId="5AA5FADB" w14:textId="2736623D" w:rsidR="000F0914" w:rsidRPr="000F0914" w:rsidRDefault="000F0914" w:rsidP="000F0914">
            <w:pPr>
              <w:tabs>
                <w:tab w:val="clear" w:pos="7100"/>
              </w:tabs>
              <w:spacing w:line="240" w:lineRule="auto"/>
              <w:jc w:val="left"/>
              <w:rPr>
                <w:rFonts w:cs="Arial"/>
                <w:color w:val="000000"/>
                <w:szCs w:val="18"/>
                <w:lang w:val="pt-BR" w:eastAsia="pt-BR"/>
              </w:rPr>
            </w:pPr>
            <w:r w:rsidRPr="000F0914">
              <w:rPr>
                <w:rFonts w:cs="Arial"/>
                <w:color w:val="000000"/>
                <w:szCs w:val="18"/>
                <w:lang w:val="pt-BR" w:eastAsia="pt-BR"/>
              </w:rPr>
              <w:t>0</w:t>
            </w:r>
            <w:r w:rsidR="002A6075">
              <w:rPr>
                <w:rFonts w:cs="Arial"/>
                <w:color w:val="000000"/>
                <w:szCs w:val="18"/>
                <w:lang w:val="pt-BR" w:eastAsia="pt-BR"/>
              </w:rPr>
              <w:t>.</w:t>
            </w:r>
            <w:r w:rsidRPr="000F0914">
              <w:rPr>
                <w:rFonts w:cs="Arial"/>
                <w:color w:val="000000"/>
                <w:szCs w:val="18"/>
                <w:lang w:val="pt-BR" w:eastAsia="pt-BR"/>
              </w:rPr>
              <w:t>15</w:t>
            </w:r>
          </w:p>
        </w:tc>
        <w:tc>
          <w:tcPr>
            <w:tcW w:w="880" w:type="dxa"/>
            <w:tcBorders>
              <w:top w:val="nil"/>
              <w:left w:val="nil"/>
              <w:bottom w:val="nil"/>
              <w:right w:val="nil"/>
            </w:tcBorders>
            <w:shd w:val="clear" w:color="auto" w:fill="auto"/>
            <w:noWrap/>
            <w:vAlign w:val="center"/>
            <w:hideMark/>
          </w:tcPr>
          <w:p w14:paraId="2C9578E7" w14:textId="40896F2D" w:rsidR="000F0914" w:rsidRPr="000F0914" w:rsidRDefault="000F0914" w:rsidP="000F0914">
            <w:pPr>
              <w:tabs>
                <w:tab w:val="clear" w:pos="7100"/>
              </w:tabs>
              <w:spacing w:line="240" w:lineRule="auto"/>
              <w:jc w:val="left"/>
              <w:rPr>
                <w:rFonts w:cs="Arial"/>
                <w:color w:val="000000"/>
                <w:szCs w:val="18"/>
                <w:lang w:val="pt-BR" w:eastAsia="pt-BR"/>
              </w:rPr>
            </w:pPr>
            <w:r w:rsidRPr="000F0914">
              <w:rPr>
                <w:rFonts w:cs="Arial"/>
                <w:color w:val="000000"/>
                <w:szCs w:val="18"/>
                <w:lang w:val="pt-BR" w:eastAsia="pt-BR"/>
              </w:rPr>
              <w:t>0</w:t>
            </w:r>
            <w:r w:rsidR="002A6075">
              <w:rPr>
                <w:rFonts w:cs="Arial"/>
                <w:color w:val="000000"/>
                <w:szCs w:val="18"/>
                <w:lang w:val="pt-BR" w:eastAsia="pt-BR"/>
              </w:rPr>
              <w:t>.</w:t>
            </w:r>
            <w:r w:rsidRPr="000F0914">
              <w:rPr>
                <w:rFonts w:cs="Arial"/>
                <w:color w:val="000000"/>
                <w:szCs w:val="18"/>
                <w:lang w:val="pt-BR" w:eastAsia="pt-BR"/>
              </w:rPr>
              <w:t>15</w:t>
            </w:r>
          </w:p>
        </w:tc>
        <w:tc>
          <w:tcPr>
            <w:tcW w:w="880" w:type="dxa"/>
            <w:tcBorders>
              <w:top w:val="nil"/>
              <w:left w:val="nil"/>
              <w:bottom w:val="nil"/>
              <w:right w:val="nil"/>
            </w:tcBorders>
            <w:shd w:val="clear" w:color="auto" w:fill="auto"/>
            <w:noWrap/>
            <w:vAlign w:val="center"/>
            <w:hideMark/>
          </w:tcPr>
          <w:p w14:paraId="7D4C0B7C" w14:textId="77777777" w:rsidR="000F0914" w:rsidRPr="000F0914" w:rsidRDefault="000F0914" w:rsidP="000F0914">
            <w:pPr>
              <w:tabs>
                <w:tab w:val="clear" w:pos="7100"/>
              </w:tabs>
              <w:spacing w:line="240" w:lineRule="auto"/>
              <w:jc w:val="left"/>
              <w:rPr>
                <w:rFonts w:cs="Arial"/>
                <w:color w:val="000000"/>
                <w:szCs w:val="18"/>
                <w:lang w:val="pt-BR" w:eastAsia="pt-BR"/>
              </w:rPr>
            </w:pPr>
            <w:proofErr w:type="gramStart"/>
            <w:r w:rsidRPr="000F0914">
              <w:rPr>
                <w:rFonts w:cs="Arial"/>
                <w:color w:val="000000"/>
                <w:szCs w:val="18"/>
                <w:lang w:val="pt-BR" w:eastAsia="pt-BR"/>
              </w:rPr>
              <w:t>0</w:t>
            </w:r>
            <w:proofErr w:type="gramEnd"/>
          </w:p>
        </w:tc>
      </w:tr>
      <w:tr w:rsidR="000F0914" w:rsidRPr="000F0914" w14:paraId="6F03F31C" w14:textId="77777777" w:rsidTr="000F0914">
        <w:trPr>
          <w:trHeight w:val="300"/>
        </w:trPr>
        <w:tc>
          <w:tcPr>
            <w:tcW w:w="4040" w:type="dxa"/>
            <w:tcBorders>
              <w:top w:val="nil"/>
              <w:left w:val="nil"/>
              <w:bottom w:val="nil"/>
              <w:right w:val="nil"/>
            </w:tcBorders>
            <w:shd w:val="clear" w:color="auto" w:fill="auto"/>
            <w:noWrap/>
            <w:vAlign w:val="center"/>
            <w:hideMark/>
          </w:tcPr>
          <w:p w14:paraId="5C3F9280" w14:textId="21754AAF" w:rsidR="000F0914" w:rsidRPr="000F0914" w:rsidRDefault="00F87111" w:rsidP="000F0914">
            <w:pPr>
              <w:tabs>
                <w:tab w:val="clear" w:pos="7100"/>
              </w:tabs>
              <w:spacing w:line="240" w:lineRule="auto"/>
              <w:jc w:val="left"/>
              <w:rPr>
                <w:rFonts w:cs="Arial"/>
                <w:color w:val="000000"/>
                <w:szCs w:val="18"/>
                <w:lang w:val="pt-BR" w:eastAsia="pt-BR"/>
              </w:rPr>
            </w:pPr>
            <w:proofErr w:type="spellStart"/>
            <w:r>
              <w:rPr>
                <w:rFonts w:cs="Arial"/>
                <w:color w:val="000000"/>
                <w:szCs w:val="18"/>
                <w:lang w:val="pt-BR" w:eastAsia="pt-BR"/>
              </w:rPr>
              <w:t>S</w:t>
            </w:r>
            <w:r w:rsidRPr="00F87111">
              <w:rPr>
                <w:rFonts w:cs="Arial"/>
                <w:color w:val="000000"/>
                <w:szCs w:val="18"/>
                <w:lang w:val="pt-BR" w:eastAsia="pt-BR"/>
              </w:rPr>
              <w:t>odium</w:t>
            </w:r>
            <w:proofErr w:type="spellEnd"/>
            <w:r w:rsidRPr="00F87111">
              <w:rPr>
                <w:rFonts w:cs="Arial"/>
                <w:color w:val="000000"/>
                <w:szCs w:val="18"/>
                <w:lang w:val="pt-BR" w:eastAsia="pt-BR"/>
              </w:rPr>
              <w:t xml:space="preserve"> </w:t>
            </w:r>
            <w:proofErr w:type="spellStart"/>
            <w:r w:rsidRPr="00F87111">
              <w:rPr>
                <w:rFonts w:cs="Arial"/>
                <w:color w:val="000000"/>
                <w:szCs w:val="18"/>
                <w:lang w:val="pt-BR" w:eastAsia="pt-BR"/>
              </w:rPr>
              <w:t>lactate</w:t>
            </w:r>
            <w:proofErr w:type="spellEnd"/>
          </w:p>
        </w:tc>
        <w:tc>
          <w:tcPr>
            <w:tcW w:w="880" w:type="dxa"/>
            <w:tcBorders>
              <w:top w:val="nil"/>
              <w:left w:val="nil"/>
              <w:bottom w:val="nil"/>
              <w:right w:val="nil"/>
            </w:tcBorders>
            <w:shd w:val="clear" w:color="auto" w:fill="auto"/>
            <w:noWrap/>
            <w:vAlign w:val="center"/>
            <w:hideMark/>
          </w:tcPr>
          <w:p w14:paraId="0DE41EB5" w14:textId="77777777" w:rsidR="000F0914" w:rsidRPr="000F0914" w:rsidRDefault="000F0914" w:rsidP="000F0914">
            <w:pPr>
              <w:tabs>
                <w:tab w:val="clear" w:pos="7100"/>
              </w:tabs>
              <w:spacing w:line="240" w:lineRule="auto"/>
              <w:jc w:val="left"/>
              <w:rPr>
                <w:rFonts w:cs="Arial"/>
                <w:color w:val="000000"/>
                <w:szCs w:val="18"/>
                <w:lang w:val="pt-BR" w:eastAsia="pt-BR"/>
              </w:rPr>
            </w:pPr>
            <w:proofErr w:type="gramStart"/>
            <w:r w:rsidRPr="000F0914">
              <w:rPr>
                <w:rFonts w:cs="Arial"/>
                <w:color w:val="000000"/>
                <w:szCs w:val="18"/>
                <w:lang w:val="pt-BR" w:eastAsia="pt-BR"/>
              </w:rPr>
              <w:t>0</w:t>
            </w:r>
            <w:proofErr w:type="gramEnd"/>
          </w:p>
        </w:tc>
        <w:tc>
          <w:tcPr>
            <w:tcW w:w="880" w:type="dxa"/>
            <w:tcBorders>
              <w:top w:val="nil"/>
              <w:left w:val="nil"/>
              <w:bottom w:val="nil"/>
              <w:right w:val="nil"/>
            </w:tcBorders>
            <w:shd w:val="clear" w:color="auto" w:fill="auto"/>
            <w:noWrap/>
            <w:vAlign w:val="center"/>
            <w:hideMark/>
          </w:tcPr>
          <w:p w14:paraId="037AAFF1" w14:textId="77777777" w:rsidR="000F0914" w:rsidRPr="000F0914" w:rsidRDefault="000F0914" w:rsidP="000F0914">
            <w:pPr>
              <w:tabs>
                <w:tab w:val="clear" w:pos="7100"/>
              </w:tabs>
              <w:spacing w:line="240" w:lineRule="auto"/>
              <w:jc w:val="left"/>
              <w:rPr>
                <w:rFonts w:cs="Arial"/>
                <w:color w:val="000000"/>
                <w:szCs w:val="18"/>
                <w:lang w:val="pt-BR" w:eastAsia="pt-BR"/>
              </w:rPr>
            </w:pPr>
            <w:proofErr w:type="gramStart"/>
            <w:r w:rsidRPr="000F0914">
              <w:rPr>
                <w:rFonts w:cs="Arial"/>
                <w:color w:val="000000"/>
                <w:szCs w:val="18"/>
                <w:lang w:val="pt-BR" w:eastAsia="pt-BR"/>
              </w:rPr>
              <w:t>2</w:t>
            </w:r>
            <w:proofErr w:type="gramEnd"/>
          </w:p>
        </w:tc>
        <w:tc>
          <w:tcPr>
            <w:tcW w:w="880" w:type="dxa"/>
            <w:tcBorders>
              <w:top w:val="nil"/>
              <w:left w:val="nil"/>
              <w:bottom w:val="nil"/>
              <w:right w:val="nil"/>
            </w:tcBorders>
            <w:shd w:val="clear" w:color="auto" w:fill="auto"/>
            <w:noWrap/>
            <w:vAlign w:val="center"/>
            <w:hideMark/>
          </w:tcPr>
          <w:p w14:paraId="14BC6E25" w14:textId="77777777" w:rsidR="000F0914" w:rsidRPr="000F0914" w:rsidRDefault="000F0914" w:rsidP="000F0914">
            <w:pPr>
              <w:tabs>
                <w:tab w:val="clear" w:pos="7100"/>
              </w:tabs>
              <w:spacing w:line="240" w:lineRule="auto"/>
              <w:jc w:val="left"/>
              <w:rPr>
                <w:rFonts w:cs="Arial"/>
                <w:color w:val="000000"/>
                <w:szCs w:val="18"/>
                <w:lang w:val="pt-BR" w:eastAsia="pt-BR"/>
              </w:rPr>
            </w:pPr>
            <w:proofErr w:type="gramStart"/>
            <w:r w:rsidRPr="000F0914">
              <w:rPr>
                <w:rFonts w:cs="Arial"/>
                <w:color w:val="000000"/>
                <w:szCs w:val="18"/>
                <w:lang w:val="pt-BR" w:eastAsia="pt-BR"/>
              </w:rPr>
              <w:t>0</w:t>
            </w:r>
            <w:proofErr w:type="gramEnd"/>
          </w:p>
        </w:tc>
        <w:tc>
          <w:tcPr>
            <w:tcW w:w="880" w:type="dxa"/>
            <w:tcBorders>
              <w:top w:val="nil"/>
              <w:left w:val="nil"/>
              <w:bottom w:val="nil"/>
              <w:right w:val="nil"/>
            </w:tcBorders>
            <w:shd w:val="clear" w:color="auto" w:fill="auto"/>
            <w:noWrap/>
            <w:vAlign w:val="center"/>
            <w:hideMark/>
          </w:tcPr>
          <w:p w14:paraId="1BDA40C2" w14:textId="77777777" w:rsidR="000F0914" w:rsidRPr="000F0914" w:rsidRDefault="000F0914" w:rsidP="000F0914">
            <w:pPr>
              <w:tabs>
                <w:tab w:val="clear" w:pos="7100"/>
              </w:tabs>
              <w:spacing w:line="240" w:lineRule="auto"/>
              <w:jc w:val="left"/>
              <w:rPr>
                <w:rFonts w:cs="Arial"/>
                <w:color w:val="000000"/>
                <w:szCs w:val="18"/>
                <w:lang w:val="pt-BR" w:eastAsia="pt-BR"/>
              </w:rPr>
            </w:pPr>
            <w:proofErr w:type="gramStart"/>
            <w:r w:rsidRPr="000F0914">
              <w:rPr>
                <w:rFonts w:cs="Arial"/>
                <w:color w:val="000000"/>
                <w:szCs w:val="18"/>
                <w:lang w:val="pt-BR" w:eastAsia="pt-BR"/>
              </w:rPr>
              <w:t>0</w:t>
            </w:r>
            <w:proofErr w:type="gramEnd"/>
          </w:p>
        </w:tc>
        <w:tc>
          <w:tcPr>
            <w:tcW w:w="880" w:type="dxa"/>
            <w:tcBorders>
              <w:top w:val="nil"/>
              <w:left w:val="nil"/>
              <w:bottom w:val="nil"/>
              <w:right w:val="nil"/>
            </w:tcBorders>
            <w:shd w:val="clear" w:color="auto" w:fill="auto"/>
            <w:noWrap/>
            <w:vAlign w:val="center"/>
            <w:hideMark/>
          </w:tcPr>
          <w:p w14:paraId="1EF3189D" w14:textId="77777777" w:rsidR="000F0914" w:rsidRPr="000F0914" w:rsidRDefault="000F0914" w:rsidP="000F0914">
            <w:pPr>
              <w:tabs>
                <w:tab w:val="clear" w:pos="7100"/>
              </w:tabs>
              <w:spacing w:line="240" w:lineRule="auto"/>
              <w:jc w:val="left"/>
              <w:rPr>
                <w:rFonts w:cs="Arial"/>
                <w:color w:val="000000"/>
                <w:szCs w:val="18"/>
                <w:lang w:val="pt-BR" w:eastAsia="pt-BR"/>
              </w:rPr>
            </w:pPr>
            <w:proofErr w:type="gramStart"/>
            <w:r w:rsidRPr="000F0914">
              <w:rPr>
                <w:rFonts w:cs="Arial"/>
                <w:color w:val="000000"/>
                <w:szCs w:val="18"/>
                <w:lang w:val="pt-BR" w:eastAsia="pt-BR"/>
              </w:rPr>
              <w:t>0</w:t>
            </w:r>
            <w:proofErr w:type="gramEnd"/>
          </w:p>
        </w:tc>
      </w:tr>
      <w:tr w:rsidR="000F0914" w:rsidRPr="000F0914" w14:paraId="52E36C6C" w14:textId="77777777" w:rsidTr="000F0914">
        <w:trPr>
          <w:trHeight w:val="315"/>
        </w:trPr>
        <w:tc>
          <w:tcPr>
            <w:tcW w:w="4040" w:type="dxa"/>
            <w:tcBorders>
              <w:top w:val="nil"/>
              <w:left w:val="nil"/>
              <w:bottom w:val="single" w:sz="12" w:space="0" w:color="008000"/>
              <w:right w:val="nil"/>
            </w:tcBorders>
            <w:shd w:val="clear" w:color="000000" w:fill="FFFFFF"/>
            <w:vAlign w:val="center"/>
            <w:hideMark/>
          </w:tcPr>
          <w:p w14:paraId="05925C3B" w14:textId="5A9E8ED2" w:rsidR="000F0914" w:rsidRPr="000F0914" w:rsidRDefault="00F87111" w:rsidP="000F0914">
            <w:pPr>
              <w:tabs>
                <w:tab w:val="clear" w:pos="7100"/>
              </w:tabs>
              <w:spacing w:line="240" w:lineRule="auto"/>
              <w:jc w:val="left"/>
              <w:rPr>
                <w:rFonts w:cs="Arial"/>
                <w:color w:val="000000"/>
                <w:szCs w:val="18"/>
                <w:lang w:val="pt-BR" w:eastAsia="pt-BR"/>
              </w:rPr>
            </w:pPr>
            <w:r>
              <w:rPr>
                <w:rFonts w:cs="Arial"/>
                <w:color w:val="000000"/>
                <w:szCs w:val="18"/>
                <w:lang w:val="pt-BR" w:eastAsia="pt-BR"/>
              </w:rPr>
              <w:t>PCAE</w:t>
            </w:r>
          </w:p>
        </w:tc>
        <w:tc>
          <w:tcPr>
            <w:tcW w:w="880" w:type="dxa"/>
            <w:tcBorders>
              <w:top w:val="nil"/>
              <w:left w:val="nil"/>
              <w:bottom w:val="single" w:sz="12" w:space="0" w:color="008000"/>
              <w:right w:val="nil"/>
            </w:tcBorders>
            <w:shd w:val="clear" w:color="000000" w:fill="FFFFFF"/>
            <w:vAlign w:val="center"/>
            <w:hideMark/>
          </w:tcPr>
          <w:p w14:paraId="5AE8FC01" w14:textId="77777777" w:rsidR="000F0914" w:rsidRPr="000F0914" w:rsidRDefault="000F0914" w:rsidP="000F0914">
            <w:pPr>
              <w:tabs>
                <w:tab w:val="clear" w:pos="7100"/>
              </w:tabs>
              <w:spacing w:line="240" w:lineRule="auto"/>
              <w:jc w:val="left"/>
              <w:rPr>
                <w:rFonts w:cs="Arial"/>
                <w:color w:val="000000"/>
                <w:szCs w:val="18"/>
                <w:lang w:val="pt-BR" w:eastAsia="pt-BR"/>
              </w:rPr>
            </w:pPr>
            <w:proofErr w:type="gramStart"/>
            <w:r w:rsidRPr="000F0914">
              <w:rPr>
                <w:rFonts w:cs="Arial"/>
                <w:color w:val="000000"/>
                <w:szCs w:val="18"/>
                <w:lang w:val="pt-BR" w:eastAsia="pt-BR"/>
              </w:rPr>
              <w:t>0</w:t>
            </w:r>
            <w:proofErr w:type="gramEnd"/>
          </w:p>
        </w:tc>
        <w:tc>
          <w:tcPr>
            <w:tcW w:w="880" w:type="dxa"/>
            <w:tcBorders>
              <w:top w:val="nil"/>
              <w:left w:val="nil"/>
              <w:bottom w:val="single" w:sz="12" w:space="0" w:color="008000"/>
              <w:right w:val="nil"/>
            </w:tcBorders>
            <w:shd w:val="clear" w:color="000000" w:fill="FFFFFF"/>
            <w:vAlign w:val="center"/>
            <w:hideMark/>
          </w:tcPr>
          <w:p w14:paraId="37189186" w14:textId="77777777" w:rsidR="000F0914" w:rsidRPr="000F0914" w:rsidRDefault="000F0914" w:rsidP="000F0914">
            <w:pPr>
              <w:tabs>
                <w:tab w:val="clear" w:pos="7100"/>
              </w:tabs>
              <w:spacing w:line="240" w:lineRule="auto"/>
              <w:jc w:val="left"/>
              <w:rPr>
                <w:rFonts w:cs="Arial"/>
                <w:color w:val="000000"/>
                <w:szCs w:val="18"/>
                <w:lang w:val="pt-BR" w:eastAsia="pt-BR"/>
              </w:rPr>
            </w:pPr>
            <w:proofErr w:type="gramStart"/>
            <w:r w:rsidRPr="000F0914">
              <w:rPr>
                <w:rFonts w:cs="Arial"/>
                <w:color w:val="000000"/>
                <w:szCs w:val="18"/>
                <w:lang w:val="pt-BR" w:eastAsia="pt-BR"/>
              </w:rPr>
              <w:t>0</w:t>
            </w:r>
            <w:proofErr w:type="gramEnd"/>
          </w:p>
        </w:tc>
        <w:tc>
          <w:tcPr>
            <w:tcW w:w="880" w:type="dxa"/>
            <w:tcBorders>
              <w:top w:val="nil"/>
              <w:left w:val="nil"/>
              <w:bottom w:val="single" w:sz="12" w:space="0" w:color="008000"/>
              <w:right w:val="nil"/>
            </w:tcBorders>
            <w:shd w:val="clear" w:color="000000" w:fill="FFFFFF"/>
            <w:vAlign w:val="center"/>
            <w:hideMark/>
          </w:tcPr>
          <w:p w14:paraId="44938F61" w14:textId="4E6C58CC" w:rsidR="000F0914" w:rsidRPr="000F0914" w:rsidRDefault="000F0914" w:rsidP="000F0914">
            <w:pPr>
              <w:tabs>
                <w:tab w:val="clear" w:pos="7100"/>
              </w:tabs>
              <w:spacing w:line="240" w:lineRule="auto"/>
              <w:jc w:val="left"/>
              <w:rPr>
                <w:rFonts w:cs="Arial"/>
                <w:color w:val="000000"/>
                <w:szCs w:val="18"/>
                <w:lang w:val="pt-BR" w:eastAsia="pt-BR"/>
              </w:rPr>
            </w:pPr>
            <w:r w:rsidRPr="000F0914">
              <w:rPr>
                <w:rFonts w:cs="Arial"/>
                <w:color w:val="000000"/>
                <w:szCs w:val="18"/>
                <w:lang w:val="pt-BR" w:eastAsia="pt-BR"/>
              </w:rPr>
              <w:t>2</w:t>
            </w:r>
            <w:r w:rsidR="002A6075">
              <w:rPr>
                <w:rFonts w:cs="Arial"/>
                <w:color w:val="000000"/>
                <w:szCs w:val="18"/>
                <w:lang w:val="pt-BR" w:eastAsia="pt-BR"/>
              </w:rPr>
              <w:t>.</w:t>
            </w:r>
            <w:r w:rsidRPr="000F0914">
              <w:rPr>
                <w:rFonts w:cs="Arial"/>
                <w:color w:val="000000"/>
                <w:szCs w:val="18"/>
                <w:lang w:val="pt-BR" w:eastAsia="pt-BR"/>
              </w:rPr>
              <w:t>5</w:t>
            </w:r>
          </w:p>
        </w:tc>
        <w:tc>
          <w:tcPr>
            <w:tcW w:w="880" w:type="dxa"/>
            <w:tcBorders>
              <w:top w:val="nil"/>
              <w:left w:val="nil"/>
              <w:bottom w:val="single" w:sz="12" w:space="0" w:color="008000"/>
              <w:right w:val="nil"/>
            </w:tcBorders>
            <w:shd w:val="clear" w:color="000000" w:fill="FFFFFF"/>
            <w:vAlign w:val="center"/>
            <w:hideMark/>
          </w:tcPr>
          <w:p w14:paraId="6BF063F0" w14:textId="255DA1E1" w:rsidR="000F0914" w:rsidRPr="000F0914" w:rsidRDefault="000F0914" w:rsidP="000F0914">
            <w:pPr>
              <w:tabs>
                <w:tab w:val="clear" w:pos="7100"/>
              </w:tabs>
              <w:spacing w:line="240" w:lineRule="auto"/>
              <w:jc w:val="left"/>
              <w:rPr>
                <w:rFonts w:cs="Arial"/>
                <w:color w:val="000000"/>
                <w:szCs w:val="18"/>
                <w:lang w:val="pt-BR" w:eastAsia="pt-BR"/>
              </w:rPr>
            </w:pPr>
            <w:r w:rsidRPr="000F0914">
              <w:rPr>
                <w:rFonts w:cs="Arial"/>
                <w:color w:val="000000"/>
                <w:szCs w:val="18"/>
                <w:lang w:val="pt-BR" w:eastAsia="pt-BR"/>
              </w:rPr>
              <w:t>3</w:t>
            </w:r>
            <w:r w:rsidR="002A6075">
              <w:rPr>
                <w:rFonts w:cs="Arial"/>
                <w:color w:val="000000"/>
                <w:szCs w:val="18"/>
                <w:lang w:val="pt-BR" w:eastAsia="pt-BR"/>
              </w:rPr>
              <w:t>.</w:t>
            </w:r>
            <w:r w:rsidRPr="000F0914">
              <w:rPr>
                <w:rFonts w:cs="Arial"/>
                <w:color w:val="000000"/>
                <w:szCs w:val="18"/>
                <w:lang w:val="pt-BR" w:eastAsia="pt-BR"/>
              </w:rPr>
              <w:t>5</w:t>
            </w:r>
          </w:p>
        </w:tc>
        <w:tc>
          <w:tcPr>
            <w:tcW w:w="880" w:type="dxa"/>
            <w:tcBorders>
              <w:top w:val="nil"/>
              <w:left w:val="nil"/>
              <w:bottom w:val="single" w:sz="12" w:space="0" w:color="008000"/>
              <w:right w:val="nil"/>
            </w:tcBorders>
            <w:shd w:val="clear" w:color="000000" w:fill="FFFFFF"/>
            <w:vAlign w:val="center"/>
            <w:hideMark/>
          </w:tcPr>
          <w:p w14:paraId="0036D704" w14:textId="78DA621C" w:rsidR="000F0914" w:rsidRPr="000F0914" w:rsidRDefault="000F0914" w:rsidP="000F0914">
            <w:pPr>
              <w:tabs>
                <w:tab w:val="clear" w:pos="7100"/>
              </w:tabs>
              <w:spacing w:line="240" w:lineRule="auto"/>
              <w:jc w:val="left"/>
              <w:rPr>
                <w:rFonts w:cs="Arial"/>
                <w:color w:val="000000"/>
                <w:szCs w:val="18"/>
                <w:lang w:val="pt-BR" w:eastAsia="pt-BR"/>
              </w:rPr>
            </w:pPr>
            <w:r w:rsidRPr="000F0914">
              <w:rPr>
                <w:rFonts w:cs="Arial"/>
                <w:color w:val="000000"/>
                <w:szCs w:val="18"/>
                <w:lang w:val="pt-BR" w:eastAsia="pt-BR"/>
              </w:rPr>
              <w:t>4</w:t>
            </w:r>
            <w:r w:rsidR="002A6075">
              <w:rPr>
                <w:rFonts w:cs="Arial"/>
                <w:color w:val="000000"/>
                <w:szCs w:val="18"/>
                <w:lang w:val="pt-BR" w:eastAsia="pt-BR"/>
              </w:rPr>
              <w:t>.</w:t>
            </w:r>
            <w:r w:rsidRPr="000F0914">
              <w:rPr>
                <w:rFonts w:cs="Arial"/>
                <w:color w:val="000000"/>
                <w:szCs w:val="18"/>
                <w:lang w:val="pt-BR" w:eastAsia="pt-BR"/>
              </w:rPr>
              <w:t>5</w:t>
            </w:r>
          </w:p>
        </w:tc>
      </w:tr>
    </w:tbl>
    <w:p w14:paraId="28B41C04" w14:textId="77777777" w:rsidR="002A6075" w:rsidRDefault="002A6075" w:rsidP="004F524C">
      <w:pPr>
        <w:pStyle w:val="CETheadingx"/>
      </w:pPr>
    </w:p>
    <w:p w14:paraId="1C549811" w14:textId="77777777" w:rsidR="002A6075" w:rsidRPr="004F524C" w:rsidRDefault="002A6075" w:rsidP="004F524C">
      <w:pPr>
        <w:pStyle w:val="CETheadingx"/>
        <w:rPr>
          <w:b/>
          <w:bCs w:val="0"/>
        </w:rPr>
      </w:pPr>
      <w:r w:rsidRPr="004F524C">
        <w:rPr>
          <w:b/>
          <w:bCs w:val="0"/>
        </w:rPr>
        <w:t>2.3 Sensory evaluation</w:t>
      </w:r>
    </w:p>
    <w:p w14:paraId="0AC5678A" w14:textId="350E8104" w:rsidR="002A6075" w:rsidRPr="00E52D82" w:rsidRDefault="002A6075" w:rsidP="004F524C">
      <w:pPr>
        <w:pStyle w:val="CETheadingx"/>
      </w:pPr>
      <w:r w:rsidRPr="00E52D82">
        <w:t xml:space="preserve">A panel of 60 tasters, untrained, composed of 15 men and 45 women, between 22 and 50 years old, declared as sausage consumers, was randomly selected. The sausages were prepared on an electric grill for 30 minutes. After roasting, they were cut into portions of approximately 20 grams and served to tasters according to each test. The sensory attributes 'identification of the standard sample in relation to the treatment samples' </w:t>
      </w:r>
      <w:proofErr w:type="gramStart"/>
      <w:r w:rsidRPr="00E52D82">
        <w:t>were</w:t>
      </w:r>
      <w:proofErr w:type="gramEnd"/>
      <w:r w:rsidRPr="00E52D82">
        <w:t xml:space="preserve"> quantified by the difference test (duo-trio). Panel members received a standard sample (P) and two samples coded with random numbers (three digits), and each panelist was asked to identify the treatment sample with attributes </w:t>
      </w:r>
      <w:r w:rsidR="00E52D82" w:rsidRPr="00E52D82">
        <w:t>like</w:t>
      </w:r>
      <w:r w:rsidRPr="00E52D82">
        <w:t xml:space="preserve"> the standard. Concomitantly, an acceptance test was also carried out, using a hedonic scale with a 9-point score. Finally, tasters were asked to identify the preferred sample among the samples added with PCAE.</w:t>
      </w:r>
    </w:p>
    <w:p w14:paraId="783FD0FC" w14:textId="77777777" w:rsidR="002A6075" w:rsidRPr="004F524C" w:rsidRDefault="002A6075" w:rsidP="004F524C">
      <w:pPr>
        <w:pStyle w:val="CETheadingx"/>
        <w:rPr>
          <w:b/>
          <w:bCs w:val="0"/>
        </w:rPr>
      </w:pPr>
    </w:p>
    <w:p w14:paraId="056C4D30" w14:textId="4C58B708" w:rsidR="00D03FA9" w:rsidRPr="004F524C" w:rsidRDefault="002A6075" w:rsidP="004F524C">
      <w:pPr>
        <w:pStyle w:val="CETheadingx"/>
        <w:rPr>
          <w:b/>
          <w:bCs w:val="0"/>
        </w:rPr>
      </w:pPr>
      <w:r w:rsidRPr="004F524C">
        <w:rPr>
          <w:b/>
          <w:bCs w:val="0"/>
        </w:rPr>
        <w:t>2.</w:t>
      </w:r>
      <w:r w:rsidR="00E52D82" w:rsidRPr="004F524C">
        <w:rPr>
          <w:b/>
          <w:bCs w:val="0"/>
        </w:rPr>
        <w:t>4</w:t>
      </w:r>
      <w:r w:rsidRPr="004F524C">
        <w:rPr>
          <w:b/>
          <w:bCs w:val="0"/>
        </w:rPr>
        <w:t xml:space="preserve"> Statistical evaluation of data</w:t>
      </w:r>
    </w:p>
    <w:p w14:paraId="142C304C" w14:textId="74ABFF41" w:rsidR="002A6075" w:rsidRPr="00E52D82" w:rsidRDefault="002A6075" w:rsidP="004F524C">
      <w:pPr>
        <w:pStyle w:val="CETheadingx"/>
      </w:pPr>
      <w:r w:rsidRPr="00E52D82">
        <w:t xml:space="preserve">Linear regression was applied to the results of the </w:t>
      </w:r>
      <w:proofErr w:type="spellStart"/>
      <w:r w:rsidRPr="00E52D82">
        <w:t>turbidimetric</w:t>
      </w:r>
      <w:proofErr w:type="spellEnd"/>
      <w:r w:rsidRPr="00E52D82">
        <w:t xml:space="preserve"> method. The angular coefficients of the regressions (mean ± standard error) were evaluated by analysis of variance (ANOVA) followed by the non-parametric </w:t>
      </w:r>
      <w:proofErr w:type="spellStart"/>
      <w:r w:rsidRPr="00E52D82">
        <w:t>Kruskal</w:t>
      </w:r>
      <w:proofErr w:type="spellEnd"/>
      <w:r w:rsidRPr="00E52D82">
        <w:t xml:space="preserve">-Wallis test (p &lt; 0.05). Physicochemical analyzes were performed in triplicate. The results were evaluated by analysis of variance (ANOVA) using the Tukey test at the 5% level of significance with the aid of the </w:t>
      </w:r>
      <w:proofErr w:type="spellStart"/>
      <w:r w:rsidRPr="00E52D82">
        <w:t>BioEstat</w:t>
      </w:r>
      <w:proofErr w:type="spellEnd"/>
      <w:r w:rsidRPr="00E52D82">
        <w:t xml:space="preserve"> 5.3 program.</w:t>
      </w:r>
    </w:p>
    <w:p w14:paraId="677EBFF0" w14:textId="4824B873" w:rsidR="00600535" w:rsidRPr="002A6075" w:rsidRDefault="002A6075" w:rsidP="00D03FA9">
      <w:pPr>
        <w:pStyle w:val="CETHeading1"/>
        <w:numPr>
          <w:ilvl w:val="0"/>
          <w:numId w:val="0"/>
        </w:numPr>
        <w:tabs>
          <w:tab w:val="right" w:pos="7100"/>
        </w:tabs>
        <w:spacing w:line="360" w:lineRule="auto"/>
        <w:jc w:val="both"/>
        <w:rPr>
          <w:lang w:val="pt-BR"/>
        </w:rPr>
      </w:pPr>
      <w:r w:rsidRPr="002A6075">
        <w:rPr>
          <w:lang w:val="pt-BR"/>
        </w:rPr>
        <w:t xml:space="preserve">3. </w:t>
      </w:r>
      <w:proofErr w:type="spellStart"/>
      <w:r w:rsidR="0012056C" w:rsidRPr="0012056C">
        <w:rPr>
          <w:lang w:val="pt-BR"/>
        </w:rPr>
        <w:t>Results</w:t>
      </w:r>
      <w:proofErr w:type="spellEnd"/>
      <w:r w:rsidR="0012056C" w:rsidRPr="0012056C">
        <w:rPr>
          <w:lang w:val="pt-BR"/>
        </w:rPr>
        <w:t xml:space="preserve"> </w:t>
      </w:r>
      <w:proofErr w:type="spellStart"/>
      <w:r w:rsidR="0012056C" w:rsidRPr="0012056C">
        <w:rPr>
          <w:lang w:val="pt-BR"/>
        </w:rPr>
        <w:t>and</w:t>
      </w:r>
      <w:proofErr w:type="spellEnd"/>
      <w:r w:rsidR="0012056C" w:rsidRPr="0012056C">
        <w:rPr>
          <w:lang w:val="pt-BR"/>
        </w:rPr>
        <w:t xml:space="preserve"> </w:t>
      </w:r>
      <w:proofErr w:type="spellStart"/>
      <w:r w:rsidR="0012056C" w:rsidRPr="0012056C">
        <w:rPr>
          <w:lang w:val="pt-BR"/>
        </w:rPr>
        <w:t>discussion</w:t>
      </w:r>
      <w:proofErr w:type="spellEnd"/>
    </w:p>
    <w:p w14:paraId="5E435F7B" w14:textId="77777777" w:rsidR="002A6075" w:rsidRPr="002A6075" w:rsidRDefault="002A6075" w:rsidP="00D03FA9">
      <w:pPr>
        <w:spacing w:line="360" w:lineRule="auto"/>
        <w:rPr>
          <w:b/>
          <w:lang w:val="en-US"/>
        </w:rPr>
      </w:pPr>
      <w:r w:rsidRPr="002A6075">
        <w:rPr>
          <w:b/>
          <w:lang w:val="en-US"/>
        </w:rPr>
        <w:t>3.1 In vitro microbial susceptibility</w:t>
      </w:r>
    </w:p>
    <w:p w14:paraId="5E3BEE6D" w14:textId="59B2E765" w:rsidR="002A6075" w:rsidRPr="002A6075" w:rsidRDefault="002A6075" w:rsidP="00D03FA9">
      <w:pPr>
        <w:spacing w:line="360" w:lineRule="auto"/>
        <w:rPr>
          <w:b/>
          <w:lang w:val="en-US"/>
        </w:rPr>
      </w:pPr>
      <w:r w:rsidRPr="002A6075">
        <w:rPr>
          <w:lang w:val="en-US"/>
        </w:rPr>
        <w:t>The in vitro microbial susceptibility results are shown in Tables 2, 3</w:t>
      </w:r>
      <w:r>
        <w:rPr>
          <w:lang w:val="en-US"/>
        </w:rPr>
        <w:t>,</w:t>
      </w:r>
      <w:r w:rsidRPr="002A6075">
        <w:rPr>
          <w:lang w:val="en-US"/>
        </w:rPr>
        <w:t xml:space="preserve"> and 4.</w:t>
      </w:r>
    </w:p>
    <w:p w14:paraId="11287C53" w14:textId="126B01CB" w:rsidR="00DE74E6" w:rsidRPr="002A6075" w:rsidRDefault="002A6075" w:rsidP="00DE74E6">
      <w:pPr>
        <w:pStyle w:val="CETTabletitle"/>
        <w:rPr>
          <w:i w:val="0"/>
          <w:iCs/>
          <w:lang w:val="en-US"/>
        </w:rPr>
      </w:pPr>
      <w:proofErr w:type="gramStart"/>
      <w:r w:rsidRPr="002A6075">
        <w:rPr>
          <w:i w:val="0"/>
          <w:iCs/>
          <w:lang w:val="en-US"/>
        </w:rPr>
        <w:t xml:space="preserve">Table 2: Linear regression parameters of microbial growth of </w:t>
      </w:r>
      <w:r w:rsidRPr="002A6075">
        <w:rPr>
          <w:lang w:val="en-US"/>
        </w:rPr>
        <w:t>Salmonella</w:t>
      </w:r>
      <w:r w:rsidRPr="002A6075">
        <w:rPr>
          <w:i w:val="0"/>
          <w:iCs/>
          <w:lang w:val="en-US"/>
        </w:rPr>
        <w:t xml:space="preserve"> </w:t>
      </w:r>
      <w:proofErr w:type="spellStart"/>
      <w:r w:rsidRPr="002A6075">
        <w:rPr>
          <w:i w:val="0"/>
          <w:iCs/>
          <w:lang w:val="en-US"/>
        </w:rPr>
        <w:t>serovar</w:t>
      </w:r>
      <w:proofErr w:type="spellEnd"/>
      <w:r w:rsidRPr="002A6075">
        <w:rPr>
          <w:i w:val="0"/>
          <w:iCs/>
          <w:lang w:val="en-US"/>
        </w:rPr>
        <w:t xml:space="preserve"> Typhimurium and </w:t>
      </w:r>
      <w:r w:rsidRPr="002A6075">
        <w:rPr>
          <w:lang w:val="en-US"/>
        </w:rPr>
        <w:t>Escherichia coli</w:t>
      </w:r>
      <w:r>
        <w:rPr>
          <w:lang w:val="en-US"/>
        </w:rPr>
        <w:t>.</w:t>
      </w:r>
      <w:proofErr w:type="gramEnd"/>
    </w:p>
    <w:tbl>
      <w:tblPr>
        <w:tblW w:w="7760" w:type="dxa"/>
        <w:tblCellMar>
          <w:left w:w="70" w:type="dxa"/>
          <w:right w:w="70" w:type="dxa"/>
        </w:tblCellMar>
        <w:tblLook w:val="04A0" w:firstRow="1" w:lastRow="0" w:firstColumn="1" w:lastColumn="0" w:noHBand="0" w:noVBand="1"/>
      </w:tblPr>
      <w:tblGrid>
        <w:gridCol w:w="1096"/>
        <w:gridCol w:w="460"/>
        <w:gridCol w:w="980"/>
        <w:gridCol w:w="740"/>
        <w:gridCol w:w="740"/>
        <w:gridCol w:w="691"/>
        <w:gridCol w:w="980"/>
        <w:gridCol w:w="691"/>
        <w:gridCol w:w="691"/>
        <w:gridCol w:w="691"/>
      </w:tblGrid>
      <w:tr w:rsidR="00DE74E6" w:rsidRPr="00B45344" w14:paraId="4957F1D2" w14:textId="77777777" w:rsidTr="00196225">
        <w:trPr>
          <w:trHeight w:val="315"/>
        </w:trPr>
        <w:tc>
          <w:tcPr>
            <w:tcW w:w="1556" w:type="dxa"/>
            <w:gridSpan w:val="2"/>
            <w:tcBorders>
              <w:top w:val="single" w:sz="12" w:space="0" w:color="008000"/>
              <w:left w:val="nil"/>
              <w:bottom w:val="single" w:sz="8" w:space="0" w:color="008000"/>
              <w:right w:val="nil"/>
            </w:tcBorders>
            <w:shd w:val="clear" w:color="000000" w:fill="FFFFFF"/>
            <w:vAlign w:val="center"/>
            <w:hideMark/>
          </w:tcPr>
          <w:p w14:paraId="5936474E" w14:textId="6397A303" w:rsidR="00DE74E6" w:rsidRPr="00B45344" w:rsidRDefault="002A6075" w:rsidP="003D3B05">
            <w:pPr>
              <w:tabs>
                <w:tab w:val="clear" w:pos="7100"/>
              </w:tabs>
              <w:spacing w:line="240" w:lineRule="auto"/>
              <w:jc w:val="left"/>
              <w:rPr>
                <w:rFonts w:cs="Arial"/>
                <w:color w:val="000000"/>
                <w:szCs w:val="18"/>
                <w:lang w:val="pt-BR" w:eastAsia="pt-BR"/>
              </w:rPr>
            </w:pPr>
            <w:r w:rsidRPr="002A6075">
              <w:rPr>
                <w:rFonts w:cs="Arial"/>
                <w:szCs w:val="18"/>
                <w:lang w:val="en-GB" w:eastAsia="pt-BR"/>
              </w:rPr>
              <w:t>Microorganism</w:t>
            </w:r>
          </w:p>
        </w:tc>
        <w:tc>
          <w:tcPr>
            <w:tcW w:w="3151" w:type="dxa"/>
            <w:gridSpan w:val="4"/>
            <w:tcBorders>
              <w:top w:val="single" w:sz="12" w:space="0" w:color="008000"/>
              <w:left w:val="nil"/>
              <w:bottom w:val="single" w:sz="8" w:space="0" w:color="008000"/>
              <w:right w:val="nil"/>
            </w:tcBorders>
            <w:shd w:val="clear" w:color="000000" w:fill="FFFFFF"/>
            <w:vAlign w:val="center"/>
            <w:hideMark/>
          </w:tcPr>
          <w:p w14:paraId="125A5C4C" w14:textId="2C0EE37C" w:rsidR="00DE74E6" w:rsidRPr="00B45344" w:rsidRDefault="00DE74E6" w:rsidP="003D3B05">
            <w:pPr>
              <w:tabs>
                <w:tab w:val="clear" w:pos="7100"/>
              </w:tabs>
              <w:spacing w:line="240" w:lineRule="auto"/>
              <w:jc w:val="left"/>
              <w:rPr>
                <w:rFonts w:cs="Arial"/>
                <w:i/>
                <w:iCs/>
                <w:color w:val="000000"/>
                <w:szCs w:val="18"/>
                <w:lang w:val="pt-BR" w:eastAsia="pt-BR"/>
              </w:rPr>
            </w:pPr>
            <w:r w:rsidRPr="00B45344">
              <w:rPr>
                <w:rFonts w:cs="Arial"/>
                <w:i/>
                <w:iCs/>
                <w:szCs w:val="18"/>
                <w:lang w:val="en-GB" w:eastAsia="pt-BR"/>
              </w:rPr>
              <w:t xml:space="preserve">Salmonella </w:t>
            </w:r>
            <w:r w:rsidR="002A6075" w:rsidRPr="002A6075">
              <w:rPr>
                <w:rFonts w:cs="Arial"/>
                <w:szCs w:val="18"/>
                <w:lang w:val="en-GB" w:eastAsia="pt-BR"/>
              </w:rPr>
              <w:t>T</w:t>
            </w:r>
            <w:r w:rsidRPr="002A6075">
              <w:rPr>
                <w:rFonts w:cs="Arial"/>
                <w:szCs w:val="18"/>
                <w:lang w:val="en-GB" w:eastAsia="pt-BR"/>
              </w:rPr>
              <w:t>yphimurium</w:t>
            </w:r>
          </w:p>
        </w:tc>
        <w:tc>
          <w:tcPr>
            <w:tcW w:w="3053" w:type="dxa"/>
            <w:gridSpan w:val="4"/>
            <w:tcBorders>
              <w:top w:val="single" w:sz="12" w:space="0" w:color="008000"/>
              <w:left w:val="nil"/>
              <w:bottom w:val="single" w:sz="8" w:space="0" w:color="008000"/>
              <w:right w:val="nil"/>
            </w:tcBorders>
            <w:shd w:val="clear" w:color="000000" w:fill="FFFFFF"/>
            <w:vAlign w:val="center"/>
            <w:hideMark/>
          </w:tcPr>
          <w:p w14:paraId="2F9384BC" w14:textId="77777777" w:rsidR="00DE74E6" w:rsidRPr="002A6075" w:rsidRDefault="00DE74E6" w:rsidP="003D3B05">
            <w:pPr>
              <w:tabs>
                <w:tab w:val="clear" w:pos="7100"/>
              </w:tabs>
              <w:spacing w:line="240" w:lineRule="auto"/>
              <w:jc w:val="left"/>
              <w:rPr>
                <w:rFonts w:cs="Arial"/>
                <w:i/>
                <w:iCs/>
                <w:color w:val="000000"/>
                <w:szCs w:val="18"/>
                <w:lang w:val="pt-BR" w:eastAsia="pt-BR"/>
              </w:rPr>
            </w:pPr>
            <w:r w:rsidRPr="002A6075">
              <w:rPr>
                <w:rFonts w:cs="Arial"/>
                <w:i/>
                <w:iCs/>
                <w:szCs w:val="18"/>
                <w:lang w:val="en-GB" w:eastAsia="pt-BR"/>
              </w:rPr>
              <w:t>Escherichia coli</w:t>
            </w:r>
          </w:p>
        </w:tc>
      </w:tr>
      <w:tr w:rsidR="00DE74E6" w:rsidRPr="00B45344" w14:paraId="7EAC8495" w14:textId="77777777" w:rsidTr="00196225">
        <w:trPr>
          <w:trHeight w:val="300"/>
        </w:trPr>
        <w:tc>
          <w:tcPr>
            <w:tcW w:w="1556" w:type="dxa"/>
            <w:gridSpan w:val="2"/>
            <w:tcBorders>
              <w:top w:val="single" w:sz="8" w:space="0" w:color="008000"/>
              <w:left w:val="nil"/>
              <w:bottom w:val="nil"/>
              <w:right w:val="nil"/>
            </w:tcBorders>
            <w:shd w:val="clear" w:color="000000" w:fill="FFFFFF"/>
            <w:vAlign w:val="center"/>
            <w:hideMark/>
          </w:tcPr>
          <w:p w14:paraId="4DE4D0BE" w14:textId="2D68E891" w:rsidR="00DE74E6" w:rsidRPr="00B45344" w:rsidRDefault="002A6075" w:rsidP="003D3B05">
            <w:pPr>
              <w:tabs>
                <w:tab w:val="clear" w:pos="7100"/>
              </w:tabs>
              <w:spacing w:line="240" w:lineRule="auto"/>
              <w:jc w:val="left"/>
              <w:rPr>
                <w:rFonts w:cs="Arial"/>
                <w:color w:val="000000"/>
                <w:szCs w:val="18"/>
                <w:lang w:val="pt-BR" w:eastAsia="pt-BR"/>
              </w:rPr>
            </w:pPr>
            <w:r w:rsidRPr="002A6075">
              <w:rPr>
                <w:rFonts w:cs="Arial"/>
                <w:szCs w:val="18"/>
                <w:lang w:val="en-GB" w:eastAsia="pt-BR"/>
              </w:rPr>
              <w:t>Coefficients</w:t>
            </w:r>
          </w:p>
        </w:tc>
        <w:tc>
          <w:tcPr>
            <w:tcW w:w="980" w:type="dxa"/>
            <w:tcBorders>
              <w:top w:val="nil"/>
              <w:left w:val="nil"/>
              <w:bottom w:val="nil"/>
              <w:right w:val="nil"/>
            </w:tcBorders>
            <w:shd w:val="clear" w:color="000000" w:fill="FFFFFF"/>
            <w:noWrap/>
            <w:vAlign w:val="center"/>
            <w:hideMark/>
          </w:tcPr>
          <w:p w14:paraId="5E28DF7D" w14:textId="77777777"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xi</w:t>
            </w:r>
          </w:p>
        </w:tc>
        <w:tc>
          <w:tcPr>
            <w:tcW w:w="740" w:type="dxa"/>
            <w:tcBorders>
              <w:top w:val="nil"/>
              <w:left w:val="nil"/>
              <w:bottom w:val="nil"/>
              <w:right w:val="nil"/>
            </w:tcBorders>
            <w:shd w:val="clear" w:color="000000" w:fill="FFFFFF"/>
            <w:noWrap/>
            <w:vAlign w:val="center"/>
            <w:hideMark/>
          </w:tcPr>
          <w:p w14:paraId="6112AFC6" w14:textId="77777777" w:rsidR="00DE74E6" w:rsidRPr="00B45344" w:rsidRDefault="00DE74E6" w:rsidP="003D3B05">
            <w:pPr>
              <w:tabs>
                <w:tab w:val="clear" w:pos="7100"/>
              </w:tabs>
              <w:spacing w:line="240" w:lineRule="auto"/>
              <w:jc w:val="left"/>
              <w:rPr>
                <w:rFonts w:cs="Arial"/>
                <w:color w:val="000000"/>
                <w:szCs w:val="18"/>
                <w:lang w:val="pt-BR" w:eastAsia="pt-BR"/>
              </w:rPr>
            </w:pPr>
            <w:proofErr w:type="spellStart"/>
            <w:proofErr w:type="gramStart"/>
            <w:r w:rsidRPr="00B45344">
              <w:rPr>
                <w:rFonts w:cs="Arial"/>
                <w:color w:val="000000"/>
                <w:szCs w:val="18"/>
                <w:lang w:val="pt-BR" w:eastAsia="pt-BR"/>
              </w:rPr>
              <w:t>yi</w:t>
            </w:r>
            <w:proofErr w:type="spellEnd"/>
            <w:proofErr w:type="gramEnd"/>
          </w:p>
        </w:tc>
        <w:tc>
          <w:tcPr>
            <w:tcW w:w="740" w:type="dxa"/>
            <w:tcBorders>
              <w:top w:val="nil"/>
              <w:left w:val="nil"/>
              <w:bottom w:val="nil"/>
              <w:right w:val="nil"/>
            </w:tcBorders>
            <w:shd w:val="clear" w:color="000000" w:fill="FFFFFF"/>
            <w:noWrap/>
            <w:vAlign w:val="center"/>
            <w:hideMark/>
          </w:tcPr>
          <w:p w14:paraId="24EE3851" w14:textId="77777777"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R</w:t>
            </w:r>
            <w:r w:rsidRPr="00B45344">
              <w:rPr>
                <w:rFonts w:cs="Arial"/>
                <w:color w:val="000000"/>
                <w:szCs w:val="18"/>
                <w:vertAlign w:val="superscript"/>
                <w:lang w:val="pt-BR" w:eastAsia="pt-BR"/>
              </w:rPr>
              <w:t>2</w:t>
            </w:r>
          </w:p>
        </w:tc>
        <w:tc>
          <w:tcPr>
            <w:tcW w:w="691" w:type="dxa"/>
            <w:tcBorders>
              <w:top w:val="nil"/>
              <w:left w:val="nil"/>
              <w:bottom w:val="nil"/>
              <w:right w:val="nil"/>
            </w:tcBorders>
            <w:shd w:val="clear" w:color="000000" w:fill="FFFFFF"/>
            <w:noWrap/>
            <w:vAlign w:val="center"/>
            <w:hideMark/>
          </w:tcPr>
          <w:p w14:paraId="61F338CA" w14:textId="77777777"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SE</w:t>
            </w:r>
          </w:p>
        </w:tc>
        <w:tc>
          <w:tcPr>
            <w:tcW w:w="980" w:type="dxa"/>
            <w:tcBorders>
              <w:top w:val="nil"/>
              <w:left w:val="nil"/>
              <w:bottom w:val="nil"/>
              <w:right w:val="nil"/>
            </w:tcBorders>
            <w:shd w:val="clear" w:color="000000" w:fill="FFFFFF"/>
            <w:noWrap/>
            <w:vAlign w:val="center"/>
            <w:hideMark/>
          </w:tcPr>
          <w:p w14:paraId="4AD69485" w14:textId="77777777"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xi</w:t>
            </w:r>
          </w:p>
        </w:tc>
        <w:tc>
          <w:tcPr>
            <w:tcW w:w="691" w:type="dxa"/>
            <w:tcBorders>
              <w:top w:val="nil"/>
              <w:left w:val="nil"/>
              <w:bottom w:val="nil"/>
              <w:right w:val="nil"/>
            </w:tcBorders>
            <w:shd w:val="clear" w:color="000000" w:fill="FFFFFF"/>
            <w:noWrap/>
            <w:vAlign w:val="center"/>
            <w:hideMark/>
          </w:tcPr>
          <w:p w14:paraId="250C84D0" w14:textId="77777777" w:rsidR="00DE74E6" w:rsidRPr="00B45344" w:rsidRDefault="00DE74E6" w:rsidP="003D3B05">
            <w:pPr>
              <w:tabs>
                <w:tab w:val="clear" w:pos="7100"/>
              </w:tabs>
              <w:spacing w:line="240" w:lineRule="auto"/>
              <w:jc w:val="left"/>
              <w:rPr>
                <w:rFonts w:cs="Arial"/>
                <w:color w:val="000000"/>
                <w:szCs w:val="18"/>
                <w:lang w:val="pt-BR" w:eastAsia="pt-BR"/>
              </w:rPr>
            </w:pPr>
            <w:proofErr w:type="spellStart"/>
            <w:proofErr w:type="gramStart"/>
            <w:r w:rsidRPr="00B45344">
              <w:rPr>
                <w:rFonts w:cs="Arial"/>
                <w:color w:val="000000"/>
                <w:szCs w:val="18"/>
                <w:lang w:val="pt-BR" w:eastAsia="pt-BR"/>
              </w:rPr>
              <w:t>yi</w:t>
            </w:r>
            <w:proofErr w:type="spellEnd"/>
            <w:proofErr w:type="gramEnd"/>
          </w:p>
        </w:tc>
        <w:tc>
          <w:tcPr>
            <w:tcW w:w="691" w:type="dxa"/>
            <w:tcBorders>
              <w:top w:val="nil"/>
              <w:left w:val="nil"/>
              <w:bottom w:val="nil"/>
              <w:right w:val="nil"/>
            </w:tcBorders>
            <w:shd w:val="clear" w:color="000000" w:fill="FFFFFF"/>
            <w:noWrap/>
            <w:vAlign w:val="center"/>
            <w:hideMark/>
          </w:tcPr>
          <w:p w14:paraId="6C4FF8E0" w14:textId="77777777"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R</w:t>
            </w:r>
            <w:r w:rsidRPr="00B45344">
              <w:rPr>
                <w:rFonts w:cs="Arial"/>
                <w:color w:val="000000"/>
                <w:szCs w:val="18"/>
                <w:vertAlign w:val="superscript"/>
                <w:lang w:val="pt-BR" w:eastAsia="pt-BR"/>
              </w:rPr>
              <w:t>2</w:t>
            </w:r>
          </w:p>
        </w:tc>
        <w:tc>
          <w:tcPr>
            <w:tcW w:w="691" w:type="dxa"/>
            <w:tcBorders>
              <w:top w:val="nil"/>
              <w:left w:val="nil"/>
              <w:bottom w:val="nil"/>
              <w:right w:val="nil"/>
            </w:tcBorders>
            <w:shd w:val="clear" w:color="000000" w:fill="FFFFFF"/>
            <w:noWrap/>
            <w:vAlign w:val="center"/>
            <w:hideMark/>
          </w:tcPr>
          <w:p w14:paraId="530B96FF" w14:textId="77777777"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SE</w:t>
            </w:r>
          </w:p>
        </w:tc>
      </w:tr>
      <w:tr w:rsidR="00DE74E6" w:rsidRPr="00B45344" w14:paraId="0045F37A" w14:textId="77777777" w:rsidTr="00196225">
        <w:trPr>
          <w:trHeight w:val="300"/>
        </w:trPr>
        <w:tc>
          <w:tcPr>
            <w:tcW w:w="1096" w:type="dxa"/>
            <w:vMerge w:val="restart"/>
            <w:tcBorders>
              <w:top w:val="nil"/>
              <w:left w:val="nil"/>
              <w:bottom w:val="single" w:sz="12" w:space="0" w:color="008000"/>
              <w:right w:val="nil"/>
            </w:tcBorders>
            <w:shd w:val="clear" w:color="000000" w:fill="FFFFFF"/>
            <w:textDirection w:val="tbLrV"/>
            <w:vAlign w:val="center"/>
            <w:hideMark/>
          </w:tcPr>
          <w:p w14:paraId="3B674110" w14:textId="5565917C" w:rsidR="00DE74E6" w:rsidRPr="00B45344" w:rsidRDefault="002A6075" w:rsidP="009512ED">
            <w:pPr>
              <w:tabs>
                <w:tab w:val="clear" w:pos="7100"/>
              </w:tabs>
              <w:spacing w:line="240" w:lineRule="auto"/>
              <w:jc w:val="center"/>
              <w:rPr>
                <w:rFonts w:cs="Arial"/>
                <w:color w:val="000000"/>
                <w:szCs w:val="18"/>
                <w:lang w:val="pt-BR" w:eastAsia="pt-BR"/>
              </w:rPr>
            </w:pPr>
            <w:proofErr w:type="spellStart"/>
            <w:r w:rsidRPr="002A6075">
              <w:rPr>
                <w:rFonts w:cs="Arial"/>
                <w:color w:val="000000"/>
                <w:szCs w:val="18"/>
                <w:lang w:val="pt-BR" w:eastAsia="pt-BR"/>
              </w:rPr>
              <w:t>Concentration</w:t>
            </w:r>
            <w:proofErr w:type="spellEnd"/>
            <w:r w:rsidRPr="002A6075">
              <w:rPr>
                <w:rFonts w:cs="Arial"/>
                <w:color w:val="000000"/>
                <w:szCs w:val="18"/>
                <w:lang w:val="pt-BR" w:eastAsia="pt-BR"/>
              </w:rPr>
              <w:t xml:space="preserve"> (%) </w:t>
            </w:r>
            <w:proofErr w:type="spellStart"/>
            <w:r w:rsidRPr="002A6075">
              <w:rPr>
                <w:rFonts w:cs="Arial"/>
                <w:color w:val="000000"/>
                <w:szCs w:val="18"/>
                <w:lang w:val="pt-BR" w:eastAsia="pt-BR"/>
              </w:rPr>
              <w:t>of</w:t>
            </w:r>
            <w:proofErr w:type="spellEnd"/>
            <w:r w:rsidRPr="002A6075">
              <w:rPr>
                <w:rFonts w:cs="Arial"/>
                <w:color w:val="000000"/>
                <w:szCs w:val="18"/>
                <w:lang w:val="pt-BR" w:eastAsia="pt-BR"/>
              </w:rPr>
              <w:t xml:space="preserve"> PCAE</w:t>
            </w:r>
          </w:p>
        </w:tc>
        <w:tc>
          <w:tcPr>
            <w:tcW w:w="460" w:type="dxa"/>
            <w:tcBorders>
              <w:top w:val="nil"/>
              <w:left w:val="nil"/>
              <w:bottom w:val="nil"/>
              <w:right w:val="nil"/>
            </w:tcBorders>
            <w:shd w:val="clear" w:color="000000" w:fill="FFFFFF"/>
            <w:noWrap/>
            <w:vAlign w:val="center"/>
            <w:hideMark/>
          </w:tcPr>
          <w:p w14:paraId="0337E340" w14:textId="77777777" w:rsidR="00DE74E6" w:rsidRPr="00B45344" w:rsidRDefault="00DE74E6" w:rsidP="003D3B05">
            <w:pPr>
              <w:tabs>
                <w:tab w:val="clear" w:pos="7100"/>
              </w:tabs>
              <w:spacing w:line="240" w:lineRule="auto"/>
              <w:jc w:val="left"/>
              <w:rPr>
                <w:rFonts w:cs="Arial"/>
                <w:color w:val="000000"/>
                <w:szCs w:val="18"/>
                <w:lang w:val="pt-BR" w:eastAsia="pt-BR"/>
              </w:rPr>
            </w:pPr>
            <w:proofErr w:type="gramStart"/>
            <w:r w:rsidRPr="00B45344">
              <w:rPr>
                <w:rFonts w:cs="Arial"/>
                <w:color w:val="000000"/>
                <w:szCs w:val="18"/>
                <w:lang w:val="pt-BR" w:eastAsia="pt-BR"/>
              </w:rPr>
              <w:t>0</w:t>
            </w:r>
            <w:proofErr w:type="gramEnd"/>
          </w:p>
        </w:tc>
        <w:tc>
          <w:tcPr>
            <w:tcW w:w="980" w:type="dxa"/>
            <w:tcBorders>
              <w:top w:val="nil"/>
              <w:left w:val="nil"/>
              <w:bottom w:val="nil"/>
              <w:right w:val="nil"/>
            </w:tcBorders>
            <w:shd w:val="clear" w:color="000000" w:fill="FFFFFF"/>
            <w:noWrap/>
            <w:vAlign w:val="center"/>
            <w:hideMark/>
          </w:tcPr>
          <w:p w14:paraId="1215B8F6" w14:textId="5BAD779D"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0709</w:t>
            </w:r>
            <w:r w:rsidRPr="002152C5">
              <w:rPr>
                <w:rFonts w:cs="Arial"/>
                <w:color w:val="000000"/>
                <w:szCs w:val="18"/>
                <w:vertAlign w:val="superscript"/>
                <w:lang w:val="pt-BR" w:eastAsia="pt-BR"/>
              </w:rPr>
              <w:t>ab</w:t>
            </w:r>
          </w:p>
        </w:tc>
        <w:tc>
          <w:tcPr>
            <w:tcW w:w="740" w:type="dxa"/>
            <w:tcBorders>
              <w:top w:val="nil"/>
              <w:left w:val="nil"/>
              <w:bottom w:val="nil"/>
              <w:right w:val="nil"/>
            </w:tcBorders>
            <w:shd w:val="clear" w:color="000000" w:fill="FFFFFF"/>
            <w:noWrap/>
            <w:vAlign w:val="center"/>
            <w:hideMark/>
          </w:tcPr>
          <w:p w14:paraId="66657D60" w14:textId="33B56669"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0638</w:t>
            </w:r>
          </w:p>
        </w:tc>
        <w:tc>
          <w:tcPr>
            <w:tcW w:w="740" w:type="dxa"/>
            <w:tcBorders>
              <w:top w:val="nil"/>
              <w:left w:val="nil"/>
              <w:bottom w:val="nil"/>
              <w:right w:val="nil"/>
            </w:tcBorders>
            <w:shd w:val="clear" w:color="000000" w:fill="FFFFFF"/>
            <w:noWrap/>
            <w:vAlign w:val="center"/>
            <w:hideMark/>
          </w:tcPr>
          <w:p w14:paraId="5E87ABB5" w14:textId="4E857939"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9613</w:t>
            </w:r>
          </w:p>
        </w:tc>
        <w:tc>
          <w:tcPr>
            <w:tcW w:w="691" w:type="dxa"/>
            <w:tcBorders>
              <w:top w:val="nil"/>
              <w:left w:val="nil"/>
              <w:bottom w:val="nil"/>
              <w:right w:val="nil"/>
            </w:tcBorders>
            <w:shd w:val="clear" w:color="000000" w:fill="FFFFFF"/>
            <w:noWrap/>
            <w:vAlign w:val="center"/>
            <w:hideMark/>
          </w:tcPr>
          <w:p w14:paraId="15D324CF" w14:textId="190248F6"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3</w:t>
            </w:r>
            <w:r w:rsidR="002A6075">
              <w:rPr>
                <w:rFonts w:cs="Arial"/>
                <w:color w:val="000000"/>
                <w:szCs w:val="18"/>
                <w:lang w:val="pt-BR" w:eastAsia="pt-BR"/>
              </w:rPr>
              <w:t>.</w:t>
            </w:r>
            <w:r w:rsidRPr="00B45344">
              <w:rPr>
                <w:rFonts w:cs="Arial"/>
                <w:color w:val="000000"/>
                <w:szCs w:val="18"/>
                <w:lang w:val="pt-BR" w:eastAsia="pt-BR"/>
              </w:rPr>
              <w:t>8058</w:t>
            </w:r>
          </w:p>
        </w:tc>
        <w:tc>
          <w:tcPr>
            <w:tcW w:w="980" w:type="dxa"/>
            <w:tcBorders>
              <w:top w:val="nil"/>
              <w:left w:val="nil"/>
              <w:bottom w:val="nil"/>
              <w:right w:val="nil"/>
            </w:tcBorders>
            <w:shd w:val="clear" w:color="000000" w:fill="FFFFFF"/>
            <w:noWrap/>
            <w:vAlign w:val="center"/>
            <w:hideMark/>
          </w:tcPr>
          <w:p w14:paraId="6037DBCF" w14:textId="64D3E1DC"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0776</w:t>
            </w:r>
            <w:r w:rsidRPr="002152C5">
              <w:rPr>
                <w:rFonts w:cs="Arial"/>
                <w:color w:val="000000"/>
                <w:szCs w:val="18"/>
                <w:vertAlign w:val="superscript"/>
                <w:lang w:val="pt-BR" w:eastAsia="pt-BR"/>
              </w:rPr>
              <w:t>a</w:t>
            </w:r>
          </w:p>
        </w:tc>
        <w:tc>
          <w:tcPr>
            <w:tcW w:w="691" w:type="dxa"/>
            <w:tcBorders>
              <w:top w:val="nil"/>
              <w:left w:val="nil"/>
              <w:bottom w:val="nil"/>
              <w:right w:val="nil"/>
            </w:tcBorders>
            <w:shd w:val="clear" w:color="000000" w:fill="FFFFFF"/>
            <w:noWrap/>
            <w:vAlign w:val="center"/>
            <w:hideMark/>
          </w:tcPr>
          <w:p w14:paraId="59F88065" w14:textId="3F6753D7"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1140</w:t>
            </w:r>
          </w:p>
        </w:tc>
        <w:tc>
          <w:tcPr>
            <w:tcW w:w="691" w:type="dxa"/>
            <w:tcBorders>
              <w:top w:val="nil"/>
              <w:left w:val="nil"/>
              <w:bottom w:val="nil"/>
              <w:right w:val="nil"/>
            </w:tcBorders>
            <w:shd w:val="clear" w:color="000000" w:fill="FFFFFF"/>
            <w:noWrap/>
            <w:vAlign w:val="center"/>
            <w:hideMark/>
          </w:tcPr>
          <w:p w14:paraId="2D62879F" w14:textId="25641148"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9225</w:t>
            </w:r>
          </w:p>
        </w:tc>
        <w:tc>
          <w:tcPr>
            <w:tcW w:w="691" w:type="dxa"/>
            <w:tcBorders>
              <w:top w:val="nil"/>
              <w:left w:val="nil"/>
              <w:bottom w:val="nil"/>
              <w:right w:val="nil"/>
            </w:tcBorders>
            <w:shd w:val="clear" w:color="000000" w:fill="FFFFFF"/>
            <w:noWrap/>
            <w:vAlign w:val="center"/>
            <w:hideMark/>
          </w:tcPr>
          <w:p w14:paraId="37F9ABF0" w14:textId="5E08B01A"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2</w:t>
            </w:r>
            <w:r w:rsidR="002A6075">
              <w:rPr>
                <w:rFonts w:cs="Arial"/>
                <w:color w:val="000000"/>
                <w:szCs w:val="18"/>
                <w:lang w:val="pt-BR" w:eastAsia="pt-BR"/>
              </w:rPr>
              <w:t>.</w:t>
            </w:r>
            <w:r w:rsidRPr="00B45344">
              <w:rPr>
                <w:rFonts w:cs="Arial"/>
                <w:color w:val="000000"/>
                <w:szCs w:val="18"/>
                <w:lang w:val="pt-BR" w:eastAsia="pt-BR"/>
              </w:rPr>
              <w:t>7322</w:t>
            </w:r>
          </w:p>
        </w:tc>
      </w:tr>
      <w:tr w:rsidR="00DE74E6" w:rsidRPr="00B45344" w14:paraId="0F385910" w14:textId="77777777" w:rsidTr="00196225">
        <w:trPr>
          <w:trHeight w:val="300"/>
        </w:trPr>
        <w:tc>
          <w:tcPr>
            <w:tcW w:w="1096" w:type="dxa"/>
            <w:vMerge/>
            <w:tcBorders>
              <w:top w:val="nil"/>
              <w:left w:val="nil"/>
              <w:bottom w:val="single" w:sz="12" w:space="0" w:color="008000"/>
              <w:right w:val="nil"/>
            </w:tcBorders>
            <w:vAlign w:val="center"/>
            <w:hideMark/>
          </w:tcPr>
          <w:p w14:paraId="169A4845" w14:textId="77777777" w:rsidR="00DE74E6" w:rsidRPr="00B45344" w:rsidRDefault="00DE74E6" w:rsidP="003D3B05">
            <w:pPr>
              <w:tabs>
                <w:tab w:val="clear" w:pos="7100"/>
              </w:tabs>
              <w:spacing w:line="240" w:lineRule="auto"/>
              <w:jc w:val="left"/>
              <w:rPr>
                <w:rFonts w:cs="Arial"/>
                <w:color w:val="000000"/>
                <w:szCs w:val="18"/>
                <w:lang w:val="pt-BR" w:eastAsia="pt-BR"/>
              </w:rPr>
            </w:pPr>
          </w:p>
        </w:tc>
        <w:tc>
          <w:tcPr>
            <w:tcW w:w="460" w:type="dxa"/>
            <w:tcBorders>
              <w:top w:val="nil"/>
              <w:left w:val="nil"/>
              <w:bottom w:val="nil"/>
              <w:right w:val="nil"/>
            </w:tcBorders>
            <w:shd w:val="clear" w:color="000000" w:fill="FFFFFF"/>
            <w:noWrap/>
            <w:vAlign w:val="center"/>
            <w:hideMark/>
          </w:tcPr>
          <w:p w14:paraId="37D33458" w14:textId="7F9EE345"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5</w:t>
            </w:r>
          </w:p>
        </w:tc>
        <w:tc>
          <w:tcPr>
            <w:tcW w:w="980" w:type="dxa"/>
            <w:tcBorders>
              <w:top w:val="nil"/>
              <w:left w:val="nil"/>
              <w:bottom w:val="nil"/>
              <w:right w:val="nil"/>
            </w:tcBorders>
            <w:shd w:val="clear" w:color="000000" w:fill="FFFFFF"/>
            <w:noWrap/>
            <w:vAlign w:val="center"/>
            <w:hideMark/>
          </w:tcPr>
          <w:p w14:paraId="3C8BDB6F" w14:textId="45159E5E"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0729</w:t>
            </w:r>
            <w:r w:rsidRPr="002152C5">
              <w:rPr>
                <w:rFonts w:cs="Arial"/>
                <w:color w:val="000000"/>
                <w:szCs w:val="18"/>
                <w:vertAlign w:val="superscript"/>
                <w:lang w:val="pt-BR" w:eastAsia="pt-BR"/>
              </w:rPr>
              <w:t>a</w:t>
            </w:r>
          </w:p>
        </w:tc>
        <w:tc>
          <w:tcPr>
            <w:tcW w:w="740" w:type="dxa"/>
            <w:tcBorders>
              <w:top w:val="nil"/>
              <w:left w:val="nil"/>
              <w:bottom w:val="nil"/>
              <w:right w:val="nil"/>
            </w:tcBorders>
            <w:shd w:val="clear" w:color="000000" w:fill="FFFFFF"/>
            <w:noWrap/>
            <w:vAlign w:val="center"/>
            <w:hideMark/>
          </w:tcPr>
          <w:p w14:paraId="5C6DF79B" w14:textId="0B45235E"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1333</w:t>
            </w:r>
          </w:p>
        </w:tc>
        <w:tc>
          <w:tcPr>
            <w:tcW w:w="740" w:type="dxa"/>
            <w:tcBorders>
              <w:top w:val="nil"/>
              <w:left w:val="nil"/>
              <w:bottom w:val="nil"/>
              <w:right w:val="nil"/>
            </w:tcBorders>
            <w:shd w:val="clear" w:color="000000" w:fill="FFFFFF"/>
            <w:noWrap/>
            <w:vAlign w:val="center"/>
            <w:hideMark/>
          </w:tcPr>
          <w:p w14:paraId="01C0DDB0" w14:textId="6F11A914"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9367</w:t>
            </w:r>
          </w:p>
        </w:tc>
        <w:tc>
          <w:tcPr>
            <w:tcW w:w="691" w:type="dxa"/>
            <w:tcBorders>
              <w:top w:val="nil"/>
              <w:left w:val="nil"/>
              <w:bottom w:val="nil"/>
              <w:right w:val="nil"/>
            </w:tcBorders>
            <w:shd w:val="clear" w:color="000000" w:fill="FFFFFF"/>
            <w:noWrap/>
            <w:vAlign w:val="center"/>
            <w:hideMark/>
          </w:tcPr>
          <w:p w14:paraId="5F055D63" w14:textId="23E432EE"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2</w:t>
            </w:r>
            <w:r w:rsidR="002A6075">
              <w:rPr>
                <w:rFonts w:cs="Arial"/>
                <w:color w:val="000000"/>
                <w:szCs w:val="18"/>
                <w:lang w:val="pt-BR" w:eastAsia="pt-BR"/>
              </w:rPr>
              <w:t>.</w:t>
            </w:r>
            <w:r w:rsidRPr="00B45344">
              <w:rPr>
                <w:rFonts w:cs="Arial"/>
                <w:color w:val="000000"/>
                <w:szCs w:val="18"/>
                <w:lang w:val="pt-BR" w:eastAsia="pt-BR"/>
              </w:rPr>
              <w:t>5656</w:t>
            </w:r>
          </w:p>
        </w:tc>
        <w:tc>
          <w:tcPr>
            <w:tcW w:w="980" w:type="dxa"/>
            <w:tcBorders>
              <w:top w:val="nil"/>
              <w:left w:val="nil"/>
              <w:bottom w:val="nil"/>
              <w:right w:val="nil"/>
            </w:tcBorders>
            <w:shd w:val="clear" w:color="000000" w:fill="FFFFFF"/>
            <w:noWrap/>
            <w:vAlign w:val="center"/>
            <w:hideMark/>
          </w:tcPr>
          <w:p w14:paraId="6BDC7E80" w14:textId="2320C043"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0787</w:t>
            </w:r>
            <w:r w:rsidRPr="002152C5">
              <w:rPr>
                <w:rFonts w:cs="Arial"/>
                <w:color w:val="000000"/>
                <w:szCs w:val="18"/>
                <w:vertAlign w:val="superscript"/>
                <w:lang w:val="pt-BR" w:eastAsia="pt-BR"/>
              </w:rPr>
              <w:t>a</w:t>
            </w:r>
          </w:p>
        </w:tc>
        <w:tc>
          <w:tcPr>
            <w:tcW w:w="691" w:type="dxa"/>
            <w:tcBorders>
              <w:top w:val="nil"/>
              <w:left w:val="nil"/>
              <w:bottom w:val="nil"/>
              <w:right w:val="nil"/>
            </w:tcBorders>
            <w:shd w:val="clear" w:color="000000" w:fill="FFFFFF"/>
            <w:noWrap/>
            <w:vAlign w:val="center"/>
            <w:hideMark/>
          </w:tcPr>
          <w:p w14:paraId="04EDD5B0" w14:textId="55AE6431"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1047</w:t>
            </w:r>
          </w:p>
        </w:tc>
        <w:tc>
          <w:tcPr>
            <w:tcW w:w="691" w:type="dxa"/>
            <w:tcBorders>
              <w:top w:val="nil"/>
              <w:left w:val="nil"/>
              <w:bottom w:val="nil"/>
              <w:right w:val="nil"/>
            </w:tcBorders>
            <w:shd w:val="clear" w:color="000000" w:fill="FFFFFF"/>
            <w:noWrap/>
            <w:vAlign w:val="center"/>
            <w:hideMark/>
          </w:tcPr>
          <w:p w14:paraId="332B64AE" w14:textId="128A55DD"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9372</w:t>
            </w:r>
          </w:p>
        </w:tc>
        <w:tc>
          <w:tcPr>
            <w:tcW w:w="691" w:type="dxa"/>
            <w:tcBorders>
              <w:top w:val="nil"/>
              <w:left w:val="nil"/>
              <w:bottom w:val="nil"/>
              <w:right w:val="nil"/>
            </w:tcBorders>
            <w:shd w:val="clear" w:color="000000" w:fill="FFFFFF"/>
            <w:noWrap/>
            <w:vAlign w:val="center"/>
            <w:hideMark/>
          </w:tcPr>
          <w:p w14:paraId="22C23357" w14:textId="6606E869"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2</w:t>
            </w:r>
            <w:r w:rsidR="002A6075">
              <w:rPr>
                <w:rFonts w:cs="Arial"/>
                <w:color w:val="000000"/>
                <w:szCs w:val="18"/>
                <w:lang w:val="pt-BR" w:eastAsia="pt-BR"/>
              </w:rPr>
              <w:t>.</w:t>
            </w:r>
            <w:r w:rsidRPr="00B45344">
              <w:rPr>
                <w:rFonts w:cs="Arial"/>
                <w:color w:val="000000"/>
                <w:szCs w:val="18"/>
                <w:lang w:val="pt-BR" w:eastAsia="pt-BR"/>
              </w:rPr>
              <w:t>8964</w:t>
            </w:r>
          </w:p>
        </w:tc>
      </w:tr>
      <w:tr w:rsidR="00DE74E6" w:rsidRPr="00B45344" w14:paraId="664AAE13" w14:textId="77777777" w:rsidTr="00196225">
        <w:trPr>
          <w:trHeight w:val="300"/>
        </w:trPr>
        <w:tc>
          <w:tcPr>
            <w:tcW w:w="1096" w:type="dxa"/>
            <w:vMerge/>
            <w:tcBorders>
              <w:top w:val="nil"/>
              <w:left w:val="nil"/>
              <w:bottom w:val="single" w:sz="12" w:space="0" w:color="008000"/>
              <w:right w:val="nil"/>
            </w:tcBorders>
            <w:vAlign w:val="center"/>
            <w:hideMark/>
          </w:tcPr>
          <w:p w14:paraId="7FBD8716" w14:textId="77777777" w:rsidR="00DE74E6" w:rsidRPr="00B45344" w:rsidRDefault="00DE74E6" w:rsidP="003D3B05">
            <w:pPr>
              <w:tabs>
                <w:tab w:val="clear" w:pos="7100"/>
              </w:tabs>
              <w:spacing w:line="240" w:lineRule="auto"/>
              <w:jc w:val="left"/>
              <w:rPr>
                <w:rFonts w:cs="Arial"/>
                <w:color w:val="000000"/>
                <w:szCs w:val="18"/>
                <w:lang w:val="pt-BR" w:eastAsia="pt-BR"/>
              </w:rPr>
            </w:pPr>
          </w:p>
        </w:tc>
        <w:tc>
          <w:tcPr>
            <w:tcW w:w="460" w:type="dxa"/>
            <w:tcBorders>
              <w:top w:val="nil"/>
              <w:left w:val="nil"/>
              <w:bottom w:val="nil"/>
              <w:right w:val="nil"/>
            </w:tcBorders>
            <w:shd w:val="clear" w:color="000000" w:fill="FFFFFF"/>
            <w:noWrap/>
            <w:vAlign w:val="center"/>
            <w:hideMark/>
          </w:tcPr>
          <w:p w14:paraId="24F453C0" w14:textId="77777777" w:rsidR="00DE74E6" w:rsidRPr="00B45344" w:rsidRDefault="00DE74E6" w:rsidP="003D3B05">
            <w:pPr>
              <w:tabs>
                <w:tab w:val="clear" w:pos="7100"/>
              </w:tabs>
              <w:spacing w:line="240" w:lineRule="auto"/>
              <w:jc w:val="left"/>
              <w:rPr>
                <w:rFonts w:cs="Arial"/>
                <w:color w:val="000000"/>
                <w:szCs w:val="18"/>
                <w:lang w:val="pt-BR" w:eastAsia="pt-BR"/>
              </w:rPr>
            </w:pPr>
            <w:proofErr w:type="gramStart"/>
            <w:r w:rsidRPr="00B45344">
              <w:rPr>
                <w:rFonts w:cs="Arial"/>
                <w:color w:val="000000"/>
                <w:szCs w:val="18"/>
                <w:lang w:val="pt-BR" w:eastAsia="pt-BR"/>
              </w:rPr>
              <w:t>1</w:t>
            </w:r>
            <w:proofErr w:type="gramEnd"/>
          </w:p>
        </w:tc>
        <w:tc>
          <w:tcPr>
            <w:tcW w:w="980" w:type="dxa"/>
            <w:tcBorders>
              <w:top w:val="nil"/>
              <w:left w:val="nil"/>
              <w:bottom w:val="nil"/>
              <w:right w:val="nil"/>
            </w:tcBorders>
            <w:shd w:val="clear" w:color="000000" w:fill="FFFFFF"/>
            <w:noWrap/>
            <w:vAlign w:val="center"/>
            <w:hideMark/>
          </w:tcPr>
          <w:p w14:paraId="4C3DB0DC" w14:textId="0174E68E"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0727</w:t>
            </w:r>
            <w:r w:rsidRPr="002152C5">
              <w:rPr>
                <w:rFonts w:cs="Arial"/>
                <w:color w:val="000000"/>
                <w:szCs w:val="18"/>
                <w:vertAlign w:val="superscript"/>
                <w:lang w:val="pt-BR" w:eastAsia="pt-BR"/>
              </w:rPr>
              <w:t>a</w:t>
            </w:r>
          </w:p>
        </w:tc>
        <w:tc>
          <w:tcPr>
            <w:tcW w:w="740" w:type="dxa"/>
            <w:tcBorders>
              <w:top w:val="nil"/>
              <w:left w:val="nil"/>
              <w:bottom w:val="nil"/>
              <w:right w:val="nil"/>
            </w:tcBorders>
            <w:shd w:val="clear" w:color="000000" w:fill="FFFFFF"/>
            <w:noWrap/>
            <w:vAlign w:val="center"/>
            <w:hideMark/>
          </w:tcPr>
          <w:p w14:paraId="75B6C607" w14:textId="1025C6A2"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0746</w:t>
            </w:r>
          </w:p>
        </w:tc>
        <w:tc>
          <w:tcPr>
            <w:tcW w:w="740" w:type="dxa"/>
            <w:tcBorders>
              <w:top w:val="nil"/>
              <w:left w:val="nil"/>
              <w:bottom w:val="nil"/>
              <w:right w:val="nil"/>
            </w:tcBorders>
            <w:shd w:val="clear" w:color="000000" w:fill="FFFFFF"/>
            <w:noWrap/>
            <w:vAlign w:val="center"/>
            <w:hideMark/>
          </w:tcPr>
          <w:p w14:paraId="7FD80023" w14:textId="4043E723"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9450</w:t>
            </w:r>
          </w:p>
        </w:tc>
        <w:tc>
          <w:tcPr>
            <w:tcW w:w="691" w:type="dxa"/>
            <w:tcBorders>
              <w:top w:val="nil"/>
              <w:left w:val="nil"/>
              <w:bottom w:val="nil"/>
              <w:right w:val="nil"/>
            </w:tcBorders>
            <w:shd w:val="clear" w:color="000000" w:fill="FFFFFF"/>
            <w:noWrap/>
            <w:vAlign w:val="center"/>
            <w:hideMark/>
          </w:tcPr>
          <w:p w14:paraId="1C8A39D3" w14:textId="0D125370"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3</w:t>
            </w:r>
            <w:r w:rsidR="002A6075">
              <w:rPr>
                <w:rFonts w:cs="Arial"/>
                <w:color w:val="000000"/>
                <w:szCs w:val="18"/>
                <w:lang w:val="pt-BR" w:eastAsia="pt-BR"/>
              </w:rPr>
              <w:t>.</w:t>
            </w:r>
            <w:r w:rsidRPr="00B45344">
              <w:rPr>
                <w:rFonts w:cs="Arial"/>
                <w:color w:val="000000"/>
                <w:szCs w:val="18"/>
                <w:lang w:val="pt-BR" w:eastAsia="pt-BR"/>
              </w:rPr>
              <w:t>4599</w:t>
            </w:r>
          </w:p>
        </w:tc>
        <w:tc>
          <w:tcPr>
            <w:tcW w:w="980" w:type="dxa"/>
            <w:tcBorders>
              <w:top w:val="nil"/>
              <w:left w:val="nil"/>
              <w:bottom w:val="nil"/>
              <w:right w:val="nil"/>
            </w:tcBorders>
            <w:shd w:val="clear" w:color="000000" w:fill="FFFFFF"/>
            <w:noWrap/>
            <w:vAlign w:val="center"/>
            <w:hideMark/>
          </w:tcPr>
          <w:p w14:paraId="7DD917E9" w14:textId="0E0C0639"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0700</w:t>
            </w:r>
            <w:r w:rsidRPr="002152C5">
              <w:rPr>
                <w:rFonts w:cs="Arial"/>
                <w:color w:val="000000"/>
                <w:szCs w:val="18"/>
                <w:vertAlign w:val="superscript"/>
                <w:lang w:val="pt-BR" w:eastAsia="pt-BR"/>
              </w:rPr>
              <w:t>ab</w:t>
            </w:r>
          </w:p>
        </w:tc>
        <w:tc>
          <w:tcPr>
            <w:tcW w:w="691" w:type="dxa"/>
            <w:tcBorders>
              <w:top w:val="nil"/>
              <w:left w:val="nil"/>
              <w:bottom w:val="nil"/>
              <w:right w:val="nil"/>
            </w:tcBorders>
            <w:shd w:val="clear" w:color="000000" w:fill="FFFFFF"/>
            <w:noWrap/>
            <w:vAlign w:val="center"/>
            <w:hideMark/>
          </w:tcPr>
          <w:p w14:paraId="0C7731B2" w14:textId="7E5370E9"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1128</w:t>
            </w:r>
          </w:p>
        </w:tc>
        <w:tc>
          <w:tcPr>
            <w:tcW w:w="691" w:type="dxa"/>
            <w:tcBorders>
              <w:top w:val="nil"/>
              <w:left w:val="nil"/>
              <w:bottom w:val="nil"/>
              <w:right w:val="nil"/>
            </w:tcBorders>
            <w:shd w:val="clear" w:color="000000" w:fill="FFFFFF"/>
            <w:noWrap/>
            <w:vAlign w:val="center"/>
            <w:hideMark/>
          </w:tcPr>
          <w:p w14:paraId="53BA2A71" w14:textId="70FA4EC9"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8867</w:t>
            </w:r>
          </w:p>
        </w:tc>
        <w:tc>
          <w:tcPr>
            <w:tcW w:w="691" w:type="dxa"/>
            <w:tcBorders>
              <w:top w:val="nil"/>
              <w:left w:val="nil"/>
              <w:bottom w:val="nil"/>
              <w:right w:val="nil"/>
            </w:tcBorders>
            <w:shd w:val="clear" w:color="000000" w:fill="FFFFFF"/>
            <w:noWrap/>
            <w:vAlign w:val="center"/>
            <w:hideMark/>
          </w:tcPr>
          <w:p w14:paraId="27FB1468" w14:textId="0E972A26"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2</w:t>
            </w:r>
            <w:r w:rsidR="002A6075">
              <w:rPr>
                <w:rFonts w:cs="Arial"/>
                <w:color w:val="000000"/>
                <w:szCs w:val="18"/>
                <w:lang w:val="pt-BR" w:eastAsia="pt-BR"/>
              </w:rPr>
              <w:t>.</w:t>
            </w:r>
            <w:r w:rsidRPr="00B45344">
              <w:rPr>
                <w:rFonts w:cs="Arial"/>
                <w:color w:val="000000"/>
                <w:szCs w:val="18"/>
                <w:lang w:val="pt-BR" w:eastAsia="pt-BR"/>
              </w:rPr>
              <w:t>6401</w:t>
            </w:r>
          </w:p>
        </w:tc>
      </w:tr>
      <w:tr w:rsidR="00DE74E6" w:rsidRPr="00B45344" w14:paraId="15875C19" w14:textId="77777777" w:rsidTr="00196225">
        <w:trPr>
          <w:trHeight w:val="300"/>
        </w:trPr>
        <w:tc>
          <w:tcPr>
            <w:tcW w:w="1096" w:type="dxa"/>
            <w:vMerge/>
            <w:tcBorders>
              <w:top w:val="nil"/>
              <w:left w:val="nil"/>
              <w:bottom w:val="single" w:sz="12" w:space="0" w:color="008000"/>
              <w:right w:val="nil"/>
            </w:tcBorders>
            <w:vAlign w:val="center"/>
            <w:hideMark/>
          </w:tcPr>
          <w:p w14:paraId="5A04F601" w14:textId="77777777" w:rsidR="00DE74E6" w:rsidRPr="00B45344" w:rsidRDefault="00DE74E6" w:rsidP="003D3B05">
            <w:pPr>
              <w:tabs>
                <w:tab w:val="clear" w:pos="7100"/>
              </w:tabs>
              <w:spacing w:line="240" w:lineRule="auto"/>
              <w:jc w:val="left"/>
              <w:rPr>
                <w:rFonts w:cs="Arial"/>
                <w:color w:val="000000"/>
                <w:szCs w:val="18"/>
                <w:lang w:val="pt-BR" w:eastAsia="pt-BR"/>
              </w:rPr>
            </w:pPr>
          </w:p>
        </w:tc>
        <w:tc>
          <w:tcPr>
            <w:tcW w:w="460" w:type="dxa"/>
            <w:tcBorders>
              <w:top w:val="nil"/>
              <w:left w:val="nil"/>
              <w:bottom w:val="nil"/>
              <w:right w:val="nil"/>
            </w:tcBorders>
            <w:shd w:val="clear" w:color="000000" w:fill="FFFFFF"/>
            <w:noWrap/>
            <w:vAlign w:val="center"/>
            <w:hideMark/>
          </w:tcPr>
          <w:p w14:paraId="0B5E5BCF" w14:textId="12D4CB8B"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1</w:t>
            </w:r>
            <w:r w:rsidR="002A6075">
              <w:rPr>
                <w:rFonts w:cs="Arial"/>
                <w:color w:val="000000"/>
                <w:szCs w:val="18"/>
                <w:lang w:val="pt-BR" w:eastAsia="pt-BR"/>
              </w:rPr>
              <w:t>.</w:t>
            </w:r>
            <w:r w:rsidRPr="00B45344">
              <w:rPr>
                <w:rFonts w:cs="Arial"/>
                <w:color w:val="000000"/>
                <w:szCs w:val="18"/>
                <w:lang w:val="pt-BR" w:eastAsia="pt-BR"/>
              </w:rPr>
              <w:t>5</w:t>
            </w:r>
          </w:p>
        </w:tc>
        <w:tc>
          <w:tcPr>
            <w:tcW w:w="980" w:type="dxa"/>
            <w:tcBorders>
              <w:top w:val="nil"/>
              <w:left w:val="nil"/>
              <w:bottom w:val="nil"/>
              <w:right w:val="nil"/>
            </w:tcBorders>
            <w:shd w:val="clear" w:color="000000" w:fill="FFFFFF"/>
            <w:noWrap/>
            <w:vAlign w:val="center"/>
            <w:hideMark/>
          </w:tcPr>
          <w:p w14:paraId="3DF4C6B4" w14:textId="4A36DACA"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0701</w:t>
            </w:r>
            <w:r w:rsidRPr="002152C5">
              <w:rPr>
                <w:rFonts w:cs="Arial"/>
                <w:color w:val="000000"/>
                <w:szCs w:val="18"/>
                <w:vertAlign w:val="superscript"/>
                <w:lang w:val="pt-BR" w:eastAsia="pt-BR"/>
              </w:rPr>
              <w:t>abc</w:t>
            </w:r>
          </w:p>
        </w:tc>
        <w:tc>
          <w:tcPr>
            <w:tcW w:w="740" w:type="dxa"/>
            <w:tcBorders>
              <w:top w:val="nil"/>
              <w:left w:val="nil"/>
              <w:bottom w:val="nil"/>
              <w:right w:val="nil"/>
            </w:tcBorders>
            <w:shd w:val="clear" w:color="000000" w:fill="FFFFFF"/>
            <w:noWrap/>
            <w:vAlign w:val="center"/>
            <w:hideMark/>
          </w:tcPr>
          <w:p w14:paraId="7277AB33" w14:textId="4BE0D7EB"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1196</w:t>
            </w:r>
          </w:p>
        </w:tc>
        <w:tc>
          <w:tcPr>
            <w:tcW w:w="740" w:type="dxa"/>
            <w:tcBorders>
              <w:top w:val="nil"/>
              <w:left w:val="nil"/>
              <w:bottom w:val="nil"/>
              <w:right w:val="nil"/>
            </w:tcBorders>
            <w:shd w:val="clear" w:color="000000" w:fill="FFFFFF"/>
            <w:noWrap/>
            <w:vAlign w:val="center"/>
            <w:hideMark/>
          </w:tcPr>
          <w:p w14:paraId="73EFAC20" w14:textId="1C20A517"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9371</w:t>
            </w:r>
          </w:p>
        </w:tc>
        <w:tc>
          <w:tcPr>
            <w:tcW w:w="691" w:type="dxa"/>
            <w:tcBorders>
              <w:top w:val="nil"/>
              <w:left w:val="nil"/>
              <w:bottom w:val="nil"/>
              <w:right w:val="nil"/>
            </w:tcBorders>
            <w:shd w:val="clear" w:color="000000" w:fill="FFFFFF"/>
            <w:noWrap/>
            <w:vAlign w:val="center"/>
            <w:hideMark/>
          </w:tcPr>
          <w:p w14:paraId="4CAB3758" w14:textId="215C4B25"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2</w:t>
            </w:r>
            <w:r w:rsidR="002A6075">
              <w:rPr>
                <w:rFonts w:cs="Arial"/>
                <w:color w:val="000000"/>
                <w:szCs w:val="18"/>
                <w:lang w:val="pt-BR" w:eastAsia="pt-BR"/>
              </w:rPr>
              <w:t>.</w:t>
            </w:r>
            <w:r w:rsidRPr="00B45344">
              <w:rPr>
                <w:rFonts w:cs="Arial"/>
                <w:color w:val="000000"/>
                <w:szCs w:val="18"/>
                <w:lang w:val="pt-BR" w:eastAsia="pt-BR"/>
              </w:rPr>
              <w:t>7097</w:t>
            </w:r>
          </w:p>
        </w:tc>
        <w:tc>
          <w:tcPr>
            <w:tcW w:w="980" w:type="dxa"/>
            <w:tcBorders>
              <w:top w:val="nil"/>
              <w:left w:val="nil"/>
              <w:bottom w:val="nil"/>
              <w:right w:val="nil"/>
            </w:tcBorders>
            <w:shd w:val="clear" w:color="000000" w:fill="FFFFFF"/>
            <w:noWrap/>
            <w:vAlign w:val="center"/>
            <w:hideMark/>
          </w:tcPr>
          <w:p w14:paraId="5F76FE36" w14:textId="744F9EB3"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7410</w:t>
            </w:r>
            <w:r w:rsidRPr="002152C5">
              <w:rPr>
                <w:rFonts w:cs="Arial"/>
                <w:color w:val="000000"/>
                <w:szCs w:val="18"/>
                <w:vertAlign w:val="superscript"/>
                <w:lang w:val="pt-BR" w:eastAsia="pt-BR"/>
              </w:rPr>
              <w:t>a</w:t>
            </w:r>
          </w:p>
        </w:tc>
        <w:tc>
          <w:tcPr>
            <w:tcW w:w="691" w:type="dxa"/>
            <w:tcBorders>
              <w:top w:val="nil"/>
              <w:left w:val="nil"/>
              <w:bottom w:val="nil"/>
              <w:right w:val="nil"/>
            </w:tcBorders>
            <w:shd w:val="clear" w:color="000000" w:fill="FFFFFF"/>
            <w:noWrap/>
            <w:vAlign w:val="center"/>
            <w:hideMark/>
          </w:tcPr>
          <w:p w14:paraId="73035640" w14:textId="5A4289A2"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1083</w:t>
            </w:r>
          </w:p>
        </w:tc>
        <w:tc>
          <w:tcPr>
            <w:tcW w:w="691" w:type="dxa"/>
            <w:tcBorders>
              <w:top w:val="nil"/>
              <w:left w:val="nil"/>
              <w:bottom w:val="nil"/>
              <w:right w:val="nil"/>
            </w:tcBorders>
            <w:shd w:val="clear" w:color="000000" w:fill="FFFFFF"/>
            <w:noWrap/>
            <w:vAlign w:val="center"/>
            <w:hideMark/>
          </w:tcPr>
          <w:p w14:paraId="6210C005" w14:textId="304A9784"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9277</w:t>
            </w:r>
          </w:p>
        </w:tc>
        <w:tc>
          <w:tcPr>
            <w:tcW w:w="691" w:type="dxa"/>
            <w:tcBorders>
              <w:top w:val="nil"/>
              <w:left w:val="nil"/>
              <w:bottom w:val="nil"/>
              <w:right w:val="nil"/>
            </w:tcBorders>
            <w:shd w:val="clear" w:color="000000" w:fill="FFFFFF"/>
            <w:noWrap/>
            <w:vAlign w:val="center"/>
            <w:hideMark/>
          </w:tcPr>
          <w:p w14:paraId="37A379E0" w14:textId="70034B6E"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2</w:t>
            </w:r>
            <w:r w:rsidR="002A6075">
              <w:rPr>
                <w:rFonts w:cs="Arial"/>
                <w:color w:val="000000"/>
                <w:szCs w:val="18"/>
                <w:lang w:val="pt-BR" w:eastAsia="pt-BR"/>
              </w:rPr>
              <w:t>.</w:t>
            </w:r>
            <w:r w:rsidRPr="00B45344">
              <w:rPr>
                <w:rFonts w:cs="Arial"/>
                <w:color w:val="000000"/>
                <w:szCs w:val="18"/>
                <w:lang w:val="pt-BR" w:eastAsia="pt-BR"/>
              </w:rPr>
              <w:t>8190</w:t>
            </w:r>
          </w:p>
        </w:tc>
      </w:tr>
      <w:tr w:rsidR="00DE74E6" w:rsidRPr="00B45344" w14:paraId="0ED027DA" w14:textId="77777777" w:rsidTr="00196225">
        <w:trPr>
          <w:trHeight w:val="300"/>
        </w:trPr>
        <w:tc>
          <w:tcPr>
            <w:tcW w:w="1096" w:type="dxa"/>
            <w:vMerge/>
            <w:tcBorders>
              <w:top w:val="nil"/>
              <w:left w:val="nil"/>
              <w:bottom w:val="single" w:sz="12" w:space="0" w:color="008000"/>
              <w:right w:val="nil"/>
            </w:tcBorders>
            <w:vAlign w:val="center"/>
            <w:hideMark/>
          </w:tcPr>
          <w:p w14:paraId="04E4D6C5" w14:textId="77777777" w:rsidR="00DE74E6" w:rsidRPr="00B45344" w:rsidRDefault="00DE74E6" w:rsidP="003D3B05">
            <w:pPr>
              <w:tabs>
                <w:tab w:val="clear" w:pos="7100"/>
              </w:tabs>
              <w:spacing w:line="240" w:lineRule="auto"/>
              <w:jc w:val="left"/>
              <w:rPr>
                <w:rFonts w:cs="Arial"/>
                <w:color w:val="000000"/>
                <w:szCs w:val="18"/>
                <w:lang w:val="pt-BR" w:eastAsia="pt-BR"/>
              </w:rPr>
            </w:pPr>
          </w:p>
        </w:tc>
        <w:tc>
          <w:tcPr>
            <w:tcW w:w="460" w:type="dxa"/>
            <w:tcBorders>
              <w:top w:val="nil"/>
              <w:left w:val="nil"/>
              <w:bottom w:val="nil"/>
              <w:right w:val="nil"/>
            </w:tcBorders>
            <w:shd w:val="clear" w:color="000000" w:fill="FFFFFF"/>
            <w:noWrap/>
            <w:vAlign w:val="center"/>
            <w:hideMark/>
          </w:tcPr>
          <w:p w14:paraId="5A0FF312" w14:textId="77777777" w:rsidR="00DE74E6" w:rsidRPr="00B45344" w:rsidRDefault="00DE74E6" w:rsidP="003D3B05">
            <w:pPr>
              <w:tabs>
                <w:tab w:val="clear" w:pos="7100"/>
              </w:tabs>
              <w:spacing w:line="240" w:lineRule="auto"/>
              <w:jc w:val="left"/>
              <w:rPr>
                <w:rFonts w:cs="Arial"/>
                <w:color w:val="000000"/>
                <w:szCs w:val="18"/>
                <w:lang w:val="pt-BR" w:eastAsia="pt-BR"/>
              </w:rPr>
            </w:pPr>
            <w:proofErr w:type="gramStart"/>
            <w:r w:rsidRPr="00B45344">
              <w:rPr>
                <w:rFonts w:cs="Arial"/>
                <w:color w:val="000000"/>
                <w:szCs w:val="18"/>
                <w:lang w:val="pt-BR" w:eastAsia="pt-BR"/>
              </w:rPr>
              <w:t>2</w:t>
            </w:r>
            <w:proofErr w:type="gramEnd"/>
          </w:p>
        </w:tc>
        <w:tc>
          <w:tcPr>
            <w:tcW w:w="980" w:type="dxa"/>
            <w:tcBorders>
              <w:top w:val="nil"/>
              <w:left w:val="nil"/>
              <w:bottom w:val="nil"/>
              <w:right w:val="nil"/>
            </w:tcBorders>
            <w:shd w:val="clear" w:color="000000" w:fill="FFFFFF"/>
            <w:noWrap/>
            <w:vAlign w:val="center"/>
            <w:hideMark/>
          </w:tcPr>
          <w:p w14:paraId="30ECD986" w14:textId="26C7DE64"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0710</w:t>
            </w:r>
            <w:r w:rsidRPr="002152C5">
              <w:rPr>
                <w:rFonts w:cs="Arial"/>
                <w:color w:val="000000"/>
                <w:szCs w:val="18"/>
                <w:vertAlign w:val="superscript"/>
                <w:lang w:val="pt-BR" w:eastAsia="pt-BR"/>
              </w:rPr>
              <w:t>a</w:t>
            </w:r>
            <w:r w:rsidRPr="00225B22">
              <w:rPr>
                <w:rFonts w:cs="Arial"/>
                <w:color w:val="000000"/>
                <w:szCs w:val="18"/>
                <w:vertAlign w:val="subscript"/>
                <w:lang w:val="pt-BR" w:eastAsia="pt-BR"/>
              </w:rPr>
              <w:t>b</w:t>
            </w:r>
          </w:p>
        </w:tc>
        <w:tc>
          <w:tcPr>
            <w:tcW w:w="740" w:type="dxa"/>
            <w:tcBorders>
              <w:top w:val="nil"/>
              <w:left w:val="nil"/>
              <w:bottom w:val="nil"/>
              <w:right w:val="nil"/>
            </w:tcBorders>
            <w:shd w:val="clear" w:color="000000" w:fill="FFFFFF"/>
            <w:noWrap/>
            <w:vAlign w:val="center"/>
            <w:hideMark/>
          </w:tcPr>
          <w:p w14:paraId="0961B74F" w14:textId="34D3A854"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1045</w:t>
            </w:r>
          </w:p>
        </w:tc>
        <w:tc>
          <w:tcPr>
            <w:tcW w:w="740" w:type="dxa"/>
            <w:tcBorders>
              <w:top w:val="nil"/>
              <w:left w:val="nil"/>
              <w:bottom w:val="nil"/>
              <w:right w:val="nil"/>
            </w:tcBorders>
            <w:shd w:val="clear" w:color="000000" w:fill="FFFFFF"/>
            <w:noWrap/>
            <w:vAlign w:val="center"/>
            <w:hideMark/>
          </w:tcPr>
          <w:p w14:paraId="04C20C13" w14:textId="4B831705"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9225</w:t>
            </w:r>
          </w:p>
        </w:tc>
        <w:tc>
          <w:tcPr>
            <w:tcW w:w="691" w:type="dxa"/>
            <w:tcBorders>
              <w:top w:val="nil"/>
              <w:left w:val="nil"/>
              <w:bottom w:val="nil"/>
              <w:right w:val="nil"/>
            </w:tcBorders>
            <w:shd w:val="clear" w:color="000000" w:fill="FFFFFF"/>
            <w:noWrap/>
            <w:vAlign w:val="center"/>
            <w:hideMark/>
          </w:tcPr>
          <w:p w14:paraId="2355D520" w14:textId="2F5E3B13"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2</w:t>
            </w:r>
            <w:r w:rsidR="002A6075">
              <w:rPr>
                <w:rFonts w:cs="Arial"/>
                <w:color w:val="000000"/>
                <w:szCs w:val="18"/>
                <w:lang w:val="pt-BR" w:eastAsia="pt-BR"/>
              </w:rPr>
              <w:t>.</w:t>
            </w:r>
            <w:r w:rsidRPr="00B45344">
              <w:rPr>
                <w:rFonts w:cs="Arial"/>
                <w:color w:val="000000"/>
                <w:szCs w:val="18"/>
                <w:lang w:val="pt-BR" w:eastAsia="pt-BR"/>
              </w:rPr>
              <w:t>8537</w:t>
            </w:r>
          </w:p>
        </w:tc>
        <w:tc>
          <w:tcPr>
            <w:tcW w:w="980" w:type="dxa"/>
            <w:tcBorders>
              <w:top w:val="nil"/>
              <w:left w:val="nil"/>
              <w:bottom w:val="nil"/>
              <w:right w:val="nil"/>
            </w:tcBorders>
            <w:shd w:val="clear" w:color="000000" w:fill="FFFFFF"/>
            <w:noWrap/>
            <w:vAlign w:val="center"/>
            <w:hideMark/>
          </w:tcPr>
          <w:p w14:paraId="2EDDE426" w14:textId="09D49EB8"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0666</w:t>
            </w:r>
            <w:r w:rsidRPr="002152C5">
              <w:rPr>
                <w:rFonts w:cs="Arial"/>
                <w:color w:val="000000"/>
                <w:szCs w:val="18"/>
                <w:vertAlign w:val="superscript"/>
                <w:lang w:val="pt-BR" w:eastAsia="pt-BR"/>
              </w:rPr>
              <w:t>abc</w:t>
            </w:r>
          </w:p>
        </w:tc>
        <w:tc>
          <w:tcPr>
            <w:tcW w:w="691" w:type="dxa"/>
            <w:tcBorders>
              <w:top w:val="nil"/>
              <w:left w:val="nil"/>
              <w:bottom w:val="nil"/>
              <w:right w:val="nil"/>
            </w:tcBorders>
            <w:shd w:val="clear" w:color="000000" w:fill="FFFFFF"/>
            <w:noWrap/>
            <w:vAlign w:val="center"/>
            <w:hideMark/>
          </w:tcPr>
          <w:p w14:paraId="11865023" w14:textId="06559039"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0730</w:t>
            </w:r>
          </w:p>
        </w:tc>
        <w:tc>
          <w:tcPr>
            <w:tcW w:w="691" w:type="dxa"/>
            <w:tcBorders>
              <w:top w:val="nil"/>
              <w:left w:val="nil"/>
              <w:bottom w:val="nil"/>
              <w:right w:val="nil"/>
            </w:tcBorders>
            <w:shd w:val="clear" w:color="000000" w:fill="FFFFFF"/>
            <w:noWrap/>
            <w:vAlign w:val="center"/>
            <w:hideMark/>
          </w:tcPr>
          <w:p w14:paraId="68BD0962" w14:textId="2D55348F"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9136</w:t>
            </w:r>
          </w:p>
        </w:tc>
        <w:tc>
          <w:tcPr>
            <w:tcW w:w="691" w:type="dxa"/>
            <w:tcBorders>
              <w:top w:val="nil"/>
              <w:left w:val="nil"/>
              <w:bottom w:val="nil"/>
              <w:right w:val="nil"/>
            </w:tcBorders>
            <w:shd w:val="clear" w:color="000000" w:fill="FFFFFF"/>
            <w:noWrap/>
            <w:vAlign w:val="center"/>
            <w:hideMark/>
          </w:tcPr>
          <w:p w14:paraId="371DD70F" w14:textId="558757AE"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3</w:t>
            </w:r>
            <w:r w:rsidR="002A6075">
              <w:rPr>
                <w:rFonts w:cs="Arial"/>
                <w:color w:val="000000"/>
                <w:szCs w:val="18"/>
                <w:lang w:val="pt-BR" w:eastAsia="pt-BR"/>
              </w:rPr>
              <w:t>.</w:t>
            </w:r>
            <w:r w:rsidRPr="00B45344">
              <w:rPr>
                <w:rFonts w:cs="Arial"/>
                <w:color w:val="000000"/>
                <w:szCs w:val="18"/>
                <w:lang w:val="pt-BR" w:eastAsia="pt-BR"/>
              </w:rPr>
              <w:t>3814</w:t>
            </w:r>
          </w:p>
        </w:tc>
      </w:tr>
      <w:tr w:rsidR="00DE74E6" w:rsidRPr="00B45344" w14:paraId="33F70561" w14:textId="77777777" w:rsidTr="00196225">
        <w:trPr>
          <w:trHeight w:val="300"/>
        </w:trPr>
        <w:tc>
          <w:tcPr>
            <w:tcW w:w="1096" w:type="dxa"/>
            <w:vMerge/>
            <w:tcBorders>
              <w:top w:val="nil"/>
              <w:left w:val="nil"/>
              <w:bottom w:val="single" w:sz="12" w:space="0" w:color="008000"/>
              <w:right w:val="nil"/>
            </w:tcBorders>
            <w:vAlign w:val="center"/>
            <w:hideMark/>
          </w:tcPr>
          <w:p w14:paraId="6295A205" w14:textId="77777777" w:rsidR="00DE74E6" w:rsidRPr="00B45344" w:rsidRDefault="00DE74E6" w:rsidP="003D3B05">
            <w:pPr>
              <w:tabs>
                <w:tab w:val="clear" w:pos="7100"/>
              </w:tabs>
              <w:spacing w:line="240" w:lineRule="auto"/>
              <w:jc w:val="left"/>
              <w:rPr>
                <w:rFonts w:cs="Arial"/>
                <w:color w:val="000000"/>
                <w:szCs w:val="18"/>
                <w:lang w:val="pt-BR" w:eastAsia="pt-BR"/>
              </w:rPr>
            </w:pPr>
          </w:p>
        </w:tc>
        <w:tc>
          <w:tcPr>
            <w:tcW w:w="460" w:type="dxa"/>
            <w:tcBorders>
              <w:top w:val="nil"/>
              <w:left w:val="nil"/>
              <w:bottom w:val="nil"/>
              <w:right w:val="nil"/>
            </w:tcBorders>
            <w:shd w:val="clear" w:color="000000" w:fill="FFFFFF"/>
            <w:noWrap/>
            <w:vAlign w:val="center"/>
            <w:hideMark/>
          </w:tcPr>
          <w:p w14:paraId="21759321" w14:textId="3A6671D4"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2</w:t>
            </w:r>
            <w:r w:rsidR="002A6075">
              <w:rPr>
                <w:rFonts w:cs="Arial"/>
                <w:color w:val="000000"/>
                <w:szCs w:val="18"/>
                <w:lang w:val="pt-BR" w:eastAsia="pt-BR"/>
              </w:rPr>
              <w:t>.</w:t>
            </w:r>
            <w:r w:rsidRPr="00B45344">
              <w:rPr>
                <w:rFonts w:cs="Arial"/>
                <w:color w:val="000000"/>
                <w:szCs w:val="18"/>
                <w:lang w:val="pt-BR" w:eastAsia="pt-BR"/>
              </w:rPr>
              <w:t>5</w:t>
            </w:r>
          </w:p>
        </w:tc>
        <w:tc>
          <w:tcPr>
            <w:tcW w:w="980" w:type="dxa"/>
            <w:tcBorders>
              <w:top w:val="nil"/>
              <w:left w:val="nil"/>
              <w:bottom w:val="nil"/>
              <w:right w:val="nil"/>
            </w:tcBorders>
            <w:shd w:val="clear" w:color="000000" w:fill="FFFFFF"/>
            <w:noWrap/>
            <w:vAlign w:val="center"/>
            <w:hideMark/>
          </w:tcPr>
          <w:p w14:paraId="369A0F63" w14:textId="61D2E356"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0648</w:t>
            </w:r>
            <w:r w:rsidRPr="002152C5">
              <w:rPr>
                <w:rFonts w:cs="Arial"/>
                <w:color w:val="000000"/>
                <w:szCs w:val="18"/>
                <w:vertAlign w:val="superscript"/>
                <w:lang w:val="pt-BR" w:eastAsia="pt-BR"/>
              </w:rPr>
              <w:t>abc</w:t>
            </w:r>
          </w:p>
        </w:tc>
        <w:tc>
          <w:tcPr>
            <w:tcW w:w="740" w:type="dxa"/>
            <w:tcBorders>
              <w:top w:val="nil"/>
              <w:left w:val="nil"/>
              <w:bottom w:val="nil"/>
              <w:right w:val="nil"/>
            </w:tcBorders>
            <w:shd w:val="clear" w:color="000000" w:fill="FFFFFF"/>
            <w:noWrap/>
            <w:vAlign w:val="center"/>
            <w:hideMark/>
          </w:tcPr>
          <w:p w14:paraId="4F4D1DDC" w14:textId="25717AF9"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1076</w:t>
            </w:r>
          </w:p>
        </w:tc>
        <w:tc>
          <w:tcPr>
            <w:tcW w:w="740" w:type="dxa"/>
            <w:tcBorders>
              <w:top w:val="nil"/>
              <w:left w:val="nil"/>
              <w:bottom w:val="nil"/>
              <w:right w:val="nil"/>
            </w:tcBorders>
            <w:shd w:val="clear" w:color="000000" w:fill="FFFFFF"/>
            <w:noWrap/>
            <w:vAlign w:val="center"/>
            <w:hideMark/>
          </w:tcPr>
          <w:p w14:paraId="5C7F530B" w14:textId="1CBBFAB4"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9144</w:t>
            </w:r>
          </w:p>
        </w:tc>
        <w:tc>
          <w:tcPr>
            <w:tcW w:w="691" w:type="dxa"/>
            <w:tcBorders>
              <w:top w:val="nil"/>
              <w:left w:val="nil"/>
              <w:bottom w:val="nil"/>
              <w:right w:val="nil"/>
            </w:tcBorders>
            <w:shd w:val="clear" w:color="000000" w:fill="FFFFFF"/>
            <w:noWrap/>
            <w:vAlign w:val="center"/>
            <w:hideMark/>
          </w:tcPr>
          <w:p w14:paraId="1BA1A9D6" w14:textId="3D36EF0F"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2</w:t>
            </w:r>
            <w:r w:rsidR="002A6075">
              <w:rPr>
                <w:rFonts w:cs="Arial"/>
                <w:color w:val="000000"/>
                <w:szCs w:val="18"/>
                <w:lang w:val="pt-BR" w:eastAsia="pt-BR"/>
              </w:rPr>
              <w:t>.</w:t>
            </w:r>
            <w:r w:rsidRPr="00B45344">
              <w:rPr>
                <w:rFonts w:cs="Arial"/>
                <w:color w:val="000000"/>
                <w:szCs w:val="18"/>
                <w:lang w:val="pt-BR" w:eastAsia="pt-BR"/>
              </w:rPr>
              <w:t>7876</w:t>
            </w:r>
          </w:p>
        </w:tc>
        <w:tc>
          <w:tcPr>
            <w:tcW w:w="980" w:type="dxa"/>
            <w:tcBorders>
              <w:top w:val="nil"/>
              <w:left w:val="nil"/>
              <w:bottom w:val="nil"/>
              <w:right w:val="nil"/>
            </w:tcBorders>
            <w:shd w:val="clear" w:color="000000" w:fill="FFFFFF"/>
            <w:noWrap/>
            <w:vAlign w:val="center"/>
            <w:hideMark/>
          </w:tcPr>
          <w:p w14:paraId="23FD2C3E" w14:textId="195DCCE8"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0635</w:t>
            </w:r>
            <w:r w:rsidRPr="002152C5">
              <w:rPr>
                <w:rFonts w:cs="Arial"/>
                <w:color w:val="000000"/>
                <w:szCs w:val="18"/>
                <w:vertAlign w:val="superscript"/>
                <w:lang w:val="pt-BR" w:eastAsia="pt-BR"/>
              </w:rPr>
              <w:t>abc</w:t>
            </w:r>
          </w:p>
        </w:tc>
        <w:tc>
          <w:tcPr>
            <w:tcW w:w="691" w:type="dxa"/>
            <w:tcBorders>
              <w:top w:val="nil"/>
              <w:left w:val="nil"/>
              <w:bottom w:val="nil"/>
              <w:right w:val="nil"/>
            </w:tcBorders>
            <w:shd w:val="clear" w:color="000000" w:fill="FFFFFF"/>
            <w:noWrap/>
            <w:vAlign w:val="center"/>
            <w:hideMark/>
          </w:tcPr>
          <w:p w14:paraId="42971486" w14:textId="683EA986"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0669</w:t>
            </w:r>
          </w:p>
        </w:tc>
        <w:tc>
          <w:tcPr>
            <w:tcW w:w="691" w:type="dxa"/>
            <w:tcBorders>
              <w:top w:val="nil"/>
              <w:left w:val="nil"/>
              <w:bottom w:val="nil"/>
              <w:right w:val="nil"/>
            </w:tcBorders>
            <w:shd w:val="clear" w:color="000000" w:fill="FFFFFF"/>
            <w:noWrap/>
            <w:vAlign w:val="center"/>
            <w:hideMark/>
          </w:tcPr>
          <w:p w14:paraId="38FB35E4" w14:textId="0CB9231D"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9387</w:t>
            </w:r>
          </w:p>
        </w:tc>
        <w:tc>
          <w:tcPr>
            <w:tcW w:w="691" w:type="dxa"/>
            <w:tcBorders>
              <w:top w:val="nil"/>
              <w:left w:val="nil"/>
              <w:bottom w:val="nil"/>
              <w:right w:val="nil"/>
            </w:tcBorders>
            <w:shd w:val="clear" w:color="000000" w:fill="FFFFFF"/>
            <w:noWrap/>
            <w:vAlign w:val="center"/>
            <w:hideMark/>
          </w:tcPr>
          <w:p w14:paraId="184F442C" w14:textId="3FE12B48"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3</w:t>
            </w:r>
            <w:r w:rsidR="002A6075">
              <w:rPr>
                <w:rFonts w:cs="Arial"/>
                <w:color w:val="000000"/>
                <w:szCs w:val="18"/>
                <w:lang w:val="pt-BR" w:eastAsia="pt-BR"/>
              </w:rPr>
              <w:t>.</w:t>
            </w:r>
            <w:r w:rsidRPr="00B45344">
              <w:rPr>
                <w:rFonts w:cs="Arial"/>
                <w:color w:val="000000"/>
                <w:szCs w:val="18"/>
                <w:lang w:val="pt-BR" w:eastAsia="pt-BR"/>
              </w:rPr>
              <w:t>6292</w:t>
            </w:r>
          </w:p>
        </w:tc>
      </w:tr>
      <w:tr w:rsidR="00DE74E6" w:rsidRPr="00B45344" w14:paraId="79BC66B2" w14:textId="77777777" w:rsidTr="00196225">
        <w:trPr>
          <w:trHeight w:val="300"/>
        </w:trPr>
        <w:tc>
          <w:tcPr>
            <w:tcW w:w="1096" w:type="dxa"/>
            <w:vMerge/>
            <w:tcBorders>
              <w:top w:val="nil"/>
              <w:left w:val="nil"/>
              <w:bottom w:val="single" w:sz="12" w:space="0" w:color="008000"/>
              <w:right w:val="nil"/>
            </w:tcBorders>
            <w:vAlign w:val="center"/>
            <w:hideMark/>
          </w:tcPr>
          <w:p w14:paraId="26963953" w14:textId="77777777" w:rsidR="00DE74E6" w:rsidRPr="00B45344" w:rsidRDefault="00DE74E6" w:rsidP="003D3B05">
            <w:pPr>
              <w:tabs>
                <w:tab w:val="clear" w:pos="7100"/>
              </w:tabs>
              <w:spacing w:line="240" w:lineRule="auto"/>
              <w:jc w:val="left"/>
              <w:rPr>
                <w:rFonts w:cs="Arial"/>
                <w:color w:val="000000"/>
                <w:szCs w:val="18"/>
                <w:lang w:val="pt-BR" w:eastAsia="pt-BR"/>
              </w:rPr>
            </w:pPr>
          </w:p>
        </w:tc>
        <w:tc>
          <w:tcPr>
            <w:tcW w:w="460" w:type="dxa"/>
            <w:tcBorders>
              <w:top w:val="nil"/>
              <w:left w:val="nil"/>
              <w:bottom w:val="nil"/>
              <w:right w:val="nil"/>
            </w:tcBorders>
            <w:shd w:val="clear" w:color="000000" w:fill="FFFFFF"/>
            <w:noWrap/>
            <w:vAlign w:val="center"/>
            <w:hideMark/>
          </w:tcPr>
          <w:p w14:paraId="6C21EBE2" w14:textId="77777777" w:rsidR="00DE74E6" w:rsidRPr="00B45344" w:rsidRDefault="00DE74E6" w:rsidP="003D3B05">
            <w:pPr>
              <w:tabs>
                <w:tab w:val="clear" w:pos="7100"/>
              </w:tabs>
              <w:spacing w:line="240" w:lineRule="auto"/>
              <w:jc w:val="left"/>
              <w:rPr>
                <w:rFonts w:cs="Arial"/>
                <w:color w:val="000000"/>
                <w:szCs w:val="18"/>
                <w:lang w:val="pt-BR" w:eastAsia="pt-BR"/>
              </w:rPr>
            </w:pPr>
            <w:proofErr w:type="gramStart"/>
            <w:r w:rsidRPr="00B45344">
              <w:rPr>
                <w:rFonts w:cs="Arial"/>
                <w:color w:val="000000"/>
                <w:szCs w:val="18"/>
                <w:lang w:val="pt-BR" w:eastAsia="pt-BR"/>
              </w:rPr>
              <w:t>3</w:t>
            </w:r>
            <w:proofErr w:type="gramEnd"/>
          </w:p>
        </w:tc>
        <w:tc>
          <w:tcPr>
            <w:tcW w:w="980" w:type="dxa"/>
            <w:tcBorders>
              <w:top w:val="nil"/>
              <w:left w:val="nil"/>
              <w:bottom w:val="nil"/>
              <w:right w:val="nil"/>
            </w:tcBorders>
            <w:shd w:val="clear" w:color="000000" w:fill="FFFFFF"/>
            <w:noWrap/>
            <w:vAlign w:val="center"/>
            <w:hideMark/>
          </w:tcPr>
          <w:p w14:paraId="6C6328EC" w14:textId="6DD2CA53"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0627</w:t>
            </w:r>
            <w:proofErr w:type="gramStart"/>
            <w:r w:rsidRPr="002152C5">
              <w:rPr>
                <w:rFonts w:cs="Arial"/>
                <w:color w:val="000000"/>
                <w:szCs w:val="18"/>
                <w:vertAlign w:val="superscript"/>
                <w:lang w:val="pt-BR" w:eastAsia="pt-BR"/>
              </w:rPr>
              <w:t>bc</w:t>
            </w:r>
            <w:proofErr w:type="gramEnd"/>
          </w:p>
        </w:tc>
        <w:tc>
          <w:tcPr>
            <w:tcW w:w="740" w:type="dxa"/>
            <w:tcBorders>
              <w:top w:val="nil"/>
              <w:left w:val="nil"/>
              <w:bottom w:val="nil"/>
              <w:right w:val="nil"/>
            </w:tcBorders>
            <w:shd w:val="clear" w:color="000000" w:fill="FFFFFF"/>
            <w:noWrap/>
            <w:vAlign w:val="center"/>
            <w:hideMark/>
          </w:tcPr>
          <w:p w14:paraId="3325CE43" w14:textId="47955615"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1205</w:t>
            </w:r>
          </w:p>
        </w:tc>
        <w:tc>
          <w:tcPr>
            <w:tcW w:w="740" w:type="dxa"/>
            <w:tcBorders>
              <w:top w:val="nil"/>
              <w:left w:val="nil"/>
              <w:bottom w:val="nil"/>
              <w:right w:val="nil"/>
            </w:tcBorders>
            <w:shd w:val="clear" w:color="000000" w:fill="FFFFFF"/>
            <w:noWrap/>
            <w:vAlign w:val="center"/>
            <w:hideMark/>
          </w:tcPr>
          <w:p w14:paraId="4C66A2CD" w14:textId="716F74C4"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9352</w:t>
            </w:r>
          </w:p>
        </w:tc>
        <w:tc>
          <w:tcPr>
            <w:tcW w:w="691" w:type="dxa"/>
            <w:tcBorders>
              <w:top w:val="nil"/>
              <w:left w:val="nil"/>
              <w:bottom w:val="nil"/>
              <w:right w:val="nil"/>
            </w:tcBorders>
            <w:shd w:val="clear" w:color="000000" w:fill="FFFFFF"/>
            <w:noWrap/>
            <w:vAlign w:val="center"/>
            <w:hideMark/>
          </w:tcPr>
          <w:p w14:paraId="188070BC" w14:textId="29B55376"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2</w:t>
            </w:r>
            <w:r w:rsidR="002A6075">
              <w:rPr>
                <w:rFonts w:cs="Arial"/>
                <w:color w:val="000000"/>
                <w:szCs w:val="18"/>
                <w:lang w:val="pt-BR" w:eastAsia="pt-BR"/>
              </w:rPr>
              <w:t>.</w:t>
            </w:r>
            <w:r w:rsidRPr="00B45344">
              <w:rPr>
                <w:rFonts w:cs="Arial"/>
                <w:color w:val="000000"/>
                <w:szCs w:val="18"/>
                <w:lang w:val="pt-BR" w:eastAsia="pt-BR"/>
              </w:rPr>
              <w:t>6941</w:t>
            </w:r>
          </w:p>
        </w:tc>
        <w:tc>
          <w:tcPr>
            <w:tcW w:w="980" w:type="dxa"/>
            <w:tcBorders>
              <w:top w:val="nil"/>
              <w:left w:val="nil"/>
              <w:bottom w:val="nil"/>
              <w:right w:val="nil"/>
            </w:tcBorders>
            <w:shd w:val="clear" w:color="000000" w:fill="FFFFFF"/>
            <w:noWrap/>
            <w:vAlign w:val="center"/>
            <w:hideMark/>
          </w:tcPr>
          <w:p w14:paraId="1271A31B" w14:textId="0742ADDF"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0606</w:t>
            </w:r>
            <w:r w:rsidRPr="002152C5">
              <w:rPr>
                <w:rFonts w:cs="Arial"/>
                <w:color w:val="000000"/>
                <w:szCs w:val="18"/>
                <w:vertAlign w:val="superscript"/>
                <w:lang w:val="pt-BR" w:eastAsia="pt-BR"/>
              </w:rPr>
              <w:t>abc</w:t>
            </w:r>
          </w:p>
        </w:tc>
        <w:tc>
          <w:tcPr>
            <w:tcW w:w="691" w:type="dxa"/>
            <w:tcBorders>
              <w:top w:val="nil"/>
              <w:left w:val="nil"/>
              <w:bottom w:val="nil"/>
              <w:right w:val="nil"/>
            </w:tcBorders>
            <w:shd w:val="clear" w:color="000000" w:fill="FFFFFF"/>
            <w:noWrap/>
            <w:vAlign w:val="center"/>
            <w:hideMark/>
          </w:tcPr>
          <w:p w14:paraId="2C8B0F3D" w14:textId="526D3355"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0588</w:t>
            </w:r>
          </w:p>
        </w:tc>
        <w:tc>
          <w:tcPr>
            <w:tcW w:w="691" w:type="dxa"/>
            <w:tcBorders>
              <w:top w:val="nil"/>
              <w:left w:val="nil"/>
              <w:bottom w:val="nil"/>
              <w:right w:val="nil"/>
            </w:tcBorders>
            <w:shd w:val="clear" w:color="000000" w:fill="FFFFFF"/>
            <w:noWrap/>
            <w:vAlign w:val="center"/>
            <w:hideMark/>
          </w:tcPr>
          <w:p w14:paraId="6DD45520" w14:textId="25077767"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9046</w:t>
            </w:r>
          </w:p>
        </w:tc>
        <w:tc>
          <w:tcPr>
            <w:tcW w:w="691" w:type="dxa"/>
            <w:tcBorders>
              <w:top w:val="nil"/>
              <w:left w:val="nil"/>
              <w:bottom w:val="nil"/>
              <w:right w:val="nil"/>
            </w:tcBorders>
            <w:shd w:val="clear" w:color="000000" w:fill="FFFFFF"/>
            <w:noWrap/>
            <w:vAlign w:val="center"/>
            <w:hideMark/>
          </w:tcPr>
          <w:p w14:paraId="05D28EC9" w14:textId="03BA22DF"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3</w:t>
            </w:r>
            <w:r w:rsidR="002A6075">
              <w:rPr>
                <w:rFonts w:cs="Arial"/>
                <w:color w:val="000000"/>
                <w:szCs w:val="18"/>
                <w:lang w:val="pt-BR" w:eastAsia="pt-BR"/>
              </w:rPr>
              <w:t>.</w:t>
            </w:r>
            <w:r w:rsidRPr="00B45344">
              <w:rPr>
                <w:rFonts w:cs="Arial"/>
                <w:color w:val="000000"/>
                <w:szCs w:val="18"/>
                <w:lang w:val="pt-BR" w:eastAsia="pt-BR"/>
              </w:rPr>
              <w:t>7305</w:t>
            </w:r>
          </w:p>
        </w:tc>
      </w:tr>
      <w:tr w:rsidR="00DE74E6" w:rsidRPr="00B45344" w14:paraId="28D03B6A" w14:textId="77777777" w:rsidTr="00196225">
        <w:trPr>
          <w:trHeight w:val="300"/>
        </w:trPr>
        <w:tc>
          <w:tcPr>
            <w:tcW w:w="1096" w:type="dxa"/>
            <w:vMerge/>
            <w:tcBorders>
              <w:top w:val="nil"/>
              <w:left w:val="nil"/>
              <w:bottom w:val="single" w:sz="12" w:space="0" w:color="008000"/>
              <w:right w:val="nil"/>
            </w:tcBorders>
            <w:vAlign w:val="center"/>
            <w:hideMark/>
          </w:tcPr>
          <w:p w14:paraId="4BBCA4E9" w14:textId="77777777" w:rsidR="00DE74E6" w:rsidRPr="00B45344" w:rsidRDefault="00DE74E6" w:rsidP="003D3B05">
            <w:pPr>
              <w:tabs>
                <w:tab w:val="clear" w:pos="7100"/>
              </w:tabs>
              <w:spacing w:line="240" w:lineRule="auto"/>
              <w:jc w:val="left"/>
              <w:rPr>
                <w:rFonts w:cs="Arial"/>
                <w:color w:val="000000"/>
                <w:szCs w:val="18"/>
                <w:lang w:val="pt-BR" w:eastAsia="pt-BR"/>
              </w:rPr>
            </w:pPr>
          </w:p>
        </w:tc>
        <w:tc>
          <w:tcPr>
            <w:tcW w:w="460" w:type="dxa"/>
            <w:tcBorders>
              <w:top w:val="nil"/>
              <w:left w:val="nil"/>
              <w:bottom w:val="nil"/>
              <w:right w:val="nil"/>
            </w:tcBorders>
            <w:shd w:val="clear" w:color="000000" w:fill="FFFFFF"/>
            <w:noWrap/>
            <w:vAlign w:val="center"/>
            <w:hideMark/>
          </w:tcPr>
          <w:p w14:paraId="1F0F6E5D" w14:textId="0934495A"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3</w:t>
            </w:r>
            <w:r w:rsidR="002A6075">
              <w:rPr>
                <w:rFonts w:cs="Arial"/>
                <w:color w:val="000000"/>
                <w:szCs w:val="18"/>
                <w:lang w:val="pt-BR" w:eastAsia="pt-BR"/>
              </w:rPr>
              <w:t>.</w:t>
            </w:r>
            <w:r w:rsidRPr="00B45344">
              <w:rPr>
                <w:rFonts w:cs="Arial"/>
                <w:color w:val="000000"/>
                <w:szCs w:val="18"/>
                <w:lang w:val="pt-BR" w:eastAsia="pt-BR"/>
              </w:rPr>
              <w:t>5</w:t>
            </w:r>
          </w:p>
        </w:tc>
        <w:tc>
          <w:tcPr>
            <w:tcW w:w="980" w:type="dxa"/>
            <w:tcBorders>
              <w:top w:val="nil"/>
              <w:left w:val="nil"/>
              <w:bottom w:val="nil"/>
              <w:right w:val="nil"/>
            </w:tcBorders>
            <w:shd w:val="clear" w:color="000000" w:fill="FFFFFF"/>
            <w:noWrap/>
            <w:vAlign w:val="center"/>
            <w:hideMark/>
          </w:tcPr>
          <w:p w14:paraId="2E09B8F5" w14:textId="24B9E75A"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0626</w:t>
            </w:r>
            <w:r w:rsidRPr="002152C5">
              <w:rPr>
                <w:rFonts w:cs="Arial"/>
                <w:color w:val="000000"/>
                <w:szCs w:val="18"/>
                <w:vertAlign w:val="superscript"/>
                <w:lang w:val="pt-BR" w:eastAsia="pt-BR"/>
              </w:rPr>
              <w:t>abc</w:t>
            </w:r>
          </w:p>
        </w:tc>
        <w:tc>
          <w:tcPr>
            <w:tcW w:w="740" w:type="dxa"/>
            <w:tcBorders>
              <w:top w:val="nil"/>
              <w:left w:val="nil"/>
              <w:bottom w:val="nil"/>
              <w:right w:val="nil"/>
            </w:tcBorders>
            <w:shd w:val="clear" w:color="000000" w:fill="FFFFFF"/>
            <w:noWrap/>
            <w:vAlign w:val="center"/>
            <w:hideMark/>
          </w:tcPr>
          <w:p w14:paraId="46095A4F" w14:textId="4906ACD1"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0891</w:t>
            </w:r>
          </w:p>
        </w:tc>
        <w:tc>
          <w:tcPr>
            <w:tcW w:w="740" w:type="dxa"/>
            <w:tcBorders>
              <w:top w:val="nil"/>
              <w:left w:val="nil"/>
              <w:bottom w:val="nil"/>
              <w:right w:val="nil"/>
            </w:tcBorders>
            <w:shd w:val="clear" w:color="000000" w:fill="FFFFFF"/>
            <w:noWrap/>
            <w:vAlign w:val="center"/>
            <w:hideMark/>
          </w:tcPr>
          <w:p w14:paraId="6FDA513A" w14:textId="1D5B5833"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9144</w:t>
            </w:r>
          </w:p>
        </w:tc>
        <w:tc>
          <w:tcPr>
            <w:tcW w:w="691" w:type="dxa"/>
            <w:tcBorders>
              <w:top w:val="nil"/>
              <w:left w:val="nil"/>
              <w:bottom w:val="nil"/>
              <w:right w:val="nil"/>
            </w:tcBorders>
            <w:shd w:val="clear" w:color="000000" w:fill="FFFFFF"/>
            <w:noWrap/>
            <w:vAlign w:val="center"/>
            <w:hideMark/>
          </w:tcPr>
          <w:p w14:paraId="256B17AE" w14:textId="1E250606"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3</w:t>
            </w:r>
            <w:r w:rsidR="002A6075">
              <w:rPr>
                <w:rFonts w:cs="Arial"/>
                <w:color w:val="000000"/>
                <w:szCs w:val="18"/>
                <w:lang w:val="pt-BR" w:eastAsia="pt-BR"/>
              </w:rPr>
              <w:t>.</w:t>
            </w:r>
            <w:r w:rsidRPr="00B45344">
              <w:rPr>
                <w:rFonts w:cs="Arial"/>
                <w:color w:val="000000"/>
                <w:szCs w:val="18"/>
                <w:lang w:val="pt-BR" w:eastAsia="pt-BR"/>
              </w:rPr>
              <w:t>0634</w:t>
            </w:r>
          </w:p>
        </w:tc>
        <w:tc>
          <w:tcPr>
            <w:tcW w:w="980" w:type="dxa"/>
            <w:tcBorders>
              <w:top w:val="nil"/>
              <w:left w:val="nil"/>
              <w:bottom w:val="nil"/>
              <w:right w:val="nil"/>
            </w:tcBorders>
            <w:shd w:val="clear" w:color="000000" w:fill="FFFFFF"/>
            <w:noWrap/>
            <w:vAlign w:val="center"/>
            <w:hideMark/>
          </w:tcPr>
          <w:p w14:paraId="1878408F" w14:textId="7287F8F2"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0550</w:t>
            </w:r>
            <w:r w:rsidRPr="002152C5">
              <w:rPr>
                <w:rFonts w:cs="Arial"/>
                <w:color w:val="000000"/>
                <w:szCs w:val="18"/>
                <w:vertAlign w:val="superscript"/>
                <w:lang w:val="pt-BR" w:eastAsia="pt-BR"/>
              </w:rPr>
              <w:t>abc</w:t>
            </w:r>
          </w:p>
        </w:tc>
        <w:tc>
          <w:tcPr>
            <w:tcW w:w="691" w:type="dxa"/>
            <w:tcBorders>
              <w:top w:val="nil"/>
              <w:left w:val="nil"/>
              <w:bottom w:val="nil"/>
              <w:right w:val="nil"/>
            </w:tcBorders>
            <w:shd w:val="clear" w:color="000000" w:fill="FFFFFF"/>
            <w:noWrap/>
            <w:vAlign w:val="center"/>
            <w:hideMark/>
          </w:tcPr>
          <w:p w14:paraId="58517953" w14:textId="1FFA7E7A"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0593</w:t>
            </w:r>
          </w:p>
        </w:tc>
        <w:tc>
          <w:tcPr>
            <w:tcW w:w="691" w:type="dxa"/>
            <w:tcBorders>
              <w:top w:val="nil"/>
              <w:left w:val="nil"/>
              <w:bottom w:val="nil"/>
              <w:right w:val="nil"/>
            </w:tcBorders>
            <w:shd w:val="clear" w:color="000000" w:fill="FFFFFF"/>
            <w:noWrap/>
            <w:vAlign w:val="center"/>
            <w:hideMark/>
          </w:tcPr>
          <w:p w14:paraId="48A85B04" w14:textId="1D9D870C"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8818</w:t>
            </w:r>
          </w:p>
        </w:tc>
        <w:tc>
          <w:tcPr>
            <w:tcW w:w="691" w:type="dxa"/>
            <w:tcBorders>
              <w:top w:val="nil"/>
              <w:left w:val="nil"/>
              <w:bottom w:val="nil"/>
              <w:right w:val="nil"/>
            </w:tcBorders>
            <w:shd w:val="clear" w:color="000000" w:fill="FFFFFF"/>
            <w:noWrap/>
            <w:vAlign w:val="center"/>
            <w:hideMark/>
          </w:tcPr>
          <w:p w14:paraId="7DB87793" w14:textId="6028BCEF"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3</w:t>
            </w:r>
            <w:r w:rsidR="002A6075">
              <w:rPr>
                <w:rFonts w:cs="Arial"/>
                <w:color w:val="000000"/>
                <w:szCs w:val="18"/>
                <w:lang w:val="pt-BR" w:eastAsia="pt-BR"/>
              </w:rPr>
              <w:t>.</w:t>
            </w:r>
            <w:r w:rsidRPr="00B45344">
              <w:rPr>
                <w:rFonts w:cs="Arial"/>
                <w:color w:val="000000"/>
                <w:szCs w:val="18"/>
                <w:lang w:val="pt-BR" w:eastAsia="pt-BR"/>
              </w:rPr>
              <w:t>6211</w:t>
            </w:r>
          </w:p>
        </w:tc>
      </w:tr>
      <w:tr w:rsidR="00DE74E6" w:rsidRPr="00B45344" w14:paraId="75C9BB71" w14:textId="77777777" w:rsidTr="00196225">
        <w:trPr>
          <w:trHeight w:val="300"/>
        </w:trPr>
        <w:tc>
          <w:tcPr>
            <w:tcW w:w="1096" w:type="dxa"/>
            <w:vMerge/>
            <w:tcBorders>
              <w:top w:val="nil"/>
              <w:left w:val="nil"/>
              <w:bottom w:val="single" w:sz="12" w:space="0" w:color="008000"/>
              <w:right w:val="nil"/>
            </w:tcBorders>
            <w:vAlign w:val="center"/>
            <w:hideMark/>
          </w:tcPr>
          <w:p w14:paraId="57841278" w14:textId="77777777" w:rsidR="00DE74E6" w:rsidRPr="00B45344" w:rsidRDefault="00DE74E6" w:rsidP="003D3B05">
            <w:pPr>
              <w:tabs>
                <w:tab w:val="clear" w:pos="7100"/>
              </w:tabs>
              <w:spacing w:line="240" w:lineRule="auto"/>
              <w:jc w:val="left"/>
              <w:rPr>
                <w:rFonts w:cs="Arial"/>
                <w:color w:val="000000"/>
                <w:szCs w:val="18"/>
                <w:lang w:val="pt-BR" w:eastAsia="pt-BR"/>
              </w:rPr>
            </w:pPr>
          </w:p>
        </w:tc>
        <w:tc>
          <w:tcPr>
            <w:tcW w:w="460" w:type="dxa"/>
            <w:tcBorders>
              <w:top w:val="nil"/>
              <w:left w:val="nil"/>
              <w:bottom w:val="nil"/>
              <w:right w:val="nil"/>
            </w:tcBorders>
            <w:shd w:val="clear" w:color="000000" w:fill="FFFFFF"/>
            <w:noWrap/>
            <w:vAlign w:val="center"/>
            <w:hideMark/>
          </w:tcPr>
          <w:p w14:paraId="00C571F2" w14:textId="77777777" w:rsidR="00DE74E6" w:rsidRPr="00B45344" w:rsidRDefault="00DE74E6" w:rsidP="003D3B05">
            <w:pPr>
              <w:tabs>
                <w:tab w:val="clear" w:pos="7100"/>
              </w:tabs>
              <w:spacing w:line="240" w:lineRule="auto"/>
              <w:jc w:val="left"/>
              <w:rPr>
                <w:rFonts w:cs="Arial"/>
                <w:color w:val="000000"/>
                <w:szCs w:val="18"/>
                <w:lang w:val="pt-BR" w:eastAsia="pt-BR"/>
              </w:rPr>
            </w:pPr>
            <w:proofErr w:type="gramStart"/>
            <w:r w:rsidRPr="00B45344">
              <w:rPr>
                <w:rFonts w:cs="Arial"/>
                <w:color w:val="000000"/>
                <w:szCs w:val="18"/>
                <w:lang w:val="pt-BR" w:eastAsia="pt-BR"/>
              </w:rPr>
              <w:t>4</w:t>
            </w:r>
            <w:proofErr w:type="gramEnd"/>
          </w:p>
        </w:tc>
        <w:tc>
          <w:tcPr>
            <w:tcW w:w="980" w:type="dxa"/>
            <w:tcBorders>
              <w:top w:val="nil"/>
              <w:left w:val="nil"/>
              <w:bottom w:val="nil"/>
              <w:right w:val="nil"/>
            </w:tcBorders>
            <w:shd w:val="clear" w:color="000000" w:fill="FFFFFF"/>
            <w:noWrap/>
            <w:vAlign w:val="center"/>
            <w:hideMark/>
          </w:tcPr>
          <w:p w14:paraId="31B0F70E" w14:textId="0DF13140"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0607</w:t>
            </w:r>
            <w:r w:rsidRPr="002152C5">
              <w:rPr>
                <w:rFonts w:cs="Arial"/>
                <w:color w:val="000000"/>
                <w:szCs w:val="18"/>
                <w:vertAlign w:val="superscript"/>
                <w:lang w:val="pt-BR" w:eastAsia="pt-BR"/>
              </w:rPr>
              <w:t>c</w:t>
            </w:r>
          </w:p>
        </w:tc>
        <w:tc>
          <w:tcPr>
            <w:tcW w:w="740" w:type="dxa"/>
            <w:tcBorders>
              <w:top w:val="nil"/>
              <w:left w:val="nil"/>
              <w:bottom w:val="nil"/>
              <w:right w:val="nil"/>
            </w:tcBorders>
            <w:shd w:val="clear" w:color="000000" w:fill="FFFFFF"/>
            <w:noWrap/>
            <w:vAlign w:val="center"/>
            <w:hideMark/>
          </w:tcPr>
          <w:p w14:paraId="6D029905" w14:textId="533772D6"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0552</w:t>
            </w:r>
          </w:p>
        </w:tc>
        <w:tc>
          <w:tcPr>
            <w:tcW w:w="740" w:type="dxa"/>
            <w:tcBorders>
              <w:top w:val="nil"/>
              <w:left w:val="nil"/>
              <w:bottom w:val="nil"/>
              <w:right w:val="nil"/>
            </w:tcBorders>
            <w:shd w:val="clear" w:color="000000" w:fill="FFFFFF"/>
            <w:noWrap/>
            <w:vAlign w:val="center"/>
            <w:hideMark/>
          </w:tcPr>
          <w:p w14:paraId="17B53E5B" w14:textId="7BBAE7C2"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9446</w:t>
            </w:r>
          </w:p>
        </w:tc>
        <w:tc>
          <w:tcPr>
            <w:tcW w:w="691" w:type="dxa"/>
            <w:tcBorders>
              <w:top w:val="nil"/>
              <w:left w:val="nil"/>
              <w:bottom w:val="nil"/>
              <w:right w:val="nil"/>
            </w:tcBorders>
            <w:shd w:val="clear" w:color="000000" w:fill="FFFFFF"/>
            <w:noWrap/>
            <w:vAlign w:val="center"/>
            <w:hideMark/>
          </w:tcPr>
          <w:p w14:paraId="1F25E9B9" w14:textId="34968040"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4</w:t>
            </w:r>
            <w:r w:rsidR="002A6075">
              <w:rPr>
                <w:rFonts w:cs="Arial"/>
                <w:color w:val="000000"/>
                <w:szCs w:val="18"/>
                <w:lang w:val="pt-BR" w:eastAsia="pt-BR"/>
              </w:rPr>
              <w:t>.</w:t>
            </w:r>
            <w:r w:rsidRPr="00B45344">
              <w:rPr>
                <w:rFonts w:cs="Arial"/>
                <w:color w:val="000000"/>
                <w:szCs w:val="18"/>
                <w:lang w:val="pt-BR" w:eastAsia="pt-BR"/>
              </w:rPr>
              <w:t>0205</w:t>
            </w:r>
          </w:p>
        </w:tc>
        <w:tc>
          <w:tcPr>
            <w:tcW w:w="980" w:type="dxa"/>
            <w:tcBorders>
              <w:top w:val="nil"/>
              <w:left w:val="nil"/>
              <w:bottom w:val="nil"/>
              <w:right w:val="nil"/>
            </w:tcBorders>
            <w:shd w:val="clear" w:color="000000" w:fill="FFFFFF"/>
            <w:noWrap/>
            <w:vAlign w:val="center"/>
            <w:hideMark/>
          </w:tcPr>
          <w:p w14:paraId="0C842EAF" w14:textId="2C68BF62"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0474</w:t>
            </w:r>
            <w:proofErr w:type="gramStart"/>
            <w:r w:rsidRPr="002152C5">
              <w:rPr>
                <w:rFonts w:cs="Arial"/>
                <w:color w:val="000000"/>
                <w:szCs w:val="18"/>
                <w:vertAlign w:val="superscript"/>
                <w:lang w:val="pt-BR" w:eastAsia="pt-BR"/>
              </w:rPr>
              <w:t>bc</w:t>
            </w:r>
            <w:proofErr w:type="gramEnd"/>
          </w:p>
        </w:tc>
        <w:tc>
          <w:tcPr>
            <w:tcW w:w="691" w:type="dxa"/>
            <w:tcBorders>
              <w:top w:val="nil"/>
              <w:left w:val="nil"/>
              <w:bottom w:val="nil"/>
              <w:right w:val="nil"/>
            </w:tcBorders>
            <w:shd w:val="clear" w:color="000000" w:fill="FFFFFF"/>
            <w:noWrap/>
            <w:vAlign w:val="center"/>
            <w:hideMark/>
          </w:tcPr>
          <w:p w14:paraId="45FFA632" w14:textId="3E34228B"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0385</w:t>
            </w:r>
          </w:p>
        </w:tc>
        <w:tc>
          <w:tcPr>
            <w:tcW w:w="691" w:type="dxa"/>
            <w:tcBorders>
              <w:top w:val="nil"/>
              <w:left w:val="nil"/>
              <w:bottom w:val="nil"/>
              <w:right w:val="nil"/>
            </w:tcBorders>
            <w:shd w:val="clear" w:color="000000" w:fill="FFFFFF"/>
            <w:noWrap/>
            <w:vAlign w:val="center"/>
            <w:hideMark/>
          </w:tcPr>
          <w:p w14:paraId="7B97B5F6" w14:textId="272D08AF"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8856</w:t>
            </w:r>
          </w:p>
        </w:tc>
        <w:tc>
          <w:tcPr>
            <w:tcW w:w="691" w:type="dxa"/>
            <w:tcBorders>
              <w:top w:val="nil"/>
              <w:left w:val="nil"/>
              <w:bottom w:val="nil"/>
              <w:right w:val="nil"/>
            </w:tcBorders>
            <w:shd w:val="clear" w:color="000000" w:fill="FFFFFF"/>
            <w:noWrap/>
            <w:vAlign w:val="center"/>
            <w:hideMark/>
          </w:tcPr>
          <w:p w14:paraId="062C8A7E" w14:textId="3D0AF2B3"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4</w:t>
            </w:r>
            <w:r w:rsidR="002A6075">
              <w:rPr>
                <w:rFonts w:cs="Arial"/>
                <w:color w:val="000000"/>
                <w:szCs w:val="18"/>
                <w:lang w:val="pt-BR" w:eastAsia="pt-BR"/>
              </w:rPr>
              <w:t>.</w:t>
            </w:r>
            <w:r w:rsidRPr="00B45344">
              <w:rPr>
                <w:rFonts w:cs="Arial"/>
                <w:color w:val="000000"/>
                <w:szCs w:val="18"/>
                <w:lang w:val="pt-BR" w:eastAsia="pt-BR"/>
              </w:rPr>
              <w:t>5134</w:t>
            </w:r>
          </w:p>
        </w:tc>
      </w:tr>
      <w:tr w:rsidR="00DE74E6" w:rsidRPr="00B45344" w14:paraId="608F126B" w14:textId="77777777" w:rsidTr="00196225">
        <w:trPr>
          <w:trHeight w:val="300"/>
        </w:trPr>
        <w:tc>
          <w:tcPr>
            <w:tcW w:w="1096" w:type="dxa"/>
            <w:vMerge/>
            <w:tcBorders>
              <w:top w:val="nil"/>
              <w:left w:val="nil"/>
              <w:bottom w:val="single" w:sz="12" w:space="0" w:color="008000"/>
              <w:right w:val="nil"/>
            </w:tcBorders>
            <w:vAlign w:val="center"/>
            <w:hideMark/>
          </w:tcPr>
          <w:p w14:paraId="5728DCAE" w14:textId="77777777" w:rsidR="00DE74E6" w:rsidRPr="00B45344" w:rsidRDefault="00DE74E6" w:rsidP="003D3B05">
            <w:pPr>
              <w:tabs>
                <w:tab w:val="clear" w:pos="7100"/>
              </w:tabs>
              <w:spacing w:line="240" w:lineRule="auto"/>
              <w:jc w:val="left"/>
              <w:rPr>
                <w:rFonts w:cs="Arial"/>
                <w:color w:val="000000"/>
                <w:szCs w:val="18"/>
                <w:lang w:val="pt-BR" w:eastAsia="pt-BR"/>
              </w:rPr>
            </w:pPr>
          </w:p>
        </w:tc>
        <w:tc>
          <w:tcPr>
            <w:tcW w:w="460" w:type="dxa"/>
            <w:tcBorders>
              <w:top w:val="nil"/>
              <w:left w:val="nil"/>
              <w:bottom w:val="nil"/>
              <w:right w:val="nil"/>
            </w:tcBorders>
            <w:shd w:val="clear" w:color="000000" w:fill="FFFFFF"/>
            <w:noWrap/>
            <w:vAlign w:val="center"/>
            <w:hideMark/>
          </w:tcPr>
          <w:p w14:paraId="55A6D826" w14:textId="6BAF5C56"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4</w:t>
            </w:r>
            <w:r w:rsidR="002A6075">
              <w:rPr>
                <w:rFonts w:cs="Arial"/>
                <w:color w:val="000000"/>
                <w:szCs w:val="18"/>
                <w:lang w:val="pt-BR" w:eastAsia="pt-BR"/>
              </w:rPr>
              <w:t>.</w:t>
            </w:r>
            <w:r w:rsidRPr="00B45344">
              <w:rPr>
                <w:rFonts w:cs="Arial"/>
                <w:color w:val="000000"/>
                <w:szCs w:val="18"/>
                <w:lang w:val="pt-BR" w:eastAsia="pt-BR"/>
              </w:rPr>
              <w:t>5</w:t>
            </w:r>
          </w:p>
        </w:tc>
        <w:tc>
          <w:tcPr>
            <w:tcW w:w="980" w:type="dxa"/>
            <w:tcBorders>
              <w:top w:val="nil"/>
              <w:left w:val="nil"/>
              <w:bottom w:val="nil"/>
              <w:right w:val="nil"/>
            </w:tcBorders>
            <w:shd w:val="clear" w:color="000000" w:fill="FFFFFF"/>
            <w:noWrap/>
            <w:vAlign w:val="center"/>
            <w:hideMark/>
          </w:tcPr>
          <w:p w14:paraId="7CBF1AF1" w14:textId="70CD3170"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0564</w:t>
            </w:r>
            <w:proofErr w:type="gramStart"/>
            <w:r w:rsidRPr="002152C5">
              <w:rPr>
                <w:rFonts w:cs="Arial"/>
                <w:color w:val="000000"/>
                <w:szCs w:val="18"/>
                <w:vertAlign w:val="superscript"/>
                <w:lang w:val="pt-BR" w:eastAsia="pt-BR"/>
              </w:rPr>
              <w:t>bc</w:t>
            </w:r>
            <w:proofErr w:type="gramEnd"/>
          </w:p>
        </w:tc>
        <w:tc>
          <w:tcPr>
            <w:tcW w:w="740" w:type="dxa"/>
            <w:tcBorders>
              <w:top w:val="nil"/>
              <w:left w:val="nil"/>
              <w:bottom w:val="nil"/>
              <w:right w:val="nil"/>
            </w:tcBorders>
            <w:shd w:val="clear" w:color="000000" w:fill="FFFFFF"/>
            <w:noWrap/>
            <w:vAlign w:val="center"/>
            <w:hideMark/>
          </w:tcPr>
          <w:p w14:paraId="4A799A65" w14:textId="7B21DE5E"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0678</w:t>
            </w:r>
          </w:p>
        </w:tc>
        <w:tc>
          <w:tcPr>
            <w:tcW w:w="740" w:type="dxa"/>
            <w:tcBorders>
              <w:top w:val="nil"/>
              <w:left w:val="nil"/>
              <w:bottom w:val="nil"/>
              <w:right w:val="nil"/>
            </w:tcBorders>
            <w:shd w:val="clear" w:color="000000" w:fill="FFFFFF"/>
            <w:noWrap/>
            <w:vAlign w:val="center"/>
            <w:hideMark/>
          </w:tcPr>
          <w:p w14:paraId="3624DE7F" w14:textId="46FDD9AF"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9099</w:t>
            </w:r>
          </w:p>
        </w:tc>
        <w:tc>
          <w:tcPr>
            <w:tcW w:w="691" w:type="dxa"/>
            <w:tcBorders>
              <w:top w:val="nil"/>
              <w:left w:val="nil"/>
              <w:bottom w:val="nil"/>
              <w:right w:val="nil"/>
            </w:tcBorders>
            <w:shd w:val="clear" w:color="000000" w:fill="FFFFFF"/>
            <w:noWrap/>
            <w:vAlign w:val="center"/>
            <w:hideMark/>
          </w:tcPr>
          <w:p w14:paraId="3F7884C1" w14:textId="54068C46"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3</w:t>
            </w:r>
            <w:r w:rsidR="002A6075">
              <w:rPr>
                <w:rFonts w:cs="Arial"/>
                <w:color w:val="000000"/>
                <w:szCs w:val="18"/>
                <w:lang w:val="pt-BR" w:eastAsia="pt-BR"/>
              </w:rPr>
              <w:t>.</w:t>
            </w:r>
            <w:r w:rsidRPr="00B45344">
              <w:rPr>
                <w:rFonts w:cs="Arial"/>
                <w:color w:val="000000"/>
                <w:szCs w:val="18"/>
                <w:lang w:val="pt-BR" w:eastAsia="pt-BR"/>
              </w:rPr>
              <w:t>4944</w:t>
            </w:r>
          </w:p>
        </w:tc>
        <w:tc>
          <w:tcPr>
            <w:tcW w:w="980" w:type="dxa"/>
            <w:tcBorders>
              <w:top w:val="nil"/>
              <w:left w:val="nil"/>
              <w:bottom w:val="nil"/>
              <w:right w:val="nil"/>
            </w:tcBorders>
            <w:shd w:val="clear" w:color="000000" w:fill="FFFFFF"/>
            <w:noWrap/>
            <w:vAlign w:val="center"/>
            <w:hideMark/>
          </w:tcPr>
          <w:p w14:paraId="0D89B90E" w14:textId="2AB11E9D"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0377</w:t>
            </w:r>
            <w:proofErr w:type="gramStart"/>
            <w:r w:rsidRPr="002152C5">
              <w:rPr>
                <w:rFonts w:cs="Arial"/>
                <w:color w:val="000000"/>
                <w:szCs w:val="18"/>
                <w:vertAlign w:val="superscript"/>
                <w:lang w:val="pt-BR" w:eastAsia="pt-BR"/>
              </w:rPr>
              <w:t>bc</w:t>
            </w:r>
            <w:proofErr w:type="gramEnd"/>
          </w:p>
        </w:tc>
        <w:tc>
          <w:tcPr>
            <w:tcW w:w="691" w:type="dxa"/>
            <w:tcBorders>
              <w:top w:val="nil"/>
              <w:left w:val="nil"/>
              <w:bottom w:val="nil"/>
              <w:right w:val="nil"/>
            </w:tcBorders>
            <w:shd w:val="clear" w:color="000000" w:fill="FFFFFF"/>
            <w:noWrap/>
            <w:vAlign w:val="center"/>
            <w:hideMark/>
          </w:tcPr>
          <w:p w14:paraId="778D18DC" w14:textId="04131CA2"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0659</w:t>
            </w:r>
          </w:p>
        </w:tc>
        <w:tc>
          <w:tcPr>
            <w:tcW w:w="691" w:type="dxa"/>
            <w:tcBorders>
              <w:top w:val="nil"/>
              <w:left w:val="nil"/>
              <w:bottom w:val="nil"/>
              <w:right w:val="nil"/>
            </w:tcBorders>
            <w:shd w:val="clear" w:color="000000" w:fill="FFFFFF"/>
            <w:noWrap/>
            <w:vAlign w:val="center"/>
            <w:hideMark/>
          </w:tcPr>
          <w:p w14:paraId="7AFFBAC3" w14:textId="286809A5"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8911</w:t>
            </w:r>
          </w:p>
        </w:tc>
        <w:tc>
          <w:tcPr>
            <w:tcW w:w="691" w:type="dxa"/>
            <w:tcBorders>
              <w:top w:val="nil"/>
              <w:left w:val="nil"/>
              <w:bottom w:val="nil"/>
              <w:right w:val="nil"/>
            </w:tcBorders>
            <w:shd w:val="clear" w:color="000000" w:fill="FFFFFF"/>
            <w:noWrap/>
            <w:vAlign w:val="center"/>
            <w:hideMark/>
          </w:tcPr>
          <w:p w14:paraId="3FACBB02" w14:textId="487EDEC8"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3</w:t>
            </w:r>
            <w:r w:rsidR="002A6075">
              <w:rPr>
                <w:rFonts w:cs="Arial"/>
                <w:color w:val="000000"/>
                <w:szCs w:val="18"/>
                <w:lang w:val="pt-BR" w:eastAsia="pt-BR"/>
              </w:rPr>
              <w:t>.</w:t>
            </w:r>
            <w:r w:rsidRPr="00B45344">
              <w:rPr>
                <w:rFonts w:cs="Arial"/>
                <w:color w:val="000000"/>
                <w:szCs w:val="18"/>
                <w:lang w:val="pt-BR" w:eastAsia="pt-BR"/>
              </w:rPr>
              <w:t>4712</w:t>
            </w:r>
          </w:p>
        </w:tc>
      </w:tr>
      <w:tr w:rsidR="00DE74E6" w:rsidRPr="00B45344" w14:paraId="3BB99978" w14:textId="77777777" w:rsidTr="00196225">
        <w:trPr>
          <w:trHeight w:val="240"/>
        </w:trPr>
        <w:tc>
          <w:tcPr>
            <w:tcW w:w="1096" w:type="dxa"/>
            <w:vMerge/>
            <w:tcBorders>
              <w:top w:val="nil"/>
              <w:left w:val="nil"/>
              <w:bottom w:val="single" w:sz="12" w:space="0" w:color="008000"/>
              <w:right w:val="nil"/>
            </w:tcBorders>
            <w:vAlign w:val="center"/>
            <w:hideMark/>
          </w:tcPr>
          <w:p w14:paraId="6BC272C7" w14:textId="77777777" w:rsidR="00DE74E6" w:rsidRPr="00B45344" w:rsidRDefault="00DE74E6" w:rsidP="003D3B05">
            <w:pPr>
              <w:tabs>
                <w:tab w:val="clear" w:pos="7100"/>
              </w:tabs>
              <w:spacing w:line="240" w:lineRule="auto"/>
              <w:jc w:val="left"/>
              <w:rPr>
                <w:rFonts w:cs="Arial"/>
                <w:color w:val="000000"/>
                <w:szCs w:val="18"/>
                <w:lang w:val="pt-BR" w:eastAsia="pt-BR"/>
              </w:rPr>
            </w:pPr>
          </w:p>
        </w:tc>
        <w:tc>
          <w:tcPr>
            <w:tcW w:w="460" w:type="dxa"/>
            <w:tcBorders>
              <w:top w:val="nil"/>
              <w:left w:val="nil"/>
              <w:bottom w:val="single" w:sz="12" w:space="0" w:color="008000"/>
              <w:right w:val="nil"/>
            </w:tcBorders>
            <w:shd w:val="clear" w:color="000000" w:fill="FFFFFF"/>
            <w:vAlign w:val="center"/>
            <w:hideMark/>
          </w:tcPr>
          <w:p w14:paraId="1DBA2951" w14:textId="77777777" w:rsidR="00DE74E6" w:rsidRPr="00B45344" w:rsidRDefault="00DE74E6" w:rsidP="003D3B05">
            <w:pPr>
              <w:tabs>
                <w:tab w:val="clear" w:pos="7100"/>
              </w:tabs>
              <w:spacing w:line="240" w:lineRule="auto"/>
              <w:jc w:val="left"/>
              <w:rPr>
                <w:rFonts w:cs="Arial"/>
                <w:color w:val="000000"/>
                <w:szCs w:val="18"/>
                <w:lang w:val="pt-BR" w:eastAsia="pt-BR"/>
              </w:rPr>
            </w:pPr>
            <w:proofErr w:type="gramStart"/>
            <w:r w:rsidRPr="00B45344">
              <w:rPr>
                <w:rFonts w:cs="Arial"/>
                <w:color w:val="000000"/>
                <w:szCs w:val="18"/>
                <w:lang w:val="pt-BR" w:eastAsia="pt-BR"/>
              </w:rPr>
              <w:t>5</w:t>
            </w:r>
            <w:proofErr w:type="gramEnd"/>
          </w:p>
        </w:tc>
        <w:tc>
          <w:tcPr>
            <w:tcW w:w="980" w:type="dxa"/>
            <w:tcBorders>
              <w:top w:val="nil"/>
              <w:left w:val="nil"/>
              <w:bottom w:val="single" w:sz="12" w:space="0" w:color="008000"/>
              <w:right w:val="nil"/>
            </w:tcBorders>
            <w:shd w:val="clear" w:color="000000" w:fill="FFFFFF"/>
            <w:vAlign w:val="center"/>
            <w:hideMark/>
          </w:tcPr>
          <w:p w14:paraId="09CFC6FF" w14:textId="0A2ECAE7"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0481</w:t>
            </w:r>
            <w:r w:rsidR="003D3B05" w:rsidRPr="002152C5">
              <w:rPr>
                <w:rFonts w:cs="Arial"/>
                <w:color w:val="000000"/>
                <w:szCs w:val="18"/>
                <w:vertAlign w:val="superscript"/>
                <w:lang w:val="pt-BR" w:eastAsia="pt-BR"/>
              </w:rPr>
              <w:t>c</w:t>
            </w:r>
          </w:p>
        </w:tc>
        <w:tc>
          <w:tcPr>
            <w:tcW w:w="740" w:type="dxa"/>
            <w:tcBorders>
              <w:top w:val="nil"/>
              <w:left w:val="nil"/>
              <w:bottom w:val="single" w:sz="12" w:space="0" w:color="008000"/>
              <w:right w:val="nil"/>
            </w:tcBorders>
            <w:shd w:val="clear" w:color="000000" w:fill="FFFFFF"/>
            <w:vAlign w:val="center"/>
            <w:hideMark/>
          </w:tcPr>
          <w:p w14:paraId="0311CB74" w14:textId="403406BF"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0997</w:t>
            </w:r>
          </w:p>
        </w:tc>
        <w:tc>
          <w:tcPr>
            <w:tcW w:w="740" w:type="dxa"/>
            <w:tcBorders>
              <w:top w:val="nil"/>
              <w:left w:val="nil"/>
              <w:bottom w:val="single" w:sz="12" w:space="0" w:color="008000"/>
              <w:right w:val="nil"/>
            </w:tcBorders>
            <w:shd w:val="clear" w:color="000000" w:fill="FFFFFF"/>
            <w:vAlign w:val="center"/>
            <w:hideMark/>
          </w:tcPr>
          <w:p w14:paraId="5CB6D810" w14:textId="692D12BA"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7781</w:t>
            </w:r>
          </w:p>
        </w:tc>
        <w:tc>
          <w:tcPr>
            <w:tcW w:w="691" w:type="dxa"/>
            <w:tcBorders>
              <w:top w:val="nil"/>
              <w:left w:val="nil"/>
              <w:bottom w:val="single" w:sz="12" w:space="0" w:color="008000"/>
              <w:right w:val="nil"/>
            </w:tcBorders>
            <w:shd w:val="clear" w:color="000000" w:fill="FFFFFF"/>
            <w:vAlign w:val="center"/>
            <w:hideMark/>
          </w:tcPr>
          <w:p w14:paraId="6D8BBD1F" w14:textId="512135BE"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2</w:t>
            </w:r>
            <w:r w:rsidR="002A6075">
              <w:rPr>
                <w:rFonts w:cs="Arial"/>
                <w:color w:val="000000"/>
                <w:szCs w:val="18"/>
                <w:lang w:val="pt-BR" w:eastAsia="pt-BR"/>
              </w:rPr>
              <w:t>.</w:t>
            </w:r>
            <w:r w:rsidRPr="00B45344">
              <w:rPr>
                <w:rFonts w:cs="Arial"/>
                <w:color w:val="000000"/>
                <w:szCs w:val="18"/>
                <w:lang w:val="pt-BR" w:eastAsia="pt-BR"/>
              </w:rPr>
              <w:t>4643</w:t>
            </w:r>
          </w:p>
        </w:tc>
        <w:tc>
          <w:tcPr>
            <w:tcW w:w="980" w:type="dxa"/>
            <w:tcBorders>
              <w:top w:val="nil"/>
              <w:left w:val="nil"/>
              <w:bottom w:val="single" w:sz="12" w:space="0" w:color="008000"/>
              <w:right w:val="nil"/>
            </w:tcBorders>
            <w:shd w:val="clear" w:color="000000" w:fill="FFFFFF"/>
            <w:vAlign w:val="center"/>
            <w:hideMark/>
          </w:tcPr>
          <w:p w14:paraId="24E340E7" w14:textId="5CE9A9EC"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0331</w:t>
            </w:r>
            <w:r w:rsidR="003D3B05" w:rsidRPr="002152C5">
              <w:rPr>
                <w:rFonts w:cs="Arial"/>
                <w:color w:val="000000"/>
                <w:szCs w:val="18"/>
                <w:vertAlign w:val="superscript"/>
                <w:lang w:val="pt-BR" w:eastAsia="pt-BR"/>
              </w:rPr>
              <w:t>c</w:t>
            </w:r>
          </w:p>
        </w:tc>
        <w:tc>
          <w:tcPr>
            <w:tcW w:w="691" w:type="dxa"/>
            <w:tcBorders>
              <w:top w:val="nil"/>
              <w:left w:val="nil"/>
              <w:bottom w:val="single" w:sz="12" w:space="0" w:color="008000"/>
              <w:right w:val="nil"/>
            </w:tcBorders>
            <w:shd w:val="clear" w:color="000000" w:fill="FFFFFF"/>
            <w:vAlign w:val="center"/>
            <w:hideMark/>
          </w:tcPr>
          <w:p w14:paraId="3D3DB476" w14:textId="3019FB6F"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028</w:t>
            </w:r>
            <w:r w:rsidR="003D3B05">
              <w:rPr>
                <w:rFonts w:cs="Arial"/>
                <w:color w:val="000000"/>
                <w:szCs w:val="18"/>
                <w:lang w:val="pt-BR" w:eastAsia="pt-BR"/>
              </w:rPr>
              <w:t>3</w:t>
            </w:r>
          </w:p>
        </w:tc>
        <w:tc>
          <w:tcPr>
            <w:tcW w:w="691" w:type="dxa"/>
            <w:tcBorders>
              <w:top w:val="nil"/>
              <w:left w:val="nil"/>
              <w:bottom w:val="single" w:sz="12" w:space="0" w:color="008000"/>
              <w:right w:val="nil"/>
            </w:tcBorders>
            <w:shd w:val="clear" w:color="000000" w:fill="FFFFFF"/>
            <w:vAlign w:val="center"/>
            <w:hideMark/>
          </w:tcPr>
          <w:p w14:paraId="0340E4D8" w14:textId="0862AFEC"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0</w:t>
            </w:r>
            <w:r w:rsidR="002A6075">
              <w:rPr>
                <w:rFonts w:cs="Arial"/>
                <w:color w:val="000000"/>
                <w:szCs w:val="18"/>
                <w:lang w:val="pt-BR" w:eastAsia="pt-BR"/>
              </w:rPr>
              <w:t>.</w:t>
            </w:r>
            <w:r w:rsidRPr="00B45344">
              <w:rPr>
                <w:rFonts w:cs="Arial"/>
                <w:color w:val="000000"/>
                <w:szCs w:val="18"/>
                <w:lang w:val="pt-BR" w:eastAsia="pt-BR"/>
              </w:rPr>
              <w:t>88</w:t>
            </w:r>
            <w:r w:rsidR="003D3B05">
              <w:rPr>
                <w:rFonts w:cs="Arial"/>
                <w:color w:val="000000"/>
                <w:szCs w:val="18"/>
                <w:lang w:val="pt-BR" w:eastAsia="pt-BR"/>
              </w:rPr>
              <w:t>04</w:t>
            </w:r>
          </w:p>
        </w:tc>
        <w:tc>
          <w:tcPr>
            <w:tcW w:w="691" w:type="dxa"/>
            <w:tcBorders>
              <w:top w:val="nil"/>
              <w:left w:val="nil"/>
              <w:bottom w:val="single" w:sz="12" w:space="0" w:color="008000"/>
              <w:right w:val="nil"/>
            </w:tcBorders>
            <w:shd w:val="clear" w:color="000000" w:fill="FFFFFF"/>
            <w:vAlign w:val="center"/>
            <w:hideMark/>
          </w:tcPr>
          <w:p w14:paraId="6B97DB01" w14:textId="20BC71E9" w:rsidR="00DE74E6" w:rsidRPr="00B45344" w:rsidRDefault="00DE74E6" w:rsidP="003D3B05">
            <w:pPr>
              <w:tabs>
                <w:tab w:val="clear" w:pos="7100"/>
              </w:tabs>
              <w:spacing w:line="240" w:lineRule="auto"/>
              <w:jc w:val="left"/>
              <w:rPr>
                <w:rFonts w:cs="Arial"/>
                <w:color w:val="000000"/>
                <w:szCs w:val="18"/>
                <w:lang w:val="pt-BR" w:eastAsia="pt-BR"/>
              </w:rPr>
            </w:pPr>
            <w:r w:rsidRPr="00B45344">
              <w:rPr>
                <w:rFonts w:cs="Arial"/>
                <w:color w:val="000000"/>
                <w:szCs w:val="18"/>
                <w:lang w:val="pt-BR" w:eastAsia="pt-BR"/>
              </w:rPr>
              <w:t>5</w:t>
            </w:r>
            <w:r w:rsidR="002A6075">
              <w:rPr>
                <w:rFonts w:cs="Arial"/>
                <w:color w:val="000000"/>
                <w:szCs w:val="18"/>
                <w:lang w:val="pt-BR" w:eastAsia="pt-BR"/>
              </w:rPr>
              <w:t>.</w:t>
            </w:r>
            <w:r w:rsidRPr="00B45344">
              <w:rPr>
                <w:rFonts w:cs="Arial"/>
                <w:color w:val="000000"/>
                <w:szCs w:val="18"/>
                <w:lang w:val="pt-BR" w:eastAsia="pt-BR"/>
              </w:rPr>
              <w:t>2334</w:t>
            </w:r>
          </w:p>
        </w:tc>
      </w:tr>
    </w:tbl>
    <w:p w14:paraId="0D2711A1" w14:textId="00E6539B" w:rsidR="00F92A38" w:rsidRPr="0012056C" w:rsidRDefault="00F92A38" w:rsidP="00D03FA9">
      <w:pPr>
        <w:pStyle w:val="PargrafodaLista"/>
        <w:pBdr>
          <w:top w:val="nil"/>
          <w:left w:val="nil"/>
          <w:bottom w:val="nil"/>
          <w:right w:val="nil"/>
          <w:between w:val="nil"/>
        </w:pBdr>
        <w:spacing w:line="240" w:lineRule="auto"/>
        <w:ind w:left="0"/>
        <w:rPr>
          <w:color w:val="000000"/>
          <w:szCs w:val="18"/>
          <w:lang w:val="en-US"/>
        </w:rPr>
      </w:pPr>
      <w:r>
        <w:rPr>
          <w:color w:val="000000"/>
          <w:szCs w:val="18"/>
          <w:lang w:val="en-US"/>
        </w:rPr>
        <w:t>*N</w:t>
      </w:r>
      <w:r w:rsidRPr="0012056C">
        <w:rPr>
          <w:color w:val="000000"/>
          <w:szCs w:val="18"/>
          <w:lang w:val="en-US"/>
        </w:rPr>
        <w:t>umber of observations (8); degrees of freedom (6); Student's t-value (2.9687); confidence level (0.95).</w:t>
      </w:r>
      <w:r w:rsidR="00D03FA9">
        <w:rPr>
          <w:color w:val="000000"/>
          <w:szCs w:val="18"/>
          <w:lang w:val="en-US"/>
        </w:rPr>
        <w:t xml:space="preserve"> </w:t>
      </w:r>
      <w:r w:rsidRPr="0012056C">
        <w:rPr>
          <w:color w:val="000000"/>
          <w:szCs w:val="18"/>
          <w:lang w:val="en-US"/>
        </w:rPr>
        <w:t xml:space="preserve">Different lowercase letters indicate significant differences by the </w:t>
      </w:r>
      <w:proofErr w:type="spellStart"/>
      <w:r w:rsidRPr="0012056C">
        <w:rPr>
          <w:color w:val="000000"/>
          <w:szCs w:val="18"/>
          <w:lang w:val="en-US"/>
        </w:rPr>
        <w:t>Kruskal</w:t>
      </w:r>
      <w:proofErr w:type="spellEnd"/>
      <w:r w:rsidRPr="0012056C">
        <w:rPr>
          <w:color w:val="000000"/>
          <w:szCs w:val="18"/>
          <w:lang w:val="en-US"/>
        </w:rPr>
        <w:t>-Wallis test (p&lt;0.05).</w:t>
      </w:r>
    </w:p>
    <w:p w14:paraId="0A878C89" w14:textId="77777777" w:rsidR="00F92A38" w:rsidRDefault="00F92A38" w:rsidP="00B75473">
      <w:pPr>
        <w:pStyle w:val="CETTabletitle"/>
        <w:rPr>
          <w:i w:val="0"/>
          <w:iCs/>
          <w:lang w:val="en-US"/>
        </w:rPr>
      </w:pPr>
    </w:p>
    <w:p w14:paraId="3C7A1403" w14:textId="38D2D022" w:rsidR="00B75473" w:rsidRPr="00196225" w:rsidRDefault="00196225" w:rsidP="00B75473">
      <w:pPr>
        <w:pStyle w:val="CETTabletitle"/>
        <w:rPr>
          <w:i w:val="0"/>
          <w:iCs/>
          <w:lang w:val="en-US"/>
        </w:rPr>
      </w:pPr>
      <w:proofErr w:type="gramStart"/>
      <w:r w:rsidRPr="00196225">
        <w:rPr>
          <w:i w:val="0"/>
          <w:iCs/>
          <w:lang w:val="en-US"/>
        </w:rPr>
        <w:t xml:space="preserve">Table 3: Linear regression parameters of the microbial growth of </w:t>
      </w:r>
      <w:r w:rsidRPr="00196225">
        <w:rPr>
          <w:lang w:val="en-US"/>
        </w:rPr>
        <w:t xml:space="preserve">Listeria </w:t>
      </w:r>
      <w:proofErr w:type="spellStart"/>
      <w:r w:rsidRPr="00196225">
        <w:rPr>
          <w:lang w:val="en-US"/>
        </w:rPr>
        <w:t>innocua</w:t>
      </w:r>
      <w:proofErr w:type="spellEnd"/>
      <w:r w:rsidRPr="00196225">
        <w:rPr>
          <w:lang w:val="en-US"/>
        </w:rPr>
        <w:t xml:space="preserve"> </w:t>
      </w:r>
      <w:r w:rsidRPr="00196225">
        <w:rPr>
          <w:i w:val="0"/>
          <w:iCs/>
          <w:lang w:val="en-US"/>
        </w:rPr>
        <w:t>and</w:t>
      </w:r>
      <w:r w:rsidRPr="00196225">
        <w:rPr>
          <w:lang w:val="en-US"/>
        </w:rPr>
        <w:t xml:space="preserve"> Pseudomonas aeruginosa</w:t>
      </w:r>
      <w:r>
        <w:rPr>
          <w:i w:val="0"/>
          <w:iCs/>
          <w:lang w:val="en-US"/>
        </w:rPr>
        <w:t>.</w:t>
      </w:r>
      <w:proofErr w:type="gramEnd"/>
    </w:p>
    <w:tbl>
      <w:tblPr>
        <w:tblW w:w="7760" w:type="dxa"/>
        <w:tblCellMar>
          <w:left w:w="70" w:type="dxa"/>
          <w:right w:w="70" w:type="dxa"/>
        </w:tblCellMar>
        <w:tblLook w:val="04A0" w:firstRow="1" w:lastRow="0" w:firstColumn="1" w:lastColumn="0" w:noHBand="0" w:noVBand="1"/>
      </w:tblPr>
      <w:tblGrid>
        <w:gridCol w:w="995"/>
        <w:gridCol w:w="460"/>
        <w:gridCol w:w="1081"/>
        <w:gridCol w:w="740"/>
        <w:gridCol w:w="740"/>
        <w:gridCol w:w="691"/>
        <w:gridCol w:w="980"/>
        <w:gridCol w:w="691"/>
        <w:gridCol w:w="691"/>
        <w:gridCol w:w="691"/>
      </w:tblGrid>
      <w:tr w:rsidR="00B75473" w:rsidRPr="00B75473" w14:paraId="247CF4D9" w14:textId="77777777" w:rsidTr="00196225">
        <w:trPr>
          <w:trHeight w:val="315"/>
        </w:trPr>
        <w:tc>
          <w:tcPr>
            <w:tcW w:w="1455" w:type="dxa"/>
            <w:gridSpan w:val="2"/>
            <w:tcBorders>
              <w:top w:val="single" w:sz="12" w:space="0" w:color="008000"/>
              <w:left w:val="nil"/>
              <w:bottom w:val="single" w:sz="8" w:space="0" w:color="008000"/>
              <w:right w:val="nil"/>
            </w:tcBorders>
            <w:shd w:val="clear" w:color="000000" w:fill="FFFFFF"/>
            <w:vAlign w:val="center"/>
            <w:hideMark/>
          </w:tcPr>
          <w:p w14:paraId="6DA6AEF4" w14:textId="171CCE21" w:rsidR="00B75473" w:rsidRPr="00B75473" w:rsidRDefault="00196225" w:rsidP="00B75473">
            <w:pPr>
              <w:tabs>
                <w:tab w:val="clear" w:pos="7100"/>
              </w:tabs>
              <w:spacing w:line="240" w:lineRule="auto"/>
              <w:jc w:val="left"/>
              <w:rPr>
                <w:rFonts w:cs="Arial"/>
                <w:color w:val="000000"/>
                <w:szCs w:val="18"/>
                <w:lang w:val="pt-BR" w:eastAsia="pt-BR"/>
              </w:rPr>
            </w:pPr>
            <w:r w:rsidRPr="002A6075">
              <w:rPr>
                <w:rFonts w:cs="Arial"/>
                <w:szCs w:val="18"/>
                <w:lang w:val="en-GB" w:eastAsia="pt-BR"/>
              </w:rPr>
              <w:t>Microorganism</w:t>
            </w:r>
          </w:p>
        </w:tc>
        <w:tc>
          <w:tcPr>
            <w:tcW w:w="3252" w:type="dxa"/>
            <w:gridSpan w:val="4"/>
            <w:tcBorders>
              <w:top w:val="single" w:sz="12" w:space="0" w:color="008000"/>
              <w:left w:val="nil"/>
              <w:bottom w:val="single" w:sz="8" w:space="0" w:color="008000"/>
              <w:right w:val="nil"/>
            </w:tcBorders>
            <w:shd w:val="clear" w:color="000000" w:fill="FFFFFF"/>
            <w:vAlign w:val="center"/>
            <w:hideMark/>
          </w:tcPr>
          <w:p w14:paraId="2E92AC8B" w14:textId="11CF7C7B" w:rsidR="00B75473" w:rsidRPr="00B75473" w:rsidRDefault="00B75473" w:rsidP="00B75473">
            <w:pPr>
              <w:tabs>
                <w:tab w:val="clear" w:pos="7100"/>
              </w:tabs>
              <w:spacing w:line="240" w:lineRule="auto"/>
              <w:jc w:val="left"/>
              <w:rPr>
                <w:rFonts w:cs="Arial"/>
                <w:i/>
                <w:iCs/>
                <w:color w:val="000000"/>
                <w:szCs w:val="18"/>
                <w:lang w:val="pt-BR" w:eastAsia="pt-BR"/>
              </w:rPr>
            </w:pPr>
            <w:r w:rsidRPr="00B75473">
              <w:rPr>
                <w:rFonts w:cs="Arial"/>
                <w:i/>
                <w:iCs/>
                <w:szCs w:val="18"/>
                <w:lang w:val="en-GB" w:eastAsia="pt-BR"/>
              </w:rPr>
              <w:t>List</w:t>
            </w:r>
            <w:r w:rsidR="00196225">
              <w:rPr>
                <w:rFonts w:cs="Arial"/>
                <w:i/>
                <w:iCs/>
                <w:szCs w:val="18"/>
                <w:lang w:val="en-GB" w:eastAsia="pt-BR"/>
              </w:rPr>
              <w:t>e</w:t>
            </w:r>
            <w:r w:rsidRPr="00B75473">
              <w:rPr>
                <w:rFonts w:cs="Arial"/>
                <w:i/>
                <w:iCs/>
                <w:szCs w:val="18"/>
                <w:lang w:val="en-GB" w:eastAsia="pt-BR"/>
              </w:rPr>
              <w:t xml:space="preserve">ria </w:t>
            </w:r>
            <w:proofErr w:type="spellStart"/>
            <w:r w:rsidRPr="00B75473">
              <w:rPr>
                <w:rFonts w:cs="Arial"/>
                <w:i/>
                <w:iCs/>
                <w:szCs w:val="18"/>
                <w:lang w:val="en-GB" w:eastAsia="pt-BR"/>
              </w:rPr>
              <w:t>innocua</w:t>
            </w:r>
            <w:proofErr w:type="spellEnd"/>
          </w:p>
        </w:tc>
        <w:tc>
          <w:tcPr>
            <w:tcW w:w="3053" w:type="dxa"/>
            <w:gridSpan w:val="4"/>
            <w:tcBorders>
              <w:top w:val="single" w:sz="12" w:space="0" w:color="008000"/>
              <w:left w:val="nil"/>
              <w:bottom w:val="single" w:sz="8" w:space="0" w:color="008000"/>
              <w:right w:val="nil"/>
            </w:tcBorders>
            <w:shd w:val="clear" w:color="000000" w:fill="FFFFFF"/>
            <w:vAlign w:val="center"/>
            <w:hideMark/>
          </w:tcPr>
          <w:p w14:paraId="4BF22B89" w14:textId="77777777" w:rsidR="00B75473" w:rsidRPr="00B75473" w:rsidRDefault="00B75473" w:rsidP="00B75473">
            <w:pPr>
              <w:tabs>
                <w:tab w:val="clear" w:pos="7100"/>
              </w:tabs>
              <w:spacing w:line="240" w:lineRule="auto"/>
              <w:jc w:val="left"/>
              <w:rPr>
                <w:rFonts w:cs="Arial"/>
                <w:i/>
                <w:iCs/>
                <w:color w:val="000000"/>
                <w:szCs w:val="18"/>
                <w:lang w:val="pt-BR" w:eastAsia="pt-BR"/>
              </w:rPr>
            </w:pPr>
            <w:r w:rsidRPr="00B75473">
              <w:rPr>
                <w:rFonts w:cs="Arial"/>
                <w:i/>
                <w:iCs/>
                <w:szCs w:val="18"/>
                <w:lang w:val="en-GB" w:eastAsia="pt-BR"/>
              </w:rPr>
              <w:t>Pseudomonas aeruginosa</w:t>
            </w:r>
          </w:p>
        </w:tc>
      </w:tr>
      <w:tr w:rsidR="00196225" w:rsidRPr="00B75473" w14:paraId="50B1F88F" w14:textId="77777777" w:rsidTr="00196225">
        <w:trPr>
          <w:trHeight w:val="300"/>
        </w:trPr>
        <w:tc>
          <w:tcPr>
            <w:tcW w:w="1455" w:type="dxa"/>
            <w:gridSpan w:val="2"/>
            <w:tcBorders>
              <w:top w:val="single" w:sz="8" w:space="0" w:color="008000"/>
              <w:left w:val="nil"/>
              <w:bottom w:val="nil"/>
              <w:right w:val="nil"/>
            </w:tcBorders>
            <w:shd w:val="clear" w:color="000000" w:fill="FFFFFF"/>
            <w:vAlign w:val="center"/>
            <w:hideMark/>
          </w:tcPr>
          <w:p w14:paraId="68C9E6A5" w14:textId="0864B014" w:rsidR="00196225" w:rsidRPr="00B75473" w:rsidRDefault="00196225" w:rsidP="00196225">
            <w:pPr>
              <w:tabs>
                <w:tab w:val="clear" w:pos="7100"/>
              </w:tabs>
              <w:spacing w:line="240" w:lineRule="auto"/>
              <w:jc w:val="left"/>
              <w:rPr>
                <w:rFonts w:cs="Arial"/>
                <w:color w:val="000000"/>
                <w:szCs w:val="18"/>
                <w:lang w:val="pt-BR" w:eastAsia="pt-BR"/>
              </w:rPr>
            </w:pPr>
            <w:r w:rsidRPr="002A6075">
              <w:rPr>
                <w:rFonts w:cs="Arial"/>
                <w:szCs w:val="18"/>
                <w:lang w:val="en-GB" w:eastAsia="pt-BR"/>
              </w:rPr>
              <w:t>Coefficients</w:t>
            </w:r>
          </w:p>
        </w:tc>
        <w:tc>
          <w:tcPr>
            <w:tcW w:w="1081" w:type="dxa"/>
            <w:tcBorders>
              <w:top w:val="nil"/>
              <w:left w:val="nil"/>
              <w:bottom w:val="nil"/>
              <w:right w:val="nil"/>
            </w:tcBorders>
            <w:shd w:val="clear" w:color="000000" w:fill="FFFFFF"/>
            <w:noWrap/>
            <w:vAlign w:val="center"/>
            <w:hideMark/>
          </w:tcPr>
          <w:p w14:paraId="24A24287" w14:textId="77777777" w:rsidR="00196225" w:rsidRPr="00B75473" w:rsidRDefault="00196225" w:rsidP="00196225">
            <w:pPr>
              <w:tabs>
                <w:tab w:val="clear" w:pos="7100"/>
              </w:tabs>
              <w:spacing w:line="240" w:lineRule="auto"/>
              <w:jc w:val="left"/>
              <w:rPr>
                <w:rFonts w:cs="Arial"/>
                <w:color w:val="000000"/>
                <w:szCs w:val="18"/>
                <w:lang w:val="pt-BR" w:eastAsia="pt-BR"/>
              </w:rPr>
            </w:pPr>
            <w:r w:rsidRPr="00B75473">
              <w:rPr>
                <w:rFonts w:cs="Arial"/>
                <w:color w:val="000000"/>
                <w:szCs w:val="18"/>
                <w:lang w:val="pt-BR" w:eastAsia="pt-BR"/>
              </w:rPr>
              <w:t>xi</w:t>
            </w:r>
          </w:p>
        </w:tc>
        <w:tc>
          <w:tcPr>
            <w:tcW w:w="740" w:type="dxa"/>
            <w:tcBorders>
              <w:top w:val="nil"/>
              <w:left w:val="nil"/>
              <w:bottom w:val="nil"/>
              <w:right w:val="nil"/>
            </w:tcBorders>
            <w:shd w:val="clear" w:color="000000" w:fill="FFFFFF"/>
            <w:noWrap/>
            <w:vAlign w:val="center"/>
            <w:hideMark/>
          </w:tcPr>
          <w:p w14:paraId="7FDEEECF" w14:textId="77777777" w:rsidR="00196225" w:rsidRPr="00B75473" w:rsidRDefault="00196225" w:rsidP="00196225">
            <w:pPr>
              <w:tabs>
                <w:tab w:val="clear" w:pos="7100"/>
              </w:tabs>
              <w:spacing w:line="240" w:lineRule="auto"/>
              <w:jc w:val="left"/>
              <w:rPr>
                <w:rFonts w:cs="Arial"/>
                <w:color w:val="000000"/>
                <w:szCs w:val="18"/>
                <w:lang w:val="pt-BR" w:eastAsia="pt-BR"/>
              </w:rPr>
            </w:pPr>
            <w:proofErr w:type="spellStart"/>
            <w:proofErr w:type="gramStart"/>
            <w:r w:rsidRPr="00B75473">
              <w:rPr>
                <w:rFonts w:cs="Arial"/>
                <w:color w:val="000000"/>
                <w:szCs w:val="18"/>
                <w:lang w:val="pt-BR" w:eastAsia="pt-BR"/>
              </w:rPr>
              <w:t>yi</w:t>
            </w:r>
            <w:proofErr w:type="spellEnd"/>
            <w:proofErr w:type="gramEnd"/>
          </w:p>
        </w:tc>
        <w:tc>
          <w:tcPr>
            <w:tcW w:w="740" w:type="dxa"/>
            <w:tcBorders>
              <w:top w:val="nil"/>
              <w:left w:val="nil"/>
              <w:bottom w:val="nil"/>
              <w:right w:val="nil"/>
            </w:tcBorders>
            <w:shd w:val="clear" w:color="000000" w:fill="FFFFFF"/>
            <w:noWrap/>
            <w:vAlign w:val="center"/>
            <w:hideMark/>
          </w:tcPr>
          <w:p w14:paraId="267C7D20" w14:textId="77777777" w:rsidR="00196225" w:rsidRPr="00B75473" w:rsidRDefault="00196225" w:rsidP="00196225">
            <w:pPr>
              <w:tabs>
                <w:tab w:val="clear" w:pos="7100"/>
              </w:tabs>
              <w:spacing w:line="240" w:lineRule="auto"/>
              <w:jc w:val="left"/>
              <w:rPr>
                <w:rFonts w:cs="Arial"/>
                <w:color w:val="000000"/>
                <w:szCs w:val="18"/>
                <w:lang w:val="pt-BR" w:eastAsia="pt-BR"/>
              </w:rPr>
            </w:pPr>
            <w:r w:rsidRPr="00B75473">
              <w:rPr>
                <w:rFonts w:cs="Arial"/>
                <w:color w:val="000000"/>
                <w:szCs w:val="18"/>
                <w:lang w:val="pt-BR" w:eastAsia="pt-BR"/>
              </w:rPr>
              <w:t>R</w:t>
            </w:r>
            <w:r w:rsidRPr="00B75473">
              <w:rPr>
                <w:rFonts w:cs="Arial"/>
                <w:color w:val="000000"/>
                <w:szCs w:val="18"/>
                <w:vertAlign w:val="superscript"/>
                <w:lang w:val="pt-BR" w:eastAsia="pt-BR"/>
              </w:rPr>
              <w:t>2</w:t>
            </w:r>
          </w:p>
        </w:tc>
        <w:tc>
          <w:tcPr>
            <w:tcW w:w="691" w:type="dxa"/>
            <w:tcBorders>
              <w:top w:val="nil"/>
              <w:left w:val="nil"/>
              <w:bottom w:val="nil"/>
              <w:right w:val="nil"/>
            </w:tcBorders>
            <w:shd w:val="clear" w:color="000000" w:fill="FFFFFF"/>
            <w:noWrap/>
            <w:vAlign w:val="center"/>
            <w:hideMark/>
          </w:tcPr>
          <w:p w14:paraId="10D90D45" w14:textId="77777777" w:rsidR="00196225" w:rsidRPr="00B75473" w:rsidRDefault="00196225" w:rsidP="00196225">
            <w:pPr>
              <w:tabs>
                <w:tab w:val="clear" w:pos="7100"/>
              </w:tabs>
              <w:spacing w:line="240" w:lineRule="auto"/>
              <w:jc w:val="left"/>
              <w:rPr>
                <w:rFonts w:cs="Arial"/>
                <w:color w:val="000000"/>
                <w:szCs w:val="18"/>
                <w:lang w:val="pt-BR" w:eastAsia="pt-BR"/>
              </w:rPr>
            </w:pPr>
            <w:r w:rsidRPr="00B75473">
              <w:rPr>
                <w:rFonts w:cs="Arial"/>
                <w:color w:val="000000"/>
                <w:szCs w:val="18"/>
                <w:lang w:val="pt-BR" w:eastAsia="pt-BR"/>
              </w:rPr>
              <w:t>SE</w:t>
            </w:r>
          </w:p>
        </w:tc>
        <w:tc>
          <w:tcPr>
            <w:tcW w:w="980" w:type="dxa"/>
            <w:tcBorders>
              <w:top w:val="nil"/>
              <w:left w:val="nil"/>
              <w:bottom w:val="nil"/>
              <w:right w:val="nil"/>
            </w:tcBorders>
            <w:shd w:val="clear" w:color="000000" w:fill="FFFFFF"/>
            <w:noWrap/>
            <w:vAlign w:val="center"/>
            <w:hideMark/>
          </w:tcPr>
          <w:p w14:paraId="71DEBEF8" w14:textId="77777777" w:rsidR="00196225" w:rsidRPr="00B75473" w:rsidRDefault="00196225" w:rsidP="00196225">
            <w:pPr>
              <w:tabs>
                <w:tab w:val="clear" w:pos="7100"/>
              </w:tabs>
              <w:spacing w:line="240" w:lineRule="auto"/>
              <w:jc w:val="left"/>
              <w:rPr>
                <w:rFonts w:cs="Arial"/>
                <w:color w:val="000000"/>
                <w:szCs w:val="18"/>
                <w:lang w:val="pt-BR" w:eastAsia="pt-BR"/>
              </w:rPr>
            </w:pPr>
            <w:r w:rsidRPr="00B75473">
              <w:rPr>
                <w:rFonts w:cs="Arial"/>
                <w:color w:val="000000"/>
                <w:szCs w:val="18"/>
                <w:lang w:val="pt-BR" w:eastAsia="pt-BR"/>
              </w:rPr>
              <w:t>xi</w:t>
            </w:r>
          </w:p>
        </w:tc>
        <w:tc>
          <w:tcPr>
            <w:tcW w:w="691" w:type="dxa"/>
            <w:tcBorders>
              <w:top w:val="nil"/>
              <w:left w:val="nil"/>
              <w:bottom w:val="nil"/>
              <w:right w:val="nil"/>
            </w:tcBorders>
            <w:shd w:val="clear" w:color="000000" w:fill="FFFFFF"/>
            <w:noWrap/>
            <w:vAlign w:val="center"/>
            <w:hideMark/>
          </w:tcPr>
          <w:p w14:paraId="0951250F" w14:textId="77777777" w:rsidR="00196225" w:rsidRPr="00B75473" w:rsidRDefault="00196225" w:rsidP="00196225">
            <w:pPr>
              <w:tabs>
                <w:tab w:val="clear" w:pos="7100"/>
              </w:tabs>
              <w:spacing w:line="240" w:lineRule="auto"/>
              <w:jc w:val="left"/>
              <w:rPr>
                <w:rFonts w:cs="Arial"/>
                <w:color w:val="000000"/>
                <w:szCs w:val="18"/>
                <w:lang w:val="pt-BR" w:eastAsia="pt-BR"/>
              </w:rPr>
            </w:pPr>
            <w:proofErr w:type="spellStart"/>
            <w:proofErr w:type="gramStart"/>
            <w:r w:rsidRPr="00B75473">
              <w:rPr>
                <w:rFonts w:cs="Arial"/>
                <w:color w:val="000000"/>
                <w:szCs w:val="18"/>
                <w:lang w:val="pt-BR" w:eastAsia="pt-BR"/>
              </w:rPr>
              <w:t>yi</w:t>
            </w:r>
            <w:proofErr w:type="spellEnd"/>
            <w:proofErr w:type="gramEnd"/>
          </w:p>
        </w:tc>
        <w:tc>
          <w:tcPr>
            <w:tcW w:w="691" w:type="dxa"/>
            <w:tcBorders>
              <w:top w:val="nil"/>
              <w:left w:val="nil"/>
              <w:bottom w:val="nil"/>
              <w:right w:val="nil"/>
            </w:tcBorders>
            <w:shd w:val="clear" w:color="000000" w:fill="FFFFFF"/>
            <w:noWrap/>
            <w:vAlign w:val="center"/>
            <w:hideMark/>
          </w:tcPr>
          <w:p w14:paraId="090778C2" w14:textId="77777777" w:rsidR="00196225" w:rsidRPr="00B75473" w:rsidRDefault="00196225" w:rsidP="00196225">
            <w:pPr>
              <w:tabs>
                <w:tab w:val="clear" w:pos="7100"/>
              </w:tabs>
              <w:spacing w:line="240" w:lineRule="auto"/>
              <w:jc w:val="left"/>
              <w:rPr>
                <w:rFonts w:cs="Arial"/>
                <w:color w:val="000000"/>
                <w:szCs w:val="18"/>
                <w:lang w:val="pt-BR" w:eastAsia="pt-BR"/>
              </w:rPr>
            </w:pPr>
            <w:r w:rsidRPr="00B75473">
              <w:rPr>
                <w:rFonts w:cs="Arial"/>
                <w:color w:val="000000"/>
                <w:szCs w:val="18"/>
                <w:lang w:val="pt-BR" w:eastAsia="pt-BR"/>
              </w:rPr>
              <w:t>R</w:t>
            </w:r>
            <w:r w:rsidRPr="00B75473">
              <w:rPr>
                <w:rFonts w:cs="Arial"/>
                <w:color w:val="000000"/>
                <w:szCs w:val="18"/>
                <w:vertAlign w:val="superscript"/>
                <w:lang w:val="pt-BR" w:eastAsia="pt-BR"/>
              </w:rPr>
              <w:t>2</w:t>
            </w:r>
          </w:p>
        </w:tc>
        <w:tc>
          <w:tcPr>
            <w:tcW w:w="691" w:type="dxa"/>
            <w:tcBorders>
              <w:top w:val="nil"/>
              <w:left w:val="nil"/>
              <w:bottom w:val="nil"/>
              <w:right w:val="nil"/>
            </w:tcBorders>
            <w:shd w:val="clear" w:color="000000" w:fill="FFFFFF"/>
            <w:noWrap/>
            <w:vAlign w:val="center"/>
            <w:hideMark/>
          </w:tcPr>
          <w:p w14:paraId="7EB068D0" w14:textId="77777777" w:rsidR="00196225" w:rsidRPr="00B75473" w:rsidRDefault="00196225" w:rsidP="00196225">
            <w:pPr>
              <w:tabs>
                <w:tab w:val="clear" w:pos="7100"/>
              </w:tabs>
              <w:spacing w:line="240" w:lineRule="auto"/>
              <w:jc w:val="left"/>
              <w:rPr>
                <w:rFonts w:cs="Arial"/>
                <w:color w:val="000000"/>
                <w:szCs w:val="18"/>
                <w:lang w:val="pt-BR" w:eastAsia="pt-BR"/>
              </w:rPr>
            </w:pPr>
            <w:r w:rsidRPr="00B75473">
              <w:rPr>
                <w:rFonts w:cs="Arial"/>
                <w:color w:val="000000"/>
                <w:szCs w:val="18"/>
                <w:lang w:val="pt-BR" w:eastAsia="pt-BR"/>
              </w:rPr>
              <w:t>SE</w:t>
            </w:r>
          </w:p>
        </w:tc>
      </w:tr>
      <w:tr w:rsidR="00196225" w:rsidRPr="00B75473" w14:paraId="2A0EBF73" w14:textId="77777777" w:rsidTr="00196225">
        <w:trPr>
          <w:trHeight w:val="300"/>
        </w:trPr>
        <w:tc>
          <w:tcPr>
            <w:tcW w:w="995" w:type="dxa"/>
            <w:vMerge w:val="restart"/>
            <w:tcBorders>
              <w:top w:val="nil"/>
              <w:left w:val="nil"/>
              <w:bottom w:val="single" w:sz="12" w:space="0" w:color="008000"/>
              <w:right w:val="nil"/>
            </w:tcBorders>
            <w:shd w:val="clear" w:color="000000" w:fill="FFFFFF"/>
            <w:textDirection w:val="tbLrV"/>
            <w:vAlign w:val="center"/>
            <w:hideMark/>
          </w:tcPr>
          <w:p w14:paraId="56996FAC" w14:textId="4166F7BD" w:rsidR="00196225" w:rsidRPr="00B75473" w:rsidRDefault="00196225" w:rsidP="00196225">
            <w:pPr>
              <w:tabs>
                <w:tab w:val="clear" w:pos="7100"/>
              </w:tabs>
              <w:spacing w:line="240" w:lineRule="auto"/>
              <w:jc w:val="left"/>
              <w:rPr>
                <w:rFonts w:cs="Arial"/>
                <w:color w:val="000000"/>
                <w:szCs w:val="18"/>
                <w:lang w:val="pt-BR" w:eastAsia="pt-BR"/>
              </w:rPr>
            </w:pPr>
            <w:proofErr w:type="spellStart"/>
            <w:r w:rsidRPr="002A6075">
              <w:rPr>
                <w:rFonts w:cs="Arial"/>
                <w:color w:val="000000"/>
                <w:szCs w:val="18"/>
                <w:lang w:val="pt-BR" w:eastAsia="pt-BR"/>
              </w:rPr>
              <w:t>Concentration</w:t>
            </w:r>
            <w:proofErr w:type="spellEnd"/>
            <w:r w:rsidRPr="002A6075">
              <w:rPr>
                <w:rFonts w:cs="Arial"/>
                <w:color w:val="000000"/>
                <w:szCs w:val="18"/>
                <w:lang w:val="pt-BR" w:eastAsia="pt-BR"/>
              </w:rPr>
              <w:t xml:space="preserve"> (%) </w:t>
            </w:r>
            <w:proofErr w:type="spellStart"/>
            <w:r w:rsidRPr="002A6075">
              <w:rPr>
                <w:rFonts w:cs="Arial"/>
                <w:color w:val="000000"/>
                <w:szCs w:val="18"/>
                <w:lang w:val="pt-BR" w:eastAsia="pt-BR"/>
              </w:rPr>
              <w:t>of</w:t>
            </w:r>
            <w:proofErr w:type="spellEnd"/>
            <w:r w:rsidRPr="002A6075">
              <w:rPr>
                <w:rFonts w:cs="Arial"/>
                <w:color w:val="000000"/>
                <w:szCs w:val="18"/>
                <w:lang w:val="pt-BR" w:eastAsia="pt-BR"/>
              </w:rPr>
              <w:t xml:space="preserve"> PCAE</w:t>
            </w:r>
          </w:p>
        </w:tc>
        <w:tc>
          <w:tcPr>
            <w:tcW w:w="460" w:type="dxa"/>
            <w:tcBorders>
              <w:top w:val="nil"/>
              <w:left w:val="nil"/>
              <w:bottom w:val="nil"/>
              <w:right w:val="nil"/>
            </w:tcBorders>
            <w:shd w:val="clear" w:color="000000" w:fill="FFFFFF"/>
            <w:noWrap/>
            <w:vAlign w:val="center"/>
            <w:hideMark/>
          </w:tcPr>
          <w:p w14:paraId="575DFEA3" w14:textId="77777777" w:rsidR="00196225" w:rsidRPr="00B75473" w:rsidRDefault="00196225" w:rsidP="00196225">
            <w:pPr>
              <w:tabs>
                <w:tab w:val="clear" w:pos="7100"/>
              </w:tabs>
              <w:spacing w:line="240" w:lineRule="auto"/>
              <w:jc w:val="left"/>
              <w:rPr>
                <w:rFonts w:cs="Arial"/>
                <w:color w:val="000000"/>
                <w:szCs w:val="18"/>
                <w:lang w:val="pt-BR" w:eastAsia="pt-BR"/>
              </w:rPr>
            </w:pPr>
            <w:proofErr w:type="gramStart"/>
            <w:r w:rsidRPr="00B75473">
              <w:rPr>
                <w:rFonts w:cs="Arial"/>
                <w:color w:val="000000"/>
                <w:szCs w:val="18"/>
                <w:lang w:val="pt-BR" w:eastAsia="pt-BR"/>
              </w:rPr>
              <w:t>0</w:t>
            </w:r>
            <w:proofErr w:type="gramEnd"/>
          </w:p>
        </w:tc>
        <w:tc>
          <w:tcPr>
            <w:tcW w:w="1081" w:type="dxa"/>
            <w:tcBorders>
              <w:top w:val="nil"/>
              <w:left w:val="nil"/>
              <w:bottom w:val="nil"/>
              <w:right w:val="nil"/>
            </w:tcBorders>
            <w:shd w:val="clear" w:color="000000" w:fill="FFFFFF"/>
            <w:noWrap/>
            <w:vAlign w:val="center"/>
            <w:hideMark/>
          </w:tcPr>
          <w:p w14:paraId="4BFE954C" w14:textId="3E53F9B7"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0496</w:t>
            </w:r>
            <w:r w:rsidRPr="002152C5">
              <w:rPr>
                <w:rFonts w:cs="Arial"/>
                <w:color w:val="000000"/>
                <w:szCs w:val="18"/>
                <w:vertAlign w:val="superscript"/>
                <w:lang w:val="pt-BR" w:eastAsia="pt-BR"/>
              </w:rPr>
              <w:t>a</w:t>
            </w:r>
          </w:p>
        </w:tc>
        <w:tc>
          <w:tcPr>
            <w:tcW w:w="740" w:type="dxa"/>
            <w:tcBorders>
              <w:top w:val="nil"/>
              <w:left w:val="nil"/>
              <w:bottom w:val="nil"/>
              <w:right w:val="nil"/>
            </w:tcBorders>
            <w:shd w:val="clear" w:color="000000" w:fill="FFFFFF"/>
            <w:noWrap/>
            <w:vAlign w:val="center"/>
            <w:hideMark/>
          </w:tcPr>
          <w:p w14:paraId="00B25589" w14:textId="25EE0C7A"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1533</w:t>
            </w:r>
          </w:p>
        </w:tc>
        <w:tc>
          <w:tcPr>
            <w:tcW w:w="740" w:type="dxa"/>
            <w:tcBorders>
              <w:top w:val="nil"/>
              <w:left w:val="nil"/>
              <w:bottom w:val="nil"/>
              <w:right w:val="nil"/>
            </w:tcBorders>
            <w:shd w:val="clear" w:color="000000" w:fill="FFFFFF"/>
            <w:noWrap/>
            <w:vAlign w:val="center"/>
            <w:hideMark/>
          </w:tcPr>
          <w:p w14:paraId="548822D7" w14:textId="0AD38EE1"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9205</w:t>
            </w:r>
          </w:p>
        </w:tc>
        <w:tc>
          <w:tcPr>
            <w:tcW w:w="691" w:type="dxa"/>
            <w:tcBorders>
              <w:top w:val="nil"/>
              <w:left w:val="nil"/>
              <w:bottom w:val="nil"/>
              <w:right w:val="nil"/>
            </w:tcBorders>
            <w:shd w:val="clear" w:color="000000" w:fill="FFFFFF"/>
            <w:noWrap/>
            <w:vAlign w:val="center"/>
            <w:hideMark/>
          </w:tcPr>
          <w:p w14:paraId="05AD632F" w14:textId="7F79DB85"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2</w:t>
            </w:r>
            <w:r>
              <w:rPr>
                <w:rFonts w:cs="Arial"/>
                <w:color w:val="000000"/>
                <w:szCs w:val="18"/>
                <w:lang w:val="pt-BR" w:eastAsia="pt-BR"/>
              </w:rPr>
              <w:t>.</w:t>
            </w:r>
            <w:r w:rsidRPr="00B75473">
              <w:rPr>
                <w:rFonts w:cs="Arial"/>
                <w:color w:val="000000"/>
                <w:szCs w:val="18"/>
                <w:lang w:val="pt-BR" w:eastAsia="pt-BR"/>
              </w:rPr>
              <w:t>3510</w:t>
            </w:r>
          </w:p>
        </w:tc>
        <w:tc>
          <w:tcPr>
            <w:tcW w:w="980" w:type="dxa"/>
            <w:tcBorders>
              <w:top w:val="nil"/>
              <w:left w:val="nil"/>
              <w:bottom w:val="nil"/>
              <w:right w:val="nil"/>
            </w:tcBorders>
            <w:shd w:val="clear" w:color="000000" w:fill="FFFFFF"/>
            <w:noWrap/>
            <w:vAlign w:val="center"/>
            <w:hideMark/>
          </w:tcPr>
          <w:p w14:paraId="67C2AF2E" w14:textId="4DC1124D"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0708</w:t>
            </w:r>
            <w:r w:rsidRPr="002152C5">
              <w:rPr>
                <w:rFonts w:cs="Arial"/>
                <w:color w:val="000000"/>
                <w:szCs w:val="18"/>
                <w:vertAlign w:val="superscript"/>
                <w:lang w:val="pt-BR" w:eastAsia="pt-BR"/>
              </w:rPr>
              <w:t>a</w:t>
            </w:r>
          </w:p>
        </w:tc>
        <w:tc>
          <w:tcPr>
            <w:tcW w:w="691" w:type="dxa"/>
            <w:tcBorders>
              <w:top w:val="nil"/>
              <w:left w:val="nil"/>
              <w:bottom w:val="nil"/>
              <w:right w:val="nil"/>
            </w:tcBorders>
            <w:shd w:val="clear" w:color="000000" w:fill="FFFFFF"/>
            <w:noWrap/>
            <w:vAlign w:val="center"/>
            <w:hideMark/>
          </w:tcPr>
          <w:p w14:paraId="32C75EE3" w14:textId="181F303E"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1010</w:t>
            </w:r>
          </w:p>
        </w:tc>
        <w:tc>
          <w:tcPr>
            <w:tcW w:w="691" w:type="dxa"/>
            <w:tcBorders>
              <w:top w:val="nil"/>
              <w:left w:val="nil"/>
              <w:bottom w:val="nil"/>
              <w:right w:val="nil"/>
            </w:tcBorders>
            <w:shd w:val="clear" w:color="000000" w:fill="FFFFFF"/>
            <w:noWrap/>
            <w:vAlign w:val="center"/>
            <w:hideMark/>
          </w:tcPr>
          <w:p w14:paraId="259008E0" w14:textId="7E430C4F"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9138</w:t>
            </w:r>
          </w:p>
        </w:tc>
        <w:tc>
          <w:tcPr>
            <w:tcW w:w="691" w:type="dxa"/>
            <w:tcBorders>
              <w:top w:val="nil"/>
              <w:left w:val="nil"/>
              <w:bottom w:val="nil"/>
              <w:right w:val="nil"/>
            </w:tcBorders>
            <w:shd w:val="clear" w:color="000000" w:fill="FFFFFF"/>
            <w:noWrap/>
            <w:vAlign w:val="center"/>
            <w:hideMark/>
          </w:tcPr>
          <w:p w14:paraId="21B14E1F" w14:textId="3699BAC6"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2</w:t>
            </w:r>
            <w:r>
              <w:rPr>
                <w:rFonts w:cs="Arial"/>
                <w:color w:val="000000"/>
                <w:szCs w:val="18"/>
                <w:lang w:val="pt-BR" w:eastAsia="pt-BR"/>
              </w:rPr>
              <w:t>.</w:t>
            </w:r>
            <w:r w:rsidRPr="00B75473">
              <w:rPr>
                <w:rFonts w:cs="Arial"/>
                <w:color w:val="000000"/>
                <w:szCs w:val="18"/>
                <w:lang w:val="pt-BR" w:eastAsia="pt-BR"/>
              </w:rPr>
              <w:t>8753</w:t>
            </w:r>
          </w:p>
        </w:tc>
      </w:tr>
      <w:tr w:rsidR="00196225" w:rsidRPr="00B75473" w14:paraId="7211E16A" w14:textId="77777777" w:rsidTr="00196225">
        <w:trPr>
          <w:trHeight w:val="300"/>
        </w:trPr>
        <w:tc>
          <w:tcPr>
            <w:tcW w:w="995" w:type="dxa"/>
            <w:vMerge/>
            <w:tcBorders>
              <w:top w:val="nil"/>
              <w:left w:val="nil"/>
              <w:bottom w:val="single" w:sz="12" w:space="0" w:color="008000"/>
              <w:right w:val="nil"/>
            </w:tcBorders>
            <w:vAlign w:val="center"/>
            <w:hideMark/>
          </w:tcPr>
          <w:p w14:paraId="12D35D7F" w14:textId="77777777" w:rsidR="00196225" w:rsidRPr="00B75473" w:rsidRDefault="00196225" w:rsidP="00196225">
            <w:pPr>
              <w:tabs>
                <w:tab w:val="clear" w:pos="7100"/>
              </w:tabs>
              <w:spacing w:line="240" w:lineRule="auto"/>
              <w:jc w:val="left"/>
              <w:rPr>
                <w:rFonts w:cs="Arial"/>
                <w:color w:val="000000"/>
                <w:szCs w:val="18"/>
                <w:lang w:val="pt-BR" w:eastAsia="pt-BR"/>
              </w:rPr>
            </w:pPr>
          </w:p>
        </w:tc>
        <w:tc>
          <w:tcPr>
            <w:tcW w:w="460" w:type="dxa"/>
            <w:tcBorders>
              <w:top w:val="nil"/>
              <w:left w:val="nil"/>
              <w:bottom w:val="nil"/>
              <w:right w:val="nil"/>
            </w:tcBorders>
            <w:shd w:val="clear" w:color="000000" w:fill="FFFFFF"/>
            <w:noWrap/>
            <w:vAlign w:val="center"/>
            <w:hideMark/>
          </w:tcPr>
          <w:p w14:paraId="51B685E3" w14:textId="6A7CC7F6" w:rsidR="00196225" w:rsidRPr="00B75473" w:rsidRDefault="00196225" w:rsidP="00196225">
            <w:pPr>
              <w:tabs>
                <w:tab w:val="clear" w:pos="7100"/>
              </w:tabs>
              <w:spacing w:line="240" w:lineRule="auto"/>
              <w:jc w:val="left"/>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5</w:t>
            </w:r>
          </w:p>
        </w:tc>
        <w:tc>
          <w:tcPr>
            <w:tcW w:w="1081" w:type="dxa"/>
            <w:tcBorders>
              <w:top w:val="nil"/>
              <w:left w:val="nil"/>
              <w:bottom w:val="nil"/>
              <w:right w:val="nil"/>
            </w:tcBorders>
            <w:shd w:val="clear" w:color="000000" w:fill="FFFFFF"/>
            <w:noWrap/>
            <w:vAlign w:val="center"/>
            <w:hideMark/>
          </w:tcPr>
          <w:p w14:paraId="623B2A82" w14:textId="1724F863"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0340</w:t>
            </w:r>
            <w:r w:rsidRPr="002152C5">
              <w:rPr>
                <w:rFonts w:cs="Arial"/>
                <w:color w:val="000000"/>
                <w:szCs w:val="18"/>
                <w:vertAlign w:val="superscript"/>
                <w:lang w:val="pt-BR" w:eastAsia="pt-BR"/>
              </w:rPr>
              <w:t>ab</w:t>
            </w:r>
          </w:p>
        </w:tc>
        <w:tc>
          <w:tcPr>
            <w:tcW w:w="740" w:type="dxa"/>
            <w:tcBorders>
              <w:top w:val="nil"/>
              <w:left w:val="nil"/>
              <w:bottom w:val="nil"/>
              <w:right w:val="nil"/>
            </w:tcBorders>
            <w:shd w:val="clear" w:color="000000" w:fill="FFFFFF"/>
            <w:noWrap/>
            <w:vAlign w:val="center"/>
            <w:hideMark/>
          </w:tcPr>
          <w:p w14:paraId="12DA9D4A" w14:textId="09E3BA1B"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0503</w:t>
            </w:r>
          </w:p>
        </w:tc>
        <w:tc>
          <w:tcPr>
            <w:tcW w:w="740" w:type="dxa"/>
            <w:tcBorders>
              <w:top w:val="nil"/>
              <w:left w:val="nil"/>
              <w:bottom w:val="nil"/>
              <w:right w:val="nil"/>
            </w:tcBorders>
            <w:shd w:val="clear" w:color="000000" w:fill="FFFFFF"/>
            <w:noWrap/>
            <w:vAlign w:val="center"/>
            <w:hideMark/>
          </w:tcPr>
          <w:p w14:paraId="67D0CE1D" w14:textId="16897EDD"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9583</w:t>
            </w:r>
          </w:p>
        </w:tc>
        <w:tc>
          <w:tcPr>
            <w:tcW w:w="691" w:type="dxa"/>
            <w:tcBorders>
              <w:top w:val="nil"/>
              <w:left w:val="nil"/>
              <w:bottom w:val="nil"/>
              <w:right w:val="nil"/>
            </w:tcBorders>
            <w:shd w:val="clear" w:color="000000" w:fill="FFFFFF"/>
            <w:noWrap/>
            <w:vAlign w:val="center"/>
            <w:hideMark/>
          </w:tcPr>
          <w:p w14:paraId="50800B25" w14:textId="00E96426"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4</w:t>
            </w:r>
            <w:r>
              <w:rPr>
                <w:rFonts w:cs="Arial"/>
                <w:color w:val="000000"/>
                <w:szCs w:val="18"/>
                <w:lang w:val="pt-BR" w:eastAsia="pt-BR"/>
              </w:rPr>
              <w:t>.</w:t>
            </w:r>
            <w:r w:rsidRPr="00B75473">
              <w:rPr>
                <w:rFonts w:cs="Arial"/>
                <w:color w:val="000000"/>
                <w:szCs w:val="18"/>
                <w:lang w:val="pt-BR" w:eastAsia="pt-BR"/>
              </w:rPr>
              <w:t>2728</w:t>
            </w:r>
          </w:p>
        </w:tc>
        <w:tc>
          <w:tcPr>
            <w:tcW w:w="980" w:type="dxa"/>
            <w:tcBorders>
              <w:top w:val="nil"/>
              <w:left w:val="nil"/>
              <w:bottom w:val="nil"/>
              <w:right w:val="nil"/>
            </w:tcBorders>
            <w:shd w:val="clear" w:color="000000" w:fill="FFFFFF"/>
            <w:noWrap/>
            <w:vAlign w:val="center"/>
            <w:hideMark/>
          </w:tcPr>
          <w:p w14:paraId="5B3877C3" w14:textId="5027F630"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0721</w:t>
            </w:r>
            <w:r w:rsidRPr="002152C5">
              <w:rPr>
                <w:rFonts w:cs="Arial"/>
                <w:color w:val="000000"/>
                <w:szCs w:val="18"/>
                <w:vertAlign w:val="superscript"/>
                <w:lang w:val="pt-BR" w:eastAsia="pt-BR"/>
              </w:rPr>
              <w:t>a</w:t>
            </w:r>
          </w:p>
        </w:tc>
        <w:tc>
          <w:tcPr>
            <w:tcW w:w="691" w:type="dxa"/>
            <w:tcBorders>
              <w:top w:val="nil"/>
              <w:left w:val="nil"/>
              <w:bottom w:val="nil"/>
              <w:right w:val="nil"/>
            </w:tcBorders>
            <w:shd w:val="clear" w:color="000000" w:fill="FFFFFF"/>
            <w:noWrap/>
            <w:vAlign w:val="center"/>
            <w:hideMark/>
          </w:tcPr>
          <w:p w14:paraId="20574E35" w14:textId="65E9DFF6"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0602</w:t>
            </w:r>
          </w:p>
        </w:tc>
        <w:tc>
          <w:tcPr>
            <w:tcW w:w="691" w:type="dxa"/>
            <w:tcBorders>
              <w:top w:val="nil"/>
              <w:left w:val="nil"/>
              <w:bottom w:val="nil"/>
              <w:right w:val="nil"/>
            </w:tcBorders>
            <w:shd w:val="clear" w:color="000000" w:fill="FFFFFF"/>
            <w:noWrap/>
            <w:vAlign w:val="center"/>
            <w:hideMark/>
          </w:tcPr>
          <w:p w14:paraId="505FFCFA" w14:textId="6E6E7F75"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9246</w:t>
            </w:r>
          </w:p>
        </w:tc>
        <w:tc>
          <w:tcPr>
            <w:tcW w:w="691" w:type="dxa"/>
            <w:tcBorders>
              <w:top w:val="nil"/>
              <w:left w:val="nil"/>
              <w:bottom w:val="nil"/>
              <w:right w:val="nil"/>
            </w:tcBorders>
            <w:shd w:val="clear" w:color="000000" w:fill="FFFFFF"/>
            <w:noWrap/>
            <w:vAlign w:val="center"/>
            <w:hideMark/>
          </w:tcPr>
          <w:p w14:paraId="0D78E5BB" w14:textId="021A4860"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3</w:t>
            </w:r>
            <w:r>
              <w:rPr>
                <w:rFonts w:cs="Arial"/>
                <w:color w:val="000000"/>
                <w:szCs w:val="18"/>
                <w:lang w:val="pt-BR" w:eastAsia="pt-BR"/>
              </w:rPr>
              <w:t>.</w:t>
            </w:r>
            <w:r w:rsidRPr="00B75473">
              <w:rPr>
                <w:rFonts w:cs="Arial"/>
                <w:color w:val="000000"/>
                <w:szCs w:val="18"/>
                <w:lang w:val="pt-BR" w:eastAsia="pt-BR"/>
              </w:rPr>
              <w:t>7684</w:t>
            </w:r>
          </w:p>
        </w:tc>
      </w:tr>
      <w:tr w:rsidR="00196225" w:rsidRPr="00B75473" w14:paraId="44AE6A68" w14:textId="77777777" w:rsidTr="00196225">
        <w:trPr>
          <w:trHeight w:val="300"/>
        </w:trPr>
        <w:tc>
          <w:tcPr>
            <w:tcW w:w="995" w:type="dxa"/>
            <w:vMerge/>
            <w:tcBorders>
              <w:top w:val="nil"/>
              <w:left w:val="nil"/>
              <w:bottom w:val="single" w:sz="12" w:space="0" w:color="008000"/>
              <w:right w:val="nil"/>
            </w:tcBorders>
            <w:vAlign w:val="center"/>
            <w:hideMark/>
          </w:tcPr>
          <w:p w14:paraId="33019F56" w14:textId="77777777" w:rsidR="00196225" w:rsidRPr="00B75473" w:rsidRDefault="00196225" w:rsidP="00196225">
            <w:pPr>
              <w:tabs>
                <w:tab w:val="clear" w:pos="7100"/>
              </w:tabs>
              <w:spacing w:line="240" w:lineRule="auto"/>
              <w:jc w:val="left"/>
              <w:rPr>
                <w:rFonts w:cs="Arial"/>
                <w:color w:val="000000"/>
                <w:szCs w:val="18"/>
                <w:lang w:val="pt-BR" w:eastAsia="pt-BR"/>
              </w:rPr>
            </w:pPr>
          </w:p>
        </w:tc>
        <w:tc>
          <w:tcPr>
            <w:tcW w:w="460" w:type="dxa"/>
            <w:tcBorders>
              <w:top w:val="nil"/>
              <w:left w:val="nil"/>
              <w:bottom w:val="nil"/>
              <w:right w:val="nil"/>
            </w:tcBorders>
            <w:shd w:val="clear" w:color="000000" w:fill="FFFFFF"/>
            <w:noWrap/>
            <w:vAlign w:val="center"/>
            <w:hideMark/>
          </w:tcPr>
          <w:p w14:paraId="604A7B95" w14:textId="77777777" w:rsidR="00196225" w:rsidRPr="00B75473" w:rsidRDefault="00196225" w:rsidP="00196225">
            <w:pPr>
              <w:tabs>
                <w:tab w:val="clear" w:pos="7100"/>
              </w:tabs>
              <w:spacing w:line="240" w:lineRule="auto"/>
              <w:jc w:val="left"/>
              <w:rPr>
                <w:rFonts w:cs="Arial"/>
                <w:color w:val="000000"/>
                <w:szCs w:val="18"/>
                <w:lang w:val="pt-BR" w:eastAsia="pt-BR"/>
              </w:rPr>
            </w:pPr>
            <w:proofErr w:type="gramStart"/>
            <w:r w:rsidRPr="00B75473">
              <w:rPr>
                <w:rFonts w:cs="Arial"/>
                <w:color w:val="000000"/>
                <w:szCs w:val="18"/>
                <w:lang w:val="pt-BR" w:eastAsia="pt-BR"/>
              </w:rPr>
              <w:t>1</w:t>
            </w:r>
            <w:proofErr w:type="gramEnd"/>
          </w:p>
        </w:tc>
        <w:tc>
          <w:tcPr>
            <w:tcW w:w="1081" w:type="dxa"/>
            <w:tcBorders>
              <w:top w:val="nil"/>
              <w:left w:val="nil"/>
              <w:bottom w:val="nil"/>
              <w:right w:val="nil"/>
            </w:tcBorders>
            <w:shd w:val="clear" w:color="000000" w:fill="FFFFFF"/>
            <w:noWrap/>
            <w:vAlign w:val="center"/>
            <w:hideMark/>
          </w:tcPr>
          <w:p w14:paraId="2473FF10" w14:textId="3C90106F"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0270</w:t>
            </w:r>
            <w:r w:rsidRPr="002152C5">
              <w:rPr>
                <w:rFonts w:cs="Arial"/>
                <w:color w:val="000000"/>
                <w:szCs w:val="18"/>
                <w:vertAlign w:val="superscript"/>
                <w:lang w:val="pt-BR" w:eastAsia="pt-BR"/>
              </w:rPr>
              <w:t>abc</w:t>
            </w:r>
          </w:p>
        </w:tc>
        <w:tc>
          <w:tcPr>
            <w:tcW w:w="740" w:type="dxa"/>
            <w:tcBorders>
              <w:top w:val="nil"/>
              <w:left w:val="nil"/>
              <w:bottom w:val="nil"/>
              <w:right w:val="nil"/>
            </w:tcBorders>
            <w:shd w:val="clear" w:color="000000" w:fill="FFFFFF"/>
            <w:noWrap/>
            <w:vAlign w:val="center"/>
            <w:hideMark/>
          </w:tcPr>
          <w:p w14:paraId="110CCCED" w14:textId="2D883FA8"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0675</w:t>
            </w:r>
          </w:p>
        </w:tc>
        <w:tc>
          <w:tcPr>
            <w:tcW w:w="740" w:type="dxa"/>
            <w:tcBorders>
              <w:top w:val="nil"/>
              <w:left w:val="nil"/>
              <w:bottom w:val="nil"/>
              <w:right w:val="nil"/>
            </w:tcBorders>
            <w:shd w:val="clear" w:color="000000" w:fill="FFFFFF"/>
            <w:noWrap/>
            <w:vAlign w:val="center"/>
            <w:hideMark/>
          </w:tcPr>
          <w:p w14:paraId="331E57D8" w14:textId="71F1FD9D"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9470</w:t>
            </w:r>
          </w:p>
        </w:tc>
        <w:tc>
          <w:tcPr>
            <w:tcW w:w="691" w:type="dxa"/>
            <w:tcBorders>
              <w:top w:val="nil"/>
              <w:left w:val="nil"/>
              <w:bottom w:val="nil"/>
              <w:right w:val="nil"/>
            </w:tcBorders>
            <w:shd w:val="clear" w:color="000000" w:fill="FFFFFF"/>
            <w:noWrap/>
            <w:vAlign w:val="center"/>
            <w:hideMark/>
          </w:tcPr>
          <w:p w14:paraId="2E1CD8B4" w14:textId="4647593C"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3</w:t>
            </w:r>
            <w:r>
              <w:rPr>
                <w:rFonts w:cs="Arial"/>
                <w:color w:val="000000"/>
                <w:szCs w:val="18"/>
                <w:lang w:val="pt-BR" w:eastAsia="pt-BR"/>
              </w:rPr>
              <w:t>.</w:t>
            </w:r>
            <w:r w:rsidRPr="00B75473">
              <w:rPr>
                <w:rFonts w:cs="Arial"/>
                <w:color w:val="000000"/>
                <w:szCs w:val="18"/>
                <w:lang w:val="pt-BR" w:eastAsia="pt-BR"/>
              </w:rPr>
              <w:t>6450</w:t>
            </w:r>
          </w:p>
        </w:tc>
        <w:tc>
          <w:tcPr>
            <w:tcW w:w="980" w:type="dxa"/>
            <w:tcBorders>
              <w:top w:val="nil"/>
              <w:left w:val="nil"/>
              <w:bottom w:val="nil"/>
              <w:right w:val="nil"/>
            </w:tcBorders>
            <w:shd w:val="clear" w:color="000000" w:fill="FFFFFF"/>
            <w:noWrap/>
            <w:vAlign w:val="center"/>
            <w:hideMark/>
          </w:tcPr>
          <w:p w14:paraId="23B24610" w14:textId="6FAD126C"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0643</w:t>
            </w:r>
            <w:r w:rsidRPr="002152C5">
              <w:rPr>
                <w:rFonts w:cs="Arial"/>
                <w:color w:val="000000"/>
                <w:szCs w:val="18"/>
                <w:vertAlign w:val="superscript"/>
                <w:lang w:val="pt-BR" w:eastAsia="pt-BR"/>
              </w:rPr>
              <w:t>ab</w:t>
            </w:r>
          </w:p>
        </w:tc>
        <w:tc>
          <w:tcPr>
            <w:tcW w:w="691" w:type="dxa"/>
            <w:tcBorders>
              <w:top w:val="nil"/>
              <w:left w:val="nil"/>
              <w:bottom w:val="nil"/>
              <w:right w:val="nil"/>
            </w:tcBorders>
            <w:shd w:val="clear" w:color="000000" w:fill="FFFFFF"/>
            <w:noWrap/>
            <w:vAlign w:val="center"/>
            <w:hideMark/>
          </w:tcPr>
          <w:p w14:paraId="09369108" w14:textId="2A386DF5"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1519</w:t>
            </w:r>
          </w:p>
        </w:tc>
        <w:tc>
          <w:tcPr>
            <w:tcW w:w="691" w:type="dxa"/>
            <w:tcBorders>
              <w:top w:val="nil"/>
              <w:left w:val="nil"/>
              <w:bottom w:val="nil"/>
              <w:right w:val="nil"/>
            </w:tcBorders>
            <w:shd w:val="clear" w:color="000000" w:fill="FFFFFF"/>
            <w:noWrap/>
            <w:vAlign w:val="center"/>
            <w:hideMark/>
          </w:tcPr>
          <w:p w14:paraId="0D66A2BF" w14:textId="7694D4D3"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9221</w:t>
            </w:r>
          </w:p>
        </w:tc>
        <w:tc>
          <w:tcPr>
            <w:tcW w:w="691" w:type="dxa"/>
            <w:tcBorders>
              <w:top w:val="nil"/>
              <w:left w:val="nil"/>
              <w:bottom w:val="nil"/>
              <w:right w:val="nil"/>
            </w:tcBorders>
            <w:shd w:val="clear" w:color="000000" w:fill="FFFFFF"/>
            <w:noWrap/>
            <w:vAlign w:val="center"/>
            <w:hideMark/>
          </w:tcPr>
          <w:p w14:paraId="357E2DC3" w14:textId="3D390B24"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2</w:t>
            </w:r>
            <w:r>
              <w:rPr>
                <w:rFonts w:cs="Arial"/>
                <w:color w:val="000000"/>
                <w:szCs w:val="18"/>
                <w:lang w:val="pt-BR" w:eastAsia="pt-BR"/>
              </w:rPr>
              <w:t>.</w:t>
            </w:r>
            <w:r w:rsidRPr="00B75473">
              <w:rPr>
                <w:rFonts w:cs="Arial"/>
                <w:color w:val="000000"/>
                <w:szCs w:val="18"/>
                <w:lang w:val="pt-BR" w:eastAsia="pt-BR"/>
              </w:rPr>
              <w:t>3659</w:t>
            </w:r>
          </w:p>
        </w:tc>
      </w:tr>
      <w:tr w:rsidR="00196225" w:rsidRPr="00B75473" w14:paraId="4B487407" w14:textId="77777777" w:rsidTr="00196225">
        <w:trPr>
          <w:trHeight w:val="300"/>
        </w:trPr>
        <w:tc>
          <w:tcPr>
            <w:tcW w:w="995" w:type="dxa"/>
            <w:vMerge/>
            <w:tcBorders>
              <w:top w:val="nil"/>
              <w:left w:val="nil"/>
              <w:bottom w:val="single" w:sz="12" w:space="0" w:color="008000"/>
              <w:right w:val="nil"/>
            </w:tcBorders>
            <w:vAlign w:val="center"/>
            <w:hideMark/>
          </w:tcPr>
          <w:p w14:paraId="7234E614" w14:textId="77777777" w:rsidR="00196225" w:rsidRPr="00B75473" w:rsidRDefault="00196225" w:rsidP="00196225">
            <w:pPr>
              <w:tabs>
                <w:tab w:val="clear" w:pos="7100"/>
              </w:tabs>
              <w:spacing w:line="240" w:lineRule="auto"/>
              <w:jc w:val="left"/>
              <w:rPr>
                <w:rFonts w:cs="Arial"/>
                <w:color w:val="000000"/>
                <w:szCs w:val="18"/>
                <w:lang w:val="pt-BR" w:eastAsia="pt-BR"/>
              </w:rPr>
            </w:pPr>
          </w:p>
        </w:tc>
        <w:tc>
          <w:tcPr>
            <w:tcW w:w="460" w:type="dxa"/>
            <w:tcBorders>
              <w:top w:val="nil"/>
              <w:left w:val="nil"/>
              <w:bottom w:val="nil"/>
              <w:right w:val="nil"/>
            </w:tcBorders>
            <w:shd w:val="clear" w:color="000000" w:fill="FFFFFF"/>
            <w:noWrap/>
            <w:vAlign w:val="center"/>
            <w:hideMark/>
          </w:tcPr>
          <w:p w14:paraId="726B8659" w14:textId="0AA249E6" w:rsidR="00196225" w:rsidRPr="00B75473" w:rsidRDefault="00196225" w:rsidP="00196225">
            <w:pPr>
              <w:tabs>
                <w:tab w:val="clear" w:pos="7100"/>
              </w:tabs>
              <w:spacing w:line="240" w:lineRule="auto"/>
              <w:jc w:val="left"/>
              <w:rPr>
                <w:rFonts w:cs="Arial"/>
                <w:color w:val="000000"/>
                <w:szCs w:val="18"/>
                <w:lang w:val="pt-BR" w:eastAsia="pt-BR"/>
              </w:rPr>
            </w:pPr>
            <w:r w:rsidRPr="00B75473">
              <w:rPr>
                <w:rFonts w:cs="Arial"/>
                <w:color w:val="000000"/>
                <w:szCs w:val="18"/>
                <w:lang w:val="pt-BR" w:eastAsia="pt-BR"/>
              </w:rPr>
              <w:t>1</w:t>
            </w:r>
            <w:r>
              <w:rPr>
                <w:rFonts w:cs="Arial"/>
                <w:color w:val="000000"/>
                <w:szCs w:val="18"/>
                <w:lang w:val="pt-BR" w:eastAsia="pt-BR"/>
              </w:rPr>
              <w:t>.</w:t>
            </w:r>
            <w:r w:rsidRPr="00B75473">
              <w:rPr>
                <w:rFonts w:cs="Arial"/>
                <w:color w:val="000000"/>
                <w:szCs w:val="18"/>
                <w:lang w:val="pt-BR" w:eastAsia="pt-BR"/>
              </w:rPr>
              <w:t>5</w:t>
            </w:r>
          </w:p>
        </w:tc>
        <w:tc>
          <w:tcPr>
            <w:tcW w:w="1081" w:type="dxa"/>
            <w:tcBorders>
              <w:top w:val="nil"/>
              <w:left w:val="nil"/>
              <w:bottom w:val="nil"/>
              <w:right w:val="nil"/>
            </w:tcBorders>
            <w:shd w:val="clear" w:color="000000" w:fill="FFFFFF"/>
            <w:noWrap/>
            <w:vAlign w:val="center"/>
            <w:hideMark/>
          </w:tcPr>
          <w:p w14:paraId="220DF28E" w14:textId="1D27C5F7"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0149</w:t>
            </w:r>
            <w:r w:rsidRPr="002152C5">
              <w:rPr>
                <w:rFonts w:cs="Arial"/>
                <w:color w:val="000000"/>
                <w:szCs w:val="18"/>
                <w:vertAlign w:val="superscript"/>
                <w:lang w:val="pt-BR" w:eastAsia="pt-BR"/>
              </w:rPr>
              <w:t>abcd</w:t>
            </w:r>
          </w:p>
        </w:tc>
        <w:tc>
          <w:tcPr>
            <w:tcW w:w="740" w:type="dxa"/>
            <w:tcBorders>
              <w:top w:val="nil"/>
              <w:left w:val="nil"/>
              <w:bottom w:val="nil"/>
              <w:right w:val="nil"/>
            </w:tcBorders>
            <w:shd w:val="clear" w:color="000000" w:fill="FFFFFF"/>
            <w:noWrap/>
            <w:vAlign w:val="center"/>
            <w:hideMark/>
          </w:tcPr>
          <w:p w14:paraId="0C1EEC8F" w14:textId="1DDB52AC"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0928</w:t>
            </w:r>
          </w:p>
        </w:tc>
        <w:tc>
          <w:tcPr>
            <w:tcW w:w="740" w:type="dxa"/>
            <w:tcBorders>
              <w:top w:val="nil"/>
              <w:left w:val="nil"/>
              <w:bottom w:val="nil"/>
              <w:right w:val="nil"/>
            </w:tcBorders>
            <w:shd w:val="clear" w:color="000000" w:fill="FFFFFF"/>
            <w:noWrap/>
            <w:vAlign w:val="center"/>
            <w:hideMark/>
          </w:tcPr>
          <w:p w14:paraId="1965DB8E" w14:textId="3A5D54D7"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8695</w:t>
            </w:r>
          </w:p>
        </w:tc>
        <w:tc>
          <w:tcPr>
            <w:tcW w:w="691" w:type="dxa"/>
            <w:tcBorders>
              <w:top w:val="nil"/>
              <w:left w:val="nil"/>
              <w:bottom w:val="nil"/>
              <w:right w:val="nil"/>
            </w:tcBorders>
            <w:shd w:val="clear" w:color="000000" w:fill="FFFFFF"/>
            <w:noWrap/>
            <w:vAlign w:val="center"/>
            <w:hideMark/>
          </w:tcPr>
          <w:p w14:paraId="73A49380" w14:textId="0FA98161"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2</w:t>
            </w:r>
            <w:r>
              <w:rPr>
                <w:rFonts w:cs="Arial"/>
                <w:color w:val="000000"/>
                <w:szCs w:val="18"/>
                <w:lang w:val="pt-BR" w:eastAsia="pt-BR"/>
              </w:rPr>
              <w:t>.</w:t>
            </w:r>
            <w:r w:rsidRPr="00B75473">
              <w:rPr>
                <w:rFonts w:cs="Arial"/>
                <w:color w:val="000000"/>
                <w:szCs w:val="18"/>
                <w:lang w:val="pt-BR" w:eastAsia="pt-BR"/>
              </w:rPr>
              <w:t>8543</w:t>
            </w:r>
          </w:p>
        </w:tc>
        <w:tc>
          <w:tcPr>
            <w:tcW w:w="980" w:type="dxa"/>
            <w:tcBorders>
              <w:top w:val="nil"/>
              <w:left w:val="nil"/>
              <w:bottom w:val="nil"/>
              <w:right w:val="nil"/>
            </w:tcBorders>
            <w:shd w:val="clear" w:color="000000" w:fill="FFFFFF"/>
            <w:noWrap/>
            <w:vAlign w:val="center"/>
            <w:hideMark/>
          </w:tcPr>
          <w:p w14:paraId="0BBB8931" w14:textId="2F5C46BD"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0633</w:t>
            </w:r>
            <w:r w:rsidRPr="002152C5">
              <w:rPr>
                <w:rFonts w:cs="Arial"/>
                <w:color w:val="000000"/>
                <w:szCs w:val="18"/>
                <w:vertAlign w:val="superscript"/>
                <w:lang w:val="pt-BR" w:eastAsia="pt-BR"/>
              </w:rPr>
              <w:t>ab</w:t>
            </w:r>
          </w:p>
        </w:tc>
        <w:tc>
          <w:tcPr>
            <w:tcW w:w="691" w:type="dxa"/>
            <w:tcBorders>
              <w:top w:val="nil"/>
              <w:left w:val="nil"/>
              <w:bottom w:val="nil"/>
              <w:right w:val="nil"/>
            </w:tcBorders>
            <w:shd w:val="clear" w:color="000000" w:fill="FFFFFF"/>
            <w:noWrap/>
            <w:vAlign w:val="center"/>
            <w:hideMark/>
          </w:tcPr>
          <w:p w14:paraId="348AE1A9" w14:textId="1CE68762"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1310</w:t>
            </w:r>
          </w:p>
        </w:tc>
        <w:tc>
          <w:tcPr>
            <w:tcW w:w="691" w:type="dxa"/>
            <w:tcBorders>
              <w:top w:val="nil"/>
              <w:left w:val="nil"/>
              <w:bottom w:val="nil"/>
              <w:right w:val="nil"/>
            </w:tcBorders>
            <w:shd w:val="clear" w:color="000000" w:fill="FFFFFF"/>
            <w:noWrap/>
            <w:vAlign w:val="center"/>
            <w:hideMark/>
          </w:tcPr>
          <w:p w14:paraId="4EFFE776" w14:textId="23DAF5DA"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9207</w:t>
            </w:r>
          </w:p>
        </w:tc>
        <w:tc>
          <w:tcPr>
            <w:tcW w:w="691" w:type="dxa"/>
            <w:tcBorders>
              <w:top w:val="nil"/>
              <w:left w:val="nil"/>
              <w:bottom w:val="nil"/>
              <w:right w:val="nil"/>
            </w:tcBorders>
            <w:shd w:val="clear" w:color="000000" w:fill="FFFFFF"/>
            <w:noWrap/>
            <w:vAlign w:val="center"/>
            <w:hideMark/>
          </w:tcPr>
          <w:p w14:paraId="4A5F7641" w14:textId="51F91D48"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2</w:t>
            </w:r>
            <w:r>
              <w:rPr>
                <w:rFonts w:cs="Arial"/>
                <w:color w:val="000000"/>
                <w:szCs w:val="18"/>
                <w:lang w:val="pt-BR" w:eastAsia="pt-BR"/>
              </w:rPr>
              <w:t>.</w:t>
            </w:r>
            <w:r w:rsidRPr="00B75473">
              <w:rPr>
                <w:rFonts w:cs="Arial"/>
                <w:color w:val="000000"/>
                <w:szCs w:val="18"/>
                <w:lang w:val="pt-BR" w:eastAsia="pt-BR"/>
              </w:rPr>
              <w:t>5438</w:t>
            </w:r>
          </w:p>
        </w:tc>
      </w:tr>
      <w:tr w:rsidR="00196225" w:rsidRPr="00B75473" w14:paraId="388D3FF6" w14:textId="77777777" w:rsidTr="00196225">
        <w:trPr>
          <w:trHeight w:val="300"/>
        </w:trPr>
        <w:tc>
          <w:tcPr>
            <w:tcW w:w="995" w:type="dxa"/>
            <w:vMerge/>
            <w:tcBorders>
              <w:top w:val="nil"/>
              <w:left w:val="nil"/>
              <w:bottom w:val="single" w:sz="12" w:space="0" w:color="008000"/>
              <w:right w:val="nil"/>
            </w:tcBorders>
            <w:vAlign w:val="center"/>
            <w:hideMark/>
          </w:tcPr>
          <w:p w14:paraId="35981745" w14:textId="77777777" w:rsidR="00196225" w:rsidRPr="00B75473" w:rsidRDefault="00196225" w:rsidP="00196225">
            <w:pPr>
              <w:tabs>
                <w:tab w:val="clear" w:pos="7100"/>
              </w:tabs>
              <w:spacing w:line="240" w:lineRule="auto"/>
              <w:jc w:val="left"/>
              <w:rPr>
                <w:rFonts w:cs="Arial"/>
                <w:color w:val="000000"/>
                <w:szCs w:val="18"/>
                <w:lang w:val="pt-BR" w:eastAsia="pt-BR"/>
              </w:rPr>
            </w:pPr>
          </w:p>
        </w:tc>
        <w:tc>
          <w:tcPr>
            <w:tcW w:w="460" w:type="dxa"/>
            <w:tcBorders>
              <w:top w:val="nil"/>
              <w:left w:val="nil"/>
              <w:bottom w:val="nil"/>
              <w:right w:val="nil"/>
            </w:tcBorders>
            <w:shd w:val="clear" w:color="000000" w:fill="FFFFFF"/>
            <w:noWrap/>
            <w:vAlign w:val="center"/>
            <w:hideMark/>
          </w:tcPr>
          <w:p w14:paraId="26C18D08" w14:textId="77777777" w:rsidR="00196225" w:rsidRPr="00B75473" w:rsidRDefault="00196225" w:rsidP="00196225">
            <w:pPr>
              <w:tabs>
                <w:tab w:val="clear" w:pos="7100"/>
              </w:tabs>
              <w:spacing w:line="240" w:lineRule="auto"/>
              <w:jc w:val="left"/>
              <w:rPr>
                <w:rFonts w:cs="Arial"/>
                <w:color w:val="000000"/>
                <w:szCs w:val="18"/>
                <w:lang w:val="pt-BR" w:eastAsia="pt-BR"/>
              </w:rPr>
            </w:pPr>
            <w:proofErr w:type="gramStart"/>
            <w:r w:rsidRPr="00B75473">
              <w:rPr>
                <w:rFonts w:cs="Arial"/>
                <w:color w:val="000000"/>
                <w:szCs w:val="18"/>
                <w:lang w:val="pt-BR" w:eastAsia="pt-BR"/>
              </w:rPr>
              <w:t>2</w:t>
            </w:r>
            <w:proofErr w:type="gramEnd"/>
          </w:p>
        </w:tc>
        <w:tc>
          <w:tcPr>
            <w:tcW w:w="1081" w:type="dxa"/>
            <w:tcBorders>
              <w:top w:val="nil"/>
              <w:left w:val="nil"/>
              <w:bottom w:val="nil"/>
              <w:right w:val="nil"/>
            </w:tcBorders>
            <w:shd w:val="clear" w:color="000000" w:fill="FFFFFF"/>
            <w:noWrap/>
            <w:vAlign w:val="center"/>
            <w:hideMark/>
          </w:tcPr>
          <w:p w14:paraId="6A4C3303" w14:textId="5FFBD8CC"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0148</w:t>
            </w:r>
            <w:r w:rsidRPr="002152C5">
              <w:rPr>
                <w:rFonts w:cs="Arial"/>
                <w:color w:val="000000"/>
                <w:szCs w:val="18"/>
                <w:vertAlign w:val="superscript"/>
                <w:lang w:val="pt-BR" w:eastAsia="pt-BR"/>
              </w:rPr>
              <w:t>abcd</w:t>
            </w:r>
          </w:p>
        </w:tc>
        <w:tc>
          <w:tcPr>
            <w:tcW w:w="740" w:type="dxa"/>
            <w:tcBorders>
              <w:top w:val="nil"/>
              <w:left w:val="nil"/>
              <w:bottom w:val="nil"/>
              <w:right w:val="nil"/>
            </w:tcBorders>
            <w:shd w:val="clear" w:color="000000" w:fill="FFFFFF"/>
            <w:noWrap/>
            <w:vAlign w:val="center"/>
            <w:hideMark/>
          </w:tcPr>
          <w:p w14:paraId="084DE265" w14:textId="618336A0"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1000</w:t>
            </w:r>
          </w:p>
        </w:tc>
        <w:tc>
          <w:tcPr>
            <w:tcW w:w="740" w:type="dxa"/>
            <w:tcBorders>
              <w:top w:val="nil"/>
              <w:left w:val="nil"/>
              <w:bottom w:val="nil"/>
              <w:right w:val="nil"/>
            </w:tcBorders>
            <w:shd w:val="clear" w:color="000000" w:fill="FFFFFF"/>
            <w:noWrap/>
            <w:vAlign w:val="center"/>
            <w:hideMark/>
          </w:tcPr>
          <w:p w14:paraId="2EF2EA2D" w14:textId="2A7123C1"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8288</w:t>
            </w:r>
          </w:p>
        </w:tc>
        <w:tc>
          <w:tcPr>
            <w:tcW w:w="691" w:type="dxa"/>
            <w:tcBorders>
              <w:top w:val="nil"/>
              <w:left w:val="nil"/>
              <w:bottom w:val="nil"/>
              <w:right w:val="nil"/>
            </w:tcBorders>
            <w:shd w:val="clear" w:color="000000" w:fill="FFFFFF"/>
            <w:noWrap/>
            <w:vAlign w:val="center"/>
            <w:hideMark/>
          </w:tcPr>
          <w:p w14:paraId="380E7DA4" w14:textId="2092C47C"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2</w:t>
            </w:r>
            <w:r>
              <w:rPr>
                <w:rFonts w:cs="Arial"/>
                <w:color w:val="000000"/>
                <w:szCs w:val="18"/>
                <w:lang w:val="pt-BR" w:eastAsia="pt-BR"/>
              </w:rPr>
              <w:t>.</w:t>
            </w:r>
            <w:r w:rsidRPr="00B75473">
              <w:rPr>
                <w:rFonts w:cs="Arial"/>
                <w:color w:val="000000"/>
                <w:szCs w:val="18"/>
                <w:lang w:val="pt-BR" w:eastAsia="pt-BR"/>
              </w:rPr>
              <w:t>6209</w:t>
            </w:r>
          </w:p>
        </w:tc>
        <w:tc>
          <w:tcPr>
            <w:tcW w:w="980" w:type="dxa"/>
            <w:tcBorders>
              <w:top w:val="nil"/>
              <w:left w:val="nil"/>
              <w:bottom w:val="nil"/>
              <w:right w:val="nil"/>
            </w:tcBorders>
            <w:shd w:val="clear" w:color="000000" w:fill="FFFFFF"/>
            <w:noWrap/>
            <w:vAlign w:val="center"/>
            <w:hideMark/>
          </w:tcPr>
          <w:p w14:paraId="1EF6C663" w14:textId="47CCC7EF"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0610</w:t>
            </w:r>
            <w:r w:rsidRPr="002152C5">
              <w:rPr>
                <w:rFonts w:cs="Arial"/>
                <w:color w:val="000000"/>
                <w:szCs w:val="18"/>
                <w:vertAlign w:val="superscript"/>
                <w:lang w:val="pt-BR" w:eastAsia="pt-BR"/>
              </w:rPr>
              <w:t>ab</w:t>
            </w:r>
          </w:p>
        </w:tc>
        <w:tc>
          <w:tcPr>
            <w:tcW w:w="691" w:type="dxa"/>
            <w:tcBorders>
              <w:top w:val="nil"/>
              <w:left w:val="nil"/>
              <w:bottom w:val="nil"/>
              <w:right w:val="nil"/>
            </w:tcBorders>
            <w:shd w:val="clear" w:color="000000" w:fill="FFFFFF"/>
            <w:noWrap/>
            <w:vAlign w:val="center"/>
            <w:hideMark/>
          </w:tcPr>
          <w:p w14:paraId="7C257437" w14:textId="3B591CBA"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1287</w:t>
            </w:r>
          </w:p>
        </w:tc>
        <w:tc>
          <w:tcPr>
            <w:tcW w:w="691" w:type="dxa"/>
            <w:tcBorders>
              <w:top w:val="nil"/>
              <w:left w:val="nil"/>
              <w:bottom w:val="nil"/>
              <w:right w:val="nil"/>
            </w:tcBorders>
            <w:shd w:val="clear" w:color="000000" w:fill="FFFFFF"/>
            <w:noWrap/>
            <w:vAlign w:val="center"/>
            <w:hideMark/>
          </w:tcPr>
          <w:p w14:paraId="43E86149" w14:textId="48435E5F"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9262</w:t>
            </w:r>
          </w:p>
        </w:tc>
        <w:tc>
          <w:tcPr>
            <w:tcW w:w="691" w:type="dxa"/>
            <w:tcBorders>
              <w:top w:val="nil"/>
              <w:left w:val="nil"/>
              <w:bottom w:val="nil"/>
              <w:right w:val="nil"/>
            </w:tcBorders>
            <w:shd w:val="clear" w:color="000000" w:fill="FFFFFF"/>
            <w:noWrap/>
            <w:vAlign w:val="center"/>
            <w:hideMark/>
          </w:tcPr>
          <w:p w14:paraId="44E8F85F" w14:textId="15A54D2E"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2</w:t>
            </w:r>
            <w:r>
              <w:rPr>
                <w:rFonts w:cs="Arial"/>
                <w:color w:val="000000"/>
                <w:szCs w:val="18"/>
                <w:lang w:val="pt-BR" w:eastAsia="pt-BR"/>
              </w:rPr>
              <w:t>.</w:t>
            </w:r>
            <w:r w:rsidRPr="00B75473">
              <w:rPr>
                <w:rFonts w:cs="Arial"/>
                <w:color w:val="000000"/>
                <w:szCs w:val="18"/>
                <w:lang w:val="pt-BR" w:eastAsia="pt-BR"/>
              </w:rPr>
              <w:t>5818</w:t>
            </w:r>
          </w:p>
        </w:tc>
      </w:tr>
      <w:tr w:rsidR="00196225" w:rsidRPr="00B75473" w14:paraId="2968D9CA" w14:textId="77777777" w:rsidTr="00196225">
        <w:trPr>
          <w:trHeight w:val="300"/>
        </w:trPr>
        <w:tc>
          <w:tcPr>
            <w:tcW w:w="995" w:type="dxa"/>
            <w:vMerge/>
            <w:tcBorders>
              <w:top w:val="nil"/>
              <w:left w:val="nil"/>
              <w:bottom w:val="single" w:sz="12" w:space="0" w:color="008000"/>
              <w:right w:val="nil"/>
            </w:tcBorders>
            <w:vAlign w:val="center"/>
            <w:hideMark/>
          </w:tcPr>
          <w:p w14:paraId="1DDB85FA" w14:textId="77777777" w:rsidR="00196225" w:rsidRPr="00B75473" w:rsidRDefault="00196225" w:rsidP="00196225">
            <w:pPr>
              <w:tabs>
                <w:tab w:val="clear" w:pos="7100"/>
              </w:tabs>
              <w:spacing w:line="240" w:lineRule="auto"/>
              <w:jc w:val="left"/>
              <w:rPr>
                <w:rFonts w:cs="Arial"/>
                <w:color w:val="000000"/>
                <w:szCs w:val="18"/>
                <w:lang w:val="pt-BR" w:eastAsia="pt-BR"/>
              </w:rPr>
            </w:pPr>
          </w:p>
        </w:tc>
        <w:tc>
          <w:tcPr>
            <w:tcW w:w="460" w:type="dxa"/>
            <w:tcBorders>
              <w:top w:val="nil"/>
              <w:left w:val="nil"/>
              <w:bottom w:val="nil"/>
              <w:right w:val="nil"/>
            </w:tcBorders>
            <w:shd w:val="clear" w:color="000000" w:fill="FFFFFF"/>
            <w:noWrap/>
            <w:vAlign w:val="center"/>
            <w:hideMark/>
          </w:tcPr>
          <w:p w14:paraId="09AF97D9" w14:textId="5592AE0A" w:rsidR="00196225" w:rsidRPr="00B75473" w:rsidRDefault="00196225" w:rsidP="00196225">
            <w:pPr>
              <w:tabs>
                <w:tab w:val="clear" w:pos="7100"/>
              </w:tabs>
              <w:spacing w:line="240" w:lineRule="auto"/>
              <w:jc w:val="left"/>
              <w:rPr>
                <w:rFonts w:cs="Arial"/>
                <w:color w:val="000000"/>
                <w:szCs w:val="18"/>
                <w:lang w:val="pt-BR" w:eastAsia="pt-BR"/>
              </w:rPr>
            </w:pPr>
            <w:r w:rsidRPr="00B75473">
              <w:rPr>
                <w:rFonts w:cs="Arial"/>
                <w:color w:val="000000"/>
                <w:szCs w:val="18"/>
                <w:lang w:val="pt-BR" w:eastAsia="pt-BR"/>
              </w:rPr>
              <w:t>2</w:t>
            </w:r>
            <w:r>
              <w:rPr>
                <w:rFonts w:cs="Arial"/>
                <w:color w:val="000000"/>
                <w:szCs w:val="18"/>
                <w:lang w:val="pt-BR" w:eastAsia="pt-BR"/>
              </w:rPr>
              <w:t>.</w:t>
            </w:r>
            <w:r w:rsidRPr="00B75473">
              <w:rPr>
                <w:rFonts w:cs="Arial"/>
                <w:color w:val="000000"/>
                <w:szCs w:val="18"/>
                <w:lang w:val="pt-BR" w:eastAsia="pt-BR"/>
              </w:rPr>
              <w:t>5</w:t>
            </w:r>
          </w:p>
        </w:tc>
        <w:tc>
          <w:tcPr>
            <w:tcW w:w="1081" w:type="dxa"/>
            <w:tcBorders>
              <w:top w:val="nil"/>
              <w:left w:val="nil"/>
              <w:bottom w:val="nil"/>
              <w:right w:val="nil"/>
            </w:tcBorders>
            <w:shd w:val="clear" w:color="000000" w:fill="FFFFFF"/>
            <w:noWrap/>
            <w:vAlign w:val="center"/>
            <w:hideMark/>
          </w:tcPr>
          <w:p w14:paraId="30611302" w14:textId="5EB8A03F"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0126</w:t>
            </w:r>
            <w:r w:rsidRPr="002152C5">
              <w:rPr>
                <w:rFonts w:cs="Arial"/>
                <w:color w:val="000000"/>
                <w:szCs w:val="18"/>
                <w:vertAlign w:val="superscript"/>
                <w:lang w:val="pt-BR" w:eastAsia="pt-BR"/>
              </w:rPr>
              <w:t>abcd</w:t>
            </w:r>
          </w:p>
        </w:tc>
        <w:tc>
          <w:tcPr>
            <w:tcW w:w="740" w:type="dxa"/>
            <w:tcBorders>
              <w:top w:val="nil"/>
              <w:left w:val="nil"/>
              <w:bottom w:val="nil"/>
              <w:right w:val="nil"/>
            </w:tcBorders>
            <w:shd w:val="clear" w:color="000000" w:fill="FFFFFF"/>
            <w:noWrap/>
            <w:vAlign w:val="center"/>
            <w:hideMark/>
          </w:tcPr>
          <w:p w14:paraId="17230FE4" w14:textId="4E13F616"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0742</w:t>
            </w:r>
          </w:p>
        </w:tc>
        <w:tc>
          <w:tcPr>
            <w:tcW w:w="740" w:type="dxa"/>
            <w:tcBorders>
              <w:top w:val="nil"/>
              <w:left w:val="nil"/>
              <w:bottom w:val="nil"/>
              <w:right w:val="nil"/>
            </w:tcBorders>
            <w:shd w:val="clear" w:color="000000" w:fill="FFFFFF"/>
            <w:noWrap/>
            <w:vAlign w:val="center"/>
            <w:hideMark/>
          </w:tcPr>
          <w:p w14:paraId="37256157" w14:textId="6BD7BCC5"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7692</w:t>
            </w:r>
          </w:p>
        </w:tc>
        <w:tc>
          <w:tcPr>
            <w:tcW w:w="691" w:type="dxa"/>
            <w:tcBorders>
              <w:top w:val="nil"/>
              <w:left w:val="nil"/>
              <w:bottom w:val="nil"/>
              <w:right w:val="nil"/>
            </w:tcBorders>
            <w:shd w:val="clear" w:color="000000" w:fill="FFFFFF"/>
            <w:noWrap/>
            <w:vAlign w:val="center"/>
            <w:hideMark/>
          </w:tcPr>
          <w:p w14:paraId="30141355" w14:textId="7D8F5B12"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2</w:t>
            </w:r>
            <w:r>
              <w:rPr>
                <w:rFonts w:cs="Arial"/>
                <w:color w:val="000000"/>
                <w:szCs w:val="18"/>
                <w:lang w:val="pt-BR" w:eastAsia="pt-BR"/>
              </w:rPr>
              <w:t>.</w:t>
            </w:r>
            <w:r w:rsidRPr="00B75473">
              <w:rPr>
                <w:rFonts w:cs="Arial"/>
                <w:color w:val="000000"/>
                <w:szCs w:val="18"/>
                <w:lang w:val="pt-BR" w:eastAsia="pt-BR"/>
              </w:rPr>
              <w:t>8238</w:t>
            </w:r>
          </w:p>
        </w:tc>
        <w:tc>
          <w:tcPr>
            <w:tcW w:w="980" w:type="dxa"/>
            <w:tcBorders>
              <w:top w:val="nil"/>
              <w:left w:val="nil"/>
              <w:bottom w:val="nil"/>
              <w:right w:val="nil"/>
            </w:tcBorders>
            <w:shd w:val="clear" w:color="000000" w:fill="FFFFFF"/>
            <w:noWrap/>
            <w:vAlign w:val="center"/>
            <w:hideMark/>
          </w:tcPr>
          <w:p w14:paraId="0D367DB9" w14:textId="157682CE"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0584</w:t>
            </w:r>
            <w:proofErr w:type="gramStart"/>
            <w:r w:rsidRPr="002152C5">
              <w:rPr>
                <w:rFonts w:cs="Arial"/>
                <w:color w:val="000000"/>
                <w:szCs w:val="18"/>
                <w:vertAlign w:val="superscript"/>
                <w:lang w:val="pt-BR" w:eastAsia="pt-BR"/>
              </w:rPr>
              <w:t>bc</w:t>
            </w:r>
            <w:proofErr w:type="gramEnd"/>
          </w:p>
        </w:tc>
        <w:tc>
          <w:tcPr>
            <w:tcW w:w="691" w:type="dxa"/>
            <w:tcBorders>
              <w:top w:val="nil"/>
              <w:left w:val="nil"/>
              <w:bottom w:val="nil"/>
              <w:right w:val="nil"/>
            </w:tcBorders>
            <w:shd w:val="clear" w:color="000000" w:fill="FFFFFF"/>
            <w:noWrap/>
            <w:vAlign w:val="center"/>
            <w:hideMark/>
          </w:tcPr>
          <w:p w14:paraId="7E81CD83" w14:textId="48905FDF"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1579</w:t>
            </w:r>
          </w:p>
        </w:tc>
        <w:tc>
          <w:tcPr>
            <w:tcW w:w="691" w:type="dxa"/>
            <w:tcBorders>
              <w:top w:val="nil"/>
              <w:left w:val="nil"/>
              <w:bottom w:val="nil"/>
              <w:right w:val="nil"/>
            </w:tcBorders>
            <w:shd w:val="clear" w:color="000000" w:fill="FFFFFF"/>
            <w:noWrap/>
            <w:vAlign w:val="center"/>
            <w:hideMark/>
          </w:tcPr>
          <w:p w14:paraId="54B61A57" w14:textId="4963C9F0"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9116</w:t>
            </w:r>
          </w:p>
        </w:tc>
        <w:tc>
          <w:tcPr>
            <w:tcW w:w="691" w:type="dxa"/>
            <w:tcBorders>
              <w:top w:val="nil"/>
              <w:left w:val="nil"/>
              <w:bottom w:val="nil"/>
              <w:right w:val="nil"/>
            </w:tcBorders>
            <w:shd w:val="clear" w:color="000000" w:fill="FFFFFF"/>
            <w:noWrap/>
            <w:vAlign w:val="center"/>
            <w:hideMark/>
          </w:tcPr>
          <w:p w14:paraId="691D7044" w14:textId="7ADE6F9C"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2</w:t>
            </w:r>
            <w:r>
              <w:rPr>
                <w:rFonts w:cs="Arial"/>
                <w:color w:val="000000"/>
                <w:szCs w:val="18"/>
                <w:lang w:val="pt-BR" w:eastAsia="pt-BR"/>
              </w:rPr>
              <w:t>.</w:t>
            </w:r>
            <w:r w:rsidRPr="00B75473">
              <w:rPr>
                <w:rFonts w:cs="Arial"/>
                <w:color w:val="000000"/>
                <w:szCs w:val="18"/>
                <w:lang w:val="pt-BR" w:eastAsia="pt-BR"/>
              </w:rPr>
              <w:t>2941</w:t>
            </w:r>
          </w:p>
        </w:tc>
      </w:tr>
      <w:tr w:rsidR="00196225" w:rsidRPr="00B75473" w14:paraId="605C030D" w14:textId="77777777" w:rsidTr="00196225">
        <w:trPr>
          <w:trHeight w:val="300"/>
        </w:trPr>
        <w:tc>
          <w:tcPr>
            <w:tcW w:w="995" w:type="dxa"/>
            <w:vMerge/>
            <w:tcBorders>
              <w:top w:val="nil"/>
              <w:left w:val="nil"/>
              <w:bottom w:val="single" w:sz="12" w:space="0" w:color="008000"/>
              <w:right w:val="nil"/>
            </w:tcBorders>
            <w:vAlign w:val="center"/>
            <w:hideMark/>
          </w:tcPr>
          <w:p w14:paraId="3677E23D" w14:textId="77777777" w:rsidR="00196225" w:rsidRPr="00B75473" w:rsidRDefault="00196225" w:rsidP="00196225">
            <w:pPr>
              <w:tabs>
                <w:tab w:val="clear" w:pos="7100"/>
              </w:tabs>
              <w:spacing w:line="240" w:lineRule="auto"/>
              <w:jc w:val="left"/>
              <w:rPr>
                <w:rFonts w:cs="Arial"/>
                <w:color w:val="000000"/>
                <w:szCs w:val="18"/>
                <w:lang w:val="pt-BR" w:eastAsia="pt-BR"/>
              </w:rPr>
            </w:pPr>
          </w:p>
        </w:tc>
        <w:tc>
          <w:tcPr>
            <w:tcW w:w="460" w:type="dxa"/>
            <w:tcBorders>
              <w:top w:val="nil"/>
              <w:left w:val="nil"/>
              <w:bottom w:val="nil"/>
              <w:right w:val="nil"/>
            </w:tcBorders>
            <w:shd w:val="clear" w:color="000000" w:fill="FFFFFF"/>
            <w:noWrap/>
            <w:vAlign w:val="center"/>
            <w:hideMark/>
          </w:tcPr>
          <w:p w14:paraId="302F1F6B" w14:textId="77777777" w:rsidR="00196225" w:rsidRPr="00B75473" w:rsidRDefault="00196225" w:rsidP="00196225">
            <w:pPr>
              <w:tabs>
                <w:tab w:val="clear" w:pos="7100"/>
              </w:tabs>
              <w:spacing w:line="240" w:lineRule="auto"/>
              <w:jc w:val="left"/>
              <w:rPr>
                <w:rFonts w:cs="Arial"/>
                <w:color w:val="000000"/>
                <w:szCs w:val="18"/>
                <w:lang w:val="pt-BR" w:eastAsia="pt-BR"/>
              </w:rPr>
            </w:pPr>
            <w:proofErr w:type="gramStart"/>
            <w:r w:rsidRPr="00B75473">
              <w:rPr>
                <w:rFonts w:cs="Arial"/>
                <w:color w:val="000000"/>
                <w:szCs w:val="18"/>
                <w:lang w:val="pt-BR" w:eastAsia="pt-BR"/>
              </w:rPr>
              <w:t>3</w:t>
            </w:r>
            <w:proofErr w:type="gramEnd"/>
          </w:p>
        </w:tc>
        <w:tc>
          <w:tcPr>
            <w:tcW w:w="1081" w:type="dxa"/>
            <w:tcBorders>
              <w:top w:val="nil"/>
              <w:left w:val="nil"/>
              <w:bottom w:val="nil"/>
              <w:right w:val="nil"/>
            </w:tcBorders>
            <w:shd w:val="clear" w:color="000000" w:fill="FFFFFF"/>
            <w:noWrap/>
            <w:vAlign w:val="center"/>
            <w:hideMark/>
          </w:tcPr>
          <w:p w14:paraId="1AD51CDF" w14:textId="5FD2E365"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0091</w:t>
            </w:r>
            <w:r w:rsidRPr="002152C5">
              <w:rPr>
                <w:rFonts w:cs="Arial"/>
                <w:color w:val="000000"/>
                <w:szCs w:val="18"/>
                <w:vertAlign w:val="superscript"/>
                <w:lang w:val="pt-BR" w:eastAsia="pt-BR"/>
              </w:rPr>
              <w:t>d</w:t>
            </w:r>
          </w:p>
        </w:tc>
        <w:tc>
          <w:tcPr>
            <w:tcW w:w="740" w:type="dxa"/>
            <w:tcBorders>
              <w:top w:val="nil"/>
              <w:left w:val="nil"/>
              <w:bottom w:val="nil"/>
              <w:right w:val="nil"/>
            </w:tcBorders>
            <w:shd w:val="clear" w:color="000000" w:fill="FFFFFF"/>
            <w:noWrap/>
            <w:vAlign w:val="center"/>
            <w:hideMark/>
          </w:tcPr>
          <w:p w14:paraId="7CC1580C" w14:textId="6A3A7368"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1612</w:t>
            </w:r>
          </w:p>
        </w:tc>
        <w:tc>
          <w:tcPr>
            <w:tcW w:w="740" w:type="dxa"/>
            <w:tcBorders>
              <w:top w:val="nil"/>
              <w:left w:val="nil"/>
              <w:bottom w:val="nil"/>
              <w:right w:val="nil"/>
            </w:tcBorders>
            <w:shd w:val="clear" w:color="000000" w:fill="FFFFFF"/>
            <w:noWrap/>
            <w:vAlign w:val="center"/>
            <w:hideMark/>
          </w:tcPr>
          <w:p w14:paraId="205BB7AD" w14:textId="0DBD69E3"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6605</w:t>
            </w:r>
          </w:p>
        </w:tc>
        <w:tc>
          <w:tcPr>
            <w:tcW w:w="691" w:type="dxa"/>
            <w:tcBorders>
              <w:top w:val="nil"/>
              <w:left w:val="nil"/>
              <w:bottom w:val="nil"/>
              <w:right w:val="nil"/>
            </w:tcBorders>
            <w:shd w:val="clear" w:color="000000" w:fill="FFFFFF"/>
            <w:noWrap/>
            <w:vAlign w:val="center"/>
            <w:hideMark/>
          </w:tcPr>
          <w:p w14:paraId="79A2304D" w14:textId="62A0EEEF"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1</w:t>
            </w:r>
            <w:r>
              <w:rPr>
                <w:rFonts w:cs="Arial"/>
                <w:color w:val="000000"/>
                <w:szCs w:val="18"/>
                <w:lang w:val="pt-BR" w:eastAsia="pt-BR"/>
              </w:rPr>
              <w:t>.</w:t>
            </w:r>
            <w:r w:rsidRPr="00B75473">
              <w:rPr>
                <w:rFonts w:cs="Arial"/>
                <w:color w:val="000000"/>
                <w:szCs w:val="18"/>
                <w:lang w:val="pt-BR" w:eastAsia="pt-BR"/>
              </w:rPr>
              <w:t>6451</w:t>
            </w:r>
          </w:p>
        </w:tc>
        <w:tc>
          <w:tcPr>
            <w:tcW w:w="980" w:type="dxa"/>
            <w:tcBorders>
              <w:top w:val="nil"/>
              <w:left w:val="nil"/>
              <w:bottom w:val="nil"/>
              <w:right w:val="nil"/>
            </w:tcBorders>
            <w:shd w:val="clear" w:color="000000" w:fill="FFFFFF"/>
            <w:noWrap/>
            <w:vAlign w:val="center"/>
            <w:hideMark/>
          </w:tcPr>
          <w:p w14:paraId="5E23EC9D" w14:textId="0BA19793"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0572</w:t>
            </w:r>
            <w:proofErr w:type="gramStart"/>
            <w:r w:rsidRPr="002152C5">
              <w:rPr>
                <w:rFonts w:cs="Arial"/>
                <w:color w:val="000000"/>
                <w:szCs w:val="18"/>
                <w:vertAlign w:val="superscript"/>
                <w:lang w:val="pt-BR" w:eastAsia="pt-BR"/>
              </w:rPr>
              <w:t>bc</w:t>
            </w:r>
            <w:proofErr w:type="gramEnd"/>
          </w:p>
        </w:tc>
        <w:tc>
          <w:tcPr>
            <w:tcW w:w="691" w:type="dxa"/>
            <w:tcBorders>
              <w:top w:val="nil"/>
              <w:left w:val="nil"/>
              <w:bottom w:val="nil"/>
              <w:right w:val="nil"/>
            </w:tcBorders>
            <w:shd w:val="clear" w:color="000000" w:fill="FFFFFF"/>
            <w:noWrap/>
            <w:vAlign w:val="center"/>
            <w:hideMark/>
          </w:tcPr>
          <w:p w14:paraId="23391994" w14:textId="3541503B"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1441</w:t>
            </w:r>
          </w:p>
        </w:tc>
        <w:tc>
          <w:tcPr>
            <w:tcW w:w="691" w:type="dxa"/>
            <w:tcBorders>
              <w:top w:val="nil"/>
              <w:left w:val="nil"/>
              <w:bottom w:val="nil"/>
              <w:right w:val="nil"/>
            </w:tcBorders>
            <w:shd w:val="clear" w:color="000000" w:fill="FFFFFF"/>
            <w:noWrap/>
            <w:vAlign w:val="center"/>
            <w:hideMark/>
          </w:tcPr>
          <w:p w14:paraId="609714BC" w14:textId="6190D7DE"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9320</w:t>
            </w:r>
          </w:p>
        </w:tc>
        <w:tc>
          <w:tcPr>
            <w:tcW w:w="691" w:type="dxa"/>
            <w:tcBorders>
              <w:top w:val="nil"/>
              <w:left w:val="nil"/>
              <w:bottom w:val="nil"/>
              <w:right w:val="nil"/>
            </w:tcBorders>
            <w:shd w:val="clear" w:color="000000" w:fill="FFFFFF"/>
            <w:noWrap/>
            <w:vAlign w:val="center"/>
            <w:hideMark/>
          </w:tcPr>
          <w:p w14:paraId="1F036590" w14:textId="4A2C2F84"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2</w:t>
            </w:r>
            <w:r>
              <w:rPr>
                <w:rFonts w:cs="Arial"/>
                <w:color w:val="000000"/>
                <w:szCs w:val="18"/>
                <w:lang w:val="pt-BR" w:eastAsia="pt-BR"/>
              </w:rPr>
              <w:t>.</w:t>
            </w:r>
            <w:r w:rsidRPr="00B75473">
              <w:rPr>
                <w:rFonts w:cs="Arial"/>
                <w:color w:val="000000"/>
                <w:szCs w:val="18"/>
                <w:lang w:val="pt-BR" w:eastAsia="pt-BR"/>
              </w:rPr>
              <w:t>4552</w:t>
            </w:r>
          </w:p>
        </w:tc>
      </w:tr>
      <w:tr w:rsidR="00196225" w:rsidRPr="00B75473" w14:paraId="76C697EF" w14:textId="77777777" w:rsidTr="00196225">
        <w:trPr>
          <w:trHeight w:val="300"/>
        </w:trPr>
        <w:tc>
          <w:tcPr>
            <w:tcW w:w="995" w:type="dxa"/>
            <w:vMerge/>
            <w:tcBorders>
              <w:top w:val="nil"/>
              <w:left w:val="nil"/>
              <w:bottom w:val="single" w:sz="12" w:space="0" w:color="008000"/>
              <w:right w:val="nil"/>
            </w:tcBorders>
            <w:vAlign w:val="center"/>
            <w:hideMark/>
          </w:tcPr>
          <w:p w14:paraId="44EDFD56" w14:textId="77777777" w:rsidR="00196225" w:rsidRPr="00B75473" w:rsidRDefault="00196225" w:rsidP="00196225">
            <w:pPr>
              <w:tabs>
                <w:tab w:val="clear" w:pos="7100"/>
              </w:tabs>
              <w:spacing w:line="240" w:lineRule="auto"/>
              <w:jc w:val="left"/>
              <w:rPr>
                <w:rFonts w:cs="Arial"/>
                <w:color w:val="000000"/>
                <w:szCs w:val="18"/>
                <w:lang w:val="pt-BR" w:eastAsia="pt-BR"/>
              </w:rPr>
            </w:pPr>
          </w:p>
        </w:tc>
        <w:tc>
          <w:tcPr>
            <w:tcW w:w="460" w:type="dxa"/>
            <w:tcBorders>
              <w:top w:val="nil"/>
              <w:left w:val="nil"/>
              <w:bottom w:val="nil"/>
              <w:right w:val="nil"/>
            </w:tcBorders>
            <w:shd w:val="clear" w:color="000000" w:fill="FFFFFF"/>
            <w:noWrap/>
            <w:vAlign w:val="center"/>
            <w:hideMark/>
          </w:tcPr>
          <w:p w14:paraId="791CB07E" w14:textId="3A3B8253" w:rsidR="00196225" w:rsidRPr="00B75473" w:rsidRDefault="00196225" w:rsidP="00196225">
            <w:pPr>
              <w:tabs>
                <w:tab w:val="clear" w:pos="7100"/>
              </w:tabs>
              <w:spacing w:line="240" w:lineRule="auto"/>
              <w:jc w:val="left"/>
              <w:rPr>
                <w:rFonts w:cs="Arial"/>
                <w:color w:val="000000"/>
                <w:szCs w:val="18"/>
                <w:lang w:val="pt-BR" w:eastAsia="pt-BR"/>
              </w:rPr>
            </w:pPr>
            <w:r w:rsidRPr="00B75473">
              <w:rPr>
                <w:rFonts w:cs="Arial"/>
                <w:color w:val="000000"/>
                <w:szCs w:val="18"/>
                <w:lang w:val="pt-BR" w:eastAsia="pt-BR"/>
              </w:rPr>
              <w:t>3</w:t>
            </w:r>
            <w:r>
              <w:rPr>
                <w:rFonts w:cs="Arial"/>
                <w:color w:val="000000"/>
                <w:szCs w:val="18"/>
                <w:lang w:val="pt-BR" w:eastAsia="pt-BR"/>
              </w:rPr>
              <w:t>.</w:t>
            </w:r>
            <w:r w:rsidRPr="00B75473">
              <w:rPr>
                <w:rFonts w:cs="Arial"/>
                <w:color w:val="000000"/>
                <w:szCs w:val="18"/>
                <w:lang w:val="pt-BR" w:eastAsia="pt-BR"/>
              </w:rPr>
              <w:t>5</w:t>
            </w:r>
          </w:p>
        </w:tc>
        <w:tc>
          <w:tcPr>
            <w:tcW w:w="1081" w:type="dxa"/>
            <w:tcBorders>
              <w:top w:val="nil"/>
              <w:left w:val="nil"/>
              <w:bottom w:val="nil"/>
              <w:right w:val="nil"/>
            </w:tcBorders>
            <w:shd w:val="clear" w:color="000000" w:fill="FFFFFF"/>
            <w:noWrap/>
            <w:vAlign w:val="center"/>
            <w:hideMark/>
          </w:tcPr>
          <w:p w14:paraId="5CABD353" w14:textId="586D2A25"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0112</w:t>
            </w:r>
            <w:r w:rsidRPr="002152C5">
              <w:rPr>
                <w:rFonts w:cs="Arial"/>
                <w:color w:val="000000"/>
                <w:szCs w:val="18"/>
                <w:vertAlign w:val="superscript"/>
                <w:lang w:val="pt-BR" w:eastAsia="pt-BR"/>
              </w:rPr>
              <w:t>bcd</w:t>
            </w:r>
          </w:p>
        </w:tc>
        <w:tc>
          <w:tcPr>
            <w:tcW w:w="740" w:type="dxa"/>
            <w:tcBorders>
              <w:top w:val="nil"/>
              <w:left w:val="nil"/>
              <w:bottom w:val="nil"/>
              <w:right w:val="nil"/>
            </w:tcBorders>
            <w:shd w:val="clear" w:color="000000" w:fill="FFFFFF"/>
            <w:noWrap/>
            <w:vAlign w:val="center"/>
            <w:hideMark/>
          </w:tcPr>
          <w:p w14:paraId="46D6F33D" w14:textId="09119499"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0997</w:t>
            </w:r>
          </w:p>
        </w:tc>
        <w:tc>
          <w:tcPr>
            <w:tcW w:w="740" w:type="dxa"/>
            <w:tcBorders>
              <w:top w:val="nil"/>
              <w:left w:val="nil"/>
              <w:bottom w:val="nil"/>
              <w:right w:val="nil"/>
            </w:tcBorders>
            <w:shd w:val="clear" w:color="000000" w:fill="FFFFFF"/>
            <w:noWrap/>
            <w:vAlign w:val="center"/>
            <w:hideMark/>
          </w:tcPr>
          <w:p w14:paraId="3F3E4E11" w14:textId="4511CC78"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5860</w:t>
            </w:r>
          </w:p>
        </w:tc>
        <w:tc>
          <w:tcPr>
            <w:tcW w:w="691" w:type="dxa"/>
            <w:tcBorders>
              <w:top w:val="nil"/>
              <w:left w:val="nil"/>
              <w:bottom w:val="nil"/>
              <w:right w:val="nil"/>
            </w:tcBorders>
            <w:shd w:val="clear" w:color="000000" w:fill="FFFFFF"/>
            <w:noWrap/>
            <w:vAlign w:val="center"/>
            <w:hideMark/>
          </w:tcPr>
          <w:p w14:paraId="5445B306" w14:textId="191CF3AD"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1</w:t>
            </w:r>
            <w:r>
              <w:rPr>
                <w:rFonts w:cs="Arial"/>
                <w:color w:val="000000"/>
                <w:szCs w:val="18"/>
                <w:lang w:val="pt-BR" w:eastAsia="pt-BR"/>
              </w:rPr>
              <w:t>.</w:t>
            </w:r>
            <w:r w:rsidRPr="00B75473">
              <w:rPr>
                <w:rFonts w:cs="Arial"/>
                <w:color w:val="000000"/>
                <w:szCs w:val="18"/>
                <w:lang w:val="pt-BR" w:eastAsia="pt-BR"/>
              </w:rPr>
              <w:t>8559</w:t>
            </w:r>
          </w:p>
        </w:tc>
        <w:tc>
          <w:tcPr>
            <w:tcW w:w="980" w:type="dxa"/>
            <w:tcBorders>
              <w:top w:val="nil"/>
              <w:left w:val="nil"/>
              <w:bottom w:val="nil"/>
              <w:right w:val="nil"/>
            </w:tcBorders>
            <w:shd w:val="clear" w:color="000000" w:fill="FFFFFF"/>
            <w:noWrap/>
            <w:vAlign w:val="center"/>
            <w:hideMark/>
          </w:tcPr>
          <w:p w14:paraId="10F1C6A6" w14:textId="1C449BD0"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0552</w:t>
            </w:r>
            <w:proofErr w:type="gramStart"/>
            <w:r w:rsidRPr="002152C5">
              <w:rPr>
                <w:rFonts w:cs="Arial"/>
                <w:color w:val="000000"/>
                <w:szCs w:val="18"/>
                <w:vertAlign w:val="superscript"/>
                <w:lang w:val="pt-BR" w:eastAsia="pt-BR"/>
              </w:rPr>
              <w:t>bc</w:t>
            </w:r>
            <w:proofErr w:type="gramEnd"/>
          </w:p>
        </w:tc>
        <w:tc>
          <w:tcPr>
            <w:tcW w:w="691" w:type="dxa"/>
            <w:tcBorders>
              <w:top w:val="nil"/>
              <w:left w:val="nil"/>
              <w:bottom w:val="nil"/>
              <w:right w:val="nil"/>
            </w:tcBorders>
            <w:shd w:val="clear" w:color="000000" w:fill="FFFFFF"/>
            <w:noWrap/>
            <w:vAlign w:val="center"/>
            <w:hideMark/>
          </w:tcPr>
          <w:p w14:paraId="265E7D23" w14:textId="7BFA5511"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1259</w:t>
            </w:r>
          </w:p>
        </w:tc>
        <w:tc>
          <w:tcPr>
            <w:tcW w:w="691" w:type="dxa"/>
            <w:tcBorders>
              <w:top w:val="nil"/>
              <w:left w:val="nil"/>
              <w:bottom w:val="nil"/>
              <w:right w:val="nil"/>
            </w:tcBorders>
            <w:shd w:val="clear" w:color="000000" w:fill="FFFFFF"/>
            <w:noWrap/>
            <w:vAlign w:val="center"/>
            <w:hideMark/>
          </w:tcPr>
          <w:p w14:paraId="11F36F59" w14:textId="50EE1E89"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9339</w:t>
            </w:r>
          </w:p>
        </w:tc>
        <w:tc>
          <w:tcPr>
            <w:tcW w:w="691" w:type="dxa"/>
            <w:tcBorders>
              <w:top w:val="nil"/>
              <w:left w:val="nil"/>
              <w:bottom w:val="nil"/>
              <w:right w:val="nil"/>
            </w:tcBorders>
            <w:shd w:val="clear" w:color="000000" w:fill="FFFFFF"/>
            <w:noWrap/>
            <w:vAlign w:val="center"/>
            <w:hideMark/>
          </w:tcPr>
          <w:p w14:paraId="430375AF" w14:textId="241399DB"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2</w:t>
            </w:r>
            <w:r>
              <w:rPr>
                <w:rFonts w:cs="Arial"/>
                <w:color w:val="000000"/>
                <w:szCs w:val="18"/>
                <w:lang w:val="pt-BR" w:eastAsia="pt-BR"/>
              </w:rPr>
              <w:t>.</w:t>
            </w:r>
            <w:r w:rsidRPr="00B75473">
              <w:rPr>
                <w:rFonts w:cs="Arial"/>
                <w:color w:val="000000"/>
                <w:szCs w:val="18"/>
                <w:lang w:val="pt-BR" w:eastAsia="pt-BR"/>
              </w:rPr>
              <w:t>6320</w:t>
            </w:r>
          </w:p>
        </w:tc>
      </w:tr>
      <w:tr w:rsidR="00196225" w:rsidRPr="00B75473" w14:paraId="1C28FF0F" w14:textId="77777777" w:rsidTr="00196225">
        <w:trPr>
          <w:trHeight w:val="300"/>
        </w:trPr>
        <w:tc>
          <w:tcPr>
            <w:tcW w:w="995" w:type="dxa"/>
            <w:vMerge/>
            <w:tcBorders>
              <w:top w:val="nil"/>
              <w:left w:val="nil"/>
              <w:bottom w:val="single" w:sz="12" w:space="0" w:color="008000"/>
              <w:right w:val="nil"/>
            </w:tcBorders>
            <w:vAlign w:val="center"/>
            <w:hideMark/>
          </w:tcPr>
          <w:p w14:paraId="3BBF921A" w14:textId="77777777" w:rsidR="00196225" w:rsidRPr="00B75473" w:rsidRDefault="00196225" w:rsidP="00196225">
            <w:pPr>
              <w:tabs>
                <w:tab w:val="clear" w:pos="7100"/>
              </w:tabs>
              <w:spacing w:line="240" w:lineRule="auto"/>
              <w:jc w:val="left"/>
              <w:rPr>
                <w:rFonts w:cs="Arial"/>
                <w:color w:val="000000"/>
                <w:szCs w:val="18"/>
                <w:lang w:val="pt-BR" w:eastAsia="pt-BR"/>
              </w:rPr>
            </w:pPr>
          </w:p>
        </w:tc>
        <w:tc>
          <w:tcPr>
            <w:tcW w:w="460" w:type="dxa"/>
            <w:tcBorders>
              <w:top w:val="nil"/>
              <w:left w:val="nil"/>
              <w:bottom w:val="nil"/>
              <w:right w:val="nil"/>
            </w:tcBorders>
            <w:shd w:val="clear" w:color="000000" w:fill="FFFFFF"/>
            <w:noWrap/>
            <w:vAlign w:val="center"/>
            <w:hideMark/>
          </w:tcPr>
          <w:p w14:paraId="3F54C709" w14:textId="77777777" w:rsidR="00196225" w:rsidRPr="00B75473" w:rsidRDefault="00196225" w:rsidP="00196225">
            <w:pPr>
              <w:tabs>
                <w:tab w:val="clear" w:pos="7100"/>
              </w:tabs>
              <w:spacing w:line="240" w:lineRule="auto"/>
              <w:jc w:val="left"/>
              <w:rPr>
                <w:rFonts w:cs="Arial"/>
                <w:color w:val="000000"/>
                <w:szCs w:val="18"/>
                <w:lang w:val="pt-BR" w:eastAsia="pt-BR"/>
              </w:rPr>
            </w:pPr>
            <w:proofErr w:type="gramStart"/>
            <w:r w:rsidRPr="00B75473">
              <w:rPr>
                <w:rFonts w:cs="Arial"/>
                <w:color w:val="000000"/>
                <w:szCs w:val="18"/>
                <w:lang w:val="pt-BR" w:eastAsia="pt-BR"/>
              </w:rPr>
              <w:t>4</w:t>
            </w:r>
            <w:proofErr w:type="gramEnd"/>
          </w:p>
        </w:tc>
        <w:tc>
          <w:tcPr>
            <w:tcW w:w="1081" w:type="dxa"/>
            <w:tcBorders>
              <w:top w:val="nil"/>
              <w:left w:val="nil"/>
              <w:bottom w:val="nil"/>
              <w:right w:val="nil"/>
            </w:tcBorders>
            <w:shd w:val="clear" w:color="000000" w:fill="FFFFFF"/>
            <w:noWrap/>
            <w:vAlign w:val="center"/>
            <w:hideMark/>
          </w:tcPr>
          <w:p w14:paraId="32648B13" w14:textId="2F2EF720"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0156</w:t>
            </w:r>
            <w:r w:rsidRPr="002152C5">
              <w:rPr>
                <w:rFonts w:cs="Arial"/>
                <w:color w:val="000000"/>
                <w:szCs w:val="18"/>
                <w:vertAlign w:val="superscript"/>
                <w:lang w:val="pt-BR" w:eastAsia="pt-BR"/>
              </w:rPr>
              <w:t>abcd</w:t>
            </w:r>
          </w:p>
        </w:tc>
        <w:tc>
          <w:tcPr>
            <w:tcW w:w="740" w:type="dxa"/>
            <w:tcBorders>
              <w:top w:val="nil"/>
              <w:left w:val="nil"/>
              <w:bottom w:val="nil"/>
              <w:right w:val="nil"/>
            </w:tcBorders>
            <w:shd w:val="clear" w:color="000000" w:fill="FFFFFF"/>
            <w:noWrap/>
            <w:vAlign w:val="center"/>
            <w:hideMark/>
          </w:tcPr>
          <w:p w14:paraId="56381378" w14:textId="0B63DEE7"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0479</w:t>
            </w:r>
          </w:p>
        </w:tc>
        <w:tc>
          <w:tcPr>
            <w:tcW w:w="740" w:type="dxa"/>
            <w:tcBorders>
              <w:top w:val="nil"/>
              <w:left w:val="nil"/>
              <w:bottom w:val="nil"/>
              <w:right w:val="nil"/>
            </w:tcBorders>
            <w:shd w:val="clear" w:color="000000" w:fill="FFFFFF"/>
            <w:noWrap/>
            <w:vAlign w:val="center"/>
            <w:hideMark/>
          </w:tcPr>
          <w:p w14:paraId="404FCBF1" w14:textId="52846E20"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8673</w:t>
            </w:r>
          </w:p>
        </w:tc>
        <w:tc>
          <w:tcPr>
            <w:tcW w:w="691" w:type="dxa"/>
            <w:tcBorders>
              <w:top w:val="nil"/>
              <w:left w:val="nil"/>
              <w:bottom w:val="nil"/>
              <w:right w:val="nil"/>
            </w:tcBorders>
            <w:shd w:val="clear" w:color="000000" w:fill="FFFFFF"/>
            <w:noWrap/>
            <w:vAlign w:val="center"/>
            <w:hideMark/>
          </w:tcPr>
          <w:p w14:paraId="504FC53A" w14:textId="32667CAF"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3</w:t>
            </w:r>
            <w:r>
              <w:rPr>
                <w:rFonts w:cs="Arial"/>
                <w:color w:val="000000"/>
                <w:szCs w:val="18"/>
                <w:lang w:val="pt-BR" w:eastAsia="pt-BR"/>
              </w:rPr>
              <w:t>.</w:t>
            </w:r>
            <w:r w:rsidRPr="00B75473">
              <w:rPr>
                <w:rFonts w:cs="Arial"/>
                <w:color w:val="000000"/>
                <w:szCs w:val="18"/>
                <w:lang w:val="pt-BR" w:eastAsia="pt-BR"/>
              </w:rPr>
              <w:t>9628</w:t>
            </w:r>
          </w:p>
        </w:tc>
        <w:tc>
          <w:tcPr>
            <w:tcW w:w="980" w:type="dxa"/>
            <w:tcBorders>
              <w:top w:val="nil"/>
              <w:left w:val="nil"/>
              <w:bottom w:val="nil"/>
              <w:right w:val="nil"/>
            </w:tcBorders>
            <w:shd w:val="clear" w:color="000000" w:fill="FFFFFF"/>
            <w:noWrap/>
            <w:vAlign w:val="center"/>
            <w:hideMark/>
          </w:tcPr>
          <w:p w14:paraId="1F4E1265" w14:textId="05605478"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0447</w:t>
            </w:r>
            <w:r w:rsidRPr="002152C5">
              <w:rPr>
                <w:rFonts w:cs="Arial"/>
                <w:color w:val="000000"/>
                <w:szCs w:val="18"/>
                <w:vertAlign w:val="superscript"/>
                <w:lang w:val="pt-BR" w:eastAsia="pt-BR"/>
              </w:rPr>
              <w:t>c</w:t>
            </w:r>
          </w:p>
        </w:tc>
        <w:tc>
          <w:tcPr>
            <w:tcW w:w="691" w:type="dxa"/>
            <w:tcBorders>
              <w:top w:val="nil"/>
              <w:left w:val="nil"/>
              <w:bottom w:val="nil"/>
              <w:right w:val="nil"/>
            </w:tcBorders>
            <w:shd w:val="clear" w:color="000000" w:fill="FFFFFF"/>
            <w:noWrap/>
            <w:vAlign w:val="center"/>
            <w:hideMark/>
          </w:tcPr>
          <w:p w14:paraId="11247BBE" w14:textId="044B3CEF"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1316</w:t>
            </w:r>
          </w:p>
        </w:tc>
        <w:tc>
          <w:tcPr>
            <w:tcW w:w="691" w:type="dxa"/>
            <w:tcBorders>
              <w:top w:val="nil"/>
              <w:left w:val="nil"/>
              <w:bottom w:val="nil"/>
              <w:right w:val="nil"/>
            </w:tcBorders>
            <w:shd w:val="clear" w:color="000000" w:fill="FFFFFF"/>
            <w:noWrap/>
            <w:vAlign w:val="center"/>
            <w:hideMark/>
          </w:tcPr>
          <w:p w14:paraId="3FABF3B4" w14:textId="5BFC5F2C"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9645</w:t>
            </w:r>
          </w:p>
        </w:tc>
        <w:tc>
          <w:tcPr>
            <w:tcW w:w="691" w:type="dxa"/>
            <w:tcBorders>
              <w:top w:val="nil"/>
              <w:left w:val="nil"/>
              <w:bottom w:val="nil"/>
              <w:right w:val="nil"/>
            </w:tcBorders>
            <w:shd w:val="clear" w:color="000000" w:fill="FFFFFF"/>
            <w:noWrap/>
            <w:vAlign w:val="center"/>
            <w:hideMark/>
          </w:tcPr>
          <w:p w14:paraId="42B10566" w14:textId="417FA67D"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2</w:t>
            </w:r>
            <w:r>
              <w:rPr>
                <w:rFonts w:cs="Arial"/>
                <w:color w:val="000000"/>
                <w:szCs w:val="18"/>
                <w:lang w:val="pt-BR" w:eastAsia="pt-BR"/>
              </w:rPr>
              <w:t>.</w:t>
            </w:r>
            <w:r w:rsidRPr="00B75473">
              <w:rPr>
                <w:rFonts w:cs="Arial"/>
                <w:color w:val="000000"/>
                <w:szCs w:val="18"/>
                <w:lang w:val="pt-BR" w:eastAsia="pt-BR"/>
              </w:rPr>
              <w:t>6587</w:t>
            </w:r>
          </w:p>
        </w:tc>
      </w:tr>
      <w:tr w:rsidR="00196225" w:rsidRPr="00B75473" w14:paraId="1D2E0244" w14:textId="77777777" w:rsidTr="00196225">
        <w:trPr>
          <w:trHeight w:val="300"/>
        </w:trPr>
        <w:tc>
          <w:tcPr>
            <w:tcW w:w="995" w:type="dxa"/>
            <w:vMerge/>
            <w:tcBorders>
              <w:top w:val="nil"/>
              <w:left w:val="nil"/>
              <w:bottom w:val="single" w:sz="12" w:space="0" w:color="008000"/>
              <w:right w:val="nil"/>
            </w:tcBorders>
            <w:vAlign w:val="center"/>
            <w:hideMark/>
          </w:tcPr>
          <w:p w14:paraId="6BCDB697" w14:textId="77777777" w:rsidR="00196225" w:rsidRPr="00B75473" w:rsidRDefault="00196225" w:rsidP="00196225">
            <w:pPr>
              <w:tabs>
                <w:tab w:val="clear" w:pos="7100"/>
              </w:tabs>
              <w:spacing w:line="240" w:lineRule="auto"/>
              <w:jc w:val="left"/>
              <w:rPr>
                <w:rFonts w:cs="Arial"/>
                <w:color w:val="000000"/>
                <w:szCs w:val="18"/>
                <w:lang w:val="pt-BR" w:eastAsia="pt-BR"/>
              </w:rPr>
            </w:pPr>
          </w:p>
        </w:tc>
        <w:tc>
          <w:tcPr>
            <w:tcW w:w="460" w:type="dxa"/>
            <w:tcBorders>
              <w:top w:val="nil"/>
              <w:left w:val="nil"/>
              <w:bottom w:val="nil"/>
              <w:right w:val="nil"/>
            </w:tcBorders>
            <w:shd w:val="clear" w:color="000000" w:fill="FFFFFF"/>
            <w:noWrap/>
            <w:vAlign w:val="center"/>
            <w:hideMark/>
          </w:tcPr>
          <w:p w14:paraId="4DE2BE62" w14:textId="278F414A" w:rsidR="00196225" w:rsidRPr="00B75473" w:rsidRDefault="00196225" w:rsidP="00196225">
            <w:pPr>
              <w:tabs>
                <w:tab w:val="clear" w:pos="7100"/>
              </w:tabs>
              <w:spacing w:line="240" w:lineRule="auto"/>
              <w:jc w:val="left"/>
              <w:rPr>
                <w:rFonts w:cs="Arial"/>
                <w:color w:val="000000"/>
                <w:szCs w:val="18"/>
                <w:lang w:val="pt-BR" w:eastAsia="pt-BR"/>
              </w:rPr>
            </w:pPr>
            <w:r w:rsidRPr="00B75473">
              <w:rPr>
                <w:rFonts w:cs="Arial"/>
                <w:color w:val="000000"/>
                <w:szCs w:val="18"/>
                <w:lang w:val="pt-BR" w:eastAsia="pt-BR"/>
              </w:rPr>
              <w:t>4</w:t>
            </w:r>
            <w:r>
              <w:rPr>
                <w:rFonts w:cs="Arial"/>
                <w:color w:val="000000"/>
                <w:szCs w:val="18"/>
                <w:lang w:val="pt-BR" w:eastAsia="pt-BR"/>
              </w:rPr>
              <w:t>.</w:t>
            </w:r>
            <w:r w:rsidRPr="00B75473">
              <w:rPr>
                <w:rFonts w:cs="Arial"/>
                <w:color w:val="000000"/>
                <w:szCs w:val="18"/>
                <w:lang w:val="pt-BR" w:eastAsia="pt-BR"/>
              </w:rPr>
              <w:t>5</w:t>
            </w:r>
          </w:p>
        </w:tc>
        <w:tc>
          <w:tcPr>
            <w:tcW w:w="1081" w:type="dxa"/>
            <w:tcBorders>
              <w:top w:val="nil"/>
              <w:left w:val="nil"/>
              <w:bottom w:val="nil"/>
              <w:right w:val="nil"/>
            </w:tcBorders>
            <w:shd w:val="clear" w:color="000000" w:fill="FFFFFF"/>
            <w:noWrap/>
            <w:vAlign w:val="center"/>
            <w:hideMark/>
          </w:tcPr>
          <w:p w14:paraId="0EAE9570" w14:textId="503CD789"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0122</w:t>
            </w:r>
            <w:r w:rsidRPr="002152C5">
              <w:rPr>
                <w:rFonts w:cs="Arial"/>
                <w:color w:val="000000"/>
                <w:szCs w:val="18"/>
                <w:vertAlign w:val="superscript"/>
                <w:lang w:val="pt-BR" w:eastAsia="pt-BR"/>
              </w:rPr>
              <w:t>abcd</w:t>
            </w:r>
          </w:p>
        </w:tc>
        <w:tc>
          <w:tcPr>
            <w:tcW w:w="740" w:type="dxa"/>
            <w:tcBorders>
              <w:top w:val="nil"/>
              <w:left w:val="nil"/>
              <w:bottom w:val="nil"/>
              <w:right w:val="nil"/>
            </w:tcBorders>
            <w:shd w:val="clear" w:color="000000" w:fill="FFFFFF"/>
            <w:noWrap/>
            <w:vAlign w:val="center"/>
            <w:hideMark/>
          </w:tcPr>
          <w:p w14:paraId="5AA7A960" w14:textId="3FFBE965"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1188</w:t>
            </w:r>
          </w:p>
        </w:tc>
        <w:tc>
          <w:tcPr>
            <w:tcW w:w="740" w:type="dxa"/>
            <w:tcBorders>
              <w:top w:val="nil"/>
              <w:left w:val="nil"/>
              <w:bottom w:val="nil"/>
              <w:right w:val="nil"/>
            </w:tcBorders>
            <w:shd w:val="clear" w:color="000000" w:fill="FFFFFF"/>
            <w:noWrap/>
            <w:vAlign w:val="center"/>
            <w:hideMark/>
          </w:tcPr>
          <w:p w14:paraId="6D19B0D9" w14:textId="28214B7F"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6632</w:t>
            </w:r>
          </w:p>
        </w:tc>
        <w:tc>
          <w:tcPr>
            <w:tcW w:w="691" w:type="dxa"/>
            <w:tcBorders>
              <w:top w:val="nil"/>
              <w:left w:val="nil"/>
              <w:bottom w:val="nil"/>
              <w:right w:val="nil"/>
            </w:tcBorders>
            <w:shd w:val="clear" w:color="000000" w:fill="FFFFFF"/>
            <w:noWrap/>
            <w:vAlign w:val="center"/>
            <w:hideMark/>
          </w:tcPr>
          <w:p w14:paraId="0DA26108" w14:textId="3B513845"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1</w:t>
            </w:r>
            <w:r>
              <w:rPr>
                <w:rFonts w:cs="Arial"/>
                <w:color w:val="000000"/>
                <w:szCs w:val="18"/>
                <w:lang w:val="pt-BR" w:eastAsia="pt-BR"/>
              </w:rPr>
              <w:t>.</w:t>
            </w:r>
            <w:r w:rsidRPr="00B75473">
              <w:rPr>
                <w:rFonts w:cs="Arial"/>
                <w:color w:val="000000"/>
                <w:szCs w:val="18"/>
                <w:lang w:val="pt-BR" w:eastAsia="pt-BR"/>
              </w:rPr>
              <w:t>9241</w:t>
            </w:r>
          </w:p>
        </w:tc>
        <w:tc>
          <w:tcPr>
            <w:tcW w:w="980" w:type="dxa"/>
            <w:tcBorders>
              <w:top w:val="nil"/>
              <w:left w:val="nil"/>
              <w:bottom w:val="nil"/>
              <w:right w:val="nil"/>
            </w:tcBorders>
            <w:shd w:val="clear" w:color="000000" w:fill="FFFFFF"/>
            <w:noWrap/>
            <w:vAlign w:val="center"/>
            <w:hideMark/>
          </w:tcPr>
          <w:p w14:paraId="29712E79" w14:textId="3562F7BF"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0409</w:t>
            </w:r>
            <w:r w:rsidRPr="002152C5">
              <w:rPr>
                <w:rFonts w:cs="Arial"/>
                <w:color w:val="000000"/>
                <w:szCs w:val="18"/>
                <w:vertAlign w:val="superscript"/>
                <w:lang w:val="pt-BR" w:eastAsia="pt-BR"/>
              </w:rPr>
              <w:t>c</w:t>
            </w:r>
          </w:p>
        </w:tc>
        <w:tc>
          <w:tcPr>
            <w:tcW w:w="691" w:type="dxa"/>
            <w:tcBorders>
              <w:top w:val="nil"/>
              <w:left w:val="nil"/>
              <w:bottom w:val="nil"/>
              <w:right w:val="nil"/>
            </w:tcBorders>
            <w:shd w:val="clear" w:color="000000" w:fill="FFFFFF"/>
            <w:noWrap/>
            <w:vAlign w:val="center"/>
            <w:hideMark/>
          </w:tcPr>
          <w:p w14:paraId="7610A521" w14:textId="643431DD"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1404</w:t>
            </w:r>
          </w:p>
        </w:tc>
        <w:tc>
          <w:tcPr>
            <w:tcW w:w="691" w:type="dxa"/>
            <w:tcBorders>
              <w:top w:val="nil"/>
              <w:left w:val="nil"/>
              <w:bottom w:val="nil"/>
              <w:right w:val="nil"/>
            </w:tcBorders>
            <w:shd w:val="clear" w:color="000000" w:fill="FFFFFF"/>
            <w:noWrap/>
            <w:vAlign w:val="center"/>
            <w:hideMark/>
          </w:tcPr>
          <w:p w14:paraId="779BE6A2" w14:textId="13099F4C"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8930</w:t>
            </w:r>
          </w:p>
        </w:tc>
        <w:tc>
          <w:tcPr>
            <w:tcW w:w="691" w:type="dxa"/>
            <w:tcBorders>
              <w:top w:val="nil"/>
              <w:left w:val="nil"/>
              <w:bottom w:val="nil"/>
              <w:right w:val="nil"/>
            </w:tcBorders>
            <w:shd w:val="clear" w:color="000000" w:fill="FFFFFF"/>
            <w:noWrap/>
            <w:vAlign w:val="center"/>
            <w:hideMark/>
          </w:tcPr>
          <w:p w14:paraId="32EBDA9A" w14:textId="37336CBF" w:rsidR="00196225" w:rsidRPr="00B75473" w:rsidRDefault="00196225" w:rsidP="00196225">
            <w:pPr>
              <w:tabs>
                <w:tab w:val="clear" w:pos="7100"/>
              </w:tabs>
              <w:spacing w:line="240" w:lineRule="auto"/>
              <w:jc w:val="center"/>
              <w:rPr>
                <w:rFonts w:cs="Arial"/>
                <w:color w:val="000000"/>
                <w:szCs w:val="18"/>
                <w:lang w:val="pt-BR" w:eastAsia="pt-BR"/>
              </w:rPr>
            </w:pPr>
            <w:r w:rsidRPr="00B75473">
              <w:rPr>
                <w:rFonts w:cs="Arial"/>
                <w:color w:val="000000"/>
                <w:szCs w:val="18"/>
                <w:lang w:val="pt-BR" w:eastAsia="pt-BR"/>
              </w:rPr>
              <w:t>2</w:t>
            </w:r>
            <w:r>
              <w:rPr>
                <w:rFonts w:cs="Arial"/>
                <w:color w:val="000000"/>
                <w:szCs w:val="18"/>
                <w:lang w:val="pt-BR" w:eastAsia="pt-BR"/>
              </w:rPr>
              <w:t>.</w:t>
            </w:r>
            <w:r w:rsidRPr="00B75473">
              <w:rPr>
                <w:rFonts w:cs="Arial"/>
                <w:color w:val="000000"/>
                <w:szCs w:val="18"/>
                <w:lang w:val="pt-BR" w:eastAsia="pt-BR"/>
              </w:rPr>
              <w:t>3832</w:t>
            </w:r>
          </w:p>
        </w:tc>
      </w:tr>
      <w:tr w:rsidR="00196225" w:rsidRPr="00B75473" w14:paraId="5BE6B355" w14:textId="77777777" w:rsidTr="00196225">
        <w:trPr>
          <w:trHeight w:val="240"/>
        </w:trPr>
        <w:tc>
          <w:tcPr>
            <w:tcW w:w="995" w:type="dxa"/>
            <w:vMerge/>
            <w:tcBorders>
              <w:top w:val="nil"/>
              <w:left w:val="nil"/>
              <w:bottom w:val="single" w:sz="12" w:space="0" w:color="008000"/>
              <w:right w:val="nil"/>
            </w:tcBorders>
            <w:vAlign w:val="center"/>
            <w:hideMark/>
          </w:tcPr>
          <w:p w14:paraId="0919A6A6" w14:textId="77777777" w:rsidR="00196225" w:rsidRPr="00B75473" w:rsidRDefault="00196225" w:rsidP="00196225">
            <w:pPr>
              <w:tabs>
                <w:tab w:val="clear" w:pos="7100"/>
              </w:tabs>
              <w:spacing w:line="240" w:lineRule="auto"/>
              <w:jc w:val="left"/>
              <w:rPr>
                <w:rFonts w:cs="Arial"/>
                <w:color w:val="000000"/>
                <w:szCs w:val="18"/>
                <w:lang w:val="pt-BR" w:eastAsia="pt-BR"/>
              </w:rPr>
            </w:pPr>
          </w:p>
        </w:tc>
        <w:tc>
          <w:tcPr>
            <w:tcW w:w="460" w:type="dxa"/>
            <w:tcBorders>
              <w:top w:val="nil"/>
              <w:left w:val="nil"/>
              <w:bottom w:val="single" w:sz="12" w:space="0" w:color="008000"/>
              <w:right w:val="nil"/>
            </w:tcBorders>
            <w:shd w:val="clear" w:color="000000" w:fill="FFFFFF"/>
            <w:vAlign w:val="center"/>
            <w:hideMark/>
          </w:tcPr>
          <w:p w14:paraId="381AEDC5" w14:textId="77777777" w:rsidR="00196225" w:rsidRPr="00B75473" w:rsidRDefault="00196225" w:rsidP="00196225">
            <w:pPr>
              <w:tabs>
                <w:tab w:val="clear" w:pos="7100"/>
              </w:tabs>
              <w:spacing w:line="240" w:lineRule="auto"/>
              <w:jc w:val="left"/>
              <w:rPr>
                <w:rFonts w:cs="Arial"/>
                <w:color w:val="000000"/>
                <w:szCs w:val="18"/>
                <w:lang w:val="pt-BR" w:eastAsia="pt-BR"/>
              </w:rPr>
            </w:pPr>
            <w:proofErr w:type="gramStart"/>
            <w:r w:rsidRPr="00B75473">
              <w:rPr>
                <w:rFonts w:cs="Arial"/>
                <w:color w:val="000000"/>
                <w:szCs w:val="18"/>
                <w:lang w:val="pt-BR" w:eastAsia="pt-BR"/>
              </w:rPr>
              <w:t>5</w:t>
            </w:r>
            <w:proofErr w:type="gramEnd"/>
          </w:p>
        </w:tc>
        <w:tc>
          <w:tcPr>
            <w:tcW w:w="1081" w:type="dxa"/>
            <w:tcBorders>
              <w:top w:val="nil"/>
              <w:left w:val="nil"/>
              <w:bottom w:val="single" w:sz="12" w:space="0" w:color="008000"/>
              <w:right w:val="nil"/>
            </w:tcBorders>
            <w:shd w:val="clear" w:color="000000" w:fill="FFFFFF"/>
            <w:vAlign w:val="center"/>
            <w:hideMark/>
          </w:tcPr>
          <w:p w14:paraId="7C2072A2" w14:textId="032144C8" w:rsidR="00196225" w:rsidRPr="00B75473" w:rsidRDefault="00196225" w:rsidP="00196225">
            <w:pPr>
              <w:tabs>
                <w:tab w:val="clear" w:pos="7100"/>
              </w:tabs>
              <w:spacing w:line="240" w:lineRule="auto"/>
              <w:jc w:val="left"/>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0091</w:t>
            </w:r>
            <w:r w:rsidRPr="00EA0859">
              <w:rPr>
                <w:rFonts w:cs="Arial"/>
                <w:color w:val="000000"/>
                <w:szCs w:val="18"/>
                <w:vertAlign w:val="superscript"/>
                <w:lang w:val="pt-BR" w:eastAsia="pt-BR"/>
              </w:rPr>
              <w:t>cd</w:t>
            </w:r>
          </w:p>
        </w:tc>
        <w:tc>
          <w:tcPr>
            <w:tcW w:w="740" w:type="dxa"/>
            <w:tcBorders>
              <w:top w:val="nil"/>
              <w:left w:val="nil"/>
              <w:bottom w:val="single" w:sz="12" w:space="0" w:color="008000"/>
              <w:right w:val="nil"/>
            </w:tcBorders>
            <w:shd w:val="clear" w:color="000000" w:fill="FFFFFF"/>
            <w:vAlign w:val="center"/>
            <w:hideMark/>
          </w:tcPr>
          <w:p w14:paraId="03DAA96A" w14:textId="0E8C941E" w:rsidR="00196225" w:rsidRPr="00B75473" w:rsidRDefault="00196225" w:rsidP="00196225">
            <w:pPr>
              <w:tabs>
                <w:tab w:val="clear" w:pos="7100"/>
              </w:tabs>
              <w:spacing w:line="240" w:lineRule="auto"/>
              <w:jc w:val="left"/>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1326</w:t>
            </w:r>
          </w:p>
        </w:tc>
        <w:tc>
          <w:tcPr>
            <w:tcW w:w="740" w:type="dxa"/>
            <w:tcBorders>
              <w:top w:val="nil"/>
              <w:left w:val="nil"/>
              <w:bottom w:val="single" w:sz="12" w:space="0" w:color="008000"/>
              <w:right w:val="nil"/>
            </w:tcBorders>
            <w:shd w:val="clear" w:color="000000" w:fill="FFFFFF"/>
            <w:vAlign w:val="center"/>
            <w:hideMark/>
          </w:tcPr>
          <w:p w14:paraId="76A20505" w14:textId="1F39B4BF" w:rsidR="00196225" w:rsidRPr="00B75473" w:rsidRDefault="00196225" w:rsidP="00196225">
            <w:pPr>
              <w:tabs>
                <w:tab w:val="clear" w:pos="7100"/>
              </w:tabs>
              <w:spacing w:line="240" w:lineRule="auto"/>
              <w:jc w:val="left"/>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5197</w:t>
            </w:r>
          </w:p>
        </w:tc>
        <w:tc>
          <w:tcPr>
            <w:tcW w:w="691" w:type="dxa"/>
            <w:tcBorders>
              <w:top w:val="nil"/>
              <w:left w:val="nil"/>
              <w:bottom w:val="single" w:sz="12" w:space="0" w:color="008000"/>
              <w:right w:val="nil"/>
            </w:tcBorders>
            <w:shd w:val="clear" w:color="000000" w:fill="FFFFFF"/>
            <w:vAlign w:val="center"/>
            <w:hideMark/>
          </w:tcPr>
          <w:p w14:paraId="40A795E4" w14:textId="0A3DB808" w:rsidR="00196225" w:rsidRPr="00B75473" w:rsidRDefault="00196225" w:rsidP="00196225">
            <w:pPr>
              <w:tabs>
                <w:tab w:val="clear" w:pos="7100"/>
              </w:tabs>
              <w:spacing w:line="240" w:lineRule="auto"/>
              <w:jc w:val="left"/>
              <w:rPr>
                <w:rFonts w:cs="Arial"/>
                <w:color w:val="000000"/>
                <w:szCs w:val="18"/>
                <w:lang w:val="pt-BR" w:eastAsia="pt-BR"/>
              </w:rPr>
            </w:pPr>
            <w:r w:rsidRPr="00B75473">
              <w:rPr>
                <w:rFonts w:cs="Arial"/>
                <w:color w:val="000000"/>
                <w:szCs w:val="18"/>
                <w:lang w:val="pt-BR" w:eastAsia="pt-BR"/>
              </w:rPr>
              <w:t>1</w:t>
            </w:r>
            <w:r>
              <w:rPr>
                <w:rFonts w:cs="Arial"/>
                <w:color w:val="000000"/>
                <w:szCs w:val="18"/>
                <w:lang w:val="pt-BR" w:eastAsia="pt-BR"/>
              </w:rPr>
              <w:t>.</w:t>
            </w:r>
            <w:r w:rsidRPr="00B75473">
              <w:rPr>
                <w:rFonts w:cs="Arial"/>
                <w:color w:val="000000"/>
                <w:szCs w:val="18"/>
                <w:lang w:val="pt-BR" w:eastAsia="pt-BR"/>
              </w:rPr>
              <w:t>4272</w:t>
            </w:r>
          </w:p>
        </w:tc>
        <w:tc>
          <w:tcPr>
            <w:tcW w:w="980" w:type="dxa"/>
            <w:tcBorders>
              <w:top w:val="nil"/>
              <w:left w:val="nil"/>
              <w:bottom w:val="single" w:sz="12" w:space="0" w:color="008000"/>
              <w:right w:val="nil"/>
            </w:tcBorders>
            <w:shd w:val="clear" w:color="000000" w:fill="FFFFFF"/>
            <w:vAlign w:val="center"/>
            <w:hideMark/>
          </w:tcPr>
          <w:p w14:paraId="782E1614" w14:textId="63B61A78" w:rsidR="00196225" w:rsidRPr="00B75473" w:rsidRDefault="00196225" w:rsidP="00196225">
            <w:pPr>
              <w:tabs>
                <w:tab w:val="clear" w:pos="7100"/>
              </w:tabs>
              <w:spacing w:line="240" w:lineRule="auto"/>
              <w:jc w:val="left"/>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0314</w:t>
            </w:r>
            <w:r w:rsidRPr="00EA0859">
              <w:rPr>
                <w:rFonts w:cs="Arial"/>
                <w:color w:val="000000"/>
                <w:szCs w:val="18"/>
                <w:vertAlign w:val="superscript"/>
                <w:lang w:val="pt-BR" w:eastAsia="pt-BR"/>
              </w:rPr>
              <w:t>c</w:t>
            </w:r>
          </w:p>
        </w:tc>
        <w:tc>
          <w:tcPr>
            <w:tcW w:w="691" w:type="dxa"/>
            <w:tcBorders>
              <w:top w:val="nil"/>
              <w:left w:val="nil"/>
              <w:bottom w:val="single" w:sz="12" w:space="0" w:color="008000"/>
              <w:right w:val="nil"/>
            </w:tcBorders>
            <w:shd w:val="clear" w:color="000000" w:fill="FFFFFF"/>
            <w:vAlign w:val="center"/>
            <w:hideMark/>
          </w:tcPr>
          <w:p w14:paraId="1B11FDB2" w14:textId="2C266776" w:rsidR="00196225" w:rsidRPr="00B75473" w:rsidRDefault="00196225" w:rsidP="00196225">
            <w:pPr>
              <w:tabs>
                <w:tab w:val="clear" w:pos="7100"/>
              </w:tabs>
              <w:spacing w:line="240" w:lineRule="auto"/>
              <w:jc w:val="left"/>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14</w:t>
            </w:r>
            <w:r w:rsidRPr="009512ED">
              <w:rPr>
                <w:rFonts w:cs="Arial"/>
                <w:color w:val="000000"/>
                <w:szCs w:val="18"/>
                <w:lang w:val="pt-BR" w:eastAsia="pt-BR"/>
              </w:rPr>
              <w:t>04</w:t>
            </w:r>
          </w:p>
        </w:tc>
        <w:tc>
          <w:tcPr>
            <w:tcW w:w="691" w:type="dxa"/>
            <w:tcBorders>
              <w:top w:val="nil"/>
              <w:left w:val="nil"/>
              <w:bottom w:val="single" w:sz="12" w:space="0" w:color="008000"/>
              <w:right w:val="nil"/>
            </w:tcBorders>
            <w:shd w:val="clear" w:color="000000" w:fill="FFFFFF"/>
            <w:vAlign w:val="center"/>
            <w:hideMark/>
          </w:tcPr>
          <w:p w14:paraId="1C3E5608" w14:textId="57655DAC" w:rsidR="00196225" w:rsidRPr="00B75473" w:rsidRDefault="00196225" w:rsidP="00196225">
            <w:pPr>
              <w:tabs>
                <w:tab w:val="clear" w:pos="7100"/>
              </w:tabs>
              <w:spacing w:line="240" w:lineRule="auto"/>
              <w:jc w:val="left"/>
              <w:rPr>
                <w:rFonts w:cs="Arial"/>
                <w:color w:val="000000"/>
                <w:szCs w:val="18"/>
                <w:lang w:val="pt-BR" w:eastAsia="pt-BR"/>
              </w:rPr>
            </w:pPr>
            <w:r w:rsidRPr="00B75473">
              <w:rPr>
                <w:rFonts w:cs="Arial"/>
                <w:color w:val="000000"/>
                <w:szCs w:val="18"/>
                <w:lang w:val="pt-BR" w:eastAsia="pt-BR"/>
              </w:rPr>
              <w:t>0</w:t>
            </w:r>
            <w:r>
              <w:rPr>
                <w:rFonts w:cs="Arial"/>
                <w:color w:val="000000"/>
                <w:szCs w:val="18"/>
                <w:lang w:val="pt-BR" w:eastAsia="pt-BR"/>
              </w:rPr>
              <w:t>.</w:t>
            </w:r>
            <w:r w:rsidRPr="00B75473">
              <w:rPr>
                <w:rFonts w:cs="Arial"/>
                <w:color w:val="000000"/>
                <w:szCs w:val="18"/>
                <w:lang w:val="pt-BR" w:eastAsia="pt-BR"/>
              </w:rPr>
              <w:t>916</w:t>
            </w:r>
            <w:r w:rsidRPr="009512ED">
              <w:rPr>
                <w:rFonts w:cs="Arial"/>
                <w:color w:val="000000"/>
                <w:szCs w:val="18"/>
                <w:lang w:val="pt-BR" w:eastAsia="pt-BR"/>
              </w:rPr>
              <w:t>3</w:t>
            </w:r>
          </w:p>
        </w:tc>
        <w:tc>
          <w:tcPr>
            <w:tcW w:w="691" w:type="dxa"/>
            <w:tcBorders>
              <w:top w:val="nil"/>
              <w:left w:val="nil"/>
              <w:bottom w:val="single" w:sz="12" w:space="0" w:color="008000"/>
              <w:right w:val="nil"/>
            </w:tcBorders>
            <w:shd w:val="clear" w:color="000000" w:fill="FFFFFF"/>
            <w:vAlign w:val="center"/>
            <w:hideMark/>
          </w:tcPr>
          <w:p w14:paraId="1E772582" w14:textId="0AB32BBE" w:rsidR="00196225" w:rsidRPr="00B75473" w:rsidRDefault="00196225" w:rsidP="00196225">
            <w:pPr>
              <w:tabs>
                <w:tab w:val="clear" w:pos="7100"/>
              </w:tabs>
              <w:spacing w:line="240" w:lineRule="auto"/>
              <w:jc w:val="left"/>
              <w:rPr>
                <w:rFonts w:cs="Arial"/>
                <w:color w:val="000000"/>
                <w:szCs w:val="18"/>
                <w:lang w:val="pt-BR" w:eastAsia="pt-BR"/>
              </w:rPr>
            </w:pPr>
            <w:r w:rsidRPr="00B75473">
              <w:rPr>
                <w:rFonts w:cs="Arial"/>
                <w:color w:val="000000"/>
                <w:szCs w:val="18"/>
                <w:lang w:val="pt-BR" w:eastAsia="pt-BR"/>
              </w:rPr>
              <w:t>2</w:t>
            </w:r>
            <w:r>
              <w:rPr>
                <w:rFonts w:cs="Arial"/>
                <w:color w:val="000000"/>
                <w:szCs w:val="18"/>
                <w:lang w:val="pt-BR" w:eastAsia="pt-BR"/>
              </w:rPr>
              <w:t>.</w:t>
            </w:r>
            <w:r w:rsidRPr="00B75473">
              <w:rPr>
                <w:rFonts w:cs="Arial"/>
                <w:color w:val="000000"/>
                <w:szCs w:val="18"/>
                <w:lang w:val="pt-BR" w:eastAsia="pt-BR"/>
              </w:rPr>
              <w:t>4454</w:t>
            </w:r>
          </w:p>
        </w:tc>
      </w:tr>
    </w:tbl>
    <w:p w14:paraId="557B2458" w14:textId="77777777" w:rsidR="00F92A38" w:rsidRPr="0012056C" w:rsidRDefault="00F92A38" w:rsidP="00D03FA9">
      <w:pPr>
        <w:pStyle w:val="PargrafodaLista"/>
        <w:pBdr>
          <w:top w:val="nil"/>
          <w:left w:val="nil"/>
          <w:bottom w:val="nil"/>
          <w:right w:val="nil"/>
          <w:between w:val="nil"/>
        </w:pBdr>
        <w:spacing w:line="240" w:lineRule="auto"/>
        <w:ind w:left="0"/>
        <w:rPr>
          <w:color w:val="000000"/>
          <w:szCs w:val="18"/>
          <w:lang w:val="en-US"/>
        </w:rPr>
      </w:pPr>
      <w:r>
        <w:rPr>
          <w:color w:val="000000"/>
          <w:szCs w:val="18"/>
          <w:lang w:val="en-US"/>
        </w:rPr>
        <w:t>*N</w:t>
      </w:r>
      <w:r w:rsidRPr="0012056C">
        <w:rPr>
          <w:color w:val="000000"/>
          <w:szCs w:val="18"/>
          <w:lang w:val="en-US"/>
        </w:rPr>
        <w:t xml:space="preserve">umber of observations (8); degrees of freedom (6); Student's t-value (2.9687); confidence level (0.95). Different lowercase letters indicate significant differences by the </w:t>
      </w:r>
      <w:proofErr w:type="spellStart"/>
      <w:r w:rsidRPr="0012056C">
        <w:rPr>
          <w:color w:val="000000"/>
          <w:szCs w:val="18"/>
          <w:lang w:val="en-US"/>
        </w:rPr>
        <w:t>Kruskal</w:t>
      </w:r>
      <w:proofErr w:type="spellEnd"/>
      <w:r w:rsidRPr="0012056C">
        <w:rPr>
          <w:color w:val="000000"/>
          <w:szCs w:val="18"/>
          <w:lang w:val="en-US"/>
        </w:rPr>
        <w:t>-Wallis test (p&lt;0.05).</w:t>
      </w:r>
    </w:p>
    <w:p w14:paraId="5C3B43AC" w14:textId="77777777" w:rsidR="00EC34FD" w:rsidRPr="00F92A38" w:rsidRDefault="00EC34FD" w:rsidP="00EC34FD">
      <w:pPr>
        <w:pStyle w:val="CETTabletitle"/>
        <w:spacing w:before="0" w:line="240" w:lineRule="auto"/>
        <w:rPr>
          <w:lang w:val="en-US"/>
        </w:rPr>
      </w:pPr>
    </w:p>
    <w:p w14:paraId="25C66D3E" w14:textId="3CD38A85" w:rsidR="003D3B05" w:rsidRPr="00196225" w:rsidRDefault="00196225" w:rsidP="00EC34FD">
      <w:pPr>
        <w:pStyle w:val="CETTabletitle"/>
        <w:spacing w:before="0" w:line="240" w:lineRule="auto"/>
        <w:rPr>
          <w:lang w:val="en-US"/>
        </w:rPr>
      </w:pPr>
      <w:proofErr w:type="gramStart"/>
      <w:r w:rsidRPr="00196225">
        <w:rPr>
          <w:i w:val="0"/>
          <w:iCs/>
          <w:lang w:val="en-US"/>
        </w:rPr>
        <w:t>Table 4: Linear regression parameters of microbial growth of</w:t>
      </w:r>
      <w:r w:rsidRPr="00196225">
        <w:rPr>
          <w:lang w:val="en-US"/>
        </w:rPr>
        <w:t xml:space="preserve"> Staphylococcus aureus </w:t>
      </w:r>
      <w:r w:rsidRPr="00196225">
        <w:rPr>
          <w:i w:val="0"/>
          <w:iCs/>
          <w:lang w:val="en-US"/>
        </w:rPr>
        <w:t>and</w:t>
      </w:r>
      <w:r w:rsidRPr="00196225">
        <w:rPr>
          <w:lang w:val="en-US"/>
        </w:rPr>
        <w:t xml:space="preserve"> Clostridium perfringens</w:t>
      </w:r>
      <w:r w:rsidR="00F92A38">
        <w:rPr>
          <w:lang w:val="en-US"/>
        </w:rPr>
        <w:t>.</w:t>
      </w:r>
      <w:proofErr w:type="gramEnd"/>
    </w:p>
    <w:tbl>
      <w:tblPr>
        <w:tblW w:w="7760" w:type="dxa"/>
        <w:tblCellMar>
          <w:left w:w="70" w:type="dxa"/>
          <w:right w:w="70" w:type="dxa"/>
        </w:tblCellMar>
        <w:tblLook w:val="04A0" w:firstRow="1" w:lastRow="0" w:firstColumn="1" w:lastColumn="0" w:noHBand="0" w:noVBand="1"/>
      </w:tblPr>
      <w:tblGrid>
        <w:gridCol w:w="1096"/>
        <w:gridCol w:w="460"/>
        <w:gridCol w:w="980"/>
        <w:gridCol w:w="740"/>
        <w:gridCol w:w="740"/>
        <w:gridCol w:w="691"/>
        <w:gridCol w:w="980"/>
        <w:gridCol w:w="691"/>
        <w:gridCol w:w="691"/>
        <w:gridCol w:w="691"/>
      </w:tblGrid>
      <w:tr w:rsidR="003D3B05" w:rsidRPr="003D3B05" w14:paraId="57E3D63C" w14:textId="77777777" w:rsidTr="003D3B05">
        <w:trPr>
          <w:trHeight w:val="315"/>
        </w:trPr>
        <w:tc>
          <w:tcPr>
            <w:tcW w:w="1600" w:type="dxa"/>
            <w:gridSpan w:val="2"/>
            <w:tcBorders>
              <w:top w:val="single" w:sz="12" w:space="0" w:color="008000"/>
              <w:left w:val="nil"/>
              <w:bottom w:val="single" w:sz="8" w:space="0" w:color="008000"/>
              <w:right w:val="nil"/>
            </w:tcBorders>
            <w:shd w:val="clear" w:color="000000" w:fill="FFFFFF"/>
            <w:vAlign w:val="center"/>
            <w:hideMark/>
          </w:tcPr>
          <w:p w14:paraId="2831717E" w14:textId="5A1010A5" w:rsidR="003D3B05" w:rsidRPr="003D3B05" w:rsidRDefault="00196225" w:rsidP="009512ED">
            <w:pPr>
              <w:tabs>
                <w:tab w:val="clear" w:pos="7100"/>
              </w:tabs>
              <w:spacing w:line="240" w:lineRule="auto"/>
              <w:rPr>
                <w:rFonts w:cs="Arial"/>
                <w:color w:val="000000"/>
                <w:szCs w:val="18"/>
                <w:lang w:val="pt-BR" w:eastAsia="pt-BR"/>
              </w:rPr>
            </w:pPr>
            <w:r w:rsidRPr="002A6075">
              <w:rPr>
                <w:rFonts w:cs="Arial"/>
                <w:szCs w:val="18"/>
                <w:lang w:val="en-GB" w:eastAsia="pt-BR"/>
              </w:rPr>
              <w:t>Microorganism</w:t>
            </w:r>
          </w:p>
        </w:tc>
        <w:tc>
          <w:tcPr>
            <w:tcW w:w="3140" w:type="dxa"/>
            <w:gridSpan w:val="4"/>
            <w:tcBorders>
              <w:top w:val="single" w:sz="12" w:space="0" w:color="008000"/>
              <w:left w:val="nil"/>
              <w:bottom w:val="single" w:sz="8" w:space="0" w:color="008000"/>
              <w:right w:val="nil"/>
            </w:tcBorders>
            <w:shd w:val="clear" w:color="000000" w:fill="FFFFFF"/>
            <w:vAlign w:val="center"/>
            <w:hideMark/>
          </w:tcPr>
          <w:p w14:paraId="0BDBC7DE" w14:textId="77777777" w:rsidR="003D3B05" w:rsidRPr="003D3B05" w:rsidRDefault="003D3B05" w:rsidP="009512ED">
            <w:pPr>
              <w:tabs>
                <w:tab w:val="clear" w:pos="7100"/>
              </w:tabs>
              <w:spacing w:line="240" w:lineRule="auto"/>
              <w:rPr>
                <w:rFonts w:cs="Arial"/>
                <w:i/>
                <w:iCs/>
                <w:color w:val="000000"/>
                <w:szCs w:val="18"/>
                <w:lang w:val="pt-BR" w:eastAsia="pt-BR"/>
              </w:rPr>
            </w:pPr>
            <w:r w:rsidRPr="003D3B05">
              <w:rPr>
                <w:rFonts w:cs="Arial"/>
                <w:i/>
                <w:iCs/>
                <w:szCs w:val="18"/>
                <w:lang w:val="en-GB" w:eastAsia="pt-BR"/>
              </w:rPr>
              <w:t xml:space="preserve">Staphylococcus aureus </w:t>
            </w:r>
          </w:p>
        </w:tc>
        <w:tc>
          <w:tcPr>
            <w:tcW w:w="3020" w:type="dxa"/>
            <w:gridSpan w:val="4"/>
            <w:tcBorders>
              <w:top w:val="single" w:sz="12" w:space="0" w:color="008000"/>
              <w:left w:val="nil"/>
              <w:bottom w:val="single" w:sz="8" w:space="0" w:color="008000"/>
              <w:right w:val="nil"/>
            </w:tcBorders>
            <w:shd w:val="clear" w:color="000000" w:fill="FFFFFF"/>
            <w:vAlign w:val="center"/>
            <w:hideMark/>
          </w:tcPr>
          <w:p w14:paraId="098F4201" w14:textId="77777777" w:rsidR="003D3B05" w:rsidRPr="003D3B05" w:rsidRDefault="003D3B05" w:rsidP="009512ED">
            <w:pPr>
              <w:tabs>
                <w:tab w:val="clear" w:pos="7100"/>
              </w:tabs>
              <w:spacing w:line="240" w:lineRule="auto"/>
              <w:rPr>
                <w:rFonts w:cs="Arial"/>
                <w:i/>
                <w:iCs/>
                <w:color w:val="000000"/>
                <w:szCs w:val="18"/>
                <w:lang w:val="pt-BR" w:eastAsia="pt-BR"/>
              </w:rPr>
            </w:pPr>
            <w:r w:rsidRPr="003D3B05">
              <w:rPr>
                <w:rFonts w:cs="Arial"/>
                <w:i/>
                <w:iCs/>
                <w:szCs w:val="18"/>
                <w:lang w:val="en-GB" w:eastAsia="pt-BR"/>
              </w:rPr>
              <w:t>Clostridium perfringens</w:t>
            </w:r>
          </w:p>
        </w:tc>
      </w:tr>
      <w:tr w:rsidR="003D3B05" w:rsidRPr="003D3B05" w14:paraId="177F11F5" w14:textId="77777777" w:rsidTr="003D3B05">
        <w:trPr>
          <w:trHeight w:val="300"/>
        </w:trPr>
        <w:tc>
          <w:tcPr>
            <w:tcW w:w="1600" w:type="dxa"/>
            <w:gridSpan w:val="2"/>
            <w:tcBorders>
              <w:top w:val="single" w:sz="8" w:space="0" w:color="008000"/>
              <w:left w:val="nil"/>
              <w:bottom w:val="nil"/>
              <w:right w:val="nil"/>
            </w:tcBorders>
            <w:shd w:val="clear" w:color="000000" w:fill="FFFFFF"/>
            <w:vAlign w:val="center"/>
            <w:hideMark/>
          </w:tcPr>
          <w:p w14:paraId="5A9EACA3" w14:textId="12C398AF" w:rsidR="003D3B05" w:rsidRPr="003D3B05" w:rsidRDefault="00196225" w:rsidP="009512ED">
            <w:pPr>
              <w:tabs>
                <w:tab w:val="clear" w:pos="7100"/>
              </w:tabs>
              <w:spacing w:line="240" w:lineRule="auto"/>
              <w:rPr>
                <w:rFonts w:cs="Arial"/>
                <w:color w:val="000000"/>
                <w:szCs w:val="18"/>
                <w:lang w:val="pt-BR" w:eastAsia="pt-BR"/>
              </w:rPr>
            </w:pPr>
            <w:r w:rsidRPr="002A6075">
              <w:rPr>
                <w:rFonts w:cs="Arial"/>
                <w:szCs w:val="18"/>
                <w:lang w:val="en-GB" w:eastAsia="pt-BR"/>
              </w:rPr>
              <w:t>Coefficients</w:t>
            </w:r>
            <w:r w:rsidR="003D3B05" w:rsidRPr="003D3B05">
              <w:rPr>
                <w:rFonts w:cs="Arial"/>
                <w:szCs w:val="18"/>
                <w:lang w:val="en-GB" w:eastAsia="pt-BR"/>
              </w:rPr>
              <w:t xml:space="preserve"> </w:t>
            </w:r>
          </w:p>
        </w:tc>
        <w:tc>
          <w:tcPr>
            <w:tcW w:w="980" w:type="dxa"/>
            <w:tcBorders>
              <w:top w:val="nil"/>
              <w:left w:val="nil"/>
              <w:bottom w:val="nil"/>
              <w:right w:val="nil"/>
            </w:tcBorders>
            <w:shd w:val="clear" w:color="000000" w:fill="FFFFFF"/>
            <w:noWrap/>
            <w:vAlign w:val="center"/>
            <w:hideMark/>
          </w:tcPr>
          <w:p w14:paraId="1451D830" w14:textId="77777777"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xi</w:t>
            </w:r>
          </w:p>
        </w:tc>
        <w:tc>
          <w:tcPr>
            <w:tcW w:w="740" w:type="dxa"/>
            <w:tcBorders>
              <w:top w:val="nil"/>
              <w:left w:val="nil"/>
              <w:bottom w:val="nil"/>
              <w:right w:val="nil"/>
            </w:tcBorders>
            <w:shd w:val="clear" w:color="000000" w:fill="FFFFFF"/>
            <w:noWrap/>
            <w:vAlign w:val="center"/>
            <w:hideMark/>
          </w:tcPr>
          <w:p w14:paraId="22DF5D4A" w14:textId="77777777" w:rsidR="003D3B05" w:rsidRPr="003D3B05" w:rsidRDefault="003D3B05" w:rsidP="009512ED">
            <w:pPr>
              <w:tabs>
                <w:tab w:val="clear" w:pos="7100"/>
              </w:tabs>
              <w:spacing w:line="240" w:lineRule="auto"/>
              <w:rPr>
                <w:rFonts w:cs="Arial"/>
                <w:color w:val="000000"/>
                <w:szCs w:val="18"/>
                <w:lang w:val="pt-BR" w:eastAsia="pt-BR"/>
              </w:rPr>
            </w:pPr>
            <w:proofErr w:type="spellStart"/>
            <w:proofErr w:type="gramStart"/>
            <w:r w:rsidRPr="003D3B05">
              <w:rPr>
                <w:rFonts w:cs="Arial"/>
                <w:color w:val="000000"/>
                <w:szCs w:val="18"/>
                <w:lang w:val="pt-BR" w:eastAsia="pt-BR"/>
              </w:rPr>
              <w:t>yi</w:t>
            </w:r>
            <w:proofErr w:type="spellEnd"/>
            <w:proofErr w:type="gramEnd"/>
          </w:p>
        </w:tc>
        <w:tc>
          <w:tcPr>
            <w:tcW w:w="740" w:type="dxa"/>
            <w:tcBorders>
              <w:top w:val="nil"/>
              <w:left w:val="nil"/>
              <w:bottom w:val="nil"/>
              <w:right w:val="nil"/>
            </w:tcBorders>
            <w:shd w:val="clear" w:color="000000" w:fill="FFFFFF"/>
            <w:noWrap/>
            <w:vAlign w:val="center"/>
            <w:hideMark/>
          </w:tcPr>
          <w:p w14:paraId="6E0AAE08" w14:textId="77777777"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R</w:t>
            </w:r>
            <w:r w:rsidRPr="003D3B05">
              <w:rPr>
                <w:rFonts w:cs="Arial"/>
                <w:color w:val="000000"/>
                <w:szCs w:val="18"/>
                <w:vertAlign w:val="superscript"/>
                <w:lang w:val="pt-BR" w:eastAsia="pt-BR"/>
              </w:rPr>
              <w:t>2</w:t>
            </w:r>
          </w:p>
        </w:tc>
        <w:tc>
          <w:tcPr>
            <w:tcW w:w="680" w:type="dxa"/>
            <w:tcBorders>
              <w:top w:val="nil"/>
              <w:left w:val="nil"/>
              <w:bottom w:val="nil"/>
              <w:right w:val="nil"/>
            </w:tcBorders>
            <w:shd w:val="clear" w:color="000000" w:fill="FFFFFF"/>
            <w:noWrap/>
            <w:vAlign w:val="center"/>
            <w:hideMark/>
          </w:tcPr>
          <w:p w14:paraId="2AC3540E" w14:textId="77777777"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SE</w:t>
            </w:r>
          </w:p>
        </w:tc>
        <w:tc>
          <w:tcPr>
            <w:tcW w:w="980" w:type="dxa"/>
            <w:tcBorders>
              <w:top w:val="nil"/>
              <w:left w:val="nil"/>
              <w:bottom w:val="nil"/>
              <w:right w:val="nil"/>
            </w:tcBorders>
            <w:shd w:val="clear" w:color="000000" w:fill="FFFFFF"/>
            <w:noWrap/>
            <w:vAlign w:val="center"/>
            <w:hideMark/>
          </w:tcPr>
          <w:p w14:paraId="227C6D56" w14:textId="77777777"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xi</w:t>
            </w:r>
          </w:p>
        </w:tc>
        <w:tc>
          <w:tcPr>
            <w:tcW w:w="680" w:type="dxa"/>
            <w:tcBorders>
              <w:top w:val="nil"/>
              <w:left w:val="nil"/>
              <w:bottom w:val="nil"/>
              <w:right w:val="nil"/>
            </w:tcBorders>
            <w:shd w:val="clear" w:color="000000" w:fill="FFFFFF"/>
            <w:noWrap/>
            <w:vAlign w:val="center"/>
            <w:hideMark/>
          </w:tcPr>
          <w:p w14:paraId="1A7B4453" w14:textId="77777777" w:rsidR="003D3B05" w:rsidRPr="003D3B05" w:rsidRDefault="003D3B05" w:rsidP="009512ED">
            <w:pPr>
              <w:tabs>
                <w:tab w:val="clear" w:pos="7100"/>
              </w:tabs>
              <w:spacing w:line="240" w:lineRule="auto"/>
              <w:rPr>
                <w:rFonts w:cs="Arial"/>
                <w:color w:val="000000"/>
                <w:szCs w:val="18"/>
                <w:lang w:val="pt-BR" w:eastAsia="pt-BR"/>
              </w:rPr>
            </w:pPr>
            <w:proofErr w:type="spellStart"/>
            <w:proofErr w:type="gramStart"/>
            <w:r w:rsidRPr="003D3B05">
              <w:rPr>
                <w:rFonts w:cs="Arial"/>
                <w:color w:val="000000"/>
                <w:szCs w:val="18"/>
                <w:lang w:val="pt-BR" w:eastAsia="pt-BR"/>
              </w:rPr>
              <w:t>yi</w:t>
            </w:r>
            <w:proofErr w:type="spellEnd"/>
            <w:proofErr w:type="gramEnd"/>
          </w:p>
        </w:tc>
        <w:tc>
          <w:tcPr>
            <w:tcW w:w="680" w:type="dxa"/>
            <w:tcBorders>
              <w:top w:val="nil"/>
              <w:left w:val="nil"/>
              <w:bottom w:val="nil"/>
              <w:right w:val="nil"/>
            </w:tcBorders>
            <w:shd w:val="clear" w:color="000000" w:fill="FFFFFF"/>
            <w:noWrap/>
            <w:vAlign w:val="center"/>
            <w:hideMark/>
          </w:tcPr>
          <w:p w14:paraId="05F8F3F4" w14:textId="77777777"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R</w:t>
            </w:r>
            <w:r w:rsidRPr="003D3B05">
              <w:rPr>
                <w:rFonts w:cs="Arial"/>
                <w:color w:val="000000"/>
                <w:szCs w:val="18"/>
                <w:vertAlign w:val="superscript"/>
                <w:lang w:val="pt-BR" w:eastAsia="pt-BR"/>
              </w:rPr>
              <w:t>2</w:t>
            </w:r>
          </w:p>
        </w:tc>
        <w:tc>
          <w:tcPr>
            <w:tcW w:w="680" w:type="dxa"/>
            <w:tcBorders>
              <w:top w:val="nil"/>
              <w:left w:val="nil"/>
              <w:bottom w:val="nil"/>
              <w:right w:val="nil"/>
            </w:tcBorders>
            <w:shd w:val="clear" w:color="000000" w:fill="FFFFFF"/>
            <w:noWrap/>
            <w:vAlign w:val="center"/>
            <w:hideMark/>
          </w:tcPr>
          <w:p w14:paraId="3AB39C47" w14:textId="77777777"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SE</w:t>
            </w:r>
          </w:p>
        </w:tc>
      </w:tr>
      <w:tr w:rsidR="003D3B05" w:rsidRPr="003D3B05" w14:paraId="6ADA9A0D" w14:textId="77777777" w:rsidTr="003D3B05">
        <w:trPr>
          <w:trHeight w:val="300"/>
        </w:trPr>
        <w:tc>
          <w:tcPr>
            <w:tcW w:w="1140" w:type="dxa"/>
            <w:vMerge w:val="restart"/>
            <w:tcBorders>
              <w:top w:val="nil"/>
              <w:left w:val="nil"/>
              <w:bottom w:val="single" w:sz="12" w:space="0" w:color="008000"/>
              <w:right w:val="nil"/>
            </w:tcBorders>
            <w:shd w:val="clear" w:color="000000" w:fill="FFFFFF"/>
            <w:textDirection w:val="tbLrV"/>
            <w:vAlign w:val="center"/>
            <w:hideMark/>
          </w:tcPr>
          <w:p w14:paraId="00E0A665" w14:textId="56FC548F" w:rsidR="003D3B05" w:rsidRPr="003D3B05" w:rsidRDefault="00196225" w:rsidP="009512ED">
            <w:pPr>
              <w:tabs>
                <w:tab w:val="clear" w:pos="7100"/>
              </w:tabs>
              <w:spacing w:line="240" w:lineRule="auto"/>
              <w:jc w:val="center"/>
              <w:rPr>
                <w:rFonts w:cs="Arial"/>
                <w:color w:val="000000"/>
                <w:szCs w:val="18"/>
                <w:lang w:val="pt-BR" w:eastAsia="pt-BR"/>
              </w:rPr>
            </w:pPr>
            <w:proofErr w:type="spellStart"/>
            <w:r w:rsidRPr="002A6075">
              <w:rPr>
                <w:rFonts w:cs="Arial"/>
                <w:color w:val="000000"/>
                <w:szCs w:val="18"/>
                <w:lang w:val="pt-BR" w:eastAsia="pt-BR"/>
              </w:rPr>
              <w:t>Concentration</w:t>
            </w:r>
            <w:proofErr w:type="spellEnd"/>
            <w:r w:rsidRPr="002A6075">
              <w:rPr>
                <w:rFonts w:cs="Arial"/>
                <w:color w:val="000000"/>
                <w:szCs w:val="18"/>
                <w:lang w:val="pt-BR" w:eastAsia="pt-BR"/>
              </w:rPr>
              <w:t xml:space="preserve"> (%) </w:t>
            </w:r>
            <w:proofErr w:type="spellStart"/>
            <w:r w:rsidRPr="002A6075">
              <w:rPr>
                <w:rFonts w:cs="Arial"/>
                <w:color w:val="000000"/>
                <w:szCs w:val="18"/>
                <w:lang w:val="pt-BR" w:eastAsia="pt-BR"/>
              </w:rPr>
              <w:t>of</w:t>
            </w:r>
            <w:proofErr w:type="spellEnd"/>
            <w:r w:rsidRPr="002A6075">
              <w:rPr>
                <w:rFonts w:cs="Arial"/>
                <w:color w:val="000000"/>
                <w:szCs w:val="18"/>
                <w:lang w:val="pt-BR" w:eastAsia="pt-BR"/>
              </w:rPr>
              <w:t xml:space="preserve"> PCAE</w:t>
            </w:r>
          </w:p>
        </w:tc>
        <w:tc>
          <w:tcPr>
            <w:tcW w:w="460" w:type="dxa"/>
            <w:tcBorders>
              <w:top w:val="nil"/>
              <w:left w:val="nil"/>
              <w:bottom w:val="nil"/>
              <w:right w:val="nil"/>
            </w:tcBorders>
            <w:shd w:val="clear" w:color="000000" w:fill="FFFFFF"/>
            <w:noWrap/>
            <w:vAlign w:val="center"/>
            <w:hideMark/>
          </w:tcPr>
          <w:p w14:paraId="455C219F" w14:textId="77777777" w:rsidR="003D3B05" w:rsidRPr="003D3B05" w:rsidRDefault="003D3B05" w:rsidP="009512ED">
            <w:pPr>
              <w:tabs>
                <w:tab w:val="clear" w:pos="7100"/>
              </w:tabs>
              <w:spacing w:line="240" w:lineRule="auto"/>
              <w:rPr>
                <w:rFonts w:cs="Arial"/>
                <w:color w:val="000000"/>
                <w:szCs w:val="18"/>
                <w:lang w:val="pt-BR" w:eastAsia="pt-BR"/>
              </w:rPr>
            </w:pPr>
            <w:proofErr w:type="gramStart"/>
            <w:r w:rsidRPr="003D3B05">
              <w:rPr>
                <w:rFonts w:cs="Arial"/>
                <w:color w:val="000000"/>
                <w:szCs w:val="18"/>
                <w:lang w:val="pt-BR" w:eastAsia="pt-BR"/>
              </w:rPr>
              <w:t>0</w:t>
            </w:r>
            <w:proofErr w:type="gramEnd"/>
          </w:p>
        </w:tc>
        <w:tc>
          <w:tcPr>
            <w:tcW w:w="980" w:type="dxa"/>
            <w:tcBorders>
              <w:top w:val="nil"/>
              <w:left w:val="nil"/>
              <w:bottom w:val="nil"/>
              <w:right w:val="nil"/>
            </w:tcBorders>
            <w:shd w:val="clear" w:color="000000" w:fill="FFFFFF"/>
            <w:noWrap/>
            <w:vAlign w:val="center"/>
            <w:hideMark/>
          </w:tcPr>
          <w:p w14:paraId="7A829BB0" w14:textId="4FC3909F"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0721</w:t>
            </w:r>
            <w:r w:rsidRPr="00EA0859">
              <w:rPr>
                <w:rFonts w:cs="Arial"/>
                <w:color w:val="000000"/>
                <w:szCs w:val="18"/>
                <w:vertAlign w:val="superscript"/>
                <w:lang w:val="pt-BR" w:eastAsia="pt-BR"/>
              </w:rPr>
              <w:t>a</w:t>
            </w:r>
          </w:p>
        </w:tc>
        <w:tc>
          <w:tcPr>
            <w:tcW w:w="740" w:type="dxa"/>
            <w:tcBorders>
              <w:top w:val="nil"/>
              <w:left w:val="nil"/>
              <w:bottom w:val="nil"/>
              <w:right w:val="nil"/>
            </w:tcBorders>
            <w:shd w:val="clear" w:color="000000" w:fill="FFFFFF"/>
            <w:noWrap/>
            <w:vAlign w:val="center"/>
            <w:hideMark/>
          </w:tcPr>
          <w:p w14:paraId="7F9BACD0" w14:textId="5DBE2F0F"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0919</w:t>
            </w:r>
          </w:p>
        </w:tc>
        <w:tc>
          <w:tcPr>
            <w:tcW w:w="740" w:type="dxa"/>
            <w:tcBorders>
              <w:top w:val="nil"/>
              <w:left w:val="nil"/>
              <w:bottom w:val="nil"/>
              <w:right w:val="nil"/>
            </w:tcBorders>
            <w:shd w:val="clear" w:color="000000" w:fill="FFFFFF"/>
            <w:noWrap/>
            <w:vAlign w:val="center"/>
            <w:hideMark/>
          </w:tcPr>
          <w:p w14:paraId="1241ADC3" w14:textId="45C7F115"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9202</w:t>
            </w:r>
          </w:p>
        </w:tc>
        <w:tc>
          <w:tcPr>
            <w:tcW w:w="680" w:type="dxa"/>
            <w:tcBorders>
              <w:top w:val="nil"/>
              <w:left w:val="nil"/>
              <w:bottom w:val="nil"/>
              <w:right w:val="nil"/>
            </w:tcBorders>
            <w:shd w:val="clear" w:color="000000" w:fill="FFFFFF"/>
            <w:noWrap/>
            <w:vAlign w:val="center"/>
            <w:hideMark/>
          </w:tcPr>
          <w:p w14:paraId="7CB3D19A" w14:textId="070A99C0"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3</w:t>
            </w:r>
            <w:r w:rsidR="00196225">
              <w:rPr>
                <w:rFonts w:cs="Arial"/>
                <w:color w:val="000000"/>
                <w:szCs w:val="18"/>
                <w:lang w:val="pt-BR" w:eastAsia="pt-BR"/>
              </w:rPr>
              <w:t>.</w:t>
            </w:r>
            <w:r w:rsidRPr="003D3B05">
              <w:rPr>
                <w:rFonts w:cs="Arial"/>
                <w:color w:val="000000"/>
                <w:szCs w:val="18"/>
                <w:lang w:val="pt-BR" w:eastAsia="pt-BR"/>
              </w:rPr>
              <w:t>0355</w:t>
            </w:r>
          </w:p>
        </w:tc>
        <w:tc>
          <w:tcPr>
            <w:tcW w:w="980" w:type="dxa"/>
            <w:tcBorders>
              <w:top w:val="nil"/>
              <w:left w:val="nil"/>
              <w:bottom w:val="nil"/>
              <w:right w:val="nil"/>
            </w:tcBorders>
            <w:shd w:val="clear" w:color="000000" w:fill="FFFFFF"/>
            <w:noWrap/>
            <w:vAlign w:val="center"/>
            <w:hideMark/>
          </w:tcPr>
          <w:p w14:paraId="197CF0E4" w14:textId="22F35247" w:rsidR="003D3B05" w:rsidRPr="003D3B05" w:rsidRDefault="003D3B05" w:rsidP="009512ED">
            <w:pPr>
              <w:tabs>
                <w:tab w:val="clear" w:pos="7100"/>
              </w:tabs>
              <w:spacing w:line="240" w:lineRule="auto"/>
              <w:rPr>
                <w:rFonts w:cs="Arial"/>
                <w:color w:val="000000"/>
                <w:szCs w:val="18"/>
                <w:lang w:val="pt-BR" w:eastAsia="pt-BR"/>
              </w:rPr>
            </w:pPr>
            <w:r w:rsidRPr="003D3B05">
              <w:rPr>
                <w:rFonts w:cs="Arial"/>
                <w:szCs w:val="18"/>
                <w:lang w:val="en-GB" w:eastAsia="pt-BR"/>
              </w:rPr>
              <w:t>0</w:t>
            </w:r>
            <w:r w:rsidR="00196225">
              <w:rPr>
                <w:rFonts w:cs="Arial"/>
                <w:szCs w:val="18"/>
                <w:lang w:val="en-GB" w:eastAsia="pt-BR"/>
              </w:rPr>
              <w:t>.</w:t>
            </w:r>
            <w:r w:rsidRPr="003D3B05">
              <w:rPr>
                <w:rFonts w:cs="Arial"/>
                <w:szCs w:val="18"/>
                <w:lang w:val="en-GB" w:eastAsia="pt-BR"/>
              </w:rPr>
              <w:t>0580</w:t>
            </w:r>
            <w:r w:rsidRPr="00EA0859">
              <w:rPr>
                <w:rFonts w:cs="Arial"/>
                <w:szCs w:val="18"/>
                <w:vertAlign w:val="superscript"/>
                <w:lang w:val="en-GB" w:eastAsia="pt-BR"/>
              </w:rPr>
              <w:t>a</w:t>
            </w:r>
          </w:p>
        </w:tc>
        <w:tc>
          <w:tcPr>
            <w:tcW w:w="680" w:type="dxa"/>
            <w:tcBorders>
              <w:top w:val="nil"/>
              <w:left w:val="nil"/>
              <w:bottom w:val="nil"/>
              <w:right w:val="nil"/>
            </w:tcBorders>
            <w:shd w:val="clear" w:color="000000" w:fill="FFFFFF"/>
            <w:noWrap/>
            <w:vAlign w:val="center"/>
            <w:hideMark/>
          </w:tcPr>
          <w:p w14:paraId="69321CB0" w14:textId="2F9D7CDF" w:rsidR="003D3B05" w:rsidRPr="003D3B05" w:rsidRDefault="003D3B05" w:rsidP="009512ED">
            <w:pPr>
              <w:tabs>
                <w:tab w:val="clear" w:pos="7100"/>
              </w:tabs>
              <w:spacing w:line="240" w:lineRule="auto"/>
              <w:rPr>
                <w:rFonts w:cs="Arial"/>
                <w:color w:val="000000"/>
                <w:szCs w:val="18"/>
                <w:lang w:val="pt-BR" w:eastAsia="pt-BR"/>
              </w:rPr>
            </w:pPr>
            <w:r w:rsidRPr="003D3B05">
              <w:rPr>
                <w:rFonts w:cs="Arial"/>
                <w:szCs w:val="18"/>
                <w:lang w:val="en-GB" w:eastAsia="pt-BR"/>
              </w:rPr>
              <w:t>0</w:t>
            </w:r>
            <w:r w:rsidR="00196225">
              <w:rPr>
                <w:rFonts w:cs="Arial"/>
                <w:szCs w:val="18"/>
                <w:lang w:val="en-GB" w:eastAsia="pt-BR"/>
              </w:rPr>
              <w:t>.</w:t>
            </w:r>
            <w:r w:rsidRPr="003D3B05">
              <w:rPr>
                <w:rFonts w:cs="Arial"/>
                <w:szCs w:val="18"/>
                <w:lang w:val="en-GB" w:eastAsia="pt-BR"/>
              </w:rPr>
              <w:t>1203</w:t>
            </w:r>
          </w:p>
        </w:tc>
        <w:tc>
          <w:tcPr>
            <w:tcW w:w="680" w:type="dxa"/>
            <w:tcBorders>
              <w:top w:val="nil"/>
              <w:left w:val="nil"/>
              <w:bottom w:val="nil"/>
              <w:right w:val="nil"/>
            </w:tcBorders>
            <w:shd w:val="clear" w:color="000000" w:fill="FFFFFF"/>
            <w:noWrap/>
            <w:vAlign w:val="center"/>
            <w:hideMark/>
          </w:tcPr>
          <w:p w14:paraId="42837F2D" w14:textId="048B89C4" w:rsidR="003D3B05" w:rsidRPr="003D3B05" w:rsidRDefault="003D3B05" w:rsidP="009512ED">
            <w:pPr>
              <w:tabs>
                <w:tab w:val="clear" w:pos="7100"/>
              </w:tabs>
              <w:spacing w:line="240" w:lineRule="auto"/>
              <w:rPr>
                <w:rFonts w:cs="Arial"/>
                <w:color w:val="000000"/>
                <w:szCs w:val="18"/>
                <w:lang w:val="pt-BR" w:eastAsia="pt-BR"/>
              </w:rPr>
            </w:pPr>
            <w:r w:rsidRPr="003D3B05">
              <w:rPr>
                <w:rFonts w:cs="Arial"/>
                <w:szCs w:val="18"/>
                <w:lang w:val="en-GB" w:eastAsia="pt-BR"/>
              </w:rPr>
              <w:t>0</w:t>
            </w:r>
            <w:r w:rsidR="00196225">
              <w:rPr>
                <w:rFonts w:cs="Arial"/>
                <w:szCs w:val="18"/>
                <w:lang w:val="en-GB" w:eastAsia="pt-BR"/>
              </w:rPr>
              <w:t>.</w:t>
            </w:r>
            <w:r w:rsidRPr="003D3B05">
              <w:rPr>
                <w:rFonts w:cs="Arial"/>
                <w:szCs w:val="18"/>
                <w:lang w:val="en-GB" w:eastAsia="pt-BR"/>
              </w:rPr>
              <w:t>9100</w:t>
            </w:r>
          </w:p>
        </w:tc>
        <w:tc>
          <w:tcPr>
            <w:tcW w:w="680" w:type="dxa"/>
            <w:tcBorders>
              <w:top w:val="nil"/>
              <w:left w:val="nil"/>
              <w:bottom w:val="nil"/>
              <w:right w:val="nil"/>
            </w:tcBorders>
            <w:shd w:val="clear" w:color="000000" w:fill="FFFFFF"/>
            <w:noWrap/>
            <w:vAlign w:val="center"/>
            <w:hideMark/>
          </w:tcPr>
          <w:p w14:paraId="49B2C920" w14:textId="072AA4BA"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en-GB" w:eastAsia="pt-BR"/>
              </w:rPr>
              <w:t>2</w:t>
            </w:r>
            <w:r w:rsidR="00196225">
              <w:rPr>
                <w:rFonts w:cs="Arial"/>
                <w:color w:val="000000"/>
                <w:szCs w:val="18"/>
                <w:lang w:val="en-GB" w:eastAsia="pt-BR"/>
              </w:rPr>
              <w:t>.</w:t>
            </w:r>
            <w:r w:rsidRPr="003D3B05">
              <w:rPr>
                <w:rFonts w:cs="Arial"/>
                <w:color w:val="000000"/>
                <w:szCs w:val="18"/>
                <w:lang w:val="en-GB" w:eastAsia="pt-BR"/>
              </w:rPr>
              <w:t>6237</w:t>
            </w:r>
          </w:p>
        </w:tc>
      </w:tr>
      <w:tr w:rsidR="003D3B05" w:rsidRPr="003D3B05" w14:paraId="126CA162" w14:textId="77777777" w:rsidTr="003D3B05">
        <w:trPr>
          <w:trHeight w:val="300"/>
        </w:trPr>
        <w:tc>
          <w:tcPr>
            <w:tcW w:w="1140" w:type="dxa"/>
            <w:vMerge/>
            <w:tcBorders>
              <w:top w:val="nil"/>
              <w:left w:val="nil"/>
              <w:bottom w:val="single" w:sz="12" w:space="0" w:color="008000"/>
              <w:right w:val="nil"/>
            </w:tcBorders>
            <w:vAlign w:val="center"/>
            <w:hideMark/>
          </w:tcPr>
          <w:p w14:paraId="5F54E539" w14:textId="77777777" w:rsidR="003D3B05" w:rsidRPr="003D3B05" w:rsidRDefault="003D3B05" w:rsidP="009512ED">
            <w:pPr>
              <w:tabs>
                <w:tab w:val="clear" w:pos="7100"/>
              </w:tabs>
              <w:spacing w:line="240" w:lineRule="auto"/>
              <w:rPr>
                <w:rFonts w:cs="Arial"/>
                <w:color w:val="000000"/>
                <w:szCs w:val="18"/>
                <w:lang w:val="pt-BR" w:eastAsia="pt-BR"/>
              </w:rPr>
            </w:pPr>
          </w:p>
        </w:tc>
        <w:tc>
          <w:tcPr>
            <w:tcW w:w="460" w:type="dxa"/>
            <w:tcBorders>
              <w:top w:val="nil"/>
              <w:left w:val="nil"/>
              <w:bottom w:val="nil"/>
              <w:right w:val="nil"/>
            </w:tcBorders>
            <w:shd w:val="clear" w:color="000000" w:fill="FFFFFF"/>
            <w:noWrap/>
            <w:vAlign w:val="center"/>
            <w:hideMark/>
          </w:tcPr>
          <w:p w14:paraId="56EAA953" w14:textId="78A52C94"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5</w:t>
            </w:r>
          </w:p>
        </w:tc>
        <w:tc>
          <w:tcPr>
            <w:tcW w:w="980" w:type="dxa"/>
            <w:tcBorders>
              <w:top w:val="nil"/>
              <w:left w:val="nil"/>
              <w:bottom w:val="nil"/>
              <w:right w:val="nil"/>
            </w:tcBorders>
            <w:shd w:val="clear" w:color="000000" w:fill="FFFFFF"/>
            <w:noWrap/>
            <w:vAlign w:val="center"/>
            <w:hideMark/>
          </w:tcPr>
          <w:p w14:paraId="036ECB65" w14:textId="2B1E4B85"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0726</w:t>
            </w:r>
            <w:r w:rsidRPr="00EA0859">
              <w:rPr>
                <w:rFonts w:cs="Arial"/>
                <w:color w:val="000000"/>
                <w:szCs w:val="18"/>
                <w:vertAlign w:val="superscript"/>
                <w:lang w:val="pt-BR" w:eastAsia="pt-BR"/>
              </w:rPr>
              <w:t>a</w:t>
            </w:r>
          </w:p>
        </w:tc>
        <w:tc>
          <w:tcPr>
            <w:tcW w:w="740" w:type="dxa"/>
            <w:tcBorders>
              <w:top w:val="nil"/>
              <w:left w:val="nil"/>
              <w:bottom w:val="nil"/>
              <w:right w:val="nil"/>
            </w:tcBorders>
            <w:shd w:val="clear" w:color="000000" w:fill="FFFFFF"/>
            <w:noWrap/>
            <w:vAlign w:val="center"/>
            <w:hideMark/>
          </w:tcPr>
          <w:p w14:paraId="4C7D86EE" w14:textId="7EA5B44A"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1043</w:t>
            </w:r>
          </w:p>
        </w:tc>
        <w:tc>
          <w:tcPr>
            <w:tcW w:w="740" w:type="dxa"/>
            <w:tcBorders>
              <w:top w:val="nil"/>
              <w:left w:val="nil"/>
              <w:bottom w:val="nil"/>
              <w:right w:val="nil"/>
            </w:tcBorders>
            <w:shd w:val="clear" w:color="000000" w:fill="FFFFFF"/>
            <w:noWrap/>
            <w:vAlign w:val="center"/>
            <w:hideMark/>
          </w:tcPr>
          <w:p w14:paraId="06AE3CDE" w14:textId="173BD81F"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9491</w:t>
            </w:r>
          </w:p>
        </w:tc>
        <w:tc>
          <w:tcPr>
            <w:tcW w:w="680" w:type="dxa"/>
            <w:tcBorders>
              <w:top w:val="nil"/>
              <w:left w:val="nil"/>
              <w:bottom w:val="nil"/>
              <w:right w:val="nil"/>
            </w:tcBorders>
            <w:shd w:val="clear" w:color="000000" w:fill="FFFFFF"/>
            <w:noWrap/>
            <w:vAlign w:val="center"/>
            <w:hideMark/>
          </w:tcPr>
          <w:p w14:paraId="6561D368" w14:textId="1B8FAB14"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2</w:t>
            </w:r>
            <w:r w:rsidR="00196225">
              <w:rPr>
                <w:rFonts w:cs="Arial"/>
                <w:color w:val="000000"/>
                <w:szCs w:val="18"/>
                <w:lang w:val="pt-BR" w:eastAsia="pt-BR"/>
              </w:rPr>
              <w:t>.</w:t>
            </w:r>
            <w:r w:rsidRPr="003D3B05">
              <w:rPr>
                <w:rFonts w:cs="Arial"/>
                <w:color w:val="000000"/>
                <w:szCs w:val="18"/>
                <w:lang w:val="pt-BR" w:eastAsia="pt-BR"/>
              </w:rPr>
              <w:t>9388</w:t>
            </w:r>
          </w:p>
        </w:tc>
        <w:tc>
          <w:tcPr>
            <w:tcW w:w="980" w:type="dxa"/>
            <w:tcBorders>
              <w:top w:val="nil"/>
              <w:left w:val="nil"/>
              <w:bottom w:val="nil"/>
              <w:right w:val="nil"/>
            </w:tcBorders>
            <w:shd w:val="clear" w:color="000000" w:fill="FFFFFF"/>
            <w:noWrap/>
            <w:vAlign w:val="center"/>
            <w:hideMark/>
          </w:tcPr>
          <w:p w14:paraId="74F836E9" w14:textId="127CC7D9" w:rsidR="003D3B05" w:rsidRPr="003D3B05" w:rsidRDefault="003D3B05" w:rsidP="009512ED">
            <w:pPr>
              <w:tabs>
                <w:tab w:val="clear" w:pos="7100"/>
              </w:tabs>
              <w:spacing w:line="240" w:lineRule="auto"/>
              <w:rPr>
                <w:rFonts w:cs="Arial"/>
                <w:color w:val="000000"/>
                <w:szCs w:val="18"/>
                <w:lang w:val="pt-BR" w:eastAsia="pt-BR"/>
              </w:rPr>
            </w:pPr>
            <w:r w:rsidRPr="003D3B05">
              <w:rPr>
                <w:rFonts w:cs="Arial"/>
                <w:szCs w:val="18"/>
                <w:lang w:val="en-GB" w:eastAsia="pt-BR"/>
              </w:rPr>
              <w:t>0</w:t>
            </w:r>
            <w:r w:rsidR="00196225">
              <w:rPr>
                <w:rFonts w:cs="Arial"/>
                <w:szCs w:val="18"/>
                <w:lang w:val="en-GB" w:eastAsia="pt-BR"/>
              </w:rPr>
              <w:t>.</w:t>
            </w:r>
            <w:r w:rsidRPr="003D3B05">
              <w:rPr>
                <w:rFonts w:cs="Arial"/>
                <w:szCs w:val="18"/>
                <w:lang w:val="en-GB" w:eastAsia="pt-BR"/>
              </w:rPr>
              <w:t>0592</w:t>
            </w:r>
            <w:r w:rsidRPr="00EA0859">
              <w:rPr>
                <w:rFonts w:cs="Arial"/>
                <w:szCs w:val="18"/>
                <w:vertAlign w:val="superscript"/>
                <w:lang w:val="en-GB" w:eastAsia="pt-BR"/>
              </w:rPr>
              <w:t>a</w:t>
            </w:r>
          </w:p>
        </w:tc>
        <w:tc>
          <w:tcPr>
            <w:tcW w:w="680" w:type="dxa"/>
            <w:tcBorders>
              <w:top w:val="nil"/>
              <w:left w:val="nil"/>
              <w:bottom w:val="nil"/>
              <w:right w:val="nil"/>
            </w:tcBorders>
            <w:shd w:val="clear" w:color="000000" w:fill="FFFFFF"/>
            <w:noWrap/>
            <w:vAlign w:val="center"/>
            <w:hideMark/>
          </w:tcPr>
          <w:p w14:paraId="715F8BB1" w14:textId="4E1DAF56"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en-GB" w:eastAsia="pt-BR"/>
              </w:rPr>
              <w:t>0</w:t>
            </w:r>
            <w:r w:rsidR="00196225">
              <w:rPr>
                <w:rFonts w:cs="Arial"/>
                <w:color w:val="000000"/>
                <w:szCs w:val="18"/>
                <w:lang w:val="en-GB" w:eastAsia="pt-BR"/>
              </w:rPr>
              <w:t>.</w:t>
            </w:r>
            <w:r w:rsidRPr="003D3B05">
              <w:rPr>
                <w:rFonts w:cs="Arial"/>
                <w:color w:val="000000"/>
                <w:szCs w:val="18"/>
                <w:lang w:val="en-GB" w:eastAsia="pt-BR"/>
              </w:rPr>
              <w:t>1000</w:t>
            </w:r>
          </w:p>
        </w:tc>
        <w:tc>
          <w:tcPr>
            <w:tcW w:w="680" w:type="dxa"/>
            <w:tcBorders>
              <w:top w:val="nil"/>
              <w:left w:val="nil"/>
              <w:bottom w:val="nil"/>
              <w:right w:val="nil"/>
            </w:tcBorders>
            <w:shd w:val="clear" w:color="000000" w:fill="FFFFFF"/>
            <w:noWrap/>
            <w:vAlign w:val="center"/>
            <w:hideMark/>
          </w:tcPr>
          <w:p w14:paraId="797EF9A9" w14:textId="14105D4A"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en-GB" w:eastAsia="pt-BR"/>
              </w:rPr>
              <w:t>0</w:t>
            </w:r>
            <w:r w:rsidR="00196225">
              <w:rPr>
                <w:rFonts w:cs="Arial"/>
                <w:color w:val="000000"/>
                <w:szCs w:val="18"/>
                <w:lang w:val="en-GB" w:eastAsia="pt-BR"/>
              </w:rPr>
              <w:t>.</w:t>
            </w:r>
            <w:r w:rsidRPr="003D3B05">
              <w:rPr>
                <w:rFonts w:cs="Arial"/>
                <w:color w:val="000000"/>
                <w:szCs w:val="18"/>
                <w:lang w:val="en-GB" w:eastAsia="pt-BR"/>
              </w:rPr>
              <w:t>9081</w:t>
            </w:r>
          </w:p>
        </w:tc>
        <w:tc>
          <w:tcPr>
            <w:tcW w:w="680" w:type="dxa"/>
            <w:tcBorders>
              <w:top w:val="nil"/>
              <w:left w:val="nil"/>
              <w:bottom w:val="nil"/>
              <w:right w:val="nil"/>
            </w:tcBorders>
            <w:shd w:val="clear" w:color="000000" w:fill="FFFFFF"/>
            <w:noWrap/>
            <w:vAlign w:val="center"/>
            <w:hideMark/>
          </w:tcPr>
          <w:p w14:paraId="173CCC0C" w14:textId="34ACF18B"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en-GB" w:eastAsia="pt-BR"/>
              </w:rPr>
              <w:t>2</w:t>
            </w:r>
            <w:r w:rsidR="00196225">
              <w:rPr>
                <w:rFonts w:cs="Arial"/>
                <w:color w:val="000000"/>
                <w:szCs w:val="18"/>
                <w:lang w:val="en-GB" w:eastAsia="pt-BR"/>
              </w:rPr>
              <w:t>.</w:t>
            </w:r>
            <w:r w:rsidRPr="003D3B05">
              <w:rPr>
                <w:rFonts w:cs="Arial"/>
                <w:color w:val="000000"/>
                <w:szCs w:val="18"/>
                <w:lang w:val="en-GB" w:eastAsia="pt-BR"/>
              </w:rPr>
              <w:t>8717</w:t>
            </w:r>
          </w:p>
        </w:tc>
      </w:tr>
      <w:tr w:rsidR="003D3B05" w:rsidRPr="003D3B05" w14:paraId="745F42DD" w14:textId="77777777" w:rsidTr="003D3B05">
        <w:trPr>
          <w:trHeight w:val="300"/>
        </w:trPr>
        <w:tc>
          <w:tcPr>
            <w:tcW w:w="1140" w:type="dxa"/>
            <w:vMerge/>
            <w:tcBorders>
              <w:top w:val="nil"/>
              <w:left w:val="nil"/>
              <w:bottom w:val="single" w:sz="12" w:space="0" w:color="008000"/>
              <w:right w:val="nil"/>
            </w:tcBorders>
            <w:vAlign w:val="center"/>
            <w:hideMark/>
          </w:tcPr>
          <w:p w14:paraId="6C77E8D7" w14:textId="77777777" w:rsidR="003D3B05" w:rsidRPr="003D3B05" w:rsidRDefault="003D3B05" w:rsidP="009512ED">
            <w:pPr>
              <w:tabs>
                <w:tab w:val="clear" w:pos="7100"/>
              </w:tabs>
              <w:spacing w:line="240" w:lineRule="auto"/>
              <w:rPr>
                <w:rFonts w:cs="Arial"/>
                <w:color w:val="000000"/>
                <w:szCs w:val="18"/>
                <w:lang w:val="pt-BR" w:eastAsia="pt-BR"/>
              </w:rPr>
            </w:pPr>
          </w:p>
        </w:tc>
        <w:tc>
          <w:tcPr>
            <w:tcW w:w="460" w:type="dxa"/>
            <w:tcBorders>
              <w:top w:val="nil"/>
              <w:left w:val="nil"/>
              <w:bottom w:val="nil"/>
              <w:right w:val="nil"/>
            </w:tcBorders>
            <w:shd w:val="clear" w:color="000000" w:fill="FFFFFF"/>
            <w:noWrap/>
            <w:vAlign w:val="center"/>
            <w:hideMark/>
          </w:tcPr>
          <w:p w14:paraId="4F2C81CE" w14:textId="77777777" w:rsidR="003D3B05" w:rsidRPr="003D3B05" w:rsidRDefault="003D3B05" w:rsidP="009512ED">
            <w:pPr>
              <w:tabs>
                <w:tab w:val="clear" w:pos="7100"/>
              </w:tabs>
              <w:spacing w:line="240" w:lineRule="auto"/>
              <w:rPr>
                <w:rFonts w:cs="Arial"/>
                <w:color w:val="000000"/>
                <w:szCs w:val="18"/>
                <w:lang w:val="pt-BR" w:eastAsia="pt-BR"/>
              </w:rPr>
            </w:pPr>
            <w:proofErr w:type="gramStart"/>
            <w:r w:rsidRPr="003D3B05">
              <w:rPr>
                <w:rFonts w:cs="Arial"/>
                <w:color w:val="000000"/>
                <w:szCs w:val="18"/>
                <w:lang w:val="pt-BR" w:eastAsia="pt-BR"/>
              </w:rPr>
              <w:t>1</w:t>
            </w:r>
            <w:proofErr w:type="gramEnd"/>
          </w:p>
        </w:tc>
        <w:tc>
          <w:tcPr>
            <w:tcW w:w="980" w:type="dxa"/>
            <w:tcBorders>
              <w:top w:val="nil"/>
              <w:left w:val="nil"/>
              <w:bottom w:val="nil"/>
              <w:right w:val="nil"/>
            </w:tcBorders>
            <w:shd w:val="clear" w:color="000000" w:fill="FFFFFF"/>
            <w:noWrap/>
            <w:vAlign w:val="center"/>
            <w:hideMark/>
          </w:tcPr>
          <w:p w14:paraId="797CA5DB" w14:textId="4A7F165A"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0731</w:t>
            </w:r>
            <w:r w:rsidRPr="00EA0859">
              <w:rPr>
                <w:rFonts w:cs="Arial"/>
                <w:color w:val="000000"/>
                <w:szCs w:val="18"/>
                <w:vertAlign w:val="superscript"/>
                <w:lang w:val="pt-BR" w:eastAsia="pt-BR"/>
              </w:rPr>
              <w:t>a</w:t>
            </w:r>
          </w:p>
        </w:tc>
        <w:tc>
          <w:tcPr>
            <w:tcW w:w="740" w:type="dxa"/>
            <w:tcBorders>
              <w:top w:val="nil"/>
              <w:left w:val="nil"/>
              <w:bottom w:val="nil"/>
              <w:right w:val="nil"/>
            </w:tcBorders>
            <w:shd w:val="clear" w:color="000000" w:fill="FFFFFF"/>
            <w:noWrap/>
            <w:vAlign w:val="center"/>
            <w:hideMark/>
          </w:tcPr>
          <w:p w14:paraId="3DF3C396" w14:textId="16D06534"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1377</w:t>
            </w:r>
          </w:p>
        </w:tc>
        <w:tc>
          <w:tcPr>
            <w:tcW w:w="740" w:type="dxa"/>
            <w:tcBorders>
              <w:top w:val="nil"/>
              <w:left w:val="nil"/>
              <w:bottom w:val="nil"/>
              <w:right w:val="nil"/>
            </w:tcBorders>
            <w:shd w:val="clear" w:color="000000" w:fill="FFFFFF"/>
            <w:noWrap/>
            <w:vAlign w:val="center"/>
            <w:hideMark/>
          </w:tcPr>
          <w:p w14:paraId="4BA3233D" w14:textId="1DEF1E1D"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9334</w:t>
            </w:r>
          </w:p>
        </w:tc>
        <w:tc>
          <w:tcPr>
            <w:tcW w:w="680" w:type="dxa"/>
            <w:tcBorders>
              <w:top w:val="nil"/>
              <w:left w:val="nil"/>
              <w:bottom w:val="nil"/>
              <w:right w:val="nil"/>
            </w:tcBorders>
            <w:shd w:val="clear" w:color="000000" w:fill="FFFFFF"/>
            <w:noWrap/>
            <w:vAlign w:val="center"/>
            <w:hideMark/>
          </w:tcPr>
          <w:p w14:paraId="4C8BBB84" w14:textId="64BA2573"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2</w:t>
            </w:r>
            <w:r w:rsidR="00196225">
              <w:rPr>
                <w:rFonts w:cs="Arial"/>
                <w:color w:val="000000"/>
                <w:szCs w:val="18"/>
                <w:lang w:val="pt-BR" w:eastAsia="pt-BR"/>
              </w:rPr>
              <w:t>.</w:t>
            </w:r>
            <w:r w:rsidRPr="003D3B05">
              <w:rPr>
                <w:rFonts w:cs="Arial"/>
                <w:color w:val="000000"/>
                <w:szCs w:val="18"/>
                <w:lang w:val="pt-BR" w:eastAsia="pt-BR"/>
              </w:rPr>
              <w:t>5154</w:t>
            </w:r>
          </w:p>
        </w:tc>
        <w:tc>
          <w:tcPr>
            <w:tcW w:w="980" w:type="dxa"/>
            <w:tcBorders>
              <w:top w:val="nil"/>
              <w:left w:val="nil"/>
              <w:bottom w:val="nil"/>
              <w:right w:val="nil"/>
            </w:tcBorders>
            <w:shd w:val="clear" w:color="000000" w:fill="FFFFFF"/>
            <w:noWrap/>
            <w:vAlign w:val="center"/>
            <w:hideMark/>
          </w:tcPr>
          <w:p w14:paraId="27A5A76C" w14:textId="0C239C01"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en-GB" w:eastAsia="pt-BR"/>
              </w:rPr>
              <w:t>0</w:t>
            </w:r>
            <w:r w:rsidR="00196225">
              <w:rPr>
                <w:rFonts w:cs="Arial"/>
                <w:color w:val="000000"/>
                <w:szCs w:val="18"/>
                <w:lang w:val="en-GB" w:eastAsia="pt-BR"/>
              </w:rPr>
              <w:t>.</w:t>
            </w:r>
            <w:r w:rsidRPr="003D3B05">
              <w:rPr>
                <w:rFonts w:cs="Arial"/>
                <w:color w:val="000000"/>
                <w:szCs w:val="18"/>
                <w:lang w:val="en-GB" w:eastAsia="pt-BR"/>
              </w:rPr>
              <w:t>0694</w:t>
            </w:r>
            <w:r w:rsidRPr="00EA0859">
              <w:rPr>
                <w:rFonts w:cs="Arial"/>
                <w:color w:val="000000"/>
                <w:szCs w:val="18"/>
                <w:vertAlign w:val="superscript"/>
                <w:lang w:val="en-GB" w:eastAsia="pt-BR"/>
              </w:rPr>
              <w:t>a</w:t>
            </w:r>
          </w:p>
        </w:tc>
        <w:tc>
          <w:tcPr>
            <w:tcW w:w="680" w:type="dxa"/>
            <w:tcBorders>
              <w:top w:val="nil"/>
              <w:left w:val="nil"/>
              <w:bottom w:val="nil"/>
              <w:right w:val="nil"/>
            </w:tcBorders>
            <w:shd w:val="clear" w:color="000000" w:fill="FFFFFF"/>
            <w:noWrap/>
            <w:vAlign w:val="center"/>
            <w:hideMark/>
          </w:tcPr>
          <w:p w14:paraId="1914A65D" w14:textId="0C15A774"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en-GB" w:eastAsia="pt-BR"/>
              </w:rPr>
              <w:t>0</w:t>
            </w:r>
            <w:r w:rsidR="00196225">
              <w:rPr>
                <w:rFonts w:cs="Arial"/>
                <w:color w:val="000000"/>
                <w:szCs w:val="18"/>
                <w:lang w:val="en-GB" w:eastAsia="pt-BR"/>
              </w:rPr>
              <w:t>.</w:t>
            </w:r>
            <w:r w:rsidRPr="003D3B05">
              <w:rPr>
                <w:rFonts w:cs="Arial"/>
                <w:color w:val="000000"/>
                <w:szCs w:val="18"/>
                <w:lang w:val="en-GB" w:eastAsia="pt-BR"/>
              </w:rPr>
              <w:t>1107</w:t>
            </w:r>
          </w:p>
        </w:tc>
        <w:tc>
          <w:tcPr>
            <w:tcW w:w="680" w:type="dxa"/>
            <w:tcBorders>
              <w:top w:val="nil"/>
              <w:left w:val="nil"/>
              <w:bottom w:val="nil"/>
              <w:right w:val="nil"/>
            </w:tcBorders>
            <w:shd w:val="clear" w:color="000000" w:fill="FFFFFF"/>
            <w:noWrap/>
            <w:vAlign w:val="center"/>
            <w:hideMark/>
          </w:tcPr>
          <w:p w14:paraId="483F063E" w14:textId="01721CEF"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en-GB" w:eastAsia="pt-BR"/>
              </w:rPr>
              <w:t>0</w:t>
            </w:r>
            <w:r w:rsidR="00196225">
              <w:rPr>
                <w:rFonts w:cs="Arial"/>
                <w:color w:val="000000"/>
                <w:szCs w:val="18"/>
                <w:lang w:val="en-GB" w:eastAsia="pt-BR"/>
              </w:rPr>
              <w:t>.</w:t>
            </w:r>
            <w:r w:rsidRPr="003D3B05">
              <w:rPr>
                <w:rFonts w:cs="Arial"/>
                <w:color w:val="000000"/>
                <w:szCs w:val="18"/>
                <w:lang w:val="en-GB" w:eastAsia="pt-BR"/>
              </w:rPr>
              <w:t>9290</w:t>
            </w:r>
          </w:p>
        </w:tc>
        <w:tc>
          <w:tcPr>
            <w:tcW w:w="680" w:type="dxa"/>
            <w:tcBorders>
              <w:top w:val="nil"/>
              <w:left w:val="nil"/>
              <w:bottom w:val="nil"/>
              <w:right w:val="nil"/>
            </w:tcBorders>
            <w:shd w:val="clear" w:color="000000" w:fill="FFFFFF"/>
            <w:noWrap/>
            <w:vAlign w:val="center"/>
            <w:hideMark/>
          </w:tcPr>
          <w:p w14:paraId="34DF44CD" w14:textId="72722437"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en-GB" w:eastAsia="pt-BR"/>
              </w:rPr>
              <w:t>2</w:t>
            </w:r>
            <w:r w:rsidR="00196225">
              <w:rPr>
                <w:rFonts w:cs="Arial"/>
                <w:color w:val="000000"/>
                <w:szCs w:val="18"/>
                <w:lang w:val="en-GB" w:eastAsia="pt-BR"/>
              </w:rPr>
              <w:t>.</w:t>
            </w:r>
            <w:r w:rsidRPr="003D3B05">
              <w:rPr>
                <w:rFonts w:cs="Arial"/>
                <w:color w:val="000000"/>
                <w:szCs w:val="18"/>
                <w:lang w:val="en-GB" w:eastAsia="pt-BR"/>
              </w:rPr>
              <w:t>7922</w:t>
            </w:r>
          </w:p>
        </w:tc>
      </w:tr>
      <w:tr w:rsidR="003D3B05" w:rsidRPr="003D3B05" w14:paraId="02E2D053" w14:textId="77777777" w:rsidTr="003D3B05">
        <w:trPr>
          <w:trHeight w:val="300"/>
        </w:trPr>
        <w:tc>
          <w:tcPr>
            <w:tcW w:w="1140" w:type="dxa"/>
            <w:vMerge/>
            <w:tcBorders>
              <w:top w:val="nil"/>
              <w:left w:val="nil"/>
              <w:bottom w:val="single" w:sz="12" w:space="0" w:color="008000"/>
              <w:right w:val="nil"/>
            </w:tcBorders>
            <w:vAlign w:val="center"/>
            <w:hideMark/>
          </w:tcPr>
          <w:p w14:paraId="059502B0" w14:textId="77777777" w:rsidR="003D3B05" w:rsidRPr="003D3B05" w:rsidRDefault="003D3B05" w:rsidP="009512ED">
            <w:pPr>
              <w:tabs>
                <w:tab w:val="clear" w:pos="7100"/>
              </w:tabs>
              <w:spacing w:line="240" w:lineRule="auto"/>
              <w:rPr>
                <w:rFonts w:cs="Arial"/>
                <w:color w:val="000000"/>
                <w:szCs w:val="18"/>
                <w:lang w:val="pt-BR" w:eastAsia="pt-BR"/>
              </w:rPr>
            </w:pPr>
          </w:p>
        </w:tc>
        <w:tc>
          <w:tcPr>
            <w:tcW w:w="460" w:type="dxa"/>
            <w:tcBorders>
              <w:top w:val="nil"/>
              <w:left w:val="nil"/>
              <w:bottom w:val="nil"/>
              <w:right w:val="nil"/>
            </w:tcBorders>
            <w:shd w:val="clear" w:color="000000" w:fill="FFFFFF"/>
            <w:noWrap/>
            <w:vAlign w:val="center"/>
            <w:hideMark/>
          </w:tcPr>
          <w:p w14:paraId="4094CAB7" w14:textId="13758AD8"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1</w:t>
            </w:r>
            <w:r w:rsidR="00196225">
              <w:rPr>
                <w:rFonts w:cs="Arial"/>
                <w:color w:val="000000"/>
                <w:szCs w:val="18"/>
                <w:lang w:val="pt-BR" w:eastAsia="pt-BR"/>
              </w:rPr>
              <w:t>.</w:t>
            </w:r>
            <w:r w:rsidRPr="003D3B05">
              <w:rPr>
                <w:rFonts w:cs="Arial"/>
                <w:color w:val="000000"/>
                <w:szCs w:val="18"/>
                <w:lang w:val="pt-BR" w:eastAsia="pt-BR"/>
              </w:rPr>
              <w:t>5</w:t>
            </w:r>
          </w:p>
        </w:tc>
        <w:tc>
          <w:tcPr>
            <w:tcW w:w="980" w:type="dxa"/>
            <w:tcBorders>
              <w:top w:val="nil"/>
              <w:left w:val="nil"/>
              <w:bottom w:val="nil"/>
              <w:right w:val="nil"/>
            </w:tcBorders>
            <w:shd w:val="clear" w:color="000000" w:fill="FFFFFF"/>
            <w:noWrap/>
            <w:vAlign w:val="center"/>
            <w:hideMark/>
          </w:tcPr>
          <w:p w14:paraId="2731B1D6" w14:textId="2E6FC607"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0700</w:t>
            </w:r>
            <w:r w:rsidRPr="00EA0859">
              <w:rPr>
                <w:rFonts w:cs="Arial"/>
                <w:color w:val="000000"/>
                <w:szCs w:val="18"/>
                <w:vertAlign w:val="superscript"/>
                <w:lang w:val="pt-BR" w:eastAsia="pt-BR"/>
              </w:rPr>
              <w:t>a</w:t>
            </w:r>
          </w:p>
        </w:tc>
        <w:tc>
          <w:tcPr>
            <w:tcW w:w="740" w:type="dxa"/>
            <w:tcBorders>
              <w:top w:val="nil"/>
              <w:left w:val="nil"/>
              <w:bottom w:val="nil"/>
              <w:right w:val="nil"/>
            </w:tcBorders>
            <w:shd w:val="clear" w:color="000000" w:fill="FFFFFF"/>
            <w:noWrap/>
            <w:vAlign w:val="center"/>
            <w:hideMark/>
          </w:tcPr>
          <w:p w14:paraId="3880330A" w14:textId="33427087"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1273</w:t>
            </w:r>
          </w:p>
        </w:tc>
        <w:tc>
          <w:tcPr>
            <w:tcW w:w="740" w:type="dxa"/>
            <w:tcBorders>
              <w:top w:val="nil"/>
              <w:left w:val="nil"/>
              <w:bottom w:val="nil"/>
              <w:right w:val="nil"/>
            </w:tcBorders>
            <w:shd w:val="clear" w:color="000000" w:fill="FFFFFF"/>
            <w:noWrap/>
            <w:vAlign w:val="center"/>
            <w:hideMark/>
          </w:tcPr>
          <w:p w14:paraId="2932C75F" w14:textId="3730AFE0"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9378</w:t>
            </w:r>
          </w:p>
        </w:tc>
        <w:tc>
          <w:tcPr>
            <w:tcW w:w="680" w:type="dxa"/>
            <w:tcBorders>
              <w:top w:val="nil"/>
              <w:left w:val="nil"/>
              <w:bottom w:val="nil"/>
              <w:right w:val="nil"/>
            </w:tcBorders>
            <w:shd w:val="clear" w:color="000000" w:fill="FFFFFF"/>
            <w:noWrap/>
            <w:vAlign w:val="center"/>
            <w:hideMark/>
          </w:tcPr>
          <w:p w14:paraId="1C175EF5" w14:textId="340FCEDF"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2</w:t>
            </w:r>
            <w:r w:rsidR="00196225">
              <w:rPr>
                <w:rFonts w:cs="Arial"/>
                <w:color w:val="000000"/>
                <w:szCs w:val="18"/>
                <w:lang w:val="pt-BR" w:eastAsia="pt-BR"/>
              </w:rPr>
              <w:t>.</w:t>
            </w:r>
            <w:r w:rsidRPr="003D3B05">
              <w:rPr>
                <w:rFonts w:cs="Arial"/>
                <w:color w:val="000000"/>
                <w:szCs w:val="18"/>
                <w:lang w:val="pt-BR" w:eastAsia="pt-BR"/>
              </w:rPr>
              <w:t>6284</w:t>
            </w:r>
          </w:p>
        </w:tc>
        <w:tc>
          <w:tcPr>
            <w:tcW w:w="980" w:type="dxa"/>
            <w:tcBorders>
              <w:top w:val="nil"/>
              <w:left w:val="nil"/>
              <w:bottom w:val="nil"/>
              <w:right w:val="nil"/>
            </w:tcBorders>
            <w:shd w:val="clear" w:color="000000" w:fill="FFFFFF"/>
            <w:noWrap/>
            <w:vAlign w:val="center"/>
            <w:hideMark/>
          </w:tcPr>
          <w:p w14:paraId="47A28F81" w14:textId="16341323"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7050</w:t>
            </w:r>
            <w:r w:rsidRPr="00EA0859">
              <w:rPr>
                <w:rFonts w:cs="Arial"/>
                <w:color w:val="000000"/>
                <w:szCs w:val="18"/>
                <w:vertAlign w:val="superscript"/>
                <w:lang w:val="pt-BR" w:eastAsia="pt-BR"/>
              </w:rPr>
              <w:t>a</w:t>
            </w:r>
          </w:p>
        </w:tc>
        <w:tc>
          <w:tcPr>
            <w:tcW w:w="680" w:type="dxa"/>
            <w:tcBorders>
              <w:top w:val="nil"/>
              <w:left w:val="nil"/>
              <w:bottom w:val="nil"/>
              <w:right w:val="nil"/>
            </w:tcBorders>
            <w:shd w:val="clear" w:color="000000" w:fill="FFFFFF"/>
            <w:noWrap/>
            <w:vAlign w:val="center"/>
            <w:hideMark/>
          </w:tcPr>
          <w:p w14:paraId="42683209" w14:textId="2B7FBB2B"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1052</w:t>
            </w:r>
          </w:p>
        </w:tc>
        <w:tc>
          <w:tcPr>
            <w:tcW w:w="680" w:type="dxa"/>
            <w:tcBorders>
              <w:top w:val="nil"/>
              <w:left w:val="nil"/>
              <w:bottom w:val="nil"/>
              <w:right w:val="nil"/>
            </w:tcBorders>
            <w:shd w:val="clear" w:color="000000" w:fill="FFFFFF"/>
            <w:noWrap/>
            <w:vAlign w:val="center"/>
            <w:hideMark/>
          </w:tcPr>
          <w:p w14:paraId="32546BDF" w14:textId="45AA48EA"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9385</w:t>
            </w:r>
          </w:p>
        </w:tc>
        <w:tc>
          <w:tcPr>
            <w:tcW w:w="680" w:type="dxa"/>
            <w:tcBorders>
              <w:top w:val="nil"/>
              <w:left w:val="nil"/>
              <w:bottom w:val="nil"/>
              <w:right w:val="nil"/>
            </w:tcBorders>
            <w:shd w:val="clear" w:color="000000" w:fill="FFFFFF"/>
            <w:noWrap/>
            <w:vAlign w:val="center"/>
            <w:hideMark/>
          </w:tcPr>
          <w:p w14:paraId="6BBB135D" w14:textId="37B65CD4"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2</w:t>
            </w:r>
            <w:r w:rsidR="00196225">
              <w:rPr>
                <w:rFonts w:cs="Arial"/>
                <w:color w:val="000000"/>
                <w:szCs w:val="18"/>
                <w:lang w:val="pt-BR" w:eastAsia="pt-BR"/>
              </w:rPr>
              <w:t>.</w:t>
            </w:r>
            <w:r w:rsidRPr="003D3B05">
              <w:rPr>
                <w:rFonts w:cs="Arial"/>
                <w:color w:val="000000"/>
                <w:szCs w:val="18"/>
                <w:lang w:val="pt-BR" w:eastAsia="pt-BR"/>
              </w:rPr>
              <w:t>8935</w:t>
            </w:r>
          </w:p>
        </w:tc>
      </w:tr>
      <w:tr w:rsidR="003D3B05" w:rsidRPr="003D3B05" w14:paraId="07C2E764" w14:textId="77777777" w:rsidTr="003D3B05">
        <w:trPr>
          <w:trHeight w:val="300"/>
        </w:trPr>
        <w:tc>
          <w:tcPr>
            <w:tcW w:w="1140" w:type="dxa"/>
            <w:vMerge/>
            <w:tcBorders>
              <w:top w:val="nil"/>
              <w:left w:val="nil"/>
              <w:bottom w:val="single" w:sz="12" w:space="0" w:color="008000"/>
              <w:right w:val="nil"/>
            </w:tcBorders>
            <w:vAlign w:val="center"/>
            <w:hideMark/>
          </w:tcPr>
          <w:p w14:paraId="525EA53E" w14:textId="77777777" w:rsidR="003D3B05" w:rsidRPr="003D3B05" w:rsidRDefault="003D3B05" w:rsidP="009512ED">
            <w:pPr>
              <w:tabs>
                <w:tab w:val="clear" w:pos="7100"/>
              </w:tabs>
              <w:spacing w:line="240" w:lineRule="auto"/>
              <w:rPr>
                <w:rFonts w:cs="Arial"/>
                <w:color w:val="000000"/>
                <w:szCs w:val="18"/>
                <w:lang w:val="pt-BR" w:eastAsia="pt-BR"/>
              </w:rPr>
            </w:pPr>
          </w:p>
        </w:tc>
        <w:tc>
          <w:tcPr>
            <w:tcW w:w="460" w:type="dxa"/>
            <w:tcBorders>
              <w:top w:val="nil"/>
              <w:left w:val="nil"/>
              <w:bottom w:val="nil"/>
              <w:right w:val="nil"/>
            </w:tcBorders>
            <w:shd w:val="clear" w:color="000000" w:fill="FFFFFF"/>
            <w:noWrap/>
            <w:vAlign w:val="center"/>
            <w:hideMark/>
          </w:tcPr>
          <w:p w14:paraId="13F611FF" w14:textId="77777777" w:rsidR="003D3B05" w:rsidRPr="003D3B05" w:rsidRDefault="003D3B05" w:rsidP="009512ED">
            <w:pPr>
              <w:tabs>
                <w:tab w:val="clear" w:pos="7100"/>
              </w:tabs>
              <w:spacing w:line="240" w:lineRule="auto"/>
              <w:rPr>
                <w:rFonts w:cs="Arial"/>
                <w:color w:val="000000"/>
                <w:szCs w:val="18"/>
                <w:lang w:val="pt-BR" w:eastAsia="pt-BR"/>
              </w:rPr>
            </w:pPr>
            <w:proofErr w:type="gramStart"/>
            <w:r w:rsidRPr="003D3B05">
              <w:rPr>
                <w:rFonts w:cs="Arial"/>
                <w:color w:val="000000"/>
                <w:szCs w:val="18"/>
                <w:lang w:val="pt-BR" w:eastAsia="pt-BR"/>
              </w:rPr>
              <w:t>2</w:t>
            </w:r>
            <w:proofErr w:type="gramEnd"/>
          </w:p>
        </w:tc>
        <w:tc>
          <w:tcPr>
            <w:tcW w:w="980" w:type="dxa"/>
            <w:tcBorders>
              <w:top w:val="nil"/>
              <w:left w:val="nil"/>
              <w:bottom w:val="nil"/>
              <w:right w:val="nil"/>
            </w:tcBorders>
            <w:shd w:val="clear" w:color="000000" w:fill="FFFFFF"/>
            <w:noWrap/>
            <w:vAlign w:val="center"/>
            <w:hideMark/>
          </w:tcPr>
          <w:p w14:paraId="621D1F47" w14:textId="1B25856F"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0676</w:t>
            </w:r>
            <w:r w:rsidRPr="00EA0859">
              <w:rPr>
                <w:rFonts w:cs="Arial"/>
                <w:color w:val="000000"/>
                <w:szCs w:val="18"/>
                <w:vertAlign w:val="superscript"/>
                <w:lang w:val="pt-BR" w:eastAsia="pt-BR"/>
              </w:rPr>
              <w:t>a</w:t>
            </w:r>
          </w:p>
        </w:tc>
        <w:tc>
          <w:tcPr>
            <w:tcW w:w="740" w:type="dxa"/>
            <w:tcBorders>
              <w:top w:val="nil"/>
              <w:left w:val="nil"/>
              <w:bottom w:val="nil"/>
              <w:right w:val="nil"/>
            </w:tcBorders>
            <w:shd w:val="clear" w:color="000000" w:fill="FFFFFF"/>
            <w:noWrap/>
            <w:vAlign w:val="center"/>
            <w:hideMark/>
          </w:tcPr>
          <w:p w14:paraId="1245D71D" w14:textId="12538764"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1479</w:t>
            </w:r>
          </w:p>
        </w:tc>
        <w:tc>
          <w:tcPr>
            <w:tcW w:w="740" w:type="dxa"/>
            <w:tcBorders>
              <w:top w:val="nil"/>
              <w:left w:val="nil"/>
              <w:bottom w:val="nil"/>
              <w:right w:val="nil"/>
            </w:tcBorders>
            <w:shd w:val="clear" w:color="000000" w:fill="FFFFFF"/>
            <w:noWrap/>
            <w:vAlign w:val="center"/>
            <w:hideMark/>
          </w:tcPr>
          <w:p w14:paraId="1C5A31BA" w14:textId="5A45C20C"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9362</w:t>
            </w:r>
          </w:p>
        </w:tc>
        <w:tc>
          <w:tcPr>
            <w:tcW w:w="680" w:type="dxa"/>
            <w:tcBorders>
              <w:top w:val="nil"/>
              <w:left w:val="nil"/>
              <w:bottom w:val="nil"/>
              <w:right w:val="nil"/>
            </w:tcBorders>
            <w:shd w:val="clear" w:color="000000" w:fill="FFFFFF"/>
            <w:noWrap/>
            <w:vAlign w:val="center"/>
            <w:hideMark/>
          </w:tcPr>
          <w:p w14:paraId="4B327D45" w14:textId="3B2F7485"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2</w:t>
            </w:r>
            <w:r w:rsidR="00196225">
              <w:rPr>
                <w:rFonts w:cs="Arial"/>
                <w:color w:val="000000"/>
                <w:szCs w:val="18"/>
                <w:lang w:val="pt-BR" w:eastAsia="pt-BR"/>
              </w:rPr>
              <w:t>.</w:t>
            </w:r>
            <w:r w:rsidRPr="003D3B05">
              <w:rPr>
                <w:rFonts w:cs="Arial"/>
                <w:color w:val="000000"/>
                <w:szCs w:val="18"/>
                <w:lang w:val="pt-BR" w:eastAsia="pt-BR"/>
              </w:rPr>
              <w:t>4344</w:t>
            </w:r>
          </w:p>
        </w:tc>
        <w:tc>
          <w:tcPr>
            <w:tcW w:w="980" w:type="dxa"/>
            <w:tcBorders>
              <w:top w:val="nil"/>
              <w:left w:val="nil"/>
              <w:bottom w:val="nil"/>
              <w:right w:val="nil"/>
            </w:tcBorders>
            <w:shd w:val="clear" w:color="000000" w:fill="FFFFFF"/>
            <w:noWrap/>
            <w:vAlign w:val="center"/>
            <w:hideMark/>
          </w:tcPr>
          <w:p w14:paraId="6AFC8B98" w14:textId="5E38C73B"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0742</w:t>
            </w:r>
            <w:r w:rsidRPr="00EA0859">
              <w:rPr>
                <w:rFonts w:cs="Arial"/>
                <w:color w:val="000000"/>
                <w:szCs w:val="18"/>
                <w:vertAlign w:val="superscript"/>
                <w:lang w:val="pt-BR" w:eastAsia="pt-BR"/>
              </w:rPr>
              <w:t>a</w:t>
            </w:r>
          </w:p>
        </w:tc>
        <w:tc>
          <w:tcPr>
            <w:tcW w:w="680" w:type="dxa"/>
            <w:tcBorders>
              <w:top w:val="nil"/>
              <w:left w:val="nil"/>
              <w:bottom w:val="nil"/>
              <w:right w:val="nil"/>
            </w:tcBorders>
            <w:shd w:val="clear" w:color="000000" w:fill="FFFFFF"/>
            <w:noWrap/>
            <w:vAlign w:val="center"/>
            <w:hideMark/>
          </w:tcPr>
          <w:p w14:paraId="758423A7" w14:textId="0B449E02"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0945</w:t>
            </w:r>
          </w:p>
        </w:tc>
        <w:tc>
          <w:tcPr>
            <w:tcW w:w="680" w:type="dxa"/>
            <w:tcBorders>
              <w:top w:val="nil"/>
              <w:left w:val="nil"/>
              <w:bottom w:val="nil"/>
              <w:right w:val="nil"/>
            </w:tcBorders>
            <w:shd w:val="clear" w:color="000000" w:fill="FFFFFF"/>
            <w:noWrap/>
            <w:vAlign w:val="center"/>
            <w:hideMark/>
          </w:tcPr>
          <w:p w14:paraId="6958AAFC" w14:textId="3F485697"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9313</w:t>
            </w:r>
          </w:p>
        </w:tc>
        <w:tc>
          <w:tcPr>
            <w:tcW w:w="680" w:type="dxa"/>
            <w:tcBorders>
              <w:top w:val="nil"/>
              <w:left w:val="nil"/>
              <w:bottom w:val="nil"/>
              <w:right w:val="nil"/>
            </w:tcBorders>
            <w:shd w:val="clear" w:color="000000" w:fill="FFFFFF"/>
            <w:noWrap/>
            <w:vAlign w:val="center"/>
            <w:hideMark/>
          </w:tcPr>
          <w:p w14:paraId="09A4865A" w14:textId="7C50B7C1"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3</w:t>
            </w:r>
            <w:r w:rsidR="00196225">
              <w:rPr>
                <w:rFonts w:cs="Arial"/>
                <w:color w:val="000000"/>
                <w:szCs w:val="18"/>
                <w:lang w:val="pt-BR" w:eastAsia="pt-BR"/>
              </w:rPr>
              <w:t>.</w:t>
            </w:r>
            <w:r w:rsidRPr="003D3B05">
              <w:rPr>
                <w:rFonts w:cs="Arial"/>
                <w:color w:val="000000"/>
                <w:szCs w:val="18"/>
                <w:lang w:val="pt-BR" w:eastAsia="pt-BR"/>
              </w:rPr>
              <w:t>0295</w:t>
            </w:r>
          </w:p>
        </w:tc>
      </w:tr>
      <w:tr w:rsidR="003D3B05" w:rsidRPr="003D3B05" w14:paraId="7E75C630" w14:textId="77777777" w:rsidTr="003D3B05">
        <w:trPr>
          <w:trHeight w:val="300"/>
        </w:trPr>
        <w:tc>
          <w:tcPr>
            <w:tcW w:w="1140" w:type="dxa"/>
            <w:vMerge/>
            <w:tcBorders>
              <w:top w:val="nil"/>
              <w:left w:val="nil"/>
              <w:bottom w:val="single" w:sz="12" w:space="0" w:color="008000"/>
              <w:right w:val="nil"/>
            </w:tcBorders>
            <w:vAlign w:val="center"/>
            <w:hideMark/>
          </w:tcPr>
          <w:p w14:paraId="5B339FBF" w14:textId="77777777" w:rsidR="003D3B05" w:rsidRPr="003D3B05" w:rsidRDefault="003D3B05" w:rsidP="009512ED">
            <w:pPr>
              <w:tabs>
                <w:tab w:val="clear" w:pos="7100"/>
              </w:tabs>
              <w:spacing w:line="240" w:lineRule="auto"/>
              <w:rPr>
                <w:rFonts w:cs="Arial"/>
                <w:color w:val="000000"/>
                <w:szCs w:val="18"/>
                <w:lang w:val="pt-BR" w:eastAsia="pt-BR"/>
              </w:rPr>
            </w:pPr>
          </w:p>
        </w:tc>
        <w:tc>
          <w:tcPr>
            <w:tcW w:w="460" w:type="dxa"/>
            <w:tcBorders>
              <w:top w:val="nil"/>
              <w:left w:val="nil"/>
              <w:bottom w:val="nil"/>
              <w:right w:val="nil"/>
            </w:tcBorders>
            <w:shd w:val="clear" w:color="000000" w:fill="FFFFFF"/>
            <w:noWrap/>
            <w:vAlign w:val="center"/>
            <w:hideMark/>
          </w:tcPr>
          <w:p w14:paraId="668459F8" w14:textId="6ED074FE"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2</w:t>
            </w:r>
            <w:r w:rsidR="00196225">
              <w:rPr>
                <w:rFonts w:cs="Arial"/>
                <w:color w:val="000000"/>
                <w:szCs w:val="18"/>
                <w:lang w:val="pt-BR" w:eastAsia="pt-BR"/>
              </w:rPr>
              <w:t>.</w:t>
            </w:r>
            <w:r w:rsidRPr="003D3B05">
              <w:rPr>
                <w:rFonts w:cs="Arial"/>
                <w:color w:val="000000"/>
                <w:szCs w:val="18"/>
                <w:lang w:val="pt-BR" w:eastAsia="pt-BR"/>
              </w:rPr>
              <w:t>5</w:t>
            </w:r>
          </w:p>
        </w:tc>
        <w:tc>
          <w:tcPr>
            <w:tcW w:w="980" w:type="dxa"/>
            <w:tcBorders>
              <w:top w:val="nil"/>
              <w:left w:val="nil"/>
              <w:bottom w:val="nil"/>
              <w:right w:val="nil"/>
            </w:tcBorders>
            <w:shd w:val="clear" w:color="000000" w:fill="FFFFFF"/>
            <w:noWrap/>
            <w:vAlign w:val="center"/>
            <w:hideMark/>
          </w:tcPr>
          <w:p w14:paraId="7E7C7B65" w14:textId="04639DC2"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0662</w:t>
            </w:r>
            <w:r w:rsidRPr="00EA0859">
              <w:rPr>
                <w:rFonts w:cs="Arial"/>
                <w:color w:val="000000"/>
                <w:szCs w:val="18"/>
                <w:vertAlign w:val="superscript"/>
                <w:lang w:val="pt-BR" w:eastAsia="pt-BR"/>
              </w:rPr>
              <w:t>a</w:t>
            </w:r>
          </w:p>
        </w:tc>
        <w:tc>
          <w:tcPr>
            <w:tcW w:w="740" w:type="dxa"/>
            <w:tcBorders>
              <w:top w:val="nil"/>
              <w:left w:val="nil"/>
              <w:bottom w:val="nil"/>
              <w:right w:val="nil"/>
            </w:tcBorders>
            <w:shd w:val="clear" w:color="000000" w:fill="FFFFFF"/>
            <w:noWrap/>
            <w:vAlign w:val="center"/>
            <w:hideMark/>
          </w:tcPr>
          <w:p w14:paraId="0896DF03" w14:textId="4CE6565F"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1251</w:t>
            </w:r>
          </w:p>
        </w:tc>
        <w:tc>
          <w:tcPr>
            <w:tcW w:w="740" w:type="dxa"/>
            <w:tcBorders>
              <w:top w:val="nil"/>
              <w:left w:val="nil"/>
              <w:bottom w:val="nil"/>
              <w:right w:val="nil"/>
            </w:tcBorders>
            <w:shd w:val="clear" w:color="000000" w:fill="FFFFFF"/>
            <w:noWrap/>
            <w:vAlign w:val="center"/>
            <w:hideMark/>
          </w:tcPr>
          <w:p w14:paraId="1EF61962" w14:textId="13BA7948"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9383</w:t>
            </w:r>
          </w:p>
        </w:tc>
        <w:tc>
          <w:tcPr>
            <w:tcW w:w="680" w:type="dxa"/>
            <w:tcBorders>
              <w:top w:val="nil"/>
              <w:left w:val="nil"/>
              <w:bottom w:val="nil"/>
              <w:right w:val="nil"/>
            </w:tcBorders>
            <w:shd w:val="clear" w:color="000000" w:fill="FFFFFF"/>
            <w:noWrap/>
            <w:vAlign w:val="center"/>
            <w:hideMark/>
          </w:tcPr>
          <w:p w14:paraId="62388D48" w14:textId="5FD3F8B1"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2</w:t>
            </w:r>
            <w:r w:rsidR="00196225">
              <w:rPr>
                <w:rFonts w:cs="Arial"/>
                <w:color w:val="000000"/>
                <w:szCs w:val="18"/>
                <w:lang w:val="pt-BR" w:eastAsia="pt-BR"/>
              </w:rPr>
              <w:t>.</w:t>
            </w:r>
            <w:r w:rsidRPr="003D3B05">
              <w:rPr>
                <w:rFonts w:cs="Arial"/>
                <w:color w:val="000000"/>
                <w:szCs w:val="18"/>
                <w:lang w:val="pt-BR" w:eastAsia="pt-BR"/>
              </w:rPr>
              <w:t>6529</w:t>
            </w:r>
          </w:p>
        </w:tc>
        <w:tc>
          <w:tcPr>
            <w:tcW w:w="980" w:type="dxa"/>
            <w:tcBorders>
              <w:top w:val="nil"/>
              <w:left w:val="nil"/>
              <w:bottom w:val="nil"/>
              <w:right w:val="nil"/>
            </w:tcBorders>
            <w:shd w:val="clear" w:color="000000" w:fill="FFFFFF"/>
            <w:noWrap/>
            <w:vAlign w:val="center"/>
            <w:hideMark/>
          </w:tcPr>
          <w:p w14:paraId="2E90E457" w14:textId="18E897EB"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0742</w:t>
            </w:r>
            <w:r w:rsidRPr="00EA0859">
              <w:rPr>
                <w:rFonts w:cs="Arial"/>
                <w:color w:val="000000"/>
                <w:szCs w:val="18"/>
                <w:vertAlign w:val="superscript"/>
                <w:lang w:val="pt-BR" w:eastAsia="pt-BR"/>
              </w:rPr>
              <w:t>a</w:t>
            </w:r>
          </w:p>
        </w:tc>
        <w:tc>
          <w:tcPr>
            <w:tcW w:w="680" w:type="dxa"/>
            <w:tcBorders>
              <w:top w:val="nil"/>
              <w:left w:val="nil"/>
              <w:bottom w:val="nil"/>
              <w:right w:val="nil"/>
            </w:tcBorders>
            <w:shd w:val="clear" w:color="000000" w:fill="FFFFFF"/>
            <w:noWrap/>
            <w:vAlign w:val="center"/>
            <w:hideMark/>
          </w:tcPr>
          <w:p w14:paraId="0794A7A3" w14:textId="09F48A48"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1125</w:t>
            </w:r>
          </w:p>
        </w:tc>
        <w:tc>
          <w:tcPr>
            <w:tcW w:w="680" w:type="dxa"/>
            <w:tcBorders>
              <w:top w:val="nil"/>
              <w:left w:val="nil"/>
              <w:bottom w:val="nil"/>
              <w:right w:val="nil"/>
            </w:tcBorders>
            <w:shd w:val="clear" w:color="000000" w:fill="FFFFFF"/>
            <w:noWrap/>
            <w:vAlign w:val="center"/>
            <w:hideMark/>
          </w:tcPr>
          <w:p w14:paraId="6CEFDD5F" w14:textId="3E746EAA"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9445</w:t>
            </w:r>
          </w:p>
        </w:tc>
        <w:tc>
          <w:tcPr>
            <w:tcW w:w="680" w:type="dxa"/>
            <w:tcBorders>
              <w:top w:val="nil"/>
              <w:left w:val="nil"/>
              <w:bottom w:val="nil"/>
              <w:right w:val="nil"/>
            </w:tcBorders>
            <w:shd w:val="clear" w:color="000000" w:fill="FFFFFF"/>
            <w:noWrap/>
            <w:vAlign w:val="center"/>
            <w:hideMark/>
          </w:tcPr>
          <w:p w14:paraId="490C7874" w14:textId="385B8BC1"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2</w:t>
            </w:r>
            <w:r w:rsidR="00196225">
              <w:rPr>
                <w:rFonts w:cs="Arial"/>
                <w:color w:val="000000"/>
                <w:szCs w:val="18"/>
                <w:lang w:val="pt-BR" w:eastAsia="pt-BR"/>
              </w:rPr>
              <w:t>.</w:t>
            </w:r>
            <w:r w:rsidRPr="003D3B05">
              <w:rPr>
                <w:rFonts w:cs="Arial"/>
                <w:color w:val="000000"/>
                <w:szCs w:val="18"/>
                <w:lang w:val="pt-BR" w:eastAsia="pt-BR"/>
              </w:rPr>
              <w:t>8160</w:t>
            </w:r>
          </w:p>
        </w:tc>
      </w:tr>
      <w:tr w:rsidR="003D3B05" w:rsidRPr="003D3B05" w14:paraId="15625E4E" w14:textId="77777777" w:rsidTr="003D3B05">
        <w:trPr>
          <w:trHeight w:val="300"/>
        </w:trPr>
        <w:tc>
          <w:tcPr>
            <w:tcW w:w="1140" w:type="dxa"/>
            <w:vMerge/>
            <w:tcBorders>
              <w:top w:val="nil"/>
              <w:left w:val="nil"/>
              <w:bottom w:val="single" w:sz="12" w:space="0" w:color="008000"/>
              <w:right w:val="nil"/>
            </w:tcBorders>
            <w:vAlign w:val="center"/>
            <w:hideMark/>
          </w:tcPr>
          <w:p w14:paraId="07412DA8" w14:textId="77777777" w:rsidR="003D3B05" w:rsidRPr="003D3B05" w:rsidRDefault="003D3B05" w:rsidP="009512ED">
            <w:pPr>
              <w:tabs>
                <w:tab w:val="clear" w:pos="7100"/>
              </w:tabs>
              <w:spacing w:line="240" w:lineRule="auto"/>
              <w:rPr>
                <w:rFonts w:cs="Arial"/>
                <w:color w:val="000000"/>
                <w:szCs w:val="18"/>
                <w:lang w:val="pt-BR" w:eastAsia="pt-BR"/>
              </w:rPr>
            </w:pPr>
          </w:p>
        </w:tc>
        <w:tc>
          <w:tcPr>
            <w:tcW w:w="460" w:type="dxa"/>
            <w:tcBorders>
              <w:top w:val="nil"/>
              <w:left w:val="nil"/>
              <w:bottom w:val="nil"/>
              <w:right w:val="nil"/>
            </w:tcBorders>
            <w:shd w:val="clear" w:color="000000" w:fill="FFFFFF"/>
            <w:noWrap/>
            <w:vAlign w:val="center"/>
            <w:hideMark/>
          </w:tcPr>
          <w:p w14:paraId="6A813037" w14:textId="77777777" w:rsidR="003D3B05" w:rsidRPr="003D3B05" w:rsidRDefault="003D3B05" w:rsidP="009512ED">
            <w:pPr>
              <w:tabs>
                <w:tab w:val="clear" w:pos="7100"/>
              </w:tabs>
              <w:spacing w:line="240" w:lineRule="auto"/>
              <w:rPr>
                <w:rFonts w:cs="Arial"/>
                <w:color w:val="000000"/>
                <w:szCs w:val="18"/>
                <w:lang w:val="pt-BR" w:eastAsia="pt-BR"/>
              </w:rPr>
            </w:pPr>
            <w:proofErr w:type="gramStart"/>
            <w:r w:rsidRPr="003D3B05">
              <w:rPr>
                <w:rFonts w:cs="Arial"/>
                <w:color w:val="000000"/>
                <w:szCs w:val="18"/>
                <w:lang w:val="pt-BR" w:eastAsia="pt-BR"/>
              </w:rPr>
              <w:t>3</w:t>
            </w:r>
            <w:proofErr w:type="gramEnd"/>
          </w:p>
        </w:tc>
        <w:tc>
          <w:tcPr>
            <w:tcW w:w="980" w:type="dxa"/>
            <w:tcBorders>
              <w:top w:val="nil"/>
              <w:left w:val="nil"/>
              <w:bottom w:val="nil"/>
              <w:right w:val="nil"/>
            </w:tcBorders>
            <w:shd w:val="clear" w:color="000000" w:fill="FFFFFF"/>
            <w:noWrap/>
            <w:vAlign w:val="center"/>
            <w:hideMark/>
          </w:tcPr>
          <w:p w14:paraId="792391EF" w14:textId="385D07D4"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0637</w:t>
            </w:r>
            <w:r w:rsidRPr="00EA0859">
              <w:rPr>
                <w:rFonts w:cs="Arial"/>
                <w:color w:val="000000"/>
                <w:szCs w:val="18"/>
                <w:vertAlign w:val="superscript"/>
                <w:lang w:val="pt-BR" w:eastAsia="pt-BR"/>
              </w:rPr>
              <w:t>a</w:t>
            </w:r>
          </w:p>
        </w:tc>
        <w:tc>
          <w:tcPr>
            <w:tcW w:w="740" w:type="dxa"/>
            <w:tcBorders>
              <w:top w:val="nil"/>
              <w:left w:val="nil"/>
              <w:bottom w:val="nil"/>
              <w:right w:val="nil"/>
            </w:tcBorders>
            <w:shd w:val="clear" w:color="000000" w:fill="FFFFFF"/>
            <w:noWrap/>
            <w:vAlign w:val="center"/>
            <w:hideMark/>
          </w:tcPr>
          <w:p w14:paraId="64A26380" w14:textId="41CD4B13"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1514</w:t>
            </w:r>
          </w:p>
        </w:tc>
        <w:tc>
          <w:tcPr>
            <w:tcW w:w="740" w:type="dxa"/>
            <w:tcBorders>
              <w:top w:val="nil"/>
              <w:left w:val="nil"/>
              <w:bottom w:val="nil"/>
              <w:right w:val="nil"/>
            </w:tcBorders>
            <w:shd w:val="clear" w:color="000000" w:fill="FFFFFF"/>
            <w:noWrap/>
            <w:vAlign w:val="center"/>
            <w:hideMark/>
          </w:tcPr>
          <w:p w14:paraId="44D01212" w14:textId="75DD406A"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9329</w:t>
            </w:r>
          </w:p>
        </w:tc>
        <w:tc>
          <w:tcPr>
            <w:tcW w:w="680" w:type="dxa"/>
            <w:tcBorders>
              <w:top w:val="nil"/>
              <w:left w:val="nil"/>
              <w:bottom w:val="nil"/>
              <w:right w:val="nil"/>
            </w:tcBorders>
            <w:shd w:val="clear" w:color="000000" w:fill="FFFFFF"/>
            <w:noWrap/>
            <w:vAlign w:val="center"/>
            <w:hideMark/>
          </w:tcPr>
          <w:p w14:paraId="7D521DF1" w14:textId="5F2F88A0"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2</w:t>
            </w:r>
            <w:r w:rsidR="00196225">
              <w:rPr>
                <w:rFonts w:cs="Arial"/>
                <w:color w:val="000000"/>
                <w:szCs w:val="18"/>
                <w:lang w:val="pt-BR" w:eastAsia="pt-BR"/>
              </w:rPr>
              <w:t>.</w:t>
            </w:r>
            <w:r w:rsidRPr="003D3B05">
              <w:rPr>
                <w:rFonts w:cs="Arial"/>
                <w:color w:val="000000"/>
                <w:szCs w:val="18"/>
                <w:lang w:val="pt-BR" w:eastAsia="pt-BR"/>
              </w:rPr>
              <w:t>3976</w:t>
            </w:r>
          </w:p>
        </w:tc>
        <w:tc>
          <w:tcPr>
            <w:tcW w:w="980" w:type="dxa"/>
            <w:tcBorders>
              <w:top w:val="nil"/>
              <w:left w:val="nil"/>
              <w:bottom w:val="nil"/>
              <w:right w:val="nil"/>
            </w:tcBorders>
            <w:shd w:val="clear" w:color="000000" w:fill="FFFFFF"/>
            <w:noWrap/>
            <w:vAlign w:val="center"/>
            <w:hideMark/>
          </w:tcPr>
          <w:p w14:paraId="5253ABD9" w14:textId="3B0E5F5C"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0736</w:t>
            </w:r>
            <w:r w:rsidRPr="00EA0859">
              <w:rPr>
                <w:rFonts w:cs="Arial"/>
                <w:color w:val="000000"/>
                <w:szCs w:val="18"/>
                <w:vertAlign w:val="superscript"/>
                <w:lang w:val="pt-BR" w:eastAsia="pt-BR"/>
              </w:rPr>
              <w:t>a</w:t>
            </w:r>
          </w:p>
        </w:tc>
        <w:tc>
          <w:tcPr>
            <w:tcW w:w="680" w:type="dxa"/>
            <w:tcBorders>
              <w:top w:val="nil"/>
              <w:left w:val="nil"/>
              <w:bottom w:val="nil"/>
              <w:right w:val="nil"/>
            </w:tcBorders>
            <w:shd w:val="clear" w:color="000000" w:fill="FFFFFF"/>
            <w:noWrap/>
            <w:vAlign w:val="center"/>
            <w:hideMark/>
          </w:tcPr>
          <w:p w14:paraId="6EF48310" w14:textId="42399755"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1269</w:t>
            </w:r>
          </w:p>
        </w:tc>
        <w:tc>
          <w:tcPr>
            <w:tcW w:w="680" w:type="dxa"/>
            <w:tcBorders>
              <w:top w:val="nil"/>
              <w:left w:val="nil"/>
              <w:bottom w:val="nil"/>
              <w:right w:val="nil"/>
            </w:tcBorders>
            <w:shd w:val="clear" w:color="000000" w:fill="FFFFFF"/>
            <w:noWrap/>
            <w:vAlign w:val="center"/>
            <w:hideMark/>
          </w:tcPr>
          <w:p w14:paraId="3554F7D9" w14:textId="6CB80E05"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9146</w:t>
            </w:r>
          </w:p>
        </w:tc>
        <w:tc>
          <w:tcPr>
            <w:tcW w:w="680" w:type="dxa"/>
            <w:tcBorders>
              <w:top w:val="nil"/>
              <w:left w:val="nil"/>
              <w:bottom w:val="nil"/>
              <w:right w:val="nil"/>
            </w:tcBorders>
            <w:shd w:val="clear" w:color="000000" w:fill="FFFFFF"/>
            <w:noWrap/>
            <w:vAlign w:val="center"/>
            <w:hideMark/>
          </w:tcPr>
          <w:p w14:paraId="17B4FD33" w14:textId="2AE6A9AC"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2</w:t>
            </w:r>
            <w:r w:rsidR="00196225">
              <w:rPr>
                <w:rFonts w:cs="Arial"/>
                <w:color w:val="000000"/>
                <w:szCs w:val="18"/>
                <w:lang w:val="pt-BR" w:eastAsia="pt-BR"/>
              </w:rPr>
              <w:t>.</w:t>
            </w:r>
            <w:r w:rsidRPr="003D3B05">
              <w:rPr>
                <w:rFonts w:cs="Arial"/>
                <w:color w:val="000000"/>
                <w:szCs w:val="18"/>
                <w:lang w:val="pt-BR" w:eastAsia="pt-BR"/>
              </w:rPr>
              <w:t>5674</w:t>
            </w:r>
          </w:p>
        </w:tc>
      </w:tr>
      <w:tr w:rsidR="003D3B05" w:rsidRPr="003D3B05" w14:paraId="74F27174" w14:textId="77777777" w:rsidTr="003D3B05">
        <w:trPr>
          <w:trHeight w:val="300"/>
        </w:trPr>
        <w:tc>
          <w:tcPr>
            <w:tcW w:w="1140" w:type="dxa"/>
            <w:vMerge/>
            <w:tcBorders>
              <w:top w:val="nil"/>
              <w:left w:val="nil"/>
              <w:bottom w:val="single" w:sz="12" w:space="0" w:color="008000"/>
              <w:right w:val="nil"/>
            </w:tcBorders>
            <w:vAlign w:val="center"/>
            <w:hideMark/>
          </w:tcPr>
          <w:p w14:paraId="79C88277" w14:textId="77777777" w:rsidR="003D3B05" w:rsidRPr="003D3B05" w:rsidRDefault="003D3B05" w:rsidP="009512ED">
            <w:pPr>
              <w:tabs>
                <w:tab w:val="clear" w:pos="7100"/>
              </w:tabs>
              <w:spacing w:line="240" w:lineRule="auto"/>
              <w:rPr>
                <w:rFonts w:cs="Arial"/>
                <w:color w:val="000000"/>
                <w:szCs w:val="18"/>
                <w:lang w:val="pt-BR" w:eastAsia="pt-BR"/>
              </w:rPr>
            </w:pPr>
          </w:p>
        </w:tc>
        <w:tc>
          <w:tcPr>
            <w:tcW w:w="460" w:type="dxa"/>
            <w:tcBorders>
              <w:top w:val="nil"/>
              <w:left w:val="nil"/>
              <w:bottom w:val="nil"/>
              <w:right w:val="nil"/>
            </w:tcBorders>
            <w:shd w:val="clear" w:color="000000" w:fill="FFFFFF"/>
            <w:noWrap/>
            <w:vAlign w:val="center"/>
            <w:hideMark/>
          </w:tcPr>
          <w:p w14:paraId="1C420EE9" w14:textId="3FE74AB1"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3</w:t>
            </w:r>
            <w:r w:rsidR="00196225">
              <w:rPr>
                <w:rFonts w:cs="Arial"/>
                <w:color w:val="000000"/>
                <w:szCs w:val="18"/>
                <w:lang w:val="pt-BR" w:eastAsia="pt-BR"/>
              </w:rPr>
              <w:t>.</w:t>
            </w:r>
            <w:r w:rsidRPr="003D3B05">
              <w:rPr>
                <w:rFonts w:cs="Arial"/>
                <w:color w:val="000000"/>
                <w:szCs w:val="18"/>
                <w:lang w:val="pt-BR" w:eastAsia="pt-BR"/>
              </w:rPr>
              <w:t>5</w:t>
            </w:r>
          </w:p>
        </w:tc>
        <w:tc>
          <w:tcPr>
            <w:tcW w:w="980" w:type="dxa"/>
            <w:tcBorders>
              <w:top w:val="nil"/>
              <w:left w:val="nil"/>
              <w:bottom w:val="nil"/>
              <w:right w:val="nil"/>
            </w:tcBorders>
            <w:shd w:val="clear" w:color="000000" w:fill="FFFFFF"/>
            <w:noWrap/>
            <w:vAlign w:val="center"/>
            <w:hideMark/>
          </w:tcPr>
          <w:p w14:paraId="2D42C7E7" w14:textId="7725965D"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0638</w:t>
            </w:r>
            <w:r w:rsidRPr="00EA0859">
              <w:rPr>
                <w:rFonts w:cs="Arial"/>
                <w:color w:val="000000"/>
                <w:szCs w:val="18"/>
                <w:vertAlign w:val="superscript"/>
                <w:lang w:val="pt-BR" w:eastAsia="pt-BR"/>
              </w:rPr>
              <w:t>a</w:t>
            </w:r>
          </w:p>
        </w:tc>
        <w:tc>
          <w:tcPr>
            <w:tcW w:w="740" w:type="dxa"/>
            <w:tcBorders>
              <w:top w:val="nil"/>
              <w:left w:val="nil"/>
              <w:bottom w:val="nil"/>
              <w:right w:val="nil"/>
            </w:tcBorders>
            <w:shd w:val="clear" w:color="000000" w:fill="FFFFFF"/>
            <w:noWrap/>
            <w:vAlign w:val="center"/>
            <w:hideMark/>
          </w:tcPr>
          <w:p w14:paraId="75FBB8CA" w14:textId="2A238FBF"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1721</w:t>
            </w:r>
          </w:p>
        </w:tc>
        <w:tc>
          <w:tcPr>
            <w:tcW w:w="740" w:type="dxa"/>
            <w:tcBorders>
              <w:top w:val="nil"/>
              <w:left w:val="nil"/>
              <w:bottom w:val="nil"/>
              <w:right w:val="nil"/>
            </w:tcBorders>
            <w:shd w:val="clear" w:color="000000" w:fill="FFFFFF"/>
            <w:noWrap/>
            <w:vAlign w:val="center"/>
            <w:hideMark/>
          </w:tcPr>
          <w:p w14:paraId="54ED0F59" w14:textId="235F3B03"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9405</w:t>
            </w:r>
          </w:p>
        </w:tc>
        <w:tc>
          <w:tcPr>
            <w:tcW w:w="680" w:type="dxa"/>
            <w:tcBorders>
              <w:top w:val="nil"/>
              <w:left w:val="nil"/>
              <w:bottom w:val="nil"/>
              <w:right w:val="nil"/>
            </w:tcBorders>
            <w:shd w:val="clear" w:color="000000" w:fill="FFFFFF"/>
            <w:noWrap/>
            <w:vAlign w:val="center"/>
            <w:hideMark/>
          </w:tcPr>
          <w:p w14:paraId="2572ADD0" w14:textId="7C26AA3E"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2</w:t>
            </w:r>
            <w:r w:rsidR="00196225">
              <w:rPr>
                <w:rFonts w:cs="Arial"/>
                <w:color w:val="000000"/>
                <w:szCs w:val="18"/>
                <w:lang w:val="pt-BR" w:eastAsia="pt-BR"/>
              </w:rPr>
              <w:t>.</w:t>
            </w:r>
            <w:r w:rsidRPr="003D3B05">
              <w:rPr>
                <w:rFonts w:cs="Arial"/>
                <w:color w:val="000000"/>
                <w:szCs w:val="18"/>
                <w:lang w:val="pt-BR" w:eastAsia="pt-BR"/>
              </w:rPr>
              <w:t>2671</w:t>
            </w:r>
          </w:p>
        </w:tc>
        <w:tc>
          <w:tcPr>
            <w:tcW w:w="980" w:type="dxa"/>
            <w:tcBorders>
              <w:top w:val="nil"/>
              <w:left w:val="nil"/>
              <w:bottom w:val="nil"/>
              <w:right w:val="nil"/>
            </w:tcBorders>
            <w:shd w:val="clear" w:color="000000" w:fill="FFFFFF"/>
            <w:noWrap/>
            <w:vAlign w:val="center"/>
            <w:hideMark/>
          </w:tcPr>
          <w:p w14:paraId="3B82CE4B" w14:textId="19B6F460"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0708</w:t>
            </w:r>
            <w:r w:rsidRPr="00EA0859">
              <w:rPr>
                <w:rFonts w:cs="Arial"/>
                <w:color w:val="000000"/>
                <w:szCs w:val="18"/>
                <w:vertAlign w:val="superscript"/>
                <w:lang w:val="pt-BR" w:eastAsia="pt-BR"/>
              </w:rPr>
              <w:t>a</w:t>
            </w:r>
          </w:p>
        </w:tc>
        <w:tc>
          <w:tcPr>
            <w:tcW w:w="680" w:type="dxa"/>
            <w:tcBorders>
              <w:top w:val="nil"/>
              <w:left w:val="nil"/>
              <w:bottom w:val="nil"/>
              <w:right w:val="nil"/>
            </w:tcBorders>
            <w:shd w:val="clear" w:color="000000" w:fill="FFFFFF"/>
            <w:noWrap/>
            <w:vAlign w:val="center"/>
            <w:hideMark/>
          </w:tcPr>
          <w:p w14:paraId="2430E2E6" w14:textId="4B8577C2"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0977</w:t>
            </w:r>
          </w:p>
        </w:tc>
        <w:tc>
          <w:tcPr>
            <w:tcW w:w="680" w:type="dxa"/>
            <w:tcBorders>
              <w:top w:val="nil"/>
              <w:left w:val="nil"/>
              <w:bottom w:val="nil"/>
              <w:right w:val="nil"/>
            </w:tcBorders>
            <w:shd w:val="clear" w:color="000000" w:fill="FFFFFF"/>
            <w:noWrap/>
            <w:vAlign w:val="center"/>
            <w:hideMark/>
          </w:tcPr>
          <w:p w14:paraId="027D4842" w14:textId="517C8F07"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9539</w:t>
            </w:r>
          </w:p>
        </w:tc>
        <w:tc>
          <w:tcPr>
            <w:tcW w:w="680" w:type="dxa"/>
            <w:tcBorders>
              <w:top w:val="nil"/>
              <w:left w:val="nil"/>
              <w:bottom w:val="nil"/>
              <w:right w:val="nil"/>
            </w:tcBorders>
            <w:shd w:val="clear" w:color="000000" w:fill="FFFFFF"/>
            <w:noWrap/>
            <w:vAlign w:val="center"/>
            <w:hideMark/>
          </w:tcPr>
          <w:p w14:paraId="1B49B005" w14:textId="1F91A2F3"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3</w:t>
            </w:r>
            <w:r w:rsidR="00196225">
              <w:rPr>
                <w:rFonts w:cs="Arial"/>
                <w:color w:val="000000"/>
                <w:szCs w:val="18"/>
                <w:lang w:val="pt-BR" w:eastAsia="pt-BR"/>
              </w:rPr>
              <w:t>.</w:t>
            </w:r>
            <w:r w:rsidRPr="003D3B05">
              <w:rPr>
                <w:rFonts w:cs="Arial"/>
                <w:color w:val="000000"/>
                <w:szCs w:val="18"/>
                <w:lang w:val="pt-BR" w:eastAsia="pt-BR"/>
              </w:rPr>
              <w:t>0518</w:t>
            </w:r>
          </w:p>
        </w:tc>
      </w:tr>
      <w:tr w:rsidR="003D3B05" w:rsidRPr="003D3B05" w14:paraId="71F916E1" w14:textId="77777777" w:rsidTr="003D3B05">
        <w:trPr>
          <w:trHeight w:val="300"/>
        </w:trPr>
        <w:tc>
          <w:tcPr>
            <w:tcW w:w="1140" w:type="dxa"/>
            <w:vMerge/>
            <w:tcBorders>
              <w:top w:val="nil"/>
              <w:left w:val="nil"/>
              <w:bottom w:val="single" w:sz="12" w:space="0" w:color="008000"/>
              <w:right w:val="nil"/>
            </w:tcBorders>
            <w:vAlign w:val="center"/>
            <w:hideMark/>
          </w:tcPr>
          <w:p w14:paraId="13F7647B" w14:textId="77777777" w:rsidR="003D3B05" w:rsidRPr="003D3B05" w:rsidRDefault="003D3B05" w:rsidP="009512ED">
            <w:pPr>
              <w:tabs>
                <w:tab w:val="clear" w:pos="7100"/>
              </w:tabs>
              <w:spacing w:line="240" w:lineRule="auto"/>
              <w:rPr>
                <w:rFonts w:cs="Arial"/>
                <w:color w:val="000000"/>
                <w:szCs w:val="18"/>
                <w:lang w:val="pt-BR" w:eastAsia="pt-BR"/>
              </w:rPr>
            </w:pPr>
          </w:p>
        </w:tc>
        <w:tc>
          <w:tcPr>
            <w:tcW w:w="460" w:type="dxa"/>
            <w:tcBorders>
              <w:top w:val="nil"/>
              <w:left w:val="nil"/>
              <w:bottom w:val="nil"/>
              <w:right w:val="nil"/>
            </w:tcBorders>
            <w:shd w:val="clear" w:color="000000" w:fill="FFFFFF"/>
            <w:noWrap/>
            <w:vAlign w:val="center"/>
            <w:hideMark/>
          </w:tcPr>
          <w:p w14:paraId="14D6878C" w14:textId="77777777" w:rsidR="003D3B05" w:rsidRPr="003D3B05" w:rsidRDefault="003D3B05" w:rsidP="009512ED">
            <w:pPr>
              <w:tabs>
                <w:tab w:val="clear" w:pos="7100"/>
              </w:tabs>
              <w:spacing w:line="240" w:lineRule="auto"/>
              <w:rPr>
                <w:rFonts w:cs="Arial"/>
                <w:color w:val="000000"/>
                <w:szCs w:val="18"/>
                <w:lang w:val="pt-BR" w:eastAsia="pt-BR"/>
              </w:rPr>
            </w:pPr>
            <w:proofErr w:type="gramStart"/>
            <w:r w:rsidRPr="003D3B05">
              <w:rPr>
                <w:rFonts w:cs="Arial"/>
                <w:color w:val="000000"/>
                <w:szCs w:val="18"/>
                <w:lang w:val="pt-BR" w:eastAsia="pt-BR"/>
              </w:rPr>
              <w:t>4</w:t>
            </w:r>
            <w:proofErr w:type="gramEnd"/>
          </w:p>
        </w:tc>
        <w:tc>
          <w:tcPr>
            <w:tcW w:w="980" w:type="dxa"/>
            <w:tcBorders>
              <w:top w:val="nil"/>
              <w:left w:val="nil"/>
              <w:bottom w:val="nil"/>
              <w:right w:val="nil"/>
            </w:tcBorders>
            <w:shd w:val="clear" w:color="000000" w:fill="FFFFFF"/>
            <w:noWrap/>
            <w:vAlign w:val="center"/>
            <w:hideMark/>
          </w:tcPr>
          <w:p w14:paraId="051AB691" w14:textId="753856A4"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0644</w:t>
            </w:r>
            <w:r w:rsidRPr="00EA0859">
              <w:rPr>
                <w:rFonts w:cs="Arial"/>
                <w:color w:val="000000"/>
                <w:szCs w:val="18"/>
                <w:vertAlign w:val="superscript"/>
                <w:lang w:val="pt-BR" w:eastAsia="pt-BR"/>
              </w:rPr>
              <w:t>a</w:t>
            </w:r>
          </w:p>
        </w:tc>
        <w:tc>
          <w:tcPr>
            <w:tcW w:w="740" w:type="dxa"/>
            <w:tcBorders>
              <w:top w:val="nil"/>
              <w:left w:val="nil"/>
              <w:bottom w:val="nil"/>
              <w:right w:val="nil"/>
            </w:tcBorders>
            <w:shd w:val="clear" w:color="000000" w:fill="FFFFFF"/>
            <w:noWrap/>
            <w:vAlign w:val="center"/>
            <w:hideMark/>
          </w:tcPr>
          <w:p w14:paraId="6CDA8EB2" w14:textId="543A8FF9"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1314</w:t>
            </w:r>
          </w:p>
        </w:tc>
        <w:tc>
          <w:tcPr>
            <w:tcW w:w="740" w:type="dxa"/>
            <w:tcBorders>
              <w:top w:val="nil"/>
              <w:left w:val="nil"/>
              <w:bottom w:val="nil"/>
              <w:right w:val="nil"/>
            </w:tcBorders>
            <w:shd w:val="clear" w:color="000000" w:fill="FFFFFF"/>
            <w:noWrap/>
            <w:vAlign w:val="center"/>
            <w:hideMark/>
          </w:tcPr>
          <w:p w14:paraId="17A14172" w14:textId="007077E0"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9467</w:t>
            </w:r>
          </w:p>
        </w:tc>
        <w:tc>
          <w:tcPr>
            <w:tcW w:w="680" w:type="dxa"/>
            <w:tcBorders>
              <w:top w:val="nil"/>
              <w:left w:val="nil"/>
              <w:bottom w:val="nil"/>
              <w:right w:val="nil"/>
            </w:tcBorders>
            <w:shd w:val="clear" w:color="000000" w:fill="FFFFFF"/>
            <w:noWrap/>
            <w:vAlign w:val="center"/>
            <w:hideMark/>
          </w:tcPr>
          <w:p w14:paraId="205872C8" w14:textId="02B83A50"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2</w:t>
            </w:r>
            <w:r w:rsidR="00196225">
              <w:rPr>
                <w:rFonts w:cs="Arial"/>
                <w:color w:val="000000"/>
                <w:szCs w:val="18"/>
                <w:lang w:val="pt-BR" w:eastAsia="pt-BR"/>
              </w:rPr>
              <w:t>.</w:t>
            </w:r>
            <w:r w:rsidRPr="003D3B05">
              <w:rPr>
                <w:rFonts w:cs="Arial"/>
                <w:color w:val="000000"/>
                <w:szCs w:val="18"/>
                <w:lang w:val="pt-BR" w:eastAsia="pt-BR"/>
              </w:rPr>
              <w:t>6116</w:t>
            </w:r>
          </w:p>
        </w:tc>
        <w:tc>
          <w:tcPr>
            <w:tcW w:w="980" w:type="dxa"/>
            <w:tcBorders>
              <w:top w:val="nil"/>
              <w:left w:val="nil"/>
              <w:bottom w:val="nil"/>
              <w:right w:val="nil"/>
            </w:tcBorders>
            <w:shd w:val="clear" w:color="000000" w:fill="FFFFFF"/>
            <w:noWrap/>
            <w:vAlign w:val="center"/>
            <w:hideMark/>
          </w:tcPr>
          <w:p w14:paraId="7C381741" w14:textId="06CE0F8A"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0665</w:t>
            </w:r>
            <w:r w:rsidRPr="00EA0859">
              <w:rPr>
                <w:rFonts w:cs="Arial"/>
                <w:color w:val="000000"/>
                <w:szCs w:val="18"/>
                <w:vertAlign w:val="superscript"/>
                <w:lang w:val="pt-BR" w:eastAsia="pt-BR"/>
              </w:rPr>
              <w:t>a</w:t>
            </w:r>
          </w:p>
        </w:tc>
        <w:tc>
          <w:tcPr>
            <w:tcW w:w="680" w:type="dxa"/>
            <w:tcBorders>
              <w:top w:val="nil"/>
              <w:left w:val="nil"/>
              <w:bottom w:val="nil"/>
              <w:right w:val="nil"/>
            </w:tcBorders>
            <w:shd w:val="clear" w:color="000000" w:fill="FFFFFF"/>
            <w:noWrap/>
            <w:vAlign w:val="center"/>
            <w:hideMark/>
          </w:tcPr>
          <w:p w14:paraId="0EE10616" w14:textId="12708E67"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1161</w:t>
            </w:r>
          </w:p>
        </w:tc>
        <w:tc>
          <w:tcPr>
            <w:tcW w:w="680" w:type="dxa"/>
            <w:tcBorders>
              <w:top w:val="nil"/>
              <w:left w:val="nil"/>
              <w:bottom w:val="nil"/>
              <w:right w:val="nil"/>
            </w:tcBorders>
            <w:shd w:val="clear" w:color="000000" w:fill="FFFFFF"/>
            <w:noWrap/>
            <w:vAlign w:val="center"/>
            <w:hideMark/>
          </w:tcPr>
          <w:p w14:paraId="69B33C00" w14:textId="267AFCEF"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9497</w:t>
            </w:r>
          </w:p>
        </w:tc>
        <w:tc>
          <w:tcPr>
            <w:tcW w:w="680" w:type="dxa"/>
            <w:tcBorders>
              <w:top w:val="nil"/>
              <w:left w:val="nil"/>
              <w:bottom w:val="nil"/>
              <w:right w:val="nil"/>
            </w:tcBorders>
            <w:shd w:val="clear" w:color="000000" w:fill="FFFFFF"/>
            <w:noWrap/>
            <w:vAlign w:val="center"/>
            <w:hideMark/>
          </w:tcPr>
          <w:p w14:paraId="1C11CD2E" w14:textId="39FCD3D5"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2</w:t>
            </w:r>
            <w:r w:rsidR="00196225">
              <w:rPr>
                <w:rFonts w:cs="Arial"/>
                <w:color w:val="000000"/>
                <w:szCs w:val="18"/>
                <w:lang w:val="pt-BR" w:eastAsia="pt-BR"/>
              </w:rPr>
              <w:t>.</w:t>
            </w:r>
            <w:r w:rsidRPr="003D3B05">
              <w:rPr>
                <w:rFonts w:cs="Arial"/>
                <w:color w:val="000000"/>
                <w:szCs w:val="18"/>
                <w:lang w:val="pt-BR" w:eastAsia="pt-BR"/>
              </w:rPr>
              <w:t>7872</w:t>
            </w:r>
          </w:p>
        </w:tc>
      </w:tr>
      <w:tr w:rsidR="003D3B05" w:rsidRPr="003D3B05" w14:paraId="315584CC" w14:textId="77777777" w:rsidTr="003D3B05">
        <w:trPr>
          <w:trHeight w:val="300"/>
        </w:trPr>
        <w:tc>
          <w:tcPr>
            <w:tcW w:w="1140" w:type="dxa"/>
            <w:vMerge/>
            <w:tcBorders>
              <w:top w:val="nil"/>
              <w:left w:val="nil"/>
              <w:bottom w:val="single" w:sz="12" w:space="0" w:color="008000"/>
              <w:right w:val="nil"/>
            </w:tcBorders>
            <w:vAlign w:val="center"/>
            <w:hideMark/>
          </w:tcPr>
          <w:p w14:paraId="7BEFA647" w14:textId="77777777" w:rsidR="003D3B05" w:rsidRPr="003D3B05" w:rsidRDefault="003D3B05" w:rsidP="009512ED">
            <w:pPr>
              <w:tabs>
                <w:tab w:val="clear" w:pos="7100"/>
              </w:tabs>
              <w:spacing w:line="240" w:lineRule="auto"/>
              <w:rPr>
                <w:rFonts w:cs="Arial"/>
                <w:color w:val="000000"/>
                <w:szCs w:val="18"/>
                <w:lang w:val="pt-BR" w:eastAsia="pt-BR"/>
              </w:rPr>
            </w:pPr>
          </w:p>
        </w:tc>
        <w:tc>
          <w:tcPr>
            <w:tcW w:w="460" w:type="dxa"/>
            <w:tcBorders>
              <w:top w:val="nil"/>
              <w:left w:val="nil"/>
              <w:bottom w:val="nil"/>
              <w:right w:val="nil"/>
            </w:tcBorders>
            <w:shd w:val="clear" w:color="000000" w:fill="FFFFFF"/>
            <w:noWrap/>
            <w:vAlign w:val="center"/>
            <w:hideMark/>
          </w:tcPr>
          <w:p w14:paraId="33CAEB67" w14:textId="3B191AF1"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4</w:t>
            </w:r>
            <w:r w:rsidR="00196225">
              <w:rPr>
                <w:rFonts w:cs="Arial"/>
                <w:color w:val="000000"/>
                <w:szCs w:val="18"/>
                <w:lang w:val="pt-BR" w:eastAsia="pt-BR"/>
              </w:rPr>
              <w:t>.</w:t>
            </w:r>
            <w:r w:rsidRPr="003D3B05">
              <w:rPr>
                <w:rFonts w:cs="Arial"/>
                <w:color w:val="000000"/>
                <w:szCs w:val="18"/>
                <w:lang w:val="pt-BR" w:eastAsia="pt-BR"/>
              </w:rPr>
              <w:t>5</w:t>
            </w:r>
          </w:p>
        </w:tc>
        <w:tc>
          <w:tcPr>
            <w:tcW w:w="980" w:type="dxa"/>
            <w:tcBorders>
              <w:top w:val="nil"/>
              <w:left w:val="nil"/>
              <w:bottom w:val="nil"/>
              <w:right w:val="nil"/>
            </w:tcBorders>
            <w:shd w:val="clear" w:color="000000" w:fill="FFFFFF"/>
            <w:noWrap/>
            <w:vAlign w:val="center"/>
            <w:hideMark/>
          </w:tcPr>
          <w:p w14:paraId="0AB5A0C5" w14:textId="12047AB5"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0598</w:t>
            </w:r>
            <w:r w:rsidRPr="00EA0859">
              <w:rPr>
                <w:rFonts w:cs="Arial"/>
                <w:color w:val="000000"/>
                <w:szCs w:val="18"/>
                <w:vertAlign w:val="superscript"/>
                <w:lang w:val="pt-BR" w:eastAsia="pt-BR"/>
              </w:rPr>
              <w:t>a</w:t>
            </w:r>
          </w:p>
        </w:tc>
        <w:tc>
          <w:tcPr>
            <w:tcW w:w="740" w:type="dxa"/>
            <w:tcBorders>
              <w:top w:val="nil"/>
              <w:left w:val="nil"/>
              <w:bottom w:val="nil"/>
              <w:right w:val="nil"/>
            </w:tcBorders>
            <w:shd w:val="clear" w:color="000000" w:fill="FFFFFF"/>
            <w:noWrap/>
            <w:vAlign w:val="center"/>
            <w:hideMark/>
          </w:tcPr>
          <w:p w14:paraId="74E54A94" w14:textId="5B443C4D"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1824</w:t>
            </w:r>
          </w:p>
        </w:tc>
        <w:tc>
          <w:tcPr>
            <w:tcW w:w="740" w:type="dxa"/>
            <w:tcBorders>
              <w:top w:val="nil"/>
              <w:left w:val="nil"/>
              <w:bottom w:val="nil"/>
              <w:right w:val="nil"/>
            </w:tcBorders>
            <w:shd w:val="clear" w:color="000000" w:fill="FFFFFF"/>
            <w:noWrap/>
            <w:vAlign w:val="center"/>
            <w:hideMark/>
          </w:tcPr>
          <w:p w14:paraId="1B6B05A1" w14:textId="6347BA4E"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9404</w:t>
            </w:r>
          </w:p>
        </w:tc>
        <w:tc>
          <w:tcPr>
            <w:tcW w:w="680" w:type="dxa"/>
            <w:tcBorders>
              <w:top w:val="nil"/>
              <w:left w:val="nil"/>
              <w:bottom w:val="nil"/>
              <w:right w:val="nil"/>
            </w:tcBorders>
            <w:shd w:val="clear" w:color="000000" w:fill="FFFFFF"/>
            <w:noWrap/>
            <w:vAlign w:val="center"/>
            <w:hideMark/>
          </w:tcPr>
          <w:p w14:paraId="73C3C0AF" w14:textId="46394F37"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2</w:t>
            </w:r>
            <w:r w:rsidR="00196225">
              <w:rPr>
                <w:rFonts w:cs="Arial"/>
                <w:color w:val="000000"/>
                <w:szCs w:val="18"/>
                <w:lang w:val="pt-BR" w:eastAsia="pt-BR"/>
              </w:rPr>
              <w:t>.</w:t>
            </w:r>
            <w:r w:rsidRPr="003D3B05">
              <w:rPr>
                <w:rFonts w:cs="Arial"/>
                <w:color w:val="000000"/>
                <w:szCs w:val="18"/>
                <w:lang w:val="pt-BR" w:eastAsia="pt-BR"/>
              </w:rPr>
              <w:t>2019</w:t>
            </w:r>
          </w:p>
        </w:tc>
        <w:tc>
          <w:tcPr>
            <w:tcW w:w="980" w:type="dxa"/>
            <w:tcBorders>
              <w:top w:val="nil"/>
              <w:left w:val="nil"/>
              <w:bottom w:val="nil"/>
              <w:right w:val="nil"/>
            </w:tcBorders>
            <w:shd w:val="clear" w:color="000000" w:fill="FFFFFF"/>
            <w:noWrap/>
            <w:vAlign w:val="center"/>
            <w:hideMark/>
          </w:tcPr>
          <w:p w14:paraId="37C3F98D" w14:textId="7899F48D"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0624</w:t>
            </w:r>
            <w:r w:rsidRPr="00EA0859">
              <w:rPr>
                <w:rFonts w:cs="Arial"/>
                <w:color w:val="000000"/>
                <w:szCs w:val="18"/>
                <w:vertAlign w:val="superscript"/>
                <w:lang w:val="pt-BR" w:eastAsia="pt-BR"/>
              </w:rPr>
              <w:t>a</w:t>
            </w:r>
          </w:p>
        </w:tc>
        <w:tc>
          <w:tcPr>
            <w:tcW w:w="680" w:type="dxa"/>
            <w:tcBorders>
              <w:top w:val="nil"/>
              <w:left w:val="nil"/>
              <w:bottom w:val="nil"/>
              <w:right w:val="nil"/>
            </w:tcBorders>
            <w:shd w:val="clear" w:color="000000" w:fill="FFFFFF"/>
            <w:noWrap/>
            <w:vAlign w:val="center"/>
            <w:hideMark/>
          </w:tcPr>
          <w:p w14:paraId="7449795A" w14:textId="6ACFF68D"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0927</w:t>
            </w:r>
          </w:p>
        </w:tc>
        <w:tc>
          <w:tcPr>
            <w:tcW w:w="680" w:type="dxa"/>
            <w:tcBorders>
              <w:top w:val="nil"/>
              <w:left w:val="nil"/>
              <w:bottom w:val="nil"/>
              <w:right w:val="nil"/>
            </w:tcBorders>
            <w:shd w:val="clear" w:color="000000" w:fill="FFFFFF"/>
            <w:noWrap/>
            <w:vAlign w:val="center"/>
            <w:hideMark/>
          </w:tcPr>
          <w:p w14:paraId="41C15773" w14:textId="73C0136A"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9642</w:t>
            </w:r>
          </w:p>
        </w:tc>
        <w:tc>
          <w:tcPr>
            <w:tcW w:w="680" w:type="dxa"/>
            <w:tcBorders>
              <w:top w:val="nil"/>
              <w:left w:val="nil"/>
              <w:bottom w:val="nil"/>
              <w:right w:val="nil"/>
            </w:tcBorders>
            <w:shd w:val="clear" w:color="000000" w:fill="FFFFFF"/>
            <w:noWrap/>
            <w:vAlign w:val="center"/>
            <w:hideMark/>
          </w:tcPr>
          <w:p w14:paraId="3144A408" w14:textId="179B6463"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3</w:t>
            </w:r>
            <w:r w:rsidR="00196225">
              <w:rPr>
                <w:rFonts w:cs="Arial"/>
                <w:color w:val="000000"/>
                <w:szCs w:val="18"/>
                <w:lang w:val="pt-BR" w:eastAsia="pt-BR"/>
              </w:rPr>
              <w:t>.</w:t>
            </w:r>
            <w:r w:rsidRPr="003D3B05">
              <w:rPr>
                <w:rFonts w:cs="Arial"/>
                <w:color w:val="000000"/>
                <w:szCs w:val="18"/>
                <w:lang w:val="pt-BR" w:eastAsia="pt-BR"/>
              </w:rPr>
              <w:t>1668</w:t>
            </w:r>
          </w:p>
        </w:tc>
      </w:tr>
      <w:tr w:rsidR="003D3B05" w:rsidRPr="003D3B05" w14:paraId="23494AB6" w14:textId="77777777" w:rsidTr="003D3B05">
        <w:trPr>
          <w:trHeight w:val="240"/>
        </w:trPr>
        <w:tc>
          <w:tcPr>
            <w:tcW w:w="1140" w:type="dxa"/>
            <w:vMerge/>
            <w:tcBorders>
              <w:top w:val="nil"/>
              <w:left w:val="nil"/>
              <w:bottom w:val="single" w:sz="12" w:space="0" w:color="008000"/>
              <w:right w:val="nil"/>
            </w:tcBorders>
            <w:vAlign w:val="center"/>
            <w:hideMark/>
          </w:tcPr>
          <w:p w14:paraId="38D4614C" w14:textId="77777777" w:rsidR="003D3B05" w:rsidRPr="003D3B05" w:rsidRDefault="003D3B05" w:rsidP="009512ED">
            <w:pPr>
              <w:tabs>
                <w:tab w:val="clear" w:pos="7100"/>
              </w:tabs>
              <w:spacing w:line="240" w:lineRule="auto"/>
              <w:rPr>
                <w:rFonts w:cs="Arial"/>
                <w:color w:val="000000"/>
                <w:szCs w:val="18"/>
                <w:lang w:val="pt-BR" w:eastAsia="pt-BR"/>
              </w:rPr>
            </w:pPr>
          </w:p>
        </w:tc>
        <w:tc>
          <w:tcPr>
            <w:tcW w:w="460" w:type="dxa"/>
            <w:tcBorders>
              <w:top w:val="nil"/>
              <w:left w:val="nil"/>
              <w:bottom w:val="single" w:sz="12" w:space="0" w:color="008000"/>
              <w:right w:val="nil"/>
            </w:tcBorders>
            <w:shd w:val="clear" w:color="000000" w:fill="FFFFFF"/>
            <w:vAlign w:val="center"/>
            <w:hideMark/>
          </w:tcPr>
          <w:p w14:paraId="46A57C9F" w14:textId="77777777" w:rsidR="003D3B05" w:rsidRPr="003D3B05" w:rsidRDefault="003D3B05" w:rsidP="009512ED">
            <w:pPr>
              <w:tabs>
                <w:tab w:val="clear" w:pos="7100"/>
              </w:tabs>
              <w:spacing w:line="240" w:lineRule="auto"/>
              <w:rPr>
                <w:rFonts w:cs="Arial"/>
                <w:color w:val="000000"/>
                <w:szCs w:val="18"/>
                <w:lang w:val="pt-BR" w:eastAsia="pt-BR"/>
              </w:rPr>
            </w:pPr>
            <w:proofErr w:type="gramStart"/>
            <w:r w:rsidRPr="003D3B05">
              <w:rPr>
                <w:rFonts w:cs="Arial"/>
                <w:color w:val="000000"/>
                <w:szCs w:val="18"/>
                <w:lang w:val="pt-BR" w:eastAsia="pt-BR"/>
              </w:rPr>
              <w:t>5</w:t>
            </w:r>
            <w:proofErr w:type="gramEnd"/>
          </w:p>
        </w:tc>
        <w:tc>
          <w:tcPr>
            <w:tcW w:w="980" w:type="dxa"/>
            <w:tcBorders>
              <w:top w:val="nil"/>
              <w:left w:val="nil"/>
              <w:bottom w:val="single" w:sz="12" w:space="0" w:color="008000"/>
              <w:right w:val="nil"/>
            </w:tcBorders>
            <w:shd w:val="clear" w:color="000000" w:fill="FFFFFF"/>
            <w:vAlign w:val="center"/>
            <w:hideMark/>
          </w:tcPr>
          <w:p w14:paraId="55AABBB3" w14:textId="68F3A217"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0582</w:t>
            </w:r>
            <w:r w:rsidRPr="00EA0859">
              <w:rPr>
                <w:rFonts w:cs="Arial"/>
                <w:color w:val="000000"/>
                <w:szCs w:val="18"/>
                <w:vertAlign w:val="superscript"/>
                <w:lang w:val="pt-BR" w:eastAsia="pt-BR"/>
              </w:rPr>
              <w:t>a</w:t>
            </w:r>
          </w:p>
        </w:tc>
        <w:tc>
          <w:tcPr>
            <w:tcW w:w="740" w:type="dxa"/>
            <w:tcBorders>
              <w:top w:val="nil"/>
              <w:left w:val="nil"/>
              <w:bottom w:val="single" w:sz="12" w:space="0" w:color="008000"/>
              <w:right w:val="nil"/>
            </w:tcBorders>
            <w:shd w:val="clear" w:color="000000" w:fill="FFFFFF"/>
            <w:vAlign w:val="center"/>
            <w:hideMark/>
          </w:tcPr>
          <w:p w14:paraId="11EF9700" w14:textId="02E952C6"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1857</w:t>
            </w:r>
          </w:p>
        </w:tc>
        <w:tc>
          <w:tcPr>
            <w:tcW w:w="740" w:type="dxa"/>
            <w:tcBorders>
              <w:top w:val="nil"/>
              <w:left w:val="nil"/>
              <w:bottom w:val="single" w:sz="12" w:space="0" w:color="008000"/>
              <w:right w:val="nil"/>
            </w:tcBorders>
            <w:shd w:val="clear" w:color="000000" w:fill="FFFFFF"/>
            <w:vAlign w:val="center"/>
            <w:hideMark/>
          </w:tcPr>
          <w:p w14:paraId="2F808DBA" w14:textId="7D955E19"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9088</w:t>
            </w:r>
          </w:p>
        </w:tc>
        <w:tc>
          <w:tcPr>
            <w:tcW w:w="680" w:type="dxa"/>
            <w:tcBorders>
              <w:top w:val="nil"/>
              <w:left w:val="nil"/>
              <w:bottom w:val="single" w:sz="12" w:space="0" w:color="008000"/>
              <w:right w:val="nil"/>
            </w:tcBorders>
            <w:shd w:val="clear" w:color="000000" w:fill="FFFFFF"/>
            <w:vAlign w:val="center"/>
            <w:hideMark/>
          </w:tcPr>
          <w:p w14:paraId="71C9F148" w14:textId="6D458982"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2</w:t>
            </w:r>
            <w:r w:rsidR="00196225">
              <w:rPr>
                <w:rFonts w:cs="Arial"/>
                <w:color w:val="000000"/>
                <w:szCs w:val="18"/>
                <w:lang w:val="pt-BR" w:eastAsia="pt-BR"/>
              </w:rPr>
              <w:t>.</w:t>
            </w:r>
            <w:r w:rsidRPr="003D3B05">
              <w:rPr>
                <w:rFonts w:cs="Arial"/>
                <w:color w:val="000000"/>
                <w:szCs w:val="18"/>
                <w:lang w:val="pt-BR" w:eastAsia="pt-BR"/>
              </w:rPr>
              <w:t>1089</w:t>
            </w:r>
          </w:p>
        </w:tc>
        <w:tc>
          <w:tcPr>
            <w:tcW w:w="980" w:type="dxa"/>
            <w:tcBorders>
              <w:top w:val="nil"/>
              <w:left w:val="nil"/>
              <w:bottom w:val="single" w:sz="12" w:space="0" w:color="008000"/>
              <w:right w:val="nil"/>
            </w:tcBorders>
            <w:shd w:val="clear" w:color="000000" w:fill="FFFFFF"/>
            <w:vAlign w:val="center"/>
            <w:hideMark/>
          </w:tcPr>
          <w:p w14:paraId="6B3A59C1" w14:textId="1EE14531"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0599</w:t>
            </w:r>
            <w:r w:rsidRPr="00EA0859">
              <w:rPr>
                <w:rFonts w:cs="Arial"/>
                <w:color w:val="000000"/>
                <w:szCs w:val="18"/>
                <w:vertAlign w:val="superscript"/>
                <w:lang w:val="pt-BR" w:eastAsia="pt-BR"/>
              </w:rPr>
              <w:t>a</w:t>
            </w:r>
          </w:p>
        </w:tc>
        <w:tc>
          <w:tcPr>
            <w:tcW w:w="680" w:type="dxa"/>
            <w:tcBorders>
              <w:top w:val="nil"/>
              <w:left w:val="nil"/>
              <w:bottom w:val="single" w:sz="12" w:space="0" w:color="008000"/>
              <w:right w:val="nil"/>
            </w:tcBorders>
            <w:shd w:val="clear" w:color="000000" w:fill="FFFFFF"/>
            <w:vAlign w:val="center"/>
            <w:hideMark/>
          </w:tcPr>
          <w:p w14:paraId="38923208" w14:textId="79638CD3"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07</w:t>
            </w:r>
            <w:r w:rsidR="009512ED" w:rsidRPr="009512ED">
              <w:rPr>
                <w:rFonts w:cs="Arial"/>
                <w:color w:val="000000"/>
                <w:szCs w:val="18"/>
                <w:lang w:val="pt-BR" w:eastAsia="pt-BR"/>
              </w:rPr>
              <w:t>76</w:t>
            </w:r>
          </w:p>
        </w:tc>
        <w:tc>
          <w:tcPr>
            <w:tcW w:w="680" w:type="dxa"/>
            <w:tcBorders>
              <w:top w:val="nil"/>
              <w:left w:val="nil"/>
              <w:bottom w:val="single" w:sz="12" w:space="0" w:color="008000"/>
              <w:right w:val="nil"/>
            </w:tcBorders>
            <w:shd w:val="clear" w:color="000000" w:fill="FFFFFF"/>
            <w:vAlign w:val="center"/>
            <w:hideMark/>
          </w:tcPr>
          <w:p w14:paraId="5B962C8E" w14:textId="5CE5C383"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0</w:t>
            </w:r>
            <w:r w:rsidR="00196225">
              <w:rPr>
                <w:rFonts w:cs="Arial"/>
                <w:color w:val="000000"/>
                <w:szCs w:val="18"/>
                <w:lang w:val="pt-BR" w:eastAsia="pt-BR"/>
              </w:rPr>
              <w:t>.</w:t>
            </w:r>
            <w:r w:rsidRPr="003D3B05">
              <w:rPr>
                <w:rFonts w:cs="Arial"/>
                <w:color w:val="000000"/>
                <w:szCs w:val="18"/>
                <w:lang w:val="pt-BR" w:eastAsia="pt-BR"/>
              </w:rPr>
              <w:t>979</w:t>
            </w:r>
            <w:r w:rsidR="009512ED" w:rsidRPr="009512ED">
              <w:rPr>
                <w:rFonts w:cs="Arial"/>
                <w:color w:val="000000"/>
                <w:szCs w:val="18"/>
                <w:lang w:val="pt-BR" w:eastAsia="pt-BR"/>
              </w:rPr>
              <w:t>0</w:t>
            </w:r>
          </w:p>
        </w:tc>
        <w:tc>
          <w:tcPr>
            <w:tcW w:w="680" w:type="dxa"/>
            <w:tcBorders>
              <w:top w:val="nil"/>
              <w:left w:val="nil"/>
              <w:bottom w:val="single" w:sz="12" w:space="0" w:color="008000"/>
              <w:right w:val="nil"/>
            </w:tcBorders>
            <w:shd w:val="clear" w:color="000000" w:fill="FFFFFF"/>
            <w:vAlign w:val="center"/>
            <w:hideMark/>
          </w:tcPr>
          <w:p w14:paraId="2B3820A6" w14:textId="581B8587" w:rsidR="003D3B05" w:rsidRPr="003D3B05" w:rsidRDefault="003D3B05" w:rsidP="009512ED">
            <w:pPr>
              <w:tabs>
                <w:tab w:val="clear" w:pos="7100"/>
              </w:tabs>
              <w:spacing w:line="240" w:lineRule="auto"/>
              <w:rPr>
                <w:rFonts w:cs="Arial"/>
                <w:color w:val="000000"/>
                <w:szCs w:val="18"/>
                <w:lang w:val="pt-BR" w:eastAsia="pt-BR"/>
              </w:rPr>
            </w:pPr>
            <w:r w:rsidRPr="003D3B05">
              <w:rPr>
                <w:rFonts w:cs="Arial"/>
                <w:color w:val="000000"/>
                <w:szCs w:val="18"/>
                <w:lang w:val="pt-BR" w:eastAsia="pt-BR"/>
              </w:rPr>
              <w:t>3</w:t>
            </w:r>
            <w:r w:rsidR="00196225">
              <w:rPr>
                <w:rFonts w:cs="Arial"/>
                <w:color w:val="000000"/>
                <w:szCs w:val="18"/>
                <w:lang w:val="pt-BR" w:eastAsia="pt-BR"/>
              </w:rPr>
              <w:t>.</w:t>
            </w:r>
            <w:r w:rsidRPr="003D3B05">
              <w:rPr>
                <w:rFonts w:cs="Arial"/>
                <w:color w:val="000000"/>
                <w:szCs w:val="18"/>
                <w:lang w:val="pt-BR" w:eastAsia="pt-BR"/>
              </w:rPr>
              <w:t>5144</w:t>
            </w:r>
          </w:p>
        </w:tc>
      </w:tr>
    </w:tbl>
    <w:p w14:paraId="702E31D0" w14:textId="3739DD58" w:rsidR="00F92A38" w:rsidRDefault="00F92A38" w:rsidP="00D03FA9">
      <w:pPr>
        <w:pStyle w:val="PargrafodaLista"/>
        <w:pBdr>
          <w:top w:val="nil"/>
          <w:left w:val="nil"/>
          <w:bottom w:val="nil"/>
          <w:right w:val="nil"/>
          <w:between w:val="nil"/>
        </w:pBdr>
        <w:spacing w:line="240" w:lineRule="auto"/>
        <w:ind w:left="0"/>
        <w:rPr>
          <w:color w:val="000000"/>
          <w:szCs w:val="18"/>
          <w:lang w:val="en-US"/>
        </w:rPr>
      </w:pPr>
      <w:r>
        <w:rPr>
          <w:color w:val="000000"/>
          <w:szCs w:val="18"/>
          <w:lang w:val="en-US"/>
        </w:rPr>
        <w:t>*N</w:t>
      </w:r>
      <w:r w:rsidRPr="0012056C">
        <w:rPr>
          <w:color w:val="000000"/>
          <w:szCs w:val="18"/>
          <w:lang w:val="en-US"/>
        </w:rPr>
        <w:t xml:space="preserve">umber of observations (8); degrees of freedom (6); Student's t-value (2.9687); confidence level (0.95). Different lowercase letters indicate significant differences by the </w:t>
      </w:r>
      <w:proofErr w:type="spellStart"/>
      <w:r w:rsidRPr="0012056C">
        <w:rPr>
          <w:color w:val="000000"/>
          <w:szCs w:val="18"/>
          <w:lang w:val="en-US"/>
        </w:rPr>
        <w:t>Kruskal</w:t>
      </w:r>
      <w:proofErr w:type="spellEnd"/>
      <w:r w:rsidRPr="0012056C">
        <w:rPr>
          <w:color w:val="000000"/>
          <w:szCs w:val="18"/>
          <w:lang w:val="en-US"/>
        </w:rPr>
        <w:t>-Wallis test (p&lt;0.05).</w:t>
      </w:r>
    </w:p>
    <w:p w14:paraId="41ED3849" w14:textId="77777777" w:rsidR="00F92A38" w:rsidRPr="0012056C" w:rsidRDefault="00F92A38" w:rsidP="00F92A38">
      <w:pPr>
        <w:pStyle w:val="PargrafodaLista"/>
        <w:pBdr>
          <w:top w:val="nil"/>
          <w:left w:val="nil"/>
          <w:bottom w:val="nil"/>
          <w:right w:val="nil"/>
          <w:between w:val="nil"/>
        </w:pBdr>
        <w:spacing w:line="360" w:lineRule="auto"/>
        <w:ind w:left="0"/>
        <w:rPr>
          <w:color w:val="000000"/>
          <w:szCs w:val="18"/>
          <w:lang w:val="en-US"/>
        </w:rPr>
      </w:pPr>
    </w:p>
    <w:p w14:paraId="7652D1BB" w14:textId="77777777" w:rsidR="0012056C" w:rsidRDefault="0012056C" w:rsidP="00D03FA9">
      <w:pPr>
        <w:pStyle w:val="PargrafodaLista"/>
        <w:pBdr>
          <w:top w:val="nil"/>
          <w:left w:val="nil"/>
          <w:bottom w:val="nil"/>
          <w:right w:val="nil"/>
          <w:between w:val="nil"/>
        </w:pBdr>
        <w:spacing w:line="360" w:lineRule="auto"/>
        <w:ind w:left="0"/>
        <w:rPr>
          <w:color w:val="000000"/>
          <w:lang w:val="en-US"/>
        </w:rPr>
      </w:pPr>
      <w:r w:rsidRPr="0012056C">
        <w:rPr>
          <w:i/>
          <w:iCs/>
          <w:color w:val="000000"/>
          <w:lang w:val="en-US"/>
        </w:rPr>
        <w:t>S</w:t>
      </w:r>
      <w:r>
        <w:rPr>
          <w:i/>
          <w:iCs/>
          <w:color w:val="000000"/>
          <w:lang w:val="en-US"/>
        </w:rPr>
        <w:t>taphylococcus</w:t>
      </w:r>
      <w:r w:rsidRPr="0012056C">
        <w:rPr>
          <w:i/>
          <w:iCs/>
          <w:color w:val="000000"/>
          <w:lang w:val="en-US"/>
        </w:rPr>
        <w:t xml:space="preserve"> aureus </w:t>
      </w:r>
      <w:r w:rsidRPr="0012056C">
        <w:rPr>
          <w:color w:val="000000"/>
          <w:lang w:val="en-US"/>
        </w:rPr>
        <w:t>and</w:t>
      </w:r>
      <w:r w:rsidRPr="0012056C">
        <w:rPr>
          <w:i/>
          <w:iCs/>
          <w:color w:val="000000"/>
          <w:lang w:val="en-US"/>
        </w:rPr>
        <w:t xml:space="preserve"> C</w:t>
      </w:r>
      <w:r>
        <w:rPr>
          <w:i/>
          <w:iCs/>
          <w:color w:val="000000"/>
          <w:lang w:val="en-US"/>
        </w:rPr>
        <w:t>lostridium</w:t>
      </w:r>
      <w:r w:rsidRPr="0012056C">
        <w:rPr>
          <w:i/>
          <w:iCs/>
          <w:color w:val="000000"/>
          <w:lang w:val="en-US"/>
        </w:rPr>
        <w:t xml:space="preserve"> perfringens </w:t>
      </w:r>
      <w:r w:rsidRPr="0012056C">
        <w:rPr>
          <w:color w:val="000000"/>
          <w:lang w:val="en-US"/>
        </w:rPr>
        <w:t>were resistant up to 5.0% PCAE. Partial susceptibility was detected at concentrations between 2.5 and 5.0% of PCAE for</w:t>
      </w:r>
      <w:r w:rsidRPr="0012056C">
        <w:rPr>
          <w:i/>
          <w:iCs/>
          <w:color w:val="000000"/>
          <w:lang w:val="en-US"/>
        </w:rPr>
        <w:t xml:space="preserve"> P</w:t>
      </w:r>
      <w:r>
        <w:rPr>
          <w:i/>
          <w:iCs/>
          <w:color w:val="000000"/>
          <w:lang w:val="en-US"/>
        </w:rPr>
        <w:t>seudomonas</w:t>
      </w:r>
      <w:r w:rsidRPr="0012056C">
        <w:rPr>
          <w:i/>
          <w:iCs/>
          <w:color w:val="000000"/>
          <w:lang w:val="en-US"/>
        </w:rPr>
        <w:t xml:space="preserve"> aeruginosa</w:t>
      </w:r>
      <w:r w:rsidRPr="0012056C">
        <w:rPr>
          <w:color w:val="000000"/>
          <w:lang w:val="en-US"/>
        </w:rPr>
        <w:t>, between 3.0 and 5.0% for</w:t>
      </w:r>
      <w:r w:rsidRPr="0012056C">
        <w:rPr>
          <w:i/>
          <w:iCs/>
          <w:color w:val="000000"/>
          <w:lang w:val="en-US"/>
        </w:rPr>
        <w:t xml:space="preserve"> S</w:t>
      </w:r>
      <w:r>
        <w:rPr>
          <w:i/>
          <w:iCs/>
          <w:color w:val="000000"/>
          <w:lang w:val="en-US"/>
        </w:rPr>
        <w:t>almonella</w:t>
      </w:r>
      <w:r w:rsidRPr="0012056C">
        <w:rPr>
          <w:i/>
          <w:iCs/>
          <w:color w:val="000000"/>
          <w:lang w:val="en-US"/>
        </w:rPr>
        <w:t xml:space="preserve"> </w:t>
      </w:r>
      <w:r w:rsidRPr="0012056C">
        <w:rPr>
          <w:color w:val="000000"/>
          <w:lang w:val="en-US"/>
        </w:rPr>
        <w:t>Typhimurium and</w:t>
      </w:r>
      <w:r w:rsidRPr="0012056C">
        <w:rPr>
          <w:i/>
          <w:iCs/>
          <w:color w:val="000000"/>
          <w:lang w:val="en-US"/>
        </w:rPr>
        <w:t xml:space="preserve"> L</w:t>
      </w:r>
      <w:r>
        <w:rPr>
          <w:i/>
          <w:iCs/>
          <w:color w:val="000000"/>
          <w:lang w:val="en-US"/>
        </w:rPr>
        <w:t>isteria</w:t>
      </w:r>
      <w:r w:rsidRPr="0012056C">
        <w:rPr>
          <w:i/>
          <w:iCs/>
          <w:color w:val="000000"/>
          <w:lang w:val="en-US"/>
        </w:rPr>
        <w:t xml:space="preserve"> </w:t>
      </w:r>
      <w:proofErr w:type="spellStart"/>
      <w:r w:rsidRPr="0012056C">
        <w:rPr>
          <w:i/>
          <w:iCs/>
          <w:color w:val="000000"/>
          <w:lang w:val="en-US"/>
        </w:rPr>
        <w:t>innocua</w:t>
      </w:r>
      <w:proofErr w:type="spellEnd"/>
      <w:r w:rsidRPr="0012056C">
        <w:rPr>
          <w:color w:val="000000"/>
          <w:lang w:val="en-US"/>
        </w:rPr>
        <w:t>; and between 4.0 and 5.0% for</w:t>
      </w:r>
      <w:r w:rsidRPr="0012056C">
        <w:rPr>
          <w:i/>
          <w:iCs/>
          <w:color w:val="000000"/>
          <w:lang w:val="en-US"/>
        </w:rPr>
        <w:t xml:space="preserve"> E</w:t>
      </w:r>
      <w:r>
        <w:rPr>
          <w:i/>
          <w:iCs/>
          <w:color w:val="000000"/>
          <w:lang w:val="en-US"/>
        </w:rPr>
        <w:t>scherichia</w:t>
      </w:r>
      <w:r w:rsidRPr="0012056C">
        <w:rPr>
          <w:i/>
          <w:iCs/>
          <w:color w:val="000000"/>
          <w:lang w:val="en-US"/>
        </w:rPr>
        <w:t xml:space="preserve"> coli. </w:t>
      </w:r>
      <w:r w:rsidRPr="0012056C">
        <w:rPr>
          <w:color w:val="000000"/>
          <w:lang w:val="en-US"/>
        </w:rPr>
        <w:t>None of the microorganisms tested showed full susceptibility to PCAE</w:t>
      </w:r>
      <w:r>
        <w:rPr>
          <w:color w:val="000000"/>
          <w:lang w:val="en-US"/>
        </w:rPr>
        <w:t xml:space="preserve">. </w:t>
      </w:r>
      <w:r w:rsidRPr="0012056C">
        <w:rPr>
          <w:i/>
          <w:iCs/>
          <w:color w:val="000000"/>
          <w:lang w:val="en-US"/>
        </w:rPr>
        <w:t xml:space="preserve">P. </w:t>
      </w:r>
      <w:r w:rsidRPr="0012056C">
        <w:rPr>
          <w:color w:val="000000"/>
          <w:lang w:val="en-US"/>
        </w:rPr>
        <w:t>aeruginosa is a microorganism commonly associated with the deterioration of a variety of foods, including meat and meat products, since it has activity under aerobic conditions and under refrigeration temperatures (</w:t>
      </w:r>
      <w:proofErr w:type="spellStart"/>
      <w:r w:rsidRPr="0012056C">
        <w:rPr>
          <w:color w:val="000000"/>
          <w:lang w:val="en-US"/>
        </w:rPr>
        <w:t>Benvenutti</w:t>
      </w:r>
      <w:proofErr w:type="spellEnd"/>
      <w:r w:rsidRPr="0012056C">
        <w:rPr>
          <w:color w:val="000000"/>
          <w:lang w:val="en-US"/>
        </w:rPr>
        <w:t>, 2020).</w:t>
      </w:r>
    </w:p>
    <w:p w14:paraId="0A4A363A" w14:textId="77777777" w:rsidR="0012056C" w:rsidRDefault="0012056C" w:rsidP="0012056C">
      <w:pPr>
        <w:pStyle w:val="PargrafodaLista"/>
        <w:pBdr>
          <w:top w:val="nil"/>
          <w:left w:val="nil"/>
          <w:bottom w:val="nil"/>
          <w:right w:val="nil"/>
          <w:between w:val="nil"/>
        </w:pBdr>
        <w:spacing w:line="360" w:lineRule="auto"/>
        <w:ind w:left="0"/>
        <w:rPr>
          <w:color w:val="000000"/>
          <w:lang w:val="en-US"/>
        </w:rPr>
      </w:pPr>
    </w:p>
    <w:p w14:paraId="1F96CA21" w14:textId="3F9CBD15" w:rsidR="00600535" w:rsidRPr="0012056C" w:rsidRDefault="0012056C" w:rsidP="0012056C">
      <w:pPr>
        <w:pStyle w:val="PargrafodaLista"/>
        <w:pBdr>
          <w:top w:val="nil"/>
          <w:left w:val="nil"/>
          <w:bottom w:val="nil"/>
          <w:right w:val="nil"/>
          <w:between w:val="nil"/>
        </w:pBdr>
        <w:spacing w:line="360" w:lineRule="auto"/>
        <w:ind w:left="0"/>
        <w:rPr>
          <w:b/>
          <w:bCs/>
          <w:lang w:val="en-US"/>
        </w:rPr>
      </w:pPr>
      <w:r w:rsidRPr="0012056C">
        <w:rPr>
          <w:b/>
          <w:bCs/>
          <w:lang w:val="en-US"/>
        </w:rPr>
        <w:t xml:space="preserve">3.2 </w:t>
      </w:r>
      <w:r w:rsidR="007807D8" w:rsidRPr="007807D8">
        <w:rPr>
          <w:b/>
          <w:bCs/>
          <w:lang w:val="en-US"/>
        </w:rPr>
        <w:t>Physicochemical analysis</w:t>
      </w:r>
    </w:p>
    <w:p w14:paraId="743BD3F9" w14:textId="28C07C13" w:rsidR="007807D8" w:rsidRDefault="007807D8" w:rsidP="007807D8">
      <w:pPr>
        <w:spacing w:line="360" w:lineRule="auto"/>
        <w:rPr>
          <w:lang w:val="en-US"/>
        </w:rPr>
      </w:pPr>
      <w:r w:rsidRPr="007807D8">
        <w:rPr>
          <w:lang w:val="en-US"/>
        </w:rPr>
        <w:t xml:space="preserve">There was no significant difference (p &lt; 0.05) between samples regarding protein and calcium contents. </w:t>
      </w:r>
      <w:r w:rsidR="009D37DF">
        <w:rPr>
          <w:lang w:val="en-US"/>
        </w:rPr>
        <w:t>A</w:t>
      </w:r>
      <w:r w:rsidRPr="007807D8">
        <w:rPr>
          <w:lang w:val="en-US"/>
        </w:rPr>
        <w:t xml:space="preserve">ll samples showed significant differences in fat content. Samples C and T1 were the samples with the highest and lowest fat content, respectively. For moisture, only samples C and T3 did not differ significantly from each other. </w:t>
      </w:r>
      <w:proofErr w:type="spellStart"/>
      <w:r w:rsidRPr="007807D8">
        <w:t>Sample</w:t>
      </w:r>
      <w:proofErr w:type="spellEnd"/>
      <w:r w:rsidRPr="007807D8">
        <w:t xml:space="preserve"> T1 </w:t>
      </w:r>
      <w:proofErr w:type="spellStart"/>
      <w:r w:rsidRPr="007807D8">
        <w:t>was</w:t>
      </w:r>
      <w:proofErr w:type="spellEnd"/>
      <w:r w:rsidRPr="007807D8">
        <w:t xml:space="preserve"> </w:t>
      </w:r>
      <w:proofErr w:type="spellStart"/>
      <w:r w:rsidRPr="007807D8">
        <w:t>the</w:t>
      </w:r>
      <w:proofErr w:type="spellEnd"/>
      <w:r w:rsidRPr="007807D8">
        <w:t xml:space="preserve"> </w:t>
      </w:r>
      <w:proofErr w:type="spellStart"/>
      <w:r w:rsidRPr="007807D8">
        <w:t>one</w:t>
      </w:r>
      <w:proofErr w:type="spellEnd"/>
      <w:r w:rsidRPr="007807D8">
        <w:t xml:space="preserve"> </w:t>
      </w:r>
      <w:proofErr w:type="spellStart"/>
      <w:r w:rsidRPr="007807D8">
        <w:t>with</w:t>
      </w:r>
      <w:proofErr w:type="spellEnd"/>
      <w:r w:rsidRPr="007807D8">
        <w:t xml:space="preserve"> </w:t>
      </w:r>
      <w:proofErr w:type="spellStart"/>
      <w:r w:rsidRPr="007807D8">
        <w:t>the</w:t>
      </w:r>
      <w:proofErr w:type="spellEnd"/>
      <w:r w:rsidRPr="007807D8">
        <w:t xml:space="preserve"> </w:t>
      </w:r>
      <w:proofErr w:type="spellStart"/>
      <w:r w:rsidRPr="007807D8">
        <w:t>highest</w:t>
      </w:r>
      <w:proofErr w:type="spellEnd"/>
      <w:r w:rsidRPr="007807D8">
        <w:t xml:space="preserve"> </w:t>
      </w:r>
      <w:proofErr w:type="spellStart"/>
      <w:r w:rsidRPr="007807D8">
        <w:t>moisture</w:t>
      </w:r>
      <w:proofErr w:type="spellEnd"/>
      <w:r w:rsidRPr="007807D8">
        <w:t>.</w:t>
      </w:r>
      <w:r>
        <w:t xml:space="preserve"> </w:t>
      </w:r>
      <w:r w:rsidRPr="007807D8">
        <w:rPr>
          <w:lang w:val="en-US"/>
        </w:rPr>
        <w:t>Differences in fat and moisture values are inherent to the formulations, due to ingredient variation. All samples showed values of moisture, protein, fat and calcium content on a dry basis, in accordance with the standards established by Normative Instruction No. 4</w:t>
      </w:r>
      <w:r w:rsidR="001D2436">
        <w:rPr>
          <w:lang w:val="en-US"/>
        </w:rPr>
        <w:t xml:space="preserve">, of March 31, 2000, </w:t>
      </w:r>
      <w:r w:rsidRPr="007807D8">
        <w:rPr>
          <w:lang w:val="en-US"/>
        </w:rPr>
        <w:t>of the Ministry of Agriculture, Livestock and Food Supply (</w:t>
      </w:r>
      <w:proofErr w:type="spellStart"/>
      <w:r w:rsidRPr="007807D8">
        <w:rPr>
          <w:lang w:val="en-US"/>
        </w:rPr>
        <w:t>Brasil</w:t>
      </w:r>
      <w:proofErr w:type="spellEnd"/>
      <w:r w:rsidRPr="007807D8">
        <w:rPr>
          <w:lang w:val="en-US"/>
        </w:rPr>
        <w:t>, 2000).</w:t>
      </w:r>
      <w:r>
        <w:rPr>
          <w:lang w:val="en-US"/>
        </w:rPr>
        <w:t xml:space="preserve"> </w:t>
      </w:r>
      <w:r w:rsidRPr="007807D8">
        <w:rPr>
          <w:lang w:val="en-US"/>
        </w:rPr>
        <w:t xml:space="preserve">The pH values varied little and only samples B and T3 showed significant differences between their means. </w:t>
      </w:r>
      <w:r w:rsidR="00AA56E4" w:rsidRPr="00AA56E4">
        <w:rPr>
          <w:lang w:val="en-US"/>
        </w:rPr>
        <w:t xml:space="preserve">Acidic pH interferes with the curing reaction, shifting the chemical balance in favor of nitric oxide formation. </w:t>
      </w:r>
      <w:proofErr w:type="gramStart"/>
      <w:r w:rsidR="00AA56E4" w:rsidRPr="00AA56E4">
        <w:rPr>
          <w:lang w:val="en-US"/>
        </w:rPr>
        <w:t>Consequently, reducing the residual nitrite content.</w:t>
      </w:r>
      <w:proofErr w:type="gramEnd"/>
      <w:r w:rsidR="00AA56E4" w:rsidRPr="00AA56E4">
        <w:rPr>
          <w:lang w:val="en-US"/>
        </w:rPr>
        <w:t xml:space="preserve"> Nitric oxide and other secondary products of the nitrite reaction have antimicrobial action (</w:t>
      </w:r>
      <w:proofErr w:type="spellStart"/>
      <w:r w:rsidR="00AA56E4" w:rsidRPr="00AA56E4">
        <w:rPr>
          <w:lang w:val="en-US"/>
        </w:rPr>
        <w:t>Horsch</w:t>
      </w:r>
      <w:proofErr w:type="spellEnd"/>
      <w:r w:rsidR="00AA56E4" w:rsidRPr="00AA56E4">
        <w:rPr>
          <w:lang w:val="en-US"/>
        </w:rPr>
        <w:t xml:space="preserve"> et al., 2014).</w:t>
      </w:r>
      <w:r w:rsidR="00AA56E4">
        <w:rPr>
          <w:lang w:val="en-US"/>
        </w:rPr>
        <w:t xml:space="preserve"> </w:t>
      </w:r>
      <w:r w:rsidRPr="007807D8">
        <w:rPr>
          <w:lang w:val="en-US"/>
        </w:rPr>
        <w:t>The results of the physical-chemical analyzes are presented in Table 5.</w:t>
      </w:r>
    </w:p>
    <w:p w14:paraId="19C2CEE7" w14:textId="77777777" w:rsidR="002152C5" w:rsidRPr="007807D8" w:rsidRDefault="002152C5" w:rsidP="007807D8">
      <w:pPr>
        <w:spacing w:line="360" w:lineRule="auto"/>
        <w:rPr>
          <w:lang w:val="en-US"/>
        </w:rPr>
      </w:pPr>
    </w:p>
    <w:p w14:paraId="0AB65B0C" w14:textId="61882DD6" w:rsidR="00CD7309" w:rsidRPr="002152C5" w:rsidRDefault="002152C5" w:rsidP="007807D8">
      <w:pPr>
        <w:spacing w:line="360" w:lineRule="auto"/>
        <w:rPr>
          <w:lang w:val="en-US"/>
        </w:rPr>
      </w:pPr>
      <w:r w:rsidRPr="002152C5">
        <w:rPr>
          <w:lang w:val="en-US"/>
        </w:rPr>
        <w:t>Table 5: Physical-chemical analyzes for fresh sausage samples (mean ± standard deviation)</w:t>
      </w:r>
      <w:r>
        <w:rPr>
          <w:lang w:val="en-US"/>
        </w:rPr>
        <w:t>.</w:t>
      </w:r>
    </w:p>
    <w:tbl>
      <w:tblPr>
        <w:tblW w:w="8793" w:type="dxa"/>
        <w:tblCellMar>
          <w:left w:w="70" w:type="dxa"/>
          <w:right w:w="70" w:type="dxa"/>
        </w:tblCellMar>
        <w:tblLook w:val="04A0" w:firstRow="1" w:lastRow="0" w:firstColumn="1" w:lastColumn="0" w:noHBand="0" w:noVBand="1"/>
      </w:tblPr>
      <w:tblGrid>
        <w:gridCol w:w="2694"/>
        <w:gridCol w:w="1134"/>
        <w:gridCol w:w="1275"/>
        <w:gridCol w:w="1276"/>
        <w:gridCol w:w="1207"/>
        <w:gridCol w:w="1207"/>
      </w:tblGrid>
      <w:tr w:rsidR="00CD7309" w:rsidRPr="00CD7309" w14:paraId="2AF3B2FE" w14:textId="77777777" w:rsidTr="001B2661">
        <w:trPr>
          <w:trHeight w:val="330"/>
        </w:trPr>
        <w:tc>
          <w:tcPr>
            <w:tcW w:w="2694" w:type="dxa"/>
            <w:tcBorders>
              <w:top w:val="single" w:sz="12" w:space="0" w:color="008000"/>
              <w:left w:val="nil"/>
              <w:bottom w:val="single" w:sz="8" w:space="0" w:color="008000"/>
              <w:right w:val="nil"/>
            </w:tcBorders>
            <w:shd w:val="clear" w:color="000000" w:fill="FFFFFF"/>
            <w:vAlign w:val="center"/>
            <w:hideMark/>
          </w:tcPr>
          <w:p w14:paraId="1DDA6F7E" w14:textId="77777777" w:rsidR="00CD7309" w:rsidRPr="002152C5" w:rsidRDefault="00CD7309" w:rsidP="00CD7309">
            <w:pPr>
              <w:tabs>
                <w:tab w:val="clear" w:pos="7100"/>
              </w:tabs>
              <w:spacing w:line="240" w:lineRule="auto"/>
              <w:jc w:val="left"/>
              <w:rPr>
                <w:rFonts w:cs="Arial"/>
                <w:color w:val="000000"/>
                <w:szCs w:val="18"/>
                <w:lang w:val="en-US" w:eastAsia="pt-BR"/>
              </w:rPr>
            </w:pPr>
            <w:r w:rsidRPr="002152C5">
              <w:rPr>
                <w:rFonts w:cs="Arial"/>
                <w:color w:val="000000"/>
                <w:szCs w:val="18"/>
                <w:lang w:val="en-US" w:eastAsia="pt-BR"/>
              </w:rPr>
              <w:t> </w:t>
            </w:r>
          </w:p>
        </w:tc>
        <w:tc>
          <w:tcPr>
            <w:tcW w:w="6099" w:type="dxa"/>
            <w:gridSpan w:val="5"/>
            <w:tcBorders>
              <w:top w:val="single" w:sz="12" w:space="0" w:color="008000"/>
              <w:left w:val="nil"/>
              <w:bottom w:val="single" w:sz="8" w:space="0" w:color="008000"/>
              <w:right w:val="nil"/>
            </w:tcBorders>
            <w:shd w:val="clear" w:color="000000" w:fill="FFFFFF"/>
            <w:vAlign w:val="center"/>
            <w:hideMark/>
          </w:tcPr>
          <w:p w14:paraId="5FF3E70C" w14:textId="1E955E44" w:rsidR="00CD7309" w:rsidRPr="00CD7309" w:rsidRDefault="002152C5" w:rsidP="00CD7309">
            <w:pPr>
              <w:tabs>
                <w:tab w:val="clear" w:pos="7100"/>
              </w:tabs>
              <w:spacing w:line="240" w:lineRule="auto"/>
              <w:jc w:val="left"/>
              <w:rPr>
                <w:rFonts w:cs="Arial"/>
                <w:i/>
                <w:iCs/>
                <w:color w:val="000000"/>
                <w:szCs w:val="18"/>
                <w:lang w:val="pt-BR" w:eastAsia="pt-BR"/>
              </w:rPr>
            </w:pPr>
            <w:proofErr w:type="spellStart"/>
            <w:r w:rsidRPr="002152C5">
              <w:rPr>
                <w:rFonts w:cs="Arial"/>
                <w:i/>
                <w:iCs/>
                <w:color w:val="000000"/>
                <w:szCs w:val="18"/>
                <w:lang w:val="pt-BR" w:eastAsia="pt-BR"/>
              </w:rPr>
              <w:t>Samples</w:t>
            </w:r>
            <w:proofErr w:type="spellEnd"/>
          </w:p>
        </w:tc>
      </w:tr>
      <w:tr w:rsidR="001B2661" w:rsidRPr="00CD7309" w14:paraId="0E23C81D" w14:textId="77777777" w:rsidTr="001B2661">
        <w:trPr>
          <w:trHeight w:val="345"/>
        </w:trPr>
        <w:tc>
          <w:tcPr>
            <w:tcW w:w="2694" w:type="dxa"/>
            <w:tcBorders>
              <w:top w:val="nil"/>
              <w:left w:val="nil"/>
              <w:bottom w:val="nil"/>
              <w:right w:val="nil"/>
            </w:tcBorders>
            <w:shd w:val="clear" w:color="000000" w:fill="FFFFFF"/>
            <w:vAlign w:val="center"/>
            <w:hideMark/>
          </w:tcPr>
          <w:p w14:paraId="622688DF" w14:textId="424C8891" w:rsidR="00CD7309" w:rsidRPr="00CD7309" w:rsidRDefault="002152C5" w:rsidP="00CD7309">
            <w:pPr>
              <w:tabs>
                <w:tab w:val="clear" w:pos="7100"/>
              </w:tabs>
              <w:spacing w:line="240" w:lineRule="auto"/>
              <w:jc w:val="left"/>
              <w:rPr>
                <w:rFonts w:cs="Arial"/>
                <w:color w:val="000000"/>
                <w:szCs w:val="18"/>
                <w:lang w:val="pt-BR" w:eastAsia="pt-BR"/>
              </w:rPr>
            </w:pPr>
            <w:r>
              <w:rPr>
                <w:rFonts w:cs="Arial"/>
                <w:szCs w:val="18"/>
                <w:lang w:val="en-GB" w:eastAsia="pt-BR"/>
              </w:rPr>
              <w:t>P</w:t>
            </w:r>
            <w:r w:rsidRPr="002152C5">
              <w:rPr>
                <w:rFonts w:cs="Arial"/>
                <w:szCs w:val="18"/>
                <w:lang w:val="en-GB" w:eastAsia="pt-BR"/>
              </w:rPr>
              <w:t>arameters</w:t>
            </w:r>
          </w:p>
        </w:tc>
        <w:tc>
          <w:tcPr>
            <w:tcW w:w="1134" w:type="dxa"/>
            <w:tcBorders>
              <w:top w:val="nil"/>
              <w:left w:val="nil"/>
              <w:bottom w:val="nil"/>
              <w:right w:val="nil"/>
            </w:tcBorders>
            <w:shd w:val="clear" w:color="000000" w:fill="FFFFFF"/>
            <w:noWrap/>
            <w:vAlign w:val="center"/>
            <w:hideMark/>
          </w:tcPr>
          <w:p w14:paraId="7B5DC19A" w14:textId="77777777" w:rsidR="00CD7309" w:rsidRPr="00CD7309" w:rsidRDefault="00CD7309" w:rsidP="00CD7309">
            <w:pPr>
              <w:tabs>
                <w:tab w:val="clear" w:pos="7100"/>
              </w:tabs>
              <w:spacing w:line="240" w:lineRule="auto"/>
              <w:jc w:val="left"/>
              <w:rPr>
                <w:rFonts w:cs="Arial"/>
                <w:color w:val="000000"/>
                <w:szCs w:val="18"/>
                <w:lang w:val="pt-BR" w:eastAsia="pt-BR"/>
              </w:rPr>
            </w:pPr>
            <w:r w:rsidRPr="00CD7309">
              <w:rPr>
                <w:rFonts w:cs="Arial"/>
                <w:color w:val="000000"/>
                <w:szCs w:val="18"/>
                <w:lang w:val="pt-BR" w:eastAsia="pt-BR"/>
              </w:rPr>
              <w:t>B</w:t>
            </w:r>
          </w:p>
        </w:tc>
        <w:tc>
          <w:tcPr>
            <w:tcW w:w="1275" w:type="dxa"/>
            <w:tcBorders>
              <w:top w:val="nil"/>
              <w:left w:val="nil"/>
              <w:bottom w:val="nil"/>
              <w:right w:val="nil"/>
            </w:tcBorders>
            <w:shd w:val="clear" w:color="000000" w:fill="FFFFFF"/>
            <w:noWrap/>
            <w:vAlign w:val="center"/>
            <w:hideMark/>
          </w:tcPr>
          <w:p w14:paraId="56D9350B" w14:textId="77777777" w:rsidR="00CD7309" w:rsidRPr="00CD7309" w:rsidRDefault="00CD7309" w:rsidP="00CD7309">
            <w:pPr>
              <w:tabs>
                <w:tab w:val="clear" w:pos="7100"/>
              </w:tabs>
              <w:spacing w:line="240" w:lineRule="auto"/>
              <w:jc w:val="left"/>
              <w:rPr>
                <w:rFonts w:cs="Arial"/>
                <w:color w:val="000000"/>
                <w:szCs w:val="18"/>
                <w:lang w:val="pt-BR" w:eastAsia="pt-BR"/>
              </w:rPr>
            </w:pPr>
            <w:r w:rsidRPr="00CD7309">
              <w:rPr>
                <w:rFonts w:cs="Arial"/>
                <w:color w:val="000000"/>
                <w:szCs w:val="18"/>
                <w:lang w:val="pt-BR" w:eastAsia="pt-BR"/>
              </w:rPr>
              <w:t>C</w:t>
            </w:r>
          </w:p>
        </w:tc>
        <w:tc>
          <w:tcPr>
            <w:tcW w:w="1276" w:type="dxa"/>
            <w:tcBorders>
              <w:top w:val="nil"/>
              <w:left w:val="nil"/>
              <w:bottom w:val="nil"/>
              <w:right w:val="nil"/>
            </w:tcBorders>
            <w:shd w:val="clear" w:color="000000" w:fill="FFFFFF"/>
            <w:noWrap/>
            <w:vAlign w:val="center"/>
            <w:hideMark/>
          </w:tcPr>
          <w:p w14:paraId="65D4C9D3" w14:textId="77777777" w:rsidR="00CD7309" w:rsidRPr="00CD7309" w:rsidRDefault="00CD7309" w:rsidP="00CD7309">
            <w:pPr>
              <w:tabs>
                <w:tab w:val="clear" w:pos="7100"/>
              </w:tabs>
              <w:spacing w:line="240" w:lineRule="auto"/>
              <w:jc w:val="left"/>
              <w:rPr>
                <w:rFonts w:cs="Arial"/>
                <w:color w:val="000000"/>
                <w:szCs w:val="18"/>
                <w:lang w:val="pt-BR" w:eastAsia="pt-BR"/>
              </w:rPr>
            </w:pPr>
            <w:r w:rsidRPr="00CD7309">
              <w:rPr>
                <w:rFonts w:cs="Arial"/>
                <w:color w:val="000000"/>
                <w:szCs w:val="18"/>
                <w:lang w:val="pt-BR" w:eastAsia="pt-BR"/>
              </w:rPr>
              <w:t>T1</w:t>
            </w:r>
          </w:p>
        </w:tc>
        <w:tc>
          <w:tcPr>
            <w:tcW w:w="1207" w:type="dxa"/>
            <w:tcBorders>
              <w:top w:val="nil"/>
              <w:left w:val="nil"/>
              <w:bottom w:val="nil"/>
              <w:right w:val="nil"/>
            </w:tcBorders>
            <w:shd w:val="clear" w:color="000000" w:fill="FFFFFF"/>
            <w:noWrap/>
            <w:vAlign w:val="center"/>
            <w:hideMark/>
          </w:tcPr>
          <w:p w14:paraId="2F4F93E5" w14:textId="77777777" w:rsidR="00CD7309" w:rsidRPr="00CD7309" w:rsidRDefault="00CD7309" w:rsidP="00CD7309">
            <w:pPr>
              <w:tabs>
                <w:tab w:val="clear" w:pos="7100"/>
              </w:tabs>
              <w:spacing w:line="240" w:lineRule="auto"/>
              <w:jc w:val="left"/>
              <w:rPr>
                <w:rFonts w:cs="Arial"/>
                <w:color w:val="000000"/>
                <w:szCs w:val="18"/>
                <w:lang w:val="pt-BR" w:eastAsia="pt-BR"/>
              </w:rPr>
            </w:pPr>
            <w:r w:rsidRPr="00CD7309">
              <w:rPr>
                <w:rFonts w:cs="Arial"/>
                <w:color w:val="000000"/>
                <w:szCs w:val="18"/>
                <w:lang w:val="pt-BR" w:eastAsia="pt-BR"/>
              </w:rPr>
              <w:t>T2</w:t>
            </w:r>
          </w:p>
        </w:tc>
        <w:tc>
          <w:tcPr>
            <w:tcW w:w="1207" w:type="dxa"/>
            <w:tcBorders>
              <w:top w:val="nil"/>
              <w:left w:val="nil"/>
              <w:bottom w:val="nil"/>
              <w:right w:val="nil"/>
            </w:tcBorders>
            <w:shd w:val="clear" w:color="000000" w:fill="FFFFFF"/>
            <w:noWrap/>
            <w:vAlign w:val="center"/>
            <w:hideMark/>
          </w:tcPr>
          <w:p w14:paraId="1AE995C8" w14:textId="77777777" w:rsidR="00CD7309" w:rsidRPr="00CD7309" w:rsidRDefault="00CD7309" w:rsidP="00CD7309">
            <w:pPr>
              <w:tabs>
                <w:tab w:val="clear" w:pos="7100"/>
              </w:tabs>
              <w:spacing w:line="240" w:lineRule="auto"/>
              <w:jc w:val="left"/>
              <w:rPr>
                <w:rFonts w:cs="Arial"/>
                <w:color w:val="000000"/>
                <w:szCs w:val="18"/>
                <w:lang w:val="pt-BR" w:eastAsia="pt-BR"/>
              </w:rPr>
            </w:pPr>
            <w:r w:rsidRPr="00CD7309">
              <w:rPr>
                <w:rFonts w:cs="Arial"/>
                <w:color w:val="000000"/>
                <w:szCs w:val="18"/>
                <w:lang w:val="pt-BR" w:eastAsia="pt-BR"/>
              </w:rPr>
              <w:t>T3</w:t>
            </w:r>
          </w:p>
        </w:tc>
      </w:tr>
      <w:tr w:rsidR="001B2661" w:rsidRPr="00CD7309" w14:paraId="6D133D58" w14:textId="77777777" w:rsidTr="001B2661">
        <w:trPr>
          <w:trHeight w:val="345"/>
        </w:trPr>
        <w:tc>
          <w:tcPr>
            <w:tcW w:w="2694" w:type="dxa"/>
            <w:tcBorders>
              <w:top w:val="nil"/>
              <w:left w:val="nil"/>
              <w:bottom w:val="nil"/>
              <w:right w:val="nil"/>
            </w:tcBorders>
            <w:shd w:val="clear" w:color="000000" w:fill="FFFFFF"/>
            <w:noWrap/>
            <w:vAlign w:val="center"/>
            <w:hideMark/>
          </w:tcPr>
          <w:p w14:paraId="0DC0CBB1" w14:textId="5E3535FC" w:rsidR="00CD7309" w:rsidRPr="00CD7309" w:rsidRDefault="002152C5" w:rsidP="00CD7309">
            <w:pPr>
              <w:tabs>
                <w:tab w:val="clear" w:pos="7100"/>
              </w:tabs>
              <w:spacing w:line="240" w:lineRule="auto"/>
              <w:jc w:val="left"/>
              <w:rPr>
                <w:rFonts w:cs="Arial"/>
                <w:color w:val="000000"/>
                <w:szCs w:val="18"/>
                <w:lang w:val="pt-BR" w:eastAsia="pt-BR"/>
              </w:rPr>
            </w:pPr>
            <w:proofErr w:type="spellStart"/>
            <w:r w:rsidRPr="002152C5">
              <w:rPr>
                <w:rFonts w:cs="Arial"/>
                <w:szCs w:val="18"/>
                <w:lang w:val="pt-BR" w:eastAsia="pt-BR"/>
              </w:rPr>
              <w:t>Moisture</w:t>
            </w:r>
            <w:proofErr w:type="spellEnd"/>
            <w:r w:rsidRPr="002152C5">
              <w:rPr>
                <w:rFonts w:cs="Arial"/>
                <w:szCs w:val="18"/>
                <w:lang w:val="pt-BR" w:eastAsia="pt-BR"/>
              </w:rPr>
              <w:t xml:space="preserve"> (%)</w:t>
            </w:r>
          </w:p>
        </w:tc>
        <w:tc>
          <w:tcPr>
            <w:tcW w:w="1134" w:type="dxa"/>
            <w:tcBorders>
              <w:top w:val="nil"/>
              <w:left w:val="nil"/>
              <w:bottom w:val="nil"/>
              <w:right w:val="nil"/>
            </w:tcBorders>
            <w:shd w:val="clear" w:color="000000" w:fill="FFFFFF"/>
            <w:noWrap/>
            <w:vAlign w:val="center"/>
            <w:hideMark/>
          </w:tcPr>
          <w:p w14:paraId="3852FFE5" w14:textId="6C241808" w:rsidR="00CD7309" w:rsidRPr="00CD7309" w:rsidRDefault="00CD7309" w:rsidP="00CD7309">
            <w:pPr>
              <w:tabs>
                <w:tab w:val="clear" w:pos="7100"/>
              </w:tabs>
              <w:spacing w:line="240" w:lineRule="auto"/>
              <w:jc w:val="left"/>
              <w:rPr>
                <w:rFonts w:cs="Arial"/>
                <w:color w:val="000000"/>
                <w:szCs w:val="18"/>
                <w:lang w:val="pt-BR" w:eastAsia="pt-BR"/>
              </w:rPr>
            </w:pPr>
            <w:r w:rsidRPr="00CD7309">
              <w:rPr>
                <w:rFonts w:cs="Arial"/>
                <w:szCs w:val="18"/>
                <w:lang w:val="pt-BR" w:eastAsia="pt-BR"/>
              </w:rPr>
              <w:t>62</w:t>
            </w:r>
            <w:r w:rsidR="002152C5">
              <w:rPr>
                <w:rFonts w:cs="Arial"/>
                <w:szCs w:val="18"/>
                <w:lang w:val="pt-BR" w:eastAsia="pt-BR"/>
              </w:rPr>
              <w:t>.</w:t>
            </w:r>
            <w:r w:rsidRPr="00CD7309">
              <w:rPr>
                <w:rFonts w:cs="Arial"/>
                <w:szCs w:val="18"/>
                <w:lang w:val="pt-BR" w:eastAsia="pt-BR"/>
              </w:rPr>
              <w:t>47</w:t>
            </w:r>
            <w:r w:rsidRPr="00CD7309">
              <w:rPr>
                <w:rFonts w:cs="Arial"/>
                <w:color w:val="000000"/>
                <w:szCs w:val="18"/>
                <w:vertAlign w:val="superscript"/>
                <w:lang w:val="pt-BR" w:eastAsia="pt-BR"/>
              </w:rPr>
              <w:t>b</w:t>
            </w:r>
            <w:r w:rsidRPr="00CD7309">
              <w:rPr>
                <w:rFonts w:cs="Arial"/>
                <w:color w:val="000000"/>
                <w:szCs w:val="18"/>
                <w:lang w:val="pt-BR" w:eastAsia="pt-BR"/>
              </w:rPr>
              <w:t>±0</w:t>
            </w:r>
            <w:r w:rsidR="002152C5">
              <w:rPr>
                <w:rFonts w:cs="Arial"/>
                <w:color w:val="000000"/>
                <w:szCs w:val="18"/>
                <w:lang w:val="pt-BR" w:eastAsia="pt-BR"/>
              </w:rPr>
              <w:t>.</w:t>
            </w:r>
            <w:r w:rsidRPr="00CD7309">
              <w:rPr>
                <w:rFonts w:cs="Arial"/>
                <w:color w:val="000000"/>
                <w:szCs w:val="18"/>
                <w:lang w:val="pt-BR" w:eastAsia="pt-BR"/>
              </w:rPr>
              <w:t>07</w:t>
            </w:r>
          </w:p>
        </w:tc>
        <w:tc>
          <w:tcPr>
            <w:tcW w:w="1275" w:type="dxa"/>
            <w:tcBorders>
              <w:top w:val="nil"/>
              <w:left w:val="nil"/>
              <w:bottom w:val="nil"/>
              <w:right w:val="nil"/>
            </w:tcBorders>
            <w:shd w:val="clear" w:color="000000" w:fill="FFFFFF"/>
            <w:noWrap/>
            <w:vAlign w:val="center"/>
            <w:hideMark/>
          </w:tcPr>
          <w:p w14:paraId="632FCFAD" w14:textId="7A378E52" w:rsidR="00CD7309" w:rsidRPr="00CD7309" w:rsidRDefault="00CD7309" w:rsidP="00CD7309">
            <w:pPr>
              <w:tabs>
                <w:tab w:val="clear" w:pos="7100"/>
              </w:tabs>
              <w:spacing w:line="240" w:lineRule="auto"/>
              <w:jc w:val="left"/>
              <w:rPr>
                <w:rFonts w:cs="Arial"/>
                <w:color w:val="000000"/>
                <w:szCs w:val="18"/>
                <w:lang w:val="pt-BR" w:eastAsia="pt-BR"/>
              </w:rPr>
            </w:pPr>
            <w:r w:rsidRPr="00CD7309">
              <w:rPr>
                <w:rFonts w:cs="Arial"/>
                <w:szCs w:val="18"/>
                <w:lang w:val="pt-BR" w:eastAsia="pt-BR"/>
              </w:rPr>
              <w:t>60</w:t>
            </w:r>
            <w:r w:rsidR="002152C5">
              <w:rPr>
                <w:rFonts w:cs="Arial"/>
                <w:szCs w:val="18"/>
                <w:lang w:val="pt-BR" w:eastAsia="pt-BR"/>
              </w:rPr>
              <w:t>.</w:t>
            </w:r>
            <w:r w:rsidRPr="00CD7309">
              <w:rPr>
                <w:rFonts w:cs="Arial"/>
                <w:szCs w:val="18"/>
                <w:lang w:val="pt-BR" w:eastAsia="pt-BR"/>
              </w:rPr>
              <w:t>49</w:t>
            </w:r>
            <w:r w:rsidRPr="00CD7309">
              <w:rPr>
                <w:rFonts w:cs="Arial"/>
                <w:color w:val="000000"/>
                <w:szCs w:val="18"/>
                <w:vertAlign w:val="superscript"/>
                <w:lang w:val="pt-BR" w:eastAsia="pt-BR"/>
              </w:rPr>
              <w:t>d</w:t>
            </w:r>
            <w:r w:rsidRPr="00CD7309">
              <w:rPr>
                <w:rFonts w:cs="Arial"/>
                <w:color w:val="000000"/>
                <w:szCs w:val="18"/>
                <w:lang w:val="pt-BR" w:eastAsia="pt-BR"/>
              </w:rPr>
              <w:t>±0</w:t>
            </w:r>
            <w:r w:rsidR="002152C5">
              <w:rPr>
                <w:rFonts w:cs="Arial"/>
                <w:color w:val="000000"/>
                <w:szCs w:val="18"/>
                <w:lang w:val="pt-BR" w:eastAsia="pt-BR"/>
              </w:rPr>
              <w:t>.</w:t>
            </w:r>
            <w:r w:rsidRPr="00CD7309">
              <w:rPr>
                <w:rFonts w:cs="Arial"/>
                <w:color w:val="000000"/>
                <w:szCs w:val="18"/>
                <w:lang w:val="pt-BR" w:eastAsia="pt-BR"/>
              </w:rPr>
              <w:t>03</w:t>
            </w:r>
          </w:p>
        </w:tc>
        <w:tc>
          <w:tcPr>
            <w:tcW w:w="1276" w:type="dxa"/>
            <w:tcBorders>
              <w:top w:val="nil"/>
              <w:left w:val="nil"/>
              <w:bottom w:val="nil"/>
              <w:right w:val="nil"/>
            </w:tcBorders>
            <w:shd w:val="clear" w:color="000000" w:fill="FFFFFF"/>
            <w:noWrap/>
            <w:vAlign w:val="center"/>
            <w:hideMark/>
          </w:tcPr>
          <w:p w14:paraId="3C3F17BC" w14:textId="3D7C57FD" w:rsidR="00CD7309" w:rsidRPr="00CD7309" w:rsidRDefault="00CD7309" w:rsidP="00CD7309">
            <w:pPr>
              <w:tabs>
                <w:tab w:val="clear" w:pos="7100"/>
              </w:tabs>
              <w:spacing w:line="240" w:lineRule="auto"/>
              <w:jc w:val="left"/>
              <w:rPr>
                <w:rFonts w:cs="Arial"/>
                <w:color w:val="000000"/>
                <w:szCs w:val="18"/>
                <w:lang w:val="pt-BR" w:eastAsia="pt-BR"/>
              </w:rPr>
            </w:pPr>
            <w:r w:rsidRPr="00CD7309">
              <w:rPr>
                <w:rFonts w:cs="Arial"/>
                <w:szCs w:val="18"/>
                <w:lang w:val="pt-BR" w:eastAsia="pt-BR"/>
              </w:rPr>
              <w:t>62</w:t>
            </w:r>
            <w:r w:rsidR="002152C5">
              <w:rPr>
                <w:rFonts w:cs="Arial"/>
                <w:szCs w:val="18"/>
                <w:lang w:val="pt-BR" w:eastAsia="pt-BR"/>
              </w:rPr>
              <w:t>.</w:t>
            </w:r>
            <w:r w:rsidRPr="00CD7309">
              <w:rPr>
                <w:rFonts w:cs="Arial"/>
                <w:szCs w:val="18"/>
                <w:lang w:val="pt-BR" w:eastAsia="pt-BR"/>
              </w:rPr>
              <w:t>95</w:t>
            </w:r>
            <w:r w:rsidRPr="00CD7309">
              <w:rPr>
                <w:rFonts w:cs="Arial"/>
                <w:color w:val="000000"/>
                <w:szCs w:val="18"/>
                <w:vertAlign w:val="superscript"/>
                <w:lang w:val="pt-BR" w:eastAsia="pt-BR"/>
              </w:rPr>
              <w:t>a</w:t>
            </w:r>
            <w:r w:rsidRPr="00CD7309">
              <w:rPr>
                <w:rFonts w:cs="Arial"/>
                <w:color w:val="000000"/>
                <w:szCs w:val="18"/>
                <w:lang w:val="pt-BR" w:eastAsia="pt-BR"/>
              </w:rPr>
              <w:t>±0</w:t>
            </w:r>
            <w:r w:rsidR="002152C5">
              <w:rPr>
                <w:rFonts w:cs="Arial"/>
                <w:color w:val="000000"/>
                <w:szCs w:val="18"/>
                <w:lang w:val="pt-BR" w:eastAsia="pt-BR"/>
              </w:rPr>
              <w:t>.</w:t>
            </w:r>
            <w:r w:rsidRPr="00CD7309">
              <w:rPr>
                <w:rFonts w:cs="Arial"/>
                <w:color w:val="000000"/>
                <w:szCs w:val="18"/>
                <w:lang w:val="pt-BR" w:eastAsia="pt-BR"/>
              </w:rPr>
              <w:t>09</w:t>
            </w:r>
          </w:p>
        </w:tc>
        <w:tc>
          <w:tcPr>
            <w:tcW w:w="1207" w:type="dxa"/>
            <w:tcBorders>
              <w:top w:val="nil"/>
              <w:left w:val="nil"/>
              <w:bottom w:val="nil"/>
              <w:right w:val="nil"/>
            </w:tcBorders>
            <w:shd w:val="clear" w:color="000000" w:fill="FFFFFF"/>
            <w:noWrap/>
            <w:vAlign w:val="center"/>
            <w:hideMark/>
          </w:tcPr>
          <w:p w14:paraId="5B7E52C0" w14:textId="130B07B2" w:rsidR="00CD7309" w:rsidRPr="00CD7309" w:rsidRDefault="00CD7309" w:rsidP="00CD7309">
            <w:pPr>
              <w:tabs>
                <w:tab w:val="clear" w:pos="7100"/>
              </w:tabs>
              <w:spacing w:line="240" w:lineRule="auto"/>
              <w:jc w:val="left"/>
              <w:rPr>
                <w:rFonts w:cs="Arial"/>
                <w:color w:val="000000"/>
                <w:szCs w:val="18"/>
                <w:lang w:val="pt-BR" w:eastAsia="pt-BR"/>
              </w:rPr>
            </w:pPr>
            <w:r w:rsidRPr="00CD7309">
              <w:rPr>
                <w:rFonts w:cs="Arial"/>
                <w:szCs w:val="18"/>
                <w:lang w:val="pt-BR" w:eastAsia="pt-BR"/>
              </w:rPr>
              <w:t>61</w:t>
            </w:r>
            <w:r w:rsidR="002152C5">
              <w:rPr>
                <w:rFonts w:cs="Arial"/>
                <w:szCs w:val="18"/>
                <w:lang w:val="pt-BR" w:eastAsia="pt-BR"/>
              </w:rPr>
              <w:t>.</w:t>
            </w:r>
            <w:r w:rsidRPr="00CD7309">
              <w:rPr>
                <w:rFonts w:cs="Arial"/>
                <w:szCs w:val="18"/>
                <w:lang w:val="pt-BR" w:eastAsia="pt-BR"/>
              </w:rPr>
              <w:t>68</w:t>
            </w:r>
            <w:r w:rsidRPr="00CD7309">
              <w:rPr>
                <w:rFonts w:cs="Arial"/>
                <w:color w:val="000000"/>
                <w:szCs w:val="18"/>
                <w:vertAlign w:val="superscript"/>
                <w:lang w:val="pt-BR" w:eastAsia="pt-BR"/>
              </w:rPr>
              <w:t>c</w:t>
            </w:r>
            <w:r w:rsidRPr="00CD7309">
              <w:rPr>
                <w:rFonts w:cs="Arial"/>
                <w:color w:val="000000"/>
                <w:szCs w:val="18"/>
                <w:lang w:val="pt-BR" w:eastAsia="pt-BR"/>
              </w:rPr>
              <w:t>±0</w:t>
            </w:r>
            <w:r w:rsidR="002152C5">
              <w:rPr>
                <w:rFonts w:cs="Arial"/>
                <w:color w:val="000000"/>
                <w:szCs w:val="18"/>
                <w:lang w:val="pt-BR" w:eastAsia="pt-BR"/>
              </w:rPr>
              <w:t>.</w:t>
            </w:r>
            <w:r w:rsidRPr="00CD7309">
              <w:rPr>
                <w:rFonts w:cs="Arial"/>
                <w:color w:val="000000"/>
                <w:szCs w:val="18"/>
                <w:lang w:val="pt-BR" w:eastAsia="pt-BR"/>
              </w:rPr>
              <w:t>04</w:t>
            </w:r>
          </w:p>
        </w:tc>
        <w:tc>
          <w:tcPr>
            <w:tcW w:w="1207" w:type="dxa"/>
            <w:tcBorders>
              <w:top w:val="nil"/>
              <w:left w:val="nil"/>
              <w:bottom w:val="nil"/>
              <w:right w:val="nil"/>
            </w:tcBorders>
            <w:shd w:val="clear" w:color="000000" w:fill="FFFFFF"/>
            <w:noWrap/>
            <w:vAlign w:val="center"/>
            <w:hideMark/>
          </w:tcPr>
          <w:p w14:paraId="18396638" w14:textId="265E9633" w:rsidR="00CD7309" w:rsidRPr="00CD7309" w:rsidRDefault="00CD7309" w:rsidP="00CD7309">
            <w:pPr>
              <w:tabs>
                <w:tab w:val="clear" w:pos="7100"/>
              </w:tabs>
              <w:spacing w:line="240" w:lineRule="auto"/>
              <w:jc w:val="left"/>
              <w:rPr>
                <w:rFonts w:cs="Arial"/>
                <w:color w:val="000000"/>
                <w:szCs w:val="18"/>
                <w:lang w:val="pt-BR" w:eastAsia="pt-BR"/>
              </w:rPr>
            </w:pPr>
            <w:r w:rsidRPr="00CD7309">
              <w:rPr>
                <w:rFonts w:cs="Arial"/>
                <w:szCs w:val="18"/>
                <w:lang w:val="pt-BR" w:eastAsia="pt-BR"/>
              </w:rPr>
              <w:t>60</w:t>
            </w:r>
            <w:r w:rsidR="002152C5">
              <w:rPr>
                <w:rFonts w:cs="Arial"/>
                <w:szCs w:val="18"/>
                <w:lang w:val="pt-BR" w:eastAsia="pt-BR"/>
              </w:rPr>
              <w:t>.</w:t>
            </w:r>
            <w:r w:rsidRPr="00CD7309">
              <w:rPr>
                <w:rFonts w:cs="Arial"/>
                <w:szCs w:val="18"/>
                <w:lang w:val="pt-BR" w:eastAsia="pt-BR"/>
              </w:rPr>
              <w:t>36</w:t>
            </w:r>
            <w:r w:rsidRPr="00CD7309">
              <w:rPr>
                <w:rFonts w:cs="Arial"/>
                <w:color w:val="000000"/>
                <w:szCs w:val="18"/>
                <w:vertAlign w:val="superscript"/>
                <w:lang w:val="pt-BR" w:eastAsia="pt-BR"/>
              </w:rPr>
              <w:t>d</w:t>
            </w:r>
            <w:r w:rsidRPr="00CD7309">
              <w:rPr>
                <w:rFonts w:cs="Arial"/>
                <w:color w:val="000000"/>
                <w:szCs w:val="18"/>
                <w:lang w:val="pt-BR" w:eastAsia="pt-BR"/>
              </w:rPr>
              <w:t>±0</w:t>
            </w:r>
            <w:r w:rsidR="002152C5">
              <w:rPr>
                <w:rFonts w:cs="Arial"/>
                <w:color w:val="000000"/>
                <w:szCs w:val="18"/>
                <w:lang w:val="pt-BR" w:eastAsia="pt-BR"/>
              </w:rPr>
              <w:t>.</w:t>
            </w:r>
            <w:r w:rsidRPr="00CD7309">
              <w:rPr>
                <w:rFonts w:cs="Arial"/>
                <w:color w:val="000000"/>
                <w:szCs w:val="18"/>
                <w:lang w:val="pt-BR" w:eastAsia="pt-BR"/>
              </w:rPr>
              <w:t>01</w:t>
            </w:r>
          </w:p>
        </w:tc>
      </w:tr>
      <w:tr w:rsidR="001B2661" w:rsidRPr="00CD7309" w14:paraId="3FAE9961" w14:textId="77777777" w:rsidTr="001B2661">
        <w:trPr>
          <w:trHeight w:val="330"/>
        </w:trPr>
        <w:tc>
          <w:tcPr>
            <w:tcW w:w="2694" w:type="dxa"/>
            <w:tcBorders>
              <w:top w:val="nil"/>
              <w:left w:val="nil"/>
              <w:bottom w:val="nil"/>
              <w:right w:val="nil"/>
            </w:tcBorders>
            <w:shd w:val="clear" w:color="000000" w:fill="FFFFFF"/>
            <w:vAlign w:val="center"/>
            <w:hideMark/>
          </w:tcPr>
          <w:p w14:paraId="1625525B" w14:textId="24C74179" w:rsidR="00CD7309" w:rsidRPr="00CD7309" w:rsidRDefault="002152C5" w:rsidP="00CD7309">
            <w:pPr>
              <w:tabs>
                <w:tab w:val="clear" w:pos="7100"/>
              </w:tabs>
              <w:spacing w:line="240" w:lineRule="auto"/>
              <w:jc w:val="left"/>
              <w:rPr>
                <w:rFonts w:cs="Arial"/>
                <w:color w:val="000000"/>
                <w:szCs w:val="18"/>
                <w:lang w:val="pt-BR" w:eastAsia="pt-BR"/>
              </w:rPr>
            </w:pPr>
            <w:proofErr w:type="spellStart"/>
            <w:r w:rsidRPr="002152C5">
              <w:rPr>
                <w:rFonts w:cs="Arial"/>
                <w:szCs w:val="18"/>
                <w:lang w:val="pt-BR" w:eastAsia="pt-BR"/>
              </w:rPr>
              <w:t>Protein</w:t>
            </w:r>
            <w:proofErr w:type="spellEnd"/>
            <w:r w:rsidRPr="002152C5">
              <w:rPr>
                <w:rFonts w:cs="Arial"/>
                <w:szCs w:val="18"/>
                <w:lang w:val="pt-BR" w:eastAsia="pt-BR"/>
              </w:rPr>
              <w:t xml:space="preserve"> (%)</w:t>
            </w:r>
          </w:p>
        </w:tc>
        <w:tc>
          <w:tcPr>
            <w:tcW w:w="1134" w:type="dxa"/>
            <w:tcBorders>
              <w:top w:val="nil"/>
              <w:left w:val="nil"/>
              <w:bottom w:val="nil"/>
              <w:right w:val="nil"/>
            </w:tcBorders>
            <w:shd w:val="clear" w:color="000000" w:fill="FFFFFF"/>
            <w:vAlign w:val="center"/>
            <w:hideMark/>
          </w:tcPr>
          <w:p w14:paraId="30D52A6D" w14:textId="600C1F0E" w:rsidR="00CD7309" w:rsidRPr="00CD7309" w:rsidRDefault="00CD7309" w:rsidP="00CD7309">
            <w:pPr>
              <w:tabs>
                <w:tab w:val="clear" w:pos="7100"/>
              </w:tabs>
              <w:spacing w:line="240" w:lineRule="auto"/>
              <w:jc w:val="left"/>
              <w:rPr>
                <w:rFonts w:cs="Arial"/>
                <w:color w:val="000000"/>
                <w:szCs w:val="18"/>
                <w:lang w:val="pt-BR" w:eastAsia="pt-BR"/>
              </w:rPr>
            </w:pPr>
            <w:r w:rsidRPr="00CD7309">
              <w:rPr>
                <w:rFonts w:cs="Arial"/>
                <w:szCs w:val="18"/>
                <w:lang w:val="pt-BR" w:eastAsia="pt-BR"/>
              </w:rPr>
              <w:t>14</w:t>
            </w:r>
            <w:r w:rsidR="002152C5">
              <w:rPr>
                <w:rFonts w:cs="Arial"/>
                <w:szCs w:val="18"/>
                <w:lang w:val="pt-BR" w:eastAsia="pt-BR"/>
              </w:rPr>
              <w:t>.</w:t>
            </w:r>
            <w:r w:rsidRPr="00CD7309">
              <w:rPr>
                <w:rFonts w:cs="Arial"/>
                <w:szCs w:val="18"/>
                <w:lang w:val="pt-BR" w:eastAsia="pt-BR"/>
              </w:rPr>
              <w:t>32</w:t>
            </w:r>
            <w:r w:rsidRPr="00CD7309">
              <w:rPr>
                <w:rFonts w:cs="Arial"/>
                <w:color w:val="000000"/>
                <w:szCs w:val="18"/>
                <w:vertAlign w:val="superscript"/>
                <w:lang w:val="pt-BR" w:eastAsia="pt-BR"/>
              </w:rPr>
              <w:t>a</w:t>
            </w:r>
            <w:r w:rsidRPr="00CD7309">
              <w:rPr>
                <w:rFonts w:cs="Arial"/>
                <w:color w:val="000000"/>
                <w:szCs w:val="18"/>
                <w:lang w:val="pt-BR" w:eastAsia="pt-BR"/>
              </w:rPr>
              <w:t>±0</w:t>
            </w:r>
            <w:r w:rsidR="002152C5">
              <w:rPr>
                <w:rFonts w:cs="Arial"/>
                <w:color w:val="000000"/>
                <w:szCs w:val="18"/>
                <w:lang w:val="pt-BR" w:eastAsia="pt-BR"/>
              </w:rPr>
              <w:t>.</w:t>
            </w:r>
            <w:r w:rsidRPr="00CD7309">
              <w:rPr>
                <w:rFonts w:cs="Arial"/>
                <w:color w:val="000000"/>
                <w:szCs w:val="18"/>
                <w:lang w:val="pt-BR" w:eastAsia="pt-BR"/>
              </w:rPr>
              <w:t>04</w:t>
            </w:r>
          </w:p>
        </w:tc>
        <w:tc>
          <w:tcPr>
            <w:tcW w:w="1275" w:type="dxa"/>
            <w:tcBorders>
              <w:top w:val="nil"/>
              <w:left w:val="nil"/>
              <w:bottom w:val="nil"/>
              <w:right w:val="nil"/>
            </w:tcBorders>
            <w:shd w:val="clear" w:color="000000" w:fill="FFFFFF"/>
            <w:vAlign w:val="center"/>
            <w:hideMark/>
          </w:tcPr>
          <w:p w14:paraId="7CC9685E" w14:textId="70DDB62F" w:rsidR="00CD7309" w:rsidRPr="00CD7309" w:rsidRDefault="00CD7309" w:rsidP="00CD7309">
            <w:pPr>
              <w:tabs>
                <w:tab w:val="clear" w:pos="7100"/>
              </w:tabs>
              <w:spacing w:line="240" w:lineRule="auto"/>
              <w:jc w:val="left"/>
              <w:rPr>
                <w:rFonts w:cs="Arial"/>
                <w:color w:val="000000"/>
                <w:szCs w:val="18"/>
                <w:lang w:val="pt-BR" w:eastAsia="pt-BR"/>
              </w:rPr>
            </w:pPr>
            <w:r w:rsidRPr="00CD7309">
              <w:rPr>
                <w:rFonts w:cs="Arial"/>
                <w:szCs w:val="18"/>
                <w:lang w:val="pt-BR" w:eastAsia="pt-BR"/>
              </w:rPr>
              <w:t>13</w:t>
            </w:r>
            <w:r w:rsidR="002152C5">
              <w:rPr>
                <w:rFonts w:cs="Arial"/>
                <w:szCs w:val="18"/>
                <w:lang w:val="pt-BR" w:eastAsia="pt-BR"/>
              </w:rPr>
              <w:t>.</w:t>
            </w:r>
            <w:r w:rsidRPr="00CD7309">
              <w:rPr>
                <w:rFonts w:cs="Arial"/>
                <w:szCs w:val="18"/>
                <w:lang w:val="pt-BR" w:eastAsia="pt-BR"/>
              </w:rPr>
              <w:t>92</w:t>
            </w:r>
            <w:r w:rsidRPr="00CD7309">
              <w:rPr>
                <w:rFonts w:cs="Arial"/>
                <w:color w:val="000000"/>
                <w:szCs w:val="18"/>
                <w:vertAlign w:val="superscript"/>
                <w:lang w:val="pt-BR" w:eastAsia="pt-BR"/>
              </w:rPr>
              <w:t>a</w:t>
            </w:r>
            <w:r w:rsidRPr="00CD7309">
              <w:rPr>
                <w:rFonts w:cs="Arial"/>
                <w:color w:val="000000"/>
                <w:szCs w:val="18"/>
                <w:lang w:val="pt-BR" w:eastAsia="pt-BR"/>
              </w:rPr>
              <w:t>±0</w:t>
            </w:r>
            <w:r w:rsidR="002152C5">
              <w:rPr>
                <w:rFonts w:cs="Arial"/>
                <w:color w:val="000000"/>
                <w:szCs w:val="18"/>
                <w:lang w:val="pt-BR" w:eastAsia="pt-BR"/>
              </w:rPr>
              <w:t>.</w:t>
            </w:r>
            <w:r w:rsidRPr="00CD7309">
              <w:rPr>
                <w:rFonts w:cs="Arial"/>
                <w:color w:val="000000"/>
                <w:szCs w:val="18"/>
                <w:lang w:val="pt-BR" w:eastAsia="pt-BR"/>
              </w:rPr>
              <w:t>05</w:t>
            </w:r>
          </w:p>
        </w:tc>
        <w:tc>
          <w:tcPr>
            <w:tcW w:w="1276" w:type="dxa"/>
            <w:tcBorders>
              <w:top w:val="nil"/>
              <w:left w:val="nil"/>
              <w:bottom w:val="nil"/>
              <w:right w:val="nil"/>
            </w:tcBorders>
            <w:shd w:val="clear" w:color="000000" w:fill="FFFFFF"/>
            <w:vAlign w:val="center"/>
            <w:hideMark/>
          </w:tcPr>
          <w:p w14:paraId="55B5D702" w14:textId="3A9D9769" w:rsidR="00CD7309" w:rsidRPr="00CD7309" w:rsidRDefault="00CD7309" w:rsidP="00CD7309">
            <w:pPr>
              <w:tabs>
                <w:tab w:val="clear" w:pos="7100"/>
              </w:tabs>
              <w:spacing w:line="240" w:lineRule="auto"/>
              <w:jc w:val="left"/>
              <w:rPr>
                <w:rFonts w:cs="Arial"/>
                <w:color w:val="000000"/>
                <w:szCs w:val="18"/>
                <w:lang w:val="pt-BR" w:eastAsia="pt-BR"/>
              </w:rPr>
            </w:pPr>
            <w:r w:rsidRPr="00CD7309">
              <w:rPr>
                <w:rFonts w:cs="Arial"/>
                <w:szCs w:val="18"/>
                <w:lang w:val="pt-BR" w:eastAsia="pt-BR"/>
              </w:rPr>
              <w:t>15</w:t>
            </w:r>
            <w:r w:rsidR="002152C5">
              <w:rPr>
                <w:rFonts w:cs="Arial"/>
                <w:szCs w:val="18"/>
                <w:lang w:val="pt-BR" w:eastAsia="pt-BR"/>
              </w:rPr>
              <w:t>.</w:t>
            </w:r>
            <w:r w:rsidRPr="00CD7309">
              <w:rPr>
                <w:rFonts w:cs="Arial"/>
                <w:szCs w:val="18"/>
                <w:lang w:val="pt-BR" w:eastAsia="pt-BR"/>
              </w:rPr>
              <w:t>51</w:t>
            </w:r>
            <w:r w:rsidRPr="00CD7309">
              <w:rPr>
                <w:rFonts w:cs="Arial"/>
                <w:color w:val="000000"/>
                <w:szCs w:val="18"/>
                <w:vertAlign w:val="superscript"/>
                <w:lang w:val="pt-BR" w:eastAsia="pt-BR"/>
              </w:rPr>
              <w:t>a</w:t>
            </w:r>
            <w:r w:rsidRPr="00CD7309">
              <w:rPr>
                <w:rFonts w:cs="Arial"/>
                <w:color w:val="000000"/>
                <w:szCs w:val="18"/>
                <w:lang w:val="pt-BR" w:eastAsia="pt-BR"/>
              </w:rPr>
              <w:t>±0</w:t>
            </w:r>
            <w:r w:rsidR="002152C5">
              <w:rPr>
                <w:rFonts w:cs="Arial"/>
                <w:color w:val="000000"/>
                <w:szCs w:val="18"/>
                <w:lang w:val="pt-BR" w:eastAsia="pt-BR"/>
              </w:rPr>
              <w:t>.</w:t>
            </w:r>
            <w:r w:rsidRPr="00CD7309">
              <w:rPr>
                <w:rFonts w:cs="Arial"/>
                <w:color w:val="000000"/>
                <w:szCs w:val="18"/>
                <w:lang w:val="pt-BR" w:eastAsia="pt-BR"/>
              </w:rPr>
              <w:t>08</w:t>
            </w:r>
          </w:p>
        </w:tc>
        <w:tc>
          <w:tcPr>
            <w:tcW w:w="1207" w:type="dxa"/>
            <w:tcBorders>
              <w:top w:val="nil"/>
              <w:left w:val="nil"/>
              <w:bottom w:val="nil"/>
              <w:right w:val="nil"/>
            </w:tcBorders>
            <w:shd w:val="clear" w:color="000000" w:fill="FFFFFF"/>
            <w:vAlign w:val="center"/>
            <w:hideMark/>
          </w:tcPr>
          <w:p w14:paraId="3C06411E" w14:textId="100CBDDA" w:rsidR="00CD7309" w:rsidRPr="00CD7309" w:rsidRDefault="00CD7309" w:rsidP="00CD7309">
            <w:pPr>
              <w:tabs>
                <w:tab w:val="clear" w:pos="7100"/>
              </w:tabs>
              <w:spacing w:line="240" w:lineRule="auto"/>
              <w:jc w:val="left"/>
              <w:rPr>
                <w:rFonts w:cs="Arial"/>
                <w:color w:val="000000"/>
                <w:szCs w:val="18"/>
                <w:lang w:val="pt-BR" w:eastAsia="pt-BR"/>
              </w:rPr>
            </w:pPr>
            <w:r w:rsidRPr="00CD7309">
              <w:rPr>
                <w:rFonts w:cs="Arial"/>
                <w:szCs w:val="18"/>
                <w:lang w:val="pt-BR" w:eastAsia="pt-BR"/>
              </w:rPr>
              <w:t>15</w:t>
            </w:r>
            <w:r w:rsidR="002152C5">
              <w:rPr>
                <w:rFonts w:cs="Arial"/>
                <w:szCs w:val="18"/>
                <w:lang w:val="pt-BR" w:eastAsia="pt-BR"/>
              </w:rPr>
              <w:t>.</w:t>
            </w:r>
            <w:r w:rsidRPr="00CD7309">
              <w:rPr>
                <w:rFonts w:cs="Arial"/>
                <w:szCs w:val="18"/>
                <w:lang w:val="pt-BR" w:eastAsia="pt-BR"/>
              </w:rPr>
              <w:t>41</w:t>
            </w:r>
            <w:r w:rsidRPr="00CD7309">
              <w:rPr>
                <w:rFonts w:cs="Arial"/>
                <w:color w:val="000000"/>
                <w:szCs w:val="18"/>
                <w:vertAlign w:val="superscript"/>
                <w:lang w:val="pt-BR" w:eastAsia="pt-BR"/>
              </w:rPr>
              <w:t>a</w:t>
            </w:r>
            <w:r w:rsidRPr="00CD7309">
              <w:rPr>
                <w:rFonts w:cs="Arial"/>
                <w:color w:val="000000"/>
                <w:szCs w:val="18"/>
                <w:lang w:val="pt-BR" w:eastAsia="pt-BR"/>
              </w:rPr>
              <w:t>±0</w:t>
            </w:r>
            <w:r w:rsidR="002152C5">
              <w:rPr>
                <w:rFonts w:cs="Arial"/>
                <w:color w:val="000000"/>
                <w:szCs w:val="18"/>
                <w:lang w:val="pt-BR" w:eastAsia="pt-BR"/>
              </w:rPr>
              <w:t>.</w:t>
            </w:r>
            <w:r w:rsidRPr="00CD7309">
              <w:rPr>
                <w:rFonts w:cs="Arial"/>
                <w:color w:val="000000"/>
                <w:szCs w:val="18"/>
                <w:lang w:val="pt-BR" w:eastAsia="pt-BR"/>
              </w:rPr>
              <w:t>05</w:t>
            </w:r>
          </w:p>
        </w:tc>
        <w:tc>
          <w:tcPr>
            <w:tcW w:w="1207" w:type="dxa"/>
            <w:tcBorders>
              <w:top w:val="nil"/>
              <w:left w:val="nil"/>
              <w:bottom w:val="nil"/>
              <w:right w:val="nil"/>
            </w:tcBorders>
            <w:shd w:val="clear" w:color="000000" w:fill="FFFFFF"/>
            <w:vAlign w:val="center"/>
            <w:hideMark/>
          </w:tcPr>
          <w:p w14:paraId="56FCEA1F" w14:textId="6F9CB439" w:rsidR="00CD7309" w:rsidRPr="00CD7309" w:rsidRDefault="00CD7309" w:rsidP="00CD7309">
            <w:pPr>
              <w:tabs>
                <w:tab w:val="clear" w:pos="7100"/>
              </w:tabs>
              <w:spacing w:line="240" w:lineRule="auto"/>
              <w:jc w:val="left"/>
              <w:rPr>
                <w:rFonts w:cs="Arial"/>
                <w:color w:val="000000"/>
                <w:szCs w:val="18"/>
                <w:lang w:val="pt-BR" w:eastAsia="pt-BR"/>
              </w:rPr>
            </w:pPr>
            <w:r w:rsidRPr="00CD7309">
              <w:rPr>
                <w:rFonts w:cs="Arial"/>
                <w:szCs w:val="18"/>
                <w:lang w:val="pt-BR" w:eastAsia="pt-BR"/>
              </w:rPr>
              <w:t>16</w:t>
            </w:r>
            <w:r w:rsidR="002152C5">
              <w:rPr>
                <w:rFonts w:cs="Arial"/>
                <w:szCs w:val="18"/>
                <w:lang w:val="pt-BR" w:eastAsia="pt-BR"/>
              </w:rPr>
              <w:t>.</w:t>
            </w:r>
            <w:r w:rsidRPr="00CD7309">
              <w:rPr>
                <w:rFonts w:cs="Arial"/>
                <w:szCs w:val="18"/>
                <w:lang w:val="pt-BR" w:eastAsia="pt-BR"/>
              </w:rPr>
              <w:t>72</w:t>
            </w:r>
            <w:r w:rsidRPr="00CD7309">
              <w:rPr>
                <w:rFonts w:cs="Arial"/>
                <w:color w:val="000000"/>
                <w:szCs w:val="18"/>
                <w:vertAlign w:val="superscript"/>
                <w:lang w:val="pt-BR" w:eastAsia="pt-BR"/>
              </w:rPr>
              <w:t>a</w:t>
            </w:r>
            <w:r w:rsidRPr="00CD7309">
              <w:rPr>
                <w:rFonts w:cs="Arial"/>
                <w:color w:val="000000"/>
                <w:szCs w:val="18"/>
                <w:lang w:val="pt-BR" w:eastAsia="pt-BR"/>
              </w:rPr>
              <w:t>±1</w:t>
            </w:r>
            <w:r w:rsidR="002152C5">
              <w:rPr>
                <w:rFonts w:cs="Arial"/>
                <w:color w:val="000000"/>
                <w:szCs w:val="18"/>
                <w:lang w:val="pt-BR" w:eastAsia="pt-BR"/>
              </w:rPr>
              <w:t>.</w:t>
            </w:r>
            <w:r w:rsidRPr="00CD7309">
              <w:rPr>
                <w:rFonts w:cs="Arial"/>
                <w:color w:val="000000"/>
                <w:szCs w:val="18"/>
                <w:lang w:val="pt-BR" w:eastAsia="pt-BR"/>
              </w:rPr>
              <w:t>50</w:t>
            </w:r>
          </w:p>
        </w:tc>
      </w:tr>
      <w:tr w:rsidR="001B2661" w:rsidRPr="00CD7309" w14:paraId="23EEA5B3" w14:textId="77777777" w:rsidTr="001B2661">
        <w:trPr>
          <w:trHeight w:val="345"/>
        </w:trPr>
        <w:tc>
          <w:tcPr>
            <w:tcW w:w="2694" w:type="dxa"/>
            <w:tcBorders>
              <w:top w:val="nil"/>
              <w:left w:val="nil"/>
              <w:bottom w:val="nil"/>
              <w:right w:val="nil"/>
            </w:tcBorders>
            <w:shd w:val="clear" w:color="000000" w:fill="FFFFFF"/>
            <w:vAlign w:val="center"/>
            <w:hideMark/>
          </w:tcPr>
          <w:p w14:paraId="283EEA38" w14:textId="4FA0A612" w:rsidR="00CD7309" w:rsidRPr="00CD7309" w:rsidRDefault="002152C5" w:rsidP="00CD7309">
            <w:pPr>
              <w:tabs>
                <w:tab w:val="clear" w:pos="7100"/>
              </w:tabs>
              <w:spacing w:line="240" w:lineRule="auto"/>
              <w:jc w:val="left"/>
              <w:rPr>
                <w:rFonts w:cs="Arial"/>
                <w:color w:val="000000"/>
                <w:szCs w:val="18"/>
                <w:lang w:val="pt-BR" w:eastAsia="pt-BR"/>
              </w:rPr>
            </w:pPr>
            <w:r w:rsidRPr="002152C5">
              <w:rPr>
                <w:rFonts w:cs="Arial"/>
                <w:szCs w:val="18"/>
                <w:lang w:val="pt-BR" w:eastAsia="pt-BR"/>
              </w:rPr>
              <w:t>Fat (%)</w:t>
            </w:r>
          </w:p>
        </w:tc>
        <w:tc>
          <w:tcPr>
            <w:tcW w:w="1134" w:type="dxa"/>
            <w:tcBorders>
              <w:top w:val="nil"/>
              <w:left w:val="nil"/>
              <w:bottom w:val="nil"/>
              <w:right w:val="nil"/>
            </w:tcBorders>
            <w:shd w:val="clear" w:color="000000" w:fill="FFFFFF"/>
            <w:vAlign w:val="center"/>
            <w:hideMark/>
          </w:tcPr>
          <w:p w14:paraId="10AC20DE" w14:textId="670FBDAE" w:rsidR="00CD7309" w:rsidRPr="00CD7309" w:rsidRDefault="00CD7309" w:rsidP="00CD7309">
            <w:pPr>
              <w:tabs>
                <w:tab w:val="clear" w:pos="7100"/>
              </w:tabs>
              <w:spacing w:line="240" w:lineRule="auto"/>
              <w:jc w:val="left"/>
              <w:rPr>
                <w:rFonts w:cs="Arial"/>
                <w:color w:val="000000"/>
                <w:szCs w:val="18"/>
                <w:lang w:val="pt-BR" w:eastAsia="pt-BR"/>
              </w:rPr>
            </w:pPr>
            <w:r w:rsidRPr="00CD7309">
              <w:rPr>
                <w:rFonts w:cs="Arial"/>
                <w:szCs w:val="18"/>
                <w:lang w:val="pt-BR" w:eastAsia="pt-BR"/>
              </w:rPr>
              <w:t>18</w:t>
            </w:r>
            <w:r w:rsidR="002152C5">
              <w:rPr>
                <w:rFonts w:cs="Arial"/>
                <w:szCs w:val="18"/>
                <w:lang w:val="pt-BR" w:eastAsia="pt-BR"/>
              </w:rPr>
              <w:t>.</w:t>
            </w:r>
            <w:r w:rsidRPr="00CD7309">
              <w:rPr>
                <w:rFonts w:cs="Arial"/>
                <w:szCs w:val="18"/>
                <w:lang w:val="pt-BR" w:eastAsia="pt-BR"/>
              </w:rPr>
              <w:t>48</w:t>
            </w:r>
            <w:r w:rsidRPr="00CD7309">
              <w:rPr>
                <w:rFonts w:cs="Arial"/>
                <w:color w:val="000000"/>
                <w:szCs w:val="18"/>
                <w:vertAlign w:val="superscript"/>
                <w:lang w:val="pt-BR" w:eastAsia="pt-BR"/>
              </w:rPr>
              <w:t>c</w:t>
            </w:r>
            <w:r w:rsidRPr="00CD7309">
              <w:rPr>
                <w:rFonts w:cs="Arial"/>
                <w:color w:val="000000"/>
                <w:szCs w:val="18"/>
                <w:lang w:val="pt-BR" w:eastAsia="pt-BR"/>
              </w:rPr>
              <w:t>±0</w:t>
            </w:r>
            <w:r w:rsidR="002152C5">
              <w:rPr>
                <w:rFonts w:cs="Arial"/>
                <w:color w:val="000000"/>
                <w:szCs w:val="18"/>
                <w:lang w:val="pt-BR" w:eastAsia="pt-BR"/>
              </w:rPr>
              <w:t>.</w:t>
            </w:r>
            <w:r w:rsidRPr="00CD7309">
              <w:rPr>
                <w:rFonts w:cs="Arial"/>
                <w:color w:val="000000"/>
                <w:szCs w:val="18"/>
                <w:lang w:val="pt-BR" w:eastAsia="pt-BR"/>
              </w:rPr>
              <w:t>02</w:t>
            </w:r>
          </w:p>
        </w:tc>
        <w:tc>
          <w:tcPr>
            <w:tcW w:w="1275" w:type="dxa"/>
            <w:tcBorders>
              <w:top w:val="nil"/>
              <w:left w:val="nil"/>
              <w:bottom w:val="nil"/>
              <w:right w:val="nil"/>
            </w:tcBorders>
            <w:shd w:val="clear" w:color="000000" w:fill="FFFFFF"/>
            <w:vAlign w:val="center"/>
            <w:hideMark/>
          </w:tcPr>
          <w:p w14:paraId="367592CE" w14:textId="6C03C9D1" w:rsidR="00CD7309" w:rsidRPr="00CD7309" w:rsidRDefault="00CD7309" w:rsidP="00CD7309">
            <w:pPr>
              <w:tabs>
                <w:tab w:val="clear" w:pos="7100"/>
              </w:tabs>
              <w:spacing w:line="240" w:lineRule="auto"/>
              <w:jc w:val="left"/>
              <w:rPr>
                <w:rFonts w:cs="Arial"/>
                <w:color w:val="000000"/>
                <w:szCs w:val="18"/>
                <w:lang w:val="pt-BR" w:eastAsia="pt-BR"/>
              </w:rPr>
            </w:pPr>
            <w:r w:rsidRPr="00CD7309">
              <w:rPr>
                <w:rFonts w:cs="Arial"/>
                <w:szCs w:val="18"/>
                <w:lang w:val="pt-BR" w:eastAsia="pt-BR"/>
              </w:rPr>
              <w:t>20</w:t>
            </w:r>
            <w:r w:rsidR="002152C5">
              <w:rPr>
                <w:rFonts w:cs="Arial"/>
                <w:szCs w:val="18"/>
                <w:lang w:val="pt-BR" w:eastAsia="pt-BR"/>
              </w:rPr>
              <w:t>.</w:t>
            </w:r>
            <w:r w:rsidRPr="00CD7309">
              <w:rPr>
                <w:rFonts w:cs="Arial"/>
                <w:szCs w:val="18"/>
                <w:lang w:val="pt-BR" w:eastAsia="pt-BR"/>
              </w:rPr>
              <w:t>61</w:t>
            </w:r>
            <w:r w:rsidRPr="00CD7309">
              <w:rPr>
                <w:rFonts w:cs="Arial"/>
                <w:color w:val="000000"/>
                <w:szCs w:val="18"/>
                <w:vertAlign w:val="superscript"/>
                <w:lang w:val="pt-BR" w:eastAsia="pt-BR"/>
              </w:rPr>
              <w:t>a</w:t>
            </w:r>
            <w:r w:rsidRPr="00CD7309">
              <w:rPr>
                <w:rFonts w:cs="Arial"/>
                <w:color w:val="000000"/>
                <w:szCs w:val="18"/>
                <w:lang w:val="pt-BR" w:eastAsia="pt-BR"/>
              </w:rPr>
              <w:t>±0</w:t>
            </w:r>
            <w:r w:rsidR="002152C5">
              <w:rPr>
                <w:rFonts w:cs="Arial"/>
                <w:color w:val="000000"/>
                <w:szCs w:val="18"/>
                <w:lang w:val="pt-BR" w:eastAsia="pt-BR"/>
              </w:rPr>
              <w:t>.</w:t>
            </w:r>
            <w:r w:rsidRPr="00CD7309">
              <w:rPr>
                <w:rFonts w:cs="Arial"/>
                <w:color w:val="000000"/>
                <w:szCs w:val="18"/>
                <w:lang w:val="pt-BR" w:eastAsia="pt-BR"/>
              </w:rPr>
              <w:t>03</w:t>
            </w:r>
          </w:p>
        </w:tc>
        <w:tc>
          <w:tcPr>
            <w:tcW w:w="1276" w:type="dxa"/>
            <w:tcBorders>
              <w:top w:val="nil"/>
              <w:left w:val="nil"/>
              <w:bottom w:val="nil"/>
              <w:right w:val="nil"/>
            </w:tcBorders>
            <w:shd w:val="clear" w:color="000000" w:fill="FFFFFF"/>
            <w:vAlign w:val="center"/>
            <w:hideMark/>
          </w:tcPr>
          <w:p w14:paraId="578DBE7A" w14:textId="5B535823" w:rsidR="00CD7309" w:rsidRPr="00CD7309" w:rsidRDefault="00CD7309" w:rsidP="00CD7309">
            <w:pPr>
              <w:tabs>
                <w:tab w:val="clear" w:pos="7100"/>
              </w:tabs>
              <w:spacing w:line="240" w:lineRule="auto"/>
              <w:jc w:val="left"/>
              <w:rPr>
                <w:rFonts w:cs="Arial"/>
                <w:color w:val="000000"/>
                <w:szCs w:val="18"/>
                <w:lang w:val="pt-BR" w:eastAsia="pt-BR"/>
              </w:rPr>
            </w:pPr>
            <w:r w:rsidRPr="00CD7309">
              <w:rPr>
                <w:rFonts w:cs="Arial"/>
                <w:szCs w:val="18"/>
                <w:lang w:val="pt-BR" w:eastAsia="pt-BR"/>
              </w:rPr>
              <w:t>16</w:t>
            </w:r>
            <w:r w:rsidR="002152C5">
              <w:rPr>
                <w:rFonts w:cs="Arial"/>
                <w:szCs w:val="18"/>
                <w:lang w:val="pt-BR" w:eastAsia="pt-BR"/>
              </w:rPr>
              <w:t>.</w:t>
            </w:r>
            <w:r w:rsidRPr="00CD7309">
              <w:rPr>
                <w:rFonts w:cs="Arial"/>
                <w:szCs w:val="18"/>
                <w:lang w:val="pt-BR" w:eastAsia="pt-BR"/>
              </w:rPr>
              <w:t>67</w:t>
            </w:r>
            <w:r w:rsidRPr="00CD7309">
              <w:rPr>
                <w:rFonts w:cs="Arial"/>
                <w:color w:val="000000"/>
                <w:szCs w:val="18"/>
                <w:vertAlign w:val="superscript"/>
                <w:lang w:val="pt-BR" w:eastAsia="pt-BR"/>
              </w:rPr>
              <w:t>e</w:t>
            </w:r>
            <w:r w:rsidRPr="00CD7309">
              <w:rPr>
                <w:rFonts w:cs="Arial"/>
                <w:color w:val="000000"/>
                <w:szCs w:val="18"/>
                <w:lang w:val="pt-BR" w:eastAsia="pt-BR"/>
              </w:rPr>
              <w:t>±0</w:t>
            </w:r>
            <w:r w:rsidR="002152C5">
              <w:rPr>
                <w:rFonts w:cs="Arial"/>
                <w:color w:val="000000"/>
                <w:szCs w:val="18"/>
                <w:lang w:val="pt-BR" w:eastAsia="pt-BR"/>
              </w:rPr>
              <w:t>.</w:t>
            </w:r>
            <w:r w:rsidRPr="00CD7309">
              <w:rPr>
                <w:rFonts w:cs="Arial"/>
                <w:color w:val="000000"/>
                <w:szCs w:val="18"/>
                <w:lang w:val="pt-BR" w:eastAsia="pt-BR"/>
              </w:rPr>
              <w:t>01</w:t>
            </w:r>
          </w:p>
        </w:tc>
        <w:tc>
          <w:tcPr>
            <w:tcW w:w="1207" w:type="dxa"/>
            <w:tcBorders>
              <w:top w:val="nil"/>
              <w:left w:val="nil"/>
              <w:bottom w:val="nil"/>
              <w:right w:val="nil"/>
            </w:tcBorders>
            <w:shd w:val="clear" w:color="000000" w:fill="FFFFFF"/>
            <w:vAlign w:val="center"/>
            <w:hideMark/>
          </w:tcPr>
          <w:p w14:paraId="73D13FC2" w14:textId="0CBA6628" w:rsidR="00CD7309" w:rsidRPr="00CD7309" w:rsidRDefault="00CD7309" w:rsidP="00CD7309">
            <w:pPr>
              <w:tabs>
                <w:tab w:val="clear" w:pos="7100"/>
              </w:tabs>
              <w:spacing w:line="240" w:lineRule="auto"/>
              <w:jc w:val="left"/>
              <w:rPr>
                <w:rFonts w:cs="Arial"/>
                <w:color w:val="000000"/>
                <w:szCs w:val="18"/>
                <w:lang w:val="pt-BR" w:eastAsia="pt-BR"/>
              </w:rPr>
            </w:pPr>
            <w:r w:rsidRPr="00CD7309">
              <w:rPr>
                <w:rFonts w:cs="Arial"/>
                <w:szCs w:val="18"/>
                <w:lang w:val="pt-BR" w:eastAsia="pt-BR"/>
              </w:rPr>
              <w:t>17</w:t>
            </w:r>
            <w:r w:rsidR="002152C5">
              <w:rPr>
                <w:rFonts w:cs="Arial"/>
                <w:szCs w:val="18"/>
                <w:lang w:val="pt-BR" w:eastAsia="pt-BR"/>
              </w:rPr>
              <w:t>.</w:t>
            </w:r>
            <w:r w:rsidRPr="00CD7309">
              <w:rPr>
                <w:rFonts w:cs="Arial"/>
                <w:szCs w:val="18"/>
                <w:lang w:val="pt-BR" w:eastAsia="pt-BR"/>
              </w:rPr>
              <w:t>83</w:t>
            </w:r>
            <w:r w:rsidRPr="00CD7309">
              <w:rPr>
                <w:rFonts w:cs="Arial"/>
                <w:color w:val="000000"/>
                <w:szCs w:val="18"/>
                <w:vertAlign w:val="superscript"/>
                <w:lang w:val="pt-BR" w:eastAsia="pt-BR"/>
              </w:rPr>
              <w:t>d</w:t>
            </w:r>
            <w:r w:rsidRPr="00CD7309">
              <w:rPr>
                <w:rFonts w:cs="Arial"/>
                <w:color w:val="000000"/>
                <w:szCs w:val="18"/>
                <w:lang w:val="pt-BR" w:eastAsia="pt-BR"/>
              </w:rPr>
              <w:t>±0</w:t>
            </w:r>
            <w:r w:rsidR="002152C5">
              <w:rPr>
                <w:rFonts w:cs="Arial"/>
                <w:color w:val="000000"/>
                <w:szCs w:val="18"/>
                <w:lang w:val="pt-BR" w:eastAsia="pt-BR"/>
              </w:rPr>
              <w:t>.</w:t>
            </w:r>
            <w:r w:rsidRPr="00CD7309">
              <w:rPr>
                <w:rFonts w:cs="Arial"/>
                <w:color w:val="000000"/>
                <w:szCs w:val="18"/>
                <w:lang w:val="pt-BR" w:eastAsia="pt-BR"/>
              </w:rPr>
              <w:t>10</w:t>
            </w:r>
          </w:p>
        </w:tc>
        <w:tc>
          <w:tcPr>
            <w:tcW w:w="1207" w:type="dxa"/>
            <w:tcBorders>
              <w:top w:val="nil"/>
              <w:left w:val="nil"/>
              <w:bottom w:val="nil"/>
              <w:right w:val="nil"/>
            </w:tcBorders>
            <w:shd w:val="clear" w:color="000000" w:fill="FFFFFF"/>
            <w:vAlign w:val="center"/>
            <w:hideMark/>
          </w:tcPr>
          <w:p w14:paraId="3D87F5D4" w14:textId="58F01A50" w:rsidR="00CD7309" w:rsidRPr="00CD7309" w:rsidRDefault="00CD7309" w:rsidP="00CD7309">
            <w:pPr>
              <w:tabs>
                <w:tab w:val="clear" w:pos="7100"/>
              </w:tabs>
              <w:spacing w:line="240" w:lineRule="auto"/>
              <w:jc w:val="left"/>
              <w:rPr>
                <w:rFonts w:cs="Arial"/>
                <w:color w:val="000000"/>
                <w:szCs w:val="18"/>
                <w:lang w:val="pt-BR" w:eastAsia="pt-BR"/>
              </w:rPr>
            </w:pPr>
            <w:r w:rsidRPr="00CD7309">
              <w:rPr>
                <w:rFonts w:cs="Arial"/>
                <w:szCs w:val="18"/>
                <w:lang w:val="pt-BR" w:eastAsia="pt-BR"/>
              </w:rPr>
              <w:t>19</w:t>
            </w:r>
            <w:r w:rsidR="002152C5">
              <w:rPr>
                <w:rFonts w:cs="Arial"/>
                <w:szCs w:val="18"/>
                <w:lang w:val="pt-BR" w:eastAsia="pt-BR"/>
              </w:rPr>
              <w:t>.</w:t>
            </w:r>
            <w:r w:rsidRPr="00CD7309">
              <w:rPr>
                <w:rFonts w:cs="Arial"/>
                <w:szCs w:val="18"/>
                <w:lang w:val="pt-BR" w:eastAsia="pt-BR"/>
              </w:rPr>
              <w:t>71</w:t>
            </w:r>
            <w:r w:rsidRPr="00CD7309">
              <w:rPr>
                <w:rFonts w:cs="Arial"/>
                <w:color w:val="000000"/>
                <w:szCs w:val="18"/>
                <w:vertAlign w:val="superscript"/>
                <w:lang w:val="pt-BR" w:eastAsia="pt-BR"/>
              </w:rPr>
              <w:t>b</w:t>
            </w:r>
            <w:r w:rsidRPr="00CD7309">
              <w:rPr>
                <w:rFonts w:cs="Arial"/>
                <w:color w:val="000000"/>
                <w:szCs w:val="18"/>
                <w:lang w:val="pt-BR" w:eastAsia="pt-BR"/>
              </w:rPr>
              <w:t>±0</w:t>
            </w:r>
            <w:r w:rsidR="002152C5">
              <w:rPr>
                <w:rFonts w:cs="Arial"/>
                <w:color w:val="000000"/>
                <w:szCs w:val="18"/>
                <w:lang w:val="pt-BR" w:eastAsia="pt-BR"/>
              </w:rPr>
              <w:t>.</w:t>
            </w:r>
            <w:r w:rsidRPr="00CD7309">
              <w:rPr>
                <w:rFonts w:cs="Arial"/>
                <w:color w:val="000000"/>
                <w:szCs w:val="18"/>
                <w:lang w:val="pt-BR" w:eastAsia="pt-BR"/>
              </w:rPr>
              <w:t>02</w:t>
            </w:r>
          </w:p>
        </w:tc>
      </w:tr>
      <w:tr w:rsidR="001B2661" w:rsidRPr="00CD7309" w14:paraId="3D67D922" w14:textId="77777777" w:rsidTr="001B2661">
        <w:trPr>
          <w:trHeight w:val="390"/>
        </w:trPr>
        <w:tc>
          <w:tcPr>
            <w:tcW w:w="2694" w:type="dxa"/>
            <w:tcBorders>
              <w:top w:val="nil"/>
              <w:left w:val="nil"/>
              <w:bottom w:val="nil"/>
              <w:right w:val="nil"/>
            </w:tcBorders>
            <w:shd w:val="clear" w:color="000000" w:fill="FFFFFF"/>
            <w:vAlign w:val="center"/>
            <w:hideMark/>
          </w:tcPr>
          <w:p w14:paraId="15579C25" w14:textId="2FB91F0E" w:rsidR="00CD7309" w:rsidRPr="00CD7309" w:rsidRDefault="002152C5" w:rsidP="00CD7309">
            <w:pPr>
              <w:tabs>
                <w:tab w:val="clear" w:pos="7100"/>
              </w:tabs>
              <w:spacing w:line="240" w:lineRule="auto"/>
              <w:jc w:val="left"/>
              <w:rPr>
                <w:rFonts w:cs="Arial"/>
                <w:color w:val="000000"/>
                <w:szCs w:val="18"/>
                <w:lang w:val="pt-BR" w:eastAsia="pt-BR"/>
              </w:rPr>
            </w:pPr>
            <w:proofErr w:type="gramStart"/>
            <w:r w:rsidRPr="002152C5">
              <w:rPr>
                <w:rFonts w:cs="Arial"/>
                <w:szCs w:val="18"/>
                <w:lang w:val="pt-BR" w:eastAsia="pt-BR"/>
              </w:rPr>
              <w:t>pH</w:t>
            </w:r>
            <w:proofErr w:type="gramEnd"/>
          </w:p>
        </w:tc>
        <w:tc>
          <w:tcPr>
            <w:tcW w:w="1134" w:type="dxa"/>
            <w:tcBorders>
              <w:top w:val="nil"/>
              <w:left w:val="nil"/>
              <w:bottom w:val="nil"/>
              <w:right w:val="nil"/>
            </w:tcBorders>
            <w:shd w:val="clear" w:color="000000" w:fill="FFFFFF"/>
            <w:vAlign w:val="center"/>
            <w:hideMark/>
          </w:tcPr>
          <w:p w14:paraId="5D0E024B" w14:textId="0ABB0568" w:rsidR="00CD7309" w:rsidRPr="00CD7309" w:rsidRDefault="00CD7309" w:rsidP="00CD7309">
            <w:pPr>
              <w:tabs>
                <w:tab w:val="clear" w:pos="7100"/>
              </w:tabs>
              <w:spacing w:line="240" w:lineRule="auto"/>
              <w:jc w:val="left"/>
              <w:rPr>
                <w:rFonts w:cs="Arial"/>
                <w:color w:val="000000"/>
                <w:szCs w:val="18"/>
                <w:lang w:val="pt-BR" w:eastAsia="pt-BR"/>
              </w:rPr>
            </w:pPr>
            <w:r w:rsidRPr="00CD7309">
              <w:rPr>
                <w:rFonts w:cs="Arial"/>
                <w:szCs w:val="18"/>
                <w:lang w:val="pt-BR" w:eastAsia="pt-BR"/>
              </w:rPr>
              <w:t>6</w:t>
            </w:r>
            <w:r w:rsidR="002152C5">
              <w:rPr>
                <w:rFonts w:cs="Arial"/>
                <w:szCs w:val="18"/>
                <w:lang w:val="pt-BR" w:eastAsia="pt-BR"/>
              </w:rPr>
              <w:t>.</w:t>
            </w:r>
            <w:r w:rsidRPr="00CD7309">
              <w:rPr>
                <w:rFonts w:cs="Arial"/>
                <w:szCs w:val="18"/>
                <w:lang w:val="pt-BR" w:eastAsia="pt-BR"/>
              </w:rPr>
              <w:t>48</w:t>
            </w:r>
            <w:r w:rsidRPr="00CD7309">
              <w:rPr>
                <w:rFonts w:cs="Arial"/>
                <w:color w:val="000000"/>
                <w:szCs w:val="18"/>
                <w:vertAlign w:val="superscript"/>
                <w:lang w:val="pt-BR" w:eastAsia="pt-BR"/>
              </w:rPr>
              <w:t>b</w:t>
            </w:r>
            <w:r w:rsidRPr="00CD7309">
              <w:rPr>
                <w:rFonts w:cs="Arial"/>
                <w:color w:val="000000"/>
                <w:szCs w:val="18"/>
                <w:lang w:val="pt-BR" w:eastAsia="pt-BR"/>
              </w:rPr>
              <w:t>±0</w:t>
            </w:r>
            <w:r w:rsidR="002152C5">
              <w:rPr>
                <w:rFonts w:cs="Arial"/>
                <w:color w:val="000000"/>
                <w:szCs w:val="18"/>
                <w:lang w:val="pt-BR" w:eastAsia="pt-BR"/>
              </w:rPr>
              <w:t>.</w:t>
            </w:r>
            <w:r w:rsidRPr="00CD7309">
              <w:rPr>
                <w:rFonts w:cs="Arial"/>
                <w:color w:val="000000"/>
                <w:szCs w:val="18"/>
                <w:lang w:val="pt-BR" w:eastAsia="pt-BR"/>
              </w:rPr>
              <w:t>00</w:t>
            </w:r>
          </w:p>
        </w:tc>
        <w:tc>
          <w:tcPr>
            <w:tcW w:w="1275" w:type="dxa"/>
            <w:tcBorders>
              <w:top w:val="nil"/>
              <w:left w:val="nil"/>
              <w:bottom w:val="nil"/>
              <w:right w:val="nil"/>
            </w:tcBorders>
            <w:shd w:val="clear" w:color="000000" w:fill="FFFFFF"/>
            <w:vAlign w:val="center"/>
            <w:hideMark/>
          </w:tcPr>
          <w:p w14:paraId="7D7AE2B1" w14:textId="08295E49" w:rsidR="00CD7309" w:rsidRPr="00CD7309" w:rsidRDefault="00CD7309" w:rsidP="00CD7309">
            <w:pPr>
              <w:tabs>
                <w:tab w:val="clear" w:pos="7100"/>
              </w:tabs>
              <w:spacing w:line="240" w:lineRule="auto"/>
              <w:jc w:val="left"/>
              <w:rPr>
                <w:rFonts w:cs="Arial"/>
                <w:color w:val="000000"/>
                <w:szCs w:val="18"/>
                <w:lang w:val="pt-BR" w:eastAsia="pt-BR"/>
              </w:rPr>
            </w:pPr>
            <w:r w:rsidRPr="00CD7309">
              <w:rPr>
                <w:rFonts w:cs="Arial"/>
                <w:szCs w:val="18"/>
                <w:lang w:val="pt-BR" w:eastAsia="pt-BR"/>
              </w:rPr>
              <w:t>6</w:t>
            </w:r>
            <w:r w:rsidR="002152C5">
              <w:rPr>
                <w:rFonts w:cs="Arial"/>
                <w:szCs w:val="18"/>
                <w:lang w:val="pt-BR" w:eastAsia="pt-BR"/>
              </w:rPr>
              <w:t>.</w:t>
            </w:r>
            <w:r w:rsidRPr="00CD7309">
              <w:rPr>
                <w:rFonts w:cs="Arial"/>
                <w:szCs w:val="18"/>
                <w:lang w:val="pt-BR" w:eastAsia="pt-BR"/>
              </w:rPr>
              <w:t>53</w:t>
            </w:r>
            <w:r w:rsidRPr="00CD7309">
              <w:rPr>
                <w:rFonts w:cs="Arial"/>
                <w:color w:val="000000"/>
                <w:szCs w:val="18"/>
                <w:vertAlign w:val="superscript"/>
                <w:lang w:val="pt-BR" w:eastAsia="pt-BR"/>
              </w:rPr>
              <w:t>ab</w:t>
            </w:r>
            <w:r w:rsidRPr="00CD7309">
              <w:rPr>
                <w:rFonts w:cs="Arial"/>
                <w:color w:val="000000"/>
                <w:szCs w:val="18"/>
                <w:lang w:val="pt-BR" w:eastAsia="pt-BR"/>
              </w:rPr>
              <w:t>±0</w:t>
            </w:r>
            <w:r w:rsidR="002152C5">
              <w:rPr>
                <w:rFonts w:cs="Arial"/>
                <w:color w:val="000000"/>
                <w:szCs w:val="18"/>
                <w:lang w:val="pt-BR" w:eastAsia="pt-BR"/>
              </w:rPr>
              <w:t>.</w:t>
            </w:r>
            <w:r w:rsidRPr="00CD7309">
              <w:rPr>
                <w:rFonts w:cs="Arial"/>
                <w:color w:val="000000"/>
                <w:szCs w:val="18"/>
                <w:lang w:val="pt-BR" w:eastAsia="pt-BR"/>
              </w:rPr>
              <w:t>02</w:t>
            </w:r>
          </w:p>
        </w:tc>
        <w:tc>
          <w:tcPr>
            <w:tcW w:w="1276" w:type="dxa"/>
            <w:tcBorders>
              <w:top w:val="nil"/>
              <w:left w:val="nil"/>
              <w:bottom w:val="nil"/>
              <w:right w:val="nil"/>
            </w:tcBorders>
            <w:shd w:val="clear" w:color="000000" w:fill="FFFFFF"/>
            <w:vAlign w:val="center"/>
            <w:hideMark/>
          </w:tcPr>
          <w:p w14:paraId="6E578C45" w14:textId="6884AC0C" w:rsidR="00CD7309" w:rsidRPr="00CD7309" w:rsidRDefault="00CD7309" w:rsidP="00CD7309">
            <w:pPr>
              <w:tabs>
                <w:tab w:val="clear" w:pos="7100"/>
              </w:tabs>
              <w:spacing w:line="240" w:lineRule="auto"/>
              <w:jc w:val="left"/>
              <w:rPr>
                <w:rFonts w:cs="Arial"/>
                <w:color w:val="000000"/>
                <w:szCs w:val="18"/>
                <w:lang w:val="pt-BR" w:eastAsia="pt-BR"/>
              </w:rPr>
            </w:pPr>
            <w:r w:rsidRPr="00CD7309">
              <w:rPr>
                <w:rFonts w:cs="Arial"/>
                <w:szCs w:val="18"/>
                <w:lang w:val="pt-BR" w:eastAsia="pt-BR"/>
              </w:rPr>
              <w:t>6</w:t>
            </w:r>
            <w:r w:rsidR="002152C5">
              <w:rPr>
                <w:rFonts w:cs="Arial"/>
                <w:szCs w:val="18"/>
                <w:lang w:val="pt-BR" w:eastAsia="pt-BR"/>
              </w:rPr>
              <w:t>.</w:t>
            </w:r>
            <w:r w:rsidRPr="00CD7309">
              <w:rPr>
                <w:rFonts w:cs="Arial"/>
                <w:szCs w:val="18"/>
                <w:lang w:val="pt-BR" w:eastAsia="pt-BR"/>
              </w:rPr>
              <w:t>69</w:t>
            </w:r>
            <w:r w:rsidRPr="00CD7309">
              <w:rPr>
                <w:rFonts w:cs="Arial"/>
                <w:color w:val="000000"/>
                <w:szCs w:val="18"/>
                <w:vertAlign w:val="superscript"/>
                <w:lang w:val="pt-BR" w:eastAsia="pt-BR"/>
              </w:rPr>
              <w:t>ab</w:t>
            </w:r>
            <w:r w:rsidRPr="00CD7309">
              <w:rPr>
                <w:rFonts w:cs="Arial"/>
                <w:color w:val="000000"/>
                <w:szCs w:val="18"/>
                <w:lang w:val="pt-BR" w:eastAsia="pt-BR"/>
              </w:rPr>
              <w:t>±0</w:t>
            </w:r>
            <w:r w:rsidR="002152C5">
              <w:rPr>
                <w:rFonts w:cs="Arial"/>
                <w:color w:val="000000"/>
                <w:szCs w:val="18"/>
                <w:lang w:val="pt-BR" w:eastAsia="pt-BR"/>
              </w:rPr>
              <w:t>.</w:t>
            </w:r>
            <w:r w:rsidRPr="00CD7309">
              <w:rPr>
                <w:rFonts w:cs="Arial"/>
                <w:color w:val="000000"/>
                <w:szCs w:val="18"/>
                <w:lang w:val="pt-BR" w:eastAsia="pt-BR"/>
              </w:rPr>
              <w:t>10</w:t>
            </w:r>
          </w:p>
        </w:tc>
        <w:tc>
          <w:tcPr>
            <w:tcW w:w="1207" w:type="dxa"/>
            <w:tcBorders>
              <w:top w:val="nil"/>
              <w:left w:val="nil"/>
              <w:bottom w:val="nil"/>
              <w:right w:val="nil"/>
            </w:tcBorders>
            <w:shd w:val="clear" w:color="000000" w:fill="FFFFFF"/>
            <w:vAlign w:val="center"/>
            <w:hideMark/>
          </w:tcPr>
          <w:p w14:paraId="2FAD2988" w14:textId="246FB117" w:rsidR="00CD7309" w:rsidRPr="00CD7309" w:rsidRDefault="00CD7309" w:rsidP="00CD7309">
            <w:pPr>
              <w:tabs>
                <w:tab w:val="clear" w:pos="7100"/>
              </w:tabs>
              <w:spacing w:line="240" w:lineRule="auto"/>
              <w:jc w:val="left"/>
              <w:rPr>
                <w:rFonts w:cs="Arial"/>
                <w:color w:val="000000"/>
                <w:szCs w:val="18"/>
                <w:lang w:val="pt-BR" w:eastAsia="pt-BR"/>
              </w:rPr>
            </w:pPr>
            <w:r w:rsidRPr="00CD7309">
              <w:rPr>
                <w:rFonts w:cs="Arial"/>
                <w:szCs w:val="18"/>
                <w:lang w:val="pt-BR" w:eastAsia="pt-BR"/>
              </w:rPr>
              <w:t>6</w:t>
            </w:r>
            <w:r w:rsidR="002152C5">
              <w:rPr>
                <w:rFonts w:cs="Arial"/>
                <w:szCs w:val="18"/>
                <w:lang w:val="pt-BR" w:eastAsia="pt-BR"/>
              </w:rPr>
              <w:t>.</w:t>
            </w:r>
            <w:r w:rsidRPr="00CD7309">
              <w:rPr>
                <w:rFonts w:cs="Arial"/>
                <w:szCs w:val="18"/>
                <w:lang w:val="pt-BR" w:eastAsia="pt-BR"/>
              </w:rPr>
              <w:t>61</w:t>
            </w:r>
            <w:r w:rsidRPr="00CD7309">
              <w:rPr>
                <w:rFonts w:cs="Arial"/>
                <w:color w:val="000000"/>
                <w:szCs w:val="18"/>
                <w:vertAlign w:val="superscript"/>
                <w:lang w:val="pt-BR" w:eastAsia="pt-BR"/>
              </w:rPr>
              <w:t>ab</w:t>
            </w:r>
            <w:r w:rsidRPr="00CD7309">
              <w:rPr>
                <w:rFonts w:cs="Arial"/>
                <w:color w:val="000000"/>
                <w:szCs w:val="18"/>
                <w:lang w:val="pt-BR" w:eastAsia="pt-BR"/>
              </w:rPr>
              <w:t>±0</w:t>
            </w:r>
            <w:r w:rsidR="002152C5">
              <w:rPr>
                <w:rFonts w:cs="Arial"/>
                <w:color w:val="000000"/>
                <w:szCs w:val="18"/>
                <w:lang w:val="pt-BR" w:eastAsia="pt-BR"/>
              </w:rPr>
              <w:t>.</w:t>
            </w:r>
            <w:r w:rsidRPr="00CD7309">
              <w:rPr>
                <w:rFonts w:cs="Arial"/>
                <w:color w:val="000000"/>
                <w:szCs w:val="18"/>
                <w:lang w:val="pt-BR" w:eastAsia="pt-BR"/>
              </w:rPr>
              <w:t>01</w:t>
            </w:r>
          </w:p>
        </w:tc>
        <w:tc>
          <w:tcPr>
            <w:tcW w:w="1207" w:type="dxa"/>
            <w:tcBorders>
              <w:top w:val="nil"/>
              <w:left w:val="nil"/>
              <w:bottom w:val="nil"/>
              <w:right w:val="nil"/>
            </w:tcBorders>
            <w:shd w:val="clear" w:color="000000" w:fill="FFFFFF"/>
            <w:vAlign w:val="center"/>
            <w:hideMark/>
          </w:tcPr>
          <w:p w14:paraId="211F00A1" w14:textId="1674E2FB" w:rsidR="00CD7309" w:rsidRPr="00CD7309" w:rsidRDefault="00CD7309" w:rsidP="00CD7309">
            <w:pPr>
              <w:tabs>
                <w:tab w:val="clear" w:pos="7100"/>
              </w:tabs>
              <w:spacing w:line="240" w:lineRule="auto"/>
              <w:jc w:val="left"/>
              <w:rPr>
                <w:rFonts w:cs="Arial"/>
                <w:color w:val="000000"/>
                <w:szCs w:val="18"/>
                <w:lang w:val="pt-BR" w:eastAsia="pt-BR"/>
              </w:rPr>
            </w:pPr>
            <w:r w:rsidRPr="00CD7309">
              <w:rPr>
                <w:rFonts w:cs="Arial"/>
                <w:szCs w:val="18"/>
                <w:lang w:val="pt-BR" w:eastAsia="pt-BR"/>
              </w:rPr>
              <w:t>6</w:t>
            </w:r>
            <w:r w:rsidR="002152C5">
              <w:rPr>
                <w:rFonts w:cs="Arial"/>
                <w:szCs w:val="18"/>
                <w:lang w:val="pt-BR" w:eastAsia="pt-BR"/>
              </w:rPr>
              <w:t>.</w:t>
            </w:r>
            <w:r w:rsidRPr="00CD7309">
              <w:rPr>
                <w:rFonts w:cs="Arial"/>
                <w:szCs w:val="18"/>
                <w:lang w:val="pt-BR" w:eastAsia="pt-BR"/>
              </w:rPr>
              <w:t>72</w:t>
            </w:r>
            <w:r w:rsidRPr="00CD7309">
              <w:rPr>
                <w:rFonts w:cs="Arial"/>
                <w:color w:val="000000"/>
                <w:szCs w:val="18"/>
                <w:vertAlign w:val="superscript"/>
                <w:lang w:val="pt-BR" w:eastAsia="pt-BR"/>
              </w:rPr>
              <w:t>a</w:t>
            </w:r>
            <w:r w:rsidRPr="00CD7309">
              <w:rPr>
                <w:rFonts w:cs="Arial"/>
                <w:color w:val="000000"/>
                <w:szCs w:val="18"/>
                <w:lang w:val="pt-BR" w:eastAsia="pt-BR"/>
              </w:rPr>
              <w:t>±0</w:t>
            </w:r>
            <w:r w:rsidR="002152C5">
              <w:rPr>
                <w:rFonts w:cs="Arial"/>
                <w:color w:val="000000"/>
                <w:szCs w:val="18"/>
                <w:lang w:val="pt-BR" w:eastAsia="pt-BR"/>
              </w:rPr>
              <w:t>.</w:t>
            </w:r>
            <w:r w:rsidRPr="00CD7309">
              <w:rPr>
                <w:rFonts w:cs="Arial"/>
                <w:color w:val="000000"/>
                <w:szCs w:val="18"/>
                <w:lang w:val="pt-BR" w:eastAsia="pt-BR"/>
              </w:rPr>
              <w:t>01</w:t>
            </w:r>
          </w:p>
        </w:tc>
      </w:tr>
      <w:tr w:rsidR="001B2661" w:rsidRPr="00CD7309" w14:paraId="339A453C" w14:textId="77777777" w:rsidTr="001B2661">
        <w:trPr>
          <w:trHeight w:val="330"/>
        </w:trPr>
        <w:tc>
          <w:tcPr>
            <w:tcW w:w="2694" w:type="dxa"/>
            <w:tcBorders>
              <w:top w:val="nil"/>
              <w:left w:val="nil"/>
              <w:bottom w:val="nil"/>
              <w:right w:val="nil"/>
            </w:tcBorders>
            <w:shd w:val="clear" w:color="000000" w:fill="FFFFFF"/>
            <w:vAlign w:val="center"/>
            <w:hideMark/>
          </w:tcPr>
          <w:p w14:paraId="5401D37A" w14:textId="44E81B4B" w:rsidR="00CD7309" w:rsidRPr="00CD7309" w:rsidRDefault="002152C5" w:rsidP="00CD7309">
            <w:pPr>
              <w:tabs>
                <w:tab w:val="clear" w:pos="7100"/>
              </w:tabs>
              <w:spacing w:line="240" w:lineRule="auto"/>
              <w:jc w:val="left"/>
              <w:rPr>
                <w:rFonts w:cs="Arial"/>
                <w:color w:val="000000"/>
                <w:szCs w:val="18"/>
                <w:lang w:val="pt-BR" w:eastAsia="pt-BR"/>
              </w:rPr>
            </w:pPr>
            <w:proofErr w:type="spellStart"/>
            <w:r w:rsidRPr="002152C5">
              <w:rPr>
                <w:rFonts w:cs="Arial"/>
                <w:szCs w:val="18"/>
                <w:lang w:val="pt-BR" w:eastAsia="pt-BR"/>
              </w:rPr>
              <w:t>Nitrate</w:t>
            </w:r>
            <w:proofErr w:type="spellEnd"/>
            <w:r w:rsidRPr="002152C5">
              <w:rPr>
                <w:rFonts w:cs="Arial"/>
                <w:szCs w:val="18"/>
                <w:lang w:val="pt-BR" w:eastAsia="pt-BR"/>
              </w:rPr>
              <w:t xml:space="preserve"> (</w:t>
            </w:r>
            <w:proofErr w:type="spellStart"/>
            <w:proofErr w:type="gramStart"/>
            <w:r w:rsidRPr="002152C5">
              <w:rPr>
                <w:rFonts w:cs="Arial"/>
                <w:szCs w:val="18"/>
                <w:lang w:val="pt-BR" w:eastAsia="pt-BR"/>
              </w:rPr>
              <w:t>ppm</w:t>
            </w:r>
            <w:proofErr w:type="spellEnd"/>
            <w:proofErr w:type="gramEnd"/>
            <w:r w:rsidRPr="002152C5">
              <w:rPr>
                <w:rFonts w:cs="Arial"/>
                <w:szCs w:val="18"/>
                <w:lang w:val="pt-BR" w:eastAsia="pt-BR"/>
              </w:rPr>
              <w:t>)</w:t>
            </w:r>
          </w:p>
        </w:tc>
        <w:tc>
          <w:tcPr>
            <w:tcW w:w="1134" w:type="dxa"/>
            <w:tcBorders>
              <w:top w:val="nil"/>
              <w:left w:val="nil"/>
              <w:bottom w:val="nil"/>
              <w:right w:val="nil"/>
            </w:tcBorders>
            <w:shd w:val="clear" w:color="000000" w:fill="FFFFFF"/>
            <w:vAlign w:val="center"/>
            <w:hideMark/>
          </w:tcPr>
          <w:p w14:paraId="651ADF43" w14:textId="583AE2AC" w:rsidR="00CD7309" w:rsidRPr="00CD7309" w:rsidRDefault="00CD7309" w:rsidP="00CD7309">
            <w:pPr>
              <w:tabs>
                <w:tab w:val="clear" w:pos="7100"/>
              </w:tabs>
              <w:spacing w:line="240" w:lineRule="auto"/>
              <w:jc w:val="left"/>
              <w:rPr>
                <w:rFonts w:cs="Arial"/>
                <w:color w:val="000000"/>
                <w:szCs w:val="18"/>
                <w:lang w:val="pt-BR" w:eastAsia="pt-BR"/>
              </w:rPr>
            </w:pPr>
            <w:r w:rsidRPr="00CD7309">
              <w:rPr>
                <w:rFonts w:cs="Arial"/>
                <w:szCs w:val="18"/>
                <w:lang w:val="pt-BR" w:eastAsia="pt-BR"/>
              </w:rPr>
              <w:t>0</w:t>
            </w:r>
            <w:r w:rsidR="002152C5">
              <w:rPr>
                <w:rFonts w:cs="Arial"/>
                <w:szCs w:val="18"/>
                <w:lang w:val="pt-BR" w:eastAsia="pt-BR"/>
              </w:rPr>
              <w:t>.</w:t>
            </w:r>
            <w:r w:rsidRPr="00CD7309">
              <w:rPr>
                <w:rFonts w:cs="Arial"/>
                <w:szCs w:val="18"/>
                <w:lang w:val="pt-BR" w:eastAsia="pt-BR"/>
              </w:rPr>
              <w:t>42</w:t>
            </w:r>
            <w:r w:rsidRPr="00CD7309">
              <w:rPr>
                <w:rFonts w:cs="Arial"/>
                <w:color w:val="000000"/>
                <w:szCs w:val="18"/>
                <w:vertAlign w:val="superscript"/>
                <w:lang w:val="pt-BR" w:eastAsia="pt-BR"/>
              </w:rPr>
              <w:t>d</w:t>
            </w:r>
            <w:r w:rsidRPr="00CD7309">
              <w:rPr>
                <w:rFonts w:cs="Arial"/>
                <w:color w:val="000000"/>
                <w:szCs w:val="18"/>
                <w:lang w:val="pt-BR" w:eastAsia="pt-BR"/>
              </w:rPr>
              <w:t>±0</w:t>
            </w:r>
            <w:r w:rsidR="002152C5">
              <w:rPr>
                <w:rFonts w:cs="Arial"/>
                <w:color w:val="000000"/>
                <w:szCs w:val="18"/>
                <w:lang w:val="pt-BR" w:eastAsia="pt-BR"/>
              </w:rPr>
              <w:t>.</w:t>
            </w:r>
            <w:r w:rsidRPr="00CD7309">
              <w:rPr>
                <w:rFonts w:cs="Arial"/>
                <w:color w:val="000000"/>
                <w:szCs w:val="18"/>
                <w:lang w:val="pt-BR" w:eastAsia="pt-BR"/>
              </w:rPr>
              <w:t>36</w:t>
            </w:r>
          </w:p>
        </w:tc>
        <w:tc>
          <w:tcPr>
            <w:tcW w:w="1275" w:type="dxa"/>
            <w:tcBorders>
              <w:top w:val="nil"/>
              <w:left w:val="nil"/>
              <w:bottom w:val="nil"/>
              <w:right w:val="nil"/>
            </w:tcBorders>
            <w:shd w:val="clear" w:color="000000" w:fill="FFFFFF"/>
            <w:vAlign w:val="center"/>
            <w:hideMark/>
          </w:tcPr>
          <w:p w14:paraId="52F3F56A" w14:textId="29A98680" w:rsidR="00CD7309" w:rsidRPr="00CD7309" w:rsidRDefault="00CD7309" w:rsidP="00CD7309">
            <w:pPr>
              <w:tabs>
                <w:tab w:val="clear" w:pos="7100"/>
              </w:tabs>
              <w:spacing w:line="240" w:lineRule="auto"/>
              <w:jc w:val="left"/>
              <w:rPr>
                <w:rFonts w:cs="Arial"/>
                <w:color w:val="000000"/>
                <w:szCs w:val="18"/>
                <w:lang w:val="pt-BR" w:eastAsia="pt-BR"/>
              </w:rPr>
            </w:pPr>
            <w:r w:rsidRPr="00CD7309">
              <w:rPr>
                <w:rFonts w:cs="Arial"/>
                <w:szCs w:val="18"/>
                <w:lang w:val="pt-BR" w:eastAsia="pt-BR"/>
              </w:rPr>
              <w:t>54</w:t>
            </w:r>
            <w:r w:rsidR="002152C5">
              <w:rPr>
                <w:rFonts w:cs="Arial"/>
                <w:szCs w:val="18"/>
                <w:lang w:val="pt-BR" w:eastAsia="pt-BR"/>
              </w:rPr>
              <w:t>.</w:t>
            </w:r>
            <w:r w:rsidRPr="00CD7309">
              <w:rPr>
                <w:rFonts w:cs="Arial"/>
                <w:szCs w:val="18"/>
                <w:lang w:val="pt-BR" w:eastAsia="pt-BR"/>
              </w:rPr>
              <w:t>74</w:t>
            </w:r>
            <w:r w:rsidRPr="00CD7309">
              <w:rPr>
                <w:rFonts w:cs="Arial"/>
                <w:color w:val="000000"/>
                <w:szCs w:val="18"/>
                <w:vertAlign w:val="superscript"/>
                <w:lang w:val="pt-BR" w:eastAsia="pt-BR"/>
              </w:rPr>
              <w:t>c</w:t>
            </w:r>
            <w:r w:rsidRPr="00CD7309">
              <w:rPr>
                <w:rFonts w:cs="Arial"/>
                <w:color w:val="000000"/>
                <w:szCs w:val="18"/>
                <w:lang w:val="pt-BR" w:eastAsia="pt-BR"/>
              </w:rPr>
              <w:t>±0</w:t>
            </w:r>
            <w:r w:rsidR="002152C5">
              <w:rPr>
                <w:rFonts w:cs="Arial"/>
                <w:color w:val="000000"/>
                <w:szCs w:val="18"/>
                <w:lang w:val="pt-BR" w:eastAsia="pt-BR"/>
              </w:rPr>
              <w:t>.</w:t>
            </w:r>
            <w:r w:rsidRPr="00CD7309">
              <w:rPr>
                <w:rFonts w:cs="Arial"/>
                <w:color w:val="000000"/>
                <w:szCs w:val="18"/>
                <w:lang w:val="pt-BR" w:eastAsia="pt-BR"/>
              </w:rPr>
              <w:t>35</w:t>
            </w:r>
          </w:p>
        </w:tc>
        <w:tc>
          <w:tcPr>
            <w:tcW w:w="1276" w:type="dxa"/>
            <w:tcBorders>
              <w:top w:val="nil"/>
              <w:left w:val="nil"/>
              <w:bottom w:val="nil"/>
              <w:right w:val="nil"/>
            </w:tcBorders>
            <w:shd w:val="clear" w:color="000000" w:fill="FFFFFF"/>
            <w:vAlign w:val="center"/>
            <w:hideMark/>
          </w:tcPr>
          <w:p w14:paraId="741AC8CF" w14:textId="0E8BB7E9" w:rsidR="00CD7309" w:rsidRPr="00CD7309" w:rsidRDefault="00CD7309" w:rsidP="00CD7309">
            <w:pPr>
              <w:tabs>
                <w:tab w:val="clear" w:pos="7100"/>
              </w:tabs>
              <w:spacing w:line="240" w:lineRule="auto"/>
              <w:jc w:val="left"/>
              <w:rPr>
                <w:rFonts w:cs="Arial"/>
                <w:color w:val="000000"/>
                <w:szCs w:val="18"/>
                <w:lang w:val="pt-BR" w:eastAsia="pt-BR"/>
              </w:rPr>
            </w:pPr>
            <w:r w:rsidRPr="00CD7309">
              <w:rPr>
                <w:rFonts w:cs="Arial"/>
                <w:szCs w:val="18"/>
                <w:lang w:val="pt-BR" w:eastAsia="pt-BR"/>
              </w:rPr>
              <w:t>134</w:t>
            </w:r>
            <w:r w:rsidR="002152C5">
              <w:rPr>
                <w:rFonts w:cs="Arial"/>
                <w:szCs w:val="18"/>
                <w:lang w:val="pt-BR" w:eastAsia="pt-BR"/>
              </w:rPr>
              <w:t>.</w:t>
            </w:r>
            <w:r w:rsidRPr="00CD7309">
              <w:rPr>
                <w:rFonts w:cs="Arial"/>
                <w:szCs w:val="18"/>
                <w:lang w:val="pt-BR" w:eastAsia="pt-BR"/>
              </w:rPr>
              <w:t>92</w:t>
            </w:r>
            <w:r w:rsidRPr="00CD7309">
              <w:rPr>
                <w:rFonts w:cs="Arial"/>
                <w:color w:val="000000"/>
                <w:szCs w:val="18"/>
                <w:vertAlign w:val="superscript"/>
                <w:lang w:val="pt-BR" w:eastAsia="pt-BR"/>
              </w:rPr>
              <w:t>b</w:t>
            </w:r>
            <w:r w:rsidRPr="00CD7309">
              <w:rPr>
                <w:rFonts w:cs="Arial"/>
                <w:color w:val="000000"/>
                <w:szCs w:val="18"/>
                <w:lang w:val="pt-BR" w:eastAsia="pt-BR"/>
              </w:rPr>
              <w:t>±2</w:t>
            </w:r>
            <w:r w:rsidR="002152C5">
              <w:rPr>
                <w:rFonts w:cs="Arial"/>
                <w:color w:val="000000"/>
                <w:szCs w:val="18"/>
                <w:lang w:val="pt-BR" w:eastAsia="pt-BR"/>
              </w:rPr>
              <w:t>.</w:t>
            </w:r>
            <w:r w:rsidRPr="00CD7309">
              <w:rPr>
                <w:rFonts w:cs="Arial"/>
                <w:color w:val="000000"/>
                <w:szCs w:val="18"/>
                <w:lang w:val="pt-BR" w:eastAsia="pt-BR"/>
              </w:rPr>
              <w:t>38</w:t>
            </w:r>
          </w:p>
        </w:tc>
        <w:tc>
          <w:tcPr>
            <w:tcW w:w="1207" w:type="dxa"/>
            <w:tcBorders>
              <w:top w:val="nil"/>
              <w:left w:val="nil"/>
              <w:bottom w:val="nil"/>
              <w:right w:val="nil"/>
            </w:tcBorders>
            <w:shd w:val="clear" w:color="000000" w:fill="FFFFFF"/>
            <w:vAlign w:val="center"/>
            <w:hideMark/>
          </w:tcPr>
          <w:p w14:paraId="42969D38" w14:textId="24366E00" w:rsidR="00CD7309" w:rsidRPr="00CD7309" w:rsidRDefault="00CD7309" w:rsidP="00CD7309">
            <w:pPr>
              <w:tabs>
                <w:tab w:val="clear" w:pos="7100"/>
              </w:tabs>
              <w:spacing w:line="240" w:lineRule="auto"/>
              <w:jc w:val="left"/>
              <w:rPr>
                <w:rFonts w:cs="Arial"/>
                <w:color w:val="000000"/>
                <w:szCs w:val="18"/>
                <w:lang w:val="pt-BR" w:eastAsia="pt-BR"/>
              </w:rPr>
            </w:pPr>
            <w:r w:rsidRPr="00CD7309">
              <w:rPr>
                <w:rFonts w:cs="Arial"/>
                <w:szCs w:val="18"/>
                <w:lang w:val="pt-BR" w:eastAsia="pt-BR"/>
              </w:rPr>
              <w:t>165</w:t>
            </w:r>
            <w:r w:rsidR="002152C5">
              <w:rPr>
                <w:rFonts w:cs="Arial"/>
                <w:szCs w:val="18"/>
                <w:lang w:val="pt-BR" w:eastAsia="pt-BR"/>
              </w:rPr>
              <w:t>.</w:t>
            </w:r>
            <w:r w:rsidRPr="00CD7309">
              <w:rPr>
                <w:rFonts w:cs="Arial"/>
                <w:szCs w:val="18"/>
                <w:lang w:val="pt-BR" w:eastAsia="pt-BR"/>
              </w:rPr>
              <w:t>06</w:t>
            </w:r>
            <w:r w:rsidRPr="00CD7309">
              <w:rPr>
                <w:rFonts w:cs="Arial"/>
                <w:color w:val="000000"/>
                <w:szCs w:val="18"/>
                <w:vertAlign w:val="superscript"/>
                <w:lang w:val="pt-BR" w:eastAsia="pt-BR"/>
              </w:rPr>
              <w:t>a</w:t>
            </w:r>
            <w:r w:rsidRPr="00CD7309">
              <w:rPr>
                <w:rFonts w:cs="Arial"/>
                <w:color w:val="000000"/>
                <w:szCs w:val="18"/>
                <w:lang w:val="pt-BR" w:eastAsia="pt-BR"/>
              </w:rPr>
              <w:t>±0</w:t>
            </w:r>
            <w:r w:rsidR="002152C5">
              <w:rPr>
                <w:rFonts w:cs="Arial"/>
                <w:color w:val="000000"/>
                <w:szCs w:val="18"/>
                <w:lang w:val="pt-BR" w:eastAsia="pt-BR"/>
              </w:rPr>
              <w:t>.</w:t>
            </w:r>
            <w:r w:rsidRPr="00CD7309">
              <w:rPr>
                <w:rFonts w:cs="Arial"/>
                <w:color w:val="000000"/>
                <w:szCs w:val="18"/>
                <w:lang w:val="pt-BR" w:eastAsia="pt-BR"/>
              </w:rPr>
              <w:t>09</w:t>
            </w:r>
          </w:p>
        </w:tc>
        <w:tc>
          <w:tcPr>
            <w:tcW w:w="1207" w:type="dxa"/>
            <w:tcBorders>
              <w:top w:val="nil"/>
              <w:left w:val="nil"/>
              <w:bottom w:val="nil"/>
              <w:right w:val="nil"/>
            </w:tcBorders>
            <w:shd w:val="clear" w:color="000000" w:fill="FFFFFF"/>
            <w:vAlign w:val="center"/>
            <w:hideMark/>
          </w:tcPr>
          <w:p w14:paraId="271A361A" w14:textId="171BB908" w:rsidR="00CD7309" w:rsidRPr="00CD7309" w:rsidRDefault="00CD7309" w:rsidP="00CD7309">
            <w:pPr>
              <w:tabs>
                <w:tab w:val="clear" w:pos="7100"/>
              </w:tabs>
              <w:spacing w:line="240" w:lineRule="auto"/>
              <w:jc w:val="left"/>
              <w:rPr>
                <w:rFonts w:cs="Arial"/>
                <w:color w:val="000000"/>
                <w:szCs w:val="18"/>
                <w:lang w:val="pt-BR" w:eastAsia="pt-BR"/>
              </w:rPr>
            </w:pPr>
            <w:r w:rsidRPr="00CD7309">
              <w:rPr>
                <w:rFonts w:cs="Arial"/>
                <w:szCs w:val="18"/>
                <w:lang w:val="pt-BR" w:eastAsia="pt-BR"/>
              </w:rPr>
              <w:t>167</w:t>
            </w:r>
            <w:r w:rsidR="002152C5">
              <w:rPr>
                <w:rFonts w:cs="Arial"/>
                <w:szCs w:val="18"/>
                <w:lang w:val="pt-BR" w:eastAsia="pt-BR"/>
              </w:rPr>
              <w:t>.</w:t>
            </w:r>
            <w:r w:rsidRPr="00CD7309">
              <w:rPr>
                <w:rFonts w:cs="Arial"/>
                <w:szCs w:val="18"/>
                <w:lang w:val="pt-BR" w:eastAsia="pt-BR"/>
              </w:rPr>
              <w:t>75</w:t>
            </w:r>
            <w:r w:rsidRPr="00CD7309">
              <w:rPr>
                <w:rFonts w:cs="Arial"/>
                <w:color w:val="000000"/>
                <w:szCs w:val="18"/>
                <w:vertAlign w:val="superscript"/>
                <w:lang w:val="pt-BR" w:eastAsia="pt-BR"/>
              </w:rPr>
              <w:t>a</w:t>
            </w:r>
            <w:r w:rsidRPr="00CD7309">
              <w:rPr>
                <w:rFonts w:cs="Arial"/>
                <w:color w:val="000000"/>
                <w:szCs w:val="18"/>
                <w:lang w:val="pt-BR" w:eastAsia="pt-BR"/>
              </w:rPr>
              <w:t>±5</w:t>
            </w:r>
            <w:r w:rsidR="002152C5">
              <w:rPr>
                <w:rFonts w:cs="Arial"/>
                <w:color w:val="000000"/>
                <w:szCs w:val="18"/>
                <w:lang w:val="pt-BR" w:eastAsia="pt-BR"/>
              </w:rPr>
              <w:t>.</w:t>
            </w:r>
            <w:r w:rsidRPr="00CD7309">
              <w:rPr>
                <w:rFonts w:cs="Arial"/>
                <w:color w:val="000000"/>
                <w:szCs w:val="18"/>
                <w:lang w:val="pt-BR" w:eastAsia="pt-BR"/>
              </w:rPr>
              <w:t>81</w:t>
            </w:r>
          </w:p>
        </w:tc>
      </w:tr>
      <w:tr w:rsidR="001B2661" w:rsidRPr="00CD7309" w14:paraId="6F3B8713" w14:textId="77777777" w:rsidTr="001B2661">
        <w:trPr>
          <w:trHeight w:val="352"/>
        </w:trPr>
        <w:tc>
          <w:tcPr>
            <w:tcW w:w="2694" w:type="dxa"/>
            <w:tcBorders>
              <w:top w:val="nil"/>
              <w:left w:val="nil"/>
              <w:bottom w:val="nil"/>
              <w:right w:val="nil"/>
            </w:tcBorders>
            <w:shd w:val="clear" w:color="000000" w:fill="FFFFFF"/>
            <w:vAlign w:val="center"/>
            <w:hideMark/>
          </w:tcPr>
          <w:p w14:paraId="405ED4B5" w14:textId="18EC0F4E" w:rsidR="00CD7309" w:rsidRPr="00CD7309" w:rsidRDefault="002152C5" w:rsidP="00CD7309">
            <w:pPr>
              <w:tabs>
                <w:tab w:val="clear" w:pos="7100"/>
              </w:tabs>
              <w:spacing w:line="240" w:lineRule="auto"/>
              <w:jc w:val="left"/>
              <w:rPr>
                <w:rFonts w:cs="Arial"/>
                <w:color w:val="000000"/>
                <w:szCs w:val="18"/>
                <w:lang w:val="pt-BR" w:eastAsia="pt-BR"/>
              </w:rPr>
            </w:pPr>
            <w:proofErr w:type="spellStart"/>
            <w:r w:rsidRPr="002152C5">
              <w:rPr>
                <w:rFonts w:cs="Arial"/>
                <w:szCs w:val="18"/>
                <w:lang w:val="pt-BR" w:eastAsia="pt-BR"/>
              </w:rPr>
              <w:t>Nitrite</w:t>
            </w:r>
            <w:proofErr w:type="spellEnd"/>
            <w:r w:rsidRPr="002152C5">
              <w:rPr>
                <w:rFonts w:cs="Arial"/>
                <w:szCs w:val="18"/>
                <w:lang w:val="pt-BR" w:eastAsia="pt-BR"/>
              </w:rPr>
              <w:t xml:space="preserve"> (</w:t>
            </w:r>
            <w:proofErr w:type="spellStart"/>
            <w:proofErr w:type="gramStart"/>
            <w:r w:rsidRPr="002152C5">
              <w:rPr>
                <w:rFonts w:cs="Arial"/>
                <w:szCs w:val="18"/>
                <w:lang w:val="pt-BR" w:eastAsia="pt-BR"/>
              </w:rPr>
              <w:t>ppm</w:t>
            </w:r>
            <w:proofErr w:type="spellEnd"/>
            <w:proofErr w:type="gramEnd"/>
            <w:r w:rsidRPr="002152C5">
              <w:rPr>
                <w:rFonts w:cs="Arial"/>
                <w:szCs w:val="18"/>
                <w:lang w:val="pt-BR" w:eastAsia="pt-BR"/>
              </w:rPr>
              <w:t>)</w:t>
            </w:r>
          </w:p>
        </w:tc>
        <w:tc>
          <w:tcPr>
            <w:tcW w:w="1134" w:type="dxa"/>
            <w:tcBorders>
              <w:top w:val="nil"/>
              <w:left w:val="nil"/>
              <w:bottom w:val="nil"/>
              <w:right w:val="nil"/>
            </w:tcBorders>
            <w:shd w:val="clear" w:color="000000" w:fill="FFFFFF"/>
            <w:vAlign w:val="center"/>
            <w:hideMark/>
          </w:tcPr>
          <w:p w14:paraId="1112E94A" w14:textId="74BE0D49" w:rsidR="00CD7309" w:rsidRPr="00CD7309" w:rsidRDefault="00CD7309" w:rsidP="00CD7309">
            <w:pPr>
              <w:tabs>
                <w:tab w:val="clear" w:pos="7100"/>
              </w:tabs>
              <w:spacing w:line="240" w:lineRule="auto"/>
              <w:jc w:val="left"/>
              <w:rPr>
                <w:rFonts w:cs="Arial"/>
                <w:color w:val="000000"/>
                <w:szCs w:val="18"/>
                <w:lang w:val="pt-BR" w:eastAsia="pt-BR"/>
              </w:rPr>
            </w:pPr>
            <w:r w:rsidRPr="00CD7309">
              <w:rPr>
                <w:rFonts w:cs="Arial"/>
                <w:szCs w:val="18"/>
                <w:lang w:val="pt-BR" w:eastAsia="pt-BR"/>
              </w:rPr>
              <w:t>0</w:t>
            </w:r>
            <w:r w:rsidR="002152C5">
              <w:rPr>
                <w:rFonts w:cs="Arial"/>
                <w:szCs w:val="18"/>
                <w:lang w:val="pt-BR" w:eastAsia="pt-BR"/>
              </w:rPr>
              <w:t>.</w:t>
            </w:r>
            <w:r w:rsidRPr="00CD7309">
              <w:rPr>
                <w:rFonts w:cs="Arial"/>
                <w:szCs w:val="18"/>
                <w:lang w:val="pt-BR" w:eastAsia="pt-BR"/>
              </w:rPr>
              <w:t>00</w:t>
            </w:r>
            <w:r w:rsidRPr="00CD7309">
              <w:rPr>
                <w:rFonts w:cs="Arial"/>
                <w:color w:val="000000"/>
                <w:szCs w:val="18"/>
                <w:vertAlign w:val="superscript"/>
                <w:lang w:val="pt-BR" w:eastAsia="pt-BR"/>
              </w:rPr>
              <w:t>e</w:t>
            </w:r>
            <w:r w:rsidRPr="00CD7309">
              <w:rPr>
                <w:rFonts w:cs="Arial"/>
                <w:color w:val="000000"/>
                <w:szCs w:val="18"/>
                <w:lang w:val="pt-BR" w:eastAsia="pt-BR"/>
              </w:rPr>
              <w:t>±0</w:t>
            </w:r>
            <w:r w:rsidR="002152C5">
              <w:rPr>
                <w:rFonts w:cs="Arial"/>
                <w:color w:val="000000"/>
                <w:szCs w:val="18"/>
                <w:lang w:val="pt-BR" w:eastAsia="pt-BR"/>
              </w:rPr>
              <w:t>.</w:t>
            </w:r>
            <w:r w:rsidRPr="00CD7309">
              <w:rPr>
                <w:rFonts w:cs="Arial"/>
                <w:color w:val="000000"/>
                <w:szCs w:val="18"/>
                <w:lang w:val="pt-BR" w:eastAsia="pt-BR"/>
              </w:rPr>
              <w:t>00</w:t>
            </w:r>
          </w:p>
        </w:tc>
        <w:tc>
          <w:tcPr>
            <w:tcW w:w="1275" w:type="dxa"/>
            <w:tcBorders>
              <w:top w:val="nil"/>
              <w:left w:val="nil"/>
              <w:bottom w:val="nil"/>
              <w:right w:val="nil"/>
            </w:tcBorders>
            <w:shd w:val="clear" w:color="000000" w:fill="FFFFFF"/>
            <w:vAlign w:val="center"/>
            <w:hideMark/>
          </w:tcPr>
          <w:p w14:paraId="1D8C84F1" w14:textId="041F36CF" w:rsidR="00CD7309" w:rsidRPr="00CD7309" w:rsidRDefault="00CD7309" w:rsidP="00CD7309">
            <w:pPr>
              <w:tabs>
                <w:tab w:val="clear" w:pos="7100"/>
              </w:tabs>
              <w:spacing w:line="240" w:lineRule="auto"/>
              <w:jc w:val="left"/>
              <w:rPr>
                <w:rFonts w:cs="Arial"/>
                <w:color w:val="000000"/>
                <w:szCs w:val="18"/>
                <w:lang w:val="pt-BR" w:eastAsia="pt-BR"/>
              </w:rPr>
            </w:pPr>
            <w:r w:rsidRPr="00CD7309">
              <w:rPr>
                <w:rFonts w:cs="Arial"/>
                <w:szCs w:val="18"/>
                <w:lang w:val="pt-BR" w:eastAsia="pt-BR"/>
              </w:rPr>
              <w:t>84</w:t>
            </w:r>
            <w:r w:rsidR="002152C5">
              <w:rPr>
                <w:rFonts w:cs="Arial"/>
                <w:szCs w:val="18"/>
                <w:lang w:val="pt-BR" w:eastAsia="pt-BR"/>
              </w:rPr>
              <w:t>.</w:t>
            </w:r>
            <w:r w:rsidRPr="00CD7309">
              <w:rPr>
                <w:rFonts w:cs="Arial"/>
                <w:szCs w:val="18"/>
                <w:lang w:val="pt-BR" w:eastAsia="pt-BR"/>
              </w:rPr>
              <w:t>28</w:t>
            </w:r>
            <w:r w:rsidRPr="00CD7309">
              <w:rPr>
                <w:rFonts w:cs="Arial"/>
                <w:color w:val="000000"/>
                <w:szCs w:val="18"/>
                <w:vertAlign w:val="superscript"/>
                <w:lang w:val="pt-BR" w:eastAsia="pt-BR"/>
              </w:rPr>
              <w:t>d</w:t>
            </w:r>
            <w:r w:rsidRPr="00CD7309">
              <w:rPr>
                <w:rFonts w:cs="Arial"/>
                <w:color w:val="000000"/>
                <w:szCs w:val="18"/>
                <w:lang w:val="pt-BR" w:eastAsia="pt-BR"/>
              </w:rPr>
              <w:t>±0</w:t>
            </w:r>
            <w:r w:rsidR="002152C5">
              <w:rPr>
                <w:rFonts w:cs="Arial"/>
                <w:color w:val="000000"/>
                <w:szCs w:val="18"/>
                <w:lang w:val="pt-BR" w:eastAsia="pt-BR"/>
              </w:rPr>
              <w:t>.</w:t>
            </w:r>
            <w:r w:rsidRPr="00CD7309">
              <w:rPr>
                <w:rFonts w:cs="Arial"/>
                <w:color w:val="000000"/>
                <w:szCs w:val="18"/>
                <w:lang w:val="pt-BR" w:eastAsia="pt-BR"/>
              </w:rPr>
              <w:t>60</w:t>
            </w:r>
          </w:p>
        </w:tc>
        <w:tc>
          <w:tcPr>
            <w:tcW w:w="1276" w:type="dxa"/>
            <w:tcBorders>
              <w:top w:val="nil"/>
              <w:left w:val="nil"/>
              <w:bottom w:val="nil"/>
              <w:right w:val="nil"/>
            </w:tcBorders>
            <w:shd w:val="clear" w:color="000000" w:fill="FFFFFF"/>
            <w:vAlign w:val="center"/>
            <w:hideMark/>
          </w:tcPr>
          <w:p w14:paraId="32D4C8D9" w14:textId="2F5AEFB5" w:rsidR="00CD7309" w:rsidRPr="00CD7309" w:rsidRDefault="00CD7309" w:rsidP="00CD7309">
            <w:pPr>
              <w:tabs>
                <w:tab w:val="clear" w:pos="7100"/>
              </w:tabs>
              <w:spacing w:line="240" w:lineRule="auto"/>
              <w:jc w:val="left"/>
              <w:rPr>
                <w:rFonts w:cs="Arial"/>
                <w:color w:val="000000"/>
                <w:szCs w:val="18"/>
                <w:lang w:val="pt-BR" w:eastAsia="pt-BR"/>
              </w:rPr>
            </w:pPr>
            <w:r w:rsidRPr="00CD7309">
              <w:rPr>
                <w:rFonts w:cs="Arial"/>
                <w:szCs w:val="18"/>
                <w:lang w:val="pt-BR" w:eastAsia="pt-BR"/>
              </w:rPr>
              <w:t>261</w:t>
            </w:r>
            <w:r w:rsidR="002152C5">
              <w:rPr>
                <w:rFonts w:cs="Arial"/>
                <w:szCs w:val="18"/>
                <w:lang w:val="pt-BR" w:eastAsia="pt-BR"/>
              </w:rPr>
              <w:t>.</w:t>
            </w:r>
            <w:r w:rsidRPr="00CD7309">
              <w:rPr>
                <w:rFonts w:cs="Arial"/>
                <w:szCs w:val="18"/>
                <w:lang w:val="pt-BR" w:eastAsia="pt-BR"/>
              </w:rPr>
              <w:t>71</w:t>
            </w:r>
            <w:r w:rsidRPr="00CD7309">
              <w:rPr>
                <w:rFonts w:cs="Arial"/>
                <w:color w:val="000000"/>
                <w:szCs w:val="18"/>
                <w:vertAlign w:val="superscript"/>
                <w:lang w:val="pt-BR" w:eastAsia="pt-BR"/>
              </w:rPr>
              <w:t>c</w:t>
            </w:r>
            <w:r w:rsidRPr="00CD7309">
              <w:rPr>
                <w:rFonts w:cs="Arial"/>
                <w:color w:val="000000"/>
                <w:szCs w:val="18"/>
                <w:lang w:val="pt-BR" w:eastAsia="pt-BR"/>
              </w:rPr>
              <w:t>±0</w:t>
            </w:r>
            <w:r w:rsidR="002152C5">
              <w:rPr>
                <w:rFonts w:cs="Arial"/>
                <w:color w:val="000000"/>
                <w:szCs w:val="18"/>
                <w:lang w:val="pt-BR" w:eastAsia="pt-BR"/>
              </w:rPr>
              <w:t>.</w:t>
            </w:r>
            <w:r w:rsidRPr="00CD7309">
              <w:rPr>
                <w:rFonts w:cs="Arial"/>
                <w:color w:val="000000"/>
                <w:szCs w:val="18"/>
                <w:lang w:val="pt-BR" w:eastAsia="pt-BR"/>
              </w:rPr>
              <w:t>66</w:t>
            </w:r>
          </w:p>
        </w:tc>
        <w:tc>
          <w:tcPr>
            <w:tcW w:w="1207" w:type="dxa"/>
            <w:tcBorders>
              <w:top w:val="nil"/>
              <w:left w:val="nil"/>
              <w:bottom w:val="nil"/>
              <w:right w:val="nil"/>
            </w:tcBorders>
            <w:shd w:val="clear" w:color="000000" w:fill="FFFFFF"/>
            <w:vAlign w:val="center"/>
            <w:hideMark/>
          </w:tcPr>
          <w:p w14:paraId="282A089F" w14:textId="319D1C99" w:rsidR="00CD7309" w:rsidRPr="00CD7309" w:rsidRDefault="00CD7309" w:rsidP="00CD7309">
            <w:pPr>
              <w:tabs>
                <w:tab w:val="clear" w:pos="7100"/>
              </w:tabs>
              <w:spacing w:line="240" w:lineRule="auto"/>
              <w:jc w:val="left"/>
              <w:rPr>
                <w:rFonts w:cs="Arial"/>
                <w:color w:val="000000"/>
                <w:szCs w:val="18"/>
                <w:lang w:val="pt-BR" w:eastAsia="pt-BR"/>
              </w:rPr>
            </w:pPr>
            <w:r w:rsidRPr="00CD7309">
              <w:rPr>
                <w:rFonts w:cs="Arial"/>
                <w:szCs w:val="18"/>
                <w:lang w:val="pt-BR" w:eastAsia="pt-BR"/>
              </w:rPr>
              <w:t>324</w:t>
            </w:r>
            <w:r w:rsidR="002152C5">
              <w:rPr>
                <w:rFonts w:cs="Arial"/>
                <w:szCs w:val="18"/>
                <w:lang w:val="pt-BR" w:eastAsia="pt-BR"/>
              </w:rPr>
              <w:t>.</w:t>
            </w:r>
            <w:r w:rsidRPr="00CD7309">
              <w:rPr>
                <w:rFonts w:cs="Arial"/>
                <w:szCs w:val="18"/>
                <w:lang w:val="pt-BR" w:eastAsia="pt-BR"/>
              </w:rPr>
              <w:t>85</w:t>
            </w:r>
            <w:r w:rsidRPr="00CD7309">
              <w:rPr>
                <w:rFonts w:cs="Arial"/>
                <w:color w:val="000000"/>
                <w:szCs w:val="18"/>
                <w:vertAlign w:val="superscript"/>
                <w:lang w:val="pt-BR" w:eastAsia="pt-BR"/>
              </w:rPr>
              <w:t>a</w:t>
            </w:r>
            <w:r w:rsidRPr="00CD7309">
              <w:rPr>
                <w:rFonts w:cs="Arial"/>
                <w:color w:val="000000"/>
                <w:szCs w:val="18"/>
                <w:lang w:val="pt-BR" w:eastAsia="pt-BR"/>
              </w:rPr>
              <w:t>±5</w:t>
            </w:r>
            <w:r w:rsidR="002152C5">
              <w:rPr>
                <w:rFonts w:cs="Arial"/>
                <w:color w:val="000000"/>
                <w:szCs w:val="18"/>
                <w:lang w:val="pt-BR" w:eastAsia="pt-BR"/>
              </w:rPr>
              <w:t>.</w:t>
            </w:r>
            <w:r w:rsidRPr="00CD7309">
              <w:rPr>
                <w:rFonts w:cs="Arial"/>
                <w:color w:val="000000"/>
                <w:szCs w:val="18"/>
                <w:lang w:val="pt-BR" w:eastAsia="pt-BR"/>
              </w:rPr>
              <w:t>78</w:t>
            </w:r>
          </w:p>
        </w:tc>
        <w:tc>
          <w:tcPr>
            <w:tcW w:w="1207" w:type="dxa"/>
            <w:tcBorders>
              <w:top w:val="nil"/>
              <w:left w:val="nil"/>
              <w:bottom w:val="nil"/>
              <w:right w:val="nil"/>
            </w:tcBorders>
            <w:shd w:val="clear" w:color="000000" w:fill="FFFFFF"/>
            <w:vAlign w:val="center"/>
            <w:hideMark/>
          </w:tcPr>
          <w:p w14:paraId="6F9982CB" w14:textId="15B29F1C" w:rsidR="00CD7309" w:rsidRPr="00CD7309" w:rsidRDefault="00CD7309" w:rsidP="00CD7309">
            <w:pPr>
              <w:tabs>
                <w:tab w:val="clear" w:pos="7100"/>
              </w:tabs>
              <w:spacing w:line="240" w:lineRule="auto"/>
              <w:jc w:val="left"/>
              <w:rPr>
                <w:rFonts w:cs="Arial"/>
                <w:color w:val="000000"/>
                <w:szCs w:val="18"/>
                <w:lang w:val="pt-BR" w:eastAsia="pt-BR"/>
              </w:rPr>
            </w:pPr>
            <w:r w:rsidRPr="00CD7309">
              <w:rPr>
                <w:rFonts w:cs="Arial"/>
                <w:szCs w:val="18"/>
                <w:lang w:val="pt-BR" w:eastAsia="pt-BR"/>
              </w:rPr>
              <w:t>303</w:t>
            </w:r>
            <w:r w:rsidR="002152C5">
              <w:rPr>
                <w:rFonts w:cs="Arial"/>
                <w:szCs w:val="18"/>
                <w:lang w:val="pt-BR" w:eastAsia="pt-BR"/>
              </w:rPr>
              <w:t>.</w:t>
            </w:r>
            <w:r w:rsidRPr="00CD7309">
              <w:rPr>
                <w:rFonts w:cs="Arial"/>
                <w:szCs w:val="18"/>
                <w:lang w:val="pt-BR" w:eastAsia="pt-BR"/>
              </w:rPr>
              <w:t>90</w:t>
            </w:r>
            <w:r w:rsidRPr="00CD7309">
              <w:rPr>
                <w:rFonts w:cs="Arial"/>
                <w:color w:val="000000"/>
                <w:szCs w:val="18"/>
                <w:vertAlign w:val="superscript"/>
                <w:lang w:val="pt-BR" w:eastAsia="pt-BR"/>
              </w:rPr>
              <w:t>b</w:t>
            </w:r>
            <w:r w:rsidRPr="00CD7309">
              <w:rPr>
                <w:rFonts w:cs="Arial"/>
                <w:color w:val="000000"/>
                <w:szCs w:val="18"/>
                <w:lang w:val="pt-BR" w:eastAsia="pt-BR"/>
              </w:rPr>
              <w:t>±0</w:t>
            </w:r>
            <w:r w:rsidR="002152C5">
              <w:rPr>
                <w:rFonts w:cs="Arial"/>
                <w:color w:val="000000"/>
                <w:szCs w:val="18"/>
                <w:lang w:val="pt-BR" w:eastAsia="pt-BR"/>
              </w:rPr>
              <w:t>.</w:t>
            </w:r>
            <w:r w:rsidRPr="00CD7309">
              <w:rPr>
                <w:rFonts w:cs="Arial"/>
                <w:color w:val="000000"/>
                <w:szCs w:val="18"/>
                <w:lang w:val="pt-BR" w:eastAsia="pt-BR"/>
              </w:rPr>
              <w:t>26</w:t>
            </w:r>
          </w:p>
        </w:tc>
      </w:tr>
      <w:tr w:rsidR="001B2661" w:rsidRPr="00CD7309" w14:paraId="3CCB7E15" w14:textId="77777777" w:rsidTr="001B2661">
        <w:trPr>
          <w:trHeight w:val="285"/>
        </w:trPr>
        <w:tc>
          <w:tcPr>
            <w:tcW w:w="2694" w:type="dxa"/>
            <w:tcBorders>
              <w:top w:val="nil"/>
              <w:left w:val="nil"/>
              <w:bottom w:val="single" w:sz="12" w:space="0" w:color="008000"/>
              <w:right w:val="nil"/>
            </w:tcBorders>
            <w:shd w:val="clear" w:color="000000" w:fill="FFFFFF"/>
            <w:vAlign w:val="center"/>
            <w:hideMark/>
          </w:tcPr>
          <w:p w14:paraId="59B9E24E" w14:textId="2B73A4ED" w:rsidR="00CD7309" w:rsidRPr="002152C5" w:rsidRDefault="002152C5" w:rsidP="00CD7309">
            <w:pPr>
              <w:tabs>
                <w:tab w:val="clear" w:pos="7100"/>
              </w:tabs>
              <w:spacing w:line="240" w:lineRule="auto"/>
              <w:jc w:val="left"/>
              <w:rPr>
                <w:rFonts w:cs="Arial"/>
                <w:color w:val="000000"/>
                <w:szCs w:val="18"/>
                <w:lang w:val="en-US" w:eastAsia="pt-BR"/>
              </w:rPr>
            </w:pPr>
            <w:r w:rsidRPr="002152C5">
              <w:rPr>
                <w:rFonts w:cs="Arial"/>
                <w:color w:val="000000"/>
                <w:szCs w:val="18"/>
                <w:lang w:val="en-US" w:eastAsia="pt-BR"/>
              </w:rPr>
              <w:t xml:space="preserve">Calcium content on a dry </w:t>
            </w:r>
            <w:r>
              <w:rPr>
                <w:rFonts w:cs="Arial"/>
                <w:color w:val="000000"/>
                <w:szCs w:val="18"/>
                <w:lang w:val="en-US" w:eastAsia="pt-BR"/>
              </w:rPr>
              <w:t xml:space="preserve">matter </w:t>
            </w:r>
            <w:r w:rsidRPr="002152C5">
              <w:rPr>
                <w:rFonts w:cs="Arial"/>
                <w:color w:val="000000"/>
                <w:szCs w:val="18"/>
                <w:lang w:val="en-US" w:eastAsia="pt-BR"/>
              </w:rPr>
              <w:t>basis (%)</w:t>
            </w:r>
          </w:p>
        </w:tc>
        <w:tc>
          <w:tcPr>
            <w:tcW w:w="1134" w:type="dxa"/>
            <w:tcBorders>
              <w:top w:val="nil"/>
              <w:left w:val="nil"/>
              <w:bottom w:val="single" w:sz="12" w:space="0" w:color="008000"/>
              <w:right w:val="nil"/>
            </w:tcBorders>
            <w:shd w:val="clear" w:color="000000" w:fill="FFFFFF"/>
            <w:vAlign w:val="center"/>
            <w:hideMark/>
          </w:tcPr>
          <w:p w14:paraId="4B2BB4A9" w14:textId="7C1C77A5" w:rsidR="00CD7309" w:rsidRPr="00CD7309" w:rsidRDefault="00CD7309" w:rsidP="00CD7309">
            <w:pPr>
              <w:tabs>
                <w:tab w:val="clear" w:pos="7100"/>
              </w:tabs>
              <w:spacing w:line="240" w:lineRule="auto"/>
              <w:jc w:val="left"/>
              <w:rPr>
                <w:rFonts w:cs="Arial"/>
                <w:color w:val="000000"/>
                <w:szCs w:val="18"/>
                <w:lang w:val="pt-BR" w:eastAsia="pt-BR"/>
              </w:rPr>
            </w:pPr>
            <w:r w:rsidRPr="00CD7309">
              <w:rPr>
                <w:rFonts w:cs="Arial"/>
                <w:color w:val="000000"/>
                <w:szCs w:val="18"/>
                <w:lang w:val="pt-BR" w:eastAsia="pt-BR"/>
              </w:rPr>
              <w:t>0</w:t>
            </w:r>
            <w:r w:rsidR="002152C5">
              <w:rPr>
                <w:rFonts w:cs="Arial"/>
                <w:color w:val="000000"/>
                <w:szCs w:val="18"/>
                <w:lang w:val="pt-BR" w:eastAsia="pt-BR"/>
              </w:rPr>
              <w:t>.</w:t>
            </w:r>
            <w:r w:rsidRPr="00CD7309">
              <w:rPr>
                <w:rFonts w:cs="Arial"/>
                <w:color w:val="000000"/>
                <w:szCs w:val="18"/>
                <w:lang w:val="pt-BR" w:eastAsia="pt-BR"/>
              </w:rPr>
              <w:t>1</w:t>
            </w:r>
          </w:p>
        </w:tc>
        <w:tc>
          <w:tcPr>
            <w:tcW w:w="1275" w:type="dxa"/>
            <w:tcBorders>
              <w:top w:val="nil"/>
              <w:left w:val="nil"/>
              <w:bottom w:val="single" w:sz="12" w:space="0" w:color="008000"/>
              <w:right w:val="nil"/>
            </w:tcBorders>
            <w:shd w:val="clear" w:color="000000" w:fill="FFFFFF"/>
            <w:vAlign w:val="center"/>
            <w:hideMark/>
          </w:tcPr>
          <w:p w14:paraId="66BE8791" w14:textId="50E7E61B" w:rsidR="00CD7309" w:rsidRPr="00CD7309" w:rsidRDefault="00CD7309" w:rsidP="00CD7309">
            <w:pPr>
              <w:tabs>
                <w:tab w:val="clear" w:pos="7100"/>
              </w:tabs>
              <w:spacing w:line="240" w:lineRule="auto"/>
              <w:jc w:val="left"/>
              <w:rPr>
                <w:rFonts w:cs="Arial"/>
                <w:color w:val="000000"/>
                <w:szCs w:val="18"/>
                <w:lang w:val="pt-BR" w:eastAsia="pt-BR"/>
              </w:rPr>
            </w:pPr>
            <w:r w:rsidRPr="00CD7309">
              <w:rPr>
                <w:rFonts w:cs="Arial"/>
                <w:color w:val="000000"/>
                <w:szCs w:val="18"/>
                <w:lang w:val="pt-BR" w:eastAsia="pt-BR"/>
              </w:rPr>
              <w:t>0</w:t>
            </w:r>
            <w:r w:rsidR="002152C5">
              <w:rPr>
                <w:rFonts w:cs="Arial"/>
                <w:color w:val="000000"/>
                <w:szCs w:val="18"/>
                <w:lang w:val="pt-BR" w:eastAsia="pt-BR"/>
              </w:rPr>
              <w:t>.</w:t>
            </w:r>
            <w:r w:rsidRPr="00CD7309">
              <w:rPr>
                <w:rFonts w:cs="Arial"/>
                <w:color w:val="000000"/>
                <w:szCs w:val="18"/>
                <w:lang w:val="pt-BR" w:eastAsia="pt-BR"/>
              </w:rPr>
              <w:t>1</w:t>
            </w:r>
          </w:p>
        </w:tc>
        <w:tc>
          <w:tcPr>
            <w:tcW w:w="1276" w:type="dxa"/>
            <w:tcBorders>
              <w:top w:val="nil"/>
              <w:left w:val="nil"/>
              <w:bottom w:val="single" w:sz="12" w:space="0" w:color="008000"/>
              <w:right w:val="nil"/>
            </w:tcBorders>
            <w:shd w:val="clear" w:color="000000" w:fill="FFFFFF"/>
            <w:vAlign w:val="center"/>
            <w:hideMark/>
          </w:tcPr>
          <w:p w14:paraId="3663AD27" w14:textId="47F1AFEC" w:rsidR="00CD7309" w:rsidRPr="00CD7309" w:rsidRDefault="00CD7309" w:rsidP="00CD7309">
            <w:pPr>
              <w:tabs>
                <w:tab w:val="clear" w:pos="7100"/>
              </w:tabs>
              <w:spacing w:line="240" w:lineRule="auto"/>
              <w:jc w:val="left"/>
              <w:rPr>
                <w:rFonts w:cs="Arial"/>
                <w:color w:val="000000"/>
                <w:szCs w:val="18"/>
                <w:lang w:val="pt-BR" w:eastAsia="pt-BR"/>
              </w:rPr>
            </w:pPr>
            <w:r w:rsidRPr="00CD7309">
              <w:rPr>
                <w:rFonts w:cs="Arial"/>
                <w:color w:val="000000"/>
                <w:szCs w:val="18"/>
                <w:lang w:val="pt-BR" w:eastAsia="pt-BR"/>
              </w:rPr>
              <w:t>0</w:t>
            </w:r>
            <w:r w:rsidR="002152C5">
              <w:rPr>
                <w:rFonts w:cs="Arial"/>
                <w:color w:val="000000"/>
                <w:szCs w:val="18"/>
                <w:lang w:val="pt-BR" w:eastAsia="pt-BR"/>
              </w:rPr>
              <w:t>.</w:t>
            </w:r>
            <w:r w:rsidRPr="00CD7309">
              <w:rPr>
                <w:rFonts w:cs="Arial"/>
                <w:color w:val="000000"/>
                <w:szCs w:val="18"/>
                <w:lang w:val="pt-BR" w:eastAsia="pt-BR"/>
              </w:rPr>
              <w:t>1</w:t>
            </w:r>
          </w:p>
        </w:tc>
        <w:tc>
          <w:tcPr>
            <w:tcW w:w="1207" w:type="dxa"/>
            <w:tcBorders>
              <w:top w:val="nil"/>
              <w:left w:val="nil"/>
              <w:bottom w:val="single" w:sz="12" w:space="0" w:color="008000"/>
              <w:right w:val="nil"/>
            </w:tcBorders>
            <w:shd w:val="clear" w:color="000000" w:fill="FFFFFF"/>
            <w:vAlign w:val="center"/>
            <w:hideMark/>
          </w:tcPr>
          <w:p w14:paraId="28F68517" w14:textId="22781C0A" w:rsidR="00CD7309" w:rsidRPr="00CD7309" w:rsidRDefault="00CD7309" w:rsidP="00CD7309">
            <w:pPr>
              <w:tabs>
                <w:tab w:val="clear" w:pos="7100"/>
              </w:tabs>
              <w:spacing w:line="240" w:lineRule="auto"/>
              <w:jc w:val="left"/>
              <w:rPr>
                <w:rFonts w:cs="Arial"/>
                <w:color w:val="000000"/>
                <w:szCs w:val="18"/>
                <w:lang w:val="pt-BR" w:eastAsia="pt-BR"/>
              </w:rPr>
            </w:pPr>
            <w:r w:rsidRPr="00CD7309">
              <w:rPr>
                <w:rFonts w:cs="Arial"/>
                <w:color w:val="000000"/>
                <w:szCs w:val="18"/>
                <w:lang w:val="pt-BR" w:eastAsia="pt-BR"/>
              </w:rPr>
              <w:t>0</w:t>
            </w:r>
            <w:r w:rsidR="002152C5">
              <w:rPr>
                <w:rFonts w:cs="Arial"/>
                <w:color w:val="000000"/>
                <w:szCs w:val="18"/>
                <w:lang w:val="pt-BR" w:eastAsia="pt-BR"/>
              </w:rPr>
              <w:t>.</w:t>
            </w:r>
            <w:r w:rsidRPr="00CD7309">
              <w:rPr>
                <w:rFonts w:cs="Arial"/>
                <w:color w:val="000000"/>
                <w:szCs w:val="18"/>
                <w:lang w:val="pt-BR" w:eastAsia="pt-BR"/>
              </w:rPr>
              <w:t>1</w:t>
            </w:r>
          </w:p>
        </w:tc>
        <w:tc>
          <w:tcPr>
            <w:tcW w:w="1207" w:type="dxa"/>
            <w:tcBorders>
              <w:top w:val="nil"/>
              <w:left w:val="nil"/>
              <w:bottom w:val="single" w:sz="12" w:space="0" w:color="008000"/>
              <w:right w:val="nil"/>
            </w:tcBorders>
            <w:shd w:val="clear" w:color="000000" w:fill="FFFFFF"/>
            <w:vAlign w:val="center"/>
            <w:hideMark/>
          </w:tcPr>
          <w:p w14:paraId="145C879E" w14:textId="2CF63923" w:rsidR="00CD7309" w:rsidRPr="00CD7309" w:rsidRDefault="00CD7309" w:rsidP="00CD7309">
            <w:pPr>
              <w:tabs>
                <w:tab w:val="clear" w:pos="7100"/>
              </w:tabs>
              <w:spacing w:line="240" w:lineRule="auto"/>
              <w:jc w:val="left"/>
              <w:rPr>
                <w:rFonts w:cs="Arial"/>
                <w:color w:val="000000"/>
                <w:szCs w:val="18"/>
                <w:lang w:val="pt-BR" w:eastAsia="pt-BR"/>
              </w:rPr>
            </w:pPr>
            <w:r w:rsidRPr="00CD7309">
              <w:rPr>
                <w:rFonts w:cs="Arial"/>
                <w:color w:val="000000"/>
                <w:szCs w:val="18"/>
                <w:lang w:val="pt-BR" w:eastAsia="pt-BR"/>
              </w:rPr>
              <w:t>0</w:t>
            </w:r>
            <w:r w:rsidR="002152C5">
              <w:rPr>
                <w:rFonts w:cs="Arial"/>
                <w:color w:val="000000"/>
                <w:szCs w:val="18"/>
                <w:lang w:val="pt-BR" w:eastAsia="pt-BR"/>
              </w:rPr>
              <w:t>.</w:t>
            </w:r>
            <w:r w:rsidRPr="00CD7309">
              <w:rPr>
                <w:rFonts w:cs="Arial"/>
                <w:color w:val="000000"/>
                <w:szCs w:val="18"/>
                <w:lang w:val="pt-BR" w:eastAsia="pt-BR"/>
              </w:rPr>
              <w:t>1</w:t>
            </w:r>
          </w:p>
        </w:tc>
      </w:tr>
    </w:tbl>
    <w:p w14:paraId="3E85FD26" w14:textId="21518DB1" w:rsidR="000474E4" w:rsidRPr="00680316" w:rsidRDefault="00680316" w:rsidP="000474E4">
      <w:pPr>
        <w:spacing w:line="360" w:lineRule="auto"/>
        <w:rPr>
          <w:lang w:val="en-US"/>
        </w:rPr>
      </w:pPr>
      <w:r w:rsidRPr="00680316">
        <w:rPr>
          <w:lang w:val="en-US"/>
        </w:rPr>
        <w:t>* Different lowercase letters indicate significant differences by Tukey's test (p&lt;0.05).</w:t>
      </w:r>
    </w:p>
    <w:p w14:paraId="53FE861D" w14:textId="04CDABF0" w:rsidR="002A1F2C" w:rsidRPr="00680316" w:rsidRDefault="002A1F2C" w:rsidP="000474E4">
      <w:pPr>
        <w:spacing w:line="360" w:lineRule="auto"/>
        <w:rPr>
          <w:lang w:val="en-US"/>
        </w:rPr>
      </w:pPr>
    </w:p>
    <w:p w14:paraId="2B608A96" w14:textId="7AD4D8DD" w:rsidR="00680316" w:rsidRDefault="00680316" w:rsidP="004F524C">
      <w:pPr>
        <w:pStyle w:val="CETheadingx"/>
      </w:pPr>
      <w:r w:rsidRPr="00D03FA9">
        <w:t xml:space="preserve">Regarding the values of nitrate and nitrite, T2 and T3 samples differed significantly (p &lt; 0.05). The highest values of nitrate and nitrite were observed in sample T2 and the lowest in sample B. Samples T1, T2 and T3 had values above the 150 ppm of nitrite allowed by Brazilian legislation. Synthetic nitrite was maintained in the formulation of samples T1 and T2, as PCAE did not demonstrate an inhibitory effect on </w:t>
      </w:r>
      <w:r w:rsidRPr="00D03FA9">
        <w:rPr>
          <w:i/>
          <w:iCs/>
        </w:rPr>
        <w:t xml:space="preserve">Clostridium perfringens </w:t>
      </w:r>
      <w:r w:rsidRPr="00D03FA9">
        <w:t>in the in vitro assay. In the study carried out by Myers et al. (2013), using synthetic nitrite and celery powder, it was reported that nitrite values, when coming from a natural source, are more stable and decrease at a slower kinetics compared to synthetic nitrite.</w:t>
      </w:r>
    </w:p>
    <w:p w14:paraId="529086C0" w14:textId="77777777" w:rsidR="00D03FA9" w:rsidRPr="00D03FA9" w:rsidRDefault="00D03FA9" w:rsidP="00D03FA9">
      <w:pPr>
        <w:pStyle w:val="CETBodytext"/>
        <w:rPr>
          <w:lang w:val="en-US"/>
        </w:rPr>
      </w:pPr>
    </w:p>
    <w:p w14:paraId="38FDC3B4" w14:textId="77777777" w:rsidR="003C1000" w:rsidRPr="00EF232F" w:rsidRDefault="003C1000" w:rsidP="003C1000">
      <w:pPr>
        <w:spacing w:line="360" w:lineRule="auto"/>
        <w:rPr>
          <w:b/>
          <w:lang w:val="en-US"/>
        </w:rPr>
      </w:pPr>
      <w:r w:rsidRPr="00EF232F">
        <w:rPr>
          <w:b/>
          <w:lang w:val="en-US"/>
        </w:rPr>
        <w:t>3.3 Sensory analysis</w:t>
      </w:r>
    </w:p>
    <w:p w14:paraId="7A49ADF9" w14:textId="35080BF3" w:rsidR="003C1000" w:rsidRPr="00EF232F" w:rsidRDefault="003C1000" w:rsidP="003C1000">
      <w:pPr>
        <w:spacing w:after="120" w:line="360" w:lineRule="auto"/>
        <w:rPr>
          <w:sz w:val="24"/>
          <w:lang w:val="en-US"/>
        </w:rPr>
      </w:pPr>
      <w:r w:rsidRPr="00EF232F">
        <w:rPr>
          <w:lang w:val="en-US"/>
        </w:rPr>
        <w:t xml:space="preserve">In the duo-trio test, 65% of the tasters identified the T1 sample different from the standard and 86.67% of the tasters identified a difference between the T2 sample and the standard. The T1 and T2 formulations did not present a significant difference in relation to the mean scores in the acceptance test and in the preference between them. The tasters noticed a significant difference between the samples without and with the addition of </w:t>
      </w:r>
      <w:proofErr w:type="gramStart"/>
      <w:r w:rsidR="00D7471B" w:rsidRPr="00D03FA9">
        <w:t>PCAE</w:t>
      </w:r>
      <w:r w:rsidRPr="00EF232F">
        <w:rPr>
          <w:lang w:val="en-US"/>
        </w:rPr>
        <w:t>,</w:t>
      </w:r>
      <w:proofErr w:type="gramEnd"/>
      <w:r w:rsidRPr="00EF232F">
        <w:rPr>
          <w:lang w:val="en-US"/>
        </w:rPr>
        <w:t xml:space="preserve"> however, given the acceptance test scores, they did not reject the samples with 2.5% and 3.5% of </w:t>
      </w:r>
      <w:r w:rsidR="00D7471B" w:rsidRPr="00D03FA9">
        <w:t>PCAE</w:t>
      </w:r>
      <w:r w:rsidRPr="00EF232F">
        <w:rPr>
          <w:lang w:val="en-US"/>
        </w:rPr>
        <w:t xml:space="preserve">. This result confirms the results found in a previous study by </w:t>
      </w:r>
      <w:proofErr w:type="spellStart"/>
      <w:r w:rsidRPr="00EF232F">
        <w:rPr>
          <w:lang w:val="en-US"/>
        </w:rPr>
        <w:t>Jin</w:t>
      </w:r>
      <w:proofErr w:type="spellEnd"/>
      <w:r w:rsidRPr="00EF232F">
        <w:rPr>
          <w:lang w:val="en-US"/>
        </w:rPr>
        <w:t xml:space="preserve"> et al. (2018), in which the addition of celery did not generate any unpleasant taste in meat products. The presence of vinegar in the percentages of </w:t>
      </w:r>
      <w:r w:rsidRPr="00EF232F">
        <w:rPr>
          <w:lang w:val="en-US"/>
        </w:rPr>
        <w:lastRenderedPageBreak/>
        <w:t>the mixture evaluated also did not bring negative sensory attributes, as concentrations of 2% or 2.5% can cause changes in the sensory characteristics of the products (</w:t>
      </w:r>
      <w:proofErr w:type="spellStart"/>
      <w:r w:rsidRPr="00EF232F">
        <w:rPr>
          <w:lang w:val="en-US"/>
        </w:rPr>
        <w:t>Ponrajan</w:t>
      </w:r>
      <w:proofErr w:type="spellEnd"/>
      <w:r w:rsidRPr="00EF232F">
        <w:rPr>
          <w:lang w:val="en-US"/>
        </w:rPr>
        <w:t xml:space="preserve"> et al., 2012).</w:t>
      </w:r>
    </w:p>
    <w:p w14:paraId="77A424A3" w14:textId="5BF764FD" w:rsidR="003C1000" w:rsidRPr="00D03FA9" w:rsidRDefault="00D03FA9" w:rsidP="00D03FA9">
      <w:pPr>
        <w:pStyle w:val="CETHeading1"/>
        <w:numPr>
          <w:ilvl w:val="0"/>
          <w:numId w:val="0"/>
        </w:numPr>
        <w:rPr>
          <w:sz w:val="24"/>
          <w:lang w:val="en-US"/>
        </w:rPr>
      </w:pPr>
      <w:r w:rsidRPr="00D03FA9">
        <w:rPr>
          <w:lang w:val="en-US"/>
        </w:rPr>
        <w:t xml:space="preserve">4. </w:t>
      </w:r>
      <w:r w:rsidR="003C1000" w:rsidRPr="00D03FA9">
        <w:rPr>
          <w:lang w:val="en-US"/>
        </w:rPr>
        <w:t>Conclusions</w:t>
      </w:r>
    </w:p>
    <w:p w14:paraId="6F1E72BB" w14:textId="13636601" w:rsidR="003C1000" w:rsidRPr="009D512C" w:rsidRDefault="00D7471B" w:rsidP="00D03FA9">
      <w:pPr>
        <w:pStyle w:val="CETBodytext"/>
        <w:spacing w:line="360" w:lineRule="auto"/>
        <w:rPr>
          <w:szCs w:val="18"/>
          <w:lang w:val="en-US"/>
        </w:rPr>
      </w:pPr>
      <w:r w:rsidRPr="00D03FA9">
        <w:t>PCAE</w:t>
      </w:r>
      <w:r w:rsidR="003C1000" w:rsidRPr="009D512C">
        <w:rPr>
          <w:bCs/>
          <w:szCs w:val="18"/>
          <w:lang w:val="en-US"/>
        </w:rPr>
        <w:t xml:space="preserve"> is capable of partially inhibiting some microorganisms that commonly occur in fresh chicken sausage, such as </w:t>
      </w:r>
      <w:r w:rsidR="003C1000" w:rsidRPr="009D512C">
        <w:rPr>
          <w:bCs/>
          <w:i/>
          <w:iCs/>
          <w:szCs w:val="18"/>
          <w:lang w:val="en-US"/>
        </w:rPr>
        <w:t>P. aeruginosa</w:t>
      </w:r>
      <w:r w:rsidR="003C1000" w:rsidRPr="009D512C">
        <w:rPr>
          <w:bCs/>
          <w:szCs w:val="18"/>
          <w:lang w:val="en-US"/>
        </w:rPr>
        <w:t xml:space="preserve">, </w:t>
      </w:r>
      <w:r w:rsidR="003C1000" w:rsidRPr="009D512C">
        <w:rPr>
          <w:bCs/>
          <w:i/>
          <w:iCs/>
          <w:szCs w:val="18"/>
          <w:lang w:val="en-US"/>
        </w:rPr>
        <w:t xml:space="preserve">Salmonella </w:t>
      </w:r>
      <w:proofErr w:type="gramStart"/>
      <w:r w:rsidR="003C1000" w:rsidRPr="009D512C">
        <w:rPr>
          <w:bCs/>
          <w:i/>
          <w:iCs/>
          <w:szCs w:val="18"/>
          <w:lang w:val="en-US"/>
        </w:rPr>
        <w:t>sp</w:t>
      </w:r>
      <w:proofErr w:type="gramEnd"/>
      <w:r w:rsidR="003C1000" w:rsidRPr="009D512C">
        <w:rPr>
          <w:bCs/>
          <w:szCs w:val="18"/>
          <w:lang w:val="en-US"/>
        </w:rPr>
        <w:t xml:space="preserve">. </w:t>
      </w:r>
      <w:proofErr w:type="gramStart"/>
      <w:r w:rsidR="003C1000" w:rsidRPr="009D512C">
        <w:rPr>
          <w:bCs/>
          <w:szCs w:val="18"/>
          <w:lang w:val="en-US"/>
        </w:rPr>
        <w:t>and</w:t>
      </w:r>
      <w:proofErr w:type="gramEnd"/>
      <w:r w:rsidR="003C1000" w:rsidRPr="009D512C">
        <w:rPr>
          <w:bCs/>
          <w:szCs w:val="18"/>
          <w:lang w:val="en-US"/>
        </w:rPr>
        <w:t xml:space="preserve"> </w:t>
      </w:r>
      <w:r w:rsidR="003C1000" w:rsidRPr="009D512C">
        <w:rPr>
          <w:bCs/>
          <w:i/>
          <w:iCs/>
          <w:szCs w:val="18"/>
          <w:lang w:val="en-US"/>
        </w:rPr>
        <w:t>E. coli</w:t>
      </w:r>
      <w:r w:rsidR="003C1000" w:rsidRPr="009D512C">
        <w:rPr>
          <w:bCs/>
          <w:szCs w:val="18"/>
          <w:lang w:val="en-US"/>
        </w:rPr>
        <w:t xml:space="preserve">, contributing to the microbiological safety of the matrix. However, the concomitant use of </w:t>
      </w:r>
      <w:r w:rsidRPr="00D03FA9">
        <w:t>PCAE</w:t>
      </w:r>
      <w:r w:rsidR="003C1000" w:rsidRPr="009D512C">
        <w:rPr>
          <w:bCs/>
          <w:szCs w:val="18"/>
          <w:lang w:val="en-US"/>
        </w:rPr>
        <w:t xml:space="preserve"> and the direct addition of sodium nitrite, at the doses used in treatments T1, T2 and T3, </w:t>
      </w:r>
      <w:proofErr w:type="gramStart"/>
      <w:r w:rsidR="003C1000" w:rsidRPr="009D512C">
        <w:rPr>
          <w:bCs/>
          <w:szCs w:val="18"/>
          <w:lang w:val="en-US"/>
        </w:rPr>
        <w:t>goes</w:t>
      </w:r>
      <w:proofErr w:type="gramEnd"/>
      <w:r w:rsidR="003C1000" w:rsidRPr="009D512C">
        <w:rPr>
          <w:bCs/>
          <w:szCs w:val="18"/>
          <w:lang w:val="en-US"/>
        </w:rPr>
        <w:t xml:space="preserve"> beyond the maximum limit allowed by Brazilian legislation. Due to the resistance of C. perfringens to </w:t>
      </w:r>
      <w:r w:rsidRPr="00D03FA9">
        <w:t>PCAE</w:t>
      </w:r>
      <w:r w:rsidR="003C1000" w:rsidRPr="009D512C">
        <w:rPr>
          <w:bCs/>
          <w:szCs w:val="18"/>
          <w:lang w:val="en-US"/>
        </w:rPr>
        <w:t xml:space="preserve">, the total replacement of sodium nitrite by pre-converted celery nitrite must be analyzed with caution. This highlights the importance of advancing studies regarding the inhibitory potential of natural sources to achieve the same level of microbiological safety as synthetic nitrite, especially in relation to the </w:t>
      </w:r>
      <w:proofErr w:type="spellStart"/>
      <w:r w:rsidR="003C1000" w:rsidRPr="009D512C">
        <w:rPr>
          <w:bCs/>
          <w:szCs w:val="18"/>
          <w:lang w:val="en-US"/>
        </w:rPr>
        <w:t>clostridial</w:t>
      </w:r>
      <w:proofErr w:type="spellEnd"/>
      <w:r w:rsidR="003C1000" w:rsidRPr="009D512C">
        <w:rPr>
          <w:bCs/>
          <w:szCs w:val="18"/>
          <w:lang w:val="en-US"/>
        </w:rPr>
        <w:t xml:space="preserve"> group.</w:t>
      </w:r>
    </w:p>
    <w:p w14:paraId="7E2450F6" w14:textId="77777777" w:rsidR="003C1000" w:rsidRPr="00EF232F" w:rsidRDefault="003C1000" w:rsidP="003C1000">
      <w:pPr>
        <w:pStyle w:val="CETReference"/>
        <w:rPr>
          <w:lang w:val="en-US"/>
        </w:rPr>
      </w:pPr>
      <w:r w:rsidRPr="00EF232F">
        <w:rPr>
          <w:lang w:val="en-US"/>
        </w:rPr>
        <w:t>Nomenclature</w:t>
      </w:r>
    </w:p>
    <w:p w14:paraId="5242F643" w14:textId="77777777" w:rsidR="003C1000" w:rsidRPr="00EF232F" w:rsidRDefault="003C1000" w:rsidP="003C1000">
      <w:pPr>
        <w:pStyle w:val="CETReference"/>
        <w:rPr>
          <w:b w:val="0"/>
          <w:bCs/>
          <w:lang w:val="en-US"/>
        </w:rPr>
      </w:pPr>
      <w:proofErr w:type="gramStart"/>
      <w:r w:rsidRPr="00EF232F">
        <w:rPr>
          <w:b w:val="0"/>
          <w:bCs/>
          <w:lang w:val="en-US"/>
        </w:rPr>
        <w:t>xi</w:t>
      </w:r>
      <w:proofErr w:type="gramEnd"/>
      <w:r w:rsidRPr="00EF232F">
        <w:rPr>
          <w:b w:val="0"/>
          <w:bCs/>
          <w:lang w:val="en-US"/>
        </w:rPr>
        <w:t xml:space="preserve"> - angular coefficient</w:t>
      </w:r>
    </w:p>
    <w:p w14:paraId="6DEE3CC8" w14:textId="77777777" w:rsidR="003C1000" w:rsidRPr="00EF232F" w:rsidRDefault="003C1000" w:rsidP="003C1000">
      <w:pPr>
        <w:pStyle w:val="CETReference"/>
        <w:rPr>
          <w:b w:val="0"/>
          <w:bCs/>
          <w:lang w:val="en-US"/>
        </w:rPr>
      </w:pPr>
      <w:proofErr w:type="spellStart"/>
      <w:proofErr w:type="gramStart"/>
      <w:r w:rsidRPr="00EF232F">
        <w:rPr>
          <w:b w:val="0"/>
          <w:bCs/>
          <w:lang w:val="en-US"/>
        </w:rPr>
        <w:t>yi</w:t>
      </w:r>
      <w:proofErr w:type="spellEnd"/>
      <w:proofErr w:type="gramEnd"/>
      <w:r w:rsidRPr="00EF232F">
        <w:rPr>
          <w:b w:val="0"/>
          <w:bCs/>
          <w:lang w:val="en-US"/>
        </w:rPr>
        <w:t xml:space="preserve"> - linear coefficient</w:t>
      </w:r>
    </w:p>
    <w:p w14:paraId="679EB9B1" w14:textId="77777777" w:rsidR="003C1000" w:rsidRPr="00EF232F" w:rsidRDefault="003C1000" w:rsidP="003C1000">
      <w:pPr>
        <w:pStyle w:val="CETReference"/>
        <w:rPr>
          <w:b w:val="0"/>
          <w:bCs/>
          <w:lang w:val="en-US"/>
        </w:rPr>
      </w:pPr>
      <w:r w:rsidRPr="00EF232F">
        <w:rPr>
          <w:b w:val="0"/>
          <w:bCs/>
          <w:lang w:val="en-US"/>
        </w:rPr>
        <w:t>R2 - coefficient of determination</w:t>
      </w:r>
    </w:p>
    <w:p w14:paraId="4F46B103" w14:textId="070945AD" w:rsidR="003C1000" w:rsidRDefault="003C1000" w:rsidP="003C1000">
      <w:pPr>
        <w:pStyle w:val="CETReference"/>
        <w:rPr>
          <w:b w:val="0"/>
          <w:bCs/>
          <w:lang w:val="en-US"/>
        </w:rPr>
      </w:pPr>
      <w:r w:rsidRPr="003C1000">
        <w:rPr>
          <w:b w:val="0"/>
          <w:bCs/>
          <w:lang w:val="en-US"/>
        </w:rPr>
        <w:t>SE - standard error</w:t>
      </w:r>
    </w:p>
    <w:p w14:paraId="09C2A32A" w14:textId="77777777" w:rsidR="00D03FA9" w:rsidRPr="003C1000" w:rsidRDefault="00D03FA9" w:rsidP="003C1000">
      <w:pPr>
        <w:pStyle w:val="CETReference"/>
        <w:rPr>
          <w:b w:val="0"/>
          <w:bCs/>
          <w:lang w:val="en-US"/>
        </w:rPr>
      </w:pPr>
    </w:p>
    <w:p w14:paraId="6601A7A4" w14:textId="77777777" w:rsidR="003C1000" w:rsidRPr="00D03FA9" w:rsidRDefault="003C1000" w:rsidP="003C1000">
      <w:pPr>
        <w:pStyle w:val="CETReferencetext"/>
        <w:rPr>
          <w:b/>
          <w:sz w:val="20"/>
          <w:lang w:val="en-US"/>
        </w:rPr>
      </w:pPr>
      <w:r w:rsidRPr="00D03FA9">
        <w:rPr>
          <w:b/>
          <w:sz w:val="20"/>
          <w:lang w:val="en-US"/>
        </w:rPr>
        <w:t>References</w:t>
      </w:r>
    </w:p>
    <w:p w14:paraId="68891977" w14:textId="77777777" w:rsidR="003C1000" w:rsidRPr="003C1000" w:rsidRDefault="003C1000" w:rsidP="003C1000">
      <w:pPr>
        <w:pStyle w:val="CETReferencetext"/>
        <w:rPr>
          <w:b/>
          <w:lang w:val="en-US"/>
        </w:rPr>
      </w:pPr>
    </w:p>
    <w:p w14:paraId="6EA2D0BB" w14:textId="34EBED3A" w:rsidR="003C1000" w:rsidRDefault="003C1000" w:rsidP="003C1000">
      <w:pPr>
        <w:pStyle w:val="CETReferencetext"/>
      </w:pPr>
      <w:proofErr w:type="spellStart"/>
      <w:r w:rsidRPr="003C1000">
        <w:rPr>
          <w:lang w:val="en-US"/>
        </w:rPr>
        <w:t>Adami</w:t>
      </w:r>
      <w:proofErr w:type="spellEnd"/>
      <w:r w:rsidRPr="003C1000">
        <w:rPr>
          <w:lang w:val="en-US"/>
        </w:rPr>
        <w:t xml:space="preserve"> F</w:t>
      </w:r>
      <w:r w:rsidR="00126897">
        <w:rPr>
          <w:lang w:val="en-US"/>
        </w:rPr>
        <w:t>.</w:t>
      </w:r>
      <w:r w:rsidRPr="003C1000">
        <w:rPr>
          <w:lang w:val="en-US"/>
        </w:rPr>
        <w:t>S</w:t>
      </w:r>
      <w:r w:rsidR="001D2436">
        <w:rPr>
          <w:lang w:val="en-US"/>
        </w:rPr>
        <w:t>.</w:t>
      </w:r>
      <w:r w:rsidRPr="003C1000">
        <w:rPr>
          <w:lang w:val="en-US"/>
        </w:rPr>
        <w:t>, 2015</w:t>
      </w:r>
      <w:r w:rsidR="0065280A">
        <w:rPr>
          <w:lang w:val="en-US"/>
        </w:rPr>
        <w:t>,</w:t>
      </w:r>
      <w:r w:rsidRPr="003C1000">
        <w:rPr>
          <w:lang w:val="en-US"/>
        </w:rPr>
        <w:t xml:space="preserve"> </w:t>
      </w:r>
      <w:proofErr w:type="spellStart"/>
      <w:r w:rsidR="003A5C87" w:rsidRPr="003A5C87">
        <w:t>Nitrate</w:t>
      </w:r>
      <w:proofErr w:type="spellEnd"/>
      <w:r w:rsidR="003A5C87" w:rsidRPr="003A5C87">
        <w:t xml:space="preserve"> </w:t>
      </w:r>
      <w:proofErr w:type="spellStart"/>
      <w:r w:rsidR="003A5C87" w:rsidRPr="003A5C87">
        <w:t>and</w:t>
      </w:r>
      <w:proofErr w:type="spellEnd"/>
      <w:r w:rsidR="003A5C87" w:rsidRPr="003A5C87">
        <w:t xml:space="preserve"> </w:t>
      </w:r>
      <w:proofErr w:type="spellStart"/>
      <w:r w:rsidR="003A5C87" w:rsidRPr="003A5C87">
        <w:t>nitrite</w:t>
      </w:r>
      <w:proofErr w:type="spellEnd"/>
      <w:r w:rsidR="003A5C87" w:rsidRPr="003A5C87">
        <w:t xml:space="preserve"> </w:t>
      </w:r>
      <w:proofErr w:type="spellStart"/>
      <w:r w:rsidR="003A5C87" w:rsidRPr="003A5C87">
        <w:t>content</w:t>
      </w:r>
      <w:proofErr w:type="spellEnd"/>
      <w:r w:rsidR="003A5C87" w:rsidRPr="003A5C87">
        <w:t xml:space="preserve"> </w:t>
      </w:r>
      <w:proofErr w:type="spellStart"/>
      <w:r w:rsidR="003A5C87" w:rsidRPr="003A5C87">
        <w:t>and</w:t>
      </w:r>
      <w:proofErr w:type="spellEnd"/>
      <w:r w:rsidR="003A5C87" w:rsidRPr="003A5C87">
        <w:t xml:space="preserve"> </w:t>
      </w:r>
      <w:proofErr w:type="spellStart"/>
      <w:r w:rsidR="003A5C87" w:rsidRPr="003A5C87">
        <w:t>microbiological</w:t>
      </w:r>
      <w:proofErr w:type="spellEnd"/>
      <w:r w:rsidR="003A5C87" w:rsidRPr="003A5C87">
        <w:t xml:space="preserve"> </w:t>
      </w:r>
      <w:proofErr w:type="spellStart"/>
      <w:r w:rsidR="003A5C87" w:rsidRPr="003A5C87">
        <w:t>analysis</w:t>
      </w:r>
      <w:proofErr w:type="spellEnd"/>
      <w:r w:rsidR="003A5C87" w:rsidRPr="003A5C87">
        <w:t xml:space="preserve"> in </w:t>
      </w:r>
      <w:proofErr w:type="spellStart"/>
      <w:r w:rsidR="003A5C87" w:rsidRPr="003A5C87">
        <w:t>sausages</w:t>
      </w:r>
      <w:proofErr w:type="spellEnd"/>
      <w:r w:rsidR="003A5C87" w:rsidRPr="003A5C87">
        <w:t xml:space="preserve"> </w:t>
      </w:r>
      <w:proofErr w:type="spellStart"/>
      <w:r w:rsidR="003A5C87" w:rsidRPr="003A5C87">
        <w:t>and</w:t>
      </w:r>
      <w:proofErr w:type="spellEnd"/>
      <w:r w:rsidR="003A5C87" w:rsidRPr="003A5C87">
        <w:t xml:space="preserve"> </w:t>
      </w:r>
      <w:proofErr w:type="spellStart"/>
      <w:r w:rsidR="003A5C87" w:rsidRPr="003A5C87">
        <w:t>cheeses</w:t>
      </w:r>
      <w:proofErr w:type="spellEnd"/>
      <w:r w:rsidR="0065280A">
        <w:t>,</w:t>
      </w:r>
      <w:r>
        <w:t xml:space="preserve"> </w:t>
      </w:r>
      <w:r w:rsidR="003A5C87" w:rsidRPr="006B4888">
        <w:t xml:space="preserve">PhD </w:t>
      </w:r>
      <w:proofErr w:type="spellStart"/>
      <w:r w:rsidR="003A5C87" w:rsidRPr="006B4888">
        <w:t>Thesis</w:t>
      </w:r>
      <w:proofErr w:type="spellEnd"/>
      <w:r>
        <w:t>, Centro Univers</w:t>
      </w:r>
      <w:r w:rsidR="00761E24">
        <w:t>itário UNIVATES, Lajeado, BR</w:t>
      </w:r>
      <w:r>
        <w:t xml:space="preserve">. </w:t>
      </w:r>
    </w:p>
    <w:p w14:paraId="772E825A" w14:textId="75E42F70" w:rsidR="003C1000" w:rsidRDefault="003C1000" w:rsidP="003C1000">
      <w:pPr>
        <w:pStyle w:val="CETReferencetext"/>
      </w:pPr>
      <w:r>
        <w:t>Brasil, 20</w:t>
      </w:r>
      <w:r w:rsidR="001D2436">
        <w:t>0</w:t>
      </w:r>
      <w:r>
        <w:t>0</w:t>
      </w:r>
      <w:r w:rsidR="0065280A">
        <w:t>,</w:t>
      </w:r>
      <w:r>
        <w:t xml:space="preserve"> </w:t>
      </w:r>
      <w:r w:rsidRPr="00AD09C1">
        <w:t>I</w:t>
      </w:r>
      <w:r>
        <w:t xml:space="preserve">nstrução Normativa </w:t>
      </w:r>
      <w:proofErr w:type="gramStart"/>
      <w:r>
        <w:t>n</w:t>
      </w:r>
      <w:r w:rsidRPr="00AD09C1">
        <w:t>o</w:t>
      </w:r>
      <w:r>
        <w:t xml:space="preserve"> 4</w:t>
      </w:r>
      <w:proofErr w:type="gramEnd"/>
      <w:r>
        <w:t>, DE 31 de março de 2000</w:t>
      </w:r>
      <w:r w:rsidR="0065280A">
        <w:t>,</w:t>
      </w:r>
      <w:r>
        <w:t xml:space="preserve"> </w:t>
      </w:r>
      <w:proofErr w:type="spellStart"/>
      <w:r w:rsidR="003A5C87" w:rsidRPr="003A5C87">
        <w:t>Technical</w:t>
      </w:r>
      <w:proofErr w:type="spellEnd"/>
      <w:r w:rsidR="003A5C87" w:rsidRPr="003A5C87">
        <w:t xml:space="preserve"> </w:t>
      </w:r>
      <w:proofErr w:type="spellStart"/>
      <w:r w:rsidR="003A5C87" w:rsidRPr="003A5C87">
        <w:t>Regulation</w:t>
      </w:r>
      <w:proofErr w:type="spellEnd"/>
      <w:r w:rsidR="003A5C87" w:rsidRPr="003A5C87">
        <w:t xml:space="preserve"> </w:t>
      </w:r>
      <w:proofErr w:type="spellStart"/>
      <w:r w:rsidR="003A5C87" w:rsidRPr="003A5C87">
        <w:t>of</w:t>
      </w:r>
      <w:proofErr w:type="spellEnd"/>
      <w:r w:rsidR="003A5C87" w:rsidRPr="003A5C87">
        <w:t xml:space="preserve"> </w:t>
      </w:r>
      <w:proofErr w:type="spellStart"/>
      <w:r w:rsidR="003A5C87" w:rsidRPr="003A5C87">
        <w:t>Identity</w:t>
      </w:r>
      <w:proofErr w:type="spellEnd"/>
      <w:r w:rsidR="003A5C87" w:rsidRPr="003A5C87">
        <w:t xml:space="preserve"> </w:t>
      </w:r>
      <w:proofErr w:type="spellStart"/>
      <w:r w:rsidR="003A5C87" w:rsidRPr="003A5C87">
        <w:t>and</w:t>
      </w:r>
      <w:proofErr w:type="spellEnd"/>
      <w:r w:rsidR="003A5C87" w:rsidRPr="003A5C87">
        <w:t xml:space="preserve"> </w:t>
      </w:r>
      <w:proofErr w:type="spellStart"/>
      <w:r w:rsidR="003A5C87" w:rsidRPr="003A5C87">
        <w:t>Quality</w:t>
      </w:r>
      <w:proofErr w:type="spellEnd"/>
      <w:r w:rsidR="003A5C87" w:rsidRPr="003A5C87">
        <w:t xml:space="preserve"> </w:t>
      </w:r>
      <w:proofErr w:type="spellStart"/>
      <w:r w:rsidR="003A5C87" w:rsidRPr="003A5C87">
        <w:t>of</w:t>
      </w:r>
      <w:proofErr w:type="spellEnd"/>
      <w:r w:rsidR="003A5C87" w:rsidRPr="003A5C87">
        <w:t xml:space="preserve"> </w:t>
      </w:r>
      <w:proofErr w:type="spellStart"/>
      <w:r w:rsidR="003A5C87" w:rsidRPr="003A5C87">
        <w:t>Sausage</w:t>
      </w:r>
      <w:proofErr w:type="spellEnd"/>
      <w:r w:rsidR="0065280A">
        <w:t>,</w:t>
      </w:r>
      <w:r>
        <w:t xml:space="preserve"> </w:t>
      </w:r>
      <w:r w:rsidRPr="00AD09C1">
        <w:t>Diário Geral da União</w:t>
      </w:r>
      <w:r>
        <w:t>, Seção 1, Brasília, DF, ed. 6, p.66, 05 ab</w:t>
      </w:r>
      <w:r w:rsidR="00761E24">
        <w:t>r. 2000, BR.</w:t>
      </w:r>
      <w:r>
        <w:t xml:space="preserve"> </w:t>
      </w:r>
    </w:p>
    <w:p w14:paraId="4E4BB09A" w14:textId="3E07B6BE" w:rsidR="003C1000" w:rsidRDefault="003C1000" w:rsidP="003C1000">
      <w:pPr>
        <w:pStyle w:val="CETReferencetext"/>
      </w:pPr>
      <w:r>
        <w:t>Brasil, 2022</w:t>
      </w:r>
      <w:r w:rsidR="0065280A">
        <w:t>,</w:t>
      </w:r>
      <w:r>
        <w:t xml:space="preserve"> </w:t>
      </w:r>
      <w:proofErr w:type="spellStart"/>
      <w:r w:rsidR="003A5C87" w:rsidRPr="003A5C87">
        <w:t>Official</w:t>
      </w:r>
      <w:proofErr w:type="spellEnd"/>
      <w:r w:rsidR="003A5C87" w:rsidRPr="003A5C87">
        <w:t xml:space="preserve"> </w:t>
      </w:r>
      <w:proofErr w:type="spellStart"/>
      <w:r w:rsidR="003A5C87" w:rsidRPr="003A5C87">
        <w:t>Methods</w:t>
      </w:r>
      <w:proofErr w:type="spellEnd"/>
      <w:r w:rsidR="003A5C87" w:rsidRPr="003A5C87">
        <w:t xml:space="preserve"> for </w:t>
      </w:r>
      <w:proofErr w:type="spellStart"/>
      <w:r w:rsidR="003A5C87" w:rsidRPr="003A5C87">
        <w:t>Analyzing</w:t>
      </w:r>
      <w:proofErr w:type="spellEnd"/>
      <w:r w:rsidR="003A5C87" w:rsidRPr="003A5C87">
        <w:t xml:space="preserve"> </w:t>
      </w:r>
      <w:proofErr w:type="spellStart"/>
      <w:r w:rsidR="003A5C87" w:rsidRPr="003A5C87">
        <w:t>Products</w:t>
      </w:r>
      <w:proofErr w:type="spellEnd"/>
      <w:r w:rsidR="003A5C87" w:rsidRPr="003A5C87">
        <w:t xml:space="preserve"> </w:t>
      </w:r>
      <w:proofErr w:type="spellStart"/>
      <w:r w:rsidR="003A5C87" w:rsidRPr="003A5C87">
        <w:t>of</w:t>
      </w:r>
      <w:proofErr w:type="spellEnd"/>
      <w:r w:rsidR="003A5C87" w:rsidRPr="003A5C87">
        <w:t xml:space="preserve"> Animal </w:t>
      </w:r>
      <w:proofErr w:type="spellStart"/>
      <w:r w:rsidR="003A5C87" w:rsidRPr="003A5C87">
        <w:t>Origin</w:t>
      </w:r>
      <w:proofErr w:type="spellEnd"/>
      <w:r w:rsidR="003A5C87">
        <w:t xml:space="preserve">, </w:t>
      </w:r>
      <w:proofErr w:type="gramStart"/>
      <w:r>
        <w:t>1</w:t>
      </w:r>
      <w:proofErr w:type="gramEnd"/>
      <w:r>
        <w:t xml:space="preserve">. </w:t>
      </w:r>
      <w:proofErr w:type="gramStart"/>
      <w:r>
        <w:t>ed.</w:t>
      </w:r>
      <w:proofErr w:type="gramEnd"/>
      <w:r>
        <w:t xml:space="preserve"> Brasília: Ministério da Agricul</w:t>
      </w:r>
      <w:r w:rsidR="00761E24">
        <w:t>tura, Pecuária e Abastecimento, BR.</w:t>
      </w:r>
    </w:p>
    <w:p w14:paraId="48C2F22A" w14:textId="55102042" w:rsidR="003C1000" w:rsidRDefault="003C1000" w:rsidP="003C1000">
      <w:pPr>
        <w:pStyle w:val="CETReferencetext"/>
      </w:pPr>
      <w:proofErr w:type="spellStart"/>
      <w:r>
        <w:t>Benvenutti</w:t>
      </w:r>
      <w:proofErr w:type="spellEnd"/>
      <w:r>
        <w:t xml:space="preserve"> P</w:t>
      </w:r>
      <w:r w:rsidR="00126897">
        <w:t>.</w:t>
      </w:r>
      <w:r>
        <w:t>P</w:t>
      </w:r>
      <w:r w:rsidR="001D2436">
        <w:t>.</w:t>
      </w:r>
      <w:r>
        <w:t>, 2020</w:t>
      </w:r>
      <w:r w:rsidR="0065280A">
        <w:t>,</w:t>
      </w:r>
      <w:r>
        <w:t xml:space="preserve"> </w:t>
      </w:r>
      <w:r w:rsidR="003A5C87" w:rsidRPr="003A5C87">
        <w:t xml:space="preserve">Case </w:t>
      </w:r>
      <w:proofErr w:type="spellStart"/>
      <w:r w:rsidR="003A5C87" w:rsidRPr="003A5C87">
        <w:t>study</w:t>
      </w:r>
      <w:proofErr w:type="spellEnd"/>
      <w:r w:rsidR="003A5C87" w:rsidRPr="003A5C87">
        <w:t xml:space="preserve">: </w:t>
      </w:r>
      <w:proofErr w:type="spellStart"/>
      <w:r w:rsidR="003A5C87" w:rsidRPr="003A5C87">
        <w:t>freshness</w:t>
      </w:r>
      <w:proofErr w:type="spellEnd"/>
      <w:r w:rsidR="003A5C87" w:rsidRPr="003A5C87">
        <w:t xml:space="preserve"> </w:t>
      </w:r>
      <w:proofErr w:type="spellStart"/>
      <w:r w:rsidR="003A5C87" w:rsidRPr="003A5C87">
        <w:t>indicators</w:t>
      </w:r>
      <w:proofErr w:type="spellEnd"/>
      <w:r w:rsidR="003A5C87" w:rsidRPr="003A5C87">
        <w:t xml:space="preserve"> in </w:t>
      </w:r>
      <w:proofErr w:type="spellStart"/>
      <w:r w:rsidR="003A5C87" w:rsidRPr="003A5C87">
        <w:t>meat</w:t>
      </w:r>
      <w:proofErr w:type="spellEnd"/>
      <w:r w:rsidR="003A5C87" w:rsidRPr="003A5C87">
        <w:t xml:space="preserve"> </w:t>
      </w:r>
      <w:proofErr w:type="spellStart"/>
      <w:r w:rsidR="003A5C87" w:rsidRPr="003A5C87">
        <w:t>products</w:t>
      </w:r>
      <w:proofErr w:type="spellEnd"/>
      <w:r w:rsidR="0065280A">
        <w:t>,</w:t>
      </w:r>
      <w:r>
        <w:t xml:space="preserve"> Trabalho de conclusão de curso, Universidade Federal do Rio Grande do Sul, Porto Alegre, </w:t>
      </w:r>
      <w:r w:rsidR="00761E24">
        <w:t>BR.</w:t>
      </w:r>
    </w:p>
    <w:p w14:paraId="45F9A264" w14:textId="1B7F7BDB" w:rsidR="00AA56E4" w:rsidRDefault="00AA176C" w:rsidP="00AA176C">
      <w:pPr>
        <w:pStyle w:val="CETReferencetext"/>
      </w:pPr>
      <w:proofErr w:type="spellStart"/>
      <w:r w:rsidRPr="00AA176C">
        <w:t>Horsch</w:t>
      </w:r>
      <w:proofErr w:type="spellEnd"/>
      <w:r>
        <w:t xml:space="preserve"> </w:t>
      </w:r>
      <w:r w:rsidRPr="00AA176C">
        <w:t>A</w:t>
      </w:r>
      <w:r w:rsidR="00126897">
        <w:t>.</w:t>
      </w:r>
      <w:r w:rsidRPr="00AA176C">
        <w:t>M.</w:t>
      </w:r>
      <w:r>
        <w:t>,</w:t>
      </w:r>
      <w:r w:rsidRPr="00AA176C">
        <w:t xml:space="preserve"> </w:t>
      </w:r>
      <w:hyperlink r:id="rId11" w:history="1">
        <w:r w:rsidRPr="00AA176C">
          <w:t xml:space="preserve"> </w:t>
        </w:r>
        <w:proofErr w:type="spellStart"/>
        <w:r w:rsidRPr="00AA176C">
          <w:t>Sebranek</w:t>
        </w:r>
        <w:proofErr w:type="spellEnd"/>
      </w:hyperlink>
      <w:r w:rsidRPr="00AA176C">
        <w:t xml:space="preserve"> J</w:t>
      </w:r>
      <w:r w:rsidR="00126897">
        <w:t>.</w:t>
      </w:r>
      <w:r w:rsidRPr="00AA176C">
        <w:t>G</w:t>
      </w:r>
      <w:r>
        <w:t>.</w:t>
      </w:r>
      <w:r w:rsidRPr="00AA176C">
        <w:t>, </w:t>
      </w:r>
      <w:proofErr w:type="spellStart"/>
      <w:r w:rsidR="00BA1FB4">
        <w:fldChar w:fldCharType="begin"/>
      </w:r>
      <w:r w:rsidR="00BA1FB4">
        <w:instrText xml:space="preserve"> HYPERLINK "https://pubmed.ncbi.nlm.nih.gov/?term=Dickson+JS</w:instrText>
      </w:r>
      <w:r w:rsidR="00BA1FB4">
        <w:instrText xml:space="preserve">&amp;cauthor_id=23973624" </w:instrText>
      </w:r>
      <w:r w:rsidR="00BA1FB4">
        <w:fldChar w:fldCharType="separate"/>
      </w:r>
      <w:r w:rsidRPr="00AA176C">
        <w:t>Dickson</w:t>
      </w:r>
      <w:proofErr w:type="spellEnd"/>
      <w:r w:rsidR="00BA1FB4">
        <w:fldChar w:fldCharType="end"/>
      </w:r>
      <w:r w:rsidRPr="00AA176C">
        <w:t xml:space="preserve"> J</w:t>
      </w:r>
      <w:r w:rsidR="00126897">
        <w:t>.</w:t>
      </w:r>
      <w:r w:rsidRPr="00AA176C">
        <w:t>S</w:t>
      </w:r>
      <w:r>
        <w:t>.</w:t>
      </w:r>
      <w:r w:rsidRPr="00AA176C">
        <w:t>, </w:t>
      </w:r>
      <w:proofErr w:type="spellStart"/>
      <w:r w:rsidR="00BA1FB4">
        <w:fldChar w:fldCharType="begin"/>
      </w:r>
      <w:r w:rsidR="00BA1FB4">
        <w:instrText xml:space="preserve"> HYPERLINK "https://pubmed.ncbi.nlm.nih.gov/?term=Niebuhr+SE&amp;cauthor_id=23973624" </w:instrText>
      </w:r>
      <w:r w:rsidR="00BA1FB4">
        <w:fldChar w:fldCharType="separate"/>
      </w:r>
      <w:r w:rsidRPr="00AA176C">
        <w:t>Niebuhr</w:t>
      </w:r>
      <w:proofErr w:type="spellEnd"/>
      <w:r w:rsidR="00BA1FB4">
        <w:fldChar w:fldCharType="end"/>
      </w:r>
      <w:r w:rsidRPr="00AA176C">
        <w:t xml:space="preserve"> S</w:t>
      </w:r>
      <w:r w:rsidR="00126897">
        <w:t>.</w:t>
      </w:r>
      <w:r w:rsidRPr="00AA176C">
        <w:t>E</w:t>
      </w:r>
      <w:r>
        <w:t>.</w:t>
      </w:r>
      <w:r w:rsidRPr="00AA176C">
        <w:t>, </w:t>
      </w:r>
      <w:proofErr w:type="spellStart"/>
      <w:r w:rsidR="00BA1FB4">
        <w:fldChar w:fldCharType="begin"/>
      </w:r>
      <w:r w:rsidR="00BA1FB4">
        <w:instrText xml:space="preserve"> HYPERLINK "https://pubmed.ncbi.nlm.nih.gov/?term=Larson+EM&amp;cauthor_id=23973624" </w:instrText>
      </w:r>
      <w:r w:rsidR="00BA1FB4">
        <w:fldChar w:fldCharType="separate"/>
      </w:r>
      <w:r w:rsidRPr="00AA176C">
        <w:t>Larson</w:t>
      </w:r>
      <w:proofErr w:type="spellEnd"/>
      <w:r w:rsidR="00BA1FB4">
        <w:fldChar w:fldCharType="end"/>
      </w:r>
      <w:r w:rsidRPr="00AA176C">
        <w:t xml:space="preserve"> E</w:t>
      </w:r>
      <w:r w:rsidR="00126897">
        <w:t>.</w:t>
      </w:r>
      <w:r w:rsidRPr="00AA176C">
        <w:t>M</w:t>
      </w:r>
      <w:r>
        <w:t>.</w:t>
      </w:r>
      <w:r w:rsidRPr="00AA176C">
        <w:t>, </w:t>
      </w:r>
      <w:hyperlink r:id="rId12" w:history="1">
        <w:r w:rsidRPr="00AA176C">
          <w:t xml:space="preserve"> </w:t>
        </w:r>
        <w:proofErr w:type="spellStart"/>
        <w:r w:rsidRPr="00AA176C">
          <w:t>Lavieri</w:t>
        </w:r>
        <w:proofErr w:type="spellEnd"/>
      </w:hyperlink>
      <w:r w:rsidRPr="00AA176C">
        <w:t xml:space="preserve"> N</w:t>
      </w:r>
      <w:r w:rsidR="00126897">
        <w:t>.</w:t>
      </w:r>
      <w:r w:rsidRPr="00AA176C">
        <w:t>A</w:t>
      </w:r>
      <w:r>
        <w:t>.</w:t>
      </w:r>
      <w:r w:rsidRPr="00AA176C">
        <w:t>, </w:t>
      </w:r>
      <w:proofErr w:type="spellStart"/>
      <w:r w:rsidR="00BA1FB4">
        <w:fldChar w:fldCharType="begin"/>
      </w:r>
      <w:r w:rsidR="00BA1FB4">
        <w:instrText xml:space="preserve"> HYPERLINK "https://pubmed.ncbi.nlm.nih.gov/?term=Ruther+BL&amp;cauthor_id=23973624" </w:instrText>
      </w:r>
      <w:r w:rsidR="00BA1FB4">
        <w:fldChar w:fldCharType="separate"/>
      </w:r>
      <w:r w:rsidRPr="00AA176C">
        <w:t>Ruther</w:t>
      </w:r>
      <w:proofErr w:type="spellEnd"/>
      <w:r w:rsidR="00BA1FB4">
        <w:fldChar w:fldCharType="end"/>
      </w:r>
      <w:r w:rsidRPr="00AA176C">
        <w:t xml:space="preserve"> B</w:t>
      </w:r>
      <w:r w:rsidR="00126897">
        <w:t>.</w:t>
      </w:r>
      <w:r w:rsidRPr="00AA176C">
        <w:t>L</w:t>
      </w:r>
      <w:r>
        <w:t xml:space="preserve">. </w:t>
      </w:r>
      <w:proofErr w:type="spellStart"/>
      <w:r>
        <w:t>and</w:t>
      </w:r>
      <w:proofErr w:type="spellEnd"/>
      <w:r w:rsidR="00BA1FB4">
        <w:fldChar w:fldCharType="begin"/>
      </w:r>
      <w:r w:rsidR="00BA1FB4">
        <w:instrText xml:space="preserve"> HYPERLINK "https://pubmed.ncbi.nlm.nih.gov/?term=Wilson+</w:instrText>
      </w:r>
      <w:r w:rsidR="00BA1FB4">
        <w:instrText xml:space="preserve">LA&amp;cauthor_id=23973624" </w:instrText>
      </w:r>
      <w:r w:rsidR="00BA1FB4">
        <w:fldChar w:fldCharType="separate"/>
      </w:r>
      <w:r w:rsidRPr="00AA176C">
        <w:t xml:space="preserve"> Wilson</w:t>
      </w:r>
      <w:r w:rsidR="00BA1FB4">
        <w:fldChar w:fldCharType="end"/>
      </w:r>
      <w:r w:rsidRPr="00AA176C">
        <w:t xml:space="preserve"> LA</w:t>
      </w:r>
      <w:proofErr w:type="gramStart"/>
      <w:r>
        <w:t>.,</w:t>
      </w:r>
      <w:proofErr w:type="gramEnd"/>
      <w:r>
        <w:t xml:space="preserve"> 2014</w:t>
      </w:r>
      <w:r w:rsidR="0065280A">
        <w:t>,</w:t>
      </w:r>
      <w:r w:rsidRPr="00AA176C">
        <w:t xml:space="preserve"> The </w:t>
      </w:r>
      <w:proofErr w:type="spellStart"/>
      <w:r w:rsidRPr="00AA176C">
        <w:t>effect</w:t>
      </w:r>
      <w:proofErr w:type="spellEnd"/>
      <w:r w:rsidRPr="00AA176C">
        <w:t xml:space="preserve"> </w:t>
      </w:r>
      <w:proofErr w:type="spellStart"/>
      <w:r w:rsidRPr="00AA176C">
        <w:t>of</w:t>
      </w:r>
      <w:proofErr w:type="spellEnd"/>
      <w:r w:rsidRPr="00AA176C">
        <w:t xml:space="preserve"> pH </w:t>
      </w:r>
      <w:proofErr w:type="spellStart"/>
      <w:r w:rsidRPr="00AA176C">
        <w:t>and</w:t>
      </w:r>
      <w:proofErr w:type="spellEnd"/>
      <w:r w:rsidRPr="00AA176C">
        <w:t xml:space="preserve"> </w:t>
      </w:r>
      <w:proofErr w:type="spellStart"/>
      <w:r w:rsidRPr="00AA176C">
        <w:t>nitrite</w:t>
      </w:r>
      <w:proofErr w:type="spellEnd"/>
      <w:r w:rsidRPr="00AA176C">
        <w:t xml:space="preserve"> </w:t>
      </w:r>
      <w:proofErr w:type="spellStart"/>
      <w:r w:rsidRPr="00AA176C">
        <w:t>concentration</w:t>
      </w:r>
      <w:proofErr w:type="spellEnd"/>
      <w:r w:rsidRPr="00AA176C">
        <w:t xml:space="preserve"> </w:t>
      </w:r>
      <w:proofErr w:type="spellStart"/>
      <w:r w:rsidRPr="00AA176C">
        <w:t>on</w:t>
      </w:r>
      <w:proofErr w:type="spellEnd"/>
      <w:r w:rsidRPr="00AA176C">
        <w:t xml:space="preserve"> </w:t>
      </w:r>
      <w:proofErr w:type="spellStart"/>
      <w:r w:rsidRPr="00AA176C">
        <w:t>the</w:t>
      </w:r>
      <w:proofErr w:type="spellEnd"/>
      <w:r w:rsidRPr="00AA176C">
        <w:t xml:space="preserve"> </w:t>
      </w:r>
      <w:proofErr w:type="spellStart"/>
      <w:r w:rsidRPr="00AA176C">
        <w:t>antimicrobial</w:t>
      </w:r>
      <w:proofErr w:type="spellEnd"/>
      <w:r w:rsidRPr="00AA176C">
        <w:t xml:space="preserve"> </w:t>
      </w:r>
      <w:proofErr w:type="spellStart"/>
      <w:r w:rsidRPr="00AA176C">
        <w:t>impact</w:t>
      </w:r>
      <w:proofErr w:type="spellEnd"/>
      <w:r w:rsidRPr="00AA176C">
        <w:t xml:space="preserve"> </w:t>
      </w:r>
      <w:proofErr w:type="spellStart"/>
      <w:r w:rsidRPr="00AA176C">
        <w:t>of</w:t>
      </w:r>
      <w:proofErr w:type="spellEnd"/>
      <w:r w:rsidRPr="00AA176C">
        <w:t xml:space="preserve"> </w:t>
      </w:r>
      <w:proofErr w:type="spellStart"/>
      <w:r w:rsidRPr="00AA176C">
        <w:t>celery</w:t>
      </w:r>
      <w:proofErr w:type="spellEnd"/>
      <w:r w:rsidRPr="00AA176C">
        <w:t xml:space="preserve"> </w:t>
      </w:r>
      <w:proofErr w:type="spellStart"/>
      <w:r w:rsidRPr="00AA176C">
        <w:t>juice</w:t>
      </w:r>
      <w:proofErr w:type="spellEnd"/>
      <w:r w:rsidRPr="00AA176C">
        <w:t xml:space="preserve"> </w:t>
      </w:r>
      <w:proofErr w:type="spellStart"/>
      <w:r w:rsidRPr="00AA176C">
        <w:t>concentrate</w:t>
      </w:r>
      <w:proofErr w:type="spellEnd"/>
      <w:r w:rsidRPr="00AA176C">
        <w:t xml:space="preserve"> </w:t>
      </w:r>
      <w:proofErr w:type="spellStart"/>
      <w:r w:rsidRPr="00AA176C">
        <w:t>compared</w:t>
      </w:r>
      <w:proofErr w:type="spellEnd"/>
      <w:r w:rsidRPr="00AA176C">
        <w:t xml:space="preserve"> </w:t>
      </w:r>
      <w:proofErr w:type="spellStart"/>
      <w:r w:rsidRPr="00AA176C">
        <w:t>with</w:t>
      </w:r>
      <w:proofErr w:type="spellEnd"/>
      <w:r w:rsidRPr="00AA176C">
        <w:t xml:space="preserve"> </w:t>
      </w:r>
      <w:proofErr w:type="spellStart"/>
      <w:r w:rsidRPr="00AA176C">
        <w:t>conventional</w:t>
      </w:r>
      <w:proofErr w:type="spellEnd"/>
      <w:r w:rsidRPr="00AA176C">
        <w:t xml:space="preserve"> </w:t>
      </w:r>
      <w:proofErr w:type="spellStart"/>
      <w:r w:rsidRPr="00AA176C">
        <w:t>sodium</w:t>
      </w:r>
      <w:proofErr w:type="spellEnd"/>
      <w:r w:rsidRPr="00AA176C">
        <w:t xml:space="preserve"> </w:t>
      </w:r>
      <w:proofErr w:type="spellStart"/>
      <w:r w:rsidRPr="00AA176C">
        <w:t>nitrite</w:t>
      </w:r>
      <w:proofErr w:type="spellEnd"/>
      <w:r w:rsidRPr="00AA176C">
        <w:t xml:space="preserve"> </w:t>
      </w:r>
      <w:proofErr w:type="spellStart"/>
      <w:r w:rsidRPr="00AA176C">
        <w:t>on</w:t>
      </w:r>
      <w:proofErr w:type="spellEnd"/>
      <w:r w:rsidRPr="00AA176C">
        <w:t xml:space="preserve"> </w:t>
      </w:r>
      <w:proofErr w:type="spellStart"/>
      <w:r w:rsidRPr="004B73C0">
        <w:rPr>
          <w:i/>
        </w:rPr>
        <w:t>Listeria</w:t>
      </w:r>
      <w:proofErr w:type="spellEnd"/>
      <w:r w:rsidRPr="004B73C0">
        <w:rPr>
          <w:i/>
        </w:rPr>
        <w:t xml:space="preserve"> </w:t>
      </w:r>
      <w:proofErr w:type="spellStart"/>
      <w:r w:rsidRPr="004B73C0">
        <w:rPr>
          <w:i/>
        </w:rPr>
        <w:t>monocytogenes</w:t>
      </w:r>
      <w:proofErr w:type="spellEnd"/>
      <w:r w:rsidR="0065280A">
        <w:t>,</w:t>
      </w:r>
      <w:r w:rsidR="003A5C87">
        <w:t xml:space="preserve"> </w:t>
      </w:r>
      <w:proofErr w:type="spellStart"/>
      <w:r w:rsidR="003A5C87">
        <w:t>Meat</w:t>
      </w:r>
      <w:proofErr w:type="spellEnd"/>
      <w:r w:rsidR="003A5C87">
        <w:t xml:space="preserve"> Science, 96(</w:t>
      </w:r>
      <w:r w:rsidRPr="00AA176C">
        <w:t>1</w:t>
      </w:r>
      <w:r w:rsidR="003A5C87">
        <w:t>)</w:t>
      </w:r>
      <w:r w:rsidRPr="00AA176C">
        <w:t xml:space="preserve"> 400–407. </w:t>
      </w:r>
    </w:p>
    <w:p w14:paraId="791C6ECB" w14:textId="792A4B58" w:rsidR="00126897" w:rsidRPr="00AA176C" w:rsidRDefault="00126897" w:rsidP="00AA176C">
      <w:pPr>
        <w:pStyle w:val="CETReferencetext"/>
      </w:pPr>
      <w:proofErr w:type="spellStart"/>
      <w:r>
        <w:t>Idris</w:t>
      </w:r>
      <w:proofErr w:type="spellEnd"/>
      <w:r>
        <w:t xml:space="preserve"> F.N., </w:t>
      </w:r>
      <w:proofErr w:type="spellStart"/>
      <w:r>
        <w:t>Nadzir</w:t>
      </w:r>
      <w:proofErr w:type="spellEnd"/>
      <w:r>
        <w:t xml:space="preserve"> M.M., 2017, </w:t>
      </w:r>
      <w:proofErr w:type="spellStart"/>
      <w:r>
        <w:t>Antimicrobial</w:t>
      </w:r>
      <w:proofErr w:type="spellEnd"/>
      <w:r>
        <w:t xml:space="preserve"> </w:t>
      </w:r>
      <w:proofErr w:type="spellStart"/>
      <w:r>
        <w:t>activity</w:t>
      </w:r>
      <w:proofErr w:type="spellEnd"/>
      <w:r>
        <w:t xml:space="preserve"> </w:t>
      </w:r>
      <w:proofErr w:type="spellStart"/>
      <w:r>
        <w:t>of</w:t>
      </w:r>
      <w:proofErr w:type="spellEnd"/>
      <w:r>
        <w:t xml:space="preserve"> </w:t>
      </w:r>
      <w:proofErr w:type="spellStart"/>
      <w:r>
        <w:t>centella</w:t>
      </w:r>
      <w:proofErr w:type="spellEnd"/>
      <w:r>
        <w:t xml:space="preserve"> </w:t>
      </w:r>
      <w:proofErr w:type="spellStart"/>
      <w:r>
        <w:t>asiatica</w:t>
      </w:r>
      <w:proofErr w:type="spellEnd"/>
      <w:r>
        <w:t xml:space="preserve"> </w:t>
      </w:r>
      <w:proofErr w:type="spellStart"/>
      <w:r>
        <w:t>on</w:t>
      </w:r>
      <w:proofErr w:type="spellEnd"/>
      <w:r>
        <w:t xml:space="preserve"> </w:t>
      </w:r>
      <w:proofErr w:type="spellStart"/>
      <w:r>
        <w:t>aspergillus</w:t>
      </w:r>
      <w:proofErr w:type="spellEnd"/>
      <w:r>
        <w:t xml:space="preserve"> </w:t>
      </w:r>
      <w:proofErr w:type="spellStart"/>
      <w:r>
        <w:t>niger</w:t>
      </w:r>
      <w:proofErr w:type="spellEnd"/>
      <w:r>
        <w:t xml:space="preserve"> </w:t>
      </w:r>
      <w:proofErr w:type="spellStart"/>
      <w:r>
        <w:t>and</w:t>
      </w:r>
      <w:proofErr w:type="spellEnd"/>
      <w:r>
        <w:t xml:space="preserve"> </w:t>
      </w:r>
      <w:proofErr w:type="spellStart"/>
      <w:r>
        <w:t>bacillus</w:t>
      </w:r>
      <w:proofErr w:type="spellEnd"/>
      <w:r>
        <w:t xml:space="preserve"> </w:t>
      </w:r>
      <w:proofErr w:type="spellStart"/>
      <w:r>
        <w:t>subtilis</w:t>
      </w:r>
      <w:proofErr w:type="spellEnd"/>
      <w:r>
        <w:t xml:space="preserve">, </w:t>
      </w:r>
      <w:proofErr w:type="spellStart"/>
      <w:r>
        <w:t>Chemical</w:t>
      </w:r>
      <w:proofErr w:type="spellEnd"/>
      <w:r>
        <w:t xml:space="preserve"> </w:t>
      </w:r>
      <w:proofErr w:type="spellStart"/>
      <w:r>
        <w:t>Engineering</w:t>
      </w:r>
      <w:proofErr w:type="spellEnd"/>
      <w:r>
        <w:t xml:space="preserve"> </w:t>
      </w:r>
      <w:proofErr w:type="spellStart"/>
      <w:r>
        <w:t>Transactions</w:t>
      </w:r>
      <w:proofErr w:type="spellEnd"/>
      <w:r>
        <w:t xml:space="preserve">, 56, 1381-1386 </w:t>
      </w:r>
      <w:proofErr w:type="gramStart"/>
      <w:r>
        <w:t>DOI:</w:t>
      </w:r>
      <w:proofErr w:type="gramEnd"/>
      <w:r>
        <w:t>10.3303/CET1756231.</w:t>
      </w:r>
    </w:p>
    <w:p w14:paraId="79D11683" w14:textId="726AA077" w:rsidR="003C1000" w:rsidRPr="006E3D1A" w:rsidRDefault="003C1000" w:rsidP="003C1000">
      <w:pPr>
        <w:pStyle w:val="CETReferencetext"/>
        <w:rPr>
          <w:lang w:val="en-US"/>
        </w:rPr>
      </w:pPr>
      <w:proofErr w:type="spellStart"/>
      <w:r w:rsidRPr="006E3D1A">
        <w:rPr>
          <w:lang w:val="en-US"/>
        </w:rPr>
        <w:t>Jin</w:t>
      </w:r>
      <w:proofErr w:type="spellEnd"/>
      <w:r w:rsidRPr="006E3D1A">
        <w:rPr>
          <w:lang w:val="en-US"/>
        </w:rPr>
        <w:t xml:space="preserve"> S</w:t>
      </w:r>
      <w:r w:rsidR="00126897">
        <w:rPr>
          <w:lang w:val="en-US"/>
        </w:rPr>
        <w:t>.</w:t>
      </w:r>
      <w:r w:rsidRPr="006E3D1A">
        <w:rPr>
          <w:lang w:val="en-US"/>
        </w:rPr>
        <w:t>K</w:t>
      </w:r>
      <w:r w:rsidR="001D2436">
        <w:rPr>
          <w:lang w:val="en-US"/>
        </w:rPr>
        <w:t>.</w:t>
      </w:r>
      <w:r w:rsidRPr="006E3D1A">
        <w:rPr>
          <w:lang w:val="en-US"/>
        </w:rPr>
        <w:t>, Choi J</w:t>
      </w:r>
      <w:r w:rsidR="00126897">
        <w:rPr>
          <w:lang w:val="en-US"/>
        </w:rPr>
        <w:t>.</w:t>
      </w:r>
      <w:r w:rsidRPr="006E3D1A">
        <w:rPr>
          <w:lang w:val="en-US"/>
        </w:rPr>
        <w:t>S</w:t>
      </w:r>
      <w:r w:rsidR="001D2436">
        <w:rPr>
          <w:lang w:val="en-US"/>
        </w:rPr>
        <w:t>.</w:t>
      </w:r>
      <w:r w:rsidRPr="006E3D1A">
        <w:rPr>
          <w:lang w:val="en-US"/>
        </w:rPr>
        <w:t>, Yang H</w:t>
      </w:r>
      <w:r w:rsidR="00126897">
        <w:rPr>
          <w:lang w:val="en-US"/>
        </w:rPr>
        <w:t>.</w:t>
      </w:r>
      <w:r w:rsidRPr="006E3D1A">
        <w:rPr>
          <w:lang w:val="en-US"/>
        </w:rPr>
        <w:t>S</w:t>
      </w:r>
      <w:r w:rsidR="001D2436">
        <w:rPr>
          <w:lang w:val="en-US"/>
        </w:rPr>
        <w:t>.</w:t>
      </w:r>
      <w:r w:rsidRPr="006E3D1A">
        <w:rPr>
          <w:lang w:val="en-US"/>
        </w:rPr>
        <w:t xml:space="preserve">, </w:t>
      </w:r>
      <w:proofErr w:type="spellStart"/>
      <w:r w:rsidRPr="006E3D1A">
        <w:rPr>
          <w:lang w:val="en-US"/>
        </w:rPr>
        <w:t>Seon</w:t>
      </w:r>
      <w:proofErr w:type="spellEnd"/>
      <w:r w:rsidRPr="006E3D1A">
        <w:rPr>
          <w:lang w:val="en-US"/>
        </w:rPr>
        <w:t xml:space="preserve"> P</w:t>
      </w:r>
      <w:r w:rsidR="00126897">
        <w:rPr>
          <w:lang w:val="en-US"/>
        </w:rPr>
        <w:t>.</w:t>
      </w:r>
      <w:r w:rsidRPr="006E3D1A">
        <w:rPr>
          <w:lang w:val="en-US"/>
        </w:rPr>
        <w:t>T</w:t>
      </w:r>
      <w:r w:rsidR="001D2436">
        <w:rPr>
          <w:lang w:val="en-US"/>
        </w:rPr>
        <w:t>.</w:t>
      </w:r>
      <w:r w:rsidR="00AA176C">
        <w:rPr>
          <w:lang w:val="en-US"/>
        </w:rPr>
        <w:t xml:space="preserve"> and</w:t>
      </w:r>
      <w:r w:rsidRPr="006E3D1A">
        <w:rPr>
          <w:lang w:val="en-US"/>
        </w:rPr>
        <w:t xml:space="preserve"> </w:t>
      </w:r>
      <w:proofErr w:type="spellStart"/>
      <w:r w:rsidRPr="006E3D1A">
        <w:rPr>
          <w:lang w:val="en-US"/>
        </w:rPr>
        <w:t>Yim</w:t>
      </w:r>
      <w:proofErr w:type="spellEnd"/>
      <w:r w:rsidRPr="006E3D1A">
        <w:rPr>
          <w:lang w:val="en-US"/>
        </w:rPr>
        <w:t xml:space="preserve"> D</w:t>
      </w:r>
      <w:r w:rsidR="00126897">
        <w:rPr>
          <w:lang w:val="en-US"/>
        </w:rPr>
        <w:t>.</w:t>
      </w:r>
      <w:r w:rsidRPr="006E3D1A">
        <w:rPr>
          <w:lang w:val="en-US"/>
        </w:rPr>
        <w:t>G</w:t>
      </w:r>
      <w:r w:rsidR="001D2436">
        <w:rPr>
          <w:lang w:val="en-US"/>
        </w:rPr>
        <w:t>.</w:t>
      </w:r>
      <w:r w:rsidRPr="006E3D1A">
        <w:rPr>
          <w:lang w:val="en-US"/>
        </w:rPr>
        <w:t>, 2018</w:t>
      </w:r>
      <w:r w:rsidR="0065280A">
        <w:rPr>
          <w:lang w:val="en-US"/>
        </w:rPr>
        <w:t>,</w:t>
      </w:r>
      <w:r w:rsidRPr="006E3D1A">
        <w:rPr>
          <w:lang w:val="en-US"/>
        </w:rPr>
        <w:t xml:space="preserve"> Natural curing agents as nitrite alternatives and their effects on the physicochemical, microbiological properties and sensory evaluation of sausages during storage</w:t>
      </w:r>
      <w:r w:rsidR="0065280A">
        <w:rPr>
          <w:lang w:val="en-US"/>
        </w:rPr>
        <w:t>,</w:t>
      </w:r>
      <w:r w:rsidR="003A5C87">
        <w:rPr>
          <w:lang w:val="en-US"/>
        </w:rPr>
        <w:t xml:space="preserve"> Meat Science, 146,</w:t>
      </w:r>
      <w:r w:rsidRPr="006E3D1A">
        <w:rPr>
          <w:lang w:val="en-US"/>
        </w:rPr>
        <w:t xml:space="preserve"> 34–40. </w:t>
      </w:r>
    </w:p>
    <w:p w14:paraId="655996F3" w14:textId="3F13AE3D" w:rsidR="003C1000" w:rsidRPr="006E3D1A" w:rsidRDefault="003C1000" w:rsidP="003C1000">
      <w:pPr>
        <w:pStyle w:val="CETReferencetext"/>
        <w:rPr>
          <w:lang w:val="en-US"/>
        </w:rPr>
      </w:pPr>
      <w:r w:rsidRPr="006E3D1A">
        <w:rPr>
          <w:lang w:val="en-US"/>
        </w:rPr>
        <w:t>Lee S</w:t>
      </w:r>
      <w:r w:rsidR="00126897">
        <w:rPr>
          <w:lang w:val="en-US"/>
        </w:rPr>
        <w:t>.</w:t>
      </w:r>
      <w:r w:rsidRPr="006E3D1A">
        <w:rPr>
          <w:lang w:val="en-US"/>
        </w:rPr>
        <w:t>H</w:t>
      </w:r>
      <w:r w:rsidR="001D2436">
        <w:rPr>
          <w:lang w:val="en-US"/>
        </w:rPr>
        <w:t>.</w:t>
      </w:r>
      <w:r w:rsidRPr="006E3D1A">
        <w:rPr>
          <w:lang w:val="en-US"/>
        </w:rPr>
        <w:t xml:space="preserve">, </w:t>
      </w:r>
      <w:proofErr w:type="spellStart"/>
      <w:r w:rsidRPr="006E3D1A">
        <w:rPr>
          <w:lang w:val="en-US"/>
        </w:rPr>
        <w:t>Choe</w:t>
      </w:r>
      <w:proofErr w:type="spellEnd"/>
      <w:r w:rsidRPr="006E3D1A">
        <w:rPr>
          <w:lang w:val="en-US"/>
        </w:rPr>
        <w:t xml:space="preserve"> J</w:t>
      </w:r>
      <w:r w:rsidR="001D2436">
        <w:rPr>
          <w:lang w:val="en-US"/>
        </w:rPr>
        <w:t>.</w:t>
      </w:r>
      <w:r w:rsidRPr="006E3D1A">
        <w:rPr>
          <w:lang w:val="en-US"/>
        </w:rPr>
        <w:t>, Shin D</w:t>
      </w:r>
      <w:r w:rsidR="00126897">
        <w:rPr>
          <w:lang w:val="en-US"/>
        </w:rPr>
        <w:t>.</w:t>
      </w:r>
      <w:r w:rsidRPr="006E3D1A">
        <w:rPr>
          <w:lang w:val="en-US"/>
        </w:rPr>
        <w:t>J</w:t>
      </w:r>
      <w:r w:rsidR="001D2436">
        <w:rPr>
          <w:lang w:val="en-US"/>
        </w:rPr>
        <w:t>.</w:t>
      </w:r>
      <w:r w:rsidRPr="006E3D1A">
        <w:rPr>
          <w:lang w:val="en-US"/>
        </w:rPr>
        <w:t>, Yong H</w:t>
      </w:r>
      <w:r w:rsidR="00126897">
        <w:rPr>
          <w:lang w:val="en-US"/>
        </w:rPr>
        <w:t>.</w:t>
      </w:r>
      <w:r w:rsidRPr="006E3D1A">
        <w:rPr>
          <w:lang w:val="en-US"/>
        </w:rPr>
        <w:t>I</w:t>
      </w:r>
      <w:r w:rsidR="001D2436">
        <w:rPr>
          <w:lang w:val="en-US"/>
        </w:rPr>
        <w:t>.</w:t>
      </w:r>
      <w:r w:rsidRPr="006E3D1A">
        <w:rPr>
          <w:lang w:val="en-US"/>
        </w:rPr>
        <w:t>, Choi Y</w:t>
      </w:r>
      <w:r w:rsidR="001D2436">
        <w:rPr>
          <w:lang w:val="en-US"/>
        </w:rPr>
        <w:t>.</w:t>
      </w:r>
      <w:r w:rsidRPr="006E3D1A">
        <w:rPr>
          <w:lang w:val="en-US"/>
        </w:rPr>
        <w:t>, Yoon Y</w:t>
      </w:r>
      <w:r w:rsidR="001D2436">
        <w:rPr>
          <w:lang w:val="en-US"/>
        </w:rPr>
        <w:t>.</w:t>
      </w:r>
      <w:r w:rsidR="00AA176C">
        <w:rPr>
          <w:lang w:val="en-US"/>
        </w:rPr>
        <w:t xml:space="preserve"> and</w:t>
      </w:r>
      <w:r w:rsidRPr="006E3D1A">
        <w:rPr>
          <w:lang w:val="en-US"/>
        </w:rPr>
        <w:t xml:space="preserve"> Jo C</w:t>
      </w:r>
      <w:r w:rsidR="001D2436">
        <w:rPr>
          <w:lang w:val="en-US"/>
        </w:rPr>
        <w:t>.</w:t>
      </w:r>
      <w:r w:rsidRPr="006E3D1A">
        <w:rPr>
          <w:lang w:val="en-US"/>
        </w:rPr>
        <w:t>, 2019</w:t>
      </w:r>
      <w:r w:rsidR="0065280A">
        <w:rPr>
          <w:lang w:val="en-US"/>
        </w:rPr>
        <w:t>,</w:t>
      </w:r>
      <w:r w:rsidRPr="006E3D1A">
        <w:rPr>
          <w:lang w:val="en-US"/>
        </w:rPr>
        <w:t xml:space="preserve"> Combined effect of high pressure and vinegar addition on the control of </w:t>
      </w:r>
      <w:r w:rsidRPr="0082589F">
        <w:rPr>
          <w:i/>
          <w:iCs/>
          <w:lang w:val="en-US"/>
        </w:rPr>
        <w:t>Clostridium perfringens</w:t>
      </w:r>
      <w:r w:rsidRPr="006E3D1A">
        <w:rPr>
          <w:lang w:val="en-US"/>
        </w:rPr>
        <w:t xml:space="preserve"> and quality in nitrite-free emulsion-type sausage</w:t>
      </w:r>
      <w:r w:rsidR="0065280A">
        <w:rPr>
          <w:lang w:val="en-US"/>
        </w:rPr>
        <w:t>,</w:t>
      </w:r>
      <w:r w:rsidRPr="006E3D1A">
        <w:rPr>
          <w:lang w:val="en-US"/>
        </w:rPr>
        <w:t xml:space="preserve"> Innovative Food Sci</w:t>
      </w:r>
      <w:r w:rsidR="003A5C87">
        <w:rPr>
          <w:lang w:val="en-US"/>
        </w:rPr>
        <w:t>ence &amp; Emerging Technologies, 52,</w:t>
      </w:r>
      <w:r w:rsidRPr="006E3D1A">
        <w:rPr>
          <w:lang w:val="en-US"/>
        </w:rPr>
        <w:t xml:space="preserve"> 429–437.</w:t>
      </w:r>
    </w:p>
    <w:p w14:paraId="3900CFC1" w14:textId="7099A38B" w:rsidR="003C1000" w:rsidRPr="006E3D1A" w:rsidRDefault="003C1000" w:rsidP="003C1000">
      <w:pPr>
        <w:pStyle w:val="CETReferencetext"/>
        <w:rPr>
          <w:lang w:val="en-US"/>
        </w:rPr>
      </w:pPr>
      <w:r w:rsidRPr="006E3D1A">
        <w:rPr>
          <w:lang w:val="en-US"/>
        </w:rPr>
        <w:t>Myers K</w:t>
      </w:r>
      <w:r w:rsidR="0082733C">
        <w:rPr>
          <w:lang w:val="en-US"/>
        </w:rPr>
        <w:t>.</w:t>
      </w:r>
      <w:r w:rsidRPr="006E3D1A">
        <w:rPr>
          <w:lang w:val="en-US"/>
        </w:rPr>
        <w:t>, Cannon J</w:t>
      </w:r>
      <w:r w:rsidR="0082733C">
        <w:rPr>
          <w:lang w:val="en-US"/>
        </w:rPr>
        <w:t>.</w:t>
      </w:r>
      <w:r w:rsidRPr="006E3D1A">
        <w:rPr>
          <w:lang w:val="en-US"/>
        </w:rPr>
        <w:t>, Montoya D</w:t>
      </w:r>
      <w:r w:rsidR="0082733C">
        <w:rPr>
          <w:lang w:val="en-US"/>
        </w:rPr>
        <w:t>.</w:t>
      </w:r>
      <w:r w:rsidRPr="006E3D1A">
        <w:rPr>
          <w:lang w:val="en-US"/>
        </w:rPr>
        <w:t>, Dickson J</w:t>
      </w:r>
      <w:r w:rsidR="0082733C">
        <w:rPr>
          <w:lang w:val="en-US"/>
        </w:rPr>
        <w:t>.</w:t>
      </w:r>
      <w:r w:rsidRPr="006E3D1A">
        <w:rPr>
          <w:lang w:val="en-US"/>
        </w:rPr>
        <w:t xml:space="preserve">, </w:t>
      </w:r>
      <w:proofErr w:type="spellStart"/>
      <w:r w:rsidRPr="006E3D1A">
        <w:rPr>
          <w:lang w:val="en-US"/>
        </w:rPr>
        <w:t>Lonergan</w:t>
      </w:r>
      <w:proofErr w:type="spellEnd"/>
      <w:r w:rsidRPr="006E3D1A">
        <w:rPr>
          <w:lang w:val="en-US"/>
        </w:rPr>
        <w:t xml:space="preserve"> S</w:t>
      </w:r>
      <w:r w:rsidR="0082733C">
        <w:rPr>
          <w:lang w:val="en-US"/>
        </w:rPr>
        <w:t>.</w:t>
      </w:r>
      <w:r w:rsidR="00AA176C">
        <w:rPr>
          <w:lang w:val="en-US"/>
        </w:rPr>
        <w:t xml:space="preserve"> and</w:t>
      </w:r>
      <w:r w:rsidRPr="006E3D1A">
        <w:rPr>
          <w:lang w:val="en-US"/>
        </w:rPr>
        <w:t xml:space="preserve"> </w:t>
      </w:r>
      <w:proofErr w:type="spellStart"/>
      <w:r w:rsidRPr="006E3D1A">
        <w:rPr>
          <w:lang w:val="en-US"/>
        </w:rPr>
        <w:t>Sebranek</w:t>
      </w:r>
      <w:proofErr w:type="spellEnd"/>
      <w:r w:rsidRPr="006E3D1A">
        <w:rPr>
          <w:lang w:val="en-US"/>
        </w:rPr>
        <w:t xml:space="preserve"> J</w:t>
      </w:r>
      <w:r w:rsidR="0082733C">
        <w:rPr>
          <w:lang w:val="en-US"/>
        </w:rPr>
        <w:t>.</w:t>
      </w:r>
      <w:r w:rsidRPr="006E3D1A">
        <w:rPr>
          <w:lang w:val="en-US"/>
        </w:rPr>
        <w:t>, 2013</w:t>
      </w:r>
      <w:r w:rsidR="0065280A">
        <w:rPr>
          <w:lang w:val="en-US"/>
        </w:rPr>
        <w:t>,</w:t>
      </w:r>
      <w:r w:rsidRPr="006E3D1A">
        <w:rPr>
          <w:lang w:val="en-US"/>
        </w:rPr>
        <w:t xml:space="preserve"> Effects of high hydrostatic pressure and varying concentrations of sodium nitrite from traditional and vegetable-based sources on the growth of </w:t>
      </w:r>
      <w:r w:rsidRPr="0082589F">
        <w:rPr>
          <w:i/>
          <w:iCs/>
          <w:lang w:val="en-US"/>
        </w:rPr>
        <w:t>Listeria monocytogenes</w:t>
      </w:r>
      <w:r w:rsidRPr="006E3D1A">
        <w:rPr>
          <w:lang w:val="en-US"/>
        </w:rPr>
        <w:t xml:space="preserve"> on ready-to-eat (RTE) sliced ham</w:t>
      </w:r>
      <w:r w:rsidR="0065280A">
        <w:rPr>
          <w:lang w:val="en-US"/>
        </w:rPr>
        <w:t>,</w:t>
      </w:r>
      <w:r w:rsidRPr="006E3D1A">
        <w:rPr>
          <w:lang w:val="en-US"/>
        </w:rPr>
        <w:t xml:space="preserve"> Me</w:t>
      </w:r>
      <w:r w:rsidR="003A5C87">
        <w:rPr>
          <w:lang w:val="en-US"/>
        </w:rPr>
        <w:t>at Science, 94 (</w:t>
      </w:r>
      <w:r w:rsidRPr="006E3D1A">
        <w:rPr>
          <w:lang w:val="en-US"/>
        </w:rPr>
        <w:t>1</w:t>
      </w:r>
      <w:r w:rsidR="003A5C87">
        <w:rPr>
          <w:lang w:val="en-US"/>
        </w:rPr>
        <w:t xml:space="preserve">), </w:t>
      </w:r>
      <w:r w:rsidRPr="006E3D1A">
        <w:rPr>
          <w:lang w:val="en-US"/>
        </w:rPr>
        <w:t>69–76</w:t>
      </w:r>
      <w:r w:rsidR="003A5C87">
        <w:rPr>
          <w:lang w:val="en-US"/>
        </w:rPr>
        <w:t>.</w:t>
      </w:r>
      <w:bookmarkStart w:id="1" w:name="_GoBack"/>
      <w:bookmarkEnd w:id="1"/>
    </w:p>
    <w:p w14:paraId="6F2EF308" w14:textId="63848888" w:rsidR="003C1000" w:rsidRDefault="003C1000" w:rsidP="003C1000">
      <w:pPr>
        <w:pStyle w:val="CETReferencetext"/>
      </w:pPr>
      <w:proofErr w:type="spellStart"/>
      <w:r w:rsidRPr="006E3D1A">
        <w:rPr>
          <w:lang w:val="en-US"/>
        </w:rPr>
        <w:t>Ponrajan</w:t>
      </w:r>
      <w:proofErr w:type="spellEnd"/>
      <w:r w:rsidRPr="006E3D1A">
        <w:rPr>
          <w:lang w:val="en-US"/>
        </w:rPr>
        <w:t xml:space="preserve"> A</w:t>
      </w:r>
      <w:r w:rsidR="0082733C">
        <w:rPr>
          <w:lang w:val="en-US"/>
        </w:rPr>
        <w:t>.</w:t>
      </w:r>
      <w:r w:rsidRPr="006E3D1A">
        <w:rPr>
          <w:lang w:val="en-US"/>
        </w:rPr>
        <w:t>, Harrison M</w:t>
      </w:r>
      <w:r w:rsidR="00126897">
        <w:rPr>
          <w:lang w:val="en-US"/>
        </w:rPr>
        <w:t>.</w:t>
      </w:r>
      <w:r w:rsidRPr="006E3D1A">
        <w:rPr>
          <w:lang w:val="en-US"/>
        </w:rPr>
        <w:t>A</w:t>
      </w:r>
      <w:r w:rsidR="0082733C">
        <w:rPr>
          <w:lang w:val="en-US"/>
        </w:rPr>
        <w:t>.</w:t>
      </w:r>
      <w:r w:rsidRPr="006E3D1A">
        <w:rPr>
          <w:lang w:val="en-US"/>
        </w:rPr>
        <w:t>, Pringle T</w:t>
      </w:r>
      <w:r w:rsidR="00126897">
        <w:rPr>
          <w:lang w:val="en-US"/>
        </w:rPr>
        <w:t>.</w:t>
      </w:r>
      <w:r w:rsidRPr="006E3D1A">
        <w:rPr>
          <w:lang w:val="en-US"/>
        </w:rPr>
        <w:t>D</w:t>
      </w:r>
      <w:r w:rsidR="0082733C">
        <w:rPr>
          <w:lang w:val="en-US"/>
        </w:rPr>
        <w:t>.</w:t>
      </w:r>
      <w:r w:rsidRPr="006E3D1A">
        <w:rPr>
          <w:lang w:val="en-US"/>
        </w:rPr>
        <w:t xml:space="preserve">, </w:t>
      </w:r>
      <w:proofErr w:type="spellStart"/>
      <w:r w:rsidRPr="006E3D1A">
        <w:rPr>
          <w:lang w:val="en-US"/>
        </w:rPr>
        <w:t>Segers</w:t>
      </w:r>
      <w:proofErr w:type="spellEnd"/>
      <w:r w:rsidRPr="006E3D1A">
        <w:rPr>
          <w:lang w:val="en-US"/>
        </w:rPr>
        <w:t xml:space="preserve"> J</w:t>
      </w:r>
      <w:r w:rsidR="00126897">
        <w:rPr>
          <w:lang w:val="en-US"/>
        </w:rPr>
        <w:t>.</w:t>
      </w:r>
      <w:r w:rsidRPr="006E3D1A">
        <w:rPr>
          <w:lang w:val="en-US"/>
        </w:rPr>
        <w:t>R</w:t>
      </w:r>
      <w:r w:rsidR="0082733C">
        <w:rPr>
          <w:lang w:val="en-US"/>
        </w:rPr>
        <w:t>.</w:t>
      </w:r>
      <w:r w:rsidRPr="006E3D1A">
        <w:rPr>
          <w:lang w:val="en-US"/>
        </w:rPr>
        <w:t>, Lowe B</w:t>
      </w:r>
      <w:r w:rsidR="00126897">
        <w:rPr>
          <w:lang w:val="en-US"/>
        </w:rPr>
        <w:t>.</w:t>
      </w:r>
      <w:r w:rsidRPr="006E3D1A">
        <w:rPr>
          <w:lang w:val="en-US"/>
        </w:rPr>
        <w:t>K</w:t>
      </w:r>
      <w:r w:rsidR="0082733C">
        <w:rPr>
          <w:lang w:val="en-US"/>
        </w:rPr>
        <w:t>.</w:t>
      </w:r>
      <w:r w:rsidRPr="006E3D1A">
        <w:rPr>
          <w:lang w:val="en-US"/>
        </w:rPr>
        <w:t xml:space="preserve">, </w:t>
      </w:r>
      <w:proofErr w:type="spellStart"/>
      <w:r w:rsidRPr="006E3D1A">
        <w:rPr>
          <w:lang w:val="en-US"/>
        </w:rPr>
        <w:t>Mckeith</w:t>
      </w:r>
      <w:proofErr w:type="spellEnd"/>
      <w:r w:rsidRPr="006E3D1A">
        <w:rPr>
          <w:lang w:val="en-US"/>
        </w:rPr>
        <w:t xml:space="preserve"> R</w:t>
      </w:r>
      <w:r w:rsidR="00126897">
        <w:rPr>
          <w:lang w:val="en-US"/>
        </w:rPr>
        <w:t>.</w:t>
      </w:r>
      <w:r w:rsidRPr="006E3D1A">
        <w:rPr>
          <w:lang w:val="en-US"/>
        </w:rPr>
        <w:t>O</w:t>
      </w:r>
      <w:r w:rsidR="0082733C">
        <w:rPr>
          <w:lang w:val="en-US"/>
        </w:rPr>
        <w:t>.</w:t>
      </w:r>
      <w:r w:rsidR="00AA176C">
        <w:rPr>
          <w:lang w:val="en-US"/>
        </w:rPr>
        <w:t xml:space="preserve"> and</w:t>
      </w:r>
      <w:r w:rsidRPr="006E3D1A">
        <w:rPr>
          <w:lang w:val="en-US"/>
        </w:rPr>
        <w:t xml:space="preserve"> </w:t>
      </w:r>
      <w:proofErr w:type="spellStart"/>
      <w:r w:rsidRPr="006E3D1A">
        <w:rPr>
          <w:lang w:val="en-US"/>
        </w:rPr>
        <w:t>Stelzleni</w:t>
      </w:r>
      <w:proofErr w:type="spellEnd"/>
      <w:r w:rsidRPr="006E3D1A">
        <w:rPr>
          <w:lang w:val="en-US"/>
        </w:rPr>
        <w:t xml:space="preserve"> A</w:t>
      </w:r>
      <w:r w:rsidR="00126897">
        <w:rPr>
          <w:lang w:val="en-US"/>
        </w:rPr>
        <w:t>.</w:t>
      </w:r>
      <w:r w:rsidRPr="006E3D1A">
        <w:rPr>
          <w:lang w:val="en-US"/>
        </w:rPr>
        <w:t>M</w:t>
      </w:r>
      <w:r w:rsidR="0082733C">
        <w:rPr>
          <w:lang w:val="en-US"/>
        </w:rPr>
        <w:t>.</w:t>
      </w:r>
      <w:r w:rsidRPr="006E3D1A">
        <w:rPr>
          <w:lang w:val="en-US"/>
        </w:rPr>
        <w:t>, 2012</w:t>
      </w:r>
      <w:r w:rsidR="0065280A">
        <w:rPr>
          <w:lang w:val="en-US"/>
        </w:rPr>
        <w:t>,</w:t>
      </w:r>
      <w:r w:rsidRPr="006E3D1A">
        <w:rPr>
          <w:lang w:val="en-US"/>
        </w:rPr>
        <w:t xml:space="preserve"> Effect of sodium citrate plus sodium diacetate or buffered vinegar on quality attributes of enhanced beef top sirloins</w:t>
      </w:r>
      <w:r w:rsidR="0065280A">
        <w:rPr>
          <w:lang w:val="en-US"/>
        </w:rPr>
        <w:t>,</w:t>
      </w:r>
      <w:r w:rsidRPr="006E3D1A">
        <w:rPr>
          <w:lang w:val="en-US"/>
        </w:rPr>
        <w:t xml:space="preserve"> </w:t>
      </w:r>
      <w:proofErr w:type="spellStart"/>
      <w:r w:rsidRPr="00AD09C1">
        <w:t>Meat</w:t>
      </w:r>
      <w:proofErr w:type="spellEnd"/>
      <w:r w:rsidRPr="00AD09C1">
        <w:t xml:space="preserve"> Science</w:t>
      </w:r>
      <w:r w:rsidR="003A5C87">
        <w:t>, 91(</w:t>
      </w:r>
      <w:r>
        <w:t>1</w:t>
      </w:r>
      <w:r w:rsidR="003A5C87">
        <w:t>),</w:t>
      </w:r>
      <w:r>
        <w:t xml:space="preserve"> 43–49. </w:t>
      </w:r>
    </w:p>
    <w:p w14:paraId="772E6487" w14:textId="01D9BE4E" w:rsidR="003C1000" w:rsidRDefault="003C1000" w:rsidP="003C1000">
      <w:pPr>
        <w:pStyle w:val="CETReferencetext"/>
      </w:pPr>
      <w:r>
        <w:t>Souza S</w:t>
      </w:r>
      <w:r w:rsidR="00126897">
        <w:t>.</w:t>
      </w:r>
      <w:r>
        <w:t>A</w:t>
      </w:r>
      <w:r w:rsidR="0082733C">
        <w:t>.</w:t>
      </w:r>
      <w:r>
        <w:t>, 2014</w:t>
      </w:r>
      <w:r w:rsidR="0065280A">
        <w:t>,</w:t>
      </w:r>
      <w:r>
        <w:t xml:space="preserve"> </w:t>
      </w:r>
      <w:proofErr w:type="spellStart"/>
      <w:r w:rsidR="003A5C87" w:rsidRPr="003A5C87">
        <w:t>Evaluation</w:t>
      </w:r>
      <w:proofErr w:type="spellEnd"/>
      <w:r w:rsidR="003A5C87" w:rsidRPr="003A5C87">
        <w:t xml:space="preserve"> </w:t>
      </w:r>
      <w:proofErr w:type="spellStart"/>
      <w:r w:rsidR="003A5C87" w:rsidRPr="003A5C87">
        <w:t>of</w:t>
      </w:r>
      <w:proofErr w:type="spellEnd"/>
      <w:r w:rsidR="003A5C87" w:rsidRPr="003A5C87">
        <w:t xml:space="preserve"> </w:t>
      </w:r>
      <w:proofErr w:type="spellStart"/>
      <w:r w:rsidR="003A5C87" w:rsidRPr="003A5C87">
        <w:t>the</w:t>
      </w:r>
      <w:proofErr w:type="spellEnd"/>
      <w:r w:rsidR="003A5C87" w:rsidRPr="003A5C87">
        <w:t xml:space="preserve"> </w:t>
      </w:r>
      <w:proofErr w:type="spellStart"/>
      <w:r w:rsidR="003A5C87" w:rsidRPr="003A5C87">
        <w:t>effects</w:t>
      </w:r>
      <w:proofErr w:type="spellEnd"/>
      <w:r w:rsidR="003A5C87" w:rsidRPr="003A5C87">
        <w:t xml:space="preserve"> </w:t>
      </w:r>
      <w:proofErr w:type="spellStart"/>
      <w:r w:rsidR="003A5C87" w:rsidRPr="003A5C87">
        <w:t>of</w:t>
      </w:r>
      <w:proofErr w:type="spellEnd"/>
      <w:r w:rsidR="003A5C87" w:rsidRPr="003A5C87">
        <w:t xml:space="preserve"> </w:t>
      </w:r>
      <w:proofErr w:type="spellStart"/>
      <w:r w:rsidR="003A5C87" w:rsidRPr="003A5C87">
        <w:t>different</w:t>
      </w:r>
      <w:proofErr w:type="spellEnd"/>
      <w:r w:rsidR="003A5C87" w:rsidRPr="003A5C87">
        <w:t xml:space="preserve"> </w:t>
      </w:r>
      <w:proofErr w:type="spellStart"/>
      <w:r w:rsidR="003A5C87" w:rsidRPr="003A5C87">
        <w:t>freezing</w:t>
      </w:r>
      <w:proofErr w:type="spellEnd"/>
      <w:r w:rsidR="003A5C87" w:rsidRPr="003A5C87">
        <w:t xml:space="preserve"> </w:t>
      </w:r>
      <w:proofErr w:type="spellStart"/>
      <w:r w:rsidR="003A5C87" w:rsidRPr="003A5C87">
        <w:t>and</w:t>
      </w:r>
      <w:proofErr w:type="spellEnd"/>
      <w:r w:rsidR="003A5C87" w:rsidRPr="003A5C87">
        <w:t xml:space="preserve"> </w:t>
      </w:r>
      <w:proofErr w:type="spellStart"/>
      <w:r w:rsidR="003A5C87" w:rsidRPr="003A5C87">
        <w:t>storage</w:t>
      </w:r>
      <w:proofErr w:type="spellEnd"/>
      <w:r w:rsidR="003A5C87" w:rsidRPr="003A5C87">
        <w:t xml:space="preserve"> </w:t>
      </w:r>
      <w:proofErr w:type="spellStart"/>
      <w:r w:rsidR="003A5C87" w:rsidRPr="003A5C87">
        <w:t>temperatures</w:t>
      </w:r>
      <w:proofErr w:type="spellEnd"/>
      <w:r w:rsidR="003A5C87" w:rsidRPr="003A5C87">
        <w:t xml:space="preserve"> </w:t>
      </w:r>
      <w:proofErr w:type="spellStart"/>
      <w:r w:rsidR="003A5C87" w:rsidRPr="003A5C87">
        <w:t>on</w:t>
      </w:r>
      <w:proofErr w:type="spellEnd"/>
      <w:r w:rsidR="003A5C87" w:rsidRPr="003A5C87">
        <w:t xml:space="preserve"> </w:t>
      </w:r>
      <w:proofErr w:type="spellStart"/>
      <w:r w:rsidR="003A5C87" w:rsidRPr="003A5C87">
        <w:t>the</w:t>
      </w:r>
      <w:proofErr w:type="spellEnd"/>
      <w:r w:rsidR="003A5C87" w:rsidRPr="003A5C87">
        <w:t xml:space="preserve"> </w:t>
      </w:r>
      <w:proofErr w:type="spellStart"/>
      <w:r w:rsidR="003A5C87" w:rsidRPr="003A5C87">
        <w:t>microbiological</w:t>
      </w:r>
      <w:proofErr w:type="spellEnd"/>
      <w:r w:rsidR="003A5C87" w:rsidRPr="003A5C87">
        <w:t xml:space="preserve">, </w:t>
      </w:r>
      <w:proofErr w:type="spellStart"/>
      <w:r w:rsidR="003A5C87" w:rsidRPr="003A5C87">
        <w:t>physical-chemical</w:t>
      </w:r>
      <w:proofErr w:type="spellEnd"/>
      <w:r w:rsidR="003A5C87" w:rsidRPr="003A5C87">
        <w:t xml:space="preserve"> </w:t>
      </w:r>
      <w:proofErr w:type="spellStart"/>
      <w:r w:rsidR="003A5C87" w:rsidRPr="003A5C87">
        <w:t>and</w:t>
      </w:r>
      <w:proofErr w:type="spellEnd"/>
      <w:r w:rsidR="003A5C87" w:rsidRPr="003A5C87">
        <w:t xml:space="preserve"> </w:t>
      </w:r>
      <w:proofErr w:type="spellStart"/>
      <w:r w:rsidR="003A5C87" w:rsidRPr="003A5C87">
        <w:t>sensory</w:t>
      </w:r>
      <w:proofErr w:type="spellEnd"/>
      <w:r w:rsidR="003A5C87" w:rsidRPr="003A5C87">
        <w:t xml:space="preserve"> </w:t>
      </w:r>
      <w:proofErr w:type="spellStart"/>
      <w:r w:rsidR="003A5C87" w:rsidRPr="003A5C87">
        <w:t>characteristics</w:t>
      </w:r>
      <w:proofErr w:type="spellEnd"/>
      <w:r w:rsidR="003A5C87" w:rsidRPr="003A5C87">
        <w:t xml:space="preserve"> </w:t>
      </w:r>
      <w:proofErr w:type="spellStart"/>
      <w:r w:rsidR="003A5C87" w:rsidRPr="003A5C87">
        <w:t>of</w:t>
      </w:r>
      <w:proofErr w:type="spellEnd"/>
      <w:r w:rsidR="003A5C87" w:rsidRPr="003A5C87">
        <w:t xml:space="preserve"> </w:t>
      </w:r>
      <w:proofErr w:type="spellStart"/>
      <w:r w:rsidR="003A5C87" w:rsidRPr="003A5C87">
        <w:t>fresh</w:t>
      </w:r>
      <w:proofErr w:type="spellEnd"/>
      <w:r w:rsidR="003A5C87" w:rsidRPr="003A5C87">
        <w:t xml:space="preserve"> </w:t>
      </w:r>
      <w:proofErr w:type="spellStart"/>
      <w:r w:rsidR="003A5C87" w:rsidRPr="003A5C87">
        <w:t>pork</w:t>
      </w:r>
      <w:proofErr w:type="spellEnd"/>
      <w:r w:rsidR="003A5C87" w:rsidRPr="003A5C87">
        <w:t xml:space="preserve"> </w:t>
      </w:r>
      <w:proofErr w:type="spellStart"/>
      <w:r w:rsidR="003A5C87" w:rsidRPr="003A5C87">
        <w:t>sausage</w:t>
      </w:r>
      <w:proofErr w:type="spellEnd"/>
      <w:r w:rsidR="0065280A">
        <w:t>,</w:t>
      </w:r>
      <w:r>
        <w:t xml:space="preserve"> Dissertação de mestrado, Universidade Regional Integrada do Alto Uruguai da</w:t>
      </w:r>
      <w:r w:rsidR="003A5C87">
        <w:t>s</w:t>
      </w:r>
      <w:r>
        <w:t xml:space="preserve"> Missões, Erechim, </w:t>
      </w:r>
      <w:r w:rsidR="00761E24">
        <w:t>BR.</w:t>
      </w:r>
      <w:r>
        <w:t xml:space="preserve"> </w:t>
      </w:r>
    </w:p>
    <w:sectPr w:rsidR="003C1000" w:rsidSect="00D03FA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BA93A" w14:textId="77777777" w:rsidR="00BA1FB4" w:rsidRDefault="00BA1FB4" w:rsidP="004F5E36">
      <w:r>
        <w:separator/>
      </w:r>
    </w:p>
  </w:endnote>
  <w:endnote w:type="continuationSeparator" w:id="0">
    <w:p w14:paraId="7C31C108" w14:textId="77777777" w:rsidR="00BA1FB4" w:rsidRDefault="00BA1FB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A36D0" w14:textId="77777777" w:rsidR="00BA1FB4" w:rsidRDefault="00BA1FB4" w:rsidP="004F5E36">
      <w:r>
        <w:separator/>
      </w:r>
    </w:p>
  </w:footnote>
  <w:footnote w:type="continuationSeparator" w:id="0">
    <w:p w14:paraId="764F6EFB" w14:textId="77777777" w:rsidR="00BA1FB4" w:rsidRDefault="00BA1FB4"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nsid w:val="029F4F3E"/>
    <w:multiLevelType w:val="multilevel"/>
    <w:tmpl w:val="A5C4FB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438217E"/>
    <w:multiLevelType w:val="multilevel"/>
    <w:tmpl w:val="F17228D6"/>
    <w:lvl w:ilvl="0">
      <w:start w:val="1"/>
      <w:numFmt w:val="decimal"/>
      <w:suff w:val="space"/>
      <w:lvlText w:val="Chapter %1"/>
      <w:lvlJc w:val="left"/>
      <w:pPr>
        <w:ind w:left="142"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264B4C91"/>
    <w:multiLevelType w:val="hybridMultilevel"/>
    <w:tmpl w:val="20E2F6E0"/>
    <w:lvl w:ilvl="0" w:tplc="0416000F">
      <w:start w:val="4"/>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21459B4"/>
    <w:multiLevelType w:val="multilevel"/>
    <w:tmpl w:val="32B8237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3F433683"/>
    <w:multiLevelType w:val="hybridMultilevel"/>
    <w:tmpl w:val="D4AA08E6"/>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4620D21"/>
    <w:multiLevelType w:val="multilevel"/>
    <w:tmpl w:val="B1D6ED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3">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F491CC8"/>
    <w:multiLevelType w:val="multilevel"/>
    <w:tmpl w:val="C1EAAA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2"/>
  </w:num>
  <w:num w:numId="13">
    <w:abstractNumId w:val="15"/>
  </w:num>
  <w:num w:numId="14">
    <w:abstractNumId w:val="23"/>
  </w:num>
  <w:num w:numId="15">
    <w:abstractNumId w:val="25"/>
  </w:num>
  <w:num w:numId="16">
    <w:abstractNumId w:val="24"/>
  </w:num>
  <w:num w:numId="17">
    <w:abstractNumId w:val="14"/>
  </w:num>
  <w:num w:numId="18">
    <w:abstractNumId w:val="15"/>
    <w:lvlOverride w:ilvl="0">
      <w:startOverride w:val="1"/>
    </w:lvlOverride>
  </w:num>
  <w:num w:numId="19">
    <w:abstractNumId w:val="20"/>
  </w:num>
  <w:num w:numId="20">
    <w:abstractNumId w:val="19"/>
  </w:num>
  <w:num w:numId="21">
    <w:abstractNumId w:val="17"/>
  </w:num>
  <w:num w:numId="22">
    <w:abstractNumId w:val="16"/>
  </w:num>
  <w:num w:numId="23">
    <w:abstractNumId w:val="10"/>
  </w:num>
  <w:num w:numId="24">
    <w:abstractNumId w:val="18"/>
  </w:num>
  <w:num w:numId="25">
    <w:abstractNumId w:val="26"/>
  </w:num>
  <w:num w:numId="26">
    <w:abstractNumId w:val="13"/>
  </w:num>
  <w:num w:numId="27">
    <w:abstractNumId w:val="1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40EE4"/>
    <w:rsid w:val="000474E4"/>
    <w:rsid w:val="00051566"/>
    <w:rsid w:val="000562A9"/>
    <w:rsid w:val="00062A9A"/>
    <w:rsid w:val="00065058"/>
    <w:rsid w:val="00074E63"/>
    <w:rsid w:val="00086C39"/>
    <w:rsid w:val="000972A8"/>
    <w:rsid w:val="000A03B2"/>
    <w:rsid w:val="000A15C1"/>
    <w:rsid w:val="000B0FF3"/>
    <w:rsid w:val="000D0268"/>
    <w:rsid w:val="000D34BE"/>
    <w:rsid w:val="000E102F"/>
    <w:rsid w:val="000E2900"/>
    <w:rsid w:val="000E36F1"/>
    <w:rsid w:val="000E3A73"/>
    <w:rsid w:val="000E414A"/>
    <w:rsid w:val="000F0914"/>
    <w:rsid w:val="000F093C"/>
    <w:rsid w:val="000F787B"/>
    <w:rsid w:val="00102A8A"/>
    <w:rsid w:val="00117EA2"/>
    <w:rsid w:val="0012056C"/>
    <w:rsid w:val="0012091F"/>
    <w:rsid w:val="00126897"/>
    <w:rsid w:val="00126BC2"/>
    <w:rsid w:val="001308B6"/>
    <w:rsid w:val="0013121F"/>
    <w:rsid w:val="00131FE6"/>
    <w:rsid w:val="0013263F"/>
    <w:rsid w:val="001331DF"/>
    <w:rsid w:val="00134DE4"/>
    <w:rsid w:val="0014034D"/>
    <w:rsid w:val="00144D16"/>
    <w:rsid w:val="00150E59"/>
    <w:rsid w:val="00152DE3"/>
    <w:rsid w:val="00164CF9"/>
    <w:rsid w:val="001667A6"/>
    <w:rsid w:val="001809E6"/>
    <w:rsid w:val="00183B7D"/>
    <w:rsid w:val="00184AD6"/>
    <w:rsid w:val="00196225"/>
    <w:rsid w:val="001A4AF7"/>
    <w:rsid w:val="001B0349"/>
    <w:rsid w:val="001B1E93"/>
    <w:rsid w:val="001B2661"/>
    <w:rsid w:val="001B65C1"/>
    <w:rsid w:val="001C437F"/>
    <w:rsid w:val="001C684B"/>
    <w:rsid w:val="001D0CFB"/>
    <w:rsid w:val="001D21AF"/>
    <w:rsid w:val="001D2436"/>
    <w:rsid w:val="001D4B0E"/>
    <w:rsid w:val="001D53FC"/>
    <w:rsid w:val="001F42A5"/>
    <w:rsid w:val="001F7B9D"/>
    <w:rsid w:val="00201C93"/>
    <w:rsid w:val="002152C5"/>
    <w:rsid w:val="002224B4"/>
    <w:rsid w:val="00225B22"/>
    <w:rsid w:val="0023319E"/>
    <w:rsid w:val="002447EF"/>
    <w:rsid w:val="00251550"/>
    <w:rsid w:val="00255497"/>
    <w:rsid w:val="00263B05"/>
    <w:rsid w:val="0027221A"/>
    <w:rsid w:val="00275B61"/>
    <w:rsid w:val="00280FAF"/>
    <w:rsid w:val="00282656"/>
    <w:rsid w:val="002855B0"/>
    <w:rsid w:val="00296B83"/>
    <w:rsid w:val="002A1F2C"/>
    <w:rsid w:val="002A6075"/>
    <w:rsid w:val="002B4015"/>
    <w:rsid w:val="002B78CE"/>
    <w:rsid w:val="002C2FB6"/>
    <w:rsid w:val="002E5FA7"/>
    <w:rsid w:val="002F2A01"/>
    <w:rsid w:val="002F3309"/>
    <w:rsid w:val="002F6EA8"/>
    <w:rsid w:val="003008CE"/>
    <w:rsid w:val="003009B7"/>
    <w:rsid w:val="00300E56"/>
    <w:rsid w:val="0030152C"/>
    <w:rsid w:val="0030469C"/>
    <w:rsid w:val="00321CA6"/>
    <w:rsid w:val="00323763"/>
    <w:rsid w:val="00323C5F"/>
    <w:rsid w:val="00334C09"/>
    <w:rsid w:val="00341EF9"/>
    <w:rsid w:val="00364D9A"/>
    <w:rsid w:val="003723D4"/>
    <w:rsid w:val="00381905"/>
    <w:rsid w:val="00384CC8"/>
    <w:rsid w:val="003871FD"/>
    <w:rsid w:val="00394335"/>
    <w:rsid w:val="003A1E30"/>
    <w:rsid w:val="003A2829"/>
    <w:rsid w:val="003A5C87"/>
    <w:rsid w:val="003A6FC6"/>
    <w:rsid w:val="003A7D1C"/>
    <w:rsid w:val="003B304B"/>
    <w:rsid w:val="003B3146"/>
    <w:rsid w:val="003C1000"/>
    <w:rsid w:val="003C6C4C"/>
    <w:rsid w:val="003D3B05"/>
    <w:rsid w:val="003F015E"/>
    <w:rsid w:val="003F0D3F"/>
    <w:rsid w:val="003F3011"/>
    <w:rsid w:val="00400414"/>
    <w:rsid w:val="00403FE0"/>
    <w:rsid w:val="004130A4"/>
    <w:rsid w:val="0041446B"/>
    <w:rsid w:val="004240D9"/>
    <w:rsid w:val="00435758"/>
    <w:rsid w:val="0044071E"/>
    <w:rsid w:val="0044329C"/>
    <w:rsid w:val="00453E24"/>
    <w:rsid w:val="00457456"/>
    <w:rsid w:val="004577FE"/>
    <w:rsid w:val="00457B9C"/>
    <w:rsid w:val="0046164A"/>
    <w:rsid w:val="004628D2"/>
    <w:rsid w:val="00462DCD"/>
    <w:rsid w:val="004648AD"/>
    <w:rsid w:val="004703A9"/>
    <w:rsid w:val="004760DE"/>
    <w:rsid w:val="004763D7"/>
    <w:rsid w:val="004A004E"/>
    <w:rsid w:val="004A24CF"/>
    <w:rsid w:val="004B73C0"/>
    <w:rsid w:val="004C2383"/>
    <w:rsid w:val="004C264C"/>
    <w:rsid w:val="004C3D1D"/>
    <w:rsid w:val="004C3D84"/>
    <w:rsid w:val="004C7913"/>
    <w:rsid w:val="004D0DEC"/>
    <w:rsid w:val="004E4DD6"/>
    <w:rsid w:val="004F524C"/>
    <w:rsid w:val="004F5E36"/>
    <w:rsid w:val="00507B47"/>
    <w:rsid w:val="00507BEF"/>
    <w:rsid w:val="00507CC9"/>
    <w:rsid w:val="005119A5"/>
    <w:rsid w:val="00516AAC"/>
    <w:rsid w:val="005278B7"/>
    <w:rsid w:val="00532016"/>
    <w:rsid w:val="005346C8"/>
    <w:rsid w:val="00543E7D"/>
    <w:rsid w:val="00547A68"/>
    <w:rsid w:val="005531C9"/>
    <w:rsid w:val="00570C43"/>
    <w:rsid w:val="005A7779"/>
    <w:rsid w:val="005B0E4F"/>
    <w:rsid w:val="005B2110"/>
    <w:rsid w:val="005B61E6"/>
    <w:rsid w:val="005C403D"/>
    <w:rsid w:val="005C77E1"/>
    <w:rsid w:val="005D668A"/>
    <w:rsid w:val="005D6A2F"/>
    <w:rsid w:val="005D7681"/>
    <w:rsid w:val="005E164B"/>
    <w:rsid w:val="005E1A82"/>
    <w:rsid w:val="005E794C"/>
    <w:rsid w:val="005F0A28"/>
    <w:rsid w:val="005F0E5E"/>
    <w:rsid w:val="00600535"/>
    <w:rsid w:val="00610CD6"/>
    <w:rsid w:val="00620DEE"/>
    <w:rsid w:val="00621F92"/>
    <w:rsid w:val="0062280A"/>
    <w:rsid w:val="00625639"/>
    <w:rsid w:val="00631B33"/>
    <w:rsid w:val="0064184D"/>
    <w:rsid w:val="006422CC"/>
    <w:rsid w:val="0065072D"/>
    <w:rsid w:val="0065280A"/>
    <w:rsid w:val="00660E3E"/>
    <w:rsid w:val="00662E74"/>
    <w:rsid w:val="00680316"/>
    <w:rsid w:val="00680C23"/>
    <w:rsid w:val="00682C83"/>
    <w:rsid w:val="00693766"/>
    <w:rsid w:val="006A0A89"/>
    <w:rsid w:val="006A3281"/>
    <w:rsid w:val="006B09F5"/>
    <w:rsid w:val="006B4888"/>
    <w:rsid w:val="006C2E45"/>
    <w:rsid w:val="006C359C"/>
    <w:rsid w:val="006C5579"/>
    <w:rsid w:val="006D6E8B"/>
    <w:rsid w:val="006E6104"/>
    <w:rsid w:val="006E737D"/>
    <w:rsid w:val="00710E22"/>
    <w:rsid w:val="00713973"/>
    <w:rsid w:val="00714620"/>
    <w:rsid w:val="00720A24"/>
    <w:rsid w:val="00725072"/>
    <w:rsid w:val="00732386"/>
    <w:rsid w:val="0073514D"/>
    <w:rsid w:val="007447F3"/>
    <w:rsid w:val="0075499F"/>
    <w:rsid w:val="00760AD0"/>
    <w:rsid w:val="00760B06"/>
    <w:rsid w:val="00761E24"/>
    <w:rsid w:val="00763A9D"/>
    <w:rsid w:val="007661C8"/>
    <w:rsid w:val="0077098D"/>
    <w:rsid w:val="00775BC4"/>
    <w:rsid w:val="007807D8"/>
    <w:rsid w:val="007931FA"/>
    <w:rsid w:val="007A137F"/>
    <w:rsid w:val="007A4150"/>
    <w:rsid w:val="007A4861"/>
    <w:rsid w:val="007A7BBA"/>
    <w:rsid w:val="007B0C50"/>
    <w:rsid w:val="007B48F9"/>
    <w:rsid w:val="007C1A43"/>
    <w:rsid w:val="007C605C"/>
    <w:rsid w:val="007D0951"/>
    <w:rsid w:val="007D672B"/>
    <w:rsid w:val="0080013E"/>
    <w:rsid w:val="00813288"/>
    <w:rsid w:val="008168FC"/>
    <w:rsid w:val="0082589F"/>
    <w:rsid w:val="00825A0C"/>
    <w:rsid w:val="0082733C"/>
    <w:rsid w:val="00830153"/>
    <w:rsid w:val="00830996"/>
    <w:rsid w:val="008345F1"/>
    <w:rsid w:val="00865B07"/>
    <w:rsid w:val="008667EA"/>
    <w:rsid w:val="0087637F"/>
    <w:rsid w:val="00886E97"/>
    <w:rsid w:val="00892AD5"/>
    <w:rsid w:val="008A1512"/>
    <w:rsid w:val="008D32B9"/>
    <w:rsid w:val="008D433B"/>
    <w:rsid w:val="008D4A16"/>
    <w:rsid w:val="008E566E"/>
    <w:rsid w:val="0090161A"/>
    <w:rsid w:val="00901EB6"/>
    <w:rsid w:val="00904C62"/>
    <w:rsid w:val="00916360"/>
    <w:rsid w:val="009222BE"/>
    <w:rsid w:val="00922BA8"/>
    <w:rsid w:val="00924DAC"/>
    <w:rsid w:val="00927058"/>
    <w:rsid w:val="00942750"/>
    <w:rsid w:val="009450CE"/>
    <w:rsid w:val="009459BB"/>
    <w:rsid w:val="00947179"/>
    <w:rsid w:val="009512ED"/>
    <w:rsid w:val="0095164B"/>
    <w:rsid w:val="00954090"/>
    <w:rsid w:val="009573E7"/>
    <w:rsid w:val="00963E05"/>
    <w:rsid w:val="00964A45"/>
    <w:rsid w:val="00967843"/>
    <w:rsid w:val="00967D54"/>
    <w:rsid w:val="00971028"/>
    <w:rsid w:val="009876A0"/>
    <w:rsid w:val="00993B84"/>
    <w:rsid w:val="00996483"/>
    <w:rsid w:val="00996F5A"/>
    <w:rsid w:val="009A3DFE"/>
    <w:rsid w:val="009A5CD6"/>
    <w:rsid w:val="009B041A"/>
    <w:rsid w:val="009C37C3"/>
    <w:rsid w:val="009C3AA8"/>
    <w:rsid w:val="009C7C86"/>
    <w:rsid w:val="009D2FF7"/>
    <w:rsid w:val="009D37DF"/>
    <w:rsid w:val="009D512C"/>
    <w:rsid w:val="009E3DF3"/>
    <w:rsid w:val="009E7884"/>
    <w:rsid w:val="009E788A"/>
    <w:rsid w:val="009F09BC"/>
    <w:rsid w:val="009F0E08"/>
    <w:rsid w:val="00A15097"/>
    <w:rsid w:val="00A1763D"/>
    <w:rsid w:val="00A17CEC"/>
    <w:rsid w:val="00A2241E"/>
    <w:rsid w:val="00A2584D"/>
    <w:rsid w:val="00A27EF0"/>
    <w:rsid w:val="00A42361"/>
    <w:rsid w:val="00A5083F"/>
    <w:rsid w:val="00A50B20"/>
    <w:rsid w:val="00A51390"/>
    <w:rsid w:val="00A53CD7"/>
    <w:rsid w:val="00A60D13"/>
    <w:rsid w:val="00A61FDB"/>
    <w:rsid w:val="00A62989"/>
    <w:rsid w:val="00A7223D"/>
    <w:rsid w:val="00A72745"/>
    <w:rsid w:val="00A76EFC"/>
    <w:rsid w:val="00A87D50"/>
    <w:rsid w:val="00A91010"/>
    <w:rsid w:val="00A97F29"/>
    <w:rsid w:val="00AA176C"/>
    <w:rsid w:val="00AA56E4"/>
    <w:rsid w:val="00AA702E"/>
    <w:rsid w:val="00AA7468"/>
    <w:rsid w:val="00AA7D26"/>
    <w:rsid w:val="00AB0964"/>
    <w:rsid w:val="00AB5011"/>
    <w:rsid w:val="00AC0992"/>
    <w:rsid w:val="00AC7368"/>
    <w:rsid w:val="00AD16B9"/>
    <w:rsid w:val="00AD6834"/>
    <w:rsid w:val="00AE377D"/>
    <w:rsid w:val="00AF0EBA"/>
    <w:rsid w:val="00AF21E9"/>
    <w:rsid w:val="00AF3676"/>
    <w:rsid w:val="00B02C8A"/>
    <w:rsid w:val="00B17FBD"/>
    <w:rsid w:val="00B23DFF"/>
    <w:rsid w:val="00B315A6"/>
    <w:rsid w:val="00B31813"/>
    <w:rsid w:val="00B33365"/>
    <w:rsid w:val="00B442C7"/>
    <w:rsid w:val="00B45344"/>
    <w:rsid w:val="00B46A14"/>
    <w:rsid w:val="00B57B36"/>
    <w:rsid w:val="00B57E6F"/>
    <w:rsid w:val="00B75473"/>
    <w:rsid w:val="00B8500F"/>
    <w:rsid w:val="00B8686D"/>
    <w:rsid w:val="00B93F69"/>
    <w:rsid w:val="00BA1FB4"/>
    <w:rsid w:val="00BB1DDC"/>
    <w:rsid w:val="00BC30C9"/>
    <w:rsid w:val="00BD077D"/>
    <w:rsid w:val="00BE3E58"/>
    <w:rsid w:val="00C01616"/>
    <w:rsid w:val="00C0162B"/>
    <w:rsid w:val="00C068ED"/>
    <w:rsid w:val="00C22E0C"/>
    <w:rsid w:val="00C345B1"/>
    <w:rsid w:val="00C367F7"/>
    <w:rsid w:val="00C40142"/>
    <w:rsid w:val="00C52C3C"/>
    <w:rsid w:val="00C57182"/>
    <w:rsid w:val="00C57863"/>
    <w:rsid w:val="00C640AF"/>
    <w:rsid w:val="00C655FD"/>
    <w:rsid w:val="00C73F35"/>
    <w:rsid w:val="00C75407"/>
    <w:rsid w:val="00C7742D"/>
    <w:rsid w:val="00C8459C"/>
    <w:rsid w:val="00C86EF6"/>
    <w:rsid w:val="00C870A8"/>
    <w:rsid w:val="00C94434"/>
    <w:rsid w:val="00CA0D75"/>
    <w:rsid w:val="00CA1C95"/>
    <w:rsid w:val="00CA560B"/>
    <w:rsid w:val="00CA5A9C"/>
    <w:rsid w:val="00CB2149"/>
    <w:rsid w:val="00CC4C20"/>
    <w:rsid w:val="00CD3517"/>
    <w:rsid w:val="00CD5FE2"/>
    <w:rsid w:val="00CD7309"/>
    <w:rsid w:val="00CE7C68"/>
    <w:rsid w:val="00CF2D98"/>
    <w:rsid w:val="00D02B4C"/>
    <w:rsid w:val="00D03FA9"/>
    <w:rsid w:val="00D040C4"/>
    <w:rsid w:val="00D107FC"/>
    <w:rsid w:val="00D20AD1"/>
    <w:rsid w:val="00D46B7E"/>
    <w:rsid w:val="00D57C84"/>
    <w:rsid w:val="00D57E15"/>
    <w:rsid w:val="00D6057D"/>
    <w:rsid w:val="00D648EC"/>
    <w:rsid w:val="00D71640"/>
    <w:rsid w:val="00D7471B"/>
    <w:rsid w:val="00D836C5"/>
    <w:rsid w:val="00D84576"/>
    <w:rsid w:val="00DA1399"/>
    <w:rsid w:val="00DA187E"/>
    <w:rsid w:val="00DA24C6"/>
    <w:rsid w:val="00DA4D7B"/>
    <w:rsid w:val="00DD1C37"/>
    <w:rsid w:val="00DD271C"/>
    <w:rsid w:val="00DE264A"/>
    <w:rsid w:val="00DE27E7"/>
    <w:rsid w:val="00DE74E6"/>
    <w:rsid w:val="00DF5072"/>
    <w:rsid w:val="00E02D18"/>
    <w:rsid w:val="00E041E7"/>
    <w:rsid w:val="00E06901"/>
    <w:rsid w:val="00E103B5"/>
    <w:rsid w:val="00E23CA1"/>
    <w:rsid w:val="00E33DD7"/>
    <w:rsid w:val="00E409A8"/>
    <w:rsid w:val="00E50C12"/>
    <w:rsid w:val="00E52D82"/>
    <w:rsid w:val="00E65B91"/>
    <w:rsid w:val="00E7209D"/>
    <w:rsid w:val="00E72EAD"/>
    <w:rsid w:val="00E77223"/>
    <w:rsid w:val="00E8528B"/>
    <w:rsid w:val="00E85B94"/>
    <w:rsid w:val="00E978D0"/>
    <w:rsid w:val="00EA0859"/>
    <w:rsid w:val="00EA4613"/>
    <w:rsid w:val="00EA7F91"/>
    <w:rsid w:val="00EB1523"/>
    <w:rsid w:val="00EC0E49"/>
    <w:rsid w:val="00EC101F"/>
    <w:rsid w:val="00EC1D9F"/>
    <w:rsid w:val="00EC34FD"/>
    <w:rsid w:val="00EE0131"/>
    <w:rsid w:val="00EE17B0"/>
    <w:rsid w:val="00EE3D47"/>
    <w:rsid w:val="00EE5C32"/>
    <w:rsid w:val="00EF06D9"/>
    <w:rsid w:val="00F277B0"/>
    <w:rsid w:val="00F3049E"/>
    <w:rsid w:val="00F30C64"/>
    <w:rsid w:val="00F32BA2"/>
    <w:rsid w:val="00F32CDB"/>
    <w:rsid w:val="00F46B6E"/>
    <w:rsid w:val="00F565FE"/>
    <w:rsid w:val="00F63A70"/>
    <w:rsid w:val="00F63D8C"/>
    <w:rsid w:val="00F7109D"/>
    <w:rsid w:val="00F7534E"/>
    <w:rsid w:val="00F87111"/>
    <w:rsid w:val="00F92A38"/>
    <w:rsid w:val="00F93EDF"/>
    <w:rsid w:val="00F957E3"/>
    <w:rsid w:val="00FA1802"/>
    <w:rsid w:val="00FA21D0"/>
    <w:rsid w:val="00FA5F5F"/>
    <w:rsid w:val="00FB581A"/>
    <w:rsid w:val="00FB730C"/>
    <w:rsid w:val="00FC2695"/>
    <w:rsid w:val="00FC3E03"/>
    <w:rsid w:val="00FC3FC1"/>
    <w:rsid w:val="00FD53D0"/>
    <w:rsid w:val="00FF51C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rPr>
  </w:style>
  <w:style w:type="paragraph" w:styleId="Ttulo1">
    <w:name w:val="heading 1"/>
    <w:basedOn w:val="CETHeading1"/>
    <w:next w:val="Normal"/>
    <w:link w:val="Ttulo1Char"/>
    <w:uiPriority w:val="9"/>
    <w:rsid w:val="004F5E36"/>
    <w:pPr>
      <w:tabs>
        <w:tab w:val="clear" w:pos="360"/>
        <w:tab w:val="right" w:pos="7100"/>
      </w:tabs>
      <w:jc w:val="both"/>
      <w:outlineLvl w:val="0"/>
    </w:p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rPr>
  </w:style>
  <w:style w:type="character" w:customStyle="1" w:styleId="CETAuthorsCarattere">
    <w:name w:val="CET Authors Carattere"/>
    <w:link w:val="CETAuthors"/>
    <w:rsid w:val="009E788A"/>
    <w:rPr>
      <w:rFonts w:ascii="Arial" w:eastAsia="Times New Roman" w:hAnsi="Arial" w:cs="Times New Roman"/>
      <w:noProof/>
      <w:sz w:val="24"/>
      <w:szCs w:val="20"/>
      <w:lang w:val="pt"/>
    </w:rPr>
  </w:style>
  <w:style w:type="character" w:customStyle="1" w:styleId="CETTitleCarattere">
    <w:name w:val="CET Title Carattere"/>
    <w:link w:val="CETTitle"/>
    <w:rsid w:val="00FB730C"/>
    <w:rPr>
      <w:rFonts w:ascii="Arial" w:eastAsia="Times New Roman" w:hAnsi="Arial" w:cs="Times New Roman"/>
      <w:sz w:val="32"/>
      <w:szCs w:val="20"/>
      <w:lang w:val="pt"/>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rPr>
  </w:style>
  <w:style w:type="paragraph" w:customStyle="1" w:styleId="CETheadingx">
    <w:name w:val="CET headingx"/>
    <w:next w:val="CETBodytext"/>
    <w:link w:val="CETheadingxCarattere"/>
    <w:autoRedefine/>
    <w:qFormat/>
    <w:rsid w:val="004F524C"/>
    <w:pPr>
      <w:keepNext/>
      <w:suppressAutoHyphens/>
      <w:spacing w:after="0" w:line="360" w:lineRule="auto"/>
      <w:jc w:val="both"/>
    </w:pPr>
    <w:rPr>
      <w:rFonts w:ascii="Arial" w:eastAsia="Times New Roman" w:hAnsi="Arial" w:cs="Times New Roman"/>
      <w:bCs/>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pt"/>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rPr>
  </w:style>
  <w:style w:type="character" w:customStyle="1" w:styleId="CETheadingxCarattere">
    <w:name w:val="CET headingx Carattere"/>
    <w:link w:val="CETheadingx"/>
    <w:rsid w:val="004F524C"/>
    <w:rPr>
      <w:rFonts w:ascii="Arial" w:eastAsia="Times New Roman" w:hAnsi="Arial" w:cs="Times New Roman"/>
      <w:bCs/>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pt"/>
    </w:rPr>
  </w:style>
  <w:style w:type="paragraph" w:customStyle="1" w:styleId="CETBodytextItalic">
    <w:name w:val="CET Body text (Italic)"/>
    <w:basedOn w:val="CETBodytext"/>
    <w:qFormat/>
    <w:rsid w:val="004F5E36"/>
    <w:rPr>
      <w:i/>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unhideWhenUsed/>
    <w:rsid w:val="0003148D"/>
    <w:pPr>
      <w:spacing w:after="120"/>
    </w:pPr>
  </w:style>
  <w:style w:type="character" w:customStyle="1" w:styleId="CorpodetextoChar">
    <w:name w:val="Corpo de texto Char"/>
    <w:basedOn w:val="Fontepargpadro"/>
    <w:link w:val="Corpodetexto"/>
    <w:uiPriority w:val="99"/>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pt"/>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pt"/>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pt"/>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pt"/>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rPr>
  </w:style>
  <w:style w:type="paragraph" w:customStyle="1" w:styleId="CETEquation">
    <w:name w:val="CET Equation"/>
    <w:basedOn w:val="CETBodytext"/>
    <w:next w:val="CETBodytext"/>
    <w:qFormat/>
    <w:rsid w:val="00600535"/>
    <w:pPr>
      <w:spacing w:before="120" w:after="120"/>
      <w:jc w:val="left"/>
    </w:p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val="0"/>
      <w:bCs/>
      <w:sz w:val="18"/>
      <w:szCs w:val="20"/>
      <w:lang w:val="pt"/>
    </w:rPr>
  </w:style>
  <w:style w:type="paragraph" w:styleId="PargrafodaLista">
    <w:name w:val="List Paragraph"/>
    <w:basedOn w:val="Normal"/>
    <w:uiPriority w:val="34"/>
    <w:qFormat/>
    <w:rsid w:val="00280FAF"/>
    <w:pPr>
      <w:ind w:left="720"/>
      <w:contextualSpacing/>
    </w:pPr>
  </w:style>
  <w:style w:type="paragraph" w:customStyle="1" w:styleId="TextodoTrabalho">
    <w:name w:val="Texto do Trabalho"/>
    <w:basedOn w:val="Normal"/>
    <w:uiPriority w:val="99"/>
    <w:rsid w:val="005A7779"/>
    <w:pPr>
      <w:tabs>
        <w:tab w:val="clear" w:pos="7100"/>
      </w:tabs>
      <w:spacing w:line="360" w:lineRule="auto"/>
      <w:ind w:firstLine="851"/>
    </w:pPr>
    <w:rPr>
      <w:color w:val="000000"/>
      <w:sz w:val="24"/>
      <w:szCs w:val="24"/>
      <w:lang w:val="pt-BR"/>
    </w:rPr>
  </w:style>
  <w:style w:type="character" w:customStyle="1" w:styleId="authors-list-item">
    <w:name w:val="authors-list-item"/>
    <w:basedOn w:val="Fontepargpadro"/>
    <w:rsid w:val="00AA176C"/>
  </w:style>
  <w:style w:type="character" w:customStyle="1" w:styleId="comma">
    <w:name w:val="comma"/>
    <w:basedOn w:val="Fontepargpadro"/>
    <w:rsid w:val="00AA17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rPr>
  </w:style>
  <w:style w:type="paragraph" w:styleId="Ttulo1">
    <w:name w:val="heading 1"/>
    <w:basedOn w:val="CETHeading1"/>
    <w:next w:val="Normal"/>
    <w:link w:val="Ttulo1Char"/>
    <w:uiPriority w:val="9"/>
    <w:rsid w:val="004F5E36"/>
    <w:pPr>
      <w:tabs>
        <w:tab w:val="clear" w:pos="360"/>
        <w:tab w:val="right" w:pos="7100"/>
      </w:tabs>
      <w:jc w:val="both"/>
      <w:outlineLvl w:val="0"/>
    </w:p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rPr>
  </w:style>
  <w:style w:type="character" w:customStyle="1" w:styleId="CETAuthorsCarattere">
    <w:name w:val="CET Authors Carattere"/>
    <w:link w:val="CETAuthors"/>
    <w:rsid w:val="009E788A"/>
    <w:rPr>
      <w:rFonts w:ascii="Arial" w:eastAsia="Times New Roman" w:hAnsi="Arial" w:cs="Times New Roman"/>
      <w:noProof/>
      <w:sz w:val="24"/>
      <w:szCs w:val="20"/>
      <w:lang w:val="pt"/>
    </w:rPr>
  </w:style>
  <w:style w:type="character" w:customStyle="1" w:styleId="CETTitleCarattere">
    <w:name w:val="CET Title Carattere"/>
    <w:link w:val="CETTitle"/>
    <w:rsid w:val="00FB730C"/>
    <w:rPr>
      <w:rFonts w:ascii="Arial" w:eastAsia="Times New Roman" w:hAnsi="Arial" w:cs="Times New Roman"/>
      <w:sz w:val="32"/>
      <w:szCs w:val="20"/>
      <w:lang w:val="pt"/>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rPr>
  </w:style>
  <w:style w:type="paragraph" w:customStyle="1" w:styleId="CETheadingx">
    <w:name w:val="CET headingx"/>
    <w:next w:val="CETBodytext"/>
    <w:link w:val="CETheadingxCarattere"/>
    <w:autoRedefine/>
    <w:qFormat/>
    <w:rsid w:val="004F524C"/>
    <w:pPr>
      <w:keepNext/>
      <w:suppressAutoHyphens/>
      <w:spacing w:after="0" w:line="360" w:lineRule="auto"/>
      <w:jc w:val="both"/>
    </w:pPr>
    <w:rPr>
      <w:rFonts w:ascii="Arial" w:eastAsia="Times New Roman" w:hAnsi="Arial" w:cs="Times New Roman"/>
      <w:bCs/>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pt"/>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rPr>
  </w:style>
  <w:style w:type="character" w:customStyle="1" w:styleId="CETheadingxCarattere">
    <w:name w:val="CET headingx Carattere"/>
    <w:link w:val="CETheadingx"/>
    <w:rsid w:val="004F524C"/>
    <w:rPr>
      <w:rFonts w:ascii="Arial" w:eastAsia="Times New Roman" w:hAnsi="Arial" w:cs="Times New Roman"/>
      <w:bCs/>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pt"/>
    </w:rPr>
  </w:style>
  <w:style w:type="paragraph" w:customStyle="1" w:styleId="CETBodytextItalic">
    <w:name w:val="CET Body text (Italic)"/>
    <w:basedOn w:val="CETBodytext"/>
    <w:qFormat/>
    <w:rsid w:val="004F5E36"/>
    <w:rPr>
      <w:i/>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unhideWhenUsed/>
    <w:rsid w:val="0003148D"/>
    <w:pPr>
      <w:spacing w:after="120"/>
    </w:pPr>
  </w:style>
  <w:style w:type="character" w:customStyle="1" w:styleId="CorpodetextoChar">
    <w:name w:val="Corpo de texto Char"/>
    <w:basedOn w:val="Fontepargpadro"/>
    <w:link w:val="Corpodetexto"/>
    <w:uiPriority w:val="99"/>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pt"/>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pt"/>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pt"/>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pt"/>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rPr>
  </w:style>
  <w:style w:type="paragraph" w:customStyle="1" w:styleId="CETEquation">
    <w:name w:val="CET Equation"/>
    <w:basedOn w:val="CETBodytext"/>
    <w:next w:val="CETBodytext"/>
    <w:qFormat/>
    <w:rsid w:val="00600535"/>
    <w:pPr>
      <w:spacing w:before="120" w:after="120"/>
      <w:jc w:val="left"/>
    </w:p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val="0"/>
      <w:bCs/>
      <w:sz w:val="18"/>
      <w:szCs w:val="20"/>
      <w:lang w:val="pt"/>
    </w:rPr>
  </w:style>
  <w:style w:type="paragraph" w:styleId="PargrafodaLista">
    <w:name w:val="List Paragraph"/>
    <w:basedOn w:val="Normal"/>
    <w:uiPriority w:val="34"/>
    <w:qFormat/>
    <w:rsid w:val="00280FAF"/>
    <w:pPr>
      <w:ind w:left="720"/>
      <w:contextualSpacing/>
    </w:pPr>
  </w:style>
  <w:style w:type="paragraph" w:customStyle="1" w:styleId="TextodoTrabalho">
    <w:name w:val="Texto do Trabalho"/>
    <w:basedOn w:val="Normal"/>
    <w:uiPriority w:val="99"/>
    <w:rsid w:val="005A7779"/>
    <w:pPr>
      <w:tabs>
        <w:tab w:val="clear" w:pos="7100"/>
      </w:tabs>
      <w:spacing w:line="360" w:lineRule="auto"/>
      <w:ind w:firstLine="851"/>
    </w:pPr>
    <w:rPr>
      <w:color w:val="000000"/>
      <w:sz w:val="24"/>
      <w:szCs w:val="24"/>
      <w:lang w:val="pt-BR"/>
    </w:rPr>
  </w:style>
  <w:style w:type="character" w:customStyle="1" w:styleId="authors-list-item">
    <w:name w:val="authors-list-item"/>
    <w:basedOn w:val="Fontepargpadro"/>
    <w:rsid w:val="00AA176C"/>
  </w:style>
  <w:style w:type="character" w:customStyle="1" w:styleId="comma">
    <w:name w:val="comma"/>
    <w:basedOn w:val="Fontepargpadro"/>
    <w:rsid w:val="00AA1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00173">
      <w:bodyDiv w:val="1"/>
      <w:marLeft w:val="0"/>
      <w:marRight w:val="0"/>
      <w:marTop w:val="0"/>
      <w:marBottom w:val="0"/>
      <w:divBdr>
        <w:top w:val="none" w:sz="0" w:space="0" w:color="auto"/>
        <w:left w:val="none" w:sz="0" w:space="0" w:color="auto"/>
        <w:bottom w:val="none" w:sz="0" w:space="0" w:color="auto"/>
        <w:right w:val="none" w:sz="0" w:space="0" w:color="auto"/>
      </w:divBdr>
    </w:div>
    <w:div w:id="117141828">
      <w:bodyDiv w:val="1"/>
      <w:marLeft w:val="0"/>
      <w:marRight w:val="0"/>
      <w:marTop w:val="0"/>
      <w:marBottom w:val="0"/>
      <w:divBdr>
        <w:top w:val="none" w:sz="0" w:space="0" w:color="auto"/>
        <w:left w:val="none" w:sz="0" w:space="0" w:color="auto"/>
        <w:bottom w:val="none" w:sz="0" w:space="0" w:color="auto"/>
        <w:right w:val="none" w:sz="0" w:space="0" w:color="auto"/>
      </w:divBdr>
    </w:div>
    <w:div w:id="222524813">
      <w:bodyDiv w:val="1"/>
      <w:marLeft w:val="0"/>
      <w:marRight w:val="0"/>
      <w:marTop w:val="0"/>
      <w:marBottom w:val="0"/>
      <w:divBdr>
        <w:top w:val="none" w:sz="0" w:space="0" w:color="auto"/>
        <w:left w:val="none" w:sz="0" w:space="0" w:color="auto"/>
        <w:bottom w:val="none" w:sz="0" w:space="0" w:color="auto"/>
        <w:right w:val="none" w:sz="0" w:space="0" w:color="auto"/>
      </w:divBdr>
    </w:div>
    <w:div w:id="233125623">
      <w:bodyDiv w:val="1"/>
      <w:marLeft w:val="0"/>
      <w:marRight w:val="0"/>
      <w:marTop w:val="0"/>
      <w:marBottom w:val="0"/>
      <w:divBdr>
        <w:top w:val="none" w:sz="0" w:space="0" w:color="auto"/>
        <w:left w:val="none" w:sz="0" w:space="0" w:color="auto"/>
        <w:bottom w:val="none" w:sz="0" w:space="0" w:color="auto"/>
        <w:right w:val="none" w:sz="0" w:space="0" w:color="auto"/>
      </w:divBdr>
    </w:div>
    <w:div w:id="316803878">
      <w:bodyDiv w:val="1"/>
      <w:marLeft w:val="0"/>
      <w:marRight w:val="0"/>
      <w:marTop w:val="0"/>
      <w:marBottom w:val="0"/>
      <w:divBdr>
        <w:top w:val="none" w:sz="0" w:space="0" w:color="auto"/>
        <w:left w:val="none" w:sz="0" w:space="0" w:color="auto"/>
        <w:bottom w:val="none" w:sz="0" w:space="0" w:color="auto"/>
        <w:right w:val="none" w:sz="0" w:space="0" w:color="auto"/>
      </w:divBdr>
    </w:div>
    <w:div w:id="420227398">
      <w:bodyDiv w:val="1"/>
      <w:marLeft w:val="0"/>
      <w:marRight w:val="0"/>
      <w:marTop w:val="0"/>
      <w:marBottom w:val="0"/>
      <w:divBdr>
        <w:top w:val="none" w:sz="0" w:space="0" w:color="auto"/>
        <w:left w:val="none" w:sz="0" w:space="0" w:color="auto"/>
        <w:bottom w:val="none" w:sz="0" w:space="0" w:color="auto"/>
        <w:right w:val="none" w:sz="0" w:space="0" w:color="auto"/>
      </w:divBdr>
    </w:div>
    <w:div w:id="462305802">
      <w:bodyDiv w:val="1"/>
      <w:marLeft w:val="0"/>
      <w:marRight w:val="0"/>
      <w:marTop w:val="0"/>
      <w:marBottom w:val="0"/>
      <w:divBdr>
        <w:top w:val="none" w:sz="0" w:space="0" w:color="auto"/>
        <w:left w:val="none" w:sz="0" w:space="0" w:color="auto"/>
        <w:bottom w:val="none" w:sz="0" w:space="0" w:color="auto"/>
        <w:right w:val="none" w:sz="0" w:space="0" w:color="auto"/>
      </w:divBdr>
    </w:div>
    <w:div w:id="561210345">
      <w:bodyDiv w:val="1"/>
      <w:marLeft w:val="0"/>
      <w:marRight w:val="0"/>
      <w:marTop w:val="0"/>
      <w:marBottom w:val="0"/>
      <w:divBdr>
        <w:top w:val="none" w:sz="0" w:space="0" w:color="auto"/>
        <w:left w:val="none" w:sz="0" w:space="0" w:color="auto"/>
        <w:bottom w:val="none" w:sz="0" w:space="0" w:color="auto"/>
        <w:right w:val="none" w:sz="0" w:space="0" w:color="auto"/>
      </w:divBdr>
    </w:div>
    <w:div w:id="775905668">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533491">
      <w:bodyDiv w:val="1"/>
      <w:marLeft w:val="0"/>
      <w:marRight w:val="0"/>
      <w:marTop w:val="0"/>
      <w:marBottom w:val="0"/>
      <w:divBdr>
        <w:top w:val="none" w:sz="0" w:space="0" w:color="auto"/>
        <w:left w:val="none" w:sz="0" w:space="0" w:color="auto"/>
        <w:bottom w:val="none" w:sz="0" w:space="0" w:color="auto"/>
        <w:right w:val="none" w:sz="0" w:space="0" w:color="auto"/>
      </w:divBdr>
    </w:div>
    <w:div w:id="811948890">
      <w:bodyDiv w:val="1"/>
      <w:marLeft w:val="0"/>
      <w:marRight w:val="0"/>
      <w:marTop w:val="0"/>
      <w:marBottom w:val="0"/>
      <w:divBdr>
        <w:top w:val="none" w:sz="0" w:space="0" w:color="auto"/>
        <w:left w:val="none" w:sz="0" w:space="0" w:color="auto"/>
        <w:bottom w:val="none" w:sz="0" w:space="0" w:color="auto"/>
        <w:right w:val="none" w:sz="0" w:space="0" w:color="auto"/>
      </w:divBdr>
    </w:div>
    <w:div w:id="822619653">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236061">
      <w:bodyDiv w:val="1"/>
      <w:marLeft w:val="0"/>
      <w:marRight w:val="0"/>
      <w:marTop w:val="0"/>
      <w:marBottom w:val="0"/>
      <w:divBdr>
        <w:top w:val="none" w:sz="0" w:space="0" w:color="auto"/>
        <w:left w:val="none" w:sz="0" w:space="0" w:color="auto"/>
        <w:bottom w:val="none" w:sz="0" w:space="0" w:color="auto"/>
        <w:right w:val="none" w:sz="0" w:space="0" w:color="auto"/>
      </w:divBdr>
    </w:div>
    <w:div w:id="886837772">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4205">
      <w:bodyDiv w:val="1"/>
      <w:marLeft w:val="0"/>
      <w:marRight w:val="0"/>
      <w:marTop w:val="0"/>
      <w:marBottom w:val="0"/>
      <w:divBdr>
        <w:top w:val="none" w:sz="0" w:space="0" w:color="auto"/>
        <w:left w:val="none" w:sz="0" w:space="0" w:color="auto"/>
        <w:bottom w:val="none" w:sz="0" w:space="0" w:color="auto"/>
        <w:right w:val="none" w:sz="0" w:space="0" w:color="auto"/>
      </w:divBdr>
    </w:div>
    <w:div w:id="1042360013">
      <w:bodyDiv w:val="1"/>
      <w:marLeft w:val="0"/>
      <w:marRight w:val="0"/>
      <w:marTop w:val="0"/>
      <w:marBottom w:val="0"/>
      <w:divBdr>
        <w:top w:val="none" w:sz="0" w:space="0" w:color="auto"/>
        <w:left w:val="none" w:sz="0" w:space="0" w:color="auto"/>
        <w:bottom w:val="none" w:sz="0" w:space="0" w:color="auto"/>
        <w:right w:val="none" w:sz="0" w:space="0" w:color="auto"/>
      </w:divBdr>
    </w:div>
    <w:div w:id="1141074183">
      <w:bodyDiv w:val="1"/>
      <w:marLeft w:val="0"/>
      <w:marRight w:val="0"/>
      <w:marTop w:val="0"/>
      <w:marBottom w:val="0"/>
      <w:divBdr>
        <w:top w:val="none" w:sz="0" w:space="0" w:color="auto"/>
        <w:left w:val="none" w:sz="0" w:space="0" w:color="auto"/>
        <w:bottom w:val="none" w:sz="0" w:space="0" w:color="auto"/>
        <w:right w:val="none" w:sz="0" w:space="0" w:color="auto"/>
      </w:divBdr>
    </w:div>
    <w:div w:id="1168443218">
      <w:bodyDiv w:val="1"/>
      <w:marLeft w:val="0"/>
      <w:marRight w:val="0"/>
      <w:marTop w:val="0"/>
      <w:marBottom w:val="0"/>
      <w:divBdr>
        <w:top w:val="none" w:sz="0" w:space="0" w:color="auto"/>
        <w:left w:val="none" w:sz="0" w:space="0" w:color="auto"/>
        <w:bottom w:val="none" w:sz="0" w:space="0" w:color="auto"/>
        <w:right w:val="none" w:sz="0" w:space="0" w:color="auto"/>
      </w:divBdr>
    </w:div>
    <w:div w:id="1202666823">
      <w:bodyDiv w:val="1"/>
      <w:marLeft w:val="0"/>
      <w:marRight w:val="0"/>
      <w:marTop w:val="0"/>
      <w:marBottom w:val="0"/>
      <w:divBdr>
        <w:top w:val="none" w:sz="0" w:space="0" w:color="auto"/>
        <w:left w:val="none" w:sz="0" w:space="0" w:color="auto"/>
        <w:bottom w:val="none" w:sz="0" w:space="0" w:color="auto"/>
        <w:right w:val="none" w:sz="0" w:space="0" w:color="auto"/>
      </w:divBdr>
    </w:div>
    <w:div w:id="1363096740">
      <w:bodyDiv w:val="1"/>
      <w:marLeft w:val="0"/>
      <w:marRight w:val="0"/>
      <w:marTop w:val="0"/>
      <w:marBottom w:val="0"/>
      <w:divBdr>
        <w:top w:val="none" w:sz="0" w:space="0" w:color="auto"/>
        <w:left w:val="none" w:sz="0" w:space="0" w:color="auto"/>
        <w:bottom w:val="none" w:sz="0" w:space="0" w:color="auto"/>
        <w:right w:val="none" w:sz="0" w:space="0" w:color="auto"/>
      </w:divBdr>
    </w:div>
    <w:div w:id="1417441896">
      <w:bodyDiv w:val="1"/>
      <w:marLeft w:val="0"/>
      <w:marRight w:val="0"/>
      <w:marTop w:val="0"/>
      <w:marBottom w:val="0"/>
      <w:divBdr>
        <w:top w:val="none" w:sz="0" w:space="0" w:color="auto"/>
        <w:left w:val="none" w:sz="0" w:space="0" w:color="auto"/>
        <w:bottom w:val="none" w:sz="0" w:space="0" w:color="auto"/>
        <w:right w:val="none" w:sz="0" w:space="0" w:color="auto"/>
      </w:divBdr>
    </w:div>
    <w:div w:id="1429034273">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67426195">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35994040">
      <w:bodyDiv w:val="1"/>
      <w:marLeft w:val="0"/>
      <w:marRight w:val="0"/>
      <w:marTop w:val="0"/>
      <w:marBottom w:val="0"/>
      <w:divBdr>
        <w:top w:val="none" w:sz="0" w:space="0" w:color="auto"/>
        <w:left w:val="none" w:sz="0" w:space="0" w:color="auto"/>
        <w:bottom w:val="none" w:sz="0" w:space="0" w:color="auto"/>
        <w:right w:val="none" w:sz="0" w:space="0" w:color="auto"/>
      </w:divBdr>
      <w:divsChild>
        <w:div w:id="261839778">
          <w:marLeft w:val="0"/>
          <w:marRight w:val="0"/>
          <w:marTop w:val="100"/>
          <w:marBottom w:val="0"/>
          <w:divBdr>
            <w:top w:val="none" w:sz="0" w:space="0" w:color="auto"/>
            <w:left w:val="none" w:sz="0" w:space="0" w:color="auto"/>
            <w:bottom w:val="none" w:sz="0" w:space="0" w:color="auto"/>
            <w:right w:val="none" w:sz="0" w:space="0" w:color="auto"/>
          </w:divBdr>
        </w:div>
        <w:div w:id="2122450823">
          <w:marLeft w:val="0"/>
          <w:marRight w:val="0"/>
          <w:marTop w:val="0"/>
          <w:marBottom w:val="0"/>
          <w:divBdr>
            <w:top w:val="none" w:sz="0" w:space="0" w:color="auto"/>
            <w:left w:val="none" w:sz="0" w:space="0" w:color="auto"/>
            <w:bottom w:val="none" w:sz="0" w:space="0" w:color="auto"/>
            <w:right w:val="none" w:sz="0" w:space="0" w:color="auto"/>
          </w:divBdr>
          <w:divsChild>
            <w:div w:id="228346652">
              <w:marLeft w:val="0"/>
              <w:marRight w:val="0"/>
              <w:marTop w:val="0"/>
              <w:marBottom w:val="0"/>
              <w:divBdr>
                <w:top w:val="none" w:sz="0" w:space="0" w:color="auto"/>
                <w:left w:val="none" w:sz="0" w:space="0" w:color="auto"/>
                <w:bottom w:val="none" w:sz="0" w:space="0" w:color="auto"/>
                <w:right w:val="none" w:sz="0" w:space="0" w:color="auto"/>
              </w:divBdr>
              <w:divsChild>
                <w:div w:id="272639636">
                  <w:marLeft w:val="0"/>
                  <w:marRight w:val="0"/>
                  <w:marTop w:val="0"/>
                  <w:marBottom w:val="0"/>
                  <w:divBdr>
                    <w:top w:val="none" w:sz="0" w:space="0" w:color="auto"/>
                    <w:left w:val="none" w:sz="0" w:space="0" w:color="auto"/>
                    <w:bottom w:val="none" w:sz="0" w:space="0" w:color="auto"/>
                    <w:right w:val="none" w:sz="0" w:space="0" w:color="auto"/>
                  </w:divBdr>
                  <w:divsChild>
                    <w:div w:id="1465662235">
                      <w:marLeft w:val="0"/>
                      <w:marRight w:val="0"/>
                      <w:marTop w:val="0"/>
                      <w:marBottom w:val="0"/>
                      <w:divBdr>
                        <w:top w:val="none" w:sz="0" w:space="0" w:color="auto"/>
                        <w:left w:val="none" w:sz="0" w:space="0" w:color="auto"/>
                        <w:bottom w:val="none" w:sz="0" w:space="0" w:color="auto"/>
                        <w:right w:val="none" w:sz="0" w:space="0" w:color="auto"/>
                      </w:divBdr>
                      <w:divsChild>
                        <w:div w:id="1422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638320">
              <w:marLeft w:val="0"/>
              <w:marRight w:val="0"/>
              <w:marTop w:val="0"/>
              <w:marBottom w:val="0"/>
              <w:divBdr>
                <w:top w:val="none" w:sz="0" w:space="0" w:color="auto"/>
                <w:left w:val="none" w:sz="0" w:space="0" w:color="auto"/>
                <w:bottom w:val="none" w:sz="0" w:space="0" w:color="auto"/>
                <w:right w:val="none" w:sz="0" w:space="0" w:color="auto"/>
              </w:divBdr>
              <w:divsChild>
                <w:div w:id="335348285">
                  <w:marLeft w:val="0"/>
                  <w:marRight w:val="0"/>
                  <w:marTop w:val="0"/>
                  <w:marBottom w:val="0"/>
                  <w:divBdr>
                    <w:top w:val="none" w:sz="0" w:space="0" w:color="auto"/>
                    <w:left w:val="none" w:sz="0" w:space="0" w:color="auto"/>
                    <w:bottom w:val="none" w:sz="0" w:space="0" w:color="auto"/>
                    <w:right w:val="none" w:sz="0" w:space="0" w:color="auto"/>
                  </w:divBdr>
                  <w:divsChild>
                    <w:div w:id="612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503578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452482">
      <w:bodyDiv w:val="1"/>
      <w:marLeft w:val="0"/>
      <w:marRight w:val="0"/>
      <w:marTop w:val="0"/>
      <w:marBottom w:val="0"/>
      <w:divBdr>
        <w:top w:val="none" w:sz="0" w:space="0" w:color="auto"/>
        <w:left w:val="none" w:sz="0" w:space="0" w:color="auto"/>
        <w:bottom w:val="none" w:sz="0" w:space="0" w:color="auto"/>
        <w:right w:val="none" w:sz="0" w:space="0" w:color="auto"/>
      </w:divBdr>
    </w:div>
    <w:div w:id="1960408653">
      <w:bodyDiv w:val="1"/>
      <w:marLeft w:val="0"/>
      <w:marRight w:val="0"/>
      <w:marTop w:val="0"/>
      <w:marBottom w:val="0"/>
      <w:divBdr>
        <w:top w:val="none" w:sz="0" w:space="0" w:color="auto"/>
        <w:left w:val="none" w:sz="0" w:space="0" w:color="auto"/>
        <w:bottom w:val="none" w:sz="0" w:space="0" w:color="auto"/>
        <w:right w:val="none" w:sz="0" w:space="0" w:color="auto"/>
      </w:divBdr>
    </w:div>
    <w:div w:id="204381874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ubmed.ncbi.nlm.nih.gov/?term=Lavieri+NA&amp;cauthor_id=239736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bmed.ncbi.nlm.nih.gov/?term=Sebranek+JG&amp;cauthor_id=23973624"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C3192-CEA5-41DE-B99F-9C4486214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3131</Words>
  <Characters>16910</Characters>
  <Application>Microsoft Office Word</Application>
  <DocSecurity>0</DocSecurity>
  <Lines>140</Lines>
  <Paragraphs>40</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Usuario</cp:lastModifiedBy>
  <cp:revision>2</cp:revision>
  <cp:lastPrinted>2015-05-12T18:31:00Z</cp:lastPrinted>
  <dcterms:created xsi:type="dcterms:W3CDTF">2023-05-29T20:31:00Z</dcterms:created>
  <dcterms:modified xsi:type="dcterms:W3CDTF">2023-05-29T20:31:00Z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