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296C" w14:textId="77777777" w:rsidR="00D4441D" w:rsidRPr="00506C7C" w:rsidRDefault="00D4441D">
      <w:pPr>
        <w:widowControl w:val="0"/>
        <w:pBdr>
          <w:top w:val="nil"/>
          <w:left w:val="nil"/>
          <w:bottom w:val="nil"/>
          <w:right w:val="nil"/>
          <w:between w:val="nil"/>
        </w:pBdr>
        <w:spacing w:line="276" w:lineRule="auto"/>
        <w:rPr>
          <w:rFonts w:ascii="Arial" w:eastAsia="Arial" w:hAnsi="Arial" w:cs="Arial"/>
          <w:color w:val="000000" w:themeColor="text1"/>
          <w:sz w:val="22"/>
          <w:szCs w:val="22"/>
        </w:rPr>
      </w:pPr>
    </w:p>
    <w:p w14:paraId="256F01DB" w14:textId="77777777" w:rsidR="00D4441D" w:rsidRPr="00506C7C" w:rsidRDefault="00D4441D">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bl>
      <w:tblPr>
        <w:tblStyle w:val="a8"/>
        <w:tblW w:w="8782" w:type="dxa"/>
        <w:jc w:val="center"/>
        <w:tblInd w:w="0" w:type="dxa"/>
        <w:tblBorders>
          <w:bottom w:val="single" w:sz="4" w:space="0" w:color="000000"/>
        </w:tblBorders>
        <w:tblLayout w:type="fixed"/>
        <w:tblLook w:val="0000" w:firstRow="0" w:lastRow="0" w:firstColumn="0" w:lastColumn="0" w:noHBand="0" w:noVBand="0"/>
      </w:tblPr>
      <w:tblGrid>
        <w:gridCol w:w="6940"/>
        <w:gridCol w:w="1842"/>
      </w:tblGrid>
      <w:tr w:rsidR="00506C7C" w:rsidRPr="00506C7C" w14:paraId="49434FE5" w14:textId="77777777">
        <w:trPr>
          <w:trHeight w:val="852"/>
          <w:jc w:val="center"/>
        </w:trPr>
        <w:tc>
          <w:tcPr>
            <w:tcW w:w="6940" w:type="dxa"/>
            <w:vMerge w:val="restart"/>
            <w:tcBorders>
              <w:right w:val="single" w:sz="4" w:space="0" w:color="000000"/>
            </w:tcBorders>
          </w:tcPr>
          <w:p w14:paraId="2EA6FE6F" w14:textId="77777777" w:rsidR="00D4441D" w:rsidRPr="00506C7C" w:rsidRDefault="00506C7C">
            <w:pPr>
              <w:tabs>
                <w:tab w:val="left" w:pos="-108"/>
              </w:tabs>
              <w:ind w:left="-108"/>
              <w:rPr>
                <w:b/>
                <w:i/>
                <w:color w:val="000000" w:themeColor="text1"/>
                <w:sz w:val="12"/>
                <w:szCs w:val="12"/>
              </w:rPr>
            </w:pPr>
            <w:r w:rsidRPr="00506C7C">
              <w:rPr>
                <w:rFonts w:ascii="AdvP6960" w:eastAsia="AdvP6960" w:hAnsi="AdvP6960" w:cs="AdvP6960"/>
                <w:noProof/>
                <w:color w:val="000000" w:themeColor="text1"/>
              </w:rPr>
              <w:drawing>
                <wp:inline distT="0" distB="0" distL="0" distR="0" wp14:anchorId="6C7A610C" wp14:editId="2DE9E9F2">
                  <wp:extent cx="640080" cy="373380"/>
                  <wp:effectExtent l="0" t="0" r="0" b="0"/>
                  <wp:docPr id="17" name="image1.jpg" descr="cetlogo"/>
                  <wp:cNvGraphicFramePr/>
                  <a:graphic xmlns:a="http://schemas.openxmlformats.org/drawingml/2006/main">
                    <a:graphicData uri="http://schemas.openxmlformats.org/drawingml/2006/picture">
                      <pic:pic xmlns:pic="http://schemas.openxmlformats.org/drawingml/2006/picture">
                        <pic:nvPicPr>
                          <pic:cNvPr id="0" name="image1.jpg" descr="cetlogo"/>
                          <pic:cNvPicPr preferRelativeResize="0"/>
                        </pic:nvPicPr>
                        <pic:blipFill>
                          <a:blip r:embed="rId6"/>
                          <a:srcRect/>
                          <a:stretch>
                            <a:fillRect/>
                          </a:stretch>
                        </pic:blipFill>
                        <pic:spPr>
                          <a:xfrm>
                            <a:off x="0" y="0"/>
                            <a:ext cx="640080" cy="373380"/>
                          </a:xfrm>
                          <a:prstGeom prst="rect">
                            <a:avLst/>
                          </a:prstGeom>
                          <a:ln/>
                        </pic:spPr>
                      </pic:pic>
                    </a:graphicData>
                  </a:graphic>
                </wp:inline>
              </w:drawing>
            </w:r>
            <w:r w:rsidRPr="00506C7C">
              <w:rPr>
                <w:rFonts w:ascii="AdvP6960" w:eastAsia="AdvP6960" w:hAnsi="AdvP6960" w:cs="AdvP6960"/>
                <w:color w:val="000000" w:themeColor="text1"/>
              </w:rPr>
              <w:t xml:space="preserve"> </w:t>
            </w:r>
            <w:r w:rsidRPr="00506C7C">
              <w:rPr>
                <w:b/>
                <w:i/>
                <w:color w:val="000000" w:themeColor="text1"/>
              </w:rPr>
              <w:t>CHEMICAL ENGINEERING</w:t>
            </w:r>
            <w:r w:rsidRPr="00506C7C">
              <w:rPr>
                <w:b/>
                <w:i/>
                <w:color w:val="000000" w:themeColor="text1"/>
              </w:rPr>
              <w:t xml:space="preserve"> </w:t>
            </w:r>
            <w:r w:rsidRPr="00506C7C">
              <w:rPr>
                <w:b/>
                <w:i/>
                <w:color w:val="000000" w:themeColor="text1"/>
              </w:rPr>
              <w:t>TRANSACTIONS</w:t>
            </w:r>
            <w:r w:rsidRPr="00506C7C">
              <w:rPr>
                <w:color w:val="000000" w:themeColor="text1"/>
              </w:rPr>
              <w:t xml:space="preserve"> </w:t>
            </w:r>
            <w:r w:rsidRPr="00506C7C">
              <w:rPr>
                <w:b/>
                <w:i/>
                <w:color w:val="000000" w:themeColor="text1"/>
                <w:sz w:val="27"/>
                <w:szCs w:val="27"/>
              </w:rPr>
              <w:br/>
            </w:r>
          </w:p>
          <w:p w14:paraId="577BB3ED" w14:textId="77777777" w:rsidR="00D4441D" w:rsidRPr="00506C7C" w:rsidRDefault="00506C7C">
            <w:pPr>
              <w:tabs>
                <w:tab w:val="left" w:pos="-108"/>
              </w:tabs>
              <w:ind w:left="-108"/>
              <w:rPr>
                <w:b/>
                <w:i/>
                <w:color w:val="000000" w:themeColor="text1"/>
                <w:sz w:val="22"/>
                <w:szCs w:val="22"/>
              </w:rPr>
            </w:pPr>
            <w:r w:rsidRPr="00506C7C">
              <w:rPr>
                <w:b/>
                <w:i/>
                <w:color w:val="000000" w:themeColor="text1"/>
                <w:sz w:val="22"/>
                <w:szCs w:val="22"/>
              </w:rPr>
              <w:t>VOL.    , 2023</w:t>
            </w:r>
          </w:p>
        </w:tc>
        <w:tc>
          <w:tcPr>
            <w:tcW w:w="1842" w:type="dxa"/>
            <w:tcBorders>
              <w:left w:val="single" w:sz="4" w:space="0" w:color="000000"/>
              <w:bottom w:val="nil"/>
              <w:right w:val="single" w:sz="4" w:space="0" w:color="000000"/>
            </w:tcBorders>
          </w:tcPr>
          <w:p w14:paraId="3FB26F80" w14:textId="77777777" w:rsidR="00D4441D" w:rsidRPr="00506C7C" w:rsidRDefault="00506C7C">
            <w:pPr>
              <w:jc w:val="right"/>
              <w:rPr>
                <w:color w:val="000000" w:themeColor="text1"/>
                <w:sz w:val="14"/>
                <w:szCs w:val="14"/>
              </w:rPr>
            </w:pPr>
            <w:r w:rsidRPr="00506C7C">
              <w:rPr>
                <w:color w:val="000000" w:themeColor="text1"/>
                <w:sz w:val="14"/>
                <w:szCs w:val="14"/>
              </w:rPr>
              <w:t>A publication of</w:t>
            </w:r>
          </w:p>
          <w:p w14:paraId="3B6C6AA0" w14:textId="77777777" w:rsidR="00D4441D" w:rsidRPr="00506C7C" w:rsidRDefault="00506C7C">
            <w:pPr>
              <w:jc w:val="right"/>
              <w:rPr>
                <w:color w:val="000000" w:themeColor="text1"/>
              </w:rPr>
            </w:pPr>
            <w:r w:rsidRPr="00506C7C">
              <w:rPr>
                <w:noProof/>
                <w:color w:val="000000" w:themeColor="text1"/>
              </w:rPr>
              <w:drawing>
                <wp:inline distT="0" distB="0" distL="0" distR="0" wp14:anchorId="01C0A1A4" wp14:editId="5605B0F2">
                  <wp:extent cx="670560" cy="358140"/>
                  <wp:effectExtent l="0" t="0" r="0" b="0"/>
                  <wp:docPr id="19" name="image3.jpg" descr="aidiclogo_grande"/>
                  <wp:cNvGraphicFramePr/>
                  <a:graphic xmlns:a="http://schemas.openxmlformats.org/drawingml/2006/main">
                    <a:graphicData uri="http://schemas.openxmlformats.org/drawingml/2006/picture">
                      <pic:pic xmlns:pic="http://schemas.openxmlformats.org/drawingml/2006/picture">
                        <pic:nvPicPr>
                          <pic:cNvPr id="0" name="image3.jpg" descr="aidiclogo_grande"/>
                          <pic:cNvPicPr preferRelativeResize="0"/>
                        </pic:nvPicPr>
                        <pic:blipFill>
                          <a:blip r:embed="rId7"/>
                          <a:srcRect/>
                          <a:stretch>
                            <a:fillRect/>
                          </a:stretch>
                        </pic:blipFill>
                        <pic:spPr>
                          <a:xfrm>
                            <a:off x="0" y="0"/>
                            <a:ext cx="670560" cy="358140"/>
                          </a:xfrm>
                          <a:prstGeom prst="rect">
                            <a:avLst/>
                          </a:prstGeom>
                          <a:ln/>
                        </pic:spPr>
                      </pic:pic>
                    </a:graphicData>
                  </a:graphic>
                </wp:inline>
              </w:drawing>
            </w:r>
          </w:p>
        </w:tc>
      </w:tr>
      <w:tr w:rsidR="00506C7C" w:rsidRPr="00506C7C" w14:paraId="605AC340" w14:textId="77777777">
        <w:trPr>
          <w:trHeight w:val="567"/>
          <w:jc w:val="center"/>
        </w:trPr>
        <w:tc>
          <w:tcPr>
            <w:tcW w:w="6940" w:type="dxa"/>
            <w:vMerge/>
            <w:tcBorders>
              <w:right w:val="single" w:sz="4" w:space="0" w:color="000000"/>
            </w:tcBorders>
          </w:tcPr>
          <w:p w14:paraId="365CE0E1" w14:textId="77777777" w:rsidR="00D4441D" w:rsidRPr="00506C7C" w:rsidRDefault="00D4441D">
            <w:pPr>
              <w:widowControl w:val="0"/>
              <w:pBdr>
                <w:top w:val="nil"/>
                <w:left w:val="nil"/>
                <w:bottom w:val="nil"/>
                <w:right w:val="nil"/>
                <w:between w:val="nil"/>
              </w:pBdr>
              <w:spacing w:line="276" w:lineRule="auto"/>
              <w:jc w:val="left"/>
              <w:rPr>
                <w:color w:val="000000" w:themeColor="text1"/>
              </w:rPr>
            </w:pPr>
          </w:p>
        </w:tc>
        <w:tc>
          <w:tcPr>
            <w:tcW w:w="1842" w:type="dxa"/>
            <w:tcBorders>
              <w:left w:val="single" w:sz="4" w:space="0" w:color="000000"/>
              <w:bottom w:val="nil"/>
              <w:right w:val="single" w:sz="4" w:space="0" w:color="000000"/>
            </w:tcBorders>
          </w:tcPr>
          <w:p w14:paraId="242BE5AA" w14:textId="77777777" w:rsidR="00D4441D" w:rsidRPr="00506C7C" w:rsidRDefault="00506C7C">
            <w:pPr>
              <w:jc w:val="right"/>
              <w:rPr>
                <w:color w:val="000000" w:themeColor="text1"/>
                <w:sz w:val="14"/>
                <w:szCs w:val="14"/>
              </w:rPr>
            </w:pPr>
            <w:r w:rsidRPr="00506C7C">
              <w:rPr>
                <w:color w:val="000000" w:themeColor="text1"/>
                <w:sz w:val="14"/>
                <w:szCs w:val="14"/>
              </w:rPr>
              <w:t>The Italian Association</w:t>
            </w:r>
          </w:p>
          <w:p w14:paraId="43168100" w14:textId="77777777" w:rsidR="00D4441D" w:rsidRPr="00506C7C" w:rsidRDefault="00506C7C">
            <w:pPr>
              <w:jc w:val="right"/>
              <w:rPr>
                <w:color w:val="000000" w:themeColor="text1"/>
                <w:sz w:val="14"/>
                <w:szCs w:val="14"/>
              </w:rPr>
            </w:pPr>
            <w:r w:rsidRPr="00506C7C">
              <w:rPr>
                <w:color w:val="000000" w:themeColor="text1"/>
                <w:sz w:val="14"/>
                <w:szCs w:val="14"/>
              </w:rPr>
              <w:t>of Chemical Engineering</w:t>
            </w:r>
          </w:p>
          <w:p w14:paraId="515FB976" w14:textId="77777777" w:rsidR="00D4441D" w:rsidRPr="00506C7C" w:rsidRDefault="00506C7C">
            <w:pPr>
              <w:jc w:val="right"/>
              <w:rPr>
                <w:color w:val="000000" w:themeColor="text1"/>
                <w:sz w:val="13"/>
                <w:szCs w:val="13"/>
              </w:rPr>
            </w:pPr>
            <w:r w:rsidRPr="00506C7C">
              <w:rPr>
                <w:color w:val="000000" w:themeColor="text1"/>
                <w:sz w:val="13"/>
                <w:szCs w:val="13"/>
              </w:rPr>
              <w:t>Online at www.cetjournal.it</w:t>
            </w:r>
          </w:p>
        </w:tc>
      </w:tr>
      <w:tr w:rsidR="00506C7C" w:rsidRPr="00506C7C" w14:paraId="405B43EC" w14:textId="77777777">
        <w:trPr>
          <w:trHeight w:val="68"/>
          <w:jc w:val="center"/>
        </w:trPr>
        <w:tc>
          <w:tcPr>
            <w:tcW w:w="8782" w:type="dxa"/>
            <w:gridSpan w:val="2"/>
          </w:tcPr>
          <w:p w14:paraId="150150DC" w14:textId="77777777" w:rsidR="00D4441D" w:rsidRPr="00506C7C" w:rsidRDefault="00506C7C">
            <w:pPr>
              <w:ind w:left="-107"/>
              <w:rPr>
                <w:rFonts w:ascii="Tahoma" w:eastAsia="Tahoma" w:hAnsi="Tahoma" w:cs="Tahoma"/>
                <w:color w:val="000000" w:themeColor="text1"/>
                <w:sz w:val="14"/>
                <w:szCs w:val="14"/>
                <w:lang w:val="it-IT"/>
              </w:rPr>
            </w:pPr>
            <w:r w:rsidRPr="00506C7C">
              <w:rPr>
                <w:rFonts w:ascii="Tahoma" w:eastAsia="Tahoma" w:hAnsi="Tahoma" w:cs="Tahoma"/>
                <w:color w:val="000000" w:themeColor="text1"/>
                <w:sz w:val="14"/>
                <w:szCs w:val="14"/>
                <w:lang w:val="it-IT"/>
              </w:rPr>
              <w:t xml:space="preserve">Guest </w:t>
            </w:r>
            <w:proofErr w:type="spellStart"/>
            <w:r w:rsidRPr="00506C7C">
              <w:rPr>
                <w:rFonts w:ascii="Tahoma" w:eastAsia="Tahoma" w:hAnsi="Tahoma" w:cs="Tahoma"/>
                <w:color w:val="000000" w:themeColor="text1"/>
                <w:sz w:val="14"/>
                <w:szCs w:val="14"/>
                <w:lang w:val="it-IT"/>
              </w:rPr>
              <w:t>Editors</w:t>
            </w:r>
            <w:proofErr w:type="spellEnd"/>
            <w:r w:rsidRPr="00506C7C">
              <w:rPr>
                <w:rFonts w:ascii="Tahoma" w:eastAsia="Tahoma" w:hAnsi="Tahoma" w:cs="Tahoma"/>
                <w:color w:val="000000" w:themeColor="text1"/>
                <w:sz w:val="14"/>
                <w:szCs w:val="14"/>
                <w:lang w:val="it-IT"/>
              </w:rPr>
              <w:t>:</w:t>
            </w:r>
            <w:r w:rsidRPr="00506C7C">
              <w:rPr>
                <w:rFonts w:ascii="Tahoma" w:eastAsia="Tahoma" w:hAnsi="Tahoma" w:cs="Tahoma"/>
                <w:color w:val="000000" w:themeColor="text1"/>
                <w:sz w:val="14"/>
                <w:szCs w:val="14"/>
                <w:highlight w:val="white"/>
                <w:lang w:val="it-IT"/>
              </w:rPr>
              <w:t xml:space="preserve"> Laura Piazza, Mauro Moresi, Francesco </w:t>
            </w:r>
            <w:proofErr w:type="spellStart"/>
            <w:r w:rsidRPr="00506C7C">
              <w:rPr>
                <w:rFonts w:ascii="Tahoma" w:eastAsia="Tahoma" w:hAnsi="Tahoma" w:cs="Tahoma"/>
                <w:color w:val="000000" w:themeColor="text1"/>
                <w:sz w:val="14"/>
                <w:szCs w:val="14"/>
                <w:highlight w:val="white"/>
                <w:lang w:val="it-IT"/>
              </w:rPr>
              <w:t>Donsì</w:t>
            </w:r>
            <w:proofErr w:type="spellEnd"/>
          </w:p>
          <w:p w14:paraId="6E87BCE5" w14:textId="77777777" w:rsidR="00D4441D" w:rsidRPr="00506C7C" w:rsidRDefault="00506C7C">
            <w:pPr>
              <w:tabs>
                <w:tab w:val="left" w:pos="-108"/>
              </w:tabs>
              <w:ind w:left="-107"/>
              <w:rPr>
                <w:rFonts w:ascii="Tahoma" w:eastAsia="Tahoma" w:hAnsi="Tahoma" w:cs="Tahoma"/>
                <w:color w:val="000000" w:themeColor="text1"/>
                <w:sz w:val="14"/>
                <w:szCs w:val="14"/>
              </w:rPr>
            </w:pPr>
            <w:r w:rsidRPr="00506C7C">
              <w:rPr>
                <w:rFonts w:ascii="Tahoma" w:eastAsia="Tahoma" w:hAnsi="Tahoma" w:cs="Tahoma"/>
                <w:color w:val="000000" w:themeColor="text1"/>
                <w:sz w:val="14"/>
                <w:szCs w:val="14"/>
              </w:rPr>
              <w:t xml:space="preserve">Copyright © 2023, AIDIC </w:t>
            </w:r>
            <w:proofErr w:type="spellStart"/>
            <w:r w:rsidRPr="00506C7C">
              <w:rPr>
                <w:rFonts w:ascii="Tahoma" w:eastAsia="Tahoma" w:hAnsi="Tahoma" w:cs="Tahoma"/>
                <w:color w:val="000000" w:themeColor="text1"/>
                <w:sz w:val="14"/>
                <w:szCs w:val="14"/>
              </w:rPr>
              <w:t>Servizi</w:t>
            </w:r>
            <w:proofErr w:type="spellEnd"/>
            <w:r w:rsidRPr="00506C7C">
              <w:rPr>
                <w:rFonts w:ascii="Tahoma" w:eastAsia="Tahoma" w:hAnsi="Tahoma" w:cs="Tahoma"/>
                <w:color w:val="000000" w:themeColor="text1"/>
                <w:sz w:val="14"/>
                <w:szCs w:val="14"/>
              </w:rPr>
              <w:t xml:space="preserve"> </w:t>
            </w:r>
            <w:proofErr w:type="spellStart"/>
            <w:r w:rsidRPr="00506C7C">
              <w:rPr>
                <w:rFonts w:ascii="Tahoma" w:eastAsia="Tahoma" w:hAnsi="Tahoma" w:cs="Tahoma"/>
                <w:color w:val="000000" w:themeColor="text1"/>
                <w:sz w:val="14"/>
                <w:szCs w:val="14"/>
              </w:rPr>
              <w:t>S.r.l</w:t>
            </w:r>
            <w:proofErr w:type="spellEnd"/>
            <w:r w:rsidRPr="00506C7C">
              <w:rPr>
                <w:rFonts w:ascii="Tahoma" w:eastAsia="Tahoma" w:hAnsi="Tahoma" w:cs="Tahoma"/>
                <w:color w:val="000000" w:themeColor="text1"/>
                <w:sz w:val="14"/>
                <w:szCs w:val="14"/>
              </w:rPr>
              <w:t>.</w:t>
            </w:r>
          </w:p>
          <w:p w14:paraId="68668723" w14:textId="77777777" w:rsidR="00D4441D" w:rsidRPr="00506C7C" w:rsidRDefault="00506C7C">
            <w:pPr>
              <w:tabs>
                <w:tab w:val="left" w:pos="-108"/>
              </w:tabs>
              <w:ind w:left="-107"/>
              <w:rPr>
                <w:color w:val="000000" w:themeColor="text1"/>
              </w:rPr>
            </w:pPr>
            <w:r w:rsidRPr="00506C7C">
              <w:rPr>
                <w:rFonts w:ascii="Tahoma" w:eastAsia="Tahoma" w:hAnsi="Tahoma" w:cs="Tahoma"/>
                <w:b/>
                <w:color w:val="000000" w:themeColor="text1"/>
                <w:sz w:val="14"/>
                <w:szCs w:val="14"/>
              </w:rPr>
              <w:t>ISBN</w:t>
            </w:r>
            <w:r w:rsidRPr="00506C7C">
              <w:rPr>
                <w:rFonts w:ascii="Tahoma" w:eastAsia="Tahoma" w:hAnsi="Tahoma" w:cs="Tahoma"/>
                <w:color w:val="000000" w:themeColor="text1"/>
                <w:sz w:val="14"/>
                <w:szCs w:val="14"/>
              </w:rPr>
              <w:t xml:space="preserve"> </w:t>
            </w:r>
            <w:r w:rsidRPr="00506C7C">
              <w:rPr>
                <w:rFonts w:ascii="Tahoma" w:eastAsia="Tahoma" w:hAnsi="Tahoma" w:cs="Tahoma"/>
                <w:color w:val="000000" w:themeColor="text1"/>
                <w:sz w:val="14"/>
                <w:szCs w:val="14"/>
              </w:rPr>
              <w:t>979-12-81206-01-4</w:t>
            </w:r>
            <w:r w:rsidRPr="00506C7C">
              <w:rPr>
                <w:rFonts w:ascii="Tahoma" w:eastAsia="Tahoma" w:hAnsi="Tahoma" w:cs="Tahoma"/>
                <w:color w:val="000000" w:themeColor="text1"/>
                <w:sz w:val="14"/>
                <w:szCs w:val="14"/>
              </w:rPr>
              <w:t xml:space="preserve">; </w:t>
            </w:r>
            <w:r w:rsidRPr="00506C7C">
              <w:rPr>
                <w:rFonts w:ascii="Tahoma" w:eastAsia="Tahoma" w:hAnsi="Tahoma" w:cs="Tahoma"/>
                <w:b/>
                <w:color w:val="000000" w:themeColor="text1"/>
                <w:sz w:val="14"/>
                <w:szCs w:val="14"/>
              </w:rPr>
              <w:t>ISSN</w:t>
            </w:r>
            <w:r w:rsidRPr="00506C7C">
              <w:rPr>
                <w:rFonts w:ascii="Tahoma" w:eastAsia="Tahoma" w:hAnsi="Tahoma" w:cs="Tahoma"/>
                <w:color w:val="000000" w:themeColor="text1"/>
                <w:sz w:val="14"/>
                <w:szCs w:val="14"/>
              </w:rPr>
              <w:t xml:space="preserve"> 2283-9216</w:t>
            </w:r>
          </w:p>
        </w:tc>
      </w:tr>
    </w:tbl>
    <w:p w14:paraId="08499865" w14:textId="77777777" w:rsidR="00D4441D" w:rsidRPr="00506C7C" w:rsidRDefault="00506C7C">
      <w:pPr>
        <w:pBdr>
          <w:top w:val="nil"/>
          <w:left w:val="nil"/>
          <w:bottom w:val="nil"/>
          <w:right w:val="nil"/>
          <w:between w:val="nil"/>
        </w:pBdr>
        <w:spacing w:before="480" w:after="120" w:line="264" w:lineRule="auto"/>
        <w:jc w:val="center"/>
        <w:rPr>
          <w:rFonts w:ascii="Arial" w:eastAsia="Arial" w:hAnsi="Arial" w:cs="Arial"/>
          <w:color w:val="000000" w:themeColor="text1"/>
          <w:sz w:val="32"/>
          <w:szCs w:val="32"/>
        </w:rPr>
      </w:pPr>
      <w:r w:rsidRPr="00506C7C">
        <w:rPr>
          <w:rFonts w:ascii="Arial" w:eastAsia="Arial" w:hAnsi="Arial" w:cs="Arial"/>
          <w:color w:val="000000" w:themeColor="text1"/>
          <w:sz w:val="32"/>
          <w:szCs w:val="32"/>
        </w:rPr>
        <w:t>Study of heat resistance of extra virgin olive oil – based oleogels by Differential Scanning Calorimetry</w:t>
      </w:r>
    </w:p>
    <w:p w14:paraId="0A67FE23" w14:textId="77777777" w:rsidR="00D4441D" w:rsidRPr="00506C7C" w:rsidRDefault="00D4441D">
      <w:pPr>
        <w:keepNext/>
        <w:pBdr>
          <w:top w:val="nil"/>
          <w:left w:val="nil"/>
          <w:bottom w:val="nil"/>
          <w:right w:val="nil"/>
          <w:between w:val="nil"/>
        </w:pBdr>
        <w:tabs>
          <w:tab w:val="right" w:pos="7100"/>
        </w:tabs>
        <w:spacing w:after="120" w:line="264" w:lineRule="auto"/>
        <w:jc w:val="both"/>
        <w:rPr>
          <w:rFonts w:ascii="Arial" w:eastAsia="Arial" w:hAnsi="Arial" w:cs="Arial"/>
          <w:color w:val="000000" w:themeColor="text1"/>
        </w:rPr>
      </w:pPr>
    </w:p>
    <w:p w14:paraId="528D34F8" w14:textId="77777777" w:rsidR="00D4441D" w:rsidRPr="00506C7C" w:rsidRDefault="00506C7C">
      <w:pPr>
        <w:keepNext/>
        <w:pBdr>
          <w:top w:val="nil"/>
          <w:left w:val="nil"/>
          <w:bottom w:val="nil"/>
          <w:right w:val="nil"/>
          <w:between w:val="nil"/>
        </w:pBdr>
        <w:tabs>
          <w:tab w:val="right" w:pos="7100"/>
        </w:tabs>
        <w:spacing w:after="120" w:line="264" w:lineRule="auto"/>
        <w:jc w:val="both"/>
        <w:rPr>
          <w:rFonts w:ascii="Arial" w:eastAsia="Arial" w:hAnsi="Arial" w:cs="Arial"/>
          <w:color w:val="000000" w:themeColor="text1"/>
          <w:lang w:val="it-IT"/>
        </w:rPr>
      </w:pPr>
      <w:r w:rsidRPr="00506C7C">
        <w:rPr>
          <w:rFonts w:ascii="Arial" w:eastAsia="Arial" w:hAnsi="Arial" w:cs="Arial"/>
          <w:color w:val="000000" w:themeColor="text1"/>
          <w:lang w:val="it-IT"/>
        </w:rPr>
        <w:t xml:space="preserve">Francesca </w:t>
      </w:r>
      <w:proofErr w:type="spellStart"/>
      <w:r w:rsidRPr="00506C7C">
        <w:rPr>
          <w:rFonts w:ascii="Arial" w:eastAsia="Arial" w:hAnsi="Arial" w:cs="Arial"/>
          <w:color w:val="000000" w:themeColor="text1"/>
          <w:lang w:val="it-IT"/>
        </w:rPr>
        <w:t>Malvano</w:t>
      </w:r>
      <w:r w:rsidRPr="00506C7C">
        <w:rPr>
          <w:rFonts w:ascii="Arial" w:eastAsia="Arial" w:hAnsi="Arial" w:cs="Arial"/>
          <w:color w:val="000000" w:themeColor="text1"/>
          <w:vertAlign w:val="superscript"/>
          <w:lang w:val="it-IT"/>
        </w:rPr>
        <w:t>a</w:t>
      </w:r>
      <w:proofErr w:type="spellEnd"/>
      <w:r w:rsidRPr="00506C7C">
        <w:rPr>
          <w:rFonts w:ascii="Arial" w:eastAsia="Arial" w:hAnsi="Arial" w:cs="Arial"/>
          <w:color w:val="000000" w:themeColor="text1"/>
          <w:vertAlign w:val="superscript"/>
          <w:lang w:val="it-IT"/>
        </w:rPr>
        <w:t>*</w:t>
      </w:r>
      <w:r w:rsidRPr="00506C7C">
        <w:rPr>
          <w:rFonts w:ascii="Arial" w:eastAsia="Arial" w:hAnsi="Arial" w:cs="Arial"/>
          <w:color w:val="000000" w:themeColor="text1"/>
          <w:lang w:val="it-IT"/>
        </w:rPr>
        <w:t xml:space="preserve">, Arianna </w:t>
      </w:r>
      <w:proofErr w:type="spellStart"/>
      <w:r w:rsidRPr="00506C7C">
        <w:rPr>
          <w:rFonts w:ascii="Arial" w:eastAsia="Arial" w:hAnsi="Arial" w:cs="Arial"/>
          <w:color w:val="000000" w:themeColor="text1"/>
          <w:lang w:val="it-IT"/>
        </w:rPr>
        <w:t>Lavorgna</w:t>
      </w:r>
      <w:r w:rsidRPr="00506C7C">
        <w:rPr>
          <w:rFonts w:ascii="Arial" w:eastAsia="Arial" w:hAnsi="Arial" w:cs="Arial"/>
          <w:color w:val="000000" w:themeColor="text1"/>
          <w:vertAlign w:val="superscript"/>
          <w:lang w:val="it-IT"/>
        </w:rPr>
        <w:t>a</w:t>
      </w:r>
      <w:proofErr w:type="spellEnd"/>
      <w:r w:rsidRPr="00506C7C">
        <w:rPr>
          <w:rFonts w:ascii="Arial" w:eastAsia="Arial" w:hAnsi="Arial" w:cs="Arial"/>
          <w:color w:val="000000" w:themeColor="text1"/>
          <w:lang w:val="it-IT"/>
        </w:rPr>
        <w:t xml:space="preserve">, Rossella Francesca </w:t>
      </w:r>
      <w:proofErr w:type="spellStart"/>
      <w:r w:rsidRPr="00506C7C">
        <w:rPr>
          <w:rFonts w:ascii="Arial" w:eastAsia="Arial" w:hAnsi="Arial" w:cs="Arial"/>
          <w:color w:val="000000" w:themeColor="text1"/>
          <w:lang w:val="it-IT"/>
        </w:rPr>
        <w:t>Lanza</w:t>
      </w:r>
      <w:r w:rsidRPr="00506C7C">
        <w:rPr>
          <w:rFonts w:ascii="Arial" w:eastAsia="Arial" w:hAnsi="Arial" w:cs="Arial"/>
          <w:color w:val="000000" w:themeColor="text1"/>
          <w:vertAlign w:val="superscript"/>
          <w:lang w:val="it-IT"/>
        </w:rPr>
        <w:t>a</w:t>
      </w:r>
      <w:proofErr w:type="spellEnd"/>
      <w:r w:rsidRPr="00506C7C">
        <w:rPr>
          <w:rFonts w:ascii="Arial" w:eastAsia="Arial" w:hAnsi="Arial" w:cs="Arial"/>
          <w:color w:val="000000" w:themeColor="text1"/>
          <w:lang w:val="it-IT"/>
        </w:rPr>
        <w:t xml:space="preserve">, Francesco </w:t>
      </w:r>
      <w:proofErr w:type="spellStart"/>
      <w:r w:rsidRPr="00506C7C">
        <w:rPr>
          <w:rFonts w:ascii="Arial" w:eastAsia="Arial" w:hAnsi="Arial" w:cs="Arial"/>
          <w:color w:val="000000" w:themeColor="text1"/>
          <w:lang w:val="it-IT"/>
        </w:rPr>
        <w:t>Marra</w:t>
      </w:r>
      <w:r w:rsidRPr="00506C7C">
        <w:rPr>
          <w:rFonts w:ascii="Arial" w:eastAsia="Arial" w:hAnsi="Arial" w:cs="Arial"/>
          <w:color w:val="000000" w:themeColor="text1"/>
          <w:vertAlign w:val="superscript"/>
          <w:lang w:val="it-IT"/>
        </w:rPr>
        <w:t>a</w:t>
      </w:r>
      <w:proofErr w:type="spellEnd"/>
      <w:r w:rsidRPr="00506C7C">
        <w:rPr>
          <w:rFonts w:ascii="Arial" w:eastAsia="Arial" w:hAnsi="Arial" w:cs="Arial"/>
          <w:color w:val="000000" w:themeColor="text1"/>
          <w:lang w:val="it-IT"/>
        </w:rPr>
        <w:t xml:space="preserve">, Donatella </w:t>
      </w:r>
      <w:proofErr w:type="spellStart"/>
      <w:r w:rsidRPr="00506C7C">
        <w:rPr>
          <w:rFonts w:ascii="Arial" w:eastAsia="Arial" w:hAnsi="Arial" w:cs="Arial"/>
          <w:color w:val="000000" w:themeColor="text1"/>
          <w:lang w:val="it-IT"/>
        </w:rPr>
        <w:t>Albanese</w:t>
      </w:r>
      <w:r w:rsidRPr="00506C7C">
        <w:rPr>
          <w:rFonts w:ascii="Arial" w:eastAsia="Arial" w:hAnsi="Arial" w:cs="Arial"/>
          <w:color w:val="000000" w:themeColor="text1"/>
          <w:vertAlign w:val="superscript"/>
          <w:lang w:val="it-IT"/>
        </w:rPr>
        <w:t>a</w:t>
      </w:r>
      <w:proofErr w:type="spellEnd"/>
    </w:p>
    <w:p w14:paraId="0E35E709" w14:textId="77777777" w:rsidR="00D4441D" w:rsidRPr="00506C7C" w:rsidRDefault="00506C7C">
      <w:pPr>
        <w:keepNext/>
        <w:pBdr>
          <w:top w:val="nil"/>
          <w:left w:val="nil"/>
          <w:bottom w:val="nil"/>
          <w:right w:val="nil"/>
          <w:between w:val="nil"/>
        </w:pBdr>
        <w:spacing w:line="276" w:lineRule="auto"/>
        <w:rPr>
          <w:rFonts w:ascii="Arial" w:eastAsia="Arial" w:hAnsi="Arial" w:cs="Arial"/>
          <w:color w:val="000000" w:themeColor="text1"/>
          <w:sz w:val="16"/>
          <w:szCs w:val="16"/>
        </w:rPr>
      </w:pPr>
      <w:proofErr w:type="spellStart"/>
      <w:r w:rsidRPr="00506C7C">
        <w:rPr>
          <w:rFonts w:ascii="Arial" w:eastAsia="Arial" w:hAnsi="Arial" w:cs="Arial"/>
          <w:color w:val="000000" w:themeColor="text1"/>
          <w:sz w:val="16"/>
          <w:szCs w:val="16"/>
          <w:vertAlign w:val="superscript"/>
        </w:rPr>
        <w:t>a</w:t>
      </w:r>
      <w:r w:rsidRPr="00506C7C">
        <w:rPr>
          <w:rFonts w:ascii="Arial" w:eastAsia="Arial" w:hAnsi="Arial" w:cs="Arial"/>
          <w:color w:val="000000" w:themeColor="text1"/>
          <w:sz w:val="16"/>
          <w:szCs w:val="16"/>
        </w:rPr>
        <w:t>Department</w:t>
      </w:r>
      <w:proofErr w:type="spellEnd"/>
      <w:r w:rsidRPr="00506C7C">
        <w:rPr>
          <w:rFonts w:ascii="Arial" w:eastAsia="Arial" w:hAnsi="Arial" w:cs="Arial"/>
          <w:color w:val="000000" w:themeColor="text1"/>
          <w:sz w:val="16"/>
          <w:szCs w:val="16"/>
        </w:rPr>
        <w:t xml:space="preserve"> of Industrial Engineering, University of Salerno, </w:t>
      </w:r>
      <w:proofErr w:type="spellStart"/>
      <w:r w:rsidRPr="00506C7C">
        <w:rPr>
          <w:rFonts w:ascii="Arial" w:eastAsia="Arial" w:hAnsi="Arial" w:cs="Arial"/>
          <w:color w:val="000000" w:themeColor="text1"/>
          <w:sz w:val="16"/>
          <w:szCs w:val="16"/>
        </w:rPr>
        <w:t>Fisciano</w:t>
      </w:r>
      <w:proofErr w:type="spellEnd"/>
      <w:r w:rsidRPr="00506C7C">
        <w:rPr>
          <w:rFonts w:ascii="Arial" w:eastAsia="Arial" w:hAnsi="Arial" w:cs="Arial"/>
          <w:color w:val="000000" w:themeColor="text1"/>
          <w:sz w:val="16"/>
          <w:szCs w:val="16"/>
        </w:rPr>
        <w:t xml:space="preserve"> (SA), Italy</w:t>
      </w:r>
    </w:p>
    <w:p w14:paraId="556723D6" w14:textId="02EDE90C" w:rsidR="00D4441D" w:rsidRPr="00506C7C" w:rsidRDefault="00506C7C" w:rsidP="00506C7C">
      <w:pPr>
        <w:pBdr>
          <w:top w:val="nil"/>
          <w:left w:val="nil"/>
          <w:bottom w:val="nil"/>
          <w:right w:val="nil"/>
          <w:between w:val="nil"/>
        </w:pBdr>
        <w:spacing w:after="240" w:line="276" w:lineRule="auto"/>
        <w:rPr>
          <w:rFonts w:ascii="Arial" w:eastAsia="Arial" w:hAnsi="Arial" w:cs="Arial"/>
          <w:color w:val="000000" w:themeColor="text1"/>
          <w:sz w:val="16"/>
          <w:szCs w:val="16"/>
        </w:rPr>
      </w:pPr>
      <w:hyperlink r:id="rId8">
        <w:r w:rsidRPr="00506C7C">
          <w:rPr>
            <w:rFonts w:ascii="Arial" w:eastAsia="Arial" w:hAnsi="Arial" w:cs="Arial"/>
            <w:color w:val="000000" w:themeColor="text1"/>
            <w:sz w:val="16"/>
            <w:szCs w:val="16"/>
            <w:u w:val="single"/>
          </w:rPr>
          <w:t>fmalvano@unisa.it</w:t>
        </w:r>
      </w:hyperlink>
    </w:p>
    <w:p w14:paraId="70D6B8D5"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Abstract</w:t>
      </w:r>
    </w:p>
    <w:p w14:paraId="787DB963"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In the present study, the oxidative stability of extra virgin olive oil-based oleogels developed with </w:t>
      </w:r>
      <w:r w:rsidRPr="00506C7C">
        <w:rPr>
          <w:rFonts w:ascii="Arial" w:eastAsia="Arial" w:hAnsi="Arial" w:cs="Arial"/>
          <w:color w:val="000000" w:themeColor="text1"/>
          <w:sz w:val="18"/>
          <w:szCs w:val="18"/>
        </w:rPr>
        <w:t xml:space="preserve">beeswax, glycerol monostearate and </w:t>
      </w:r>
      <w:proofErr w:type="spellStart"/>
      <w:r w:rsidRPr="00506C7C">
        <w:rPr>
          <w:rFonts w:ascii="Arial" w:eastAsia="Arial" w:hAnsi="Arial" w:cs="Arial"/>
          <w:color w:val="000000" w:themeColor="text1"/>
          <w:sz w:val="18"/>
          <w:szCs w:val="18"/>
        </w:rPr>
        <w:t>ethylcellulose</w:t>
      </w:r>
      <w:proofErr w:type="spellEnd"/>
      <w:r w:rsidRPr="00506C7C">
        <w:rPr>
          <w:rFonts w:ascii="Arial" w:eastAsia="Arial" w:hAnsi="Arial" w:cs="Arial"/>
          <w:color w:val="000000" w:themeColor="text1"/>
          <w:sz w:val="18"/>
          <w:szCs w:val="18"/>
        </w:rPr>
        <w:t xml:space="preserve"> as </w:t>
      </w:r>
      <w:proofErr w:type="spellStart"/>
      <w:r w:rsidRPr="00506C7C">
        <w:rPr>
          <w:rFonts w:ascii="Arial" w:eastAsia="Arial" w:hAnsi="Arial" w:cs="Arial"/>
          <w:color w:val="000000" w:themeColor="text1"/>
          <w:sz w:val="18"/>
          <w:szCs w:val="18"/>
        </w:rPr>
        <w:t>gelators</w:t>
      </w:r>
      <w:proofErr w:type="spellEnd"/>
      <w:r w:rsidRPr="00506C7C">
        <w:rPr>
          <w:rFonts w:ascii="Arial" w:eastAsia="Arial" w:hAnsi="Arial" w:cs="Arial"/>
          <w:color w:val="000000" w:themeColor="text1"/>
          <w:sz w:val="18"/>
          <w:szCs w:val="18"/>
        </w:rPr>
        <w:t xml:space="preserve"> was determined using DSC in non-isothermal mode. Samples were heated at different heating rates (5, 7.5, 10, 12.5, 15 °C/min) and, by using the Ozawa-Flynn-Wall method, oxidation kinetics parame</w:t>
      </w:r>
      <w:r w:rsidRPr="00506C7C">
        <w:rPr>
          <w:rFonts w:ascii="Arial" w:eastAsia="Arial" w:hAnsi="Arial" w:cs="Arial"/>
          <w:color w:val="000000" w:themeColor="text1"/>
          <w:sz w:val="18"/>
          <w:szCs w:val="18"/>
        </w:rPr>
        <w:t xml:space="preserve">ters such as activation energy, pre-exponential factor and oxidation rate constant were evaluated. The results highlighted that glycerol monostearate-based oleogels have the highest oxidative stability, followed by </w:t>
      </w:r>
      <w:proofErr w:type="spellStart"/>
      <w:r w:rsidRPr="00506C7C">
        <w:rPr>
          <w:rFonts w:ascii="Arial" w:eastAsia="Arial" w:hAnsi="Arial" w:cs="Arial"/>
          <w:color w:val="000000" w:themeColor="text1"/>
          <w:sz w:val="18"/>
          <w:szCs w:val="18"/>
        </w:rPr>
        <w:t>ethylcellulose</w:t>
      </w:r>
      <w:proofErr w:type="spellEnd"/>
      <w:r w:rsidRPr="00506C7C">
        <w:rPr>
          <w:rFonts w:ascii="Arial" w:eastAsia="Arial" w:hAnsi="Arial" w:cs="Arial"/>
          <w:color w:val="000000" w:themeColor="text1"/>
          <w:sz w:val="18"/>
          <w:szCs w:val="18"/>
        </w:rPr>
        <w:t>-based oleogel. However, bu</w:t>
      </w:r>
      <w:r w:rsidRPr="00506C7C">
        <w:rPr>
          <w:rFonts w:ascii="Arial" w:eastAsia="Arial" w:hAnsi="Arial" w:cs="Arial"/>
          <w:color w:val="000000" w:themeColor="text1"/>
          <w:sz w:val="18"/>
          <w:szCs w:val="18"/>
        </w:rPr>
        <w:t xml:space="preserve">lk extra virgin olive oil showed higher stability than beeswax-based oleogel, probably due to the presence in the wax of minor components with prooxidant activity.  </w:t>
      </w:r>
    </w:p>
    <w:p w14:paraId="0A3E0E78" w14:textId="77777777" w:rsidR="00D4441D" w:rsidRPr="00506C7C" w:rsidRDefault="00506C7C">
      <w:pPr>
        <w:keepNext/>
        <w:numPr>
          <w:ilvl w:val="0"/>
          <w:numId w:val="1"/>
        </w:numPr>
        <w:pBdr>
          <w:top w:val="nil"/>
          <w:left w:val="nil"/>
          <w:bottom w:val="nil"/>
          <w:right w:val="nil"/>
          <w:between w:val="nil"/>
        </w:pBdr>
        <w:spacing w:before="240" w:after="120"/>
        <w:ind w:left="283" w:hanging="283"/>
        <w:rPr>
          <w:rFonts w:ascii="Arial" w:eastAsia="Arial" w:hAnsi="Arial" w:cs="Arial"/>
          <w:b/>
          <w:color w:val="000000" w:themeColor="text1"/>
          <w:sz w:val="20"/>
          <w:szCs w:val="20"/>
        </w:rPr>
      </w:pPr>
      <w:r w:rsidRPr="00506C7C">
        <w:rPr>
          <w:rFonts w:ascii="Arial" w:eastAsia="Arial" w:hAnsi="Arial" w:cs="Arial"/>
          <w:b/>
          <w:color w:val="000000" w:themeColor="text1"/>
          <w:sz w:val="20"/>
          <w:szCs w:val="20"/>
        </w:rPr>
        <w:t>Introduction</w:t>
      </w:r>
    </w:p>
    <w:p w14:paraId="09BDBCAE"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Fats and oils are fundamental ingredients in the human diet thanks to their nutritional and sensory contributions. In addition, they are the main ingredients in several food products. One of the main causes of fats and oils deterioration is represented by </w:t>
      </w:r>
      <w:r w:rsidRPr="00506C7C">
        <w:rPr>
          <w:rFonts w:ascii="Arial" w:eastAsia="Arial" w:hAnsi="Arial" w:cs="Arial"/>
          <w:color w:val="000000" w:themeColor="text1"/>
          <w:sz w:val="18"/>
          <w:szCs w:val="18"/>
        </w:rPr>
        <w:t>the oxidation of lipids, a chain reaction of free radicals that determines the development of unpleasant tastes, loss of nutrients and the formation of toxic compounds, such as aldehydes, ketones, alcohols and hydrocarbons (Martinez-</w:t>
      </w:r>
      <w:proofErr w:type="spellStart"/>
      <w:r w:rsidRPr="00506C7C">
        <w:rPr>
          <w:rFonts w:ascii="Arial" w:eastAsia="Arial" w:hAnsi="Arial" w:cs="Arial"/>
          <w:color w:val="000000" w:themeColor="text1"/>
          <w:sz w:val="18"/>
          <w:szCs w:val="18"/>
        </w:rPr>
        <w:t>Monteagudo</w:t>
      </w:r>
      <w:proofErr w:type="spellEnd"/>
      <w:r w:rsidRPr="00506C7C">
        <w:rPr>
          <w:rFonts w:ascii="Arial" w:eastAsia="Arial" w:hAnsi="Arial" w:cs="Arial"/>
          <w:color w:val="000000" w:themeColor="text1"/>
          <w:sz w:val="18"/>
          <w:szCs w:val="18"/>
        </w:rPr>
        <w:t xml:space="preserve"> et al., 2012</w:t>
      </w:r>
      <w:r w:rsidRPr="00506C7C">
        <w:rPr>
          <w:rFonts w:ascii="Arial" w:eastAsia="Arial" w:hAnsi="Arial" w:cs="Arial"/>
          <w:color w:val="000000" w:themeColor="text1"/>
          <w:sz w:val="18"/>
          <w:szCs w:val="18"/>
        </w:rPr>
        <w:t xml:space="preserve">). Commonly, oxygen reacts with the double bonds present in lipids, following free radical mechanisms known as autoxidation. Autoxidation reactions are characterized by three basic steps: initiation, propagation and termination. During the first step, the </w:t>
      </w:r>
      <w:r w:rsidRPr="00506C7C">
        <w:rPr>
          <w:rFonts w:ascii="Arial" w:eastAsia="Arial" w:hAnsi="Arial" w:cs="Arial"/>
          <w:color w:val="000000" w:themeColor="text1"/>
          <w:sz w:val="18"/>
          <w:szCs w:val="18"/>
        </w:rPr>
        <w:t>presence of active oxygen species leads to the formation of free radicals through the thermolysis process. During the propagation step, these radicals react with the molecular oxygen present to produce unstable primary products, such as hydroperoxides. Suc</w:t>
      </w:r>
      <w:r w:rsidRPr="00506C7C">
        <w:rPr>
          <w:rFonts w:ascii="Arial" w:eastAsia="Arial" w:hAnsi="Arial" w:cs="Arial"/>
          <w:color w:val="000000" w:themeColor="text1"/>
          <w:sz w:val="18"/>
          <w:szCs w:val="18"/>
        </w:rPr>
        <w:t>h compounds further react through free radical mechanisms and form by-products that propagate oxidation. The resulting compounds polymerize into materials as oxidation proceeds. These polymers are insoluble in oil and represent the end stage of oxidation (</w:t>
      </w:r>
      <w:proofErr w:type="spellStart"/>
      <w:r w:rsidRPr="00506C7C">
        <w:rPr>
          <w:rFonts w:ascii="Arial" w:eastAsia="Arial" w:hAnsi="Arial" w:cs="Arial"/>
          <w:color w:val="000000" w:themeColor="text1"/>
          <w:sz w:val="18"/>
          <w:szCs w:val="18"/>
        </w:rPr>
        <w:t>Pardauil</w:t>
      </w:r>
      <w:proofErr w:type="spellEnd"/>
      <w:r w:rsidRPr="00506C7C">
        <w:rPr>
          <w:rFonts w:ascii="Arial" w:eastAsia="Arial" w:hAnsi="Arial" w:cs="Arial"/>
          <w:color w:val="000000" w:themeColor="text1"/>
          <w:sz w:val="18"/>
          <w:szCs w:val="18"/>
        </w:rPr>
        <w:t xml:space="preserve"> et al., 2011). </w:t>
      </w:r>
    </w:p>
    <w:p w14:paraId="4EFC23B2"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The complexity of oxidation kinetics makes it difficult to obtain reliable quantitative measurements. Over the years, the evaluation of oxidation phenomena by lipids has been carried out through various excellent methodologies, inc</w:t>
      </w:r>
      <w:r w:rsidRPr="00506C7C">
        <w:rPr>
          <w:rFonts w:ascii="Arial" w:eastAsia="Arial" w:hAnsi="Arial" w:cs="Arial"/>
          <w:color w:val="000000" w:themeColor="text1"/>
          <w:sz w:val="18"/>
          <w:szCs w:val="18"/>
        </w:rPr>
        <w:t xml:space="preserve">luding the </w:t>
      </w:r>
      <w:proofErr w:type="spellStart"/>
      <w:r w:rsidRPr="00506C7C">
        <w:rPr>
          <w:rFonts w:ascii="Arial" w:eastAsia="Arial" w:hAnsi="Arial" w:cs="Arial"/>
          <w:color w:val="000000" w:themeColor="text1"/>
          <w:sz w:val="18"/>
          <w:szCs w:val="18"/>
        </w:rPr>
        <w:t>Rancimat</w:t>
      </w:r>
      <w:proofErr w:type="spellEnd"/>
      <w:r w:rsidRPr="00506C7C">
        <w:rPr>
          <w:rFonts w:ascii="Arial" w:eastAsia="Arial" w:hAnsi="Arial" w:cs="Arial"/>
          <w:color w:val="000000" w:themeColor="text1"/>
          <w:sz w:val="18"/>
          <w:szCs w:val="18"/>
        </w:rPr>
        <w:t xml:space="preserve"> method, the peroxide value (PV), infrared spectroscopy (IR), nuclear magnetic resonance spectroscopy (NMR) and chemiluminescence measurements. However, these analytical techniques have proved to be very sensitive to interferences derivi</w:t>
      </w:r>
      <w:r w:rsidRPr="00506C7C">
        <w:rPr>
          <w:rFonts w:ascii="Arial" w:eastAsia="Arial" w:hAnsi="Arial" w:cs="Arial"/>
          <w:color w:val="000000" w:themeColor="text1"/>
          <w:sz w:val="18"/>
          <w:szCs w:val="18"/>
        </w:rPr>
        <w:t>ng from oxidation products as well as secondary products, making these techniques inadequate for the rapid determination of kinetic parameters (</w:t>
      </w:r>
      <w:proofErr w:type="spellStart"/>
      <w:r w:rsidRPr="00506C7C">
        <w:rPr>
          <w:rFonts w:ascii="Arial" w:eastAsia="Arial" w:hAnsi="Arial" w:cs="Arial"/>
          <w:color w:val="000000" w:themeColor="text1"/>
          <w:sz w:val="18"/>
          <w:szCs w:val="18"/>
        </w:rPr>
        <w:t>Ulkowski</w:t>
      </w:r>
      <w:proofErr w:type="spellEnd"/>
      <w:r w:rsidRPr="00506C7C">
        <w:rPr>
          <w:rFonts w:ascii="Arial" w:eastAsia="Arial" w:hAnsi="Arial" w:cs="Arial"/>
          <w:color w:val="000000" w:themeColor="text1"/>
          <w:sz w:val="18"/>
          <w:szCs w:val="18"/>
        </w:rPr>
        <w:t xml:space="preserve"> et al., 2005).</w:t>
      </w:r>
    </w:p>
    <w:p w14:paraId="39F23E41"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In more recent years, the characterization of fats and oils, as well as the study of the</w:t>
      </w:r>
      <w:r w:rsidRPr="00506C7C">
        <w:rPr>
          <w:rFonts w:ascii="Arial" w:eastAsia="Arial" w:hAnsi="Arial" w:cs="Arial"/>
          <w:color w:val="000000" w:themeColor="text1"/>
          <w:sz w:val="18"/>
          <w:szCs w:val="18"/>
        </w:rPr>
        <w:t xml:space="preserve">ir thermal autoxidation process, has largely been achieved through </w:t>
      </w:r>
      <w:proofErr w:type="spellStart"/>
      <w:r w:rsidRPr="00506C7C">
        <w:rPr>
          <w:rFonts w:ascii="Arial" w:eastAsia="Arial" w:hAnsi="Arial" w:cs="Arial"/>
          <w:color w:val="000000" w:themeColor="text1"/>
          <w:sz w:val="18"/>
          <w:szCs w:val="18"/>
        </w:rPr>
        <w:t>thermoanalytical</w:t>
      </w:r>
      <w:proofErr w:type="spellEnd"/>
      <w:r w:rsidRPr="00506C7C">
        <w:rPr>
          <w:rFonts w:ascii="Arial" w:eastAsia="Arial" w:hAnsi="Arial" w:cs="Arial"/>
          <w:color w:val="000000" w:themeColor="text1"/>
          <w:sz w:val="18"/>
          <w:szCs w:val="18"/>
        </w:rPr>
        <w:t xml:space="preserve"> methods. Because oxidation is a process that releases heat, thermal analysis through differential scanning calorimetry (DSC) is a fast and simple analytical </w:t>
      </w:r>
      <w:r w:rsidRPr="00506C7C">
        <w:rPr>
          <w:rFonts w:ascii="Arial" w:eastAsia="Arial" w:hAnsi="Arial" w:cs="Arial"/>
          <w:color w:val="000000" w:themeColor="text1"/>
          <w:sz w:val="18"/>
          <w:szCs w:val="18"/>
        </w:rPr>
        <w:lastRenderedPageBreak/>
        <w:t>method that cou</w:t>
      </w:r>
      <w:r w:rsidRPr="00506C7C">
        <w:rPr>
          <w:rFonts w:ascii="Arial" w:eastAsia="Arial" w:hAnsi="Arial" w:cs="Arial"/>
          <w:color w:val="000000" w:themeColor="text1"/>
          <w:sz w:val="18"/>
          <w:szCs w:val="18"/>
        </w:rPr>
        <w:t>ld be used to follow the reaction and monitor the total thermal effect of lipid oxidation occurring under oxygen flow. In particular, non-isothermal DSC (linear heating rate, β) has been applied in several studies of edible oils oxidation (Qi et al., 2016;</w:t>
      </w:r>
      <w:r w:rsidRPr="00506C7C">
        <w:rPr>
          <w:rFonts w:ascii="Arial" w:eastAsia="Arial" w:hAnsi="Arial" w:cs="Arial"/>
          <w:color w:val="000000" w:themeColor="text1"/>
          <w:sz w:val="18"/>
          <w:szCs w:val="18"/>
        </w:rPr>
        <w:t xml:space="preserve"> Martinez-</w:t>
      </w:r>
      <w:proofErr w:type="spellStart"/>
      <w:r w:rsidRPr="00506C7C">
        <w:rPr>
          <w:rFonts w:ascii="Arial" w:eastAsia="Arial" w:hAnsi="Arial" w:cs="Arial"/>
          <w:color w:val="000000" w:themeColor="text1"/>
          <w:sz w:val="18"/>
          <w:szCs w:val="18"/>
        </w:rPr>
        <w:t>Monteagudo</w:t>
      </w:r>
      <w:proofErr w:type="spellEnd"/>
      <w:r w:rsidRPr="00506C7C">
        <w:rPr>
          <w:rFonts w:ascii="Arial" w:eastAsia="Arial" w:hAnsi="Arial" w:cs="Arial"/>
          <w:color w:val="000000" w:themeColor="text1"/>
          <w:sz w:val="18"/>
          <w:szCs w:val="18"/>
        </w:rPr>
        <w:t xml:space="preserve"> et al., 2012; </w:t>
      </w:r>
      <w:proofErr w:type="spellStart"/>
      <w:r w:rsidRPr="00506C7C">
        <w:rPr>
          <w:rFonts w:ascii="Arial" w:eastAsia="Arial" w:hAnsi="Arial" w:cs="Arial"/>
          <w:color w:val="000000" w:themeColor="text1"/>
          <w:sz w:val="18"/>
          <w:szCs w:val="18"/>
        </w:rPr>
        <w:t>Adhvaryu</w:t>
      </w:r>
      <w:proofErr w:type="spellEnd"/>
      <w:r w:rsidRPr="00506C7C">
        <w:rPr>
          <w:rFonts w:ascii="Arial" w:eastAsia="Arial" w:hAnsi="Arial" w:cs="Arial"/>
          <w:color w:val="000000" w:themeColor="text1"/>
          <w:sz w:val="18"/>
          <w:szCs w:val="18"/>
        </w:rPr>
        <w:t xml:space="preserve"> et al., 2000; </w:t>
      </w:r>
      <w:proofErr w:type="spellStart"/>
      <w:r w:rsidRPr="00506C7C">
        <w:rPr>
          <w:rFonts w:ascii="Arial" w:eastAsia="Arial" w:hAnsi="Arial" w:cs="Arial"/>
          <w:color w:val="000000" w:themeColor="text1"/>
          <w:sz w:val="18"/>
          <w:szCs w:val="18"/>
        </w:rPr>
        <w:t>Ostrowska-Ligeza</w:t>
      </w:r>
      <w:proofErr w:type="spellEnd"/>
      <w:r w:rsidRPr="00506C7C">
        <w:rPr>
          <w:rFonts w:ascii="Arial" w:eastAsia="Arial" w:hAnsi="Arial" w:cs="Arial"/>
          <w:color w:val="000000" w:themeColor="text1"/>
          <w:sz w:val="18"/>
          <w:szCs w:val="18"/>
        </w:rPr>
        <w:t xml:space="preserve"> et al., 2010). Using the Ozawa-Flynn-Wall method (OFW), non-isothermal DSC techniques may be exploited to obtain kinetic parameters of lipid oxidation, including the activation ener</w:t>
      </w:r>
      <w:r w:rsidRPr="00506C7C">
        <w:rPr>
          <w:rFonts w:ascii="Arial" w:eastAsia="Arial" w:hAnsi="Arial" w:cs="Arial"/>
          <w:color w:val="000000" w:themeColor="text1"/>
          <w:sz w:val="18"/>
          <w:szCs w:val="18"/>
        </w:rPr>
        <w:t>gy (</w:t>
      </w: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rPr>
        <w:t>), the Arrhenius constant (k) and the pre-exponential factor (z). This can be made, after determining start, onset and maximum heat flow temperatures which are taken as a parameter characterizing the oxidation susceptibility of fats and oils (</w:t>
      </w:r>
      <w:proofErr w:type="spellStart"/>
      <w:r w:rsidRPr="00506C7C">
        <w:rPr>
          <w:rFonts w:ascii="Arial" w:eastAsia="Arial" w:hAnsi="Arial" w:cs="Arial"/>
          <w:color w:val="000000" w:themeColor="text1"/>
          <w:sz w:val="18"/>
          <w:szCs w:val="18"/>
        </w:rPr>
        <w:t>Ulkowsk</w:t>
      </w:r>
      <w:r w:rsidRPr="00506C7C">
        <w:rPr>
          <w:rFonts w:ascii="Arial" w:eastAsia="Arial" w:hAnsi="Arial" w:cs="Arial"/>
          <w:color w:val="000000" w:themeColor="text1"/>
          <w:sz w:val="18"/>
          <w:szCs w:val="18"/>
        </w:rPr>
        <w:t>i</w:t>
      </w:r>
      <w:proofErr w:type="spellEnd"/>
      <w:r w:rsidRPr="00506C7C">
        <w:rPr>
          <w:rFonts w:ascii="Arial" w:eastAsia="Arial" w:hAnsi="Arial" w:cs="Arial"/>
          <w:color w:val="000000" w:themeColor="text1"/>
          <w:sz w:val="18"/>
          <w:szCs w:val="18"/>
        </w:rPr>
        <w:t xml:space="preserve"> et al., 2005).  </w:t>
      </w:r>
    </w:p>
    <w:p w14:paraId="1D4B0E3F"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During the last decade, </w:t>
      </w:r>
      <w:proofErr w:type="spellStart"/>
      <w:r w:rsidRPr="00506C7C">
        <w:rPr>
          <w:rFonts w:ascii="Arial" w:eastAsia="Arial" w:hAnsi="Arial" w:cs="Arial"/>
          <w:color w:val="000000" w:themeColor="text1"/>
          <w:sz w:val="18"/>
          <w:szCs w:val="18"/>
        </w:rPr>
        <w:t>oleogelation</w:t>
      </w:r>
      <w:proofErr w:type="spellEnd"/>
      <w:r w:rsidRPr="00506C7C">
        <w:rPr>
          <w:rFonts w:ascii="Arial" w:eastAsia="Arial" w:hAnsi="Arial" w:cs="Arial"/>
          <w:color w:val="000000" w:themeColor="text1"/>
          <w:sz w:val="18"/>
          <w:szCs w:val="18"/>
        </w:rPr>
        <w:t xml:space="preserve"> has emerged as a new and effective strategy to structure liquid oils into solid-like systems, by influencing positively product performances in terms of texture, sensory as well as oxidative stability</w:t>
      </w:r>
      <w:r w:rsidRPr="00506C7C">
        <w:rPr>
          <w:rFonts w:ascii="Arial" w:eastAsia="Arial" w:hAnsi="Arial" w:cs="Arial"/>
          <w:color w:val="000000" w:themeColor="text1"/>
          <w:sz w:val="18"/>
          <w:szCs w:val="18"/>
        </w:rPr>
        <w:t xml:space="preserve"> properties (</w:t>
      </w:r>
      <w:proofErr w:type="spellStart"/>
      <w:r w:rsidRPr="00506C7C">
        <w:rPr>
          <w:rFonts w:ascii="Arial" w:eastAsia="Arial" w:hAnsi="Arial" w:cs="Arial"/>
          <w:color w:val="000000" w:themeColor="text1"/>
          <w:sz w:val="18"/>
          <w:szCs w:val="18"/>
        </w:rPr>
        <w:t>Puscas</w:t>
      </w:r>
      <w:proofErr w:type="spellEnd"/>
      <w:r w:rsidRPr="00506C7C">
        <w:rPr>
          <w:rFonts w:ascii="Arial" w:eastAsia="Arial" w:hAnsi="Arial" w:cs="Arial"/>
          <w:color w:val="000000" w:themeColor="text1"/>
          <w:sz w:val="18"/>
          <w:szCs w:val="18"/>
        </w:rPr>
        <w:t xml:space="preserve"> et al., 2020). Several authors attest that oleogelator structures play an important role in retarding oxidation by limiting the contact of the bulk oil with oxygen (Silva et al., 2022; Zhao et al., 2022; Hwang et al., 2018). However, it</w:t>
      </w:r>
      <w:r w:rsidRPr="00506C7C">
        <w:rPr>
          <w:rFonts w:ascii="Arial" w:eastAsia="Arial" w:hAnsi="Arial" w:cs="Arial"/>
          <w:color w:val="000000" w:themeColor="text1"/>
          <w:sz w:val="18"/>
          <w:szCs w:val="18"/>
        </w:rPr>
        <w:t xml:space="preserve"> should be noted that the application of oleogels in food products has as its main objective the replacement of solid fats, rich in saturated fatty acids, with healthier oils rich in unsaturated fatty acids which, based on their nature, are much more prone</w:t>
      </w:r>
      <w:r w:rsidRPr="00506C7C">
        <w:rPr>
          <w:rFonts w:ascii="Arial" w:eastAsia="Arial" w:hAnsi="Arial" w:cs="Arial"/>
          <w:color w:val="000000" w:themeColor="text1"/>
          <w:sz w:val="18"/>
          <w:szCs w:val="18"/>
        </w:rPr>
        <w:t xml:space="preserve"> to the oxidation process compared to saturated fatty acids. Thus, it is necessary to examine oleogels, as well as oleogel-containing food products, on the basis of their oxidative stability. </w:t>
      </w:r>
    </w:p>
    <w:p w14:paraId="636E3710"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Therefore, in this study an evaluation and a comparison of the </w:t>
      </w:r>
      <w:r w:rsidRPr="00506C7C">
        <w:rPr>
          <w:rFonts w:ascii="Arial" w:eastAsia="Arial" w:hAnsi="Arial" w:cs="Arial"/>
          <w:color w:val="000000" w:themeColor="text1"/>
          <w:sz w:val="18"/>
          <w:szCs w:val="18"/>
        </w:rPr>
        <w:t xml:space="preserve">oxidation stability of extra virgin olive oil and extra virgin olive oil-based oleogels developed with beeswax, glycerol monostearate and </w:t>
      </w:r>
      <w:proofErr w:type="spellStart"/>
      <w:r w:rsidRPr="00506C7C">
        <w:rPr>
          <w:rFonts w:ascii="Arial" w:eastAsia="Arial" w:hAnsi="Arial" w:cs="Arial"/>
          <w:color w:val="000000" w:themeColor="text1"/>
          <w:sz w:val="18"/>
          <w:szCs w:val="18"/>
        </w:rPr>
        <w:t>ethylcellulose</w:t>
      </w:r>
      <w:proofErr w:type="spellEnd"/>
      <w:r w:rsidRPr="00506C7C">
        <w:rPr>
          <w:rFonts w:ascii="Arial" w:eastAsia="Arial" w:hAnsi="Arial" w:cs="Arial"/>
          <w:color w:val="000000" w:themeColor="text1"/>
          <w:sz w:val="18"/>
          <w:szCs w:val="18"/>
        </w:rPr>
        <w:t xml:space="preserve"> as </w:t>
      </w:r>
      <w:proofErr w:type="spellStart"/>
      <w:r w:rsidRPr="00506C7C">
        <w:rPr>
          <w:rFonts w:ascii="Arial" w:eastAsia="Arial" w:hAnsi="Arial" w:cs="Arial"/>
          <w:color w:val="000000" w:themeColor="text1"/>
          <w:sz w:val="18"/>
          <w:szCs w:val="18"/>
        </w:rPr>
        <w:t>gelator</w:t>
      </w:r>
      <w:proofErr w:type="spellEnd"/>
      <w:r w:rsidRPr="00506C7C">
        <w:rPr>
          <w:rFonts w:ascii="Arial" w:eastAsia="Arial" w:hAnsi="Arial" w:cs="Arial"/>
          <w:color w:val="000000" w:themeColor="text1"/>
          <w:sz w:val="18"/>
          <w:szCs w:val="18"/>
        </w:rPr>
        <w:t>, using a non-isothermal DSC method, were performed. Oxidation kinetic parameters, such as ac</w:t>
      </w:r>
      <w:r w:rsidRPr="00506C7C">
        <w:rPr>
          <w:rFonts w:ascii="Arial" w:eastAsia="Arial" w:hAnsi="Arial" w:cs="Arial"/>
          <w:color w:val="000000" w:themeColor="text1"/>
          <w:sz w:val="18"/>
          <w:szCs w:val="18"/>
        </w:rPr>
        <w:t>tivation energy, pre-exponential factor and oxidation rate constant were evaluated using the Ozawa-Flynn-Wall method.</w:t>
      </w:r>
    </w:p>
    <w:p w14:paraId="16435926" w14:textId="77777777" w:rsidR="00D4441D" w:rsidRPr="00506C7C" w:rsidRDefault="00D4441D">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
    <w:p w14:paraId="30BFD5B5"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b/>
          <w:color w:val="000000" w:themeColor="text1"/>
          <w:sz w:val="20"/>
          <w:szCs w:val="20"/>
        </w:rPr>
      </w:pPr>
      <w:r w:rsidRPr="00506C7C">
        <w:rPr>
          <w:rFonts w:ascii="Arial" w:eastAsia="Arial" w:hAnsi="Arial" w:cs="Arial"/>
          <w:b/>
          <w:color w:val="000000" w:themeColor="text1"/>
          <w:sz w:val="20"/>
          <w:szCs w:val="20"/>
        </w:rPr>
        <w:t xml:space="preserve">2. </w:t>
      </w:r>
      <w:r w:rsidRPr="00506C7C">
        <w:rPr>
          <w:rFonts w:ascii="Arial" w:eastAsia="Arial" w:hAnsi="Arial" w:cs="Arial"/>
          <w:b/>
          <w:color w:val="000000" w:themeColor="text1"/>
          <w:sz w:val="20"/>
          <w:szCs w:val="20"/>
        </w:rPr>
        <w:t>Materials and Methods</w:t>
      </w:r>
    </w:p>
    <w:p w14:paraId="4A763E7F" w14:textId="77777777" w:rsidR="00D4441D" w:rsidRPr="00506C7C" w:rsidRDefault="00506C7C">
      <w:pPr>
        <w:keepNext/>
        <w:pBdr>
          <w:top w:val="nil"/>
          <w:left w:val="nil"/>
          <w:bottom w:val="nil"/>
          <w:right w:val="nil"/>
          <w:between w:val="nil"/>
        </w:pBdr>
        <w:spacing w:before="120" w:after="120"/>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 xml:space="preserve">2.1 </w:t>
      </w:r>
      <w:r w:rsidRPr="00506C7C">
        <w:rPr>
          <w:rFonts w:ascii="Arial" w:eastAsia="Arial" w:hAnsi="Arial" w:cs="Arial"/>
          <w:b/>
          <w:color w:val="000000" w:themeColor="text1"/>
          <w:sz w:val="18"/>
          <w:szCs w:val="18"/>
        </w:rPr>
        <w:t>Materials</w:t>
      </w:r>
    </w:p>
    <w:p w14:paraId="33E6C938" w14:textId="7C122CD9"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Beeswax (BW) was purchased from ACEF (Piacenza, Italy), pure Glycerol Monostearate (GMS, pure power with 99.99% total monoglycerides) was obtained from Axenic Health Solutions (Plano, Texas, USA), </w:t>
      </w:r>
      <w:proofErr w:type="spellStart"/>
      <w:r w:rsidRPr="00506C7C">
        <w:rPr>
          <w:rFonts w:ascii="Arial" w:eastAsia="Arial" w:hAnsi="Arial" w:cs="Arial"/>
          <w:color w:val="000000" w:themeColor="text1"/>
          <w:sz w:val="18"/>
          <w:szCs w:val="18"/>
        </w:rPr>
        <w:t>ethylcellulose</w:t>
      </w:r>
      <w:proofErr w:type="spellEnd"/>
      <w:r w:rsidRPr="00506C7C">
        <w:rPr>
          <w:rFonts w:ascii="Arial" w:eastAsia="Arial" w:hAnsi="Arial" w:cs="Arial"/>
          <w:color w:val="000000" w:themeColor="text1"/>
          <w:sz w:val="18"/>
          <w:szCs w:val="18"/>
        </w:rPr>
        <w:t xml:space="preserve"> (EC) was bought by Sigma Aldrich (St. Louis,</w:t>
      </w:r>
      <w:r w:rsidRPr="00506C7C">
        <w:rPr>
          <w:rFonts w:ascii="Arial" w:eastAsia="Arial" w:hAnsi="Arial" w:cs="Arial"/>
          <w:color w:val="000000" w:themeColor="text1"/>
          <w:sz w:val="18"/>
          <w:szCs w:val="18"/>
        </w:rPr>
        <w:t xml:space="preserve"> USA). Commercial extra virgin olive oil (EVOO) was obtained from a local market.  </w:t>
      </w:r>
    </w:p>
    <w:p w14:paraId="37C24488" w14:textId="77777777" w:rsidR="00D4441D" w:rsidRPr="00506C7C" w:rsidRDefault="00506C7C">
      <w:pPr>
        <w:keepNext/>
        <w:pBdr>
          <w:top w:val="nil"/>
          <w:left w:val="nil"/>
          <w:bottom w:val="nil"/>
          <w:right w:val="nil"/>
          <w:between w:val="nil"/>
        </w:pBdr>
        <w:spacing w:before="120" w:after="120"/>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 xml:space="preserve">2.2 </w:t>
      </w:r>
      <w:r w:rsidRPr="00506C7C">
        <w:rPr>
          <w:rFonts w:ascii="Arial" w:eastAsia="Arial" w:hAnsi="Arial" w:cs="Arial"/>
          <w:b/>
          <w:color w:val="000000" w:themeColor="text1"/>
          <w:sz w:val="18"/>
          <w:szCs w:val="18"/>
        </w:rPr>
        <w:t>Oleogel preparation</w:t>
      </w:r>
    </w:p>
    <w:p w14:paraId="54F971CF" w14:textId="604F8994"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Accurately weighed samples of oleogelators (BW, GMS, EC) were dispersed in EVOO to reach a concentration of 6 % for BW and GMS and 14 % for EC. The dispersions were heated at a temperature above the melting point of oleogelators under mild agitation (200 r</w:t>
      </w:r>
      <w:r w:rsidRPr="00506C7C">
        <w:rPr>
          <w:rFonts w:ascii="Arial" w:eastAsia="Arial" w:hAnsi="Arial" w:cs="Arial"/>
          <w:color w:val="000000" w:themeColor="text1"/>
          <w:sz w:val="18"/>
          <w:szCs w:val="18"/>
        </w:rPr>
        <w:t xml:space="preserve">pm) by a magnetic stirrer (C-Mag HS 7, </w:t>
      </w:r>
      <w:proofErr w:type="spellStart"/>
      <w:r w:rsidRPr="00506C7C">
        <w:rPr>
          <w:rFonts w:ascii="Arial" w:eastAsia="Arial" w:hAnsi="Arial" w:cs="Arial"/>
          <w:color w:val="000000" w:themeColor="text1"/>
          <w:sz w:val="18"/>
          <w:szCs w:val="18"/>
        </w:rPr>
        <w:t>Ika</w:t>
      </w:r>
      <w:proofErr w:type="spellEnd"/>
      <w:r w:rsidRPr="00506C7C">
        <w:rPr>
          <w:rFonts w:ascii="Arial" w:eastAsia="Arial" w:hAnsi="Arial" w:cs="Arial"/>
          <w:color w:val="000000" w:themeColor="text1"/>
          <w:sz w:val="18"/>
          <w:szCs w:val="18"/>
        </w:rPr>
        <w:t>, Germany). After the complete oleogelator dissolution, the mixtures were placed in a refrigerated bath at 5 °C for 30 min until the samples reached room temperature (25±2 °C). Oleogels were stored at room temperat</w:t>
      </w:r>
      <w:r w:rsidRPr="00506C7C">
        <w:rPr>
          <w:rFonts w:ascii="Arial" w:eastAsia="Arial" w:hAnsi="Arial" w:cs="Arial"/>
          <w:color w:val="000000" w:themeColor="text1"/>
          <w:sz w:val="18"/>
          <w:szCs w:val="18"/>
        </w:rPr>
        <w:t xml:space="preserve">ure for at least 24 h before the analysis. </w:t>
      </w:r>
    </w:p>
    <w:p w14:paraId="008FE72C" w14:textId="77777777" w:rsidR="00D4441D" w:rsidRPr="00506C7C" w:rsidRDefault="00506C7C">
      <w:pPr>
        <w:keepNext/>
        <w:pBdr>
          <w:top w:val="nil"/>
          <w:left w:val="nil"/>
          <w:bottom w:val="nil"/>
          <w:right w:val="nil"/>
          <w:between w:val="nil"/>
        </w:pBdr>
        <w:spacing w:before="120" w:after="120"/>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2.3</w:t>
      </w:r>
      <w:r w:rsidRPr="00506C7C">
        <w:rPr>
          <w:rFonts w:ascii="Arial" w:eastAsia="Arial" w:hAnsi="Arial" w:cs="Arial"/>
          <w:b/>
          <w:color w:val="000000" w:themeColor="text1"/>
          <w:sz w:val="18"/>
          <w:szCs w:val="18"/>
        </w:rPr>
        <w:t xml:space="preserve"> Differential scanning calorimetry analysis</w:t>
      </w:r>
    </w:p>
    <w:p w14:paraId="2BA435B6"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The oxidation kinetics of oleogels were carried out in a Q series Differential Scanning Calorimetry (TA Instruments, New Castle, Delaware, USA). Samples of 5-7 mg w</w:t>
      </w:r>
      <w:r w:rsidRPr="00506C7C">
        <w:rPr>
          <w:rFonts w:ascii="Arial" w:eastAsia="Arial" w:hAnsi="Arial" w:cs="Arial"/>
          <w:color w:val="000000" w:themeColor="text1"/>
          <w:sz w:val="18"/>
          <w:szCs w:val="18"/>
        </w:rPr>
        <w:t>ere placed into an open aluminum pan while an empty pan was used as a reference. The experiments were performed under oxygen as the purge gas at a flow rate of 20 ml/min and nitrogen as the protective gas at a flow rate of 50 ml/min. Samples were initially</w:t>
      </w:r>
      <w:r w:rsidRPr="00506C7C">
        <w:rPr>
          <w:rFonts w:ascii="Arial" w:eastAsia="Arial" w:hAnsi="Arial" w:cs="Arial"/>
          <w:color w:val="000000" w:themeColor="text1"/>
          <w:sz w:val="18"/>
          <w:szCs w:val="18"/>
        </w:rPr>
        <w:t xml:space="preserve"> equilibrated at 100 °C for 2 min and then heated until 350 °C under a linear increased program rates (5, 7.5, 10, 12.5, 15 °C/min) to generate the oxidative profile. All thermograms were analyzed by TA Universal Analysis (TA Instruments, New Castle, Delaw</w:t>
      </w:r>
      <w:r w:rsidRPr="00506C7C">
        <w:rPr>
          <w:rFonts w:ascii="Arial" w:eastAsia="Arial" w:hAnsi="Arial" w:cs="Arial"/>
          <w:color w:val="000000" w:themeColor="text1"/>
          <w:sz w:val="18"/>
          <w:szCs w:val="18"/>
        </w:rPr>
        <w:t>are, USA) software to identify the start temperature (T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 the onset temperature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 and the maximum heat flow temperature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rPr>
        <w:t xml:space="preserve">). </w:t>
      </w:r>
    </w:p>
    <w:p w14:paraId="55AD5FD5"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 xml:space="preserve"> is calculated when the first derivative of the signal shows an inflexion point between a maximum and a minimum point o</w:t>
      </w:r>
      <w:r w:rsidRPr="00506C7C">
        <w:rPr>
          <w:rFonts w:ascii="Arial" w:eastAsia="Arial" w:hAnsi="Arial" w:cs="Arial"/>
          <w:color w:val="000000" w:themeColor="text1"/>
          <w:sz w:val="18"/>
          <w:szCs w:val="18"/>
        </w:rPr>
        <w:t xml:space="preserve">f the signal and the second derivative has reached a maximum point on the heat flow signal;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rPr>
        <w:t xml:space="preserve"> is calculated when the first derivative of the signal intersects with the x-axis and the second derivative has reached a maximum point on the signal;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 xml:space="preserve"> valu</w:t>
      </w:r>
      <w:r w:rsidRPr="00506C7C">
        <w:rPr>
          <w:rFonts w:ascii="Arial" w:eastAsia="Arial" w:hAnsi="Arial" w:cs="Arial"/>
          <w:color w:val="000000" w:themeColor="text1"/>
          <w:sz w:val="18"/>
          <w:szCs w:val="18"/>
        </w:rPr>
        <w:t>es were determined as the intersection of the extrapolated baseline and the tangent line (figure 1).</w:t>
      </w:r>
    </w:p>
    <w:p w14:paraId="7742561D" w14:textId="77777777" w:rsidR="00D4441D" w:rsidRPr="00506C7C" w:rsidRDefault="00D4441D">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
    <w:p w14:paraId="46EE9610"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noProof/>
          <w:color w:val="000000" w:themeColor="text1"/>
          <w:sz w:val="18"/>
          <w:szCs w:val="18"/>
        </w:rPr>
        <w:lastRenderedPageBreak/>
        <w:drawing>
          <wp:inline distT="0" distB="0" distL="0" distR="0" wp14:anchorId="33621FBD" wp14:editId="454580DB">
            <wp:extent cx="2290445" cy="314029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292503" cy="3143112"/>
                    </a:xfrm>
                    <a:prstGeom prst="rect">
                      <a:avLst/>
                    </a:prstGeom>
                    <a:ln/>
                  </pic:spPr>
                </pic:pic>
              </a:graphicData>
            </a:graphic>
          </wp:inline>
        </w:drawing>
      </w:r>
    </w:p>
    <w:p w14:paraId="49FFC3A5" w14:textId="77777777" w:rsidR="00D4441D" w:rsidRPr="00506C7C" w:rsidRDefault="00506C7C">
      <w:pPr>
        <w:pBdr>
          <w:top w:val="nil"/>
          <w:left w:val="nil"/>
          <w:bottom w:val="nil"/>
          <w:right w:val="nil"/>
          <w:between w:val="nil"/>
        </w:pBdr>
        <w:jc w:val="both"/>
        <w:rPr>
          <w:rFonts w:ascii="Arial" w:eastAsia="Arial" w:hAnsi="Arial" w:cs="Arial"/>
          <w:i/>
          <w:color w:val="000000" w:themeColor="text1"/>
          <w:sz w:val="18"/>
          <w:szCs w:val="18"/>
        </w:rPr>
      </w:pPr>
      <w:r w:rsidRPr="00506C7C">
        <w:rPr>
          <w:rFonts w:ascii="Arial" w:eastAsia="Arial" w:hAnsi="Arial" w:cs="Arial"/>
          <w:i/>
          <w:color w:val="000000" w:themeColor="text1"/>
          <w:sz w:val="18"/>
          <w:szCs w:val="18"/>
        </w:rPr>
        <w:t>Figure 1: DSC oxidation curve of EVOO at a rate of 5°C/min. (a) Determination of start temperature (Ts), onset temperature (</w:t>
      </w:r>
      <w:proofErr w:type="spellStart"/>
      <w:r w:rsidRPr="00506C7C">
        <w:rPr>
          <w:rFonts w:ascii="Arial" w:eastAsia="Arial" w:hAnsi="Arial" w:cs="Arial"/>
          <w:i/>
          <w:color w:val="000000" w:themeColor="text1"/>
          <w:sz w:val="18"/>
          <w:szCs w:val="18"/>
        </w:rPr>
        <w:t>Tonset</w:t>
      </w:r>
      <w:proofErr w:type="spellEnd"/>
      <w:r w:rsidRPr="00506C7C">
        <w:rPr>
          <w:rFonts w:ascii="Arial" w:eastAsia="Arial" w:hAnsi="Arial" w:cs="Arial"/>
          <w:i/>
          <w:color w:val="000000" w:themeColor="text1"/>
          <w:sz w:val="18"/>
          <w:szCs w:val="18"/>
        </w:rPr>
        <w:t>) and maximum heat flow temperature (</w:t>
      </w:r>
      <w:proofErr w:type="spellStart"/>
      <w:r w:rsidRPr="00506C7C">
        <w:rPr>
          <w:rFonts w:ascii="Arial" w:eastAsia="Arial" w:hAnsi="Arial" w:cs="Arial"/>
          <w:i/>
          <w:color w:val="000000" w:themeColor="text1"/>
          <w:sz w:val="18"/>
          <w:szCs w:val="18"/>
        </w:rPr>
        <w:t>Tp</w:t>
      </w:r>
      <w:proofErr w:type="spellEnd"/>
      <w:r w:rsidRPr="00506C7C">
        <w:rPr>
          <w:rFonts w:ascii="Arial" w:eastAsia="Arial" w:hAnsi="Arial" w:cs="Arial"/>
          <w:i/>
          <w:color w:val="000000" w:themeColor="text1"/>
          <w:sz w:val="18"/>
          <w:szCs w:val="18"/>
        </w:rPr>
        <w:t>). (b) First and Second derivatives of EVOO DSC curve.</w:t>
      </w:r>
    </w:p>
    <w:p w14:paraId="740176FE" w14:textId="77777777" w:rsidR="00D4441D" w:rsidRPr="00506C7C" w:rsidRDefault="00D4441D">
      <w:pPr>
        <w:pBdr>
          <w:top w:val="nil"/>
          <w:left w:val="nil"/>
          <w:bottom w:val="nil"/>
          <w:right w:val="nil"/>
          <w:between w:val="nil"/>
        </w:pBdr>
        <w:jc w:val="both"/>
        <w:rPr>
          <w:rFonts w:ascii="Arial" w:eastAsia="Arial" w:hAnsi="Arial" w:cs="Arial"/>
          <w:i/>
          <w:color w:val="000000" w:themeColor="text1"/>
          <w:sz w:val="18"/>
          <w:szCs w:val="18"/>
        </w:rPr>
      </w:pPr>
    </w:p>
    <w:p w14:paraId="773ED73F" w14:textId="77777777" w:rsidR="00D4441D" w:rsidRPr="00506C7C" w:rsidRDefault="00506C7C">
      <w:pPr>
        <w:keepNext/>
        <w:pBdr>
          <w:top w:val="nil"/>
          <w:left w:val="nil"/>
          <w:bottom w:val="nil"/>
          <w:right w:val="nil"/>
          <w:between w:val="nil"/>
        </w:pBdr>
        <w:spacing w:before="120" w:after="120"/>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2.4</w:t>
      </w:r>
      <w:r w:rsidRPr="00506C7C">
        <w:rPr>
          <w:rFonts w:ascii="Arial" w:eastAsia="Arial" w:hAnsi="Arial" w:cs="Arial"/>
          <w:b/>
          <w:color w:val="000000" w:themeColor="text1"/>
          <w:sz w:val="18"/>
          <w:szCs w:val="18"/>
        </w:rPr>
        <w:t xml:space="preserve"> Oxidation Kinetic Study</w:t>
      </w:r>
    </w:p>
    <w:p w14:paraId="40D47829" w14:textId="77777777" w:rsidR="00D4441D" w:rsidRPr="00506C7C" w:rsidRDefault="00506C7C">
      <w:pPr>
        <w:pBdr>
          <w:top w:val="nil"/>
          <w:left w:val="nil"/>
          <w:bottom w:val="nil"/>
          <w:right w:val="nil"/>
          <w:between w:val="nil"/>
        </w:pBdr>
        <w:tabs>
          <w:tab w:val="right" w:pos="7100"/>
        </w:tabs>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The characteristic temperatures identified on DSC </w:t>
      </w:r>
      <w:r w:rsidRPr="00506C7C">
        <w:rPr>
          <w:rFonts w:ascii="Arial" w:eastAsia="Arial" w:hAnsi="Arial" w:cs="Arial"/>
          <w:color w:val="000000" w:themeColor="text1"/>
          <w:sz w:val="18"/>
          <w:szCs w:val="18"/>
        </w:rPr>
        <w:t>curves</w:t>
      </w:r>
      <w:r w:rsidRPr="00506C7C">
        <w:rPr>
          <w:rFonts w:ascii="Arial" w:eastAsia="Arial" w:hAnsi="Arial" w:cs="Arial"/>
          <w:color w:val="000000" w:themeColor="text1"/>
          <w:sz w:val="18"/>
          <w:szCs w:val="18"/>
        </w:rPr>
        <w:t xml:space="preserve"> were used to calculate the effective activation energy (</w:t>
      </w: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rPr>
        <w:t>) and the pre-exponential factor (z) of the Ozawa-Flynn-Wall method. Using this m</w:t>
      </w:r>
      <w:r w:rsidRPr="00506C7C">
        <w:rPr>
          <w:rFonts w:ascii="Arial" w:eastAsia="Arial" w:hAnsi="Arial" w:cs="Arial"/>
          <w:color w:val="000000" w:themeColor="text1"/>
          <w:sz w:val="18"/>
          <w:szCs w:val="18"/>
        </w:rPr>
        <w:t>ethod, 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 xml:space="preserve">,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w:t>
      </w:r>
      <w:r w:rsidRPr="00506C7C">
        <w:rPr>
          <w:rFonts w:ascii="Arial" w:eastAsia="Arial" w:hAnsi="Arial" w:cs="Arial"/>
          <w:color w:val="000000" w:themeColor="text1"/>
          <w:sz w:val="18"/>
          <w:szCs w:val="18"/>
          <w:vertAlign w:val="subscript"/>
        </w:rPr>
        <w:t>t</w:t>
      </w:r>
      <w:proofErr w:type="spellEnd"/>
      <w:r w:rsidRPr="00506C7C">
        <w:rPr>
          <w:rFonts w:ascii="Arial" w:eastAsia="Arial" w:hAnsi="Arial" w:cs="Arial"/>
          <w:color w:val="000000" w:themeColor="text1"/>
          <w:sz w:val="18"/>
          <w:szCs w:val="18"/>
        </w:rPr>
        <w:t xml:space="preserve"> and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rPr>
        <w:t xml:space="preserve"> values calculated for each heating rate (</w:t>
      </w:r>
      <m:oMath>
        <m:r>
          <w:rPr>
            <w:rFonts w:ascii="Cambria Math" w:hAnsi="Cambria Math"/>
            <w:color w:val="000000" w:themeColor="text1"/>
          </w:rPr>
          <m:t>β</m:t>
        </m:r>
      </m:oMath>
      <w:r w:rsidRPr="00506C7C">
        <w:rPr>
          <w:rFonts w:ascii="Arial" w:eastAsia="Arial" w:hAnsi="Arial" w:cs="Arial"/>
          <w:color w:val="000000" w:themeColor="text1"/>
          <w:sz w:val="18"/>
          <w:szCs w:val="18"/>
        </w:rPr>
        <w:t xml:space="preserve">), were used to calculate the kinetic parameters as follows: </w:t>
      </w:r>
    </w:p>
    <w:p w14:paraId="32128281"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                                                        </w:t>
      </w:r>
      <m:oMath>
        <m:r>
          <w:rPr>
            <w:rFonts w:ascii="Cambria Math" w:eastAsia="Cambria Math" w:hAnsi="Cambria Math" w:cs="Cambria Math"/>
            <w:color w:val="000000" w:themeColor="text1"/>
            <w:sz w:val="18"/>
            <w:szCs w:val="18"/>
          </w:rPr>
          <m:t>logβ</m:t>
        </m:r>
        <m:r>
          <w:rPr>
            <w:rFonts w:ascii="Cambria Math" w:eastAsia="Cambria Math" w:hAnsi="Cambria Math" w:cs="Cambria Math"/>
            <w:color w:val="000000" w:themeColor="text1"/>
            <w:sz w:val="18"/>
            <w:szCs w:val="18"/>
          </w:rPr>
          <m:t>=</m:t>
        </m:r>
        <m:r>
          <w:rPr>
            <w:rFonts w:ascii="Cambria Math" w:eastAsia="Cambria Math" w:hAnsi="Cambria Math" w:cs="Cambria Math"/>
            <w:color w:val="000000" w:themeColor="text1"/>
            <w:sz w:val="18"/>
            <w:szCs w:val="18"/>
          </w:rPr>
          <m:t>a</m:t>
        </m:r>
        <m:f>
          <m:fPr>
            <m:ctrlPr>
              <w:rPr>
                <w:rFonts w:ascii="Cambria Math" w:eastAsia="Cambria Math" w:hAnsi="Cambria Math" w:cs="Cambria Math"/>
                <w:color w:val="000000" w:themeColor="text1"/>
                <w:sz w:val="18"/>
                <w:szCs w:val="18"/>
              </w:rPr>
            </m:ctrlPr>
          </m:fPr>
          <m:num>
            <m:r>
              <w:rPr>
                <w:rFonts w:ascii="Cambria Math" w:eastAsia="Cambria Math" w:hAnsi="Cambria Math" w:cs="Cambria Math"/>
                <w:color w:val="000000" w:themeColor="text1"/>
                <w:sz w:val="18"/>
                <w:szCs w:val="18"/>
              </w:rPr>
              <m:t>1</m:t>
            </m:r>
          </m:num>
          <m:den>
            <m:r>
              <w:rPr>
                <w:rFonts w:ascii="Cambria Math" w:eastAsia="Cambria Math" w:hAnsi="Cambria Math" w:cs="Cambria Math"/>
                <w:color w:val="000000" w:themeColor="text1"/>
                <w:sz w:val="18"/>
                <w:szCs w:val="18"/>
              </w:rPr>
              <m:t>T</m:t>
            </m:r>
          </m:den>
        </m:f>
        <m:r>
          <w:rPr>
            <w:rFonts w:ascii="Cambria Math" w:eastAsia="Cambria Math" w:hAnsi="Cambria Math" w:cs="Cambria Math"/>
            <w:color w:val="000000" w:themeColor="text1"/>
            <w:sz w:val="18"/>
            <w:szCs w:val="18"/>
          </w:rPr>
          <m:t>+</m:t>
        </m:r>
        <m:r>
          <w:rPr>
            <w:rFonts w:ascii="Cambria Math" w:eastAsia="Cambria Math" w:hAnsi="Cambria Math" w:cs="Cambria Math"/>
            <w:color w:val="000000" w:themeColor="text1"/>
            <w:sz w:val="18"/>
            <w:szCs w:val="18"/>
          </w:rPr>
          <m:t>b</m:t>
        </m:r>
      </m:oMath>
      <w:r w:rsidRPr="00506C7C">
        <w:rPr>
          <w:rFonts w:ascii="Arial" w:eastAsia="Arial" w:hAnsi="Arial" w:cs="Arial"/>
          <w:color w:val="000000" w:themeColor="text1"/>
          <w:sz w:val="18"/>
          <w:szCs w:val="18"/>
        </w:rPr>
        <w:t xml:space="preserve">                                       (1)</w:t>
      </w:r>
    </w:p>
    <w:p w14:paraId="0B255EE4"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where </w:t>
      </w:r>
      <m:oMath>
        <m:r>
          <w:rPr>
            <w:rFonts w:ascii="Cambria Math" w:hAnsi="Cambria Math"/>
            <w:color w:val="000000" w:themeColor="text1"/>
          </w:rPr>
          <m:t>β</m:t>
        </m:r>
      </m:oMath>
      <w:r w:rsidRPr="00506C7C">
        <w:rPr>
          <w:rFonts w:ascii="Arial" w:eastAsia="Arial" w:hAnsi="Arial" w:cs="Arial"/>
          <w:color w:val="000000" w:themeColor="text1"/>
          <w:sz w:val="18"/>
          <w:szCs w:val="18"/>
        </w:rPr>
        <w:t xml:space="preserve"> is the heating rate (K/mi</w:t>
      </w:r>
      <w:r w:rsidRPr="00506C7C">
        <w:rPr>
          <w:rFonts w:ascii="Arial" w:eastAsia="Arial" w:hAnsi="Arial" w:cs="Arial"/>
          <w:color w:val="000000" w:themeColor="text1"/>
          <w:sz w:val="18"/>
          <w:szCs w:val="18"/>
        </w:rPr>
        <w:t xml:space="preserve">n) and T are the </w:t>
      </w:r>
      <w:r w:rsidRPr="00506C7C">
        <w:rPr>
          <w:rFonts w:ascii="Arial" w:eastAsia="Arial" w:hAnsi="Arial" w:cs="Arial"/>
          <w:color w:val="000000" w:themeColor="text1"/>
          <w:sz w:val="18"/>
          <w:szCs w:val="18"/>
        </w:rPr>
        <w:t>temperatures 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 xml:space="preserve"> (K),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 xml:space="preserve"> (K) </w:t>
      </w:r>
      <w:r w:rsidRPr="00506C7C">
        <w:rPr>
          <w:rFonts w:ascii="Arial" w:eastAsia="Arial" w:hAnsi="Arial" w:cs="Arial"/>
          <w:color w:val="000000" w:themeColor="text1"/>
          <w:sz w:val="18"/>
          <w:szCs w:val="18"/>
        </w:rPr>
        <w:t xml:space="preserve">and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vertAlign w:val="subscript"/>
        </w:rPr>
        <w:t xml:space="preserve"> </w:t>
      </w:r>
      <w:r w:rsidRPr="00506C7C">
        <w:rPr>
          <w:rFonts w:ascii="Arial" w:eastAsia="Arial" w:hAnsi="Arial" w:cs="Arial"/>
          <w:color w:val="000000" w:themeColor="text1"/>
          <w:sz w:val="18"/>
          <w:szCs w:val="18"/>
        </w:rPr>
        <w:t xml:space="preserve">(K). By plotting </w:t>
      </w:r>
      <m:oMath>
        <m:r>
          <w:rPr>
            <w:rFonts w:ascii="Cambria Math" w:eastAsia="Cambria Math" w:hAnsi="Cambria Math" w:cs="Cambria Math"/>
            <w:color w:val="000000" w:themeColor="text1"/>
            <w:sz w:val="18"/>
            <w:szCs w:val="18"/>
          </w:rPr>
          <m:t>logβ</m:t>
        </m:r>
      </m:oMath>
      <w:r w:rsidRPr="00506C7C">
        <w:rPr>
          <w:rFonts w:ascii="Arial" w:eastAsia="Arial" w:hAnsi="Arial" w:cs="Arial"/>
          <w:color w:val="000000" w:themeColor="text1"/>
          <w:sz w:val="18"/>
          <w:szCs w:val="18"/>
        </w:rPr>
        <w:t xml:space="preserve"> versus 1/T, the effective activation energy E</w:t>
      </w:r>
      <w:r w:rsidRPr="00506C7C">
        <w:rPr>
          <w:rFonts w:ascii="Arial" w:eastAsia="Arial" w:hAnsi="Arial" w:cs="Arial"/>
          <w:color w:val="000000" w:themeColor="text1"/>
          <w:sz w:val="18"/>
          <w:szCs w:val="18"/>
          <w:vertAlign w:val="subscript"/>
        </w:rPr>
        <w:t>a</w:t>
      </w:r>
      <w:r w:rsidRPr="00506C7C">
        <w:rPr>
          <w:rFonts w:ascii="Arial" w:eastAsia="Arial" w:hAnsi="Arial" w:cs="Arial"/>
          <w:color w:val="000000" w:themeColor="text1"/>
          <w:sz w:val="18"/>
          <w:szCs w:val="18"/>
        </w:rPr>
        <w:t xml:space="preserve"> and the pre-exponential factor z can be determined directly from the slope and the intercept, according to the equation (2) and</w:t>
      </w:r>
      <w:r w:rsidRPr="00506C7C">
        <w:rPr>
          <w:rFonts w:ascii="Arial" w:eastAsia="Arial" w:hAnsi="Arial" w:cs="Arial"/>
          <w:color w:val="000000" w:themeColor="text1"/>
          <w:sz w:val="18"/>
          <w:szCs w:val="18"/>
        </w:rPr>
        <w:t xml:space="preserve"> (3):</w:t>
      </w:r>
    </w:p>
    <w:p w14:paraId="33B60401"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                                                      </w:t>
      </w:r>
      <m:oMath>
        <m:r>
          <w:rPr>
            <w:rFonts w:ascii="Cambria Math" w:eastAsia="Cambria Math" w:hAnsi="Cambria Math" w:cs="Cambria Math"/>
            <w:color w:val="000000" w:themeColor="text1"/>
            <w:sz w:val="18"/>
            <w:szCs w:val="18"/>
          </w:rPr>
          <m:t>a</m:t>
        </m:r>
        <m:r>
          <w:rPr>
            <w:rFonts w:ascii="Cambria Math" w:eastAsia="Cambria Math" w:hAnsi="Cambria Math" w:cs="Cambria Math"/>
            <w:color w:val="000000" w:themeColor="text1"/>
            <w:sz w:val="18"/>
            <w:szCs w:val="18"/>
          </w:rPr>
          <m:t>= -0.4567</m:t>
        </m:r>
        <m:f>
          <m:fPr>
            <m:ctrlPr>
              <w:rPr>
                <w:rFonts w:ascii="Cambria Math" w:eastAsia="Cambria Math" w:hAnsi="Cambria Math" w:cs="Cambria Math"/>
                <w:color w:val="000000" w:themeColor="text1"/>
                <w:sz w:val="18"/>
                <w:szCs w:val="18"/>
              </w:rPr>
            </m:ctrlPr>
          </m:fPr>
          <m:num>
            <m:r>
              <w:rPr>
                <w:rFonts w:ascii="Cambria Math" w:eastAsia="Cambria Math" w:hAnsi="Cambria Math" w:cs="Cambria Math"/>
                <w:color w:val="000000" w:themeColor="text1"/>
                <w:sz w:val="18"/>
                <w:szCs w:val="18"/>
              </w:rPr>
              <m:t>E</m:t>
            </m:r>
          </m:num>
          <m:den>
            <m:r>
              <w:rPr>
                <w:rFonts w:ascii="Cambria Math" w:eastAsia="Cambria Math" w:hAnsi="Cambria Math" w:cs="Cambria Math"/>
                <w:color w:val="000000" w:themeColor="text1"/>
                <w:sz w:val="18"/>
                <w:szCs w:val="18"/>
              </w:rPr>
              <m:t>R</m:t>
            </m:r>
          </m:den>
        </m:f>
      </m:oMath>
      <w:r w:rsidRPr="00506C7C">
        <w:rPr>
          <w:rFonts w:ascii="Arial" w:eastAsia="Arial" w:hAnsi="Arial" w:cs="Arial"/>
          <w:color w:val="000000" w:themeColor="text1"/>
          <w:sz w:val="18"/>
          <w:szCs w:val="18"/>
        </w:rPr>
        <w:t xml:space="preserve">                                         (2) </w:t>
      </w:r>
      <w:r w:rsidRPr="00506C7C">
        <w:rPr>
          <w:rFonts w:ascii="Arial" w:eastAsia="Arial" w:hAnsi="Arial" w:cs="Arial"/>
          <w:color w:val="000000" w:themeColor="text1"/>
          <w:sz w:val="18"/>
          <w:szCs w:val="18"/>
        </w:rPr>
        <w:tab/>
      </w:r>
    </w:p>
    <w:p w14:paraId="68C47686"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                                                   </w:t>
      </w:r>
      <m:oMath>
        <m:r>
          <w:rPr>
            <w:rFonts w:ascii="Cambria Math" w:eastAsia="Cambria Math" w:hAnsi="Cambria Math" w:cs="Cambria Math"/>
            <w:color w:val="000000" w:themeColor="text1"/>
            <w:sz w:val="18"/>
            <w:szCs w:val="18"/>
          </w:rPr>
          <m:t>b</m:t>
        </m:r>
        <m:r>
          <w:rPr>
            <w:rFonts w:ascii="Cambria Math" w:eastAsia="Cambria Math" w:hAnsi="Cambria Math" w:cs="Cambria Math"/>
            <w:color w:val="000000" w:themeColor="text1"/>
            <w:sz w:val="18"/>
            <w:szCs w:val="18"/>
          </w:rPr>
          <m:t>= -2.315+</m:t>
        </m:r>
        <m:r>
          <w:rPr>
            <w:rFonts w:ascii="Cambria Math" w:eastAsia="Cambria Math" w:hAnsi="Cambria Math" w:cs="Cambria Math"/>
            <w:color w:val="000000" w:themeColor="text1"/>
            <w:sz w:val="18"/>
            <w:szCs w:val="18"/>
          </w:rPr>
          <m:t>log</m:t>
        </m:r>
        <m:d>
          <m:dPr>
            <m:ctrlPr>
              <w:rPr>
                <w:rFonts w:ascii="Cambria Math" w:eastAsia="Cambria Math" w:hAnsi="Cambria Math" w:cs="Cambria Math"/>
                <w:color w:val="000000" w:themeColor="text1"/>
                <w:sz w:val="18"/>
                <w:szCs w:val="18"/>
              </w:rPr>
            </m:ctrlPr>
          </m:dPr>
          <m:e>
            <m:r>
              <w:rPr>
                <w:rFonts w:ascii="Cambria Math" w:eastAsia="Cambria Math" w:hAnsi="Cambria Math" w:cs="Cambria Math"/>
                <w:color w:val="000000" w:themeColor="text1"/>
                <w:sz w:val="18"/>
                <w:szCs w:val="18"/>
              </w:rPr>
              <m:t>z</m:t>
            </m:r>
            <m:f>
              <m:fPr>
                <m:ctrlPr>
                  <w:rPr>
                    <w:rFonts w:ascii="Cambria Math" w:eastAsia="Cambria Math" w:hAnsi="Cambria Math" w:cs="Cambria Math"/>
                    <w:color w:val="000000" w:themeColor="text1"/>
                    <w:sz w:val="18"/>
                    <w:szCs w:val="18"/>
                  </w:rPr>
                </m:ctrlPr>
              </m:fPr>
              <m:num>
                <m:r>
                  <w:rPr>
                    <w:rFonts w:ascii="Cambria Math" w:eastAsia="Cambria Math" w:hAnsi="Cambria Math" w:cs="Cambria Math"/>
                    <w:color w:val="000000" w:themeColor="text1"/>
                    <w:sz w:val="18"/>
                    <w:szCs w:val="18"/>
                  </w:rPr>
                  <m:t>E</m:t>
                </m:r>
              </m:num>
              <m:den>
                <m:r>
                  <w:rPr>
                    <w:rFonts w:ascii="Cambria Math" w:eastAsia="Cambria Math" w:hAnsi="Cambria Math" w:cs="Cambria Math"/>
                    <w:color w:val="000000" w:themeColor="text1"/>
                    <w:sz w:val="18"/>
                    <w:szCs w:val="18"/>
                  </w:rPr>
                  <m:t>R</m:t>
                </m:r>
              </m:den>
            </m:f>
          </m:e>
        </m:d>
      </m:oMath>
      <w:r w:rsidRPr="00506C7C">
        <w:rPr>
          <w:rFonts w:ascii="Arial" w:eastAsia="Arial" w:hAnsi="Arial" w:cs="Arial"/>
          <w:color w:val="000000" w:themeColor="text1"/>
          <w:sz w:val="18"/>
          <w:szCs w:val="18"/>
        </w:rPr>
        <w:t xml:space="preserve">                               (3)</w:t>
      </w:r>
    </w:p>
    <w:p w14:paraId="5403DC8D"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where </w:t>
      </w:r>
      <w:r w:rsidRPr="00506C7C">
        <w:rPr>
          <w:rFonts w:ascii="Arial" w:eastAsia="Arial" w:hAnsi="Arial" w:cs="Arial"/>
          <w:i/>
          <w:color w:val="000000" w:themeColor="text1"/>
          <w:sz w:val="18"/>
          <w:szCs w:val="18"/>
        </w:rPr>
        <w:t>a</w:t>
      </w:r>
      <w:r w:rsidRPr="00506C7C">
        <w:rPr>
          <w:rFonts w:ascii="Arial" w:eastAsia="Arial" w:hAnsi="Arial" w:cs="Arial"/>
          <w:color w:val="000000" w:themeColor="text1"/>
          <w:sz w:val="18"/>
          <w:szCs w:val="18"/>
        </w:rPr>
        <w:t xml:space="preserve"> e </w:t>
      </w:r>
      <w:r w:rsidRPr="00506C7C">
        <w:rPr>
          <w:rFonts w:ascii="Arial" w:eastAsia="Arial" w:hAnsi="Arial" w:cs="Arial"/>
          <w:i/>
          <w:color w:val="000000" w:themeColor="text1"/>
          <w:sz w:val="18"/>
          <w:szCs w:val="18"/>
        </w:rPr>
        <w:t>b</w:t>
      </w:r>
      <w:r w:rsidRPr="00506C7C">
        <w:rPr>
          <w:rFonts w:ascii="Arial" w:eastAsia="Arial" w:hAnsi="Arial" w:cs="Arial"/>
          <w:color w:val="000000" w:themeColor="text1"/>
          <w:sz w:val="18"/>
          <w:szCs w:val="18"/>
        </w:rPr>
        <w:t xml:space="preserve"> are the slope</w:t>
      </w:r>
      <w:r w:rsidRPr="00506C7C">
        <w:rPr>
          <w:rFonts w:ascii="Arial" w:eastAsia="Arial" w:hAnsi="Arial" w:cs="Arial"/>
          <w:color w:val="000000" w:themeColor="text1"/>
          <w:sz w:val="18"/>
          <w:szCs w:val="18"/>
        </w:rPr>
        <w:t xml:space="preserve"> and the intercept from equation (1) respectively, R is the universal gas constant (8.31 J mol</w:t>
      </w:r>
      <w:r w:rsidRPr="00506C7C">
        <w:rPr>
          <w:rFonts w:ascii="Arial" w:eastAsia="Arial" w:hAnsi="Arial" w:cs="Arial"/>
          <w:color w:val="000000" w:themeColor="text1"/>
          <w:sz w:val="18"/>
          <w:szCs w:val="18"/>
          <w:vertAlign w:val="superscript"/>
        </w:rPr>
        <w:t>-1</w:t>
      </w:r>
      <w:r w:rsidRPr="00506C7C">
        <w:rPr>
          <w:rFonts w:ascii="Arial" w:eastAsia="Arial" w:hAnsi="Arial" w:cs="Arial"/>
          <w:color w:val="000000" w:themeColor="text1"/>
          <w:sz w:val="18"/>
          <w:szCs w:val="18"/>
        </w:rPr>
        <w:t xml:space="preserve"> K</w:t>
      </w:r>
      <w:r w:rsidRPr="00506C7C">
        <w:rPr>
          <w:rFonts w:ascii="Arial" w:eastAsia="Arial" w:hAnsi="Arial" w:cs="Arial"/>
          <w:color w:val="000000" w:themeColor="text1"/>
          <w:sz w:val="18"/>
          <w:szCs w:val="18"/>
          <w:vertAlign w:val="superscript"/>
        </w:rPr>
        <w:t>-1</w:t>
      </w:r>
      <w:r w:rsidRPr="00506C7C">
        <w:rPr>
          <w:rFonts w:ascii="Arial" w:eastAsia="Arial" w:hAnsi="Arial" w:cs="Arial"/>
          <w:color w:val="000000" w:themeColor="text1"/>
          <w:sz w:val="18"/>
          <w:szCs w:val="18"/>
        </w:rPr>
        <w:t xml:space="preserve">). Values </w:t>
      </w: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rPr>
        <w:t xml:space="preserve"> and z were used to calculate the constant rate (k) at 200°C from the following Arrhenius equation:</w:t>
      </w:r>
    </w:p>
    <w:p w14:paraId="33310050"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                                                        </w:t>
      </w:r>
      <m:oMath>
        <m:r>
          <w:rPr>
            <w:rFonts w:ascii="Cambria Math" w:eastAsia="Cambria Math" w:hAnsi="Cambria Math" w:cs="Cambria Math"/>
            <w:color w:val="000000" w:themeColor="text1"/>
            <w:sz w:val="18"/>
            <w:szCs w:val="18"/>
          </w:rPr>
          <m:t>k</m:t>
        </m:r>
        <m:r>
          <w:rPr>
            <w:rFonts w:ascii="Cambria Math" w:eastAsia="Cambria Math" w:hAnsi="Cambria Math" w:cs="Cambria Math"/>
            <w:color w:val="000000" w:themeColor="text1"/>
            <w:sz w:val="18"/>
            <w:szCs w:val="18"/>
          </w:rPr>
          <m:t>=</m:t>
        </m:r>
        <m:r>
          <w:rPr>
            <w:rFonts w:ascii="Cambria Math" w:eastAsia="Cambria Math" w:hAnsi="Cambria Math" w:cs="Cambria Math"/>
            <w:color w:val="000000" w:themeColor="text1"/>
            <w:sz w:val="18"/>
            <w:szCs w:val="18"/>
          </w:rPr>
          <m:t>zex</m:t>
        </m:r>
        <m:sSup>
          <m:sSupPr>
            <m:ctrlPr>
              <w:rPr>
                <w:rFonts w:ascii="Cambria Math" w:eastAsia="Cambria Math" w:hAnsi="Cambria Math" w:cs="Cambria Math"/>
                <w:color w:val="000000" w:themeColor="text1"/>
                <w:sz w:val="18"/>
                <w:szCs w:val="18"/>
              </w:rPr>
            </m:ctrlPr>
          </m:sSupPr>
          <m:e>
            <m:r>
              <w:rPr>
                <w:rFonts w:ascii="Cambria Math" w:eastAsia="Cambria Math" w:hAnsi="Cambria Math" w:cs="Cambria Math"/>
                <w:color w:val="000000" w:themeColor="text1"/>
                <w:sz w:val="18"/>
                <w:szCs w:val="18"/>
              </w:rPr>
              <m:t>p</m:t>
            </m:r>
          </m:e>
          <m:sup>
            <m:d>
              <m:dPr>
                <m:ctrlPr>
                  <w:rPr>
                    <w:rFonts w:ascii="Cambria Math" w:eastAsia="Cambria Math" w:hAnsi="Cambria Math" w:cs="Cambria Math"/>
                    <w:color w:val="000000" w:themeColor="text1"/>
                    <w:sz w:val="18"/>
                    <w:szCs w:val="18"/>
                  </w:rPr>
                </m:ctrlPr>
              </m:dPr>
              <m:e>
                <m:f>
                  <m:fPr>
                    <m:ctrlPr>
                      <w:rPr>
                        <w:rFonts w:ascii="Cambria Math" w:eastAsia="Cambria Math" w:hAnsi="Cambria Math" w:cs="Cambria Math"/>
                        <w:color w:val="000000" w:themeColor="text1"/>
                        <w:sz w:val="18"/>
                        <w:szCs w:val="18"/>
                      </w:rPr>
                    </m:ctrlPr>
                  </m:fPr>
                  <m:num>
                    <m:r>
                      <w:rPr>
                        <w:rFonts w:ascii="Cambria Math" w:eastAsia="Cambria Math" w:hAnsi="Cambria Math" w:cs="Cambria Math"/>
                        <w:color w:val="000000" w:themeColor="text1"/>
                        <w:sz w:val="18"/>
                        <w:szCs w:val="18"/>
                      </w:rPr>
                      <m:t>-</m:t>
                    </m:r>
                    <m:r>
                      <w:rPr>
                        <w:rFonts w:ascii="Cambria Math" w:eastAsia="Cambria Math" w:hAnsi="Cambria Math" w:cs="Cambria Math"/>
                        <w:color w:val="000000" w:themeColor="text1"/>
                        <w:sz w:val="18"/>
                        <w:szCs w:val="18"/>
                      </w:rPr>
                      <m:t>E</m:t>
                    </m:r>
                  </m:num>
                  <m:den>
                    <m:r>
                      <w:rPr>
                        <w:rFonts w:ascii="Cambria Math" w:eastAsia="Cambria Math" w:hAnsi="Cambria Math" w:cs="Cambria Math"/>
                        <w:color w:val="000000" w:themeColor="text1"/>
                        <w:sz w:val="18"/>
                        <w:szCs w:val="18"/>
                      </w:rPr>
                      <m:t>RT</m:t>
                    </m:r>
                  </m:den>
                </m:f>
              </m:e>
            </m:d>
          </m:sup>
        </m:sSup>
      </m:oMath>
      <w:r w:rsidRPr="00506C7C">
        <w:rPr>
          <w:rFonts w:ascii="Arial" w:eastAsia="Arial" w:hAnsi="Arial" w:cs="Arial"/>
          <w:color w:val="000000" w:themeColor="text1"/>
          <w:sz w:val="18"/>
          <w:szCs w:val="18"/>
        </w:rPr>
        <w:t xml:space="preserve">                                          (4)</w:t>
      </w:r>
    </w:p>
    <w:p w14:paraId="79E5D6E6" w14:textId="77777777" w:rsidR="00D4441D" w:rsidRPr="00506C7C" w:rsidRDefault="00506C7C">
      <w:pPr>
        <w:keepNext/>
        <w:pBdr>
          <w:top w:val="nil"/>
          <w:left w:val="nil"/>
          <w:bottom w:val="nil"/>
          <w:right w:val="nil"/>
          <w:between w:val="nil"/>
        </w:pBdr>
        <w:spacing w:before="120" w:after="120"/>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2.5</w:t>
      </w:r>
      <w:r w:rsidRPr="00506C7C">
        <w:rPr>
          <w:rFonts w:ascii="Arial" w:eastAsia="Arial" w:hAnsi="Arial" w:cs="Arial"/>
          <w:b/>
          <w:color w:val="000000" w:themeColor="text1"/>
          <w:sz w:val="18"/>
          <w:szCs w:val="18"/>
        </w:rPr>
        <w:t xml:space="preserve"> Statistical analysis</w:t>
      </w:r>
    </w:p>
    <w:p w14:paraId="01722D98" w14:textId="77777777" w:rsidR="00D4441D" w:rsidRPr="00506C7C" w:rsidRDefault="00506C7C">
      <w:pPr>
        <w:pBdr>
          <w:top w:val="nil"/>
          <w:left w:val="nil"/>
          <w:bottom w:val="nil"/>
          <w:right w:val="nil"/>
          <w:between w:val="nil"/>
        </w:pBdr>
        <w:tabs>
          <w:tab w:val="right" w:pos="7100"/>
        </w:tabs>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All </w:t>
      </w:r>
      <w:r w:rsidRPr="00506C7C">
        <w:rPr>
          <w:rFonts w:ascii="Arial" w:eastAsia="Arial" w:hAnsi="Arial" w:cs="Arial"/>
          <w:color w:val="000000" w:themeColor="text1"/>
          <w:sz w:val="18"/>
          <w:szCs w:val="18"/>
        </w:rPr>
        <w:t>analyse</w:t>
      </w:r>
      <w:r w:rsidRPr="00506C7C">
        <w:rPr>
          <w:rFonts w:ascii="Arial" w:eastAsia="Arial" w:hAnsi="Arial" w:cs="Arial"/>
          <w:color w:val="000000" w:themeColor="text1"/>
          <w:sz w:val="18"/>
          <w:szCs w:val="18"/>
        </w:rPr>
        <w:t>s</w:t>
      </w:r>
      <w:r w:rsidRPr="00506C7C">
        <w:rPr>
          <w:rFonts w:ascii="Arial" w:eastAsia="Arial" w:hAnsi="Arial" w:cs="Arial"/>
          <w:color w:val="000000" w:themeColor="text1"/>
          <w:sz w:val="18"/>
          <w:szCs w:val="18"/>
        </w:rPr>
        <w:t xml:space="preserve"> were conducted in triplicates. </w:t>
      </w:r>
      <w:r w:rsidRPr="00506C7C">
        <w:rPr>
          <w:rFonts w:ascii="Arial" w:eastAsia="Arial" w:hAnsi="Arial" w:cs="Arial"/>
          <w:color w:val="000000" w:themeColor="text1"/>
          <w:sz w:val="18"/>
          <w:szCs w:val="18"/>
        </w:rPr>
        <w:t xml:space="preserve">The analysis of variance (ANOVA) was used to analyze all experimental thermal data, expressed as </w:t>
      </w:r>
      <w:r w:rsidRPr="00506C7C">
        <w:rPr>
          <w:rFonts w:ascii="Arial" w:eastAsia="Arial" w:hAnsi="Arial" w:cs="Arial"/>
          <w:color w:val="000000" w:themeColor="text1"/>
          <w:sz w:val="18"/>
          <w:szCs w:val="18"/>
        </w:rPr>
        <w:t>mean and standard deviation</w:t>
      </w:r>
      <w:r w:rsidRPr="00506C7C">
        <w:rPr>
          <w:rFonts w:ascii="Arial" w:eastAsia="Arial" w:hAnsi="Arial" w:cs="Arial"/>
          <w:color w:val="000000" w:themeColor="text1"/>
          <w:sz w:val="18"/>
          <w:szCs w:val="18"/>
        </w:rPr>
        <w:t>. T</w:t>
      </w:r>
      <w:r w:rsidRPr="00506C7C">
        <w:rPr>
          <w:rFonts w:ascii="Arial" w:eastAsia="Arial" w:hAnsi="Arial" w:cs="Arial"/>
          <w:color w:val="000000" w:themeColor="text1"/>
          <w:sz w:val="18"/>
          <w:szCs w:val="18"/>
        </w:rPr>
        <w:t>he significant differences (</w:t>
      </w:r>
      <w:r w:rsidRPr="00506C7C">
        <w:rPr>
          <w:rFonts w:ascii="Arial" w:eastAsia="Arial" w:hAnsi="Arial" w:cs="Arial"/>
          <w:i/>
          <w:color w:val="000000" w:themeColor="text1"/>
          <w:sz w:val="18"/>
          <w:szCs w:val="18"/>
        </w:rPr>
        <w:t>p&lt;0.05</w:t>
      </w:r>
      <w:r w:rsidRPr="00506C7C">
        <w:rPr>
          <w:rFonts w:ascii="Arial" w:eastAsia="Arial" w:hAnsi="Arial" w:cs="Arial"/>
          <w:color w:val="000000" w:themeColor="text1"/>
          <w:sz w:val="18"/>
          <w:szCs w:val="18"/>
        </w:rPr>
        <w:t>) among samples were determined by Duncan test with JMP statistical software (SAS Institute. Inc. Cary, NC, USA). </w:t>
      </w:r>
    </w:p>
    <w:p w14:paraId="144BD366" w14:textId="77777777" w:rsidR="00D4441D" w:rsidRPr="00506C7C" w:rsidRDefault="00D4441D">
      <w:pPr>
        <w:pBdr>
          <w:top w:val="nil"/>
          <w:left w:val="nil"/>
          <w:bottom w:val="nil"/>
          <w:right w:val="nil"/>
          <w:between w:val="nil"/>
        </w:pBdr>
        <w:tabs>
          <w:tab w:val="right" w:pos="7100"/>
        </w:tabs>
        <w:jc w:val="both"/>
        <w:rPr>
          <w:rFonts w:ascii="Arial" w:eastAsia="Arial" w:hAnsi="Arial" w:cs="Arial"/>
          <w:color w:val="000000" w:themeColor="text1"/>
          <w:sz w:val="18"/>
          <w:szCs w:val="18"/>
        </w:rPr>
      </w:pPr>
    </w:p>
    <w:p w14:paraId="3BF9A5DB" w14:textId="34335DC8" w:rsidR="00D4441D" w:rsidRPr="00506C7C" w:rsidRDefault="00506C7C" w:rsidP="00506C7C">
      <w:pPr>
        <w:pStyle w:val="Paragrafoelenco"/>
        <w:keepNext/>
        <w:numPr>
          <w:ilvl w:val="0"/>
          <w:numId w:val="5"/>
        </w:numPr>
        <w:pBdr>
          <w:top w:val="nil"/>
          <w:left w:val="nil"/>
          <w:bottom w:val="nil"/>
          <w:right w:val="nil"/>
          <w:between w:val="nil"/>
        </w:pBdr>
        <w:rPr>
          <w:rFonts w:ascii="Arial" w:eastAsia="Arial" w:hAnsi="Arial" w:cs="Arial"/>
          <w:b/>
          <w:color w:val="000000" w:themeColor="text1"/>
          <w:sz w:val="20"/>
          <w:szCs w:val="20"/>
        </w:rPr>
      </w:pPr>
      <w:r w:rsidRPr="00506C7C">
        <w:rPr>
          <w:rFonts w:ascii="Arial" w:eastAsia="Arial" w:hAnsi="Arial" w:cs="Arial"/>
          <w:b/>
          <w:color w:val="000000" w:themeColor="text1"/>
          <w:sz w:val="20"/>
          <w:szCs w:val="20"/>
        </w:rPr>
        <w:t>Results and Discussion</w:t>
      </w:r>
    </w:p>
    <w:p w14:paraId="735C9191" w14:textId="3E14528E" w:rsidR="00D4441D" w:rsidRPr="00506C7C" w:rsidRDefault="00506C7C" w:rsidP="00506C7C">
      <w:pPr>
        <w:pStyle w:val="Paragrafoelenco"/>
        <w:keepNext/>
        <w:numPr>
          <w:ilvl w:val="1"/>
          <w:numId w:val="6"/>
        </w:numPr>
        <w:pBdr>
          <w:top w:val="nil"/>
          <w:left w:val="nil"/>
          <w:bottom w:val="nil"/>
          <w:right w:val="nil"/>
          <w:between w:val="nil"/>
        </w:pBdr>
        <w:spacing w:after="120"/>
        <w:rPr>
          <w:color w:val="000000" w:themeColor="text1"/>
        </w:rPr>
      </w:pPr>
      <w:r w:rsidRPr="00506C7C">
        <w:rPr>
          <w:rFonts w:ascii="Arial" w:eastAsia="Arial" w:hAnsi="Arial" w:cs="Arial"/>
          <w:b/>
          <w:color w:val="000000" w:themeColor="text1"/>
          <w:sz w:val="18"/>
          <w:szCs w:val="18"/>
        </w:rPr>
        <w:t>Oxidative Profiles</w:t>
      </w:r>
    </w:p>
    <w:p w14:paraId="41496974" w14:textId="77777777" w:rsidR="00D4441D" w:rsidRPr="00506C7C" w:rsidRDefault="00506C7C">
      <w:pPr>
        <w:pBdr>
          <w:top w:val="nil"/>
          <w:left w:val="nil"/>
          <w:bottom w:val="nil"/>
          <w:right w:val="nil"/>
          <w:between w:val="nil"/>
        </w:pBdr>
        <w:spacing w:before="120" w:after="240"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rPr>
        <w:t xml:space="preserve">ypical non-isothermal DSC spectra during the heating of EVOO and EVOO-based oleogels samples at different heating rates (5, 7.5, 10, 12.5, 15 °C/min) under oxygen flow were reported in figure 2. </w:t>
      </w:r>
    </w:p>
    <w:p w14:paraId="385F51B2" w14:textId="77777777" w:rsidR="00D4441D" w:rsidRPr="00506C7C" w:rsidRDefault="00506C7C">
      <w:pPr>
        <w:pBdr>
          <w:top w:val="nil"/>
          <w:left w:val="nil"/>
          <w:bottom w:val="nil"/>
          <w:right w:val="nil"/>
          <w:between w:val="nil"/>
        </w:pBdr>
        <w:spacing w:before="240" w:after="240" w:line="264" w:lineRule="auto"/>
        <w:jc w:val="center"/>
        <w:rPr>
          <w:rFonts w:ascii="Arial" w:eastAsia="Arial" w:hAnsi="Arial" w:cs="Arial"/>
          <w:color w:val="000000" w:themeColor="text1"/>
          <w:sz w:val="18"/>
          <w:szCs w:val="18"/>
        </w:rPr>
      </w:pPr>
      <w:r w:rsidRPr="00506C7C">
        <w:rPr>
          <w:rFonts w:ascii="Arial" w:eastAsia="Arial" w:hAnsi="Arial" w:cs="Arial"/>
          <w:noProof/>
          <w:color w:val="000000" w:themeColor="text1"/>
          <w:sz w:val="18"/>
          <w:szCs w:val="18"/>
        </w:rPr>
        <w:lastRenderedPageBreak/>
        <w:drawing>
          <wp:inline distT="114300" distB="114300" distL="114300" distR="114300" wp14:anchorId="7F6D9476" wp14:editId="3A0DED9B">
            <wp:extent cx="3518462" cy="182880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533508" cy="1836621"/>
                    </a:xfrm>
                    <a:prstGeom prst="rect">
                      <a:avLst/>
                    </a:prstGeom>
                    <a:ln/>
                  </pic:spPr>
                </pic:pic>
              </a:graphicData>
            </a:graphic>
          </wp:inline>
        </w:drawing>
      </w:r>
    </w:p>
    <w:p w14:paraId="3BCDE93D" w14:textId="77777777" w:rsidR="00D4441D" w:rsidRPr="00506C7C" w:rsidRDefault="00506C7C">
      <w:pPr>
        <w:pBdr>
          <w:top w:val="nil"/>
          <w:left w:val="nil"/>
          <w:bottom w:val="nil"/>
          <w:right w:val="nil"/>
          <w:between w:val="nil"/>
        </w:pBdr>
        <w:spacing w:before="240" w:after="240" w:line="264" w:lineRule="auto"/>
        <w:jc w:val="center"/>
        <w:rPr>
          <w:rFonts w:ascii="Arial" w:eastAsia="Arial" w:hAnsi="Arial" w:cs="Arial"/>
          <w:i/>
          <w:color w:val="000000" w:themeColor="text1"/>
          <w:sz w:val="18"/>
          <w:szCs w:val="18"/>
        </w:rPr>
      </w:pPr>
      <w:r w:rsidRPr="00506C7C">
        <w:rPr>
          <w:rFonts w:ascii="Arial" w:eastAsia="Arial" w:hAnsi="Arial" w:cs="Arial"/>
          <w:i/>
          <w:color w:val="000000" w:themeColor="text1"/>
          <w:sz w:val="18"/>
          <w:szCs w:val="18"/>
        </w:rPr>
        <w:t>Figure 2: DSC curves of non-isothermal of EVOO (a), BW-ba</w:t>
      </w:r>
      <w:r w:rsidRPr="00506C7C">
        <w:rPr>
          <w:rFonts w:ascii="Arial" w:eastAsia="Arial" w:hAnsi="Arial" w:cs="Arial"/>
          <w:i/>
          <w:color w:val="000000" w:themeColor="text1"/>
          <w:sz w:val="18"/>
          <w:szCs w:val="18"/>
        </w:rPr>
        <w:t>sed oleogel (b), GMS-based oleogel (c), EC-</w:t>
      </w:r>
      <w:proofErr w:type="spellStart"/>
      <w:r w:rsidRPr="00506C7C">
        <w:rPr>
          <w:rFonts w:ascii="Arial" w:eastAsia="Arial" w:hAnsi="Arial" w:cs="Arial"/>
          <w:i/>
          <w:color w:val="000000" w:themeColor="text1"/>
          <w:sz w:val="18"/>
          <w:szCs w:val="18"/>
        </w:rPr>
        <w:t>basedoleo</w:t>
      </w:r>
      <w:proofErr w:type="spellEnd"/>
      <w:r w:rsidRPr="00506C7C">
        <w:rPr>
          <w:rFonts w:ascii="Arial" w:eastAsia="Arial" w:hAnsi="Arial" w:cs="Arial"/>
          <w:i/>
          <w:color w:val="000000" w:themeColor="text1"/>
          <w:sz w:val="18"/>
          <w:szCs w:val="18"/>
        </w:rPr>
        <w:t xml:space="preserve"> gel (c).</w:t>
      </w:r>
    </w:p>
    <w:p w14:paraId="49ED6588" w14:textId="665DD033" w:rsidR="00D4441D" w:rsidRPr="00506C7C" w:rsidRDefault="00506C7C">
      <w:pPr>
        <w:pBdr>
          <w:top w:val="nil"/>
          <w:left w:val="nil"/>
          <w:bottom w:val="nil"/>
          <w:right w:val="nil"/>
          <w:between w:val="nil"/>
        </w:pBdr>
        <w:spacing w:before="240"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As mentioned above, three characteristic temperatures can be evaluated: the start temperature (T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 the onset temperature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 and the maximum heat flow temperature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rPr>
        <w:t>). 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 xml:space="preserve"> indicate the initiation stage and it is related to the reaction between the radical, formed during the induction time, and the unsaturated fatty acid.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 xml:space="preserve"> represents the temperature at which a rapid incre</w:t>
      </w:r>
      <w:r w:rsidRPr="00506C7C">
        <w:rPr>
          <w:rFonts w:ascii="Arial" w:eastAsia="Arial" w:hAnsi="Arial" w:cs="Arial"/>
          <w:color w:val="000000" w:themeColor="text1"/>
          <w:sz w:val="18"/>
          <w:szCs w:val="18"/>
        </w:rPr>
        <w:t xml:space="preserve">ase in heat flow occurs, closely associated with the production of peroxides. For this reason, this temperature is commonly considered the most appropriate parameter to describe lipid oxidation process in non-isothermal conditions. Moreover,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rPr>
        <w:t>, which is t</w:t>
      </w:r>
      <w:r w:rsidRPr="00506C7C">
        <w:rPr>
          <w:rFonts w:ascii="Arial" w:eastAsia="Arial" w:hAnsi="Arial" w:cs="Arial"/>
          <w:color w:val="000000" w:themeColor="text1"/>
          <w:sz w:val="18"/>
          <w:szCs w:val="18"/>
        </w:rPr>
        <w:t>he temperature at which the heat flow has reached the maximum point on the DSC spectra, was indicative of the termination stage of autoxidation phenomena (</w:t>
      </w:r>
      <w:r w:rsidRPr="00506C7C">
        <w:rPr>
          <w:rFonts w:ascii="Arial" w:eastAsia="Arial" w:hAnsi="Arial" w:cs="Arial"/>
          <w:color w:val="000000" w:themeColor="text1"/>
          <w:sz w:val="18"/>
          <w:szCs w:val="18"/>
        </w:rPr>
        <w:t>Kowalski</w:t>
      </w:r>
      <w:r w:rsidRPr="00506C7C">
        <w:rPr>
          <w:rFonts w:ascii="Arial" w:eastAsia="Arial" w:hAnsi="Arial" w:cs="Arial"/>
          <w:color w:val="000000" w:themeColor="text1"/>
          <w:sz w:val="18"/>
          <w:szCs w:val="18"/>
        </w:rPr>
        <w:t xml:space="preserve"> et al., 2004). The DSC thermograms of EVOO and oleogels showed similar flat profiles in the </w:t>
      </w:r>
      <w:r w:rsidRPr="00506C7C">
        <w:rPr>
          <w:rFonts w:ascii="Arial" w:eastAsia="Arial" w:hAnsi="Arial" w:cs="Arial"/>
          <w:color w:val="000000" w:themeColor="text1"/>
          <w:sz w:val="18"/>
          <w:szCs w:val="18"/>
        </w:rPr>
        <w:t>initial heating phase (from 100 to 170 °C) before a sudden increase in the heat was recorded (figure 1). In detail, the changes in 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 xml:space="preserve">,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 xml:space="preserve"> and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rPr>
        <w:t xml:space="preserve"> for EVOO and oleogel as a function of the heating rates are summarized in table 1. As can be seen, at the </w:t>
      </w:r>
      <w:r w:rsidRPr="00506C7C">
        <w:rPr>
          <w:rFonts w:ascii="Arial" w:eastAsia="Arial" w:hAnsi="Arial" w:cs="Arial"/>
          <w:color w:val="000000" w:themeColor="text1"/>
          <w:sz w:val="18"/>
          <w:szCs w:val="18"/>
        </w:rPr>
        <w:t xml:space="preserve">heating rate increasing, the temperatures increase for all samples according to several previous studies (Qi et al., 2016; </w:t>
      </w:r>
      <w:proofErr w:type="spellStart"/>
      <w:r w:rsidRPr="00506C7C">
        <w:rPr>
          <w:rFonts w:ascii="Arial" w:eastAsia="Arial" w:hAnsi="Arial" w:cs="Arial"/>
          <w:color w:val="000000" w:themeColor="text1"/>
          <w:sz w:val="18"/>
          <w:szCs w:val="18"/>
        </w:rPr>
        <w:t>Micic</w:t>
      </w:r>
      <w:proofErr w:type="spellEnd"/>
      <w:r w:rsidRPr="00506C7C">
        <w:rPr>
          <w:rFonts w:ascii="Arial" w:eastAsia="Arial" w:hAnsi="Arial" w:cs="Arial"/>
          <w:color w:val="000000" w:themeColor="text1"/>
          <w:sz w:val="18"/>
          <w:szCs w:val="18"/>
        </w:rPr>
        <w:t xml:space="preserve"> et al., 2015; Martinez-</w:t>
      </w:r>
      <w:proofErr w:type="spellStart"/>
      <w:r w:rsidRPr="00506C7C">
        <w:rPr>
          <w:rFonts w:ascii="Arial" w:eastAsia="Arial" w:hAnsi="Arial" w:cs="Arial"/>
          <w:color w:val="000000" w:themeColor="text1"/>
          <w:sz w:val="18"/>
          <w:szCs w:val="18"/>
        </w:rPr>
        <w:t>Monteagudo</w:t>
      </w:r>
      <w:proofErr w:type="spellEnd"/>
      <w:r w:rsidRPr="00506C7C">
        <w:rPr>
          <w:rFonts w:ascii="Arial" w:eastAsia="Arial" w:hAnsi="Arial" w:cs="Arial"/>
          <w:color w:val="000000" w:themeColor="text1"/>
          <w:sz w:val="18"/>
          <w:szCs w:val="18"/>
        </w:rPr>
        <w:t xml:space="preserve"> et al., 2012). This behavior can be explained considering that, during a slow heating rate, t</w:t>
      </w:r>
      <w:r w:rsidRPr="00506C7C">
        <w:rPr>
          <w:rFonts w:ascii="Arial" w:eastAsia="Arial" w:hAnsi="Arial" w:cs="Arial"/>
          <w:color w:val="000000" w:themeColor="text1"/>
          <w:sz w:val="18"/>
          <w:szCs w:val="18"/>
        </w:rPr>
        <w:t xml:space="preserve">he primary oxidation products generated during the initial phase react with the excess oxygen producing low molecular weight intermediate oxidation products (aldehydes and acids) which, remaining in solution, accelerate the degradation process. Instead, a </w:t>
      </w:r>
      <w:r w:rsidRPr="00506C7C">
        <w:rPr>
          <w:rFonts w:ascii="Arial" w:eastAsia="Arial" w:hAnsi="Arial" w:cs="Arial"/>
          <w:color w:val="000000" w:themeColor="text1"/>
          <w:sz w:val="18"/>
          <w:szCs w:val="18"/>
        </w:rPr>
        <w:t>sudden increase in temperature results in an evaporation of these intermediate products before they start to react further, moving to high values in the DSC threshold signal (</w:t>
      </w:r>
      <w:proofErr w:type="spellStart"/>
      <w:r w:rsidRPr="00506C7C">
        <w:rPr>
          <w:rFonts w:ascii="Arial" w:eastAsia="Arial" w:hAnsi="Arial" w:cs="Arial"/>
          <w:color w:val="000000" w:themeColor="text1"/>
          <w:sz w:val="18"/>
          <w:szCs w:val="18"/>
        </w:rPr>
        <w:t>Adhvaryu</w:t>
      </w:r>
      <w:proofErr w:type="spellEnd"/>
      <w:r w:rsidRPr="00506C7C">
        <w:rPr>
          <w:rFonts w:ascii="Arial" w:eastAsia="Arial" w:hAnsi="Arial" w:cs="Arial"/>
          <w:color w:val="000000" w:themeColor="text1"/>
          <w:sz w:val="18"/>
          <w:szCs w:val="18"/>
        </w:rPr>
        <w:t xml:space="preserve"> et al., 2000).</w:t>
      </w:r>
    </w:p>
    <w:p w14:paraId="335CFBE8" w14:textId="77777777" w:rsidR="00D4441D" w:rsidRPr="00506C7C" w:rsidRDefault="00506C7C">
      <w:pPr>
        <w:keepNext/>
        <w:pBdr>
          <w:top w:val="nil"/>
          <w:left w:val="nil"/>
          <w:bottom w:val="nil"/>
          <w:right w:val="nil"/>
          <w:between w:val="nil"/>
        </w:pBdr>
        <w:spacing w:before="240" w:after="80"/>
        <w:rPr>
          <w:rFonts w:ascii="Arial" w:eastAsia="Arial" w:hAnsi="Arial" w:cs="Arial"/>
          <w:i/>
          <w:color w:val="000000" w:themeColor="text1"/>
          <w:sz w:val="18"/>
          <w:szCs w:val="18"/>
        </w:rPr>
      </w:pPr>
      <w:r w:rsidRPr="00506C7C">
        <w:rPr>
          <w:rFonts w:ascii="Arial" w:eastAsia="Arial" w:hAnsi="Arial" w:cs="Arial"/>
          <w:i/>
          <w:color w:val="000000" w:themeColor="text1"/>
          <w:sz w:val="18"/>
          <w:szCs w:val="18"/>
        </w:rPr>
        <w:t>Table 1: Start (T</w:t>
      </w:r>
      <w:r w:rsidRPr="00506C7C">
        <w:rPr>
          <w:rFonts w:ascii="Arial" w:eastAsia="Arial" w:hAnsi="Arial" w:cs="Arial"/>
          <w:i/>
          <w:color w:val="000000" w:themeColor="text1"/>
          <w:sz w:val="18"/>
          <w:szCs w:val="18"/>
          <w:vertAlign w:val="subscript"/>
        </w:rPr>
        <w:t>s</w:t>
      </w:r>
      <w:r w:rsidRPr="00506C7C">
        <w:rPr>
          <w:rFonts w:ascii="Arial" w:eastAsia="Arial" w:hAnsi="Arial" w:cs="Arial"/>
          <w:i/>
          <w:color w:val="000000" w:themeColor="text1"/>
          <w:sz w:val="18"/>
          <w:szCs w:val="18"/>
        </w:rPr>
        <w:t>), onset (T</w:t>
      </w:r>
      <w:r w:rsidRPr="00506C7C">
        <w:rPr>
          <w:rFonts w:ascii="Arial" w:eastAsia="Arial" w:hAnsi="Arial" w:cs="Arial"/>
          <w:i/>
          <w:color w:val="000000" w:themeColor="text1"/>
          <w:sz w:val="18"/>
          <w:szCs w:val="18"/>
          <w:vertAlign w:val="subscript"/>
        </w:rPr>
        <w:t>on</w:t>
      </w:r>
      <w:r w:rsidRPr="00506C7C">
        <w:rPr>
          <w:rFonts w:ascii="Arial" w:eastAsia="Arial" w:hAnsi="Arial" w:cs="Arial"/>
          <w:i/>
          <w:color w:val="000000" w:themeColor="text1"/>
          <w:sz w:val="18"/>
          <w:szCs w:val="18"/>
        </w:rPr>
        <w:t>) and maximum heat</w:t>
      </w:r>
      <w:r w:rsidRPr="00506C7C">
        <w:rPr>
          <w:rFonts w:ascii="Arial" w:eastAsia="Arial" w:hAnsi="Arial" w:cs="Arial"/>
          <w:i/>
          <w:color w:val="000000" w:themeColor="text1"/>
          <w:sz w:val="18"/>
          <w:szCs w:val="18"/>
        </w:rPr>
        <w:t xml:space="preserve"> flow (</w:t>
      </w:r>
      <w:proofErr w:type="spellStart"/>
      <w:r w:rsidRPr="00506C7C">
        <w:rPr>
          <w:rFonts w:ascii="Arial" w:eastAsia="Arial" w:hAnsi="Arial" w:cs="Arial"/>
          <w:i/>
          <w:color w:val="000000" w:themeColor="text1"/>
          <w:sz w:val="18"/>
          <w:szCs w:val="18"/>
        </w:rPr>
        <w:t>T</w:t>
      </w:r>
      <w:r w:rsidRPr="00506C7C">
        <w:rPr>
          <w:rFonts w:ascii="Arial" w:eastAsia="Arial" w:hAnsi="Arial" w:cs="Arial"/>
          <w:i/>
          <w:color w:val="000000" w:themeColor="text1"/>
          <w:sz w:val="18"/>
          <w:szCs w:val="18"/>
          <w:vertAlign w:val="subscript"/>
        </w:rPr>
        <w:t>p</w:t>
      </w:r>
      <w:proofErr w:type="spellEnd"/>
      <w:r w:rsidRPr="00506C7C">
        <w:rPr>
          <w:rFonts w:ascii="Arial" w:eastAsia="Arial" w:hAnsi="Arial" w:cs="Arial"/>
          <w:i/>
          <w:color w:val="000000" w:themeColor="text1"/>
          <w:sz w:val="18"/>
          <w:szCs w:val="18"/>
        </w:rPr>
        <w:t>) temperature of EVOO, BW-, GMS- and EC-based oleogels under the five heating rates.</w:t>
      </w:r>
    </w:p>
    <w:tbl>
      <w:tblPr>
        <w:tblStyle w:val="a9"/>
        <w:tblW w:w="7245" w:type="dxa"/>
        <w:tblInd w:w="0" w:type="dxa"/>
        <w:tblLayout w:type="fixed"/>
        <w:tblLook w:val="0400" w:firstRow="0" w:lastRow="0" w:firstColumn="0" w:lastColumn="0" w:noHBand="0" w:noVBand="1"/>
      </w:tblPr>
      <w:tblGrid>
        <w:gridCol w:w="1047"/>
        <w:gridCol w:w="82"/>
        <w:gridCol w:w="1526"/>
        <w:gridCol w:w="34"/>
        <w:gridCol w:w="1541"/>
        <w:gridCol w:w="18"/>
        <w:gridCol w:w="1407"/>
        <w:gridCol w:w="10"/>
        <w:gridCol w:w="1580"/>
      </w:tblGrid>
      <w:tr w:rsidR="00506C7C" w:rsidRPr="00506C7C" w14:paraId="3BC60C60" w14:textId="77777777">
        <w:trPr>
          <w:trHeight w:val="20"/>
        </w:trPr>
        <w:tc>
          <w:tcPr>
            <w:tcW w:w="1047" w:type="dxa"/>
            <w:tcBorders>
              <w:top w:val="single" w:sz="4" w:space="0" w:color="000000"/>
              <w:bottom w:val="single" w:sz="4" w:space="0" w:color="000000"/>
            </w:tcBorders>
            <w:vAlign w:val="center"/>
          </w:tcPr>
          <w:p w14:paraId="1138C388" w14:textId="77777777" w:rsidR="00D4441D" w:rsidRPr="00506C7C" w:rsidRDefault="00506C7C">
            <w:pPr>
              <w:jc w:val="center"/>
              <w:rPr>
                <w:rFonts w:ascii="Arial" w:eastAsia="Arial" w:hAnsi="Arial" w:cs="Arial"/>
                <w:i/>
                <w:color w:val="000000" w:themeColor="text1"/>
                <w:sz w:val="18"/>
                <w:szCs w:val="18"/>
              </w:rPr>
            </w:pPr>
            <m:oMathPara>
              <m:oMath>
                <m:r>
                  <w:rPr>
                    <w:rFonts w:ascii="Cambria Math" w:hAnsi="Cambria Math"/>
                    <w:color w:val="000000" w:themeColor="text1"/>
                  </w:rPr>
                  <m:t>β</m:t>
                </m:r>
              </m:oMath>
            </m:oMathPara>
          </w:p>
          <w:p w14:paraId="49B2007D" w14:textId="77777777" w:rsidR="00D4441D" w:rsidRPr="00506C7C" w:rsidRDefault="00506C7C">
            <w:pPr>
              <w:pBdr>
                <w:top w:val="nil"/>
                <w:left w:val="nil"/>
                <w:bottom w:val="nil"/>
                <w:right w:val="nil"/>
                <w:between w:val="nil"/>
              </w:pBdr>
              <w:jc w:val="center"/>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[°C/min]</w:t>
            </w:r>
          </w:p>
        </w:tc>
        <w:tc>
          <w:tcPr>
            <w:tcW w:w="1608" w:type="dxa"/>
            <w:gridSpan w:val="2"/>
            <w:tcBorders>
              <w:top w:val="single" w:sz="4" w:space="0" w:color="000000"/>
              <w:bottom w:val="single" w:sz="4" w:space="0" w:color="000000"/>
            </w:tcBorders>
            <w:vAlign w:val="center"/>
          </w:tcPr>
          <w:p w14:paraId="4CC98B35" w14:textId="77777777" w:rsidR="00D4441D" w:rsidRPr="00506C7C" w:rsidRDefault="00506C7C">
            <w:pPr>
              <w:pBdr>
                <w:top w:val="nil"/>
                <w:left w:val="nil"/>
                <w:bottom w:val="nil"/>
                <w:right w:val="nil"/>
                <w:between w:val="nil"/>
              </w:pBdr>
              <w:jc w:val="center"/>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EVOO</w:t>
            </w:r>
          </w:p>
        </w:tc>
        <w:tc>
          <w:tcPr>
            <w:tcW w:w="1575" w:type="dxa"/>
            <w:gridSpan w:val="2"/>
            <w:tcBorders>
              <w:top w:val="single" w:sz="4" w:space="0" w:color="000000"/>
              <w:bottom w:val="single" w:sz="4" w:space="0" w:color="000000"/>
            </w:tcBorders>
            <w:vAlign w:val="center"/>
          </w:tcPr>
          <w:p w14:paraId="6AEE5B40" w14:textId="77777777" w:rsidR="00D4441D" w:rsidRPr="00506C7C" w:rsidRDefault="00506C7C">
            <w:pPr>
              <w:pBdr>
                <w:top w:val="nil"/>
                <w:left w:val="nil"/>
                <w:bottom w:val="nil"/>
                <w:right w:val="nil"/>
                <w:between w:val="nil"/>
              </w:pBdr>
              <w:jc w:val="center"/>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BW-EVOO oleogel</w:t>
            </w:r>
          </w:p>
        </w:tc>
        <w:tc>
          <w:tcPr>
            <w:tcW w:w="1425" w:type="dxa"/>
            <w:gridSpan w:val="2"/>
            <w:tcBorders>
              <w:top w:val="single" w:sz="4" w:space="0" w:color="000000"/>
              <w:bottom w:val="single" w:sz="4" w:space="0" w:color="000000"/>
            </w:tcBorders>
            <w:vAlign w:val="center"/>
          </w:tcPr>
          <w:p w14:paraId="552F8EC6" w14:textId="77777777" w:rsidR="00D4441D" w:rsidRPr="00506C7C" w:rsidRDefault="00506C7C">
            <w:pPr>
              <w:pBdr>
                <w:top w:val="nil"/>
                <w:left w:val="nil"/>
                <w:bottom w:val="nil"/>
                <w:right w:val="nil"/>
                <w:between w:val="nil"/>
              </w:pBdr>
              <w:jc w:val="center"/>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GMS-EVOO oleogel</w:t>
            </w:r>
          </w:p>
        </w:tc>
        <w:tc>
          <w:tcPr>
            <w:tcW w:w="1590" w:type="dxa"/>
            <w:gridSpan w:val="2"/>
            <w:tcBorders>
              <w:top w:val="single" w:sz="4" w:space="0" w:color="000000"/>
              <w:bottom w:val="single" w:sz="4" w:space="0" w:color="000000"/>
            </w:tcBorders>
            <w:vAlign w:val="bottom"/>
          </w:tcPr>
          <w:p w14:paraId="1C852AC2" w14:textId="77777777" w:rsidR="00D4441D" w:rsidRPr="00506C7C" w:rsidRDefault="00506C7C">
            <w:pPr>
              <w:pBdr>
                <w:top w:val="nil"/>
                <w:left w:val="nil"/>
                <w:bottom w:val="nil"/>
                <w:right w:val="nil"/>
                <w:between w:val="nil"/>
              </w:pBdr>
              <w:jc w:val="center"/>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EC-EVOO oleogel</w:t>
            </w:r>
          </w:p>
        </w:tc>
      </w:tr>
      <w:tr w:rsidR="00506C7C" w:rsidRPr="00506C7C" w14:paraId="15765701" w14:textId="77777777">
        <w:trPr>
          <w:trHeight w:val="20"/>
        </w:trPr>
        <w:tc>
          <w:tcPr>
            <w:tcW w:w="7245" w:type="dxa"/>
            <w:gridSpan w:val="9"/>
            <w:tcBorders>
              <w:top w:val="single" w:sz="4" w:space="0" w:color="000000"/>
              <w:bottom w:val="single" w:sz="4" w:space="0" w:color="000000"/>
            </w:tcBorders>
            <w:vAlign w:val="center"/>
          </w:tcPr>
          <w:p w14:paraId="37D585AF"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Start temperature of oxidation (T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w:t>
            </w:r>
          </w:p>
        </w:tc>
      </w:tr>
      <w:tr w:rsidR="00506C7C" w:rsidRPr="00506C7C" w14:paraId="7E67A53E" w14:textId="77777777">
        <w:trPr>
          <w:trHeight w:val="169"/>
        </w:trPr>
        <w:tc>
          <w:tcPr>
            <w:tcW w:w="1129" w:type="dxa"/>
            <w:gridSpan w:val="2"/>
            <w:tcBorders>
              <w:top w:val="single" w:sz="4" w:space="0" w:color="000000"/>
            </w:tcBorders>
            <w:vAlign w:val="center"/>
          </w:tcPr>
          <w:p w14:paraId="77F47F53"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5</w:t>
            </w:r>
          </w:p>
        </w:tc>
        <w:tc>
          <w:tcPr>
            <w:tcW w:w="1560" w:type="dxa"/>
            <w:gridSpan w:val="2"/>
            <w:tcBorders>
              <w:top w:val="single" w:sz="4" w:space="0" w:color="000000"/>
            </w:tcBorders>
            <w:vAlign w:val="center"/>
          </w:tcPr>
          <w:p w14:paraId="79C59BAB"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170.61±0.02</w:t>
            </w:r>
            <w:r w:rsidRPr="00506C7C">
              <w:rPr>
                <w:rFonts w:ascii="Arial" w:eastAsia="Arial" w:hAnsi="Arial" w:cs="Arial"/>
                <w:color w:val="000000" w:themeColor="text1"/>
                <w:sz w:val="18"/>
                <w:szCs w:val="18"/>
                <w:vertAlign w:val="superscript"/>
              </w:rPr>
              <w:t>aA</w:t>
            </w:r>
          </w:p>
        </w:tc>
        <w:tc>
          <w:tcPr>
            <w:tcW w:w="1559" w:type="dxa"/>
            <w:gridSpan w:val="2"/>
            <w:tcBorders>
              <w:top w:val="single" w:sz="4" w:space="0" w:color="000000"/>
            </w:tcBorders>
            <w:vAlign w:val="center"/>
          </w:tcPr>
          <w:p w14:paraId="2CF1ED87"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173.69±0.02</w:t>
            </w:r>
            <w:r w:rsidRPr="00506C7C">
              <w:rPr>
                <w:rFonts w:ascii="Arial" w:eastAsia="Arial" w:hAnsi="Arial" w:cs="Arial"/>
                <w:color w:val="000000" w:themeColor="text1"/>
                <w:sz w:val="18"/>
                <w:szCs w:val="18"/>
                <w:vertAlign w:val="superscript"/>
              </w:rPr>
              <w:t>bA</w:t>
            </w:r>
          </w:p>
        </w:tc>
        <w:tc>
          <w:tcPr>
            <w:tcW w:w="1417" w:type="dxa"/>
            <w:gridSpan w:val="2"/>
            <w:tcBorders>
              <w:top w:val="single" w:sz="4" w:space="0" w:color="000000"/>
            </w:tcBorders>
            <w:vAlign w:val="center"/>
          </w:tcPr>
          <w:p w14:paraId="58321800"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176.32±0.03</w:t>
            </w:r>
            <w:r w:rsidRPr="00506C7C">
              <w:rPr>
                <w:rFonts w:ascii="Arial" w:eastAsia="Arial" w:hAnsi="Arial" w:cs="Arial"/>
                <w:color w:val="000000" w:themeColor="text1"/>
                <w:sz w:val="18"/>
                <w:szCs w:val="18"/>
                <w:vertAlign w:val="superscript"/>
              </w:rPr>
              <w:t>cA</w:t>
            </w:r>
          </w:p>
        </w:tc>
        <w:tc>
          <w:tcPr>
            <w:tcW w:w="1580" w:type="dxa"/>
            <w:tcBorders>
              <w:top w:val="single" w:sz="4" w:space="0" w:color="000000"/>
            </w:tcBorders>
            <w:vAlign w:val="center"/>
          </w:tcPr>
          <w:p w14:paraId="14CFAE8A" w14:textId="77777777" w:rsidR="00D4441D" w:rsidRPr="00506C7C" w:rsidRDefault="00506C7C">
            <w:pPr>
              <w:pBdr>
                <w:top w:val="nil"/>
                <w:left w:val="nil"/>
                <w:bottom w:val="nil"/>
                <w:right w:val="nil"/>
                <w:between w:val="nil"/>
              </w:pBdr>
              <w:rPr>
                <w:rFonts w:ascii="Arial" w:eastAsia="Arial" w:hAnsi="Arial" w:cs="Arial"/>
                <w:b/>
                <w:color w:val="000000" w:themeColor="text1"/>
                <w:sz w:val="18"/>
                <w:szCs w:val="18"/>
              </w:rPr>
            </w:pPr>
            <w:r w:rsidRPr="00506C7C">
              <w:rPr>
                <w:rFonts w:ascii="Arial" w:eastAsia="Arial" w:hAnsi="Arial" w:cs="Arial"/>
                <w:color w:val="000000" w:themeColor="text1"/>
                <w:sz w:val="18"/>
                <w:szCs w:val="18"/>
              </w:rPr>
              <w:t>168.06±0.10</w:t>
            </w:r>
            <w:r w:rsidRPr="00506C7C">
              <w:rPr>
                <w:rFonts w:ascii="Arial" w:eastAsia="Arial" w:hAnsi="Arial" w:cs="Arial"/>
                <w:color w:val="000000" w:themeColor="text1"/>
                <w:sz w:val="18"/>
                <w:szCs w:val="18"/>
                <w:vertAlign w:val="superscript"/>
              </w:rPr>
              <w:t>dA</w:t>
            </w:r>
          </w:p>
        </w:tc>
      </w:tr>
      <w:tr w:rsidR="00506C7C" w:rsidRPr="00506C7C" w14:paraId="43EC3297" w14:textId="77777777">
        <w:trPr>
          <w:trHeight w:val="168"/>
        </w:trPr>
        <w:tc>
          <w:tcPr>
            <w:tcW w:w="1129" w:type="dxa"/>
            <w:gridSpan w:val="2"/>
            <w:vAlign w:val="center"/>
          </w:tcPr>
          <w:p w14:paraId="693B35CE"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7.5</w:t>
            </w:r>
          </w:p>
        </w:tc>
        <w:tc>
          <w:tcPr>
            <w:tcW w:w="1560" w:type="dxa"/>
            <w:gridSpan w:val="2"/>
            <w:vAlign w:val="center"/>
          </w:tcPr>
          <w:p w14:paraId="1F8C0A76"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178.03±0.01</w:t>
            </w:r>
            <w:r w:rsidRPr="00506C7C">
              <w:rPr>
                <w:rFonts w:ascii="Arial" w:eastAsia="Arial" w:hAnsi="Arial" w:cs="Arial"/>
                <w:color w:val="000000" w:themeColor="text1"/>
                <w:sz w:val="18"/>
                <w:szCs w:val="18"/>
                <w:vertAlign w:val="superscript"/>
              </w:rPr>
              <w:t>aB</w:t>
            </w:r>
          </w:p>
        </w:tc>
        <w:tc>
          <w:tcPr>
            <w:tcW w:w="1559" w:type="dxa"/>
            <w:gridSpan w:val="2"/>
            <w:vAlign w:val="center"/>
          </w:tcPr>
          <w:p w14:paraId="5A7A168D" w14:textId="77777777" w:rsidR="00D4441D" w:rsidRPr="00506C7C" w:rsidRDefault="00506C7C">
            <w:pPr>
              <w:pBdr>
                <w:top w:val="nil"/>
                <w:left w:val="nil"/>
                <w:bottom w:val="nil"/>
                <w:right w:val="nil"/>
                <w:between w:val="nil"/>
              </w:pBdr>
              <w:rPr>
                <w:rFonts w:ascii="Arial" w:eastAsia="Arial" w:hAnsi="Arial" w:cs="Arial"/>
                <w:b/>
                <w:color w:val="000000" w:themeColor="text1"/>
                <w:sz w:val="18"/>
                <w:szCs w:val="18"/>
              </w:rPr>
            </w:pPr>
            <w:r w:rsidRPr="00506C7C">
              <w:rPr>
                <w:rFonts w:ascii="Arial" w:eastAsia="Arial" w:hAnsi="Arial" w:cs="Arial"/>
                <w:color w:val="000000" w:themeColor="text1"/>
                <w:sz w:val="18"/>
                <w:szCs w:val="18"/>
              </w:rPr>
              <w:t>174.50±0.10</w:t>
            </w:r>
            <w:r w:rsidRPr="00506C7C">
              <w:rPr>
                <w:rFonts w:ascii="Arial" w:eastAsia="Arial" w:hAnsi="Arial" w:cs="Arial"/>
                <w:color w:val="000000" w:themeColor="text1"/>
                <w:sz w:val="18"/>
                <w:szCs w:val="18"/>
                <w:vertAlign w:val="superscript"/>
              </w:rPr>
              <w:t>bB</w:t>
            </w:r>
          </w:p>
        </w:tc>
        <w:tc>
          <w:tcPr>
            <w:tcW w:w="1417" w:type="dxa"/>
            <w:gridSpan w:val="2"/>
            <w:vAlign w:val="center"/>
          </w:tcPr>
          <w:p w14:paraId="18BFF638"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179.86±0.05</w:t>
            </w:r>
            <w:r w:rsidRPr="00506C7C">
              <w:rPr>
                <w:rFonts w:ascii="Arial" w:eastAsia="Arial" w:hAnsi="Arial" w:cs="Arial"/>
                <w:color w:val="000000" w:themeColor="text1"/>
                <w:sz w:val="18"/>
                <w:szCs w:val="18"/>
                <w:vertAlign w:val="superscript"/>
              </w:rPr>
              <w:t>c</w:t>
            </w:r>
            <w:r w:rsidRPr="00506C7C">
              <w:rPr>
                <w:rFonts w:ascii="Arial" w:eastAsia="Arial" w:hAnsi="Arial" w:cs="Arial"/>
                <w:color w:val="000000" w:themeColor="text1"/>
                <w:sz w:val="18"/>
                <w:szCs w:val="18"/>
                <w:vertAlign w:val="superscript"/>
              </w:rPr>
              <w:t>B</w:t>
            </w:r>
          </w:p>
        </w:tc>
        <w:tc>
          <w:tcPr>
            <w:tcW w:w="1580" w:type="dxa"/>
            <w:vAlign w:val="center"/>
          </w:tcPr>
          <w:p w14:paraId="17557167"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172.18±0.08</w:t>
            </w:r>
            <w:r w:rsidRPr="00506C7C">
              <w:rPr>
                <w:rFonts w:ascii="Arial" w:eastAsia="Arial" w:hAnsi="Arial" w:cs="Arial"/>
                <w:color w:val="000000" w:themeColor="text1"/>
                <w:sz w:val="18"/>
                <w:szCs w:val="18"/>
                <w:vertAlign w:val="superscript"/>
              </w:rPr>
              <w:t>dB</w:t>
            </w:r>
          </w:p>
        </w:tc>
      </w:tr>
      <w:tr w:rsidR="00506C7C" w:rsidRPr="00506C7C" w14:paraId="61B1CB51" w14:textId="77777777">
        <w:trPr>
          <w:trHeight w:val="168"/>
        </w:trPr>
        <w:tc>
          <w:tcPr>
            <w:tcW w:w="1129" w:type="dxa"/>
            <w:gridSpan w:val="2"/>
            <w:vAlign w:val="center"/>
          </w:tcPr>
          <w:p w14:paraId="575DB135"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10</w:t>
            </w:r>
          </w:p>
        </w:tc>
        <w:tc>
          <w:tcPr>
            <w:tcW w:w="1560" w:type="dxa"/>
            <w:gridSpan w:val="2"/>
            <w:vAlign w:val="center"/>
          </w:tcPr>
          <w:p w14:paraId="40641CBD"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182.23±0.09</w:t>
            </w:r>
            <w:r w:rsidRPr="00506C7C">
              <w:rPr>
                <w:rFonts w:ascii="Arial" w:eastAsia="Arial" w:hAnsi="Arial" w:cs="Arial"/>
                <w:color w:val="000000" w:themeColor="text1"/>
                <w:sz w:val="18"/>
                <w:szCs w:val="18"/>
                <w:vertAlign w:val="superscript"/>
              </w:rPr>
              <w:t>aC</w:t>
            </w:r>
          </w:p>
        </w:tc>
        <w:tc>
          <w:tcPr>
            <w:tcW w:w="1559" w:type="dxa"/>
            <w:gridSpan w:val="2"/>
            <w:vAlign w:val="center"/>
          </w:tcPr>
          <w:p w14:paraId="5BAF5A5F"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180.52±0.05</w:t>
            </w:r>
            <w:r w:rsidRPr="00506C7C">
              <w:rPr>
                <w:rFonts w:ascii="Arial" w:eastAsia="Arial" w:hAnsi="Arial" w:cs="Arial"/>
                <w:color w:val="000000" w:themeColor="text1"/>
                <w:sz w:val="18"/>
                <w:szCs w:val="18"/>
                <w:vertAlign w:val="superscript"/>
              </w:rPr>
              <w:t>bC</w:t>
            </w:r>
          </w:p>
        </w:tc>
        <w:tc>
          <w:tcPr>
            <w:tcW w:w="1417" w:type="dxa"/>
            <w:gridSpan w:val="2"/>
            <w:vAlign w:val="center"/>
          </w:tcPr>
          <w:p w14:paraId="712AD4F0"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183.31±0.08</w:t>
            </w:r>
            <w:r w:rsidRPr="00506C7C">
              <w:rPr>
                <w:rFonts w:ascii="Arial" w:eastAsia="Arial" w:hAnsi="Arial" w:cs="Arial"/>
                <w:color w:val="000000" w:themeColor="text1"/>
                <w:sz w:val="18"/>
                <w:szCs w:val="18"/>
                <w:vertAlign w:val="superscript"/>
              </w:rPr>
              <w:t>cC</w:t>
            </w:r>
          </w:p>
        </w:tc>
        <w:tc>
          <w:tcPr>
            <w:tcW w:w="1580" w:type="dxa"/>
            <w:vAlign w:val="center"/>
          </w:tcPr>
          <w:p w14:paraId="1337E0A5"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176.24±0.06</w:t>
            </w:r>
            <w:r w:rsidRPr="00506C7C">
              <w:rPr>
                <w:rFonts w:ascii="Arial" w:eastAsia="Arial" w:hAnsi="Arial" w:cs="Arial"/>
                <w:color w:val="000000" w:themeColor="text1"/>
                <w:sz w:val="18"/>
                <w:szCs w:val="18"/>
                <w:vertAlign w:val="superscript"/>
              </w:rPr>
              <w:t>dC</w:t>
            </w:r>
          </w:p>
        </w:tc>
      </w:tr>
      <w:tr w:rsidR="00506C7C" w:rsidRPr="00506C7C" w14:paraId="36B55393" w14:textId="77777777">
        <w:trPr>
          <w:trHeight w:val="168"/>
        </w:trPr>
        <w:tc>
          <w:tcPr>
            <w:tcW w:w="1129" w:type="dxa"/>
            <w:gridSpan w:val="2"/>
            <w:vAlign w:val="center"/>
          </w:tcPr>
          <w:p w14:paraId="7CD1D729"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12.5</w:t>
            </w:r>
          </w:p>
        </w:tc>
        <w:tc>
          <w:tcPr>
            <w:tcW w:w="1560" w:type="dxa"/>
            <w:gridSpan w:val="2"/>
            <w:vAlign w:val="center"/>
          </w:tcPr>
          <w:p w14:paraId="19383FF3"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184.55±0.03</w:t>
            </w:r>
            <w:r w:rsidRPr="00506C7C">
              <w:rPr>
                <w:rFonts w:ascii="Arial" w:eastAsia="Arial" w:hAnsi="Arial" w:cs="Arial"/>
                <w:color w:val="000000" w:themeColor="text1"/>
                <w:sz w:val="18"/>
                <w:szCs w:val="18"/>
                <w:vertAlign w:val="superscript"/>
              </w:rPr>
              <w:t>aD</w:t>
            </w:r>
          </w:p>
        </w:tc>
        <w:tc>
          <w:tcPr>
            <w:tcW w:w="1559" w:type="dxa"/>
            <w:gridSpan w:val="2"/>
            <w:vAlign w:val="center"/>
          </w:tcPr>
          <w:p w14:paraId="1DFA1117"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180.63±0.03</w:t>
            </w:r>
            <w:r w:rsidRPr="00506C7C">
              <w:rPr>
                <w:rFonts w:ascii="Arial" w:eastAsia="Arial" w:hAnsi="Arial" w:cs="Arial"/>
                <w:color w:val="000000" w:themeColor="text1"/>
                <w:sz w:val="18"/>
                <w:szCs w:val="18"/>
                <w:vertAlign w:val="superscript"/>
              </w:rPr>
              <w:t>bD</w:t>
            </w:r>
          </w:p>
        </w:tc>
        <w:tc>
          <w:tcPr>
            <w:tcW w:w="1417" w:type="dxa"/>
            <w:gridSpan w:val="2"/>
            <w:vAlign w:val="center"/>
          </w:tcPr>
          <w:p w14:paraId="1D6E6198"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188.99±0.10</w:t>
            </w:r>
            <w:r w:rsidRPr="00506C7C">
              <w:rPr>
                <w:rFonts w:ascii="Arial" w:eastAsia="Arial" w:hAnsi="Arial" w:cs="Arial"/>
                <w:color w:val="000000" w:themeColor="text1"/>
                <w:sz w:val="18"/>
                <w:szCs w:val="18"/>
                <w:vertAlign w:val="superscript"/>
              </w:rPr>
              <w:t>cD</w:t>
            </w:r>
          </w:p>
        </w:tc>
        <w:tc>
          <w:tcPr>
            <w:tcW w:w="1580" w:type="dxa"/>
            <w:vAlign w:val="center"/>
          </w:tcPr>
          <w:p w14:paraId="2EA2CD93"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177.13±0.04</w:t>
            </w:r>
            <w:r w:rsidRPr="00506C7C">
              <w:rPr>
                <w:rFonts w:ascii="Arial" w:eastAsia="Arial" w:hAnsi="Arial" w:cs="Arial"/>
                <w:color w:val="000000" w:themeColor="text1"/>
                <w:sz w:val="18"/>
                <w:szCs w:val="18"/>
                <w:vertAlign w:val="superscript"/>
              </w:rPr>
              <w:t>dD</w:t>
            </w:r>
          </w:p>
        </w:tc>
      </w:tr>
      <w:tr w:rsidR="00506C7C" w:rsidRPr="00506C7C" w14:paraId="5CDA6A8D" w14:textId="77777777">
        <w:trPr>
          <w:trHeight w:val="168"/>
        </w:trPr>
        <w:tc>
          <w:tcPr>
            <w:tcW w:w="1129" w:type="dxa"/>
            <w:gridSpan w:val="2"/>
            <w:tcBorders>
              <w:bottom w:val="single" w:sz="4" w:space="0" w:color="000000"/>
            </w:tcBorders>
            <w:vAlign w:val="center"/>
          </w:tcPr>
          <w:p w14:paraId="6553F9B4"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15</w:t>
            </w:r>
          </w:p>
        </w:tc>
        <w:tc>
          <w:tcPr>
            <w:tcW w:w="1560" w:type="dxa"/>
            <w:gridSpan w:val="2"/>
            <w:tcBorders>
              <w:bottom w:val="single" w:sz="4" w:space="0" w:color="000000"/>
            </w:tcBorders>
            <w:vAlign w:val="center"/>
          </w:tcPr>
          <w:p w14:paraId="619F5D48"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187.01±0.02</w:t>
            </w:r>
            <w:r w:rsidRPr="00506C7C">
              <w:rPr>
                <w:rFonts w:ascii="Arial" w:eastAsia="Arial" w:hAnsi="Arial" w:cs="Arial"/>
                <w:color w:val="000000" w:themeColor="text1"/>
                <w:sz w:val="18"/>
                <w:szCs w:val="18"/>
                <w:vertAlign w:val="superscript"/>
              </w:rPr>
              <w:t>aE</w:t>
            </w:r>
          </w:p>
        </w:tc>
        <w:tc>
          <w:tcPr>
            <w:tcW w:w="1559" w:type="dxa"/>
            <w:gridSpan w:val="2"/>
            <w:tcBorders>
              <w:bottom w:val="single" w:sz="4" w:space="0" w:color="000000"/>
            </w:tcBorders>
            <w:vAlign w:val="center"/>
          </w:tcPr>
          <w:p w14:paraId="39CA8CC4"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182.68±0.07</w:t>
            </w:r>
            <w:r w:rsidRPr="00506C7C">
              <w:rPr>
                <w:rFonts w:ascii="Arial" w:eastAsia="Arial" w:hAnsi="Arial" w:cs="Arial"/>
                <w:color w:val="000000" w:themeColor="text1"/>
                <w:sz w:val="18"/>
                <w:szCs w:val="18"/>
                <w:vertAlign w:val="superscript"/>
              </w:rPr>
              <w:t>bE</w:t>
            </w:r>
          </w:p>
        </w:tc>
        <w:tc>
          <w:tcPr>
            <w:tcW w:w="1417" w:type="dxa"/>
            <w:gridSpan w:val="2"/>
            <w:tcBorders>
              <w:bottom w:val="single" w:sz="4" w:space="0" w:color="000000"/>
            </w:tcBorders>
            <w:vAlign w:val="center"/>
          </w:tcPr>
          <w:p w14:paraId="2A870D7A"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189.32±0.09</w:t>
            </w:r>
            <w:r w:rsidRPr="00506C7C">
              <w:rPr>
                <w:rFonts w:ascii="Arial" w:eastAsia="Arial" w:hAnsi="Arial" w:cs="Arial"/>
                <w:color w:val="000000" w:themeColor="text1"/>
                <w:sz w:val="18"/>
                <w:szCs w:val="18"/>
                <w:vertAlign w:val="superscript"/>
              </w:rPr>
              <w:t>cE</w:t>
            </w:r>
          </w:p>
        </w:tc>
        <w:tc>
          <w:tcPr>
            <w:tcW w:w="1580" w:type="dxa"/>
            <w:tcBorders>
              <w:bottom w:val="single" w:sz="4" w:space="0" w:color="000000"/>
            </w:tcBorders>
            <w:vAlign w:val="center"/>
          </w:tcPr>
          <w:p w14:paraId="1A1CC5BC" w14:textId="77777777" w:rsidR="00D4441D" w:rsidRPr="00506C7C" w:rsidRDefault="00506C7C">
            <w:pPr>
              <w:pBdr>
                <w:top w:val="nil"/>
                <w:left w:val="nil"/>
                <w:bottom w:val="nil"/>
                <w:right w:val="nil"/>
                <w:between w:val="nil"/>
              </w:pBd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181.01±0.03</w:t>
            </w:r>
            <w:r w:rsidRPr="00506C7C">
              <w:rPr>
                <w:rFonts w:ascii="Arial" w:eastAsia="Arial" w:hAnsi="Arial" w:cs="Arial"/>
                <w:color w:val="000000" w:themeColor="text1"/>
                <w:sz w:val="18"/>
                <w:szCs w:val="18"/>
                <w:vertAlign w:val="superscript"/>
              </w:rPr>
              <w:t>dA</w:t>
            </w:r>
          </w:p>
        </w:tc>
      </w:tr>
      <w:tr w:rsidR="00506C7C" w:rsidRPr="00506C7C" w14:paraId="437EF169" w14:textId="77777777">
        <w:trPr>
          <w:trHeight w:val="20"/>
        </w:trPr>
        <w:tc>
          <w:tcPr>
            <w:tcW w:w="7245" w:type="dxa"/>
            <w:gridSpan w:val="9"/>
            <w:tcBorders>
              <w:top w:val="single" w:sz="4" w:space="0" w:color="000000"/>
              <w:bottom w:val="single" w:sz="4" w:space="0" w:color="000000"/>
            </w:tcBorders>
            <w:vAlign w:val="center"/>
          </w:tcPr>
          <w:p w14:paraId="42369856" w14:textId="77777777" w:rsidR="00D4441D" w:rsidRPr="00506C7C" w:rsidRDefault="00506C7C">
            <w:pPr>
              <w:pBdr>
                <w:top w:val="nil"/>
                <w:left w:val="nil"/>
                <w:bottom w:val="nil"/>
                <w:right w:val="nil"/>
                <w:between w:val="nil"/>
              </w:pBdr>
              <w:jc w:val="left"/>
              <w:rPr>
                <w:rFonts w:ascii="Arial" w:eastAsia="Arial" w:hAnsi="Arial" w:cs="Arial"/>
                <w:color w:val="000000" w:themeColor="text1"/>
                <w:sz w:val="18"/>
                <w:szCs w:val="18"/>
              </w:rPr>
            </w:pPr>
            <w:r w:rsidRPr="00506C7C">
              <w:rPr>
                <w:rFonts w:ascii="Arial" w:eastAsia="Arial" w:hAnsi="Arial" w:cs="Arial"/>
                <w:color w:val="000000" w:themeColor="text1"/>
                <w:sz w:val="18"/>
                <w:szCs w:val="18"/>
              </w:rPr>
              <w:t>Onset temperature of oxidation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w:t>
            </w:r>
          </w:p>
        </w:tc>
      </w:tr>
      <w:tr w:rsidR="00506C7C" w:rsidRPr="00506C7C" w14:paraId="6B4A3FBA" w14:textId="77777777">
        <w:trPr>
          <w:trHeight w:val="20"/>
        </w:trPr>
        <w:tc>
          <w:tcPr>
            <w:tcW w:w="1047" w:type="dxa"/>
            <w:tcBorders>
              <w:top w:val="single" w:sz="4" w:space="0" w:color="000000"/>
            </w:tcBorders>
            <w:vAlign w:val="center"/>
          </w:tcPr>
          <w:p w14:paraId="78001EA2"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5</w:t>
            </w:r>
          </w:p>
        </w:tc>
        <w:tc>
          <w:tcPr>
            <w:tcW w:w="1608" w:type="dxa"/>
            <w:gridSpan w:val="2"/>
            <w:tcBorders>
              <w:top w:val="single" w:sz="4" w:space="0" w:color="000000"/>
            </w:tcBorders>
            <w:vAlign w:val="center"/>
          </w:tcPr>
          <w:p w14:paraId="37A436B8"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181.79±0.07</w:t>
            </w:r>
            <w:r w:rsidRPr="00506C7C">
              <w:rPr>
                <w:rFonts w:ascii="Arial" w:eastAsia="Arial" w:hAnsi="Arial" w:cs="Arial"/>
                <w:color w:val="000000" w:themeColor="text1"/>
                <w:sz w:val="18"/>
                <w:szCs w:val="18"/>
                <w:vertAlign w:val="superscript"/>
              </w:rPr>
              <w:t>aA</w:t>
            </w:r>
          </w:p>
        </w:tc>
        <w:tc>
          <w:tcPr>
            <w:tcW w:w="1575" w:type="dxa"/>
            <w:gridSpan w:val="2"/>
            <w:tcBorders>
              <w:top w:val="single" w:sz="4" w:space="0" w:color="000000"/>
            </w:tcBorders>
            <w:vAlign w:val="center"/>
          </w:tcPr>
          <w:p w14:paraId="31D41313"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180.91±0.15</w:t>
            </w:r>
            <w:r w:rsidRPr="00506C7C">
              <w:rPr>
                <w:rFonts w:ascii="Arial" w:eastAsia="Arial" w:hAnsi="Arial" w:cs="Arial"/>
                <w:color w:val="000000" w:themeColor="text1"/>
                <w:sz w:val="18"/>
                <w:szCs w:val="18"/>
                <w:vertAlign w:val="superscript"/>
              </w:rPr>
              <w:t>bA</w:t>
            </w:r>
          </w:p>
        </w:tc>
        <w:tc>
          <w:tcPr>
            <w:tcW w:w="1425" w:type="dxa"/>
            <w:gridSpan w:val="2"/>
            <w:tcBorders>
              <w:top w:val="single" w:sz="4" w:space="0" w:color="000000"/>
            </w:tcBorders>
            <w:vAlign w:val="center"/>
          </w:tcPr>
          <w:p w14:paraId="2FEC9EC3"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181.97±0.09</w:t>
            </w:r>
            <w:r w:rsidRPr="00506C7C">
              <w:rPr>
                <w:rFonts w:ascii="Arial" w:eastAsia="Arial" w:hAnsi="Arial" w:cs="Arial"/>
                <w:color w:val="000000" w:themeColor="text1"/>
                <w:sz w:val="18"/>
                <w:szCs w:val="18"/>
                <w:vertAlign w:val="superscript"/>
              </w:rPr>
              <w:t>cA</w:t>
            </w:r>
          </w:p>
        </w:tc>
        <w:tc>
          <w:tcPr>
            <w:tcW w:w="1590" w:type="dxa"/>
            <w:gridSpan w:val="2"/>
            <w:tcBorders>
              <w:top w:val="single" w:sz="4" w:space="0" w:color="000000"/>
            </w:tcBorders>
            <w:vAlign w:val="center"/>
          </w:tcPr>
          <w:p w14:paraId="23937708"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181.00±0.11</w:t>
            </w:r>
            <w:r w:rsidRPr="00506C7C">
              <w:rPr>
                <w:rFonts w:ascii="Arial" w:eastAsia="Arial" w:hAnsi="Arial" w:cs="Arial"/>
                <w:color w:val="000000" w:themeColor="text1"/>
                <w:sz w:val="18"/>
                <w:szCs w:val="18"/>
                <w:vertAlign w:val="superscript"/>
              </w:rPr>
              <w:t>bA</w:t>
            </w:r>
          </w:p>
        </w:tc>
      </w:tr>
      <w:tr w:rsidR="00506C7C" w:rsidRPr="00506C7C" w14:paraId="0F8EC0BF" w14:textId="77777777">
        <w:trPr>
          <w:trHeight w:val="20"/>
        </w:trPr>
        <w:tc>
          <w:tcPr>
            <w:tcW w:w="1047" w:type="dxa"/>
            <w:vAlign w:val="center"/>
          </w:tcPr>
          <w:p w14:paraId="1A7BA9E6"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7.5</w:t>
            </w:r>
          </w:p>
        </w:tc>
        <w:tc>
          <w:tcPr>
            <w:tcW w:w="1608" w:type="dxa"/>
            <w:gridSpan w:val="2"/>
            <w:vAlign w:val="center"/>
          </w:tcPr>
          <w:p w14:paraId="1531A29E"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182.18±0.85</w:t>
            </w:r>
            <w:r w:rsidRPr="00506C7C">
              <w:rPr>
                <w:rFonts w:ascii="Arial" w:eastAsia="Arial" w:hAnsi="Arial" w:cs="Arial"/>
                <w:color w:val="000000" w:themeColor="text1"/>
                <w:sz w:val="18"/>
                <w:szCs w:val="18"/>
                <w:vertAlign w:val="superscript"/>
              </w:rPr>
              <w:t>aA</w:t>
            </w:r>
          </w:p>
        </w:tc>
        <w:tc>
          <w:tcPr>
            <w:tcW w:w="1575" w:type="dxa"/>
            <w:gridSpan w:val="2"/>
            <w:vAlign w:val="center"/>
          </w:tcPr>
          <w:p w14:paraId="2C383482"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183.77±0.11</w:t>
            </w:r>
            <w:r w:rsidRPr="00506C7C">
              <w:rPr>
                <w:rFonts w:ascii="Arial" w:eastAsia="Arial" w:hAnsi="Arial" w:cs="Arial"/>
                <w:color w:val="000000" w:themeColor="text1"/>
                <w:sz w:val="18"/>
                <w:szCs w:val="18"/>
                <w:vertAlign w:val="superscript"/>
              </w:rPr>
              <w:t>bB</w:t>
            </w:r>
          </w:p>
        </w:tc>
        <w:tc>
          <w:tcPr>
            <w:tcW w:w="1425" w:type="dxa"/>
            <w:gridSpan w:val="2"/>
            <w:vAlign w:val="center"/>
          </w:tcPr>
          <w:p w14:paraId="0343200B"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190.32±1.94</w:t>
            </w:r>
            <w:r w:rsidRPr="00506C7C">
              <w:rPr>
                <w:rFonts w:ascii="Arial" w:eastAsia="Arial" w:hAnsi="Arial" w:cs="Arial"/>
                <w:color w:val="000000" w:themeColor="text1"/>
                <w:sz w:val="18"/>
                <w:szCs w:val="18"/>
                <w:vertAlign w:val="superscript"/>
              </w:rPr>
              <w:t>cB</w:t>
            </w:r>
          </w:p>
        </w:tc>
        <w:tc>
          <w:tcPr>
            <w:tcW w:w="1590" w:type="dxa"/>
            <w:gridSpan w:val="2"/>
            <w:vAlign w:val="center"/>
          </w:tcPr>
          <w:p w14:paraId="4130FE0B"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190.28±0.07</w:t>
            </w:r>
            <w:r w:rsidRPr="00506C7C">
              <w:rPr>
                <w:rFonts w:ascii="Arial" w:eastAsia="Arial" w:hAnsi="Arial" w:cs="Arial"/>
                <w:color w:val="000000" w:themeColor="text1"/>
                <w:sz w:val="18"/>
                <w:szCs w:val="18"/>
                <w:vertAlign w:val="superscript"/>
              </w:rPr>
              <w:t>cB</w:t>
            </w:r>
          </w:p>
        </w:tc>
      </w:tr>
      <w:tr w:rsidR="00506C7C" w:rsidRPr="00506C7C" w14:paraId="1115D5D0" w14:textId="77777777">
        <w:trPr>
          <w:trHeight w:val="20"/>
        </w:trPr>
        <w:tc>
          <w:tcPr>
            <w:tcW w:w="1047" w:type="dxa"/>
            <w:vAlign w:val="center"/>
          </w:tcPr>
          <w:p w14:paraId="72851435"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10</w:t>
            </w:r>
          </w:p>
        </w:tc>
        <w:tc>
          <w:tcPr>
            <w:tcW w:w="1608" w:type="dxa"/>
            <w:gridSpan w:val="2"/>
            <w:vAlign w:val="center"/>
          </w:tcPr>
          <w:p w14:paraId="766537A0"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188.22±0.01</w:t>
            </w:r>
            <w:r w:rsidRPr="00506C7C">
              <w:rPr>
                <w:rFonts w:ascii="Arial" w:eastAsia="Arial" w:hAnsi="Arial" w:cs="Arial"/>
                <w:color w:val="000000" w:themeColor="text1"/>
                <w:sz w:val="18"/>
                <w:szCs w:val="18"/>
                <w:vertAlign w:val="superscript"/>
              </w:rPr>
              <w:t>aB</w:t>
            </w:r>
          </w:p>
        </w:tc>
        <w:tc>
          <w:tcPr>
            <w:tcW w:w="1575" w:type="dxa"/>
            <w:gridSpan w:val="2"/>
            <w:vAlign w:val="center"/>
          </w:tcPr>
          <w:p w14:paraId="2413F76D"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191.41±1.82</w:t>
            </w:r>
            <w:r w:rsidRPr="00506C7C">
              <w:rPr>
                <w:rFonts w:ascii="Arial" w:eastAsia="Arial" w:hAnsi="Arial" w:cs="Arial"/>
                <w:color w:val="000000" w:themeColor="text1"/>
                <w:sz w:val="18"/>
                <w:szCs w:val="18"/>
                <w:vertAlign w:val="superscript"/>
              </w:rPr>
              <w:t>bC</w:t>
            </w:r>
          </w:p>
        </w:tc>
        <w:tc>
          <w:tcPr>
            <w:tcW w:w="1425" w:type="dxa"/>
            <w:gridSpan w:val="2"/>
            <w:vAlign w:val="center"/>
          </w:tcPr>
          <w:p w14:paraId="2D07E5A5"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195.27±0.62</w:t>
            </w:r>
            <w:r w:rsidRPr="00506C7C">
              <w:rPr>
                <w:rFonts w:ascii="Arial" w:eastAsia="Arial" w:hAnsi="Arial" w:cs="Arial"/>
                <w:color w:val="000000" w:themeColor="text1"/>
                <w:sz w:val="18"/>
                <w:szCs w:val="18"/>
                <w:vertAlign w:val="superscript"/>
              </w:rPr>
              <w:t>cC</w:t>
            </w:r>
          </w:p>
        </w:tc>
        <w:tc>
          <w:tcPr>
            <w:tcW w:w="1590" w:type="dxa"/>
            <w:gridSpan w:val="2"/>
            <w:vAlign w:val="center"/>
          </w:tcPr>
          <w:p w14:paraId="2301A4A3"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192.64±0.89</w:t>
            </w:r>
            <w:r w:rsidRPr="00506C7C">
              <w:rPr>
                <w:rFonts w:ascii="Arial" w:eastAsia="Arial" w:hAnsi="Arial" w:cs="Arial"/>
                <w:color w:val="000000" w:themeColor="text1"/>
                <w:sz w:val="18"/>
                <w:szCs w:val="18"/>
                <w:vertAlign w:val="superscript"/>
              </w:rPr>
              <w:t>dC</w:t>
            </w:r>
          </w:p>
        </w:tc>
      </w:tr>
      <w:tr w:rsidR="00506C7C" w:rsidRPr="00506C7C" w14:paraId="44171595" w14:textId="77777777">
        <w:trPr>
          <w:trHeight w:val="20"/>
        </w:trPr>
        <w:tc>
          <w:tcPr>
            <w:tcW w:w="1047" w:type="dxa"/>
            <w:vAlign w:val="center"/>
          </w:tcPr>
          <w:p w14:paraId="0DB842D0"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12.5</w:t>
            </w:r>
          </w:p>
        </w:tc>
        <w:tc>
          <w:tcPr>
            <w:tcW w:w="1608" w:type="dxa"/>
            <w:gridSpan w:val="2"/>
            <w:vAlign w:val="center"/>
          </w:tcPr>
          <w:p w14:paraId="70E7EC84"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195.23±0.14</w:t>
            </w:r>
            <w:r w:rsidRPr="00506C7C">
              <w:rPr>
                <w:rFonts w:ascii="Arial" w:eastAsia="Arial" w:hAnsi="Arial" w:cs="Arial"/>
                <w:color w:val="000000" w:themeColor="text1"/>
                <w:sz w:val="18"/>
                <w:szCs w:val="18"/>
                <w:vertAlign w:val="superscript"/>
              </w:rPr>
              <w:t>aC</w:t>
            </w:r>
          </w:p>
        </w:tc>
        <w:tc>
          <w:tcPr>
            <w:tcW w:w="1575" w:type="dxa"/>
            <w:gridSpan w:val="2"/>
            <w:vAlign w:val="center"/>
          </w:tcPr>
          <w:p w14:paraId="0C6984AF"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200.44±0.56</w:t>
            </w:r>
            <w:r w:rsidRPr="00506C7C">
              <w:rPr>
                <w:rFonts w:ascii="Arial" w:eastAsia="Arial" w:hAnsi="Arial" w:cs="Arial"/>
                <w:color w:val="000000" w:themeColor="text1"/>
                <w:sz w:val="18"/>
                <w:szCs w:val="18"/>
                <w:vertAlign w:val="superscript"/>
              </w:rPr>
              <w:t>bD</w:t>
            </w:r>
          </w:p>
        </w:tc>
        <w:tc>
          <w:tcPr>
            <w:tcW w:w="1425" w:type="dxa"/>
            <w:gridSpan w:val="2"/>
            <w:vAlign w:val="center"/>
          </w:tcPr>
          <w:p w14:paraId="4713E373"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201.21±0.40</w:t>
            </w:r>
            <w:r w:rsidRPr="00506C7C">
              <w:rPr>
                <w:rFonts w:ascii="Arial" w:eastAsia="Arial" w:hAnsi="Arial" w:cs="Arial"/>
                <w:color w:val="000000" w:themeColor="text1"/>
                <w:sz w:val="18"/>
                <w:szCs w:val="18"/>
                <w:vertAlign w:val="superscript"/>
              </w:rPr>
              <w:t>cD</w:t>
            </w:r>
          </w:p>
        </w:tc>
        <w:tc>
          <w:tcPr>
            <w:tcW w:w="1590" w:type="dxa"/>
            <w:gridSpan w:val="2"/>
            <w:vAlign w:val="center"/>
          </w:tcPr>
          <w:p w14:paraId="61097D41"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197.81±2.23</w:t>
            </w:r>
            <w:r w:rsidRPr="00506C7C">
              <w:rPr>
                <w:rFonts w:ascii="Arial" w:eastAsia="Arial" w:hAnsi="Arial" w:cs="Arial"/>
                <w:color w:val="000000" w:themeColor="text1"/>
                <w:sz w:val="18"/>
                <w:szCs w:val="18"/>
                <w:vertAlign w:val="superscript"/>
              </w:rPr>
              <w:t>dD</w:t>
            </w:r>
          </w:p>
        </w:tc>
      </w:tr>
      <w:tr w:rsidR="00506C7C" w:rsidRPr="00506C7C" w14:paraId="438FFF21" w14:textId="77777777">
        <w:trPr>
          <w:trHeight w:val="20"/>
        </w:trPr>
        <w:tc>
          <w:tcPr>
            <w:tcW w:w="1047" w:type="dxa"/>
            <w:tcBorders>
              <w:bottom w:val="single" w:sz="4" w:space="0" w:color="000000"/>
            </w:tcBorders>
            <w:vAlign w:val="center"/>
          </w:tcPr>
          <w:p w14:paraId="44A3CF58"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15</w:t>
            </w:r>
          </w:p>
        </w:tc>
        <w:tc>
          <w:tcPr>
            <w:tcW w:w="1608" w:type="dxa"/>
            <w:gridSpan w:val="2"/>
            <w:tcBorders>
              <w:bottom w:val="single" w:sz="4" w:space="0" w:color="000000"/>
            </w:tcBorders>
            <w:vAlign w:val="center"/>
          </w:tcPr>
          <w:p w14:paraId="5B56311E"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200.82±0.60</w:t>
            </w:r>
            <w:r w:rsidRPr="00506C7C">
              <w:rPr>
                <w:rFonts w:ascii="Arial" w:eastAsia="Arial" w:hAnsi="Arial" w:cs="Arial"/>
                <w:color w:val="000000" w:themeColor="text1"/>
                <w:sz w:val="18"/>
                <w:szCs w:val="18"/>
                <w:vertAlign w:val="superscript"/>
              </w:rPr>
              <w:t>aD</w:t>
            </w:r>
          </w:p>
        </w:tc>
        <w:tc>
          <w:tcPr>
            <w:tcW w:w="1575" w:type="dxa"/>
            <w:gridSpan w:val="2"/>
            <w:tcBorders>
              <w:bottom w:val="single" w:sz="4" w:space="0" w:color="000000"/>
            </w:tcBorders>
            <w:vAlign w:val="center"/>
          </w:tcPr>
          <w:p w14:paraId="14A7370D"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201.93±0.46</w:t>
            </w:r>
            <w:r w:rsidRPr="00506C7C">
              <w:rPr>
                <w:rFonts w:ascii="Arial" w:eastAsia="Arial" w:hAnsi="Arial" w:cs="Arial"/>
                <w:color w:val="000000" w:themeColor="text1"/>
                <w:sz w:val="18"/>
                <w:szCs w:val="18"/>
                <w:vertAlign w:val="superscript"/>
              </w:rPr>
              <w:t>bE</w:t>
            </w:r>
          </w:p>
        </w:tc>
        <w:tc>
          <w:tcPr>
            <w:tcW w:w="1425" w:type="dxa"/>
            <w:gridSpan w:val="2"/>
            <w:tcBorders>
              <w:bottom w:val="single" w:sz="4" w:space="0" w:color="000000"/>
            </w:tcBorders>
            <w:vAlign w:val="center"/>
          </w:tcPr>
          <w:p w14:paraId="6DF79775"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202.83±0.13</w:t>
            </w:r>
            <w:r w:rsidRPr="00506C7C">
              <w:rPr>
                <w:rFonts w:ascii="Arial" w:eastAsia="Arial" w:hAnsi="Arial" w:cs="Arial"/>
                <w:color w:val="000000" w:themeColor="text1"/>
                <w:sz w:val="18"/>
                <w:szCs w:val="18"/>
                <w:vertAlign w:val="superscript"/>
              </w:rPr>
              <w:t>cE</w:t>
            </w:r>
          </w:p>
        </w:tc>
        <w:tc>
          <w:tcPr>
            <w:tcW w:w="1590" w:type="dxa"/>
            <w:gridSpan w:val="2"/>
            <w:tcBorders>
              <w:bottom w:val="single" w:sz="4" w:space="0" w:color="000000"/>
            </w:tcBorders>
            <w:vAlign w:val="center"/>
          </w:tcPr>
          <w:p w14:paraId="4E7A4403"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200.08±0.24</w:t>
            </w:r>
            <w:r w:rsidRPr="00506C7C">
              <w:rPr>
                <w:rFonts w:ascii="Arial" w:eastAsia="Arial" w:hAnsi="Arial" w:cs="Arial"/>
                <w:color w:val="000000" w:themeColor="text1"/>
                <w:sz w:val="18"/>
                <w:szCs w:val="18"/>
                <w:vertAlign w:val="superscript"/>
              </w:rPr>
              <w:t>aE</w:t>
            </w:r>
          </w:p>
        </w:tc>
      </w:tr>
      <w:tr w:rsidR="00506C7C" w:rsidRPr="00506C7C" w14:paraId="338D105E" w14:textId="77777777">
        <w:trPr>
          <w:trHeight w:val="20"/>
        </w:trPr>
        <w:tc>
          <w:tcPr>
            <w:tcW w:w="7245" w:type="dxa"/>
            <w:gridSpan w:val="9"/>
            <w:tcBorders>
              <w:top w:val="single" w:sz="4" w:space="0" w:color="000000"/>
              <w:bottom w:val="single" w:sz="4" w:space="0" w:color="000000"/>
            </w:tcBorders>
            <w:vAlign w:val="center"/>
          </w:tcPr>
          <w:p w14:paraId="063B7F3E" w14:textId="77777777" w:rsidR="00D4441D" w:rsidRPr="00506C7C" w:rsidRDefault="00506C7C">
            <w:pPr>
              <w:pBdr>
                <w:top w:val="nil"/>
                <w:left w:val="nil"/>
                <w:bottom w:val="nil"/>
                <w:right w:val="nil"/>
                <w:between w:val="nil"/>
              </w:pBdr>
              <w:jc w:val="left"/>
              <w:rPr>
                <w:rFonts w:ascii="Arial" w:eastAsia="Arial" w:hAnsi="Arial" w:cs="Arial"/>
                <w:color w:val="000000" w:themeColor="text1"/>
                <w:sz w:val="18"/>
                <w:szCs w:val="18"/>
              </w:rPr>
            </w:pPr>
            <w:r w:rsidRPr="00506C7C">
              <w:rPr>
                <w:rFonts w:ascii="Arial" w:eastAsia="Arial" w:hAnsi="Arial" w:cs="Arial"/>
                <w:color w:val="000000" w:themeColor="text1"/>
                <w:sz w:val="18"/>
                <w:szCs w:val="18"/>
              </w:rPr>
              <w:t>Maximum heat flow temperature of oxidation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rPr>
              <w:t>)</w:t>
            </w:r>
          </w:p>
        </w:tc>
      </w:tr>
      <w:tr w:rsidR="00506C7C" w:rsidRPr="00506C7C" w14:paraId="24FC529C" w14:textId="77777777">
        <w:trPr>
          <w:trHeight w:val="20"/>
        </w:trPr>
        <w:tc>
          <w:tcPr>
            <w:tcW w:w="1047" w:type="dxa"/>
            <w:tcBorders>
              <w:top w:val="single" w:sz="4" w:space="0" w:color="000000"/>
            </w:tcBorders>
            <w:vAlign w:val="center"/>
          </w:tcPr>
          <w:p w14:paraId="45B9AB62"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5</w:t>
            </w:r>
          </w:p>
        </w:tc>
        <w:tc>
          <w:tcPr>
            <w:tcW w:w="1608" w:type="dxa"/>
            <w:gridSpan w:val="2"/>
            <w:tcBorders>
              <w:top w:val="single" w:sz="4" w:space="0" w:color="000000"/>
            </w:tcBorders>
            <w:vAlign w:val="center"/>
          </w:tcPr>
          <w:p w14:paraId="7EF0A225"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265.70±1.01</w:t>
            </w:r>
            <w:r w:rsidRPr="00506C7C">
              <w:rPr>
                <w:rFonts w:ascii="Arial" w:eastAsia="Arial" w:hAnsi="Arial" w:cs="Arial"/>
                <w:color w:val="000000" w:themeColor="text1"/>
                <w:sz w:val="18"/>
                <w:szCs w:val="18"/>
                <w:vertAlign w:val="superscript"/>
              </w:rPr>
              <w:t>aA</w:t>
            </w:r>
          </w:p>
        </w:tc>
        <w:tc>
          <w:tcPr>
            <w:tcW w:w="1575" w:type="dxa"/>
            <w:gridSpan w:val="2"/>
            <w:tcBorders>
              <w:top w:val="single" w:sz="4" w:space="0" w:color="000000"/>
            </w:tcBorders>
            <w:vAlign w:val="center"/>
          </w:tcPr>
          <w:p w14:paraId="70895395"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265.35±0.13</w:t>
            </w:r>
            <w:r w:rsidRPr="00506C7C">
              <w:rPr>
                <w:rFonts w:ascii="Arial" w:eastAsia="Arial" w:hAnsi="Arial" w:cs="Arial"/>
                <w:color w:val="000000" w:themeColor="text1"/>
                <w:sz w:val="18"/>
                <w:szCs w:val="18"/>
                <w:vertAlign w:val="superscript"/>
              </w:rPr>
              <w:t>aA</w:t>
            </w:r>
          </w:p>
        </w:tc>
        <w:tc>
          <w:tcPr>
            <w:tcW w:w="1425" w:type="dxa"/>
            <w:gridSpan w:val="2"/>
            <w:tcBorders>
              <w:top w:val="single" w:sz="4" w:space="0" w:color="000000"/>
            </w:tcBorders>
            <w:vAlign w:val="center"/>
          </w:tcPr>
          <w:p w14:paraId="5F587BEE"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260.03±1.05</w:t>
            </w:r>
            <w:r w:rsidRPr="00506C7C">
              <w:rPr>
                <w:rFonts w:ascii="Arial" w:eastAsia="Arial" w:hAnsi="Arial" w:cs="Arial"/>
                <w:color w:val="000000" w:themeColor="text1"/>
                <w:sz w:val="18"/>
                <w:szCs w:val="18"/>
                <w:vertAlign w:val="superscript"/>
              </w:rPr>
              <w:t>bA</w:t>
            </w:r>
          </w:p>
        </w:tc>
        <w:tc>
          <w:tcPr>
            <w:tcW w:w="1590" w:type="dxa"/>
            <w:gridSpan w:val="2"/>
            <w:tcBorders>
              <w:top w:val="single" w:sz="4" w:space="0" w:color="000000"/>
            </w:tcBorders>
            <w:vAlign w:val="center"/>
          </w:tcPr>
          <w:p w14:paraId="60973C97"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250.26±0.64</w:t>
            </w:r>
            <w:r w:rsidRPr="00506C7C">
              <w:rPr>
                <w:rFonts w:ascii="Arial" w:eastAsia="Arial" w:hAnsi="Arial" w:cs="Arial"/>
                <w:color w:val="000000" w:themeColor="text1"/>
                <w:sz w:val="18"/>
                <w:szCs w:val="18"/>
                <w:vertAlign w:val="superscript"/>
              </w:rPr>
              <w:t>cA</w:t>
            </w:r>
          </w:p>
        </w:tc>
      </w:tr>
      <w:tr w:rsidR="00506C7C" w:rsidRPr="00506C7C" w14:paraId="4643E830" w14:textId="77777777">
        <w:trPr>
          <w:trHeight w:val="20"/>
        </w:trPr>
        <w:tc>
          <w:tcPr>
            <w:tcW w:w="1047" w:type="dxa"/>
            <w:vAlign w:val="center"/>
          </w:tcPr>
          <w:p w14:paraId="7EF9F7C5"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7.5</w:t>
            </w:r>
          </w:p>
        </w:tc>
        <w:tc>
          <w:tcPr>
            <w:tcW w:w="1608" w:type="dxa"/>
            <w:gridSpan w:val="2"/>
            <w:vAlign w:val="center"/>
          </w:tcPr>
          <w:p w14:paraId="56A33D3F"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280.85±0.97</w:t>
            </w:r>
            <w:r w:rsidRPr="00506C7C">
              <w:rPr>
                <w:rFonts w:ascii="Arial" w:eastAsia="Arial" w:hAnsi="Arial" w:cs="Arial"/>
                <w:color w:val="000000" w:themeColor="text1"/>
                <w:sz w:val="18"/>
                <w:szCs w:val="18"/>
                <w:vertAlign w:val="superscript"/>
              </w:rPr>
              <w:t>aB</w:t>
            </w:r>
          </w:p>
        </w:tc>
        <w:tc>
          <w:tcPr>
            <w:tcW w:w="1575" w:type="dxa"/>
            <w:gridSpan w:val="2"/>
            <w:vAlign w:val="center"/>
          </w:tcPr>
          <w:p w14:paraId="4F717D51"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268.55±0.78</w:t>
            </w:r>
            <w:r w:rsidRPr="00506C7C">
              <w:rPr>
                <w:rFonts w:ascii="Arial" w:eastAsia="Arial" w:hAnsi="Arial" w:cs="Arial"/>
                <w:color w:val="000000" w:themeColor="text1"/>
                <w:sz w:val="18"/>
                <w:szCs w:val="18"/>
                <w:vertAlign w:val="superscript"/>
              </w:rPr>
              <w:t>bB</w:t>
            </w:r>
          </w:p>
        </w:tc>
        <w:tc>
          <w:tcPr>
            <w:tcW w:w="1425" w:type="dxa"/>
            <w:gridSpan w:val="2"/>
            <w:vAlign w:val="center"/>
          </w:tcPr>
          <w:p w14:paraId="4FE167B0"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265.86±0.57</w:t>
            </w:r>
            <w:r w:rsidRPr="00506C7C">
              <w:rPr>
                <w:rFonts w:ascii="Arial" w:eastAsia="Arial" w:hAnsi="Arial" w:cs="Arial"/>
                <w:color w:val="000000" w:themeColor="text1"/>
                <w:sz w:val="18"/>
                <w:szCs w:val="18"/>
                <w:vertAlign w:val="superscript"/>
              </w:rPr>
              <w:t>bB</w:t>
            </w:r>
          </w:p>
        </w:tc>
        <w:tc>
          <w:tcPr>
            <w:tcW w:w="1590" w:type="dxa"/>
            <w:gridSpan w:val="2"/>
            <w:vAlign w:val="center"/>
          </w:tcPr>
          <w:p w14:paraId="1553ADEC"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258.40±0.55</w:t>
            </w:r>
            <w:r w:rsidRPr="00506C7C">
              <w:rPr>
                <w:rFonts w:ascii="Arial" w:eastAsia="Arial" w:hAnsi="Arial" w:cs="Arial"/>
                <w:color w:val="000000" w:themeColor="text1"/>
                <w:sz w:val="18"/>
                <w:szCs w:val="18"/>
                <w:vertAlign w:val="superscript"/>
              </w:rPr>
              <w:t>cB</w:t>
            </w:r>
          </w:p>
        </w:tc>
      </w:tr>
      <w:tr w:rsidR="00506C7C" w:rsidRPr="00506C7C" w14:paraId="719E8359" w14:textId="77777777">
        <w:trPr>
          <w:trHeight w:val="20"/>
        </w:trPr>
        <w:tc>
          <w:tcPr>
            <w:tcW w:w="1047" w:type="dxa"/>
            <w:vAlign w:val="center"/>
          </w:tcPr>
          <w:p w14:paraId="362F4EC8"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10</w:t>
            </w:r>
          </w:p>
        </w:tc>
        <w:tc>
          <w:tcPr>
            <w:tcW w:w="1608" w:type="dxa"/>
            <w:gridSpan w:val="2"/>
            <w:vAlign w:val="center"/>
          </w:tcPr>
          <w:p w14:paraId="4FEE2439"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280.17±0.77</w:t>
            </w:r>
            <w:r w:rsidRPr="00506C7C">
              <w:rPr>
                <w:rFonts w:ascii="Arial" w:eastAsia="Arial" w:hAnsi="Arial" w:cs="Arial"/>
                <w:color w:val="000000" w:themeColor="text1"/>
                <w:sz w:val="18"/>
                <w:szCs w:val="18"/>
                <w:vertAlign w:val="superscript"/>
              </w:rPr>
              <w:t>aB</w:t>
            </w:r>
          </w:p>
        </w:tc>
        <w:tc>
          <w:tcPr>
            <w:tcW w:w="1575" w:type="dxa"/>
            <w:gridSpan w:val="2"/>
            <w:vAlign w:val="center"/>
          </w:tcPr>
          <w:p w14:paraId="7DF0892D"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271.19±0.56</w:t>
            </w:r>
            <w:r w:rsidRPr="00506C7C">
              <w:rPr>
                <w:rFonts w:ascii="Arial" w:eastAsia="Arial" w:hAnsi="Arial" w:cs="Arial"/>
                <w:color w:val="000000" w:themeColor="text1"/>
                <w:sz w:val="18"/>
                <w:szCs w:val="18"/>
                <w:vertAlign w:val="superscript"/>
              </w:rPr>
              <w:t>bC</w:t>
            </w:r>
          </w:p>
        </w:tc>
        <w:tc>
          <w:tcPr>
            <w:tcW w:w="1425" w:type="dxa"/>
            <w:gridSpan w:val="2"/>
            <w:vAlign w:val="center"/>
          </w:tcPr>
          <w:p w14:paraId="0FCB87D3"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273.10±0.83</w:t>
            </w:r>
            <w:r w:rsidRPr="00506C7C">
              <w:rPr>
                <w:rFonts w:ascii="Arial" w:eastAsia="Arial" w:hAnsi="Arial" w:cs="Arial"/>
                <w:color w:val="000000" w:themeColor="text1"/>
                <w:sz w:val="18"/>
                <w:szCs w:val="18"/>
                <w:vertAlign w:val="superscript"/>
              </w:rPr>
              <w:t>cC</w:t>
            </w:r>
          </w:p>
        </w:tc>
        <w:tc>
          <w:tcPr>
            <w:tcW w:w="1590" w:type="dxa"/>
            <w:gridSpan w:val="2"/>
            <w:vAlign w:val="center"/>
          </w:tcPr>
          <w:p w14:paraId="0E266287"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267.59±0.44</w:t>
            </w:r>
            <w:r w:rsidRPr="00506C7C">
              <w:rPr>
                <w:rFonts w:ascii="Arial" w:eastAsia="Arial" w:hAnsi="Arial" w:cs="Arial"/>
                <w:color w:val="000000" w:themeColor="text1"/>
                <w:sz w:val="18"/>
                <w:szCs w:val="18"/>
                <w:vertAlign w:val="superscript"/>
              </w:rPr>
              <w:t>dC</w:t>
            </w:r>
          </w:p>
        </w:tc>
      </w:tr>
      <w:tr w:rsidR="00506C7C" w:rsidRPr="00506C7C" w14:paraId="565C79F2" w14:textId="77777777">
        <w:trPr>
          <w:trHeight w:val="20"/>
        </w:trPr>
        <w:tc>
          <w:tcPr>
            <w:tcW w:w="1047" w:type="dxa"/>
            <w:vAlign w:val="center"/>
          </w:tcPr>
          <w:p w14:paraId="6921D0E9"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12.5</w:t>
            </w:r>
          </w:p>
        </w:tc>
        <w:tc>
          <w:tcPr>
            <w:tcW w:w="1608" w:type="dxa"/>
            <w:gridSpan w:val="2"/>
            <w:vAlign w:val="center"/>
          </w:tcPr>
          <w:p w14:paraId="515863EB"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282.81±0.23</w:t>
            </w:r>
            <w:r w:rsidRPr="00506C7C">
              <w:rPr>
                <w:rFonts w:ascii="Arial" w:eastAsia="Arial" w:hAnsi="Arial" w:cs="Arial"/>
                <w:color w:val="000000" w:themeColor="text1"/>
                <w:sz w:val="18"/>
                <w:szCs w:val="18"/>
                <w:vertAlign w:val="superscript"/>
              </w:rPr>
              <w:t>aC</w:t>
            </w:r>
          </w:p>
        </w:tc>
        <w:tc>
          <w:tcPr>
            <w:tcW w:w="1575" w:type="dxa"/>
            <w:gridSpan w:val="2"/>
            <w:vAlign w:val="center"/>
          </w:tcPr>
          <w:p w14:paraId="46FE1014"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288.18±1.01</w:t>
            </w:r>
            <w:r w:rsidRPr="00506C7C">
              <w:rPr>
                <w:rFonts w:ascii="Arial" w:eastAsia="Arial" w:hAnsi="Arial" w:cs="Arial"/>
                <w:color w:val="000000" w:themeColor="text1"/>
                <w:sz w:val="18"/>
                <w:szCs w:val="18"/>
                <w:vertAlign w:val="superscript"/>
              </w:rPr>
              <w:t>bD</w:t>
            </w:r>
          </w:p>
        </w:tc>
        <w:tc>
          <w:tcPr>
            <w:tcW w:w="1425" w:type="dxa"/>
            <w:gridSpan w:val="2"/>
            <w:vAlign w:val="center"/>
          </w:tcPr>
          <w:p w14:paraId="1BBBA3B6"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277.63±1.11</w:t>
            </w:r>
            <w:r w:rsidRPr="00506C7C">
              <w:rPr>
                <w:rFonts w:ascii="Arial" w:eastAsia="Arial" w:hAnsi="Arial" w:cs="Arial"/>
                <w:color w:val="000000" w:themeColor="text1"/>
                <w:sz w:val="18"/>
                <w:szCs w:val="18"/>
                <w:vertAlign w:val="superscript"/>
              </w:rPr>
              <w:t>cD</w:t>
            </w:r>
          </w:p>
        </w:tc>
        <w:tc>
          <w:tcPr>
            <w:tcW w:w="1590" w:type="dxa"/>
            <w:gridSpan w:val="2"/>
            <w:vAlign w:val="center"/>
          </w:tcPr>
          <w:p w14:paraId="08844BCC"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268.97±1.17</w:t>
            </w:r>
            <w:r w:rsidRPr="00506C7C">
              <w:rPr>
                <w:rFonts w:ascii="Arial" w:eastAsia="Arial" w:hAnsi="Arial" w:cs="Arial"/>
                <w:color w:val="000000" w:themeColor="text1"/>
                <w:sz w:val="18"/>
                <w:szCs w:val="18"/>
                <w:vertAlign w:val="superscript"/>
              </w:rPr>
              <w:t>dC</w:t>
            </w:r>
          </w:p>
        </w:tc>
      </w:tr>
      <w:tr w:rsidR="00506C7C" w:rsidRPr="00506C7C" w14:paraId="6B0144F5" w14:textId="77777777">
        <w:trPr>
          <w:trHeight w:val="20"/>
        </w:trPr>
        <w:tc>
          <w:tcPr>
            <w:tcW w:w="1047" w:type="dxa"/>
            <w:tcBorders>
              <w:bottom w:val="single" w:sz="4" w:space="0" w:color="000000"/>
            </w:tcBorders>
            <w:vAlign w:val="center"/>
          </w:tcPr>
          <w:p w14:paraId="34BF1288"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15</w:t>
            </w:r>
          </w:p>
        </w:tc>
        <w:tc>
          <w:tcPr>
            <w:tcW w:w="1608" w:type="dxa"/>
            <w:gridSpan w:val="2"/>
            <w:tcBorders>
              <w:bottom w:val="single" w:sz="4" w:space="0" w:color="000000"/>
            </w:tcBorders>
            <w:vAlign w:val="center"/>
          </w:tcPr>
          <w:p w14:paraId="2136A82D"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300.12±1.13</w:t>
            </w:r>
            <w:r w:rsidRPr="00506C7C">
              <w:rPr>
                <w:rFonts w:ascii="Arial" w:eastAsia="Arial" w:hAnsi="Arial" w:cs="Arial"/>
                <w:color w:val="000000" w:themeColor="text1"/>
                <w:sz w:val="18"/>
                <w:szCs w:val="18"/>
                <w:vertAlign w:val="superscript"/>
              </w:rPr>
              <w:t>aD</w:t>
            </w:r>
          </w:p>
        </w:tc>
        <w:tc>
          <w:tcPr>
            <w:tcW w:w="1575" w:type="dxa"/>
            <w:gridSpan w:val="2"/>
            <w:tcBorders>
              <w:bottom w:val="single" w:sz="4" w:space="0" w:color="000000"/>
            </w:tcBorders>
            <w:vAlign w:val="center"/>
          </w:tcPr>
          <w:p w14:paraId="48DE85BD"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295.45±0.45</w:t>
            </w:r>
            <w:r w:rsidRPr="00506C7C">
              <w:rPr>
                <w:rFonts w:ascii="Arial" w:eastAsia="Arial" w:hAnsi="Arial" w:cs="Arial"/>
                <w:color w:val="000000" w:themeColor="text1"/>
                <w:sz w:val="18"/>
                <w:szCs w:val="18"/>
                <w:vertAlign w:val="superscript"/>
              </w:rPr>
              <w:t>bE</w:t>
            </w:r>
          </w:p>
        </w:tc>
        <w:tc>
          <w:tcPr>
            <w:tcW w:w="1425" w:type="dxa"/>
            <w:gridSpan w:val="2"/>
            <w:tcBorders>
              <w:bottom w:val="single" w:sz="4" w:space="0" w:color="000000"/>
            </w:tcBorders>
            <w:vAlign w:val="center"/>
          </w:tcPr>
          <w:p w14:paraId="1BBD70C4"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278.72±0.88</w:t>
            </w:r>
            <w:r w:rsidRPr="00506C7C">
              <w:rPr>
                <w:rFonts w:ascii="Arial" w:eastAsia="Arial" w:hAnsi="Arial" w:cs="Arial"/>
                <w:color w:val="000000" w:themeColor="text1"/>
                <w:sz w:val="18"/>
                <w:szCs w:val="18"/>
                <w:vertAlign w:val="superscript"/>
              </w:rPr>
              <w:t>cD</w:t>
            </w:r>
          </w:p>
        </w:tc>
        <w:tc>
          <w:tcPr>
            <w:tcW w:w="1590" w:type="dxa"/>
            <w:gridSpan w:val="2"/>
            <w:tcBorders>
              <w:bottom w:val="single" w:sz="4" w:space="0" w:color="000000"/>
            </w:tcBorders>
            <w:vAlign w:val="center"/>
          </w:tcPr>
          <w:p w14:paraId="4D9BBF28" w14:textId="77777777" w:rsidR="00D4441D" w:rsidRPr="00506C7C" w:rsidRDefault="00506C7C">
            <w:pPr>
              <w:pBdr>
                <w:top w:val="nil"/>
                <w:left w:val="nil"/>
                <w:bottom w:val="nil"/>
                <w:right w:val="nil"/>
                <w:between w:val="nil"/>
              </w:pBdr>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275.16±0.28</w:t>
            </w:r>
            <w:r w:rsidRPr="00506C7C">
              <w:rPr>
                <w:rFonts w:ascii="Arial" w:eastAsia="Arial" w:hAnsi="Arial" w:cs="Arial"/>
                <w:color w:val="000000" w:themeColor="text1"/>
                <w:sz w:val="18"/>
                <w:szCs w:val="18"/>
                <w:vertAlign w:val="superscript"/>
              </w:rPr>
              <w:t>dD</w:t>
            </w:r>
          </w:p>
        </w:tc>
      </w:tr>
    </w:tbl>
    <w:p w14:paraId="2ABF6CA2" w14:textId="77777777" w:rsidR="00D4441D" w:rsidRPr="00506C7C" w:rsidRDefault="00506C7C">
      <w:pPr>
        <w:pBdr>
          <w:top w:val="nil"/>
          <w:left w:val="nil"/>
          <w:bottom w:val="nil"/>
          <w:right w:val="nil"/>
          <w:between w:val="nil"/>
        </w:pBdr>
        <w:spacing w:before="240"/>
        <w:jc w:val="both"/>
        <w:rPr>
          <w:color w:val="000000" w:themeColor="text1"/>
          <w:sz w:val="16"/>
          <w:szCs w:val="16"/>
        </w:rPr>
      </w:pPr>
      <w:r w:rsidRPr="00506C7C">
        <w:rPr>
          <w:rFonts w:ascii="Arial" w:eastAsia="Arial" w:hAnsi="Arial" w:cs="Arial"/>
          <w:i/>
          <w:color w:val="000000" w:themeColor="text1"/>
          <w:sz w:val="16"/>
          <w:szCs w:val="16"/>
        </w:rPr>
        <w:lastRenderedPageBreak/>
        <w:t>Different letters (a, b, c, d) reveal significant differences (p &lt; 0.05) among the samples for each heating rate, and different letters (A, B, C, . . .) reveal significant differences (p &lt; 0.05) among heating rate for each sample.</w:t>
      </w:r>
    </w:p>
    <w:p w14:paraId="0CB73F9F" w14:textId="77777777" w:rsidR="00D4441D" w:rsidRPr="00506C7C" w:rsidRDefault="00D4441D">
      <w:pPr>
        <w:spacing w:line="264" w:lineRule="auto"/>
        <w:jc w:val="both"/>
        <w:rPr>
          <w:rFonts w:ascii="Arial" w:eastAsia="Arial" w:hAnsi="Arial" w:cs="Arial"/>
          <w:color w:val="000000" w:themeColor="text1"/>
          <w:sz w:val="18"/>
          <w:szCs w:val="18"/>
        </w:rPr>
      </w:pPr>
    </w:p>
    <w:p w14:paraId="6D107626" w14:textId="77777777" w:rsidR="00D4441D" w:rsidRPr="00506C7C" w:rsidRDefault="00506C7C">
      <w:pPr>
        <w:spacing w:line="264" w:lineRule="auto"/>
        <w:jc w:val="both"/>
        <w:rPr>
          <w:color w:val="000000" w:themeColor="text1"/>
          <w:sz w:val="16"/>
          <w:szCs w:val="16"/>
        </w:rPr>
      </w:pPr>
      <w:r w:rsidRPr="00506C7C">
        <w:rPr>
          <w:rFonts w:ascii="Arial" w:eastAsia="Arial" w:hAnsi="Arial" w:cs="Arial"/>
          <w:color w:val="000000" w:themeColor="text1"/>
          <w:sz w:val="18"/>
          <w:szCs w:val="18"/>
        </w:rPr>
        <w:t>By comparing the investi</w:t>
      </w:r>
      <w:r w:rsidRPr="00506C7C">
        <w:rPr>
          <w:rFonts w:ascii="Arial" w:eastAsia="Arial" w:hAnsi="Arial" w:cs="Arial"/>
          <w:color w:val="000000" w:themeColor="text1"/>
          <w:sz w:val="18"/>
          <w:szCs w:val="18"/>
        </w:rPr>
        <w:t xml:space="preserve">gated samples, the highest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 xml:space="preserve"> values, at each heating rate, were identified for the GMS-based oleogels, highlighting a greater oxidative stability. On the other hand, the lowest values were recorded for control sample (EVOO).</w:t>
      </w:r>
    </w:p>
    <w:p w14:paraId="2B918345" w14:textId="482E33A2" w:rsidR="00D4441D" w:rsidRPr="00506C7C" w:rsidRDefault="00506C7C" w:rsidP="00506C7C">
      <w:pPr>
        <w:pStyle w:val="Paragrafoelenco"/>
        <w:keepNext/>
        <w:numPr>
          <w:ilvl w:val="1"/>
          <w:numId w:val="6"/>
        </w:numPr>
        <w:pBdr>
          <w:top w:val="nil"/>
          <w:left w:val="nil"/>
          <w:bottom w:val="nil"/>
          <w:right w:val="nil"/>
          <w:between w:val="nil"/>
        </w:pBdr>
        <w:spacing w:before="120" w:after="120"/>
        <w:rPr>
          <w:color w:val="000000" w:themeColor="text1"/>
        </w:rPr>
      </w:pPr>
      <w:r w:rsidRPr="00506C7C">
        <w:rPr>
          <w:rFonts w:ascii="Arial" w:eastAsia="Arial" w:hAnsi="Arial" w:cs="Arial"/>
          <w:b/>
          <w:color w:val="000000" w:themeColor="text1"/>
          <w:sz w:val="18"/>
          <w:szCs w:val="18"/>
        </w:rPr>
        <w:t>Kinetic parameters</w:t>
      </w:r>
    </w:p>
    <w:p w14:paraId="0865C476"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rPr>
        <w:t>he DSC approach, both isothermal and non-isothermal, relies on exposing the sample to a constant flow rate of excess oxygen. This condition allows peroxide formation to be independent of oxygen concentration, meaning that autoxidation is a first-order rea</w:t>
      </w:r>
      <w:r w:rsidRPr="00506C7C">
        <w:rPr>
          <w:rFonts w:ascii="Arial" w:eastAsia="Arial" w:hAnsi="Arial" w:cs="Arial"/>
          <w:color w:val="000000" w:themeColor="text1"/>
          <w:sz w:val="18"/>
          <w:szCs w:val="18"/>
        </w:rPr>
        <w:t xml:space="preserve">ction. This is an essential prerequisite for calculating kinetic parameters, such as the effective activation energy </w:t>
      </w: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rPr>
        <w:t>, the pre-exponential factor z and the reaction rate k. Using the onset and the maximum heat flow temperatures of oxidation for each heat</w:t>
      </w:r>
      <w:r w:rsidRPr="00506C7C">
        <w:rPr>
          <w:rFonts w:ascii="Arial" w:eastAsia="Arial" w:hAnsi="Arial" w:cs="Arial"/>
          <w:color w:val="000000" w:themeColor="text1"/>
          <w:sz w:val="18"/>
          <w:szCs w:val="18"/>
        </w:rPr>
        <w:t>ing rate, the kinetic parameters were calculated according to equations 1 – 4 and the values are reported in table 2.</w:t>
      </w:r>
    </w:p>
    <w:p w14:paraId="432EA6E7" w14:textId="77777777" w:rsidR="00D4441D" w:rsidRPr="00506C7C" w:rsidRDefault="00D4441D">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
    <w:p w14:paraId="6FC5C30F"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i/>
          <w:color w:val="000000" w:themeColor="text1"/>
          <w:sz w:val="18"/>
          <w:szCs w:val="18"/>
        </w:rPr>
      </w:pPr>
      <w:r w:rsidRPr="00506C7C">
        <w:rPr>
          <w:rFonts w:ascii="Arial" w:eastAsia="Arial" w:hAnsi="Arial" w:cs="Arial"/>
          <w:i/>
          <w:color w:val="000000" w:themeColor="text1"/>
          <w:sz w:val="18"/>
          <w:szCs w:val="18"/>
        </w:rPr>
        <w:t>Table 2: Kinetic parameters calculated from T</w:t>
      </w:r>
      <w:r w:rsidRPr="00506C7C">
        <w:rPr>
          <w:rFonts w:ascii="Arial" w:eastAsia="Arial" w:hAnsi="Arial" w:cs="Arial"/>
          <w:i/>
          <w:color w:val="000000" w:themeColor="text1"/>
          <w:sz w:val="18"/>
          <w:szCs w:val="18"/>
          <w:vertAlign w:val="subscript"/>
        </w:rPr>
        <w:t>s,</w:t>
      </w:r>
      <w:r w:rsidRPr="00506C7C">
        <w:rPr>
          <w:rFonts w:ascii="Arial" w:eastAsia="Arial" w:hAnsi="Arial" w:cs="Arial"/>
          <w:i/>
          <w:color w:val="000000" w:themeColor="text1"/>
          <w:sz w:val="18"/>
          <w:szCs w:val="18"/>
        </w:rPr>
        <w:t xml:space="preserve"> </w:t>
      </w:r>
      <w:proofErr w:type="spellStart"/>
      <w:r w:rsidRPr="00506C7C">
        <w:rPr>
          <w:rFonts w:ascii="Arial" w:eastAsia="Arial" w:hAnsi="Arial" w:cs="Arial"/>
          <w:i/>
          <w:color w:val="000000" w:themeColor="text1"/>
          <w:sz w:val="18"/>
          <w:szCs w:val="18"/>
        </w:rPr>
        <w:t>T</w:t>
      </w:r>
      <w:r w:rsidRPr="00506C7C">
        <w:rPr>
          <w:rFonts w:ascii="Arial" w:eastAsia="Arial" w:hAnsi="Arial" w:cs="Arial"/>
          <w:i/>
          <w:color w:val="000000" w:themeColor="text1"/>
          <w:sz w:val="18"/>
          <w:szCs w:val="18"/>
          <w:vertAlign w:val="subscript"/>
        </w:rPr>
        <w:t>onset</w:t>
      </w:r>
      <w:proofErr w:type="spellEnd"/>
      <w:r w:rsidRPr="00506C7C">
        <w:rPr>
          <w:rFonts w:ascii="Arial" w:eastAsia="Arial" w:hAnsi="Arial" w:cs="Arial"/>
          <w:i/>
          <w:color w:val="000000" w:themeColor="text1"/>
          <w:sz w:val="18"/>
          <w:szCs w:val="18"/>
        </w:rPr>
        <w:t xml:space="preserve"> and </w:t>
      </w:r>
      <w:proofErr w:type="spellStart"/>
      <w:r w:rsidRPr="00506C7C">
        <w:rPr>
          <w:rFonts w:ascii="Arial" w:eastAsia="Arial" w:hAnsi="Arial" w:cs="Arial"/>
          <w:i/>
          <w:color w:val="000000" w:themeColor="text1"/>
          <w:sz w:val="18"/>
          <w:szCs w:val="18"/>
        </w:rPr>
        <w:t>T</w:t>
      </w:r>
      <w:r w:rsidRPr="00506C7C">
        <w:rPr>
          <w:rFonts w:ascii="Arial" w:eastAsia="Arial" w:hAnsi="Arial" w:cs="Arial"/>
          <w:i/>
          <w:color w:val="000000" w:themeColor="text1"/>
          <w:sz w:val="18"/>
          <w:szCs w:val="18"/>
          <w:vertAlign w:val="subscript"/>
        </w:rPr>
        <w:t>p</w:t>
      </w:r>
      <w:proofErr w:type="spellEnd"/>
      <w:r w:rsidRPr="00506C7C">
        <w:rPr>
          <w:rFonts w:ascii="Arial" w:eastAsia="Arial" w:hAnsi="Arial" w:cs="Arial"/>
          <w:i/>
          <w:color w:val="000000" w:themeColor="text1"/>
          <w:sz w:val="18"/>
          <w:szCs w:val="18"/>
        </w:rPr>
        <w:t xml:space="preserve"> at each heating rate</w:t>
      </w:r>
    </w:p>
    <w:tbl>
      <w:tblPr>
        <w:tblStyle w:val="aa"/>
        <w:tblW w:w="87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69"/>
        <w:gridCol w:w="1227"/>
        <w:gridCol w:w="1147"/>
        <w:gridCol w:w="1267"/>
        <w:gridCol w:w="1107"/>
      </w:tblGrid>
      <w:tr w:rsidR="00506C7C" w:rsidRPr="00506C7C" w14:paraId="377E7527" w14:textId="77777777">
        <w:tc>
          <w:tcPr>
            <w:tcW w:w="3969" w:type="dxa"/>
            <w:tcBorders>
              <w:bottom w:val="single" w:sz="4" w:space="0" w:color="000000"/>
            </w:tcBorders>
            <w:vAlign w:val="center"/>
          </w:tcPr>
          <w:p w14:paraId="10D8F9CF"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c>
          <w:tcPr>
            <w:tcW w:w="1227" w:type="dxa"/>
            <w:tcBorders>
              <w:bottom w:val="single" w:sz="4" w:space="0" w:color="000000"/>
            </w:tcBorders>
            <w:vAlign w:val="center"/>
          </w:tcPr>
          <w:p w14:paraId="6EF42847"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EVOO</w:t>
            </w:r>
          </w:p>
        </w:tc>
        <w:tc>
          <w:tcPr>
            <w:tcW w:w="1147" w:type="dxa"/>
            <w:tcBorders>
              <w:bottom w:val="single" w:sz="4" w:space="0" w:color="000000"/>
            </w:tcBorders>
            <w:vAlign w:val="center"/>
          </w:tcPr>
          <w:p w14:paraId="27BA20D5"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BW-oleogel</w:t>
            </w:r>
          </w:p>
        </w:tc>
        <w:tc>
          <w:tcPr>
            <w:tcW w:w="1267" w:type="dxa"/>
            <w:tcBorders>
              <w:bottom w:val="single" w:sz="4" w:space="0" w:color="000000"/>
            </w:tcBorders>
            <w:vAlign w:val="center"/>
          </w:tcPr>
          <w:p w14:paraId="2A8A5ABB"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GMS-oleogel</w:t>
            </w:r>
          </w:p>
        </w:tc>
        <w:tc>
          <w:tcPr>
            <w:tcW w:w="1107" w:type="dxa"/>
            <w:tcBorders>
              <w:bottom w:val="single" w:sz="4" w:space="0" w:color="000000"/>
            </w:tcBorders>
            <w:vAlign w:val="center"/>
          </w:tcPr>
          <w:p w14:paraId="18C77920"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EC-oleogel</w:t>
            </w:r>
          </w:p>
        </w:tc>
      </w:tr>
      <w:tr w:rsidR="00506C7C" w:rsidRPr="00506C7C" w14:paraId="76B2D4BA" w14:textId="77777777">
        <w:tc>
          <w:tcPr>
            <w:tcW w:w="3969" w:type="dxa"/>
            <w:tcBorders>
              <w:top w:val="single" w:sz="4" w:space="0" w:color="000000"/>
            </w:tcBorders>
            <w:vAlign w:val="center"/>
          </w:tcPr>
          <w:p w14:paraId="0961194F" w14:textId="77777777" w:rsidR="00D4441D" w:rsidRPr="00506C7C" w:rsidRDefault="00506C7C">
            <w:pPr>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Start temperature of oxidation (T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w:t>
            </w:r>
          </w:p>
        </w:tc>
        <w:tc>
          <w:tcPr>
            <w:tcW w:w="1227" w:type="dxa"/>
            <w:tcBorders>
              <w:top w:val="single" w:sz="4" w:space="0" w:color="000000"/>
            </w:tcBorders>
            <w:vAlign w:val="center"/>
          </w:tcPr>
          <w:p w14:paraId="6D14B1C1"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c>
          <w:tcPr>
            <w:tcW w:w="1147" w:type="dxa"/>
            <w:tcBorders>
              <w:top w:val="single" w:sz="4" w:space="0" w:color="000000"/>
            </w:tcBorders>
            <w:vAlign w:val="center"/>
          </w:tcPr>
          <w:p w14:paraId="4DF432F2"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c>
          <w:tcPr>
            <w:tcW w:w="1267" w:type="dxa"/>
            <w:tcBorders>
              <w:top w:val="single" w:sz="4" w:space="0" w:color="000000"/>
            </w:tcBorders>
            <w:vAlign w:val="center"/>
          </w:tcPr>
          <w:p w14:paraId="2C53553E"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c>
          <w:tcPr>
            <w:tcW w:w="1107" w:type="dxa"/>
            <w:tcBorders>
              <w:top w:val="single" w:sz="4" w:space="0" w:color="000000"/>
            </w:tcBorders>
            <w:vAlign w:val="center"/>
          </w:tcPr>
          <w:p w14:paraId="13F9F182"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r>
      <w:tr w:rsidR="00506C7C" w:rsidRPr="00506C7C" w14:paraId="61ED2431" w14:textId="77777777">
        <w:tc>
          <w:tcPr>
            <w:tcW w:w="3969" w:type="dxa"/>
            <w:vAlign w:val="center"/>
          </w:tcPr>
          <w:p w14:paraId="4597CEDE" w14:textId="77777777" w:rsidR="00D4441D" w:rsidRPr="00506C7C" w:rsidRDefault="00506C7C">
            <w:pPr>
              <w:pBdr>
                <w:top w:val="nil"/>
                <w:left w:val="nil"/>
                <w:bottom w:val="nil"/>
                <w:right w:val="nil"/>
                <w:between w:val="nil"/>
              </w:pBdr>
              <w:spacing w:line="240" w:lineRule="auto"/>
              <w:jc w:val="center"/>
              <w:rPr>
                <w:rFonts w:ascii="Arial" w:eastAsia="Arial" w:hAnsi="Arial" w:cs="Arial"/>
                <w:color w:val="000000" w:themeColor="text1"/>
                <w:sz w:val="18"/>
                <w:szCs w:val="18"/>
              </w:rPr>
            </w:pP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vertAlign w:val="subscript"/>
              </w:rPr>
              <w:t xml:space="preserve"> </w:t>
            </w:r>
            <w:r w:rsidRPr="00506C7C">
              <w:rPr>
                <w:rFonts w:ascii="Arial" w:eastAsia="Arial" w:hAnsi="Arial" w:cs="Arial"/>
                <w:color w:val="000000" w:themeColor="text1"/>
                <w:sz w:val="18"/>
                <w:szCs w:val="18"/>
              </w:rPr>
              <w:t>[kJ/mol]</w:t>
            </w:r>
          </w:p>
        </w:tc>
        <w:tc>
          <w:tcPr>
            <w:tcW w:w="1227" w:type="dxa"/>
            <w:vAlign w:val="center"/>
          </w:tcPr>
          <w:p w14:paraId="6BE7F8AE"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102.99</w:t>
            </w:r>
          </w:p>
        </w:tc>
        <w:tc>
          <w:tcPr>
            <w:tcW w:w="1147" w:type="dxa"/>
            <w:vAlign w:val="center"/>
          </w:tcPr>
          <w:p w14:paraId="3D3C29D7"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103.42</w:t>
            </w:r>
          </w:p>
        </w:tc>
        <w:tc>
          <w:tcPr>
            <w:tcW w:w="1267" w:type="dxa"/>
            <w:vAlign w:val="center"/>
          </w:tcPr>
          <w:p w14:paraId="481DF60C"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117.82</w:t>
            </w:r>
          </w:p>
        </w:tc>
        <w:tc>
          <w:tcPr>
            <w:tcW w:w="1107" w:type="dxa"/>
            <w:vAlign w:val="center"/>
          </w:tcPr>
          <w:p w14:paraId="4074F523"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118.24</w:t>
            </w:r>
          </w:p>
        </w:tc>
      </w:tr>
      <w:tr w:rsidR="00506C7C" w:rsidRPr="00506C7C" w14:paraId="15067D0C" w14:textId="77777777">
        <w:tc>
          <w:tcPr>
            <w:tcW w:w="3969" w:type="dxa"/>
            <w:vAlign w:val="center"/>
          </w:tcPr>
          <w:p w14:paraId="61925BE4" w14:textId="77777777" w:rsidR="00D4441D" w:rsidRPr="00506C7C" w:rsidRDefault="00506C7C">
            <w:pPr>
              <w:pBdr>
                <w:top w:val="nil"/>
                <w:left w:val="nil"/>
                <w:bottom w:val="nil"/>
                <w:right w:val="nil"/>
                <w:between w:val="nil"/>
              </w:pBdr>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z [1/min]</w:t>
            </w:r>
          </w:p>
        </w:tc>
        <w:tc>
          <w:tcPr>
            <w:tcW w:w="1227" w:type="dxa"/>
            <w:vAlign w:val="center"/>
          </w:tcPr>
          <w:p w14:paraId="46DC2FD7"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4.67 x 10</w:t>
            </w:r>
            <w:r w:rsidRPr="00506C7C">
              <w:rPr>
                <w:rFonts w:ascii="Arial" w:eastAsia="Arial" w:hAnsi="Arial" w:cs="Arial"/>
                <w:color w:val="000000" w:themeColor="text1"/>
                <w:sz w:val="16"/>
                <w:szCs w:val="16"/>
                <w:vertAlign w:val="superscript"/>
              </w:rPr>
              <w:t>11</w:t>
            </w:r>
          </w:p>
        </w:tc>
        <w:tc>
          <w:tcPr>
            <w:tcW w:w="1147" w:type="dxa"/>
            <w:vAlign w:val="center"/>
          </w:tcPr>
          <w:p w14:paraId="0824282C"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4.37 x 10</w:t>
            </w:r>
            <w:r w:rsidRPr="00506C7C">
              <w:rPr>
                <w:rFonts w:ascii="Arial" w:eastAsia="Arial" w:hAnsi="Arial" w:cs="Arial"/>
                <w:color w:val="000000" w:themeColor="text1"/>
                <w:sz w:val="16"/>
                <w:szCs w:val="16"/>
                <w:vertAlign w:val="superscript"/>
              </w:rPr>
              <w:t>11</w:t>
            </w:r>
          </w:p>
        </w:tc>
        <w:tc>
          <w:tcPr>
            <w:tcW w:w="1267" w:type="dxa"/>
            <w:vAlign w:val="center"/>
          </w:tcPr>
          <w:p w14:paraId="6E25C406"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4.27 x 10</w:t>
            </w:r>
            <w:r w:rsidRPr="00506C7C">
              <w:rPr>
                <w:rFonts w:ascii="Arial" w:eastAsia="Arial" w:hAnsi="Arial" w:cs="Arial"/>
                <w:color w:val="000000" w:themeColor="text1"/>
                <w:sz w:val="16"/>
                <w:szCs w:val="16"/>
                <w:vertAlign w:val="superscript"/>
              </w:rPr>
              <w:t>13</w:t>
            </w:r>
          </w:p>
        </w:tc>
        <w:tc>
          <w:tcPr>
            <w:tcW w:w="1107" w:type="dxa"/>
            <w:vAlign w:val="center"/>
          </w:tcPr>
          <w:p w14:paraId="39DE022E"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4.32 x 10</w:t>
            </w:r>
            <w:r w:rsidRPr="00506C7C">
              <w:rPr>
                <w:rFonts w:ascii="Arial" w:eastAsia="Arial" w:hAnsi="Arial" w:cs="Arial"/>
                <w:color w:val="000000" w:themeColor="text1"/>
                <w:sz w:val="16"/>
                <w:szCs w:val="16"/>
                <w:vertAlign w:val="superscript"/>
              </w:rPr>
              <w:t>13</w:t>
            </w:r>
          </w:p>
        </w:tc>
      </w:tr>
      <w:tr w:rsidR="00506C7C" w:rsidRPr="00506C7C" w14:paraId="51856749" w14:textId="77777777">
        <w:tc>
          <w:tcPr>
            <w:tcW w:w="3969" w:type="dxa"/>
            <w:tcBorders>
              <w:bottom w:val="single" w:sz="4" w:space="0" w:color="000000"/>
            </w:tcBorders>
            <w:vAlign w:val="center"/>
          </w:tcPr>
          <w:p w14:paraId="34F80323" w14:textId="77777777" w:rsidR="00D4441D" w:rsidRPr="00506C7C" w:rsidRDefault="00506C7C">
            <w:pPr>
              <w:pBdr>
                <w:top w:val="nil"/>
                <w:left w:val="nil"/>
                <w:bottom w:val="nil"/>
                <w:right w:val="nil"/>
                <w:between w:val="nil"/>
              </w:pBdr>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k [1/min]</w:t>
            </w:r>
          </w:p>
        </w:tc>
        <w:tc>
          <w:tcPr>
            <w:tcW w:w="1227" w:type="dxa"/>
            <w:tcBorders>
              <w:bottom w:val="single" w:sz="4" w:space="0" w:color="000000"/>
            </w:tcBorders>
            <w:vAlign w:val="center"/>
          </w:tcPr>
          <w:p w14:paraId="299D1E06"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1.97</w:t>
            </w:r>
          </w:p>
        </w:tc>
        <w:tc>
          <w:tcPr>
            <w:tcW w:w="1147" w:type="dxa"/>
            <w:tcBorders>
              <w:bottom w:val="single" w:sz="4" w:space="0" w:color="000000"/>
            </w:tcBorders>
            <w:vAlign w:val="center"/>
          </w:tcPr>
          <w:p w14:paraId="0B958A86"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1.65</w:t>
            </w:r>
          </w:p>
        </w:tc>
        <w:tc>
          <w:tcPr>
            <w:tcW w:w="1267" w:type="dxa"/>
            <w:tcBorders>
              <w:bottom w:val="single" w:sz="4" w:space="0" w:color="000000"/>
            </w:tcBorders>
            <w:vAlign w:val="center"/>
          </w:tcPr>
          <w:p w14:paraId="02EFEEF4"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4.13</w:t>
            </w:r>
          </w:p>
        </w:tc>
        <w:tc>
          <w:tcPr>
            <w:tcW w:w="1107" w:type="dxa"/>
            <w:tcBorders>
              <w:bottom w:val="single" w:sz="4" w:space="0" w:color="000000"/>
            </w:tcBorders>
            <w:vAlign w:val="center"/>
          </w:tcPr>
          <w:p w14:paraId="49AEC9ED" w14:textId="77777777" w:rsidR="00D4441D" w:rsidRPr="00506C7C" w:rsidRDefault="00506C7C">
            <w:pPr>
              <w:tabs>
                <w:tab w:val="right" w:pos="7100"/>
              </w:tabs>
              <w:spacing w:line="240" w:lineRule="auto"/>
              <w:jc w:val="center"/>
              <w:rPr>
                <w:rFonts w:ascii="Arial" w:eastAsia="Arial" w:hAnsi="Arial" w:cs="Arial"/>
                <w:color w:val="000000" w:themeColor="text1"/>
                <w:sz w:val="16"/>
                <w:szCs w:val="16"/>
              </w:rPr>
            </w:pPr>
            <w:r w:rsidRPr="00506C7C">
              <w:rPr>
                <w:rFonts w:ascii="Arial" w:eastAsia="Arial" w:hAnsi="Arial" w:cs="Arial"/>
                <w:color w:val="000000" w:themeColor="text1"/>
                <w:sz w:val="16"/>
                <w:szCs w:val="16"/>
              </w:rPr>
              <w:t>3.76</w:t>
            </w:r>
          </w:p>
        </w:tc>
      </w:tr>
      <w:tr w:rsidR="00506C7C" w:rsidRPr="00506C7C" w14:paraId="5E4276EB" w14:textId="77777777">
        <w:tc>
          <w:tcPr>
            <w:tcW w:w="3969" w:type="dxa"/>
            <w:tcBorders>
              <w:top w:val="single" w:sz="4" w:space="0" w:color="000000"/>
            </w:tcBorders>
            <w:vAlign w:val="center"/>
          </w:tcPr>
          <w:p w14:paraId="05D8325E" w14:textId="77777777" w:rsidR="00D4441D" w:rsidRPr="00506C7C" w:rsidRDefault="00506C7C">
            <w:pPr>
              <w:pBdr>
                <w:top w:val="nil"/>
                <w:left w:val="nil"/>
                <w:bottom w:val="nil"/>
                <w:right w:val="nil"/>
                <w:between w:val="nil"/>
              </w:pBdr>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Onset temperature of oxidation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w:t>
            </w:r>
          </w:p>
        </w:tc>
        <w:tc>
          <w:tcPr>
            <w:tcW w:w="1227" w:type="dxa"/>
            <w:tcBorders>
              <w:top w:val="single" w:sz="4" w:space="0" w:color="000000"/>
            </w:tcBorders>
            <w:vAlign w:val="center"/>
          </w:tcPr>
          <w:p w14:paraId="5210E144"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c>
          <w:tcPr>
            <w:tcW w:w="1147" w:type="dxa"/>
            <w:tcBorders>
              <w:top w:val="single" w:sz="4" w:space="0" w:color="000000"/>
            </w:tcBorders>
            <w:vAlign w:val="center"/>
          </w:tcPr>
          <w:p w14:paraId="6C9ED27B"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c>
          <w:tcPr>
            <w:tcW w:w="1267" w:type="dxa"/>
            <w:tcBorders>
              <w:top w:val="single" w:sz="4" w:space="0" w:color="000000"/>
            </w:tcBorders>
            <w:vAlign w:val="center"/>
          </w:tcPr>
          <w:p w14:paraId="23FD9E4A"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c>
          <w:tcPr>
            <w:tcW w:w="1107" w:type="dxa"/>
            <w:tcBorders>
              <w:top w:val="single" w:sz="4" w:space="0" w:color="000000"/>
            </w:tcBorders>
            <w:vAlign w:val="center"/>
          </w:tcPr>
          <w:p w14:paraId="53AE3C0C"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r>
      <w:tr w:rsidR="00506C7C" w:rsidRPr="00506C7C" w14:paraId="1FB3E8F6" w14:textId="77777777">
        <w:tc>
          <w:tcPr>
            <w:tcW w:w="3969" w:type="dxa"/>
            <w:vAlign w:val="center"/>
          </w:tcPr>
          <w:p w14:paraId="36D8F80D" w14:textId="77777777" w:rsidR="00D4441D" w:rsidRPr="00506C7C" w:rsidRDefault="00506C7C">
            <w:pPr>
              <w:pBdr>
                <w:top w:val="nil"/>
                <w:left w:val="nil"/>
                <w:bottom w:val="nil"/>
                <w:right w:val="nil"/>
                <w:between w:val="nil"/>
              </w:pBdr>
              <w:spacing w:line="240" w:lineRule="auto"/>
              <w:jc w:val="center"/>
              <w:rPr>
                <w:rFonts w:ascii="Arial" w:eastAsia="Arial" w:hAnsi="Arial" w:cs="Arial"/>
                <w:color w:val="000000" w:themeColor="text1"/>
                <w:sz w:val="18"/>
                <w:szCs w:val="18"/>
              </w:rPr>
            </w:pP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vertAlign w:val="subscript"/>
              </w:rPr>
              <w:t xml:space="preserve"> </w:t>
            </w:r>
            <w:r w:rsidRPr="00506C7C">
              <w:rPr>
                <w:rFonts w:ascii="Arial" w:eastAsia="Arial" w:hAnsi="Arial" w:cs="Arial"/>
                <w:color w:val="000000" w:themeColor="text1"/>
                <w:sz w:val="18"/>
                <w:szCs w:val="18"/>
              </w:rPr>
              <w:t>[kJ/mol]</w:t>
            </w:r>
          </w:p>
        </w:tc>
        <w:tc>
          <w:tcPr>
            <w:tcW w:w="1227" w:type="dxa"/>
            <w:vAlign w:val="center"/>
          </w:tcPr>
          <w:p w14:paraId="3CB0ED07"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82.71</w:t>
            </w:r>
          </w:p>
        </w:tc>
        <w:tc>
          <w:tcPr>
            <w:tcW w:w="1147" w:type="dxa"/>
            <w:vAlign w:val="center"/>
          </w:tcPr>
          <w:p w14:paraId="6A820B5E"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75.21</w:t>
            </w:r>
          </w:p>
        </w:tc>
        <w:tc>
          <w:tcPr>
            <w:tcW w:w="1267" w:type="dxa"/>
            <w:vAlign w:val="center"/>
          </w:tcPr>
          <w:p w14:paraId="19FB0F95"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87.02</w:t>
            </w:r>
          </w:p>
        </w:tc>
        <w:tc>
          <w:tcPr>
            <w:tcW w:w="1107" w:type="dxa"/>
            <w:vAlign w:val="center"/>
          </w:tcPr>
          <w:p w14:paraId="4F919953"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97.61</w:t>
            </w:r>
          </w:p>
        </w:tc>
      </w:tr>
      <w:tr w:rsidR="00506C7C" w:rsidRPr="00506C7C" w14:paraId="1D500399" w14:textId="77777777">
        <w:tc>
          <w:tcPr>
            <w:tcW w:w="3969" w:type="dxa"/>
            <w:vAlign w:val="center"/>
          </w:tcPr>
          <w:p w14:paraId="53FCD6BE" w14:textId="77777777" w:rsidR="00D4441D" w:rsidRPr="00506C7C" w:rsidRDefault="00506C7C">
            <w:pPr>
              <w:pBdr>
                <w:top w:val="nil"/>
                <w:left w:val="nil"/>
                <w:bottom w:val="nil"/>
                <w:right w:val="nil"/>
                <w:between w:val="nil"/>
              </w:pBdr>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z [1/min]</w:t>
            </w:r>
          </w:p>
        </w:tc>
        <w:tc>
          <w:tcPr>
            <w:tcW w:w="1227" w:type="dxa"/>
            <w:vAlign w:val="center"/>
          </w:tcPr>
          <w:p w14:paraId="25C72BC3"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1.29 x 10</w:t>
            </w:r>
            <w:r w:rsidRPr="00506C7C">
              <w:rPr>
                <w:rFonts w:ascii="Arial" w:eastAsia="Arial" w:hAnsi="Arial" w:cs="Arial"/>
                <w:color w:val="000000" w:themeColor="text1"/>
                <w:sz w:val="16"/>
                <w:szCs w:val="16"/>
                <w:vertAlign w:val="superscript"/>
              </w:rPr>
              <w:t>9</w:t>
            </w:r>
          </w:p>
        </w:tc>
        <w:tc>
          <w:tcPr>
            <w:tcW w:w="1147" w:type="dxa"/>
            <w:vAlign w:val="center"/>
          </w:tcPr>
          <w:p w14:paraId="64E6B187"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1.67 x 10</w:t>
            </w:r>
            <w:r w:rsidRPr="00506C7C">
              <w:rPr>
                <w:rFonts w:ascii="Arial" w:eastAsia="Arial" w:hAnsi="Arial" w:cs="Arial"/>
                <w:color w:val="000000" w:themeColor="text1"/>
                <w:sz w:val="16"/>
                <w:szCs w:val="16"/>
                <w:vertAlign w:val="superscript"/>
              </w:rPr>
              <w:t>8</w:t>
            </w:r>
          </w:p>
        </w:tc>
        <w:tc>
          <w:tcPr>
            <w:tcW w:w="1267" w:type="dxa"/>
            <w:vAlign w:val="center"/>
          </w:tcPr>
          <w:p w14:paraId="01357225"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3.15 x 10</w:t>
            </w:r>
            <w:r w:rsidRPr="00506C7C">
              <w:rPr>
                <w:rFonts w:ascii="Arial" w:eastAsia="Arial" w:hAnsi="Arial" w:cs="Arial"/>
                <w:color w:val="000000" w:themeColor="text1"/>
                <w:sz w:val="16"/>
                <w:szCs w:val="16"/>
                <w:vertAlign w:val="superscript"/>
              </w:rPr>
              <w:t>9</w:t>
            </w:r>
          </w:p>
        </w:tc>
        <w:tc>
          <w:tcPr>
            <w:tcW w:w="1107" w:type="dxa"/>
            <w:vAlign w:val="center"/>
          </w:tcPr>
          <w:p w14:paraId="7A68B0B5"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5.50 x 10</w:t>
            </w:r>
            <w:r w:rsidRPr="00506C7C">
              <w:rPr>
                <w:rFonts w:ascii="Arial" w:eastAsia="Arial" w:hAnsi="Arial" w:cs="Arial"/>
                <w:color w:val="000000" w:themeColor="text1"/>
                <w:sz w:val="16"/>
                <w:szCs w:val="16"/>
                <w:vertAlign w:val="superscript"/>
              </w:rPr>
              <w:t>10</w:t>
            </w:r>
          </w:p>
        </w:tc>
      </w:tr>
      <w:tr w:rsidR="00506C7C" w:rsidRPr="00506C7C" w14:paraId="55090D5A" w14:textId="77777777">
        <w:tc>
          <w:tcPr>
            <w:tcW w:w="3969" w:type="dxa"/>
            <w:tcBorders>
              <w:bottom w:val="single" w:sz="4" w:space="0" w:color="000000"/>
            </w:tcBorders>
            <w:vAlign w:val="center"/>
          </w:tcPr>
          <w:p w14:paraId="21A6BC8E" w14:textId="77777777" w:rsidR="00D4441D" w:rsidRPr="00506C7C" w:rsidRDefault="00506C7C">
            <w:pPr>
              <w:pBdr>
                <w:top w:val="nil"/>
                <w:left w:val="nil"/>
                <w:bottom w:val="nil"/>
                <w:right w:val="nil"/>
                <w:between w:val="nil"/>
              </w:pBdr>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k [1/min]</w:t>
            </w:r>
          </w:p>
        </w:tc>
        <w:tc>
          <w:tcPr>
            <w:tcW w:w="1227" w:type="dxa"/>
            <w:tcBorders>
              <w:bottom w:val="single" w:sz="4" w:space="0" w:color="000000"/>
            </w:tcBorders>
            <w:vAlign w:val="center"/>
          </w:tcPr>
          <w:p w14:paraId="149C615D"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0.95</w:t>
            </w:r>
          </w:p>
        </w:tc>
        <w:tc>
          <w:tcPr>
            <w:tcW w:w="1147" w:type="dxa"/>
            <w:tcBorders>
              <w:bottom w:val="single" w:sz="4" w:space="0" w:color="000000"/>
            </w:tcBorders>
            <w:vAlign w:val="center"/>
          </w:tcPr>
          <w:p w14:paraId="4E4FF517"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0.82</w:t>
            </w:r>
          </w:p>
        </w:tc>
        <w:tc>
          <w:tcPr>
            <w:tcW w:w="1267" w:type="dxa"/>
            <w:tcBorders>
              <w:bottom w:val="single" w:sz="4" w:space="0" w:color="000000"/>
            </w:tcBorders>
            <w:vAlign w:val="center"/>
          </w:tcPr>
          <w:p w14:paraId="6C7A580F"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0.77</w:t>
            </w:r>
          </w:p>
        </w:tc>
        <w:tc>
          <w:tcPr>
            <w:tcW w:w="1107" w:type="dxa"/>
            <w:tcBorders>
              <w:bottom w:val="single" w:sz="4" w:space="0" w:color="000000"/>
            </w:tcBorders>
            <w:vAlign w:val="center"/>
          </w:tcPr>
          <w:p w14:paraId="2C911616"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0.91</w:t>
            </w:r>
          </w:p>
        </w:tc>
      </w:tr>
      <w:tr w:rsidR="00506C7C" w:rsidRPr="00506C7C" w14:paraId="042C69B7" w14:textId="77777777">
        <w:tc>
          <w:tcPr>
            <w:tcW w:w="3969" w:type="dxa"/>
            <w:tcBorders>
              <w:top w:val="single" w:sz="4" w:space="0" w:color="000000"/>
            </w:tcBorders>
            <w:vAlign w:val="center"/>
          </w:tcPr>
          <w:p w14:paraId="57521AD9" w14:textId="77777777" w:rsidR="00D4441D" w:rsidRPr="00506C7C" w:rsidRDefault="00506C7C">
            <w:pPr>
              <w:pBdr>
                <w:top w:val="nil"/>
                <w:left w:val="nil"/>
                <w:bottom w:val="nil"/>
                <w:right w:val="nil"/>
                <w:between w:val="nil"/>
              </w:pBdr>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Maximum heat flow temperature of oxidation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rPr>
              <w:t>)</w:t>
            </w:r>
          </w:p>
        </w:tc>
        <w:tc>
          <w:tcPr>
            <w:tcW w:w="1227" w:type="dxa"/>
            <w:tcBorders>
              <w:top w:val="single" w:sz="4" w:space="0" w:color="000000"/>
            </w:tcBorders>
            <w:vAlign w:val="center"/>
          </w:tcPr>
          <w:p w14:paraId="03DCD8EB"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c>
          <w:tcPr>
            <w:tcW w:w="1147" w:type="dxa"/>
            <w:tcBorders>
              <w:top w:val="single" w:sz="4" w:space="0" w:color="000000"/>
            </w:tcBorders>
            <w:vAlign w:val="center"/>
          </w:tcPr>
          <w:p w14:paraId="4A7A59EE"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c>
          <w:tcPr>
            <w:tcW w:w="1267" w:type="dxa"/>
            <w:tcBorders>
              <w:top w:val="single" w:sz="4" w:space="0" w:color="000000"/>
            </w:tcBorders>
            <w:vAlign w:val="center"/>
          </w:tcPr>
          <w:p w14:paraId="52D8DFE5"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c>
          <w:tcPr>
            <w:tcW w:w="1107" w:type="dxa"/>
            <w:tcBorders>
              <w:top w:val="single" w:sz="4" w:space="0" w:color="000000"/>
            </w:tcBorders>
            <w:vAlign w:val="center"/>
          </w:tcPr>
          <w:p w14:paraId="65122543" w14:textId="77777777" w:rsidR="00D4441D" w:rsidRPr="00506C7C" w:rsidRDefault="00D4441D">
            <w:pPr>
              <w:tabs>
                <w:tab w:val="right" w:pos="7100"/>
              </w:tabs>
              <w:spacing w:line="240" w:lineRule="auto"/>
              <w:jc w:val="center"/>
              <w:rPr>
                <w:rFonts w:ascii="Arial" w:eastAsia="Arial" w:hAnsi="Arial" w:cs="Arial"/>
                <w:color w:val="000000" w:themeColor="text1"/>
                <w:sz w:val="18"/>
                <w:szCs w:val="18"/>
              </w:rPr>
            </w:pPr>
          </w:p>
        </w:tc>
      </w:tr>
      <w:tr w:rsidR="00506C7C" w:rsidRPr="00506C7C" w14:paraId="3E7B43EE" w14:textId="77777777">
        <w:tc>
          <w:tcPr>
            <w:tcW w:w="3969" w:type="dxa"/>
            <w:vAlign w:val="center"/>
          </w:tcPr>
          <w:p w14:paraId="36E033F3" w14:textId="77777777" w:rsidR="00D4441D" w:rsidRPr="00506C7C" w:rsidRDefault="00506C7C">
            <w:pPr>
              <w:pBdr>
                <w:top w:val="nil"/>
                <w:left w:val="nil"/>
                <w:bottom w:val="nil"/>
                <w:right w:val="nil"/>
                <w:between w:val="nil"/>
              </w:pBdr>
              <w:spacing w:line="240" w:lineRule="auto"/>
              <w:jc w:val="center"/>
              <w:rPr>
                <w:rFonts w:ascii="Arial" w:eastAsia="Arial" w:hAnsi="Arial" w:cs="Arial"/>
                <w:color w:val="000000" w:themeColor="text1"/>
                <w:sz w:val="18"/>
                <w:szCs w:val="18"/>
              </w:rPr>
            </w:pP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vertAlign w:val="subscript"/>
              </w:rPr>
              <w:t xml:space="preserve"> </w:t>
            </w:r>
            <w:r w:rsidRPr="00506C7C">
              <w:rPr>
                <w:rFonts w:ascii="Arial" w:eastAsia="Arial" w:hAnsi="Arial" w:cs="Arial"/>
                <w:color w:val="000000" w:themeColor="text1"/>
                <w:sz w:val="18"/>
                <w:szCs w:val="18"/>
              </w:rPr>
              <w:t>[kJ/mol]</w:t>
            </w:r>
          </w:p>
        </w:tc>
        <w:tc>
          <w:tcPr>
            <w:tcW w:w="1227" w:type="dxa"/>
            <w:vAlign w:val="center"/>
          </w:tcPr>
          <w:p w14:paraId="5235BA08"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78.47</w:t>
            </w:r>
          </w:p>
        </w:tc>
        <w:tc>
          <w:tcPr>
            <w:tcW w:w="1147" w:type="dxa"/>
            <w:vAlign w:val="center"/>
          </w:tcPr>
          <w:p w14:paraId="722EAD0E"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71.60</w:t>
            </w:r>
          </w:p>
        </w:tc>
        <w:tc>
          <w:tcPr>
            <w:tcW w:w="1267" w:type="dxa"/>
            <w:vAlign w:val="center"/>
          </w:tcPr>
          <w:p w14:paraId="03B1DE5D"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125.33</w:t>
            </w:r>
          </w:p>
        </w:tc>
        <w:tc>
          <w:tcPr>
            <w:tcW w:w="1107" w:type="dxa"/>
            <w:vAlign w:val="center"/>
          </w:tcPr>
          <w:p w14:paraId="59AC3507"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99.54</w:t>
            </w:r>
          </w:p>
        </w:tc>
      </w:tr>
      <w:tr w:rsidR="00506C7C" w:rsidRPr="00506C7C" w14:paraId="11A57BAB" w14:textId="77777777">
        <w:tc>
          <w:tcPr>
            <w:tcW w:w="3969" w:type="dxa"/>
            <w:vAlign w:val="center"/>
          </w:tcPr>
          <w:p w14:paraId="19E9DB01" w14:textId="77777777" w:rsidR="00D4441D" w:rsidRPr="00506C7C" w:rsidRDefault="00506C7C">
            <w:pPr>
              <w:pBdr>
                <w:top w:val="nil"/>
                <w:left w:val="nil"/>
                <w:bottom w:val="nil"/>
                <w:right w:val="nil"/>
                <w:between w:val="nil"/>
              </w:pBdr>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z [1/min]</w:t>
            </w:r>
          </w:p>
        </w:tc>
        <w:tc>
          <w:tcPr>
            <w:tcW w:w="1227" w:type="dxa"/>
            <w:vAlign w:val="center"/>
          </w:tcPr>
          <w:p w14:paraId="3B836B2A"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1.21 x 10</w:t>
            </w:r>
            <w:r w:rsidRPr="00506C7C">
              <w:rPr>
                <w:rFonts w:ascii="Arial" w:eastAsia="Arial" w:hAnsi="Arial" w:cs="Arial"/>
                <w:color w:val="000000" w:themeColor="text1"/>
                <w:sz w:val="16"/>
                <w:szCs w:val="16"/>
                <w:vertAlign w:val="superscript"/>
              </w:rPr>
              <w:t>7</w:t>
            </w:r>
          </w:p>
        </w:tc>
        <w:tc>
          <w:tcPr>
            <w:tcW w:w="1147" w:type="dxa"/>
            <w:vAlign w:val="center"/>
          </w:tcPr>
          <w:p w14:paraId="3BB2EDC5"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3.13 x 10</w:t>
            </w:r>
            <w:r w:rsidRPr="00506C7C">
              <w:rPr>
                <w:rFonts w:ascii="Arial" w:eastAsia="Arial" w:hAnsi="Arial" w:cs="Arial"/>
                <w:color w:val="000000" w:themeColor="text1"/>
                <w:sz w:val="16"/>
                <w:szCs w:val="16"/>
                <w:vertAlign w:val="superscript"/>
              </w:rPr>
              <w:t>6</w:t>
            </w:r>
          </w:p>
        </w:tc>
        <w:tc>
          <w:tcPr>
            <w:tcW w:w="1267" w:type="dxa"/>
            <w:vAlign w:val="center"/>
          </w:tcPr>
          <w:p w14:paraId="5A586B4B"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5.81 x 10</w:t>
            </w:r>
            <w:r w:rsidRPr="00506C7C">
              <w:rPr>
                <w:rFonts w:ascii="Arial" w:eastAsia="Arial" w:hAnsi="Arial" w:cs="Arial"/>
                <w:color w:val="000000" w:themeColor="text1"/>
                <w:sz w:val="16"/>
                <w:szCs w:val="16"/>
                <w:vertAlign w:val="superscript"/>
              </w:rPr>
              <w:t>11</w:t>
            </w:r>
          </w:p>
        </w:tc>
        <w:tc>
          <w:tcPr>
            <w:tcW w:w="1107" w:type="dxa"/>
            <w:vAlign w:val="center"/>
          </w:tcPr>
          <w:p w14:paraId="0D18F617"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2.46 x 10</w:t>
            </w:r>
            <w:r w:rsidRPr="00506C7C">
              <w:rPr>
                <w:rFonts w:ascii="Arial" w:eastAsia="Arial" w:hAnsi="Arial" w:cs="Arial"/>
                <w:color w:val="000000" w:themeColor="text1"/>
                <w:sz w:val="16"/>
                <w:szCs w:val="16"/>
                <w:vertAlign w:val="superscript"/>
              </w:rPr>
              <w:t>9</w:t>
            </w:r>
          </w:p>
        </w:tc>
      </w:tr>
      <w:tr w:rsidR="00506C7C" w:rsidRPr="00506C7C" w14:paraId="2033911A" w14:textId="77777777">
        <w:tc>
          <w:tcPr>
            <w:tcW w:w="3969" w:type="dxa"/>
            <w:tcBorders>
              <w:bottom w:val="single" w:sz="4" w:space="0" w:color="000000"/>
            </w:tcBorders>
            <w:vAlign w:val="center"/>
          </w:tcPr>
          <w:p w14:paraId="14860226" w14:textId="77777777" w:rsidR="00D4441D" w:rsidRPr="00506C7C" w:rsidRDefault="00506C7C">
            <w:pPr>
              <w:pBdr>
                <w:top w:val="nil"/>
                <w:left w:val="nil"/>
                <w:bottom w:val="nil"/>
                <w:right w:val="nil"/>
                <w:between w:val="nil"/>
              </w:pBdr>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k [1/min]</w:t>
            </w:r>
          </w:p>
        </w:tc>
        <w:tc>
          <w:tcPr>
            <w:tcW w:w="1227" w:type="dxa"/>
            <w:tcBorders>
              <w:bottom w:val="single" w:sz="4" w:space="0" w:color="000000"/>
            </w:tcBorders>
            <w:vAlign w:val="center"/>
          </w:tcPr>
          <w:p w14:paraId="740D3A07"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0.03</w:t>
            </w:r>
          </w:p>
        </w:tc>
        <w:tc>
          <w:tcPr>
            <w:tcW w:w="1147" w:type="dxa"/>
            <w:tcBorders>
              <w:bottom w:val="single" w:sz="4" w:space="0" w:color="000000"/>
            </w:tcBorders>
            <w:vAlign w:val="center"/>
          </w:tcPr>
          <w:p w14:paraId="3A7810A9"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0.04</w:t>
            </w:r>
          </w:p>
        </w:tc>
        <w:tc>
          <w:tcPr>
            <w:tcW w:w="1267" w:type="dxa"/>
            <w:tcBorders>
              <w:bottom w:val="single" w:sz="4" w:space="0" w:color="000000"/>
            </w:tcBorders>
            <w:vAlign w:val="center"/>
          </w:tcPr>
          <w:p w14:paraId="2B23EF73"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0.01</w:t>
            </w:r>
          </w:p>
        </w:tc>
        <w:tc>
          <w:tcPr>
            <w:tcW w:w="1107" w:type="dxa"/>
            <w:tcBorders>
              <w:bottom w:val="single" w:sz="4" w:space="0" w:color="000000"/>
            </w:tcBorders>
            <w:vAlign w:val="center"/>
          </w:tcPr>
          <w:p w14:paraId="1CA5D044"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6"/>
                <w:szCs w:val="16"/>
              </w:rPr>
              <w:t>0.02</w:t>
            </w:r>
          </w:p>
        </w:tc>
      </w:tr>
      <w:tr w:rsidR="00506C7C" w:rsidRPr="00506C7C" w14:paraId="2A013674" w14:textId="77777777">
        <w:tc>
          <w:tcPr>
            <w:tcW w:w="3969" w:type="dxa"/>
            <w:tcBorders>
              <w:top w:val="single" w:sz="4" w:space="0" w:color="000000"/>
            </w:tcBorders>
            <w:vAlign w:val="center"/>
          </w:tcPr>
          <w:p w14:paraId="75526876" w14:textId="77777777" w:rsidR="00D4441D" w:rsidRPr="00506C7C" w:rsidRDefault="00506C7C">
            <w:pPr>
              <w:pBdr>
                <w:top w:val="nil"/>
                <w:left w:val="nil"/>
                <w:bottom w:val="nil"/>
                <w:right w:val="nil"/>
                <w:between w:val="nil"/>
              </w:pBdr>
              <w:spacing w:line="240" w:lineRule="auto"/>
              <w:jc w:val="center"/>
              <w:rPr>
                <w:rFonts w:ascii="Arial" w:eastAsia="Arial" w:hAnsi="Arial" w:cs="Arial"/>
                <w:b/>
                <w:color w:val="000000" w:themeColor="text1"/>
                <w:sz w:val="18"/>
                <w:szCs w:val="18"/>
              </w:rPr>
            </w:pPr>
            <w:proofErr w:type="spellStart"/>
            <w:r w:rsidRPr="00506C7C">
              <w:rPr>
                <w:rFonts w:ascii="Arial" w:eastAsia="Arial" w:hAnsi="Arial" w:cs="Arial"/>
                <w:b/>
                <w:color w:val="000000" w:themeColor="text1"/>
                <w:sz w:val="18"/>
                <w:szCs w:val="18"/>
              </w:rPr>
              <w:t>E</w:t>
            </w:r>
            <w:r w:rsidRPr="00506C7C">
              <w:rPr>
                <w:rFonts w:ascii="Arial" w:eastAsia="Arial" w:hAnsi="Arial" w:cs="Arial"/>
                <w:b/>
                <w:color w:val="000000" w:themeColor="text1"/>
                <w:sz w:val="18"/>
                <w:szCs w:val="18"/>
                <w:vertAlign w:val="subscript"/>
              </w:rPr>
              <w:t>a</w:t>
            </w:r>
            <w:proofErr w:type="spellEnd"/>
            <w:r w:rsidRPr="00506C7C">
              <w:rPr>
                <w:rFonts w:ascii="Arial" w:eastAsia="Arial" w:hAnsi="Arial" w:cs="Arial"/>
                <w:b/>
                <w:color w:val="000000" w:themeColor="text1"/>
                <w:sz w:val="18"/>
                <w:szCs w:val="18"/>
                <w:vertAlign w:val="subscript"/>
              </w:rPr>
              <w:t xml:space="preserve"> </w:t>
            </w:r>
            <w:r w:rsidRPr="00506C7C">
              <w:rPr>
                <w:rFonts w:ascii="Arial" w:eastAsia="Arial" w:hAnsi="Arial" w:cs="Arial"/>
                <w:b/>
                <w:color w:val="000000" w:themeColor="text1"/>
                <w:sz w:val="18"/>
                <w:szCs w:val="18"/>
              </w:rPr>
              <w:t>[kJ/mol]</w:t>
            </w:r>
          </w:p>
        </w:tc>
        <w:tc>
          <w:tcPr>
            <w:tcW w:w="1227" w:type="dxa"/>
            <w:tcBorders>
              <w:top w:val="single" w:sz="4" w:space="0" w:color="000000"/>
            </w:tcBorders>
            <w:vAlign w:val="center"/>
          </w:tcPr>
          <w:p w14:paraId="757E64C9"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88.06</w:t>
            </w:r>
          </w:p>
        </w:tc>
        <w:tc>
          <w:tcPr>
            <w:tcW w:w="1147" w:type="dxa"/>
            <w:tcBorders>
              <w:top w:val="single" w:sz="4" w:space="0" w:color="000000"/>
            </w:tcBorders>
            <w:vAlign w:val="center"/>
          </w:tcPr>
          <w:p w14:paraId="0CED5ED8"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83.41</w:t>
            </w:r>
          </w:p>
        </w:tc>
        <w:tc>
          <w:tcPr>
            <w:tcW w:w="1267" w:type="dxa"/>
            <w:tcBorders>
              <w:top w:val="single" w:sz="4" w:space="0" w:color="000000"/>
            </w:tcBorders>
            <w:vAlign w:val="center"/>
          </w:tcPr>
          <w:p w14:paraId="095C46A2"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110.06</w:t>
            </w:r>
          </w:p>
        </w:tc>
        <w:tc>
          <w:tcPr>
            <w:tcW w:w="1107" w:type="dxa"/>
            <w:tcBorders>
              <w:top w:val="single" w:sz="4" w:space="0" w:color="000000"/>
            </w:tcBorders>
            <w:vAlign w:val="center"/>
          </w:tcPr>
          <w:p w14:paraId="340E773D"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105.13</w:t>
            </w:r>
          </w:p>
        </w:tc>
      </w:tr>
      <w:tr w:rsidR="00506C7C" w:rsidRPr="00506C7C" w14:paraId="088013FF" w14:textId="77777777">
        <w:tc>
          <w:tcPr>
            <w:tcW w:w="3969" w:type="dxa"/>
            <w:tcBorders>
              <w:bottom w:val="single" w:sz="4" w:space="0" w:color="000000"/>
            </w:tcBorders>
            <w:vAlign w:val="center"/>
          </w:tcPr>
          <w:p w14:paraId="0B92CB13" w14:textId="77777777" w:rsidR="00D4441D" w:rsidRPr="00506C7C" w:rsidRDefault="00506C7C">
            <w:pPr>
              <w:pBdr>
                <w:top w:val="nil"/>
                <w:left w:val="nil"/>
                <w:bottom w:val="nil"/>
                <w:right w:val="nil"/>
                <w:between w:val="nil"/>
              </w:pBdr>
              <w:spacing w:line="240" w:lineRule="auto"/>
              <w:jc w:val="center"/>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z [1/min]</w:t>
            </w:r>
          </w:p>
        </w:tc>
        <w:tc>
          <w:tcPr>
            <w:tcW w:w="1227" w:type="dxa"/>
            <w:tcBorders>
              <w:bottom w:val="single" w:sz="4" w:space="0" w:color="000000"/>
            </w:tcBorders>
            <w:vAlign w:val="center"/>
          </w:tcPr>
          <w:p w14:paraId="19853D98"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1.56 x 10</w:t>
            </w:r>
            <w:r w:rsidRPr="00506C7C">
              <w:rPr>
                <w:rFonts w:ascii="Arial" w:eastAsia="Arial" w:hAnsi="Arial" w:cs="Arial"/>
                <w:color w:val="000000" w:themeColor="text1"/>
                <w:sz w:val="18"/>
                <w:szCs w:val="18"/>
                <w:vertAlign w:val="superscript"/>
              </w:rPr>
              <w:t>11</w:t>
            </w:r>
          </w:p>
        </w:tc>
        <w:tc>
          <w:tcPr>
            <w:tcW w:w="1147" w:type="dxa"/>
            <w:tcBorders>
              <w:bottom w:val="single" w:sz="4" w:space="0" w:color="000000"/>
            </w:tcBorders>
            <w:vAlign w:val="center"/>
          </w:tcPr>
          <w:p w14:paraId="2798B1B5"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1.46 x 10</w:t>
            </w:r>
            <w:r w:rsidRPr="00506C7C">
              <w:rPr>
                <w:rFonts w:ascii="Arial" w:eastAsia="Arial" w:hAnsi="Arial" w:cs="Arial"/>
                <w:color w:val="000000" w:themeColor="text1"/>
                <w:sz w:val="18"/>
                <w:szCs w:val="18"/>
                <w:vertAlign w:val="superscript"/>
              </w:rPr>
              <w:t>11</w:t>
            </w:r>
          </w:p>
        </w:tc>
        <w:tc>
          <w:tcPr>
            <w:tcW w:w="1267" w:type="dxa"/>
            <w:tcBorders>
              <w:bottom w:val="single" w:sz="4" w:space="0" w:color="000000"/>
            </w:tcBorders>
            <w:vAlign w:val="center"/>
          </w:tcPr>
          <w:p w14:paraId="27E63D27"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1.44 x 10</w:t>
            </w:r>
            <w:r w:rsidRPr="00506C7C">
              <w:rPr>
                <w:rFonts w:ascii="Arial" w:eastAsia="Arial" w:hAnsi="Arial" w:cs="Arial"/>
                <w:color w:val="000000" w:themeColor="text1"/>
                <w:sz w:val="18"/>
                <w:szCs w:val="18"/>
                <w:vertAlign w:val="superscript"/>
              </w:rPr>
              <w:t>13</w:t>
            </w:r>
          </w:p>
        </w:tc>
        <w:tc>
          <w:tcPr>
            <w:tcW w:w="1107" w:type="dxa"/>
            <w:tcBorders>
              <w:bottom w:val="single" w:sz="4" w:space="0" w:color="000000"/>
            </w:tcBorders>
            <w:vAlign w:val="center"/>
          </w:tcPr>
          <w:p w14:paraId="46C4D730" w14:textId="77777777" w:rsidR="00D4441D" w:rsidRPr="00506C7C" w:rsidRDefault="00506C7C">
            <w:pPr>
              <w:tabs>
                <w:tab w:val="right" w:pos="7100"/>
              </w:tabs>
              <w:spacing w:line="240" w:lineRule="auto"/>
              <w:jc w:val="center"/>
              <w:rPr>
                <w:rFonts w:ascii="Arial" w:eastAsia="Arial" w:hAnsi="Arial" w:cs="Arial"/>
                <w:color w:val="000000" w:themeColor="text1"/>
                <w:sz w:val="18"/>
                <w:szCs w:val="18"/>
              </w:rPr>
            </w:pPr>
            <w:r w:rsidRPr="00506C7C">
              <w:rPr>
                <w:rFonts w:ascii="Arial" w:eastAsia="Arial" w:hAnsi="Arial" w:cs="Arial"/>
                <w:color w:val="000000" w:themeColor="text1"/>
                <w:sz w:val="18"/>
                <w:szCs w:val="18"/>
              </w:rPr>
              <w:t>1.44 x 10</w:t>
            </w:r>
            <w:r w:rsidRPr="00506C7C">
              <w:rPr>
                <w:rFonts w:ascii="Arial" w:eastAsia="Arial" w:hAnsi="Arial" w:cs="Arial"/>
                <w:color w:val="000000" w:themeColor="text1"/>
                <w:sz w:val="18"/>
                <w:szCs w:val="18"/>
                <w:vertAlign w:val="superscript"/>
              </w:rPr>
              <w:t>13</w:t>
            </w:r>
          </w:p>
        </w:tc>
      </w:tr>
    </w:tbl>
    <w:p w14:paraId="348BE305" w14:textId="77777777" w:rsidR="00D4441D" w:rsidRPr="00506C7C" w:rsidRDefault="00D4441D">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
    <w:p w14:paraId="7591184C"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The activation energy of investigated samples has been determined as the mean of three </w:t>
      </w: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rPr>
        <w:t xml:space="preserve"> values (evaluated at 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 xml:space="preserve">,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 xml:space="preserve"> and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rPr>
        <w:t>), as well as the pre-exponential factor has been calculated as the mean of z factors determined at 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 xml:space="preserve">,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 xml:space="preserve"> and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rPr>
        <w:t xml:space="preserve">, </w:t>
      </w:r>
    </w:p>
    <w:p w14:paraId="5A5E0183"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The ox</w:t>
      </w:r>
      <w:r w:rsidRPr="00506C7C">
        <w:rPr>
          <w:rFonts w:ascii="Arial" w:eastAsia="Arial" w:hAnsi="Arial" w:cs="Arial"/>
          <w:color w:val="000000" w:themeColor="text1"/>
          <w:sz w:val="18"/>
          <w:szCs w:val="18"/>
        </w:rPr>
        <w:t xml:space="preserve">idation kinetic parameters indicated that GMS-based oleogel was the most stable among investigated samples, exhibiting the highest </w:t>
      </w: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rPr>
        <w:t xml:space="preserve"> value which, as expected, corresponds to the lowest value of k (0.01 1/min).</w:t>
      </w:r>
    </w:p>
    <w:p w14:paraId="636CD9A0"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According to the </w:t>
      </w: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rPr>
        <w:t xml:space="preserve"> values, the stability sca</w:t>
      </w:r>
      <w:r w:rsidRPr="00506C7C">
        <w:rPr>
          <w:rFonts w:ascii="Arial" w:eastAsia="Arial" w:hAnsi="Arial" w:cs="Arial"/>
          <w:color w:val="000000" w:themeColor="text1"/>
          <w:sz w:val="18"/>
          <w:szCs w:val="18"/>
        </w:rPr>
        <w:t xml:space="preserve">le for the tested samples could be proposed as GMS-oleogel&gt;EC-oleogel&gt;EVOO&gt;BW-oleogel.  </w:t>
      </w:r>
    </w:p>
    <w:p w14:paraId="61E5C390"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The results obtained in this study should not surprise if we consider that oleogels, based on the immobilization of oil in a gel structure, were found to oxidize slowe</w:t>
      </w:r>
      <w:r w:rsidRPr="00506C7C">
        <w:rPr>
          <w:rFonts w:ascii="Arial" w:eastAsia="Arial" w:hAnsi="Arial" w:cs="Arial"/>
          <w:color w:val="000000" w:themeColor="text1"/>
          <w:sz w:val="18"/>
          <w:szCs w:val="18"/>
        </w:rPr>
        <w:t xml:space="preserve">r than bulk oil and, therefore, the oleogel technology is often used as a method to prevent oil oxidation (Willet and </w:t>
      </w:r>
      <w:proofErr w:type="spellStart"/>
      <w:r w:rsidRPr="00506C7C">
        <w:rPr>
          <w:rFonts w:ascii="Arial" w:eastAsia="Arial" w:hAnsi="Arial" w:cs="Arial"/>
          <w:color w:val="000000" w:themeColor="text1"/>
          <w:sz w:val="18"/>
          <w:szCs w:val="18"/>
        </w:rPr>
        <w:t>Akoh</w:t>
      </w:r>
      <w:proofErr w:type="spellEnd"/>
      <w:r w:rsidRPr="00506C7C">
        <w:rPr>
          <w:rFonts w:ascii="Arial" w:eastAsia="Arial" w:hAnsi="Arial" w:cs="Arial"/>
          <w:color w:val="000000" w:themeColor="text1"/>
          <w:sz w:val="18"/>
          <w:szCs w:val="18"/>
        </w:rPr>
        <w:t xml:space="preserve">, 2019; </w:t>
      </w:r>
      <w:proofErr w:type="spellStart"/>
      <w:r w:rsidRPr="00506C7C">
        <w:rPr>
          <w:rFonts w:ascii="Arial" w:eastAsia="Arial" w:hAnsi="Arial" w:cs="Arial"/>
          <w:color w:val="000000" w:themeColor="text1"/>
          <w:sz w:val="18"/>
          <w:szCs w:val="18"/>
        </w:rPr>
        <w:t>Vellido</w:t>
      </w:r>
      <w:proofErr w:type="spellEnd"/>
      <w:r w:rsidRPr="00506C7C">
        <w:rPr>
          <w:rFonts w:ascii="Arial" w:eastAsia="Arial" w:hAnsi="Arial" w:cs="Arial"/>
          <w:color w:val="000000" w:themeColor="text1"/>
          <w:sz w:val="18"/>
          <w:szCs w:val="18"/>
        </w:rPr>
        <w:t xml:space="preserve">-Perez et al., 2019; Hwang et al., 2018). </w:t>
      </w:r>
    </w:p>
    <w:p w14:paraId="468C4F7E"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However, in our study, bulk EVOO showed greater oxidative stability than BW-</w:t>
      </w:r>
      <w:r w:rsidRPr="00506C7C">
        <w:rPr>
          <w:rFonts w:ascii="Arial" w:eastAsia="Arial" w:hAnsi="Arial" w:cs="Arial"/>
          <w:color w:val="000000" w:themeColor="text1"/>
          <w:sz w:val="18"/>
          <w:szCs w:val="18"/>
        </w:rPr>
        <w:t>based oleogel.</w:t>
      </w:r>
      <w:r w:rsidRPr="00506C7C">
        <w:rPr>
          <w:rFonts w:ascii="Arial" w:eastAsia="Arial" w:hAnsi="Arial" w:cs="Arial"/>
          <w:color w:val="000000" w:themeColor="text1"/>
          <w:sz w:val="18"/>
          <w:szCs w:val="18"/>
        </w:rPr>
        <w:t xml:space="preserve"> This </w:t>
      </w:r>
      <w:proofErr w:type="spellStart"/>
      <w:r w:rsidRPr="00506C7C">
        <w:rPr>
          <w:rFonts w:ascii="Arial" w:eastAsia="Arial" w:hAnsi="Arial" w:cs="Arial"/>
          <w:color w:val="000000" w:themeColor="text1"/>
          <w:sz w:val="18"/>
          <w:szCs w:val="18"/>
        </w:rPr>
        <w:t>behaviour</w:t>
      </w:r>
      <w:proofErr w:type="spellEnd"/>
      <w:r w:rsidRPr="00506C7C">
        <w:rPr>
          <w:rFonts w:ascii="Arial" w:eastAsia="Arial" w:hAnsi="Arial" w:cs="Arial"/>
          <w:color w:val="000000" w:themeColor="text1"/>
          <w:sz w:val="18"/>
          <w:szCs w:val="18"/>
        </w:rPr>
        <w:t xml:space="preserve"> could be due to the prooxidant activity of different oleogelators, in particular carnauba and bees waxes, as reported in different </w:t>
      </w:r>
      <w:proofErr w:type="spellStart"/>
      <w:r w:rsidRPr="00506C7C">
        <w:rPr>
          <w:rFonts w:ascii="Arial" w:eastAsia="Arial" w:hAnsi="Arial" w:cs="Arial"/>
          <w:color w:val="000000" w:themeColor="text1"/>
          <w:sz w:val="18"/>
          <w:szCs w:val="18"/>
        </w:rPr>
        <w:t>sudies</w:t>
      </w:r>
      <w:proofErr w:type="spellEnd"/>
      <w:r w:rsidRPr="00506C7C">
        <w:rPr>
          <w:rFonts w:ascii="Arial" w:eastAsia="Arial" w:hAnsi="Arial" w:cs="Arial"/>
          <w:color w:val="000000" w:themeColor="text1"/>
          <w:sz w:val="18"/>
          <w:szCs w:val="18"/>
        </w:rPr>
        <w:t xml:space="preserve"> (Hwang, 2020; Yi et al., 2017; </w:t>
      </w:r>
      <w:proofErr w:type="spellStart"/>
      <w:r w:rsidRPr="00506C7C">
        <w:rPr>
          <w:rFonts w:ascii="Arial" w:eastAsia="Arial" w:hAnsi="Arial" w:cs="Arial"/>
          <w:color w:val="000000" w:themeColor="text1"/>
          <w:sz w:val="18"/>
          <w:szCs w:val="18"/>
        </w:rPr>
        <w:t>Ogütcü</w:t>
      </w:r>
      <w:proofErr w:type="spellEnd"/>
      <w:r w:rsidRPr="00506C7C">
        <w:rPr>
          <w:rFonts w:ascii="Arial" w:eastAsia="Arial" w:hAnsi="Arial" w:cs="Arial"/>
          <w:color w:val="000000" w:themeColor="text1"/>
          <w:sz w:val="18"/>
          <w:szCs w:val="18"/>
        </w:rPr>
        <w:t xml:space="preserve"> et al., 2015). </w:t>
      </w:r>
      <w:r w:rsidRPr="00506C7C">
        <w:rPr>
          <w:rFonts w:ascii="Arial" w:eastAsia="Arial" w:hAnsi="Arial" w:cs="Arial"/>
          <w:color w:val="000000" w:themeColor="text1"/>
          <w:sz w:val="18"/>
          <w:szCs w:val="18"/>
        </w:rPr>
        <w:t>In particular, as highlighted by Hw</w:t>
      </w:r>
      <w:r w:rsidRPr="00506C7C">
        <w:rPr>
          <w:rFonts w:ascii="Arial" w:eastAsia="Arial" w:hAnsi="Arial" w:cs="Arial"/>
          <w:color w:val="000000" w:themeColor="text1"/>
          <w:sz w:val="18"/>
          <w:szCs w:val="18"/>
        </w:rPr>
        <w:t>ang et al. (2020), the minor components in the waxes could exert prooxidant activity and the contradictory results obtained in the literature could be due to the different purity of the waxes due to different sources and/or purification processes.</w:t>
      </w:r>
    </w:p>
    <w:p w14:paraId="67394957" w14:textId="43611578"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In concl</w:t>
      </w:r>
      <w:r w:rsidRPr="00506C7C">
        <w:rPr>
          <w:rFonts w:ascii="Arial" w:eastAsia="Arial" w:hAnsi="Arial" w:cs="Arial"/>
          <w:color w:val="000000" w:themeColor="text1"/>
          <w:sz w:val="18"/>
          <w:szCs w:val="18"/>
        </w:rPr>
        <w:t xml:space="preserve">usion, the obtained results showed that DSC technique, as a fast and reliable method can be successfully applied to the study of the autoxidation of lipids . A careful interpretation of the shape of non-isothermal oxidation curves allowed one to determine </w:t>
      </w:r>
      <w:r w:rsidRPr="00506C7C">
        <w:rPr>
          <w:rFonts w:ascii="Arial" w:eastAsia="Arial" w:hAnsi="Arial" w:cs="Arial"/>
          <w:color w:val="000000" w:themeColor="text1"/>
          <w:sz w:val="18"/>
          <w:szCs w:val="18"/>
        </w:rPr>
        <w:t>Arrhenius kinetic parameters and to use the results for calculation of the rate constant of oxidation.</w:t>
      </w:r>
    </w:p>
    <w:p w14:paraId="1BBF8D76" w14:textId="77777777" w:rsidR="00D4441D" w:rsidRPr="00506C7C" w:rsidRDefault="00506C7C" w:rsidP="00506C7C">
      <w:pPr>
        <w:keepNext/>
        <w:numPr>
          <w:ilvl w:val="0"/>
          <w:numId w:val="1"/>
        </w:numPr>
        <w:pBdr>
          <w:top w:val="nil"/>
          <w:left w:val="nil"/>
          <w:bottom w:val="nil"/>
          <w:right w:val="nil"/>
          <w:between w:val="nil"/>
        </w:pBdr>
        <w:spacing w:before="240" w:after="120"/>
        <w:rPr>
          <w:rFonts w:ascii="Arial" w:eastAsia="Arial" w:hAnsi="Arial" w:cs="Arial"/>
          <w:b/>
          <w:color w:val="000000" w:themeColor="text1"/>
          <w:sz w:val="20"/>
          <w:szCs w:val="20"/>
        </w:rPr>
      </w:pPr>
      <w:r w:rsidRPr="00506C7C">
        <w:rPr>
          <w:rFonts w:ascii="Arial" w:eastAsia="Arial" w:hAnsi="Arial" w:cs="Arial"/>
          <w:b/>
          <w:color w:val="000000" w:themeColor="text1"/>
          <w:sz w:val="20"/>
          <w:szCs w:val="20"/>
        </w:rPr>
        <w:t>Conclusions</w:t>
      </w:r>
    </w:p>
    <w:p w14:paraId="62280E5E" w14:textId="49E55843"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A non-isothermal thermal analysis by DSC was performed to evaluate and compare the oxidative stability of extra virgin olive oil and extra virgin olive oil-based oleogels made with beeswax, glycerol monostearate and ethyl cellulose as </w:t>
      </w:r>
      <w:proofErr w:type="spellStart"/>
      <w:r w:rsidRPr="00506C7C">
        <w:rPr>
          <w:rFonts w:ascii="Arial" w:eastAsia="Arial" w:hAnsi="Arial" w:cs="Arial"/>
          <w:color w:val="000000" w:themeColor="text1"/>
          <w:sz w:val="18"/>
          <w:szCs w:val="18"/>
        </w:rPr>
        <w:t>olegelators</w:t>
      </w:r>
      <w:proofErr w:type="spellEnd"/>
      <w:r w:rsidRPr="00506C7C">
        <w:rPr>
          <w:rFonts w:ascii="Arial" w:eastAsia="Arial" w:hAnsi="Arial" w:cs="Arial"/>
          <w:color w:val="000000" w:themeColor="text1"/>
          <w:sz w:val="18"/>
          <w:szCs w:val="18"/>
        </w:rPr>
        <w:t xml:space="preserve">. </w:t>
      </w:r>
      <w:r w:rsidRPr="00506C7C">
        <w:rPr>
          <w:rFonts w:ascii="Arial" w:eastAsia="Arial" w:hAnsi="Arial" w:cs="Arial"/>
          <w:color w:val="000000" w:themeColor="text1"/>
          <w:sz w:val="18"/>
          <w:szCs w:val="18"/>
        </w:rPr>
        <w:t>A carefu</w:t>
      </w:r>
      <w:r w:rsidRPr="00506C7C">
        <w:rPr>
          <w:rFonts w:ascii="Arial" w:eastAsia="Arial" w:hAnsi="Arial" w:cs="Arial"/>
          <w:color w:val="000000" w:themeColor="text1"/>
          <w:sz w:val="18"/>
          <w:szCs w:val="18"/>
        </w:rPr>
        <w:t xml:space="preserve">l interpretation of the shape of non-isothermal oxidation curves allows to determine the activation energy </w:t>
      </w: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rPr>
        <w:t>, the pre-exponential factor z and the Arrhenius reaction rate k: T</w:t>
      </w:r>
      <w:r w:rsidRPr="00506C7C">
        <w:rPr>
          <w:rFonts w:ascii="Arial" w:eastAsia="Arial" w:hAnsi="Arial" w:cs="Arial"/>
          <w:color w:val="000000" w:themeColor="text1"/>
          <w:sz w:val="18"/>
          <w:szCs w:val="18"/>
          <w:vertAlign w:val="subscript"/>
        </w:rPr>
        <w:t>s</w:t>
      </w:r>
      <w:r w:rsidRPr="00506C7C">
        <w:rPr>
          <w:rFonts w:ascii="Arial" w:eastAsia="Arial" w:hAnsi="Arial" w:cs="Arial"/>
          <w:color w:val="000000" w:themeColor="text1"/>
          <w:sz w:val="18"/>
          <w:szCs w:val="18"/>
        </w:rPr>
        <w:t xml:space="preserve">, </w:t>
      </w:r>
      <w:proofErr w:type="spellStart"/>
      <w:r w:rsidRPr="00506C7C">
        <w:rPr>
          <w:rFonts w:ascii="Arial" w:eastAsia="Arial" w:hAnsi="Arial" w:cs="Arial"/>
          <w:color w:val="000000" w:themeColor="text1"/>
          <w:sz w:val="18"/>
          <w:szCs w:val="18"/>
        </w:rPr>
        <w:t>T</w:t>
      </w:r>
      <w:r w:rsidRPr="00506C7C">
        <w:rPr>
          <w:rFonts w:ascii="Arial" w:eastAsia="Arial" w:hAnsi="Arial" w:cs="Arial"/>
          <w:color w:val="000000" w:themeColor="text1"/>
          <w:sz w:val="18"/>
          <w:szCs w:val="18"/>
          <w:vertAlign w:val="subscript"/>
        </w:rPr>
        <w:t>onset</w:t>
      </w:r>
      <w:proofErr w:type="spellEnd"/>
      <w:r w:rsidRPr="00506C7C">
        <w:rPr>
          <w:rFonts w:ascii="Arial" w:eastAsia="Arial" w:hAnsi="Arial" w:cs="Arial"/>
          <w:color w:val="000000" w:themeColor="text1"/>
          <w:sz w:val="18"/>
          <w:szCs w:val="18"/>
        </w:rPr>
        <w:t xml:space="preserve"> and </w:t>
      </w:r>
      <w:proofErr w:type="spellStart"/>
      <w:r w:rsidRPr="00506C7C">
        <w:rPr>
          <w:rFonts w:ascii="Arial" w:eastAsia="Arial" w:hAnsi="Arial" w:cs="Arial"/>
          <w:color w:val="000000" w:themeColor="text1"/>
          <w:sz w:val="18"/>
          <w:szCs w:val="18"/>
        </w:rPr>
        <w:lastRenderedPageBreak/>
        <w:t>T</w:t>
      </w:r>
      <w:r w:rsidRPr="00506C7C">
        <w:rPr>
          <w:rFonts w:ascii="Arial" w:eastAsia="Arial" w:hAnsi="Arial" w:cs="Arial"/>
          <w:color w:val="000000" w:themeColor="text1"/>
          <w:sz w:val="18"/>
          <w:szCs w:val="18"/>
          <w:vertAlign w:val="subscript"/>
        </w:rPr>
        <w:t>p</w:t>
      </w:r>
      <w:proofErr w:type="spellEnd"/>
      <w:r w:rsidRPr="00506C7C">
        <w:rPr>
          <w:rFonts w:ascii="Arial" w:eastAsia="Arial" w:hAnsi="Arial" w:cs="Arial"/>
          <w:color w:val="000000" w:themeColor="text1"/>
          <w:sz w:val="18"/>
          <w:szCs w:val="18"/>
        </w:rPr>
        <w:t xml:space="preserve"> were the reference temperatures used in this study to calculate</w:t>
      </w:r>
      <w:r w:rsidRPr="00506C7C">
        <w:rPr>
          <w:rFonts w:ascii="Arial" w:eastAsia="Arial" w:hAnsi="Arial" w:cs="Arial"/>
          <w:color w:val="000000" w:themeColor="text1"/>
          <w:sz w:val="18"/>
          <w:szCs w:val="18"/>
        </w:rPr>
        <w:t xml:space="preserve"> the kinetic parameters of the oxidation process in non-isothermal conditions.</w:t>
      </w:r>
    </w:p>
    <w:p w14:paraId="35BC19FF"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The results indicated that GMS-based oleogel was the most stable among investigated samples, exhibiting the highest </w:t>
      </w: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rPr>
        <w:t xml:space="preserve"> value and the lowest k value (0.01 1/min). According to th</w:t>
      </w:r>
      <w:r w:rsidRPr="00506C7C">
        <w:rPr>
          <w:rFonts w:ascii="Arial" w:eastAsia="Arial" w:hAnsi="Arial" w:cs="Arial"/>
          <w:color w:val="000000" w:themeColor="text1"/>
          <w:sz w:val="18"/>
          <w:szCs w:val="18"/>
        </w:rPr>
        <w:t xml:space="preserve">e </w:t>
      </w:r>
      <w:proofErr w:type="spellStart"/>
      <w:r w:rsidRPr="00506C7C">
        <w:rPr>
          <w:rFonts w:ascii="Arial" w:eastAsia="Arial" w:hAnsi="Arial" w:cs="Arial"/>
          <w:color w:val="000000" w:themeColor="text1"/>
          <w:sz w:val="18"/>
          <w:szCs w:val="18"/>
        </w:rPr>
        <w:t>E</w:t>
      </w:r>
      <w:r w:rsidRPr="00506C7C">
        <w:rPr>
          <w:rFonts w:ascii="Arial" w:eastAsia="Arial" w:hAnsi="Arial" w:cs="Arial"/>
          <w:color w:val="000000" w:themeColor="text1"/>
          <w:sz w:val="18"/>
          <w:szCs w:val="18"/>
          <w:vertAlign w:val="subscript"/>
        </w:rPr>
        <w:t>a</w:t>
      </w:r>
      <w:proofErr w:type="spellEnd"/>
      <w:r w:rsidRPr="00506C7C">
        <w:rPr>
          <w:rFonts w:ascii="Arial" w:eastAsia="Arial" w:hAnsi="Arial" w:cs="Arial"/>
          <w:color w:val="000000" w:themeColor="text1"/>
          <w:sz w:val="18"/>
          <w:szCs w:val="18"/>
        </w:rPr>
        <w:t xml:space="preserve"> values, the stability scale for the tested samples could be proposed as GMS-oleogel&gt;EC-oleogel&gt;EVOO&gt;BW-oleogel.  </w:t>
      </w:r>
    </w:p>
    <w:p w14:paraId="0C3E0A0E"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Moreover, in conclusion, this study has highlighted the ability of the DSC to be successfully applied to the study of the autoxidation of</w:t>
      </w:r>
      <w:r w:rsidRPr="00506C7C">
        <w:rPr>
          <w:rFonts w:ascii="Arial" w:eastAsia="Arial" w:hAnsi="Arial" w:cs="Arial"/>
          <w:color w:val="000000" w:themeColor="text1"/>
          <w:sz w:val="18"/>
          <w:szCs w:val="18"/>
        </w:rPr>
        <w:t xml:space="preserve"> oils and fats.</w:t>
      </w:r>
    </w:p>
    <w:p w14:paraId="43147A53" w14:textId="77777777" w:rsidR="00D4441D" w:rsidRPr="00506C7C" w:rsidRDefault="00D4441D">
      <w:pPr>
        <w:pBdr>
          <w:top w:val="nil"/>
          <w:left w:val="nil"/>
          <w:bottom w:val="nil"/>
          <w:right w:val="nil"/>
          <w:between w:val="nil"/>
        </w:pBdr>
        <w:tabs>
          <w:tab w:val="right" w:pos="7100"/>
        </w:tabs>
        <w:spacing w:line="264" w:lineRule="auto"/>
        <w:jc w:val="both"/>
        <w:rPr>
          <w:rFonts w:ascii="Arial" w:eastAsia="Arial" w:hAnsi="Arial" w:cs="Arial"/>
          <w:b/>
          <w:color w:val="000000" w:themeColor="text1"/>
          <w:sz w:val="18"/>
          <w:szCs w:val="18"/>
        </w:rPr>
      </w:pPr>
    </w:p>
    <w:p w14:paraId="03A5A7AF"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b/>
          <w:color w:val="000000" w:themeColor="text1"/>
          <w:sz w:val="18"/>
          <w:szCs w:val="18"/>
        </w:rPr>
      </w:pPr>
      <w:r w:rsidRPr="00506C7C">
        <w:rPr>
          <w:rFonts w:ascii="Arial" w:eastAsia="Arial" w:hAnsi="Arial" w:cs="Arial"/>
          <w:b/>
          <w:color w:val="000000" w:themeColor="text1"/>
          <w:sz w:val="18"/>
          <w:szCs w:val="18"/>
        </w:rPr>
        <w:t>References</w:t>
      </w:r>
    </w:p>
    <w:p w14:paraId="051E9CC6"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roofErr w:type="spellStart"/>
      <w:r w:rsidRPr="00506C7C">
        <w:rPr>
          <w:rFonts w:ascii="Arial" w:eastAsia="Arial" w:hAnsi="Arial" w:cs="Arial"/>
          <w:color w:val="000000" w:themeColor="text1"/>
          <w:sz w:val="18"/>
          <w:szCs w:val="18"/>
        </w:rPr>
        <w:t>Adhvaryu</w:t>
      </w:r>
      <w:proofErr w:type="spellEnd"/>
      <w:r w:rsidRPr="00506C7C">
        <w:rPr>
          <w:rFonts w:ascii="Arial" w:eastAsia="Arial" w:hAnsi="Arial" w:cs="Arial"/>
          <w:color w:val="000000" w:themeColor="text1"/>
          <w:sz w:val="18"/>
          <w:szCs w:val="18"/>
        </w:rPr>
        <w:t xml:space="preserve"> A., </w:t>
      </w:r>
      <w:proofErr w:type="spellStart"/>
      <w:r w:rsidRPr="00506C7C">
        <w:rPr>
          <w:rFonts w:ascii="Arial" w:eastAsia="Arial" w:hAnsi="Arial" w:cs="Arial"/>
          <w:color w:val="000000" w:themeColor="text1"/>
          <w:sz w:val="18"/>
          <w:szCs w:val="18"/>
        </w:rPr>
        <w:t>Ershan</w:t>
      </w:r>
      <w:proofErr w:type="spellEnd"/>
      <w:r w:rsidRPr="00506C7C">
        <w:rPr>
          <w:rFonts w:ascii="Arial" w:eastAsia="Arial" w:hAnsi="Arial" w:cs="Arial"/>
          <w:color w:val="000000" w:themeColor="text1"/>
          <w:sz w:val="18"/>
          <w:szCs w:val="18"/>
        </w:rPr>
        <w:t xml:space="preserve"> S.Z., Liu Z., Perez J.M., 2000, Oxidation kinetic studies of oils derived from unmodified and genetically modified vegetables using pressurized differential scanning calorimetry and nuclear magnetic resonance</w:t>
      </w:r>
      <w:r w:rsidRPr="00506C7C">
        <w:rPr>
          <w:rFonts w:ascii="Arial" w:eastAsia="Arial" w:hAnsi="Arial" w:cs="Arial"/>
          <w:color w:val="000000" w:themeColor="text1"/>
          <w:sz w:val="18"/>
          <w:szCs w:val="18"/>
        </w:rPr>
        <w:t xml:space="preserve"> spectroscopy, </w:t>
      </w:r>
      <w:proofErr w:type="spellStart"/>
      <w:r w:rsidRPr="00506C7C">
        <w:rPr>
          <w:rFonts w:ascii="Arial" w:eastAsia="Arial" w:hAnsi="Arial" w:cs="Arial"/>
          <w:color w:val="000000" w:themeColor="text1"/>
          <w:sz w:val="18"/>
          <w:szCs w:val="18"/>
        </w:rPr>
        <w:t>Thermochimica</w:t>
      </w:r>
      <w:proofErr w:type="spellEnd"/>
      <w:r w:rsidRPr="00506C7C">
        <w:rPr>
          <w:rFonts w:ascii="Arial" w:eastAsia="Arial" w:hAnsi="Arial" w:cs="Arial"/>
          <w:color w:val="000000" w:themeColor="text1"/>
          <w:sz w:val="18"/>
          <w:szCs w:val="18"/>
        </w:rPr>
        <w:t xml:space="preserve"> Acta, 364, 87-97.</w:t>
      </w:r>
      <w:r w:rsidRPr="00506C7C">
        <w:rPr>
          <w:rFonts w:ascii="Arial" w:eastAsia="Arial" w:hAnsi="Arial" w:cs="Arial"/>
          <w:color w:val="000000" w:themeColor="text1"/>
          <w:sz w:val="18"/>
          <w:szCs w:val="18"/>
        </w:rPr>
        <w:tab/>
      </w:r>
    </w:p>
    <w:p w14:paraId="02711440"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Hwang H.S., 2020, A critical review on structures, health effects, oxidative stability, and sensory properties of oleogels, </w:t>
      </w:r>
      <w:proofErr w:type="spellStart"/>
      <w:r w:rsidRPr="00506C7C">
        <w:rPr>
          <w:rFonts w:ascii="Arial" w:eastAsia="Arial" w:hAnsi="Arial" w:cs="Arial"/>
          <w:color w:val="000000" w:themeColor="text1"/>
          <w:sz w:val="18"/>
          <w:szCs w:val="18"/>
        </w:rPr>
        <w:t>Biocatalysis</w:t>
      </w:r>
      <w:proofErr w:type="spellEnd"/>
      <w:r w:rsidRPr="00506C7C">
        <w:rPr>
          <w:rFonts w:ascii="Arial" w:eastAsia="Arial" w:hAnsi="Arial" w:cs="Arial"/>
          <w:color w:val="000000" w:themeColor="text1"/>
          <w:sz w:val="18"/>
          <w:szCs w:val="18"/>
        </w:rPr>
        <w:t xml:space="preserve"> and Agricultural Biotechnology, 26, 101657. </w:t>
      </w:r>
    </w:p>
    <w:p w14:paraId="47229731"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Hwang H.S., </w:t>
      </w:r>
      <w:proofErr w:type="spellStart"/>
      <w:r w:rsidRPr="00506C7C">
        <w:rPr>
          <w:rFonts w:ascii="Arial" w:eastAsia="Arial" w:hAnsi="Arial" w:cs="Arial"/>
          <w:color w:val="000000" w:themeColor="text1"/>
          <w:sz w:val="18"/>
          <w:szCs w:val="18"/>
        </w:rPr>
        <w:t>Fhaner</w:t>
      </w:r>
      <w:proofErr w:type="spellEnd"/>
      <w:r w:rsidRPr="00506C7C">
        <w:rPr>
          <w:rFonts w:ascii="Arial" w:eastAsia="Arial" w:hAnsi="Arial" w:cs="Arial"/>
          <w:color w:val="000000" w:themeColor="text1"/>
          <w:sz w:val="18"/>
          <w:szCs w:val="18"/>
        </w:rPr>
        <w:t xml:space="preserve"> M., Win</w:t>
      </w:r>
      <w:r w:rsidRPr="00506C7C">
        <w:rPr>
          <w:rFonts w:ascii="Arial" w:eastAsia="Arial" w:hAnsi="Arial" w:cs="Arial"/>
          <w:color w:val="000000" w:themeColor="text1"/>
          <w:sz w:val="18"/>
          <w:szCs w:val="18"/>
        </w:rPr>
        <w:t xml:space="preserve">kler-Moser J.K., Liu S.X., 2018, Oxidation of fish oil oleogels formed by natural waxes in </w:t>
      </w:r>
      <w:proofErr w:type="spellStart"/>
      <w:r w:rsidRPr="00506C7C">
        <w:rPr>
          <w:rFonts w:ascii="Arial" w:eastAsia="Arial" w:hAnsi="Arial" w:cs="Arial"/>
          <w:color w:val="000000" w:themeColor="text1"/>
          <w:sz w:val="18"/>
          <w:szCs w:val="18"/>
        </w:rPr>
        <w:t>coparison</w:t>
      </w:r>
      <w:proofErr w:type="spellEnd"/>
      <w:r w:rsidRPr="00506C7C">
        <w:rPr>
          <w:rFonts w:ascii="Arial" w:eastAsia="Arial" w:hAnsi="Arial" w:cs="Arial"/>
          <w:color w:val="000000" w:themeColor="text1"/>
          <w:sz w:val="18"/>
          <w:szCs w:val="18"/>
        </w:rPr>
        <w:t xml:space="preserve"> with bulk oil, European Journal of Lipid Science and Technology, 120, 1700378.</w:t>
      </w:r>
    </w:p>
    <w:p w14:paraId="150F18A2"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Kowalski B., </w:t>
      </w:r>
      <w:proofErr w:type="spellStart"/>
      <w:r w:rsidRPr="00506C7C">
        <w:rPr>
          <w:rFonts w:ascii="Arial" w:eastAsia="Arial" w:hAnsi="Arial" w:cs="Arial"/>
          <w:color w:val="000000" w:themeColor="text1"/>
          <w:sz w:val="18"/>
          <w:szCs w:val="18"/>
        </w:rPr>
        <w:t>Ratusz</w:t>
      </w:r>
      <w:proofErr w:type="spellEnd"/>
      <w:r w:rsidRPr="00506C7C">
        <w:rPr>
          <w:rFonts w:ascii="Arial" w:eastAsia="Arial" w:hAnsi="Arial" w:cs="Arial"/>
          <w:color w:val="000000" w:themeColor="text1"/>
          <w:sz w:val="18"/>
          <w:szCs w:val="18"/>
        </w:rPr>
        <w:t xml:space="preserve"> K., </w:t>
      </w:r>
      <w:proofErr w:type="spellStart"/>
      <w:r w:rsidRPr="00506C7C">
        <w:rPr>
          <w:rFonts w:ascii="Arial" w:eastAsia="Arial" w:hAnsi="Arial" w:cs="Arial"/>
          <w:color w:val="000000" w:themeColor="text1"/>
          <w:sz w:val="18"/>
          <w:szCs w:val="18"/>
        </w:rPr>
        <w:t>Kowalska</w:t>
      </w:r>
      <w:proofErr w:type="spellEnd"/>
      <w:r w:rsidRPr="00506C7C">
        <w:rPr>
          <w:rFonts w:ascii="Arial" w:eastAsia="Arial" w:hAnsi="Arial" w:cs="Arial"/>
          <w:color w:val="000000" w:themeColor="text1"/>
          <w:sz w:val="18"/>
          <w:szCs w:val="18"/>
        </w:rPr>
        <w:t xml:space="preserve"> D., </w:t>
      </w:r>
      <w:proofErr w:type="spellStart"/>
      <w:r w:rsidRPr="00506C7C">
        <w:rPr>
          <w:rFonts w:ascii="Arial" w:eastAsia="Arial" w:hAnsi="Arial" w:cs="Arial"/>
          <w:color w:val="000000" w:themeColor="text1"/>
          <w:sz w:val="18"/>
          <w:szCs w:val="18"/>
        </w:rPr>
        <w:t>Bekas</w:t>
      </w:r>
      <w:proofErr w:type="spellEnd"/>
      <w:r w:rsidRPr="00506C7C">
        <w:rPr>
          <w:rFonts w:ascii="Arial" w:eastAsia="Arial" w:hAnsi="Arial" w:cs="Arial"/>
          <w:color w:val="000000" w:themeColor="text1"/>
          <w:sz w:val="18"/>
          <w:szCs w:val="18"/>
        </w:rPr>
        <w:t xml:space="preserve"> W., 2004. Determination of the ox</w:t>
      </w:r>
      <w:r w:rsidRPr="00506C7C">
        <w:rPr>
          <w:rFonts w:ascii="Arial" w:eastAsia="Arial" w:hAnsi="Arial" w:cs="Arial"/>
          <w:color w:val="000000" w:themeColor="text1"/>
          <w:sz w:val="18"/>
          <w:szCs w:val="18"/>
        </w:rPr>
        <w:t xml:space="preserve">idative stability of vegetable oils by differential scanning calorimetry and </w:t>
      </w:r>
      <w:proofErr w:type="spellStart"/>
      <w:r w:rsidRPr="00506C7C">
        <w:rPr>
          <w:rFonts w:ascii="Arial" w:eastAsia="Arial" w:hAnsi="Arial" w:cs="Arial"/>
          <w:color w:val="000000" w:themeColor="text1"/>
          <w:sz w:val="18"/>
          <w:szCs w:val="18"/>
        </w:rPr>
        <w:t>rancimat</w:t>
      </w:r>
      <w:proofErr w:type="spellEnd"/>
      <w:r w:rsidRPr="00506C7C">
        <w:rPr>
          <w:rFonts w:ascii="Arial" w:eastAsia="Arial" w:hAnsi="Arial" w:cs="Arial"/>
          <w:color w:val="000000" w:themeColor="text1"/>
          <w:sz w:val="18"/>
          <w:szCs w:val="18"/>
        </w:rPr>
        <w:t xml:space="preserve"> measurements, European Journal of Lipid Science and Technology, 106, 165–169.</w:t>
      </w:r>
    </w:p>
    <w:p w14:paraId="7F30C38F"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Martinez-</w:t>
      </w:r>
      <w:proofErr w:type="spellStart"/>
      <w:r w:rsidRPr="00506C7C">
        <w:rPr>
          <w:rFonts w:ascii="Arial" w:eastAsia="Arial" w:hAnsi="Arial" w:cs="Arial"/>
          <w:color w:val="000000" w:themeColor="text1"/>
          <w:sz w:val="18"/>
          <w:szCs w:val="18"/>
        </w:rPr>
        <w:t>Monteagudo</w:t>
      </w:r>
      <w:proofErr w:type="spellEnd"/>
      <w:r w:rsidRPr="00506C7C">
        <w:rPr>
          <w:rFonts w:ascii="Arial" w:eastAsia="Arial" w:hAnsi="Arial" w:cs="Arial"/>
          <w:color w:val="000000" w:themeColor="text1"/>
          <w:sz w:val="18"/>
          <w:szCs w:val="18"/>
        </w:rPr>
        <w:t xml:space="preserve"> S.I., Saldana M.D.A., Kennelly J.J., 2012, Kinetics of non-isothermal ox</w:t>
      </w:r>
      <w:r w:rsidRPr="00506C7C">
        <w:rPr>
          <w:rFonts w:ascii="Arial" w:eastAsia="Arial" w:hAnsi="Arial" w:cs="Arial"/>
          <w:color w:val="000000" w:themeColor="text1"/>
          <w:sz w:val="18"/>
          <w:szCs w:val="18"/>
        </w:rPr>
        <w:t xml:space="preserve">idation of anhydrous milk fat rich in conjugated linoleic acid using differential scanning calorimetry, 107, 973-981. </w:t>
      </w:r>
    </w:p>
    <w:p w14:paraId="0CCB3472"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roofErr w:type="spellStart"/>
      <w:r w:rsidRPr="00506C7C">
        <w:rPr>
          <w:rFonts w:ascii="Arial" w:eastAsia="Arial" w:hAnsi="Arial" w:cs="Arial"/>
          <w:color w:val="000000" w:themeColor="text1"/>
          <w:sz w:val="18"/>
          <w:szCs w:val="18"/>
        </w:rPr>
        <w:t>Micic</w:t>
      </w:r>
      <w:proofErr w:type="spellEnd"/>
      <w:r w:rsidRPr="00506C7C">
        <w:rPr>
          <w:rFonts w:ascii="Arial" w:eastAsia="Arial" w:hAnsi="Arial" w:cs="Arial"/>
          <w:color w:val="000000" w:themeColor="text1"/>
          <w:sz w:val="18"/>
          <w:szCs w:val="18"/>
        </w:rPr>
        <w:t xml:space="preserve"> D.M., </w:t>
      </w:r>
      <w:proofErr w:type="spellStart"/>
      <w:r w:rsidRPr="00506C7C">
        <w:rPr>
          <w:rFonts w:ascii="Arial" w:eastAsia="Arial" w:hAnsi="Arial" w:cs="Arial"/>
          <w:color w:val="000000" w:themeColor="text1"/>
          <w:sz w:val="18"/>
          <w:szCs w:val="18"/>
        </w:rPr>
        <w:t>Ostojic</w:t>
      </w:r>
      <w:proofErr w:type="spellEnd"/>
      <w:r w:rsidRPr="00506C7C">
        <w:rPr>
          <w:rFonts w:ascii="Arial" w:eastAsia="Arial" w:hAnsi="Arial" w:cs="Arial"/>
          <w:color w:val="000000" w:themeColor="text1"/>
          <w:sz w:val="18"/>
          <w:szCs w:val="18"/>
        </w:rPr>
        <w:t xml:space="preserve"> S.B., Simonovic M.B., Krstic G., Pezo, L.L., Simonovic B.R., 2015, Kinetics of blackberry and raspberry seed oils oxi</w:t>
      </w:r>
      <w:r w:rsidRPr="00506C7C">
        <w:rPr>
          <w:rFonts w:ascii="Arial" w:eastAsia="Arial" w:hAnsi="Arial" w:cs="Arial"/>
          <w:color w:val="000000" w:themeColor="text1"/>
          <w:sz w:val="18"/>
          <w:szCs w:val="18"/>
        </w:rPr>
        <w:t xml:space="preserve">dation by DSC, </w:t>
      </w:r>
      <w:proofErr w:type="spellStart"/>
      <w:r w:rsidRPr="00506C7C">
        <w:rPr>
          <w:rFonts w:ascii="Arial" w:eastAsia="Arial" w:hAnsi="Arial" w:cs="Arial"/>
          <w:color w:val="000000" w:themeColor="text1"/>
          <w:sz w:val="18"/>
          <w:szCs w:val="18"/>
        </w:rPr>
        <w:t>Thermochimica</w:t>
      </w:r>
      <w:proofErr w:type="spellEnd"/>
      <w:r w:rsidRPr="00506C7C">
        <w:rPr>
          <w:rFonts w:ascii="Arial" w:eastAsia="Arial" w:hAnsi="Arial" w:cs="Arial"/>
          <w:color w:val="000000" w:themeColor="text1"/>
          <w:sz w:val="18"/>
          <w:szCs w:val="18"/>
        </w:rPr>
        <w:t xml:space="preserve"> Acta, 601, 39-44.</w:t>
      </w:r>
    </w:p>
    <w:p w14:paraId="6AA7B7AD"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roofErr w:type="spellStart"/>
      <w:r w:rsidRPr="00506C7C">
        <w:rPr>
          <w:rFonts w:ascii="Arial" w:eastAsia="Arial" w:hAnsi="Arial" w:cs="Arial"/>
          <w:color w:val="000000" w:themeColor="text1"/>
          <w:sz w:val="18"/>
          <w:szCs w:val="18"/>
        </w:rPr>
        <w:t>Ogütcü</w:t>
      </w:r>
      <w:proofErr w:type="spellEnd"/>
      <w:r w:rsidRPr="00506C7C">
        <w:rPr>
          <w:rFonts w:ascii="Arial" w:eastAsia="Arial" w:hAnsi="Arial" w:cs="Arial"/>
          <w:color w:val="000000" w:themeColor="text1"/>
          <w:sz w:val="18"/>
          <w:szCs w:val="18"/>
        </w:rPr>
        <w:t xml:space="preserve"> M., </w:t>
      </w:r>
      <w:proofErr w:type="spellStart"/>
      <w:r w:rsidRPr="00506C7C">
        <w:rPr>
          <w:rFonts w:ascii="Arial" w:eastAsia="Arial" w:hAnsi="Arial" w:cs="Arial"/>
          <w:color w:val="000000" w:themeColor="text1"/>
          <w:sz w:val="18"/>
          <w:szCs w:val="18"/>
        </w:rPr>
        <w:t>Arifoglu</w:t>
      </w:r>
      <w:proofErr w:type="spellEnd"/>
      <w:r w:rsidRPr="00506C7C">
        <w:rPr>
          <w:rFonts w:ascii="Arial" w:eastAsia="Arial" w:hAnsi="Arial" w:cs="Arial"/>
          <w:color w:val="000000" w:themeColor="text1"/>
          <w:sz w:val="18"/>
          <w:szCs w:val="18"/>
        </w:rPr>
        <w:t xml:space="preserve"> N., </w:t>
      </w:r>
      <w:proofErr w:type="spellStart"/>
      <w:r w:rsidRPr="00506C7C">
        <w:rPr>
          <w:rFonts w:ascii="Arial" w:eastAsia="Arial" w:hAnsi="Arial" w:cs="Arial"/>
          <w:color w:val="000000" w:themeColor="text1"/>
          <w:sz w:val="18"/>
          <w:szCs w:val="18"/>
        </w:rPr>
        <w:t>Yılmaz</w:t>
      </w:r>
      <w:proofErr w:type="spellEnd"/>
      <w:r w:rsidRPr="00506C7C">
        <w:rPr>
          <w:rFonts w:ascii="Arial" w:eastAsia="Arial" w:hAnsi="Arial" w:cs="Arial"/>
          <w:color w:val="000000" w:themeColor="text1"/>
          <w:sz w:val="18"/>
          <w:szCs w:val="18"/>
        </w:rPr>
        <w:t xml:space="preserve"> E., 2015, Storage stability of cod liver oil organogels formed with beeswax and carnauba wax. International Journal of Food Science and Technology 50, 404–412. </w:t>
      </w:r>
    </w:p>
    <w:p w14:paraId="3F3E65E1"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roofErr w:type="spellStart"/>
      <w:r w:rsidRPr="00506C7C">
        <w:rPr>
          <w:rFonts w:ascii="Arial" w:eastAsia="Arial" w:hAnsi="Arial" w:cs="Arial"/>
          <w:color w:val="000000" w:themeColor="text1"/>
          <w:sz w:val="18"/>
          <w:szCs w:val="18"/>
        </w:rPr>
        <w:t>Ostrowska-Ligeza</w:t>
      </w:r>
      <w:proofErr w:type="spellEnd"/>
      <w:r w:rsidRPr="00506C7C">
        <w:rPr>
          <w:rFonts w:ascii="Arial" w:eastAsia="Arial" w:hAnsi="Arial" w:cs="Arial"/>
          <w:color w:val="000000" w:themeColor="text1"/>
          <w:sz w:val="18"/>
          <w:szCs w:val="18"/>
        </w:rPr>
        <w:t xml:space="preserve"> </w:t>
      </w:r>
      <w:r w:rsidRPr="00506C7C">
        <w:rPr>
          <w:rFonts w:ascii="Arial" w:eastAsia="Arial" w:hAnsi="Arial" w:cs="Arial"/>
          <w:color w:val="000000" w:themeColor="text1"/>
          <w:sz w:val="18"/>
          <w:szCs w:val="18"/>
        </w:rPr>
        <w:t xml:space="preserve">E., </w:t>
      </w:r>
      <w:proofErr w:type="spellStart"/>
      <w:r w:rsidRPr="00506C7C">
        <w:rPr>
          <w:rFonts w:ascii="Arial" w:eastAsia="Arial" w:hAnsi="Arial" w:cs="Arial"/>
          <w:color w:val="000000" w:themeColor="text1"/>
          <w:sz w:val="18"/>
          <w:szCs w:val="18"/>
        </w:rPr>
        <w:t>Bekas</w:t>
      </w:r>
      <w:proofErr w:type="spellEnd"/>
      <w:r w:rsidRPr="00506C7C">
        <w:rPr>
          <w:rFonts w:ascii="Arial" w:eastAsia="Arial" w:hAnsi="Arial" w:cs="Arial"/>
          <w:color w:val="000000" w:themeColor="text1"/>
          <w:sz w:val="18"/>
          <w:szCs w:val="18"/>
        </w:rPr>
        <w:t xml:space="preserve"> W., </w:t>
      </w:r>
      <w:proofErr w:type="spellStart"/>
      <w:r w:rsidRPr="00506C7C">
        <w:rPr>
          <w:rFonts w:ascii="Arial" w:eastAsia="Arial" w:hAnsi="Arial" w:cs="Arial"/>
          <w:color w:val="000000" w:themeColor="text1"/>
          <w:sz w:val="18"/>
          <w:szCs w:val="18"/>
        </w:rPr>
        <w:t>Kowalska</w:t>
      </w:r>
      <w:proofErr w:type="spellEnd"/>
      <w:r w:rsidRPr="00506C7C">
        <w:rPr>
          <w:rFonts w:ascii="Arial" w:eastAsia="Arial" w:hAnsi="Arial" w:cs="Arial"/>
          <w:color w:val="000000" w:themeColor="text1"/>
          <w:sz w:val="18"/>
          <w:szCs w:val="18"/>
        </w:rPr>
        <w:t xml:space="preserve"> D., </w:t>
      </w:r>
      <w:proofErr w:type="spellStart"/>
      <w:r w:rsidRPr="00506C7C">
        <w:rPr>
          <w:rFonts w:ascii="Arial" w:eastAsia="Arial" w:hAnsi="Arial" w:cs="Arial"/>
          <w:color w:val="000000" w:themeColor="text1"/>
          <w:sz w:val="18"/>
          <w:szCs w:val="18"/>
        </w:rPr>
        <w:t>lobacz</w:t>
      </w:r>
      <w:proofErr w:type="spellEnd"/>
      <w:r w:rsidRPr="00506C7C">
        <w:rPr>
          <w:rFonts w:ascii="Arial" w:eastAsia="Arial" w:hAnsi="Arial" w:cs="Arial"/>
          <w:color w:val="000000" w:themeColor="text1"/>
          <w:sz w:val="18"/>
          <w:szCs w:val="18"/>
        </w:rPr>
        <w:t xml:space="preserve"> M., </w:t>
      </w:r>
      <w:proofErr w:type="spellStart"/>
      <w:r w:rsidRPr="00506C7C">
        <w:rPr>
          <w:rFonts w:ascii="Arial" w:eastAsia="Arial" w:hAnsi="Arial" w:cs="Arial"/>
          <w:color w:val="000000" w:themeColor="text1"/>
          <w:sz w:val="18"/>
          <w:szCs w:val="18"/>
        </w:rPr>
        <w:t>Wroniak</w:t>
      </w:r>
      <w:proofErr w:type="spellEnd"/>
      <w:r w:rsidRPr="00506C7C">
        <w:rPr>
          <w:rFonts w:ascii="Arial" w:eastAsia="Arial" w:hAnsi="Arial" w:cs="Arial"/>
          <w:color w:val="000000" w:themeColor="text1"/>
          <w:sz w:val="18"/>
          <w:szCs w:val="18"/>
        </w:rPr>
        <w:t xml:space="preserve"> M., Kowalski B., 2010, Kinetics of commercial olive oil oxidation: Dynamic differential scanning calorimetry and </w:t>
      </w:r>
      <w:proofErr w:type="spellStart"/>
      <w:r w:rsidRPr="00506C7C">
        <w:rPr>
          <w:rFonts w:ascii="Arial" w:eastAsia="Arial" w:hAnsi="Arial" w:cs="Arial"/>
          <w:color w:val="000000" w:themeColor="text1"/>
          <w:sz w:val="18"/>
          <w:szCs w:val="18"/>
        </w:rPr>
        <w:t>Rancimat</w:t>
      </w:r>
      <w:proofErr w:type="spellEnd"/>
      <w:r w:rsidRPr="00506C7C">
        <w:rPr>
          <w:rFonts w:ascii="Arial" w:eastAsia="Arial" w:hAnsi="Arial" w:cs="Arial"/>
          <w:color w:val="000000" w:themeColor="text1"/>
          <w:sz w:val="18"/>
          <w:szCs w:val="18"/>
        </w:rPr>
        <w:t xml:space="preserve"> studies, European Journal of Lipid Science and Technology, 112, 268-274.</w:t>
      </w:r>
    </w:p>
    <w:p w14:paraId="57D73025"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roofErr w:type="spellStart"/>
      <w:r w:rsidRPr="00506C7C">
        <w:rPr>
          <w:rFonts w:ascii="Arial" w:eastAsia="Arial" w:hAnsi="Arial" w:cs="Arial"/>
          <w:color w:val="000000" w:themeColor="text1"/>
          <w:sz w:val="18"/>
          <w:szCs w:val="18"/>
        </w:rPr>
        <w:t>Pardauil</w:t>
      </w:r>
      <w:proofErr w:type="spellEnd"/>
      <w:r w:rsidRPr="00506C7C">
        <w:rPr>
          <w:rFonts w:ascii="Arial" w:eastAsia="Arial" w:hAnsi="Arial" w:cs="Arial"/>
          <w:color w:val="000000" w:themeColor="text1"/>
          <w:sz w:val="18"/>
          <w:szCs w:val="18"/>
        </w:rPr>
        <w:t xml:space="preserve"> J.J.R.</w:t>
      </w:r>
      <w:r w:rsidRPr="00506C7C">
        <w:rPr>
          <w:rFonts w:ascii="Arial" w:eastAsia="Arial" w:hAnsi="Arial" w:cs="Arial"/>
          <w:color w:val="000000" w:themeColor="text1"/>
          <w:sz w:val="18"/>
          <w:szCs w:val="18"/>
        </w:rPr>
        <w:t xml:space="preserve">, Souza, L.K.C., Molfetta, F.A., </w:t>
      </w:r>
      <w:proofErr w:type="spellStart"/>
      <w:r w:rsidRPr="00506C7C">
        <w:rPr>
          <w:rFonts w:ascii="Arial" w:eastAsia="Arial" w:hAnsi="Arial" w:cs="Arial"/>
          <w:color w:val="000000" w:themeColor="text1"/>
          <w:sz w:val="18"/>
          <w:szCs w:val="18"/>
        </w:rPr>
        <w:t>Zamian</w:t>
      </w:r>
      <w:proofErr w:type="spellEnd"/>
      <w:r w:rsidRPr="00506C7C">
        <w:rPr>
          <w:rFonts w:ascii="Arial" w:eastAsia="Arial" w:hAnsi="Arial" w:cs="Arial"/>
          <w:color w:val="000000" w:themeColor="text1"/>
          <w:sz w:val="18"/>
          <w:szCs w:val="18"/>
        </w:rPr>
        <w:t>, J.R., Filho G.N.R., 2011, Determination of the oxidative stability by DSC of vegetable oils from the Amazonian area, Bioresource Technology, 102, 5873-5877.</w:t>
      </w:r>
    </w:p>
    <w:p w14:paraId="755ED940"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roofErr w:type="spellStart"/>
      <w:r w:rsidRPr="00506C7C">
        <w:rPr>
          <w:rFonts w:ascii="Arial" w:eastAsia="Arial" w:hAnsi="Arial" w:cs="Arial"/>
          <w:color w:val="000000" w:themeColor="text1"/>
          <w:sz w:val="18"/>
          <w:szCs w:val="18"/>
        </w:rPr>
        <w:t>Puscas</w:t>
      </w:r>
      <w:proofErr w:type="spellEnd"/>
      <w:r w:rsidRPr="00506C7C">
        <w:rPr>
          <w:rFonts w:ascii="Arial" w:eastAsia="Arial" w:hAnsi="Arial" w:cs="Arial"/>
          <w:color w:val="000000" w:themeColor="text1"/>
          <w:sz w:val="18"/>
          <w:szCs w:val="18"/>
        </w:rPr>
        <w:t xml:space="preserve"> A., Muresan V., </w:t>
      </w:r>
      <w:proofErr w:type="spellStart"/>
      <w:r w:rsidRPr="00506C7C">
        <w:rPr>
          <w:rFonts w:ascii="Arial" w:eastAsia="Arial" w:hAnsi="Arial" w:cs="Arial"/>
          <w:color w:val="000000" w:themeColor="text1"/>
          <w:sz w:val="18"/>
          <w:szCs w:val="18"/>
        </w:rPr>
        <w:t>Socaciu</w:t>
      </w:r>
      <w:proofErr w:type="spellEnd"/>
      <w:r w:rsidRPr="00506C7C">
        <w:rPr>
          <w:rFonts w:ascii="Arial" w:eastAsia="Arial" w:hAnsi="Arial" w:cs="Arial"/>
          <w:color w:val="000000" w:themeColor="text1"/>
          <w:sz w:val="18"/>
          <w:szCs w:val="18"/>
        </w:rPr>
        <w:t xml:space="preserve"> C., </w:t>
      </w:r>
      <w:proofErr w:type="spellStart"/>
      <w:r w:rsidRPr="00506C7C">
        <w:rPr>
          <w:rFonts w:ascii="Arial" w:eastAsia="Arial" w:hAnsi="Arial" w:cs="Arial"/>
          <w:color w:val="000000" w:themeColor="text1"/>
          <w:sz w:val="18"/>
          <w:szCs w:val="18"/>
        </w:rPr>
        <w:t>Muste</w:t>
      </w:r>
      <w:proofErr w:type="spellEnd"/>
      <w:r w:rsidRPr="00506C7C">
        <w:rPr>
          <w:rFonts w:ascii="Arial" w:eastAsia="Arial" w:hAnsi="Arial" w:cs="Arial"/>
          <w:color w:val="000000" w:themeColor="text1"/>
          <w:sz w:val="18"/>
          <w:szCs w:val="18"/>
        </w:rPr>
        <w:t xml:space="preserve"> S., 2020, Oleogel</w:t>
      </w:r>
      <w:r w:rsidRPr="00506C7C">
        <w:rPr>
          <w:rFonts w:ascii="Arial" w:eastAsia="Arial" w:hAnsi="Arial" w:cs="Arial"/>
          <w:color w:val="000000" w:themeColor="text1"/>
          <w:sz w:val="18"/>
          <w:szCs w:val="18"/>
        </w:rPr>
        <w:t>s in Food: A review of current and potential applications, Foods, 9, 70.</w:t>
      </w:r>
    </w:p>
    <w:p w14:paraId="52C155F9"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Qi B., Zhang Q., Sui X., Wang Z., Li Y., Jiang L., 2016, Differential scanning calorimetry study – Assessing the influence of composition of vegetable oils on oxidation, Food Chemistry, 194, 601-607.</w:t>
      </w:r>
    </w:p>
    <w:p w14:paraId="5E0C16AF"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Silva P.M.M., </w:t>
      </w:r>
      <w:proofErr w:type="spellStart"/>
      <w:r w:rsidRPr="00506C7C">
        <w:rPr>
          <w:rFonts w:ascii="Arial" w:eastAsia="Arial" w:hAnsi="Arial" w:cs="Arial"/>
          <w:color w:val="000000" w:themeColor="text1"/>
          <w:sz w:val="18"/>
          <w:szCs w:val="18"/>
        </w:rPr>
        <w:t>Cerqueira</w:t>
      </w:r>
      <w:proofErr w:type="spellEnd"/>
      <w:r w:rsidRPr="00506C7C">
        <w:rPr>
          <w:rFonts w:ascii="Arial" w:eastAsia="Arial" w:hAnsi="Arial" w:cs="Arial"/>
          <w:color w:val="000000" w:themeColor="text1"/>
          <w:sz w:val="18"/>
          <w:szCs w:val="18"/>
        </w:rPr>
        <w:t xml:space="preserve"> A., Martins A.J., </w:t>
      </w:r>
      <w:proofErr w:type="spellStart"/>
      <w:r w:rsidRPr="00506C7C">
        <w:rPr>
          <w:rFonts w:ascii="Arial" w:eastAsia="Arial" w:hAnsi="Arial" w:cs="Arial"/>
          <w:color w:val="000000" w:themeColor="text1"/>
          <w:sz w:val="18"/>
          <w:szCs w:val="18"/>
        </w:rPr>
        <w:t>Fasolin</w:t>
      </w:r>
      <w:proofErr w:type="spellEnd"/>
      <w:r w:rsidRPr="00506C7C">
        <w:rPr>
          <w:rFonts w:ascii="Arial" w:eastAsia="Arial" w:hAnsi="Arial" w:cs="Arial"/>
          <w:color w:val="000000" w:themeColor="text1"/>
          <w:sz w:val="18"/>
          <w:szCs w:val="18"/>
        </w:rPr>
        <w:t xml:space="preserve"> L.H., </w:t>
      </w:r>
      <w:r w:rsidRPr="00506C7C">
        <w:rPr>
          <w:rFonts w:ascii="Arial" w:eastAsia="Arial" w:hAnsi="Arial" w:cs="Arial"/>
          <w:color w:val="000000" w:themeColor="text1"/>
          <w:sz w:val="18"/>
          <w:szCs w:val="18"/>
        </w:rPr>
        <w:t xml:space="preserve">Cunha R.L., Vicente A.A., 2022, Oleogels and </w:t>
      </w:r>
      <w:proofErr w:type="spellStart"/>
      <w:r w:rsidRPr="00506C7C">
        <w:rPr>
          <w:rFonts w:ascii="Arial" w:eastAsia="Arial" w:hAnsi="Arial" w:cs="Arial"/>
          <w:color w:val="000000" w:themeColor="text1"/>
          <w:sz w:val="18"/>
          <w:szCs w:val="18"/>
        </w:rPr>
        <w:t>bigels</w:t>
      </w:r>
      <w:proofErr w:type="spellEnd"/>
      <w:r w:rsidRPr="00506C7C">
        <w:rPr>
          <w:rFonts w:ascii="Arial" w:eastAsia="Arial" w:hAnsi="Arial" w:cs="Arial"/>
          <w:color w:val="000000" w:themeColor="text1"/>
          <w:sz w:val="18"/>
          <w:szCs w:val="18"/>
        </w:rPr>
        <w:t xml:space="preserve"> as alternatives to saturated fats: A review on their application by the food industry, Journal of the American Oil Chemists’ Society, 99, 911-923.</w:t>
      </w:r>
    </w:p>
    <w:p w14:paraId="10CF20A0"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roofErr w:type="spellStart"/>
      <w:r w:rsidRPr="00506C7C">
        <w:rPr>
          <w:rFonts w:ascii="Arial" w:eastAsia="Arial" w:hAnsi="Arial" w:cs="Arial"/>
          <w:color w:val="000000" w:themeColor="text1"/>
          <w:sz w:val="18"/>
          <w:szCs w:val="18"/>
        </w:rPr>
        <w:t>Ulkowski</w:t>
      </w:r>
      <w:proofErr w:type="spellEnd"/>
      <w:r w:rsidRPr="00506C7C">
        <w:rPr>
          <w:rFonts w:ascii="Arial" w:eastAsia="Arial" w:hAnsi="Arial" w:cs="Arial"/>
          <w:color w:val="000000" w:themeColor="text1"/>
          <w:sz w:val="18"/>
          <w:szCs w:val="18"/>
        </w:rPr>
        <w:t xml:space="preserve"> M., </w:t>
      </w:r>
      <w:proofErr w:type="spellStart"/>
      <w:r w:rsidRPr="00506C7C">
        <w:rPr>
          <w:rFonts w:ascii="Arial" w:eastAsia="Arial" w:hAnsi="Arial" w:cs="Arial"/>
          <w:color w:val="000000" w:themeColor="text1"/>
          <w:sz w:val="18"/>
          <w:szCs w:val="18"/>
        </w:rPr>
        <w:t>Musiali</w:t>
      </w:r>
      <w:proofErr w:type="spellEnd"/>
      <w:r w:rsidRPr="00506C7C">
        <w:rPr>
          <w:rFonts w:ascii="Arial" w:eastAsia="Arial" w:hAnsi="Arial" w:cs="Arial"/>
          <w:color w:val="000000" w:themeColor="text1"/>
          <w:sz w:val="18"/>
          <w:szCs w:val="18"/>
        </w:rPr>
        <w:t xml:space="preserve">, M., </w:t>
      </w:r>
      <w:proofErr w:type="spellStart"/>
      <w:r w:rsidRPr="00506C7C">
        <w:rPr>
          <w:rFonts w:ascii="Arial" w:eastAsia="Arial" w:hAnsi="Arial" w:cs="Arial"/>
          <w:color w:val="000000" w:themeColor="text1"/>
          <w:sz w:val="18"/>
          <w:szCs w:val="18"/>
        </w:rPr>
        <w:t>Litwinienko</w:t>
      </w:r>
      <w:proofErr w:type="spellEnd"/>
      <w:r w:rsidRPr="00506C7C">
        <w:rPr>
          <w:rFonts w:ascii="Arial" w:eastAsia="Arial" w:hAnsi="Arial" w:cs="Arial"/>
          <w:color w:val="000000" w:themeColor="text1"/>
          <w:sz w:val="18"/>
          <w:szCs w:val="18"/>
        </w:rPr>
        <w:t xml:space="preserve"> G., 2005, Use of </w:t>
      </w:r>
      <w:proofErr w:type="spellStart"/>
      <w:r w:rsidRPr="00506C7C">
        <w:rPr>
          <w:rFonts w:ascii="Arial" w:eastAsia="Arial" w:hAnsi="Arial" w:cs="Arial"/>
          <w:color w:val="000000" w:themeColor="text1"/>
          <w:sz w:val="18"/>
          <w:szCs w:val="18"/>
        </w:rPr>
        <w:t>Di</w:t>
      </w:r>
      <w:r w:rsidRPr="00506C7C">
        <w:rPr>
          <w:rFonts w:ascii="Arial" w:eastAsia="Arial" w:hAnsi="Arial" w:cs="Arial"/>
          <w:color w:val="000000" w:themeColor="text1"/>
          <w:sz w:val="18"/>
          <w:szCs w:val="18"/>
        </w:rPr>
        <w:t>fferwential</w:t>
      </w:r>
      <w:proofErr w:type="spellEnd"/>
      <w:r w:rsidRPr="00506C7C">
        <w:rPr>
          <w:rFonts w:ascii="Arial" w:eastAsia="Arial" w:hAnsi="Arial" w:cs="Arial"/>
          <w:color w:val="000000" w:themeColor="text1"/>
          <w:sz w:val="18"/>
          <w:szCs w:val="18"/>
        </w:rPr>
        <w:t xml:space="preserve"> Scanning Calorimetry to study lipid oxidation. 1. Oxidative stability of Lecithin and Linolenic Acid, Journal of Agricultural and Food Chemistry.</w:t>
      </w:r>
    </w:p>
    <w:p w14:paraId="752366EC"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proofErr w:type="spellStart"/>
      <w:r w:rsidRPr="00506C7C">
        <w:rPr>
          <w:rFonts w:ascii="Arial" w:eastAsia="Arial" w:hAnsi="Arial" w:cs="Arial"/>
          <w:color w:val="000000" w:themeColor="text1"/>
          <w:sz w:val="18"/>
          <w:szCs w:val="18"/>
          <w:lang w:val="it-IT"/>
        </w:rPr>
        <w:t>Vellido-Perez</w:t>
      </w:r>
      <w:proofErr w:type="spellEnd"/>
      <w:r w:rsidRPr="00506C7C">
        <w:rPr>
          <w:rFonts w:ascii="Arial" w:eastAsia="Arial" w:hAnsi="Arial" w:cs="Arial"/>
          <w:color w:val="000000" w:themeColor="text1"/>
          <w:sz w:val="18"/>
          <w:szCs w:val="18"/>
          <w:lang w:val="it-IT"/>
        </w:rPr>
        <w:t xml:space="preserve"> J.A., </w:t>
      </w:r>
      <w:proofErr w:type="spellStart"/>
      <w:r w:rsidRPr="00506C7C">
        <w:rPr>
          <w:rFonts w:ascii="Arial" w:eastAsia="Arial" w:hAnsi="Arial" w:cs="Arial"/>
          <w:color w:val="000000" w:themeColor="text1"/>
          <w:sz w:val="18"/>
          <w:szCs w:val="18"/>
          <w:lang w:val="it-IT"/>
        </w:rPr>
        <w:t>Rodriguez-Remachgo</w:t>
      </w:r>
      <w:proofErr w:type="spellEnd"/>
      <w:r w:rsidRPr="00506C7C">
        <w:rPr>
          <w:rFonts w:ascii="Arial" w:eastAsia="Arial" w:hAnsi="Arial" w:cs="Arial"/>
          <w:color w:val="000000" w:themeColor="text1"/>
          <w:sz w:val="18"/>
          <w:szCs w:val="18"/>
          <w:lang w:val="it-IT"/>
        </w:rPr>
        <w:t xml:space="preserve"> C., </w:t>
      </w:r>
      <w:proofErr w:type="spellStart"/>
      <w:r w:rsidRPr="00506C7C">
        <w:rPr>
          <w:rFonts w:ascii="Arial" w:eastAsia="Arial" w:hAnsi="Arial" w:cs="Arial"/>
          <w:color w:val="000000" w:themeColor="text1"/>
          <w:sz w:val="18"/>
          <w:szCs w:val="18"/>
          <w:lang w:val="it-IT"/>
        </w:rPr>
        <w:t>Rodriguez-Rodriguex</w:t>
      </w:r>
      <w:proofErr w:type="spellEnd"/>
      <w:r w:rsidRPr="00506C7C">
        <w:rPr>
          <w:rFonts w:ascii="Arial" w:eastAsia="Arial" w:hAnsi="Arial" w:cs="Arial"/>
          <w:color w:val="000000" w:themeColor="text1"/>
          <w:sz w:val="18"/>
          <w:szCs w:val="18"/>
          <w:lang w:val="it-IT"/>
        </w:rPr>
        <w:t xml:space="preserve"> J., </w:t>
      </w:r>
      <w:proofErr w:type="spellStart"/>
      <w:r w:rsidRPr="00506C7C">
        <w:rPr>
          <w:rFonts w:ascii="Arial" w:eastAsia="Arial" w:hAnsi="Arial" w:cs="Arial"/>
          <w:color w:val="000000" w:themeColor="text1"/>
          <w:sz w:val="18"/>
          <w:szCs w:val="18"/>
          <w:lang w:val="it-IT"/>
        </w:rPr>
        <w:t>Ochando-Pulido</w:t>
      </w:r>
      <w:proofErr w:type="spellEnd"/>
      <w:r w:rsidRPr="00506C7C">
        <w:rPr>
          <w:rFonts w:ascii="Arial" w:eastAsia="Arial" w:hAnsi="Arial" w:cs="Arial"/>
          <w:color w:val="000000" w:themeColor="text1"/>
          <w:sz w:val="18"/>
          <w:szCs w:val="18"/>
          <w:lang w:val="it-IT"/>
        </w:rPr>
        <w:t xml:space="preserve"> J.M., </w:t>
      </w:r>
      <w:proofErr w:type="spellStart"/>
      <w:r w:rsidRPr="00506C7C">
        <w:rPr>
          <w:rFonts w:ascii="Arial" w:eastAsia="Arial" w:hAnsi="Arial" w:cs="Arial"/>
          <w:color w:val="000000" w:themeColor="text1"/>
          <w:sz w:val="18"/>
          <w:szCs w:val="18"/>
          <w:lang w:val="it-IT"/>
        </w:rPr>
        <w:t>Brit</w:t>
      </w:r>
      <w:proofErr w:type="spellEnd"/>
      <w:r w:rsidRPr="00506C7C">
        <w:rPr>
          <w:rFonts w:ascii="Arial" w:eastAsia="Arial" w:hAnsi="Arial" w:cs="Arial"/>
          <w:color w:val="000000" w:themeColor="text1"/>
          <w:sz w:val="18"/>
          <w:szCs w:val="18"/>
          <w:lang w:val="it-IT"/>
        </w:rPr>
        <w:t>-de la</w:t>
      </w:r>
      <w:r w:rsidRPr="00506C7C">
        <w:rPr>
          <w:rFonts w:ascii="Arial" w:eastAsia="Arial" w:hAnsi="Arial" w:cs="Arial"/>
          <w:color w:val="000000" w:themeColor="text1"/>
          <w:sz w:val="18"/>
          <w:szCs w:val="18"/>
          <w:lang w:val="it-IT"/>
        </w:rPr>
        <w:t xml:space="preserve"> </w:t>
      </w:r>
      <w:proofErr w:type="spellStart"/>
      <w:r w:rsidRPr="00506C7C">
        <w:rPr>
          <w:rFonts w:ascii="Arial" w:eastAsia="Arial" w:hAnsi="Arial" w:cs="Arial"/>
          <w:color w:val="000000" w:themeColor="text1"/>
          <w:sz w:val="18"/>
          <w:szCs w:val="18"/>
          <w:lang w:val="it-IT"/>
        </w:rPr>
        <w:t>Fuente</w:t>
      </w:r>
      <w:proofErr w:type="spellEnd"/>
      <w:r w:rsidRPr="00506C7C">
        <w:rPr>
          <w:rFonts w:ascii="Arial" w:eastAsia="Arial" w:hAnsi="Arial" w:cs="Arial"/>
          <w:color w:val="000000" w:themeColor="text1"/>
          <w:sz w:val="18"/>
          <w:szCs w:val="18"/>
          <w:lang w:val="it-IT"/>
        </w:rPr>
        <w:t>, E., Martinez-</w:t>
      </w:r>
      <w:proofErr w:type="spellStart"/>
      <w:r w:rsidRPr="00506C7C">
        <w:rPr>
          <w:rFonts w:ascii="Arial" w:eastAsia="Arial" w:hAnsi="Arial" w:cs="Arial"/>
          <w:color w:val="000000" w:themeColor="text1"/>
          <w:sz w:val="18"/>
          <w:szCs w:val="18"/>
          <w:lang w:val="it-IT"/>
        </w:rPr>
        <w:t>Fetrez</w:t>
      </w:r>
      <w:proofErr w:type="spellEnd"/>
      <w:r w:rsidRPr="00506C7C">
        <w:rPr>
          <w:rFonts w:ascii="Arial" w:eastAsia="Arial" w:hAnsi="Arial" w:cs="Arial"/>
          <w:color w:val="000000" w:themeColor="text1"/>
          <w:sz w:val="18"/>
          <w:szCs w:val="18"/>
          <w:lang w:val="it-IT"/>
        </w:rPr>
        <w:t xml:space="preserve"> A., 2019. </w:t>
      </w:r>
      <w:r w:rsidRPr="00506C7C">
        <w:rPr>
          <w:rFonts w:ascii="Arial" w:eastAsia="Arial" w:hAnsi="Arial" w:cs="Arial"/>
          <w:color w:val="000000" w:themeColor="text1"/>
          <w:sz w:val="18"/>
          <w:szCs w:val="18"/>
        </w:rPr>
        <w:t xml:space="preserve">Optimization of oleogel formulation for curcumin </w:t>
      </w:r>
      <w:proofErr w:type="spellStart"/>
      <w:r w:rsidRPr="00506C7C">
        <w:rPr>
          <w:rFonts w:ascii="Arial" w:eastAsia="Arial" w:hAnsi="Arial" w:cs="Arial"/>
          <w:color w:val="000000" w:themeColor="text1"/>
          <w:sz w:val="18"/>
          <w:szCs w:val="18"/>
        </w:rPr>
        <w:t>vehiculization</w:t>
      </w:r>
      <w:proofErr w:type="spellEnd"/>
      <w:r w:rsidRPr="00506C7C">
        <w:rPr>
          <w:rFonts w:ascii="Arial" w:eastAsia="Arial" w:hAnsi="Arial" w:cs="Arial"/>
          <w:color w:val="000000" w:themeColor="text1"/>
          <w:sz w:val="18"/>
          <w:szCs w:val="18"/>
        </w:rPr>
        <w:t xml:space="preserve"> and lipid oxidation stability by multi-response surface methodology. Chemical Engineering Transaction, vol.75, 427-432.</w:t>
      </w:r>
    </w:p>
    <w:p w14:paraId="6A3072E7" w14:textId="77777777" w:rsidR="00D4441D" w:rsidRPr="00506C7C" w:rsidRDefault="00506C7C">
      <w:pPr>
        <w:pBdr>
          <w:top w:val="nil"/>
          <w:left w:val="nil"/>
          <w:bottom w:val="nil"/>
          <w:right w:val="nil"/>
          <w:between w:val="nil"/>
        </w:pBdr>
        <w:tabs>
          <w:tab w:val="right" w:pos="7100"/>
        </w:tabs>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Willett S.A., </w:t>
      </w:r>
      <w:proofErr w:type="spellStart"/>
      <w:r w:rsidRPr="00506C7C">
        <w:rPr>
          <w:rFonts w:ascii="Arial" w:eastAsia="Arial" w:hAnsi="Arial" w:cs="Arial"/>
          <w:color w:val="000000" w:themeColor="text1"/>
          <w:sz w:val="18"/>
          <w:szCs w:val="18"/>
        </w:rPr>
        <w:t>Akoh</w:t>
      </w:r>
      <w:proofErr w:type="spellEnd"/>
      <w:r w:rsidRPr="00506C7C">
        <w:rPr>
          <w:rFonts w:ascii="Arial" w:eastAsia="Arial" w:hAnsi="Arial" w:cs="Arial"/>
          <w:color w:val="000000" w:themeColor="text1"/>
          <w:sz w:val="18"/>
          <w:szCs w:val="18"/>
        </w:rPr>
        <w:t xml:space="preserve"> C.C., 2019. Ph</w:t>
      </w:r>
      <w:r w:rsidRPr="00506C7C">
        <w:rPr>
          <w:rFonts w:ascii="Arial" w:eastAsia="Arial" w:hAnsi="Arial" w:cs="Arial"/>
          <w:color w:val="000000" w:themeColor="text1"/>
          <w:sz w:val="18"/>
          <w:szCs w:val="18"/>
        </w:rPr>
        <w:t>ysicochemical characterization of yellow cake prepared with structured lipid oleogels. Journal of Food Science, 84 (6), 1390–1399.</w:t>
      </w:r>
    </w:p>
    <w:p w14:paraId="5FB4FBD5" w14:textId="77777777" w:rsidR="00D4441D" w:rsidRPr="00506C7C" w:rsidRDefault="00506C7C">
      <w:pPr>
        <w:pBdr>
          <w:top w:val="nil"/>
          <w:left w:val="nil"/>
          <w:bottom w:val="nil"/>
          <w:right w:val="nil"/>
          <w:between w:val="nil"/>
        </w:pBdr>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Yi B., Kim M.J., Lee S.Y., Lee J., 2017, Physicochemical properties and oxidative stability of oleogels made of</w:t>
      </w:r>
      <w:r w:rsidRPr="00506C7C">
        <w:rPr>
          <w:rFonts w:ascii="Arial" w:eastAsia="Arial" w:hAnsi="Arial" w:cs="Arial"/>
          <w:color w:val="000000" w:themeColor="text1"/>
          <w:sz w:val="18"/>
          <w:szCs w:val="18"/>
        </w:rPr>
        <w:t xml:space="preserve"> </w:t>
      </w:r>
      <w:r w:rsidRPr="00506C7C">
        <w:rPr>
          <w:rFonts w:ascii="Arial" w:eastAsia="Arial" w:hAnsi="Arial" w:cs="Arial"/>
          <w:color w:val="000000" w:themeColor="text1"/>
          <w:sz w:val="18"/>
          <w:szCs w:val="18"/>
        </w:rPr>
        <w:t>carnauba wax with canola oil or beeswax with grapeseed oil. Food Science and biotechnology, 26 (1), 79–87.</w:t>
      </w:r>
    </w:p>
    <w:p w14:paraId="3D2DF425" w14:textId="77777777" w:rsidR="00D4441D" w:rsidRPr="00506C7C" w:rsidRDefault="00506C7C">
      <w:pPr>
        <w:pBdr>
          <w:top w:val="nil"/>
          <w:left w:val="nil"/>
          <w:bottom w:val="nil"/>
          <w:right w:val="nil"/>
          <w:between w:val="nil"/>
        </w:pBdr>
        <w:spacing w:line="264" w:lineRule="auto"/>
        <w:jc w:val="both"/>
        <w:rPr>
          <w:rFonts w:ascii="Arial" w:eastAsia="Arial" w:hAnsi="Arial" w:cs="Arial"/>
          <w:color w:val="000000" w:themeColor="text1"/>
          <w:sz w:val="18"/>
          <w:szCs w:val="18"/>
        </w:rPr>
      </w:pPr>
      <w:r w:rsidRPr="00506C7C">
        <w:rPr>
          <w:rFonts w:ascii="Arial" w:eastAsia="Arial" w:hAnsi="Arial" w:cs="Arial"/>
          <w:color w:val="000000" w:themeColor="text1"/>
          <w:sz w:val="18"/>
          <w:szCs w:val="18"/>
        </w:rPr>
        <w:t xml:space="preserve">Zhao W., Wei Z., </w:t>
      </w:r>
      <w:proofErr w:type="spellStart"/>
      <w:r w:rsidRPr="00506C7C">
        <w:rPr>
          <w:rFonts w:ascii="Arial" w:eastAsia="Arial" w:hAnsi="Arial" w:cs="Arial"/>
          <w:color w:val="000000" w:themeColor="text1"/>
          <w:sz w:val="18"/>
          <w:szCs w:val="18"/>
        </w:rPr>
        <w:t>Xue</w:t>
      </w:r>
      <w:proofErr w:type="spellEnd"/>
      <w:r w:rsidRPr="00506C7C">
        <w:rPr>
          <w:rFonts w:ascii="Arial" w:eastAsia="Arial" w:hAnsi="Arial" w:cs="Arial"/>
          <w:color w:val="000000" w:themeColor="text1"/>
          <w:sz w:val="18"/>
          <w:szCs w:val="18"/>
        </w:rPr>
        <w:t xml:space="preserve"> C., 2022, Recent advances on food-grade oleogels: Fabrication, application and research trends. Critical reviews in food science</w:t>
      </w:r>
      <w:r w:rsidRPr="00506C7C">
        <w:rPr>
          <w:rFonts w:ascii="Arial" w:eastAsia="Arial" w:hAnsi="Arial" w:cs="Arial"/>
          <w:color w:val="000000" w:themeColor="text1"/>
          <w:sz w:val="18"/>
          <w:szCs w:val="18"/>
        </w:rPr>
        <w:t xml:space="preserve"> and nutrition, 62, 7659-7676.</w:t>
      </w:r>
    </w:p>
    <w:p w14:paraId="26FBFA26" w14:textId="77777777" w:rsidR="00D4441D" w:rsidRPr="00506C7C" w:rsidRDefault="00D4441D">
      <w:pPr>
        <w:pBdr>
          <w:top w:val="nil"/>
          <w:left w:val="nil"/>
          <w:bottom w:val="nil"/>
          <w:right w:val="nil"/>
          <w:between w:val="nil"/>
        </w:pBdr>
        <w:spacing w:line="264" w:lineRule="auto"/>
        <w:ind w:left="284" w:hanging="284"/>
        <w:jc w:val="both"/>
        <w:rPr>
          <w:rFonts w:ascii="Arial" w:eastAsia="Arial" w:hAnsi="Arial" w:cs="Arial"/>
          <w:color w:val="000000" w:themeColor="text1"/>
          <w:sz w:val="18"/>
          <w:szCs w:val="18"/>
        </w:rPr>
      </w:pPr>
    </w:p>
    <w:p w14:paraId="2BB83AF4" w14:textId="77777777" w:rsidR="00D4441D" w:rsidRDefault="00D4441D">
      <w:pPr>
        <w:pBdr>
          <w:top w:val="nil"/>
          <w:left w:val="nil"/>
          <w:bottom w:val="nil"/>
          <w:right w:val="nil"/>
          <w:between w:val="nil"/>
        </w:pBdr>
        <w:spacing w:line="264" w:lineRule="auto"/>
        <w:ind w:left="284" w:hanging="284"/>
        <w:jc w:val="both"/>
        <w:rPr>
          <w:rFonts w:ascii="Arial" w:eastAsia="Arial" w:hAnsi="Arial" w:cs="Arial"/>
          <w:color w:val="000000"/>
          <w:sz w:val="18"/>
          <w:szCs w:val="18"/>
        </w:rPr>
      </w:pPr>
    </w:p>
    <w:p w14:paraId="55BA707D" w14:textId="77777777" w:rsidR="00D4441D" w:rsidRDefault="00D4441D">
      <w:pPr>
        <w:keepNext/>
        <w:pBdr>
          <w:top w:val="nil"/>
          <w:left w:val="nil"/>
          <w:bottom w:val="nil"/>
          <w:right w:val="nil"/>
          <w:between w:val="nil"/>
        </w:pBdr>
        <w:spacing w:before="240" w:after="120"/>
        <w:rPr>
          <w:rFonts w:ascii="Arial" w:eastAsia="Arial" w:hAnsi="Arial" w:cs="Arial"/>
          <w:b/>
          <w:color w:val="000000"/>
          <w:sz w:val="20"/>
          <w:szCs w:val="20"/>
        </w:rPr>
      </w:pPr>
    </w:p>
    <w:sectPr w:rsidR="00D4441D">
      <w:pgSz w:w="11906" w:h="16838"/>
      <w:pgMar w:top="1701" w:right="1418" w:bottom="1701" w:left="1700" w:header="1701"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haris SIL">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dvP6960">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3F56"/>
    <w:multiLevelType w:val="multilevel"/>
    <w:tmpl w:val="EC68D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F718D"/>
    <w:multiLevelType w:val="multilevel"/>
    <w:tmpl w:val="19343626"/>
    <w:lvl w:ilvl="0">
      <w:start w:val="3"/>
      <w:numFmt w:val="decimal"/>
      <w:lvlText w:val="%1"/>
      <w:lvlJc w:val="left"/>
      <w:pPr>
        <w:ind w:left="360" w:hanging="360"/>
      </w:pPr>
      <w:rPr>
        <w:rFonts w:ascii="Arial" w:eastAsia="Arial" w:hAnsi="Arial" w:cs="Arial" w:hint="default"/>
        <w:b/>
        <w:sz w:val="18"/>
      </w:rPr>
    </w:lvl>
    <w:lvl w:ilvl="1">
      <w:start w:val="1"/>
      <w:numFmt w:val="decimal"/>
      <w:lvlText w:val="%1.%2"/>
      <w:lvlJc w:val="left"/>
      <w:pPr>
        <w:ind w:left="360" w:hanging="360"/>
      </w:pPr>
      <w:rPr>
        <w:rFonts w:ascii="Arial" w:eastAsia="Arial" w:hAnsi="Arial" w:cs="Arial" w:hint="default"/>
        <w:b/>
        <w:sz w:val="18"/>
      </w:rPr>
    </w:lvl>
    <w:lvl w:ilvl="2">
      <w:start w:val="1"/>
      <w:numFmt w:val="decimal"/>
      <w:lvlText w:val="%1.%2.%3"/>
      <w:lvlJc w:val="left"/>
      <w:pPr>
        <w:ind w:left="720" w:hanging="720"/>
      </w:pPr>
      <w:rPr>
        <w:rFonts w:ascii="Arial" w:eastAsia="Arial" w:hAnsi="Arial" w:cs="Arial" w:hint="default"/>
        <w:b/>
        <w:sz w:val="18"/>
      </w:rPr>
    </w:lvl>
    <w:lvl w:ilvl="3">
      <w:start w:val="1"/>
      <w:numFmt w:val="decimal"/>
      <w:lvlText w:val="%1.%2.%3.%4"/>
      <w:lvlJc w:val="left"/>
      <w:pPr>
        <w:ind w:left="720" w:hanging="720"/>
      </w:pPr>
      <w:rPr>
        <w:rFonts w:ascii="Arial" w:eastAsia="Arial" w:hAnsi="Arial" w:cs="Arial" w:hint="default"/>
        <w:b/>
        <w:sz w:val="18"/>
      </w:rPr>
    </w:lvl>
    <w:lvl w:ilvl="4">
      <w:start w:val="1"/>
      <w:numFmt w:val="decimal"/>
      <w:lvlText w:val="%1.%2.%3.%4.%5"/>
      <w:lvlJc w:val="left"/>
      <w:pPr>
        <w:ind w:left="1080" w:hanging="1080"/>
      </w:pPr>
      <w:rPr>
        <w:rFonts w:ascii="Arial" w:eastAsia="Arial" w:hAnsi="Arial" w:cs="Arial" w:hint="default"/>
        <w:b/>
        <w:sz w:val="18"/>
      </w:rPr>
    </w:lvl>
    <w:lvl w:ilvl="5">
      <w:start w:val="1"/>
      <w:numFmt w:val="decimal"/>
      <w:lvlText w:val="%1.%2.%3.%4.%5.%6"/>
      <w:lvlJc w:val="left"/>
      <w:pPr>
        <w:ind w:left="1080" w:hanging="1080"/>
      </w:pPr>
      <w:rPr>
        <w:rFonts w:ascii="Arial" w:eastAsia="Arial" w:hAnsi="Arial" w:cs="Arial" w:hint="default"/>
        <w:b/>
        <w:sz w:val="18"/>
      </w:rPr>
    </w:lvl>
    <w:lvl w:ilvl="6">
      <w:start w:val="1"/>
      <w:numFmt w:val="decimal"/>
      <w:lvlText w:val="%1.%2.%3.%4.%5.%6.%7"/>
      <w:lvlJc w:val="left"/>
      <w:pPr>
        <w:ind w:left="1440" w:hanging="1440"/>
      </w:pPr>
      <w:rPr>
        <w:rFonts w:ascii="Arial" w:eastAsia="Arial" w:hAnsi="Arial" w:cs="Arial" w:hint="default"/>
        <w:b/>
        <w:sz w:val="18"/>
      </w:rPr>
    </w:lvl>
    <w:lvl w:ilvl="7">
      <w:start w:val="1"/>
      <w:numFmt w:val="decimal"/>
      <w:lvlText w:val="%1.%2.%3.%4.%5.%6.%7.%8"/>
      <w:lvlJc w:val="left"/>
      <w:pPr>
        <w:ind w:left="1440" w:hanging="1440"/>
      </w:pPr>
      <w:rPr>
        <w:rFonts w:ascii="Arial" w:eastAsia="Arial" w:hAnsi="Arial" w:cs="Arial" w:hint="default"/>
        <w:b/>
        <w:sz w:val="18"/>
      </w:rPr>
    </w:lvl>
    <w:lvl w:ilvl="8">
      <w:start w:val="1"/>
      <w:numFmt w:val="decimal"/>
      <w:lvlText w:val="%1.%2.%3.%4.%5.%6.%7.%8.%9"/>
      <w:lvlJc w:val="left"/>
      <w:pPr>
        <w:ind w:left="1800" w:hanging="1800"/>
      </w:pPr>
      <w:rPr>
        <w:rFonts w:ascii="Arial" w:eastAsia="Arial" w:hAnsi="Arial" w:cs="Arial" w:hint="default"/>
        <w:b/>
        <w:sz w:val="18"/>
      </w:rPr>
    </w:lvl>
  </w:abstractNum>
  <w:abstractNum w:abstractNumId="2" w15:restartNumberingAfterBreak="0">
    <w:nsid w:val="323C5E6F"/>
    <w:multiLevelType w:val="multilevel"/>
    <w:tmpl w:val="258E4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CETheadingx"/>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2B10AC"/>
    <w:multiLevelType w:val="multilevel"/>
    <w:tmpl w:val="B192C0C0"/>
    <w:lvl w:ilvl="0">
      <w:start w:val="3"/>
      <w:numFmt w:val="decimal"/>
      <w:lvlText w:val="%1"/>
      <w:lvlJc w:val="left"/>
      <w:pPr>
        <w:ind w:left="360" w:hanging="360"/>
      </w:pPr>
      <w:rPr>
        <w:rFonts w:ascii="Arial" w:eastAsia="Arial" w:hAnsi="Arial" w:cs="Arial"/>
        <w:b/>
        <w:color w:val="000000"/>
        <w:sz w:val="18"/>
        <w:szCs w:val="18"/>
      </w:rPr>
    </w:lvl>
    <w:lvl w:ilvl="1">
      <w:start w:val="1"/>
      <w:numFmt w:val="decimal"/>
      <w:lvlText w:val="%1.%2"/>
      <w:lvlJc w:val="left"/>
      <w:pPr>
        <w:ind w:left="360" w:hanging="360"/>
      </w:pPr>
      <w:rPr>
        <w:rFonts w:ascii="Arial" w:eastAsia="Arial" w:hAnsi="Arial" w:cs="Arial"/>
        <w:b/>
        <w:color w:val="FF0000"/>
        <w:sz w:val="18"/>
        <w:szCs w:val="18"/>
      </w:rPr>
    </w:lvl>
    <w:lvl w:ilvl="2">
      <w:start w:val="1"/>
      <w:numFmt w:val="decimal"/>
      <w:lvlText w:val="%1.%2.%3"/>
      <w:lvlJc w:val="left"/>
      <w:pPr>
        <w:ind w:left="720" w:hanging="720"/>
      </w:pPr>
      <w:rPr>
        <w:rFonts w:ascii="Arial" w:eastAsia="Arial" w:hAnsi="Arial" w:cs="Arial"/>
        <w:b/>
        <w:color w:val="000000"/>
        <w:sz w:val="18"/>
        <w:szCs w:val="18"/>
      </w:rPr>
    </w:lvl>
    <w:lvl w:ilvl="3">
      <w:start w:val="1"/>
      <w:numFmt w:val="decimal"/>
      <w:lvlText w:val="%1.%2.%3.%4"/>
      <w:lvlJc w:val="left"/>
      <w:pPr>
        <w:ind w:left="720" w:hanging="720"/>
      </w:pPr>
      <w:rPr>
        <w:rFonts w:ascii="Arial" w:eastAsia="Arial" w:hAnsi="Arial" w:cs="Arial"/>
        <w:b/>
        <w:color w:val="000000"/>
        <w:sz w:val="18"/>
        <w:szCs w:val="18"/>
      </w:rPr>
    </w:lvl>
    <w:lvl w:ilvl="4">
      <w:start w:val="1"/>
      <w:numFmt w:val="decimal"/>
      <w:lvlText w:val="%1.%2.%3.%4.%5"/>
      <w:lvlJc w:val="left"/>
      <w:pPr>
        <w:ind w:left="1080" w:hanging="1080"/>
      </w:pPr>
      <w:rPr>
        <w:rFonts w:ascii="Arial" w:eastAsia="Arial" w:hAnsi="Arial" w:cs="Arial"/>
        <w:b/>
        <w:color w:val="000000"/>
        <w:sz w:val="18"/>
        <w:szCs w:val="18"/>
      </w:rPr>
    </w:lvl>
    <w:lvl w:ilvl="5">
      <w:start w:val="1"/>
      <w:numFmt w:val="decimal"/>
      <w:lvlText w:val="%1.%2.%3.%4.%5.%6"/>
      <w:lvlJc w:val="left"/>
      <w:pPr>
        <w:ind w:left="1080" w:hanging="1080"/>
      </w:pPr>
      <w:rPr>
        <w:rFonts w:ascii="Arial" w:eastAsia="Arial" w:hAnsi="Arial" w:cs="Arial"/>
        <w:b/>
        <w:color w:val="000000"/>
        <w:sz w:val="18"/>
        <w:szCs w:val="18"/>
      </w:rPr>
    </w:lvl>
    <w:lvl w:ilvl="6">
      <w:start w:val="1"/>
      <w:numFmt w:val="decimal"/>
      <w:lvlText w:val="%1.%2.%3.%4.%5.%6.%7"/>
      <w:lvlJc w:val="left"/>
      <w:pPr>
        <w:ind w:left="1440" w:hanging="1440"/>
      </w:pPr>
      <w:rPr>
        <w:rFonts w:ascii="Arial" w:eastAsia="Arial" w:hAnsi="Arial" w:cs="Arial"/>
        <w:b/>
        <w:color w:val="000000"/>
        <w:sz w:val="18"/>
        <w:szCs w:val="18"/>
      </w:rPr>
    </w:lvl>
    <w:lvl w:ilvl="7">
      <w:start w:val="1"/>
      <w:numFmt w:val="decimal"/>
      <w:lvlText w:val="%1.%2.%3.%4.%5.%6.%7.%8"/>
      <w:lvlJc w:val="left"/>
      <w:pPr>
        <w:ind w:left="1440" w:hanging="1440"/>
      </w:pPr>
      <w:rPr>
        <w:rFonts w:ascii="Arial" w:eastAsia="Arial" w:hAnsi="Arial" w:cs="Arial"/>
        <w:b/>
        <w:color w:val="000000"/>
        <w:sz w:val="18"/>
        <w:szCs w:val="18"/>
      </w:rPr>
    </w:lvl>
    <w:lvl w:ilvl="8">
      <w:start w:val="1"/>
      <w:numFmt w:val="decimal"/>
      <w:lvlText w:val="%1.%2.%3.%4.%5.%6.%7.%8.%9"/>
      <w:lvlJc w:val="left"/>
      <w:pPr>
        <w:ind w:left="1800" w:hanging="1800"/>
      </w:pPr>
      <w:rPr>
        <w:rFonts w:ascii="Arial" w:eastAsia="Arial" w:hAnsi="Arial" w:cs="Arial"/>
        <w:b/>
        <w:color w:val="000000"/>
        <w:sz w:val="18"/>
        <w:szCs w:val="18"/>
      </w:rPr>
    </w:lvl>
  </w:abstractNum>
  <w:abstractNum w:abstractNumId="4" w15:restartNumberingAfterBreak="0">
    <w:nsid w:val="5B6C0F0A"/>
    <w:multiLevelType w:val="multilevel"/>
    <w:tmpl w:val="44C80044"/>
    <w:lvl w:ilvl="0">
      <w:start w:val="3"/>
      <w:numFmt w:val="decimal"/>
      <w:pStyle w:val="Numeroelenco"/>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2"/>
    <w:lvlOverride w:ilvl="0">
      <w:startOverride w:val="3"/>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1D"/>
    <w:rsid w:val="00506C7C"/>
    <w:rsid w:val="00D44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2E4C62"/>
  <w15:docId w15:val="{78A4ECA1-C67C-8443-987A-FAD23D5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qFormat/>
    <w:rsid w:val="009A0630"/>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hAnsi="Arial"/>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tabs>
        <w:tab w:val="num" w:pos="360"/>
      </w:tabs>
      <w:suppressAutoHyphens/>
      <w:spacing w:before="240" w:after="120"/>
    </w:pPr>
    <w:rPr>
      <w:rFonts w:ascii="Arial" w:hAnsi="Arial"/>
      <w:b/>
      <w:sz w:val="20"/>
      <w:szCs w:val="20"/>
    </w:rPr>
  </w:style>
  <w:style w:type="paragraph" w:customStyle="1" w:styleId="CETBodytext">
    <w:name w:val="CET Body text"/>
    <w:link w:val="CETBodytextCarattere"/>
    <w:qFormat/>
    <w:rsid w:val="000E414A"/>
    <w:pPr>
      <w:tabs>
        <w:tab w:val="right" w:pos="7100"/>
      </w:tabs>
      <w:spacing w:line="264" w:lineRule="auto"/>
      <w:jc w:val="both"/>
    </w:pPr>
    <w:rPr>
      <w:rFonts w:ascii="Arial" w:hAnsi="Arial"/>
      <w:sz w:val="18"/>
      <w:szCs w:val="20"/>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pPr>
    <w:rPr>
      <w:rFonts w:ascii="Arial" w:hAnsi="Arial"/>
      <w:b/>
      <w:sz w:val="18"/>
      <w:szCs w:val="20"/>
    </w:rPr>
  </w:style>
  <w:style w:type="paragraph" w:customStyle="1" w:styleId="CETAddress">
    <w:name w:val="CET Address"/>
    <w:link w:val="CETAddressCarattere"/>
    <w:qFormat/>
    <w:rsid w:val="009E788A"/>
    <w:pPr>
      <w:keepNext/>
      <w:suppressAutoHyphens/>
      <w:contextualSpacing/>
    </w:pPr>
    <w:rPr>
      <w:rFonts w:ascii="Arial" w:hAnsi="Arial"/>
      <w:noProof/>
      <w:sz w:val="16"/>
      <w:szCs w:val="20"/>
      <w:lang w:val="en-GB"/>
    </w:rPr>
  </w:style>
  <w:style w:type="table" w:styleId="Tabellasemplice1">
    <w:name w:val="Table Simple 1"/>
    <w:basedOn w:val="Tabellanormale"/>
    <w:semiHidden/>
    <w:rsid w:val="000E414A"/>
    <w:pPr>
      <w:numPr>
        <w:ilvl w:val="3"/>
        <w:numId w:val="1"/>
      </w:numPr>
      <w:spacing w:line="264" w:lineRule="auto"/>
      <w:jc w:val="both"/>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pPr>
    <w:rPr>
      <w:rFonts w:ascii="Arial" w:hAnsi="Arial"/>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hAnsi="Arial"/>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ind w:left="220" w:hanging="220"/>
    </w:pPr>
  </w:style>
  <w:style w:type="paragraph" w:styleId="Indice2">
    <w:name w:val="index 2"/>
    <w:basedOn w:val="Normale"/>
    <w:next w:val="Normale"/>
    <w:autoRedefine/>
    <w:uiPriority w:val="99"/>
    <w:semiHidden/>
    <w:unhideWhenUsed/>
    <w:rsid w:val="0003148D"/>
    <w:pPr>
      <w:ind w:left="440" w:hanging="220"/>
    </w:pPr>
  </w:style>
  <w:style w:type="paragraph" w:styleId="Indice3">
    <w:name w:val="index 3"/>
    <w:basedOn w:val="Normale"/>
    <w:next w:val="Normale"/>
    <w:autoRedefine/>
    <w:uiPriority w:val="99"/>
    <w:semiHidden/>
    <w:unhideWhenUsed/>
    <w:rsid w:val="0003148D"/>
    <w:pPr>
      <w:ind w:left="660" w:hanging="220"/>
    </w:pPr>
  </w:style>
  <w:style w:type="paragraph" w:styleId="Indice4">
    <w:name w:val="index 4"/>
    <w:basedOn w:val="Normale"/>
    <w:next w:val="Normale"/>
    <w:autoRedefine/>
    <w:uiPriority w:val="99"/>
    <w:semiHidden/>
    <w:unhideWhenUsed/>
    <w:rsid w:val="0003148D"/>
    <w:pPr>
      <w:ind w:left="880" w:hanging="220"/>
    </w:pPr>
  </w:style>
  <w:style w:type="paragraph" w:styleId="Indice5">
    <w:name w:val="index 5"/>
    <w:basedOn w:val="Normale"/>
    <w:next w:val="Normale"/>
    <w:autoRedefine/>
    <w:uiPriority w:val="99"/>
    <w:semiHidden/>
    <w:unhideWhenUsed/>
    <w:rsid w:val="0003148D"/>
    <w:pPr>
      <w:ind w:left="1100" w:hanging="220"/>
    </w:pPr>
  </w:style>
  <w:style w:type="paragraph" w:styleId="Indice6">
    <w:name w:val="index 6"/>
    <w:basedOn w:val="Normale"/>
    <w:next w:val="Normale"/>
    <w:autoRedefine/>
    <w:uiPriority w:val="99"/>
    <w:semiHidden/>
    <w:unhideWhenUsed/>
    <w:rsid w:val="0003148D"/>
    <w:pPr>
      <w:ind w:left="1320" w:hanging="220"/>
    </w:pPr>
  </w:style>
  <w:style w:type="paragraph" w:styleId="Indice7">
    <w:name w:val="index 7"/>
    <w:basedOn w:val="Normale"/>
    <w:next w:val="Normale"/>
    <w:autoRedefine/>
    <w:uiPriority w:val="99"/>
    <w:semiHidden/>
    <w:unhideWhenUsed/>
    <w:rsid w:val="0003148D"/>
    <w:pPr>
      <w:ind w:left="1540" w:hanging="220"/>
    </w:pPr>
  </w:style>
  <w:style w:type="paragraph" w:styleId="Indice8">
    <w:name w:val="index 8"/>
    <w:basedOn w:val="Normale"/>
    <w:next w:val="Normale"/>
    <w:autoRedefine/>
    <w:uiPriority w:val="99"/>
    <w:semiHidden/>
    <w:unhideWhenUsed/>
    <w:rsid w:val="0003148D"/>
    <w:pPr>
      <w:ind w:left="1760" w:hanging="220"/>
    </w:pPr>
  </w:style>
  <w:style w:type="paragraph" w:styleId="Indice9">
    <w:name w:val="index 9"/>
    <w:basedOn w:val="Normale"/>
    <w:next w:val="Normale"/>
    <w:autoRedefine/>
    <w:uiPriority w:val="99"/>
    <w:semiHidden/>
    <w:unhideWhenUsed/>
    <w:rsid w:val="0003148D"/>
    <w:pPr>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ind w:left="2880"/>
    </w:pPr>
    <w:rPr>
      <w:rFonts w:asciiTheme="majorHAnsi" w:eastAsiaTheme="majorEastAsia" w:hAnsiTheme="majorHAnsi" w:cstheme="majorBidi"/>
    </w:rPr>
  </w:style>
  <w:style w:type="paragraph" w:styleId="IndirizzoHTML">
    <w:name w:val="HTML Address"/>
    <w:basedOn w:val="Normale"/>
    <w:link w:val="IndirizzoHTMLCarattere"/>
    <w:uiPriority w:val="99"/>
    <w:semiHidden/>
    <w:unhideWhenUsed/>
    <w:rsid w:val="0003148D"/>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tabs>
        <w:tab w:val="num" w:pos="720"/>
      </w:tabs>
      <w:ind w:left="720" w:hanging="720"/>
      <w:contextualSpacing/>
    </w:pPr>
  </w:style>
  <w:style w:type="paragraph" w:styleId="Numeroelenco3">
    <w:name w:val="List Number 3"/>
    <w:basedOn w:val="Normale"/>
    <w:uiPriority w:val="99"/>
    <w:semiHidden/>
    <w:unhideWhenUsed/>
    <w:rsid w:val="0003148D"/>
    <w:pPr>
      <w:tabs>
        <w:tab w:val="num" w:pos="720"/>
      </w:tabs>
      <w:ind w:left="720" w:hanging="720"/>
      <w:contextualSpacing/>
    </w:pPr>
  </w:style>
  <w:style w:type="paragraph" w:styleId="Numeroelenco4">
    <w:name w:val="List Number 4"/>
    <w:basedOn w:val="Normale"/>
    <w:uiPriority w:val="99"/>
    <w:semiHidden/>
    <w:unhideWhenUsed/>
    <w:rsid w:val="0003148D"/>
    <w:pPr>
      <w:tabs>
        <w:tab w:val="num" w:pos="720"/>
      </w:tabs>
      <w:ind w:left="720" w:hanging="720"/>
      <w:contextualSpacing/>
    </w:pPr>
  </w:style>
  <w:style w:type="paragraph" w:styleId="Numeroelenco5">
    <w:name w:val="List Number 5"/>
    <w:basedOn w:val="Normale"/>
    <w:uiPriority w:val="99"/>
    <w:semiHidden/>
    <w:unhideWhenUsed/>
    <w:rsid w:val="0003148D"/>
    <w:pPr>
      <w:tabs>
        <w:tab w:val="num" w:pos="720"/>
      </w:tabs>
      <w:ind w:left="720" w:hanging="720"/>
      <w:contextualSpacing/>
    </w:pPr>
  </w:style>
  <w:style w:type="paragraph" w:styleId="PreformattatoHTML">
    <w:name w:val="HTML Preformatted"/>
    <w:basedOn w:val="Normale"/>
    <w:link w:val="PreformattatoHTMLCarattere"/>
    <w:uiPriority w:val="99"/>
    <w:semiHidden/>
    <w:unhideWhenUsed/>
    <w:rsid w:val="0003148D"/>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tabs>
        <w:tab w:val="num" w:pos="720"/>
      </w:tabs>
      <w:ind w:left="720" w:hanging="720"/>
      <w:contextualSpacing/>
    </w:pPr>
  </w:style>
  <w:style w:type="paragraph" w:styleId="Puntoelenco2">
    <w:name w:val="List Bullet 2"/>
    <w:basedOn w:val="Normale"/>
    <w:uiPriority w:val="99"/>
    <w:semiHidden/>
    <w:unhideWhenUsed/>
    <w:rsid w:val="0003148D"/>
    <w:pPr>
      <w:tabs>
        <w:tab w:val="num" w:pos="720"/>
      </w:tabs>
      <w:ind w:left="720" w:hanging="720"/>
      <w:contextualSpacing/>
    </w:pPr>
  </w:style>
  <w:style w:type="paragraph" w:styleId="Puntoelenco3">
    <w:name w:val="List Bullet 3"/>
    <w:basedOn w:val="Normale"/>
    <w:uiPriority w:val="99"/>
    <w:semiHidden/>
    <w:unhideWhenUsed/>
    <w:rsid w:val="0003148D"/>
    <w:pPr>
      <w:tabs>
        <w:tab w:val="num" w:pos="720"/>
      </w:tabs>
      <w:ind w:left="720" w:hanging="720"/>
      <w:contextualSpacing/>
    </w:pPr>
  </w:style>
  <w:style w:type="paragraph" w:styleId="Puntoelenco4">
    <w:name w:val="List Bullet 4"/>
    <w:basedOn w:val="Normale"/>
    <w:uiPriority w:val="99"/>
    <w:semiHidden/>
    <w:unhideWhenUsed/>
    <w:rsid w:val="0003148D"/>
    <w:pPr>
      <w:tabs>
        <w:tab w:val="num" w:pos="720"/>
      </w:tabs>
      <w:ind w:left="720" w:hanging="720"/>
      <w:contextualSpacing/>
    </w:pPr>
  </w:style>
  <w:style w:type="paragraph" w:styleId="Puntoelenco5">
    <w:name w:val="List Bullet 5"/>
    <w:basedOn w:val="Normale"/>
    <w:uiPriority w:val="99"/>
    <w:semiHidden/>
    <w:unhideWhenUsed/>
    <w:rsid w:val="0003148D"/>
    <w:pPr>
      <w:tabs>
        <w:tab w:val="num" w:pos="720"/>
      </w:tabs>
      <w:ind w:left="720" w:hanging="720"/>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hAnsi="Arial"/>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tabs>
        <w:tab w:val="num" w:pos="720"/>
      </w:tabs>
      <w:spacing w:line="264" w:lineRule="auto"/>
      <w:ind w:left="720" w:hanging="720"/>
    </w:pPr>
    <w:rPr>
      <w:rFonts w:ascii="Arial" w:hAnsi="Arial"/>
      <w:sz w:val="18"/>
      <w:szCs w:val="20"/>
      <w:lang w:val="en-GB"/>
    </w:rPr>
  </w:style>
  <w:style w:type="paragraph" w:customStyle="1" w:styleId="CETnumbering1">
    <w:name w:val="CET numbering (1"/>
    <w:aliases w:val="2..)"/>
    <w:rsid w:val="00B57B36"/>
    <w:pPr>
      <w:tabs>
        <w:tab w:val="num" w:pos="720"/>
      </w:tabs>
      <w:spacing w:line="264" w:lineRule="auto"/>
      <w:ind w:left="340" w:hanging="227"/>
    </w:pPr>
    <w:rPr>
      <w:rFonts w:ascii="Arial" w:hAnsi="Arial"/>
      <w:sz w:val="18"/>
      <w:szCs w:val="20"/>
    </w:rPr>
  </w:style>
  <w:style w:type="paragraph" w:customStyle="1" w:styleId="CETnumberinga">
    <w:name w:val="CET numbering (a"/>
    <w:aliases w:val="b,..)"/>
    <w:rsid w:val="00B57B36"/>
    <w:pPr>
      <w:tabs>
        <w:tab w:val="num" w:pos="720"/>
      </w:tabs>
      <w:spacing w:line="264" w:lineRule="auto"/>
      <w:ind w:left="720" w:hanging="720"/>
    </w:pPr>
    <w:rPr>
      <w:rFonts w:ascii="Arial" w:hAnsi="Arial"/>
      <w:sz w:val="18"/>
      <w:szCs w:val="20"/>
      <w:lang w:val="en-GB"/>
    </w:rPr>
  </w:style>
  <w:style w:type="paragraph" w:styleId="Intestazione">
    <w:name w:val="header"/>
    <w:basedOn w:val="Normale"/>
    <w:link w:val="IntestazioneCarattere"/>
    <w:uiPriority w:val="99"/>
    <w:unhideWhenUsed/>
    <w:rsid w:val="005278B7"/>
    <w:pPr>
      <w:tabs>
        <w:tab w:val="center" w:pos="4819"/>
        <w:tab w:val="right" w:pos="9638"/>
      </w:tabs>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enter" w:pos="4819"/>
        <w:tab w:val="right" w:pos="9638"/>
      </w:tabs>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line="264" w:lineRule="auto"/>
      <w:ind w:left="340" w:hanging="227"/>
      <w:jc w:val="both"/>
    </w:pPr>
    <w:rPr>
      <w:rFonts w:ascii="Arial" w:hAnsi="Arial"/>
      <w:sz w:val="18"/>
      <w:szCs w:val="20"/>
      <w:lang w:val="en-GB"/>
    </w:rPr>
  </w:style>
  <w:style w:type="paragraph" w:customStyle="1" w:styleId="CETReferencetext">
    <w:name w:val="CET Reference text"/>
    <w:qFormat/>
    <w:rsid w:val="00600535"/>
    <w:pPr>
      <w:spacing w:line="264" w:lineRule="auto"/>
      <w:ind w:left="284" w:hanging="284"/>
      <w:jc w:val="both"/>
    </w:pPr>
    <w:rPr>
      <w:rFonts w:ascii="Arial" w:hAnsi="Arial"/>
      <w:sz w:val="18"/>
      <w:szCs w:val="20"/>
      <w:lang w:val="en-GB"/>
    </w:rPr>
  </w:style>
  <w:style w:type="paragraph" w:customStyle="1" w:styleId="CETTabletitle">
    <w:name w:val="CET Table title"/>
    <w:qFormat/>
    <w:rsid w:val="00600535"/>
    <w:pPr>
      <w:keepNext/>
      <w:spacing w:before="240" w:after="80" w:line="240" w:lineRule="exact"/>
    </w:pPr>
    <w:rPr>
      <w:rFonts w:ascii="Arial" w:hAnsi="Arial"/>
      <w:i/>
      <w:sz w:val="18"/>
      <w:szCs w:val="20"/>
      <w:lang w:val="en-GB"/>
    </w:rPr>
  </w:style>
  <w:style w:type="paragraph" w:customStyle="1" w:styleId="CETAcknowledgementstitle">
    <w:name w:val="CET Acknowledgements title"/>
    <w:next w:val="CETBodytext"/>
    <w:qFormat/>
    <w:rsid w:val="00600535"/>
    <w:pPr>
      <w:spacing w:before="200" w:after="120"/>
    </w:pPr>
    <w:rPr>
      <w:rFonts w:ascii="Arial" w:hAnsi="Arial"/>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C3779C"/>
    <w:rPr>
      <w:color w:val="808080"/>
    </w:rPr>
  </w:style>
  <w:style w:type="character" w:styleId="Menzionenonrisolta">
    <w:name w:val="Unresolved Mention"/>
    <w:basedOn w:val="Carpredefinitoparagrafo"/>
    <w:uiPriority w:val="99"/>
    <w:semiHidden/>
    <w:unhideWhenUsed/>
    <w:rsid w:val="00B62BCD"/>
    <w:rPr>
      <w:color w:val="605E5C"/>
      <w:shd w:val="clear" w:color="auto" w:fill="E1DFDD"/>
    </w:rPr>
  </w:style>
  <w:style w:type="paragraph" w:customStyle="1" w:styleId="Default">
    <w:name w:val="Default"/>
    <w:rsid w:val="00666F1D"/>
    <w:pPr>
      <w:autoSpaceDE w:val="0"/>
      <w:autoSpaceDN w:val="0"/>
      <w:adjustRightInd w:val="0"/>
    </w:pPr>
    <w:rPr>
      <w:rFonts w:ascii="Charis SIL" w:hAnsi="Charis SIL" w:cs="Charis SIL"/>
      <w:color w:val="000000"/>
    </w:rPr>
  </w:style>
  <w:style w:type="character" w:customStyle="1" w:styleId="ztplmc">
    <w:name w:val="ztplmc"/>
    <w:basedOn w:val="Carpredefinitoparagrafo"/>
    <w:rsid w:val="00BF4CEA"/>
  </w:style>
  <w:style w:type="character" w:customStyle="1" w:styleId="material-icons-extended">
    <w:name w:val="material-icons-extended"/>
    <w:basedOn w:val="Carpredefinitoparagrafo"/>
    <w:rsid w:val="00BF4CEA"/>
  </w:style>
  <w:style w:type="character" w:customStyle="1" w:styleId="rynqvb">
    <w:name w:val="rynqvb"/>
    <w:basedOn w:val="Carpredefinitoparagrafo"/>
    <w:rsid w:val="00BF4CEA"/>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pPr>
      <w:jc w:val="both"/>
    </w:pPr>
    <w:rPr>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2"/>
    <w:pPr>
      <w:jc w:val="both"/>
    </w:pPr>
    <w:rPr>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2"/>
    <w:pPr>
      <w:jc w:val="both"/>
    </w:pPr>
    <w:rPr>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2"/>
    <w:pPr>
      <w:jc w:val="both"/>
    </w:pPr>
    <w:rPr>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2"/>
    <w:pPr>
      <w:spacing w:line="264" w:lineRule="auto"/>
      <w:jc w:val="both"/>
    </w:pPr>
    <w:rPr>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1"/>
    <w:pPr>
      <w:spacing w:line="264" w:lineRule="auto"/>
      <w:jc w:val="both"/>
    </w:pPr>
    <w:rPr>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1"/>
    <w:pPr>
      <w:spacing w:line="264" w:lineRule="auto"/>
      <w:jc w:val="both"/>
    </w:pPr>
    <w:rPr>
      <w:sz w:val="20"/>
      <w:szCs w:val="20"/>
    </w:rPr>
    <w:tblPr>
      <w:tblStyleRowBandSize w:val="1"/>
      <w:tblStyleColBandSize w:val="1"/>
      <w:tblCellMar>
        <w:left w:w="115" w:type="dxa"/>
        <w:right w:w="115" w:type="dxa"/>
      </w:tblCellMar>
    </w:tblPr>
    <w:tcPr>
      <w:shd w:val="clear" w:color="auto" w:fill="auto"/>
    </w:tcPr>
  </w:style>
  <w:style w:type="table" w:customStyle="1" w:styleId="a7">
    <w:basedOn w:val="TableNormal1"/>
    <w:pPr>
      <w:spacing w:line="264" w:lineRule="auto"/>
      <w:jc w:val="both"/>
    </w:pPr>
    <w:rPr>
      <w:sz w:val="20"/>
      <w:szCs w:val="20"/>
    </w:rPr>
    <w:tblPr>
      <w:tblStyleRowBandSize w:val="1"/>
      <w:tblStyleColBandSize w:val="1"/>
      <w:tblCellMar>
        <w:left w:w="115" w:type="dxa"/>
        <w:right w:w="115" w:type="dxa"/>
      </w:tblCellMar>
    </w:tblPr>
    <w:tcPr>
      <w:shd w:val="clear" w:color="auto" w:fill="auto"/>
    </w:tcPr>
  </w:style>
  <w:style w:type="numbering" w:customStyle="1" w:styleId="Elencocorrente1">
    <w:name w:val="Elenco corrente1"/>
    <w:uiPriority w:val="99"/>
    <w:rsid w:val="00E65AFA"/>
  </w:style>
  <w:style w:type="table" w:customStyle="1" w:styleId="a8">
    <w:basedOn w:val="TableNormal0"/>
    <w:pPr>
      <w:spacing w:line="264" w:lineRule="auto"/>
      <w:jc w:val="both"/>
    </w:pPr>
    <w:rPr>
      <w:sz w:val="20"/>
      <w:szCs w:val="20"/>
    </w:rPr>
    <w:tblPr>
      <w:tblStyleRowBandSize w:val="1"/>
      <w:tblStyleColBandSize w:val="1"/>
      <w:tblCellMar>
        <w:left w:w="115" w:type="dxa"/>
        <w:right w:w="115" w:type="dxa"/>
      </w:tblCellMar>
    </w:tblPr>
    <w:tcPr>
      <w:shd w:val="clear" w:color="auto" w:fill="auto"/>
    </w:tcPr>
  </w:style>
  <w:style w:type="table" w:customStyle="1" w:styleId="a9">
    <w:basedOn w:val="TableNormal0"/>
    <w:pPr>
      <w:spacing w:line="264" w:lineRule="auto"/>
      <w:jc w:val="both"/>
    </w:pPr>
    <w:rPr>
      <w:sz w:val="20"/>
      <w:szCs w:val="20"/>
    </w:rPr>
    <w:tblPr>
      <w:tblStyleRowBandSize w:val="1"/>
      <w:tblStyleColBandSize w:val="1"/>
      <w:tblCellMar>
        <w:left w:w="115" w:type="dxa"/>
        <w:right w:w="115" w:type="dxa"/>
      </w:tblCellMar>
    </w:tblPr>
    <w:tcPr>
      <w:shd w:val="clear" w:color="auto" w:fill="auto"/>
    </w:tcPr>
  </w:style>
  <w:style w:type="table" w:customStyle="1" w:styleId="aa">
    <w:basedOn w:val="TableNormal0"/>
    <w:pPr>
      <w:spacing w:line="264" w:lineRule="auto"/>
      <w:jc w:val="both"/>
    </w:pPr>
    <w:rPr>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alvano@unisa.it"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VFF8BSVoS3AGRJbYssbV2+ljTg==">CgMxLjA4AHIhMWwzaDlUaExYMzkxTS1odTdvRkNoTFV1TmF2NldsNl9o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3300</Words>
  <Characters>18810</Characters>
  <Application>Microsoft Office Word</Application>
  <DocSecurity>0</DocSecurity>
  <Lines>156</Lines>
  <Paragraphs>44</Paragraphs>
  <ScaleCrop>false</ScaleCrop>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Francesca MALVANO</cp:lastModifiedBy>
  <cp:revision>2</cp:revision>
  <dcterms:created xsi:type="dcterms:W3CDTF">2023-05-29T08:12:00Z</dcterms:created>
  <dcterms:modified xsi:type="dcterms:W3CDTF">2023-06-14T10:45:00Z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