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B1F67" w14:paraId="2A131A54" w14:textId="77777777" w:rsidTr="00B02D9D">
        <w:trPr>
          <w:trHeight w:val="852"/>
          <w:jc w:val="center"/>
        </w:trPr>
        <w:tc>
          <w:tcPr>
            <w:tcW w:w="6940" w:type="dxa"/>
            <w:vMerge w:val="restart"/>
            <w:tcBorders>
              <w:right w:val="single" w:sz="4" w:space="0" w:color="auto"/>
            </w:tcBorders>
          </w:tcPr>
          <w:p w14:paraId="38C3D2BA" w14:textId="77777777" w:rsidR="000A03B2" w:rsidRPr="004B1F67" w:rsidRDefault="000A03B2" w:rsidP="00DE264A">
            <w:pPr>
              <w:tabs>
                <w:tab w:val="left" w:pos="-108"/>
              </w:tabs>
              <w:ind w:left="-108"/>
              <w:jc w:val="left"/>
              <w:rPr>
                <w:rFonts w:cs="Arial"/>
                <w:b/>
                <w:bCs/>
                <w:i/>
                <w:iCs/>
                <w:color w:val="000066"/>
                <w:sz w:val="12"/>
                <w:szCs w:val="12"/>
                <w:lang w:eastAsia="it-IT"/>
              </w:rPr>
            </w:pPr>
            <w:r w:rsidRPr="004B1F6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B1F67">
              <w:rPr>
                <w:rFonts w:ascii="AdvP6960" w:hAnsi="AdvP6960" w:cs="AdvP6960"/>
                <w:color w:val="241F20"/>
                <w:szCs w:val="18"/>
                <w:lang w:eastAsia="it-IT"/>
              </w:rPr>
              <w:t xml:space="preserve"> </w:t>
            </w:r>
            <w:r w:rsidRPr="004B1F67">
              <w:rPr>
                <w:rFonts w:cs="Arial"/>
                <w:b/>
                <w:bCs/>
                <w:i/>
                <w:iCs/>
                <w:color w:val="000066"/>
                <w:sz w:val="24"/>
                <w:szCs w:val="24"/>
                <w:lang w:eastAsia="it-IT"/>
              </w:rPr>
              <w:t>CHEMICAL ENGINEERING</w:t>
            </w:r>
            <w:r w:rsidRPr="004B1F67">
              <w:rPr>
                <w:rFonts w:cs="Arial"/>
                <w:b/>
                <w:bCs/>
                <w:i/>
                <w:iCs/>
                <w:color w:val="0033FF"/>
                <w:sz w:val="24"/>
                <w:szCs w:val="24"/>
                <w:lang w:eastAsia="it-IT"/>
              </w:rPr>
              <w:t xml:space="preserve"> </w:t>
            </w:r>
            <w:r w:rsidRPr="004B1F67">
              <w:rPr>
                <w:rFonts w:cs="Arial"/>
                <w:b/>
                <w:bCs/>
                <w:i/>
                <w:iCs/>
                <w:color w:val="666666"/>
                <w:sz w:val="24"/>
                <w:szCs w:val="24"/>
                <w:lang w:eastAsia="it-IT"/>
              </w:rPr>
              <w:t>TRANSACTIONS</w:t>
            </w:r>
            <w:r w:rsidRPr="004B1F67">
              <w:rPr>
                <w:color w:val="333333"/>
                <w:sz w:val="24"/>
                <w:szCs w:val="24"/>
                <w:lang w:eastAsia="it-IT"/>
              </w:rPr>
              <w:t xml:space="preserve"> </w:t>
            </w:r>
            <w:r w:rsidRPr="004B1F67">
              <w:rPr>
                <w:rFonts w:cs="Arial"/>
                <w:b/>
                <w:bCs/>
                <w:i/>
                <w:iCs/>
                <w:color w:val="000066"/>
                <w:sz w:val="27"/>
                <w:szCs w:val="27"/>
                <w:lang w:eastAsia="it-IT"/>
              </w:rPr>
              <w:br/>
            </w:r>
          </w:p>
          <w:p w14:paraId="4B780582" w14:textId="530285EB" w:rsidR="000A03B2" w:rsidRPr="004B1F67" w:rsidRDefault="00A76EFC" w:rsidP="001D21AF">
            <w:pPr>
              <w:tabs>
                <w:tab w:val="left" w:pos="-108"/>
              </w:tabs>
              <w:ind w:left="-108"/>
              <w:rPr>
                <w:rFonts w:cs="Arial"/>
                <w:b/>
                <w:bCs/>
                <w:i/>
                <w:iCs/>
                <w:color w:val="000066"/>
                <w:sz w:val="22"/>
                <w:szCs w:val="22"/>
                <w:lang w:eastAsia="it-IT"/>
              </w:rPr>
            </w:pPr>
            <w:r w:rsidRPr="004B1F67">
              <w:rPr>
                <w:rFonts w:cs="Arial"/>
                <w:b/>
                <w:bCs/>
                <w:i/>
                <w:iCs/>
                <w:color w:val="000066"/>
                <w:sz w:val="22"/>
                <w:szCs w:val="22"/>
                <w:lang w:eastAsia="it-IT"/>
              </w:rPr>
              <w:t xml:space="preserve">VOL. </w:t>
            </w:r>
            <w:r w:rsidR="0030152C" w:rsidRPr="004B1F67">
              <w:rPr>
                <w:rFonts w:cs="Arial"/>
                <w:b/>
                <w:bCs/>
                <w:i/>
                <w:iCs/>
                <w:color w:val="000066"/>
                <w:sz w:val="22"/>
                <w:szCs w:val="22"/>
                <w:lang w:eastAsia="it-IT"/>
              </w:rPr>
              <w:t xml:space="preserve"> </w:t>
            </w:r>
            <w:proofErr w:type="gramStart"/>
            <w:r w:rsidR="0030152C" w:rsidRPr="004B1F67">
              <w:rPr>
                <w:rFonts w:cs="Arial"/>
                <w:b/>
                <w:bCs/>
                <w:i/>
                <w:iCs/>
                <w:color w:val="000066"/>
                <w:sz w:val="22"/>
                <w:szCs w:val="22"/>
                <w:lang w:eastAsia="it-IT"/>
              </w:rPr>
              <w:t xml:space="preserve">  </w:t>
            </w:r>
            <w:r w:rsidR="007B48F9" w:rsidRPr="004B1F67">
              <w:rPr>
                <w:rFonts w:cs="Arial"/>
                <w:b/>
                <w:bCs/>
                <w:i/>
                <w:iCs/>
                <w:color w:val="000066"/>
                <w:sz w:val="22"/>
                <w:szCs w:val="22"/>
                <w:lang w:eastAsia="it-IT"/>
              </w:rPr>
              <w:t>,</w:t>
            </w:r>
            <w:proofErr w:type="gramEnd"/>
            <w:r w:rsidR="00FA5F5F" w:rsidRPr="004B1F67">
              <w:rPr>
                <w:rFonts w:cs="Arial"/>
                <w:b/>
                <w:bCs/>
                <w:i/>
                <w:iCs/>
                <w:color w:val="000066"/>
                <w:sz w:val="22"/>
                <w:szCs w:val="22"/>
                <w:lang w:eastAsia="it-IT"/>
              </w:rPr>
              <w:t xml:space="preserve"> </w:t>
            </w:r>
            <w:r w:rsidR="0030152C" w:rsidRPr="004B1F67">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4B1F67" w:rsidRDefault="000A03B2" w:rsidP="00CD5FE2">
            <w:pPr>
              <w:spacing w:line="140" w:lineRule="atLeast"/>
              <w:jc w:val="right"/>
              <w:rPr>
                <w:rFonts w:cs="Arial"/>
                <w:sz w:val="14"/>
                <w:szCs w:val="14"/>
              </w:rPr>
            </w:pPr>
            <w:r w:rsidRPr="004B1F67">
              <w:rPr>
                <w:rFonts w:cs="Arial"/>
                <w:sz w:val="14"/>
                <w:szCs w:val="14"/>
              </w:rPr>
              <w:t>A publication of</w:t>
            </w:r>
          </w:p>
          <w:p w14:paraId="599E5441" w14:textId="77777777" w:rsidR="000A03B2" w:rsidRPr="004B1F67" w:rsidRDefault="000A03B2" w:rsidP="00CD5FE2">
            <w:pPr>
              <w:jc w:val="right"/>
            </w:pPr>
            <w:r w:rsidRPr="004B1F6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B1F67" w14:paraId="380FA3CD" w14:textId="77777777" w:rsidTr="00B02D9D">
        <w:trPr>
          <w:trHeight w:val="567"/>
          <w:jc w:val="center"/>
        </w:trPr>
        <w:tc>
          <w:tcPr>
            <w:tcW w:w="6940" w:type="dxa"/>
            <w:vMerge/>
            <w:tcBorders>
              <w:right w:val="single" w:sz="4" w:space="0" w:color="auto"/>
            </w:tcBorders>
          </w:tcPr>
          <w:p w14:paraId="39E5E4C1" w14:textId="77777777" w:rsidR="000A03B2" w:rsidRPr="004B1F67"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4B1F67" w:rsidRDefault="000A03B2" w:rsidP="00CD5FE2">
            <w:pPr>
              <w:spacing w:line="140" w:lineRule="atLeast"/>
              <w:jc w:val="right"/>
              <w:rPr>
                <w:rFonts w:cs="Arial"/>
                <w:sz w:val="14"/>
                <w:szCs w:val="14"/>
              </w:rPr>
            </w:pPr>
            <w:r w:rsidRPr="004B1F67">
              <w:rPr>
                <w:rFonts w:cs="Arial"/>
                <w:sz w:val="14"/>
                <w:szCs w:val="14"/>
              </w:rPr>
              <w:t>The Italian Association</w:t>
            </w:r>
          </w:p>
          <w:p w14:paraId="7522B1D2" w14:textId="77777777" w:rsidR="000A03B2" w:rsidRPr="004B1F67" w:rsidRDefault="000A03B2" w:rsidP="00CD5FE2">
            <w:pPr>
              <w:spacing w:line="140" w:lineRule="atLeast"/>
              <w:jc w:val="right"/>
              <w:rPr>
                <w:rFonts w:cs="Arial"/>
                <w:sz w:val="14"/>
                <w:szCs w:val="14"/>
              </w:rPr>
            </w:pPr>
            <w:r w:rsidRPr="004B1F67">
              <w:rPr>
                <w:rFonts w:cs="Arial"/>
                <w:sz w:val="14"/>
                <w:szCs w:val="14"/>
              </w:rPr>
              <w:t>of Chemical Engineering</w:t>
            </w:r>
          </w:p>
          <w:p w14:paraId="4F0CC5DE" w14:textId="47FDB2FC" w:rsidR="000A03B2" w:rsidRPr="004B1F67" w:rsidRDefault="000D0268" w:rsidP="00CD5FE2">
            <w:pPr>
              <w:spacing w:line="140" w:lineRule="atLeast"/>
              <w:jc w:val="right"/>
              <w:rPr>
                <w:rFonts w:cs="Arial"/>
                <w:sz w:val="13"/>
                <w:szCs w:val="13"/>
              </w:rPr>
            </w:pPr>
            <w:r w:rsidRPr="004B1F67">
              <w:rPr>
                <w:rFonts w:cs="Arial"/>
                <w:sz w:val="13"/>
                <w:szCs w:val="13"/>
              </w:rPr>
              <w:t>Online at www.cetjournal.it</w:t>
            </w:r>
          </w:p>
        </w:tc>
      </w:tr>
      <w:tr w:rsidR="000A03B2" w:rsidRPr="004B1F67" w14:paraId="2D1B7169" w14:textId="77777777" w:rsidTr="00B02D9D">
        <w:trPr>
          <w:trHeight w:val="68"/>
          <w:jc w:val="center"/>
        </w:trPr>
        <w:tc>
          <w:tcPr>
            <w:tcW w:w="8782" w:type="dxa"/>
            <w:gridSpan w:val="2"/>
          </w:tcPr>
          <w:p w14:paraId="1D8DD3C9" w14:textId="06DCB7F6" w:rsidR="00AA7D26" w:rsidRPr="00B5609E" w:rsidRDefault="00AA7D26" w:rsidP="00AA7D26">
            <w:pPr>
              <w:ind w:left="-107"/>
              <w:outlineLvl w:val="2"/>
              <w:rPr>
                <w:rFonts w:ascii="Tahoma" w:hAnsi="Tahoma" w:cs="Tahoma"/>
                <w:bCs/>
                <w:color w:val="000000"/>
                <w:sz w:val="14"/>
                <w:szCs w:val="14"/>
                <w:lang w:val="it-IT" w:eastAsia="it-IT"/>
              </w:rPr>
            </w:pPr>
            <w:r w:rsidRPr="00B5609E">
              <w:rPr>
                <w:rFonts w:ascii="Tahoma" w:hAnsi="Tahoma" w:cs="Tahoma"/>
                <w:iCs/>
                <w:color w:val="333333"/>
                <w:sz w:val="14"/>
                <w:szCs w:val="14"/>
                <w:lang w:val="it-IT" w:eastAsia="it-IT"/>
              </w:rPr>
              <w:t>Guest Editors:</w:t>
            </w:r>
            <w:r w:rsidRPr="00B5609E">
              <w:rPr>
                <w:rFonts w:ascii="Tahoma" w:hAnsi="Tahoma" w:cs="Tahoma"/>
                <w:color w:val="000000"/>
                <w:sz w:val="14"/>
                <w:szCs w:val="14"/>
                <w:shd w:val="clear" w:color="auto" w:fill="FFFFFF"/>
                <w:lang w:val="it-IT"/>
              </w:rPr>
              <w:t xml:space="preserve"> </w:t>
            </w:r>
            <w:r w:rsidR="003A6FC6" w:rsidRPr="00B5609E">
              <w:rPr>
                <w:rFonts w:ascii="Tahoma" w:hAnsi="Tahoma" w:cs="Tahoma"/>
                <w:color w:val="000000"/>
                <w:sz w:val="14"/>
                <w:szCs w:val="14"/>
                <w:shd w:val="clear" w:color="auto" w:fill="FFFFFF"/>
                <w:lang w:val="it-IT"/>
              </w:rPr>
              <w:t xml:space="preserve">Laura Piazza, Mauro Moresi, Francesco </w:t>
            </w:r>
            <w:proofErr w:type="spellStart"/>
            <w:r w:rsidR="003A6FC6" w:rsidRPr="00B5609E">
              <w:rPr>
                <w:rFonts w:ascii="Tahoma" w:hAnsi="Tahoma" w:cs="Tahoma"/>
                <w:color w:val="000000"/>
                <w:sz w:val="14"/>
                <w:szCs w:val="14"/>
                <w:shd w:val="clear" w:color="auto" w:fill="FFFFFF"/>
                <w:lang w:val="it-IT"/>
              </w:rPr>
              <w:t>Donsì</w:t>
            </w:r>
            <w:proofErr w:type="spellEnd"/>
          </w:p>
          <w:p w14:paraId="1B0F1814" w14:textId="617BA86D" w:rsidR="000A03B2" w:rsidRPr="004B1F67" w:rsidRDefault="00AA7D26" w:rsidP="00AA7D26">
            <w:pPr>
              <w:tabs>
                <w:tab w:val="left" w:pos="-108"/>
              </w:tabs>
              <w:spacing w:line="140" w:lineRule="atLeast"/>
              <w:ind w:left="-107"/>
              <w:jc w:val="left"/>
            </w:pPr>
            <w:r w:rsidRPr="004B1F67">
              <w:rPr>
                <w:rFonts w:ascii="Tahoma" w:hAnsi="Tahoma" w:cs="Tahoma"/>
                <w:iCs/>
                <w:color w:val="333333"/>
                <w:sz w:val="14"/>
                <w:szCs w:val="14"/>
                <w:lang w:eastAsia="it-IT"/>
              </w:rPr>
              <w:t xml:space="preserve">Copyright © 2023, AIDIC </w:t>
            </w:r>
            <w:proofErr w:type="spellStart"/>
            <w:r w:rsidRPr="004B1F67">
              <w:rPr>
                <w:rFonts w:ascii="Tahoma" w:hAnsi="Tahoma" w:cs="Tahoma"/>
                <w:iCs/>
                <w:color w:val="333333"/>
                <w:sz w:val="14"/>
                <w:szCs w:val="14"/>
                <w:lang w:eastAsia="it-IT"/>
              </w:rPr>
              <w:t>Servizi</w:t>
            </w:r>
            <w:proofErr w:type="spellEnd"/>
            <w:r w:rsidRPr="004B1F67">
              <w:rPr>
                <w:rFonts w:ascii="Tahoma" w:hAnsi="Tahoma" w:cs="Tahoma"/>
                <w:iCs/>
                <w:color w:val="333333"/>
                <w:sz w:val="14"/>
                <w:szCs w:val="14"/>
                <w:lang w:eastAsia="it-IT"/>
              </w:rPr>
              <w:t xml:space="preserve"> </w:t>
            </w:r>
            <w:proofErr w:type="spellStart"/>
            <w:r w:rsidRPr="004B1F67">
              <w:rPr>
                <w:rFonts w:ascii="Tahoma" w:hAnsi="Tahoma" w:cs="Tahoma"/>
                <w:iCs/>
                <w:color w:val="333333"/>
                <w:sz w:val="14"/>
                <w:szCs w:val="14"/>
                <w:lang w:eastAsia="it-IT"/>
              </w:rPr>
              <w:t>S.r.l</w:t>
            </w:r>
            <w:proofErr w:type="spellEnd"/>
            <w:r w:rsidRPr="004B1F67">
              <w:rPr>
                <w:rFonts w:ascii="Tahoma" w:hAnsi="Tahoma" w:cs="Tahoma"/>
                <w:iCs/>
                <w:color w:val="333333"/>
                <w:sz w:val="14"/>
                <w:szCs w:val="14"/>
                <w:lang w:eastAsia="it-IT"/>
              </w:rPr>
              <w:t>.</w:t>
            </w:r>
            <w:r w:rsidRPr="004B1F67">
              <w:rPr>
                <w:rFonts w:ascii="Tahoma" w:hAnsi="Tahoma" w:cs="Tahoma"/>
                <w:iCs/>
                <w:color w:val="333333"/>
                <w:sz w:val="14"/>
                <w:szCs w:val="14"/>
                <w:lang w:eastAsia="it-IT"/>
              </w:rPr>
              <w:br/>
            </w:r>
            <w:r w:rsidRPr="004B1F67">
              <w:rPr>
                <w:rFonts w:ascii="Tahoma" w:hAnsi="Tahoma" w:cs="Tahoma"/>
                <w:b/>
                <w:iCs/>
                <w:color w:val="000000"/>
                <w:sz w:val="14"/>
                <w:szCs w:val="14"/>
                <w:lang w:eastAsia="it-IT"/>
              </w:rPr>
              <w:t>ISBN</w:t>
            </w:r>
            <w:r w:rsidRPr="004B1F67">
              <w:rPr>
                <w:rFonts w:ascii="Tahoma" w:hAnsi="Tahoma" w:cs="Tahoma"/>
                <w:iCs/>
                <w:color w:val="000000"/>
                <w:sz w:val="14"/>
                <w:szCs w:val="14"/>
                <w:lang w:eastAsia="it-IT"/>
              </w:rPr>
              <w:t xml:space="preserve"> </w:t>
            </w:r>
            <w:r w:rsidR="008B7C03" w:rsidRPr="004B1F67">
              <w:rPr>
                <w:rFonts w:ascii="Tahoma" w:hAnsi="Tahoma" w:cs="Tahoma"/>
                <w:sz w:val="14"/>
                <w:szCs w:val="14"/>
              </w:rPr>
              <w:t>979-12-81206</w:t>
            </w:r>
            <w:r w:rsidRPr="004B1F67">
              <w:rPr>
                <w:rFonts w:ascii="Tahoma" w:hAnsi="Tahoma" w:cs="Tahoma"/>
                <w:sz w:val="14"/>
                <w:szCs w:val="14"/>
              </w:rPr>
              <w:t>-</w:t>
            </w:r>
            <w:r w:rsidR="00E33DD7" w:rsidRPr="004B1F67">
              <w:rPr>
                <w:rFonts w:ascii="Tahoma" w:hAnsi="Tahoma" w:cs="Tahoma"/>
                <w:sz w:val="14"/>
                <w:szCs w:val="14"/>
              </w:rPr>
              <w:t>0</w:t>
            </w:r>
            <w:r w:rsidR="003A6FC6" w:rsidRPr="004B1F67">
              <w:rPr>
                <w:rFonts w:ascii="Tahoma" w:hAnsi="Tahoma" w:cs="Tahoma"/>
                <w:sz w:val="14"/>
                <w:szCs w:val="14"/>
              </w:rPr>
              <w:t>1</w:t>
            </w:r>
            <w:r w:rsidRPr="004B1F67">
              <w:rPr>
                <w:rFonts w:ascii="Tahoma" w:hAnsi="Tahoma" w:cs="Tahoma"/>
                <w:sz w:val="14"/>
                <w:szCs w:val="14"/>
              </w:rPr>
              <w:t>-</w:t>
            </w:r>
            <w:r w:rsidR="003A6FC6" w:rsidRPr="004B1F67">
              <w:rPr>
                <w:rFonts w:ascii="Tahoma" w:hAnsi="Tahoma" w:cs="Tahoma"/>
                <w:sz w:val="14"/>
                <w:szCs w:val="14"/>
              </w:rPr>
              <w:t>4</w:t>
            </w:r>
            <w:r w:rsidRPr="004B1F67">
              <w:rPr>
                <w:rFonts w:ascii="Tahoma" w:hAnsi="Tahoma" w:cs="Tahoma"/>
                <w:iCs/>
                <w:color w:val="333333"/>
                <w:sz w:val="14"/>
                <w:szCs w:val="14"/>
                <w:lang w:eastAsia="it-IT"/>
              </w:rPr>
              <w:t xml:space="preserve">; </w:t>
            </w:r>
            <w:r w:rsidRPr="004B1F67">
              <w:rPr>
                <w:rFonts w:ascii="Tahoma" w:hAnsi="Tahoma" w:cs="Tahoma"/>
                <w:b/>
                <w:iCs/>
                <w:color w:val="333333"/>
                <w:sz w:val="14"/>
                <w:szCs w:val="14"/>
                <w:lang w:eastAsia="it-IT"/>
              </w:rPr>
              <w:t>ISSN</w:t>
            </w:r>
            <w:r w:rsidRPr="004B1F67">
              <w:rPr>
                <w:rFonts w:ascii="Tahoma" w:hAnsi="Tahoma" w:cs="Tahoma"/>
                <w:iCs/>
                <w:color w:val="333333"/>
                <w:sz w:val="14"/>
                <w:szCs w:val="14"/>
                <w:lang w:eastAsia="it-IT"/>
              </w:rPr>
              <w:t xml:space="preserve"> 2283-9216</w:t>
            </w:r>
          </w:p>
        </w:tc>
      </w:tr>
    </w:tbl>
    <w:p w14:paraId="2E667253" w14:textId="331F1D93" w:rsidR="00E978D0" w:rsidRPr="004B1F67" w:rsidRDefault="00B02D9D" w:rsidP="00E978D0">
      <w:pPr>
        <w:pStyle w:val="CETTitle"/>
      </w:pPr>
      <w:r w:rsidRPr="004B1F67">
        <w:t>Active coated PLA-PHB film with formulations containing a commercial olive leaf extract to improve quality preservation of fresh pork burgers</w:t>
      </w:r>
    </w:p>
    <w:p w14:paraId="0488FED2" w14:textId="4D80A3E3" w:rsidR="00B57E6F" w:rsidRPr="00B5609E" w:rsidRDefault="00B02D9D" w:rsidP="00B57E6F">
      <w:pPr>
        <w:pStyle w:val="CETAuthors"/>
        <w:rPr>
          <w:lang w:val="it-IT"/>
        </w:rPr>
      </w:pPr>
      <w:r w:rsidRPr="00B5609E">
        <w:rPr>
          <w:lang w:val="it-IT"/>
        </w:rPr>
        <w:t>Cecilia Fiorentini</w:t>
      </w:r>
      <w:r w:rsidRPr="00B5609E">
        <w:rPr>
          <w:vertAlign w:val="superscript"/>
          <w:lang w:val="it-IT"/>
        </w:rPr>
        <w:t>a</w:t>
      </w:r>
      <w:r w:rsidRPr="00B5609E">
        <w:rPr>
          <w:lang w:val="it-IT"/>
        </w:rPr>
        <w:t>, Andrea Bassani</w:t>
      </w:r>
      <w:r w:rsidRPr="00B5609E">
        <w:rPr>
          <w:vertAlign w:val="superscript"/>
          <w:lang w:val="it-IT"/>
        </w:rPr>
        <w:t>a</w:t>
      </w:r>
      <w:r w:rsidR="00F37BF6">
        <w:rPr>
          <w:vertAlign w:val="superscript"/>
          <w:lang w:val="it-IT"/>
        </w:rPr>
        <w:t>,*</w:t>
      </w:r>
      <w:r w:rsidRPr="00B5609E">
        <w:rPr>
          <w:lang w:val="it-IT"/>
        </w:rPr>
        <w:t>, Marta Zaccone</w:t>
      </w:r>
      <w:r w:rsidRPr="00B5609E">
        <w:rPr>
          <w:vertAlign w:val="superscript"/>
          <w:lang w:val="it-IT"/>
        </w:rPr>
        <w:t>b</w:t>
      </w:r>
      <w:r w:rsidRPr="00B5609E">
        <w:rPr>
          <w:lang w:val="it-IT"/>
        </w:rPr>
        <w:t>, Maria Luana Montalbano</w:t>
      </w:r>
      <w:r w:rsidRPr="00B5609E">
        <w:rPr>
          <w:vertAlign w:val="superscript"/>
          <w:lang w:val="it-IT"/>
        </w:rPr>
        <w:t>b</w:t>
      </w:r>
      <w:r w:rsidRPr="00B5609E">
        <w:rPr>
          <w:lang w:val="it-IT"/>
        </w:rPr>
        <w:t>, Elena Díaz de Apodaca</w:t>
      </w:r>
      <w:r w:rsidRPr="00B5609E">
        <w:rPr>
          <w:vertAlign w:val="superscript"/>
          <w:lang w:val="it-IT"/>
        </w:rPr>
        <w:t>c</w:t>
      </w:r>
      <w:r w:rsidRPr="00B5609E">
        <w:rPr>
          <w:lang w:val="it-IT"/>
        </w:rPr>
        <w:t xml:space="preserve">, </w:t>
      </w:r>
      <w:r w:rsidRPr="00F37BF6">
        <w:rPr>
          <w:lang w:val="it-IT"/>
        </w:rPr>
        <w:t>Giorgia Spigno</w:t>
      </w:r>
      <w:r w:rsidRPr="00F37BF6">
        <w:rPr>
          <w:vertAlign w:val="superscript"/>
          <w:lang w:val="it-IT"/>
        </w:rPr>
        <w:t>a</w:t>
      </w:r>
      <w:r w:rsidRPr="00B5609E">
        <w:rPr>
          <w:lang w:val="it-IT"/>
        </w:rPr>
        <w:t xml:space="preserve"> </w:t>
      </w:r>
    </w:p>
    <w:p w14:paraId="6B2D21B3" w14:textId="02283C77" w:rsidR="00B57E6F" w:rsidRPr="00B5609E" w:rsidRDefault="00B57E6F" w:rsidP="002A753D">
      <w:pPr>
        <w:pStyle w:val="CETAddress"/>
        <w:jc w:val="both"/>
        <w:rPr>
          <w:lang w:val="it-IT"/>
        </w:rPr>
      </w:pPr>
      <w:r w:rsidRPr="00B5609E">
        <w:rPr>
          <w:vertAlign w:val="superscript"/>
          <w:lang w:val="it-IT"/>
        </w:rPr>
        <w:t>a</w:t>
      </w:r>
      <w:r w:rsidR="00B02D9D" w:rsidRPr="00B5609E">
        <w:rPr>
          <w:lang w:val="it-IT"/>
        </w:rPr>
        <w:t xml:space="preserve">Department for Sustainable Food Process (DiSTAS), Università Cattolica del Sacro Cuore, Via Emilia Parmense, 84, 29122 Piacenza, Italy. </w:t>
      </w:r>
    </w:p>
    <w:p w14:paraId="3D72B0B0" w14:textId="772F2D18" w:rsidR="00B57E6F" w:rsidRPr="00B5609E" w:rsidRDefault="00B57E6F" w:rsidP="002A753D">
      <w:pPr>
        <w:pStyle w:val="CETAddress"/>
        <w:jc w:val="both"/>
        <w:rPr>
          <w:lang w:val="it-IT"/>
        </w:rPr>
      </w:pPr>
      <w:r w:rsidRPr="00B5609E">
        <w:rPr>
          <w:vertAlign w:val="superscript"/>
          <w:lang w:val="it-IT"/>
        </w:rPr>
        <w:t>b</w:t>
      </w:r>
      <w:r w:rsidR="00B02D9D" w:rsidRPr="00B5609E">
        <w:rPr>
          <w:lang w:val="it-IT"/>
        </w:rPr>
        <w:t>Proplast, Via Roberto di Ferro, 86, 15122 Alessandria, Italy.</w:t>
      </w:r>
    </w:p>
    <w:p w14:paraId="372CDD04" w14:textId="67E1EE3F" w:rsidR="00B02D9D" w:rsidRPr="00B5609E" w:rsidRDefault="00B02D9D" w:rsidP="002A753D">
      <w:pPr>
        <w:pStyle w:val="CETAddress"/>
        <w:jc w:val="both"/>
        <w:rPr>
          <w:lang w:val="it-IT"/>
        </w:rPr>
      </w:pPr>
      <w:r w:rsidRPr="00B5609E">
        <w:rPr>
          <w:vertAlign w:val="superscript"/>
          <w:lang w:val="it-IT"/>
        </w:rPr>
        <w:t>c</w:t>
      </w:r>
      <w:r w:rsidRPr="00B5609E">
        <w:rPr>
          <w:lang w:val="it-IT"/>
        </w:rPr>
        <w:t>TECNALIA, Basque Research and Technology Alliance (BRTA), Parque Tecnológico de Álava, Leonardo Da Vinci, 11, 01510, Miñano, Álava, Spain.</w:t>
      </w:r>
    </w:p>
    <w:p w14:paraId="2524CE85" w14:textId="53BCCCC7" w:rsidR="002A753D" w:rsidRDefault="00000000" w:rsidP="002A753D">
      <w:pPr>
        <w:pStyle w:val="CETemail"/>
      </w:pPr>
      <w:hyperlink r:id="rId10" w:history="1">
        <w:r w:rsidR="00F37BF6" w:rsidRPr="00951CAB">
          <w:rPr>
            <w:rStyle w:val="Collegamentoipertestuale"/>
          </w:rPr>
          <w:t>andrea.bassani@unicatt.it</w:t>
        </w:r>
      </w:hyperlink>
      <w:r w:rsidR="002A753D" w:rsidRPr="004B1F67">
        <w:t xml:space="preserve"> </w:t>
      </w:r>
    </w:p>
    <w:p w14:paraId="0D08C643" w14:textId="2C3D242C" w:rsidR="006F12A5" w:rsidRPr="006F12A5" w:rsidRDefault="006F12A5" w:rsidP="006F12A5">
      <w:pPr>
        <w:pStyle w:val="CETBodytext"/>
        <w:rPr>
          <w:lang w:val="en-GB"/>
        </w:rPr>
      </w:pPr>
      <w:r w:rsidRPr="006F12A5">
        <w:rPr>
          <w:lang w:val="en-GB"/>
        </w:rPr>
        <w:t xml:space="preserve">Since fresh meat is often subject to several degradation reactions that decrease its safety and quality until it is considered unacceptable, the release of bioactive compounds into meat products may be a good option to slow down oxidation and extend its shelf-life by </w:t>
      </w:r>
      <w:r w:rsidR="005A1190">
        <w:rPr>
          <w:lang w:val="en-GB"/>
        </w:rPr>
        <w:t xml:space="preserve">a </w:t>
      </w:r>
      <w:r w:rsidRPr="006F12A5">
        <w:rPr>
          <w:lang w:val="en-GB"/>
        </w:rPr>
        <w:t>few days. Therefore, th</w:t>
      </w:r>
      <w:r w:rsidR="005A1190">
        <w:rPr>
          <w:lang w:val="en-GB"/>
        </w:rPr>
        <w:t>is study aimed</w:t>
      </w:r>
      <w:r w:rsidRPr="006F12A5">
        <w:rPr>
          <w:lang w:val="en-GB"/>
        </w:rPr>
        <w:t xml:space="preserve"> to test the application on fresh pork burgers of a PLA-PHB film coated with two different coating formulations (methylcellulose, MC and chitosan, CT), both containing a commercial olive leaf extract OL, </w:t>
      </w:r>
      <w:r>
        <w:rPr>
          <w:lang w:val="en-GB"/>
        </w:rPr>
        <w:t xml:space="preserve">to </w:t>
      </w:r>
      <w:r w:rsidRPr="006F12A5">
        <w:rPr>
          <w:lang w:val="en-GB"/>
        </w:rPr>
        <w:t xml:space="preserve">evaluate their effect on meat quality preservation. </w:t>
      </w:r>
      <w:r w:rsidR="006E764F" w:rsidRPr="006E764F">
        <w:rPr>
          <w:lang w:val="en-GB"/>
        </w:rPr>
        <w:t>Samples were tested at 0, 2, 5, 7, 9, 12, and 14 days after packing for microbial, chemical, and sensory evaluations.</w:t>
      </w:r>
      <w:r w:rsidR="006E764F">
        <w:rPr>
          <w:lang w:val="en-GB"/>
        </w:rPr>
        <w:t xml:space="preserve"> </w:t>
      </w:r>
      <w:r w:rsidRPr="006F12A5">
        <w:rPr>
          <w:lang w:val="en-GB"/>
        </w:rPr>
        <w:t>Except for the chitosan-only formulation, all tested formulations (MC, MC+OL and CT+OL) adhered well to the PLA-PHB base without the use of specific treatments. Meat packed with the different coatings maintained a slightly brighter red colo</w:t>
      </w:r>
      <w:r>
        <w:rPr>
          <w:lang w:val="en-GB"/>
        </w:rPr>
        <w:t>u</w:t>
      </w:r>
      <w:r w:rsidRPr="006F12A5">
        <w:rPr>
          <w:lang w:val="en-GB"/>
        </w:rPr>
        <w:t>r than the control sample</w:t>
      </w:r>
      <w:r>
        <w:rPr>
          <w:lang w:val="en-GB"/>
        </w:rPr>
        <w:t>s</w:t>
      </w:r>
      <w:r w:rsidRPr="006F12A5">
        <w:rPr>
          <w:lang w:val="en-GB"/>
        </w:rPr>
        <w:t xml:space="preserve"> and, as a result, deteriorated more slowly. </w:t>
      </w:r>
      <w:r w:rsidR="00425E7B" w:rsidRPr="00425E7B">
        <w:rPr>
          <w:lang w:val="en-GB"/>
        </w:rPr>
        <w:t xml:space="preserve">In the evaluation of lipid oxidation, the CT+OL coating showed lower mean values of mg MDA/kg meat, which were significantly different from the other samples, especially </w:t>
      </w:r>
      <w:r w:rsidR="005A1190">
        <w:rPr>
          <w:lang w:val="en-GB"/>
        </w:rPr>
        <w:t>on</w:t>
      </w:r>
      <w:r w:rsidR="00425E7B" w:rsidRPr="00425E7B">
        <w:rPr>
          <w:lang w:val="en-GB"/>
        </w:rPr>
        <w:t xml:space="preserve"> the 7</w:t>
      </w:r>
      <w:r w:rsidR="00425E7B" w:rsidRPr="00425E7B">
        <w:rPr>
          <w:vertAlign w:val="superscript"/>
          <w:lang w:val="en-GB"/>
        </w:rPr>
        <w:t>th</w:t>
      </w:r>
      <w:r w:rsidR="00425E7B" w:rsidRPr="00425E7B">
        <w:rPr>
          <w:lang w:val="en-GB"/>
        </w:rPr>
        <w:t xml:space="preserve"> and 9</w:t>
      </w:r>
      <w:r w:rsidR="00425E7B" w:rsidRPr="00425E7B">
        <w:rPr>
          <w:vertAlign w:val="superscript"/>
          <w:lang w:val="en-GB"/>
        </w:rPr>
        <w:t>th</w:t>
      </w:r>
      <w:r w:rsidR="00425E7B" w:rsidRPr="00425E7B">
        <w:rPr>
          <w:lang w:val="en-GB"/>
        </w:rPr>
        <w:t xml:space="preserve"> day of storage.</w:t>
      </w:r>
      <w:r w:rsidR="00425E7B">
        <w:rPr>
          <w:lang w:val="en-GB"/>
        </w:rPr>
        <w:t xml:space="preserve"> </w:t>
      </w:r>
      <w:r w:rsidR="00425E7B" w:rsidRPr="00425E7B">
        <w:rPr>
          <w:lang w:val="en-GB"/>
        </w:rPr>
        <w:t xml:space="preserve">Moreover, the CT+OL coating showed a slight slowdown in </w:t>
      </w:r>
      <w:r w:rsidR="00425E7B" w:rsidRPr="00425E7B">
        <w:rPr>
          <w:i/>
          <w:iCs/>
          <w:lang w:val="en-GB"/>
        </w:rPr>
        <w:t>Enterobacteriaceae</w:t>
      </w:r>
      <w:r w:rsidR="00425E7B" w:rsidRPr="00425E7B">
        <w:rPr>
          <w:lang w:val="en-GB"/>
        </w:rPr>
        <w:t xml:space="preserve"> growth, </w:t>
      </w:r>
      <w:r w:rsidRPr="006F12A5">
        <w:rPr>
          <w:lang w:val="en-GB"/>
        </w:rPr>
        <w:t>revealing promising results in maintaining the meat quality longer.</w:t>
      </w:r>
    </w:p>
    <w:p w14:paraId="476B2F2E" w14:textId="77777777" w:rsidR="00600535" w:rsidRPr="004B1F67" w:rsidRDefault="00600535" w:rsidP="00600535">
      <w:pPr>
        <w:pStyle w:val="CETHeading1"/>
        <w:rPr>
          <w:lang w:val="en-GB"/>
        </w:rPr>
      </w:pPr>
      <w:r w:rsidRPr="004B1F67">
        <w:rPr>
          <w:lang w:val="en-GB"/>
        </w:rPr>
        <w:t>Introduction</w:t>
      </w:r>
    </w:p>
    <w:p w14:paraId="2EFD8C19" w14:textId="77777777" w:rsidR="00C238A4" w:rsidRDefault="002A753D" w:rsidP="002A753D">
      <w:pPr>
        <w:pStyle w:val="CETBodytext"/>
        <w:rPr>
          <w:lang w:val="en-GB"/>
        </w:rPr>
      </w:pPr>
      <w:r w:rsidRPr="006C70DA">
        <w:rPr>
          <w:lang w:val="en-GB"/>
        </w:rPr>
        <w:t xml:space="preserve">During </w:t>
      </w:r>
      <w:r w:rsidR="005A1190">
        <w:rPr>
          <w:lang w:val="en-GB"/>
        </w:rPr>
        <w:t xml:space="preserve">the </w:t>
      </w:r>
      <w:r w:rsidRPr="006C70DA">
        <w:rPr>
          <w:lang w:val="en-GB"/>
        </w:rPr>
        <w:t>distribution and storage process</w:t>
      </w:r>
      <w:r w:rsidR="005A1190">
        <w:rPr>
          <w:lang w:val="en-GB"/>
        </w:rPr>
        <w:t>,</w:t>
      </w:r>
      <w:r w:rsidRPr="006C70DA">
        <w:rPr>
          <w:lang w:val="en-GB"/>
        </w:rPr>
        <w:t xml:space="preserve"> fresh meat is often subject to several chemical, physical, and biological reactions that decrease its safety and quality until it is considered unacceptable</w:t>
      </w:r>
      <w:r w:rsidR="00404C05" w:rsidRPr="006C70DA">
        <w:rPr>
          <w:lang w:val="en-GB"/>
        </w:rPr>
        <w:t>,</w:t>
      </w:r>
      <w:r w:rsidRPr="006C70DA">
        <w:rPr>
          <w:lang w:val="en-GB"/>
        </w:rPr>
        <w:t xml:space="preserve"> </w:t>
      </w:r>
      <w:r w:rsidR="00404C05" w:rsidRPr="006C70DA">
        <w:rPr>
          <w:lang w:val="en-GB"/>
        </w:rPr>
        <w:t>such as</w:t>
      </w:r>
      <w:r w:rsidRPr="006C70DA">
        <w:rPr>
          <w:lang w:val="en-GB"/>
        </w:rPr>
        <w:t xml:space="preserve"> lipid oxidation (Ribeiro et al., 2019). </w:t>
      </w:r>
      <w:r w:rsidR="00404C05" w:rsidRPr="006C70DA">
        <w:rPr>
          <w:lang w:val="en-GB"/>
        </w:rPr>
        <w:t>In</w:t>
      </w:r>
      <w:r w:rsidRPr="006C70DA">
        <w:rPr>
          <w:lang w:val="en-GB"/>
        </w:rPr>
        <w:t xml:space="preserve"> the </w:t>
      </w:r>
      <w:r w:rsidR="00404C05" w:rsidRPr="006C70DA">
        <w:rPr>
          <w:lang w:val="en-GB"/>
        </w:rPr>
        <w:t>last years</w:t>
      </w:r>
      <w:r w:rsidR="005A1190">
        <w:rPr>
          <w:lang w:val="en-GB"/>
        </w:rPr>
        <w:t>,</w:t>
      </w:r>
      <w:r w:rsidR="00404C05" w:rsidRPr="006C70DA">
        <w:rPr>
          <w:lang w:val="en-GB"/>
        </w:rPr>
        <w:t xml:space="preserve"> great </w:t>
      </w:r>
      <w:r w:rsidRPr="006C70DA">
        <w:rPr>
          <w:lang w:val="en-GB"/>
        </w:rPr>
        <w:t>attention has been given to active packaging</w:t>
      </w:r>
      <w:r w:rsidR="00404C05" w:rsidRPr="006C70DA">
        <w:rPr>
          <w:lang w:val="en-GB"/>
        </w:rPr>
        <w:t>,</w:t>
      </w:r>
      <w:r w:rsidRPr="006C70DA">
        <w:rPr>
          <w:lang w:val="en-GB"/>
        </w:rPr>
        <w:t xml:space="preserve"> in which bioactive agents (e.g., antioxidant or antimicrobial substances) are added to the packaging material </w:t>
      </w:r>
      <w:r w:rsidR="00404C05" w:rsidRPr="006C70DA">
        <w:rPr>
          <w:lang w:val="en-GB"/>
        </w:rPr>
        <w:t>to</w:t>
      </w:r>
      <w:r w:rsidRPr="006C70DA">
        <w:rPr>
          <w:lang w:val="en-GB"/>
        </w:rPr>
        <w:t xml:space="preserve"> be gradually released </w:t>
      </w:r>
      <w:r w:rsidR="00404C05" w:rsidRPr="006C70DA">
        <w:rPr>
          <w:lang w:val="en-GB"/>
        </w:rPr>
        <w:t>to</w:t>
      </w:r>
      <w:r w:rsidRPr="006C70DA">
        <w:rPr>
          <w:lang w:val="en-GB"/>
        </w:rPr>
        <w:t xml:space="preserve"> the </w:t>
      </w:r>
      <w:r w:rsidR="00404C05" w:rsidRPr="006C70DA">
        <w:rPr>
          <w:lang w:val="en-GB"/>
        </w:rPr>
        <w:t xml:space="preserve">food surface </w:t>
      </w:r>
      <w:r w:rsidRPr="006C70DA">
        <w:rPr>
          <w:lang w:val="en-GB"/>
        </w:rPr>
        <w:t>to keep its properties unchanged (</w:t>
      </w:r>
      <w:r w:rsidR="00C238A4" w:rsidRPr="00C238A4">
        <w:rPr>
          <w:lang w:val="en-GB"/>
        </w:rPr>
        <w:t>Vilela et al, 2018</w:t>
      </w:r>
      <w:r w:rsidRPr="00C238A4">
        <w:rPr>
          <w:lang w:val="en-GB"/>
        </w:rPr>
        <w:t>).</w:t>
      </w:r>
      <w:r w:rsidRPr="006C70DA">
        <w:rPr>
          <w:lang w:val="en-GB"/>
        </w:rPr>
        <w:t xml:space="preserve"> </w:t>
      </w:r>
    </w:p>
    <w:p w14:paraId="791F2622" w14:textId="3A497440" w:rsidR="002A753D" w:rsidRPr="006C70DA" w:rsidRDefault="002A753D" w:rsidP="002A753D">
      <w:pPr>
        <w:pStyle w:val="CETBodytext"/>
        <w:rPr>
          <w:lang w:val="en-GB"/>
        </w:rPr>
      </w:pPr>
      <w:r w:rsidRPr="006C70DA">
        <w:rPr>
          <w:lang w:val="en-GB"/>
        </w:rPr>
        <w:t>Among the active packaging manufacturing techniques, coating techniques are the most studied because they allow the incorporation of heat-sensitive active agents (such as natural extracts) without using high temperatures</w:t>
      </w:r>
      <w:r w:rsidR="00404C05" w:rsidRPr="006C70DA">
        <w:rPr>
          <w:lang w:val="en-GB"/>
        </w:rPr>
        <w:t>, such as</w:t>
      </w:r>
      <w:r w:rsidRPr="006C70DA">
        <w:rPr>
          <w:lang w:val="en-GB"/>
        </w:rPr>
        <w:t xml:space="preserve"> surface coating (Fu </w:t>
      </w:r>
      <w:r w:rsidR="006C6115">
        <w:rPr>
          <w:lang w:val="en-GB"/>
        </w:rPr>
        <w:t xml:space="preserve">and </w:t>
      </w:r>
      <w:r w:rsidR="006C6115" w:rsidRPr="006C70DA">
        <w:t>Dudley</w:t>
      </w:r>
      <w:r w:rsidRPr="006C70DA">
        <w:rPr>
          <w:lang w:val="en-GB"/>
        </w:rPr>
        <w:t xml:space="preserve">, 2021). </w:t>
      </w:r>
    </w:p>
    <w:p w14:paraId="591687C2" w14:textId="74C81137" w:rsidR="002A753D" w:rsidRPr="006C70DA" w:rsidRDefault="002A753D" w:rsidP="002A753D">
      <w:pPr>
        <w:pStyle w:val="CETBodytext"/>
        <w:rPr>
          <w:lang w:val="en-GB"/>
        </w:rPr>
      </w:pPr>
      <w:r w:rsidRPr="006C70DA">
        <w:rPr>
          <w:lang w:val="en-GB"/>
        </w:rPr>
        <w:t xml:space="preserve">More and more studies are focusing on the production of chitosan-based thin films with the addition of active compounds coated directly on the surface of food, like vegetables, fruits, and meat products (Ortiz-Duarte et al., 2019) or indirectly on the surface of the packaging </w:t>
      </w:r>
      <w:r w:rsidRPr="00C238A4">
        <w:rPr>
          <w:lang w:val="en-GB"/>
        </w:rPr>
        <w:t>material (</w:t>
      </w:r>
      <w:r w:rsidR="003733E5" w:rsidRPr="00C238A4">
        <w:rPr>
          <w:lang w:val="en-GB"/>
        </w:rPr>
        <w:t>Fiore et al., 2021</w:t>
      </w:r>
      <w:r w:rsidRPr="00C238A4">
        <w:rPr>
          <w:lang w:val="en-GB"/>
        </w:rPr>
        <w:t>). This allows</w:t>
      </w:r>
      <w:r w:rsidRPr="006C70DA">
        <w:rPr>
          <w:lang w:val="en-GB"/>
        </w:rPr>
        <w:t xml:space="preserve"> </w:t>
      </w:r>
      <w:r w:rsidR="00BE0EC6">
        <w:rPr>
          <w:lang w:val="en-GB"/>
        </w:rPr>
        <w:t>for extending</w:t>
      </w:r>
      <w:r w:rsidRPr="006C70DA">
        <w:rPr>
          <w:lang w:val="en-GB"/>
        </w:rPr>
        <w:t xml:space="preserve"> food shelf-life by reducing water vapo</w:t>
      </w:r>
      <w:r w:rsidR="00BE0EC6">
        <w:rPr>
          <w:lang w:val="en-GB"/>
        </w:rPr>
        <w:t>u</w:t>
      </w:r>
      <w:r w:rsidRPr="006C70DA">
        <w:rPr>
          <w:lang w:val="en-GB"/>
        </w:rPr>
        <w:t xml:space="preserve">r and oxygen permeability and slowing microbial growth and lipid oxidation (Díaz-Montes </w:t>
      </w:r>
      <w:r w:rsidR="006C6115">
        <w:rPr>
          <w:lang w:val="en-GB"/>
        </w:rPr>
        <w:t xml:space="preserve">and </w:t>
      </w:r>
      <w:r w:rsidR="006C6115" w:rsidRPr="004B1F67">
        <w:t>Castro-Muñoz</w:t>
      </w:r>
      <w:r w:rsidRPr="006C70DA">
        <w:rPr>
          <w:lang w:val="en-GB"/>
        </w:rPr>
        <w:t>, 2021).</w:t>
      </w:r>
      <w:r w:rsidR="00BC5B20" w:rsidRPr="006C70DA">
        <w:rPr>
          <w:lang w:val="en-GB"/>
        </w:rPr>
        <w:t xml:space="preserve"> </w:t>
      </w:r>
      <w:r w:rsidRPr="006C70DA">
        <w:rPr>
          <w:lang w:val="en-GB"/>
        </w:rPr>
        <w:t xml:space="preserve">Active compounds can be obtained from different natural sources, </w:t>
      </w:r>
      <w:r w:rsidR="00404C05" w:rsidRPr="006C70DA">
        <w:rPr>
          <w:lang w:val="en-GB"/>
        </w:rPr>
        <w:t>including agri-food</w:t>
      </w:r>
      <w:r w:rsidRPr="006C70DA">
        <w:rPr>
          <w:lang w:val="en-GB"/>
        </w:rPr>
        <w:t xml:space="preserve"> by-products such as </w:t>
      </w:r>
      <w:r w:rsidR="00C238A4" w:rsidRPr="00C238A4">
        <w:rPr>
          <w:lang w:val="en-GB"/>
        </w:rPr>
        <w:t>orange peel</w:t>
      </w:r>
      <w:r w:rsidR="00C238A4">
        <w:rPr>
          <w:lang w:val="en-GB"/>
        </w:rPr>
        <w:t xml:space="preserve"> (Merino et al., 2023), </w:t>
      </w:r>
      <w:r w:rsidRPr="006C70DA">
        <w:rPr>
          <w:lang w:val="en-GB"/>
        </w:rPr>
        <w:t xml:space="preserve">grape pomace, grapefruit seeds, green </w:t>
      </w:r>
      <w:proofErr w:type="gramStart"/>
      <w:r w:rsidRPr="006C70DA">
        <w:rPr>
          <w:lang w:val="en-GB"/>
        </w:rPr>
        <w:t>tea</w:t>
      </w:r>
      <w:proofErr w:type="gramEnd"/>
      <w:r w:rsidRPr="006C70DA">
        <w:rPr>
          <w:lang w:val="en-GB"/>
        </w:rPr>
        <w:t xml:space="preserve"> and olive leaves</w:t>
      </w:r>
      <w:r w:rsidR="00404C05" w:rsidRPr="006C70DA">
        <w:rPr>
          <w:lang w:val="en-GB"/>
        </w:rPr>
        <w:t xml:space="preserve"> </w:t>
      </w:r>
      <w:r w:rsidRPr="006C70DA">
        <w:rPr>
          <w:lang w:val="en-GB"/>
        </w:rPr>
        <w:t xml:space="preserve">(Faustino et al., 2019). Olive leaves can be found in large quantities as a residue in olive oil industries, and due to </w:t>
      </w:r>
      <w:proofErr w:type="gramStart"/>
      <w:r w:rsidR="003E380D">
        <w:rPr>
          <w:lang w:val="en-GB"/>
        </w:rPr>
        <w:t>a</w:t>
      </w:r>
      <w:r w:rsidRPr="006C70DA">
        <w:rPr>
          <w:lang w:val="en-GB"/>
        </w:rPr>
        <w:t xml:space="preserve"> large number of</w:t>
      </w:r>
      <w:proofErr w:type="gramEnd"/>
      <w:r w:rsidRPr="006C70DA">
        <w:rPr>
          <w:lang w:val="en-GB"/>
        </w:rPr>
        <w:t xml:space="preserve"> phenolic compounds, this matrix has attracted increasing interest</w:t>
      </w:r>
      <w:r w:rsidR="00404C05" w:rsidRPr="006C70DA">
        <w:rPr>
          <w:lang w:val="en-GB"/>
        </w:rPr>
        <w:t xml:space="preserve"> for </w:t>
      </w:r>
      <w:r w:rsidR="003E380D">
        <w:rPr>
          <w:lang w:val="en-GB"/>
        </w:rPr>
        <w:t xml:space="preserve">the </w:t>
      </w:r>
      <w:r w:rsidR="00404C05" w:rsidRPr="006C70DA">
        <w:rPr>
          <w:lang w:val="en-GB"/>
        </w:rPr>
        <w:t xml:space="preserve">production of active </w:t>
      </w:r>
      <w:r w:rsidR="00404C05" w:rsidRPr="00C238A4">
        <w:rPr>
          <w:lang w:val="en-GB"/>
        </w:rPr>
        <w:t>extracts</w:t>
      </w:r>
      <w:r w:rsidRPr="00C238A4">
        <w:rPr>
          <w:lang w:val="en-GB"/>
        </w:rPr>
        <w:t xml:space="preserve"> (</w:t>
      </w:r>
      <w:proofErr w:type="spellStart"/>
      <w:r w:rsidRPr="00C238A4">
        <w:rPr>
          <w:lang w:val="en-GB"/>
        </w:rPr>
        <w:t>Borjan</w:t>
      </w:r>
      <w:proofErr w:type="spellEnd"/>
      <w:r w:rsidRPr="00C238A4">
        <w:rPr>
          <w:lang w:val="en-GB"/>
        </w:rPr>
        <w:t xml:space="preserve"> et al., 2020).</w:t>
      </w:r>
    </w:p>
    <w:p w14:paraId="5CF4ED2C" w14:textId="22D7E316" w:rsidR="002A753D" w:rsidRPr="004B1F67" w:rsidRDefault="002A753D" w:rsidP="002A753D">
      <w:pPr>
        <w:pStyle w:val="CETBodytext"/>
        <w:rPr>
          <w:lang w:val="en-GB"/>
        </w:rPr>
      </w:pPr>
      <w:r w:rsidRPr="006C70DA">
        <w:rPr>
          <w:lang w:val="en-GB"/>
        </w:rPr>
        <w:lastRenderedPageBreak/>
        <w:t>Based on these promises, the purpose of this study was to test the application on fresh pork meat of two different coatings formulation</w:t>
      </w:r>
      <w:r w:rsidR="00404C05" w:rsidRPr="006C70DA">
        <w:rPr>
          <w:lang w:val="en-GB"/>
        </w:rPr>
        <w:t>s</w:t>
      </w:r>
      <w:r w:rsidRPr="006C70DA">
        <w:rPr>
          <w:lang w:val="en-GB"/>
        </w:rPr>
        <w:t xml:space="preserve"> (methylcellulose </w:t>
      </w:r>
      <w:r w:rsidR="00404C05" w:rsidRPr="006C70DA">
        <w:rPr>
          <w:lang w:val="en-GB"/>
        </w:rPr>
        <w:t>or</w:t>
      </w:r>
      <w:r w:rsidRPr="006C70DA">
        <w:rPr>
          <w:lang w:val="en-GB"/>
        </w:rPr>
        <w:t xml:space="preserve"> chitosan</w:t>
      </w:r>
      <w:r w:rsidR="00404C05" w:rsidRPr="006C70DA">
        <w:rPr>
          <w:lang w:val="en-GB"/>
        </w:rPr>
        <w:t xml:space="preserve"> based</w:t>
      </w:r>
      <w:r w:rsidRPr="006C70DA">
        <w:rPr>
          <w:lang w:val="en-GB"/>
        </w:rPr>
        <w:t xml:space="preserve">) both containing a commercial olive leaf extract and coated on a PLA-PHB film, to evaluate their effect on meat quality and </w:t>
      </w:r>
      <w:r w:rsidR="00404C05" w:rsidRPr="006C70DA">
        <w:rPr>
          <w:lang w:val="en-GB"/>
        </w:rPr>
        <w:t>evolution during</w:t>
      </w:r>
      <w:r w:rsidRPr="006C70DA">
        <w:rPr>
          <w:lang w:val="en-GB"/>
        </w:rPr>
        <w:t xml:space="preserve"> shelf-life.</w:t>
      </w:r>
    </w:p>
    <w:p w14:paraId="77194EB0" w14:textId="3341BF73" w:rsidR="005D76E9" w:rsidRPr="004B1F67" w:rsidRDefault="005D76E9" w:rsidP="005D76E9">
      <w:pPr>
        <w:pStyle w:val="CETHeading1"/>
        <w:rPr>
          <w:lang w:val="en-GB"/>
        </w:rPr>
      </w:pPr>
      <w:r w:rsidRPr="004B1F67">
        <w:rPr>
          <w:lang w:val="en-GB"/>
        </w:rPr>
        <w:t>Materials and methods</w:t>
      </w:r>
    </w:p>
    <w:p w14:paraId="0636B784" w14:textId="3E233C38" w:rsidR="00453E24" w:rsidRPr="004B1F67" w:rsidRDefault="00453E24" w:rsidP="001D78A7">
      <w:pPr>
        <w:pStyle w:val="CETheadingx"/>
      </w:pPr>
      <w:r w:rsidRPr="004B1F67">
        <w:t>C</w:t>
      </w:r>
      <w:r w:rsidR="005D76E9" w:rsidRPr="004B1F67">
        <w:t>oating preparation</w:t>
      </w:r>
    </w:p>
    <w:p w14:paraId="139C07FF" w14:textId="77777777" w:rsidR="005D76E9" w:rsidRPr="004B1F67" w:rsidRDefault="005D76E9" w:rsidP="005D76E9">
      <w:pPr>
        <w:pStyle w:val="CETBodytext"/>
        <w:rPr>
          <w:lang w:val="en-GB"/>
        </w:rPr>
      </w:pPr>
      <w:r w:rsidRPr="004B1F67">
        <w:rPr>
          <w:lang w:val="en-GB"/>
        </w:rPr>
        <w:t>Two different coating formulations were produced using the following procedures:</w:t>
      </w:r>
    </w:p>
    <w:p w14:paraId="328100CC" w14:textId="07290C91" w:rsidR="005D76E9" w:rsidRPr="004B1F67" w:rsidRDefault="005D76E9" w:rsidP="00552CA8">
      <w:pPr>
        <w:pStyle w:val="CETBodytext"/>
        <w:numPr>
          <w:ilvl w:val="0"/>
          <w:numId w:val="24"/>
        </w:numPr>
        <w:ind w:left="142" w:hanging="142"/>
        <w:rPr>
          <w:lang w:val="en-GB"/>
        </w:rPr>
      </w:pPr>
      <w:r w:rsidRPr="004B1F67">
        <w:rPr>
          <w:lang w:val="en-GB"/>
        </w:rPr>
        <w:t>Chitosan (CT)</w:t>
      </w:r>
      <w:r w:rsidR="009E7703">
        <w:rPr>
          <w:lang w:val="en-GB"/>
        </w:rPr>
        <w:t xml:space="preserve"> coating</w:t>
      </w:r>
      <w:r w:rsidRPr="004B1F67">
        <w:rPr>
          <w:lang w:val="en-GB"/>
        </w:rPr>
        <w:t xml:space="preserve"> </w:t>
      </w:r>
      <w:r w:rsidR="009E7703">
        <w:rPr>
          <w:lang w:val="en-GB"/>
        </w:rPr>
        <w:t xml:space="preserve">from a </w:t>
      </w:r>
      <w:r w:rsidRPr="004B1F67">
        <w:rPr>
          <w:lang w:val="en-GB"/>
        </w:rPr>
        <w:t>1</w:t>
      </w:r>
      <w:r w:rsidR="0092199F" w:rsidRPr="004B1F67">
        <w:rPr>
          <w:lang w:val="en-GB"/>
        </w:rPr>
        <w:t xml:space="preserve"> </w:t>
      </w:r>
      <w:r w:rsidRPr="004B1F67">
        <w:rPr>
          <w:lang w:val="en-GB"/>
        </w:rPr>
        <w:t>% wt. chitosan (Trades, S.A., Spain) solution in a 1</w:t>
      </w:r>
      <w:r w:rsidR="00B07160">
        <w:rPr>
          <w:lang w:val="en-GB"/>
        </w:rPr>
        <w:t xml:space="preserve"> </w:t>
      </w:r>
      <w:r w:rsidRPr="004B1F67">
        <w:rPr>
          <w:lang w:val="en-GB"/>
        </w:rPr>
        <w:t>% acetic acid aqueous solution</w:t>
      </w:r>
      <w:r w:rsidR="009E7703">
        <w:rPr>
          <w:lang w:val="en-GB"/>
        </w:rPr>
        <w:t>,</w:t>
      </w:r>
      <w:r w:rsidRPr="004B1F67">
        <w:rPr>
          <w:lang w:val="en-GB"/>
        </w:rPr>
        <w:t xml:space="preserve"> stirred at room temperature until it was completely dissol</w:t>
      </w:r>
      <w:r w:rsidR="009E7703">
        <w:rPr>
          <w:lang w:val="en-GB"/>
        </w:rPr>
        <w:t>ution</w:t>
      </w:r>
      <w:r w:rsidRPr="004B1F67">
        <w:rPr>
          <w:lang w:val="en-GB"/>
        </w:rPr>
        <w:t>.</w:t>
      </w:r>
    </w:p>
    <w:p w14:paraId="5D7C8E3D" w14:textId="5D39812D" w:rsidR="005D76E9" w:rsidRPr="004B1F67" w:rsidRDefault="005D76E9" w:rsidP="00552CA8">
      <w:pPr>
        <w:pStyle w:val="CETBodytext"/>
        <w:numPr>
          <w:ilvl w:val="0"/>
          <w:numId w:val="24"/>
        </w:numPr>
        <w:ind w:left="142" w:hanging="142"/>
        <w:rPr>
          <w:lang w:val="en-GB"/>
        </w:rPr>
      </w:pPr>
      <w:r w:rsidRPr="004B1F67">
        <w:rPr>
          <w:lang w:val="en-GB"/>
        </w:rPr>
        <w:t>Methylcellulose (MC)</w:t>
      </w:r>
      <w:r w:rsidR="009E7703">
        <w:rPr>
          <w:lang w:val="en-GB"/>
        </w:rPr>
        <w:t xml:space="preserve"> coating by </w:t>
      </w:r>
      <w:r w:rsidRPr="004B1F67">
        <w:rPr>
          <w:lang w:val="en-GB"/>
        </w:rPr>
        <w:t>dispersing and solubilizing 1.5</w:t>
      </w:r>
      <w:r w:rsidR="0092199F" w:rsidRPr="004B1F67">
        <w:rPr>
          <w:lang w:val="en-GB"/>
        </w:rPr>
        <w:t xml:space="preserve"> </w:t>
      </w:r>
      <w:r w:rsidRPr="004B1F67">
        <w:rPr>
          <w:lang w:val="en-GB"/>
        </w:rPr>
        <w:t xml:space="preserve">%wt. of methylcellulose (E-461, </w:t>
      </w:r>
      <w:proofErr w:type="spellStart"/>
      <w:r w:rsidRPr="004B1F67">
        <w:rPr>
          <w:lang w:val="en-GB"/>
        </w:rPr>
        <w:t>Epsa</w:t>
      </w:r>
      <w:proofErr w:type="spellEnd"/>
      <w:r w:rsidRPr="004B1F67">
        <w:rPr>
          <w:lang w:val="en-GB"/>
        </w:rPr>
        <w:t xml:space="preserve">, Spain) in water at 80 °C with magnetic stirring and then </w:t>
      </w:r>
      <w:r w:rsidR="009E7703">
        <w:rPr>
          <w:lang w:val="en-GB"/>
        </w:rPr>
        <w:t>cooled</w:t>
      </w:r>
      <w:r w:rsidRPr="004B1F67">
        <w:rPr>
          <w:lang w:val="en-GB"/>
        </w:rPr>
        <w:t xml:space="preserve"> to room temperature.</w:t>
      </w:r>
    </w:p>
    <w:p w14:paraId="268A0908" w14:textId="47273276" w:rsidR="005D76E9" w:rsidRPr="004B1F67" w:rsidRDefault="005D76E9" w:rsidP="005D76E9">
      <w:pPr>
        <w:pStyle w:val="CETBodytext"/>
        <w:rPr>
          <w:lang w:val="en-GB"/>
        </w:rPr>
      </w:pPr>
      <w:r w:rsidRPr="004B1F67">
        <w:rPr>
          <w:lang w:val="en-GB"/>
        </w:rPr>
        <w:t>In both formulations, a commercial olive leaf extract (OL) (</w:t>
      </w:r>
      <w:r w:rsidR="009E7703">
        <w:rPr>
          <w:lang w:val="en-GB"/>
        </w:rPr>
        <w:t>EVRA, Italia</w:t>
      </w:r>
      <w:r w:rsidRPr="004B1F67">
        <w:rPr>
          <w:lang w:val="en-GB"/>
        </w:rPr>
        <w:t>.) was added at a concentration &lt; 50 mg/</w:t>
      </w:r>
      <w:proofErr w:type="spellStart"/>
      <w:r w:rsidRPr="004B1F67">
        <w:rPr>
          <w:lang w:val="en-GB"/>
        </w:rPr>
        <w:t>mL.</w:t>
      </w:r>
      <w:proofErr w:type="spellEnd"/>
      <w:r w:rsidRPr="004B1F67">
        <w:rPr>
          <w:lang w:val="en-GB"/>
        </w:rPr>
        <w:t xml:space="preserve"> </w:t>
      </w:r>
      <w:r w:rsidR="009E7703">
        <w:rPr>
          <w:lang w:val="en-GB"/>
        </w:rPr>
        <w:t>E</w:t>
      </w:r>
      <w:r w:rsidRPr="004B1F67">
        <w:rPr>
          <w:lang w:val="en-GB"/>
        </w:rPr>
        <w:t xml:space="preserve">ach </w:t>
      </w:r>
      <w:r w:rsidR="009E7703">
        <w:rPr>
          <w:lang w:val="en-GB"/>
        </w:rPr>
        <w:t xml:space="preserve">formulation </w:t>
      </w:r>
      <w:r w:rsidRPr="004B1F67">
        <w:rPr>
          <w:lang w:val="en-GB"/>
        </w:rPr>
        <w:t>(CT+OL and MC+OL) w</w:t>
      </w:r>
      <w:r w:rsidR="009E7703">
        <w:rPr>
          <w:lang w:val="en-GB"/>
        </w:rPr>
        <w:t>as</w:t>
      </w:r>
      <w:r w:rsidRPr="004B1F67">
        <w:rPr>
          <w:lang w:val="en-GB"/>
        </w:rPr>
        <w:t xml:space="preserve"> coated onto PLA-PHB films (average thickness 40-50 µm) using a lab bar coater. </w:t>
      </w:r>
      <w:r w:rsidR="009E7703">
        <w:rPr>
          <w:lang w:val="en-GB"/>
        </w:rPr>
        <w:t>F</w:t>
      </w:r>
      <w:r w:rsidRPr="004B1F67">
        <w:rPr>
          <w:lang w:val="en-GB"/>
        </w:rPr>
        <w:t xml:space="preserve">ilms coated with a solution of only </w:t>
      </w:r>
      <w:r w:rsidR="009E7703">
        <w:rPr>
          <w:lang w:val="en-GB"/>
        </w:rPr>
        <w:t>MC</w:t>
      </w:r>
      <w:r w:rsidRPr="004B1F67">
        <w:rPr>
          <w:lang w:val="en-GB"/>
        </w:rPr>
        <w:t xml:space="preserve"> or </w:t>
      </w:r>
      <w:r w:rsidR="009E7703">
        <w:rPr>
          <w:lang w:val="en-GB"/>
        </w:rPr>
        <w:t>CT</w:t>
      </w:r>
      <w:r w:rsidRPr="004B1F67">
        <w:rPr>
          <w:lang w:val="en-GB"/>
        </w:rPr>
        <w:t xml:space="preserve"> were prepared as control samples. </w:t>
      </w:r>
      <w:r w:rsidR="009E7703">
        <w:rPr>
          <w:lang w:val="en-GB"/>
        </w:rPr>
        <w:t>A</w:t>
      </w:r>
      <w:r w:rsidRPr="004B1F67">
        <w:rPr>
          <w:lang w:val="en-GB"/>
        </w:rPr>
        <w:t>ll the coated films thus prepared were dried at room temperature and stored in the dark at 4 °C until use.</w:t>
      </w:r>
    </w:p>
    <w:p w14:paraId="188937E6" w14:textId="6DC58A59" w:rsidR="005D76E9" w:rsidRPr="004B1F67" w:rsidRDefault="009E7703" w:rsidP="001D78A7">
      <w:pPr>
        <w:pStyle w:val="CETheadingx"/>
      </w:pPr>
      <w:r>
        <w:t>Experimental plan</w:t>
      </w:r>
    </w:p>
    <w:p w14:paraId="39BEF2CF" w14:textId="12FDBBF6" w:rsidR="005D76E9" w:rsidRPr="004B1F67" w:rsidRDefault="005D76E9" w:rsidP="005D76E9">
      <w:pPr>
        <w:pStyle w:val="CETBodytext"/>
        <w:rPr>
          <w:lang w:val="en-GB"/>
        </w:rPr>
      </w:pPr>
      <w:r w:rsidRPr="004B1F67">
        <w:rPr>
          <w:lang w:val="en-GB"/>
        </w:rPr>
        <w:t xml:space="preserve">Samples of 80-gram minced pork meat (burgers) were bought from a local butcher’s shop in Piacenza (Italy) on the preparation day and transported in </w:t>
      </w:r>
      <w:r w:rsidR="003D1CD2">
        <w:rPr>
          <w:lang w:val="en-GB"/>
        </w:rPr>
        <w:t xml:space="preserve">a </w:t>
      </w:r>
      <w:r w:rsidRPr="004B1F67">
        <w:rPr>
          <w:lang w:val="en-GB"/>
        </w:rPr>
        <w:t>cooled bag to the University’</w:t>
      </w:r>
      <w:r w:rsidR="003A1054">
        <w:rPr>
          <w:lang w:val="en-GB"/>
        </w:rPr>
        <w:t>s</w:t>
      </w:r>
      <w:r w:rsidRPr="004B1F67">
        <w:rPr>
          <w:lang w:val="en-GB"/>
        </w:rPr>
        <w:t xml:space="preserve"> laboratory in 20 min.</w:t>
      </w:r>
      <w:r w:rsidR="00984A30">
        <w:rPr>
          <w:lang w:val="en-GB"/>
        </w:rPr>
        <w:t xml:space="preserve"> </w:t>
      </w:r>
      <w:r w:rsidR="009E7703">
        <w:rPr>
          <w:lang w:val="en-GB"/>
        </w:rPr>
        <w:t>D</w:t>
      </w:r>
      <w:r w:rsidRPr="004B1F67">
        <w:rPr>
          <w:lang w:val="en-GB"/>
        </w:rPr>
        <w:t>isks of approximately 8 cm in diameter were cut from each coated film, sterilized under UV lamps for 2 h, and placed both above and below the burger</w:t>
      </w:r>
      <w:r w:rsidR="009D50C0">
        <w:rPr>
          <w:lang w:val="en-GB"/>
        </w:rPr>
        <w:t>,</w:t>
      </w:r>
      <w:r w:rsidRPr="004B1F67">
        <w:rPr>
          <w:lang w:val="en-GB"/>
        </w:rPr>
        <w:t xml:space="preserve"> with the coated surface touching the meat. The samples were then placed inside sterile Petri dishes and stored at 4 °C for 14 days. </w:t>
      </w:r>
      <w:r w:rsidR="00B2285C">
        <w:rPr>
          <w:lang w:val="en-GB"/>
        </w:rPr>
        <w:t xml:space="preserve">Uncoated </w:t>
      </w:r>
      <w:r w:rsidRPr="004B1F67">
        <w:rPr>
          <w:lang w:val="en-GB"/>
        </w:rPr>
        <w:t>PLA-PHB</w:t>
      </w:r>
      <w:r w:rsidR="00B2285C">
        <w:rPr>
          <w:lang w:val="en-GB"/>
        </w:rPr>
        <w:t xml:space="preserve"> films</w:t>
      </w:r>
      <w:r w:rsidRPr="004B1F67">
        <w:rPr>
          <w:lang w:val="en-GB"/>
        </w:rPr>
        <w:t xml:space="preserve"> and a meat sample without discs (</w:t>
      </w:r>
      <w:r w:rsidR="001540D6">
        <w:rPr>
          <w:lang w:val="en-GB"/>
        </w:rPr>
        <w:t xml:space="preserve">named </w:t>
      </w:r>
      <w:r w:rsidR="00497836">
        <w:rPr>
          <w:lang w:val="en-GB"/>
        </w:rPr>
        <w:t>CONTROL</w:t>
      </w:r>
      <w:r w:rsidRPr="004B1F67">
        <w:rPr>
          <w:lang w:val="en-GB"/>
        </w:rPr>
        <w:t>) were used as control samples. Samples were tested at 0, 2, 5, 7, 9, 12, and 14 days after packing for chemical, sensory</w:t>
      </w:r>
      <w:r w:rsidR="00552CA8">
        <w:rPr>
          <w:lang w:val="en-GB"/>
        </w:rPr>
        <w:t>,</w:t>
      </w:r>
      <w:r w:rsidR="00B2285C">
        <w:rPr>
          <w:lang w:val="en-GB"/>
        </w:rPr>
        <w:t xml:space="preserve"> and microbial quality</w:t>
      </w:r>
      <w:r w:rsidR="001540D6" w:rsidRPr="001540D6">
        <w:rPr>
          <w:lang w:val="en-GB"/>
        </w:rPr>
        <w:t xml:space="preserve"> </w:t>
      </w:r>
      <w:r w:rsidR="001540D6" w:rsidRPr="004B1F67">
        <w:rPr>
          <w:lang w:val="en-GB"/>
        </w:rPr>
        <w:t>evaluations</w:t>
      </w:r>
      <w:r w:rsidRPr="004B1F67">
        <w:rPr>
          <w:lang w:val="en-GB"/>
        </w:rPr>
        <w:t>.</w:t>
      </w:r>
    </w:p>
    <w:p w14:paraId="25B03806" w14:textId="01992D22" w:rsidR="005D76E9" w:rsidRPr="004B1F67" w:rsidRDefault="00B2285C" w:rsidP="001D78A7">
      <w:pPr>
        <w:pStyle w:val="CETheadingx"/>
      </w:pPr>
      <w:r>
        <w:t>Meat anal</w:t>
      </w:r>
      <w:r w:rsidR="00156108">
        <w:t>y</w:t>
      </w:r>
      <w:r>
        <w:t>ses</w:t>
      </w:r>
    </w:p>
    <w:p w14:paraId="226A3D76" w14:textId="77777777" w:rsidR="00034D9B" w:rsidRPr="006C70DA" w:rsidRDefault="005D76E9" w:rsidP="005D76E9">
      <w:pPr>
        <w:pStyle w:val="CETBodytext"/>
        <w:rPr>
          <w:lang w:val="en-GB"/>
        </w:rPr>
      </w:pPr>
      <w:r w:rsidRPr="006C70DA">
        <w:rPr>
          <w:lang w:val="en-GB"/>
        </w:rPr>
        <w:t xml:space="preserve">A </w:t>
      </w:r>
      <w:proofErr w:type="spellStart"/>
      <w:r w:rsidRPr="006C70DA">
        <w:rPr>
          <w:lang w:val="en-GB"/>
        </w:rPr>
        <w:t>HygroPalm</w:t>
      </w:r>
      <w:proofErr w:type="spellEnd"/>
      <w:r w:rsidRPr="006C70DA">
        <w:rPr>
          <w:lang w:val="en-GB"/>
        </w:rPr>
        <w:t xml:space="preserve"> HP23-AW-A (</w:t>
      </w:r>
      <w:proofErr w:type="spellStart"/>
      <w:r w:rsidRPr="006C70DA">
        <w:rPr>
          <w:lang w:val="en-GB"/>
        </w:rPr>
        <w:t>Rotronic</w:t>
      </w:r>
      <w:proofErr w:type="spellEnd"/>
      <w:r w:rsidR="0092199F" w:rsidRPr="006C70DA">
        <w:rPr>
          <w:lang w:val="en-GB"/>
        </w:rPr>
        <w:t xml:space="preserve"> Italia</w:t>
      </w:r>
      <w:r w:rsidRPr="006C70DA">
        <w:rPr>
          <w:lang w:val="en-GB"/>
        </w:rPr>
        <w:t>,</w:t>
      </w:r>
      <w:r w:rsidR="0092199F" w:rsidRPr="006C70DA">
        <w:rPr>
          <w:lang w:val="en-GB"/>
        </w:rPr>
        <w:t xml:space="preserve"> Milano,</w:t>
      </w:r>
      <w:r w:rsidRPr="006C70DA">
        <w:rPr>
          <w:lang w:val="en-GB"/>
        </w:rPr>
        <w:t xml:space="preserve"> Italy) was used at 25 °C to measure water activity (a</w:t>
      </w:r>
      <w:r w:rsidRPr="006C70DA">
        <w:rPr>
          <w:vertAlign w:val="subscript"/>
          <w:lang w:val="en-GB"/>
        </w:rPr>
        <w:t>w</w:t>
      </w:r>
      <w:r w:rsidRPr="006C70DA">
        <w:rPr>
          <w:lang w:val="en-GB"/>
        </w:rPr>
        <w:t xml:space="preserve">) for each </w:t>
      </w:r>
      <w:r w:rsidR="00B2285C" w:rsidRPr="006C70DA">
        <w:rPr>
          <w:lang w:val="en-GB"/>
        </w:rPr>
        <w:t xml:space="preserve">replicate. </w:t>
      </w:r>
    </w:p>
    <w:p w14:paraId="6D66795D" w14:textId="1B679587" w:rsidR="00034D9B" w:rsidRPr="006C70DA" w:rsidRDefault="000735F7" w:rsidP="005D76E9">
      <w:pPr>
        <w:pStyle w:val="CETBodytext"/>
        <w:rPr>
          <w:lang w:val="en-GB"/>
        </w:rPr>
      </w:pPr>
      <w:r w:rsidRPr="006C70DA">
        <w:rPr>
          <w:lang w:val="en-GB"/>
        </w:rPr>
        <w:t xml:space="preserve">The pH </w:t>
      </w:r>
      <w:r w:rsidR="00B2285C" w:rsidRPr="006C70DA">
        <w:rPr>
          <w:lang w:val="en-GB"/>
        </w:rPr>
        <w:t xml:space="preserve">was </w:t>
      </w:r>
      <w:r w:rsidRPr="006C70DA">
        <w:rPr>
          <w:lang w:val="en-GB"/>
        </w:rPr>
        <w:t>measur</w:t>
      </w:r>
      <w:r w:rsidR="00B2285C" w:rsidRPr="006C70DA">
        <w:rPr>
          <w:lang w:val="en-GB"/>
        </w:rPr>
        <w:t>ed</w:t>
      </w:r>
      <w:r w:rsidRPr="006C70DA">
        <w:rPr>
          <w:lang w:val="en-GB"/>
        </w:rPr>
        <w:t xml:space="preserve"> directly </w:t>
      </w:r>
      <w:r w:rsidR="00B2285C" w:rsidRPr="006C70DA">
        <w:rPr>
          <w:lang w:val="en-GB"/>
        </w:rPr>
        <w:t>in the meat</w:t>
      </w:r>
      <w:r w:rsidRPr="006C70DA">
        <w:rPr>
          <w:lang w:val="en-GB"/>
        </w:rPr>
        <w:t xml:space="preserve"> (</w:t>
      </w:r>
      <w:proofErr w:type="spellStart"/>
      <w:r w:rsidRPr="006C70DA">
        <w:rPr>
          <w:lang w:val="en-GB"/>
        </w:rPr>
        <w:t>Tiralab</w:t>
      </w:r>
      <w:proofErr w:type="spellEnd"/>
      <w:r w:rsidRPr="006C70DA">
        <w:rPr>
          <w:lang w:val="en-GB"/>
        </w:rPr>
        <w:t xml:space="preserve"> AT 1000 Series) </w:t>
      </w:r>
      <w:r w:rsidR="003A1054">
        <w:rPr>
          <w:lang w:val="en-GB"/>
        </w:rPr>
        <w:t>at</w:t>
      </w:r>
      <w:r w:rsidRPr="006C70DA">
        <w:rPr>
          <w:lang w:val="en-GB"/>
        </w:rPr>
        <w:t xml:space="preserve"> three different points for each replicate.</w:t>
      </w:r>
      <w:r w:rsidR="00B2285C" w:rsidRPr="006C70DA">
        <w:rPr>
          <w:lang w:val="en-GB"/>
        </w:rPr>
        <w:t xml:space="preserve"> </w:t>
      </w:r>
      <w:r w:rsidR="005D76E9" w:rsidRPr="006C70DA">
        <w:rPr>
          <w:lang w:val="en-GB"/>
        </w:rPr>
        <w:t xml:space="preserve">The </w:t>
      </w:r>
      <w:r w:rsidR="0092199F" w:rsidRPr="006C70DA">
        <w:rPr>
          <w:lang w:val="en-GB"/>
        </w:rPr>
        <w:t>colour</w:t>
      </w:r>
      <w:r w:rsidR="005D76E9" w:rsidRPr="006C70DA">
        <w:rPr>
          <w:lang w:val="en-GB"/>
        </w:rPr>
        <w:t xml:space="preserve"> analysis at five different points on each burger surface was performed with colorimeter (Chroma Meter CR-400 Konica Minolta, Tokyo, Japan) </w:t>
      </w:r>
      <w:r w:rsidR="00B2285C" w:rsidRPr="006C70DA">
        <w:rPr>
          <w:lang w:val="en-GB"/>
        </w:rPr>
        <w:t xml:space="preserve">to register the </w:t>
      </w:r>
      <w:r w:rsidR="0092199F" w:rsidRPr="006C70DA">
        <w:rPr>
          <w:lang w:val="en-GB"/>
        </w:rPr>
        <w:t>colour</w:t>
      </w:r>
      <w:r w:rsidR="005D76E9" w:rsidRPr="006C70DA">
        <w:rPr>
          <w:lang w:val="en-GB"/>
        </w:rPr>
        <w:t xml:space="preserve"> values of </w:t>
      </w:r>
      <w:r w:rsidR="005D76E9" w:rsidRPr="006C70DA">
        <w:rPr>
          <w:i/>
          <w:iCs/>
          <w:lang w:val="en-GB"/>
        </w:rPr>
        <w:t>L*</w:t>
      </w:r>
      <w:r w:rsidR="00B2285C" w:rsidRPr="006C70DA">
        <w:rPr>
          <w:i/>
          <w:iCs/>
          <w:lang w:val="en-GB"/>
        </w:rPr>
        <w:t xml:space="preserve"> </w:t>
      </w:r>
      <w:r w:rsidR="00B2285C" w:rsidRPr="006C70DA">
        <w:rPr>
          <w:lang w:val="en-GB"/>
        </w:rPr>
        <w:t>(lightness)</w:t>
      </w:r>
      <w:r w:rsidR="005D76E9" w:rsidRPr="006C70DA">
        <w:rPr>
          <w:lang w:val="en-GB"/>
        </w:rPr>
        <w:t xml:space="preserve">, </w:t>
      </w:r>
      <w:r w:rsidR="005D76E9" w:rsidRPr="006C70DA">
        <w:rPr>
          <w:i/>
          <w:iCs/>
          <w:lang w:val="en-GB"/>
        </w:rPr>
        <w:t>a*</w:t>
      </w:r>
      <w:r w:rsidR="005D76E9" w:rsidRPr="006C70DA">
        <w:rPr>
          <w:lang w:val="en-GB"/>
        </w:rPr>
        <w:t xml:space="preserve"> </w:t>
      </w:r>
      <w:r w:rsidR="00B2285C" w:rsidRPr="006C70DA">
        <w:rPr>
          <w:lang w:val="en-GB"/>
        </w:rPr>
        <w:t xml:space="preserve">(redness and greenness) </w:t>
      </w:r>
      <w:r w:rsidR="005D76E9" w:rsidRPr="006C70DA">
        <w:rPr>
          <w:lang w:val="en-GB"/>
        </w:rPr>
        <w:t xml:space="preserve">and </w:t>
      </w:r>
      <w:r w:rsidR="005D76E9" w:rsidRPr="006C70DA">
        <w:rPr>
          <w:i/>
          <w:iCs/>
          <w:lang w:val="en-GB"/>
        </w:rPr>
        <w:t>b*</w:t>
      </w:r>
      <w:r w:rsidR="00B2285C" w:rsidRPr="006C70DA">
        <w:rPr>
          <w:i/>
          <w:iCs/>
          <w:lang w:val="en-GB"/>
        </w:rPr>
        <w:t xml:space="preserve"> </w:t>
      </w:r>
      <w:r w:rsidR="00B2285C" w:rsidRPr="006C70DA">
        <w:rPr>
          <w:lang w:val="en-GB"/>
        </w:rPr>
        <w:t xml:space="preserve">(yellowness and blueness). </w:t>
      </w:r>
    </w:p>
    <w:p w14:paraId="5561B00A" w14:textId="77777777" w:rsidR="00034D9B" w:rsidRPr="006C70DA" w:rsidRDefault="005D76E9" w:rsidP="005D76E9">
      <w:pPr>
        <w:pStyle w:val="CETBodytext"/>
        <w:rPr>
          <w:lang w:val="en-GB"/>
        </w:rPr>
      </w:pPr>
      <w:proofErr w:type="spellStart"/>
      <w:r w:rsidRPr="006C70DA">
        <w:t>Thiobarbituric</w:t>
      </w:r>
      <w:proofErr w:type="spellEnd"/>
      <w:r w:rsidRPr="006C70DA">
        <w:t xml:space="preserve"> acid reactive substances </w:t>
      </w:r>
      <w:r w:rsidR="00F6764E" w:rsidRPr="006C70DA">
        <w:t xml:space="preserve">(TBARS) </w:t>
      </w:r>
      <w:r w:rsidRPr="006C70DA">
        <w:t>measurement</w:t>
      </w:r>
      <w:r w:rsidR="00B2285C" w:rsidRPr="006C70DA">
        <w:t xml:space="preserve"> </w:t>
      </w:r>
      <w:r w:rsidRPr="006C70DA">
        <w:rPr>
          <w:lang w:val="en-GB"/>
        </w:rPr>
        <w:t xml:space="preserve">was determined using the acid precipitation technique described by </w:t>
      </w:r>
      <w:proofErr w:type="spellStart"/>
      <w:r w:rsidRPr="006C70DA">
        <w:rPr>
          <w:lang w:val="en-GB"/>
        </w:rPr>
        <w:t>Descalzo</w:t>
      </w:r>
      <w:proofErr w:type="spellEnd"/>
      <w:r w:rsidRPr="006C70DA">
        <w:rPr>
          <w:lang w:val="en-GB"/>
        </w:rPr>
        <w:t xml:space="preserve"> et al. (2005). </w:t>
      </w:r>
      <w:r w:rsidR="00B2285C" w:rsidRPr="006C70DA">
        <w:rPr>
          <w:lang w:val="en-GB"/>
        </w:rPr>
        <w:t>T</w:t>
      </w:r>
      <w:r w:rsidRPr="006C70DA">
        <w:rPr>
          <w:lang w:val="en-GB"/>
        </w:rPr>
        <w:t xml:space="preserve">he results were expressed as </w:t>
      </w:r>
      <w:r w:rsidR="00B2285C" w:rsidRPr="006C70DA">
        <w:rPr>
          <w:lang w:val="en-GB"/>
        </w:rPr>
        <w:t xml:space="preserve">mg of </w:t>
      </w:r>
      <w:r w:rsidRPr="006C70DA">
        <w:rPr>
          <w:lang w:val="en-GB"/>
        </w:rPr>
        <w:t xml:space="preserve">malondialdehyde </w:t>
      </w:r>
      <w:r w:rsidR="00B2285C" w:rsidRPr="006C70DA">
        <w:rPr>
          <w:lang w:val="en-GB"/>
        </w:rPr>
        <w:t xml:space="preserve">(MDA) </w:t>
      </w:r>
      <w:r w:rsidRPr="006C70DA">
        <w:rPr>
          <w:lang w:val="en-GB"/>
        </w:rPr>
        <w:t>equivalents</w:t>
      </w:r>
      <w:r w:rsidR="00B2285C" w:rsidRPr="006C70DA">
        <w:rPr>
          <w:lang w:val="en-GB"/>
        </w:rPr>
        <w:t xml:space="preserve">/kg of fresh meat, using a </w:t>
      </w:r>
      <w:r w:rsidRPr="006C70DA">
        <w:rPr>
          <w:lang w:val="en-GB"/>
        </w:rPr>
        <w:t>calibration curve obtained with standard 1,1,3,3-tetraethoxypropane in TCA-TBA 1:1 v/v solution (Sigma-Aldrich, 0.05-0.5 µM, R</w:t>
      </w:r>
      <w:r w:rsidRPr="006C70DA">
        <w:rPr>
          <w:vertAlign w:val="superscript"/>
          <w:lang w:val="en-GB"/>
        </w:rPr>
        <w:t>2</w:t>
      </w:r>
      <w:r w:rsidRPr="006C70DA">
        <w:rPr>
          <w:lang w:val="en-GB"/>
        </w:rPr>
        <w:t xml:space="preserve">: 0.991). </w:t>
      </w:r>
    </w:p>
    <w:p w14:paraId="4B0A56F4" w14:textId="7E2D3D9D" w:rsidR="005D76E9" w:rsidRPr="006C70DA" w:rsidRDefault="005D76E9" w:rsidP="005D76E9">
      <w:pPr>
        <w:pStyle w:val="CETBodytext"/>
        <w:rPr>
          <w:lang w:val="en-GB"/>
        </w:rPr>
      </w:pPr>
      <w:r w:rsidRPr="006C70DA">
        <w:rPr>
          <w:lang w:val="en-GB"/>
        </w:rPr>
        <w:t xml:space="preserve">For </w:t>
      </w:r>
      <w:r w:rsidR="00156108" w:rsidRPr="006C70DA">
        <w:rPr>
          <w:lang w:val="en-GB"/>
        </w:rPr>
        <w:t xml:space="preserve">the microbiological </w:t>
      </w:r>
      <w:r w:rsidRPr="006C70DA">
        <w:rPr>
          <w:lang w:val="en-GB"/>
        </w:rPr>
        <w:t xml:space="preserve">analysis, approximately 20 g of sample, taken randomly from each burger, were </w:t>
      </w:r>
      <w:proofErr w:type="gramStart"/>
      <w:r w:rsidRPr="006C70DA">
        <w:rPr>
          <w:lang w:val="en-GB"/>
        </w:rPr>
        <w:t>weighed</w:t>
      </w:r>
      <w:proofErr w:type="gramEnd"/>
      <w:r w:rsidRPr="006C70DA">
        <w:rPr>
          <w:lang w:val="en-GB"/>
        </w:rPr>
        <w:t xml:space="preserve"> and diluted with 200 mL sterile saline solution (1:10 dilution)</w:t>
      </w:r>
      <w:r w:rsidR="00951CAB" w:rsidRPr="006C70DA">
        <w:rPr>
          <w:lang w:val="en-GB"/>
        </w:rPr>
        <w:t xml:space="preserve"> in plastic bags (</w:t>
      </w:r>
      <w:proofErr w:type="spellStart"/>
      <w:r w:rsidR="00951CAB" w:rsidRPr="006C70DA">
        <w:rPr>
          <w:lang w:val="en-GB"/>
        </w:rPr>
        <w:t>BagMixer</w:t>
      </w:r>
      <w:proofErr w:type="spellEnd"/>
      <w:r w:rsidR="00951CAB" w:rsidRPr="006C70DA">
        <w:rPr>
          <w:vertAlign w:val="superscript"/>
          <w:lang w:val="en-GB"/>
        </w:rPr>
        <w:t>®</w:t>
      </w:r>
      <w:r w:rsidR="00951CAB" w:rsidRPr="006C70DA">
        <w:rPr>
          <w:lang w:val="en-GB"/>
        </w:rPr>
        <w:t xml:space="preserve"> 400)</w:t>
      </w:r>
      <w:r w:rsidRPr="006C70DA">
        <w:rPr>
          <w:lang w:val="en-GB"/>
        </w:rPr>
        <w:t xml:space="preserve">. They were then homogenised </w:t>
      </w:r>
      <w:r w:rsidR="00951CAB" w:rsidRPr="006C70DA">
        <w:rPr>
          <w:lang w:val="en-GB"/>
        </w:rPr>
        <w:t>in a stomacher type homogenizer (</w:t>
      </w:r>
      <w:proofErr w:type="spellStart"/>
      <w:r w:rsidR="00951CAB" w:rsidRPr="006C70DA">
        <w:rPr>
          <w:lang w:val="en-GB"/>
        </w:rPr>
        <w:t>BagMixer</w:t>
      </w:r>
      <w:proofErr w:type="spellEnd"/>
      <w:r w:rsidR="00951CAB" w:rsidRPr="006C70DA">
        <w:rPr>
          <w:lang w:val="en-GB"/>
        </w:rPr>
        <w:t xml:space="preserve">, </w:t>
      </w:r>
      <w:proofErr w:type="spellStart"/>
      <w:r w:rsidR="00951CAB" w:rsidRPr="006C70DA">
        <w:rPr>
          <w:lang w:val="en-GB"/>
        </w:rPr>
        <w:t>Interscience</w:t>
      </w:r>
      <w:proofErr w:type="spellEnd"/>
      <w:r w:rsidR="00951CAB" w:rsidRPr="006C70DA">
        <w:rPr>
          <w:lang w:val="en-GB"/>
        </w:rPr>
        <w:t xml:space="preserve">) for 2 min. </w:t>
      </w:r>
      <w:r w:rsidRPr="006C70DA">
        <w:rPr>
          <w:lang w:val="en-GB"/>
        </w:rPr>
        <w:t xml:space="preserve">Total bacterial count, </w:t>
      </w:r>
      <w:r w:rsidRPr="006C70DA">
        <w:rPr>
          <w:i/>
          <w:iCs/>
          <w:lang w:val="en-GB"/>
        </w:rPr>
        <w:t>Enterobacteriaceae</w:t>
      </w:r>
      <w:r w:rsidRPr="006C70DA">
        <w:rPr>
          <w:lang w:val="en-GB"/>
        </w:rPr>
        <w:t xml:space="preserve"> count, and yeasts count were evaluated for each sample. Serial decimal dilutions were made with the same diluent. For total bacterial count (ISO 4833:2003), 1 mL of each dilution was inoculated onto Petri dishes for inclusion in 15 mL of Plate Count Agar (PCA, </w:t>
      </w:r>
      <w:proofErr w:type="spellStart"/>
      <w:r w:rsidRPr="006C70DA">
        <w:rPr>
          <w:lang w:val="en-GB"/>
        </w:rPr>
        <w:t>Oxoid</w:t>
      </w:r>
      <w:proofErr w:type="spellEnd"/>
      <w:r w:rsidRPr="006C70DA">
        <w:rPr>
          <w:lang w:val="en-GB"/>
        </w:rPr>
        <w:t xml:space="preserve"> Ltd, Hampshire, UK) medium with </w:t>
      </w:r>
      <w:r w:rsidR="003A1054">
        <w:rPr>
          <w:lang w:val="en-GB"/>
        </w:rPr>
        <w:t xml:space="preserve">the </w:t>
      </w:r>
      <w:r w:rsidRPr="006C70DA">
        <w:rPr>
          <w:lang w:val="en-GB"/>
        </w:rPr>
        <w:t xml:space="preserve">addition of cycloheximide (16 mg/L) to inhibit yeast growth, and then the plates were incubated at 30 °C for 48 h. For </w:t>
      </w:r>
      <w:r w:rsidRPr="006C70DA">
        <w:rPr>
          <w:i/>
          <w:iCs/>
          <w:lang w:val="en-GB"/>
        </w:rPr>
        <w:t xml:space="preserve">Enterobacteriaceae </w:t>
      </w:r>
      <w:r w:rsidRPr="006C70DA">
        <w:rPr>
          <w:lang w:val="en-GB"/>
        </w:rPr>
        <w:t xml:space="preserve">count, the inclusion was done in Violet Red Bile Glucose Agar (VRBGA, </w:t>
      </w:r>
      <w:proofErr w:type="spellStart"/>
      <w:r w:rsidRPr="006C70DA">
        <w:rPr>
          <w:lang w:val="en-GB"/>
        </w:rPr>
        <w:t>Oxoid</w:t>
      </w:r>
      <w:proofErr w:type="spellEnd"/>
      <w:r w:rsidRPr="006C70DA">
        <w:rPr>
          <w:lang w:val="en-GB"/>
        </w:rPr>
        <w:t xml:space="preserve"> Ltd, Hampshire, UK) medium, and all the plate</w:t>
      </w:r>
      <w:r w:rsidR="003A1054">
        <w:rPr>
          <w:lang w:val="en-GB"/>
        </w:rPr>
        <w:t>s</w:t>
      </w:r>
      <w:r w:rsidRPr="006C70DA">
        <w:rPr>
          <w:lang w:val="en-GB"/>
        </w:rPr>
        <w:t xml:space="preserve"> were incubated at 37 °C for 24 h (ISO 21528-2:2017). For yeast count, the dilutions were included in Malt Extract Agar (MEA, </w:t>
      </w:r>
      <w:proofErr w:type="spellStart"/>
      <w:r w:rsidRPr="006C70DA">
        <w:rPr>
          <w:lang w:val="en-GB"/>
        </w:rPr>
        <w:t>Oxoid</w:t>
      </w:r>
      <w:proofErr w:type="spellEnd"/>
      <w:r w:rsidRPr="006C70DA">
        <w:rPr>
          <w:lang w:val="en-GB"/>
        </w:rPr>
        <w:t xml:space="preserve"> Ltd, Hampshire, UK) with chloramphenicol (0.6 mg/L) as culture medium, and then all plates were incubated at 25 °C for 5 days (ISO 21527-2:2008).</w:t>
      </w:r>
      <w:r w:rsidR="00D968DD" w:rsidRPr="006C70DA">
        <w:rPr>
          <w:lang w:val="en-GB"/>
        </w:rPr>
        <w:t xml:space="preserve"> </w:t>
      </w:r>
      <w:r w:rsidRPr="006C70DA">
        <w:rPr>
          <w:lang w:val="en-GB"/>
        </w:rPr>
        <w:t xml:space="preserve">Then, all the results were expressed as </w:t>
      </w:r>
      <w:r w:rsidR="001A288E" w:rsidRPr="006C70DA">
        <w:rPr>
          <w:lang w:val="en-GB"/>
        </w:rPr>
        <w:t xml:space="preserve">the logarithm of </w:t>
      </w:r>
      <w:r w:rsidRPr="006C70DA">
        <w:rPr>
          <w:lang w:val="en-GB"/>
        </w:rPr>
        <w:t>CFU (colony-forming units) per g of fresh meat sample.</w:t>
      </w:r>
    </w:p>
    <w:p w14:paraId="092DBF91" w14:textId="12FB5815" w:rsidR="005D76E9" w:rsidRPr="004B1F67" w:rsidRDefault="005D76E9" w:rsidP="005D76E9">
      <w:pPr>
        <w:pStyle w:val="CETBodytext"/>
        <w:rPr>
          <w:lang w:val="en-GB"/>
        </w:rPr>
      </w:pPr>
      <w:r w:rsidRPr="006C70DA">
        <w:rPr>
          <w:lang w:val="en-GB"/>
        </w:rPr>
        <w:t xml:space="preserve">All samples were </w:t>
      </w:r>
      <w:r w:rsidR="00034D9B" w:rsidRPr="006C70DA">
        <w:rPr>
          <w:lang w:val="en-GB"/>
        </w:rPr>
        <w:t xml:space="preserve">also </w:t>
      </w:r>
      <w:r w:rsidRPr="006C70DA">
        <w:rPr>
          <w:lang w:val="en-GB"/>
        </w:rPr>
        <w:t xml:space="preserve">evaluated by sensory analysis (appearance and </w:t>
      </w:r>
      <w:r w:rsidR="001A288E" w:rsidRPr="006C70DA">
        <w:rPr>
          <w:lang w:val="en-GB"/>
        </w:rPr>
        <w:t>odour</w:t>
      </w:r>
      <w:r w:rsidRPr="006C70DA">
        <w:rPr>
          <w:lang w:val="en-GB"/>
        </w:rPr>
        <w:t>) using the simplified 3-class evaluation scheme reported by Niemine</w:t>
      </w:r>
      <w:r w:rsidR="00034D9B" w:rsidRPr="006C70DA">
        <w:rPr>
          <w:lang w:val="en-GB"/>
        </w:rPr>
        <w:t>n</w:t>
      </w:r>
      <w:r w:rsidRPr="006C70DA">
        <w:rPr>
          <w:lang w:val="en-GB"/>
        </w:rPr>
        <w:t xml:space="preserve"> et al. (2016). The evaluation was performed by five non-trained panellists considering: class 1, equal to started sample (no defects); class 2, slight defects but still acceptable; class 3, strong and recognizable defects (unacceptable).</w:t>
      </w:r>
      <w:r w:rsidRPr="004B1F67">
        <w:rPr>
          <w:lang w:val="en-GB"/>
        </w:rPr>
        <w:t xml:space="preserve"> </w:t>
      </w:r>
    </w:p>
    <w:p w14:paraId="0D04EBCB" w14:textId="058C719D" w:rsidR="005D76E9" w:rsidRPr="004B1F67" w:rsidRDefault="005D76E9" w:rsidP="001D78A7">
      <w:pPr>
        <w:pStyle w:val="CETheadingx"/>
      </w:pPr>
      <w:r w:rsidRPr="004B1F67">
        <w:t xml:space="preserve">Statistical analysis </w:t>
      </w:r>
    </w:p>
    <w:p w14:paraId="13C33C72" w14:textId="672160EE" w:rsidR="005D76E9" w:rsidRPr="004B1F67" w:rsidRDefault="005D76E9" w:rsidP="005D76E9">
      <w:pPr>
        <w:pStyle w:val="CETBodytext"/>
        <w:rPr>
          <w:lang w:val="en-GB"/>
        </w:rPr>
      </w:pPr>
      <w:r w:rsidRPr="004B1F67">
        <w:rPr>
          <w:lang w:val="en-GB"/>
        </w:rPr>
        <w:t>Statistical analysis was conducted using IB</w:t>
      </w:r>
      <w:r w:rsidR="009951BF">
        <w:rPr>
          <w:lang w:val="en-GB"/>
        </w:rPr>
        <w:t>M</w:t>
      </w:r>
      <w:r w:rsidRPr="004B1F67">
        <w:rPr>
          <w:lang w:val="en-GB"/>
        </w:rPr>
        <w:t xml:space="preserve"> SPSS Statistics software (Version 25). All the data obtained from each analysis were reported as mean values ± the standard deviation (SD)</w:t>
      </w:r>
      <w:r w:rsidR="005868E7">
        <w:rPr>
          <w:lang w:val="en-GB"/>
        </w:rPr>
        <w:t xml:space="preserve"> </w:t>
      </w:r>
      <w:r w:rsidR="005868E7" w:rsidRPr="005868E7">
        <w:rPr>
          <w:lang w:val="en-GB"/>
        </w:rPr>
        <w:t>of at least three replicates</w:t>
      </w:r>
      <w:r w:rsidRPr="004B1F67">
        <w:rPr>
          <w:lang w:val="en-GB"/>
        </w:rPr>
        <w:t xml:space="preserve">. The </w:t>
      </w:r>
      <w:r w:rsidRPr="004B1F67">
        <w:rPr>
          <w:lang w:val="en-GB"/>
        </w:rPr>
        <w:lastRenderedPageBreak/>
        <w:t>significance of the influence of coating film and storage time was assessed by ANOVA analysis, with subsequent Tukey's significant difference test (p-value of 0.05).</w:t>
      </w:r>
    </w:p>
    <w:p w14:paraId="68D26B83" w14:textId="71C6618D" w:rsidR="00600535" w:rsidRPr="004B1F67" w:rsidRDefault="005408BE" w:rsidP="00600535">
      <w:pPr>
        <w:pStyle w:val="CETHeading1"/>
        <w:rPr>
          <w:lang w:val="en-GB"/>
        </w:rPr>
      </w:pPr>
      <w:r w:rsidRPr="004B1F67">
        <w:rPr>
          <w:lang w:val="en-GB"/>
        </w:rPr>
        <w:t>Results and Discussion</w:t>
      </w:r>
      <w:r w:rsidR="00600535" w:rsidRPr="004B1F67">
        <w:rPr>
          <w:lang w:val="en-GB"/>
        </w:rPr>
        <w:t>s</w:t>
      </w:r>
    </w:p>
    <w:p w14:paraId="65FC5ABC" w14:textId="5DE1D207" w:rsidR="00563D31" w:rsidRPr="004B1F67" w:rsidRDefault="005408BE" w:rsidP="00DD1574">
      <w:r w:rsidRPr="004B1F67">
        <w:t>During the deposition of the formulations onto the surface of the PLA-PHB film, only three of the four planned formulations could be coated. In fact, the chitosan-based formulation (CT) did not adhere to the surface of the polymer film, probably due to too strong difference in surface tension between the film and the coating solution.</w:t>
      </w:r>
    </w:p>
    <w:p w14:paraId="0FD8EDA0" w14:textId="7038E38B" w:rsidR="00487D79" w:rsidRDefault="005408BE" w:rsidP="00005315">
      <w:r w:rsidRPr="004B1F67">
        <w:t>Water activity (</w:t>
      </w:r>
      <w:r w:rsidRPr="000735F7">
        <w:t>a</w:t>
      </w:r>
      <w:r w:rsidRPr="000735F7">
        <w:rPr>
          <w:vertAlign w:val="subscript"/>
        </w:rPr>
        <w:t>w</w:t>
      </w:r>
      <w:r w:rsidRPr="004B1F67">
        <w:t xml:space="preserve">) oscillated in all samples with few statistical differences </w:t>
      </w:r>
      <w:r w:rsidRPr="00010D44">
        <w:t>(</w:t>
      </w:r>
      <w:r w:rsidR="009A4C6C" w:rsidRPr="00010D44">
        <w:rPr>
          <w:i/>
          <w:iCs/>
        </w:rPr>
        <w:fldChar w:fldCharType="begin"/>
      </w:r>
      <w:r w:rsidR="009A4C6C" w:rsidRPr="00010D44">
        <w:rPr>
          <w:i/>
          <w:iCs/>
        </w:rPr>
        <w:instrText xml:space="preserve"> REF _Ref78128487 \h  \* MERGEFORMAT </w:instrText>
      </w:r>
      <w:r w:rsidR="009A4C6C" w:rsidRPr="00010D44">
        <w:rPr>
          <w:i/>
          <w:iCs/>
        </w:rPr>
      </w:r>
      <w:r w:rsidR="009A4C6C" w:rsidRPr="00010D44">
        <w:rPr>
          <w:i/>
          <w:iCs/>
        </w:rPr>
        <w:fldChar w:fldCharType="separate"/>
      </w:r>
      <w:r w:rsidR="00010D44" w:rsidRPr="00010D44">
        <w:rPr>
          <w:rStyle w:val="CETCaptionCarattere"/>
          <w:i w:val="0"/>
          <w:iCs/>
        </w:rPr>
        <w:t>Figure 1</w:t>
      </w:r>
      <w:r w:rsidR="009A4C6C" w:rsidRPr="00010D44">
        <w:rPr>
          <w:i/>
          <w:iCs/>
        </w:rPr>
        <w:fldChar w:fldCharType="end"/>
      </w:r>
      <w:r w:rsidR="005B5F43" w:rsidRPr="00010D44">
        <w:t>A</w:t>
      </w:r>
      <w:r w:rsidRPr="00010D44">
        <w:t>).</w:t>
      </w:r>
      <w:r w:rsidRPr="004B1F67">
        <w:t xml:space="preserve"> The only coating that tend</w:t>
      </w:r>
      <w:r w:rsidR="00DB1C60">
        <w:t>ed</w:t>
      </w:r>
      <w:r w:rsidRPr="004B1F67">
        <w:t xml:space="preserve"> to be statistically different from the other samples </w:t>
      </w:r>
      <w:r w:rsidR="00DB1C60">
        <w:t>wa</w:t>
      </w:r>
      <w:r w:rsidRPr="004B1F67">
        <w:t xml:space="preserve">s MC, which </w:t>
      </w:r>
      <w:r w:rsidR="009951BF">
        <w:t xml:space="preserve">had </w:t>
      </w:r>
      <w:r w:rsidR="00DB1C60">
        <w:t xml:space="preserve">lower values </w:t>
      </w:r>
      <w:r w:rsidRPr="004B1F67">
        <w:t>at both the 12</w:t>
      </w:r>
      <w:r w:rsidRPr="004B1F67">
        <w:rPr>
          <w:vertAlign w:val="superscript"/>
        </w:rPr>
        <w:t>th</w:t>
      </w:r>
      <w:r w:rsidRPr="004B1F67">
        <w:t xml:space="preserve"> and 14</w:t>
      </w:r>
      <w:r w:rsidRPr="004B1F67">
        <w:rPr>
          <w:vertAlign w:val="superscript"/>
        </w:rPr>
        <w:t>th</w:t>
      </w:r>
      <w:r w:rsidRPr="004B1F67">
        <w:t xml:space="preserve"> storage </w:t>
      </w:r>
      <w:r w:rsidR="00DB1C60">
        <w:t>day</w:t>
      </w:r>
      <w:r w:rsidR="009951BF">
        <w:t>s</w:t>
      </w:r>
      <w:r w:rsidRPr="004B1F67">
        <w:t xml:space="preserve">. The slight increase in </w:t>
      </w:r>
      <w:r w:rsidRPr="006C70DA">
        <w:t>the a</w:t>
      </w:r>
      <w:r w:rsidRPr="006C70DA">
        <w:rPr>
          <w:vertAlign w:val="subscript"/>
        </w:rPr>
        <w:t>w</w:t>
      </w:r>
      <w:r w:rsidRPr="006C70DA">
        <w:t xml:space="preserve"> value may be due to changes in the meat structure during storage time, caused by protein degradation and progressive breakdown of muscle </w:t>
      </w:r>
      <w:r w:rsidR="00AC19A8" w:rsidRPr="006C70DA">
        <w:t>fibres</w:t>
      </w:r>
      <w:r w:rsidRPr="006C70DA">
        <w:t xml:space="preserve"> (Pearce et al., 2011).</w:t>
      </w:r>
      <w:r w:rsidR="00DB1C60">
        <w:t xml:space="preserve"> </w:t>
      </w:r>
    </w:p>
    <w:p w14:paraId="2CF5F61C" w14:textId="6123B77D" w:rsidR="00607710" w:rsidRPr="004B1F67" w:rsidRDefault="00487D79" w:rsidP="00D05FE1">
      <w:pPr>
        <w:tabs>
          <w:tab w:val="left" w:pos="6521"/>
        </w:tabs>
        <w:jc w:val="left"/>
        <w:rPr>
          <w:bCs/>
          <w:color w:val="000000" w:themeColor="text1"/>
          <w:sz w:val="20"/>
        </w:rPr>
      </w:pPr>
      <w:r>
        <w:rPr>
          <w:noProof/>
        </w:rPr>
        <w:drawing>
          <wp:inline distT="0" distB="0" distL="0" distR="0" wp14:anchorId="5E03E73A" wp14:editId="56B4C16C">
            <wp:extent cx="2586365" cy="11340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18" t="7325" r="8910" b="2030"/>
                    <a:stretch/>
                  </pic:blipFill>
                  <pic:spPr bwMode="auto">
                    <a:xfrm>
                      <a:off x="0" y="0"/>
                      <a:ext cx="2586365" cy="1134000"/>
                    </a:xfrm>
                    <a:prstGeom prst="rect">
                      <a:avLst/>
                    </a:prstGeom>
                    <a:ln>
                      <a:noFill/>
                    </a:ln>
                    <a:extLst>
                      <a:ext uri="{53640926-AAD7-44D8-BBD7-CCE9431645EC}">
                        <a14:shadowObscured xmlns:a14="http://schemas.microsoft.com/office/drawing/2010/main"/>
                      </a:ext>
                    </a:extLst>
                  </pic:spPr>
                </pic:pic>
              </a:graphicData>
            </a:graphic>
          </wp:inline>
        </w:drawing>
      </w:r>
      <w:r w:rsidR="006F12A5">
        <w:rPr>
          <w:noProof/>
        </w:rPr>
        <w:drawing>
          <wp:inline distT="0" distB="0" distL="0" distR="0" wp14:anchorId="24257ACE" wp14:editId="267D7359">
            <wp:extent cx="2686399" cy="1116000"/>
            <wp:effectExtent l="0" t="0" r="0" b="190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59" t="6469" r="8653" b="2133"/>
                    <a:stretch/>
                  </pic:blipFill>
                  <pic:spPr bwMode="auto">
                    <a:xfrm>
                      <a:off x="0" y="0"/>
                      <a:ext cx="2686399" cy="1116000"/>
                    </a:xfrm>
                    <a:prstGeom prst="rect">
                      <a:avLst/>
                    </a:prstGeom>
                    <a:ln>
                      <a:noFill/>
                    </a:ln>
                    <a:extLst>
                      <a:ext uri="{53640926-AAD7-44D8-BBD7-CCE9431645EC}">
                        <a14:shadowObscured xmlns:a14="http://schemas.microsoft.com/office/drawing/2010/main"/>
                      </a:ext>
                    </a:extLst>
                  </pic:spPr>
                </pic:pic>
              </a:graphicData>
            </a:graphic>
          </wp:inline>
        </w:drawing>
      </w:r>
    </w:p>
    <w:p w14:paraId="10D27B80" w14:textId="71792E65" w:rsidR="009A4C6C" w:rsidRPr="00984A30" w:rsidRDefault="005408BE" w:rsidP="000F559D">
      <w:pPr>
        <w:pStyle w:val="Didascalia"/>
        <w:rPr>
          <w:b w:val="0"/>
          <w:bCs w:val="0"/>
          <w:i/>
          <w:color w:val="auto"/>
          <w:szCs w:val="20"/>
        </w:rPr>
      </w:pPr>
      <w:bookmarkStart w:id="0" w:name="_Ref78128487"/>
      <w:bookmarkStart w:id="1" w:name="_Toc78837638"/>
      <w:r w:rsidRPr="004B1F67">
        <w:rPr>
          <w:rStyle w:val="CETCaptionCarattere"/>
          <w:b w:val="0"/>
          <w:bCs w:val="0"/>
          <w:color w:val="auto"/>
        </w:rPr>
        <w:t xml:space="preserve">Figure </w:t>
      </w:r>
      <w:r w:rsidRPr="004B1F67">
        <w:rPr>
          <w:rStyle w:val="CETCaptionCarattere"/>
          <w:b w:val="0"/>
          <w:i w:val="0"/>
          <w:color w:val="auto"/>
        </w:rPr>
        <w:fldChar w:fldCharType="begin"/>
      </w:r>
      <w:r w:rsidRPr="004B1F67">
        <w:rPr>
          <w:rStyle w:val="CETCaptionCarattere"/>
          <w:b w:val="0"/>
          <w:bCs w:val="0"/>
          <w:color w:val="auto"/>
        </w:rPr>
        <w:instrText xml:space="preserve"> SEQ Figure \* ARABIC </w:instrText>
      </w:r>
      <w:r w:rsidRPr="004B1F67">
        <w:rPr>
          <w:rStyle w:val="CETCaptionCarattere"/>
          <w:b w:val="0"/>
          <w:i w:val="0"/>
          <w:color w:val="auto"/>
        </w:rPr>
        <w:fldChar w:fldCharType="separate"/>
      </w:r>
      <w:r w:rsidR="00010D44">
        <w:rPr>
          <w:rStyle w:val="CETCaptionCarattere"/>
          <w:b w:val="0"/>
          <w:bCs w:val="0"/>
          <w:noProof/>
          <w:color w:val="auto"/>
        </w:rPr>
        <w:t>1</w:t>
      </w:r>
      <w:r w:rsidRPr="004B1F67">
        <w:rPr>
          <w:rStyle w:val="CETCaptionCarattere"/>
          <w:b w:val="0"/>
          <w:i w:val="0"/>
          <w:color w:val="auto"/>
        </w:rPr>
        <w:fldChar w:fldCharType="end"/>
      </w:r>
      <w:bookmarkEnd w:id="0"/>
      <w:r w:rsidR="005B5F43" w:rsidRPr="004B1F67">
        <w:rPr>
          <w:rStyle w:val="CETCaptionCarattere"/>
          <w:b w:val="0"/>
          <w:iCs/>
          <w:color w:val="auto"/>
        </w:rPr>
        <w:t>:</w:t>
      </w:r>
      <w:r w:rsidRPr="004B1F67">
        <w:rPr>
          <w:rStyle w:val="CETCaptionCarattere"/>
          <w:b w:val="0"/>
          <w:bCs w:val="0"/>
          <w:color w:val="auto"/>
        </w:rPr>
        <w:t xml:space="preserve"> A</w:t>
      </w:r>
      <w:r w:rsidRPr="004B1F67">
        <w:rPr>
          <w:rStyle w:val="CETCaptionCarattere"/>
          <w:b w:val="0"/>
          <w:bCs w:val="0"/>
          <w:color w:val="auto"/>
          <w:vertAlign w:val="subscript"/>
        </w:rPr>
        <w:t>w</w:t>
      </w:r>
      <w:r w:rsidRPr="004B1F67">
        <w:rPr>
          <w:rStyle w:val="CETCaptionCarattere"/>
          <w:b w:val="0"/>
          <w:bCs w:val="0"/>
          <w:color w:val="auto"/>
        </w:rPr>
        <w:t xml:space="preserve"> </w:t>
      </w:r>
      <w:r w:rsidR="005B5F43" w:rsidRPr="004B1F67">
        <w:rPr>
          <w:rStyle w:val="CETCaptionCarattere"/>
          <w:b w:val="0"/>
          <w:bCs w:val="0"/>
          <w:color w:val="auto"/>
        </w:rPr>
        <w:t xml:space="preserve">(A) </w:t>
      </w:r>
      <w:r w:rsidRPr="004B1F67">
        <w:rPr>
          <w:rStyle w:val="CETCaptionCarattere"/>
          <w:b w:val="0"/>
          <w:bCs w:val="0"/>
          <w:color w:val="auto"/>
        </w:rPr>
        <w:t xml:space="preserve">and pH </w:t>
      </w:r>
      <w:r w:rsidR="005B5F43" w:rsidRPr="004B1F67">
        <w:rPr>
          <w:rStyle w:val="CETCaptionCarattere"/>
          <w:b w:val="0"/>
          <w:bCs w:val="0"/>
          <w:color w:val="auto"/>
        </w:rPr>
        <w:t xml:space="preserve">(B) </w:t>
      </w:r>
      <w:r w:rsidRPr="004B1F67">
        <w:rPr>
          <w:rStyle w:val="CETCaptionCarattere"/>
          <w:b w:val="0"/>
          <w:bCs w:val="0"/>
          <w:color w:val="auto"/>
        </w:rPr>
        <w:t xml:space="preserve">evolution of fresh pork burgers packaged in contact with PLA-PHB coated with different </w:t>
      </w:r>
      <w:bookmarkEnd w:id="1"/>
      <w:r w:rsidRPr="004B1F67">
        <w:rPr>
          <w:rStyle w:val="CETCaptionCarattere"/>
          <w:b w:val="0"/>
          <w:bCs w:val="0"/>
          <w:color w:val="auto"/>
        </w:rPr>
        <w:t xml:space="preserve">coatings (MC, MC+OL, and CT+OL) and stored at 4 °C for 14 days. PLA-PHB: </w:t>
      </w:r>
      <w:r w:rsidR="00DB1C60">
        <w:rPr>
          <w:rStyle w:val="CETCaptionCarattere"/>
          <w:b w:val="0"/>
          <w:bCs w:val="0"/>
          <w:color w:val="auto"/>
        </w:rPr>
        <w:t>burger</w:t>
      </w:r>
      <w:r w:rsidRPr="004B1F67">
        <w:rPr>
          <w:rStyle w:val="CETCaptionCarattere"/>
          <w:b w:val="0"/>
          <w:bCs w:val="0"/>
          <w:color w:val="auto"/>
        </w:rPr>
        <w:t xml:space="preserve"> covered with uncoated film. CONTROL: </w:t>
      </w:r>
      <w:r w:rsidR="00DB1C60">
        <w:rPr>
          <w:rStyle w:val="CETCaptionCarattere"/>
          <w:b w:val="0"/>
          <w:bCs w:val="0"/>
          <w:color w:val="auto"/>
        </w:rPr>
        <w:t>uncoated burger</w:t>
      </w:r>
      <w:r w:rsidRPr="004B1F67">
        <w:rPr>
          <w:rStyle w:val="CETCaptionCarattere"/>
          <w:b w:val="0"/>
          <w:bCs w:val="0"/>
          <w:color w:val="auto"/>
        </w:rPr>
        <w:t>. Error bars indicate ± standard deviation of mean values</w:t>
      </w:r>
      <w:r w:rsidR="003C478C">
        <w:rPr>
          <w:rStyle w:val="CETCaptionCarattere"/>
          <w:b w:val="0"/>
          <w:bCs w:val="0"/>
          <w:color w:val="auto"/>
        </w:rPr>
        <w:t>.</w:t>
      </w:r>
    </w:p>
    <w:p w14:paraId="2C321411" w14:textId="50F5CD21" w:rsidR="005408BE" w:rsidRPr="006C70DA" w:rsidRDefault="00C66206" w:rsidP="00351AFC">
      <w:pPr>
        <w:spacing w:before="120"/>
      </w:pPr>
      <w:r w:rsidRPr="00C66206">
        <w:t>The pH (Figure 1B) increased after 7 days, but with no statistical differences among samples. This trend is probably due to partial degradation of proteins into volatile alkaline nitrogen molecules (</w:t>
      </w:r>
      <w:proofErr w:type="spellStart"/>
      <w:r w:rsidRPr="00C66206">
        <w:t>Tabatabaee</w:t>
      </w:r>
      <w:proofErr w:type="spellEnd"/>
      <w:r w:rsidRPr="00C66206">
        <w:t xml:space="preserve"> </w:t>
      </w:r>
      <w:proofErr w:type="spellStart"/>
      <w:r w:rsidRPr="00C66206">
        <w:t>Bafroee</w:t>
      </w:r>
      <w:proofErr w:type="spellEnd"/>
      <w:r w:rsidRPr="00C66206">
        <w:t xml:space="preserve"> et al., 2020).</w:t>
      </w:r>
      <w:r>
        <w:t xml:space="preserve"> </w:t>
      </w:r>
      <w:r w:rsidR="005408BE" w:rsidRPr="006C70DA">
        <w:t>A similar pH trend over time was observed in other studies</w:t>
      </w:r>
      <w:r w:rsidR="00D968DD" w:rsidRPr="006C70DA">
        <w:t>.</w:t>
      </w:r>
      <w:r w:rsidR="005408BE" w:rsidRPr="006C70DA">
        <w:t xml:space="preserve"> For example, Venkatachalam </w:t>
      </w:r>
      <w:r w:rsidR="006C6115">
        <w:t xml:space="preserve">and </w:t>
      </w:r>
      <w:proofErr w:type="spellStart"/>
      <w:r w:rsidR="006C6115" w:rsidRPr="006C6115">
        <w:t>Lekjing</w:t>
      </w:r>
      <w:proofErr w:type="spellEnd"/>
      <w:r w:rsidR="005408BE" w:rsidRPr="006C70DA">
        <w:t xml:space="preserve"> (2020) reported that the pH of fresh pork burgers, packed in a chitosan-based film with clove essential oil and nisin at different concentrations, increased </w:t>
      </w:r>
      <w:r w:rsidR="00DB1C60" w:rsidRPr="006C70DA">
        <w:t>from</w:t>
      </w:r>
      <w:r w:rsidR="005408BE" w:rsidRPr="006C70DA">
        <w:t xml:space="preserve"> 5.31 to values above 6 during 15 days of storage at 4 °C. </w:t>
      </w:r>
    </w:p>
    <w:p w14:paraId="0ED57788" w14:textId="71B0D370" w:rsidR="005408BE" w:rsidRPr="004B1F67" w:rsidRDefault="005408BE" w:rsidP="00C66206">
      <w:pPr>
        <w:spacing w:after="60"/>
        <w:rPr>
          <w:color w:val="000000" w:themeColor="text1"/>
        </w:rPr>
      </w:pPr>
      <w:r w:rsidRPr="006C70DA">
        <w:rPr>
          <w:color w:val="000000" w:themeColor="text1"/>
        </w:rPr>
        <w:t xml:space="preserve">As shown in </w:t>
      </w:r>
      <w:r w:rsidR="005B5F43" w:rsidRPr="006C70DA">
        <w:rPr>
          <w:color w:val="000000" w:themeColor="text1"/>
        </w:rPr>
        <w:fldChar w:fldCharType="begin"/>
      </w:r>
      <w:r w:rsidR="005B5F43" w:rsidRPr="006C70DA">
        <w:rPr>
          <w:color w:val="000000" w:themeColor="text1"/>
        </w:rPr>
        <w:instrText xml:space="preserve"> REF _Ref78128520 \h  \* MERGEFORMAT </w:instrText>
      </w:r>
      <w:r w:rsidR="005B5F43" w:rsidRPr="006C70DA">
        <w:rPr>
          <w:color w:val="000000" w:themeColor="text1"/>
        </w:rPr>
      </w:r>
      <w:r w:rsidR="005B5F43" w:rsidRPr="006C70DA">
        <w:rPr>
          <w:color w:val="000000" w:themeColor="text1"/>
        </w:rPr>
        <w:fldChar w:fldCharType="separate"/>
      </w:r>
      <w:r w:rsidR="005B5F43" w:rsidRPr="006C70DA">
        <w:rPr>
          <w:color w:val="000000" w:themeColor="text1"/>
          <w:szCs w:val="18"/>
        </w:rPr>
        <w:t xml:space="preserve">Table </w:t>
      </w:r>
      <w:r w:rsidR="005B5F43" w:rsidRPr="006C70DA">
        <w:rPr>
          <w:noProof/>
          <w:color w:val="000000" w:themeColor="text1"/>
          <w:szCs w:val="18"/>
        </w:rPr>
        <w:t>1</w:t>
      </w:r>
      <w:r w:rsidR="005B5F43" w:rsidRPr="006C70DA">
        <w:rPr>
          <w:color w:val="000000" w:themeColor="text1"/>
        </w:rPr>
        <w:fldChar w:fldCharType="end"/>
      </w:r>
      <w:r w:rsidRPr="006C70DA">
        <w:rPr>
          <w:color w:val="000000" w:themeColor="text1"/>
        </w:rPr>
        <w:t xml:space="preserve"> the </w:t>
      </w:r>
      <w:r w:rsidR="005B5F43" w:rsidRPr="006C70DA">
        <w:rPr>
          <w:color w:val="000000" w:themeColor="text1"/>
        </w:rPr>
        <w:t>colour</w:t>
      </w:r>
      <w:r w:rsidRPr="006C70DA">
        <w:rPr>
          <w:color w:val="000000" w:themeColor="text1"/>
        </w:rPr>
        <w:t xml:space="preserve"> of the meat changed during the storage period.</w:t>
      </w:r>
      <w:r w:rsidRPr="004B1F67">
        <w:rPr>
          <w:color w:val="000000" w:themeColor="text1"/>
        </w:rPr>
        <w:t xml:space="preserve"> </w:t>
      </w:r>
    </w:p>
    <w:p w14:paraId="2E575D98" w14:textId="478A48D3" w:rsidR="005408BE" w:rsidRPr="004B1F67" w:rsidRDefault="005408BE" w:rsidP="000F559D">
      <w:pPr>
        <w:pStyle w:val="Didascalia"/>
        <w:keepNext/>
        <w:spacing w:after="120" w:line="264" w:lineRule="auto"/>
        <w:rPr>
          <w:b w:val="0"/>
          <w:bCs w:val="0"/>
          <w:i/>
          <w:iCs/>
          <w:color w:val="000000" w:themeColor="text1"/>
        </w:rPr>
      </w:pPr>
      <w:bookmarkStart w:id="2" w:name="_Ref78128520"/>
      <w:bookmarkStart w:id="3" w:name="_Toc78837612"/>
      <w:r w:rsidRPr="004B1F67">
        <w:rPr>
          <w:b w:val="0"/>
          <w:bCs w:val="0"/>
          <w:i/>
          <w:iCs/>
          <w:color w:val="000000" w:themeColor="text1"/>
        </w:rPr>
        <w:t xml:space="preserve">Table </w:t>
      </w:r>
      <w:r w:rsidRPr="004B1F67">
        <w:rPr>
          <w:b w:val="0"/>
          <w:bCs w:val="0"/>
          <w:i/>
          <w:iCs/>
          <w:color w:val="000000" w:themeColor="text1"/>
        </w:rPr>
        <w:fldChar w:fldCharType="begin"/>
      </w:r>
      <w:r w:rsidRPr="004B1F67">
        <w:rPr>
          <w:b w:val="0"/>
          <w:bCs w:val="0"/>
          <w:i/>
          <w:iCs/>
          <w:color w:val="000000" w:themeColor="text1"/>
        </w:rPr>
        <w:instrText xml:space="preserve"> SEQ Table \* ARABIC </w:instrText>
      </w:r>
      <w:r w:rsidRPr="004B1F67">
        <w:rPr>
          <w:b w:val="0"/>
          <w:bCs w:val="0"/>
          <w:i/>
          <w:iCs/>
          <w:color w:val="000000" w:themeColor="text1"/>
        </w:rPr>
        <w:fldChar w:fldCharType="separate"/>
      </w:r>
      <w:r w:rsidRPr="004B1F67">
        <w:rPr>
          <w:b w:val="0"/>
          <w:bCs w:val="0"/>
          <w:i/>
          <w:iCs/>
          <w:noProof/>
          <w:color w:val="000000" w:themeColor="text1"/>
        </w:rPr>
        <w:t>1</w:t>
      </w:r>
      <w:r w:rsidRPr="004B1F67">
        <w:rPr>
          <w:b w:val="0"/>
          <w:bCs w:val="0"/>
          <w:i/>
          <w:iCs/>
          <w:color w:val="000000" w:themeColor="text1"/>
        </w:rPr>
        <w:fldChar w:fldCharType="end"/>
      </w:r>
      <w:bookmarkEnd w:id="2"/>
      <w:r w:rsidR="005B5F43" w:rsidRPr="004B1F67">
        <w:rPr>
          <w:b w:val="0"/>
          <w:bCs w:val="0"/>
          <w:i/>
          <w:iCs/>
          <w:color w:val="000000" w:themeColor="text1"/>
        </w:rPr>
        <w:t>:</w:t>
      </w:r>
      <w:r w:rsidRPr="004B1F67">
        <w:rPr>
          <w:b w:val="0"/>
          <w:bCs w:val="0"/>
          <w:i/>
          <w:iCs/>
          <w:color w:val="000000" w:themeColor="text1"/>
        </w:rPr>
        <w:t xml:space="preserve"> </w:t>
      </w:r>
      <w:r w:rsidRPr="00A80240">
        <w:rPr>
          <w:b w:val="0"/>
          <w:bCs w:val="0"/>
          <w:i/>
          <w:iCs/>
          <w:color w:val="000000" w:themeColor="text1"/>
        </w:rPr>
        <w:t>Trend</w:t>
      </w:r>
      <w:r w:rsidRPr="004B1F67">
        <w:rPr>
          <w:b w:val="0"/>
          <w:bCs w:val="0"/>
          <w:i/>
          <w:iCs/>
          <w:color w:val="000000" w:themeColor="text1"/>
        </w:rPr>
        <w:t xml:space="preserve"> of a*-</w:t>
      </w:r>
      <w:r w:rsidR="00F84FA5">
        <w:rPr>
          <w:b w:val="0"/>
          <w:bCs w:val="0"/>
          <w:i/>
          <w:iCs/>
          <w:color w:val="000000" w:themeColor="text1"/>
        </w:rPr>
        <w:t xml:space="preserve">, </w:t>
      </w:r>
      <w:r w:rsidR="00F84FA5" w:rsidRPr="00F84FA5">
        <w:rPr>
          <w:b w:val="0"/>
          <w:bCs w:val="0"/>
          <w:i/>
          <w:iCs/>
          <w:color w:val="000000" w:themeColor="text1"/>
        </w:rPr>
        <w:t>L*</w:t>
      </w:r>
      <w:r w:rsidR="00F84FA5">
        <w:rPr>
          <w:b w:val="0"/>
          <w:bCs w:val="0"/>
          <w:i/>
          <w:iCs/>
          <w:color w:val="000000" w:themeColor="text1"/>
        </w:rPr>
        <w:t xml:space="preserve">- and </w:t>
      </w:r>
      <w:r w:rsidR="00F84FA5" w:rsidRPr="00F84FA5">
        <w:rPr>
          <w:b w:val="0"/>
          <w:bCs w:val="0"/>
          <w:i/>
          <w:iCs/>
          <w:color w:val="000000" w:themeColor="text1"/>
        </w:rPr>
        <w:t>b*</w:t>
      </w:r>
      <w:r w:rsidR="00F84FA5">
        <w:rPr>
          <w:b w:val="0"/>
          <w:bCs w:val="0"/>
          <w:i/>
          <w:iCs/>
          <w:color w:val="000000" w:themeColor="text1"/>
        </w:rPr>
        <w:t>-coordinate</w:t>
      </w:r>
      <w:r w:rsidR="007B58F2">
        <w:rPr>
          <w:b w:val="0"/>
          <w:bCs w:val="0"/>
          <w:i/>
          <w:iCs/>
          <w:color w:val="000000" w:themeColor="text1"/>
        </w:rPr>
        <w:t>s</w:t>
      </w:r>
      <w:r w:rsidRPr="004B1F67">
        <w:rPr>
          <w:b w:val="0"/>
          <w:bCs w:val="0"/>
          <w:i/>
          <w:iCs/>
          <w:color w:val="000000" w:themeColor="text1"/>
        </w:rPr>
        <w:t xml:space="preserve"> of fresh </w:t>
      </w:r>
      <w:bookmarkEnd w:id="3"/>
      <w:r w:rsidRPr="004B1F67">
        <w:rPr>
          <w:b w:val="0"/>
          <w:bCs w:val="0"/>
          <w:i/>
          <w:iCs/>
          <w:color w:val="000000" w:themeColor="text1"/>
        </w:rPr>
        <w:t xml:space="preserve">pork burgers packaged in contact with PLA-PHB coated with different coatings (MC, MC+OL, and CT+OL) and stored at 4 °C for 14 days. </w:t>
      </w:r>
      <w:r w:rsidR="0015446B" w:rsidRPr="0015446B">
        <w:rPr>
          <w:b w:val="0"/>
          <w:bCs w:val="0"/>
          <w:i/>
          <w:iCs/>
          <w:color w:val="000000" w:themeColor="text1"/>
        </w:rPr>
        <w:t>PLA-PHB: burger covered with uncoated film. CONTROL: uncoated burger.</w:t>
      </w:r>
      <w:r w:rsidRPr="004B1F67">
        <w:rPr>
          <w:b w:val="0"/>
          <w:bCs w:val="0"/>
          <w:i/>
          <w:iCs/>
          <w:color w:val="000000" w:themeColor="text1"/>
        </w:rPr>
        <w:t xml:space="preserve"> Values expressed as mean ± standard deviation. Different lowercase letters indicate significant differences between samples in the same analysis time. Different capital letters indicate significant sample differences over time</w:t>
      </w:r>
      <w:r w:rsidR="003C478C">
        <w:rPr>
          <w:b w:val="0"/>
          <w:bCs w:val="0"/>
          <w:i/>
          <w:iCs/>
          <w:color w:val="000000" w:themeColor="text1"/>
        </w:rPr>
        <w:t>.</w:t>
      </w:r>
    </w:p>
    <w:tbl>
      <w:tblPr>
        <w:tblStyle w:val="Grigliatabella"/>
        <w:tblW w:w="506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3"/>
        <w:gridCol w:w="1555"/>
        <w:gridCol w:w="1555"/>
        <w:gridCol w:w="1555"/>
        <w:gridCol w:w="1553"/>
      </w:tblGrid>
      <w:tr w:rsidR="003F0544" w:rsidRPr="004B1F67" w14:paraId="70FA68BB" w14:textId="77777777" w:rsidTr="007B58F2">
        <w:trPr>
          <w:jc w:val="center"/>
        </w:trPr>
        <w:tc>
          <w:tcPr>
            <w:tcW w:w="637" w:type="pct"/>
            <w:vMerge w:val="restart"/>
            <w:tcBorders>
              <w:top w:val="single" w:sz="18" w:space="0" w:color="008001"/>
              <w:bottom w:val="single" w:sz="8" w:space="0" w:color="008001"/>
            </w:tcBorders>
            <w:vAlign w:val="center"/>
          </w:tcPr>
          <w:p w14:paraId="064FD150" w14:textId="54173F06" w:rsidR="005408BE" w:rsidRPr="007B58F2" w:rsidRDefault="005408BE" w:rsidP="007B58F2">
            <w:pPr>
              <w:autoSpaceDE w:val="0"/>
              <w:autoSpaceDN w:val="0"/>
              <w:adjustRightInd w:val="0"/>
              <w:spacing w:before="120"/>
              <w:jc w:val="left"/>
              <w:rPr>
                <w:rFonts w:cs="Arial"/>
                <w:sz w:val="16"/>
                <w:szCs w:val="16"/>
              </w:rPr>
            </w:pPr>
            <w:r w:rsidRPr="00010D44">
              <w:rPr>
                <w:rFonts w:cs="Arial"/>
                <w:sz w:val="16"/>
                <w:szCs w:val="16"/>
              </w:rPr>
              <w:t>Time</w:t>
            </w:r>
            <w:r w:rsidR="00407E1A">
              <w:rPr>
                <w:rFonts w:cs="Arial"/>
                <w:sz w:val="16"/>
                <w:szCs w:val="16"/>
              </w:rPr>
              <w:t xml:space="preserve"> </w:t>
            </w:r>
            <w:r w:rsidRPr="00010D44">
              <w:rPr>
                <w:rFonts w:cs="Arial"/>
                <w:sz w:val="16"/>
                <w:szCs w:val="16"/>
              </w:rPr>
              <w:t>(days)</w:t>
            </w:r>
          </w:p>
        </w:tc>
        <w:tc>
          <w:tcPr>
            <w:tcW w:w="4363" w:type="pct"/>
            <w:gridSpan w:val="5"/>
            <w:tcBorders>
              <w:top w:val="single" w:sz="18" w:space="0" w:color="008001"/>
              <w:left w:val="nil"/>
            </w:tcBorders>
            <w:vAlign w:val="center"/>
          </w:tcPr>
          <w:p w14:paraId="3F1DB01F" w14:textId="77777777" w:rsidR="005408BE" w:rsidRPr="00010D44" w:rsidRDefault="005408BE" w:rsidP="003F0544">
            <w:pPr>
              <w:jc w:val="center"/>
              <w:rPr>
                <w:rFonts w:cs="Arial"/>
                <w:i/>
                <w:iCs/>
                <w:sz w:val="16"/>
                <w:szCs w:val="16"/>
              </w:rPr>
            </w:pPr>
            <w:r w:rsidRPr="00010D44">
              <w:rPr>
                <w:rFonts w:cs="Arial"/>
                <w:i/>
                <w:iCs/>
                <w:sz w:val="16"/>
                <w:szCs w:val="16"/>
              </w:rPr>
              <w:t>a*</w:t>
            </w:r>
          </w:p>
        </w:tc>
      </w:tr>
      <w:tr w:rsidR="005B5F43" w:rsidRPr="004B1F67" w14:paraId="79F6290E" w14:textId="77777777" w:rsidTr="007B58F2">
        <w:trPr>
          <w:trHeight w:val="235"/>
          <w:jc w:val="center"/>
        </w:trPr>
        <w:tc>
          <w:tcPr>
            <w:tcW w:w="637" w:type="pct"/>
            <w:vMerge/>
            <w:tcBorders>
              <w:top w:val="single" w:sz="8" w:space="0" w:color="00B050"/>
              <w:bottom w:val="single" w:sz="8" w:space="0" w:color="008001"/>
            </w:tcBorders>
            <w:vAlign w:val="center"/>
          </w:tcPr>
          <w:p w14:paraId="5190B51C" w14:textId="77777777" w:rsidR="005408BE" w:rsidRPr="00010D44" w:rsidRDefault="005408BE" w:rsidP="003F0544">
            <w:pPr>
              <w:jc w:val="left"/>
              <w:rPr>
                <w:rFonts w:cs="Arial"/>
                <w:sz w:val="16"/>
                <w:szCs w:val="16"/>
              </w:rPr>
            </w:pPr>
          </w:p>
        </w:tc>
        <w:tc>
          <w:tcPr>
            <w:tcW w:w="872" w:type="pct"/>
            <w:tcBorders>
              <w:top w:val="single" w:sz="8" w:space="0" w:color="008001"/>
              <w:left w:val="nil"/>
              <w:bottom w:val="single" w:sz="8" w:space="0" w:color="008001"/>
            </w:tcBorders>
            <w:vAlign w:val="center"/>
          </w:tcPr>
          <w:p w14:paraId="3780D1A8" w14:textId="77777777" w:rsidR="005408BE" w:rsidRPr="00010D44" w:rsidRDefault="005408BE" w:rsidP="003F0544">
            <w:pPr>
              <w:jc w:val="center"/>
              <w:rPr>
                <w:rFonts w:cs="Arial"/>
                <w:sz w:val="16"/>
                <w:szCs w:val="16"/>
              </w:rPr>
            </w:pPr>
            <w:r w:rsidRPr="00010D44">
              <w:rPr>
                <w:rFonts w:cs="Arial"/>
                <w:sz w:val="16"/>
                <w:szCs w:val="16"/>
              </w:rPr>
              <w:t>MC</w:t>
            </w:r>
          </w:p>
        </w:tc>
        <w:tc>
          <w:tcPr>
            <w:tcW w:w="873" w:type="pct"/>
            <w:tcBorders>
              <w:top w:val="single" w:sz="8" w:space="0" w:color="008001"/>
              <w:bottom w:val="single" w:sz="8" w:space="0" w:color="008001"/>
            </w:tcBorders>
            <w:vAlign w:val="center"/>
          </w:tcPr>
          <w:p w14:paraId="63F7F5BE" w14:textId="77777777" w:rsidR="005408BE" w:rsidRPr="00010D44" w:rsidRDefault="005408BE" w:rsidP="003F0544">
            <w:pPr>
              <w:jc w:val="center"/>
              <w:rPr>
                <w:rFonts w:cs="Arial"/>
                <w:sz w:val="16"/>
                <w:szCs w:val="16"/>
              </w:rPr>
            </w:pPr>
            <w:r w:rsidRPr="00010D44">
              <w:rPr>
                <w:rFonts w:cs="Arial"/>
                <w:sz w:val="16"/>
                <w:szCs w:val="16"/>
              </w:rPr>
              <w:t>MC+OL</w:t>
            </w:r>
          </w:p>
        </w:tc>
        <w:tc>
          <w:tcPr>
            <w:tcW w:w="873" w:type="pct"/>
            <w:tcBorders>
              <w:top w:val="single" w:sz="8" w:space="0" w:color="008001"/>
              <w:bottom w:val="single" w:sz="8" w:space="0" w:color="008001"/>
            </w:tcBorders>
            <w:vAlign w:val="center"/>
          </w:tcPr>
          <w:p w14:paraId="3A9B6073" w14:textId="77777777" w:rsidR="005408BE" w:rsidRPr="00010D44" w:rsidRDefault="005408BE" w:rsidP="003F0544">
            <w:pPr>
              <w:jc w:val="center"/>
              <w:rPr>
                <w:rFonts w:cs="Arial"/>
                <w:sz w:val="16"/>
                <w:szCs w:val="16"/>
              </w:rPr>
            </w:pPr>
            <w:r w:rsidRPr="00010D44">
              <w:rPr>
                <w:rFonts w:cs="Arial"/>
                <w:sz w:val="16"/>
                <w:szCs w:val="16"/>
              </w:rPr>
              <w:t>CT+OL</w:t>
            </w:r>
          </w:p>
        </w:tc>
        <w:tc>
          <w:tcPr>
            <w:tcW w:w="873" w:type="pct"/>
            <w:tcBorders>
              <w:top w:val="single" w:sz="8" w:space="0" w:color="008001"/>
              <w:bottom w:val="single" w:sz="8" w:space="0" w:color="008001"/>
            </w:tcBorders>
            <w:vAlign w:val="center"/>
          </w:tcPr>
          <w:p w14:paraId="75D0013A" w14:textId="77777777" w:rsidR="005408BE" w:rsidRPr="00010D44" w:rsidRDefault="005408BE" w:rsidP="003F0544">
            <w:pPr>
              <w:jc w:val="center"/>
              <w:rPr>
                <w:rFonts w:cs="Arial"/>
                <w:sz w:val="16"/>
                <w:szCs w:val="16"/>
              </w:rPr>
            </w:pPr>
            <w:r w:rsidRPr="00010D44">
              <w:rPr>
                <w:rFonts w:cs="Arial"/>
                <w:sz w:val="16"/>
                <w:szCs w:val="16"/>
              </w:rPr>
              <w:t>PLA-PHB</w:t>
            </w:r>
          </w:p>
        </w:tc>
        <w:tc>
          <w:tcPr>
            <w:tcW w:w="872" w:type="pct"/>
            <w:tcBorders>
              <w:top w:val="single" w:sz="8" w:space="0" w:color="008001"/>
              <w:bottom w:val="single" w:sz="8" w:space="0" w:color="008001"/>
            </w:tcBorders>
            <w:vAlign w:val="center"/>
          </w:tcPr>
          <w:p w14:paraId="47CC0C06" w14:textId="77777777" w:rsidR="005408BE" w:rsidRPr="00010D44" w:rsidRDefault="005408BE" w:rsidP="003F0544">
            <w:pPr>
              <w:jc w:val="center"/>
              <w:rPr>
                <w:rFonts w:cs="Arial"/>
                <w:sz w:val="16"/>
                <w:szCs w:val="16"/>
              </w:rPr>
            </w:pPr>
            <w:r w:rsidRPr="00010D44">
              <w:rPr>
                <w:rFonts w:cs="Arial"/>
                <w:sz w:val="16"/>
                <w:szCs w:val="16"/>
              </w:rPr>
              <w:t>CONTROL</w:t>
            </w:r>
          </w:p>
        </w:tc>
      </w:tr>
      <w:tr w:rsidR="003F0544" w:rsidRPr="004B1F67" w14:paraId="288E64CF" w14:textId="77777777" w:rsidTr="007B58F2">
        <w:trPr>
          <w:jc w:val="center"/>
        </w:trPr>
        <w:tc>
          <w:tcPr>
            <w:tcW w:w="637" w:type="pct"/>
            <w:tcBorders>
              <w:top w:val="single" w:sz="8" w:space="0" w:color="008001"/>
            </w:tcBorders>
            <w:vAlign w:val="center"/>
          </w:tcPr>
          <w:p w14:paraId="7391E6FC" w14:textId="77777777" w:rsidR="005408BE" w:rsidRPr="00010D44" w:rsidRDefault="005408BE" w:rsidP="003F0544">
            <w:pPr>
              <w:jc w:val="left"/>
              <w:rPr>
                <w:rFonts w:cs="Arial"/>
                <w:sz w:val="16"/>
                <w:szCs w:val="16"/>
              </w:rPr>
            </w:pPr>
            <w:r w:rsidRPr="00010D44">
              <w:rPr>
                <w:rFonts w:cs="Arial"/>
                <w:sz w:val="16"/>
                <w:szCs w:val="16"/>
              </w:rPr>
              <w:t>0</w:t>
            </w:r>
          </w:p>
        </w:tc>
        <w:tc>
          <w:tcPr>
            <w:tcW w:w="872" w:type="pct"/>
            <w:tcBorders>
              <w:top w:val="single" w:sz="8" w:space="0" w:color="008001"/>
              <w:left w:val="nil"/>
            </w:tcBorders>
            <w:vAlign w:val="center"/>
          </w:tcPr>
          <w:p w14:paraId="3F5736C6" w14:textId="77777777" w:rsidR="005408BE" w:rsidRPr="00010D44" w:rsidRDefault="005408BE" w:rsidP="003F0544">
            <w:pPr>
              <w:jc w:val="center"/>
              <w:rPr>
                <w:rFonts w:cs="Arial"/>
                <w:sz w:val="16"/>
                <w:szCs w:val="16"/>
                <w:vertAlign w:val="superscript"/>
              </w:rPr>
            </w:pPr>
            <w:r w:rsidRPr="00010D44">
              <w:rPr>
                <w:rFonts w:cs="Arial"/>
                <w:sz w:val="16"/>
                <w:szCs w:val="16"/>
              </w:rPr>
              <w:t>12.36 ± 2.20</w:t>
            </w:r>
            <w:r w:rsidRPr="00010D44">
              <w:rPr>
                <w:rFonts w:cs="Arial"/>
                <w:sz w:val="16"/>
                <w:szCs w:val="16"/>
                <w:vertAlign w:val="superscript"/>
              </w:rPr>
              <w:t>aA</w:t>
            </w:r>
          </w:p>
        </w:tc>
        <w:tc>
          <w:tcPr>
            <w:tcW w:w="873" w:type="pct"/>
            <w:tcBorders>
              <w:top w:val="single" w:sz="8" w:space="0" w:color="008001"/>
            </w:tcBorders>
            <w:vAlign w:val="center"/>
          </w:tcPr>
          <w:p w14:paraId="0FDD330F" w14:textId="77777777" w:rsidR="005408BE" w:rsidRPr="00010D44" w:rsidRDefault="005408BE" w:rsidP="003F0544">
            <w:pPr>
              <w:jc w:val="center"/>
              <w:rPr>
                <w:rFonts w:cs="Arial"/>
                <w:sz w:val="16"/>
                <w:szCs w:val="16"/>
                <w:vertAlign w:val="superscript"/>
              </w:rPr>
            </w:pPr>
            <w:r w:rsidRPr="00010D44">
              <w:rPr>
                <w:rFonts w:cs="Arial"/>
                <w:sz w:val="16"/>
                <w:szCs w:val="16"/>
              </w:rPr>
              <w:t>12.36 ± 2.20</w:t>
            </w:r>
            <w:r w:rsidRPr="00010D44">
              <w:rPr>
                <w:rFonts w:cs="Arial"/>
                <w:sz w:val="16"/>
                <w:szCs w:val="16"/>
                <w:vertAlign w:val="superscript"/>
              </w:rPr>
              <w:t>aA</w:t>
            </w:r>
          </w:p>
        </w:tc>
        <w:tc>
          <w:tcPr>
            <w:tcW w:w="873" w:type="pct"/>
            <w:tcBorders>
              <w:top w:val="single" w:sz="8" w:space="0" w:color="008001"/>
            </w:tcBorders>
            <w:vAlign w:val="center"/>
          </w:tcPr>
          <w:p w14:paraId="33FC73DB" w14:textId="77777777" w:rsidR="005408BE" w:rsidRPr="00010D44" w:rsidRDefault="005408BE" w:rsidP="003F0544">
            <w:pPr>
              <w:jc w:val="center"/>
              <w:rPr>
                <w:rFonts w:cs="Arial"/>
                <w:sz w:val="16"/>
                <w:szCs w:val="16"/>
                <w:vertAlign w:val="superscript"/>
              </w:rPr>
            </w:pPr>
            <w:r w:rsidRPr="00010D44">
              <w:rPr>
                <w:rFonts w:cs="Arial"/>
                <w:sz w:val="16"/>
                <w:szCs w:val="16"/>
              </w:rPr>
              <w:t>12.36 ± 2.20</w:t>
            </w:r>
            <w:r w:rsidRPr="00010D44">
              <w:rPr>
                <w:rFonts w:cs="Arial"/>
                <w:sz w:val="16"/>
                <w:szCs w:val="16"/>
                <w:vertAlign w:val="superscript"/>
              </w:rPr>
              <w:t>aA</w:t>
            </w:r>
          </w:p>
        </w:tc>
        <w:tc>
          <w:tcPr>
            <w:tcW w:w="873" w:type="pct"/>
            <w:tcBorders>
              <w:top w:val="single" w:sz="8" w:space="0" w:color="008001"/>
            </w:tcBorders>
            <w:vAlign w:val="center"/>
          </w:tcPr>
          <w:p w14:paraId="76F5753E" w14:textId="77777777" w:rsidR="005408BE" w:rsidRPr="00010D44" w:rsidRDefault="005408BE" w:rsidP="003F0544">
            <w:pPr>
              <w:jc w:val="center"/>
              <w:rPr>
                <w:rFonts w:cs="Arial"/>
                <w:sz w:val="16"/>
                <w:szCs w:val="16"/>
                <w:vertAlign w:val="superscript"/>
              </w:rPr>
            </w:pPr>
            <w:r w:rsidRPr="00010D44">
              <w:rPr>
                <w:rFonts w:cs="Arial"/>
                <w:sz w:val="16"/>
                <w:szCs w:val="16"/>
              </w:rPr>
              <w:t>12.36 ± 2.20</w:t>
            </w:r>
            <w:r w:rsidRPr="00010D44">
              <w:rPr>
                <w:rFonts w:cs="Arial"/>
                <w:sz w:val="16"/>
                <w:szCs w:val="16"/>
                <w:vertAlign w:val="superscript"/>
              </w:rPr>
              <w:t>aA</w:t>
            </w:r>
          </w:p>
        </w:tc>
        <w:tc>
          <w:tcPr>
            <w:tcW w:w="872" w:type="pct"/>
            <w:tcBorders>
              <w:top w:val="single" w:sz="8" w:space="0" w:color="008001"/>
            </w:tcBorders>
            <w:vAlign w:val="center"/>
          </w:tcPr>
          <w:p w14:paraId="419FBFD0" w14:textId="77777777" w:rsidR="005408BE" w:rsidRPr="00010D44" w:rsidRDefault="005408BE" w:rsidP="003F0544">
            <w:pPr>
              <w:jc w:val="center"/>
              <w:rPr>
                <w:rFonts w:cs="Arial"/>
                <w:sz w:val="16"/>
                <w:szCs w:val="16"/>
                <w:vertAlign w:val="superscript"/>
              </w:rPr>
            </w:pPr>
            <w:r w:rsidRPr="00010D44">
              <w:rPr>
                <w:rFonts w:cs="Arial"/>
                <w:sz w:val="16"/>
                <w:szCs w:val="16"/>
              </w:rPr>
              <w:t>12.36 ± 2.20</w:t>
            </w:r>
            <w:r w:rsidRPr="00010D44">
              <w:rPr>
                <w:rFonts w:cs="Arial"/>
                <w:sz w:val="16"/>
                <w:szCs w:val="16"/>
                <w:vertAlign w:val="superscript"/>
              </w:rPr>
              <w:t>aA</w:t>
            </w:r>
          </w:p>
        </w:tc>
      </w:tr>
      <w:tr w:rsidR="005408BE" w:rsidRPr="004B1F67" w14:paraId="4606F211" w14:textId="77777777" w:rsidTr="007B58F2">
        <w:trPr>
          <w:jc w:val="center"/>
        </w:trPr>
        <w:tc>
          <w:tcPr>
            <w:tcW w:w="637" w:type="pct"/>
            <w:vAlign w:val="center"/>
          </w:tcPr>
          <w:p w14:paraId="79BE0F4B" w14:textId="77777777" w:rsidR="005408BE" w:rsidRPr="00010D44" w:rsidRDefault="005408BE" w:rsidP="003F0544">
            <w:pPr>
              <w:jc w:val="left"/>
              <w:rPr>
                <w:rFonts w:cs="Arial"/>
                <w:sz w:val="16"/>
                <w:szCs w:val="16"/>
              </w:rPr>
            </w:pPr>
            <w:r w:rsidRPr="00010D44">
              <w:rPr>
                <w:rFonts w:cs="Arial"/>
                <w:sz w:val="16"/>
                <w:szCs w:val="16"/>
              </w:rPr>
              <w:t>2</w:t>
            </w:r>
          </w:p>
        </w:tc>
        <w:tc>
          <w:tcPr>
            <w:tcW w:w="872" w:type="pct"/>
            <w:tcBorders>
              <w:left w:val="nil"/>
            </w:tcBorders>
            <w:vAlign w:val="center"/>
          </w:tcPr>
          <w:p w14:paraId="0B5DB5FF" w14:textId="77777777" w:rsidR="005408BE" w:rsidRPr="00010D44" w:rsidRDefault="005408BE" w:rsidP="003F0544">
            <w:pPr>
              <w:jc w:val="center"/>
              <w:rPr>
                <w:rFonts w:cs="Arial"/>
                <w:sz w:val="16"/>
                <w:szCs w:val="16"/>
                <w:vertAlign w:val="superscript"/>
              </w:rPr>
            </w:pPr>
            <w:r w:rsidRPr="00010D44">
              <w:rPr>
                <w:rFonts w:cs="Arial"/>
                <w:sz w:val="16"/>
                <w:szCs w:val="16"/>
              </w:rPr>
              <w:t>10.67 ± 2.54</w:t>
            </w:r>
            <w:r w:rsidRPr="00010D44">
              <w:rPr>
                <w:rFonts w:cs="Arial"/>
                <w:sz w:val="16"/>
                <w:szCs w:val="16"/>
                <w:vertAlign w:val="superscript"/>
              </w:rPr>
              <w:t>aAB</w:t>
            </w:r>
          </w:p>
        </w:tc>
        <w:tc>
          <w:tcPr>
            <w:tcW w:w="873" w:type="pct"/>
            <w:vAlign w:val="center"/>
          </w:tcPr>
          <w:p w14:paraId="251BB3F5" w14:textId="77777777" w:rsidR="005408BE" w:rsidRPr="00010D44" w:rsidRDefault="005408BE" w:rsidP="003F0544">
            <w:pPr>
              <w:jc w:val="center"/>
              <w:rPr>
                <w:rFonts w:cs="Arial"/>
                <w:sz w:val="16"/>
                <w:szCs w:val="16"/>
                <w:vertAlign w:val="superscript"/>
              </w:rPr>
            </w:pPr>
            <w:r w:rsidRPr="00010D44">
              <w:rPr>
                <w:rFonts w:cs="Arial"/>
                <w:sz w:val="16"/>
                <w:szCs w:val="16"/>
              </w:rPr>
              <w:t>8.89 ± 2.13</w:t>
            </w:r>
            <w:r w:rsidRPr="00010D44">
              <w:rPr>
                <w:rFonts w:cs="Arial"/>
                <w:sz w:val="16"/>
                <w:szCs w:val="16"/>
                <w:vertAlign w:val="superscript"/>
              </w:rPr>
              <w:t>aA</w:t>
            </w:r>
          </w:p>
        </w:tc>
        <w:tc>
          <w:tcPr>
            <w:tcW w:w="873" w:type="pct"/>
            <w:vAlign w:val="center"/>
          </w:tcPr>
          <w:p w14:paraId="32D379F3" w14:textId="77777777" w:rsidR="005408BE" w:rsidRPr="00010D44" w:rsidRDefault="005408BE" w:rsidP="003F0544">
            <w:pPr>
              <w:jc w:val="center"/>
              <w:rPr>
                <w:rFonts w:cs="Arial"/>
                <w:sz w:val="16"/>
                <w:szCs w:val="16"/>
                <w:vertAlign w:val="superscript"/>
              </w:rPr>
            </w:pPr>
            <w:r w:rsidRPr="00010D44">
              <w:rPr>
                <w:rFonts w:cs="Arial"/>
                <w:sz w:val="16"/>
                <w:szCs w:val="16"/>
              </w:rPr>
              <w:t>9.86 ± 2.07</w:t>
            </w:r>
            <w:r w:rsidRPr="00010D44">
              <w:rPr>
                <w:rFonts w:cs="Arial"/>
                <w:sz w:val="16"/>
                <w:szCs w:val="16"/>
                <w:vertAlign w:val="superscript"/>
              </w:rPr>
              <w:t>aA</w:t>
            </w:r>
          </w:p>
        </w:tc>
        <w:tc>
          <w:tcPr>
            <w:tcW w:w="873" w:type="pct"/>
            <w:vAlign w:val="center"/>
          </w:tcPr>
          <w:p w14:paraId="75FA1EBD" w14:textId="77777777" w:rsidR="005408BE" w:rsidRPr="00010D44" w:rsidRDefault="005408BE" w:rsidP="003F0544">
            <w:pPr>
              <w:jc w:val="center"/>
              <w:rPr>
                <w:rFonts w:cs="Arial"/>
                <w:sz w:val="16"/>
                <w:szCs w:val="16"/>
                <w:vertAlign w:val="superscript"/>
              </w:rPr>
            </w:pPr>
            <w:r w:rsidRPr="00010D44">
              <w:rPr>
                <w:rFonts w:cs="Arial"/>
                <w:sz w:val="16"/>
                <w:szCs w:val="16"/>
              </w:rPr>
              <w:t>9.09 ± 1.61</w:t>
            </w:r>
            <w:r w:rsidRPr="00010D44">
              <w:rPr>
                <w:rFonts w:cs="Arial"/>
                <w:sz w:val="16"/>
                <w:szCs w:val="16"/>
                <w:vertAlign w:val="superscript"/>
              </w:rPr>
              <w:t>aA</w:t>
            </w:r>
          </w:p>
        </w:tc>
        <w:tc>
          <w:tcPr>
            <w:tcW w:w="872" w:type="pct"/>
            <w:vAlign w:val="center"/>
          </w:tcPr>
          <w:p w14:paraId="177A3319" w14:textId="77777777" w:rsidR="005408BE" w:rsidRPr="00010D44" w:rsidRDefault="005408BE" w:rsidP="003F0544">
            <w:pPr>
              <w:jc w:val="center"/>
              <w:rPr>
                <w:rFonts w:cs="Arial"/>
                <w:sz w:val="16"/>
                <w:szCs w:val="16"/>
                <w:vertAlign w:val="superscript"/>
              </w:rPr>
            </w:pPr>
            <w:r w:rsidRPr="00010D44">
              <w:rPr>
                <w:rFonts w:cs="Arial"/>
                <w:sz w:val="16"/>
                <w:szCs w:val="16"/>
              </w:rPr>
              <w:t>8.87 ± 1.74</w:t>
            </w:r>
            <w:r w:rsidRPr="00010D44">
              <w:rPr>
                <w:rFonts w:cs="Arial"/>
                <w:sz w:val="16"/>
                <w:szCs w:val="16"/>
                <w:vertAlign w:val="superscript"/>
              </w:rPr>
              <w:t>aAB</w:t>
            </w:r>
          </w:p>
        </w:tc>
      </w:tr>
      <w:tr w:rsidR="005408BE" w:rsidRPr="004B1F67" w14:paraId="1BE63AE7" w14:textId="77777777" w:rsidTr="007B58F2">
        <w:trPr>
          <w:jc w:val="center"/>
        </w:trPr>
        <w:tc>
          <w:tcPr>
            <w:tcW w:w="637" w:type="pct"/>
            <w:vAlign w:val="center"/>
          </w:tcPr>
          <w:p w14:paraId="1381418F" w14:textId="77777777" w:rsidR="005408BE" w:rsidRPr="00010D44" w:rsidRDefault="005408BE" w:rsidP="003F0544">
            <w:pPr>
              <w:jc w:val="left"/>
              <w:rPr>
                <w:rFonts w:cs="Arial"/>
                <w:sz w:val="16"/>
                <w:szCs w:val="16"/>
              </w:rPr>
            </w:pPr>
            <w:r w:rsidRPr="00010D44">
              <w:rPr>
                <w:rFonts w:cs="Arial"/>
                <w:sz w:val="16"/>
                <w:szCs w:val="16"/>
              </w:rPr>
              <w:t>5</w:t>
            </w:r>
          </w:p>
        </w:tc>
        <w:tc>
          <w:tcPr>
            <w:tcW w:w="872" w:type="pct"/>
            <w:tcBorders>
              <w:left w:val="nil"/>
            </w:tcBorders>
            <w:vAlign w:val="center"/>
          </w:tcPr>
          <w:p w14:paraId="60BCB415" w14:textId="77777777" w:rsidR="005408BE" w:rsidRPr="00010D44" w:rsidRDefault="005408BE" w:rsidP="003F0544">
            <w:pPr>
              <w:jc w:val="center"/>
              <w:rPr>
                <w:rFonts w:cs="Arial"/>
                <w:sz w:val="16"/>
                <w:szCs w:val="16"/>
                <w:vertAlign w:val="superscript"/>
              </w:rPr>
            </w:pPr>
            <w:r w:rsidRPr="00010D44">
              <w:rPr>
                <w:rFonts w:cs="Arial"/>
                <w:sz w:val="16"/>
                <w:szCs w:val="16"/>
              </w:rPr>
              <w:t>9.81 ± 1.85</w:t>
            </w:r>
            <w:r w:rsidRPr="00010D44">
              <w:rPr>
                <w:rFonts w:cs="Arial"/>
                <w:sz w:val="16"/>
                <w:szCs w:val="16"/>
                <w:vertAlign w:val="superscript"/>
              </w:rPr>
              <w:t>aAB</w:t>
            </w:r>
          </w:p>
        </w:tc>
        <w:tc>
          <w:tcPr>
            <w:tcW w:w="873" w:type="pct"/>
            <w:vAlign w:val="center"/>
          </w:tcPr>
          <w:p w14:paraId="42557F1E" w14:textId="77777777" w:rsidR="005408BE" w:rsidRPr="00010D44" w:rsidRDefault="005408BE" w:rsidP="003F0544">
            <w:pPr>
              <w:jc w:val="center"/>
              <w:rPr>
                <w:rFonts w:cs="Arial"/>
                <w:sz w:val="16"/>
                <w:szCs w:val="16"/>
                <w:vertAlign w:val="superscript"/>
              </w:rPr>
            </w:pPr>
            <w:r w:rsidRPr="00010D44">
              <w:rPr>
                <w:rFonts w:cs="Arial"/>
                <w:sz w:val="16"/>
                <w:szCs w:val="16"/>
              </w:rPr>
              <w:t>9.57 ± 2.43</w:t>
            </w:r>
            <w:r w:rsidRPr="00010D44">
              <w:rPr>
                <w:rFonts w:cs="Arial"/>
                <w:sz w:val="16"/>
                <w:szCs w:val="16"/>
                <w:vertAlign w:val="superscript"/>
              </w:rPr>
              <w:t>aA</w:t>
            </w:r>
          </w:p>
        </w:tc>
        <w:tc>
          <w:tcPr>
            <w:tcW w:w="873" w:type="pct"/>
            <w:vAlign w:val="center"/>
          </w:tcPr>
          <w:p w14:paraId="64FA748B" w14:textId="77777777" w:rsidR="005408BE" w:rsidRPr="00010D44" w:rsidRDefault="005408BE" w:rsidP="003F0544">
            <w:pPr>
              <w:jc w:val="center"/>
              <w:rPr>
                <w:rFonts w:cs="Arial"/>
                <w:sz w:val="16"/>
                <w:szCs w:val="16"/>
                <w:vertAlign w:val="superscript"/>
              </w:rPr>
            </w:pPr>
            <w:r w:rsidRPr="00010D44">
              <w:rPr>
                <w:rFonts w:cs="Arial"/>
                <w:sz w:val="16"/>
                <w:szCs w:val="16"/>
              </w:rPr>
              <w:t>10.66 ± 1.29</w:t>
            </w:r>
            <w:r w:rsidRPr="00010D44">
              <w:rPr>
                <w:rFonts w:cs="Arial"/>
                <w:sz w:val="16"/>
                <w:szCs w:val="16"/>
                <w:vertAlign w:val="superscript"/>
              </w:rPr>
              <w:t>aA</w:t>
            </w:r>
          </w:p>
        </w:tc>
        <w:tc>
          <w:tcPr>
            <w:tcW w:w="873" w:type="pct"/>
            <w:vAlign w:val="center"/>
          </w:tcPr>
          <w:p w14:paraId="7755DFBF" w14:textId="77777777" w:rsidR="005408BE" w:rsidRPr="00010D44" w:rsidRDefault="005408BE" w:rsidP="003F0544">
            <w:pPr>
              <w:jc w:val="center"/>
              <w:rPr>
                <w:rFonts w:cs="Arial"/>
                <w:sz w:val="16"/>
                <w:szCs w:val="16"/>
                <w:vertAlign w:val="superscript"/>
              </w:rPr>
            </w:pPr>
            <w:r w:rsidRPr="00010D44">
              <w:rPr>
                <w:rFonts w:cs="Arial"/>
                <w:sz w:val="16"/>
                <w:szCs w:val="16"/>
              </w:rPr>
              <w:t>9.25 ± 1.96</w:t>
            </w:r>
            <w:r w:rsidRPr="00010D44">
              <w:rPr>
                <w:rFonts w:cs="Arial"/>
                <w:sz w:val="16"/>
                <w:szCs w:val="16"/>
                <w:vertAlign w:val="superscript"/>
              </w:rPr>
              <w:t>aA</w:t>
            </w:r>
          </w:p>
        </w:tc>
        <w:tc>
          <w:tcPr>
            <w:tcW w:w="872" w:type="pct"/>
            <w:vAlign w:val="center"/>
          </w:tcPr>
          <w:p w14:paraId="347587C4" w14:textId="77777777" w:rsidR="005408BE" w:rsidRPr="00010D44" w:rsidRDefault="005408BE" w:rsidP="003F0544">
            <w:pPr>
              <w:jc w:val="center"/>
              <w:rPr>
                <w:rFonts w:cs="Arial"/>
                <w:sz w:val="16"/>
                <w:szCs w:val="16"/>
                <w:vertAlign w:val="superscript"/>
              </w:rPr>
            </w:pPr>
            <w:r w:rsidRPr="00010D44">
              <w:rPr>
                <w:rFonts w:cs="Arial"/>
                <w:sz w:val="16"/>
                <w:szCs w:val="16"/>
              </w:rPr>
              <w:t>7.73 ± 1.37</w:t>
            </w:r>
            <w:r w:rsidRPr="00010D44">
              <w:rPr>
                <w:rFonts w:cs="Arial"/>
                <w:sz w:val="16"/>
                <w:szCs w:val="16"/>
                <w:vertAlign w:val="superscript"/>
              </w:rPr>
              <w:t>aB</w:t>
            </w:r>
          </w:p>
        </w:tc>
      </w:tr>
      <w:tr w:rsidR="005408BE" w:rsidRPr="004B1F67" w14:paraId="35DABEB1" w14:textId="77777777" w:rsidTr="007B58F2">
        <w:trPr>
          <w:jc w:val="center"/>
        </w:trPr>
        <w:tc>
          <w:tcPr>
            <w:tcW w:w="637" w:type="pct"/>
            <w:vAlign w:val="center"/>
          </w:tcPr>
          <w:p w14:paraId="6A6E7B72" w14:textId="77777777" w:rsidR="005408BE" w:rsidRPr="00010D44" w:rsidRDefault="005408BE" w:rsidP="003F0544">
            <w:pPr>
              <w:jc w:val="left"/>
              <w:rPr>
                <w:rFonts w:cs="Arial"/>
                <w:sz w:val="16"/>
                <w:szCs w:val="16"/>
              </w:rPr>
            </w:pPr>
            <w:r w:rsidRPr="00010D44">
              <w:rPr>
                <w:rFonts w:cs="Arial"/>
                <w:sz w:val="16"/>
                <w:szCs w:val="16"/>
              </w:rPr>
              <w:t>7</w:t>
            </w:r>
          </w:p>
        </w:tc>
        <w:tc>
          <w:tcPr>
            <w:tcW w:w="872" w:type="pct"/>
            <w:tcBorders>
              <w:left w:val="nil"/>
            </w:tcBorders>
            <w:vAlign w:val="center"/>
          </w:tcPr>
          <w:p w14:paraId="2B82A1DA" w14:textId="77777777" w:rsidR="005408BE" w:rsidRPr="00010D44" w:rsidRDefault="005408BE" w:rsidP="003F0544">
            <w:pPr>
              <w:jc w:val="center"/>
              <w:rPr>
                <w:rFonts w:cs="Arial"/>
                <w:sz w:val="16"/>
                <w:szCs w:val="16"/>
                <w:vertAlign w:val="superscript"/>
              </w:rPr>
            </w:pPr>
            <w:r w:rsidRPr="00010D44">
              <w:rPr>
                <w:rFonts w:cs="Arial"/>
                <w:sz w:val="16"/>
                <w:szCs w:val="16"/>
              </w:rPr>
              <w:t>10.59 ± 1.28</w:t>
            </w:r>
            <w:r w:rsidRPr="00010D44">
              <w:rPr>
                <w:rFonts w:cs="Arial"/>
                <w:sz w:val="16"/>
                <w:szCs w:val="16"/>
                <w:vertAlign w:val="superscript"/>
              </w:rPr>
              <w:t>aAB</w:t>
            </w:r>
          </w:p>
        </w:tc>
        <w:tc>
          <w:tcPr>
            <w:tcW w:w="873" w:type="pct"/>
            <w:vAlign w:val="center"/>
          </w:tcPr>
          <w:p w14:paraId="4D87EF14" w14:textId="77777777" w:rsidR="005408BE" w:rsidRPr="00010D44" w:rsidRDefault="005408BE" w:rsidP="003F0544">
            <w:pPr>
              <w:jc w:val="center"/>
              <w:rPr>
                <w:rFonts w:cs="Arial"/>
                <w:sz w:val="16"/>
                <w:szCs w:val="16"/>
                <w:vertAlign w:val="superscript"/>
              </w:rPr>
            </w:pPr>
            <w:r w:rsidRPr="00010D44">
              <w:rPr>
                <w:rFonts w:cs="Arial"/>
                <w:sz w:val="16"/>
                <w:szCs w:val="16"/>
              </w:rPr>
              <w:t>10.46 ± 0.87</w:t>
            </w:r>
            <w:r w:rsidRPr="00010D44">
              <w:rPr>
                <w:rFonts w:cs="Arial"/>
                <w:sz w:val="16"/>
                <w:szCs w:val="16"/>
                <w:vertAlign w:val="superscript"/>
              </w:rPr>
              <w:t>aA</w:t>
            </w:r>
          </w:p>
        </w:tc>
        <w:tc>
          <w:tcPr>
            <w:tcW w:w="873" w:type="pct"/>
            <w:vAlign w:val="center"/>
          </w:tcPr>
          <w:p w14:paraId="72EBA5A8" w14:textId="77777777" w:rsidR="005408BE" w:rsidRPr="00010D44" w:rsidRDefault="005408BE" w:rsidP="003F0544">
            <w:pPr>
              <w:jc w:val="center"/>
              <w:rPr>
                <w:rFonts w:cs="Arial"/>
                <w:sz w:val="16"/>
                <w:szCs w:val="16"/>
                <w:vertAlign w:val="superscript"/>
              </w:rPr>
            </w:pPr>
            <w:r w:rsidRPr="00010D44">
              <w:rPr>
                <w:rFonts w:cs="Arial"/>
                <w:sz w:val="16"/>
                <w:szCs w:val="16"/>
              </w:rPr>
              <w:t>9.48 ± 1.79</w:t>
            </w:r>
            <w:r w:rsidRPr="00010D44">
              <w:rPr>
                <w:rFonts w:cs="Arial"/>
                <w:sz w:val="16"/>
                <w:szCs w:val="16"/>
                <w:vertAlign w:val="superscript"/>
              </w:rPr>
              <w:t>aA</w:t>
            </w:r>
          </w:p>
        </w:tc>
        <w:tc>
          <w:tcPr>
            <w:tcW w:w="873" w:type="pct"/>
            <w:vAlign w:val="center"/>
          </w:tcPr>
          <w:p w14:paraId="553F249A" w14:textId="77777777" w:rsidR="005408BE" w:rsidRPr="00010D44" w:rsidRDefault="005408BE" w:rsidP="003F0544">
            <w:pPr>
              <w:jc w:val="center"/>
              <w:rPr>
                <w:rFonts w:cs="Arial"/>
                <w:sz w:val="16"/>
                <w:szCs w:val="16"/>
                <w:vertAlign w:val="superscript"/>
              </w:rPr>
            </w:pPr>
            <w:r w:rsidRPr="00010D44">
              <w:rPr>
                <w:rFonts w:cs="Arial"/>
                <w:sz w:val="16"/>
                <w:szCs w:val="16"/>
              </w:rPr>
              <w:t>9.82 ± 1.67</w:t>
            </w:r>
            <w:r w:rsidRPr="00010D44">
              <w:rPr>
                <w:rFonts w:cs="Arial"/>
                <w:sz w:val="16"/>
                <w:szCs w:val="16"/>
                <w:vertAlign w:val="superscript"/>
              </w:rPr>
              <w:t>aA</w:t>
            </w:r>
          </w:p>
        </w:tc>
        <w:tc>
          <w:tcPr>
            <w:tcW w:w="872" w:type="pct"/>
            <w:vAlign w:val="center"/>
          </w:tcPr>
          <w:p w14:paraId="726C0A79" w14:textId="77777777" w:rsidR="005408BE" w:rsidRPr="00010D44" w:rsidRDefault="005408BE" w:rsidP="003F0544">
            <w:pPr>
              <w:jc w:val="center"/>
              <w:rPr>
                <w:rFonts w:cs="Arial"/>
                <w:sz w:val="16"/>
                <w:szCs w:val="16"/>
                <w:vertAlign w:val="superscript"/>
              </w:rPr>
            </w:pPr>
            <w:r w:rsidRPr="00010D44">
              <w:rPr>
                <w:rFonts w:cs="Arial"/>
                <w:sz w:val="16"/>
                <w:szCs w:val="16"/>
              </w:rPr>
              <w:t>8.93 ± 0.97</w:t>
            </w:r>
            <w:r w:rsidRPr="00010D44">
              <w:rPr>
                <w:rFonts w:cs="Arial"/>
                <w:sz w:val="16"/>
                <w:szCs w:val="16"/>
                <w:vertAlign w:val="superscript"/>
              </w:rPr>
              <w:t>aAB</w:t>
            </w:r>
          </w:p>
        </w:tc>
      </w:tr>
      <w:tr w:rsidR="005408BE" w:rsidRPr="004B1F67" w14:paraId="7B9C1CB0" w14:textId="77777777" w:rsidTr="007B58F2">
        <w:trPr>
          <w:jc w:val="center"/>
        </w:trPr>
        <w:tc>
          <w:tcPr>
            <w:tcW w:w="637" w:type="pct"/>
            <w:vAlign w:val="center"/>
          </w:tcPr>
          <w:p w14:paraId="23D25429" w14:textId="77777777" w:rsidR="005408BE" w:rsidRPr="00010D44" w:rsidRDefault="005408BE" w:rsidP="003F0544">
            <w:pPr>
              <w:jc w:val="left"/>
              <w:rPr>
                <w:rFonts w:cs="Arial"/>
                <w:sz w:val="16"/>
                <w:szCs w:val="16"/>
              </w:rPr>
            </w:pPr>
            <w:r w:rsidRPr="00010D44">
              <w:rPr>
                <w:rFonts w:cs="Arial"/>
                <w:sz w:val="16"/>
                <w:szCs w:val="16"/>
              </w:rPr>
              <w:t>9</w:t>
            </w:r>
          </w:p>
        </w:tc>
        <w:tc>
          <w:tcPr>
            <w:tcW w:w="872" w:type="pct"/>
            <w:tcBorders>
              <w:left w:val="nil"/>
            </w:tcBorders>
            <w:vAlign w:val="center"/>
          </w:tcPr>
          <w:p w14:paraId="56F363C9" w14:textId="77777777" w:rsidR="005408BE" w:rsidRPr="00010D44" w:rsidRDefault="005408BE" w:rsidP="003F0544">
            <w:pPr>
              <w:jc w:val="center"/>
              <w:rPr>
                <w:rFonts w:cs="Arial"/>
                <w:sz w:val="16"/>
                <w:szCs w:val="16"/>
                <w:vertAlign w:val="superscript"/>
              </w:rPr>
            </w:pPr>
            <w:r w:rsidRPr="00010D44">
              <w:rPr>
                <w:rFonts w:cs="Arial"/>
                <w:sz w:val="16"/>
                <w:szCs w:val="16"/>
              </w:rPr>
              <w:t>8.46 ± 1.69</w:t>
            </w:r>
            <w:r w:rsidRPr="00010D44">
              <w:rPr>
                <w:rFonts w:cs="Arial"/>
                <w:sz w:val="16"/>
                <w:szCs w:val="16"/>
                <w:vertAlign w:val="superscript"/>
              </w:rPr>
              <w:t>aB</w:t>
            </w:r>
          </w:p>
        </w:tc>
        <w:tc>
          <w:tcPr>
            <w:tcW w:w="873" w:type="pct"/>
            <w:vAlign w:val="center"/>
          </w:tcPr>
          <w:p w14:paraId="52480D61" w14:textId="77777777" w:rsidR="005408BE" w:rsidRPr="00010D44" w:rsidRDefault="005408BE" w:rsidP="003F0544">
            <w:pPr>
              <w:jc w:val="center"/>
              <w:rPr>
                <w:rFonts w:cs="Arial"/>
                <w:sz w:val="16"/>
                <w:szCs w:val="16"/>
                <w:vertAlign w:val="superscript"/>
              </w:rPr>
            </w:pPr>
            <w:r w:rsidRPr="00010D44">
              <w:rPr>
                <w:rFonts w:cs="Arial"/>
                <w:sz w:val="16"/>
                <w:szCs w:val="16"/>
              </w:rPr>
              <w:t>8.38 ± 2.83</w:t>
            </w:r>
            <w:r w:rsidRPr="00010D44">
              <w:rPr>
                <w:rFonts w:cs="Arial"/>
                <w:sz w:val="16"/>
                <w:szCs w:val="16"/>
                <w:vertAlign w:val="superscript"/>
              </w:rPr>
              <w:t>aA</w:t>
            </w:r>
          </w:p>
        </w:tc>
        <w:tc>
          <w:tcPr>
            <w:tcW w:w="873" w:type="pct"/>
            <w:vAlign w:val="center"/>
          </w:tcPr>
          <w:p w14:paraId="313629A4" w14:textId="77777777" w:rsidR="005408BE" w:rsidRPr="00010D44" w:rsidRDefault="005408BE" w:rsidP="003F0544">
            <w:pPr>
              <w:jc w:val="center"/>
              <w:rPr>
                <w:rFonts w:cs="Arial"/>
                <w:sz w:val="16"/>
                <w:szCs w:val="16"/>
                <w:vertAlign w:val="superscript"/>
              </w:rPr>
            </w:pPr>
            <w:r w:rsidRPr="00010D44">
              <w:rPr>
                <w:rFonts w:cs="Arial"/>
                <w:sz w:val="16"/>
                <w:szCs w:val="16"/>
              </w:rPr>
              <w:t>9.33 ± 1.60</w:t>
            </w:r>
            <w:r w:rsidRPr="00010D44">
              <w:rPr>
                <w:rFonts w:cs="Arial"/>
                <w:sz w:val="16"/>
                <w:szCs w:val="16"/>
                <w:vertAlign w:val="superscript"/>
              </w:rPr>
              <w:t>aA</w:t>
            </w:r>
          </w:p>
        </w:tc>
        <w:tc>
          <w:tcPr>
            <w:tcW w:w="873" w:type="pct"/>
            <w:vAlign w:val="center"/>
          </w:tcPr>
          <w:p w14:paraId="05E84589" w14:textId="77777777" w:rsidR="005408BE" w:rsidRPr="00010D44" w:rsidRDefault="005408BE" w:rsidP="003F0544">
            <w:pPr>
              <w:jc w:val="center"/>
              <w:rPr>
                <w:rFonts w:cs="Arial"/>
                <w:sz w:val="16"/>
                <w:szCs w:val="16"/>
                <w:vertAlign w:val="superscript"/>
              </w:rPr>
            </w:pPr>
            <w:r w:rsidRPr="00010D44">
              <w:rPr>
                <w:rFonts w:cs="Arial"/>
                <w:sz w:val="16"/>
                <w:szCs w:val="16"/>
              </w:rPr>
              <w:t>9.78 ± 2.42</w:t>
            </w:r>
            <w:r w:rsidRPr="00010D44">
              <w:rPr>
                <w:rFonts w:cs="Arial"/>
                <w:sz w:val="16"/>
                <w:szCs w:val="16"/>
                <w:vertAlign w:val="superscript"/>
              </w:rPr>
              <w:t>aA</w:t>
            </w:r>
          </w:p>
        </w:tc>
        <w:tc>
          <w:tcPr>
            <w:tcW w:w="872" w:type="pct"/>
            <w:vAlign w:val="center"/>
          </w:tcPr>
          <w:p w14:paraId="3AC03ACA" w14:textId="77777777" w:rsidR="005408BE" w:rsidRPr="00010D44" w:rsidRDefault="005408BE" w:rsidP="003F0544">
            <w:pPr>
              <w:jc w:val="center"/>
              <w:rPr>
                <w:rFonts w:cs="Arial"/>
                <w:sz w:val="16"/>
                <w:szCs w:val="16"/>
                <w:vertAlign w:val="superscript"/>
              </w:rPr>
            </w:pPr>
            <w:r w:rsidRPr="00010D44">
              <w:rPr>
                <w:rFonts w:cs="Arial"/>
                <w:sz w:val="16"/>
                <w:szCs w:val="16"/>
              </w:rPr>
              <w:t>9.24 ± 1.49</w:t>
            </w:r>
            <w:r w:rsidRPr="00010D44">
              <w:rPr>
                <w:rFonts w:cs="Arial"/>
                <w:sz w:val="16"/>
                <w:szCs w:val="16"/>
                <w:vertAlign w:val="superscript"/>
              </w:rPr>
              <w:t>aAB</w:t>
            </w:r>
          </w:p>
        </w:tc>
      </w:tr>
      <w:tr w:rsidR="005408BE" w:rsidRPr="004B1F67" w14:paraId="561AB5BC" w14:textId="77777777" w:rsidTr="007B58F2">
        <w:trPr>
          <w:jc w:val="center"/>
        </w:trPr>
        <w:tc>
          <w:tcPr>
            <w:tcW w:w="637" w:type="pct"/>
            <w:vAlign w:val="center"/>
          </w:tcPr>
          <w:p w14:paraId="2F058CD1" w14:textId="77777777" w:rsidR="005408BE" w:rsidRPr="00010D44" w:rsidRDefault="005408BE" w:rsidP="003F0544">
            <w:pPr>
              <w:jc w:val="left"/>
              <w:rPr>
                <w:rFonts w:cs="Arial"/>
                <w:sz w:val="16"/>
                <w:szCs w:val="16"/>
              </w:rPr>
            </w:pPr>
            <w:r w:rsidRPr="00010D44">
              <w:rPr>
                <w:rFonts w:cs="Arial"/>
                <w:sz w:val="16"/>
                <w:szCs w:val="16"/>
              </w:rPr>
              <w:t>12</w:t>
            </w:r>
          </w:p>
        </w:tc>
        <w:tc>
          <w:tcPr>
            <w:tcW w:w="872" w:type="pct"/>
            <w:tcBorders>
              <w:left w:val="nil"/>
            </w:tcBorders>
            <w:vAlign w:val="center"/>
          </w:tcPr>
          <w:p w14:paraId="02F7F197" w14:textId="77777777" w:rsidR="005408BE" w:rsidRPr="00010D44" w:rsidRDefault="005408BE" w:rsidP="003F0544">
            <w:pPr>
              <w:jc w:val="center"/>
              <w:rPr>
                <w:rFonts w:cs="Arial"/>
                <w:sz w:val="16"/>
                <w:szCs w:val="16"/>
                <w:vertAlign w:val="superscript"/>
              </w:rPr>
            </w:pPr>
            <w:r w:rsidRPr="00010D44">
              <w:rPr>
                <w:rFonts w:cs="Arial"/>
                <w:sz w:val="16"/>
                <w:szCs w:val="16"/>
              </w:rPr>
              <w:t>9.41 ± 2.40</w:t>
            </w:r>
            <w:r w:rsidRPr="00010D44">
              <w:rPr>
                <w:rFonts w:cs="Arial"/>
                <w:sz w:val="16"/>
                <w:szCs w:val="16"/>
                <w:vertAlign w:val="superscript"/>
              </w:rPr>
              <w:t>aAB</w:t>
            </w:r>
          </w:p>
        </w:tc>
        <w:tc>
          <w:tcPr>
            <w:tcW w:w="873" w:type="pct"/>
            <w:vAlign w:val="center"/>
          </w:tcPr>
          <w:p w14:paraId="7CFBE227" w14:textId="77777777" w:rsidR="005408BE" w:rsidRPr="00010D44" w:rsidRDefault="005408BE" w:rsidP="003F0544">
            <w:pPr>
              <w:jc w:val="center"/>
              <w:rPr>
                <w:rFonts w:cs="Arial"/>
                <w:sz w:val="16"/>
                <w:szCs w:val="16"/>
                <w:vertAlign w:val="superscript"/>
              </w:rPr>
            </w:pPr>
            <w:r w:rsidRPr="00010D44">
              <w:rPr>
                <w:rFonts w:cs="Arial"/>
                <w:sz w:val="16"/>
                <w:szCs w:val="16"/>
              </w:rPr>
              <w:t>8.94 ± 1.49</w:t>
            </w:r>
            <w:r w:rsidRPr="00010D44">
              <w:rPr>
                <w:rFonts w:cs="Arial"/>
                <w:sz w:val="16"/>
                <w:szCs w:val="16"/>
                <w:vertAlign w:val="superscript"/>
              </w:rPr>
              <w:t>abA</w:t>
            </w:r>
          </w:p>
        </w:tc>
        <w:tc>
          <w:tcPr>
            <w:tcW w:w="873" w:type="pct"/>
            <w:vAlign w:val="center"/>
          </w:tcPr>
          <w:p w14:paraId="661FEA21" w14:textId="77777777" w:rsidR="005408BE" w:rsidRPr="00010D44" w:rsidRDefault="005408BE" w:rsidP="003F0544">
            <w:pPr>
              <w:jc w:val="center"/>
              <w:rPr>
                <w:rFonts w:cs="Arial"/>
                <w:sz w:val="16"/>
                <w:szCs w:val="16"/>
                <w:vertAlign w:val="superscript"/>
              </w:rPr>
            </w:pPr>
            <w:r w:rsidRPr="00010D44">
              <w:rPr>
                <w:rFonts w:cs="Arial"/>
                <w:sz w:val="16"/>
                <w:szCs w:val="16"/>
              </w:rPr>
              <w:t>8.46 ± 1.67</w:t>
            </w:r>
            <w:r w:rsidRPr="00010D44">
              <w:rPr>
                <w:rFonts w:cs="Arial"/>
                <w:sz w:val="16"/>
                <w:szCs w:val="16"/>
                <w:vertAlign w:val="superscript"/>
              </w:rPr>
              <w:t>abA</w:t>
            </w:r>
          </w:p>
        </w:tc>
        <w:tc>
          <w:tcPr>
            <w:tcW w:w="873" w:type="pct"/>
            <w:vAlign w:val="center"/>
          </w:tcPr>
          <w:p w14:paraId="7165DD69" w14:textId="77777777" w:rsidR="005408BE" w:rsidRPr="00010D44" w:rsidRDefault="005408BE" w:rsidP="003F0544">
            <w:pPr>
              <w:jc w:val="center"/>
              <w:rPr>
                <w:rFonts w:cs="Arial"/>
                <w:sz w:val="16"/>
                <w:szCs w:val="16"/>
                <w:vertAlign w:val="superscript"/>
              </w:rPr>
            </w:pPr>
            <w:r w:rsidRPr="00010D44">
              <w:rPr>
                <w:rFonts w:cs="Arial"/>
                <w:sz w:val="16"/>
                <w:szCs w:val="16"/>
              </w:rPr>
              <w:t>10.08 ± 1.89</w:t>
            </w:r>
            <w:r w:rsidRPr="00010D44">
              <w:rPr>
                <w:rFonts w:cs="Arial"/>
                <w:sz w:val="16"/>
                <w:szCs w:val="16"/>
                <w:vertAlign w:val="superscript"/>
              </w:rPr>
              <w:t>aA</w:t>
            </w:r>
          </w:p>
        </w:tc>
        <w:tc>
          <w:tcPr>
            <w:tcW w:w="872" w:type="pct"/>
            <w:vAlign w:val="center"/>
          </w:tcPr>
          <w:p w14:paraId="6BEBF4C9" w14:textId="77777777" w:rsidR="005408BE" w:rsidRPr="00010D44" w:rsidRDefault="005408BE" w:rsidP="003F0544">
            <w:pPr>
              <w:jc w:val="center"/>
              <w:rPr>
                <w:rFonts w:cs="Arial"/>
                <w:sz w:val="16"/>
                <w:szCs w:val="16"/>
                <w:vertAlign w:val="superscript"/>
              </w:rPr>
            </w:pPr>
            <w:r w:rsidRPr="00010D44">
              <w:rPr>
                <w:rFonts w:cs="Arial"/>
                <w:sz w:val="16"/>
                <w:szCs w:val="16"/>
              </w:rPr>
              <w:t>7.30 ± 1.84</w:t>
            </w:r>
            <w:r w:rsidRPr="00010D44">
              <w:rPr>
                <w:rFonts w:cs="Arial"/>
                <w:sz w:val="16"/>
                <w:szCs w:val="16"/>
                <w:vertAlign w:val="superscript"/>
              </w:rPr>
              <w:t>bB</w:t>
            </w:r>
          </w:p>
        </w:tc>
      </w:tr>
      <w:tr w:rsidR="005408BE" w:rsidRPr="004B1F67" w14:paraId="213C4248" w14:textId="77777777" w:rsidTr="007B58F2">
        <w:trPr>
          <w:jc w:val="center"/>
        </w:trPr>
        <w:tc>
          <w:tcPr>
            <w:tcW w:w="637" w:type="pct"/>
            <w:tcBorders>
              <w:bottom w:val="single" w:sz="8" w:space="0" w:color="008001"/>
            </w:tcBorders>
            <w:vAlign w:val="center"/>
          </w:tcPr>
          <w:p w14:paraId="59BACABB" w14:textId="77777777" w:rsidR="005408BE" w:rsidRPr="00010D44" w:rsidRDefault="005408BE" w:rsidP="003F0544">
            <w:pPr>
              <w:jc w:val="left"/>
              <w:rPr>
                <w:rFonts w:cs="Arial"/>
                <w:sz w:val="16"/>
                <w:szCs w:val="16"/>
              </w:rPr>
            </w:pPr>
            <w:r w:rsidRPr="00010D44">
              <w:rPr>
                <w:rFonts w:cs="Arial"/>
                <w:sz w:val="16"/>
                <w:szCs w:val="16"/>
              </w:rPr>
              <w:t>14</w:t>
            </w:r>
          </w:p>
        </w:tc>
        <w:tc>
          <w:tcPr>
            <w:tcW w:w="872" w:type="pct"/>
            <w:tcBorders>
              <w:left w:val="nil"/>
              <w:bottom w:val="single" w:sz="8" w:space="0" w:color="008001"/>
            </w:tcBorders>
            <w:vAlign w:val="center"/>
          </w:tcPr>
          <w:p w14:paraId="6E00552D" w14:textId="77777777" w:rsidR="005408BE" w:rsidRPr="00010D44" w:rsidRDefault="005408BE" w:rsidP="003F0544">
            <w:pPr>
              <w:jc w:val="center"/>
              <w:rPr>
                <w:rFonts w:cs="Arial"/>
                <w:sz w:val="16"/>
                <w:szCs w:val="16"/>
                <w:vertAlign w:val="superscript"/>
              </w:rPr>
            </w:pPr>
            <w:r w:rsidRPr="00010D44">
              <w:rPr>
                <w:rFonts w:cs="Arial"/>
                <w:sz w:val="16"/>
                <w:szCs w:val="16"/>
              </w:rPr>
              <w:t>10.10 ± 1.08</w:t>
            </w:r>
            <w:r w:rsidRPr="00010D44">
              <w:rPr>
                <w:rFonts w:cs="Arial"/>
                <w:sz w:val="16"/>
                <w:szCs w:val="16"/>
                <w:vertAlign w:val="superscript"/>
              </w:rPr>
              <w:t>aAB</w:t>
            </w:r>
          </w:p>
        </w:tc>
        <w:tc>
          <w:tcPr>
            <w:tcW w:w="873" w:type="pct"/>
            <w:tcBorders>
              <w:bottom w:val="single" w:sz="8" w:space="0" w:color="008001"/>
            </w:tcBorders>
            <w:vAlign w:val="center"/>
          </w:tcPr>
          <w:p w14:paraId="1DD0991C" w14:textId="77777777" w:rsidR="005408BE" w:rsidRPr="00010D44" w:rsidRDefault="005408BE" w:rsidP="003F0544">
            <w:pPr>
              <w:jc w:val="center"/>
              <w:rPr>
                <w:rFonts w:cs="Arial"/>
                <w:sz w:val="16"/>
                <w:szCs w:val="16"/>
                <w:vertAlign w:val="superscript"/>
              </w:rPr>
            </w:pPr>
            <w:r w:rsidRPr="00010D44">
              <w:rPr>
                <w:rFonts w:cs="Arial"/>
                <w:sz w:val="16"/>
                <w:szCs w:val="16"/>
              </w:rPr>
              <w:t>9.82 ± 1.49</w:t>
            </w:r>
            <w:r w:rsidRPr="00010D44">
              <w:rPr>
                <w:rFonts w:cs="Arial"/>
                <w:sz w:val="16"/>
                <w:szCs w:val="16"/>
                <w:vertAlign w:val="superscript"/>
              </w:rPr>
              <w:t>aA</w:t>
            </w:r>
          </w:p>
        </w:tc>
        <w:tc>
          <w:tcPr>
            <w:tcW w:w="873" w:type="pct"/>
            <w:tcBorders>
              <w:bottom w:val="single" w:sz="8" w:space="0" w:color="008001"/>
            </w:tcBorders>
            <w:vAlign w:val="center"/>
          </w:tcPr>
          <w:p w14:paraId="668E8117" w14:textId="77777777" w:rsidR="005408BE" w:rsidRPr="00010D44" w:rsidRDefault="005408BE" w:rsidP="003F0544">
            <w:pPr>
              <w:jc w:val="center"/>
              <w:rPr>
                <w:rFonts w:cs="Arial"/>
                <w:sz w:val="16"/>
                <w:szCs w:val="16"/>
                <w:vertAlign w:val="superscript"/>
              </w:rPr>
            </w:pPr>
            <w:r w:rsidRPr="00010D44">
              <w:rPr>
                <w:rFonts w:cs="Arial"/>
                <w:sz w:val="16"/>
                <w:szCs w:val="16"/>
              </w:rPr>
              <w:t>9.54 ± 1.87</w:t>
            </w:r>
            <w:r w:rsidRPr="00010D44">
              <w:rPr>
                <w:rFonts w:cs="Arial"/>
                <w:sz w:val="16"/>
                <w:szCs w:val="16"/>
                <w:vertAlign w:val="superscript"/>
              </w:rPr>
              <w:t>aA</w:t>
            </w:r>
          </w:p>
        </w:tc>
        <w:tc>
          <w:tcPr>
            <w:tcW w:w="873" w:type="pct"/>
            <w:tcBorders>
              <w:bottom w:val="single" w:sz="8" w:space="0" w:color="008001"/>
            </w:tcBorders>
            <w:vAlign w:val="center"/>
          </w:tcPr>
          <w:p w14:paraId="03FB38DC" w14:textId="77777777" w:rsidR="005408BE" w:rsidRPr="00010D44" w:rsidRDefault="005408BE" w:rsidP="003F0544">
            <w:pPr>
              <w:jc w:val="center"/>
              <w:rPr>
                <w:rFonts w:cs="Arial"/>
                <w:sz w:val="16"/>
                <w:szCs w:val="16"/>
                <w:vertAlign w:val="superscript"/>
              </w:rPr>
            </w:pPr>
            <w:r w:rsidRPr="00010D44">
              <w:rPr>
                <w:rFonts w:cs="Arial"/>
                <w:sz w:val="16"/>
                <w:szCs w:val="16"/>
              </w:rPr>
              <w:t>10.58 ± 2.56</w:t>
            </w:r>
            <w:r w:rsidRPr="00010D44">
              <w:rPr>
                <w:rFonts w:cs="Arial"/>
                <w:sz w:val="16"/>
                <w:szCs w:val="16"/>
                <w:vertAlign w:val="superscript"/>
              </w:rPr>
              <w:t>aA</w:t>
            </w:r>
          </w:p>
        </w:tc>
        <w:tc>
          <w:tcPr>
            <w:tcW w:w="872" w:type="pct"/>
            <w:tcBorders>
              <w:bottom w:val="single" w:sz="8" w:space="0" w:color="008001"/>
            </w:tcBorders>
            <w:vAlign w:val="center"/>
          </w:tcPr>
          <w:p w14:paraId="57C0F9CE" w14:textId="77777777" w:rsidR="005408BE" w:rsidRPr="00010D44" w:rsidRDefault="005408BE" w:rsidP="003F0544">
            <w:pPr>
              <w:jc w:val="center"/>
              <w:rPr>
                <w:rFonts w:cs="Arial"/>
                <w:sz w:val="16"/>
                <w:szCs w:val="16"/>
                <w:vertAlign w:val="superscript"/>
              </w:rPr>
            </w:pPr>
            <w:r w:rsidRPr="00010D44">
              <w:rPr>
                <w:rFonts w:cs="Arial"/>
                <w:sz w:val="16"/>
                <w:szCs w:val="16"/>
              </w:rPr>
              <w:t>6.89 ± 1.98</w:t>
            </w:r>
            <w:r w:rsidRPr="00010D44">
              <w:rPr>
                <w:rFonts w:cs="Arial"/>
                <w:sz w:val="16"/>
                <w:szCs w:val="16"/>
                <w:vertAlign w:val="superscript"/>
              </w:rPr>
              <w:t>aB</w:t>
            </w:r>
          </w:p>
        </w:tc>
      </w:tr>
      <w:tr w:rsidR="00BC5B20" w:rsidRPr="004B1F67" w14:paraId="27A2E2A0" w14:textId="77777777" w:rsidTr="007B58F2">
        <w:trPr>
          <w:trHeight w:val="68"/>
          <w:jc w:val="center"/>
        </w:trPr>
        <w:tc>
          <w:tcPr>
            <w:tcW w:w="637" w:type="pct"/>
            <w:tcBorders>
              <w:top w:val="single" w:sz="8" w:space="0" w:color="008001"/>
              <w:bottom w:val="single" w:sz="8" w:space="0" w:color="008001"/>
            </w:tcBorders>
            <w:vAlign w:val="center"/>
          </w:tcPr>
          <w:p w14:paraId="6B108B32" w14:textId="51D7B9B0" w:rsidR="00BC5B20" w:rsidRPr="00010D44" w:rsidRDefault="00BC5B20" w:rsidP="00BC5B20">
            <w:pPr>
              <w:jc w:val="left"/>
              <w:rPr>
                <w:rFonts w:cs="Arial"/>
                <w:sz w:val="16"/>
                <w:szCs w:val="16"/>
              </w:rPr>
            </w:pPr>
          </w:p>
        </w:tc>
        <w:tc>
          <w:tcPr>
            <w:tcW w:w="4363" w:type="pct"/>
            <w:gridSpan w:val="5"/>
            <w:tcBorders>
              <w:top w:val="single" w:sz="8" w:space="0" w:color="008001"/>
              <w:left w:val="nil"/>
              <w:bottom w:val="single" w:sz="8" w:space="0" w:color="008001"/>
            </w:tcBorders>
            <w:vAlign w:val="center"/>
          </w:tcPr>
          <w:p w14:paraId="77E858C8" w14:textId="791B94F6" w:rsidR="00BC5B20" w:rsidRPr="00010D44" w:rsidRDefault="00BC5B20" w:rsidP="00BC5B20">
            <w:pPr>
              <w:jc w:val="center"/>
              <w:rPr>
                <w:rFonts w:cs="Arial"/>
                <w:sz w:val="16"/>
                <w:szCs w:val="16"/>
              </w:rPr>
            </w:pPr>
            <w:r w:rsidRPr="00010D44">
              <w:rPr>
                <w:rFonts w:cs="Arial"/>
                <w:i/>
                <w:iCs/>
                <w:sz w:val="16"/>
                <w:szCs w:val="16"/>
              </w:rPr>
              <w:t>L*</w:t>
            </w:r>
          </w:p>
        </w:tc>
      </w:tr>
      <w:tr w:rsidR="00BC5B20" w:rsidRPr="004B1F67" w14:paraId="772D6988" w14:textId="77777777" w:rsidTr="007B58F2">
        <w:trPr>
          <w:jc w:val="center"/>
        </w:trPr>
        <w:tc>
          <w:tcPr>
            <w:tcW w:w="637" w:type="pct"/>
            <w:tcBorders>
              <w:top w:val="single" w:sz="8" w:space="0" w:color="008001"/>
            </w:tcBorders>
            <w:vAlign w:val="center"/>
          </w:tcPr>
          <w:p w14:paraId="6133E583" w14:textId="243675FA" w:rsidR="00BC5B20" w:rsidRPr="00010D44" w:rsidRDefault="00BC5B20" w:rsidP="00BC5B20">
            <w:pPr>
              <w:autoSpaceDE w:val="0"/>
              <w:autoSpaceDN w:val="0"/>
              <w:adjustRightInd w:val="0"/>
              <w:jc w:val="left"/>
              <w:rPr>
                <w:rFonts w:cs="Arial"/>
                <w:sz w:val="16"/>
                <w:szCs w:val="16"/>
              </w:rPr>
            </w:pPr>
            <w:r w:rsidRPr="00010D44">
              <w:rPr>
                <w:rFonts w:cs="Arial"/>
                <w:sz w:val="16"/>
                <w:szCs w:val="16"/>
              </w:rPr>
              <w:t>0</w:t>
            </w:r>
          </w:p>
        </w:tc>
        <w:tc>
          <w:tcPr>
            <w:tcW w:w="872" w:type="pct"/>
            <w:tcBorders>
              <w:top w:val="single" w:sz="8" w:space="0" w:color="008001"/>
              <w:left w:val="nil"/>
            </w:tcBorders>
            <w:vAlign w:val="center"/>
          </w:tcPr>
          <w:p w14:paraId="1EF8C71B" w14:textId="5858BD21" w:rsidR="00BC5B20" w:rsidRPr="00010D44" w:rsidRDefault="00BC5B20" w:rsidP="00BC5B20">
            <w:pPr>
              <w:jc w:val="center"/>
              <w:rPr>
                <w:rFonts w:cs="Arial"/>
                <w:sz w:val="16"/>
                <w:szCs w:val="16"/>
              </w:rPr>
            </w:pPr>
            <w:r w:rsidRPr="00010D44">
              <w:rPr>
                <w:rFonts w:cs="Arial"/>
                <w:sz w:val="16"/>
                <w:szCs w:val="16"/>
              </w:rPr>
              <w:t>58.64±3.79</w:t>
            </w:r>
            <w:r w:rsidRPr="00010D44">
              <w:rPr>
                <w:rFonts w:cs="Arial"/>
                <w:sz w:val="16"/>
                <w:szCs w:val="16"/>
                <w:vertAlign w:val="superscript"/>
              </w:rPr>
              <w:t>aA</w:t>
            </w:r>
          </w:p>
        </w:tc>
        <w:tc>
          <w:tcPr>
            <w:tcW w:w="873" w:type="pct"/>
            <w:tcBorders>
              <w:top w:val="single" w:sz="8" w:space="0" w:color="008001"/>
            </w:tcBorders>
            <w:vAlign w:val="center"/>
          </w:tcPr>
          <w:p w14:paraId="48FB1B98" w14:textId="5F5C7580" w:rsidR="00BC5B20" w:rsidRPr="00010D44" w:rsidRDefault="00BC5B20" w:rsidP="00BC5B20">
            <w:pPr>
              <w:jc w:val="center"/>
              <w:rPr>
                <w:rFonts w:cs="Arial"/>
                <w:sz w:val="16"/>
                <w:szCs w:val="16"/>
              </w:rPr>
            </w:pPr>
            <w:r w:rsidRPr="00010D44">
              <w:rPr>
                <w:rFonts w:cs="Arial"/>
                <w:sz w:val="16"/>
                <w:szCs w:val="16"/>
              </w:rPr>
              <w:t>58.64±3.79</w:t>
            </w:r>
            <w:r w:rsidRPr="00010D44">
              <w:rPr>
                <w:rFonts w:cs="Arial"/>
                <w:sz w:val="16"/>
                <w:szCs w:val="16"/>
                <w:vertAlign w:val="superscript"/>
              </w:rPr>
              <w:t>aA</w:t>
            </w:r>
          </w:p>
        </w:tc>
        <w:tc>
          <w:tcPr>
            <w:tcW w:w="873" w:type="pct"/>
            <w:tcBorders>
              <w:top w:val="single" w:sz="8" w:space="0" w:color="008001"/>
            </w:tcBorders>
            <w:vAlign w:val="center"/>
          </w:tcPr>
          <w:p w14:paraId="645E6651" w14:textId="79149985" w:rsidR="00BC5B20" w:rsidRPr="00010D44" w:rsidRDefault="00BC5B20" w:rsidP="00BC5B20">
            <w:pPr>
              <w:jc w:val="center"/>
              <w:rPr>
                <w:rFonts w:cs="Arial"/>
                <w:sz w:val="16"/>
                <w:szCs w:val="16"/>
              </w:rPr>
            </w:pPr>
            <w:r w:rsidRPr="00010D44">
              <w:rPr>
                <w:rFonts w:cs="Arial"/>
                <w:sz w:val="16"/>
                <w:szCs w:val="16"/>
              </w:rPr>
              <w:t>58.64±3.79</w:t>
            </w:r>
            <w:r w:rsidRPr="00010D44">
              <w:rPr>
                <w:rFonts w:cs="Arial"/>
                <w:sz w:val="16"/>
                <w:szCs w:val="16"/>
                <w:vertAlign w:val="superscript"/>
              </w:rPr>
              <w:t>aA</w:t>
            </w:r>
          </w:p>
        </w:tc>
        <w:tc>
          <w:tcPr>
            <w:tcW w:w="873" w:type="pct"/>
            <w:tcBorders>
              <w:top w:val="single" w:sz="8" w:space="0" w:color="008001"/>
            </w:tcBorders>
            <w:vAlign w:val="center"/>
          </w:tcPr>
          <w:p w14:paraId="148811F0" w14:textId="26528458" w:rsidR="00BC5B20" w:rsidRPr="00010D44" w:rsidRDefault="00BC5B20" w:rsidP="00BC5B20">
            <w:pPr>
              <w:jc w:val="center"/>
              <w:rPr>
                <w:rFonts w:cs="Arial"/>
                <w:sz w:val="16"/>
                <w:szCs w:val="16"/>
              </w:rPr>
            </w:pPr>
            <w:r w:rsidRPr="00010D44">
              <w:rPr>
                <w:rFonts w:cs="Arial"/>
                <w:sz w:val="16"/>
                <w:szCs w:val="16"/>
              </w:rPr>
              <w:t>58.64±3.79</w:t>
            </w:r>
            <w:r w:rsidRPr="00010D44">
              <w:rPr>
                <w:rFonts w:cs="Arial"/>
                <w:sz w:val="16"/>
                <w:szCs w:val="16"/>
                <w:vertAlign w:val="superscript"/>
              </w:rPr>
              <w:t>aA</w:t>
            </w:r>
          </w:p>
        </w:tc>
        <w:tc>
          <w:tcPr>
            <w:tcW w:w="872" w:type="pct"/>
            <w:tcBorders>
              <w:top w:val="single" w:sz="8" w:space="0" w:color="008001"/>
            </w:tcBorders>
            <w:vAlign w:val="center"/>
          </w:tcPr>
          <w:p w14:paraId="4324D5DD" w14:textId="46ABF5B7" w:rsidR="00BC5B20" w:rsidRPr="00010D44" w:rsidRDefault="00BC5B20" w:rsidP="00BC5B20">
            <w:pPr>
              <w:jc w:val="center"/>
              <w:rPr>
                <w:rFonts w:cs="Arial"/>
                <w:sz w:val="16"/>
                <w:szCs w:val="16"/>
              </w:rPr>
            </w:pPr>
            <w:r w:rsidRPr="00010D44">
              <w:rPr>
                <w:rFonts w:cs="Arial"/>
                <w:sz w:val="16"/>
                <w:szCs w:val="16"/>
              </w:rPr>
              <w:t>58.64±3.79</w:t>
            </w:r>
            <w:r w:rsidRPr="00010D44">
              <w:rPr>
                <w:rFonts w:cs="Arial"/>
                <w:sz w:val="16"/>
                <w:szCs w:val="16"/>
                <w:vertAlign w:val="superscript"/>
              </w:rPr>
              <w:t>aA</w:t>
            </w:r>
          </w:p>
        </w:tc>
      </w:tr>
      <w:tr w:rsidR="00BC5B20" w:rsidRPr="004B1F67" w14:paraId="40B109B4" w14:textId="77777777" w:rsidTr="007B58F2">
        <w:trPr>
          <w:jc w:val="center"/>
        </w:trPr>
        <w:tc>
          <w:tcPr>
            <w:tcW w:w="637" w:type="pct"/>
            <w:vAlign w:val="center"/>
          </w:tcPr>
          <w:p w14:paraId="1D41ECB2" w14:textId="62CE0DB3" w:rsidR="00BC5B20" w:rsidRPr="00010D44" w:rsidRDefault="00BC5B20" w:rsidP="00BC5B20">
            <w:pPr>
              <w:autoSpaceDE w:val="0"/>
              <w:autoSpaceDN w:val="0"/>
              <w:adjustRightInd w:val="0"/>
              <w:jc w:val="left"/>
              <w:rPr>
                <w:rFonts w:cs="Arial"/>
                <w:sz w:val="16"/>
                <w:szCs w:val="16"/>
              </w:rPr>
            </w:pPr>
            <w:r w:rsidRPr="00010D44">
              <w:rPr>
                <w:rFonts w:cs="Arial"/>
                <w:sz w:val="16"/>
                <w:szCs w:val="16"/>
              </w:rPr>
              <w:t>2</w:t>
            </w:r>
          </w:p>
        </w:tc>
        <w:tc>
          <w:tcPr>
            <w:tcW w:w="872" w:type="pct"/>
            <w:tcBorders>
              <w:left w:val="nil"/>
            </w:tcBorders>
            <w:vAlign w:val="center"/>
          </w:tcPr>
          <w:p w14:paraId="05221972" w14:textId="15F08351" w:rsidR="00BC5B20" w:rsidRPr="00010D44" w:rsidRDefault="00BC5B20" w:rsidP="00BC5B20">
            <w:pPr>
              <w:jc w:val="center"/>
              <w:rPr>
                <w:rFonts w:cs="Arial"/>
                <w:sz w:val="16"/>
                <w:szCs w:val="16"/>
              </w:rPr>
            </w:pPr>
            <w:r w:rsidRPr="00010D44">
              <w:rPr>
                <w:rFonts w:cs="Arial"/>
                <w:sz w:val="16"/>
                <w:szCs w:val="16"/>
              </w:rPr>
              <w:t>56.31±3.98</w:t>
            </w:r>
            <w:r w:rsidRPr="00010D44">
              <w:rPr>
                <w:rFonts w:cs="Arial"/>
                <w:sz w:val="16"/>
                <w:szCs w:val="16"/>
                <w:vertAlign w:val="superscript"/>
              </w:rPr>
              <w:t>aA</w:t>
            </w:r>
          </w:p>
        </w:tc>
        <w:tc>
          <w:tcPr>
            <w:tcW w:w="873" w:type="pct"/>
            <w:vAlign w:val="center"/>
          </w:tcPr>
          <w:p w14:paraId="0836E769" w14:textId="46EA747F" w:rsidR="00BC5B20" w:rsidRPr="00010D44" w:rsidRDefault="00BC5B20" w:rsidP="00BC5B20">
            <w:pPr>
              <w:jc w:val="center"/>
              <w:rPr>
                <w:rFonts w:cs="Arial"/>
                <w:sz w:val="16"/>
                <w:szCs w:val="16"/>
              </w:rPr>
            </w:pPr>
            <w:r w:rsidRPr="00010D44">
              <w:rPr>
                <w:rFonts w:cs="Arial"/>
                <w:sz w:val="16"/>
                <w:szCs w:val="16"/>
              </w:rPr>
              <w:t>55.14±3.90</w:t>
            </w:r>
            <w:r w:rsidRPr="00010D44">
              <w:rPr>
                <w:rFonts w:cs="Arial"/>
                <w:sz w:val="16"/>
                <w:szCs w:val="16"/>
                <w:vertAlign w:val="superscript"/>
              </w:rPr>
              <w:t>aA</w:t>
            </w:r>
          </w:p>
        </w:tc>
        <w:tc>
          <w:tcPr>
            <w:tcW w:w="873" w:type="pct"/>
            <w:vAlign w:val="center"/>
          </w:tcPr>
          <w:p w14:paraId="3D585513" w14:textId="2B83FD36" w:rsidR="00BC5B20" w:rsidRPr="00010D44" w:rsidRDefault="00BC5B20" w:rsidP="00BC5B20">
            <w:pPr>
              <w:jc w:val="center"/>
              <w:rPr>
                <w:rFonts w:cs="Arial"/>
                <w:sz w:val="16"/>
                <w:szCs w:val="16"/>
              </w:rPr>
            </w:pPr>
            <w:r w:rsidRPr="00010D44">
              <w:rPr>
                <w:rFonts w:cs="Arial"/>
                <w:sz w:val="16"/>
                <w:szCs w:val="16"/>
              </w:rPr>
              <w:t>57.48±3.70</w:t>
            </w:r>
            <w:r w:rsidRPr="00010D44">
              <w:rPr>
                <w:rFonts w:cs="Arial"/>
                <w:sz w:val="16"/>
                <w:szCs w:val="16"/>
                <w:vertAlign w:val="superscript"/>
              </w:rPr>
              <w:t>aA</w:t>
            </w:r>
          </w:p>
        </w:tc>
        <w:tc>
          <w:tcPr>
            <w:tcW w:w="873" w:type="pct"/>
            <w:vAlign w:val="center"/>
          </w:tcPr>
          <w:p w14:paraId="00C4A102" w14:textId="0195C8A1" w:rsidR="00BC5B20" w:rsidRPr="00010D44" w:rsidRDefault="00BC5B20" w:rsidP="00BC5B20">
            <w:pPr>
              <w:jc w:val="center"/>
              <w:rPr>
                <w:rFonts w:cs="Arial"/>
                <w:sz w:val="16"/>
                <w:szCs w:val="16"/>
              </w:rPr>
            </w:pPr>
            <w:r w:rsidRPr="00010D44">
              <w:rPr>
                <w:rFonts w:cs="Arial"/>
                <w:sz w:val="16"/>
                <w:szCs w:val="16"/>
              </w:rPr>
              <w:t>55.53±2.62</w:t>
            </w:r>
            <w:r w:rsidRPr="00010D44">
              <w:rPr>
                <w:rFonts w:cs="Arial"/>
                <w:sz w:val="16"/>
                <w:szCs w:val="16"/>
                <w:vertAlign w:val="superscript"/>
              </w:rPr>
              <w:t>aA</w:t>
            </w:r>
          </w:p>
        </w:tc>
        <w:tc>
          <w:tcPr>
            <w:tcW w:w="872" w:type="pct"/>
            <w:vAlign w:val="center"/>
          </w:tcPr>
          <w:p w14:paraId="12617ACF" w14:textId="6A3E6AF4" w:rsidR="00BC5B20" w:rsidRPr="00010D44" w:rsidRDefault="00BC5B20" w:rsidP="00BC5B20">
            <w:pPr>
              <w:jc w:val="center"/>
              <w:rPr>
                <w:rFonts w:cs="Arial"/>
                <w:sz w:val="16"/>
                <w:szCs w:val="16"/>
              </w:rPr>
            </w:pPr>
            <w:r w:rsidRPr="00010D44">
              <w:rPr>
                <w:rFonts w:cs="Arial"/>
                <w:sz w:val="16"/>
                <w:szCs w:val="16"/>
              </w:rPr>
              <w:t>56.43±3.65</w:t>
            </w:r>
            <w:r w:rsidRPr="00010D44">
              <w:rPr>
                <w:rFonts w:cs="Arial"/>
                <w:sz w:val="16"/>
                <w:szCs w:val="16"/>
                <w:vertAlign w:val="superscript"/>
              </w:rPr>
              <w:t>aAB</w:t>
            </w:r>
          </w:p>
        </w:tc>
      </w:tr>
      <w:tr w:rsidR="00BC5B20" w:rsidRPr="004B1F67" w14:paraId="532BFD34" w14:textId="77777777" w:rsidTr="007B58F2">
        <w:trPr>
          <w:jc w:val="center"/>
        </w:trPr>
        <w:tc>
          <w:tcPr>
            <w:tcW w:w="637" w:type="pct"/>
            <w:vAlign w:val="center"/>
          </w:tcPr>
          <w:p w14:paraId="20AA102E" w14:textId="599D97FE" w:rsidR="00BC5B20" w:rsidRPr="00010D44" w:rsidRDefault="00BC5B20" w:rsidP="00BC5B20">
            <w:pPr>
              <w:autoSpaceDE w:val="0"/>
              <w:autoSpaceDN w:val="0"/>
              <w:adjustRightInd w:val="0"/>
              <w:jc w:val="left"/>
              <w:rPr>
                <w:rFonts w:cs="Arial"/>
                <w:sz w:val="16"/>
                <w:szCs w:val="16"/>
              </w:rPr>
            </w:pPr>
            <w:r w:rsidRPr="00010D44">
              <w:rPr>
                <w:rFonts w:cs="Arial"/>
                <w:sz w:val="16"/>
                <w:szCs w:val="16"/>
              </w:rPr>
              <w:t>5</w:t>
            </w:r>
          </w:p>
        </w:tc>
        <w:tc>
          <w:tcPr>
            <w:tcW w:w="872" w:type="pct"/>
            <w:tcBorders>
              <w:left w:val="nil"/>
            </w:tcBorders>
            <w:vAlign w:val="center"/>
          </w:tcPr>
          <w:p w14:paraId="373B7932" w14:textId="0DDCDEE4" w:rsidR="00BC5B20" w:rsidRPr="00010D44" w:rsidRDefault="00BC5B20" w:rsidP="00BC5B20">
            <w:pPr>
              <w:jc w:val="center"/>
              <w:rPr>
                <w:rFonts w:cs="Arial"/>
                <w:sz w:val="16"/>
                <w:szCs w:val="16"/>
              </w:rPr>
            </w:pPr>
            <w:r w:rsidRPr="00010D44">
              <w:rPr>
                <w:rFonts w:cs="Arial"/>
                <w:sz w:val="16"/>
                <w:szCs w:val="16"/>
              </w:rPr>
              <w:t>56.39±3.30</w:t>
            </w:r>
            <w:r w:rsidRPr="00010D44">
              <w:rPr>
                <w:rFonts w:cs="Arial"/>
                <w:sz w:val="16"/>
                <w:szCs w:val="16"/>
                <w:vertAlign w:val="superscript"/>
              </w:rPr>
              <w:t>abA</w:t>
            </w:r>
          </w:p>
        </w:tc>
        <w:tc>
          <w:tcPr>
            <w:tcW w:w="873" w:type="pct"/>
            <w:vAlign w:val="center"/>
          </w:tcPr>
          <w:p w14:paraId="7FA54DC0" w14:textId="6D5F8EB7" w:rsidR="00BC5B20" w:rsidRPr="00010D44" w:rsidRDefault="00BC5B20" w:rsidP="00BC5B20">
            <w:pPr>
              <w:jc w:val="center"/>
              <w:rPr>
                <w:rFonts w:cs="Arial"/>
                <w:sz w:val="16"/>
                <w:szCs w:val="16"/>
              </w:rPr>
            </w:pPr>
            <w:r w:rsidRPr="00010D44">
              <w:rPr>
                <w:rFonts w:cs="Arial"/>
                <w:sz w:val="16"/>
                <w:szCs w:val="16"/>
              </w:rPr>
              <w:t>55.49±2.78</w:t>
            </w:r>
            <w:r w:rsidRPr="00010D44">
              <w:rPr>
                <w:rFonts w:cs="Arial"/>
                <w:sz w:val="16"/>
                <w:szCs w:val="16"/>
                <w:vertAlign w:val="superscript"/>
              </w:rPr>
              <w:t>aA</w:t>
            </w:r>
          </w:p>
        </w:tc>
        <w:tc>
          <w:tcPr>
            <w:tcW w:w="873" w:type="pct"/>
            <w:vAlign w:val="center"/>
          </w:tcPr>
          <w:p w14:paraId="03A4AFBF" w14:textId="05F30409" w:rsidR="00BC5B20" w:rsidRPr="00010D44" w:rsidRDefault="00BC5B20" w:rsidP="00BC5B20">
            <w:pPr>
              <w:jc w:val="center"/>
              <w:rPr>
                <w:rFonts w:cs="Arial"/>
                <w:sz w:val="16"/>
                <w:szCs w:val="16"/>
              </w:rPr>
            </w:pPr>
            <w:r w:rsidRPr="00010D44">
              <w:rPr>
                <w:rFonts w:cs="Arial"/>
                <w:sz w:val="16"/>
                <w:szCs w:val="16"/>
              </w:rPr>
              <w:t>58.16±3.23</w:t>
            </w:r>
            <w:r w:rsidRPr="00010D44">
              <w:rPr>
                <w:rFonts w:cs="Arial"/>
                <w:sz w:val="16"/>
                <w:szCs w:val="16"/>
                <w:vertAlign w:val="superscript"/>
              </w:rPr>
              <w:t>abA</w:t>
            </w:r>
          </w:p>
        </w:tc>
        <w:tc>
          <w:tcPr>
            <w:tcW w:w="873" w:type="pct"/>
            <w:vAlign w:val="center"/>
          </w:tcPr>
          <w:p w14:paraId="5FF6E290" w14:textId="56EE82FE" w:rsidR="00BC5B20" w:rsidRPr="00010D44" w:rsidRDefault="00BC5B20" w:rsidP="00BC5B20">
            <w:pPr>
              <w:jc w:val="center"/>
              <w:rPr>
                <w:rFonts w:cs="Arial"/>
                <w:sz w:val="16"/>
                <w:szCs w:val="16"/>
              </w:rPr>
            </w:pPr>
            <w:r w:rsidRPr="00010D44">
              <w:rPr>
                <w:rFonts w:cs="Arial"/>
                <w:sz w:val="16"/>
                <w:szCs w:val="16"/>
              </w:rPr>
              <w:t>56.02±2.33</w:t>
            </w:r>
            <w:r w:rsidRPr="00010D44">
              <w:rPr>
                <w:rFonts w:cs="Arial"/>
                <w:sz w:val="16"/>
                <w:szCs w:val="16"/>
                <w:vertAlign w:val="superscript"/>
              </w:rPr>
              <w:t>abA</w:t>
            </w:r>
          </w:p>
        </w:tc>
        <w:tc>
          <w:tcPr>
            <w:tcW w:w="872" w:type="pct"/>
            <w:vAlign w:val="center"/>
          </w:tcPr>
          <w:p w14:paraId="1D5EA6A6" w14:textId="17242D2E" w:rsidR="00BC5B20" w:rsidRPr="00010D44" w:rsidRDefault="00BC5B20" w:rsidP="00BC5B20">
            <w:pPr>
              <w:jc w:val="center"/>
              <w:rPr>
                <w:rFonts w:cs="Arial"/>
                <w:sz w:val="16"/>
                <w:szCs w:val="16"/>
              </w:rPr>
            </w:pPr>
            <w:r w:rsidRPr="00010D44">
              <w:rPr>
                <w:rFonts w:cs="Arial"/>
                <w:sz w:val="16"/>
                <w:szCs w:val="16"/>
              </w:rPr>
              <w:t>54.27±2.62</w:t>
            </w:r>
            <w:r w:rsidRPr="00010D44">
              <w:rPr>
                <w:rFonts w:cs="Arial"/>
                <w:sz w:val="16"/>
                <w:szCs w:val="16"/>
                <w:vertAlign w:val="superscript"/>
              </w:rPr>
              <w:t>bB</w:t>
            </w:r>
          </w:p>
        </w:tc>
      </w:tr>
      <w:tr w:rsidR="00BC5B20" w:rsidRPr="004B1F67" w14:paraId="47861021" w14:textId="77777777" w:rsidTr="007B58F2">
        <w:trPr>
          <w:jc w:val="center"/>
        </w:trPr>
        <w:tc>
          <w:tcPr>
            <w:tcW w:w="637" w:type="pct"/>
            <w:vAlign w:val="center"/>
          </w:tcPr>
          <w:p w14:paraId="14F7B26E" w14:textId="7D25ACD5" w:rsidR="00BC5B20" w:rsidRPr="00010D44" w:rsidRDefault="00BC5B20" w:rsidP="00BC5B20">
            <w:pPr>
              <w:autoSpaceDE w:val="0"/>
              <w:autoSpaceDN w:val="0"/>
              <w:adjustRightInd w:val="0"/>
              <w:jc w:val="left"/>
              <w:rPr>
                <w:rFonts w:cs="Arial"/>
                <w:sz w:val="16"/>
                <w:szCs w:val="16"/>
              </w:rPr>
            </w:pPr>
            <w:r w:rsidRPr="00010D44">
              <w:rPr>
                <w:rFonts w:cs="Arial"/>
                <w:sz w:val="16"/>
                <w:szCs w:val="16"/>
              </w:rPr>
              <w:t>7</w:t>
            </w:r>
          </w:p>
        </w:tc>
        <w:tc>
          <w:tcPr>
            <w:tcW w:w="872" w:type="pct"/>
            <w:tcBorders>
              <w:left w:val="nil"/>
            </w:tcBorders>
            <w:vAlign w:val="center"/>
          </w:tcPr>
          <w:p w14:paraId="7D84D9F5" w14:textId="29646855" w:rsidR="00BC5B20" w:rsidRPr="00010D44" w:rsidRDefault="00BC5B20" w:rsidP="00BC5B20">
            <w:pPr>
              <w:jc w:val="center"/>
              <w:rPr>
                <w:rFonts w:cs="Arial"/>
                <w:sz w:val="16"/>
                <w:szCs w:val="16"/>
              </w:rPr>
            </w:pPr>
            <w:r w:rsidRPr="00010D44">
              <w:rPr>
                <w:rFonts w:cs="Arial"/>
                <w:sz w:val="16"/>
                <w:szCs w:val="16"/>
              </w:rPr>
              <w:t>55.33±2.77</w:t>
            </w:r>
            <w:r w:rsidRPr="00010D44">
              <w:rPr>
                <w:rFonts w:cs="Arial"/>
                <w:sz w:val="16"/>
                <w:szCs w:val="16"/>
                <w:vertAlign w:val="superscript"/>
              </w:rPr>
              <w:t>aA</w:t>
            </w:r>
          </w:p>
        </w:tc>
        <w:tc>
          <w:tcPr>
            <w:tcW w:w="873" w:type="pct"/>
            <w:vAlign w:val="center"/>
          </w:tcPr>
          <w:p w14:paraId="6CAA8E74" w14:textId="0C034F96" w:rsidR="00BC5B20" w:rsidRPr="00010D44" w:rsidRDefault="00BC5B20" w:rsidP="00BC5B20">
            <w:pPr>
              <w:jc w:val="center"/>
              <w:rPr>
                <w:rFonts w:cs="Arial"/>
                <w:sz w:val="16"/>
                <w:szCs w:val="16"/>
              </w:rPr>
            </w:pPr>
            <w:r w:rsidRPr="00010D44">
              <w:rPr>
                <w:rFonts w:cs="Arial"/>
                <w:sz w:val="16"/>
                <w:szCs w:val="16"/>
              </w:rPr>
              <w:t>56.48±4.29</w:t>
            </w:r>
            <w:r w:rsidRPr="00010D44">
              <w:rPr>
                <w:rFonts w:cs="Arial"/>
                <w:sz w:val="16"/>
                <w:szCs w:val="16"/>
                <w:vertAlign w:val="superscript"/>
              </w:rPr>
              <w:t>aA</w:t>
            </w:r>
          </w:p>
        </w:tc>
        <w:tc>
          <w:tcPr>
            <w:tcW w:w="873" w:type="pct"/>
            <w:vAlign w:val="center"/>
          </w:tcPr>
          <w:p w14:paraId="6627DB1E" w14:textId="7610E4A3" w:rsidR="00BC5B20" w:rsidRPr="00010D44" w:rsidRDefault="00BC5B20" w:rsidP="00BC5B20">
            <w:pPr>
              <w:jc w:val="center"/>
              <w:rPr>
                <w:rFonts w:cs="Arial"/>
                <w:sz w:val="16"/>
                <w:szCs w:val="16"/>
              </w:rPr>
            </w:pPr>
            <w:r w:rsidRPr="00010D44">
              <w:rPr>
                <w:rFonts w:cs="Arial"/>
                <w:sz w:val="16"/>
                <w:szCs w:val="16"/>
              </w:rPr>
              <w:t>57.74±5.10</w:t>
            </w:r>
            <w:r w:rsidRPr="00010D44">
              <w:rPr>
                <w:rFonts w:cs="Arial"/>
                <w:sz w:val="16"/>
                <w:szCs w:val="16"/>
                <w:vertAlign w:val="superscript"/>
              </w:rPr>
              <w:t>aA</w:t>
            </w:r>
          </w:p>
        </w:tc>
        <w:tc>
          <w:tcPr>
            <w:tcW w:w="873" w:type="pct"/>
            <w:vAlign w:val="center"/>
          </w:tcPr>
          <w:p w14:paraId="220E0C28" w14:textId="0120356F" w:rsidR="00BC5B20" w:rsidRPr="00010D44" w:rsidRDefault="00BC5B20" w:rsidP="00BC5B20">
            <w:pPr>
              <w:jc w:val="center"/>
              <w:rPr>
                <w:rFonts w:cs="Arial"/>
                <w:sz w:val="16"/>
                <w:szCs w:val="16"/>
              </w:rPr>
            </w:pPr>
            <w:r w:rsidRPr="00010D44">
              <w:rPr>
                <w:rFonts w:cs="Arial"/>
                <w:sz w:val="16"/>
                <w:szCs w:val="16"/>
              </w:rPr>
              <w:t>55.54±3.16</w:t>
            </w:r>
            <w:r w:rsidRPr="00010D44">
              <w:rPr>
                <w:rFonts w:cs="Arial"/>
                <w:sz w:val="16"/>
                <w:szCs w:val="16"/>
                <w:vertAlign w:val="superscript"/>
              </w:rPr>
              <w:t>aA</w:t>
            </w:r>
          </w:p>
        </w:tc>
        <w:tc>
          <w:tcPr>
            <w:tcW w:w="872" w:type="pct"/>
            <w:vAlign w:val="center"/>
          </w:tcPr>
          <w:p w14:paraId="0FF5107C" w14:textId="4BAE8C4F" w:rsidR="00BC5B20" w:rsidRPr="00010D44" w:rsidRDefault="00BC5B20" w:rsidP="00BC5B20">
            <w:pPr>
              <w:jc w:val="center"/>
              <w:rPr>
                <w:rFonts w:cs="Arial"/>
                <w:sz w:val="16"/>
                <w:szCs w:val="16"/>
              </w:rPr>
            </w:pPr>
            <w:r w:rsidRPr="00010D44">
              <w:rPr>
                <w:rFonts w:cs="Arial"/>
                <w:sz w:val="16"/>
                <w:szCs w:val="16"/>
              </w:rPr>
              <w:t>53.16±2.00</w:t>
            </w:r>
            <w:r w:rsidRPr="00010D44">
              <w:rPr>
                <w:rFonts w:cs="Arial"/>
                <w:sz w:val="16"/>
                <w:szCs w:val="16"/>
                <w:vertAlign w:val="superscript"/>
              </w:rPr>
              <w:t>aB</w:t>
            </w:r>
          </w:p>
        </w:tc>
      </w:tr>
      <w:tr w:rsidR="00BC5B20" w:rsidRPr="004B1F67" w14:paraId="181B6C9D" w14:textId="77777777" w:rsidTr="007B58F2">
        <w:trPr>
          <w:jc w:val="center"/>
        </w:trPr>
        <w:tc>
          <w:tcPr>
            <w:tcW w:w="637" w:type="pct"/>
            <w:vAlign w:val="center"/>
          </w:tcPr>
          <w:p w14:paraId="585B68EC" w14:textId="2A6F2552" w:rsidR="00BC5B20" w:rsidRPr="00010D44" w:rsidRDefault="00BC5B20" w:rsidP="00BC5B20">
            <w:pPr>
              <w:autoSpaceDE w:val="0"/>
              <w:autoSpaceDN w:val="0"/>
              <w:adjustRightInd w:val="0"/>
              <w:jc w:val="left"/>
              <w:rPr>
                <w:rFonts w:cs="Arial"/>
                <w:sz w:val="16"/>
                <w:szCs w:val="16"/>
              </w:rPr>
            </w:pPr>
            <w:r w:rsidRPr="00010D44">
              <w:rPr>
                <w:rFonts w:cs="Arial"/>
                <w:sz w:val="16"/>
                <w:szCs w:val="16"/>
              </w:rPr>
              <w:t>9</w:t>
            </w:r>
          </w:p>
        </w:tc>
        <w:tc>
          <w:tcPr>
            <w:tcW w:w="872" w:type="pct"/>
            <w:tcBorders>
              <w:left w:val="nil"/>
            </w:tcBorders>
            <w:vAlign w:val="center"/>
          </w:tcPr>
          <w:p w14:paraId="45D50591" w14:textId="18B34B0F" w:rsidR="00BC5B20" w:rsidRPr="00010D44" w:rsidRDefault="00BC5B20" w:rsidP="00BC5B20">
            <w:pPr>
              <w:jc w:val="center"/>
              <w:rPr>
                <w:rFonts w:cs="Arial"/>
                <w:sz w:val="16"/>
                <w:szCs w:val="16"/>
              </w:rPr>
            </w:pPr>
            <w:r w:rsidRPr="00010D44">
              <w:rPr>
                <w:rFonts w:cs="Arial"/>
                <w:sz w:val="16"/>
                <w:szCs w:val="16"/>
              </w:rPr>
              <w:t>57.02±4.17</w:t>
            </w:r>
            <w:r w:rsidRPr="00010D44">
              <w:rPr>
                <w:rFonts w:cs="Arial"/>
                <w:sz w:val="16"/>
                <w:szCs w:val="16"/>
                <w:vertAlign w:val="superscript"/>
              </w:rPr>
              <w:t>aA</w:t>
            </w:r>
          </w:p>
        </w:tc>
        <w:tc>
          <w:tcPr>
            <w:tcW w:w="873" w:type="pct"/>
            <w:vAlign w:val="center"/>
          </w:tcPr>
          <w:p w14:paraId="184371BB" w14:textId="31532BA2" w:rsidR="00BC5B20" w:rsidRPr="00010D44" w:rsidRDefault="00BC5B20" w:rsidP="00BC5B20">
            <w:pPr>
              <w:jc w:val="center"/>
              <w:rPr>
                <w:rFonts w:cs="Arial"/>
                <w:sz w:val="16"/>
                <w:szCs w:val="16"/>
              </w:rPr>
            </w:pPr>
            <w:r w:rsidRPr="00010D44">
              <w:rPr>
                <w:rFonts w:cs="Arial"/>
                <w:sz w:val="16"/>
                <w:szCs w:val="16"/>
              </w:rPr>
              <w:t>56.84±2.98</w:t>
            </w:r>
            <w:r w:rsidRPr="00010D44">
              <w:rPr>
                <w:rFonts w:cs="Arial"/>
                <w:sz w:val="16"/>
                <w:szCs w:val="16"/>
                <w:vertAlign w:val="superscript"/>
              </w:rPr>
              <w:t>aA</w:t>
            </w:r>
          </w:p>
        </w:tc>
        <w:tc>
          <w:tcPr>
            <w:tcW w:w="873" w:type="pct"/>
            <w:vAlign w:val="center"/>
          </w:tcPr>
          <w:p w14:paraId="6E6ED58B" w14:textId="5EBDADA2" w:rsidR="00BC5B20" w:rsidRPr="00010D44" w:rsidRDefault="00BC5B20" w:rsidP="00BC5B20">
            <w:pPr>
              <w:jc w:val="center"/>
              <w:rPr>
                <w:rFonts w:cs="Arial"/>
                <w:sz w:val="16"/>
                <w:szCs w:val="16"/>
              </w:rPr>
            </w:pPr>
            <w:r w:rsidRPr="00010D44">
              <w:rPr>
                <w:rFonts w:cs="Arial"/>
                <w:sz w:val="16"/>
                <w:szCs w:val="16"/>
              </w:rPr>
              <w:t>57.93±3.41</w:t>
            </w:r>
            <w:r w:rsidRPr="00010D44">
              <w:rPr>
                <w:rFonts w:cs="Arial"/>
                <w:sz w:val="16"/>
                <w:szCs w:val="16"/>
                <w:vertAlign w:val="superscript"/>
              </w:rPr>
              <w:t>aA</w:t>
            </w:r>
          </w:p>
        </w:tc>
        <w:tc>
          <w:tcPr>
            <w:tcW w:w="873" w:type="pct"/>
            <w:vAlign w:val="center"/>
          </w:tcPr>
          <w:p w14:paraId="2D0321B2" w14:textId="2DBAFA24" w:rsidR="00BC5B20" w:rsidRPr="00010D44" w:rsidRDefault="00BC5B20" w:rsidP="00BC5B20">
            <w:pPr>
              <w:jc w:val="center"/>
              <w:rPr>
                <w:rFonts w:cs="Arial"/>
                <w:sz w:val="16"/>
                <w:szCs w:val="16"/>
              </w:rPr>
            </w:pPr>
            <w:r w:rsidRPr="00010D44">
              <w:rPr>
                <w:rFonts w:cs="Arial"/>
                <w:sz w:val="16"/>
                <w:szCs w:val="16"/>
              </w:rPr>
              <w:t>57.60±2.55</w:t>
            </w:r>
            <w:r w:rsidRPr="00010D44">
              <w:rPr>
                <w:rFonts w:cs="Arial"/>
                <w:sz w:val="16"/>
                <w:szCs w:val="16"/>
                <w:vertAlign w:val="superscript"/>
              </w:rPr>
              <w:t>aA</w:t>
            </w:r>
          </w:p>
        </w:tc>
        <w:tc>
          <w:tcPr>
            <w:tcW w:w="872" w:type="pct"/>
            <w:vAlign w:val="center"/>
          </w:tcPr>
          <w:p w14:paraId="6C30683A" w14:textId="791B0C32" w:rsidR="00BC5B20" w:rsidRPr="00010D44" w:rsidRDefault="00BC5B20" w:rsidP="00BC5B20">
            <w:pPr>
              <w:jc w:val="center"/>
              <w:rPr>
                <w:rFonts w:cs="Arial"/>
                <w:sz w:val="16"/>
                <w:szCs w:val="16"/>
              </w:rPr>
            </w:pPr>
            <w:r w:rsidRPr="00010D44">
              <w:rPr>
                <w:rFonts w:cs="Arial"/>
                <w:sz w:val="16"/>
                <w:szCs w:val="16"/>
              </w:rPr>
              <w:t>55.37±2.43</w:t>
            </w:r>
            <w:r w:rsidRPr="00010D44">
              <w:rPr>
                <w:rFonts w:cs="Arial"/>
                <w:sz w:val="16"/>
                <w:szCs w:val="16"/>
                <w:vertAlign w:val="superscript"/>
              </w:rPr>
              <w:t>aAB</w:t>
            </w:r>
          </w:p>
        </w:tc>
      </w:tr>
      <w:tr w:rsidR="00BC5B20" w:rsidRPr="004B1F67" w14:paraId="54BA3F43" w14:textId="77777777" w:rsidTr="007B58F2">
        <w:trPr>
          <w:jc w:val="center"/>
        </w:trPr>
        <w:tc>
          <w:tcPr>
            <w:tcW w:w="637" w:type="pct"/>
            <w:vAlign w:val="center"/>
          </w:tcPr>
          <w:p w14:paraId="004AD4BC" w14:textId="0819D3C5" w:rsidR="00BC5B20" w:rsidRPr="00010D44" w:rsidRDefault="00BC5B20" w:rsidP="00BC5B20">
            <w:pPr>
              <w:autoSpaceDE w:val="0"/>
              <w:autoSpaceDN w:val="0"/>
              <w:adjustRightInd w:val="0"/>
              <w:jc w:val="left"/>
              <w:rPr>
                <w:rFonts w:cs="Arial"/>
                <w:sz w:val="16"/>
                <w:szCs w:val="16"/>
              </w:rPr>
            </w:pPr>
            <w:r w:rsidRPr="00010D44">
              <w:rPr>
                <w:rFonts w:cs="Arial"/>
                <w:sz w:val="16"/>
                <w:szCs w:val="16"/>
              </w:rPr>
              <w:t>12</w:t>
            </w:r>
          </w:p>
        </w:tc>
        <w:tc>
          <w:tcPr>
            <w:tcW w:w="872" w:type="pct"/>
            <w:tcBorders>
              <w:left w:val="nil"/>
            </w:tcBorders>
            <w:vAlign w:val="center"/>
          </w:tcPr>
          <w:p w14:paraId="51CFE20C" w14:textId="61DDEBA7" w:rsidR="00BC5B20" w:rsidRPr="00010D44" w:rsidRDefault="00BC5B20" w:rsidP="00BC5B20">
            <w:pPr>
              <w:jc w:val="center"/>
              <w:rPr>
                <w:rFonts w:cs="Arial"/>
                <w:sz w:val="16"/>
                <w:szCs w:val="16"/>
              </w:rPr>
            </w:pPr>
            <w:r w:rsidRPr="00010D44">
              <w:rPr>
                <w:rFonts w:cs="Arial"/>
                <w:sz w:val="16"/>
                <w:szCs w:val="16"/>
              </w:rPr>
              <w:t>57.24±3.15</w:t>
            </w:r>
            <w:r w:rsidRPr="00010D44">
              <w:rPr>
                <w:rFonts w:cs="Arial"/>
                <w:sz w:val="16"/>
                <w:szCs w:val="16"/>
                <w:vertAlign w:val="superscript"/>
              </w:rPr>
              <w:t>aA</w:t>
            </w:r>
          </w:p>
        </w:tc>
        <w:tc>
          <w:tcPr>
            <w:tcW w:w="873" w:type="pct"/>
            <w:vAlign w:val="center"/>
          </w:tcPr>
          <w:p w14:paraId="2F1FD794" w14:textId="19A663A0" w:rsidR="00BC5B20" w:rsidRPr="00010D44" w:rsidRDefault="00BC5B20" w:rsidP="00BC5B20">
            <w:pPr>
              <w:jc w:val="center"/>
              <w:rPr>
                <w:rFonts w:cs="Arial"/>
                <w:sz w:val="16"/>
                <w:szCs w:val="16"/>
              </w:rPr>
            </w:pPr>
            <w:r w:rsidRPr="00010D44">
              <w:rPr>
                <w:rFonts w:cs="Arial"/>
                <w:sz w:val="16"/>
                <w:szCs w:val="16"/>
              </w:rPr>
              <w:t>54.73±2.95</w:t>
            </w:r>
            <w:r w:rsidRPr="00010D44">
              <w:rPr>
                <w:rFonts w:cs="Arial"/>
                <w:sz w:val="16"/>
                <w:szCs w:val="16"/>
                <w:vertAlign w:val="superscript"/>
              </w:rPr>
              <w:t>aA</w:t>
            </w:r>
          </w:p>
        </w:tc>
        <w:tc>
          <w:tcPr>
            <w:tcW w:w="873" w:type="pct"/>
            <w:vAlign w:val="center"/>
          </w:tcPr>
          <w:p w14:paraId="739E1C3C" w14:textId="1F48B191" w:rsidR="00BC5B20" w:rsidRPr="00010D44" w:rsidRDefault="00BC5B20" w:rsidP="00BC5B20">
            <w:pPr>
              <w:jc w:val="center"/>
              <w:rPr>
                <w:rFonts w:cs="Arial"/>
                <w:sz w:val="16"/>
                <w:szCs w:val="16"/>
              </w:rPr>
            </w:pPr>
            <w:r w:rsidRPr="00010D44">
              <w:rPr>
                <w:rFonts w:cs="Arial"/>
                <w:sz w:val="16"/>
                <w:szCs w:val="16"/>
              </w:rPr>
              <w:t>54.86±2.42</w:t>
            </w:r>
            <w:r w:rsidRPr="00010D44">
              <w:rPr>
                <w:rFonts w:cs="Arial"/>
                <w:sz w:val="16"/>
                <w:szCs w:val="16"/>
                <w:vertAlign w:val="superscript"/>
              </w:rPr>
              <w:t>aA</w:t>
            </w:r>
          </w:p>
        </w:tc>
        <w:tc>
          <w:tcPr>
            <w:tcW w:w="873" w:type="pct"/>
            <w:vAlign w:val="center"/>
          </w:tcPr>
          <w:p w14:paraId="13AE10FA" w14:textId="42D0C33E" w:rsidR="00BC5B20" w:rsidRPr="00010D44" w:rsidRDefault="00BC5B20" w:rsidP="00BC5B20">
            <w:pPr>
              <w:jc w:val="center"/>
              <w:rPr>
                <w:rFonts w:cs="Arial"/>
                <w:sz w:val="16"/>
                <w:szCs w:val="16"/>
              </w:rPr>
            </w:pPr>
            <w:r w:rsidRPr="00010D44">
              <w:rPr>
                <w:rFonts w:cs="Arial"/>
                <w:sz w:val="16"/>
                <w:szCs w:val="16"/>
              </w:rPr>
              <w:t>56.58±2.64</w:t>
            </w:r>
            <w:r w:rsidRPr="00010D44">
              <w:rPr>
                <w:rFonts w:cs="Arial"/>
                <w:sz w:val="16"/>
                <w:szCs w:val="16"/>
                <w:vertAlign w:val="superscript"/>
              </w:rPr>
              <w:t>aA</w:t>
            </w:r>
          </w:p>
        </w:tc>
        <w:tc>
          <w:tcPr>
            <w:tcW w:w="872" w:type="pct"/>
            <w:vAlign w:val="center"/>
          </w:tcPr>
          <w:p w14:paraId="17CDFEF2" w14:textId="5DDF0ADF" w:rsidR="00BC5B20" w:rsidRPr="00010D44" w:rsidRDefault="00BC5B20" w:rsidP="00BC5B20">
            <w:pPr>
              <w:jc w:val="center"/>
              <w:rPr>
                <w:rFonts w:cs="Arial"/>
                <w:sz w:val="16"/>
                <w:szCs w:val="16"/>
              </w:rPr>
            </w:pPr>
            <w:r w:rsidRPr="00010D44">
              <w:rPr>
                <w:rFonts w:cs="Arial"/>
                <w:sz w:val="16"/>
                <w:szCs w:val="16"/>
              </w:rPr>
              <w:t>55.50±2.84</w:t>
            </w:r>
            <w:r w:rsidRPr="00010D44">
              <w:rPr>
                <w:rFonts w:cs="Arial"/>
                <w:sz w:val="16"/>
                <w:szCs w:val="16"/>
                <w:vertAlign w:val="superscript"/>
              </w:rPr>
              <w:t>aAB</w:t>
            </w:r>
          </w:p>
        </w:tc>
      </w:tr>
      <w:tr w:rsidR="00BC5B20" w:rsidRPr="004B1F67" w14:paraId="5B0229C8" w14:textId="77777777" w:rsidTr="00351AFC">
        <w:trPr>
          <w:trHeight w:val="78"/>
          <w:jc w:val="center"/>
        </w:trPr>
        <w:tc>
          <w:tcPr>
            <w:tcW w:w="637" w:type="pct"/>
            <w:tcBorders>
              <w:bottom w:val="single" w:sz="8" w:space="0" w:color="008001"/>
            </w:tcBorders>
            <w:vAlign w:val="center"/>
          </w:tcPr>
          <w:p w14:paraId="21F9521F" w14:textId="7D09CCC6" w:rsidR="00BC5B20" w:rsidRPr="00010D44" w:rsidRDefault="00BC5B20" w:rsidP="00BC5B20">
            <w:pPr>
              <w:autoSpaceDE w:val="0"/>
              <w:autoSpaceDN w:val="0"/>
              <w:adjustRightInd w:val="0"/>
              <w:jc w:val="left"/>
              <w:rPr>
                <w:rFonts w:cs="Arial"/>
                <w:sz w:val="16"/>
                <w:szCs w:val="16"/>
              </w:rPr>
            </w:pPr>
            <w:r w:rsidRPr="00010D44">
              <w:rPr>
                <w:rFonts w:cs="Arial"/>
                <w:sz w:val="16"/>
                <w:szCs w:val="16"/>
              </w:rPr>
              <w:t>14</w:t>
            </w:r>
          </w:p>
        </w:tc>
        <w:tc>
          <w:tcPr>
            <w:tcW w:w="872" w:type="pct"/>
            <w:tcBorders>
              <w:left w:val="nil"/>
              <w:bottom w:val="single" w:sz="8" w:space="0" w:color="008001"/>
            </w:tcBorders>
            <w:vAlign w:val="center"/>
          </w:tcPr>
          <w:p w14:paraId="74D0220F" w14:textId="7C01B014" w:rsidR="00BC5B20" w:rsidRPr="00010D44" w:rsidRDefault="00BC5B20" w:rsidP="00BC5B20">
            <w:pPr>
              <w:jc w:val="center"/>
              <w:rPr>
                <w:rFonts w:cs="Arial"/>
                <w:sz w:val="16"/>
                <w:szCs w:val="16"/>
              </w:rPr>
            </w:pPr>
            <w:r w:rsidRPr="00010D44">
              <w:rPr>
                <w:rFonts w:cs="Arial"/>
                <w:sz w:val="16"/>
                <w:szCs w:val="16"/>
              </w:rPr>
              <w:t>57.13±2.37</w:t>
            </w:r>
            <w:r w:rsidRPr="00010D44">
              <w:rPr>
                <w:rFonts w:cs="Arial"/>
                <w:sz w:val="16"/>
                <w:szCs w:val="16"/>
                <w:vertAlign w:val="superscript"/>
              </w:rPr>
              <w:t>abA</w:t>
            </w:r>
          </w:p>
        </w:tc>
        <w:tc>
          <w:tcPr>
            <w:tcW w:w="873" w:type="pct"/>
            <w:tcBorders>
              <w:bottom w:val="single" w:sz="8" w:space="0" w:color="008001"/>
            </w:tcBorders>
            <w:vAlign w:val="center"/>
          </w:tcPr>
          <w:p w14:paraId="6FB79F7E" w14:textId="67CCDBAF" w:rsidR="00BC5B20" w:rsidRPr="00010D44" w:rsidRDefault="00BC5B20" w:rsidP="00BC5B20">
            <w:pPr>
              <w:jc w:val="center"/>
              <w:rPr>
                <w:rFonts w:cs="Arial"/>
                <w:sz w:val="16"/>
                <w:szCs w:val="16"/>
              </w:rPr>
            </w:pPr>
            <w:r w:rsidRPr="00010D44">
              <w:rPr>
                <w:rFonts w:cs="Arial"/>
                <w:sz w:val="16"/>
                <w:szCs w:val="16"/>
              </w:rPr>
              <w:t>57.09±2.32</w:t>
            </w:r>
            <w:r w:rsidRPr="00010D44">
              <w:rPr>
                <w:rFonts w:cs="Arial"/>
                <w:sz w:val="16"/>
                <w:szCs w:val="16"/>
                <w:vertAlign w:val="superscript"/>
              </w:rPr>
              <w:t>abA</w:t>
            </w:r>
          </w:p>
        </w:tc>
        <w:tc>
          <w:tcPr>
            <w:tcW w:w="873" w:type="pct"/>
            <w:tcBorders>
              <w:bottom w:val="single" w:sz="8" w:space="0" w:color="008001"/>
            </w:tcBorders>
            <w:vAlign w:val="center"/>
          </w:tcPr>
          <w:p w14:paraId="726EA353" w14:textId="3914C27C" w:rsidR="00BC5B20" w:rsidRPr="00010D44" w:rsidRDefault="00BC5B20" w:rsidP="00BC5B20">
            <w:pPr>
              <w:jc w:val="center"/>
              <w:rPr>
                <w:rFonts w:cs="Arial"/>
                <w:sz w:val="16"/>
                <w:szCs w:val="16"/>
              </w:rPr>
            </w:pPr>
            <w:r w:rsidRPr="00010D44">
              <w:rPr>
                <w:rFonts w:cs="Arial"/>
                <w:sz w:val="16"/>
                <w:szCs w:val="16"/>
              </w:rPr>
              <w:t>57.01±3.14</w:t>
            </w:r>
            <w:r w:rsidRPr="00010D44">
              <w:rPr>
                <w:rFonts w:cs="Arial"/>
                <w:sz w:val="16"/>
                <w:szCs w:val="16"/>
                <w:vertAlign w:val="superscript"/>
              </w:rPr>
              <w:t>abA</w:t>
            </w:r>
          </w:p>
        </w:tc>
        <w:tc>
          <w:tcPr>
            <w:tcW w:w="873" w:type="pct"/>
            <w:tcBorders>
              <w:bottom w:val="single" w:sz="8" w:space="0" w:color="008001"/>
            </w:tcBorders>
            <w:vAlign w:val="center"/>
          </w:tcPr>
          <w:p w14:paraId="197C9F6A" w14:textId="6C75D6D3" w:rsidR="00BC5B20" w:rsidRPr="00010D44" w:rsidRDefault="00BC5B20" w:rsidP="00BC5B20">
            <w:pPr>
              <w:jc w:val="center"/>
              <w:rPr>
                <w:rFonts w:cs="Arial"/>
                <w:sz w:val="16"/>
                <w:szCs w:val="16"/>
              </w:rPr>
            </w:pPr>
            <w:r w:rsidRPr="00010D44">
              <w:rPr>
                <w:rFonts w:cs="Arial"/>
                <w:sz w:val="16"/>
                <w:szCs w:val="16"/>
              </w:rPr>
              <w:t>57.55±3.22</w:t>
            </w:r>
            <w:r w:rsidRPr="00010D44">
              <w:rPr>
                <w:rFonts w:cs="Arial"/>
                <w:sz w:val="16"/>
                <w:szCs w:val="16"/>
                <w:vertAlign w:val="superscript"/>
              </w:rPr>
              <w:t>aA</w:t>
            </w:r>
          </w:p>
        </w:tc>
        <w:tc>
          <w:tcPr>
            <w:tcW w:w="872" w:type="pct"/>
            <w:tcBorders>
              <w:bottom w:val="single" w:sz="8" w:space="0" w:color="008001"/>
            </w:tcBorders>
            <w:vAlign w:val="center"/>
          </w:tcPr>
          <w:p w14:paraId="5CFC6D83" w14:textId="7FBF5D4D" w:rsidR="00BC5B20" w:rsidRPr="00010D44" w:rsidRDefault="00BC5B20" w:rsidP="00BC5B20">
            <w:pPr>
              <w:jc w:val="center"/>
              <w:rPr>
                <w:rFonts w:cs="Arial"/>
                <w:sz w:val="16"/>
                <w:szCs w:val="16"/>
              </w:rPr>
            </w:pPr>
            <w:r w:rsidRPr="00010D44">
              <w:rPr>
                <w:rFonts w:cs="Arial"/>
                <w:sz w:val="16"/>
                <w:szCs w:val="16"/>
              </w:rPr>
              <w:t>54.61±2.69</w:t>
            </w:r>
            <w:r w:rsidRPr="00010D44">
              <w:rPr>
                <w:rFonts w:cs="Arial"/>
                <w:sz w:val="16"/>
                <w:szCs w:val="16"/>
                <w:vertAlign w:val="superscript"/>
              </w:rPr>
              <w:t>bB</w:t>
            </w:r>
          </w:p>
        </w:tc>
      </w:tr>
      <w:tr w:rsidR="00F84FA5" w:rsidRPr="004B1F67" w14:paraId="270A33B2" w14:textId="77777777" w:rsidTr="00070E4D">
        <w:trPr>
          <w:trHeight w:val="82"/>
          <w:jc w:val="center"/>
        </w:trPr>
        <w:tc>
          <w:tcPr>
            <w:tcW w:w="637" w:type="pct"/>
            <w:tcBorders>
              <w:top w:val="single" w:sz="8" w:space="0" w:color="008001"/>
              <w:bottom w:val="single" w:sz="4" w:space="0" w:color="008001"/>
            </w:tcBorders>
            <w:vAlign w:val="center"/>
          </w:tcPr>
          <w:p w14:paraId="25E39B7D" w14:textId="5BFB879D" w:rsidR="00F84FA5" w:rsidRPr="00010D44" w:rsidRDefault="00F84FA5" w:rsidP="00BC5B20">
            <w:pPr>
              <w:autoSpaceDE w:val="0"/>
              <w:autoSpaceDN w:val="0"/>
              <w:adjustRightInd w:val="0"/>
              <w:jc w:val="left"/>
              <w:rPr>
                <w:rFonts w:cs="Arial"/>
                <w:sz w:val="16"/>
                <w:szCs w:val="16"/>
              </w:rPr>
            </w:pPr>
          </w:p>
        </w:tc>
        <w:tc>
          <w:tcPr>
            <w:tcW w:w="4363" w:type="pct"/>
            <w:gridSpan w:val="5"/>
            <w:tcBorders>
              <w:top w:val="single" w:sz="8" w:space="0" w:color="008001"/>
              <w:left w:val="nil"/>
              <w:bottom w:val="single" w:sz="4" w:space="0" w:color="008001"/>
            </w:tcBorders>
            <w:vAlign w:val="center"/>
          </w:tcPr>
          <w:p w14:paraId="18704B6C" w14:textId="3FD2589F" w:rsidR="00F84FA5" w:rsidRPr="00010D44" w:rsidRDefault="00F84FA5" w:rsidP="00BC5B20">
            <w:pPr>
              <w:jc w:val="center"/>
              <w:rPr>
                <w:rFonts w:cs="Arial"/>
                <w:sz w:val="16"/>
                <w:szCs w:val="16"/>
              </w:rPr>
            </w:pPr>
            <w:r w:rsidRPr="00010D44">
              <w:rPr>
                <w:rFonts w:cs="Arial"/>
                <w:i/>
                <w:iCs/>
                <w:sz w:val="16"/>
                <w:szCs w:val="16"/>
              </w:rPr>
              <w:t>b*</w:t>
            </w:r>
          </w:p>
        </w:tc>
      </w:tr>
      <w:tr w:rsidR="00BC5B20" w:rsidRPr="004B1F67" w14:paraId="45081A5C" w14:textId="77777777" w:rsidTr="00070E4D">
        <w:trPr>
          <w:trHeight w:val="273"/>
          <w:jc w:val="center"/>
        </w:trPr>
        <w:tc>
          <w:tcPr>
            <w:tcW w:w="637" w:type="pct"/>
            <w:tcBorders>
              <w:top w:val="single" w:sz="4" w:space="0" w:color="008001"/>
            </w:tcBorders>
            <w:vAlign w:val="center"/>
          </w:tcPr>
          <w:p w14:paraId="182F0E14" w14:textId="62E81EC6" w:rsidR="00BC5B20" w:rsidRPr="00010D44" w:rsidRDefault="00BC5B20" w:rsidP="00BC5B20">
            <w:pPr>
              <w:autoSpaceDE w:val="0"/>
              <w:autoSpaceDN w:val="0"/>
              <w:adjustRightInd w:val="0"/>
              <w:jc w:val="left"/>
              <w:rPr>
                <w:rFonts w:cs="Arial"/>
                <w:sz w:val="16"/>
                <w:szCs w:val="16"/>
              </w:rPr>
            </w:pPr>
            <w:r w:rsidRPr="00010D44">
              <w:rPr>
                <w:rFonts w:cs="Arial"/>
                <w:sz w:val="16"/>
                <w:szCs w:val="16"/>
              </w:rPr>
              <w:t>0</w:t>
            </w:r>
          </w:p>
        </w:tc>
        <w:tc>
          <w:tcPr>
            <w:tcW w:w="872" w:type="pct"/>
            <w:tcBorders>
              <w:top w:val="single" w:sz="4" w:space="0" w:color="008001"/>
              <w:left w:val="nil"/>
            </w:tcBorders>
            <w:vAlign w:val="center"/>
          </w:tcPr>
          <w:p w14:paraId="603BC6B7" w14:textId="7DF18C95" w:rsidR="00BC5B20" w:rsidRPr="00010D44" w:rsidRDefault="00BC5B20" w:rsidP="00BC5B20">
            <w:pPr>
              <w:jc w:val="center"/>
              <w:rPr>
                <w:rFonts w:cs="Arial"/>
                <w:sz w:val="16"/>
                <w:szCs w:val="16"/>
              </w:rPr>
            </w:pPr>
            <w:r w:rsidRPr="00010D44">
              <w:rPr>
                <w:rFonts w:cs="Arial"/>
                <w:sz w:val="16"/>
                <w:szCs w:val="16"/>
              </w:rPr>
              <w:t>11.73±2.05</w:t>
            </w:r>
            <w:r w:rsidRPr="00010D44">
              <w:rPr>
                <w:rFonts w:cs="Arial"/>
                <w:sz w:val="16"/>
                <w:szCs w:val="16"/>
                <w:vertAlign w:val="superscript"/>
              </w:rPr>
              <w:t>aA</w:t>
            </w:r>
          </w:p>
        </w:tc>
        <w:tc>
          <w:tcPr>
            <w:tcW w:w="873" w:type="pct"/>
            <w:tcBorders>
              <w:top w:val="single" w:sz="4" w:space="0" w:color="008001"/>
            </w:tcBorders>
            <w:vAlign w:val="center"/>
          </w:tcPr>
          <w:p w14:paraId="7043562F" w14:textId="36AB3D98" w:rsidR="00BC5B20" w:rsidRPr="00010D44" w:rsidRDefault="00BC5B20" w:rsidP="00BC5B20">
            <w:pPr>
              <w:jc w:val="center"/>
              <w:rPr>
                <w:rFonts w:cs="Arial"/>
                <w:sz w:val="16"/>
                <w:szCs w:val="16"/>
              </w:rPr>
            </w:pPr>
            <w:r w:rsidRPr="00010D44">
              <w:rPr>
                <w:rFonts w:cs="Arial"/>
                <w:sz w:val="16"/>
                <w:szCs w:val="16"/>
              </w:rPr>
              <w:t>11.73±2.05</w:t>
            </w:r>
            <w:r w:rsidRPr="00010D44">
              <w:rPr>
                <w:rFonts w:cs="Arial"/>
                <w:sz w:val="16"/>
                <w:szCs w:val="16"/>
                <w:vertAlign w:val="superscript"/>
              </w:rPr>
              <w:t>aA</w:t>
            </w:r>
          </w:p>
        </w:tc>
        <w:tc>
          <w:tcPr>
            <w:tcW w:w="873" w:type="pct"/>
            <w:tcBorders>
              <w:top w:val="single" w:sz="4" w:space="0" w:color="008001"/>
            </w:tcBorders>
            <w:vAlign w:val="center"/>
          </w:tcPr>
          <w:p w14:paraId="624E4501" w14:textId="6266C7A9" w:rsidR="00BC5B20" w:rsidRPr="00010D44" w:rsidRDefault="00BC5B20" w:rsidP="00BC5B20">
            <w:pPr>
              <w:jc w:val="center"/>
              <w:rPr>
                <w:rFonts w:cs="Arial"/>
                <w:sz w:val="16"/>
                <w:szCs w:val="16"/>
              </w:rPr>
            </w:pPr>
            <w:r w:rsidRPr="00010D44">
              <w:rPr>
                <w:rFonts w:cs="Arial"/>
                <w:sz w:val="16"/>
                <w:szCs w:val="16"/>
              </w:rPr>
              <w:t>11.73±2.05</w:t>
            </w:r>
            <w:r w:rsidRPr="00010D44">
              <w:rPr>
                <w:rFonts w:cs="Arial"/>
                <w:sz w:val="16"/>
                <w:szCs w:val="16"/>
                <w:vertAlign w:val="superscript"/>
              </w:rPr>
              <w:t>aA</w:t>
            </w:r>
          </w:p>
        </w:tc>
        <w:tc>
          <w:tcPr>
            <w:tcW w:w="873" w:type="pct"/>
            <w:tcBorders>
              <w:top w:val="single" w:sz="4" w:space="0" w:color="008001"/>
            </w:tcBorders>
            <w:vAlign w:val="center"/>
          </w:tcPr>
          <w:p w14:paraId="6FBA21FC" w14:textId="1C067743" w:rsidR="00BC5B20" w:rsidRPr="00010D44" w:rsidRDefault="00BC5B20" w:rsidP="00BC5B20">
            <w:pPr>
              <w:jc w:val="center"/>
              <w:rPr>
                <w:rFonts w:cs="Arial"/>
                <w:sz w:val="16"/>
                <w:szCs w:val="16"/>
              </w:rPr>
            </w:pPr>
            <w:r w:rsidRPr="00010D44">
              <w:rPr>
                <w:rFonts w:cs="Arial"/>
                <w:sz w:val="16"/>
                <w:szCs w:val="16"/>
              </w:rPr>
              <w:t>11.73±2.05</w:t>
            </w:r>
            <w:r w:rsidRPr="00010D44">
              <w:rPr>
                <w:rFonts w:cs="Arial"/>
                <w:sz w:val="16"/>
                <w:szCs w:val="16"/>
                <w:vertAlign w:val="superscript"/>
              </w:rPr>
              <w:t>aA</w:t>
            </w:r>
          </w:p>
        </w:tc>
        <w:tc>
          <w:tcPr>
            <w:tcW w:w="872" w:type="pct"/>
            <w:tcBorders>
              <w:top w:val="single" w:sz="4" w:space="0" w:color="008001"/>
            </w:tcBorders>
            <w:vAlign w:val="center"/>
          </w:tcPr>
          <w:p w14:paraId="52B6AC98" w14:textId="3F1A0926" w:rsidR="00BC5B20" w:rsidRPr="00010D44" w:rsidRDefault="00BC5B20" w:rsidP="00BC5B20">
            <w:pPr>
              <w:jc w:val="center"/>
              <w:rPr>
                <w:rFonts w:cs="Arial"/>
                <w:sz w:val="16"/>
                <w:szCs w:val="16"/>
              </w:rPr>
            </w:pPr>
            <w:r w:rsidRPr="00010D44">
              <w:rPr>
                <w:rFonts w:cs="Arial"/>
                <w:sz w:val="16"/>
                <w:szCs w:val="16"/>
              </w:rPr>
              <w:t>11.73±2.05</w:t>
            </w:r>
            <w:r w:rsidRPr="00010D44">
              <w:rPr>
                <w:rFonts w:cs="Arial"/>
                <w:sz w:val="16"/>
                <w:szCs w:val="16"/>
                <w:vertAlign w:val="superscript"/>
              </w:rPr>
              <w:t>aA</w:t>
            </w:r>
          </w:p>
        </w:tc>
      </w:tr>
      <w:tr w:rsidR="00BC5B20" w:rsidRPr="004B1F67" w14:paraId="73185F88" w14:textId="77777777" w:rsidTr="007B58F2">
        <w:trPr>
          <w:jc w:val="center"/>
        </w:trPr>
        <w:tc>
          <w:tcPr>
            <w:tcW w:w="637" w:type="pct"/>
            <w:vAlign w:val="center"/>
          </w:tcPr>
          <w:p w14:paraId="57B356C9" w14:textId="0915C6A4" w:rsidR="00BC5B20" w:rsidRPr="00010D44" w:rsidRDefault="00BC5B20" w:rsidP="00BC5B20">
            <w:pPr>
              <w:autoSpaceDE w:val="0"/>
              <w:autoSpaceDN w:val="0"/>
              <w:adjustRightInd w:val="0"/>
              <w:jc w:val="left"/>
              <w:rPr>
                <w:rFonts w:cs="Arial"/>
                <w:sz w:val="16"/>
                <w:szCs w:val="16"/>
              </w:rPr>
            </w:pPr>
            <w:r w:rsidRPr="00010D44">
              <w:rPr>
                <w:rFonts w:cs="Arial"/>
                <w:sz w:val="16"/>
                <w:szCs w:val="16"/>
              </w:rPr>
              <w:t>2</w:t>
            </w:r>
          </w:p>
        </w:tc>
        <w:tc>
          <w:tcPr>
            <w:tcW w:w="872" w:type="pct"/>
            <w:tcBorders>
              <w:left w:val="nil"/>
            </w:tcBorders>
            <w:vAlign w:val="center"/>
          </w:tcPr>
          <w:p w14:paraId="161547CC" w14:textId="23723A27" w:rsidR="00BC5B20" w:rsidRPr="00010D44" w:rsidRDefault="00BC5B20" w:rsidP="00BC5B20">
            <w:pPr>
              <w:jc w:val="center"/>
              <w:rPr>
                <w:rFonts w:cs="Arial"/>
                <w:sz w:val="16"/>
                <w:szCs w:val="16"/>
              </w:rPr>
            </w:pPr>
            <w:r w:rsidRPr="00010D44">
              <w:rPr>
                <w:rFonts w:cs="Arial"/>
                <w:sz w:val="16"/>
                <w:szCs w:val="16"/>
              </w:rPr>
              <w:t>9.79±0.82</w:t>
            </w:r>
            <w:r w:rsidRPr="00010D44">
              <w:rPr>
                <w:rFonts w:cs="Arial"/>
                <w:sz w:val="16"/>
                <w:szCs w:val="16"/>
                <w:vertAlign w:val="superscript"/>
              </w:rPr>
              <w:t>aAB</w:t>
            </w:r>
          </w:p>
        </w:tc>
        <w:tc>
          <w:tcPr>
            <w:tcW w:w="873" w:type="pct"/>
            <w:vAlign w:val="center"/>
          </w:tcPr>
          <w:p w14:paraId="49700A5E" w14:textId="702DA2F6" w:rsidR="00BC5B20" w:rsidRPr="00010D44" w:rsidRDefault="00BC5B20" w:rsidP="00BC5B20">
            <w:pPr>
              <w:jc w:val="center"/>
              <w:rPr>
                <w:rFonts w:cs="Arial"/>
                <w:sz w:val="16"/>
                <w:szCs w:val="16"/>
              </w:rPr>
            </w:pPr>
            <w:r w:rsidRPr="00010D44">
              <w:rPr>
                <w:rFonts w:cs="Arial"/>
                <w:sz w:val="16"/>
                <w:szCs w:val="16"/>
              </w:rPr>
              <w:t>12.07±1.65</w:t>
            </w:r>
            <w:r w:rsidRPr="00010D44">
              <w:rPr>
                <w:rFonts w:cs="Arial"/>
                <w:sz w:val="16"/>
                <w:szCs w:val="16"/>
                <w:vertAlign w:val="superscript"/>
              </w:rPr>
              <w:t>bA</w:t>
            </w:r>
          </w:p>
        </w:tc>
        <w:tc>
          <w:tcPr>
            <w:tcW w:w="873" w:type="pct"/>
            <w:vAlign w:val="center"/>
          </w:tcPr>
          <w:p w14:paraId="6A4A86E5" w14:textId="21D1AB6F" w:rsidR="00BC5B20" w:rsidRPr="00010D44" w:rsidRDefault="00BC5B20" w:rsidP="00BC5B20">
            <w:pPr>
              <w:jc w:val="center"/>
              <w:rPr>
                <w:rFonts w:cs="Arial"/>
                <w:sz w:val="16"/>
                <w:szCs w:val="16"/>
              </w:rPr>
            </w:pPr>
            <w:r w:rsidRPr="00010D44">
              <w:rPr>
                <w:rFonts w:cs="Arial"/>
                <w:sz w:val="16"/>
                <w:szCs w:val="16"/>
              </w:rPr>
              <w:t>11.85±0.95</w:t>
            </w:r>
            <w:r w:rsidRPr="00010D44">
              <w:rPr>
                <w:rFonts w:cs="Arial"/>
                <w:sz w:val="16"/>
                <w:szCs w:val="16"/>
                <w:vertAlign w:val="superscript"/>
              </w:rPr>
              <w:t>bA</w:t>
            </w:r>
          </w:p>
        </w:tc>
        <w:tc>
          <w:tcPr>
            <w:tcW w:w="873" w:type="pct"/>
            <w:vAlign w:val="center"/>
          </w:tcPr>
          <w:p w14:paraId="4825FBB9" w14:textId="03AA82BE" w:rsidR="00BC5B20" w:rsidRPr="00010D44" w:rsidRDefault="00BC5B20" w:rsidP="00BC5B20">
            <w:pPr>
              <w:jc w:val="center"/>
              <w:rPr>
                <w:rFonts w:cs="Arial"/>
                <w:sz w:val="16"/>
                <w:szCs w:val="16"/>
              </w:rPr>
            </w:pPr>
            <w:r w:rsidRPr="00010D44">
              <w:rPr>
                <w:rFonts w:cs="Arial"/>
                <w:sz w:val="16"/>
                <w:szCs w:val="16"/>
              </w:rPr>
              <w:t>9.93±1.36</w:t>
            </w:r>
            <w:r w:rsidRPr="00010D44">
              <w:rPr>
                <w:rFonts w:cs="Arial"/>
                <w:sz w:val="16"/>
                <w:szCs w:val="16"/>
                <w:vertAlign w:val="superscript"/>
              </w:rPr>
              <w:t>aAB</w:t>
            </w:r>
          </w:p>
        </w:tc>
        <w:tc>
          <w:tcPr>
            <w:tcW w:w="872" w:type="pct"/>
            <w:vAlign w:val="center"/>
          </w:tcPr>
          <w:p w14:paraId="7436BDB3" w14:textId="3F665617" w:rsidR="00BC5B20" w:rsidRPr="00010D44" w:rsidRDefault="00BC5B20" w:rsidP="00BC5B20">
            <w:pPr>
              <w:jc w:val="center"/>
              <w:rPr>
                <w:rFonts w:cs="Arial"/>
                <w:sz w:val="16"/>
                <w:szCs w:val="16"/>
              </w:rPr>
            </w:pPr>
            <w:r w:rsidRPr="00010D44">
              <w:rPr>
                <w:rFonts w:cs="Arial"/>
                <w:sz w:val="16"/>
                <w:szCs w:val="16"/>
              </w:rPr>
              <w:t>10.57±1.39</w:t>
            </w:r>
            <w:r w:rsidRPr="00010D44">
              <w:rPr>
                <w:rFonts w:cs="Arial"/>
                <w:sz w:val="16"/>
                <w:szCs w:val="16"/>
                <w:vertAlign w:val="superscript"/>
              </w:rPr>
              <w:t>abAB</w:t>
            </w:r>
          </w:p>
        </w:tc>
      </w:tr>
      <w:tr w:rsidR="00BC5B20" w:rsidRPr="004B1F67" w14:paraId="4CCA039A" w14:textId="77777777" w:rsidTr="007B58F2">
        <w:trPr>
          <w:jc w:val="center"/>
        </w:trPr>
        <w:tc>
          <w:tcPr>
            <w:tcW w:w="637" w:type="pct"/>
            <w:vAlign w:val="center"/>
          </w:tcPr>
          <w:p w14:paraId="309207B1" w14:textId="7CF8F7F8" w:rsidR="00BC5B20" w:rsidRPr="00010D44" w:rsidRDefault="00BC5B20" w:rsidP="00BC5B20">
            <w:pPr>
              <w:autoSpaceDE w:val="0"/>
              <w:autoSpaceDN w:val="0"/>
              <w:adjustRightInd w:val="0"/>
              <w:jc w:val="left"/>
              <w:rPr>
                <w:rFonts w:cs="Arial"/>
                <w:sz w:val="16"/>
                <w:szCs w:val="16"/>
              </w:rPr>
            </w:pPr>
            <w:r w:rsidRPr="00010D44">
              <w:rPr>
                <w:rFonts w:cs="Arial"/>
                <w:sz w:val="16"/>
                <w:szCs w:val="16"/>
              </w:rPr>
              <w:t>5</w:t>
            </w:r>
          </w:p>
        </w:tc>
        <w:tc>
          <w:tcPr>
            <w:tcW w:w="872" w:type="pct"/>
            <w:tcBorders>
              <w:left w:val="nil"/>
            </w:tcBorders>
            <w:vAlign w:val="center"/>
          </w:tcPr>
          <w:p w14:paraId="6D3DEEF5" w14:textId="764DDACE" w:rsidR="00BC5B20" w:rsidRPr="00010D44" w:rsidRDefault="00BC5B20" w:rsidP="00BC5B20">
            <w:pPr>
              <w:jc w:val="center"/>
              <w:rPr>
                <w:rFonts w:cs="Arial"/>
                <w:sz w:val="16"/>
                <w:szCs w:val="16"/>
              </w:rPr>
            </w:pPr>
            <w:r w:rsidRPr="00010D44">
              <w:rPr>
                <w:rFonts w:cs="Arial"/>
                <w:sz w:val="16"/>
                <w:szCs w:val="16"/>
              </w:rPr>
              <w:t>8.71±0.88</w:t>
            </w:r>
            <w:r w:rsidRPr="00010D44">
              <w:rPr>
                <w:rFonts w:cs="Arial"/>
                <w:sz w:val="16"/>
                <w:szCs w:val="16"/>
                <w:vertAlign w:val="superscript"/>
              </w:rPr>
              <w:t>aB</w:t>
            </w:r>
          </w:p>
        </w:tc>
        <w:tc>
          <w:tcPr>
            <w:tcW w:w="873" w:type="pct"/>
            <w:vAlign w:val="center"/>
          </w:tcPr>
          <w:p w14:paraId="7C052F27" w14:textId="23CFF877" w:rsidR="00BC5B20" w:rsidRPr="00010D44" w:rsidRDefault="00BC5B20" w:rsidP="00BC5B20">
            <w:pPr>
              <w:jc w:val="center"/>
              <w:rPr>
                <w:rFonts w:cs="Arial"/>
                <w:sz w:val="16"/>
                <w:szCs w:val="16"/>
              </w:rPr>
            </w:pPr>
            <w:r w:rsidRPr="00010D44">
              <w:rPr>
                <w:rFonts w:cs="Arial"/>
                <w:sz w:val="16"/>
                <w:szCs w:val="16"/>
              </w:rPr>
              <w:t>10.99±1.99</w:t>
            </w:r>
            <w:r w:rsidRPr="00010D44">
              <w:rPr>
                <w:rFonts w:cs="Arial"/>
                <w:sz w:val="16"/>
                <w:szCs w:val="16"/>
                <w:vertAlign w:val="superscript"/>
              </w:rPr>
              <w:t>bA</w:t>
            </w:r>
          </w:p>
        </w:tc>
        <w:tc>
          <w:tcPr>
            <w:tcW w:w="873" w:type="pct"/>
            <w:vAlign w:val="center"/>
          </w:tcPr>
          <w:p w14:paraId="6DEED8A3" w14:textId="7C7BA8CC" w:rsidR="00BC5B20" w:rsidRPr="00010D44" w:rsidRDefault="00BC5B20" w:rsidP="00BC5B20">
            <w:pPr>
              <w:jc w:val="center"/>
              <w:rPr>
                <w:rFonts w:cs="Arial"/>
                <w:sz w:val="16"/>
                <w:szCs w:val="16"/>
              </w:rPr>
            </w:pPr>
            <w:r w:rsidRPr="00010D44">
              <w:rPr>
                <w:rFonts w:cs="Arial"/>
                <w:sz w:val="16"/>
                <w:szCs w:val="16"/>
              </w:rPr>
              <w:t>11.33±0.98</w:t>
            </w:r>
            <w:r w:rsidRPr="00010D44">
              <w:rPr>
                <w:rFonts w:cs="Arial"/>
                <w:sz w:val="16"/>
                <w:szCs w:val="16"/>
                <w:vertAlign w:val="superscript"/>
              </w:rPr>
              <w:t>bA</w:t>
            </w:r>
          </w:p>
        </w:tc>
        <w:tc>
          <w:tcPr>
            <w:tcW w:w="873" w:type="pct"/>
            <w:vAlign w:val="center"/>
          </w:tcPr>
          <w:p w14:paraId="7EF9CD96" w14:textId="2F078376" w:rsidR="00BC5B20" w:rsidRPr="00010D44" w:rsidRDefault="00BC5B20" w:rsidP="00BC5B20">
            <w:pPr>
              <w:jc w:val="center"/>
              <w:rPr>
                <w:rFonts w:cs="Arial"/>
                <w:sz w:val="16"/>
                <w:szCs w:val="16"/>
              </w:rPr>
            </w:pPr>
            <w:r w:rsidRPr="00010D44">
              <w:rPr>
                <w:rFonts w:cs="Arial"/>
                <w:sz w:val="16"/>
                <w:szCs w:val="16"/>
              </w:rPr>
              <w:t>9.57±0.75</w:t>
            </w:r>
            <w:r w:rsidRPr="00010D44">
              <w:rPr>
                <w:rFonts w:cs="Arial"/>
                <w:sz w:val="16"/>
                <w:szCs w:val="16"/>
                <w:vertAlign w:val="superscript"/>
              </w:rPr>
              <w:t>aAB</w:t>
            </w:r>
          </w:p>
        </w:tc>
        <w:tc>
          <w:tcPr>
            <w:tcW w:w="872" w:type="pct"/>
            <w:vAlign w:val="center"/>
          </w:tcPr>
          <w:p w14:paraId="5050F4BE" w14:textId="4E4B0854" w:rsidR="00BC5B20" w:rsidRPr="00010D44" w:rsidRDefault="00BC5B20" w:rsidP="00BC5B20">
            <w:pPr>
              <w:jc w:val="center"/>
              <w:rPr>
                <w:rFonts w:cs="Arial"/>
                <w:sz w:val="16"/>
                <w:szCs w:val="16"/>
              </w:rPr>
            </w:pPr>
            <w:r w:rsidRPr="00010D44">
              <w:rPr>
                <w:rFonts w:cs="Arial"/>
                <w:sz w:val="16"/>
                <w:szCs w:val="16"/>
              </w:rPr>
              <w:t>9.61±0.88</w:t>
            </w:r>
            <w:r w:rsidRPr="00010D44">
              <w:rPr>
                <w:rFonts w:cs="Arial"/>
                <w:sz w:val="16"/>
                <w:szCs w:val="16"/>
                <w:vertAlign w:val="superscript"/>
              </w:rPr>
              <w:t>aAB</w:t>
            </w:r>
          </w:p>
        </w:tc>
      </w:tr>
      <w:tr w:rsidR="00BC5B20" w:rsidRPr="004B1F67" w14:paraId="7F52E185" w14:textId="77777777" w:rsidTr="007B58F2">
        <w:trPr>
          <w:jc w:val="center"/>
        </w:trPr>
        <w:tc>
          <w:tcPr>
            <w:tcW w:w="637" w:type="pct"/>
            <w:vAlign w:val="center"/>
          </w:tcPr>
          <w:p w14:paraId="514DA1FC" w14:textId="29A2B8B5" w:rsidR="00BC5B20" w:rsidRPr="00010D44" w:rsidRDefault="00BC5B20" w:rsidP="00BC5B20">
            <w:pPr>
              <w:autoSpaceDE w:val="0"/>
              <w:autoSpaceDN w:val="0"/>
              <w:adjustRightInd w:val="0"/>
              <w:jc w:val="left"/>
              <w:rPr>
                <w:rFonts w:cs="Arial"/>
                <w:sz w:val="16"/>
                <w:szCs w:val="16"/>
              </w:rPr>
            </w:pPr>
            <w:r w:rsidRPr="00010D44">
              <w:rPr>
                <w:rFonts w:cs="Arial"/>
                <w:sz w:val="16"/>
                <w:szCs w:val="16"/>
              </w:rPr>
              <w:t>7</w:t>
            </w:r>
          </w:p>
        </w:tc>
        <w:tc>
          <w:tcPr>
            <w:tcW w:w="872" w:type="pct"/>
            <w:tcBorders>
              <w:left w:val="nil"/>
            </w:tcBorders>
            <w:vAlign w:val="center"/>
          </w:tcPr>
          <w:p w14:paraId="2A4C301E" w14:textId="6294C84D" w:rsidR="00BC5B20" w:rsidRPr="00010D44" w:rsidRDefault="00BC5B20" w:rsidP="00BC5B20">
            <w:pPr>
              <w:jc w:val="center"/>
              <w:rPr>
                <w:rFonts w:cs="Arial"/>
                <w:sz w:val="16"/>
                <w:szCs w:val="16"/>
              </w:rPr>
            </w:pPr>
            <w:r w:rsidRPr="00010D44">
              <w:rPr>
                <w:rFonts w:cs="Arial"/>
                <w:sz w:val="16"/>
                <w:szCs w:val="16"/>
              </w:rPr>
              <w:t>9.05±0.82</w:t>
            </w:r>
            <w:r w:rsidRPr="00010D44">
              <w:rPr>
                <w:rFonts w:cs="Arial"/>
                <w:sz w:val="16"/>
                <w:szCs w:val="16"/>
                <w:vertAlign w:val="superscript"/>
              </w:rPr>
              <w:t>aAB</w:t>
            </w:r>
          </w:p>
        </w:tc>
        <w:tc>
          <w:tcPr>
            <w:tcW w:w="873" w:type="pct"/>
            <w:vAlign w:val="center"/>
          </w:tcPr>
          <w:p w14:paraId="47DEB422" w14:textId="00D515EE" w:rsidR="00BC5B20" w:rsidRPr="00010D44" w:rsidRDefault="00BC5B20" w:rsidP="00BC5B20">
            <w:pPr>
              <w:jc w:val="center"/>
              <w:rPr>
                <w:rFonts w:cs="Arial"/>
                <w:sz w:val="16"/>
                <w:szCs w:val="16"/>
              </w:rPr>
            </w:pPr>
            <w:r w:rsidRPr="00010D44">
              <w:rPr>
                <w:rFonts w:cs="Arial"/>
                <w:sz w:val="16"/>
                <w:szCs w:val="16"/>
              </w:rPr>
              <w:t>10.55±1.00</w:t>
            </w:r>
            <w:r w:rsidRPr="00010D44">
              <w:rPr>
                <w:rFonts w:cs="Arial"/>
                <w:sz w:val="16"/>
                <w:szCs w:val="16"/>
                <w:vertAlign w:val="superscript"/>
              </w:rPr>
              <w:t>aA</w:t>
            </w:r>
          </w:p>
        </w:tc>
        <w:tc>
          <w:tcPr>
            <w:tcW w:w="873" w:type="pct"/>
            <w:vAlign w:val="center"/>
          </w:tcPr>
          <w:p w14:paraId="45B14FE6" w14:textId="09B70AC7" w:rsidR="00BC5B20" w:rsidRPr="00010D44" w:rsidRDefault="00BC5B20" w:rsidP="00BC5B20">
            <w:pPr>
              <w:jc w:val="center"/>
              <w:rPr>
                <w:rFonts w:cs="Arial"/>
                <w:sz w:val="16"/>
                <w:szCs w:val="16"/>
              </w:rPr>
            </w:pPr>
            <w:r w:rsidRPr="00010D44">
              <w:rPr>
                <w:rFonts w:cs="Arial"/>
                <w:sz w:val="16"/>
                <w:szCs w:val="16"/>
              </w:rPr>
              <w:t>10.69±0.53</w:t>
            </w:r>
            <w:r w:rsidRPr="00010D44">
              <w:rPr>
                <w:rFonts w:cs="Arial"/>
                <w:sz w:val="16"/>
                <w:szCs w:val="16"/>
                <w:vertAlign w:val="superscript"/>
              </w:rPr>
              <w:t>aA</w:t>
            </w:r>
          </w:p>
        </w:tc>
        <w:tc>
          <w:tcPr>
            <w:tcW w:w="873" w:type="pct"/>
            <w:vAlign w:val="center"/>
          </w:tcPr>
          <w:p w14:paraId="3E52F256" w14:textId="4E253A6D" w:rsidR="00BC5B20" w:rsidRPr="00010D44" w:rsidRDefault="00BC5B20" w:rsidP="00BC5B20">
            <w:pPr>
              <w:jc w:val="center"/>
              <w:rPr>
                <w:rFonts w:cs="Arial"/>
                <w:sz w:val="16"/>
                <w:szCs w:val="16"/>
              </w:rPr>
            </w:pPr>
            <w:r w:rsidRPr="00010D44">
              <w:rPr>
                <w:rFonts w:cs="Arial"/>
                <w:sz w:val="16"/>
                <w:szCs w:val="16"/>
              </w:rPr>
              <w:t>9.09±1.12</w:t>
            </w:r>
            <w:r w:rsidRPr="00010D44">
              <w:rPr>
                <w:rFonts w:cs="Arial"/>
                <w:sz w:val="16"/>
                <w:szCs w:val="16"/>
                <w:vertAlign w:val="superscript"/>
              </w:rPr>
              <w:t>aAB</w:t>
            </w:r>
          </w:p>
        </w:tc>
        <w:tc>
          <w:tcPr>
            <w:tcW w:w="872" w:type="pct"/>
            <w:vAlign w:val="center"/>
          </w:tcPr>
          <w:p w14:paraId="0F27A789" w14:textId="053F4D8B" w:rsidR="00BC5B20" w:rsidRPr="00010D44" w:rsidRDefault="00BC5B20" w:rsidP="00BC5B20">
            <w:pPr>
              <w:jc w:val="center"/>
              <w:rPr>
                <w:rFonts w:cs="Arial"/>
                <w:sz w:val="16"/>
                <w:szCs w:val="16"/>
              </w:rPr>
            </w:pPr>
            <w:r w:rsidRPr="00010D44">
              <w:rPr>
                <w:rFonts w:cs="Arial"/>
                <w:sz w:val="16"/>
                <w:szCs w:val="16"/>
              </w:rPr>
              <w:t>9.53±1.16</w:t>
            </w:r>
            <w:r w:rsidRPr="00010D44">
              <w:rPr>
                <w:rFonts w:cs="Arial"/>
                <w:sz w:val="16"/>
                <w:szCs w:val="16"/>
                <w:vertAlign w:val="superscript"/>
              </w:rPr>
              <w:t>aAB</w:t>
            </w:r>
          </w:p>
        </w:tc>
      </w:tr>
      <w:tr w:rsidR="00BC5B20" w:rsidRPr="004B1F67" w14:paraId="52AEF077" w14:textId="77777777" w:rsidTr="007B58F2">
        <w:trPr>
          <w:jc w:val="center"/>
        </w:trPr>
        <w:tc>
          <w:tcPr>
            <w:tcW w:w="637" w:type="pct"/>
            <w:vAlign w:val="center"/>
          </w:tcPr>
          <w:p w14:paraId="4D4012C0" w14:textId="1C4BEB36" w:rsidR="00BC5B20" w:rsidRPr="00010D44" w:rsidRDefault="00BC5B20" w:rsidP="00BC5B20">
            <w:pPr>
              <w:autoSpaceDE w:val="0"/>
              <w:autoSpaceDN w:val="0"/>
              <w:adjustRightInd w:val="0"/>
              <w:jc w:val="left"/>
              <w:rPr>
                <w:rFonts w:cs="Arial"/>
                <w:sz w:val="16"/>
                <w:szCs w:val="16"/>
              </w:rPr>
            </w:pPr>
            <w:r w:rsidRPr="00010D44">
              <w:rPr>
                <w:rFonts w:cs="Arial"/>
                <w:sz w:val="16"/>
                <w:szCs w:val="16"/>
              </w:rPr>
              <w:t>9</w:t>
            </w:r>
          </w:p>
        </w:tc>
        <w:tc>
          <w:tcPr>
            <w:tcW w:w="872" w:type="pct"/>
            <w:tcBorders>
              <w:left w:val="nil"/>
            </w:tcBorders>
            <w:vAlign w:val="center"/>
          </w:tcPr>
          <w:p w14:paraId="2E1C3AAD" w14:textId="278B3243" w:rsidR="00BC5B20" w:rsidRPr="00010D44" w:rsidRDefault="00BC5B20" w:rsidP="00BC5B20">
            <w:pPr>
              <w:jc w:val="center"/>
              <w:rPr>
                <w:rFonts w:cs="Arial"/>
                <w:sz w:val="16"/>
                <w:szCs w:val="16"/>
              </w:rPr>
            </w:pPr>
            <w:r w:rsidRPr="00010D44">
              <w:rPr>
                <w:rFonts w:cs="Arial"/>
                <w:sz w:val="16"/>
                <w:szCs w:val="16"/>
              </w:rPr>
              <w:t>8.70±1.53</w:t>
            </w:r>
            <w:r w:rsidRPr="00010D44">
              <w:rPr>
                <w:rFonts w:cs="Arial"/>
                <w:sz w:val="16"/>
                <w:szCs w:val="16"/>
                <w:vertAlign w:val="superscript"/>
              </w:rPr>
              <w:t>aB</w:t>
            </w:r>
          </w:p>
        </w:tc>
        <w:tc>
          <w:tcPr>
            <w:tcW w:w="873" w:type="pct"/>
            <w:vAlign w:val="center"/>
          </w:tcPr>
          <w:p w14:paraId="0C03BA0B" w14:textId="2213FE4C" w:rsidR="00BC5B20" w:rsidRPr="00010D44" w:rsidRDefault="00BC5B20" w:rsidP="00BC5B20">
            <w:pPr>
              <w:jc w:val="center"/>
              <w:rPr>
                <w:rFonts w:cs="Arial"/>
                <w:sz w:val="16"/>
                <w:szCs w:val="16"/>
              </w:rPr>
            </w:pPr>
            <w:r w:rsidRPr="00010D44">
              <w:rPr>
                <w:rFonts w:cs="Arial"/>
                <w:sz w:val="16"/>
                <w:szCs w:val="16"/>
              </w:rPr>
              <w:t>10.25±1.54</w:t>
            </w:r>
            <w:r w:rsidRPr="00010D44">
              <w:rPr>
                <w:rFonts w:cs="Arial"/>
                <w:sz w:val="16"/>
                <w:szCs w:val="16"/>
                <w:vertAlign w:val="superscript"/>
              </w:rPr>
              <w:t>abA</w:t>
            </w:r>
          </w:p>
        </w:tc>
        <w:tc>
          <w:tcPr>
            <w:tcW w:w="873" w:type="pct"/>
            <w:vAlign w:val="center"/>
          </w:tcPr>
          <w:p w14:paraId="0604FE82" w14:textId="740F67CC" w:rsidR="00BC5B20" w:rsidRPr="00010D44" w:rsidRDefault="00BC5B20" w:rsidP="00BC5B20">
            <w:pPr>
              <w:jc w:val="center"/>
              <w:rPr>
                <w:rFonts w:cs="Arial"/>
                <w:sz w:val="16"/>
                <w:szCs w:val="16"/>
              </w:rPr>
            </w:pPr>
            <w:r w:rsidRPr="00010D44">
              <w:rPr>
                <w:rFonts w:cs="Arial"/>
                <w:sz w:val="16"/>
                <w:szCs w:val="16"/>
              </w:rPr>
              <w:t>10.99±1.16</w:t>
            </w:r>
            <w:r w:rsidRPr="00010D44">
              <w:rPr>
                <w:rFonts w:cs="Arial"/>
                <w:sz w:val="16"/>
                <w:szCs w:val="16"/>
                <w:vertAlign w:val="superscript"/>
              </w:rPr>
              <w:t>bA</w:t>
            </w:r>
          </w:p>
        </w:tc>
        <w:tc>
          <w:tcPr>
            <w:tcW w:w="873" w:type="pct"/>
            <w:vAlign w:val="center"/>
          </w:tcPr>
          <w:p w14:paraId="08A471C9" w14:textId="0E0DF42C" w:rsidR="00BC5B20" w:rsidRPr="00010D44" w:rsidRDefault="00BC5B20" w:rsidP="00BC5B20">
            <w:pPr>
              <w:jc w:val="center"/>
              <w:rPr>
                <w:rFonts w:cs="Arial"/>
                <w:sz w:val="16"/>
                <w:szCs w:val="16"/>
              </w:rPr>
            </w:pPr>
            <w:r w:rsidRPr="00010D44">
              <w:rPr>
                <w:rFonts w:cs="Arial"/>
                <w:sz w:val="16"/>
                <w:szCs w:val="16"/>
              </w:rPr>
              <w:t>9.22±0.84</w:t>
            </w:r>
            <w:r w:rsidRPr="00010D44">
              <w:rPr>
                <w:rFonts w:cs="Arial"/>
                <w:sz w:val="16"/>
                <w:szCs w:val="16"/>
                <w:vertAlign w:val="superscript"/>
              </w:rPr>
              <w:t>abAB</w:t>
            </w:r>
          </w:p>
        </w:tc>
        <w:tc>
          <w:tcPr>
            <w:tcW w:w="872" w:type="pct"/>
            <w:vAlign w:val="center"/>
          </w:tcPr>
          <w:p w14:paraId="27ADD41C" w14:textId="485D0796" w:rsidR="00BC5B20" w:rsidRPr="00010D44" w:rsidRDefault="00BC5B20" w:rsidP="00BC5B20">
            <w:pPr>
              <w:jc w:val="center"/>
              <w:rPr>
                <w:rFonts w:cs="Arial"/>
                <w:sz w:val="16"/>
                <w:szCs w:val="16"/>
              </w:rPr>
            </w:pPr>
            <w:r w:rsidRPr="00010D44">
              <w:rPr>
                <w:rFonts w:cs="Arial"/>
                <w:sz w:val="16"/>
                <w:szCs w:val="16"/>
              </w:rPr>
              <w:t>9.32±1.14</w:t>
            </w:r>
            <w:r w:rsidRPr="00010D44">
              <w:rPr>
                <w:rFonts w:cs="Arial"/>
                <w:sz w:val="16"/>
                <w:szCs w:val="16"/>
                <w:vertAlign w:val="superscript"/>
              </w:rPr>
              <w:t>abB</w:t>
            </w:r>
          </w:p>
        </w:tc>
      </w:tr>
      <w:tr w:rsidR="00BC5B20" w:rsidRPr="004B1F67" w14:paraId="44F56241" w14:textId="77777777" w:rsidTr="007B58F2">
        <w:trPr>
          <w:jc w:val="center"/>
        </w:trPr>
        <w:tc>
          <w:tcPr>
            <w:tcW w:w="637" w:type="pct"/>
            <w:vAlign w:val="center"/>
          </w:tcPr>
          <w:p w14:paraId="08C55DBC" w14:textId="14C74071" w:rsidR="00BC5B20" w:rsidRPr="00010D44" w:rsidRDefault="00BC5B20" w:rsidP="00BC5B20">
            <w:pPr>
              <w:autoSpaceDE w:val="0"/>
              <w:autoSpaceDN w:val="0"/>
              <w:adjustRightInd w:val="0"/>
              <w:jc w:val="left"/>
              <w:rPr>
                <w:rFonts w:cs="Arial"/>
                <w:sz w:val="16"/>
                <w:szCs w:val="16"/>
              </w:rPr>
            </w:pPr>
            <w:r w:rsidRPr="00010D44">
              <w:rPr>
                <w:rFonts w:cs="Arial"/>
                <w:sz w:val="16"/>
                <w:szCs w:val="16"/>
              </w:rPr>
              <w:t>12</w:t>
            </w:r>
          </w:p>
        </w:tc>
        <w:tc>
          <w:tcPr>
            <w:tcW w:w="872" w:type="pct"/>
            <w:tcBorders>
              <w:left w:val="nil"/>
            </w:tcBorders>
            <w:vAlign w:val="center"/>
          </w:tcPr>
          <w:p w14:paraId="16A9A747" w14:textId="3AFFE6F3" w:rsidR="00BC5B20" w:rsidRPr="00010D44" w:rsidRDefault="00BC5B20" w:rsidP="00BC5B20">
            <w:pPr>
              <w:jc w:val="center"/>
              <w:rPr>
                <w:rFonts w:cs="Arial"/>
                <w:sz w:val="16"/>
                <w:szCs w:val="16"/>
              </w:rPr>
            </w:pPr>
            <w:r w:rsidRPr="00010D44">
              <w:rPr>
                <w:rFonts w:cs="Arial"/>
                <w:sz w:val="16"/>
                <w:szCs w:val="16"/>
              </w:rPr>
              <w:t>9.27±1.67</w:t>
            </w:r>
            <w:r w:rsidRPr="00010D44">
              <w:rPr>
                <w:rFonts w:cs="Arial"/>
                <w:sz w:val="16"/>
                <w:szCs w:val="16"/>
                <w:vertAlign w:val="superscript"/>
              </w:rPr>
              <w:t>aAB</w:t>
            </w:r>
          </w:p>
        </w:tc>
        <w:tc>
          <w:tcPr>
            <w:tcW w:w="873" w:type="pct"/>
            <w:vAlign w:val="center"/>
          </w:tcPr>
          <w:p w14:paraId="05830831" w14:textId="064BBF17" w:rsidR="00BC5B20" w:rsidRPr="00010D44" w:rsidRDefault="00BC5B20" w:rsidP="00BC5B20">
            <w:pPr>
              <w:jc w:val="center"/>
              <w:rPr>
                <w:rFonts w:cs="Arial"/>
                <w:sz w:val="16"/>
                <w:szCs w:val="16"/>
              </w:rPr>
            </w:pPr>
            <w:r w:rsidRPr="00010D44">
              <w:rPr>
                <w:rFonts w:cs="Arial"/>
                <w:sz w:val="16"/>
                <w:szCs w:val="16"/>
              </w:rPr>
              <w:t>10.44±2.05</w:t>
            </w:r>
            <w:r w:rsidRPr="00010D44">
              <w:rPr>
                <w:rFonts w:cs="Arial"/>
                <w:sz w:val="16"/>
                <w:szCs w:val="16"/>
                <w:vertAlign w:val="superscript"/>
              </w:rPr>
              <w:t>aA</w:t>
            </w:r>
          </w:p>
        </w:tc>
        <w:tc>
          <w:tcPr>
            <w:tcW w:w="873" w:type="pct"/>
            <w:vAlign w:val="center"/>
          </w:tcPr>
          <w:p w14:paraId="0EDDF886" w14:textId="22EE7B6C" w:rsidR="00BC5B20" w:rsidRPr="00010D44" w:rsidRDefault="00BC5B20" w:rsidP="00BC5B20">
            <w:pPr>
              <w:jc w:val="center"/>
              <w:rPr>
                <w:rFonts w:cs="Arial"/>
                <w:sz w:val="16"/>
                <w:szCs w:val="16"/>
              </w:rPr>
            </w:pPr>
            <w:r w:rsidRPr="00010D44">
              <w:rPr>
                <w:rFonts w:cs="Arial"/>
                <w:sz w:val="16"/>
                <w:szCs w:val="16"/>
              </w:rPr>
              <w:t>10.91±2.07</w:t>
            </w:r>
            <w:r w:rsidRPr="00010D44">
              <w:rPr>
                <w:rFonts w:cs="Arial"/>
                <w:sz w:val="16"/>
                <w:szCs w:val="16"/>
                <w:vertAlign w:val="superscript"/>
              </w:rPr>
              <w:t>aA</w:t>
            </w:r>
          </w:p>
        </w:tc>
        <w:tc>
          <w:tcPr>
            <w:tcW w:w="873" w:type="pct"/>
            <w:vAlign w:val="center"/>
          </w:tcPr>
          <w:p w14:paraId="7493F369" w14:textId="32019C34" w:rsidR="00BC5B20" w:rsidRPr="00010D44" w:rsidRDefault="00BC5B20" w:rsidP="00BC5B20">
            <w:pPr>
              <w:jc w:val="center"/>
              <w:rPr>
                <w:rFonts w:cs="Arial"/>
                <w:sz w:val="16"/>
                <w:szCs w:val="16"/>
              </w:rPr>
            </w:pPr>
            <w:r w:rsidRPr="00010D44">
              <w:rPr>
                <w:rFonts w:cs="Arial"/>
                <w:sz w:val="16"/>
                <w:szCs w:val="16"/>
              </w:rPr>
              <w:t>9.12±1.23</w:t>
            </w:r>
            <w:r w:rsidRPr="00010D44">
              <w:rPr>
                <w:rFonts w:cs="Arial"/>
                <w:sz w:val="16"/>
                <w:szCs w:val="16"/>
                <w:vertAlign w:val="superscript"/>
              </w:rPr>
              <w:t>aAB</w:t>
            </w:r>
          </w:p>
        </w:tc>
        <w:tc>
          <w:tcPr>
            <w:tcW w:w="872" w:type="pct"/>
            <w:vAlign w:val="center"/>
          </w:tcPr>
          <w:p w14:paraId="6AEDEEF7" w14:textId="02D232B0" w:rsidR="00BC5B20" w:rsidRPr="00010D44" w:rsidRDefault="00BC5B20" w:rsidP="00BC5B20">
            <w:pPr>
              <w:jc w:val="center"/>
              <w:rPr>
                <w:rFonts w:cs="Arial"/>
                <w:sz w:val="16"/>
                <w:szCs w:val="16"/>
              </w:rPr>
            </w:pPr>
            <w:r w:rsidRPr="00010D44">
              <w:rPr>
                <w:rFonts w:cs="Arial"/>
                <w:sz w:val="16"/>
                <w:szCs w:val="16"/>
              </w:rPr>
              <w:t>9.29±2.19</w:t>
            </w:r>
            <w:r w:rsidRPr="00010D44">
              <w:rPr>
                <w:rFonts w:cs="Arial"/>
                <w:sz w:val="16"/>
                <w:szCs w:val="16"/>
                <w:vertAlign w:val="superscript"/>
              </w:rPr>
              <w:t>aB</w:t>
            </w:r>
          </w:p>
        </w:tc>
      </w:tr>
      <w:tr w:rsidR="00BC5B20" w:rsidRPr="004B1F67" w14:paraId="27457343" w14:textId="77777777" w:rsidTr="007B58F2">
        <w:trPr>
          <w:jc w:val="center"/>
        </w:trPr>
        <w:tc>
          <w:tcPr>
            <w:tcW w:w="637" w:type="pct"/>
            <w:tcBorders>
              <w:bottom w:val="single" w:sz="18" w:space="0" w:color="008001"/>
            </w:tcBorders>
            <w:vAlign w:val="center"/>
          </w:tcPr>
          <w:p w14:paraId="32878A45" w14:textId="2E638AA9" w:rsidR="00BC5B20" w:rsidRPr="00010D44" w:rsidRDefault="00BC5B20" w:rsidP="00BC5B20">
            <w:pPr>
              <w:autoSpaceDE w:val="0"/>
              <w:autoSpaceDN w:val="0"/>
              <w:adjustRightInd w:val="0"/>
              <w:jc w:val="left"/>
              <w:rPr>
                <w:rFonts w:cs="Arial"/>
                <w:sz w:val="16"/>
                <w:szCs w:val="16"/>
              </w:rPr>
            </w:pPr>
            <w:r w:rsidRPr="00010D44">
              <w:rPr>
                <w:rFonts w:cs="Arial"/>
                <w:sz w:val="16"/>
                <w:szCs w:val="16"/>
              </w:rPr>
              <w:t>14</w:t>
            </w:r>
          </w:p>
        </w:tc>
        <w:tc>
          <w:tcPr>
            <w:tcW w:w="872" w:type="pct"/>
            <w:tcBorders>
              <w:left w:val="nil"/>
              <w:bottom w:val="single" w:sz="18" w:space="0" w:color="008001"/>
            </w:tcBorders>
            <w:vAlign w:val="center"/>
          </w:tcPr>
          <w:p w14:paraId="14D0481E" w14:textId="3BCB4D83" w:rsidR="00BC5B20" w:rsidRPr="00010D44" w:rsidRDefault="00BC5B20" w:rsidP="00BC5B20">
            <w:pPr>
              <w:jc w:val="center"/>
              <w:rPr>
                <w:rFonts w:cs="Arial"/>
                <w:sz w:val="16"/>
                <w:szCs w:val="16"/>
              </w:rPr>
            </w:pPr>
            <w:r w:rsidRPr="00010D44">
              <w:rPr>
                <w:rFonts w:cs="Arial"/>
                <w:sz w:val="16"/>
                <w:szCs w:val="16"/>
              </w:rPr>
              <w:t>8.59±1.08</w:t>
            </w:r>
            <w:r w:rsidRPr="00010D44">
              <w:rPr>
                <w:rFonts w:cs="Arial"/>
                <w:sz w:val="16"/>
                <w:szCs w:val="16"/>
                <w:vertAlign w:val="superscript"/>
              </w:rPr>
              <w:t>aB</w:t>
            </w:r>
          </w:p>
        </w:tc>
        <w:tc>
          <w:tcPr>
            <w:tcW w:w="873" w:type="pct"/>
            <w:tcBorders>
              <w:bottom w:val="single" w:sz="18" w:space="0" w:color="008001"/>
            </w:tcBorders>
            <w:vAlign w:val="center"/>
          </w:tcPr>
          <w:p w14:paraId="156B7294" w14:textId="01696573" w:rsidR="00BC5B20" w:rsidRPr="00010D44" w:rsidRDefault="00BC5B20" w:rsidP="00BC5B20">
            <w:pPr>
              <w:jc w:val="center"/>
              <w:rPr>
                <w:rFonts w:cs="Arial"/>
                <w:sz w:val="16"/>
                <w:szCs w:val="16"/>
              </w:rPr>
            </w:pPr>
            <w:r w:rsidRPr="00010D44">
              <w:rPr>
                <w:rFonts w:cs="Arial"/>
                <w:sz w:val="16"/>
                <w:szCs w:val="16"/>
              </w:rPr>
              <w:t>9.94±1.66</w:t>
            </w:r>
            <w:r w:rsidRPr="00010D44">
              <w:rPr>
                <w:rFonts w:cs="Arial"/>
                <w:sz w:val="16"/>
                <w:szCs w:val="16"/>
                <w:vertAlign w:val="superscript"/>
              </w:rPr>
              <w:t>aA</w:t>
            </w:r>
          </w:p>
        </w:tc>
        <w:tc>
          <w:tcPr>
            <w:tcW w:w="873" w:type="pct"/>
            <w:tcBorders>
              <w:bottom w:val="single" w:sz="18" w:space="0" w:color="008001"/>
            </w:tcBorders>
            <w:vAlign w:val="center"/>
          </w:tcPr>
          <w:p w14:paraId="56175CC6" w14:textId="43658B80" w:rsidR="00BC5B20" w:rsidRPr="00010D44" w:rsidRDefault="00BC5B20" w:rsidP="00BC5B20">
            <w:pPr>
              <w:jc w:val="center"/>
              <w:rPr>
                <w:rFonts w:cs="Arial"/>
                <w:sz w:val="16"/>
                <w:szCs w:val="16"/>
              </w:rPr>
            </w:pPr>
            <w:r w:rsidRPr="00010D44">
              <w:rPr>
                <w:rFonts w:cs="Arial"/>
                <w:sz w:val="16"/>
                <w:szCs w:val="16"/>
              </w:rPr>
              <w:t>10.10±1.38</w:t>
            </w:r>
            <w:r w:rsidRPr="00010D44">
              <w:rPr>
                <w:rFonts w:cs="Arial"/>
                <w:sz w:val="16"/>
                <w:szCs w:val="16"/>
                <w:vertAlign w:val="superscript"/>
              </w:rPr>
              <w:t>aA</w:t>
            </w:r>
          </w:p>
        </w:tc>
        <w:tc>
          <w:tcPr>
            <w:tcW w:w="873" w:type="pct"/>
            <w:tcBorders>
              <w:bottom w:val="single" w:sz="18" w:space="0" w:color="008001"/>
            </w:tcBorders>
            <w:vAlign w:val="center"/>
          </w:tcPr>
          <w:p w14:paraId="594EFCEF" w14:textId="29A5731C" w:rsidR="00BC5B20" w:rsidRPr="00010D44" w:rsidRDefault="00BC5B20" w:rsidP="00BC5B20">
            <w:pPr>
              <w:jc w:val="center"/>
              <w:rPr>
                <w:rFonts w:cs="Arial"/>
                <w:sz w:val="16"/>
                <w:szCs w:val="16"/>
              </w:rPr>
            </w:pPr>
            <w:r w:rsidRPr="00010D44">
              <w:rPr>
                <w:rFonts w:cs="Arial"/>
                <w:sz w:val="16"/>
                <w:szCs w:val="16"/>
              </w:rPr>
              <w:t>8.40±1.53</w:t>
            </w:r>
            <w:r w:rsidRPr="00010D44">
              <w:rPr>
                <w:rFonts w:cs="Arial"/>
                <w:sz w:val="16"/>
                <w:szCs w:val="16"/>
                <w:vertAlign w:val="superscript"/>
              </w:rPr>
              <w:t>aB</w:t>
            </w:r>
          </w:p>
        </w:tc>
        <w:tc>
          <w:tcPr>
            <w:tcW w:w="872" w:type="pct"/>
            <w:tcBorders>
              <w:bottom w:val="single" w:sz="18" w:space="0" w:color="008001"/>
            </w:tcBorders>
            <w:vAlign w:val="center"/>
          </w:tcPr>
          <w:p w14:paraId="464A30F8" w14:textId="4B3DD4A9" w:rsidR="00BC5B20" w:rsidRPr="00010D44" w:rsidRDefault="00BC5B20" w:rsidP="00BC5B20">
            <w:pPr>
              <w:jc w:val="center"/>
              <w:rPr>
                <w:rFonts w:cs="Arial"/>
                <w:sz w:val="16"/>
                <w:szCs w:val="16"/>
              </w:rPr>
            </w:pPr>
            <w:r w:rsidRPr="00010D44">
              <w:rPr>
                <w:rFonts w:cs="Arial"/>
                <w:sz w:val="16"/>
                <w:szCs w:val="16"/>
              </w:rPr>
              <w:t>8.38±2.41</w:t>
            </w:r>
            <w:r w:rsidRPr="00010D44">
              <w:rPr>
                <w:rFonts w:cs="Arial"/>
                <w:sz w:val="16"/>
                <w:szCs w:val="16"/>
                <w:vertAlign w:val="superscript"/>
              </w:rPr>
              <w:t>aB</w:t>
            </w:r>
          </w:p>
        </w:tc>
      </w:tr>
    </w:tbl>
    <w:p w14:paraId="6DF64104" w14:textId="77777777" w:rsidR="006E764F" w:rsidRDefault="00F84FA5" w:rsidP="00351AFC">
      <w:pPr>
        <w:spacing w:before="240"/>
        <w:rPr>
          <w:color w:val="000000" w:themeColor="text1"/>
        </w:rPr>
      </w:pPr>
      <w:r w:rsidRPr="00F84FA5">
        <w:rPr>
          <w:color w:val="000000" w:themeColor="text1"/>
        </w:rPr>
        <w:lastRenderedPageBreak/>
        <w:t xml:space="preserve">The red colour of the meat is described by the positive values of the </w:t>
      </w:r>
      <w:r w:rsidRPr="003C478C">
        <w:rPr>
          <w:i/>
          <w:iCs/>
          <w:color w:val="000000" w:themeColor="text1"/>
        </w:rPr>
        <w:t>a*</w:t>
      </w:r>
      <w:r w:rsidRPr="00F84FA5">
        <w:rPr>
          <w:color w:val="000000" w:themeColor="text1"/>
        </w:rPr>
        <w:t xml:space="preserve">-coordinate. The higher the value of the </w:t>
      </w:r>
      <w:r w:rsidRPr="00B019C1">
        <w:rPr>
          <w:i/>
          <w:iCs/>
          <w:color w:val="000000" w:themeColor="text1"/>
        </w:rPr>
        <w:t>a*</w:t>
      </w:r>
      <w:r w:rsidRPr="00F84FA5">
        <w:rPr>
          <w:color w:val="000000" w:themeColor="text1"/>
        </w:rPr>
        <w:t>-coordinate, the redder the meat and the more desirable to the consumer. The trend remains rather stable in all samples during the storage period and always shows positive values (red colour index). The lowest value was found in the control sample, which statistically differs from the other samples at the 12</w:t>
      </w:r>
      <w:r w:rsidRPr="003C478C">
        <w:rPr>
          <w:color w:val="000000" w:themeColor="text1"/>
          <w:vertAlign w:val="superscript"/>
        </w:rPr>
        <w:t>th</w:t>
      </w:r>
      <w:r w:rsidRPr="00F84FA5">
        <w:rPr>
          <w:color w:val="000000" w:themeColor="text1"/>
        </w:rPr>
        <w:t xml:space="preserve"> day of storage. This shows that the meat packed with the different coatings retained a slightly brighter red colour than the control sample and, consequently, deteriorated more slowly.</w:t>
      </w:r>
      <w:r>
        <w:rPr>
          <w:color w:val="000000" w:themeColor="text1"/>
        </w:rPr>
        <w:t xml:space="preserve"> </w:t>
      </w:r>
    </w:p>
    <w:p w14:paraId="500D84A9" w14:textId="45CC3CF5" w:rsidR="006E764F" w:rsidRDefault="005408BE" w:rsidP="006E764F">
      <w:pPr>
        <w:rPr>
          <w:color w:val="000000" w:themeColor="text1"/>
        </w:rPr>
      </w:pPr>
      <w:r w:rsidRPr="004B1F67">
        <w:rPr>
          <w:color w:val="000000" w:themeColor="text1"/>
        </w:rPr>
        <w:t xml:space="preserve">Regarding the </w:t>
      </w:r>
      <w:r w:rsidRPr="004B1F67">
        <w:rPr>
          <w:i/>
          <w:iCs/>
          <w:color w:val="000000" w:themeColor="text1"/>
        </w:rPr>
        <w:t>L*</w:t>
      </w:r>
      <w:r w:rsidRPr="004B1F67">
        <w:rPr>
          <w:color w:val="000000" w:themeColor="text1"/>
        </w:rPr>
        <w:t>-coordinate (brightness), the values remained almost constant over time, without significant statistical differen</w:t>
      </w:r>
      <w:r w:rsidR="00606D95">
        <w:rPr>
          <w:color w:val="000000" w:themeColor="text1"/>
        </w:rPr>
        <w:t>ces</w:t>
      </w:r>
      <w:r w:rsidRPr="004B1F67">
        <w:rPr>
          <w:color w:val="000000" w:themeColor="text1"/>
        </w:rPr>
        <w:t xml:space="preserve"> between samples</w:t>
      </w:r>
      <w:r w:rsidR="00F84FA5">
        <w:rPr>
          <w:color w:val="000000" w:themeColor="text1"/>
        </w:rPr>
        <w:t>.</w:t>
      </w:r>
      <w:r w:rsidRPr="004B1F67">
        <w:rPr>
          <w:color w:val="000000" w:themeColor="text1"/>
        </w:rPr>
        <w:t xml:space="preserve"> </w:t>
      </w:r>
    </w:p>
    <w:p w14:paraId="02299EFB" w14:textId="1F9B71E3" w:rsidR="005408BE" w:rsidRPr="004B1F67" w:rsidRDefault="00BC5B20" w:rsidP="006E764F">
      <w:pPr>
        <w:rPr>
          <w:color w:val="000000" w:themeColor="text1"/>
        </w:rPr>
      </w:pPr>
      <w:r w:rsidRPr="00BC5B20">
        <w:rPr>
          <w:color w:val="000000" w:themeColor="text1"/>
        </w:rPr>
        <w:t xml:space="preserve">The </w:t>
      </w:r>
      <w:r w:rsidRPr="003C478C">
        <w:rPr>
          <w:i/>
          <w:iCs/>
          <w:color w:val="000000" w:themeColor="text1"/>
        </w:rPr>
        <w:t>b*</w:t>
      </w:r>
      <w:r w:rsidRPr="00BC5B20">
        <w:rPr>
          <w:color w:val="000000" w:themeColor="text1"/>
        </w:rPr>
        <w:t xml:space="preserve">-coordinate values of all samples tend to decrease slightly during storage, with </w:t>
      </w:r>
      <w:r w:rsidR="00606D95">
        <w:rPr>
          <w:color w:val="000000" w:themeColor="text1"/>
        </w:rPr>
        <w:t xml:space="preserve">the </w:t>
      </w:r>
      <w:r w:rsidRPr="00BC5B20">
        <w:rPr>
          <w:color w:val="000000" w:themeColor="text1"/>
        </w:rPr>
        <w:t>poor statistical difference between samples.</w:t>
      </w:r>
      <w:r>
        <w:rPr>
          <w:color w:val="000000" w:themeColor="text1"/>
        </w:rPr>
        <w:t xml:space="preserve"> </w:t>
      </w:r>
      <w:r w:rsidRPr="00BC5B20">
        <w:rPr>
          <w:color w:val="000000" w:themeColor="text1"/>
        </w:rPr>
        <w:t>Only on the 5</w:t>
      </w:r>
      <w:r w:rsidRPr="001E044F">
        <w:rPr>
          <w:color w:val="000000" w:themeColor="text1"/>
          <w:vertAlign w:val="superscript"/>
        </w:rPr>
        <w:t>th</w:t>
      </w:r>
      <w:r w:rsidRPr="00BC5B20">
        <w:rPr>
          <w:color w:val="000000" w:themeColor="text1"/>
        </w:rPr>
        <w:t xml:space="preserve"> day of storage</w:t>
      </w:r>
      <w:r w:rsidR="00606D95">
        <w:rPr>
          <w:color w:val="000000" w:themeColor="text1"/>
        </w:rPr>
        <w:t>,</w:t>
      </w:r>
      <w:r w:rsidRPr="00BC5B20">
        <w:rPr>
          <w:color w:val="000000" w:themeColor="text1"/>
        </w:rPr>
        <w:t xml:space="preserve"> the samples in contact with the MC+OL and CT+OL coatings showed statistically higher values than the other samples. This could be due to </w:t>
      </w:r>
      <w:r w:rsidR="00606D95">
        <w:rPr>
          <w:color w:val="000000" w:themeColor="text1"/>
        </w:rPr>
        <w:t xml:space="preserve">the </w:t>
      </w:r>
      <w:r w:rsidRPr="00BC5B20">
        <w:rPr>
          <w:color w:val="000000" w:themeColor="text1"/>
        </w:rPr>
        <w:t>partial detachment of these coating</w:t>
      </w:r>
      <w:r w:rsidR="00606D95">
        <w:rPr>
          <w:color w:val="000000" w:themeColor="text1"/>
        </w:rPr>
        <w:t>s</w:t>
      </w:r>
      <w:r w:rsidRPr="00BC5B20">
        <w:rPr>
          <w:color w:val="000000" w:themeColor="text1"/>
        </w:rPr>
        <w:t xml:space="preserve"> at day 5 from the PLA-PHB film on the burger surface, causing the meat to turn into a slightly yellowish colour</w:t>
      </w:r>
      <w:r>
        <w:rPr>
          <w:color w:val="000000" w:themeColor="text1"/>
        </w:rPr>
        <w:t>.</w:t>
      </w:r>
      <w:r w:rsidR="003C478C">
        <w:rPr>
          <w:color w:val="000000" w:themeColor="text1"/>
        </w:rPr>
        <w:t xml:space="preserve"> </w:t>
      </w:r>
    </w:p>
    <w:p w14:paraId="7AEB5495" w14:textId="363473F9" w:rsidR="005408BE" w:rsidRPr="004B1F67" w:rsidRDefault="005408BE" w:rsidP="002C00FD">
      <w:pPr>
        <w:spacing w:after="60"/>
      </w:pPr>
      <w:r w:rsidRPr="004B1F67">
        <w:t>In this study, the lipid oxidation, measured with TBARS assay, increased slightly during storage time at 4 °C in all tested samples (</w:t>
      </w:r>
      <w:r w:rsidR="00F373D6" w:rsidRPr="00010D44">
        <w:rPr>
          <w:i/>
          <w:iCs/>
        </w:rPr>
        <w:fldChar w:fldCharType="begin"/>
      </w:r>
      <w:r w:rsidR="00F373D6" w:rsidRPr="00010D44">
        <w:rPr>
          <w:i/>
          <w:iCs/>
        </w:rPr>
        <w:instrText xml:space="preserve"> REF _Ref78128669 \h  \* MERGEFORMAT </w:instrText>
      </w:r>
      <w:r w:rsidR="00F373D6" w:rsidRPr="00010D44">
        <w:rPr>
          <w:i/>
          <w:iCs/>
        </w:rPr>
      </w:r>
      <w:r w:rsidR="00F373D6" w:rsidRPr="00010D44">
        <w:rPr>
          <w:i/>
          <w:iCs/>
        </w:rPr>
        <w:fldChar w:fldCharType="separate"/>
      </w:r>
      <w:r w:rsidR="00010D44" w:rsidRPr="00010D44">
        <w:rPr>
          <w:rStyle w:val="CETCaptionCarattere"/>
          <w:i w:val="0"/>
          <w:iCs/>
        </w:rPr>
        <w:t>Figure 2</w:t>
      </w:r>
      <w:r w:rsidR="00F373D6" w:rsidRPr="00010D44">
        <w:rPr>
          <w:i/>
          <w:iCs/>
        </w:rPr>
        <w:fldChar w:fldCharType="end"/>
      </w:r>
      <w:r w:rsidRPr="004B1F67">
        <w:t>).</w:t>
      </w:r>
    </w:p>
    <w:p w14:paraId="3118DFFA" w14:textId="6CEF3E1D" w:rsidR="005408BE" w:rsidRPr="004B1F67" w:rsidRDefault="00005315" w:rsidP="00005315">
      <w:pPr>
        <w:keepNext/>
        <w:tabs>
          <w:tab w:val="left" w:pos="4962"/>
          <w:tab w:val="left" w:pos="6521"/>
        </w:tabs>
        <w:spacing w:line="240" w:lineRule="auto"/>
      </w:pPr>
      <w:r>
        <w:rPr>
          <w:noProof/>
        </w:rPr>
        <w:drawing>
          <wp:inline distT="0" distB="0" distL="0" distR="0" wp14:anchorId="312ECBB5" wp14:editId="34B94D5D">
            <wp:extent cx="3096000" cy="1390679"/>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84" t="5326" r="7954" b="2206"/>
                    <a:stretch/>
                  </pic:blipFill>
                  <pic:spPr bwMode="auto">
                    <a:xfrm>
                      <a:off x="0" y="0"/>
                      <a:ext cx="3096000" cy="1390679"/>
                    </a:xfrm>
                    <a:prstGeom prst="rect">
                      <a:avLst/>
                    </a:prstGeom>
                    <a:ln>
                      <a:noFill/>
                    </a:ln>
                    <a:extLst>
                      <a:ext uri="{53640926-AAD7-44D8-BBD7-CCE9431645EC}">
                        <a14:shadowObscured xmlns:a14="http://schemas.microsoft.com/office/drawing/2010/main"/>
                      </a:ext>
                    </a:extLst>
                  </pic:spPr>
                </pic:pic>
              </a:graphicData>
            </a:graphic>
          </wp:inline>
        </w:drawing>
      </w:r>
    </w:p>
    <w:p w14:paraId="22553970" w14:textId="1176755B" w:rsidR="005408BE" w:rsidRPr="004B1F67" w:rsidRDefault="005408BE" w:rsidP="000F559D">
      <w:pPr>
        <w:pStyle w:val="Didascalia"/>
        <w:spacing w:after="120"/>
        <w:rPr>
          <w:rStyle w:val="CETCaptionCarattere"/>
          <w:b w:val="0"/>
          <w:i w:val="0"/>
          <w:color w:val="auto"/>
        </w:rPr>
      </w:pPr>
      <w:bookmarkStart w:id="4" w:name="_Ref78128669"/>
      <w:bookmarkStart w:id="5" w:name="_Toc78837640"/>
      <w:r w:rsidRPr="004B1F67">
        <w:rPr>
          <w:rStyle w:val="CETCaptionCarattere"/>
          <w:b w:val="0"/>
          <w:bCs w:val="0"/>
          <w:color w:val="auto"/>
        </w:rPr>
        <w:t xml:space="preserve">Figure </w:t>
      </w:r>
      <w:r w:rsidRPr="004B1F67">
        <w:rPr>
          <w:rStyle w:val="CETCaptionCarattere"/>
          <w:i w:val="0"/>
          <w:color w:val="auto"/>
        </w:rPr>
        <w:fldChar w:fldCharType="begin"/>
      </w:r>
      <w:r w:rsidRPr="004B1F67">
        <w:rPr>
          <w:rStyle w:val="CETCaptionCarattere"/>
          <w:b w:val="0"/>
          <w:bCs w:val="0"/>
          <w:color w:val="auto"/>
        </w:rPr>
        <w:instrText xml:space="preserve"> SEQ Figure \* ARABIC </w:instrText>
      </w:r>
      <w:r w:rsidRPr="004B1F67">
        <w:rPr>
          <w:rStyle w:val="CETCaptionCarattere"/>
          <w:i w:val="0"/>
          <w:color w:val="auto"/>
        </w:rPr>
        <w:fldChar w:fldCharType="separate"/>
      </w:r>
      <w:r w:rsidR="00010D44">
        <w:rPr>
          <w:rStyle w:val="CETCaptionCarattere"/>
          <w:b w:val="0"/>
          <w:bCs w:val="0"/>
          <w:noProof/>
          <w:color w:val="auto"/>
        </w:rPr>
        <w:t>2</w:t>
      </w:r>
      <w:r w:rsidRPr="004B1F67">
        <w:rPr>
          <w:rStyle w:val="CETCaptionCarattere"/>
          <w:i w:val="0"/>
          <w:color w:val="auto"/>
        </w:rPr>
        <w:fldChar w:fldCharType="end"/>
      </w:r>
      <w:bookmarkEnd w:id="4"/>
      <w:r w:rsidR="00F373D6" w:rsidRPr="004B1F67">
        <w:rPr>
          <w:rStyle w:val="CETCaptionCarattere"/>
          <w:b w:val="0"/>
          <w:bCs w:val="0"/>
          <w:iCs/>
          <w:color w:val="auto"/>
        </w:rPr>
        <w:t>:</w:t>
      </w:r>
      <w:r w:rsidRPr="004B1F67">
        <w:rPr>
          <w:rStyle w:val="CETCaptionCarattere"/>
          <w:b w:val="0"/>
          <w:bCs w:val="0"/>
          <w:color w:val="auto"/>
        </w:rPr>
        <w:t xml:space="preserve"> TBARS assay results for fresh pork burgers packed in contact with PLA-PHB coated </w:t>
      </w:r>
      <w:bookmarkEnd w:id="5"/>
      <w:r w:rsidRPr="004B1F67">
        <w:rPr>
          <w:rStyle w:val="CETCaptionCarattere"/>
          <w:b w:val="0"/>
          <w:bCs w:val="0"/>
          <w:color w:val="auto"/>
        </w:rPr>
        <w:t xml:space="preserve">with different coatings (MC, MC+OL, and CT+OL) and stored at 4 °C for 14 days. PLA-PHB: </w:t>
      </w:r>
      <w:r w:rsidR="006C3F16">
        <w:rPr>
          <w:rStyle w:val="CETCaptionCarattere"/>
          <w:b w:val="0"/>
          <w:bCs w:val="0"/>
          <w:color w:val="auto"/>
        </w:rPr>
        <w:t>burgers</w:t>
      </w:r>
      <w:r w:rsidRPr="004B1F67">
        <w:rPr>
          <w:rStyle w:val="CETCaptionCarattere"/>
          <w:b w:val="0"/>
          <w:bCs w:val="0"/>
          <w:color w:val="auto"/>
        </w:rPr>
        <w:t xml:space="preserve"> covered with an uncoated film. CONTROL: not covered </w:t>
      </w:r>
      <w:r w:rsidR="006C3F16">
        <w:rPr>
          <w:rStyle w:val="CETCaptionCarattere"/>
          <w:b w:val="0"/>
          <w:bCs w:val="0"/>
          <w:color w:val="auto"/>
        </w:rPr>
        <w:t>burger</w:t>
      </w:r>
      <w:r w:rsidRPr="004B1F67">
        <w:rPr>
          <w:rStyle w:val="CETCaptionCarattere"/>
          <w:b w:val="0"/>
          <w:bCs w:val="0"/>
          <w:color w:val="auto"/>
        </w:rPr>
        <w:t>. Error bars indicate ± standard deviation of mean values</w:t>
      </w:r>
      <w:r w:rsidR="003C478C">
        <w:rPr>
          <w:rStyle w:val="CETCaptionCarattere"/>
          <w:b w:val="0"/>
          <w:bCs w:val="0"/>
          <w:color w:val="auto"/>
        </w:rPr>
        <w:t>.</w:t>
      </w:r>
    </w:p>
    <w:p w14:paraId="0E602786" w14:textId="08289D9A" w:rsidR="005408BE" w:rsidRPr="006C70DA" w:rsidRDefault="005408BE" w:rsidP="00351AFC">
      <w:pPr>
        <w:pStyle w:val="Nessunaspaziatura"/>
        <w:spacing w:before="120" w:line="264" w:lineRule="auto"/>
        <w:jc w:val="both"/>
        <w:rPr>
          <w:rFonts w:ascii="Arial" w:hAnsi="Arial" w:cs="Arial"/>
          <w:sz w:val="18"/>
          <w:szCs w:val="18"/>
        </w:rPr>
      </w:pPr>
      <w:r w:rsidRPr="006C70DA">
        <w:rPr>
          <w:rFonts w:ascii="Arial" w:hAnsi="Arial" w:cs="Arial"/>
          <w:sz w:val="18"/>
          <w:szCs w:val="18"/>
        </w:rPr>
        <w:t>Sheard et al. (2000) suggested that a TBARS value of 0.5 mg</w:t>
      </w:r>
      <w:r w:rsidR="0033566B" w:rsidRPr="006C70DA">
        <w:rPr>
          <w:rFonts w:ascii="Arial" w:hAnsi="Arial" w:cs="Arial"/>
          <w:sz w:val="18"/>
          <w:szCs w:val="18"/>
        </w:rPr>
        <w:t xml:space="preserve"> MDA</w:t>
      </w:r>
      <w:r w:rsidRPr="006C70DA">
        <w:rPr>
          <w:rFonts w:ascii="Arial" w:hAnsi="Arial" w:cs="Arial"/>
          <w:sz w:val="18"/>
          <w:szCs w:val="18"/>
        </w:rPr>
        <w:t xml:space="preserve">/kg </w:t>
      </w:r>
      <w:r w:rsidR="00C30234" w:rsidRPr="006C70DA">
        <w:rPr>
          <w:rFonts w:ascii="Arial" w:hAnsi="Arial" w:cs="Arial"/>
          <w:sz w:val="18"/>
          <w:szCs w:val="18"/>
        </w:rPr>
        <w:t xml:space="preserve">meat </w:t>
      </w:r>
      <w:r w:rsidRPr="006C70DA">
        <w:rPr>
          <w:rFonts w:ascii="Arial" w:hAnsi="Arial" w:cs="Arial"/>
          <w:sz w:val="18"/>
          <w:szCs w:val="18"/>
        </w:rPr>
        <w:t>could be set as a threshold for consumer-detectable rancidity. The values of the control sample</w:t>
      </w:r>
      <w:r w:rsidR="006C3F16" w:rsidRPr="006C70DA">
        <w:rPr>
          <w:rFonts w:ascii="Arial" w:hAnsi="Arial" w:cs="Arial"/>
          <w:sz w:val="18"/>
          <w:szCs w:val="18"/>
        </w:rPr>
        <w:t>s constantly</w:t>
      </w:r>
      <w:r w:rsidRPr="006C70DA">
        <w:rPr>
          <w:rFonts w:ascii="Arial" w:hAnsi="Arial" w:cs="Arial"/>
          <w:sz w:val="18"/>
          <w:szCs w:val="18"/>
        </w:rPr>
        <w:t xml:space="preserve"> increased until </w:t>
      </w:r>
      <w:r w:rsidR="006C3F16" w:rsidRPr="006C70DA">
        <w:rPr>
          <w:rFonts w:ascii="Arial" w:hAnsi="Arial" w:cs="Arial"/>
          <w:sz w:val="18"/>
          <w:szCs w:val="18"/>
        </w:rPr>
        <w:t>a</w:t>
      </w:r>
      <w:r w:rsidRPr="006C70DA">
        <w:rPr>
          <w:rFonts w:ascii="Arial" w:hAnsi="Arial" w:cs="Arial"/>
          <w:sz w:val="18"/>
          <w:szCs w:val="18"/>
        </w:rPr>
        <w:t xml:space="preserve"> maximum value of 0.543 ± 0.024 and 0.529 ± 0.033 mg MDA/kg meat, respectively</w:t>
      </w:r>
      <w:r w:rsidR="006E135F" w:rsidRPr="006C70DA">
        <w:rPr>
          <w:rFonts w:ascii="Arial" w:hAnsi="Arial" w:cs="Arial"/>
          <w:sz w:val="18"/>
          <w:szCs w:val="18"/>
        </w:rPr>
        <w:t xml:space="preserve"> </w:t>
      </w:r>
      <w:r w:rsidRPr="006C70DA">
        <w:rPr>
          <w:rFonts w:ascii="Arial" w:hAnsi="Arial" w:cs="Arial"/>
          <w:sz w:val="18"/>
          <w:szCs w:val="18"/>
        </w:rPr>
        <w:t>after 14 days, slightly exceed</w:t>
      </w:r>
      <w:r w:rsidR="006E135F" w:rsidRPr="006C70DA">
        <w:rPr>
          <w:rFonts w:ascii="Arial" w:hAnsi="Arial" w:cs="Arial"/>
          <w:sz w:val="18"/>
          <w:szCs w:val="18"/>
        </w:rPr>
        <w:t>ing</w:t>
      </w:r>
      <w:r w:rsidRPr="006C70DA">
        <w:rPr>
          <w:rFonts w:ascii="Arial" w:hAnsi="Arial" w:cs="Arial"/>
          <w:sz w:val="18"/>
          <w:szCs w:val="18"/>
        </w:rPr>
        <w:t xml:space="preserve"> th</w:t>
      </w:r>
      <w:r w:rsidR="006E135F" w:rsidRPr="006C70DA">
        <w:rPr>
          <w:rFonts w:ascii="Arial" w:hAnsi="Arial" w:cs="Arial"/>
          <w:sz w:val="18"/>
          <w:szCs w:val="18"/>
        </w:rPr>
        <w:t>e</w:t>
      </w:r>
      <w:r w:rsidRPr="006C70DA">
        <w:rPr>
          <w:rFonts w:ascii="Arial" w:hAnsi="Arial" w:cs="Arial"/>
          <w:sz w:val="18"/>
          <w:szCs w:val="18"/>
        </w:rPr>
        <w:t xml:space="preserve"> threshold </w:t>
      </w:r>
      <w:r w:rsidRPr="008A5C43">
        <w:rPr>
          <w:rFonts w:ascii="Arial" w:hAnsi="Arial" w:cs="Arial"/>
          <w:sz w:val="18"/>
          <w:szCs w:val="18"/>
        </w:rPr>
        <w:t>value</w:t>
      </w:r>
      <w:r w:rsidR="00E81450" w:rsidRPr="008A5C43">
        <w:rPr>
          <w:rFonts w:ascii="Arial" w:hAnsi="Arial" w:cs="Arial"/>
          <w:sz w:val="18"/>
          <w:szCs w:val="18"/>
        </w:rPr>
        <w:t xml:space="preserve"> (</w:t>
      </w:r>
      <w:r w:rsidR="00E81450" w:rsidRPr="00BF356B">
        <w:rPr>
          <w:rFonts w:ascii="Arial" w:hAnsi="Arial" w:cs="Arial"/>
          <w:sz w:val="18"/>
          <w:szCs w:val="18"/>
        </w:rPr>
        <w:fldChar w:fldCharType="begin"/>
      </w:r>
      <w:r w:rsidR="00E81450" w:rsidRPr="008A5C43">
        <w:rPr>
          <w:rFonts w:ascii="Arial" w:hAnsi="Arial" w:cs="Arial"/>
          <w:sz w:val="18"/>
          <w:szCs w:val="18"/>
        </w:rPr>
        <w:instrText xml:space="preserve"> REF _Ref78128669 \h </w:instrText>
      </w:r>
      <w:r w:rsidR="00E81450" w:rsidRPr="00BF356B">
        <w:rPr>
          <w:rFonts w:ascii="Arial" w:hAnsi="Arial" w:cs="Arial"/>
          <w:sz w:val="18"/>
          <w:szCs w:val="18"/>
        </w:rPr>
        <w:instrText xml:space="preserve"> \* MERGEFORMAT </w:instrText>
      </w:r>
      <w:r w:rsidR="00E81450" w:rsidRPr="00BF356B">
        <w:rPr>
          <w:rFonts w:ascii="Arial" w:hAnsi="Arial" w:cs="Arial"/>
          <w:sz w:val="18"/>
          <w:szCs w:val="18"/>
        </w:rPr>
      </w:r>
      <w:r w:rsidR="00E81450" w:rsidRPr="00BF356B">
        <w:rPr>
          <w:rFonts w:ascii="Arial" w:hAnsi="Arial" w:cs="Arial"/>
          <w:sz w:val="18"/>
          <w:szCs w:val="18"/>
        </w:rPr>
        <w:fldChar w:fldCharType="separate"/>
      </w:r>
      <w:r w:rsidR="00E81450" w:rsidRPr="008A5C43">
        <w:rPr>
          <w:rStyle w:val="CETCaptionCarattere"/>
          <w:rFonts w:eastAsiaTheme="minorEastAsia" w:cs="Arial"/>
          <w:i w:val="0"/>
          <w:szCs w:val="18"/>
        </w:rPr>
        <w:t xml:space="preserve">Figure </w:t>
      </w:r>
      <w:r w:rsidR="00E81450" w:rsidRPr="008A5C43">
        <w:rPr>
          <w:rStyle w:val="CETCaptionCarattere"/>
          <w:rFonts w:eastAsiaTheme="minorEastAsia" w:cs="Arial"/>
          <w:i w:val="0"/>
          <w:noProof/>
          <w:szCs w:val="18"/>
        </w:rPr>
        <w:t>2</w:t>
      </w:r>
      <w:r w:rsidR="00E81450" w:rsidRPr="00BF356B">
        <w:rPr>
          <w:rFonts w:ascii="Arial" w:hAnsi="Arial" w:cs="Arial"/>
          <w:sz w:val="18"/>
          <w:szCs w:val="18"/>
        </w:rPr>
        <w:fldChar w:fldCharType="end"/>
      </w:r>
      <w:r w:rsidR="00E81450" w:rsidRPr="008A5C43">
        <w:rPr>
          <w:rFonts w:ascii="Arial" w:hAnsi="Arial" w:cs="Arial"/>
          <w:sz w:val="18"/>
          <w:szCs w:val="18"/>
        </w:rPr>
        <w:t>).</w:t>
      </w:r>
      <w:r w:rsidRPr="008A5C43">
        <w:rPr>
          <w:rFonts w:ascii="Arial" w:hAnsi="Arial" w:cs="Arial"/>
          <w:sz w:val="18"/>
          <w:szCs w:val="18"/>
        </w:rPr>
        <w:t xml:space="preserve"> In</w:t>
      </w:r>
      <w:r w:rsidRPr="006C70DA">
        <w:rPr>
          <w:rFonts w:ascii="Arial" w:hAnsi="Arial" w:cs="Arial"/>
          <w:sz w:val="18"/>
          <w:szCs w:val="18"/>
        </w:rPr>
        <w:t xml:space="preserve"> contrast, </w:t>
      </w:r>
      <w:r w:rsidR="006E135F" w:rsidRPr="006C70DA">
        <w:rPr>
          <w:rFonts w:ascii="Arial" w:hAnsi="Arial" w:cs="Arial"/>
          <w:sz w:val="18"/>
          <w:szCs w:val="18"/>
        </w:rPr>
        <w:t>for</w:t>
      </w:r>
      <w:r w:rsidRPr="006C70DA">
        <w:rPr>
          <w:rFonts w:ascii="Arial" w:hAnsi="Arial" w:cs="Arial"/>
          <w:sz w:val="18"/>
          <w:szCs w:val="18"/>
        </w:rPr>
        <w:t xml:space="preserve"> all </w:t>
      </w:r>
      <w:r w:rsidR="006E135F" w:rsidRPr="006C70DA">
        <w:rPr>
          <w:rFonts w:ascii="Arial" w:hAnsi="Arial" w:cs="Arial"/>
          <w:sz w:val="18"/>
          <w:szCs w:val="18"/>
        </w:rPr>
        <w:t xml:space="preserve">the </w:t>
      </w:r>
      <w:r w:rsidRPr="006C70DA">
        <w:rPr>
          <w:rFonts w:ascii="Arial" w:hAnsi="Arial" w:cs="Arial"/>
          <w:sz w:val="18"/>
          <w:szCs w:val="18"/>
        </w:rPr>
        <w:t xml:space="preserve">other samples </w:t>
      </w:r>
      <w:r w:rsidR="006E135F" w:rsidRPr="006C70DA">
        <w:rPr>
          <w:rFonts w:ascii="Arial" w:hAnsi="Arial" w:cs="Arial"/>
          <w:sz w:val="18"/>
          <w:szCs w:val="18"/>
        </w:rPr>
        <w:t>the TBARS values</w:t>
      </w:r>
      <w:r w:rsidRPr="006C70DA">
        <w:rPr>
          <w:rFonts w:ascii="Arial" w:hAnsi="Arial" w:cs="Arial"/>
          <w:sz w:val="18"/>
          <w:szCs w:val="18"/>
        </w:rPr>
        <w:t xml:space="preserve"> increased more slowly and remained below the detectable rancidity threshold</w:t>
      </w:r>
      <w:r w:rsidR="001E044F" w:rsidRPr="006C70DA">
        <w:rPr>
          <w:rFonts w:ascii="Arial" w:hAnsi="Arial" w:cs="Arial"/>
          <w:sz w:val="18"/>
          <w:szCs w:val="18"/>
        </w:rPr>
        <w:t>,</w:t>
      </w:r>
      <w:r w:rsidRPr="006C70DA">
        <w:rPr>
          <w:rFonts w:ascii="Arial" w:hAnsi="Arial" w:cs="Arial"/>
          <w:sz w:val="18"/>
          <w:szCs w:val="18"/>
        </w:rPr>
        <w:t xml:space="preserve"> </w:t>
      </w:r>
      <w:r w:rsidR="006E135F" w:rsidRPr="006C70DA">
        <w:rPr>
          <w:rFonts w:ascii="Arial" w:hAnsi="Arial" w:cs="Arial"/>
          <w:sz w:val="18"/>
          <w:szCs w:val="18"/>
        </w:rPr>
        <w:t>indicating</w:t>
      </w:r>
      <w:r w:rsidRPr="006C70DA">
        <w:rPr>
          <w:rFonts w:ascii="Arial" w:hAnsi="Arial" w:cs="Arial"/>
          <w:sz w:val="18"/>
          <w:szCs w:val="18"/>
        </w:rPr>
        <w:t xml:space="preserve"> a lower degree of lipid oxidation. </w:t>
      </w:r>
      <w:r w:rsidR="006E135F" w:rsidRPr="006C70DA">
        <w:rPr>
          <w:rFonts w:ascii="Arial" w:hAnsi="Arial" w:cs="Arial"/>
          <w:sz w:val="18"/>
          <w:szCs w:val="18"/>
        </w:rPr>
        <w:t>T</w:t>
      </w:r>
      <w:r w:rsidRPr="006C70DA">
        <w:rPr>
          <w:rFonts w:ascii="Arial" w:hAnsi="Arial" w:cs="Arial"/>
          <w:sz w:val="18"/>
          <w:szCs w:val="18"/>
        </w:rPr>
        <w:t xml:space="preserve">he CT+OL coating </w:t>
      </w:r>
      <w:r w:rsidR="006E135F" w:rsidRPr="006C70DA">
        <w:rPr>
          <w:rFonts w:ascii="Arial" w:hAnsi="Arial" w:cs="Arial"/>
          <w:sz w:val="18"/>
          <w:szCs w:val="18"/>
        </w:rPr>
        <w:t>gave</w:t>
      </w:r>
      <w:r w:rsidRPr="006C70DA">
        <w:rPr>
          <w:rFonts w:ascii="Arial" w:hAnsi="Arial" w:cs="Arial"/>
          <w:sz w:val="18"/>
          <w:szCs w:val="18"/>
        </w:rPr>
        <w:t xml:space="preserve"> </w:t>
      </w:r>
      <w:r w:rsidR="006E135F" w:rsidRPr="006C70DA">
        <w:rPr>
          <w:rFonts w:ascii="Arial" w:hAnsi="Arial" w:cs="Arial"/>
          <w:sz w:val="18"/>
          <w:szCs w:val="18"/>
        </w:rPr>
        <w:t xml:space="preserve">the </w:t>
      </w:r>
      <w:r w:rsidRPr="006C70DA">
        <w:rPr>
          <w:rFonts w:ascii="Arial" w:hAnsi="Arial" w:cs="Arial"/>
          <w:sz w:val="18"/>
          <w:szCs w:val="18"/>
        </w:rPr>
        <w:t>lowe</w:t>
      </w:r>
      <w:r w:rsidR="006E135F" w:rsidRPr="006C70DA">
        <w:rPr>
          <w:rFonts w:ascii="Arial" w:hAnsi="Arial" w:cs="Arial"/>
          <w:sz w:val="18"/>
          <w:szCs w:val="18"/>
        </w:rPr>
        <w:t>st</w:t>
      </w:r>
      <w:r w:rsidRPr="006C70DA">
        <w:rPr>
          <w:rFonts w:ascii="Arial" w:hAnsi="Arial" w:cs="Arial"/>
          <w:sz w:val="18"/>
          <w:szCs w:val="18"/>
        </w:rPr>
        <w:t xml:space="preserve"> mean values of mg MDA/kg meat, which were significantly different, especially at the 7</w:t>
      </w:r>
      <w:r w:rsidRPr="006C70DA">
        <w:rPr>
          <w:rFonts w:ascii="Arial" w:hAnsi="Arial" w:cs="Arial"/>
          <w:sz w:val="18"/>
          <w:szCs w:val="18"/>
          <w:vertAlign w:val="superscript"/>
        </w:rPr>
        <w:t>th</w:t>
      </w:r>
      <w:r w:rsidRPr="006C70DA">
        <w:rPr>
          <w:rFonts w:ascii="Arial" w:hAnsi="Arial" w:cs="Arial"/>
          <w:sz w:val="18"/>
          <w:szCs w:val="18"/>
        </w:rPr>
        <w:t xml:space="preserve"> and 9</w:t>
      </w:r>
      <w:r w:rsidRPr="006C70DA">
        <w:rPr>
          <w:rFonts w:ascii="Arial" w:hAnsi="Arial" w:cs="Arial"/>
          <w:sz w:val="18"/>
          <w:szCs w:val="18"/>
          <w:vertAlign w:val="superscript"/>
        </w:rPr>
        <w:t>th</w:t>
      </w:r>
      <w:r w:rsidRPr="006C70DA">
        <w:rPr>
          <w:rFonts w:ascii="Arial" w:hAnsi="Arial" w:cs="Arial"/>
          <w:sz w:val="18"/>
          <w:szCs w:val="18"/>
        </w:rPr>
        <w:t xml:space="preserve"> days of storage.</w:t>
      </w:r>
      <w:r w:rsidR="001D78A7" w:rsidRPr="006C70DA">
        <w:rPr>
          <w:rFonts w:ascii="Arial" w:hAnsi="Arial" w:cs="Arial"/>
          <w:sz w:val="18"/>
          <w:szCs w:val="18"/>
        </w:rPr>
        <w:t xml:space="preserve"> </w:t>
      </w:r>
      <w:r w:rsidRPr="006C70DA">
        <w:rPr>
          <w:rFonts w:ascii="Arial" w:hAnsi="Arial" w:cs="Arial"/>
          <w:sz w:val="18"/>
          <w:szCs w:val="18"/>
        </w:rPr>
        <w:t>The trend obtained is in line with those obtained in the study by Cao et al. (2019) report</w:t>
      </w:r>
      <w:r w:rsidR="006E135F" w:rsidRPr="006C70DA">
        <w:rPr>
          <w:rFonts w:ascii="Arial" w:hAnsi="Arial" w:cs="Arial"/>
          <w:sz w:val="18"/>
          <w:szCs w:val="18"/>
        </w:rPr>
        <w:t>ing</w:t>
      </w:r>
      <w:r w:rsidRPr="006C70DA">
        <w:rPr>
          <w:rFonts w:ascii="Arial" w:hAnsi="Arial" w:cs="Arial"/>
          <w:sz w:val="18"/>
          <w:szCs w:val="18"/>
        </w:rPr>
        <w:t xml:space="preserve"> that the mg MDA/kg values of fresh pork loin coated with a 2</w:t>
      </w:r>
      <w:r w:rsidR="00010D44" w:rsidRPr="006C70DA">
        <w:rPr>
          <w:rFonts w:ascii="Arial" w:hAnsi="Arial" w:cs="Arial"/>
          <w:sz w:val="18"/>
          <w:szCs w:val="18"/>
        </w:rPr>
        <w:t xml:space="preserve"> </w:t>
      </w:r>
      <w:r w:rsidRPr="006C70DA">
        <w:rPr>
          <w:rFonts w:ascii="Arial" w:hAnsi="Arial" w:cs="Arial"/>
          <w:sz w:val="18"/>
          <w:szCs w:val="18"/>
        </w:rPr>
        <w:t xml:space="preserve">% chitosan solution alone </w:t>
      </w:r>
      <w:r w:rsidR="006E135F" w:rsidRPr="006C70DA">
        <w:rPr>
          <w:rFonts w:ascii="Arial" w:hAnsi="Arial" w:cs="Arial"/>
          <w:sz w:val="18"/>
          <w:szCs w:val="18"/>
        </w:rPr>
        <w:t xml:space="preserve">or with </w:t>
      </w:r>
      <w:r w:rsidRPr="006C70DA">
        <w:rPr>
          <w:rFonts w:ascii="Arial" w:hAnsi="Arial" w:cs="Arial"/>
          <w:sz w:val="18"/>
          <w:szCs w:val="18"/>
        </w:rPr>
        <w:t>0.2</w:t>
      </w:r>
      <w:r w:rsidR="00010D44" w:rsidRPr="006C70DA">
        <w:rPr>
          <w:rFonts w:ascii="Arial" w:hAnsi="Arial" w:cs="Arial"/>
          <w:sz w:val="18"/>
          <w:szCs w:val="18"/>
        </w:rPr>
        <w:t xml:space="preserve"> </w:t>
      </w:r>
      <w:r w:rsidRPr="006C70DA">
        <w:rPr>
          <w:rFonts w:ascii="Arial" w:hAnsi="Arial" w:cs="Arial"/>
          <w:sz w:val="18"/>
          <w:szCs w:val="18"/>
        </w:rPr>
        <w:t>% gallic acid, 0.2</w:t>
      </w:r>
      <w:r w:rsidR="00010D44" w:rsidRPr="006C70DA">
        <w:rPr>
          <w:rFonts w:ascii="Arial" w:hAnsi="Arial" w:cs="Arial"/>
          <w:sz w:val="18"/>
          <w:szCs w:val="18"/>
        </w:rPr>
        <w:t xml:space="preserve"> </w:t>
      </w:r>
      <w:r w:rsidRPr="006C70DA">
        <w:rPr>
          <w:rFonts w:ascii="Arial" w:hAnsi="Arial" w:cs="Arial"/>
          <w:sz w:val="18"/>
          <w:szCs w:val="18"/>
        </w:rPr>
        <w:t xml:space="preserve">% nisin </w:t>
      </w:r>
      <w:r w:rsidR="006E135F" w:rsidRPr="006C70DA">
        <w:rPr>
          <w:rFonts w:ascii="Arial" w:hAnsi="Arial" w:cs="Arial"/>
          <w:sz w:val="18"/>
          <w:szCs w:val="18"/>
        </w:rPr>
        <w:t>or</w:t>
      </w:r>
      <w:r w:rsidRPr="006C70DA">
        <w:rPr>
          <w:rFonts w:ascii="Arial" w:hAnsi="Arial" w:cs="Arial"/>
          <w:sz w:val="18"/>
          <w:szCs w:val="18"/>
        </w:rPr>
        <w:t xml:space="preserve"> 0.2</w:t>
      </w:r>
      <w:r w:rsidR="00010D44" w:rsidRPr="006C70DA">
        <w:rPr>
          <w:rFonts w:ascii="Arial" w:hAnsi="Arial" w:cs="Arial"/>
          <w:sz w:val="18"/>
          <w:szCs w:val="18"/>
        </w:rPr>
        <w:t xml:space="preserve"> </w:t>
      </w:r>
      <w:r w:rsidRPr="006C70DA">
        <w:rPr>
          <w:rFonts w:ascii="Arial" w:hAnsi="Arial" w:cs="Arial"/>
          <w:sz w:val="18"/>
          <w:szCs w:val="18"/>
        </w:rPr>
        <w:t>% nisin</w:t>
      </w:r>
      <w:r w:rsidR="00D16D6F" w:rsidRPr="006C70DA">
        <w:rPr>
          <w:rFonts w:ascii="Arial" w:hAnsi="Arial" w:cs="Arial"/>
          <w:sz w:val="18"/>
          <w:szCs w:val="18"/>
        </w:rPr>
        <w:t xml:space="preserve"> and </w:t>
      </w:r>
      <w:r w:rsidRPr="006C70DA">
        <w:rPr>
          <w:rFonts w:ascii="Arial" w:hAnsi="Arial" w:cs="Arial"/>
          <w:sz w:val="18"/>
          <w:szCs w:val="18"/>
        </w:rPr>
        <w:t>0.2</w:t>
      </w:r>
      <w:r w:rsidR="00010D44" w:rsidRPr="006C70DA">
        <w:rPr>
          <w:rFonts w:ascii="Arial" w:hAnsi="Arial" w:cs="Arial"/>
          <w:sz w:val="18"/>
          <w:szCs w:val="18"/>
        </w:rPr>
        <w:t xml:space="preserve"> </w:t>
      </w:r>
      <w:r w:rsidRPr="006C70DA">
        <w:rPr>
          <w:rFonts w:ascii="Arial" w:hAnsi="Arial" w:cs="Arial"/>
          <w:sz w:val="18"/>
          <w:szCs w:val="18"/>
        </w:rPr>
        <w:t>% gallic acid</w:t>
      </w:r>
      <w:r w:rsidR="006E135F" w:rsidRPr="006C70DA">
        <w:rPr>
          <w:rFonts w:ascii="Arial" w:hAnsi="Arial" w:cs="Arial"/>
          <w:sz w:val="18"/>
          <w:szCs w:val="18"/>
        </w:rPr>
        <w:t xml:space="preserve"> </w:t>
      </w:r>
      <w:r w:rsidRPr="006C70DA">
        <w:rPr>
          <w:rFonts w:ascii="Arial" w:hAnsi="Arial" w:cs="Arial"/>
          <w:sz w:val="18"/>
          <w:szCs w:val="18"/>
        </w:rPr>
        <w:t xml:space="preserve">increased more slowly </w:t>
      </w:r>
      <w:r w:rsidR="006E135F" w:rsidRPr="006C70DA">
        <w:rPr>
          <w:rFonts w:ascii="Arial" w:hAnsi="Arial" w:cs="Arial"/>
          <w:sz w:val="18"/>
          <w:szCs w:val="18"/>
        </w:rPr>
        <w:t xml:space="preserve">than for uncoated meat </w:t>
      </w:r>
      <w:r w:rsidRPr="006C70DA">
        <w:rPr>
          <w:rFonts w:ascii="Arial" w:hAnsi="Arial" w:cs="Arial"/>
          <w:sz w:val="18"/>
          <w:szCs w:val="18"/>
        </w:rPr>
        <w:t xml:space="preserve">and values were below the detectable rancidity threshold at day 20. </w:t>
      </w:r>
    </w:p>
    <w:p w14:paraId="3953B4EC" w14:textId="6C3575BB" w:rsidR="000735F7" w:rsidRDefault="005408BE" w:rsidP="00351AFC">
      <w:pPr>
        <w:spacing w:after="60"/>
        <w:rPr>
          <w:color w:val="FF0000"/>
        </w:rPr>
      </w:pPr>
      <w:r w:rsidRPr="006C70DA">
        <w:t>The initial total bacteria count (TBC) value was 4.64 log CFU/g</w:t>
      </w:r>
      <w:r w:rsidR="001E044F" w:rsidRPr="006C70DA">
        <w:t xml:space="preserve"> meat</w:t>
      </w:r>
      <w:r w:rsidRPr="006C70DA">
        <w:t xml:space="preserve"> on the first day for the control sample which showed the suitable quality of the meat. The highest microbiological level for meat with good quality is 7 log</w:t>
      </w:r>
      <w:r w:rsidR="003733E5">
        <w:rPr>
          <w:vertAlign w:val="subscript"/>
        </w:rPr>
        <w:t xml:space="preserve"> </w:t>
      </w:r>
      <w:r w:rsidRPr="006C70DA">
        <w:t>CFU/g (</w:t>
      </w:r>
      <w:proofErr w:type="spellStart"/>
      <w:r w:rsidRPr="006C70DA">
        <w:t>Tabatabaee</w:t>
      </w:r>
      <w:proofErr w:type="spellEnd"/>
      <w:r w:rsidRPr="006C70DA">
        <w:t xml:space="preserve"> </w:t>
      </w:r>
      <w:proofErr w:type="spellStart"/>
      <w:r w:rsidRPr="006C70DA">
        <w:t>Bafroee</w:t>
      </w:r>
      <w:proofErr w:type="spellEnd"/>
      <w:r w:rsidRPr="006C70DA">
        <w:t xml:space="preserve"> et al., 2020). </w:t>
      </w:r>
      <w:r w:rsidRPr="006C70DA">
        <w:rPr>
          <w:color w:val="000000" w:themeColor="text1"/>
        </w:rPr>
        <w:t xml:space="preserve">As shown in </w:t>
      </w:r>
      <w:r w:rsidR="002170FF" w:rsidRPr="006C70DA">
        <w:rPr>
          <w:i/>
          <w:iCs/>
          <w:color w:val="000000" w:themeColor="text1"/>
        </w:rPr>
        <w:fldChar w:fldCharType="begin"/>
      </w:r>
      <w:r w:rsidR="002170FF" w:rsidRPr="006C70DA">
        <w:rPr>
          <w:i/>
          <w:iCs/>
          <w:color w:val="000000" w:themeColor="text1"/>
        </w:rPr>
        <w:instrText xml:space="preserve"> REF _Ref78128688 \h  \* MERGEFORMAT </w:instrText>
      </w:r>
      <w:r w:rsidR="002170FF" w:rsidRPr="006C70DA">
        <w:rPr>
          <w:i/>
          <w:iCs/>
          <w:color w:val="000000" w:themeColor="text1"/>
        </w:rPr>
      </w:r>
      <w:r w:rsidR="002170FF" w:rsidRPr="006C70DA">
        <w:rPr>
          <w:i/>
          <w:iCs/>
          <w:color w:val="000000" w:themeColor="text1"/>
        </w:rPr>
        <w:fldChar w:fldCharType="separate"/>
      </w:r>
      <w:r w:rsidR="00010D44" w:rsidRPr="006C70DA">
        <w:rPr>
          <w:rStyle w:val="CETCaptionCarattere"/>
          <w:i w:val="0"/>
          <w:iCs/>
        </w:rPr>
        <w:t xml:space="preserve">Figure </w:t>
      </w:r>
      <w:r w:rsidR="00010D44" w:rsidRPr="006C70DA">
        <w:rPr>
          <w:rStyle w:val="CETCaptionCarattere"/>
          <w:i w:val="0"/>
          <w:iCs/>
          <w:noProof/>
        </w:rPr>
        <w:t>3</w:t>
      </w:r>
      <w:r w:rsidR="002170FF" w:rsidRPr="006C70DA">
        <w:rPr>
          <w:i/>
          <w:iCs/>
          <w:color w:val="000000" w:themeColor="text1"/>
        </w:rPr>
        <w:fldChar w:fldCharType="end"/>
      </w:r>
      <w:r w:rsidRPr="006C70DA">
        <w:rPr>
          <w:i/>
          <w:iCs/>
          <w:color w:val="000000" w:themeColor="text1"/>
        </w:rPr>
        <w:t>,</w:t>
      </w:r>
      <w:r w:rsidRPr="006C70DA">
        <w:rPr>
          <w:color w:val="000000" w:themeColor="text1"/>
        </w:rPr>
        <w:t xml:space="preserve"> after 5 days of refrigerated storage, the coated films tested seem to slightly delay microbial growth</w:t>
      </w:r>
      <w:r w:rsidRPr="004B1F67">
        <w:rPr>
          <w:color w:val="000000" w:themeColor="text1"/>
        </w:rPr>
        <w:t xml:space="preserve"> </w:t>
      </w:r>
      <w:r w:rsidR="004E38D4">
        <w:rPr>
          <w:color w:val="000000" w:themeColor="text1"/>
        </w:rPr>
        <w:t>compared to the control sample</w:t>
      </w:r>
      <w:r w:rsidRPr="004B1F67">
        <w:rPr>
          <w:color w:val="000000" w:themeColor="text1"/>
        </w:rPr>
        <w:t xml:space="preserve">. </w:t>
      </w:r>
    </w:p>
    <w:p w14:paraId="4209CC78" w14:textId="5C79B27B" w:rsidR="005408BE" w:rsidRPr="000735F7" w:rsidRDefault="00F7761F" w:rsidP="00351AFC">
      <w:pPr>
        <w:tabs>
          <w:tab w:val="left" w:pos="4962"/>
          <w:tab w:val="left" w:pos="6521"/>
        </w:tabs>
        <w:rPr>
          <w:color w:val="FF0000"/>
        </w:rPr>
      </w:pPr>
      <w:r>
        <w:rPr>
          <w:noProof/>
        </w:rPr>
        <w:drawing>
          <wp:inline distT="0" distB="0" distL="0" distR="0" wp14:anchorId="43C10298" wp14:editId="58457222">
            <wp:extent cx="3105905" cy="1368000"/>
            <wp:effectExtent l="0" t="0" r="571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67" t="3899" r="7190" b="2186"/>
                    <a:stretch/>
                  </pic:blipFill>
                  <pic:spPr bwMode="auto">
                    <a:xfrm>
                      <a:off x="0" y="0"/>
                      <a:ext cx="3105905" cy="1368000"/>
                    </a:xfrm>
                    <a:prstGeom prst="rect">
                      <a:avLst/>
                    </a:prstGeom>
                    <a:ln>
                      <a:noFill/>
                    </a:ln>
                    <a:extLst>
                      <a:ext uri="{53640926-AAD7-44D8-BBD7-CCE9431645EC}">
                        <a14:shadowObscured xmlns:a14="http://schemas.microsoft.com/office/drawing/2010/main"/>
                      </a:ext>
                    </a:extLst>
                  </pic:spPr>
                </pic:pic>
              </a:graphicData>
            </a:graphic>
          </wp:inline>
        </w:drawing>
      </w:r>
    </w:p>
    <w:p w14:paraId="7706C452" w14:textId="7B269030" w:rsidR="002170FF" w:rsidRPr="00E24C7C" w:rsidRDefault="005408BE" w:rsidP="00951CAB">
      <w:pPr>
        <w:pStyle w:val="Didascalia"/>
        <w:spacing w:after="120"/>
        <w:rPr>
          <w:b w:val="0"/>
          <w:color w:val="auto"/>
          <w:szCs w:val="20"/>
        </w:rPr>
      </w:pPr>
      <w:bookmarkStart w:id="6" w:name="_Ref78128688"/>
      <w:bookmarkStart w:id="7" w:name="_Toc78837641"/>
      <w:r w:rsidRPr="004B1F67">
        <w:rPr>
          <w:rStyle w:val="CETCaptionCarattere"/>
          <w:b w:val="0"/>
          <w:bCs w:val="0"/>
          <w:color w:val="auto"/>
        </w:rPr>
        <w:t xml:space="preserve">Figure </w:t>
      </w:r>
      <w:r w:rsidRPr="004B1F67">
        <w:rPr>
          <w:rStyle w:val="CETCaptionCarattere"/>
          <w:i w:val="0"/>
          <w:color w:val="auto"/>
        </w:rPr>
        <w:fldChar w:fldCharType="begin"/>
      </w:r>
      <w:r w:rsidRPr="004B1F67">
        <w:rPr>
          <w:rStyle w:val="CETCaptionCarattere"/>
          <w:b w:val="0"/>
          <w:bCs w:val="0"/>
          <w:color w:val="auto"/>
        </w:rPr>
        <w:instrText xml:space="preserve"> SEQ Figure \* ARABIC </w:instrText>
      </w:r>
      <w:r w:rsidRPr="004B1F67">
        <w:rPr>
          <w:rStyle w:val="CETCaptionCarattere"/>
          <w:i w:val="0"/>
          <w:color w:val="auto"/>
        </w:rPr>
        <w:fldChar w:fldCharType="separate"/>
      </w:r>
      <w:r w:rsidR="00010D44">
        <w:rPr>
          <w:rStyle w:val="CETCaptionCarattere"/>
          <w:b w:val="0"/>
          <w:bCs w:val="0"/>
          <w:noProof/>
          <w:color w:val="auto"/>
        </w:rPr>
        <w:t>3</w:t>
      </w:r>
      <w:r w:rsidRPr="004B1F67">
        <w:rPr>
          <w:rStyle w:val="CETCaptionCarattere"/>
          <w:i w:val="0"/>
          <w:color w:val="auto"/>
        </w:rPr>
        <w:fldChar w:fldCharType="end"/>
      </w:r>
      <w:bookmarkEnd w:id="6"/>
      <w:r w:rsidR="00F373D6" w:rsidRPr="004B1F67">
        <w:rPr>
          <w:rStyle w:val="CETCaptionCarattere"/>
          <w:b w:val="0"/>
          <w:bCs w:val="0"/>
          <w:iCs/>
          <w:color w:val="auto"/>
        </w:rPr>
        <w:t>:</w:t>
      </w:r>
      <w:r w:rsidRPr="004B1F67">
        <w:rPr>
          <w:rStyle w:val="CETCaptionCarattere"/>
          <w:b w:val="0"/>
          <w:bCs w:val="0"/>
          <w:color w:val="auto"/>
        </w:rPr>
        <w:t xml:space="preserve"> Total bacterial</w:t>
      </w:r>
      <w:r w:rsidR="00AC19A8" w:rsidRPr="004B1F67">
        <w:rPr>
          <w:rStyle w:val="CETCaptionCarattere"/>
          <w:b w:val="0"/>
          <w:bCs w:val="0"/>
          <w:color w:val="auto"/>
        </w:rPr>
        <w:t xml:space="preserve"> </w:t>
      </w:r>
      <w:r w:rsidRPr="004B1F67">
        <w:rPr>
          <w:rStyle w:val="CETCaptionCarattere"/>
          <w:b w:val="0"/>
          <w:bCs w:val="0"/>
          <w:color w:val="auto"/>
        </w:rPr>
        <w:t xml:space="preserve">counts results for fresh pork burgers packed </w:t>
      </w:r>
      <w:bookmarkEnd w:id="7"/>
      <w:r w:rsidRPr="004B1F67">
        <w:rPr>
          <w:rStyle w:val="CETCaptionCarattere"/>
          <w:b w:val="0"/>
          <w:bCs w:val="0"/>
          <w:color w:val="auto"/>
        </w:rPr>
        <w:t xml:space="preserve">in contact with PLA-PHB coated with different coatings (MC, MC+OL, and CT+OL) and stored at 4 °C for 14 days. </w:t>
      </w:r>
      <w:r w:rsidR="00552CA8" w:rsidRPr="00552CA8">
        <w:rPr>
          <w:rStyle w:val="CETCaptionCarattere"/>
          <w:b w:val="0"/>
          <w:bCs w:val="0"/>
          <w:color w:val="auto"/>
        </w:rPr>
        <w:t>PLA-PHB: burger covered with uncoated film. CONTROL: uncoated burger</w:t>
      </w:r>
      <w:r w:rsidR="00552CA8">
        <w:rPr>
          <w:rStyle w:val="CETCaptionCarattere"/>
          <w:b w:val="0"/>
          <w:bCs w:val="0"/>
          <w:color w:val="auto"/>
        </w:rPr>
        <w:t>.</w:t>
      </w:r>
      <w:r w:rsidRPr="004B1F67">
        <w:rPr>
          <w:rStyle w:val="CETCaptionCarattere"/>
          <w:b w:val="0"/>
          <w:bCs w:val="0"/>
          <w:color w:val="auto"/>
        </w:rPr>
        <w:t xml:space="preserve"> Error bars indicate ± standard deviation of mean values</w:t>
      </w:r>
      <w:r w:rsidR="003C478C">
        <w:rPr>
          <w:rStyle w:val="CETCaptionCarattere"/>
          <w:b w:val="0"/>
          <w:bCs w:val="0"/>
          <w:color w:val="auto"/>
        </w:rPr>
        <w:t>.</w:t>
      </w:r>
    </w:p>
    <w:p w14:paraId="4F3AB629" w14:textId="77777777" w:rsidR="00C66206" w:rsidRDefault="00F035EC">
      <w:pPr>
        <w:pStyle w:val="Nessunaspaziatura"/>
        <w:spacing w:line="264" w:lineRule="auto"/>
        <w:jc w:val="both"/>
        <w:rPr>
          <w:rFonts w:ascii="Arial" w:hAnsi="Arial" w:cs="Arial"/>
          <w:sz w:val="18"/>
          <w:szCs w:val="18"/>
        </w:rPr>
      </w:pPr>
      <w:r w:rsidRPr="00F035EC">
        <w:rPr>
          <w:rFonts w:ascii="Arial" w:hAnsi="Arial" w:cs="Arial"/>
          <w:sz w:val="18"/>
          <w:szCs w:val="18"/>
        </w:rPr>
        <w:t xml:space="preserve">However, the data obtained with CT+OL sample did not differ significantly from those obtained with the PLA-PHB, MC+OL and MC ones, so the lower microbial growth </w:t>
      </w:r>
      <w:r w:rsidR="00AD7F32">
        <w:rPr>
          <w:rFonts w:ascii="Arial" w:hAnsi="Arial" w:cs="Arial"/>
          <w:sz w:val="18"/>
          <w:szCs w:val="18"/>
        </w:rPr>
        <w:t xml:space="preserve">on day 5 </w:t>
      </w:r>
      <w:r w:rsidRPr="00F035EC">
        <w:rPr>
          <w:rFonts w:ascii="Arial" w:hAnsi="Arial" w:cs="Arial"/>
          <w:sz w:val="18"/>
          <w:szCs w:val="18"/>
        </w:rPr>
        <w:t xml:space="preserve">compared with the control sample is probably due to a greater barrier effect of the film and not due to a bacteriostatic effect of the coatings containing </w:t>
      </w:r>
      <w:r w:rsidRPr="00F035EC">
        <w:rPr>
          <w:rFonts w:ascii="Arial" w:hAnsi="Arial" w:cs="Arial"/>
          <w:sz w:val="18"/>
          <w:szCs w:val="18"/>
        </w:rPr>
        <w:lastRenderedPageBreak/>
        <w:t>the OL extract. From day 7, the TBC values, regardless of the material used, increased to approximately 9 log</w:t>
      </w:r>
      <w:r w:rsidR="003733E5">
        <w:rPr>
          <w:rFonts w:ascii="Arial" w:hAnsi="Arial" w:cs="Arial"/>
          <w:sz w:val="18"/>
          <w:szCs w:val="18"/>
          <w:vertAlign w:val="subscript"/>
        </w:rPr>
        <w:t xml:space="preserve"> </w:t>
      </w:r>
      <w:r w:rsidRPr="00F035EC">
        <w:rPr>
          <w:rFonts w:ascii="Arial" w:hAnsi="Arial" w:cs="Arial"/>
          <w:sz w:val="18"/>
          <w:szCs w:val="18"/>
        </w:rPr>
        <w:t>CFU/g</w:t>
      </w:r>
      <w:r w:rsidR="004D147D">
        <w:rPr>
          <w:rFonts w:ascii="Arial" w:hAnsi="Arial" w:cs="Arial"/>
          <w:sz w:val="18"/>
          <w:szCs w:val="18"/>
        </w:rPr>
        <w:t xml:space="preserve"> meat</w:t>
      </w:r>
      <w:r w:rsidRPr="00F035EC">
        <w:rPr>
          <w:rFonts w:ascii="Arial" w:hAnsi="Arial" w:cs="Arial"/>
          <w:sz w:val="18"/>
          <w:szCs w:val="18"/>
        </w:rPr>
        <w:t xml:space="preserve"> for all samples (including the CONTROL sample) until the end of the study (day 14) without statistical difference. </w:t>
      </w:r>
    </w:p>
    <w:p w14:paraId="5A594B96" w14:textId="296CC9F6" w:rsidR="004D147D" w:rsidRDefault="005408BE">
      <w:pPr>
        <w:pStyle w:val="Nessunaspaziatura"/>
        <w:spacing w:line="264" w:lineRule="auto"/>
        <w:jc w:val="both"/>
        <w:rPr>
          <w:rFonts w:ascii="Arial" w:hAnsi="Arial" w:cs="Arial"/>
          <w:sz w:val="18"/>
          <w:szCs w:val="18"/>
        </w:rPr>
      </w:pPr>
      <w:r w:rsidRPr="004B1F67">
        <w:rPr>
          <w:rFonts w:ascii="Arial" w:hAnsi="Arial" w:cs="Arial"/>
          <w:sz w:val="18"/>
          <w:szCs w:val="18"/>
        </w:rPr>
        <w:t xml:space="preserve">Based on the obtained results, the concentration of </w:t>
      </w:r>
      <w:r w:rsidRPr="004B1F67">
        <w:rPr>
          <w:rFonts w:ascii="Arial" w:hAnsi="Arial" w:cs="Arial"/>
          <w:i/>
          <w:iCs/>
          <w:sz w:val="18"/>
          <w:szCs w:val="18"/>
        </w:rPr>
        <w:t>Enterobacteriaceae</w:t>
      </w:r>
      <w:r w:rsidRPr="004B1F67">
        <w:rPr>
          <w:rFonts w:ascii="Arial" w:hAnsi="Arial" w:cs="Arial"/>
          <w:sz w:val="18"/>
          <w:szCs w:val="18"/>
        </w:rPr>
        <w:t xml:space="preserve"> tended to increase in all samples until the 9</w:t>
      </w:r>
      <w:r w:rsidRPr="004B1F67">
        <w:rPr>
          <w:rFonts w:ascii="Arial" w:hAnsi="Arial" w:cs="Arial"/>
          <w:sz w:val="18"/>
          <w:szCs w:val="18"/>
          <w:vertAlign w:val="superscript"/>
        </w:rPr>
        <w:t>th</w:t>
      </w:r>
      <w:r w:rsidRPr="004B1F67">
        <w:rPr>
          <w:rFonts w:ascii="Arial" w:hAnsi="Arial" w:cs="Arial"/>
          <w:sz w:val="18"/>
          <w:szCs w:val="18"/>
        </w:rPr>
        <w:t xml:space="preserve"> day and then stabilized starting from an initial </w:t>
      </w:r>
      <w:r w:rsidRPr="003733E5">
        <w:rPr>
          <w:rFonts w:ascii="Arial" w:hAnsi="Arial" w:cs="Arial"/>
          <w:sz w:val="18"/>
          <w:szCs w:val="18"/>
        </w:rPr>
        <w:t>value of 3.02 log</w:t>
      </w:r>
      <w:r w:rsidR="003733E5">
        <w:rPr>
          <w:rFonts w:ascii="Arial" w:hAnsi="Arial" w:cs="Arial"/>
          <w:sz w:val="18"/>
          <w:szCs w:val="18"/>
          <w:vertAlign w:val="subscript"/>
        </w:rPr>
        <w:t xml:space="preserve"> </w:t>
      </w:r>
      <w:r w:rsidRPr="003733E5">
        <w:rPr>
          <w:rFonts w:ascii="Arial" w:hAnsi="Arial" w:cs="Arial"/>
          <w:sz w:val="18"/>
          <w:szCs w:val="18"/>
        </w:rPr>
        <w:t>CFU/g</w:t>
      </w:r>
      <w:r w:rsidR="00E86E19" w:rsidRPr="003733E5">
        <w:rPr>
          <w:rFonts w:ascii="Arial" w:hAnsi="Arial" w:cs="Arial"/>
          <w:sz w:val="18"/>
          <w:szCs w:val="18"/>
        </w:rPr>
        <w:t xml:space="preserve"> meat</w:t>
      </w:r>
      <w:r w:rsidRPr="003733E5">
        <w:rPr>
          <w:rFonts w:ascii="Arial" w:hAnsi="Arial" w:cs="Arial"/>
          <w:sz w:val="18"/>
          <w:szCs w:val="18"/>
        </w:rPr>
        <w:t xml:space="preserve"> to</w:t>
      </w:r>
      <w:r w:rsidRPr="004B1F67">
        <w:rPr>
          <w:rFonts w:ascii="Arial" w:hAnsi="Arial" w:cs="Arial"/>
          <w:sz w:val="18"/>
          <w:szCs w:val="18"/>
        </w:rPr>
        <w:t xml:space="preserve"> a value of approximately 7.82 log</w:t>
      </w:r>
      <w:r w:rsidR="004A336B">
        <w:rPr>
          <w:rFonts w:ascii="Arial" w:hAnsi="Arial" w:cs="Arial"/>
          <w:sz w:val="18"/>
          <w:szCs w:val="18"/>
          <w:vertAlign w:val="subscript"/>
        </w:rPr>
        <w:t xml:space="preserve"> </w:t>
      </w:r>
      <w:r w:rsidRPr="004B1F67">
        <w:rPr>
          <w:rFonts w:ascii="Arial" w:hAnsi="Arial" w:cs="Arial"/>
          <w:sz w:val="18"/>
          <w:szCs w:val="18"/>
        </w:rPr>
        <w:t>CFU/g</w:t>
      </w:r>
      <w:r w:rsidR="00E86E19">
        <w:rPr>
          <w:rFonts w:ascii="Arial" w:hAnsi="Arial" w:cs="Arial"/>
          <w:sz w:val="18"/>
          <w:szCs w:val="18"/>
        </w:rPr>
        <w:t xml:space="preserve"> meat</w:t>
      </w:r>
      <w:r w:rsidRPr="004B1F67">
        <w:rPr>
          <w:rFonts w:ascii="Arial" w:hAnsi="Arial" w:cs="Arial"/>
          <w:sz w:val="18"/>
          <w:szCs w:val="18"/>
        </w:rPr>
        <w:t xml:space="preserve"> on day </w:t>
      </w:r>
      <w:r w:rsidRPr="00010D44">
        <w:rPr>
          <w:rFonts w:ascii="Arial" w:hAnsi="Arial" w:cs="Arial"/>
          <w:sz w:val="18"/>
          <w:szCs w:val="18"/>
        </w:rPr>
        <w:t xml:space="preserve">14 for all </w:t>
      </w:r>
      <w:r w:rsidRPr="008A5C43">
        <w:rPr>
          <w:rFonts w:ascii="Arial" w:hAnsi="Arial" w:cs="Arial"/>
          <w:sz w:val="18"/>
          <w:szCs w:val="18"/>
        </w:rPr>
        <w:t>samples (</w:t>
      </w:r>
      <w:r w:rsidR="002170FF" w:rsidRPr="00BF356B">
        <w:rPr>
          <w:rFonts w:ascii="Arial" w:hAnsi="Arial" w:cs="Arial"/>
          <w:i/>
          <w:iCs/>
          <w:sz w:val="18"/>
          <w:szCs w:val="18"/>
        </w:rPr>
        <w:fldChar w:fldCharType="begin"/>
      </w:r>
      <w:r w:rsidR="002170FF" w:rsidRPr="008A5C43">
        <w:rPr>
          <w:rFonts w:ascii="Arial" w:hAnsi="Arial" w:cs="Arial"/>
          <w:i/>
          <w:iCs/>
          <w:sz w:val="18"/>
          <w:szCs w:val="18"/>
        </w:rPr>
        <w:instrText xml:space="preserve"> REF _Ref124521977 \h  \* MERGEFORMAT </w:instrText>
      </w:r>
      <w:r w:rsidR="002170FF" w:rsidRPr="00BF356B">
        <w:rPr>
          <w:rFonts w:ascii="Arial" w:hAnsi="Arial" w:cs="Arial"/>
          <w:i/>
          <w:iCs/>
          <w:sz w:val="18"/>
          <w:szCs w:val="18"/>
        </w:rPr>
      </w:r>
      <w:r w:rsidR="002170FF" w:rsidRPr="00BF356B">
        <w:rPr>
          <w:rFonts w:ascii="Arial" w:hAnsi="Arial" w:cs="Arial"/>
          <w:i/>
          <w:iCs/>
          <w:sz w:val="18"/>
          <w:szCs w:val="18"/>
        </w:rPr>
        <w:fldChar w:fldCharType="separate"/>
      </w:r>
      <w:r w:rsidR="00882951" w:rsidRPr="008A5C43">
        <w:rPr>
          <w:rStyle w:val="CETCaptionCarattere"/>
          <w:rFonts w:eastAsiaTheme="minorEastAsia" w:cs="Arial"/>
          <w:i w:val="0"/>
          <w:iCs/>
          <w:szCs w:val="18"/>
        </w:rPr>
        <w:t>Figure 4</w:t>
      </w:r>
      <w:r w:rsidR="002170FF" w:rsidRPr="00BF356B">
        <w:rPr>
          <w:rFonts w:ascii="Arial" w:hAnsi="Arial" w:cs="Arial"/>
          <w:i/>
          <w:iCs/>
          <w:sz w:val="18"/>
          <w:szCs w:val="18"/>
        </w:rPr>
        <w:fldChar w:fldCharType="end"/>
      </w:r>
      <w:r w:rsidR="00010D44" w:rsidRPr="008A5C43">
        <w:rPr>
          <w:rFonts w:ascii="Arial" w:hAnsi="Arial" w:cs="Arial"/>
          <w:sz w:val="18"/>
          <w:szCs w:val="18"/>
        </w:rPr>
        <w:t>A</w:t>
      </w:r>
      <w:r w:rsidRPr="008A5C43">
        <w:rPr>
          <w:rFonts w:ascii="Arial" w:hAnsi="Arial" w:cs="Arial"/>
          <w:sz w:val="18"/>
          <w:szCs w:val="18"/>
        </w:rPr>
        <w:t>).</w:t>
      </w:r>
      <w:r w:rsidRPr="002170FF">
        <w:rPr>
          <w:rFonts w:ascii="Arial" w:hAnsi="Arial" w:cs="Arial"/>
          <w:sz w:val="18"/>
          <w:szCs w:val="18"/>
        </w:rPr>
        <w:t xml:space="preserve"> </w:t>
      </w:r>
      <w:r w:rsidR="003C478C" w:rsidRPr="004B1F67">
        <w:rPr>
          <w:rFonts w:ascii="Arial" w:hAnsi="Arial" w:cs="Arial"/>
          <w:sz w:val="18"/>
          <w:szCs w:val="18"/>
        </w:rPr>
        <w:t xml:space="preserve">The greatest differences between the samples </w:t>
      </w:r>
      <w:r w:rsidR="003C478C">
        <w:rPr>
          <w:rFonts w:ascii="Arial" w:hAnsi="Arial" w:cs="Arial"/>
          <w:sz w:val="18"/>
          <w:szCs w:val="18"/>
        </w:rPr>
        <w:t>were</w:t>
      </w:r>
      <w:r w:rsidR="003C478C" w:rsidRPr="004B1F67">
        <w:rPr>
          <w:rFonts w:ascii="Arial" w:hAnsi="Arial" w:cs="Arial"/>
          <w:sz w:val="18"/>
          <w:szCs w:val="18"/>
        </w:rPr>
        <w:t xml:space="preserve"> observed between day</w:t>
      </w:r>
      <w:r w:rsidR="00606D95">
        <w:rPr>
          <w:rFonts w:ascii="Arial" w:hAnsi="Arial" w:cs="Arial"/>
          <w:sz w:val="18"/>
          <w:szCs w:val="18"/>
        </w:rPr>
        <w:t>s</w:t>
      </w:r>
      <w:r w:rsidR="003C478C" w:rsidRPr="004B1F67">
        <w:rPr>
          <w:rFonts w:ascii="Arial" w:hAnsi="Arial" w:cs="Arial"/>
          <w:sz w:val="18"/>
          <w:szCs w:val="18"/>
        </w:rPr>
        <w:t xml:space="preserve"> 5 and 7</w:t>
      </w:r>
      <w:r w:rsidR="003C478C">
        <w:rPr>
          <w:rFonts w:ascii="Arial" w:hAnsi="Arial" w:cs="Arial"/>
          <w:sz w:val="18"/>
          <w:szCs w:val="18"/>
        </w:rPr>
        <w:t>, when</w:t>
      </w:r>
      <w:r w:rsidR="003C478C" w:rsidRPr="004B1F67">
        <w:rPr>
          <w:rFonts w:ascii="Arial" w:hAnsi="Arial" w:cs="Arial"/>
          <w:sz w:val="18"/>
          <w:szCs w:val="18"/>
        </w:rPr>
        <w:t xml:space="preserve"> the CT+OL sample showed statistically lower </w:t>
      </w:r>
      <w:r w:rsidR="003C478C">
        <w:rPr>
          <w:rFonts w:ascii="Arial" w:hAnsi="Arial" w:cs="Arial"/>
          <w:sz w:val="18"/>
          <w:szCs w:val="18"/>
        </w:rPr>
        <w:t>values</w:t>
      </w:r>
      <w:r w:rsidR="003C478C" w:rsidRPr="004B1F67">
        <w:rPr>
          <w:rFonts w:ascii="Arial" w:hAnsi="Arial" w:cs="Arial"/>
          <w:sz w:val="18"/>
          <w:szCs w:val="18"/>
        </w:rPr>
        <w:t xml:space="preserve"> than the control</w:t>
      </w:r>
      <w:r w:rsidR="003C478C">
        <w:rPr>
          <w:rFonts w:ascii="Arial" w:hAnsi="Arial" w:cs="Arial"/>
          <w:sz w:val="18"/>
          <w:szCs w:val="18"/>
        </w:rPr>
        <w:t>s</w:t>
      </w:r>
      <w:r w:rsidR="003C478C" w:rsidRPr="004B1F67">
        <w:rPr>
          <w:rFonts w:ascii="Arial" w:hAnsi="Arial" w:cs="Arial"/>
          <w:sz w:val="18"/>
          <w:szCs w:val="18"/>
        </w:rPr>
        <w:t>. Th</w:t>
      </w:r>
      <w:r w:rsidR="003C478C">
        <w:rPr>
          <w:rFonts w:ascii="Arial" w:hAnsi="Arial" w:cs="Arial"/>
          <w:sz w:val="18"/>
          <w:szCs w:val="18"/>
        </w:rPr>
        <w:t>e</w:t>
      </w:r>
      <w:r w:rsidR="003C478C" w:rsidRPr="004B1F67">
        <w:rPr>
          <w:rFonts w:ascii="Arial" w:hAnsi="Arial" w:cs="Arial"/>
          <w:sz w:val="18"/>
          <w:szCs w:val="18"/>
        </w:rPr>
        <w:t xml:space="preserve"> positive effect of the CT+OL </w:t>
      </w:r>
      <w:r w:rsidR="003C478C">
        <w:rPr>
          <w:rFonts w:ascii="Arial" w:hAnsi="Arial" w:cs="Arial"/>
          <w:sz w:val="18"/>
          <w:szCs w:val="18"/>
        </w:rPr>
        <w:t>coating</w:t>
      </w:r>
      <w:r w:rsidR="003C478C" w:rsidRPr="004B1F67">
        <w:rPr>
          <w:rFonts w:ascii="Arial" w:hAnsi="Arial" w:cs="Arial"/>
          <w:sz w:val="18"/>
          <w:szCs w:val="18"/>
        </w:rPr>
        <w:t xml:space="preserve"> is probably due to the combined antimicrobial effects of the olive leaf extract and the chitosan. </w:t>
      </w:r>
    </w:p>
    <w:p w14:paraId="4DA83566" w14:textId="6FE48F28" w:rsidR="002170FF" w:rsidRPr="002170FF" w:rsidRDefault="004D147D" w:rsidP="002C00FD">
      <w:pPr>
        <w:pStyle w:val="Nessunaspaziatura"/>
        <w:spacing w:after="60" w:line="264" w:lineRule="auto"/>
        <w:jc w:val="both"/>
        <w:rPr>
          <w:rFonts w:ascii="Arial" w:hAnsi="Arial" w:cs="Arial"/>
          <w:sz w:val="18"/>
          <w:szCs w:val="18"/>
        </w:rPr>
      </w:pPr>
      <w:r>
        <w:rPr>
          <w:rFonts w:ascii="Arial" w:hAnsi="Arial" w:cs="Arial"/>
          <w:sz w:val="18"/>
          <w:szCs w:val="18"/>
        </w:rPr>
        <w:t>However, the i</w:t>
      </w:r>
      <w:r w:rsidR="001D78A7">
        <w:rPr>
          <w:rFonts w:ascii="Arial" w:hAnsi="Arial" w:cs="Arial"/>
          <w:sz w:val="18"/>
          <w:szCs w:val="18"/>
        </w:rPr>
        <w:t xml:space="preserve">ncorporation of olive extract into the coating did appear </w:t>
      </w:r>
      <w:r w:rsidR="001D78A7" w:rsidRPr="004B1F67">
        <w:rPr>
          <w:rFonts w:ascii="Arial" w:hAnsi="Arial" w:cs="Arial"/>
          <w:sz w:val="18"/>
          <w:szCs w:val="18"/>
        </w:rPr>
        <w:t xml:space="preserve">to have any </w:t>
      </w:r>
      <w:r w:rsidR="001D78A7">
        <w:rPr>
          <w:rFonts w:ascii="Arial" w:hAnsi="Arial" w:cs="Arial"/>
          <w:sz w:val="18"/>
          <w:szCs w:val="18"/>
        </w:rPr>
        <w:t xml:space="preserve">activity against </w:t>
      </w:r>
      <w:r w:rsidR="001D78A7" w:rsidRPr="004B1F67">
        <w:rPr>
          <w:rFonts w:ascii="Arial" w:hAnsi="Arial" w:cs="Arial"/>
          <w:sz w:val="18"/>
          <w:szCs w:val="18"/>
        </w:rPr>
        <w:t xml:space="preserve">yeast growth compared to all the other </w:t>
      </w:r>
      <w:r w:rsidR="001D78A7" w:rsidRPr="008A5C43">
        <w:rPr>
          <w:rFonts w:ascii="Arial" w:hAnsi="Arial" w:cs="Arial"/>
          <w:sz w:val="18"/>
          <w:szCs w:val="18"/>
        </w:rPr>
        <w:t>samples (</w:t>
      </w:r>
      <w:r w:rsidR="001D78A7" w:rsidRPr="00BF356B">
        <w:rPr>
          <w:rFonts w:ascii="Arial" w:hAnsi="Arial" w:cs="Arial"/>
          <w:sz w:val="18"/>
          <w:szCs w:val="18"/>
        </w:rPr>
        <w:fldChar w:fldCharType="begin"/>
      </w:r>
      <w:r w:rsidR="001D78A7" w:rsidRPr="008A5C43">
        <w:rPr>
          <w:rFonts w:ascii="Arial" w:hAnsi="Arial" w:cs="Arial"/>
          <w:sz w:val="18"/>
          <w:szCs w:val="18"/>
        </w:rPr>
        <w:instrText xml:space="preserve"> REF _Ref124521977 \h  \* MERGEFORMAT </w:instrText>
      </w:r>
      <w:r w:rsidR="001D78A7" w:rsidRPr="00BF356B">
        <w:rPr>
          <w:rFonts w:ascii="Arial" w:hAnsi="Arial" w:cs="Arial"/>
          <w:sz w:val="18"/>
          <w:szCs w:val="18"/>
        </w:rPr>
      </w:r>
      <w:r w:rsidR="001D78A7" w:rsidRPr="00BF356B">
        <w:rPr>
          <w:rFonts w:ascii="Arial" w:hAnsi="Arial" w:cs="Arial"/>
          <w:sz w:val="18"/>
          <w:szCs w:val="18"/>
        </w:rPr>
        <w:fldChar w:fldCharType="separate"/>
      </w:r>
      <w:r w:rsidR="001D78A7" w:rsidRPr="008A5C43">
        <w:rPr>
          <w:rFonts w:ascii="Arial" w:hAnsi="Arial" w:cs="Arial"/>
          <w:sz w:val="18"/>
          <w:szCs w:val="18"/>
        </w:rPr>
        <w:t>Figure 4</w:t>
      </w:r>
      <w:r w:rsidR="001D78A7" w:rsidRPr="00BF356B">
        <w:rPr>
          <w:rFonts w:ascii="Arial" w:hAnsi="Arial" w:cs="Arial"/>
          <w:sz w:val="18"/>
          <w:szCs w:val="18"/>
        </w:rPr>
        <w:fldChar w:fldCharType="end"/>
      </w:r>
      <w:r w:rsidR="001D78A7" w:rsidRPr="008A5C43">
        <w:rPr>
          <w:rFonts w:ascii="Arial" w:hAnsi="Arial" w:cs="Arial"/>
          <w:sz w:val="18"/>
          <w:szCs w:val="18"/>
        </w:rPr>
        <w:t>B).</w:t>
      </w:r>
    </w:p>
    <w:p w14:paraId="68D56AC4" w14:textId="2B705B9B" w:rsidR="00D81756" w:rsidRDefault="00F7761F" w:rsidP="002170FF">
      <w:pPr>
        <w:pStyle w:val="Nessunaspaziatura"/>
        <w:keepNext/>
        <w:spacing w:line="264" w:lineRule="auto"/>
        <w:jc w:val="both"/>
      </w:pPr>
      <w:r>
        <w:rPr>
          <w:noProof/>
        </w:rPr>
        <w:drawing>
          <wp:inline distT="0" distB="0" distL="0" distR="0" wp14:anchorId="60C00617" wp14:editId="1E52AD30">
            <wp:extent cx="2721753" cy="1198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84" t="4788" r="6760" b="2929"/>
                    <a:stretch/>
                  </pic:blipFill>
                  <pic:spPr bwMode="auto">
                    <a:xfrm>
                      <a:off x="0" y="0"/>
                      <a:ext cx="2721753" cy="11988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20323F4" wp14:editId="1141BDAB">
            <wp:extent cx="2700000" cy="1188815"/>
            <wp:effectExtent l="0" t="0" r="571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973" t="5116" r="8160" b="2756"/>
                    <a:stretch/>
                  </pic:blipFill>
                  <pic:spPr bwMode="auto">
                    <a:xfrm>
                      <a:off x="0" y="0"/>
                      <a:ext cx="2700000" cy="1188815"/>
                    </a:xfrm>
                    <a:prstGeom prst="rect">
                      <a:avLst/>
                    </a:prstGeom>
                    <a:ln>
                      <a:noFill/>
                    </a:ln>
                    <a:extLst>
                      <a:ext uri="{53640926-AAD7-44D8-BBD7-CCE9431645EC}">
                        <a14:shadowObscured xmlns:a14="http://schemas.microsoft.com/office/drawing/2010/main"/>
                      </a:ext>
                    </a:extLst>
                  </pic:spPr>
                </pic:pic>
              </a:graphicData>
            </a:graphic>
          </wp:inline>
        </w:drawing>
      </w:r>
    </w:p>
    <w:p w14:paraId="533ECA07" w14:textId="6A8318C8" w:rsidR="002170FF" w:rsidRDefault="002170FF" w:rsidP="003C478C">
      <w:pPr>
        <w:pStyle w:val="Didascalia"/>
        <w:spacing w:after="120"/>
        <w:rPr>
          <w:rFonts w:cs="Arial"/>
        </w:rPr>
      </w:pPr>
      <w:bookmarkStart w:id="8" w:name="_Ref124521977"/>
      <w:r w:rsidRPr="002170FF">
        <w:rPr>
          <w:rStyle w:val="CETCaptionCarattere"/>
          <w:b w:val="0"/>
          <w:bCs w:val="0"/>
          <w:color w:val="auto"/>
        </w:rPr>
        <w:t xml:space="preserve">Figure </w:t>
      </w:r>
      <w:r w:rsidRPr="002170FF">
        <w:rPr>
          <w:rStyle w:val="CETCaptionCarattere"/>
          <w:b w:val="0"/>
          <w:bCs w:val="0"/>
          <w:color w:val="auto"/>
        </w:rPr>
        <w:fldChar w:fldCharType="begin"/>
      </w:r>
      <w:r w:rsidRPr="002170FF">
        <w:rPr>
          <w:rStyle w:val="CETCaptionCarattere"/>
          <w:b w:val="0"/>
          <w:bCs w:val="0"/>
          <w:color w:val="auto"/>
        </w:rPr>
        <w:instrText xml:space="preserve"> SEQ Figure \* ARABIC </w:instrText>
      </w:r>
      <w:r w:rsidRPr="002170FF">
        <w:rPr>
          <w:rStyle w:val="CETCaptionCarattere"/>
          <w:b w:val="0"/>
          <w:bCs w:val="0"/>
          <w:color w:val="auto"/>
        </w:rPr>
        <w:fldChar w:fldCharType="separate"/>
      </w:r>
      <w:r w:rsidR="00010D44">
        <w:rPr>
          <w:rStyle w:val="CETCaptionCarattere"/>
          <w:b w:val="0"/>
          <w:bCs w:val="0"/>
          <w:noProof/>
          <w:color w:val="auto"/>
        </w:rPr>
        <w:t>4</w:t>
      </w:r>
      <w:r w:rsidRPr="002170FF">
        <w:rPr>
          <w:rStyle w:val="CETCaptionCarattere"/>
          <w:b w:val="0"/>
          <w:bCs w:val="0"/>
          <w:color w:val="auto"/>
        </w:rPr>
        <w:fldChar w:fldCharType="end"/>
      </w:r>
      <w:bookmarkEnd w:id="8"/>
      <w:r>
        <w:rPr>
          <w:rStyle w:val="CETCaptionCarattere"/>
          <w:b w:val="0"/>
          <w:bCs w:val="0"/>
          <w:color w:val="auto"/>
        </w:rPr>
        <w:t>:</w:t>
      </w:r>
      <w:r w:rsidRPr="002170FF">
        <w:rPr>
          <w:rStyle w:val="CETCaptionCarattere"/>
          <w:b w:val="0"/>
          <w:bCs w:val="0"/>
          <w:color w:val="auto"/>
        </w:rPr>
        <w:t xml:space="preserve"> Enterobacteriaceae (</w:t>
      </w:r>
      <w:r>
        <w:rPr>
          <w:rStyle w:val="CETCaptionCarattere"/>
          <w:b w:val="0"/>
          <w:bCs w:val="0"/>
          <w:color w:val="auto"/>
        </w:rPr>
        <w:t>A</w:t>
      </w:r>
      <w:r w:rsidRPr="002170FF">
        <w:rPr>
          <w:rStyle w:val="CETCaptionCarattere"/>
          <w:b w:val="0"/>
          <w:bCs w:val="0"/>
          <w:color w:val="auto"/>
        </w:rPr>
        <w:t>), and Yeasts (</w:t>
      </w:r>
      <w:r>
        <w:rPr>
          <w:rStyle w:val="CETCaptionCarattere"/>
          <w:b w:val="0"/>
          <w:bCs w:val="0"/>
          <w:color w:val="auto"/>
        </w:rPr>
        <w:t>B</w:t>
      </w:r>
      <w:r w:rsidRPr="002170FF">
        <w:rPr>
          <w:rStyle w:val="CETCaptionCarattere"/>
          <w:b w:val="0"/>
          <w:bCs w:val="0"/>
          <w:color w:val="auto"/>
        </w:rPr>
        <w:t>) counts results</w:t>
      </w:r>
      <w:r w:rsidRPr="004B1F67">
        <w:rPr>
          <w:rStyle w:val="CETCaptionCarattere"/>
          <w:b w:val="0"/>
          <w:bCs w:val="0"/>
          <w:color w:val="auto"/>
        </w:rPr>
        <w:t xml:space="preserve"> for fresh pork burgers packed in contact with PLA-PHB coated with different coatings (MC, MC+OL, and CT+OL) and stored at 4 °C for 14 days. </w:t>
      </w:r>
      <w:r w:rsidR="00552CA8" w:rsidRPr="00552CA8">
        <w:rPr>
          <w:rStyle w:val="CETCaptionCarattere"/>
          <w:b w:val="0"/>
          <w:bCs w:val="0"/>
          <w:color w:val="auto"/>
        </w:rPr>
        <w:t>PLA-PHB: burger covered with uncoated film. CONTROL: uncoated burger</w:t>
      </w:r>
      <w:r w:rsidR="00552CA8">
        <w:rPr>
          <w:rStyle w:val="CETCaptionCarattere"/>
          <w:b w:val="0"/>
          <w:bCs w:val="0"/>
          <w:color w:val="auto"/>
        </w:rPr>
        <w:t>.</w:t>
      </w:r>
      <w:r w:rsidRPr="004B1F67">
        <w:rPr>
          <w:rStyle w:val="CETCaptionCarattere"/>
          <w:b w:val="0"/>
          <w:bCs w:val="0"/>
          <w:color w:val="auto"/>
        </w:rPr>
        <w:t xml:space="preserve"> Error bars indicate ± standard deviation of mean values</w:t>
      </w:r>
      <w:r w:rsidR="003C478C">
        <w:rPr>
          <w:rStyle w:val="CETCaptionCarattere"/>
          <w:b w:val="0"/>
          <w:bCs w:val="0"/>
          <w:color w:val="auto"/>
        </w:rPr>
        <w:t>.</w:t>
      </w:r>
    </w:p>
    <w:p w14:paraId="4C474F61" w14:textId="77777777" w:rsidR="00F035EC" w:rsidRDefault="007B58F2" w:rsidP="007B58F2">
      <w:pPr>
        <w:rPr>
          <w:bCs/>
          <w:szCs w:val="18"/>
        </w:rPr>
      </w:pPr>
      <w:bookmarkStart w:id="9" w:name="_Ref86744306"/>
      <w:r>
        <w:t>R</w:t>
      </w:r>
      <w:r w:rsidR="005408BE" w:rsidRPr="004B1F67">
        <w:t>e</w:t>
      </w:r>
      <w:r>
        <w:t>garding the</w:t>
      </w:r>
      <w:r w:rsidR="005408BE" w:rsidRPr="004B1F67">
        <w:t xml:space="preserve"> sensory evaluation of the burgers (appearance and </w:t>
      </w:r>
      <w:r w:rsidR="00AC19A8" w:rsidRPr="004B1F67">
        <w:t>odour</w:t>
      </w:r>
      <w:r w:rsidR="005408BE" w:rsidRPr="004B1F67">
        <w:t>)</w:t>
      </w:r>
      <w:bookmarkEnd w:id="9"/>
      <w:r>
        <w:t xml:space="preserve">, </w:t>
      </w:r>
      <w:r>
        <w:rPr>
          <w:bCs/>
          <w:szCs w:val="18"/>
        </w:rPr>
        <w:t>i</w:t>
      </w:r>
      <w:r w:rsidR="003C478C" w:rsidRPr="003C478C">
        <w:rPr>
          <w:bCs/>
          <w:szCs w:val="18"/>
        </w:rPr>
        <w:t>n the first days the meat maintains its original appearance</w:t>
      </w:r>
      <w:r w:rsidR="00B019C1">
        <w:rPr>
          <w:bCs/>
          <w:szCs w:val="18"/>
        </w:rPr>
        <w:t xml:space="preserve"> </w:t>
      </w:r>
      <w:r w:rsidR="003C478C" w:rsidRPr="003C478C">
        <w:rPr>
          <w:bCs/>
          <w:szCs w:val="18"/>
        </w:rPr>
        <w:t>(class 1), while from the 5</w:t>
      </w:r>
      <w:r w:rsidR="003C478C" w:rsidRPr="00B019C1">
        <w:rPr>
          <w:bCs/>
          <w:szCs w:val="18"/>
          <w:vertAlign w:val="superscript"/>
        </w:rPr>
        <w:t>th</w:t>
      </w:r>
      <w:r w:rsidR="003C478C" w:rsidRPr="003C478C">
        <w:rPr>
          <w:bCs/>
          <w:szCs w:val="18"/>
        </w:rPr>
        <w:t xml:space="preserve"> day onwards, regardless of the type of sample, all of them started to show partial loss of the red colour, although the meat still looked acceptable (class 2). From day 7 only the control burgers began to have an unacceptable aspect; the meat in fact began to show a grey/brownish colour and a slimy aspect (class 3). A clear alteration started to occur on day 12 in all the other samples, except for CT+OL. From day 14 onwards, all samples started to show an unacceptable aspect. </w:t>
      </w:r>
    </w:p>
    <w:p w14:paraId="7EEAF019" w14:textId="77777777" w:rsidR="00F035EC" w:rsidRDefault="003C478C" w:rsidP="007B58F2">
      <w:pPr>
        <w:rPr>
          <w:bCs/>
          <w:szCs w:val="18"/>
        </w:rPr>
      </w:pPr>
      <w:r w:rsidRPr="003C478C">
        <w:rPr>
          <w:bCs/>
          <w:szCs w:val="18"/>
        </w:rPr>
        <w:t xml:space="preserve">Likewise, the odour of the meat samples displayed a similar trend. From day 7, a slight smell of ammonia started to develop, increasing in the control sample until day 14. A similar odour was detected from all the other samples, especially starting from day 12. </w:t>
      </w:r>
    </w:p>
    <w:p w14:paraId="6C81FEC5" w14:textId="66BD1567" w:rsidR="003C478C" w:rsidRPr="007B58F2" w:rsidRDefault="003C478C" w:rsidP="007B58F2">
      <w:r w:rsidRPr="003C478C">
        <w:rPr>
          <w:bCs/>
          <w:szCs w:val="18"/>
        </w:rPr>
        <w:t>Since no big differences were found between the different samples, in the future it might be necessary to use a wider scale of values to better appreciate the difference between the samples analysed.</w:t>
      </w:r>
    </w:p>
    <w:p w14:paraId="09E6EB7E" w14:textId="00D45308" w:rsidR="005408BE" w:rsidRPr="004B1F67" w:rsidRDefault="005408BE" w:rsidP="005408BE">
      <w:pPr>
        <w:pStyle w:val="CETHeading1"/>
        <w:tabs>
          <w:tab w:val="num" w:pos="360"/>
        </w:tabs>
        <w:rPr>
          <w:lang w:val="en-GB"/>
        </w:rPr>
      </w:pPr>
      <w:r w:rsidRPr="004B1F67">
        <w:rPr>
          <w:lang w:val="en-GB"/>
        </w:rPr>
        <w:t>Conclusions</w:t>
      </w:r>
    </w:p>
    <w:p w14:paraId="6278A1EE" w14:textId="664D48CF" w:rsidR="009341FB" w:rsidRDefault="00AC19A8" w:rsidP="00F859A4">
      <w:pPr>
        <w:pStyle w:val="CETAcknowledgementstitle"/>
        <w:spacing w:after="0" w:line="264" w:lineRule="auto"/>
        <w:jc w:val="both"/>
        <w:rPr>
          <w:b w:val="0"/>
        </w:rPr>
      </w:pPr>
      <w:r w:rsidRPr="004B1F67">
        <w:rPr>
          <w:b w:val="0"/>
        </w:rPr>
        <w:t>Two different coating formulation</w:t>
      </w:r>
      <w:r w:rsidR="00CB5240">
        <w:rPr>
          <w:b w:val="0"/>
        </w:rPr>
        <w:t>s</w:t>
      </w:r>
      <w:r w:rsidRPr="004B1F67">
        <w:rPr>
          <w:b w:val="0"/>
        </w:rPr>
        <w:t xml:space="preserve"> based on methylcellulose and chitosan </w:t>
      </w:r>
      <w:r w:rsidR="00CB5240">
        <w:rPr>
          <w:b w:val="0"/>
        </w:rPr>
        <w:t>in</w:t>
      </w:r>
      <w:r w:rsidRPr="004B1F67">
        <w:rPr>
          <w:b w:val="0"/>
        </w:rPr>
        <w:t xml:space="preserve"> which a commercial olive leaf extract was added (at a concentration &lt; 50 mg/mL), were coated onto PLA-PHB film, and tested directly in contact with fresh pork burgers for 14 days to evaluate a possible bacteriostatic and antioxidant effect of the different formulations on the surface of the meat. </w:t>
      </w:r>
      <w:r w:rsidR="0033782E" w:rsidRPr="0033782E">
        <w:rPr>
          <w:b w:val="0"/>
        </w:rPr>
        <w:t xml:space="preserve">Even though 14 days is a longer period than the realistic shelf-life for such products, this </w:t>
      </w:r>
      <w:proofErr w:type="gramStart"/>
      <w:r w:rsidR="0033782E" w:rsidRPr="0033782E">
        <w:rPr>
          <w:b w:val="0"/>
        </w:rPr>
        <w:t>period of time</w:t>
      </w:r>
      <w:proofErr w:type="gramEnd"/>
      <w:r w:rsidR="0033782E" w:rsidRPr="0033782E">
        <w:rPr>
          <w:b w:val="0"/>
        </w:rPr>
        <w:t xml:space="preserve"> was chosen to highlight any effects of the coated films on meat</w:t>
      </w:r>
      <w:r w:rsidR="0033782E">
        <w:rPr>
          <w:b w:val="0"/>
        </w:rPr>
        <w:t>.</w:t>
      </w:r>
    </w:p>
    <w:p w14:paraId="66D4708D" w14:textId="77777777" w:rsidR="009341FB" w:rsidRDefault="00AC19A8" w:rsidP="009341FB">
      <w:pPr>
        <w:pStyle w:val="CETAcknowledgementstitle"/>
        <w:spacing w:before="0" w:after="0" w:line="264" w:lineRule="auto"/>
        <w:jc w:val="both"/>
        <w:rPr>
          <w:b w:val="0"/>
        </w:rPr>
      </w:pPr>
      <w:r w:rsidRPr="004B1F67">
        <w:rPr>
          <w:b w:val="0"/>
        </w:rPr>
        <w:t xml:space="preserve">Based on the obtained results, the coating CT+OL showed a </w:t>
      </w:r>
      <w:r w:rsidR="00F859A4" w:rsidRPr="004B1F67">
        <w:rPr>
          <w:b w:val="0"/>
        </w:rPr>
        <w:t xml:space="preserve">slight </w:t>
      </w:r>
      <w:r w:rsidRPr="004B1F67">
        <w:rPr>
          <w:b w:val="0"/>
        </w:rPr>
        <w:t xml:space="preserve">slowdown in both lipid oxidation and </w:t>
      </w:r>
      <w:r w:rsidRPr="004B1F67">
        <w:rPr>
          <w:b w:val="0"/>
          <w:i/>
          <w:iCs/>
        </w:rPr>
        <w:t>Enterobacteriaceae</w:t>
      </w:r>
      <w:r w:rsidRPr="004B1F67">
        <w:rPr>
          <w:b w:val="0"/>
        </w:rPr>
        <w:t xml:space="preserve"> growth</w:t>
      </w:r>
      <w:r w:rsidR="00F859A4" w:rsidRPr="004B1F67">
        <w:rPr>
          <w:b w:val="0"/>
        </w:rPr>
        <w:t>.</w:t>
      </w:r>
      <w:r w:rsidRPr="004B1F67">
        <w:rPr>
          <w:b w:val="0"/>
        </w:rPr>
        <w:t xml:space="preserve"> </w:t>
      </w:r>
      <w:r w:rsidR="00F859A4" w:rsidRPr="004B1F67">
        <w:rPr>
          <w:b w:val="0"/>
        </w:rPr>
        <w:t xml:space="preserve">Therefore, if it is placed as a layer in contact with fresh meat, it could have a positive effect in slowing lipid oxidation and maintaining the meat quality longer. </w:t>
      </w:r>
    </w:p>
    <w:p w14:paraId="68BF7DAA" w14:textId="4003515A" w:rsidR="009341FB" w:rsidRPr="004D147D" w:rsidRDefault="00AC19A8" w:rsidP="004D147D">
      <w:pPr>
        <w:pStyle w:val="CETAcknowledgementstitle"/>
        <w:spacing w:before="0" w:after="0" w:line="264" w:lineRule="auto"/>
        <w:jc w:val="both"/>
        <w:rPr>
          <w:rFonts w:ascii="Times New Roman" w:hAnsi="Times New Roman"/>
          <w:color w:val="000000" w:themeColor="text1"/>
          <w:sz w:val="24"/>
          <w:szCs w:val="24"/>
        </w:rPr>
      </w:pPr>
      <w:r w:rsidRPr="004B1F67">
        <w:rPr>
          <w:b w:val="0"/>
        </w:rPr>
        <w:t>However, in the future</w:t>
      </w:r>
      <w:r w:rsidR="002366AC">
        <w:rPr>
          <w:b w:val="0"/>
        </w:rPr>
        <w:t>,</w:t>
      </w:r>
      <w:r w:rsidRPr="004B1F67">
        <w:rPr>
          <w:b w:val="0"/>
        </w:rPr>
        <w:t xml:space="preserve"> it might be interesting to test these coated films in contact with the surface of meat packaged in a modified atmosphere within </w:t>
      </w:r>
      <w:r w:rsidR="00F859A4" w:rsidRPr="004B1F67">
        <w:rPr>
          <w:b w:val="0"/>
        </w:rPr>
        <w:t>the normal packaging systems that are commercially available to date</w:t>
      </w:r>
      <w:r w:rsidRPr="004B1F67">
        <w:rPr>
          <w:b w:val="0"/>
        </w:rPr>
        <w:t xml:space="preserve">. </w:t>
      </w:r>
      <w:r w:rsidR="00F859A4" w:rsidRPr="004B1F67">
        <w:rPr>
          <w:b w:val="0"/>
        </w:rPr>
        <w:t xml:space="preserve">In this way, it could be evaluated whether the combined effect of the active coatings and the modified atmosphere could extend the shelf-life of this food product by a few days. </w:t>
      </w:r>
      <w:r w:rsidR="004D147D">
        <w:rPr>
          <w:b w:val="0"/>
        </w:rPr>
        <w:t xml:space="preserve">Moreover, </w:t>
      </w:r>
      <w:r w:rsidR="004D147D" w:rsidRPr="004D147D">
        <w:rPr>
          <w:b w:val="0"/>
        </w:rPr>
        <w:t>in future studies</w:t>
      </w:r>
      <w:r w:rsidR="002366AC">
        <w:rPr>
          <w:b w:val="0"/>
        </w:rPr>
        <w:t>,</w:t>
      </w:r>
      <w:r w:rsidR="004D147D" w:rsidRPr="004D147D">
        <w:rPr>
          <w:b w:val="0"/>
        </w:rPr>
        <w:t xml:space="preserve"> it will be necessary to improve the formulation distribution technique on the polymer film to have a more homogeneous deposition</w:t>
      </w:r>
      <w:r w:rsidR="004D147D">
        <w:rPr>
          <w:b w:val="0"/>
        </w:rPr>
        <w:t>, especially for the chitosan</w:t>
      </w:r>
      <w:r w:rsidR="004B7A75">
        <w:rPr>
          <w:b w:val="0"/>
        </w:rPr>
        <w:t>-only</w:t>
      </w:r>
      <w:r w:rsidR="004D147D">
        <w:rPr>
          <w:b w:val="0"/>
        </w:rPr>
        <w:t xml:space="preserve"> one.</w:t>
      </w:r>
    </w:p>
    <w:p w14:paraId="459D05E6" w14:textId="5A54B632" w:rsidR="00600535" w:rsidRPr="004B1F67" w:rsidRDefault="00600535" w:rsidP="00600535">
      <w:pPr>
        <w:pStyle w:val="CETAcknowledgementstitle"/>
      </w:pPr>
      <w:r w:rsidRPr="004B1F67">
        <w:t>Acknowledg</w:t>
      </w:r>
      <w:r w:rsidR="002366AC">
        <w:t>e</w:t>
      </w:r>
      <w:r w:rsidRPr="004B1F67">
        <w:t>ments</w:t>
      </w:r>
    </w:p>
    <w:p w14:paraId="0FA583AD" w14:textId="31A72B33" w:rsidR="006E764F" w:rsidRPr="006E764F" w:rsidRDefault="00AC19A8" w:rsidP="006E764F">
      <w:pPr>
        <w:pStyle w:val="CETBodytext"/>
        <w:rPr>
          <w:lang w:val="en-GB"/>
        </w:rPr>
      </w:pPr>
      <w:r w:rsidRPr="004B1F67">
        <w:rPr>
          <w:lang w:val="en-GB"/>
        </w:rPr>
        <w:t>Bio-Based Industries Joint Undertaking under the European Union's Horizon 2020 Research and Innovation programme (</w:t>
      </w:r>
      <w:proofErr w:type="spellStart"/>
      <w:r w:rsidRPr="004B1F67">
        <w:rPr>
          <w:lang w:val="en-GB"/>
        </w:rPr>
        <w:t>NewPack</w:t>
      </w:r>
      <w:proofErr w:type="spellEnd"/>
      <w:r w:rsidRPr="004B1F67">
        <w:rPr>
          <w:lang w:val="en-GB"/>
        </w:rPr>
        <w:t xml:space="preserve"> project - grant agreement No 792261) and Doctoral School on the </w:t>
      </w:r>
      <w:proofErr w:type="spellStart"/>
      <w:r w:rsidRPr="004B1F67">
        <w:rPr>
          <w:lang w:val="en-GB"/>
        </w:rPr>
        <w:t>Agro</w:t>
      </w:r>
      <w:proofErr w:type="spellEnd"/>
      <w:r w:rsidRPr="004B1F67">
        <w:rPr>
          <w:lang w:val="en-GB"/>
        </w:rPr>
        <w:t xml:space="preserve">-Food System, </w:t>
      </w:r>
      <w:proofErr w:type="spellStart"/>
      <w:r w:rsidRPr="004B1F67">
        <w:rPr>
          <w:lang w:val="en-GB"/>
        </w:rPr>
        <w:t>Università</w:t>
      </w:r>
      <w:proofErr w:type="spellEnd"/>
      <w:r w:rsidRPr="004B1F67">
        <w:rPr>
          <w:lang w:val="en-GB"/>
        </w:rPr>
        <w:t xml:space="preserve"> Cattolica del Sacro Cuore financially supported this research.</w:t>
      </w:r>
    </w:p>
    <w:p w14:paraId="4F1327F8" w14:textId="3501584E" w:rsidR="00600535" w:rsidRPr="004B1F67" w:rsidRDefault="00600535" w:rsidP="00600535">
      <w:pPr>
        <w:pStyle w:val="CETReference"/>
      </w:pPr>
      <w:r w:rsidRPr="004B1F67">
        <w:lastRenderedPageBreak/>
        <w:t>References</w:t>
      </w:r>
    </w:p>
    <w:p w14:paraId="10F52490" w14:textId="1DF732E9" w:rsidR="00F15AA7" w:rsidRPr="00070E4D" w:rsidRDefault="00F15AA7" w:rsidP="00AC19A8">
      <w:pPr>
        <w:pStyle w:val="CETReferencetext"/>
        <w:rPr>
          <w:rFonts w:cs="Arial"/>
        </w:rPr>
      </w:pPr>
      <w:proofErr w:type="spellStart"/>
      <w:r w:rsidRPr="00070E4D">
        <w:rPr>
          <w:rFonts w:cs="Arial"/>
        </w:rPr>
        <w:t>Borjan</w:t>
      </w:r>
      <w:proofErr w:type="spellEnd"/>
      <w:r w:rsidRPr="00070E4D">
        <w:rPr>
          <w:rFonts w:cs="Arial"/>
        </w:rPr>
        <w:t xml:space="preserve"> D., </w:t>
      </w:r>
      <w:proofErr w:type="spellStart"/>
      <w:r w:rsidRPr="00070E4D">
        <w:rPr>
          <w:rFonts w:cs="Arial"/>
        </w:rPr>
        <w:t>Leitgeb</w:t>
      </w:r>
      <w:proofErr w:type="spellEnd"/>
      <w:r w:rsidRPr="00070E4D">
        <w:rPr>
          <w:rFonts w:cs="Arial"/>
        </w:rPr>
        <w:t xml:space="preserve"> M., </w:t>
      </w:r>
      <w:proofErr w:type="spellStart"/>
      <w:r w:rsidRPr="00070E4D">
        <w:rPr>
          <w:rFonts w:cs="Arial"/>
        </w:rPr>
        <w:t>Knez</w:t>
      </w:r>
      <w:proofErr w:type="spellEnd"/>
      <w:r w:rsidRPr="00070E4D">
        <w:rPr>
          <w:rFonts w:cs="Arial"/>
        </w:rPr>
        <w:t xml:space="preserve"> Ž., &amp; </w:t>
      </w:r>
      <w:proofErr w:type="spellStart"/>
      <w:r w:rsidRPr="00070E4D">
        <w:rPr>
          <w:rFonts w:cs="Arial"/>
        </w:rPr>
        <w:t>Hrnčič</w:t>
      </w:r>
      <w:proofErr w:type="spellEnd"/>
      <w:r w:rsidRPr="00070E4D">
        <w:rPr>
          <w:rFonts w:cs="Arial"/>
        </w:rPr>
        <w:t xml:space="preserve"> M. K., 2020, Microbiological and Antioxidant Activity of Phenolic Compounds in Olive Leaf Extract</w:t>
      </w:r>
      <w:r w:rsidR="00BF356B">
        <w:rPr>
          <w:rFonts w:cs="Arial"/>
        </w:rPr>
        <w:t>,</w:t>
      </w:r>
      <w:r w:rsidRPr="00070E4D">
        <w:rPr>
          <w:rFonts w:cs="Arial"/>
        </w:rPr>
        <w:t xml:space="preserve"> Molecules, 25(24), 5946.</w:t>
      </w:r>
    </w:p>
    <w:p w14:paraId="27886934" w14:textId="7BB5C3CC" w:rsidR="00F15AA7" w:rsidRPr="00070E4D" w:rsidRDefault="00F15AA7" w:rsidP="00AC19A8">
      <w:pPr>
        <w:pStyle w:val="CETReferencetext"/>
        <w:rPr>
          <w:rFonts w:cs="Arial"/>
        </w:rPr>
      </w:pPr>
      <w:r w:rsidRPr="00070E4D">
        <w:rPr>
          <w:rFonts w:cs="Arial"/>
        </w:rPr>
        <w:t>Cao Y., Warner R. D., &amp; Fang Z., 2019, Effect of chitosan/nisin/gallic acid coating on preservation of pork loin in high oxygen modified atmosphere packaging</w:t>
      </w:r>
      <w:r w:rsidR="00BF356B">
        <w:rPr>
          <w:rFonts w:cs="Arial"/>
        </w:rPr>
        <w:t>,</w:t>
      </w:r>
      <w:r w:rsidRPr="00070E4D">
        <w:rPr>
          <w:rFonts w:cs="Arial"/>
        </w:rPr>
        <w:t xml:space="preserve"> Food Control, 101, 9-16.</w:t>
      </w:r>
    </w:p>
    <w:p w14:paraId="3738AEE8" w14:textId="1FA95460" w:rsidR="00F15AA7" w:rsidRPr="00070E4D" w:rsidRDefault="00F15AA7" w:rsidP="00AC19A8">
      <w:pPr>
        <w:pStyle w:val="CETReferencetext"/>
        <w:rPr>
          <w:rFonts w:cs="Arial"/>
        </w:rPr>
      </w:pPr>
      <w:proofErr w:type="spellStart"/>
      <w:r w:rsidRPr="00070E4D">
        <w:rPr>
          <w:rFonts w:cs="Arial"/>
          <w:lang w:val="en-US"/>
        </w:rPr>
        <w:t>Descalzo</w:t>
      </w:r>
      <w:proofErr w:type="spellEnd"/>
      <w:r w:rsidRPr="00070E4D">
        <w:rPr>
          <w:rFonts w:cs="Arial"/>
          <w:lang w:val="en-US"/>
        </w:rPr>
        <w:t xml:space="preserve"> A. M., </w:t>
      </w:r>
      <w:proofErr w:type="spellStart"/>
      <w:r w:rsidRPr="00070E4D">
        <w:rPr>
          <w:rFonts w:cs="Arial"/>
          <w:lang w:val="en-US"/>
        </w:rPr>
        <w:t>Insani</w:t>
      </w:r>
      <w:proofErr w:type="spellEnd"/>
      <w:r w:rsidRPr="00070E4D">
        <w:rPr>
          <w:rFonts w:cs="Arial"/>
          <w:lang w:val="en-US"/>
        </w:rPr>
        <w:t xml:space="preserve"> E. M., </w:t>
      </w:r>
      <w:proofErr w:type="spellStart"/>
      <w:r w:rsidRPr="00070E4D">
        <w:rPr>
          <w:rFonts w:cs="Arial"/>
          <w:lang w:val="en-US"/>
        </w:rPr>
        <w:t>Biolatto</w:t>
      </w:r>
      <w:proofErr w:type="spellEnd"/>
      <w:r w:rsidRPr="00070E4D">
        <w:rPr>
          <w:rFonts w:cs="Arial"/>
          <w:lang w:val="en-US"/>
        </w:rPr>
        <w:t xml:space="preserve"> A., Sancho A. M., García P. T., </w:t>
      </w:r>
      <w:proofErr w:type="spellStart"/>
      <w:r w:rsidRPr="00070E4D">
        <w:rPr>
          <w:rFonts w:cs="Arial"/>
          <w:lang w:val="en-US"/>
        </w:rPr>
        <w:t>Pensel</w:t>
      </w:r>
      <w:proofErr w:type="spellEnd"/>
      <w:r w:rsidRPr="00070E4D">
        <w:rPr>
          <w:rFonts w:cs="Arial"/>
          <w:lang w:val="en-US"/>
        </w:rPr>
        <w:t xml:space="preserve"> N. A., &amp; </w:t>
      </w:r>
      <w:proofErr w:type="spellStart"/>
      <w:r w:rsidRPr="00070E4D">
        <w:rPr>
          <w:rFonts w:cs="Arial"/>
          <w:lang w:val="en-US"/>
        </w:rPr>
        <w:t>Josifovich</w:t>
      </w:r>
      <w:proofErr w:type="spellEnd"/>
      <w:r w:rsidRPr="00070E4D">
        <w:rPr>
          <w:rFonts w:cs="Arial"/>
          <w:lang w:val="en-US"/>
        </w:rPr>
        <w:t xml:space="preserve"> J. A., 2005, </w:t>
      </w:r>
      <w:r w:rsidRPr="00070E4D">
        <w:rPr>
          <w:rFonts w:cs="Arial"/>
        </w:rPr>
        <w:t>Influence of pasture or grain-based diets supplemented with vitamin E on antioxidant/oxidative balance of Argentine beef</w:t>
      </w:r>
      <w:r w:rsidR="00BF356B">
        <w:rPr>
          <w:rFonts w:cs="Arial"/>
        </w:rPr>
        <w:t>,</w:t>
      </w:r>
      <w:r w:rsidRPr="00070E4D">
        <w:rPr>
          <w:rFonts w:cs="Arial"/>
        </w:rPr>
        <w:t xml:space="preserve"> Meat science, 70(1), 35-44.</w:t>
      </w:r>
    </w:p>
    <w:p w14:paraId="149ACAE8" w14:textId="3514AFCD" w:rsidR="00F15AA7" w:rsidRPr="00070E4D" w:rsidRDefault="00F15AA7" w:rsidP="00AC19A8">
      <w:pPr>
        <w:pStyle w:val="CETReferencetext"/>
        <w:rPr>
          <w:rFonts w:cs="Arial"/>
        </w:rPr>
      </w:pPr>
      <w:r w:rsidRPr="00070E4D">
        <w:rPr>
          <w:rFonts w:cs="Arial"/>
        </w:rPr>
        <w:t>Díaz-Montes E., &amp; Castro-Muñoz R., 2021, Trends in chitosan as a primary biopolymer for functional films and coatings manufacture for food and natural products</w:t>
      </w:r>
      <w:r w:rsidR="00BF356B">
        <w:rPr>
          <w:rFonts w:cs="Arial"/>
        </w:rPr>
        <w:t>,</w:t>
      </w:r>
      <w:r w:rsidRPr="00070E4D">
        <w:rPr>
          <w:rFonts w:cs="Arial"/>
        </w:rPr>
        <w:t xml:space="preserve"> Polymers, 13(5), 767.</w:t>
      </w:r>
    </w:p>
    <w:p w14:paraId="1166EAD8" w14:textId="6A7DE3B3" w:rsidR="00F15AA7" w:rsidRPr="00070E4D" w:rsidRDefault="00F15AA7" w:rsidP="00AC19A8">
      <w:pPr>
        <w:pStyle w:val="CETReferencetext"/>
        <w:rPr>
          <w:rFonts w:cs="Arial"/>
        </w:rPr>
      </w:pPr>
      <w:r w:rsidRPr="00070E4D">
        <w:rPr>
          <w:rFonts w:cs="Arial"/>
        </w:rPr>
        <w:t xml:space="preserve">Domínguez R., Barba F. J., Gómez B., </w:t>
      </w:r>
      <w:proofErr w:type="spellStart"/>
      <w:r w:rsidRPr="00070E4D">
        <w:rPr>
          <w:rFonts w:cs="Arial"/>
        </w:rPr>
        <w:t>Putnik</w:t>
      </w:r>
      <w:proofErr w:type="spellEnd"/>
      <w:r w:rsidRPr="00070E4D">
        <w:rPr>
          <w:rFonts w:cs="Arial"/>
        </w:rPr>
        <w:t xml:space="preserve"> P., </w:t>
      </w:r>
      <w:proofErr w:type="spellStart"/>
      <w:r w:rsidRPr="00070E4D">
        <w:rPr>
          <w:rFonts w:cs="Arial"/>
        </w:rPr>
        <w:t>Kovačević</w:t>
      </w:r>
      <w:proofErr w:type="spellEnd"/>
      <w:r w:rsidRPr="00070E4D">
        <w:rPr>
          <w:rFonts w:cs="Arial"/>
        </w:rPr>
        <w:t xml:space="preserve"> D. B., </w:t>
      </w:r>
      <w:proofErr w:type="spellStart"/>
      <w:r w:rsidRPr="00070E4D">
        <w:rPr>
          <w:rFonts w:cs="Arial"/>
        </w:rPr>
        <w:t>Pateiro</w:t>
      </w:r>
      <w:proofErr w:type="spellEnd"/>
      <w:r w:rsidRPr="00070E4D">
        <w:rPr>
          <w:rFonts w:cs="Arial"/>
        </w:rPr>
        <w:t xml:space="preserve"> M., Santos E. V., &amp; Lorenzo J. M., 2018, Active packaging films with natural antioxidants to be used in meat industry: A review</w:t>
      </w:r>
      <w:r w:rsidR="00BF356B">
        <w:rPr>
          <w:rFonts w:cs="Arial"/>
        </w:rPr>
        <w:t>,</w:t>
      </w:r>
      <w:r w:rsidRPr="00070E4D">
        <w:rPr>
          <w:rFonts w:cs="Arial"/>
        </w:rPr>
        <w:t xml:space="preserve"> Food research international, 113, 93-101.</w:t>
      </w:r>
    </w:p>
    <w:p w14:paraId="344C1BAA" w14:textId="53F37F1A" w:rsidR="00F15AA7" w:rsidRPr="00070E4D" w:rsidRDefault="00F15AA7" w:rsidP="00AC19A8">
      <w:pPr>
        <w:pStyle w:val="CETReferencetext"/>
        <w:rPr>
          <w:rFonts w:cs="Arial"/>
          <w:lang w:val="en-US"/>
        </w:rPr>
      </w:pPr>
      <w:r w:rsidRPr="00070E4D">
        <w:rPr>
          <w:rFonts w:cs="Arial"/>
          <w:lang w:val="en-US"/>
        </w:rPr>
        <w:t xml:space="preserve">Faustino M., </w:t>
      </w:r>
      <w:proofErr w:type="spellStart"/>
      <w:r w:rsidRPr="00070E4D">
        <w:rPr>
          <w:rFonts w:cs="Arial"/>
          <w:lang w:val="en-US"/>
        </w:rPr>
        <w:t>Veiga</w:t>
      </w:r>
      <w:proofErr w:type="spellEnd"/>
      <w:r w:rsidRPr="00070E4D">
        <w:rPr>
          <w:rFonts w:cs="Arial"/>
          <w:lang w:val="en-US"/>
        </w:rPr>
        <w:t xml:space="preserve"> M., Sousa P., Costa E. M., Silva S., &amp; Pintado M., 2019, </w:t>
      </w:r>
      <w:proofErr w:type="spellStart"/>
      <w:r w:rsidRPr="00070E4D">
        <w:rPr>
          <w:rFonts w:cs="Arial"/>
        </w:rPr>
        <w:t>Agro</w:t>
      </w:r>
      <w:proofErr w:type="spellEnd"/>
      <w:r w:rsidRPr="00070E4D">
        <w:rPr>
          <w:rFonts w:cs="Arial"/>
        </w:rPr>
        <w:t xml:space="preserve">-food </w:t>
      </w:r>
      <w:proofErr w:type="spellStart"/>
      <w:r w:rsidRPr="00070E4D">
        <w:rPr>
          <w:rFonts w:cs="Arial"/>
        </w:rPr>
        <w:t>byproducts</w:t>
      </w:r>
      <w:proofErr w:type="spellEnd"/>
      <w:r w:rsidRPr="00070E4D">
        <w:rPr>
          <w:rFonts w:cs="Arial"/>
        </w:rPr>
        <w:t xml:space="preserve"> as a new source of natural food additives</w:t>
      </w:r>
      <w:r w:rsidR="00BF356B">
        <w:rPr>
          <w:rFonts w:cs="Arial"/>
        </w:rPr>
        <w:t>,</w:t>
      </w:r>
      <w:r w:rsidRPr="00070E4D">
        <w:rPr>
          <w:rFonts w:cs="Arial"/>
        </w:rPr>
        <w:t xml:space="preserve"> </w:t>
      </w:r>
      <w:r w:rsidRPr="00070E4D">
        <w:rPr>
          <w:rFonts w:cs="Arial"/>
          <w:lang w:val="en-US"/>
        </w:rPr>
        <w:t>Molecules, 24(6), 1056.</w:t>
      </w:r>
    </w:p>
    <w:p w14:paraId="66CE0F43" w14:textId="18FEC0AB" w:rsidR="00F15AA7" w:rsidRPr="00070E4D" w:rsidRDefault="00F15AA7" w:rsidP="00AC19A8">
      <w:pPr>
        <w:pStyle w:val="CETReferencetext"/>
        <w:rPr>
          <w:rFonts w:cs="Arial"/>
        </w:rPr>
      </w:pPr>
      <w:r w:rsidRPr="00070E4D">
        <w:rPr>
          <w:rFonts w:cs="Arial"/>
          <w:lang w:val="en-US"/>
        </w:rPr>
        <w:t xml:space="preserve">Fiore A., Park S., Volpe S., </w:t>
      </w:r>
      <w:proofErr w:type="spellStart"/>
      <w:r w:rsidRPr="00070E4D">
        <w:rPr>
          <w:rFonts w:cs="Arial"/>
          <w:lang w:val="en-US"/>
        </w:rPr>
        <w:t>Torrieri</w:t>
      </w:r>
      <w:proofErr w:type="spellEnd"/>
      <w:r w:rsidRPr="00070E4D">
        <w:rPr>
          <w:rFonts w:cs="Arial"/>
          <w:lang w:val="en-US"/>
        </w:rPr>
        <w:t xml:space="preserve"> E., &amp; </w:t>
      </w:r>
      <w:proofErr w:type="spellStart"/>
      <w:r w:rsidRPr="00070E4D">
        <w:rPr>
          <w:rFonts w:cs="Arial"/>
          <w:lang w:val="en-US"/>
        </w:rPr>
        <w:t>Masi</w:t>
      </w:r>
      <w:proofErr w:type="spellEnd"/>
      <w:r w:rsidRPr="00070E4D">
        <w:rPr>
          <w:rFonts w:cs="Arial"/>
          <w:lang w:val="en-US"/>
        </w:rPr>
        <w:t xml:space="preserve"> P., 2021, </w:t>
      </w:r>
      <w:r w:rsidRPr="00070E4D">
        <w:rPr>
          <w:rFonts w:cs="Arial"/>
        </w:rPr>
        <w:t>Active packaging based on PLA and chitosan-caseinate enriched rosemary essential oil coating for fresh minced chicken breast application</w:t>
      </w:r>
      <w:r w:rsidR="00BF356B">
        <w:rPr>
          <w:rFonts w:cs="Arial"/>
        </w:rPr>
        <w:t>,</w:t>
      </w:r>
      <w:r w:rsidRPr="00070E4D">
        <w:rPr>
          <w:rFonts w:cs="Arial"/>
        </w:rPr>
        <w:t xml:space="preserve"> Food Packaging and Shelf Life, 29, 100708.</w:t>
      </w:r>
    </w:p>
    <w:p w14:paraId="0A2C7AA0" w14:textId="11F5DFC6" w:rsidR="00F15AA7" w:rsidRPr="00070E4D" w:rsidRDefault="00F15AA7" w:rsidP="00AC19A8">
      <w:pPr>
        <w:pStyle w:val="CETReferencetext"/>
        <w:rPr>
          <w:rFonts w:cs="Arial"/>
        </w:rPr>
      </w:pPr>
      <w:r w:rsidRPr="00070E4D">
        <w:rPr>
          <w:rFonts w:cs="Arial"/>
          <w:lang w:val="en-US"/>
        </w:rPr>
        <w:t xml:space="preserve">Fu Y., &amp; Dudley E. G., 2021, </w:t>
      </w:r>
      <w:r w:rsidRPr="00070E4D">
        <w:rPr>
          <w:rFonts w:cs="Arial"/>
        </w:rPr>
        <w:t>Antimicrobial</w:t>
      </w:r>
      <w:r w:rsidRPr="00070E4D">
        <w:rPr>
          <w:rFonts w:ascii="Cambria Math" w:hAnsi="Cambria Math" w:cs="Cambria Math"/>
        </w:rPr>
        <w:t>‐</w:t>
      </w:r>
      <w:r w:rsidRPr="00070E4D">
        <w:rPr>
          <w:rFonts w:cs="Arial"/>
        </w:rPr>
        <w:t>coated films as food packaging: A review</w:t>
      </w:r>
      <w:r w:rsidR="00BF356B">
        <w:rPr>
          <w:rFonts w:cs="Arial"/>
        </w:rPr>
        <w:t>,</w:t>
      </w:r>
      <w:r w:rsidRPr="00070E4D">
        <w:rPr>
          <w:rFonts w:cs="Arial"/>
        </w:rPr>
        <w:t xml:space="preserve"> Comprehensive Reviews in Food Science and Food Safety.</w:t>
      </w:r>
    </w:p>
    <w:p w14:paraId="6768F436" w14:textId="77777777" w:rsidR="00F15AA7" w:rsidRPr="00070E4D" w:rsidRDefault="00F15AA7" w:rsidP="00AC19A8">
      <w:pPr>
        <w:pStyle w:val="CETReferencetext"/>
        <w:rPr>
          <w:rFonts w:cs="Arial"/>
        </w:rPr>
      </w:pPr>
      <w:r w:rsidRPr="00070E4D">
        <w:rPr>
          <w:rFonts w:cs="Arial"/>
        </w:rPr>
        <w:t>ISO 21527-2:2008. Microbiology of food and animal feeding stuffs — Horizontal method for the enumeration of yeasts and moulds — Part 2: Colony count technique in products with water activity less than or equal to 0.95.</w:t>
      </w:r>
    </w:p>
    <w:p w14:paraId="406D9C46" w14:textId="77777777" w:rsidR="00F15AA7" w:rsidRPr="00070E4D" w:rsidRDefault="00F15AA7" w:rsidP="00AC19A8">
      <w:pPr>
        <w:pStyle w:val="CETReferencetext"/>
        <w:rPr>
          <w:rFonts w:cs="Arial"/>
        </w:rPr>
      </w:pPr>
      <w:r w:rsidRPr="00070E4D">
        <w:rPr>
          <w:rFonts w:cs="Arial"/>
        </w:rPr>
        <w:t>ISO 21528-2:2017. Microbiology of the food chain — Horizontal method for the detection and enumeration of Enterobacteriaceae — Part 2: Colony-count technique.</w:t>
      </w:r>
    </w:p>
    <w:p w14:paraId="48110F68" w14:textId="77777777" w:rsidR="00F15AA7" w:rsidRPr="00070E4D" w:rsidRDefault="00F15AA7" w:rsidP="00AC19A8">
      <w:pPr>
        <w:pStyle w:val="CETReferencetext"/>
        <w:rPr>
          <w:rFonts w:cs="Arial"/>
        </w:rPr>
      </w:pPr>
      <w:r w:rsidRPr="00070E4D">
        <w:rPr>
          <w:rFonts w:cs="Arial"/>
        </w:rPr>
        <w:t>ISO 4833:2003. Microbiology of food and animal feeding stuffs — Horizontal method for the enumeration of microorganisms — Colony-count technique at 30 degrees C.</w:t>
      </w:r>
    </w:p>
    <w:p w14:paraId="5188EAC9" w14:textId="5AB73A06" w:rsidR="00F15AA7" w:rsidRPr="00070E4D" w:rsidRDefault="00F15AA7" w:rsidP="00AC19A8">
      <w:pPr>
        <w:pStyle w:val="CETReferencetext"/>
        <w:rPr>
          <w:rFonts w:cs="Arial"/>
        </w:rPr>
      </w:pPr>
      <w:r w:rsidRPr="00070E4D">
        <w:rPr>
          <w:rFonts w:cs="Arial"/>
          <w:lang w:val="en-US"/>
        </w:rPr>
        <w:t xml:space="preserve">Merino D., </w:t>
      </w:r>
      <w:proofErr w:type="spellStart"/>
      <w:r w:rsidRPr="00070E4D">
        <w:rPr>
          <w:rFonts w:cs="Arial"/>
          <w:lang w:val="en-US"/>
        </w:rPr>
        <w:t>Bellassi</w:t>
      </w:r>
      <w:proofErr w:type="spellEnd"/>
      <w:r w:rsidRPr="00070E4D">
        <w:rPr>
          <w:rFonts w:cs="Arial"/>
          <w:lang w:val="en-US"/>
        </w:rPr>
        <w:t xml:space="preserve"> P., Paul U. C., Morelli L., &amp; </w:t>
      </w:r>
      <w:proofErr w:type="spellStart"/>
      <w:r w:rsidRPr="00070E4D">
        <w:rPr>
          <w:rFonts w:cs="Arial"/>
          <w:lang w:val="en-US"/>
        </w:rPr>
        <w:t>Athanassiou</w:t>
      </w:r>
      <w:proofErr w:type="spellEnd"/>
      <w:r w:rsidRPr="00070E4D">
        <w:rPr>
          <w:rFonts w:cs="Arial"/>
          <w:lang w:val="en-US"/>
        </w:rPr>
        <w:t xml:space="preserve"> A., 2023, </w:t>
      </w:r>
      <w:r w:rsidRPr="00070E4D">
        <w:rPr>
          <w:rFonts w:cs="Arial"/>
        </w:rPr>
        <w:t>Assessment of chitosan/pectin-rich vegetable waste composites for the active packaging of dry foods</w:t>
      </w:r>
      <w:r w:rsidR="00BF356B">
        <w:rPr>
          <w:rFonts w:cs="Arial"/>
        </w:rPr>
        <w:t>,</w:t>
      </w:r>
      <w:r w:rsidRPr="00070E4D">
        <w:rPr>
          <w:rFonts w:cs="Arial"/>
        </w:rPr>
        <w:t xml:space="preserve"> Food Hydrocolloids, 108580.</w:t>
      </w:r>
    </w:p>
    <w:p w14:paraId="0CA41157" w14:textId="41683A8D" w:rsidR="00F15AA7" w:rsidRPr="00070E4D" w:rsidRDefault="00F15AA7" w:rsidP="00AC19A8">
      <w:pPr>
        <w:pStyle w:val="CETReferencetext"/>
        <w:rPr>
          <w:rFonts w:cs="Arial"/>
        </w:rPr>
      </w:pPr>
      <w:r w:rsidRPr="00070E4D">
        <w:rPr>
          <w:rFonts w:cs="Arial"/>
        </w:rPr>
        <w:t>Nieminen T.</w:t>
      </w:r>
      <w:r w:rsidR="00BF356B">
        <w:rPr>
          <w:rFonts w:cs="Arial"/>
        </w:rPr>
        <w:t xml:space="preserve"> </w:t>
      </w:r>
      <w:r w:rsidRPr="00070E4D">
        <w:rPr>
          <w:rFonts w:cs="Arial"/>
        </w:rPr>
        <w:t xml:space="preserve">T., </w:t>
      </w:r>
      <w:proofErr w:type="spellStart"/>
      <w:r w:rsidRPr="00070E4D">
        <w:rPr>
          <w:rFonts w:cs="Arial"/>
        </w:rPr>
        <w:t>Dalgaard</w:t>
      </w:r>
      <w:proofErr w:type="spellEnd"/>
      <w:r w:rsidRPr="00070E4D">
        <w:rPr>
          <w:rFonts w:cs="Arial"/>
        </w:rPr>
        <w:t xml:space="preserve"> P., &amp; </w:t>
      </w:r>
      <w:proofErr w:type="spellStart"/>
      <w:r w:rsidRPr="00070E4D">
        <w:rPr>
          <w:rFonts w:cs="Arial"/>
        </w:rPr>
        <w:t>Björkroth</w:t>
      </w:r>
      <w:proofErr w:type="spellEnd"/>
      <w:r w:rsidRPr="00070E4D">
        <w:rPr>
          <w:rFonts w:cs="Arial"/>
        </w:rPr>
        <w:t xml:space="preserve"> J., 2016, Volatile organic compounds and Photobacterium </w:t>
      </w:r>
      <w:proofErr w:type="spellStart"/>
      <w:r w:rsidRPr="00070E4D">
        <w:rPr>
          <w:rFonts w:cs="Arial"/>
        </w:rPr>
        <w:t>phosphoreum</w:t>
      </w:r>
      <w:proofErr w:type="spellEnd"/>
      <w:r w:rsidRPr="00070E4D">
        <w:rPr>
          <w:rFonts w:cs="Arial"/>
        </w:rPr>
        <w:t xml:space="preserve"> associated with spoilage of modified-atmosphere-packaged raw pork</w:t>
      </w:r>
      <w:r w:rsidR="00BF356B">
        <w:rPr>
          <w:rFonts w:cs="Arial"/>
        </w:rPr>
        <w:t>,</w:t>
      </w:r>
      <w:r w:rsidRPr="00070E4D">
        <w:rPr>
          <w:rFonts w:cs="Arial"/>
        </w:rPr>
        <w:t xml:space="preserve"> </w:t>
      </w:r>
      <w:proofErr w:type="gramStart"/>
      <w:r w:rsidRPr="00070E4D">
        <w:rPr>
          <w:rFonts w:cs="Arial"/>
        </w:rPr>
        <w:t>International</w:t>
      </w:r>
      <w:proofErr w:type="gramEnd"/>
      <w:r w:rsidRPr="00070E4D">
        <w:rPr>
          <w:rFonts w:cs="Arial"/>
        </w:rPr>
        <w:t xml:space="preserve"> journal of food microbiology, 218, 86-95.</w:t>
      </w:r>
    </w:p>
    <w:p w14:paraId="0D39F4CD" w14:textId="50E25AF1" w:rsidR="00F15AA7" w:rsidRPr="00070E4D" w:rsidRDefault="00F15AA7" w:rsidP="00AC19A8">
      <w:pPr>
        <w:pStyle w:val="CETReferencetext"/>
        <w:rPr>
          <w:rFonts w:cs="Arial"/>
        </w:rPr>
      </w:pPr>
      <w:r w:rsidRPr="00070E4D">
        <w:rPr>
          <w:rFonts w:cs="Arial"/>
        </w:rPr>
        <w:t xml:space="preserve">Ortiz-Duarte G., Pérez-Cabrera L. E., </w:t>
      </w:r>
      <w:proofErr w:type="spellStart"/>
      <w:r w:rsidRPr="00070E4D">
        <w:rPr>
          <w:rFonts w:cs="Arial"/>
        </w:rPr>
        <w:t>Artés</w:t>
      </w:r>
      <w:proofErr w:type="spellEnd"/>
      <w:r w:rsidRPr="00070E4D">
        <w:rPr>
          <w:rFonts w:cs="Arial"/>
        </w:rPr>
        <w:t>-Hernández F., &amp; Martínez-Hernández G. B., 2019, Ag-chitosan nanocomposites in edible coatings affect the quality of fresh-cut melon</w:t>
      </w:r>
      <w:r w:rsidR="00BF356B">
        <w:rPr>
          <w:rFonts w:cs="Arial"/>
        </w:rPr>
        <w:t>,</w:t>
      </w:r>
      <w:r w:rsidRPr="00070E4D">
        <w:rPr>
          <w:rFonts w:cs="Arial"/>
        </w:rPr>
        <w:t xml:space="preserve"> Postharvest Biology and Technology, 147, 174-184.</w:t>
      </w:r>
    </w:p>
    <w:p w14:paraId="037106D0" w14:textId="402E6B04" w:rsidR="00F15AA7" w:rsidRPr="00070E4D" w:rsidRDefault="00F15AA7" w:rsidP="00AC19A8">
      <w:pPr>
        <w:pStyle w:val="CETReferencetext"/>
        <w:rPr>
          <w:rFonts w:cs="Arial"/>
          <w:lang w:val="en-US"/>
        </w:rPr>
      </w:pPr>
      <w:r w:rsidRPr="00070E4D">
        <w:rPr>
          <w:rFonts w:cs="Arial"/>
        </w:rPr>
        <w:t xml:space="preserve">Pearce K. L., </w:t>
      </w:r>
      <w:proofErr w:type="spellStart"/>
      <w:r w:rsidRPr="00070E4D">
        <w:rPr>
          <w:rFonts w:cs="Arial"/>
        </w:rPr>
        <w:t>Rosenvold</w:t>
      </w:r>
      <w:proofErr w:type="spellEnd"/>
      <w:r w:rsidRPr="00070E4D">
        <w:rPr>
          <w:rFonts w:cs="Arial"/>
        </w:rPr>
        <w:t xml:space="preserve"> K., Andersen H. J., &amp; Hopkins D. L., 2011, Water distribution and mobility in meat during the conversion of muscle to meat and ageing and the impacts on fresh meat quality attributes—A review</w:t>
      </w:r>
      <w:r w:rsidR="00BF356B">
        <w:rPr>
          <w:rFonts w:cs="Arial"/>
        </w:rPr>
        <w:t>,</w:t>
      </w:r>
      <w:r w:rsidRPr="00070E4D">
        <w:rPr>
          <w:rFonts w:cs="Arial"/>
        </w:rPr>
        <w:t xml:space="preserve"> </w:t>
      </w:r>
      <w:r w:rsidRPr="00070E4D">
        <w:rPr>
          <w:rFonts w:cs="Arial"/>
          <w:lang w:val="en-US"/>
        </w:rPr>
        <w:t>Meat science, 89(2), 111-124.</w:t>
      </w:r>
    </w:p>
    <w:p w14:paraId="221EFEBB" w14:textId="4C7B9165" w:rsidR="00F15AA7" w:rsidRPr="00070E4D" w:rsidRDefault="00F15AA7" w:rsidP="00AC19A8">
      <w:pPr>
        <w:pStyle w:val="CETReferencetext"/>
        <w:rPr>
          <w:rFonts w:cs="Arial"/>
        </w:rPr>
      </w:pPr>
      <w:r w:rsidRPr="00070E4D">
        <w:rPr>
          <w:rFonts w:cs="Arial"/>
          <w:lang w:val="en-US"/>
        </w:rPr>
        <w:t xml:space="preserve">Ribeiro J. S., Santos M. J. M. C., Silva L. K. R., Pereira L. C. L., Santos I. A., da Silva </w:t>
      </w:r>
      <w:proofErr w:type="spellStart"/>
      <w:r w:rsidRPr="00070E4D">
        <w:rPr>
          <w:rFonts w:cs="Arial"/>
          <w:lang w:val="en-US"/>
        </w:rPr>
        <w:t>Lannes</w:t>
      </w:r>
      <w:proofErr w:type="spellEnd"/>
      <w:r w:rsidRPr="00070E4D">
        <w:rPr>
          <w:rFonts w:cs="Arial"/>
          <w:lang w:val="en-US"/>
        </w:rPr>
        <w:t xml:space="preserve"> S. C., &amp; da Silva M. V., 2019, </w:t>
      </w:r>
      <w:r w:rsidRPr="00070E4D">
        <w:rPr>
          <w:rFonts w:cs="Arial"/>
        </w:rPr>
        <w:t>Natural antioxidants used in meat products: A brief review</w:t>
      </w:r>
      <w:r w:rsidR="00BF356B">
        <w:rPr>
          <w:rFonts w:cs="Arial"/>
        </w:rPr>
        <w:t>,</w:t>
      </w:r>
      <w:r w:rsidRPr="00070E4D">
        <w:rPr>
          <w:rFonts w:cs="Arial"/>
        </w:rPr>
        <w:t xml:space="preserve"> Meat science, 148, 181-188.</w:t>
      </w:r>
    </w:p>
    <w:p w14:paraId="1A1F0302" w14:textId="4CC508A3" w:rsidR="00F15AA7" w:rsidRPr="00070E4D" w:rsidRDefault="00F15AA7" w:rsidP="00AC19A8">
      <w:pPr>
        <w:pStyle w:val="CETReferencetext"/>
        <w:rPr>
          <w:rFonts w:cs="Arial"/>
        </w:rPr>
      </w:pPr>
      <w:r w:rsidRPr="00070E4D">
        <w:rPr>
          <w:rFonts w:cs="Arial"/>
        </w:rPr>
        <w:t xml:space="preserve">Sheard P. R., </w:t>
      </w:r>
      <w:proofErr w:type="spellStart"/>
      <w:r w:rsidRPr="00070E4D">
        <w:rPr>
          <w:rFonts w:cs="Arial"/>
        </w:rPr>
        <w:t>Enser</w:t>
      </w:r>
      <w:proofErr w:type="spellEnd"/>
      <w:r w:rsidRPr="00070E4D">
        <w:rPr>
          <w:rFonts w:cs="Arial"/>
        </w:rPr>
        <w:t xml:space="preserve"> M., Wood J. D., </w:t>
      </w:r>
      <w:proofErr w:type="spellStart"/>
      <w:r w:rsidRPr="00070E4D">
        <w:rPr>
          <w:rFonts w:cs="Arial"/>
        </w:rPr>
        <w:t>Nute</w:t>
      </w:r>
      <w:proofErr w:type="spellEnd"/>
      <w:r w:rsidRPr="00070E4D">
        <w:rPr>
          <w:rFonts w:cs="Arial"/>
        </w:rPr>
        <w:t xml:space="preserve"> G. R., Gill B. P., &amp; Richardson R. I., 2000, Shelf life and quality of pork and pork products with raised n-3 PUFA</w:t>
      </w:r>
      <w:r w:rsidR="00BF356B">
        <w:rPr>
          <w:rFonts w:cs="Arial"/>
        </w:rPr>
        <w:t>,</w:t>
      </w:r>
      <w:r w:rsidRPr="00070E4D">
        <w:rPr>
          <w:rFonts w:cs="Arial"/>
        </w:rPr>
        <w:t xml:space="preserve"> Meat science, 55(2), 213-221.</w:t>
      </w:r>
    </w:p>
    <w:p w14:paraId="32C32A9C" w14:textId="36389DFF" w:rsidR="00F15AA7" w:rsidRPr="00070E4D" w:rsidRDefault="00F15AA7" w:rsidP="00AC19A8">
      <w:pPr>
        <w:pStyle w:val="CETReferencetext"/>
        <w:rPr>
          <w:rFonts w:cs="Arial"/>
        </w:rPr>
      </w:pPr>
      <w:proofErr w:type="spellStart"/>
      <w:r w:rsidRPr="00070E4D">
        <w:rPr>
          <w:rFonts w:cs="Arial"/>
        </w:rPr>
        <w:t>Tabatabaee</w:t>
      </w:r>
      <w:proofErr w:type="spellEnd"/>
      <w:r w:rsidRPr="00070E4D">
        <w:rPr>
          <w:rFonts w:cs="Arial"/>
        </w:rPr>
        <w:t xml:space="preserve"> </w:t>
      </w:r>
      <w:proofErr w:type="spellStart"/>
      <w:r w:rsidRPr="00070E4D">
        <w:rPr>
          <w:rFonts w:cs="Arial"/>
        </w:rPr>
        <w:t>Bafroee</w:t>
      </w:r>
      <w:proofErr w:type="spellEnd"/>
      <w:r w:rsidRPr="00070E4D">
        <w:rPr>
          <w:rFonts w:cs="Arial"/>
        </w:rPr>
        <w:t xml:space="preserve"> A. S., </w:t>
      </w:r>
      <w:proofErr w:type="spellStart"/>
      <w:r w:rsidRPr="00070E4D">
        <w:rPr>
          <w:rFonts w:cs="Arial"/>
        </w:rPr>
        <w:t>Khanjari</w:t>
      </w:r>
      <w:proofErr w:type="spellEnd"/>
      <w:r w:rsidRPr="00070E4D">
        <w:rPr>
          <w:rFonts w:cs="Arial"/>
        </w:rPr>
        <w:t xml:space="preserve"> A., </w:t>
      </w:r>
      <w:proofErr w:type="spellStart"/>
      <w:r w:rsidRPr="00070E4D">
        <w:rPr>
          <w:rFonts w:cs="Arial"/>
        </w:rPr>
        <w:t>Teimourifard</w:t>
      </w:r>
      <w:proofErr w:type="spellEnd"/>
      <w:r w:rsidRPr="00070E4D">
        <w:rPr>
          <w:rFonts w:cs="Arial"/>
        </w:rPr>
        <w:t xml:space="preserve"> R., &amp; </w:t>
      </w:r>
      <w:proofErr w:type="spellStart"/>
      <w:r w:rsidRPr="00070E4D">
        <w:rPr>
          <w:rFonts w:cs="Arial"/>
        </w:rPr>
        <w:t>Yarmahmoudi</w:t>
      </w:r>
      <w:proofErr w:type="spellEnd"/>
      <w:r w:rsidRPr="00070E4D">
        <w:rPr>
          <w:rFonts w:cs="Arial"/>
        </w:rPr>
        <w:t xml:space="preserve"> F., 2020, Development of a novel active packaging film to retain quality and prolong the shelf life of fresh minced lamb meat</w:t>
      </w:r>
      <w:r w:rsidR="00BF356B">
        <w:rPr>
          <w:rFonts w:cs="Arial"/>
        </w:rPr>
        <w:t>,</w:t>
      </w:r>
      <w:r w:rsidRPr="00070E4D">
        <w:rPr>
          <w:rFonts w:cs="Arial"/>
        </w:rPr>
        <w:t xml:space="preserve"> Journal of Food Processing and Preservation, 44(11), e14880.</w:t>
      </w:r>
    </w:p>
    <w:p w14:paraId="04467612" w14:textId="0B598291" w:rsidR="00F15AA7" w:rsidRPr="00070E4D" w:rsidRDefault="00F15AA7" w:rsidP="00623141">
      <w:pPr>
        <w:pStyle w:val="CETReferencetext"/>
        <w:rPr>
          <w:rFonts w:cs="Arial"/>
        </w:rPr>
      </w:pPr>
      <w:r w:rsidRPr="00070E4D">
        <w:rPr>
          <w:rFonts w:cs="Arial"/>
        </w:rPr>
        <w:t xml:space="preserve">Venkatachalam K., &amp; </w:t>
      </w:r>
      <w:proofErr w:type="spellStart"/>
      <w:r w:rsidRPr="00070E4D">
        <w:rPr>
          <w:rFonts w:cs="Arial"/>
        </w:rPr>
        <w:t>Lekjing</w:t>
      </w:r>
      <w:proofErr w:type="spellEnd"/>
      <w:r w:rsidRPr="00070E4D">
        <w:rPr>
          <w:rFonts w:cs="Arial"/>
        </w:rPr>
        <w:t xml:space="preserve"> S., 2020, A chitosan-based edible film with clove essential oil and nisin for improving the quality and shelf life of pork patties in cold storage</w:t>
      </w:r>
      <w:r w:rsidR="00BF356B">
        <w:rPr>
          <w:rFonts w:cs="Arial"/>
        </w:rPr>
        <w:t>,</w:t>
      </w:r>
      <w:r w:rsidRPr="00070E4D">
        <w:rPr>
          <w:rFonts w:cs="Arial"/>
        </w:rPr>
        <w:t xml:space="preserve"> </w:t>
      </w:r>
      <w:proofErr w:type="spellStart"/>
      <w:r w:rsidRPr="00070E4D">
        <w:rPr>
          <w:rFonts w:cs="Arial"/>
        </w:rPr>
        <w:t>Rsc</w:t>
      </w:r>
      <w:proofErr w:type="spellEnd"/>
      <w:r w:rsidRPr="00070E4D">
        <w:rPr>
          <w:rFonts w:cs="Arial"/>
        </w:rPr>
        <w:t xml:space="preserve"> Advances, 10(30), 17777-17786.</w:t>
      </w:r>
    </w:p>
    <w:p w14:paraId="1E2C4A63" w14:textId="5678D145" w:rsidR="00F15AA7" w:rsidRPr="00070E4D" w:rsidRDefault="00F15AA7" w:rsidP="00C238A4">
      <w:pPr>
        <w:pStyle w:val="CETReferencetext"/>
        <w:rPr>
          <w:rFonts w:cs="Arial"/>
        </w:rPr>
      </w:pPr>
      <w:r w:rsidRPr="00070E4D">
        <w:rPr>
          <w:rFonts w:cs="Arial"/>
        </w:rPr>
        <w:t xml:space="preserve">Vilela C., Kurek M., </w:t>
      </w:r>
      <w:proofErr w:type="spellStart"/>
      <w:r w:rsidRPr="00070E4D">
        <w:rPr>
          <w:rFonts w:cs="Arial"/>
        </w:rPr>
        <w:t>Hayouka</w:t>
      </w:r>
      <w:proofErr w:type="spellEnd"/>
      <w:r w:rsidRPr="00070E4D">
        <w:rPr>
          <w:rFonts w:cs="Arial"/>
        </w:rPr>
        <w:t xml:space="preserve"> Z., </w:t>
      </w:r>
      <w:proofErr w:type="spellStart"/>
      <w:r w:rsidRPr="00070E4D">
        <w:rPr>
          <w:rFonts w:cs="Arial"/>
        </w:rPr>
        <w:t>Röcker</w:t>
      </w:r>
      <w:proofErr w:type="spellEnd"/>
      <w:r w:rsidRPr="00070E4D">
        <w:rPr>
          <w:rFonts w:cs="Arial"/>
        </w:rPr>
        <w:t xml:space="preserve"> B., Yildirim S., Antunes M. D. C., Nilsen-Nygaard J., Pettersen M. K., &amp; Freire C. S., 2018, A concise guide to active agents for active food packaging</w:t>
      </w:r>
      <w:r w:rsidR="00BF356B">
        <w:rPr>
          <w:rFonts w:cs="Arial"/>
        </w:rPr>
        <w:t>,</w:t>
      </w:r>
      <w:r w:rsidRPr="00070E4D">
        <w:rPr>
          <w:rFonts w:cs="Arial"/>
        </w:rPr>
        <w:t xml:space="preserve"> Trends in Food Science &amp; Technology, 80, 212-222.</w:t>
      </w:r>
    </w:p>
    <w:sectPr w:rsidR="00F15AA7" w:rsidRPr="00070E4D" w:rsidSect="003C478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B005" w14:textId="77777777" w:rsidR="00A53F68" w:rsidRDefault="00A53F68" w:rsidP="004F5E36">
      <w:r>
        <w:separator/>
      </w:r>
    </w:p>
  </w:endnote>
  <w:endnote w:type="continuationSeparator" w:id="0">
    <w:p w14:paraId="362B34A5" w14:textId="77777777" w:rsidR="00A53F68" w:rsidRDefault="00A53F6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EC42" w14:textId="77777777" w:rsidR="00A53F68" w:rsidRDefault="00A53F68" w:rsidP="004F5E36">
      <w:r>
        <w:separator/>
      </w:r>
    </w:p>
  </w:footnote>
  <w:footnote w:type="continuationSeparator" w:id="0">
    <w:p w14:paraId="5D26FB92" w14:textId="77777777" w:rsidR="00A53F68" w:rsidRDefault="00A53F6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98E720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6A7FBA"/>
    <w:multiLevelType w:val="hybridMultilevel"/>
    <w:tmpl w:val="E584BB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26F1384E"/>
    <w:multiLevelType w:val="hybridMultilevel"/>
    <w:tmpl w:val="863AD7FC"/>
    <w:lvl w:ilvl="0" w:tplc="7556E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1516765659">
    <w:abstractNumId w:val="10"/>
  </w:num>
  <w:num w:numId="24" w16cid:durableId="672298796">
    <w:abstractNumId w:val="12"/>
  </w:num>
  <w:num w:numId="25" w16cid:durableId="2118717347">
    <w:abstractNumId w:val="10"/>
  </w:num>
  <w:num w:numId="26" w16cid:durableId="458299231">
    <w:abstractNumId w:val="10"/>
  </w:num>
  <w:num w:numId="27" w16cid:durableId="341013722">
    <w:abstractNumId w:val="10"/>
  </w:num>
  <w:num w:numId="28" w16cid:durableId="941644191">
    <w:abstractNumId w:val="10"/>
  </w:num>
  <w:num w:numId="29" w16cid:durableId="1242331205">
    <w:abstractNumId w:val="10"/>
  </w:num>
  <w:num w:numId="30" w16cid:durableId="677466432">
    <w:abstractNumId w:val="10"/>
  </w:num>
  <w:num w:numId="31" w16cid:durableId="1421633701">
    <w:abstractNumId w:val="10"/>
  </w:num>
  <w:num w:numId="32" w16cid:durableId="852494845">
    <w:abstractNumId w:val="10"/>
  </w:num>
  <w:num w:numId="33" w16cid:durableId="1321425707">
    <w:abstractNumId w:val="11"/>
  </w:num>
  <w:num w:numId="34" w16cid:durableId="541671655">
    <w:abstractNumId w:val="10"/>
  </w:num>
  <w:num w:numId="35" w16cid:durableId="1128353780">
    <w:abstractNumId w:val="10"/>
  </w:num>
  <w:num w:numId="36" w16cid:durableId="1003048391">
    <w:abstractNumId w:val="10"/>
  </w:num>
  <w:num w:numId="37" w16cid:durableId="2125999450">
    <w:abstractNumId w:val="10"/>
  </w:num>
  <w:num w:numId="38" w16cid:durableId="1405297849">
    <w:abstractNumId w:val="10"/>
  </w:num>
  <w:num w:numId="39" w16cid:durableId="1372458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05315"/>
    <w:rsid w:val="00010D44"/>
    <w:rsid w:val="000117CB"/>
    <w:rsid w:val="00021643"/>
    <w:rsid w:val="0003148D"/>
    <w:rsid w:val="00031977"/>
    <w:rsid w:val="00031EEC"/>
    <w:rsid w:val="00034D9B"/>
    <w:rsid w:val="00047CCF"/>
    <w:rsid w:val="0005091C"/>
    <w:rsid w:val="00051566"/>
    <w:rsid w:val="000562A9"/>
    <w:rsid w:val="00062A9A"/>
    <w:rsid w:val="00065058"/>
    <w:rsid w:val="000650C7"/>
    <w:rsid w:val="00070E4D"/>
    <w:rsid w:val="000735F7"/>
    <w:rsid w:val="00083D06"/>
    <w:rsid w:val="00085299"/>
    <w:rsid w:val="00086C39"/>
    <w:rsid w:val="000A03B2"/>
    <w:rsid w:val="000C4D53"/>
    <w:rsid w:val="000D0268"/>
    <w:rsid w:val="000D34BE"/>
    <w:rsid w:val="000E102F"/>
    <w:rsid w:val="000E36F1"/>
    <w:rsid w:val="000E3A73"/>
    <w:rsid w:val="000E414A"/>
    <w:rsid w:val="000F093C"/>
    <w:rsid w:val="000F3EC0"/>
    <w:rsid w:val="000F48BA"/>
    <w:rsid w:val="000F559D"/>
    <w:rsid w:val="000F787B"/>
    <w:rsid w:val="0012091F"/>
    <w:rsid w:val="001233AB"/>
    <w:rsid w:val="00126BC2"/>
    <w:rsid w:val="001308B6"/>
    <w:rsid w:val="0013121F"/>
    <w:rsid w:val="00131FE6"/>
    <w:rsid w:val="0013263F"/>
    <w:rsid w:val="001331DF"/>
    <w:rsid w:val="00134DE4"/>
    <w:rsid w:val="0014034D"/>
    <w:rsid w:val="00144D16"/>
    <w:rsid w:val="00150E59"/>
    <w:rsid w:val="00152DE3"/>
    <w:rsid w:val="001540D6"/>
    <w:rsid w:val="0015446B"/>
    <w:rsid w:val="00156108"/>
    <w:rsid w:val="00160707"/>
    <w:rsid w:val="00164CF9"/>
    <w:rsid w:val="001667A6"/>
    <w:rsid w:val="00184AD6"/>
    <w:rsid w:val="00193F6B"/>
    <w:rsid w:val="001A08A5"/>
    <w:rsid w:val="001A288E"/>
    <w:rsid w:val="001A4AF7"/>
    <w:rsid w:val="001B0349"/>
    <w:rsid w:val="001B1E93"/>
    <w:rsid w:val="001B65C1"/>
    <w:rsid w:val="001C684B"/>
    <w:rsid w:val="001D0CFB"/>
    <w:rsid w:val="001D21AF"/>
    <w:rsid w:val="001D53FC"/>
    <w:rsid w:val="001D78A7"/>
    <w:rsid w:val="001E044F"/>
    <w:rsid w:val="001F42A5"/>
    <w:rsid w:val="001F7B9D"/>
    <w:rsid w:val="00201C93"/>
    <w:rsid w:val="00210020"/>
    <w:rsid w:val="002170FF"/>
    <w:rsid w:val="002224B4"/>
    <w:rsid w:val="00234699"/>
    <w:rsid w:val="002366AC"/>
    <w:rsid w:val="002447EF"/>
    <w:rsid w:val="00251550"/>
    <w:rsid w:val="00263B05"/>
    <w:rsid w:val="0027221A"/>
    <w:rsid w:val="00275B61"/>
    <w:rsid w:val="00280DD2"/>
    <w:rsid w:val="00280FAF"/>
    <w:rsid w:val="00282656"/>
    <w:rsid w:val="00296B83"/>
    <w:rsid w:val="002A0CDF"/>
    <w:rsid w:val="002A753D"/>
    <w:rsid w:val="002B4015"/>
    <w:rsid w:val="002B78CE"/>
    <w:rsid w:val="002C00FD"/>
    <w:rsid w:val="002C2FB6"/>
    <w:rsid w:val="002E5FA7"/>
    <w:rsid w:val="002F3309"/>
    <w:rsid w:val="003008CE"/>
    <w:rsid w:val="003009B7"/>
    <w:rsid w:val="00300E56"/>
    <w:rsid w:val="0030152C"/>
    <w:rsid w:val="0030469C"/>
    <w:rsid w:val="00321CA6"/>
    <w:rsid w:val="00323763"/>
    <w:rsid w:val="00323C5F"/>
    <w:rsid w:val="00334C09"/>
    <w:rsid w:val="0033566B"/>
    <w:rsid w:val="0033782E"/>
    <w:rsid w:val="00351AFC"/>
    <w:rsid w:val="00361293"/>
    <w:rsid w:val="003723D4"/>
    <w:rsid w:val="003733E5"/>
    <w:rsid w:val="00381905"/>
    <w:rsid w:val="00383F62"/>
    <w:rsid w:val="00384CC8"/>
    <w:rsid w:val="003871FD"/>
    <w:rsid w:val="003A1054"/>
    <w:rsid w:val="003A1E30"/>
    <w:rsid w:val="003A2829"/>
    <w:rsid w:val="003A6FC6"/>
    <w:rsid w:val="003A7D1C"/>
    <w:rsid w:val="003B304B"/>
    <w:rsid w:val="003B3146"/>
    <w:rsid w:val="003C0ACF"/>
    <w:rsid w:val="003C478C"/>
    <w:rsid w:val="003D1CD2"/>
    <w:rsid w:val="003E380D"/>
    <w:rsid w:val="003F015E"/>
    <w:rsid w:val="003F0544"/>
    <w:rsid w:val="00400414"/>
    <w:rsid w:val="00404C05"/>
    <w:rsid w:val="00407E1A"/>
    <w:rsid w:val="0041446B"/>
    <w:rsid w:val="004214D4"/>
    <w:rsid w:val="00425E7B"/>
    <w:rsid w:val="0043758E"/>
    <w:rsid w:val="0044071E"/>
    <w:rsid w:val="0044329C"/>
    <w:rsid w:val="00453E24"/>
    <w:rsid w:val="00457456"/>
    <w:rsid w:val="004577FE"/>
    <w:rsid w:val="00457B9C"/>
    <w:rsid w:val="0046164A"/>
    <w:rsid w:val="004628D2"/>
    <w:rsid w:val="00462DCD"/>
    <w:rsid w:val="004648AD"/>
    <w:rsid w:val="00464DDC"/>
    <w:rsid w:val="004703A9"/>
    <w:rsid w:val="004760DE"/>
    <w:rsid w:val="004763D7"/>
    <w:rsid w:val="00476C9C"/>
    <w:rsid w:val="00487D79"/>
    <w:rsid w:val="00497836"/>
    <w:rsid w:val="004A004E"/>
    <w:rsid w:val="004A24CF"/>
    <w:rsid w:val="004A336B"/>
    <w:rsid w:val="004B1F67"/>
    <w:rsid w:val="004B4987"/>
    <w:rsid w:val="004B7A75"/>
    <w:rsid w:val="004C3D1D"/>
    <w:rsid w:val="004C3D84"/>
    <w:rsid w:val="004C5046"/>
    <w:rsid w:val="004C7913"/>
    <w:rsid w:val="004D147D"/>
    <w:rsid w:val="004E38D4"/>
    <w:rsid w:val="004E4DD6"/>
    <w:rsid w:val="004F5E36"/>
    <w:rsid w:val="00507B47"/>
    <w:rsid w:val="00507BEF"/>
    <w:rsid w:val="00507CC9"/>
    <w:rsid w:val="005119A5"/>
    <w:rsid w:val="00516AAC"/>
    <w:rsid w:val="005278B7"/>
    <w:rsid w:val="00532016"/>
    <w:rsid w:val="005346C8"/>
    <w:rsid w:val="005408BE"/>
    <w:rsid w:val="00543E7D"/>
    <w:rsid w:val="00547A68"/>
    <w:rsid w:val="00552CA8"/>
    <w:rsid w:val="005531C9"/>
    <w:rsid w:val="00563D31"/>
    <w:rsid w:val="00570C43"/>
    <w:rsid w:val="005868E7"/>
    <w:rsid w:val="005A1190"/>
    <w:rsid w:val="005A602A"/>
    <w:rsid w:val="005B2110"/>
    <w:rsid w:val="005B5F43"/>
    <w:rsid w:val="005B61E6"/>
    <w:rsid w:val="005C0F8E"/>
    <w:rsid w:val="005C77E1"/>
    <w:rsid w:val="005D668A"/>
    <w:rsid w:val="005D6A2F"/>
    <w:rsid w:val="005D76E9"/>
    <w:rsid w:val="005E1A82"/>
    <w:rsid w:val="005E6AB3"/>
    <w:rsid w:val="005E794C"/>
    <w:rsid w:val="005F0A28"/>
    <w:rsid w:val="005F0E5E"/>
    <w:rsid w:val="00600535"/>
    <w:rsid w:val="00606D95"/>
    <w:rsid w:val="00607710"/>
    <w:rsid w:val="00610CD6"/>
    <w:rsid w:val="00620583"/>
    <w:rsid w:val="00620DEE"/>
    <w:rsid w:val="00621F92"/>
    <w:rsid w:val="0062280A"/>
    <w:rsid w:val="00623141"/>
    <w:rsid w:val="00625639"/>
    <w:rsid w:val="00631B33"/>
    <w:rsid w:val="0064184D"/>
    <w:rsid w:val="006422CC"/>
    <w:rsid w:val="00660E3E"/>
    <w:rsid w:val="00662A1C"/>
    <w:rsid w:val="00662E74"/>
    <w:rsid w:val="00680C23"/>
    <w:rsid w:val="00693766"/>
    <w:rsid w:val="006A3281"/>
    <w:rsid w:val="006B0FD8"/>
    <w:rsid w:val="006B4888"/>
    <w:rsid w:val="006C2E45"/>
    <w:rsid w:val="006C359C"/>
    <w:rsid w:val="006C3F16"/>
    <w:rsid w:val="006C5579"/>
    <w:rsid w:val="006C6115"/>
    <w:rsid w:val="006C70DA"/>
    <w:rsid w:val="006D6E8B"/>
    <w:rsid w:val="006D7A71"/>
    <w:rsid w:val="006E135F"/>
    <w:rsid w:val="006E737D"/>
    <w:rsid w:val="006E764F"/>
    <w:rsid w:val="006F12A5"/>
    <w:rsid w:val="006F75AD"/>
    <w:rsid w:val="007001EC"/>
    <w:rsid w:val="00701F7B"/>
    <w:rsid w:val="00713973"/>
    <w:rsid w:val="0071494F"/>
    <w:rsid w:val="007162CC"/>
    <w:rsid w:val="00720A24"/>
    <w:rsid w:val="0072751C"/>
    <w:rsid w:val="00732386"/>
    <w:rsid w:val="0073514D"/>
    <w:rsid w:val="007447F3"/>
    <w:rsid w:val="007517E9"/>
    <w:rsid w:val="0075499F"/>
    <w:rsid w:val="00761648"/>
    <w:rsid w:val="007661C8"/>
    <w:rsid w:val="0077098D"/>
    <w:rsid w:val="00785C2A"/>
    <w:rsid w:val="007931FA"/>
    <w:rsid w:val="007A4861"/>
    <w:rsid w:val="007A7BBA"/>
    <w:rsid w:val="007B0C50"/>
    <w:rsid w:val="007B48F9"/>
    <w:rsid w:val="007B58F2"/>
    <w:rsid w:val="007C1A43"/>
    <w:rsid w:val="007C4C73"/>
    <w:rsid w:val="007C6A9C"/>
    <w:rsid w:val="007D0951"/>
    <w:rsid w:val="007E2E2F"/>
    <w:rsid w:val="0080013E"/>
    <w:rsid w:val="00813288"/>
    <w:rsid w:val="008147B1"/>
    <w:rsid w:val="00814B00"/>
    <w:rsid w:val="008168FC"/>
    <w:rsid w:val="008178D0"/>
    <w:rsid w:val="0082575A"/>
    <w:rsid w:val="00830996"/>
    <w:rsid w:val="008345F1"/>
    <w:rsid w:val="008374F0"/>
    <w:rsid w:val="00846C3A"/>
    <w:rsid w:val="00865B07"/>
    <w:rsid w:val="008667EA"/>
    <w:rsid w:val="0087637F"/>
    <w:rsid w:val="00882951"/>
    <w:rsid w:val="00892AD5"/>
    <w:rsid w:val="00894492"/>
    <w:rsid w:val="008A1512"/>
    <w:rsid w:val="008A1715"/>
    <w:rsid w:val="008A5C43"/>
    <w:rsid w:val="008B7C03"/>
    <w:rsid w:val="008D32B9"/>
    <w:rsid w:val="008D433B"/>
    <w:rsid w:val="008D4A16"/>
    <w:rsid w:val="008E4420"/>
    <w:rsid w:val="008E566E"/>
    <w:rsid w:val="0090161A"/>
    <w:rsid w:val="00901EB6"/>
    <w:rsid w:val="00904C62"/>
    <w:rsid w:val="0092199F"/>
    <w:rsid w:val="00922BA8"/>
    <w:rsid w:val="00924DAC"/>
    <w:rsid w:val="00927058"/>
    <w:rsid w:val="009341FB"/>
    <w:rsid w:val="00942750"/>
    <w:rsid w:val="009450CE"/>
    <w:rsid w:val="009459BB"/>
    <w:rsid w:val="00947179"/>
    <w:rsid w:val="0095164B"/>
    <w:rsid w:val="00951CAB"/>
    <w:rsid w:val="00954090"/>
    <w:rsid w:val="009573E7"/>
    <w:rsid w:val="00963E05"/>
    <w:rsid w:val="00964A45"/>
    <w:rsid w:val="00967843"/>
    <w:rsid w:val="00967D54"/>
    <w:rsid w:val="00971028"/>
    <w:rsid w:val="00972FF2"/>
    <w:rsid w:val="00984A30"/>
    <w:rsid w:val="00993B84"/>
    <w:rsid w:val="009951BF"/>
    <w:rsid w:val="00996483"/>
    <w:rsid w:val="00996F5A"/>
    <w:rsid w:val="009A4C6C"/>
    <w:rsid w:val="009B041A"/>
    <w:rsid w:val="009B3B56"/>
    <w:rsid w:val="009C37C3"/>
    <w:rsid w:val="009C7C86"/>
    <w:rsid w:val="009D2FF7"/>
    <w:rsid w:val="009D50C0"/>
    <w:rsid w:val="009E7703"/>
    <w:rsid w:val="009E7884"/>
    <w:rsid w:val="009E788A"/>
    <w:rsid w:val="009F0E08"/>
    <w:rsid w:val="00A1763D"/>
    <w:rsid w:val="00A17CEC"/>
    <w:rsid w:val="00A25A19"/>
    <w:rsid w:val="00A27EF0"/>
    <w:rsid w:val="00A404E0"/>
    <w:rsid w:val="00A42361"/>
    <w:rsid w:val="00A45FE2"/>
    <w:rsid w:val="00A50B20"/>
    <w:rsid w:val="00A51390"/>
    <w:rsid w:val="00A53F68"/>
    <w:rsid w:val="00A60D13"/>
    <w:rsid w:val="00A7223D"/>
    <w:rsid w:val="00A72745"/>
    <w:rsid w:val="00A76EFC"/>
    <w:rsid w:val="00A80240"/>
    <w:rsid w:val="00A87D50"/>
    <w:rsid w:val="00A91010"/>
    <w:rsid w:val="00A97F29"/>
    <w:rsid w:val="00AA702E"/>
    <w:rsid w:val="00AA7D26"/>
    <w:rsid w:val="00AB0964"/>
    <w:rsid w:val="00AB5011"/>
    <w:rsid w:val="00AC19A8"/>
    <w:rsid w:val="00AC48C4"/>
    <w:rsid w:val="00AC7368"/>
    <w:rsid w:val="00AD16B9"/>
    <w:rsid w:val="00AD7F32"/>
    <w:rsid w:val="00AE377D"/>
    <w:rsid w:val="00AF0EBA"/>
    <w:rsid w:val="00B019C1"/>
    <w:rsid w:val="00B02C8A"/>
    <w:rsid w:val="00B02D9D"/>
    <w:rsid w:val="00B07160"/>
    <w:rsid w:val="00B17FBD"/>
    <w:rsid w:val="00B2285C"/>
    <w:rsid w:val="00B30A44"/>
    <w:rsid w:val="00B315A6"/>
    <w:rsid w:val="00B31813"/>
    <w:rsid w:val="00B33365"/>
    <w:rsid w:val="00B5609E"/>
    <w:rsid w:val="00B57B36"/>
    <w:rsid w:val="00B57E6F"/>
    <w:rsid w:val="00B8686D"/>
    <w:rsid w:val="00B879BB"/>
    <w:rsid w:val="00B90B05"/>
    <w:rsid w:val="00B92D6D"/>
    <w:rsid w:val="00B93F69"/>
    <w:rsid w:val="00BB1DDC"/>
    <w:rsid w:val="00BB28C4"/>
    <w:rsid w:val="00BC30C9"/>
    <w:rsid w:val="00BC5B20"/>
    <w:rsid w:val="00BD077D"/>
    <w:rsid w:val="00BD7B37"/>
    <w:rsid w:val="00BE0EC6"/>
    <w:rsid w:val="00BE287C"/>
    <w:rsid w:val="00BE3E58"/>
    <w:rsid w:val="00BF356B"/>
    <w:rsid w:val="00C01616"/>
    <w:rsid w:val="00C0162B"/>
    <w:rsid w:val="00C068ED"/>
    <w:rsid w:val="00C2143B"/>
    <w:rsid w:val="00C22E0C"/>
    <w:rsid w:val="00C238A4"/>
    <w:rsid w:val="00C30234"/>
    <w:rsid w:val="00C31CB2"/>
    <w:rsid w:val="00C345B1"/>
    <w:rsid w:val="00C40142"/>
    <w:rsid w:val="00C52C3C"/>
    <w:rsid w:val="00C57182"/>
    <w:rsid w:val="00C57863"/>
    <w:rsid w:val="00C640AF"/>
    <w:rsid w:val="00C655FD"/>
    <w:rsid w:val="00C66206"/>
    <w:rsid w:val="00C75407"/>
    <w:rsid w:val="00C870A8"/>
    <w:rsid w:val="00C94434"/>
    <w:rsid w:val="00CA0D4A"/>
    <w:rsid w:val="00CA0D75"/>
    <w:rsid w:val="00CA1C95"/>
    <w:rsid w:val="00CA5A9C"/>
    <w:rsid w:val="00CB5240"/>
    <w:rsid w:val="00CC4C20"/>
    <w:rsid w:val="00CD3517"/>
    <w:rsid w:val="00CD5FE2"/>
    <w:rsid w:val="00CE7C68"/>
    <w:rsid w:val="00D02B3D"/>
    <w:rsid w:val="00D02B4C"/>
    <w:rsid w:val="00D0367F"/>
    <w:rsid w:val="00D040C4"/>
    <w:rsid w:val="00D05FE1"/>
    <w:rsid w:val="00D15351"/>
    <w:rsid w:val="00D16D6F"/>
    <w:rsid w:val="00D20AD1"/>
    <w:rsid w:val="00D25B6B"/>
    <w:rsid w:val="00D46B7E"/>
    <w:rsid w:val="00D50E27"/>
    <w:rsid w:val="00D523C7"/>
    <w:rsid w:val="00D57C84"/>
    <w:rsid w:val="00D6057D"/>
    <w:rsid w:val="00D648EC"/>
    <w:rsid w:val="00D71640"/>
    <w:rsid w:val="00D81756"/>
    <w:rsid w:val="00D836C5"/>
    <w:rsid w:val="00D84576"/>
    <w:rsid w:val="00D968DD"/>
    <w:rsid w:val="00DA1399"/>
    <w:rsid w:val="00DA24C6"/>
    <w:rsid w:val="00DA4D7B"/>
    <w:rsid w:val="00DB15D5"/>
    <w:rsid w:val="00DB1C60"/>
    <w:rsid w:val="00DD1574"/>
    <w:rsid w:val="00DD271C"/>
    <w:rsid w:val="00DE264A"/>
    <w:rsid w:val="00DF5072"/>
    <w:rsid w:val="00E02D18"/>
    <w:rsid w:val="00E041E7"/>
    <w:rsid w:val="00E05FAE"/>
    <w:rsid w:val="00E207A2"/>
    <w:rsid w:val="00E23CA1"/>
    <w:rsid w:val="00E24C7C"/>
    <w:rsid w:val="00E2657F"/>
    <w:rsid w:val="00E33DD7"/>
    <w:rsid w:val="00E409A8"/>
    <w:rsid w:val="00E47663"/>
    <w:rsid w:val="00E50C12"/>
    <w:rsid w:val="00E65B91"/>
    <w:rsid w:val="00E7209D"/>
    <w:rsid w:val="00E72EAD"/>
    <w:rsid w:val="00E77223"/>
    <w:rsid w:val="00E81450"/>
    <w:rsid w:val="00E8528B"/>
    <w:rsid w:val="00E85B94"/>
    <w:rsid w:val="00E86E19"/>
    <w:rsid w:val="00E978D0"/>
    <w:rsid w:val="00EA03C9"/>
    <w:rsid w:val="00EA4613"/>
    <w:rsid w:val="00EA7F91"/>
    <w:rsid w:val="00EB1523"/>
    <w:rsid w:val="00EC0E49"/>
    <w:rsid w:val="00EC101F"/>
    <w:rsid w:val="00EC1D9F"/>
    <w:rsid w:val="00EE0131"/>
    <w:rsid w:val="00EE17B0"/>
    <w:rsid w:val="00EF06D9"/>
    <w:rsid w:val="00F035EC"/>
    <w:rsid w:val="00F058DC"/>
    <w:rsid w:val="00F15AA7"/>
    <w:rsid w:val="00F3049E"/>
    <w:rsid w:val="00F30C64"/>
    <w:rsid w:val="00F32BA2"/>
    <w:rsid w:val="00F32CDB"/>
    <w:rsid w:val="00F373D6"/>
    <w:rsid w:val="00F37BF6"/>
    <w:rsid w:val="00F41ADD"/>
    <w:rsid w:val="00F5645F"/>
    <w:rsid w:val="00F565FE"/>
    <w:rsid w:val="00F63A70"/>
    <w:rsid w:val="00F63D8C"/>
    <w:rsid w:val="00F6764E"/>
    <w:rsid w:val="00F7534E"/>
    <w:rsid w:val="00F7761F"/>
    <w:rsid w:val="00F84FA5"/>
    <w:rsid w:val="00F859A4"/>
    <w:rsid w:val="00F86394"/>
    <w:rsid w:val="00F93EDF"/>
    <w:rsid w:val="00FA1802"/>
    <w:rsid w:val="00FA21D0"/>
    <w:rsid w:val="00FA5E6F"/>
    <w:rsid w:val="00FA5F5F"/>
    <w:rsid w:val="00FB3BB5"/>
    <w:rsid w:val="00FB730C"/>
    <w:rsid w:val="00FC2695"/>
    <w:rsid w:val="00FC3E03"/>
    <w:rsid w:val="00FC3FC1"/>
    <w:rsid w:val="00FD4C1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D78A7"/>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D78A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A753D"/>
    <w:rPr>
      <w:color w:val="605E5C"/>
      <w:shd w:val="clear" w:color="auto" w:fill="E1DFDD"/>
    </w:rPr>
  </w:style>
  <w:style w:type="paragraph" w:styleId="Nessunaspaziatura">
    <w:name w:val="No Spacing"/>
    <w:link w:val="NessunaspaziaturaCarattere"/>
    <w:uiPriority w:val="1"/>
    <w:qFormat/>
    <w:rsid w:val="005408BE"/>
    <w:pPr>
      <w:spacing w:after="0"/>
    </w:pPr>
    <w:rPr>
      <w:rFonts w:ascii="Century Gothic" w:eastAsiaTheme="minorEastAsia" w:hAnsi="Century Gothic"/>
      <w:lang w:val="en-GB"/>
    </w:rPr>
  </w:style>
  <w:style w:type="character" w:customStyle="1" w:styleId="NessunaspaziaturaCarattere">
    <w:name w:val="Nessuna spaziatura Carattere"/>
    <w:basedOn w:val="Carpredefinitoparagrafo"/>
    <w:link w:val="Nessunaspaziatura"/>
    <w:uiPriority w:val="1"/>
    <w:rsid w:val="005408BE"/>
    <w:rPr>
      <w:rFonts w:ascii="Century Gothic" w:eastAsiaTheme="minorEastAsia" w:hAnsi="Century Gothic"/>
      <w:lang w:val="en-GB"/>
    </w:rPr>
  </w:style>
  <w:style w:type="paragraph" w:styleId="Revisione">
    <w:name w:val="Revision"/>
    <w:hidden/>
    <w:uiPriority w:val="99"/>
    <w:semiHidden/>
    <w:rsid w:val="00A404E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ndrea.bassani@unicat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3781</Words>
  <Characters>21553</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Cecilia Fiorentini</cp:lastModifiedBy>
  <cp:revision>41</cp:revision>
  <cp:lastPrinted>2015-05-12T18:31:00Z</cp:lastPrinted>
  <dcterms:created xsi:type="dcterms:W3CDTF">2023-03-02T13:41:00Z</dcterms:created>
  <dcterms:modified xsi:type="dcterms:W3CDTF">2023-04-17T13:10:00Z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