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4658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4499467"/>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4658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46589">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13B76356"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8D8026F" w:rsidR="00E978D0" w:rsidRPr="00B57B36" w:rsidRDefault="00D46589" w:rsidP="00E978D0">
      <w:pPr>
        <w:pStyle w:val="CETTitle"/>
      </w:pPr>
      <w:r w:rsidRPr="00D46589">
        <w:t>U</w:t>
      </w:r>
      <w:r w:rsidR="008A5627">
        <w:t>se</w:t>
      </w:r>
      <w:r w:rsidRPr="00D46589">
        <w:t xml:space="preserve"> </w:t>
      </w:r>
      <w:r w:rsidR="008A5627">
        <w:t>of</w:t>
      </w:r>
      <w:r w:rsidRPr="00D46589">
        <w:t xml:space="preserve"> </w:t>
      </w:r>
      <w:r w:rsidR="008A5627">
        <w:t>vegetable</w:t>
      </w:r>
      <w:r w:rsidRPr="00D46589">
        <w:t xml:space="preserve"> </w:t>
      </w:r>
      <w:r w:rsidR="008A5627">
        <w:t>proteins</w:t>
      </w:r>
      <w:r w:rsidRPr="00D46589">
        <w:t xml:space="preserve"> </w:t>
      </w:r>
      <w:r w:rsidR="008A5627">
        <w:t>for</w:t>
      </w:r>
      <w:r w:rsidRPr="00D46589">
        <w:t xml:space="preserve"> </w:t>
      </w:r>
      <w:r w:rsidR="008A5627">
        <w:t>stabilization of</w:t>
      </w:r>
      <w:r w:rsidRPr="00D46589">
        <w:t xml:space="preserve"> </w:t>
      </w:r>
      <w:r w:rsidR="008A5627">
        <w:t>hazelnut</w:t>
      </w:r>
      <w:r w:rsidRPr="00D46589">
        <w:t xml:space="preserve"> </w:t>
      </w:r>
      <w:r w:rsidR="008A5627">
        <w:t>paste</w:t>
      </w:r>
    </w:p>
    <w:p w14:paraId="0488FED2" w14:textId="0383EFA2" w:rsidR="00B57E6F" w:rsidRPr="002460E8" w:rsidRDefault="00024660" w:rsidP="00B57E6F">
      <w:pPr>
        <w:pStyle w:val="CETAuthors"/>
        <w:rPr>
          <w:lang w:val="it-IT"/>
        </w:rPr>
      </w:pPr>
      <w:r w:rsidRPr="002460E8">
        <w:rPr>
          <w:lang w:val="it-IT"/>
        </w:rPr>
        <w:t>Chiara Lobuono</w:t>
      </w:r>
      <w:r w:rsidR="00B57E6F" w:rsidRPr="002460E8">
        <w:rPr>
          <w:vertAlign w:val="superscript"/>
          <w:lang w:val="it-IT"/>
        </w:rPr>
        <w:t>a</w:t>
      </w:r>
      <w:r w:rsidR="00B57E6F" w:rsidRPr="002460E8">
        <w:rPr>
          <w:lang w:val="it-IT"/>
        </w:rPr>
        <w:t xml:space="preserve">, </w:t>
      </w:r>
      <w:r w:rsidRPr="002460E8">
        <w:rPr>
          <w:lang w:val="it-IT"/>
        </w:rPr>
        <w:t>Cecilia Fiorentini</w:t>
      </w:r>
      <w:r w:rsidRPr="002460E8">
        <w:rPr>
          <w:vertAlign w:val="superscript"/>
          <w:lang w:val="it-IT"/>
        </w:rPr>
        <w:t>a</w:t>
      </w:r>
      <w:r w:rsidR="00B57E6F" w:rsidRPr="002460E8">
        <w:rPr>
          <w:lang w:val="it-IT"/>
        </w:rPr>
        <w:t>,</w:t>
      </w:r>
      <w:r w:rsidRPr="002460E8">
        <w:rPr>
          <w:lang w:val="it-IT"/>
        </w:rPr>
        <w:t xml:space="preserve"> Roberta Dordoni</w:t>
      </w:r>
      <w:r w:rsidRPr="002460E8">
        <w:rPr>
          <w:vertAlign w:val="superscript"/>
          <w:lang w:val="it-IT"/>
        </w:rPr>
        <w:t>a</w:t>
      </w:r>
      <w:r w:rsidRPr="002460E8">
        <w:rPr>
          <w:lang w:val="it-IT"/>
        </w:rPr>
        <w:t>, Andrea Bassani</w:t>
      </w:r>
      <w:r w:rsidRPr="002460E8">
        <w:rPr>
          <w:vertAlign w:val="superscript"/>
          <w:lang w:val="it-IT"/>
        </w:rPr>
        <w:t>a</w:t>
      </w:r>
      <w:r w:rsidRPr="002460E8">
        <w:rPr>
          <w:lang w:val="it-IT"/>
        </w:rPr>
        <w:t>, Giorgia Spigno</w:t>
      </w:r>
      <w:r w:rsidRPr="002460E8">
        <w:rPr>
          <w:vertAlign w:val="superscript"/>
          <w:lang w:val="it-IT"/>
        </w:rPr>
        <w:t>a,</w:t>
      </w:r>
      <w:r w:rsidRPr="002460E8">
        <w:rPr>
          <w:lang w:val="it-IT"/>
        </w:rPr>
        <w:t>*</w:t>
      </w:r>
    </w:p>
    <w:p w14:paraId="6B2D21B3" w14:textId="6277B574" w:rsidR="00B57E6F" w:rsidRPr="002460E8" w:rsidRDefault="00B57E6F" w:rsidP="00B57E6F">
      <w:pPr>
        <w:pStyle w:val="CETAddress"/>
        <w:rPr>
          <w:lang w:val="it-IT"/>
        </w:rPr>
      </w:pPr>
      <w:r w:rsidRPr="002460E8">
        <w:rPr>
          <w:vertAlign w:val="superscript"/>
          <w:lang w:val="it-IT"/>
        </w:rPr>
        <w:t>a</w:t>
      </w:r>
      <w:r w:rsidR="00024660" w:rsidRPr="002460E8">
        <w:rPr>
          <w:lang w:val="it-IT"/>
        </w:rPr>
        <w:t>Department for Sustainable Food Process (DiSTAS), Università Cattolica del Sacro Cuore, Via Emilia Parmense, 84, 29122 Piacenza, Italy</w:t>
      </w:r>
      <w:r w:rsidRPr="002460E8">
        <w:rPr>
          <w:lang w:val="it-IT"/>
        </w:rPr>
        <w:t xml:space="preserve"> </w:t>
      </w:r>
    </w:p>
    <w:p w14:paraId="10057D6B" w14:textId="7B5988A6" w:rsidR="00024660" w:rsidRDefault="00024660" w:rsidP="00024660">
      <w:pPr>
        <w:pStyle w:val="CETemail"/>
      </w:pPr>
      <w:bookmarkStart w:id="1" w:name="_Hlk495475023"/>
      <w:r>
        <w:t>*</w:t>
      </w:r>
      <w:hyperlink r:id="rId10" w:history="1">
        <w:r w:rsidRPr="00787AD8">
          <w:rPr>
            <w:rStyle w:val="Collegamentoipertestuale"/>
          </w:rPr>
          <w:t>giorgia.spigno@unicatt.it</w:t>
        </w:r>
      </w:hyperlink>
      <w:r>
        <w:t xml:space="preserve"> </w:t>
      </w:r>
      <w:r w:rsidR="008154AA">
        <w:t xml:space="preserve"> </w:t>
      </w:r>
    </w:p>
    <w:p w14:paraId="679B996C" w14:textId="6B08F713" w:rsidR="00792033" w:rsidRDefault="00792033" w:rsidP="00792033">
      <w:r>
        <w:t>Plant proteins are attracting much interest as an ingredient in the food sector due to their functional properties. These products are</w:t>
      </w:r>
      <w:r w:rsidR="00960F05">
        <w:t>, in fact, widely</w:t>
      </w:r>
      <w:r>
        <w:t xml:space="preserve"> </w:t>
      </w:r>
      <w:r w:rsidR="008A12E2">
        <w:t>studied to</w:t>
      </w:r>
      <w:r>
        <w:t xml:space="preserve"> improve the quality of food products and to develop new types of </w:t>
      </w:r>
      <w:r w:rsidR="002B525C">
        <w:t>bio packaging</w:t>
      </w:r>
      <w:r>
        <w:t>.</w:t>
      </w:r>
      <w:r w:rsidR="001471C0">
        <w:t xml:space="preserve"> </w:t>
      </w:r>
      <w:r>
        <w:t>This paper aims to study and investigate the potential of adding vegetable proteins (specifically soybean and sunflower) to improve the physicochemical stability of hazelnut pastes</w:t>
      </w:r>
      <w:r w:rsidR="004A1BE4">
        <w:t xml:space="preserve"> which are widely used in the food sector as a product itself or as </w:t>
      </w:r>
      <w:r w:rsidR="00477C5B">
        <w:t xml:space="preserve">an </w:t>
      </w:r>
      <w:r w:rsidR="004A1BE4">
        <w:t xml:space="preserve">ingredient for many products, such as pastry, </w:t>
      </w:r>
      <w:r w:rsidR="008154AA">
        <w:t>confectionery,</w:t>
      </w:r>
      <w:r w:rsidR="004A1BE4">
        <w:t xml:space="preserve"> and ice-cream</w:t>
      </w:r>
      <w:r>
        <w:t xml:space="preserve">. </w:t>
      </w:r>
      <w:r w:rsidR="004A1BE4">
        <w:t xml:space="preserve">To investigate the effect of protein incorporation, hazelnut paste samples were stored </w:t>
      </w:r>
      <w:r>
        <w:t xml:space="preserve">under </w:t>
      </w:r>
      <w:r w:rsidR="004A1BE4">
        <w:t xml:space="preserve">temperature </w:t>
      </w:r>
      <w:r>
        <w:t xml:space="preserve">accelerated conditions </w:t>
      </w:r>
      <w:r w:rsidR="00D46589">
        <w:t>to</w:t>
      </w:r>
      <w:r>
        <w:t xml:space="preserve"> </w:t>
      </w:r>
      <w:r w:rsidR="004A1BE4">
        <w:t xml:space="preserve">simulate at least </w:t>
      </w:r>
      <w:r>
        <w:t>1</w:t>
      </w:r>
      <w:r w:rsidR="008154AA">
        <w:t>0</w:t>
      </w:r>
      <w:r>
        <w:t xml:space="preserve"> months</w:t>
      </w:r>
      <w:r w:rsidR="004A1BE4">
        <w:t xml:space="preserve"> of shelf-life under normal</w:t>
      </w:r>
      <w:r w:rsidR="008154AA">
        <w:t xml:space="preserve"> storage</w:t>
      </w:r>
      <w:r w:rsidR="004A1BE4">
        <w:t xml:space="preserve"> conditions, and periodically </w:t>
      </w:r>
      <w:proofErr w:type="spellStart"/>
      <w:r w:rsidR="004A1BE4">
        <w:t>analy</w:t>
      </w:r>
      <w:r w:rsidR="00477C5B">
        <w:t>z</w:t>
      </w:r>
      <w:r w:rsidR="004A1BE4">
        <w:t>ed</w:t>
      </w:r>
      <w:proofErr w:type="spellEnd"/>
      <w:r w:rsidR="004A1BE4">
        <w:t xml:space="preserve"> for water activity</w:t>
      </w:r>
      <w:r w:rsidR="00513FCA">
        <w:t>, lipid oxidation, tocopherols content and oil separation</w:t>
      </w:r>
      <w:r>
        <w:t xml:space="preserve">. The study showed promising results for both added proteins, especially in terms of </w:t>
      </w:r>
      <w:r w:rsidR="00BC11D2">
        <w:t xml:space="preserve">the </w:t>
      </w:r>
      <w:r>
        <w:t>physical stabilization of the product.</w:t>
      </w:r>
    </w:p>
    <w:bookmarkEnd w:id="1"/>
    <w:p w14:paraId="476B2F2E" w14:textId="77777777" w:rsidR="00600535" w:rsidRPr="00B57B36" w:rsidRDefault="00600535" w:rsidP="00600535">
      <w:pPr>
        <w:pStyle w:val="CETHeading1"/>
        <w:rPr>
          <w:lang w:val="en-GB"/>
        </w:rPr>
      </w:pPr>
      <w:r w:rsidRPr="00B57B36">
        <w:rPr>
          <w:lang w:val="en-GB"/>
        </w:rPr>
        <w:t>Introduction</w:t>
      </w:r>
    </w:p>
    <w:p w14:paraId="1E5CEBD0" w14:textId="4A2BABEC" w:rsidR="00AA1D61" w:rsidRDefault="000D5F89" w:rsidP="000D5F89">
      <w:r w:rsidRPr="00DA3FAF">
        <w:t xml:space="preserve">Hazelnut paste </w:t>
      </w:r>
      <w:r w:rsidR="005F7494">
        <w:t xml:space="preserve">(or butter) </w:t>
      </w:r>
      <w:r w:rsidRPr="00DA3FAF">
        <w:t xml:space="preserve">is a food ingredient used in various processed food products such as ice cream, </w:t>
      </w:r>
      <w:r w:rsidR="00513FCA" w:rsidRPr="00DA3FAF">
        <w:t>confectionery,</w:t>
      </w:r>
      <w:r w:rsidRPr="00DA3FAF">
        <w:t xml:space="preserve"> and baked goods (</w:t>
      </w:r>
      <w:r w:rsidRPr="007833A5">
        <w:t>Spigno et al., 2013</w:t>
      </w:r>
      <w:r w:rsidRPr="00DA3FAF">
        <w:t xml:space="preserve">). Hazelnut pastes anhydrous creams, </w:t>
      </w:r>
      <w:r w:rsidR="008154AA">
        <w:t>that is f</w:t>
      </w:r>
      <w:r w:rsidRPr="00DA3FAF">
        <w:t xml:space="preserve">atty creams whose main element is the fat content, which varies according to use. In this type of cream, the </w:t>
      </w:r>
      <w:r w:rsidR="00513FCA">
        <w:t>nut</w:t>
      </w:r>
      <w:r w:rsidRPr="00DA3FAF">
        <w:t xml:space="preserve"> is the most valuable ingredient and, as with the fat content, can vary in quantity and quality (</w:t>
      </w:r>
      <w:r w:rsidRPr="007833A5">
        <w:t>Carrega, 2019</w:t>
      </w:r>
      <w:r w:rsidRPr="00DA3FAF">
        <w:t>).</w:t>
      </w:r>
    </w:p>
    <w:p w14:paraId="0EFD0D82" w14:textId="51FB8B56" w:rsidR="009B430D" w:rsidRDefault="000D5F89" w:rsidP="00F81443">
      <w:r w:rsidRPr="00DA3FAF">
        <w:t xml:space="preserve">Hazelnut pastes, like all pastes derived from nuts, face two </w:t>
      </w:r>
      <w:r w:rsidR="008A12E2">
        <w:t xml:space="preserve">typical </w:t>
      </w:r>
      <w:r w:rsidR="008A12E2" w:rsidRPr="00DA3FAF">
        <w:t>problems</w:t>
      </w:r>
      <w:r w:rsidRPr="00DA3FAF">
        <w:t xml:space="preserve"> over time: oil separation and oxidative rancidity. Since most nut-based spreads and pastes are rich in oil, separation of the oil is one of the </w:t>
      </w:r>
      <w:r w:rsidR="00513FCA">
        <w:t xml:space="preserve">main </w:t>
      </w:r>
      <w:r w:rsidRPr="00DA3FAF">
        <w:t xml:space="preserve">problems </w:t>
      </w:r>
      <w:r w:rsidR="008154AA">
        <w:t xml:space="preserve">since it </w:t>
      </w:r>
      <w:r w:rsidRPr="00DA3FAF">
        <w:t xml:space="preserve">compromises the quality and appearance of </w:t>
      </w:r>
      <w:r w:rsidR="007D43E1">
        <w:t>the products</w:t>
      </w:r>
      <w:r w:rsidRPr="00DA3FAF">
        <w:t xml:space="preserve">. Stabilization versus oil separation is of utmost importance to improve the acceptability and marketability of these products. Although manufacturers have used various commercially available food additives </w:t>
      </w:r>
      <w:r w:rsidR="008154AA">
        <w:t xml:space="preserve">alone or in </w:t>
      </w:r>
      <w:r w:rsidRPr="00DA3FAF">
        <w:t>combinations</w:t>
      </w:r>
      <w:r w:rsidR="008154AA">
        <w:t xml:space="preserve"> </w:t>
      </w:r>
      <w:r w:rsidRPr="00DA3FAF">
        <w:t>to solve th</w:t>
      </w:r>
      <w:r w:rsidR="008154AA">
        <w:t>is probl</w:t>
      </w:r>
      <w:r w:rsidRPr="00DA3FAF">
        <w:t xml:space="preserve">em, it has not </w:t>
      </w:r>
      <w:r w:rsidR="008154AA">
        <w:t xml:space="preserve">yet </w:t>
      </w:r>
      <w:r w:rsidRPr="00DA3FAF">
        <w:t>been completely overcome</w:t>
      </w:r>
      <w:r w:rsidR="003629C8">
        <w:t xml:space="preserve">, with </w:t>
      </w:r>
      <w:r w:rsidR="00BC11D2">
        <w:t xml:space="preserve">the </w:t>
      </w:r>
      <w:r w:rsidR="003629C8">
        <w:t xml:space="preserve">addition of monoglycerides and saturated fat being the best </w:t>
      </w:r>
      <w:r w:rsidR="008154AA">
        <w:t xml:space="preserve">and most used </w:t>
      </w:r>
      <w:r w:rsidR="003629C8">
        <w:t>solution to overcome it</w:t>
      </w:r>
      <w:r w:rsidRPr="00DA3FAF">
        <w:t xml:space="preserve"> (</w:t>
      </w:r>
      <w:proofErr w:type="spellStart"/>
      <w:r w:rsidRPr="007833A5">
        <w:t>Shakerardekani</w:t>
      </w:r>
      <w:proofErr w:type="spellEnd"/>
      <w:r w:rsidRPr="007833A5">
        <w:t xml:space="preserve"> et al., 2013</w:t>
      </w:r>
      <w:r w:rsidRPr="00DA3FAF">
        <w:t>).</w:t>
      </w:r>
      <w:r w:rsidR="00664E69">
        <w:t xml:space="preserve"> </w:t>
      </w:r>
      <w:r w:rsidRPr="00DA3FAF">
        <w:t xml:space="preserve">The other </w:t>
      </w:r>
      <w:r w:rsidR="007D43E1">
        <w:t xml:space="preserve">main </w:t>
      </w:r>
      <w:r w:rsidRPr="00DA3FAF">
        <w:t>problem is oxidative rancidity</w:t>
      </w:r>
      <w:r w:rsidR="008154AA">
        <w:t>, against which</w:t>
      </w:r>
      <w:r w:rsidRPr="00DA3FAF">
        <w:t xml:space="preserve"> </w:t>
      </w:r>
      <w:r w:rsidR="007D43E1">
        <w:t>antioxidant</w:t>
      </w:r>
      <w:r w:rsidRPr="00DA3FAF">
        <w:t xml:space="preserve"> additives </w:t>
      </w:r>
      <w:r w:rsidR="007D43E1">
        <w:t>could be used but it is uncommon to add synthetic additives to these products.</w:t>
      </w:r>
      <w:r w:rsidRPr="00DA3FAF">
        <w:t xml:space="preserve"> The protective effects of various antioxidants on the oxidative stability of oils and fats of plant origin have been the subject of intensive research, showing great potential for protecting oils and fats from oxidation (</w:t>
      </w:r>
      <w:proofErr w:type="spellStart"/>
      <w:r w:rsidRPr="007833A5">
        <w:t>Shakerardekani</w:t>
      </w:r>
      <w:proofErr w:type="spellEnd"/>
      <w:r w:rsidRPr="007833A5">
        <w:t xml:space="preserve"> et al., 2013</w:t>
      </w:r>
      <w:r w:rsidRPr="00DA3FAF">
        <w:t>).</w:t>
      </w:r>
      <w:bookmarkStart w:id="2" w:name="_Hlk124328799"/>
    </w:p>
    <w:p w14:paraId="5BF7F015" w14:textId="27FD83D6" w:rsidR="000D5F89" w:rsidRDefault="007D43E1" w:rsidP="00F81443">
      <w:r>
        <w:t>At the same time, c</w:t>
      </w:r>
      <w:r w:rsidR="00880201" w:rsidRPr="00880201">
        <w:t>onsumer</w:t>
      </w:r>
      <w:r>
        <w:t>s’</w:t>
      </w:r>
      <w:r w:rsidR="00880201" w:rsidRPr="00880201">
        <w:t xml:space="preserve"> demand for high</w:t>
      </w:r>
      <w:r w:rsidR="00BC11D2">
        <w:t>-</w:t>
      </w:r>
      <w:r>
        <w:t>protein food products has been increasing in the last decade and this has also contributed to the increasing market share of nut butte</w:t>
      </w:r>
      <w:r w:rsidR="008154AA">
        <w:t>s</w:t>
      </w:r>
      <w:r>
        <w:t xml:space="preserve"> which can be rich in proteins depending on the specific nut. For example</w:t>
      </w:r>
      <w:r w:rsidR="005F7494">
        <w:t xml:space="preserve">, </w:t>
      </w:r>
      <w:r>
        <w:t>peanut butter is naturally very high in protein, up to 30%</w:t>
      </w:r>
      <w:r w:rsidR="005F7494">
        <w:t xml:space="preserve">, while hazelnut butter has a lower content, 15% on average. </w:t>
      </w:r>
      <w:r w:rsidR="00880201">
        <w:t xml:space="preserve">Plant proteins are widely studied </w:t>
      </w:r>
      <w:r w:rsidR="008154AA">
        <w:t xml:space="preserve">and used </w:t>
      </w:r>
      <w:r w:rsidR="00045D8F">
        <w:t>to increase protein content, substitute animal proteins,</w:t>
      </w:r>
      <w:r w:rsidR="008154AA">
        <w:t xml:space="preserve"> or</w:t>
      </w:r>
      <w:r w:rsidR="00045D8F">
        <w:t xml:space="preserve"> replace additives. Depending on the target, plant proteins can be selected or functionali</w:t>
      </w:r>
      <w:r w:rsidR="00E83635">
        <w:t>z</w:t>
      </w:r>
      <w:r w:rsidR="00045D8F">
        <w:t>ed for specific techno-</w:t>
      </w:r>
      <w:r w:rsidR="008A12E2">
        <w:t>functional properties</w:t>
      </w:r>
      <w:r w:rsidR="00045D8F">
        <w:t>, such as water solubility, emulsification, foaming</w:t>
      </w:r>
      <w:r w:rsidR="00AF25A0">
        <w:t xml:space="preserve">, </w:t>
      </w:r>
      <w:proofErr w:type="gramStart"/>
      <w:r w:rsidR="00045D8F">
        <w:t>gelation</w:t>
      </w:r>
      <w:proofErr w:type="gramEnd"/>
      <w:r w:rsidR="00AF25A0">
        <w:t xml:space="preserve"> and digestibility (</w:t>
      </w:r>
      <w:r w:rsidR="00AF25A0" w:rsidRPr="00AF25A0">
        <w:t xml:space="preserve">de Paiva </w:t>
      </w:r>
      <w:proofErr w:type="spellStart"/>
      <w:r w:rsidR="00AF25A0" w:rsidRPr="00AF25A0">
        <w:t>Gouvêa</w:t>
      </w:r>
      <w:proofErr w:type="spellEnd"/>
      <w:r w:rsidR="00AF25A0">
        <w:t xml:space="preserve"> et al., 2023)</w:t>
      </w:r>
      <w:r w:rsidR="00045D8F">
        <w:t>.</w:t>
      </w:r>
      <w:r w:rsidR="001471C0">
        <w:t xml:space="preserve"> </w:t>
      </w:r>
      <w:r w:rsidR="00880201">
        <w:t>The demand for natural food products is driving the growth of these bio-polymer alternatives</w:t>
      </w:r>
      <w:r w:rsidR="00AF25A0">
        <w:t xml:space="preserve">, including </w:t>
      </w:r>
      <w:r w:rsidR="008154AA">
        <w:t>polypeptides</w:t>
      </w:r>
      <w:r w:rsidR="00AF25A0">
        <w:t>,</w:t>
      </w:r>
      <w:r w:rsidR="00880201">
        <w:t xml:space="preserve"> to synthetic emulsion stabilizers (</w:t>
      </w:r>
      <w:r w:rsidR="00880201" w:rsidRPr="007833A5">
        <w:t>Tamang et al., 2022</w:t>
      </w:r>
      <w:r w:rsidR="00880201">
        <w:t xml:space="preserve">). Various studies have shown that, when used singly or in combination, biopolymers (proteins) </w:t>
      </w:r>
      <w:r w:rsidR="00AF25A0">
        <w:t xml:space="preserve">can play as </w:t>
      </w:r>
      <w:r w:rsidR="00880201">
        <w:t xml:space="preserve">excellent stabilizers in </w:t>
      </w:r>
      <w:r w:rsidR="00AF25A0">
        <w:t xml:space="preserve">different matrixes. </w:t>
      </w:r>
      <w:r w:rsidR="00880201">
        <w:t xml:space="preserve"> </w:t>
      </w:r>
      <w:bookmarkEnd w:id="2"/>
    </w:p>
    <w:p w14:paraId="67A41796" w14:textId="2FFCCE27" w:rsidR="00EE7481" w:rsidRDefault="00EE7481" w:rsidP="00F81443">
      <w:r>
        <w:t xml:space="preserve">Following these considerations, this work investigated the potential addition of plant proteins to a nut paste (hazelnut butter) to evaluate the effect on oil separation and oxidation. Soy proteins were selected as </w:t>
      </w:r>
      <w:r>
        <w:lastRenderedPageBreak/>
        <w:t>consolidated plant proteins in the food industry, while sunflower proteins were selected because emerging proteins extracted from the residual cake of sunflower seed oil extraction and because in preliminary tests (data not shown) they reveale</w:t>
      </w:r>
      <w:r w:rsidR="00756C32">
        <w:t xml:space="preserve">d </w:t>
      </w:r>
      <w:r w:rsidR="00756C32" w:rsidRPr="00756C32">
        <w:t xml:space="preserve">that these proteins show </w:t>
      </w:r>
      <w:r w:rsidR="008154AA">
        <w:t>a higher oil h</w:t>
      </w:r>
      <w:r w:rsidR="00756C32">
        <w:t xml:space="preserve">olding </w:t>
      </w:r>
      <w:r w:rsidR="008154AA">
        <w:t>c</w:t>
      </w:r>
      <w:r w:rsidR="00756C32">
        <w:t>apacity</w:t>
      </w:r>
      <w:r w:rsidR="00457DDC">
        <w:t xml:space="preserve"> even with lower protein content</w:t>
      </w:r>
      <w:r w:rsidR="00756C32">
        <w:t>.</w:t>
      </w:r>
    </w:p>
    <w:p w14:paraId="7596FA83" w14:textId="77777777" w:rsidR="00F81443" w:rsidRPr="004B1F67" w:rsidRDefault="00F81443" w:rsidP="00F81443">
      <w:pPr>
        <w:pStyle w:val="CETHeading1"/>
        <w:tabs>
          <w:tab w:val="clear" w:pos="360"/>
        </w:tabs>
        <w:rPr>
          <w:lang w:val="en-GB"/>
        </w:rPr>
      </w:pPr>
      <w:r w:rsidRPr="004B1F67">
        <w:rPr>
          <w:lang w:val="en-GB"/>
        </w:rPr>
        <w:t>Materials and methods</w:t>
      </w:r>
    </w:p>
    <w:p w14:paraId="49E524C3" w14:textId="7D57D2C8" w:rsidR="003629C8" w:rsidRDefault="008A12E2" w:rsidP="001363BB">
      <w:r>
        <w:t>Two</w:t>
      </w:r>
      <w:r w:rsidR="00EE7481">
        <w:t xml:space="preserve"> different h</w:t>
      </w:r>
      <w:r w:rsidR="00130F14" w:rsidRPr="00130F14">
        <w:t xml:space="preserve">azelnut pastes were </w:t>
      </w:r>
      <w:r w:rsidR="00EE7481">
        <w:t xml:space="preserve">purchased from </w:t>
      </w:r>
      <w:r w:rsidR="00130F14" w:rsidRPr="00130F14">
        <w:t>the Nutman Group company (Italy):</w:t>
      </w:r>
      <w:r w:rsidR="00FC6677">
        <w:t xml:space="preserve"> one</w:t>
      </w:r>
      <w:r w:rsidR="00130F14" w:rsidRPr="00130F14">
        <w:t xml:space="preserve"> stabilized </w:t>
      </w:r>
      <w:r w:rsidR="003629C8">
        <w:t xml:space="preserve">with </w:t>
      </w:r>
      <w:r w:rsidR="003629C8" w:rsidRPr="00130F14">
        <w:t>palm oil</w:t>
      </w:r>
      <w:r w:rsidR="003629C8">
        <w:t xml:space="preserve"> </w:t>
      </w:r>
      <w:r w:rsidR="00C36E5D">
        <w:t xml:space="preserve">(1%) </w:t>
      </w:r>
      <w:r w:rsidR="00130F14" w:rsidRPr="00130F14">
        <w:t xml:space="preserve">and </w:t>
      </w:r>
      <w:r w:rsidR="003629C8">
        <w:t xml:space="preserve">one </w:t>
      </w:r>
      <w:r w:rsidR="00130F14" w:rsidRPr="00130F14">
        <w:t>non-stabilized</w:t>
      </w:r>
      <w:r w:rsidR="003629C8">
        <w:t xml:space="preserve"> </w:t>
      </w:r>
      <w:r w:rsidR="00C803DD">
        <w:t xml:space="preserve">or “natural” </w:t>
      </w:r>
      <w:r w:rsidR="003629C8">
        <w:t>(only</w:t>
      </w:r>
      <w:r w:rsidR="00130F14" w:rsidRPr="00130F14">
        <w:t xml:space="preserve"> hazelnut</w:t>
      </w:r>
      <w:r w:rsidR="003629C8">
        <w:t xml:space="preserve"> </w:t>
      </w:r>
      <w:r w:rsidR="00130F14" w:rsidRPr="00130F14">
        <w:t>paste</w:t>
      </w:r>
      <w:r w:rsidR="003629C8">
        <w:t>)</w:t>
      </w:r>
      <w:r w:rsidR="00130F14" w:rsidRPr="00130F14">
        <w:t>.</w:t>
      </w:r>
      <w:r w:rsidR="00130F14">
        <w:t xml:space="preserve"> </w:t>
      </w:r>
      <w:r w:rsidR="00130F14" w:rsidRPr="00130F14">
        <w:t xml:space="preserve">Two types of </w:t>
      </w:r>
      <w:r w:rsidR="003629C8">
        <w:t xml:space="preserve">powder </w:t>
      </w:r>
      <w:r w:rsidR="00130F14" w:rsidRPr="00130F14">
        <w:t>vegetable protein</w:t>
      </w:r>
      <w:r w:rsidR="003629C8">
        <w:t>s</w:t>
      </w:r>
      <w:r w:rsidR="00130F14" w:rsidRPr="00130F14">
        <w:t xml:space="preserve">, </w:t>
      </w:r>
      <w:proofErr w:type="gramStart"/>
      <w:r w:rsidR="00130F14" w:rsidRPr="00130F14">
        <w:t>soybean</w:t>
      </w:r>
      <w:proofErr w:type="gramEnd"/>
      <w:r w:rsidR="00130F14" w:rsidRPr="00130F14">
        <w:t xml:space="preserve"> and sunflower</w:t>
      </w:r>
      <w:r w:rsidR="003629C8">
        <w:t xml:space="preserve"> </w:t>
      </w:r>
      <w:r w:rsidR="005618E2">
        <w:t>(89 %</w:t>
      </w:r>
      <w:r w:rsidR="003629C8">
        <w:t xml:space="preserve"> and</w:t>
      </w:r>
      <w:r w:rsidR="005618E2">
        <w:t xml:space="preserve"> 48</w:t>
      </w:r>
      <w:r w:rsidR="003629C8">
        <w:t xml:space="preserve"> % protein content</w:t>
      </w:r>
      <w:r w:rsidR="0092658E">
        <w:t xml:space="preserve"> on dry matter</w:t>
      </w:r>
      <w:r w:rsidR="003629C8">
        <w:t>, respectively)</w:t>
      </w:r>
      <w:r w:rsidR="00130F14" w:rsidRPr="00130F14">
        <w:t xml:space="preserve">, kindly provided by </w:t>
      </w:r>
      <w:proofErr w:type="spellStart"/>
      <w:r w:rsidR="00130F14" w:rsidRPr="00130F14">
        <w:t>Prodotti</w:t>
      </w:r>
      <w:proofErr w:type="spellEnd"/>
      <w:r w:rsidR="00130F14" w:rsidRPr="00130F14">
        <w:t xml:space="preserve"> Gianni </w:t>
      </w:r>
      <w:proofErr w:type="spellStart"/>
      <w:r w:rsidR="00130F14" w:rsidRPr="00130F14">
        <w:t>S.r.l</w:t>
      </w:r>
      <w:proofErr w:type="spellEnd"/>
      <w:r w:rsidR="00130F14" w:rsidRPr="00130F14">
        <w:t xml:space="preserve">. (Italy) were </w:t>
      </w:r>
      <w:r w:rsidR="003629C8">
        <w:t xml:space="preserve">selected </w:t>
      </w:r>
      <w:r>
        <w:t>for incorporation</w:t>
      </w:r>
      <w:r w:rsidR="003629C8">
        <w:t xml:space="preserve"> into the</w:t>
      </w:r>
      <w:r w:rsidR="00130F14" w:rsidRPr="00130F14">
        <w:t xml:space="preserve"> paste</w:t>
      </w:r>
      <w:r w:rsidR="00130F14">
        <w:t>.</w:t>
      </w:r>
      <w:r w:rsidR="003629C8">
        <w:t xml:space="preserve"> Following preliminary </w:t>
      </w:r>
      <w:r w:rsidR="00C803DD">
        <w:t>trials (data not shown), a protein dosage level of 5% w/</w:t>
      </w:r>
      <w:proofErr w:type="gramStart"/>
      <w:r w:rsidR="00C803DD">
        <w:t>w</w:t>
      </w:r>
      <w:r>
        <w:t xml:space="preserve">  (</w:t>
      </w:r>
      <w:proofErr w:type="gramEnd"/>
      <w:r w:rsidR="00C803DD">
        <w:t>based on the weight of protein formulation) was applied. Protein incorporation was applied to the natural paste to compare it with the stabili</w:t>
      </w:r>
      <w:r w:rsidR="00225B38">
        <w:t>z</w:t>
      </w:r>
      <w:r w:rsidR="00C803DD">
        <w:t xml:space="preserve">ed one. The addition was done manually using a kitchen mixer to facilitate </w:t>
      </w:r>
      <w:r w:rsidR="00225B38">
        <w:t xml:space="preserve">the </w:t>
      </w:r>
      <w:r w:rsidR="00C803DD">
        <w:t>homogenization of the plant proteins into the hazelnut paste.</w:t>
      </w:r>
    </w:p>
    <w:p w14:paraId="619E6A23" w14:textId="284452ED" w:rsidR="002460E8" w:rsidRPr="001363BB" w:rsidRDefault="00552C0A" w:rsidP="001363BB">
      <w:r>
        <w:t xml:space="preserve">Since the </w:t>
      </w:r>
      <w:r w:rsidR="00C803DD">
        <w:t xml:space="preserve">commercial </w:t>
      </w:r>
      <w:r>
        <w:t>shelf-life of th</w:t>
      </w:r>
      <w:r w:rsidR="00C803DD">
        <w:t xml:space="preserve">e hazelnut </w:t>
      </w:r>
      <w:r w:rsidR="008A12E2">
        <w:t>paste can</w:t>
      </w:r>
      <w:r w:rsidR="00C803DD">
        <w:t xml:space="preserve"> be even longer </w:t>
      </w:r>
      <w:proofErr w:type="gramStart"/>
      <w:r w:rsidR="00C803DD">
        <w:t xml:space="preserve">than </w:t>
      </w:r>
      <w:r>
        <w:t xml:space="preserve"> 1</w:t>
      </w:r>
      <w:proofErr w:type="gramEnd"/>
      <w:r>
        <w:t xml:space="preserve"> y</w:t>
      </w:r>
      <w:r w:rsidR="00EE3AC0">
        <w:t>ear</w:t>
      </w:r>
      <w:r>
        <w:t xml:space="preserve">, it was set up an accelerated </w:t>
      </w:r>
      <w:r w:rsidR="00C803DD">
        <w:t>storage</w:t>
      </w:r>
      <w:r>
        <w:t xml:space="preserve"> study</w:t>
      </w:r>
      <w:r w:rsidRPr="004D4D9C">
        <w:t>. In agreement with the literature, the activation energy of oxidative rancidity reactions can be assumed to vary between 10 and 25 kcal/mol (</w:t>
      </w:r>
      <w:r w:rsidRPr="007833A5">
        <w:t>Spigno et al., 2013</w:t>
      </w:r>
      <w:r w:rsidRPr="004D4D9C">
        <w:t xml:space="preserve">). Considering </w:t>
      </w:r>
      <w:r w:rsidR="00C803DD">
        <w:t xml:space="preserve">the </w:t>
      </w:r>
      <w:r w:rsidRPr="004D4D9C">
        <w:t>lowe</w:t>
      </w:r>
      <w:r w:rsidR="008154AA">
        <w:t>st value (1</w:t>
      </w:r>
      <w:r w:rsidRPr="004D4D9C">
        <w:t xml:space="preserve">0 kcal/mol), </w:t>
      </w:r>
      <w:r w:rsidR="008A12E2">
        <w:t>a duration</w:t>
      </w:r>
      <w:r w:rsidR="00C803DD">
        <w:t xml:space="preserve"> test </w:t>
      </w:r>
      <w:r w:rsidR="008A12E2">
        <w:t xml:space="preserve">of </w:t>
      </w:r>
      <w:r w:rsidR="008A12E2" w:rsidRPr="004D4D9C">
        <w:t>15</w:t>
      </w:r>
      <w:r w:rsidRPr="004D4D9C">
        <w:t xml:space="preserve"> weeks at 40</w:t>
      </w:r>
      <w:r w:rsidR="004A0351">
        <w:t xml:space="preserve"> </w:t>
      </w:r>
      <w:r w:rsidRPr="004D4D9C">
        <w:t xml:space="preserve">°C </w:t>
      </w:r>
      <w:r w:rsidR="00C803DD">
        <w:t xml:space="preserve">was calculated </w:t>
      </w:r>
      <w:r w:rsidRPr="004D4D9C">
        <w:t>to simulate about 10 months of storage at 21</w:t>
      </w:r>
      <w:r w:rsidR="004A0351">
        <w:t xml:space="preserve"> </w:t>
      </w:r>
      <w:r w:rsidRPr="004D4D9C">
        <w:t>°C</w:t>
      </w:r>
      <w:r w:rsidR="00C803DD">
        <w:t xml:space="preserve">, based on the </w:t>
      </w:r>
      <w:r w:rsidRPr="004D4D9C">
        <w:t xml:space="preserve">Arrhenius </w:t>
      </w:r>
      <w:r w:rsidR="00C803DD">
        <w:t xml:space="preserve">model </w:t>
      </w:r>
      <w:proofErr w:type="spellStart"/>
      <w:proofErr w:type="gramStart"/>
      <w:r w:rsidR="001906DB">
        <w:t>Eq</w:t>
      </w:r>
      <w:proofErr w:type="spellEnd"/>
      <w:r w:rsidR="001906DB">
        <w:t>(</w:t>
      </w:r>
      <w:proofErr w:type="gramEnd"/>
      <w:r w:rsidR="001906DB">
        <w:t>1).</w:t>
      </w:r>
      <w:r>
        <w:t xml:space="preserve"> </w:t>
      </w:r>
    </w:p>
    <w:p w14:paraId="64A1E133" w14:textId="46415B95" w:rsidR="007931FA" w:rsidRDefault="00552C0A" w:rsidP="00184127">
      <w:pPr>
        <w:pStyle w:val="CETEquation"/>
        <w:rPr>
          <w:rFonts w:eastAsiaTheme="minorEastAsia"/>
        </w:rPr>
      </w:pPr>
      <m:oMath>
        <m:r>
          <w:rPr>
            <w:rFonts w:ascii="Cambria Math" w:hAnsi="Cambria Math"/>
          </w:rPr>
          <m:t>kT</m:t>
        </m:r>
        <m:r>
          <m:rPr>
            <m:sty m:val="p"/>
          </m:rPr>
          <w:rPr>
            <w:rFonts w:ascii="Cambria Math" w:hAnsi="Cambria Math"/>
          </w:rPr>
          <m:t>=</m:t>
        </m:r>
        <m:r>
          <w:rPr>
            <w:rFonts w:ascii="Cambria Math" w:hAnsi="Cambria Math"/>
          </w:rPr>
          <m:t>A</m:t>
        </m:r>
        <m:r>
          <m:rPr>
            <m:sty m:val="p"/>
          </m:rPr>
          <w:rPr>
            <w:rFonts w:ascii="Cambria Math" w:hAnsi="Cambria Math"/>
          </w:rPr>
          <m:t>*</m:t>
        </m:r>
        <m:func>
          <m:funcPr>
            <m:ctrlPr>
              <w:rPr>
                <w:rFonts w:ascii="Cambria Math" w:hAnsi="Cambria Math"/>
              </w:rPr>
            </m:ctrlPr>
          </m:funcPr>
          <m:fName>
            <m:r>
              <m:rPr>
                <m:sty m:val="p"/>
              </m:rPr>
              <w:rPr>
                <w:rFonts w:ascii="Cambria Math" w:hAnsi="Cambria Math"/>
              </w:rPr>
              <m:t>exp</m:t>
            </m:r>
          </m:fName>
          <m:e>
            <m:r>
              <m:rPr>
                <m:sty m:val="p"/>
              </m:rPr>
              <w:rPr>
                <w:rFonts w:ascii="Cambria Math" w:hAnsi="Cambria Math"/>
              </w:rPr>
              <m:t>(-</m:t>
            </m:r>
            <m:f>
              <m:fPr>
                <m:ctrlPr>
                  <w:rPr>
                    <w:rFonts w:ascii="Cambria Math" w:hAnsi="Cambria Math"/>
                  </w:rPr>
                </m:ctrlPr>
              </m:fPr>
              <m:num>
                <m:r>
                  <w:rPr>
                    <w:rFonts w:ascii="Cambria Math" w:hAnsi="Cambria Math"/>
                  </w:rPr>
                  <m:t>Ea</m:t>
                </m:r>
              </m:num>
              <m:den>
                <m:r>
                  <w:rPr>
                    <w:rFonts w:ascii="Cambria Math" w:hAnsi="Cambria Math"/>
                  </w:rPr>
                  <m:t>RT</m:t>
                </m:r>
              </m:den>
            </m:f>
            <m:r>
              <m:rPr>
                <m:sty m:val="p"/>
              </m:rPr>
              <w:rPr>
                <w:rFonts w:ascii="Cambria Math" w:hAnsi="Cambria Math"/>
              </w:rPr>
              <m:t>)</m:t>
            </m:r>
          </m:e>
        </m:func>
      </m:oMath>
      <w:r>
        <w:rPr>
          <w:rFonts w:eastAsiaTheme="minorEastAsia"/>
        </w:rPr>
        <w:t xml:space="preserve"> </w:t>
      </w:r>
      <w:r w:rsidR="00184127">
        <w:rPr>
          <w:rFonts w:eastAsiaTheme="minorEastAsia"/>
        </w:rPr>
        <w:t xml:space="preserve">                                                                                                                                            (1)</w:t>
      </w:r>
    </w:p>
    <w:p w14:paraId="29CBAEFA" w14:textId="4FBC6B82" w:rsidR="00C803DD" w:rsidRPr="00C803DD" w:rsidRDefault="009A0F1F" w:rsidP="008A12E2">
      <w:pPr>
        <w:pStyle w:val="CETBodytext"/>
        <w:rPr>
          <w:rFonts w:eastAsiaTheme="minorEastAsia"/>
        </w:rPr>
      </w:pPr>
      <w:r>
        <w:t xml:space="preserve">Samples of stabilized paste, non-stabilized paste, non-stabilized paste with soy proteins </w:t>
      </w:r>
      <w:r w:rsidR="008154AA">
        <w:t>or s</w:t>
      </w:r>
      <w:r>
        <w:t xml:space="preserve">unflower proteins were distributed </w:t>
      </w:r>
      <w:r w:rsidR="00C803DD">
        <w:t xml:space="preserve">into plastic jars </w:t>
      </w:r>
      <w:r>
        <w:t>(</w:t>
      </w:r>
      <w:r w:rsidR="00C803DD">
        <w:t>60 g of paste each</w:t>
      </w:r>
      <w:r>
        <w:t xml:space="preserve">) </w:t>
      </w:r>
      <w:r w:rsidR="00C803DD">
        <w:t xml:space="preserve">and into Falcon tubes </w:t>
      </w:r>
      <w:r>
        <w:t>(</w:t>
      </w:r>
      <w:r w:rsidR="00C803DD">
        <w:t>6 g of paste each</w:t>
      </w:r>
      <w:r>
        <w:t>)</w:t>
      </w:r>
      <w:r w:rsidR="008A12E2">
        <w:t xml:space="preserve">. </w:t>
      </w:r>
      <w:r>
        <w:t xml:space="preserve">All the </w:t>
      </w:r>
      <w:r w:rsidR="008A12E2">
        <w:t>samples were</w:t>
      </w:r>
      <w:r w:rsidR="00C803DD">
        <w:t xml:space="preserve"> placed, opened</w:t>
      </w:r>
      <w:r>
        <w:t xml:space="preserve"> (to further promote lipid oxidation)</w:t>
      </w:r>
      <w:r w:rsidR="00C803DD">
        <w:t xml:space="preserve">, in an oven at 40 °C. Analyses were performed </w:t>
      </w:r>
      <w:r w:rsidR="00463101">
        <w:t xml:space="preserve">almost </w:t>
      </w:r>
      <w:r w:rsidR="00C803DD">
        <w:t xml:space="preserve">every 2 weeks </w:t>
      </w:r>
      <w:r w:rsidR="008A12E2">
        <w:t>until 105</w:t>
      </w:r>
      <w:r w:rsidR="00C803DD">
        <w:t xml:space="preserve"> days</w:t>
      </w:r>
      <w:r w:rsidR="00463101">
        <w:t xml:space="preserve"> with the following analyzed</w:t>
      </w:r>
      <w:r w:rsidR="00C803DD">
        <w:t xml:space="preserve"> times </w:t>
      </w:r>
      <w:r w:rsidR="00463101">
        <w:t>(subscript number indicates the week)</w:t>
      </w:r>
      <w:r w:rsidR="00C803DD">
        <w:t>: t</w:t>
      </w:r>
      <w:r w:rsidR="00C803DD" w:rsidRPr="00017CBD">
        <w:rPr>
          <w:vertAlign w:val="subscript"/>
        </w:rPr>
        <w:t>0</w:t>
      </w:r>
      <w:r w:rsidR="00C803DD">
        <w:t>, t</w:t>
      </w:r>
      <w:r w:rsidR="00C803DD" w:rsidRPr="00017CBD">
        <w:rPr>
          <w:vertAlign w:val="subscript"/>
        </w:rPr>
        <w:t>2</w:t>
      </w:r>
      <w:r w:rsidR="00C803DD">
        <w:t>, t</w:t>
      </w:r>
      <w:r w:rsidR="00C803DD" w:rsidRPr="00017CBD">
        <w:rPr>
          <w:vertAlign w:val="subscript"/>
        </w:rPr>
        <w:t>4</w:t>
      </w:r>
      <w:r w:rsidR="00C803DD">
        <w:t>, t</w:t>
      </w:r>
      <w:r w:rsidR="00C803DD" w:rsidRPr="00017CBD">
        <w:rPr>
          <w:vertAlign w:val="subscript"/>
        </w:rPr>
        <w:t>6</w:t>
      </w:r>
      <w:r w:rsidR="00C803DD">
        <w:t>, t</w:t>
      </w:r>
      <w:r w:rsidR="00C803DD" w:rsidRPr="00017CBD">
        <w:rPr>
          <w:vertAlign w:val="subscript"/>
        </w:rPr>
        <w:t>8</w:t>
      </w:r>
      <w:r w:rsidR="00C803DD">
        <w:t>, t</w:t>
      </w:r>
      <w:r w:rsidR="00C803DD" w:rsidRPr="00017CBD">
        <w:rPr>
          <w:vertAlign w:val="subscript"/>
        </w:rPr>
        <w:t>10</w:t>
      </w:r>
      <w:r w:rsidR="00C803DD">
        <w:t>, t</w:t>
      </w:r>
      <w:r w:rsidR="00C803DD" w:rsidRPr="00017CBD">
        <w:rPr>
          <w:vertAlign w:val="subscript"/>
        </w:rPr>
        <w:t>14</w:t>
      </w:r>
      <w:r w:rsidR="00C803DD">
        <w:t xml:space="preserve"> and t</w:t>
      </w:r>
      <w:r w:rsidR="00C803DD" w:rsidRPr="00017CBD">
        <w:rPr>
          <w:vertAlign w:val="subscript"/>
        </w:rPr>
        <w:t>15</w:t>
      </w:r>
      <w:r w:rsidR="00C803DD">
        <w:t>.</w:t>
      </w:r>
      <w:r w:rsidR="00463101">
        <w:t xml:space="preserve"> The samples were a</w:t>
      </w:r>
      <w:r w:rsidR="00C803DD">
        <w:t>naly</w:t>
      </w:r>
      <w:r w:rsidR="008154AA">
        <w:t>z</w:t>
      </w:r>
      <w:r w:rsidR="00C803DD">
        <w:t>e</w:t>
      </w:r>
      <w:r w:rsidR="00463101">
        <w:t xml:space="preserve">d </w:t>
      </w:r>
      <w:r w:rsidR="008A12E2">
        <w:t>for water</w:t>
      </w:r>
      <w:r w:rsidR="00463101">
        <w:t xml:space="preserve"> activity (</w:t>
      </w:r>
      <w:r w:rsidR="00C803DD">
        <w:t>a</w:t>
      </w:r>
      <w:r w:rsidR="00C803DD" w:rsidRPr="008A12E2">
        <w:rPr>
          <w:vertAlign w:val="subscript"/>
        </w:rPr>
        <w:t>w</w:t>
      </w:r>
      <w:r w:rsidR="00463101">
        <w:t>)</w:t>
      </w:r>
      <w:r w:rsidR="00C803DD">
        <w:t>, peroxide value, tocopherol</w:t>
      </w:r>
      <w:r w:rsidR="00463101">
        <w:t>s</w:t>
      </w:r>
      <w:r w:rsidR="00C803DD">
        <w:t xml:space="preserve"> </w:t>
      </w:r>
      <w:r w:rsidR="00463101">
        <w:t>content</w:t>
      </w:r>
      <w:r w:rsidR="00C803DD">
        <w:t xml:space="preserve"> and oil </w:t>
      </w:r>
      <w:r w:rsidR="008A12E2">
        <w:t>separation.</w:t>
      </w:r>
      <w:r w:rsidRPr="009A0F1F">
        <w:t xml:space="preserve"> </w:t>
      </w:r>
      <w:r>
        <w:t xml:space="preserve">Duplicate samples were prepared </w:t>
      </w:r>
      <w:r w:rsidR="00463101">
        <w:t xml:space="preserve">and stored </w:t>
      </w:r>
      <w:r>
        <w:t>for</w:t>
      </w:r>
      <w:r w:rsidR="00463101">
        <w:t xml:space="preserve"> each time. </w:t>
      </w:r>
    </w:p>
    <w:p w14:paraId="61A9B77A" w14:textId="6C4CD7D6" w:rsidR="00600535" w:rsidRPr="00B57B36" w:rsidRDefault="001E0CB4" w:rsidP="00CE76EB">
      <w:pPr>
        <w:pStyle w:val="CETheadingx"/>
      </w:pPr>
      <w:r>
        <w:t>Analyses</w:t>
      </w:r>
    </w:p>
    <w:p w14:paraId="6BAB221E" w14:textId="7481533D" w:rsidR="005B05DD" w:rsidRDefault="005B05DD" w:rsidP="005B05DD">
      <w:pPr>
        <w:pStyle w:val="CETBodytext"/>
        <w:rPr>
          <w:lang w:val="en-GB"/>
        </w:rPr>
      </w:pPr>
      <w:r w:rsidRPr="00B83ADD">
        <w:rPr>
          <w:lang w:val="en-GB"/>
        </w:rPr>
        <w:t>Plant proteins were characterized by assessing protein content,</w:t>
      </w:r>
      <w:r>
        <w:rPr>
          <w:lang w:val="en-GB"/>
        </w:rPr>
        <w:t xml:space="preserve"> </w:t>
      </w:r>
      <w:proofErr w:type="spellStart"/>
      <w:r w:rsidR="008154AA" w:rsidRPr="00B83ADD">
        <w:rPr>
          <w:lang w:val="en-GB"/>
        </w:rPr>
        <w:t>fib</w:t>
      </w:r>
      <w:r w:rsidR="00734E85">
        <w:rPr>
          <w:lang w:val="en-GB"/>
        </w:rPr>
        <w:t>er</w:t>
      </w:r>
      <w:proofErr w:type="spellEnd"/>
      <w:r w:rsidRPr="00B83ADD">
        <w:rPr>
          <w:lang w:val="en-GB"/>
        </w:rPr>
        <w:t>, OHC and WHC values</w:t>
      </w:r>
      <w:r>
        <w:rPr>
          <w:lang w:val="en-GB"/>
        </w:rPr>
        <w:t>. A</w:t>
      </w:r>
      <w:r w:rsidRPr="00B83ADD">
        <w:rPr>
          <w:lang w:val="en-GB"/>
        </w:rPr>
        <w:t>nalyses were</w:t>
      </w:r>
      <w:r w:rsidR="00547F12">
        <w:rPr>
          <w:lang w:val="en-GB"/>
        </w:rPr>
        <w:t xml:space="preserve"> done in triplicate and were</w:t>
      </w:r>
      <w:r w:rsidRPr="00B83ADD">
        <w:rPr>
          <w:lang w:val="en-GB"/>
        </w:rPr>
        <w:t xml:space="preserve"> </w:t>
      </w:r>
      <w:r>
        <w:rPr>
          <w:lang w:val="en-GB"/>
        </w:rPr>
        <w:t>performed according to</w:t>
      </w:r>
      <w:r w:rsidRPr="00B83ADD">
        <w:rPr>
          <w:lang w:val="en-GB"/>
        </w:rPr>
        <w:t xml:space="preserve"> the AOAC method for protein </w:t>
      </w:r>
      <w:r>
        <w:t xml:space="preserve">(method 976.05) </w:t>
      </w:r>
      <w:r w:rsidRPr="00B83ADD">
        <w:rPr>
          <w:lang w:val="en-GB"/>
        </w:rPr>
        <w:t xml:space="preserve">and </w:t>
      </w:r>
      <w:proofErr w:type="spellStart"/>
      <w:r w:rsidR="008154AA" w:rsidRPr="00B83ADD">
        <w:rPr>
          <w:lang w:val="en-GB"/>
        </w:rPr>
        <w:t>fib</w:t>
      </w:r>
      <w:r w:rsidR="00734E85">
        <w:rPr>
          <w:lang w:val="en-GB"/>
        </w:rPr>
        <w:t>er</w:t>
      </w:r>
      <w:proofErr w:type="spellEnd"/>
      <w:r>
        <w:rPr>
          <w:lang w:val="en-GB"/>
        </w:rPr>
        <w:t xml:space="preserve"> (</w:t>
      </w:r>
      <w:proofErr w:type="spellStart"/>
      <w:r>
        <w:rPr>
          <w:lang w:val="en-GB"/>
        </w:rPr>
        <w:t>Megazyme</w:t>
      </w:r>
      <w:proofErr w:type="spellEnd"/>
      <w:r>
        <w:rPr>
          <w:lang w:val="en-GB"/>
        </w:rPr>
        <w:t xml:space="preserve"> CAT. NO. K-TDFR-200A).</w:t>
      </w:r>
      <w:r w:rsidR="008154AA">
        <w:rPr>
          <w:lang w:val="en-GB"/>
        </w:rPr>
        <w:t xml:space="preserve"> </w:t>
      </w:r>
    </w:p>
    <w:p w14:paraId="3F353DF7" w14:textId="014C1874" w:rsidR="00457DDC" w:rsidRPr="00457DDC" w:rsidRDefault="005B05DD" w:rsidP="00457DDC">
      <w:pPr>
        <w:pStyle w:val="CETBodytext"/>
        <w:rPr>
          <w:lang w:val="en-GB"/>
        </w:rPr>
      </w:pPr>
      <w:r w:rsidRPr="0057095E">
        <w:rPr>
          <w:lang w:val="en-GB"/>
        </w:rPr>
        <w:t xml:space="preserve">For the </w:t>
      </w:r>
      <w:r>
        <w:rPr>
          <w:lang w:val="en-GB"/>
        </w:rPr>
        <w:t xml:space="preserve">WHC </w:t>
      </w:r>
      <w:r w:rsidRPr="0057095E">
        <w:rPr>
          <w:lang w:val="en-GB"/>
        </w:rPr>
        <w:t>analyses, 0</w:t>
      </w:r>
      <w:r>
        <w:rPr>
          <w:lang w:val="en-GB"/>
        </w:rPr>
        <w:t>.25</w:t>
      </w:r>
      <w:r w:rsidRPr="0057095E">
        <w:rPr>
          <w:lang w:val="en-GB"/>
        </w:rPr>
        <w:t xml:space="preserve"> g of </w:t>
      </w:r>
      <w:r>
        <w:rPr>
          <w:lang w:val="en-GB"/>
        </w:rPr>
        <w:t>sample</w:t>
      </w:r>
      <w:r w:rsidRPr="0057095E">
        <w:rPr>
          <w:lang w:val="en-GB"/>
        </w:rPr>
        <w:t xml:space="preserve"> were weighed in a Falcon tube to which </w:t>
      </w:r>
      <w:r>
        <w:rPr>
          <w:lang w:val="en-GB"/>
        </w:rPr>
        <w:t xml:space="preserve">5 </w:t>
      </w:r>
      <w:r w:rsidRPr="0057095E">
        <w:rPr>
          <w:lang w:val="en-GB"/>
        </w:rPr>
        <w:t>mL of distilled water w</w:t>
      </w:r>
      <w:r w:rsidR="00734E85">
        <w:rPr>
          <w:lang w:val="en-GB"/>
        </w:rPr>
        <w:t>as</w:t>
      </w:r>
      <w:r w:rsidRPr="0057095E">
        <w:rPr>
          <w:lang w:val="en-GB"/>
        </w:rPr>
        <w:t xml:space="preserve"> added</w:t>
      </w:r>
      <w:r w:rsidR="00B91F8B">
        <w:rPr>
          <w:lang w:val="en-GB"/>
        </w:rPr>
        <w:t xml:space="preserve"> (</w:t>
      </w:r>
      <w:r w:rsidR="00B91F8B" w:rsidRPr="0045562D">
        <w:t>Nguyen</w:t>
      </w:r>
      <w:r w:rsidR="00B91F8B">
        <w:t xml:space="preserve"> et al., 2015)</w:t>
      </w:r>
      <w:r w:rsidRPr="0057095E">
        <w:rPr>
          <w:lang w:val="en-GB"/>
        </w:rPr>
        <w:t xml:space="preserve">. </w:t>
      </w:r>
      <w:r>
        <w:rPr>
          <w:lang w:val="en-GB"/>
        </w:rPr>
        <w:t xml:space="preserve">The </w:t>
      </w:r>
      <w:r w:rsidRPr="0057095E">
        <w:rPr>
          <w:lang w:val="en-GB"/>
        </w:rPr>
        <w:t xml:space="preserve">mixture was vortexed for </w:t>
      </w:r>
      <w:r>
        <w:rPr>
          <w:lang w:val="en-GB"/>
        </w:rPr>
        <w:t xml:space="preserve">30 </w:t>
      </w:r>
      <w:r w:rsidRPr="0057095E">
        <w:rPr>
          <w:lang w:val="en-GB"/>
        </w:rPr>
        <w:t xml:space="preserve">s and left at room temperature </w:t>
      </w:r>
      <w:r>
        <w:rPr>
          <w:lang w:val="en-GB"/>
        </w:rPr>
        <w:t xml:space="preserve">(20-25 °C) </w:t>
      </w:r>
      <w:r w:rsidRPr="0057095E">
        <w:rPr>
          <w:lang w:val="en-GB"/>
        </w:rPr>
        <w:t>for 15 mi</w:t>
      </w:r>
      <w:r w:rsidR="00457DDC">
        <w:rPr>
          <w:lang w:val="en-GB"/>
        </w:rPr>
        <w:t>n</w:t>
      </w:r>
      <w:r>
        <w:rPr>
          <w:lang w:val="en-GB"/>
        </w:rPr>
        <w:t xml:space="preserve">. </w:t>
      </w:r>
      <w:r w:rsidRPr="0057095E">
        <w:rPr>
          <w:lang w:val="en-GB"/>
        </w:rPr>
        <w:t xml:space="preserve">Falcons were then centrifuged (SL 16R, </w:t>
      </w:r>
      <w:proofErr w:type="spellStart"/>
      <w:r w:rsidRPr="0057095E">
        <w:rPr>
          <w:lang w:val="en-GB"/>
        </w:rPr>
        <w:t>Thermo</w:t>
      </w:r>
      <w:proofErr w:type="spellEnd"/>
      <w:r w:rsidRPr="0057095E">
        <w:rPr>
          <w:lang w:val="en-GB"/>
        </w:rPr>
        <w:t xml:space="preserve"> Fisher Scientific, Waltham, MA, USA) at 25 °C for </w:t>
      </w:r>
      <w:r>
        <w:rPr>
          <w:lang w:val="en-GB"/>
        </w:rPr>
        <w:t>15</w:t>
      </w:r>
      <w:r w:rsidRPr="0057095E">
        <w:rPr>
          <w:lang w:val="en-GB"/>
        </w:rPr>
        <w:t xml:space="preserve"> min </w:t>
      </w:r>
      <w:r>
        <w:rPr>
          <w:lang w:val="en-GB"/>
        </w:rPr>
        <w:t>at 10000 rpm (</w:t>
      </w:r>
      <w:r w:rsidR="008154AA">
        <w:rPr>
          <w:lang w:val="en-GB"/>
        </w:rPr>
        <w:t xml:space="preserve">rotor </w:t>
      </w:r>
      <w:r>
        <w:rPr>
          <w:lang w:val="en-GB"/>
        </w:rPr>
        <w:t>diameter of 33.6 cm)</w:t>
      </w:r>
      <w:r w:rsidRPr="0057095E">
        <w:rPr>
          <w:lang w:val="en-GB"/>
        </w:rPr>
        <w:t xml:space="preserve">. After centrifugation, the supernatant </w:t>
      </w:r>
      <w:r w:rsidR="008154AA">
        <w:rPr>
          <w:lang w:val="en-GB"/>
        </w:rPr>
        <w:t>was</w:t>
      </w:r>
      <w:r w:rsidRPr="0057095E">
        <w:rPr>
          <w:lang w:val="en-GB"/>
        </w:rPr>
        <w:t xml:space="preserve"> removed</w:t>
      </w:r>
      <w:r w:rsidR="00457DDC">
        <w:rPr>
          <w:lang w:val="en-GB"/>
        </w:rPr>
        <w:t>,</w:t>
      </w:r>
      <w:r w:rsidRPr="0057095E">
        <w:rPr>
          <w:lang w:val="en-GB"/>
        </w:rPr>
        <w:t xml:space="preserve"> and </w:t>
      </w:r>
      <w:r w:rsidR="00457DDC">
        <w:rPr>
          <w:lang w:val="en-GB"/>
        </w:rPr>
        <w:t xml:space="preserve">the precipitate </w:t>
      </w:r>
      <w:r w:rsidR="00E11FAE">
        <w:rPr>
          <w:lang w:val="en-GB"/>
        </w:rPr>
        <w:t xml:space="preserve">was </w:t>
      </w:r>
      <w:r w:rsidR="00457DDC">
        <w:rPr>
          <w:lang w:val="en-GB"/>
        </w:rPr>
        <w:t>w</w:t>
      </w:r>
      <w:r w:rsidRPr="0057095E">
        <w:rPr>
          <w:lang w:val="en-GB"/>
        </w:rPr>
        <w:t>eighed</w:t>
      </w:r>
      <w:r w:rsidR="00457DDC">
        <w:rPr>
          <w:lang w:val="en-GB"/>
        </w:rPr>
        <w:t xml:space="preserve"> to give the WHC. </w:t>
      </w:r>
      <w:r>
        <w:rPr>
          <w:lang w:val="en-GB"/>
        </w:rPr>
        <w:t>For OHC analyses,</w:t>
      </w:r>
      <w:r w:rsidRPr="00662D4E">
        <w:rPr>
          <w:lang w:val="en-GB"/>
        </w:rPr>
        <w:t xml:space="preserve"> </w:t>
      </w:r>
      <w:r w:rsidR="00457DDC">
        <w:rPr>
          <w:lang w:val="en-GB"/>
        </w:rPr>
        <w:t>the analysis was carried out in the same way but with</w:t>
      </w:r>
      <w:r w:rsidRPr="00662D4E">
        <w:rPr>
          <w:lang w:val="en-GB"/>
        </w:rPr>
        <w:t xml:space="preserve"> sunflower oil</w:t>
      </w:r>
      <w:r>
        <w:rPr>
          <w:lang w:val="en-GB"/>
        </w:rPr>
        <w:t>.</w:t>
      </w:r>
    </w:p>
    <w:p w14:paraId="7E937319" w14:textId="5F52BCC2" w:rsidR="005B05DD" w:rsidRPr="005B05DD" w:rsidRDefault="00EA7404" w:rsidP="00E76485">
      <w:r>
        <w:t xml:space="preserve">The </w:t>
      </w:r>
      <w:r w:rsidR="00463101">
        <w:t>a</w:t>
      </w:r>
      <w:r w:rsidR="00463101" w:rsidRPr="008A12E2">
        <w:rPr>
          <w:vertAlign w:val="subscript"/>
        </w:rPr>
        <w:t>w</w:t>
      </w:r>
      <w:r>
        <w:t xml:space="preserve"> value was measured with </w:t>
      </w:r>
      <w:proofErr w:type="spellStart"/>
      <w:r>
        <w:t>HygroPalm</w:t>
      </w:r>
      <w:proofErr w:type="spellEnd"/>
      <w:r>
        <w:t xml:space="preserve"> HP23-AW (</w:t>
      </w:r>
      <w:proofErr w:type="spellStart"/>
      <w:r>
        <w:t>Rotronic</w:t>
      </w:r>
      <w:proofErr w:type="spellEnd"/>
      <w:r>
        <w:t xml:space="preserve">, Italy) at 25 °C. The samples were well mixed </w:t>
      </w:r>
      <w:r w:rsidR="00463101">
        <w:t xml:space="preserve">with a glass </w:t>
      </w:r>
      <w:r w:rsidR="008A12E2">
        <w:t>wand to</w:t>
      </w:r>
      <w:r>
        <w:t xml:space="preserve"> </w:t>
      </w:r>
      <w:r w:rsidR="001827B5">
        <w:t>homogenize any</w:t>
      </w:r>
      <w:r>
        <w:t xml:space="preserve"> oil separated over time and then placed in small aliquots inside the instrument-specific plastic containers.</w:t>
      </w:r>
    </w:p>
    <w:p w14:paraId="03B40370" w14:textId="161C8FAD" w:rsidR="002460E8" w:rsidRDefault="00463101" w:rsidP="00E76485">
      <w:r>
        <w:rPr>
          <w:lang w:val="en-US"/>
        </w:rPr>
        <w:t xml:space="preserve">The peroxide value (PV) was assessed as indication of the lipid oxidation state. The lipid fraction was cold extracted to avoid further oxidation. </w:t>
      </w:r>
      <w:r>
        <w:t xml:space="preserve">For each </w:t>
      </w:r>
      <w:r w:rsidR="008A12E2">
        <w:t>sample</w:t>
      </w:r>
      <w:r w:rsidR="00E11FAE">
        <w:t>,</w:t>
      </w:r>
      <w:r w:rsidR="008A12E2">
        <w:t xml:space="preserve"> </w:t>
      </w:r>
      <w:r w:rsidR="008A12E2" w:rsidRPr="00317285">
        <w:t>6</w:t>
      </w:r>
      <w:r w:rsidR="003326D8" w:rsidRPr="00317285">
        <w:t xml:space="preserve"> g of hazelnut paste </w:t>
      </w:r>
      <w:r>
        <w:t>were</w:t>
      </w:r>
      <w:r w:rsidRPr="00317285">
        <w:t xml:space="preserve"> </w:t>
      </w:r>
      <w:r>
        <w:t>extracted with</w:t>
      </w:r>
      <w:r w:rsidR="003326D8" w:rsidRPr="00317285">
        <w:t xml:space="preserve"> 30 mL of hexane</w:t>
      </w:r>
      <w:r>
        <w:t xml:space="preserve">, </w:t>
      </w:r>
      <w:r w:rsidR="005618E2" w:rsidRPr="00317285">
        <w:t>vortexed for</w:t>
      </w:r>
      <w:r w:rsidR="003326D8" w:rsidRPr="00317285">
        <w:t xml:space="preserve"> a few seconds and </w:t>
      </w:r>
      <w:r>
        <w:t xml:space="preserve">then </w:t>
      </w:r>
      <w:r w:rsidR="003326D8" w:rsidRPr="00317285">
        <w:t>centrifuge</w:t>
      </w:r>
      <w:r>
        <w:t>d</w:t>
      </w:r>
      <w:r w:rsidR="0057095E">
        <w:t xml:space="preserve"> </w:t>
      </w:r>
      <w:r w:rsidR="003326D8" w:rsidRPr="00317285">
        <w:t>at 5000 rpm</w:t>
      </w:r>
      <w:r w:rsidR="005618E2">
        <w:t xml:space="preserve"> (</w:t>
      </w:r>
      <w:r w:rsidR="00457DDC">
        <w:t xml:space="preserve">rotor </w:t>
      </w:r>
      <w:r w:rsidR="005618E2">
        <w:t>diameter 33</w:t>
      </w:r>
      <w:r w:rsidR="0057095E">
        <w:t>.</w:t>
      </w:r>
      <w:r w:rsidR="005618E2">
        <w:t>6 cm)</w:t>
      </w:r>
      <w:r w:rsidR="003326D8" w:rsidRPr="00317285">
        <w:t xml:space="preserve">, </w:t>
      </w:r>
      <w:r>
        <w:t xml:space="preserve">at </w:t>
      </w:r>
      <w:r w:rsidR="003326D8" w:rsidRPr="00317285">
        <w:t>4</w:t>
      </w:r>
      <w:r w:rsidR="00EE3AC0">
        <w:t xml:space="preserve"> </w:t>
      </w:r>
      <w:r w:rsidR="003326D8" w:rsidRPr="00317285">
        <w:t xml:space="preserve">°C for 15 min. </w:t>
      </w:r>
      <w:r w:rsidR="00C54A5C">
        <w:t xml:space="preserve">The separated hexane fraction was </w:t>
      </w:r>
      <w:r w:rsidR="003326D8" w:rsidRPr="00317285">
        <w:t>filtered through Filter-Lab pleated paper filters (110 mm)</w:t>
      </w:r>
      <w:r w:rsidR="00C54A5C">
        <w:t xml:space="preserve"> and the</w:t>
      </w:r>
      <w:r w:rsidR="003326D8" w:rsidRPr="00317285">
        <w:t xml:space="preserve"> hexane </w:t>
      </w:r>
      <w:r w:rsidR="00C54A5C">
        <w:t>was</w:t>
      </w:r>
      <w:r w:rsidR="003326D8" w:rsidRPr="00317285">
        <w:t xml:space="preserve"> evaporated </w:t>
      </w:r>
      <w:r w:rsidR="00C54A5C">
        <w:t xml:space="preserve">under </w:t>
      </w:r>
      <w:r w:rsidR="008A12E2">
        <w:t xml:space="preserve">vacuum </w:t>
      </w:r>
      <w:r w:rsidR="008A12E2" w:rsidRPr="00317285">
        <w:t>at</w:t>
      </w:r>
      <w:r w:rsidR="003326D8" w:rsidRPr="00317285">
        <w:t xml:space="preserve"> about 35-40</w:t>
      </w:r>
      <w:r w:rsidR="00EE3AC0">
        <w:t xml:space="preserve"> </w:t>
      </w:r>
      <w:r w:rsidR="003326D8" w:rsidRPr="00317285">
        <w:t xml:space="preserve">°C </w:t>
      </w:r>
      <w:r w:rsidR="00C54A5C">
        <w:t xml:space="preserve">to get the lipid phase.  For the PV </w:t>
      </w:r>
      <w:r w:rsidR="008A12E2">
        <w:t xml:space="preserve">analysis, </w:t>
      </w:r>
      <w:r w:rsidR="008A12E2" w:rsidRPr="00465D00">
        <w:t>1</w:t>
      </w:r>
      <w:r w:rsidR="00664E69">
        <w:t xml:space="preserve"> </w:t>
      </w:r>
      <w:r w:rsidR="00465D00" w:rsidRPr="00465D00">
        <w:t xml:space="preserve">g of </w:t>
      </w:r>
      <w:r w:rsidR="00C54A5C">
        <w:t>the</w:t>
      </w:r>
      <w:r w:rsidR="00465D00" w:rsidRPr="00465D00">
        <w:t xml:space="preserve"> extracted oil</w:t>
      </w:r>
      <w:r w:rsidR="00C54A5C">
        <w:t xml:space="preserve"> was poured</w:t>
      </w:r>
      <w:r w:rsidR="00465D00" w:rsidRPr="00465D00">
        <w:t xml:space="preserve"> into 100 mL Erlenmeyer flasks</w:t>
      </w:r>
      <w:r w:rsidR="00C54A5C">
        <w:t xml:space="preserve"> and added with </w:t>
      </w:r>
      <w:r w:rsidR="00465D00" w:rsidRPr="00465D00">
        <w:t xml:space="preserve">25 mL of </w:t>
      </w:r>
      <w:r w:rsidR="008A12E2" w:rsidRPr="00465D00">
        <w:t>acetic</w:t>
      </w:r>
      <w:r w:rsidR="00465D00" w:rsidRPr="00465D00">
        <w:t xml:space="preserve"> acid and chloroform </w:t>
      </w:r>
      <w:r w:rsidR="00C54A5C">
        <w:t xml:space="preserve">solution </w:t>
      </w:r>
      <w:r w:rsidR="00465D00" w:rsidRPr="00465D00">
        <w:t>(3:2 v/v)</w:t>
      </w:r>
      <w:r w:rsidR="00C54A5C">
        <w:t xml:space="preserve"> and</w:t>
      </w:r>
      <w:r w:rsidR="00465D00" w:rsidRPr="00465D00">
        <w:t xml:space="preserve"> 0.5 mL of saturated potassium iodide solution</w:t>
      </w:r>
      <w:r w:rsidR="00C54A5C">
        <w:t xml:space="preserve">. The flasks were then closed, covered with </w:t>
      </w:r>
      <w:proofErr w:type="spellStart"/>
      <w:r w:rsidR="00C54A5C">
        <w:t>aluminum</w:t>
      </w:r>
      <w:proofErr w:type="spellEnd"/>
      <w:r w:rsidR="00C54A5C">
        <w:t xml:space="preserve"> </w:t>
      </w:r>
      <w:proofErr w:type="gramStart"/>
      <w:r w:rsidR="00C54A5C">
        <w:t>foil</w:t>
      </w:r>
      <w:proofErr w:type="gramEnd"/>
      <w:r w:rsidR="00465D00" w:rsidRPr="00465D00">
        <w:t xml:space="preserve"> and place</w:t>
      </w:r>
      <w:r w:rsidR="00C54A5C">
        <w:t>d</w:t>
      </w:r>
      <w:r w:rsidR="00465D00" w:rsidRPr="00465D00">
        <w:t xml:space="preserve"> in the dark for 2 min</w:t>
      </w:r>
      <w:r w:rsidR="007B50C2">
        <w:t xml:space="preserve"> after </w:t>
      </w:r>
      <w:r w:rsidR="008A12E2">
        <w:t xml:space="preserve">which </w:t>
      </w:r>
      <w:r w:rsidR="008A12E2" w:rsidRPr="00465D00">
        <w:t>25</w:t>
      </w:r>
      <w:r w:rsidR="00465D00" w:rsidRPr="00465D00">
        <w:t xml:space="preserve"> mL of distilled water </w:t>
      </w:r>
      <w:r w:rsidR="007B50C2">
        <w:t xml:space="preserve">were added together with </w:t>
      </w:r>
      <w:r w:rsidR="00465D00" w:rsidRPr="00465D00">
        <w:t>about 0.5 mL of a 1</w:t>
      </w:r>
      <w:r w:rsidR="004A0351">
        <w:t xml:space="preserve"> </w:t>
      </w:r>
      <w:r w:rsidR="00465D00" w:rsidRPr="00465D00">
        <w:t xml:space="preserve">% starch salt solution as indicator. In </w:t>
      </w:r>
      <w:r w:rsidR="007B50C2">
        <w:t xml:space="preserve">case of pink colour indicating </w:t>
      </w:r>
      <w:r w:rsidR="00465D00" w:rsidRPr="00465D00">
        <w:t xml:space="preserve">the presence of peroxides, the solution </w:t>
      </w:r>
      <w:r w:rsidR="007B50C2">
        <w:t>was</w:t>
      </w:r>
      <w:r w:rsidR="00465D00" w:rsidRPr="00465D00">
        <w:t xml:space="preserve"> titrate</w:t>
      </w:r>
      <w:r w:rsidR="007B50C2">
        <w:t xml:space="preserve">d </w:t>
      </w:r>
      <w:r w:rsidR="008A12E2">
        <w:t xml:space="preserve">with </w:t>
      </w:r>
      <w:r w:rsidR="008A12E2" w:rsidRPr="00465D00">
        <w:t>Na</w:t>
      </w:r>
      <w:r w:rsidR="00465D00" w:rsidRPr="00465D00">
        <w:rPr>
          <w:vertAlign w:val="subscript"/>
        </w:rPr>
        <w:t>2</w:t>
      </w:r>
      <w:r w:rsidR="00465D00" w:rsidRPr="00465D00">
        <w:t>S</w:t>
      </w:r>
      <w:r w:rsidR="00465D00" w:rsidRPr="00465D00">
        <w:rPr>
          <w:vertAlign w:val="subscript"/>
        </w:rPr>
        <w:t>2</w:t>
      </w:r>
      <w:r w:rsidR="00465D00" w:rsidRPr="00465D00">
        <w:t>O</w:t>
      </w:r>
      <w:r w:rsidR="00465D00" w:rsidRPr="00465D00">
        <w:rPr>
          <w:vertAlign w:val="subscript"/>
        </w:rPr>
        <w:t>3</w:t>
      </w:r>
      <w:r w:rsidR="00465D00" w:rsidRPr="00465D00">
        <w:t xml:space="preserve"> 0.01 N</w:t>
      </w:r>
      <w:r w:rsidR="007B50C2">
        <w:t xml:space="preserve"> and t</w:t>
      </w:r>
      <w:r w:rsidR="00465D00" w:rsidRPr="00465D00">
        <w:t xml:space="preserve">he </w:t>
      </w:r>
      <w:r w:rsidR="001E0CB4">
        <w:t>P</w:t>
      </w:r>
      <w:r w:rsidR="007B50C2">
        <w:t xml:space="preserve">V </w:t>
      </w:r>
      <w:r w:rsidR="0009664B">
        <w:t xml:space="preserve">was </w:t>
      </w:r>
      <w:r w:rsidR="00465D00" w:rsidRPr="00465D00">
        <w:t xml:space="preserve">calculated </w:t>
      </w:r>
      <w:r w:rsidR="001E0CB4">
        <w:t xml:space="preserve">from the mL of </w:t>
      </w:r>
      <w:r w:rsidR="001E0CB4" w:rsidRPr="00465D00">
        <w:t>Na</w:t>
      </w:r>
      <w:r w:rsidR="001E0CB4" w:rsidRPr="00465D00">
        <w:rPr>
          <w:vertAlign w:val="subscript"/>
        </w:rPr>
        <w:t>2</w:t>
      </w:r>
      <w:r w:rsidR="001E0CB4" w:rsidRPr="00465D00">
        <w:t>S</w:t>
      </w:r>
      <w:r w:rsidR="001E0CB4" w:rsidRPr="00465D00">
        <w:rPr>
          <w:vertAlign w:val="subscript"/>
        </w:rPr>
        <w:t>2</w:t>
      </w:r>
      <w:r w:rsidR="001E0CB4" w:rsidRPr="00465D00">
        <w:t>O</w:t>
      </w:r>
      <w:r w:rsidR="001E0CB4" w:rsidRPr="00465D00">
        <w:rPr>
          <w:vertAlign w:val="subscript"/>
        </w:rPr>
        <w:t>3</w:t>
      </w:r>
      <w:r w:rsidR="001E0CB4" w:rsidRPr="00465D00">
        <w:rPr>
          <w:rFonts w:eastAsiaTheme="minorEastAsia" w:cs="Arial"/>
          <w:szCs w:val="18"/>
        </w:rPr>
        <w:t xml:space="preserve"> </w:t>
      </w:r>
      <w:r w:rsidR="001E0CB4">
        <w:rPr>
          <w:rFonts w:eastAsiaTheme="minorEastAsia" w:cs="Arial"/>
          <w:szCs w:val="18"/>
        </w:rPr>
        <w:t xml:space="preserve">(S) </w:t>
      </w:r>
      <w:r w:rsidR="00465D00" w:rsidRPr="00465D00">
        <w:t xml:space="preserve">by </w:t>
      </w:r>
      <w:proofErr w:type="spellStart"/>
      <w:proofErr w:type="gramStart"/>
      <w:r w:rsidR="001906DB">
        <w:t>Eq</w:t>
      </w:r>
      <w:proofErr w:type="spellEnd"/>
      <w:r w:rsidR="001906DB">
        <w:t>(</w:t>
      </w:r>
      <w:proofErr w:type="gramEnd"/>
      <w:r w:rsidR="001906DB">
        <w:t>2).</w:t>
      </w:r>
    </w:p>
    <w:p w14:paraId="4BC074C2" w14:textId="3557BBAD" w:rsidR="00664E69" w:rsidRDefault="00F34956" w:rsidP="00CD36CA">
      <w:pPr>
        <w:pStyle w:val="CETEquation"/>
        <w:rPr>
          <w:rFonts w:eastAsiaTheme="minorEastAsia"/>
        </w:rPr>
      </w:pPr>
      <m:oMath>
        <m:f>
          <m:fPr>
            <m:ctrlPr>
              <w:rPr>
                <w:rFonts w:ascii="Cambria Math" w:hAnsi="Cambria Math" w:cs="Arial"/>
              </w:rPr>
            </m:ctrlPr>
          </m:fPr>
          <m:num>
            <m:r>
              <w:rPr>
                <w:rFonts w:ascii="Cambria Math" w:hAnsi="Cambria Math" w:cs="Arial"/>
              </w:rPr>
              <m:t>meq</m:t>
            </m:r>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num>
          <m:den>
            <m:r>
              <w:rPr>
                <w:rFonts w:ascii="Cambria Math" w:hAnsi="Cambria Math" w:cs="Arial"/>
              </w:rPr>
              <m:t>kg</m:t>
            </m:r>
            <m:r>
              <m:rPr>
                <m:sty m:val="p"/>
              </m:rPr>
              <w:rPr>
                <w:rFonts w:ascii="Cambria Math" w:hAnsi="Cambria Math" w:cs="Arial"/>
              </w:rPr>
              <m:t xml:space="preserve"> </m:t>
            </m:r>
            <m:r>
              <w:rPr>
                <w:rFonts w:ascii="Cambria Math" w:hAnsi="Cambria Math" w:cs="Arial"/>
              </w:rPr>
              <m:t>o</m:t>
            </m:r>
            <m:r>
              <w:rPr>
                <w:rFonts w:ascii="Cambria Math" w:hAnsi="Cambria Math" w:cs="Arial"/>
              </w:rPr>
              <m:t>il</m:t>
            </m:r>
          </m:den>
        </m:f>
        <m:r>
          <m:rPr>
            <m:sty m:val="p"/>
          </m:rPr>
          <w:rPr>
            <w:rFonts w:ascii="Cambria Math" w:hAnsi="Cambria Math" w:cs="Arial"/>
          </w:rPr>
          <m:t>=</m:t>
        </m:r>
        <m:f>
          <m:fPr>
            <m:ctrlPr>
              <w:rPr>
                <w:rFonts w:ascii="Cambria Math" w:hAnsi="Cambria Math" w:cs="Arial"/>
              </w:rPr>
            </m:ctrlPr>
          </m:fPr>
          <m:num>
            <m:r>
              <w:rPr>
                <w:rFonts w:ascii="Cambria Math" w:hAnsi="Cambria Math" w:cs="Arial"/>
              </w:rPr>
              <m:t>S</m:t>
            </m:r>
            <m:r>
              <m:rPr>
                <m:sty m:val="p"/>
              </m:rPr>
              <w:rPr>
                <w:rFonts w:ascii="Cambria Math" w:hAnsi="Cambria Math" w:cs="Arial"/>
              </w:rPr>
              <m:t>*</m:t>
            </m:r>
            <m:r>
              <w:rPr>
                <w:rFonts w:ascii="Cambria Math" w:hAnsi="Cambria Math" w:cs="Arial"/>
              </w:rPr>
              <m:t>0.01</m:t>
            </m:r>
            <m:r>
              <m:rPr>
                <m:sty m:val="p"/>
              </m:rPr>
              <w:rPr>
                <w:rFonts w:ascii="Cambria Math" w:hAnsi="Cambria Math" w:cs="Arial"/>
              </w:rPr>
              <m:t>*1000</m:t>
            </m:r>
          </m:num>
          <m:den>
            <m:r>
              <w:rPr>
                <w:rFonts w:ascii="Cambria Math" w:hAnsi="Cambria Math" w:cs="Arial"/>
              </w:rPr>
              <m:t>g</m:t>
            </m:r>
            <m:r>
              <m:rPr>
                <m:sty m:val="p"/>
              </m:rPr>
              <w:rPr>
                <w:rFonts w:ascii="Cambria Math" w:hAnsi="Cambria Math" w:cs="Arial"/>
              </w:rPr>
              <m:t xml:space="preserve"> </m:t>
            </m:r>
            <m:r>
              <w:rPr>
                <w:rFonts w:ascii="Cambria Math" w:hAnsi="Cambria Math" w:cs="Arial"/>
              </w:rPr>
              <m:t>of</m:t>
            </m:r>
            <m:r>
              <w:rPr>
                <w:rFonts w:ascii="Cambria Math" w:hAnsi="Cambria Math" w:cs="Arial"/>
              </w:rPr>
              <m:t xml:space="preserve"> </m:t>
            </m:r>
            <m:r>
              <w:rPr>
                <w:rFonts w:ascii="Cambria Math" w:hAnsi="Cambria Math" w:cs="Arial"/>
              </w:rPr>
              <m:t>sample</m:t>
            </m:r>
          </m:den>
        </m:f>
      </m:oMath>
      <w:r w:rsidR="00465D00">
        <w:t xml:space="preserve"> </w:t>
      </w:r>
      <w:r w:rsidR="002B525C">
        <w:t xml:space="preserve"> </w:t>
      </w:r>
      <w:r w:rsidR="00CD36CA">
        <w:t xml:space="preserve">                                                                                                                                         </w:t>
      </w:r>
      <w:r w:rsidR="00465D00">
        <w:rPr>
          <w:rFonts w:eastAsiaTheme="minorEastAsia"/>
        </w:rPr>
        <w:t>(2)</w:t>
      </w:r>
    </w:p>
    <w:p w14:paraId="06B85194" w14:textId="08410466" w:rsidR="00465D00" w:rsidRPr="00664E69" w:rsidRDefault="00465D00" w:rsidP="00664E69">
      <w:pPr>
        <w:rPr>
          <w:rFonts w:eastAsiaTheme="minorEastAsia" w:cs="Arial"/>
          <w:szCs w:val="18"/>
        </w:rPr>
      </w:pPr>
    </w:p>
    <w:p w14:paraId="759F90CC" w14:textId="2C344BB2" w:rsidR="00BA12C7" w:rsidRDefault="001E0CB4" w:rsidP="00600535">
      <w:pPr>
        <w:pStyle w:val="CETBodytext"/>
        <w:rPr>
          <w:lang w:val="en-GB"/>
        </w:rPr>
      </w:pPr>
      <w:r>
        <w:rPr>
          <w:lang w:val="en-GB"/>
        </w:rPr>
        <w:t xml:space="preserve">The cold extracted lipid phase was used to evaluate the tocopherols content by </w:t>
      </w:r>
      <w:r w:rsidRPr="00415304">
        <w:rPr>
          <w:lang w:val="en-GB"/>
        </w:rPr>
        <w:t xml:space="preserve">High-Performance Liquid Chromatography </w:t>
      </w:r>
      <w:r>
        <w:rPr>
          <w:lang w:val="en-GB"/>
        </w:rPr>
        <w:t xml:space="preserve">(HPLC) analysis. An aliquot of </w:t>
      </w:r>
      <w:r w:rsidR="00415304" w:rsidRPr="00415304">
        <w:rPr>
          <w:lang w:val="en-GB"/>
        </w:rPr>
        <w:t xml:space="preserve">20 </w:t>
      </w:r>
      <w:proofErr w:type="spellStart"/>
      <w:r w:rsidR="00415304" w:rsidRPr="00415304">
        <w:rPr>
          <w:lang w:val="en-GB"/>
        </w:rPr>
        <w:t>μL</w:t>
      </w:r>
      <w:proofErr w:type="spellEnd"/>
      <w:r w:rsidR="00415304" w:rsidRPr="00415304">
        <w:rPr>
          <w:lang w:val="en-GB"/>
        </w:rPr>
        <w:t xml:space="preserve"> of </w:t>
      </w:r>
      <w:r>
        <w:rPr>
          <w:lang w:val="en-GB"/>
        </w:rPr>
        <w:t xml:space="preserve">the </w:t>
      </w:r>
      <w:r w:rsidR="00415304" w:rsidRPr="00415304">
        <w:rPr>
          <w:lang w:val="en-GB"/>
        </w:rPr>
        <w:t xml:space="preserve">extracted oil </w:t>
      </w:r>
      <w:r>
        <w:rPr>
          <w:lang w:val="en-GB"/>
        </w:rPr>
        <w:t xml:space="preserve">was diluted (1:500) </w:t>
      </w:r>
      <w:r w:rsidR="00415304" w:rsidRPr="00415304">
        <w:rPr>
          <w:lang w:val="en-GB"/>
        </w:rPr>
        <w:t xml:space="preserve">with </w:t>
      </w:r>
      <w:r>
        <w:rPr>
          <w:lang w:val="en-GB"/>
        </w:rPr>
        <w:t xml:space="preserve">the </w:t>
      </w:r>
      <w:r w:rsidR="00415304" w:rsidRPr="00415304">
        <w:rPr>
          <w:lang w:val="en-GB"/>
        </w:rPr>
        <w:t xml:space="preserve">mobile phase eluent </w:t>
      </w:r>
      <w:r w:rsidR="008A12E2" w:rsidRPr="00415304">
        <w:rPr>
          <w:lang w:val="en-GB"/>
        </w:rPr>
        <w:t>(</w:t>
      </w:r>
      <w:proofErr w:type="spellStart"/>
      <w:proofErr w:type="gramStart"/>
      <w:r w:rsidR="008A12E2">
        <w:rPr>
          <w:lang w:val="en-GB"/>
        </w:rPr>
        <w:t>hexane</w:t>
      </w:r>
      <w:r w:rsidR="000055D8" w:rsidRPr="00415304">
        <w:rPr>
          <w:lang w:val="en-GB"/>
        </w:rPr>
        <w:t>:isopropanol</w:t>
      </w:r>
      <w:proofErr w:type="gramEnd"/>
      <w:r w:rsidR="000055D8" w:rsidRPr="00415304">
        <w:rPr>
          <w:lang w:val="en-GB"/>
        </w:rPr>
        <w:t>:ethanol</w:t>
      </w:r>
      <w:proofErr w:type="spellEnd"/>
      <w:r w:rsidR="000055D8">
        <w:rPr>
          <w:lang w:val="en-GB"/>
        </w:rPr>
        <w:t xml:space="preserve">, </w:t>
      </w:r>
      <w:r w:rsidR="000055D8" w:rsidRPr="00415304">
        <w:rPr>
          <w:lang w:val="en-GB"/>
        </w:rPr>
        <w:t>98.5:1:0.5</w:t>
      </w:r>
      <w:r w:rsidR="00415304" w:rsidRPr="00415304">
        <w:rPr>
          <w:lang w:val="en-GB"/>
        </w:rPr>
        <w:t>)</w:t>
      </w:r>
      <w:r>
        <w:rPr>
          <w:lang w:val="en-GB"/>
        </w:rPr>
        <w:t xml:space="preserve"> and then </w:t>
      </w:r>
      <w:r w:rsidR="00415304" w:rsidRPr="00415304">
        <w:rPr>
          <w:lang w:val="en-GB"/>
        </w:rPr>
        <w:t xml:space="preserve">injected </w:t>
      </w:r>
      <w:r w:rsidR="000055D8">
        <w:rPr>
          <w:lang w:val="en-GB"/>
        </w:rPr>
        <w:t>(</w:t>
      </w:r>
      <w:r w:rsidRPr="00415304">
        <w:rPr>
          <w:lang w:val="en-GB"/>
        </w:rPr>
        <w:t>20</w:t>
      </w:r>
      <w:r>
        <w:rPr>
          <w:lang w:val="en-GB"/>
        </w:rPr>
        <w:t xml:space="preserve"> </w:t>
      </w:r>
      <w:proofErr w:type="spellStart"/>
      <w:r w:rsidRPr="00415304">
        <w:rPr>
          <w:lang w:val="en-GB"/>
        </w:rPr>
        <w:t>μL</w:t>
      </w:r>
      <w:proofErr w:type="spellEnd"/>
      <w:r w:rsidR="000055D8">
        <w:rPr>
          <w:lang w:val="en-GB"/>
        </w:rPr>
        <w:t>)</w:t>
      </w:r>
      <w:r w:rsidRPr="00415304">
        <w:rPr>
          <w:lang w:val="en-GB"/>
        </w:rPr>
        <w:t xml:space="preserve"> </w:t>
      </w:r>
      <w:r w:rsidR="00415304" w:rsidRPr="00415304">
        <w:rPr>
          <w:lang w:val="en-GB"/>
        </w:rPr>
        <w:t xml:space="preserve">into </w:t>
      </w:r>
      <w:r w:rsidR="000055D8">
        <w:rPr>
          <w:lang w:val="en-GB"/>
        </w:rPr>
        <w:t xml:space="preserve">the </w:t>
      </w:r>
      <w:r w:rsidR="00415304" w:rsidRPr="00415304">
        <w:rPr>
          <w:lang w:val="en-GB"/>
        </w:rPr>
        <w:t xml:space="preserve">HPLC system consisting of a Jasco PU-2080 pump equipped with a Perkin-Elmer 650-10S fluorescence detector (Oklahoma City, OK, USA), a Jasco LC-Net II/ADC communication module and </w:t>
      </w:r>
      <w:proofErr w:type="spellStart"/>
      <w:r w:rsidR="00415304" w:rsidRPr="00415304">
        <w:rPr>
          <w:lang w:val="en-GB"/>
        </w:rPr>
        <w:t>ChromNAV</w:t>
      </w:r>
      <w:proofErr w:type="spellEnd"/>
      <w:r w:rsidR="00415304" w:rsidRPr="00415304">
        <w:rPr>
          <w:lang w:val="en-GB"/>
        </w:rPr>
        <w:t xml:space="preserve"> Control </w:t>
      </w:r>
      <w:proofErr w:type="spellStart"/>
      <w:r w:rsidR="00415304" w:rsidRPr="00415304">
        <w:rPr>
          <w:lang w:val="en-GB"/>
        </w:rPr>
        <w:t>Center</w:t>
      </w:r>
      <w:proofErr w:type="spellEnd"/>
      <w:r w:rsidR="00415304" w:rsidRPr="00415304">
        <w:rPr>
          <w:lang w:val="en-GB"/>
        </w:rPr>
        <w:t xml:space="preserve"> software. </w:t>
      </w:r>
      <w:r w:rsidR="00415304" w:rsidRPr="00415304">
        <w:rPr>
          <w:lang w:val="en-GB"/>
        </w:rPr>
        <w:lastRenderedPageBreak/>
        <w:t xml:space="preserve">Chromatographic separation of the tocopherols was carried out through a </w:t>
      </w:r>
      <w:proofErr w:type="spellStart"/>
      <w:r w:rsidR="00415304" w:rsidRPr="00415304">
        <w:rPr>
          <w:lang w:val="en-GB"/>
        </w:rPr>
        <w:t>LiChrosorb</w:t>
      </w:r>
      <w:proofErr w:type="spellEnd"/>
      <w:r w:rsidR="00415304" w:rsidRPr="00415304">
        <w:rPr>
          <w:lang w:val="en-GB"/>
        </w:rPr>
        <w:t xml:space="preserve"> Si 60-5 C18 </w:t>
      </w:r>
      <w:r w:rsidR="008A12E2" w:rsidRPr="00415304">
        <w:rPr>
          <w:lang w:val="en-GB"/>
        </w:rPr>
        <w:t>250-millimeter</w:t>
      </w:r>
      <w:r w:rsidR="00415304" w:rsidRPr="00415304">
        <w:rPr>
          <w:lang w:val="en-GB"/>
        </w:rPr>
        <w:t xml:space="preserve"> x 4.6 </w:t>
      </w:r>
      <w:proofErr w:type="spellStart"/>
      <w:r w:rsidR="00415304" w:rsidRPr="00415304">
        <w:rPr>
          <w:lang w:val="en-GB"/>
        </w:rPr>
        <w:t>millimeter</w:t>
      </w:r>
      <w:proofErr w:type="spellEnd"/>
      <w:r w:rsidR="00415304" w:rsidRPr="00415304">
        <w:rPr>
          <w:lang w:val="en-GB"/>
        </w:rPr>
        <w:t xml:space="preserve">, 5 </w:t>
      </w:r>
      <w:proofErr w:type="spellStart"/>
      <w:r w:rsidR="00457DDC" w:rsidRPr="00415304">
        <w:rPr>
          <w:lang w:val="en-GB"/>
        </w:rPr>
        <w:t>μ</w:t>
      </w:r>
      <w:r w:rsidR="00457DDC">
        <w:rPr>
          <w:lang w:val="en-GB"/>
        </w:rPr>
        <w:t>m</w:t>
      </w:r>
      <w:proofErr w:type="spellEnd"/>
      <w:r w:rsidR="00457DDC">
        <w:rPr>
          <w:lang w:val="en-GB"/>
        </w:rPr>
        <w:t xml:space="preserve"> </w:t>
      </w:r>
      <w:r w:rsidR="00415304" w:rsidRPr="00415304">
        <w:rPr>
          <w:lang w:val="en-GB"/>
        </w:rPr>
        <w:t>column (</w:t>
      </w:r>
      <w:proofErr w:type="spellStart"/>
      <w:r w:rsidR="00415304" w:rsidRPr="00415304">
        <w:rPr>
          <w:lang w:val="en-GB"/>
        </w:rPr>
        <w:t>Supelco</w:t>
      </w:r>
      <w:proofErr w:type="spellEnd"/>
      <w:r w:rsidR="00415304" w:rsidRPr="00415304">
        <w:rPr>
          <w:lang w:val="en-GB"/>
        </w:rPr>
        <w:t xml:space="preserve">, Bellefonte, PA, USA), </w:t>
      </w:r>
      <w:r w:rsidR="000055D8">
        <w:rPr>
          <w:lang w:val="en-GB"/>
        </w:rPr>
        <w:t>with a</w:t>
      </w:r>
      <w:r w:rsidR="00BB0830">
        <w:rPr>
          <w:lang w:val="en-GB"/>
        </w:rPr>
        <w:t xml:space="preserve"> </w:t>
      </w:r>
      <w:r w:rsidR="00415304" w:rsidRPr="00415304">
        <w:rPr>
          <w:lang w:val="en-GB"/>
        </w:rPr>
        <w:t xml:space="preserve">mobile phase flow rate of 1 mL/min. The fluorescence detector was set </w:t>
      </w:r>
      <w:r w:rsidR="000055D8">
        <w:rPr>
          <w:lang w:val="en-GB"/>
        </w:rPr>
        <w:t>at</w:t>
      </w:r>
      <w:r w:rsidR="00415304" w:rsidRPr="00415304">
        <w:rPr>
          <w:lang w:val="en-GB"/>
        </w:rPr>
        <w:t xml:space="preserve"> an excitation wavelength of 290 nm and </w:t>
      </w:r>
      <w:r w:rsidR="00A2479E">
        <w:rPr>
          <w:lang w:val="en-GB"/>
        </w:rPr>
        <w:t xml:space="preserve">an </w:t>
      </w:r>
      <w:r w:rsidR="00415304" w:rsidRPr="00415304">
        <w:rPr>
          <w:lang w:val="en-GB"/>
        </w:rPr>
        <w:t xml:space="preserve">emission wavelength of 330 nm. The results of the </w:t>
      </w:r>
      <w:proofErr w:type="spellStart"/>
      <w:r w:rsidR="002460E8" w:rsidRPr="00415304">
        <w:rPr>
          <w:lang w:val="en-GB"/>
        </w:rPr>
        <w:t>analy</w:t>
      </w:r>
      <w:r w:rsidR="00A2479E">
        <w:rPr>
          <w:lang w:val="en-GB"/>
        </w:rPr>
        <w:t>z</w:t>
      </w:r>
      <w:r w:rsidR="002460E8" w:rsidRPr="00415304">
        <w:rPr>
          <w:lang w:val="en-GB"/>
        </w:rPr>
        <w:t>ed</w:t>
      </w:r>
      <w:proofErr w:type="spellEnd"/>
      <w:r w:rsidR="00415304" w:rsidRPr="00415304">
        <w:rPr>
          <w:lang w:val="en-GB"/>
        </w:rPr>
        <w:t xml:space="preserve"> tocopherols</w:t>
      </w:r>
      <w:r w:rsidR="00C36E5D">
        <w:rPr>
          <w:lang w:val="en-GB"/>
        </w:rPr>
        <w:t xml:space="preserve"> (</w:t>
      </w:r>
      <w:r w:rsidR="00C36E5D" w:rsidRPr="00C36E5D">
        <w:rPr>
          <w:lang w:val="en-GB"/>
        </w:rPr>
        <w:t>α-</w:t>
      </w:r>
      <w:r w:rsidR="00C36E5D">
        <w:rPr>
          <w:lang w:val="en-GB"/>
        </w:rPr>
        <w:t xml:space="preserve">, </w:t>
      </w:r>
      <w:r w:rsidR="00C36E5D">
        <w:rPr>
          <w:lang w:val="en-GB"/>
        </w:rPr>
        <w:sym w:font="Symbol" w:char="F067"/>
      </w:r>
      <w:r w:rsidR="00C36E5D">
        <w:rPr>
          <w:lang w:val="en-GB"/>
        </w:rPr>
        <w:t xml:space="preserve">- and </w:t>
      </w:r>
      <w:r w:rsidR="00C36E5D">
        <w:rPr>
          <w:lang w:val="en-GB"/>
        </w:rPr>
        <w:sym w:font="Symbol" w:char="F064"/>
      </w:r>
      <w:r w:rsidR="00C36E5D">
        <w:rPr>
          <w:lang w:val="en-GB"/>
        </w:rPr>
        <w:t>-</w:t>
      </w:r>
      <w:r w:rsidR="00C36E5D" w:rsidRPr="00C36E5D">
        <w:rPr>
          <w:lang w:val="en-GB"/>
        </w:rPr>
        <w:t>tocopherol</w:t>
      </w:r>
      <w:r w:rsidR="00C36E5D">
        <w:rPr>
          <w:lang w:val="en-GB"/>
        </w:rPr>
        <w:t>)</w:t>
      </w:r>
      <w:r w:rsidR="00C36E5D" w:rsidRPr="00C36E5D">
        <w:rPr>
          <w:lang w:val="en-GB"/>
        </w:rPr>
        <w:t xml:space="preserve"> </w:t>
      </w:r>
      <w:r w:rsidR="00415304" w:rsidRPr="00415304">
        <w:rPr>
          <w:lang w:val="en-GB"/>
        </w:rPr>
        <w:t>were expressed in μg/</w:t>
      </w:r>
      <w:r w:rsidR="000055D8">
        <w:rPr>
          <w:lang w:val="en-GB"/>
        </w:rPr>
        <w:t>L</w:t>
      </w:r>
      <w:r w:rsidR="00804C4F">
        <w:rPr>
          <w:lang w:val="en-GB"/>
        </w:rPr>
        <w:t xml:space="preserve"> </w:t>
      </w:r>
      <w:r w:rsidR="00457DDC">
        <w:rPr>
          <w:lang w:val="en-GB"/>
        </w:rPr>
        <w:t>through</w:t>
      </w:r>
      <w:r w:rsidR="00804C4F">
        <w:rPr>
          <w:lang w:val="en-GB"/>
        </w:rPr>
        <w:t xml:space="preserve"> calibration curve</w:t>
      </w:r>
      <w:r w:rsidR="00457DDC">
        <w:rPr>
          <w:lang w:val="en-GB"/>
        </w:rPr>
        <w:t xml:space="preserve">s obtained </w:t>
      </w:r>
      <w:r w:rsidR="00804C4F">
        <w:rPr>
          <w:lang w:val="en-GB"/>
        </w:rPr>
        <w:t xml:space="preserve">with </w:t>
      </w:r>
      <w:r w:rsidR="00457DDC">
        <w:rPr>
          <w:lang w:val="en-GB"/>
        </w:rPr>
        <w:t xml:space="preserve">the </w:t>
      </w:r>
      <w:r w:rsidR="00804C4F">
        <w:rPr>
          <w:lang w:val="en-GB"/>
        </w:rPr>
        <w:t xml:space="preserve">following standard: </w:t>
      </w:r>
      <w:r w:rsidR="00804C4F" w:rsidRPr="00804C4F">
        <w:rPr>
          <w:lang w:val="en-GB"/>
        </w:rPr>
        <w:t>α-tocopherol</w:t>
      </w:r>
      <w:r w:rsidR="00804C4F">
        <w:rPr>
          <w:lang w:val="en-GB"/>
        </w:rPr>
        <w:t xml:space="preserve"> (Sigma-Aldrich, 10-2000 ppt, R</w:t>
      </w:r>
      <w:r w:rsidR="00804C4F" w:rsidRPr="00D20038">
        <w:rPr>
          <w:vertAlign w:val="superscript"/>
          <w:lang w:val="en-GB"/>
        </w:rPr>
        <w:t>2</w:t>
      </w:r>
      <w:r w:rsidR="00804C4F">
        <w:rPr>
          <w:lang w:val="en-GB"/>
        </w:rPr>
        <w:t>: 0</w:t>
      </w:r>
      <w:r w:rsidR="0057095E">
        <w:rPr>
          <w:lang w:val="en-GB"/>
        </w:rPr>
        <w:t>.</w:t>
      </w:r>
      <w:r w:rsidR="00804C4F">
        <w:rPr>
          <w:lang w:val="en-GB"/>
        </w:rPr>
        <w:t>9997);</w:t>
      </w:r>
      <w:r w:rsidR="00804C4F" w:rsidRPr="00804C4F">
        <w:rPr>
          <w:lang w:val="en-GB"/>
        </w:rPr>
        <w:t xml:space="preserve"> </w:t>
      </w:r>
      <w:r w:rsidR="00804C4F">
        <w:rPr>
          <w:lang w:val="en-GB"/>
        </w:rPr>
        <w:sym w:font="Symbol" w:char="F064"/>
      </w:r>
      <w:r w:rsidR="00804C4F">
        <w:rPr>
          <w:lang w:val="en-GB"/>
        </w:rPr>
        <w:t>-tocopherol (Sigma-Aldrich,</w:t>
      </w:r>
      <w:r w:rsidR="00D20038">
        <w:rPr>
          <w:lang w:val="en-GB"/>
        </w:rPr>
        <w:t xml:space="preserve"> 10-2000 ppt, R</w:t>
      </w:r>
      <w:r w:rsidR="00D20038" w:rsidRPr="00D20038">
        <w:rPr>
          <w:vertAlign w:val="superscript"/>
          <w:lang w:val="en-GB"/>
        </w:rPr>
        <w:t>2</w:t>
      </w:r>
      <w:r w:rsidR="00D20038">
        <w:rPr>
          <w:lang w:val="en-GB"/>
        </w:rPr>
        <w:t>: 0</w:t>
      </w:r>
      <w:r w:rsidR="0057095E">
        <w:rPr>
          <w:lang w:val="en-GB"/>
        </w:rPr>
        <w:t>.</w:t>
      </w:r>
      <w:r w:rsidR="00D20038">
        <w:rPr>
          <w:lang w:val="en-GB"/>
        </w:rPr>
        <w:t>9984);</w:t>
      </w:r>
      <w:r w:rsidR="00804C4F">
        <w:rPr>
          <w:lang w:val="en-GB"/>
        </w:rPr>
        <w:t xml:space="preserve"> </w:t>
      </w:r>
      <w:r w:rsidR="00804C4F">
        <w:rPr>
          <w:lang w:val="en-GB"/>
        </w:rPr>
        <w:sym w:font="Symbol" w:char="F067"/>
      </w:r>
      <w:r w:rsidR="00D20038">
        <w:rPr>
          <w:lang w:val="en-GB"/>
        </w:rPr>
        <w:t>-tocopherol (Sigma-Aldrich, 5-1000 ppt, R</w:t>
      </w:r>
      <w:r w:rsidR="00D20038" w:rsidRPr="00D20038">
        <w:rPr>
          <w:vertAlign w:val="superscript"/>
          <w:lang w:val="en-GB"/>
        </w:rPr>
        <w:t>2</w:t>
      </w:r>
      <w:r w:rsidR="00D20038">
        <w:rPr>
          <w:lang w:val="en-GB"/>
        </w:rPr>
        <w:t>: 0</w:t>
      </w:r>
      <w:r w:rsidR="0057095E">
        <w:rPr>
          <w:lang w:val="en-GB"/>
        </w:rPr>
        <w:t>.</w:t>
      </w:r>
      <w:r w:rsidR="00D20038">
        <w:rPr>
          <w:lang w:val="en-GB"/>
        </w:rPr>
        <w:t>9979).</w:t>
      </w:r>
    </w:p>
    <w:p w14:paraId="764EA3FD" w14:textId="1807EF7D" w:rsidR="002460E8" w:rsidRDefault="000055D8" w:rsidP="002460E8">
      <w:pPr>
        <w:pStyle w:val="CETBodytext"/>
        <w:rPr>
          <w:lang w:val="en-GB"/>
        </w:rPr>
      </w:pPr>
      <w:r>
        <w:t xml:space="preserve">Oil separation was evaluated on the samples prepared in the falcon tubes starting </w:t>
      </w:r>
      <w:r w:rsidR="002460E8" w:rsidRPr="002460E8">
        <w:rPr>
          <w:lang w:val="en-GB"/>
        </w:rPr>
        <w:t>from t</w:t>
      </w:r>
      <w:r w:rsidR="002460E8" w:rsidRPr="003E31F1">
        <w:rPr>
          <w:vertAlign w:val="subscript"/>
          <w:lang w:val="en-GB"/>
        </w:rPr>
        <w:t>2</w:t>
      </w:r>
      <w:r w:rsidR="002460E8" w:rsidRPr="002460E8">
        <w:rPr>
          <w:lang w:val="en-GB"/>
        </w:rPr>
        <w:t xml:space="preserve">. </w:t>
      </w:r>
      <w:r>
        <w:rPr>
          <w:lang w:val="en-GB"/>
        </w:rPr>
        <w:t xml:space="preserve">After </w:t>
      </w:r>
      <w:r w:rsidR="008A12E2">
        <w:rPr>
          <w:lang w:val="en-GB"/>
        </w:rPr>
        <w:t xml:space="preserve">being </w:t>
      </w:r>
      <w:r w:rsidR="008A12E2" w:rsidRPr="002460E8">
        <w:rPr>
          <w:lang w:val="en-GB"/>
        </w:rPr>
        <w:t>taken</w:t>
      </w:r>
      <w:r>
        <w:rPr>
          <w:lang w:val="en-GB"/>
        </w:rPr>
        <w:t xml:space="preserve"> out</w:t>
      </w:r>
      <w:r w:rsidR="002460E8" w:rsidRPr="002460E8">
        <w:rPr>
          <w:lang w:val="en-GB"/>
        </w:rPr>
        <w:t xml:space="preserve"> from the </w:t>
      </w:r>
      <w:r>
        <w:rPr>
          <w:lang w:val="en-GB"/>
        </w:rPr>
        <w:t xml:space="preserve">oven </w:t>
      </w:r>
      <w:r w:rsidR="002460E8" w:rsidRPr="002460E8">
        <w:rPr>
          <w:lang w:val="en-GB"/>
        </w:rPr>
        <w:t>at 40</w:t>
      </w:r>
      <w:r w:rsidR="00FD37F7">
        <w:rPr>
          <w:lang w:val="en-GB"/>
        </w:rPr>
        <w:t xml:space="preserve"> </w:t>
      </w:r>
      <w:r w:rsidR="002460E8" w:rsidRPr="002460E8">
        <w:rPr>
          <w:lang w:val="en-GB"/>
        </w:rPr>
        <w:t xml:space="preserve">°C, </w:t>
      </w:r>
      <w:r>
        <w:rPr>
          <w:lang w:val="en-GB"/>
        </w:rPr>
        <w:t xml:space="preserve">the </w:t>
      </w:r>
      <w:r w:rsidR="002460E8" w:rsidRPr="002460E8">
        <w:rPr>
          <w:lang w:val="en-GB"/>
        </w:rPr>
        <w:t xml:space="preserve">layer of oil </w:t>
      </w:r>
      <w:r>
        <w:rPr>
          <w:lang w:val="en-GB"/>
        </w:rPr>
        <w:t xml:space="preserve">separated on the top </w:t>
      </w:r>
      <w:r w:rsidR="002460E8" w:rsidRPr="002460E8">
        <w:rPr>
          <w:lang w:val="en-GB"/>
        </w:rPr>
        <w:t>was taken manually with a glass pasteur pipette and weighed.</w:t>
      </w:r>
    </w:p>
    <w:p w14:paraId="193C800E" w14:textId="6B6C7837" w:rsidR="00BA12C7" w:rsidRDefault="00BA12C7" w:rsidP="00CE76EB">
      <w:pPr>
        <w:pStyle w:val="CETheadingx"/>
      </w:pPr>
      <w:r>
        <w:t>Statistical analysis</w:t>
      </w:r>
    </w:p>
    <w:p w14:paraId="142A9A58" w14:textId="05A79299" w:rsidR="00BA12C7" w:rsidRPr="005078DA" w:rsidRDefault="000055D8" w:rsidP="00BA12C7">
      <w:pPr>
        <w:pStyle w:val="CETBodytext"/>
      </w:pPr>
      <w:r>
        <w:t xml:space="preserve">All </w:t>
      </w:r>
      <w:r w:rsidR="00F77E88">
        <w:t>the</w:t>
      </w:r>
      <w:r w:rsidR="004D725B">
        <w:t xml:space="preserve"> analyses were carried out </w:t>
      </w:r>
      <w:r>
        <w:t xml:space="preserve">at least </w:t>
      </w:r>
      <w:r w:rsidR="004D725B">
        <w:t xml:space="preserve">in triplicate </w:t>
      </w:r>
      <w:r>
        <w:t xml:space="preserve">on each sample </w:t>
      </w:r>
      <w:r w:rsidR="004D725B">
        <w:t xml:space="preserve">and the values reported in this paper are the averages of </w:t>
      </w:r>
      <w:r w:rsidR="008A12E2">
        <w:t>the replicates</w:t>
      </w:r>
      <w:r w:rsidR="004D725B">
        <w:t xml:space="preserve"> </w:t>
      </w:r>
      <w:r>
        <w:rPr>
          <w:rFonts w:cs="Arial"/>
        </w:rPr>
        <w:t>±</w:t>
      </w:r>
      <w:r w:rsidR="004D725B">
        <w:t xml:space="preserve"> relative standard deviation (</w:t>
      </w:r>
      <w:proofErr w:type="spellStart"/>
      <w:r w:rsidR="004D725B">
        <w:t>s.d.</w:t>
      </w:r>
      <w:proofErr w:type="spellEnd"/>
      <w:r w:rsidR="004D725B">
        <w:t xml:space="preserve">). </w:t>
      </w:r>
      <w:r w:rsidR="008A12E2">
        <w:t>Statistical analysis</w:t>
      </w:r>
      <w:r w:rsidR="004D725B">
        <w:t xml:space="preserve"> was carried out</w:t>
      </w:r>
      <w:r>
        <w:t xml:space="preserve"> to assess</w:t>
      </w:r>
      <w:r w:rsidR="004D725B">
        <w:t xml:space="preserve"> the influence of time for the same </w:t>
      </w:r>
      <w:r>
        <w:t xml:space="preserve">paste sample and the influence of paste </w:t>
      </w:r>
      <w:r w:rsidR="004D725B">
        <w:t>type at the</w:t>
      </w:r>
      <w:r w:rsidR="003C5CC9">
        <w:t xml:space="preserve"> </w:t>
      </w:r>
      <w:r w:rsidR="004D725B">
        <w:t xml:space="preserve">same time on the </w:t>
      </w:r>
      <w:r w:rsidR="00AD6711">
        <w:t xml:space="preserve">evaluated </w:t>
      </w:r>
      <w:r w:rsidR="004D725B">
        <w:t xml:space="preserve">parameters </w:t>
      </w:r>
      <w:r w:rsidR="00AD6711">
        <w:t xml:space="preserve">based </w:t>
      </w:r>
      <w:r w:rsidR="00F77E88">
        <w:t>on one</w:t>
      </w:r>
      <w:r w:rsidR="004D725B">
        <w:t>-way analysis of</w:t>
      </w:r>
      <w:r w:rsidR="003C5CC9">
        <w:t xml:space="preserve"> </w:t>
      </w:r>
      <w:r w:rsidR="004D725B">
        <w:t>variance (ANOVA)</w:t>
      </w:r>
      <w:r w:rsidR="00AD6711">
        <w:t xml:space="preserve">, </w:t>
      </w:r>
      <w:r w:rsidR="004D725B">
        <w:t>using the software IBM SPSS Statistics (SPSS inc., Chicago, IL, USA</w:t>
      </w:r>
      <w:r w:rsidR="00F77E88">
        <w:t xml:space="preserve">, </w:t>
      </w:r>
      <w:r w:rsidR="00804C4F">
        <w:t xml:space="preserve">version </w:t>
      </w:r>
      <w:r w:rsidR="00F77E88">
        <w:t>25</w:t>
      </w:r>
      <w:r w:rsidR="004D725B">
        <w:t xml:space="preserve">) </w:t>
      </w:r>
      <w:r w:rsidR="00AD6711">
        <w:t xml:space="preserve">at </w:t>
      </w:r>
      <w:r w:rsidR="004D725B">
        <w:t>a 95</w:t>
      </w:r>
      <w:r w:rsidR="00FD37F7">
        <w:t xml:space="preserve"> </w:t>
      </w:r>
      <w:r w:rsidR="004D725B">
        <w:t>% confidence level (p &lt; 0.05)</w:t>
      </w:r>
      <w:r w:rsidR="003C5CC9">
        <w:t xml:space="preserve">. </w:t>
      </w:r>
      <w:r w:rsidR="004D725B">
        <w:t xml:space="preserve">In the case of statistically significant </w:t>
      </w:r>
      <w:r w:rsidR="008A12E2">
        <w:t>influence, homogeneity</w:t>
      </w:r>
      <w:r w:rsidR="004D725B">
        <w:t xml:space="preserve"> of variances </w:t>
      </w:r>
      <w:r w:rsidR="00AD6711">
        <w:t xml:space="preserve">was verified </w:t>
      </w:r>
      <w:r w:rsidR="004D725B">
        <w:t xml:space="preserve">with </w:t>
      </w:r>
      <w:proofErr w:type="spellStart"/>
      <w:r w:rsidR="004D725B">
        <w:t>Levene's</w:t>
      </w:r>
      <w:proofErr w:type="spellEnd"/>
      <w:r w:rsidR="004D725B">
        <w:t xml:space="preserve"> Test, </w:t>
      </w:r>
      <w:r w:rsidR="00AD6711">
        <w:t xml:space="preserve">and </w:t>
      </w:r>
      <w:r w:rsidR="004D725B">
        <w:t xml:space="preserve">the </w:t>
      </w:r>
      <w:r w:rsidR="00AD6711">
        <w:t xml:space="preserve">mean values </w:t>
      </w:r>
      <w:r w:rsidR="004D725B">
        <w:t>were discriminated through</w:t>
      </w:r>
      <w:r w:rsidR="003C5CC9">
        <w:t xml:space="preserve"> </w:t>
      </w:r>
      <w:r w:rsidR="004D725B">
        <w:t>Tukey's Post-Hoc</w:t>
      </w:r>
      <w:r w:rsidR="00AD6711">
        <w:t xml:space="preserve"> test (always at p &lt; 0.05)</w:t>
      </w:r>
      <w:r w:rsidR="003C5CC9">
        <w:t>.</w:t>
      </w:r>
    </w:p>
    <w:p w14:paraId="03E7D1B4" w14:textId="01C7A222" w:rsidR="00130F14" w:rsidRPr="00C70A5A" w:rsidRDefault="009D241B" w:rsidP="00130F14">
      <w:pPr>
        <w:pStyle w:val="CETHeading1"/>
        <w:tabs>
          <w:tab w:val="clear" w:pos="360"/>
        </w:tabs>
        <w:rPr>
          <w:lang w:val="en-GB"/>
        </w:rPr>
      </w:pPr>
      <w:r w:rsidRPr="004B1F67">
        <w:rPr>
          <w:lang w:val="en-GB"/>
        </w:rPr>
        <w:t xml:space="preserve">Results and </w:t>
      </w:r>
      <w:r w:rsidR="00BF23A1">
        <w:rPr>
          <w:lang w:val="en-GB"/>
        </w:rPr>
        <w:t>d</w:t>
      </w:r>
      <w:r w:rsidRPr="004B1F67">
        <w:rPr>
          <w:lang w:val="en-GB"/>
        </w:rPr>
        <w:t>iscussions</w:t>
      </w:r>
    </w:p>
    <w:p w14:paraId="44B30EDC" w14:textId="6E303ECF" w:rsidR="00A63F88" w:rsidRDefault="00CF7262" w:rsidP="008D6F86">
      <w:pPr>
        <w:pStyle w:val="CETBodytext"/>
        <w:spacing w:after="120"/>
      </w:pPr>
      <w:r w:rsidRPr="00CF7262">
        <w:t xml:space="preserve">The results of the protein characterization analysis are </w:t>
      </w:r>
      <w:r w:rsidR="00457DDC">
        <w:t xml:space="preserve">reported in </w:t>
      </w:r>
      <w:r w:rsidR="008D3BE4" w:rsidRPr="008D3BE4">
        <w:fldChar w:fldCharType="begin"/>
      </w:r>
      <w:r w:rsidR="008D3BE4" w:rsidRPr="008D3BE4">
        <w:instrText xml:space="preserve"> REF _Ref129076421 \h  \* MERGEFORMAT </w:instrText>
      </w:r>
      <w:r w:rsidR="008D3BE4" w:rsidRPr="008D3BE4">
        <w:fldChar w:fldCharType="separate"/>
      </w:r>
      <w:r w:rsidR="008D3BE4" w:rsidRPr="008D3BE4">
        <w:t>Table 1</w:t>
      </w:r>
      <w:r w:rsidR="008D3BE4" w:rsidRPr="008D3BE4">
        <w:fldChar w:fldCharType="end"/>
      </w:r>
      <w:r w:rsidRPr="00CF7262">
        <w:t>.</w:t>
      </w:r>
      <w:r>
        <w:t xml:space="preserve"> T</w:t>
      </w:r>
      <w:r w:rsidRPr="00CF7262">
        <w:t>he values are all expressed on a dry</w:t>
      </w:r>
      <w:r>
        <w:t xml:space="preserve"> matter.</w:t>
      </w:r>
      <w:r w:rsidR="00862229" w:rsidRPr="00862229">
        <w:t xml:space="preserve"> </w:t>
      </w:r>
      <w:r w:rsidR="00862229">
        <w:t xml:space="preserve">The results show that the percentage value of protein and WHC value </w:t>
      </w:r>
      <w:r w:rsidR="00457DDC">
        <w:t>was</w:t>
      </w:r>
      <w:r w:rsidR="00862229">
        <w:t xml:space="preserve"> high</w:t>
      </w:r>
      <w:r w:rsidR="00457DDC">
        <w:t>er</w:t>
      </w:r>
      <w:r w:rsidR="00862229">
        <w:t xml:space="preserve"> in </w:t>
      </w:r>
      <w:r w:rsidR="00457DDC">
        <w:t>the soy protein sample than in the sunflower one</w:t>
      </w:r>
      <w:r w:rsidR="00862229">
        <w:t xml:space="preserve">. The OHC </w:t>
      </w:r>
      <w:r w:rsidR="00457DDC">
        <w:t>was</w:t>
      </w:r>
      <w:r w:rsidR="00862229">
        <w:t xml:space="preserve"> the same for both plant protein samples.</w:t>
      </w:r>
    </w:p>
    <w:p w14:paraId="4AF6605B" w14:textId="33BE30E6" w:rsidR="008D3BE4" w:rsidRPr="008D3BE4" w:rsidRDefault="008D3BE4" w:rsidP="00862229">
      <w:pPr>
        <w:pStyle w:val="CETTabletitle"/>
      </w:pPr>
      <w:bookmarkStart w:id="3" w:name="_Ref129076421"/>
      <w:r w:rsidRPr="008D3BE4">
        <w:t xml:space="preserve">Table </w:t>
      </w:r>
      <w:r w:rsidRPr="008D3BE4">
        <w:fldChar w:fldCharType="begin"/>
      </w:r>
      <w:r w:rsidRPr="008D3BE4">
        <w:instrText xml:space="preserve"> SEQ Table \* ARABIC </w:instrText>
      </w:r>
      <w:r w:rsidRPr="008D3BE4">
        <w:fldChar w:fldCharType="separate"/>
      </w:r>
      <w:r w:rsidRPr="008D3BE4">
        <w:t>1</w:t>
      </w:r>
      <w:r w:rsidRPr="008D3BE4">
        <w:fldChar w:fldCharType="end"/>
      </w:r>
      <w:bookmarkEnd w:id="3"/>
      <w:r w:rsidRPr="008D3BE4">
        <w:t>: Results of protein characterization analysis</w:t>
      </w:r>
    </w:p>
    <w:tbl>
      <w:tblPr>
        <w:tblStyle w:val="Tabellasemplice-2"/>
        <w:tblW w:w="0" w:type="auto"/>
        <w:tblLayout w:type="fixed"/>
        <w:tblLook w:val="04A0" w:firstRow="1" w:lastRow="0" w:firstColumn="1" w:lastColumn="0" w:noHBand="0" w:noVBand="1"/>
      </w:tblPr>
      <w:tblGrid>
        <w:gridCol w:w="1418"/>
        <w:gridCol w:w="1275"/>
        <w:gridCol w:w="1276"/>
        <w:gridCol w:w="1276"/>
        <w:gridCol w:w="1276"/>
      </w:tblGrid>
      <w:tr w:rsidR="00CF7262" w:rsidRPr="00CF7262" w14:paraId="5250B32E" w14:textId="77777777" w:rsidTr="00457DDC">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008000"/>
              <w:bottom w:val="single" w:sz="6" w:space="0" w:color="008000"/>
            </w:tcBorders>
            <w:noWrap/>
            <w:hideMark/>
          </w:tcPr>
          <w:p w14:paraId="58608219" w14:textId="77777777" w:rsidR="00CF7262" w:rsidRPr="00CF7262" w:rsidRDefault="00CF7262" w:rsidP="00436CF6">
            <w:pPr>
              <w:pStyle w:val="CETBodytext"/>
              <w:spacing w:line="240" w:lineRule="auto"/>
              <w:rPr>
                <w:lang w:val="en-GB"/>
              </w:rPr>
            </w:pPr>
            <w:bookmarkStart w:id="4" w:name="_Hlk129076037"/>
          </w:p>
        </w:tc>
        <w:tc>
          <w:tcPr>
            <w:tcW w:w="1275" w:type="dxa"/>
            <w:tcBorders>
              <w:top w:val="single" w:sz="6" w:space="0" w:color="008000"/>
              <w:bottom w:val="single" w:sz="6" w:space="0" w:color="008000"/>
            </w:tcBorders>
            <w:noWrap/>
            <w:hideMark/>
          </w:tcPr>
          <w:p w14:paraId="096BE356" w14:textId="77777777" w:rsidR="00CF7262" w:rsidRPr="00CF7262" w:rsidRDefault="00CF7262" w:rsidP="00436CF6">
            <w:pPr>
              <w:pStyle w:val="CETBodytext"/>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CF7262">
              <w:rPr>
                <w:lang w:val="en-GB"/>
              </w:rPr>
              <w:t>% Protein</w:t>
            </w:r>
          </w:p>
        </w:tc>
        <w:tc>
          <w:tcPr>
            <w:tcW w:w="1276" w:type="dxa"/>
            <w:tcBorders>
              <w:top w:val="single" w:sz="6" w:space="0" w:color="008000"/>
              <w:bottom w:val="single" w:sz="6" w:space="0" w:color="008000"/>
            </w:tcBorders>
            <w:noWrap/>
            <w:hideMark/>
          </w:tcPr>
          <w:p w14:paraId="0AFCFD16" w14:textId="77777777" w:rsidR="00CF7262" w:rsidRPr="00CF7262" w:rsidRDefault="00CF7262" w:rsidP="00436CF6">
            <w:pPr>
              <w:pStyle w:val="CETBodytext"/>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CF7262">
              <w:rPr>
                <w:lang w:val="en-GB"/>
              </w:rPr>
              <w:t xml:space="preserve">% </w:t>
            </w:r>
            <w:proofErr w:type="spellStart"/>
            <w:r w:rsidRPr="00CF7262">
              <w:rPr>
                <w:lang w:val="en-GB"/>
              </w:rPr>
              <w:t>Fiber</w:t>
            </w:r>
            <w:proofErr w:type="spellEnd"/>
          </w:p>
        </w:tc>
        <w:tc>
          <w:tcPr>
            <w:tcW w:w="1276" w:type="dxa"/>
            <w:tcBorders>
              <w:top w:val="single" w:sz="6" w:space="0" w:color="008000"/>
              <w:bottom w:val="single" w:sz="6" w:space="0" w:color="008000"/>
            </w:tcBorders>
            <w:noWrap/>
            <w:hideMark/>
          </w:tcPr>
          <w:p w14:paraId="2685FA3A" w14:textId="77777777" w:rsidR="00CF7262" w:rsidRPr="00CF7262" w:rsidRDefault="00CF7262" w:rsidP="00436CF6">
            <w:pPr>
              <w:pStyle w:val="CETBodytext"/>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CF7262">
              <w:rPr>
                <w:lang w:val="en-GB"/>
              </w:rPr>
              <w:t>WHC</w:t>
            </w:r>
          </w:p>
        </w:tc>
        <w:tc>
          <w:tcPr>
            <w:tcW w:w="1276" w:type="dxa"/>
            <w:tcBorders>
              <w:top w:val="single" w:sz="6" w:space="0" w:color="008000"/>
              <w:bottom w:val="single" w:sz="6" w:space="0" w:color="008000"/>
            </w:tcBorders>
            <w:noWrap/>
            <w:hideMark/>
          </w:tcPr>
          <w:p w14:paraId="7CDD569D" w14:textId="77777777" w:rsidR="00CF7262" w:rsidRPr="00CF7262" w:rsidRDefault="00CF7262" w:rsidP="00436CF6">
            <w:pPr>
              <w:pStyle w:val="CETBodytext"/>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CF7262">
              <w:rPr>
                <w:lang w:val="en-GB"/>
              </w:rPr>
              <w:t>OHC</w:t>
            </w:r>
          </w:p>
        </w:tc>
      </w:tr>
      <w:tr w:rsidR="00CF7262" w:rsidRPr="00CF7262" w14:paraId="23851C33" w14:textId="77777777" w:rsidTr="00457DDC">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418" w:type="dxa"/>
            <w:tcBorders>
              <w:top w:val="single" w:sz="6" w:space="0" w:color="008000"/>
              <w:bottom w:val="single" w:sz="12" w:space="0" w:color="FFFFFF" w:themeColor="background1"/>
            </w:tcBorders>
            <w:noWrap/>
            <w:hideMark/>
          </w:tcPr>
          <w:p w14:paraId="7CF6C625" w14:textId="65A610C5" w:rsidR="00CF7262" w:rsidRPr="00CF7262" w:rsidRDefault="00457DDC" w:rsidP="00436CF6">
            <w:pPr>
              <w:pStyle w:val="CETBodytext"/>
              <w:spacing w:line="240" w:lineRule="auto"/>
              <w:rPr>
                <w:lang w:val="en-GB"/>
              </w:rPr>
            </w:pPr>
            <w:r>
              <w:rPr>
                <w:lang w:val="en-GB"/>
              </w:rPr>
              <w:t>Sunflower proteins</w:t>
            </w:r>
          </w:p>
        </w:tc>
        <w:tc>
          <w:tcPr>
            <w:tcW w:w="1275" w:type="dxa"/>
            <w:tcBorders>
              <w:top w:val="single" w:sz="6" w:space="0" w:color="008000"/>
              <w:bottom w:val="single" w:sz="12" w:space="0" w:color="FFFFFF" w:themeColor="background1"/>
            </w:tcBorders>
            <w:noWrap/>
            <w:hideMark/>
          </w:tcPr>
          <w:p w14:paraId="221C82DD" w14:textId="28D3CF67" w:rsidR="00CF7262" w:rsidRPr="00CF7262" w:rsidRDefault="00CF7262" w:rsidP="00436CF6">
            <w:pPr>
              <w:pStyle w:val="CETBodytext"/>
              <w:spacing w:line="240" w:lineRule="auto"/>
              <w:cnfStyle w:val="000000100000" w:firstRow="0" w:lastRow="0" w:firstColumn="0" w:lastColumn="0" w:oddVBand="0" w:evenVBand="0" w:oddHBand="1" w:evenHBand="0" w:firstRowFirstColumn="0" w:firstRowLastColumn="0" w:lastRowFirstColumn="0" w:lastRowLastColumn="0"/>
              <w:rPr>
                <w:lang w:val="en-GB"/>
              </w:rPr>
            </w:pPr>
            <w:r w:rsidRPr="00CF7262">
              <w:rPr>
                <w:lang w:val="en-GB"/>
              </w:rPr>
              <w:t>47</w:t>
            </w:r>
            <w:r w:rsidR="00457DDC">
              <w:rPr>
                <w:lang w:val="en-GB"/>
              </w:rPr>
              <w:t>.</w:t>
            </w:r>
            <w:r w:rsidRPr="00CF7262">
              <w:rPr>
                <w:lang w:val="en-GB"/>
              </w:rPr>
              <w:t>91 ± 1</w:t>
            </w:r>
            <w:r w:rsidR="00457DDC">
              <w:rPr>
                <w:lang w:val="en-GB"/>
              </w:rPr>
              <w:t>.</w:t>
            </w:r>
            <w:r w:rsidRPr="00CF7262">
              <w:rPr>
                <w:lang w:val="en-GB"/>
              </w:rPr>
              <w:t>51</w:t>
            </w:r>
          </w:p>
        </w:tc>
        <w:tc>
          <w:tcPr>
            <w:tcW w:w="1276" w:type="dxa"/>
            <w:tcBorders>
              <w:top w:val="single" w:sz="6" w:space="0" w:color="008000"/>
              <w:bottom w:val="single" w:sz="12" w:space="0" w:color="FFFFFF" w:themeColor="background1"/>
            </w:tcBorders>
            <w:noWrap/>
            <w:hideMark/>
          </w:tcPr>
          <w:p w14:paraId="3AD510DB" w14:textId="56380AF9" w:rsidR="00CF7262" w:rsidRPr="00CF7262" w:rsidRDefault="00CF7262" w:rsidP="00436CF6">
            <w:pPr>
              <w:pStyle w:val="CETBodytext"/>
              <w:spacing w:line="240" w:lineRule="auto"/>
              <w:cnfStyle w:val="000000100000" w:firstRow="0" w:lastRow="0" w:firstColumn="0" w:lastColumn="0" w:oddVBand="0" w:evenVBand="0" w:oddHBand="1" w:evenHBand="0" w:firstRowFirstColumn="0" w:firstRowLastColumn="0" w:lastRowFirstColumn="0" w:lastRowLastColumn="0"/>
              <w:rPr>
                <w:lang w:val="en-GB"/>
              </w:rPr>
            </w:pPr>
            <w:r w:rsidRPr="00CF7262">
              <w:rPr>
                <w:lang w:val="en-GB"/>
              </w:rPr>
              <w:t>21</w:t>
            </w:r>
            <w:r w:rsidR="00457DDC">
              <w:rPr>
                <w:lang w:val="en-GB"/>
              </w:rPr>
              <w:t>.</w:t>
            </w:r>
            <w:r w:rsidRPr="00CF7262">
              <w:rPr>
                <w:lang w:val="en-GB"/>
              </w:rPr>
              <w:t>11 ± 1</w:t>
            </w:r>
            <w:r w:rsidR="00457DDC">
              <w:rPr>
                <w:lang w:val="en-GB"/>
              </w:rPr>
              <w:t>.3</w:t>
            </w:r>
            <w:r w:rsidRPr="00CF7262">
              <w:rPr>
                <w:lang w:val="en-GB"/>
              </w:rPr>
              <w:t>2</w:t>
            </w:r>
          </w:p>
        </w:tc>
        <w:tc>
          <w:tcPr>
            <w:tcW w:w="1276" w:type="dxa"/>
            <w:tcBorders>
              <w:top w:val="single" w:sz="6" w:space="0" w:color="008000"/>
              <w:bottom w:val="single" w:sz="12" w:space="0" w:color="FFFFFF" w:themeColor="background1"/>
            </w:tcBorders>
            <w:noWrap/>
            <w:hideMark/>
          </w:tcPr>
          <w:p w14:paraId="1AF480B8" w14:textId="78ADE4ED" w:rsidR="00CF7262" w:rsidRPr="00CF7262" w:rsidRDefault="00CF7262" w:rsidP="00436CF6">
            <w:pPr>
              <w:pStyle w:val="CETBodytext"/>
              <w:spacing w:line="240" w:lineRule="auto"/>
              <w:cnfStyle w:val="000000100000" w:firstRow="0" w:lastRow="0" w:firstColumn="0" w:lastColumn="0" w:oddVBand="0" w:evenVBand="0" w:oddHBand="1" w:evenHBand="0" w:firstRowFirstColumn="0" w:firstRowLastColumn="0" w:lastRowFirstColumn="0" w:lastRowLastColumn="0"/>
              <w:rPr>
                <w:lang w:val="en-GB"/>
              </w:rPr>
            </w:pPr>
            <w:r w:rsidRPr="00CF7262">
              <w:rPr>
                <w:lang w:val="en-GB"/>
              </w:rPr>
              <w:t>2</w:t>
            </w:r>
            <w:r w:rsidR="00457DDC">
              <w:rPr>
                <w:lang w:val="en-GB"/>
              </w:rPr>
              <w:t>.</w:t>
            </w:r>
            <w:r w:rsidRPr="00CF7262">
              <w:rPr>
                <w:lang w:val="en-GB"/>
              </w:rPr>
              <w:t>58 ± 0</w:t>
            </w:r>
            <w:r w:rsidR="00457DDC">
              <w:rPr>
                <w:lang w:val="en-GB"/>
              </w:rPr>
              <w:t>.</w:t>
            </w:r>
            <w:r w:rsidRPr="00CF7262">
              <w:rPr>
                <w:lang w:val="en-GB"/>
              </w:rPr>
              <w:t>04</w:t>
            </w:r>
          </w:p>
        </w:tc>
        <w:tc>
          <w:tcPr>
            <w:tcW w:w="1276" w:type="dxa"/>
            <w:tcBorders>
              <w:top w:val="single" w:sz="6" w:space="0" w:color="008000"/>
              <w:bottom w:val="single" w:sz="12" w:space="0" w:color="FFFFFF" w:themeColor="background1"/>
            </w:tcBorders>
            <w:noWrap/>
            <w:hideMark/>
          </w:tcPr>
          <w:p w14:paraId="30FAE08C" w14:textId="2DACAC45" w:rsidR="00CF7262" w:rsidRPr="00CF7262" w:rsidRDefault="00CF7262" w:rsidP="00436CF6">
            <w:pPr>
              <w:pStyle w:val="CETBodytext"/>
              <w:spacing w:line="240" w:lineRule="auto"/>
              <w:cnfStyle w:val="000000100000" w:firstRow="0" w:lastRow="0" w:firstColumn="0" w:lastColumn="0" w:oddVBand="0" w:evenVBand="0" w:oddHBand="1" w:evenHBand="0" w:firstRowFirstColumn="0" w:firstRowLastColumn="0" w:lastRowFirstColumn="0" w:lastRowLastColumn="0"/>
              <w:rPr>
                <w:lang w:val="en-GB"/>
              </w:rPr>
            </w:pPr>
            <w:r w:rsidRPr="00CF7262">
              <w:rPr>
                <w:lang w:val="en-GB"/>
              </w:rPr>
              <w:t>1</w:t>
            </w:r>
            <w:r w:rsidR="00457DDC">
              <w:rPr>
                <w:lang w:val="en-GB"/>
              </w:rPr>
              <w:t>.</w:t>
            </w:r>
            <w:r w:rsidRPr="00CF7262">
              <w:rPr>
                <w:lang w:val="en-GB"/>
              </w:rPr>
              <w:t>45 ± 0</w:t>
            </w:r>
            <w:r w:rsidR="00457DDC">
              <w:rPr>
                <w:lang w:val="en-GB"/>
              </w:rPr>
              <w:t>.</w:t>
            </w:r>
            <w:r w:rsidRPr="00CF7262">
              <w:rPr>
                <w:lang w:val="en-GB"/>
              </w:rPr>
              <w:t>06</w:t>
            </w:r>
          </w:p>
        </w:tc>
      </w:tr>
      <w:tr w:rsidR="00CF7262" w:rsidRPr="00CF7262" w14:paraId="2C242B4C" w14:textId="77777777" w:rsidTr="00457DDC">
        <w:trPr>
          <w:trHeight w:val="251"/>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FFFFFF" w:themeColor="background1"/>
              <w:bottom w:val="single" w:sz="6" w:space="0" w:color="008000"/>
            </w:tcBorders>
            <w:noWrap/>
            <w:hideMark/>
          </w:tcPr>
          <w:p w14:paraId="449792FD" w14:textId="28162AD2" w:rsidR="00CF7262" w:rsidRPr="00CF7262" w:rsidRDefault="00457DDC" w:rsidP="00436CF6">
            <w:pPr>
              <w:pStyle w:val="CETBodytext"/>
              <w:spacing w:line="240" w:lineRule="auto"/>
              <w:rPr>
                <w:lang w:val="en-GB"/>
              </w:rPr>
            </w:pPr>
            <w:r>
              <w:rPr>
                <w:lang w:val="en-GB"/>
              </w:rPr>
              <w:t>Soy proteins</w:t>
            </w:r>
          </w:p>
        </w:tc>
        <w:tc>
          <w:tcPr>
            <w:tcW w:w="1275" w:type="dxa"/>
            <w:tcBorders>
              <w:top w:val="single" w:sz="12" w:space="0" w:color="FFFFFF" w:themeColor="background1"/>
              <w:bottom w:val="single" w:sz="6" w:space="0" w:color="008000"/>
            </w:tcBorders>
            <w:noWrap/>
            <w:hideMark/>
          </w:tcPr>
          <w:p w14:paraId="05EED22C" w14:textId="05DDE6F4" w:rsidR="00CF7262" w:rsidRPr="00CF7262" w:rsidRDefault="00CF7262" w:rsidP="00436CF6">
            <w:pPr>
              <w:pStyle w:val="CETBody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CF7262">
              <w:rPr>
                <w:lang w:val="en-GB"/>
              </w:rPr>
              <w:t>88</w:t>
            </w:r>
            <w:r w:rsidR="00457DDC">
              <w:rPr>
                <w:lang w:val="en-GB"/>
              </w:rPr>
              <w:t>.</w:t>
            </w:r>
            <w:r w:rsidRPr="00CF7262">
              <w:rPr>
                <w:lang w:val="en-GB"/>
              </w:rPr>
              <w:t>89 ± 1</w:t>
            </w:r>
            <w:r w:rsidR="00457DDC">
              <w:rPr>
                <w:lang w:val="en-GB"/>
              </w:rPr>
              <w:t>.</w:t>
            </w:r>
            <w:r w:rsidRPr="00CF7262">
              <w:rPr>
                <w:lang w:val="en-GB"/>
              </w:rPr>
              <w:t>52</w:t>
            </w:r>
          </w:p>
        </w:tc>
        <w:tc>
          <w:tcPr>
            <w:tcW w:w="1276" w:type="dxa"/>
            <w:tcBorders>
              <w:top w:val="single" w:sz="12" w:space="0" w:color="FFFFFF" w:themeColor="background1"/>
              <w:bottom w:val="single" w:sz="6" w:space="0" w:color="008000"/>
            </w:tcBorders>
            <w:noWrap/>
            <w:hideMark/>
          </w:tcPr>
          <w:p w14:paraId="3601A8CB" w14:textId="01673121" w:rsidR="00CF7262" w:rsidRPr="00CF7262" w:rsidRDefault="00CF7262" w:rsidP="00436CF6">
            <w:pPr>
              <w:pStyle w:val="CETBody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CF7262">
              <w:rPr>
                <w:lang w:val="en-GB"/>
              </w:rPr>
              <w:t>3</w:t>
            </w:r>
            <w:r w:rsidR="00457DDC">
              <w:rPr>
                <w:lang w:val="en-GB"/>
              </w:rPr>
              <w:t>.</w:t>
            </w:r>
            <w:r w:rsidRPr="00CF7262">
              <w:rPr>
                <w:lang w:val="en-GB"/>
              </w:rPr>
              <w:t>42 ± 0</w:t>
            </w:r>
            <w:r w:rsidR="00457DDC">
              <w:rPr>
                <w:lang w:val="en-GB"/>
              </w:rPr>
              <w:t>.</w:t>
            </w:r>
            <w:r w:rsidRPr="00CF7262">
              <w:rPr>
                <w:lang w:val="en-GB"/>
              </w:rPr>
              <w:t>16</w:t>
            </w:r>
          </w:p>
        </w:tc>
        <w:tc>
          <w:tcPr>
            <w:tcW w:w="1276" w:type="dxa"/>
            <w:tcBorders>
              <w:top w:val="single" w:sz="12" w:space="0" w:color="FFFFFF" w:themeColor="background1"/>
              <w:bottom w:val="single" w:sz="6" w:space="0" w:color="008000"/>
            </w:tcBorders>
            <w:noWrap/>
            <w:hideMark/>
          </w:tcPr>
          <w:p w14:paraId="78B5402B" w14:textId="05A77EE2" w:rsidR="00CF7262" w:rsidRPr="00CF7262" w:rsidRDefault="00CF7262" w:rsidP="00436CF6">
            <w:pPr>
              <w:pStyle w:val="CETBody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CF7262">
              <w:rPr>
                <w:lang w:val="en-GB"/>
              </w:rPr>
              <w:t>5</w:t>
            </w:r>
            <w:r w:rsidR="00457DDC">
              <w:rPr>
                <w:lang w:val="en-GB"/>
              </w:rPr>
              <w:t>.</w:t>
            </w:r>
            <w:r w:rsidRPr="00CF7262">
              <w:rPr>
                <w:lang w:val="en-GB"/>
              </w:rPr>
              <w:t>18 ± 0</w:t>
            </w:r>
            <w:r w:rsidR="00457DDC">
              <w:rPr>
                <w:lang w:val="en-GB"/>
              </w:rPr>
              <w:t>.</w:t>
            </w:r>
            <w:r w:rsidRPr="00CF7262">
              <w:rPr>
                <w:lang w:val="en-GB"/>
              </w:rPr>
              <w:t>19</w:t>
            </w:r>
          </w:p>
        </w:tc>
        <w:tc>
          <w:tcPr>
            <w:tcW w:w="1276" w:type="dxa"/>
            <w:tcBorders>
              <w:top w:val="single" w:sz="12" w:space="0" w:color="FFFFFF" w:themeColor="background1"/>
              <w:bottom w:val="single" w:sz="6" w:space="0" w:color="008000"/>
            </w:tcBorders>
            <w:noWrap/>
            <w:hideMark/>
          </w:tcPr>
          <w:p w14:paraId="5C6BBC50" w14:textId="575298BC" w:rsidR="00CF7262" w:rsidRPr="00CF7262" w:rsidRDefault="00CF7262" w:rsidP="00436CF6">
            <w:pPr>
              <w:pStyle w:val="CETBodytext"/>
              <w:spacing w:line="240" w:lineRule="auto"/>
              <w:cnfStyle w:val="000000000000" w:firstRow="0" w:lastRow="0" w:firstColumn="0" w:lastColumn="0" w:oddVBand="0" w:evenVBand="0" w:oddHBand="0" w:evenHBand="0" w:firstRowFirstColumn="0" w:firstRowLastColumn="0" w:lastRowFirstColumn="0" w:lastRowLastColumn="0"/>
              <w:rPr>
                <w:lang w:val="en-GB"/>
              </w:rPr>
            </w:pPr>
            <w:r w:rsidRPr="00CF7262">
              <w:rPr>
                <w:lang w:val="en-GB"/>
              </w:rPr>
              <w:t>1</w:t>
            </w:r>
            <w:r w:rsidR="00457DDC">
              <w:rPr>
                <w:lang w:val="en-GB"/>
              </w:rPr>
              <w:t>.</w:t>
            </w:r>
            <w:r w:rsidRPr="00CF7262">
              <w:rPr>
                <w:lang w:val="en-GB"/>
              </w:rPr>
              <w:t>45 ± 0</w:t>
            </w:r>
            <w:r w:rsidR="00457DDC">
              <w:rPr>
                <w:lang w:val="en-GB"/>
              </w:rPr>
              <w:t>.</w:t>
            </w:r>
            <w:r w:rsidRPr="00CF7262">
              <w:rPr>
                <w:lang w:val="en-GB"/>
              </w:rPr>
              <w:t>12</w:t>
            </w:r>
          </w:p>
        </w:tc>
      </w:tr>
      <w:bookmarkEnd w:id="4"/>
    </w:tbl>
    <w:p w14:paraId="7CF2159C" w14:textId="77777777" w:rsidR="00EA6153" w:rsidRDefault="00EA6153" w:rsidP="008D6F86">
      <w:pPr>
        <w:pStyle w:val="CETBodytext"/>
        <w:spacing w:after="120"/>
      </w:pPr>
    </w:p>
    <w:p w14:paraId="2064A3FF" w14:textId="618DF911" w:rsidR="001342EA" w:rsidRDefault="001342EA" w:rsidP="008D6F86">
      <w:pPr>
        <w:pStyle w:val="CETBodytext"/>
        <w:spacing w:after="120"/>
      </w:pPr>
      <w:r>
        <w:t>The a</w:t>
      </w:r>
      <w:r w:rsidRPr="008A12E2">
        <w:rPr>
          <w:vertAlign w:val="subscript"/>
        </w:rPr>
        <w:t>w</w:t>
      </w:r>
      <w:r>
        <w:t xml:space="preserve"> of </w:t>
      </w:r>
      <w:r w:rsidR="00636060">
        <w:t xml:space="preserve">initial </w:t>
      </w:r>
      <w:r>
        <w:t>hazelnut paste</w:t>
      </w:r>
      <w:r w:rsidR="00636060">
        <w:t>s</w:t>
      </w:r>
      <w:r w:rsidR="007A4D40">
        <w:t xml:space="preserve"> was around 0.3 and </w:t>
      </w:r>
      <w:r w:rsidR="00877E7E">
        <w:t xml:space="preserve">the </w:t>
      </w:r>
      <w:r w:rsidR="00636060">
        <w:t>addition of sunflower proteins reduced it (</w:t>
      </w:r>
      <w:r w:rsidR="008D3BE4">
        <w:fldChar w:fldCharType="begin"/>
      </w:r>
      <w:r w:rsidR="008D3BE4">
        <w:instrText xml:space="preserve"> REF _Ref124424452 \h </w:instrText>
      </w:r>
      <w:r w:rsidR="008D3BE4">
        <w:fldChar w:fldCharType="separate"/>
      </w:r>
      <w:r w:rsidR="008D3BE4" w:rsidRPr="001342EA">
        <w:t xml:space="preserve">Figure </w:t>
      </w:r>
      <w:r w:rsidR="008D3BE4">
        <w:rPr>
          <w:noProof/>
        </w:rPr>
        <w:t>1</w:t>
      </w:r>
      <w:r w:rsidR="008D3BE4">
        <w:fldChar w:fldCharType="end"/>
      </w:r>
      <w:r w:rsidR="00636060">
        <w:t>).</w:t>
      </w:r>
      <w:r>
        <w:t xml:space="preserve"> </w:t>
      </w:r>
      <w:r w:rsidR="00636060">
        <w:t>During storage at 40°C in open containers, the a</w:t>
      </w:r>
      <w:r w:rsidR="00636060" w:rsidRPr="008A12E2">
        <w:rPr>
          <w:vertAlign w:val="subscript"/>
        </w:rPr>
        <w:t>w</w:t>
      </w:r>
      <w:r>
        <w:t xml:space="preserve"> </w:t>
      </w:r>
      <w:r w:rsidR="00636060">
        <w:t xml:space="preserve">showed a certain increase, especially after 70 days, </w:t>
      </w:r>
      <w:r w:rsidR="008A12E2">
        <w:t>achieving values</w:t>
      </w:r>
      <w:r w:rsidR="00636060">
        <w:t xml:space="preserve"> in the range</w:t>
      </w:r>
      <w:r>
        <w:t xml:space="preserve"> </w:t>
      </w:r>
      <w:r w:rsidR="00877E7E">
        <w:t xml:space="preserve">of </w:t>
      </w:r>
      <w:r>
        <w:t>0.390 to 0.405.</w:t>
      </w:r>
      <w:r w:rsidR="00457DDC">
        <w:t xml:space="preserve"> The high percentage of fiber in the sunflower protein product could explain the higher a</w:t>
      </w:r>
      <w:r w:rsidR="00457DDC" w:rsidRPr="00457DDC">
        <w:rPr>
          <w:vertAlign w:val="subscript"/>
        </w:rPr>
        <w:t>w</w:t>
      </w:r>
      <w:r w:rsidR="00457DDC">
        <w:t xml:space="preserve">. </w:t>
      </w:r>
    </w:p>
    <w:p w14:paraId="7D3CB097" w14:textId="42576589" w:rsidR="001342EA" w:rsidRDefault="00A95665" w:rsidP="00A169E0">
      <w:pPr>
        <w:pStyle w:val="CETBodytext"/>
        <w:keepNext/>
        <w:jc w:val="left"/>
      </w:pPr>
      <w:r>
        <w:rPr>
          <w:noProof/>
        </w:rPr>
        <w:drawing>
          <wp:inline distT="0" distB="0" distL="0" distR="0" wp14:anchorId="459ECA62" wp14:editId="7154BBE4">
            <wp:extent cx="3731946" cy="1565694"/>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776" t="3957" r="1697" b="5653"/>
                    <a:stretch/>
                  </pic:blipFill>
                  <pic:spPr bwMode="auto">
                    <a:xfrm>
                      <a:off x="0" y="0"/>
                      <a:ext cx="3760163" cy="1577532"/>
                    </a:xfrm>
                    <a:prstGeom prst="rect">
                      <a:avLst/>
                    </a:prstGeom>
                    <a:noFill/>
                    <a:ln>
                      <a:noFill/>
                    </a:ln>
                    <a:extLst>
                      <a:ext uri="{53640926-AAD7-44D8-BBD7-CCE9431645EC}">
                        <a14:shadowObscured xmlns:a14="http://schemas.microsoft.com/office/drawing/2010/main"/>
                      </a:ext>
                    </a:extLst>
                  </pic:spPr>
                </pic:pic>
              </a:graphicData>
            </a:graphic>
          </wp:inline>
        </w:drawing>
      </w:r>
    </w:p>
    <w:p w14:paraId="18584C9A" w14:textId="3189BEAC" w:rsidR="001342EA" w:rsidRPr="00C2031A" w:rsidRDefault="001342EA" w:rsidP="00C2031A">
      <w:pPr>
        <w:pStyle w:val="CETCaption"/>
        <w:rPr>
          <w:b/>
          <w:bCs/>
          <w:lang w:val="en-US"/>
        </w:rPr>
      </w:pPr>
      <w:bookmarkStart w:id="5" w:name="_Ref124424452"/>
      <w:r w:rsidRPr="001342EA">
        <w:rPr>
          <w:lang w:val="en-US"/>
        </w:rPr>
        <w:t xml:space="preserve">Figure </w:t>
      </w:r>
      <w:r w:rsidRPr="001342EA">
        <w:rPr>
          <w:b/>
          <w:bCs/>
          <w:lang w:val="en-US"/>
        </w:rPr>
        <w:fldChar w:fldCharType="begin"/>
      </w:r>
      <w:r w:rsidRPr="001342EA">
        <w:rPr>
          <w:lang w:val="en-US"/>
        </w:rPr>
        <w:instrText xml:space="preserve"> SEQ Figure \* ARABIC </w:instrText>
      </w:r>
      <w:r w:rsidRPr="001342EA">
        <w:rPr>
          <w:b/>
          <w:bCs/>
          <w:lang w:val="en-US"/>
        </w:rPr>
        <w:fldChar w:fldCharType="separate"/>
      </w:r>
      <w:r w:rsidR="00433370">
        <w:rPr>
          <w:noProof/>
          <w:lang w:val="en-US"/>
        </w:rPr>
        <w:t>1</w:t>
      </w:r>
      <w:r w:rsidRPr="001342EA">
        <w:rPr>
          <w:b/>
          <w:bCs/>
          <w:lang w:val="en-US"/>
        </w:rPr>
        <w:fldChar w:fldCharType="end"/>
      </w:r>
      <w:bookmarkEnd w:id="5"/>
      <w:r w:rsidR="004A0351">
        <w:rPr>
          <w:lang w:val="en-US"/>
        </w:rPr>
        <w:t>:</w:t>
      </w:r>
      <w:r w:rsidRPr="001342EA">
        <w:rPr>
          <w:lang w:val="en-US"/>
        </w:rPr>
        <w:t xml:space="preserve"> Trend of water activity </w:t>
      </w:r>
      <w:r w:rsidR="00C12460">
        <w:rPr>
          <w:lang w:val="en-US"/>
        </w:rPr>
        <w:t>(</w:t>
      </w:r>
      <w:r w:rsidR="008A12E2">
        <w:rPr>
          <w:lang w:val="en-US"/>
        </w:rPr>
        <w:t>a</w:t>
      </w:r>
      <w:r w:rsidR="008A12E2" w:rsidRPr="008A12E2">
        <w:rPr>
          <w:vertAlign w:val="subscript"/>
          <w:lang w:val="en-US"/>
        </w:rPr>
        <w:t>w</w:t>
      </w:r>
      <w:r w:rsidR="008A12E2">
        <w:rPr>
          <w:lang w:val="en-US"/>
        </w:rPr>
        <w:t xml:space="preserve">) </w:t>
      </w:r>
      <w:r w:rsidR="008A12E2" w:rsidRPr="001342EA">
        <w:rPr>
          <w:lang w:val="en-US"/>
        </w:rPr>
        <w:t>for</w:t>
      </w:r>
      <w:r w:rsidRPr="001342EA">
        <w:rPr>
          <w:lang w:val="en-US"/>
        </w:rPr>
        <w:t xml:space="preserve"> different</w:t>
      </w:r>
      <w:r w:rsidR="00C12460">
        <w:rPr>
          <w:lang w:val="en-US"/>
        </w:rPr>
        <w:t xml:space="preserve"> hazelnut</w:t>
      </w:r>
      <w:r w:rsidRPr="001342EA">
        <w:rPr>
          <w:lang w:val="en-US"/>
        </w:rPr>
        <w:t xml:space="preserve"> paste samples </w:t>
      </w:r>
      <w:r w:rsidR="00C12460">
        <w:rPr>
          <w:lang w:val="en-US"/>
        </w:rPr>
        <w:t>(</w:t>
      </w:r>
      <w:r w:rsidR="00457DDC">
        <w:rPr>
          <w:lang w:val="en-US"/>
        </w:rPr>
        <w:t>stabilized</w:t>
      </w:r>
      <w:r w:rsidR="00C12460">
        <w:rPr>
          <w:lang w:val="en-US"/>
        </w:rPr>
        <w:t>, unstabili</w:t>
      </w:r>
      <w:r w:rsidR="00457DDC">
        <w:rPr>
          <w:lang w:val="en-US"/>
        </w:rPr>
        <w:t>z</w:t>
      </w:r>
      <w:r w:rsidR="00C12460">
        <w:rPr>
          <w:lang w:val="en-US"/>
        </w:rPr>
        <w:t>ed, added with sunflower or soy proteins) during storage at 40°C in open containers</w:t>
      </w:r>
      <w:r w:rsidRPr="001342EA">
        <w:rPr>
          <w:lang w:val="en-US"/>
        </w:rPr>
        <w:t>.</w:t>
      </w:r>
    </w:p>
    <w:p w14:paraId="30756B0F" w14:textId="1E98EBBA" w:rsidR="00A81DED" w:rsidRPr="00A81DED" w:rsidRDefault="001342EA" w:rsidP="00A81DED">
      <w:pPr>
        <w:rPr>
          <w:lang w:val="en-US"/>
        </w:rPr>
      </w:pPr>
      <w:r w:rsidRPr="001342EA">
        <w:rPr>
          <w:lang w:val="en-US"/>
        </w:rPr>
        <w:t>Statistical analysis show</w:t>
      </w:r>
      <w:r w:rsidR="00636060">
        <w:rPr>
          <w:lang w:val="en-US"/>
        </w:rPr>
        <w:t>e</w:t>
      </w:r>
      <w:r w:rsidR="00D55E8F">
        <w:rPr>
          <w:lang w:val="en-US"/>
        </w:rPr>
        <w:t>d</w:t>
      </w:r>
      <w:r w:rsidR="008A12E2">
        <w:rPr>
          <w:lang w:val="en-US"/>
        </w:rPr>
        <w:t xml:space="preserve"> </w:t>
      </w:r>
      <w:r w:rsidR="00CF207C">
        <w:rPr>
          <w:lang w:val="en-US"/>
        </w:rPr>
        <w:t>that a</w:t>
      </w:r>
      <w:r w:rsidR="00CF207C" w:rsidRPr="008A12E2">
        <w:rPr>
          <w:vertAlign w:val="subscript"/>
          <w:lang w:val="en-US"/>
        </w:rPr>
        <w:t>w</w:t>
      </w:r>
      <w:r w:rsidR="00CF207C">
        <w:rPr>
          <w:lang w:val="en-US"/>
        </w:rPr>
        <w:t xml:space="preserve"> significantly varied over </w:t>
      </w:r>
      <w:r w:rsidRPr="001342EA">
        <w:rPr>
          <w:lang w:val="en-US"/>
        </w:rPr>
        <w:t>time</w:t>
      </w:r>
      <w:r w:rsidR="00CF207C">
        <w:rPr>
          <w:lang w:val="en-US"/>
        </w:rPr>
        <w:t>. In detail, there was a significant increase of a</w:t>
      </w:r>
      <w:r w:rsidR="00CF207C" w:rsidRPr="008A12E2">
        <w:rPr>
          <w:vertAlign w:val="subscript"/>
          <w:lang w:val="en-US"/>
        </w:rPr>
        <w:t>w</w:t>
      </w:r>
      <w:r w:rsidR="00CF207C">
        <w:rPr>
          <w:lang w:val="en-US"/>
        </w:rPr>
        <w:t xml:space="preserve"> at 14 days and then after 70 days for all the recipes.</w:t>
      </w:r>
      <w:r w:rsidR="00486C69" w:rsidRPr="00486C69">
        <w:rPr>
          <w:lang w:val="en-US"/>
        </w:rPr>
        <w:t xml:space="preserve"> </w:t>
      </w:r>
      <w:r w:rsidR="00A81349">
        <w:rPr>
          <w:lang w:val="en-US"/>
        </w:rPr>
        <w:t xml:space="preserve">Furthermore, except for time </w:t>
      </w:r>
      <w:r w:rsidR="008A12E2">
        <w:rPr>
          <w:lang w:val="en-US"/>
        </w:rPr>
        <w:t xml:space="preserve">zero, </w:t>
      </w:r>
      <w:r w:rsidR="008A12E2" w:rsidRPr="00486C69">
        <w:rPr>
          <w:lang w:val="en-US"/>
        </w:rPr>
        <w:t>the</w:t>
      </w:r>
      <w:r w:rsidR="00486C69" w:rsidRPr="00486C69">
        <w:rPr>
          <w:lang w:val="en-US"/>
        </w:rPr>
        <w:t xml:space="preserve"> </w:t>
      </w:r>
      <w:r w:rsidR="00A81349">
        <w:rPr>
          <w:lang w:val="en-US"/>
        </w:rPr>
        <w:t>a</w:t>
      </w:r>
      <w:r w:rsidR="00A81349" w:rsidRPr="008A12E2">
        <w:rPr>
          <w:vertAlign w:val="subscript"/>
          <w:lang w:val="en-US"/>
        </w:rPr>
        <w:t>w</w:t>
      </w:r>
      <w:r w:rsidR="00A81349">
        <w:rPr>
          <w:lang w:val="en-US"/>
        </w:rPr>
        <w:t xml:space="preserve"> </w:t>
      </w:r>
      <w:r w:rsidR="00486C69" w:rsidRPr="00486C69">
        <w:rPr>
          <w:lang w:val="en-US"/>
        </w:rPr>
        <w:t xml:space="preserve">of the hazelnut paste with sunflower protein </w:t>
      </w:r>
      <w:r w:rsidR="00A81349">
        <w:rPr>
          <w:lang w:val="en-US"/>
        </w:rPr>
        <w:t>was significantly higher than</w:t>
      </w:r>
      <w:r w:rsidR="00486C69" w:rsidRPr="00486C69">
        <w:rPr>
          <w:lang w:val="en-US"/>
        </w:rPr>
        <w:t xml:space="preserve"> </w:t>
      </w:r>
      <w:r w:rsidR="00A81349">
        <w:rPr>
          <w:lang w:val="en-US"/>
        </w:rPr>
        <w:t>the other formulations.</w:t>
      </w:r>
    </w:p>
    <w:p w14:paraId="4CB5BED0" w14:textId="2DA39E79" w:rsidR="00A81DED" w:rsidRPr="001342EA" w:rsidRDefault="00A81DED" w:rsidP="00A81DED">
      <w:pPr>
        <w:rPr>
          <w:lang w:val="en-US"/>
        </w:rPr>
      </w:pPr>
      <w:r w:rsidRPr="00A81DED">
        <w:rPr>
          <w:lang w:val="en-US"/>
        </w:rPr>
        <w:t>The increase in a</w:t>
      </w:r>
      <w:r w:rsidRPr="008A12E2">
        <w:rPr>
          <w:vertAlign w:val="subscript"/>
          <w:lang w:val="en-US"/>
        </w:rPr>
        <w:t>w</w:t>
      </w:r>
      <w:r w:rsidRPr="00A81DED">
        <w:rPr>
          <w:lang w:val="en-US"/>
        </w:rPr>
        <w:t xml:space="preserve"> m</w:t>
      </w:r>
      <w:r w:rsidR="00A81349">
        <w:rPr>
          <w:lang w:val="en-US"/>
        </w:rPr>
        <w:t>ight have been</w:t>
      </w:r>
      <w:r w:rsidRPr="00A81DED">
        <w:rPr>
          <w:lang w:val="en-US"/>
        </w:rPr>
        <w:t xml:space="preserve"> due to two </w:t>
      </w:r>
      <w:r w:rsidR="00A81349">
        <w:rPr>
          <w:lang w:val="en-US"/>
        </w:rPr>
        <w:t>phenomena</w:t>
      </w:r>
      <w:r w:rsidRPr="00A81DED">
        <w:rPr>
          <w:lang w:val="en-US"/>
        </w:rPr>
        <w:t>: hazelnut paste structure</w:t>
      </w:r>
      <w:r w:rsidR="00A81349">
        <w:rPr>
          <w:lang w:val="en-US"/>
        </w:rPr>
        <w:t xml:space="preserve"> modification</w:t>
      </w:r>
      <w:r w:rsidRPr="00A81DED">
        <w:rPr>
          <w:lang w:val="en-US"/>
        </w:rPr>
        <w:t xml:space="preserve"> and moisture absorption from the environment.</w:t>
      </w:r>
      <w:r w:rsidR="00664E69">
        <w:rPr>
          <w:lang w:val="en-US"/>
        </w:rPr>
        <w:t xml:space="preserve"> </w:t>
      </w:r>
      <w:r w:rsidRPr="00A81DED">
        <w:rPr>
          <w:lang w:val="en-US"/>
        </w:rPr>
        <w:t xml:space="preserve">In the first hypothesis, </w:t>
      </w:r>
      <w:r w:rsidR="00A81349">
        <w:rPr>
          <w:lang w:val="en-US"/>
        </w:rPr>
        <w:t xml:space="preserve">maintenance at 40°C might lead </w:t>
      </w:r>
      <w:r w:rsidR="008A12E2">
        <w:rPr>
          <w:lang w:val="en-US"/>
        </w:rPr>
        <w:t xml:space="preserve">to </w:t>
      </w:r>
      <w:r w:rsidR="008A12E2" w:rsidRPr="00A81DED">
        <w:rPr>
          <w:lang w:val="en-US"/>
        </w:rPr>
        <w:t>structural</w:t>
      </w:r>
      <w:r w:rsidRPr="00A81DED">
        <w:rPr>
          <w:lang w:val="en-US"/>
        </w:rPr>
        <w:t xml:space="preserve"> changes in the hazelnut pastes </w:t>
      </w:r>
      <w:r w:rsidR="00A81349">
        <w:rPr>
          <w:lang w:val="en-US"/>
        </w:rPr>
        <w:t xml:space="preserve">with </w:t>
      </w:r>
      <w:r w:rsidR="008A12E2">
        <w:rPr>
          <w:lang w:val="en-US"/>
        </w:rPr>
        <w:t xml:space="preserve">consequent </w:t>
      </w:r>
      <w:r w:rsidR="008A12E2" w:rsidRPr="00A81DED">
        <w:rPr>
          <w:lang w:val="en-US"/>
        </w:rPr>
        <w:t>release</w:t>
      </w:r>
      <w:r w:rsidRPr="00A81DED">
        <w:rPr>
          <w:lang w:val="en-US"/>
        </w:rPr>
        <w:t xml:space="preserve"> of bound </w:t>
      </w:r>
      <w:proofErr w:type="gramStart"/>
      <w:r w:rsidRPr="00A81DED">
        <w:rPr>
          <w:lang w:val="en-US"/>
        </w:rPr>
        <w:t>water</w:t>
      </w:r>
      <w:r w:rsidR="00A81349">
        <w:rPr>
          <w:lang w:val="en-US"/>
        </w:rPr>
        <w:t xml:space="preserve"> </w:t>
      </w:r>
      <w:r w:rsidRPr="00A81DED">
        <w:rPr>
          <w:lang w:val="en-US"/>
        </w:rPr>
        <w:t xml:space="preserve"> detected</w:t>
      </w:r>
      <w:proofErr w:type="gramEnd"/>
      <w:r w:rsidRPr="00A81DED">
        <w:rPr>
          <w:lang w:val="en-US"/>
        </w:rPr>
        <w:t xml:space="preserve"> as "free water" in the a</w:t>
      </w:r>
      <w:r w:rsidRPr="008A12E2">
        <w:rPr>
          <w:vertAlign w:val="subscript"/>
          <w:lang w:val="en-US"/>
        </w:rPr>
        <w:t>w</w:t>
      </w:r>
      <w:r w:rsidRPr="00A81DED">
        <w:rPr>
          <w:lang w:val="en-US"/>
        </w:rPr>
        <w:t xml:space="preserve"> measurement. Th</w:t>
      </w:r>
      <w:r w:rsidR="00A81349">
        <w:rPr>
          <w:lang w:val="en-US"/>
        </w:rPr>
        <w:t xml:space="preserve">is </w:t>
      </w:r>
      <w:r w:rsidR="008A12E2">
        <w:rPr>
          <w:lang w:val="en-US"/>
        </w:rPr>
        <w:t xml:space="preserve">hypothetical </w:t>
      </w:r>
      <w:r w:rsidR="008A12E2" w:rsidRPr="00A81DED">
        <w:rPr>
          <w:lang w:val="en-US"/>
        </w:rPr>
        <w:t>change</w:t>
      </w:r>
      <w:r w:rsidRPr="00A81DED">
        <w:rPr>
          <w:lang w:val="en-US"/>
        </w:rPr>
        <w:t xml:space="preserve"> in structure was also </w:t>
      </w:r>
      <w:r w:rsidR="00A81349">
        <w:rPr>
          <w:lang w:val="en-US"/>
        </w:rPr>
        <w:t xml:space="preserve">experimentally perceived </w:t>
      </w:r>
      <w:r w:rsidRPr="00A81DED">
        <w:rPr>
          <w:lang w:val="en-US"/>
        </w:rPr>
        <w:t xml:space="preserve">during </w:t>
      </w:r>
      <w:r w:rsidR="00A81349">
        <w:rPr>
          <w:lang w:val="en-US"/>
        </w:rPr>
        <w:t>the test since</w:t>
      </w:r>
      <w:r w:rsidRPr="00A81DED">
        <w:rPr>
          <w:lang w:val="en-US"/>
        </w:rPr>
        <w:t xml:space="preserve"> all pastes </w:t>
      </w:r>
      <w:r w:rsidR="00A81349">
        <w:rPr>
          <w:lang w:val="en-US"/>
        </w:rPr>
        <w:lastRenderedPageBreak/>
        <w:t xml:space="preserve">appeared </w:t>
      </w:r>
      <w:r w:rsidRPr="00A81DED">
        <w:rPr>
          <w:lang w:val="en-US"/>
        </w:rPr>
        <w:t xml:space="preserve">more fluid </w:t>
      </w:r>
      <w:r w:rsidR="00A81349">
        <w:rPr>
          <w:lang w:val="en-US"/>
        </w:rPr>
        <w:t>when the samples had to be homogenized for</w:t>
      </w:r>
      <w:r w:rsidR="00A81349" w:rsidRPr="00A81DED">
        <w:rPr>
          <w:lang w:val="en-US"/>
        </w:rPr>
        <w:t xml:space="preserve"> </w:t>
      </w:r>
      <w:r w:rsidR="00A81349">
        <w:rPr>
          <w:lang w:val="en-US"/>
        </w:rPr>
        <w:t xml:space="preserve">analysis </w:t>
      </w:r>
      <w:r w:rsidRPr="00A81DED">
        <w:rPr>
          <w:lang w:val="en-US"/>
        </w:rPr>
        <w:t xml:space="preserve">(this </w:t>
      </w:r>
      <w:r w:rsidR="00A81349">
        <w:rPr>
          <w:lang w:val="en-US"/>
        </w:rPr>
        <w:t>apparent thixotropic behavior should deserve further investigation</w:t>
      </w:r>
      <w:r w:rsidRPr="00A81DED">
        <w:rPr>
          <w:lang w:val="en-US"/>
        </w:rPr>
        <w:t>)</w:t>
      </w:r>
      <w:r w:rsidR="00664E69">
        <w:rPr>
          <w:lang w:val="en-US"/>
        </w:rPr>
        <w:t xml:space="preserve">. </w:t>
      </w:r>
      <w:r w:rsidRPr="00A81DED">
        <w:rPr>
          <w:lang w:val="en-US"/>
        </w:rPr>
        <w:t xml:space="preserve">The second hypothesis is related to the absorption of moisture from the environment </w:t>
      </w:r>
      <w:r w:rsidR="00226E87">
        <w:rPr>
          <w:lang w:val="en-US"/>
        </w:rPr>
        <w:t xml:space="preserve">(since the containers were </w:t>
      </w:r>
      <w:r w:rsidR="008A12E2">
        <w:rPr>
          <w:lang w:val="en-US"/>
        </w:rPr>
        <w:t xml:space="preserve">open) </w:t>
      </w:r>
      <w:r w:rsidR="008A12E2" w:rsidRPr="00A81DED">
        <w:rPr>
          <w:lang w:val="en-US"/>
        </w:rPr>
        <w:t>and</w:t>
      </w:r>
      <w:r w:rsidRPr="00A81DED">
        <w:rPr>
          <w:lang w:val="en-US"/>
        </w:rPr>
        <w:t xml:space="preserve"> the hygroscopicity of some components</w:t>
      </w:r>
      <w:r w:rsidR="00226E87">
        <w:rPr>
          <w:lang w:val="en-US"/>
        </w:rPr>
        <w:t>,</w:t>
      </w:r>
      <w:r w:rsidRPr="00A81DED">
        <w:rPr>
          <w:lang w:val="en-US"/>
        </w:rPr>
        <w:t xml:space="preserve"> such as the fibers present in the hazelnut paste. </w:t>
      </w:r>
      <w:r w:rsidR="00226E87">
        <w:rPr>
          <w:lang w:val="en-US"/>
        </w:rPr>
        <w:t>V</w:t>
      </w:r>
      <w:r w:rsidRPr="00A81DED">
        <w:rPr>
          <w:lang w:val="en-US"/>
        </w:rPr>
        <w:t xml:space="preserve">arious studies show that the addition of dietary fiber </w:t>
      </w:r>
      <w:r w:rsidR="008A12E2">
        <w:rPr>
          <w:lang w:val="en-US"/>
        </w:rPr>
        <w:t>led</w:t>
      </w:r>
      <w:r w:rsidR="00226E87">
        <w:rPr>
          <w:lang w:val="en-US"/>
        </w:rPr>
        <w:t xml:space="preserve"> to increased </w:t>
      </w:r>
      <w:r w:rsidRPr="00A81DED">
        <w:rPr>
          <w:lang w:val="en-US"/>
        </w:rPr>
        <w:t>water content in the samples</w:t>
      </w:r>
      <w:r w:rsidR="00226E87">
        <w:rPr>
          <w:lang w:val="en-US"/>
        </w:rPr>
        <w:t xml:space="preserve"> due to the water holding capacity of the fiber</w:t>
      </w:r>
      <w:r w:rsidRPr="00A81DED">
        <w:rPr>
          <w:lang w:val="en-US"/>
        </w:rPr>
        <w:t xml:space="preserve">. </w:t>
      </w:r>
      <w:r w:rsidR="00226E87">
        <w:rPr>
          <w:lang w:val="en-US"/>
        </w:rPr>
        <w:t xml:space="preserve">The study </w:t>
      </w:r>
      <w:r w:rsidR="008A12E2">
        <w:rPr>
          <w:lang w:val="en-US"/>
        </w:rPr>
        <w:t xml:space="preserve">by </w:t>
      </w:r>
      <w:r w:rsidR="008A12E2" w:rsidRPr="00A81DED">
        <w:rPr>
          <w:lang w:val="en-US"/>
        </w:rPr>
        <w:t>Verde</w:t>
      </w:r>
      <w:r w:rsidRPr="007833A5">
        <w:rPr>
          <w:lang w:val="en-US"/>
        </w:rPr>
        <w:t xml:space="preserve"> et al. (2021)</w:t>
      </w:r>
      <w:r w:rsidRPr="00A81DED">
        <w:rPr>
          <w:lang w:val="en-US"/>
        </w:rPr>
        <w:t xml:space="preserve"> </w:t>
      </w:r>
      <w:r w:rsidR="00CE76EB">
        <w:rPr>
          <w:lang w:val="en-US"/>
        </w:rPr>
        <w:t xml:space="preserve">reports </w:t>
      </w:r>
      <w:r w:rsidR="008A12E2">
        <w:rPr>
          <w:lang w:val="en-US"/>
        </w:rPr>
        <w:t xml:space="preserve">an </w:t>
      </w:r>
      <w:r w:rsidR="008A12E2" w:rsidRPr="00A81DED">
        <w:rPr>
          <w:lang w:val="en-US"/>
        </w:rPr>
        <w:t>increase</w:t>
      </w:r>
      <w:r w:rsidRPr="00A81DED">
        <w:rPr>
          <w:lang w:val="en-US"/>
        </w:rPr>
        <w:t xml:space="preserve"> in water</w:t>
      </w:r>
      <w:r w:rsidR="00CE76EB">
        <w:rPr>
          <w:lang w:val="en-US"/>
        </w:rPr>
        <w:t xml:space="preserve"> content</w:t>
      </w:r>
      <w:r w:rsidRPr="00A81DED">
        <w:rPr>
          <w:lang w:val="en-US"/>
        </w:rPr>
        <w:t xml:space="preserve"> by fiber addition </w:t>
      </w:r>
      <w:r w:rsidR="00CE76EB">
        <w:rPr>
          <w:lang w:val="en-US"/>
        </w:rPr>
        <w:t>to milk chocolate stored packed up to</w:t>
      </w:r>
      <w:r w:rsidRPr="00A81DED">
        <w:rPr>
          <w:lang w:val="en-US"/>
        </w:rPr>
        <w:t xml:space="preserve"> 270 days. This seems to support the present study where the highest values of water activity were </w:t>
      </w:r>
      <w:r w:rsidR="00CE76EB">
        <w:rPr>
          <w:lang w:val="en-US"/>
        </w:rPr>
        <w:t>measured</w:t>
      </w:r>
      <w:r w:rsidR="00CE76EB" w:rsidRPr="00A81DED">
        <w:rPr>
          <w:lang w:val="en-US"/>
        </w:rPr>
        <w:t xml:space="preserve"> </w:t>
      </w:r>
      <w:r w:rsidRPr="00A81DED">
        <w:rPr>
          <w:lang w:val="en-US"/>
        </w:rPr>
        <w:t xml:space="preserve">in the samples supplemented with sunflower protein: this is composed of 50 </w:t>
      </w:r>
      <w:r w:rsidR="004600C1">
        <w:rPr>
          <w:lang w:val="en-US"/>
        </w:rPr>
        <w:t>%</w:t>
      </w:r>
      <w:r w:rsidRPr="00A81DED">
        <w:rPr>
          <w:lang w:val="en-US"/>
        </w:rPr>
        <w:t xml:space="preserve"> protein and the remainder is</w:t>
      </w:r>
      <w:r w:rsidR="00A95665">
        <w:rPr>
          <w:lang w:val="en-US"/>
        </w:rPr>
        <w:t xml:space="preserve"> </w:t>
      </w:r>
      <w:r w:rsidRPr="00A81DED">
        <w:rPr>
          <w:lang w:val="en-US"/>
        </w:rPr>
        <w:t>rich in fiber.</w:t>
      </w:r>
    </w:p>
    <w:p w14:paraId="64E4E70C" w14:textId="3BC17793" w:rsidR="00E24F1D" w:rsidRDefault="006C1B37" w:rsidP="006C1B37">
      <w:pPr>
        <w:pStyle w:val="CETBodytext"/>
      </w:pPr>
      <w:r>
        <w:t xml:space="preserve">Throughout the </w:t>
      </w:r>
      <w:r w:rsidR="00CE76EB">
        <w:t>storage test</w:t>
      </w:r>
      <w:r>
        <w:t>, the peroxide analysis was always negative</w:t>
      </w:r>
      <w:r w:rsidR="00872758">
        <w:t xml:space="preserve"> for all the samples</w:t>
      </w:r>
      <w:r>
        <w:t>. This</w:t>
      </w:r>
      <w:r w:rsidR="00872758">
        <w:t xml:space="preserve">, contrary to what </w:t>
      </w:r>
      <w:r w:rsidR="000538D6">
        <w:t xml:space="preserve">was </w:t>
      </w:r>
      <w:r w:rsidR="00872758">
        <w:t>expected,</w:t>
      </w:r>
      <w:r>
        <w:t xml:space="preserve"> </w:t>
      </w:r>
      <w:r w:rsidR="008A12E2">
        <w:t>revealed a</w:t>
      </w:r>
      <w:r>
        <w:t xml:space="preserve"> high </w:t>
      </w:r>
      <w:r w:rsidR="00872758">
        <w:t xml:space="preserve">oxidative </w:t>
      </w:r>
      <w:r>
        <w:t>stability of the hazelnut paste</w:t>
      </w:r>
      <w:r w:rsidR="00872758">
        <w:t xml:space="preserve"> at 40°C </w:t>
      </w:r>
      <w:r w:rsidR="00E24F1D">
        <w:t xml:space="preserve">up to 105 days </w:t>
      </w:r>
      <w:r w:rsidR="00872758">
        <w:t>even though in open container</w:t>
      </w:r>
      <w:r>
        <w:t>s</w:t>
      </w:r>
      <w:r w:rsidR="00872758">
        <w:t xml:space="preserve"> to have oxygen exposure</w:t>
      </w:r>
      <w:r w:rsidR="009D37BC">
        <w:t xml:space="preserve">. </w:t>
      </w:r>
      <w:r>
        <w:t>The</w:t>
      </w:r>
      <w:r w:rsidR="00872758">
        <w:t xml:space="preserve"> oxidative stability might have been supported by the absence of light inside the oven and by the</w:t>
      </w:r>
      <w:r>
        <w:t xml:space="preserve"> antioxidant effect of the </w:t>
      </w:r>
      <w:r w:rsidR="00872758">
        <w:t xml:space="preserve">natural content in </w:t>
      </w:r>
      <w:r>
        <w:t xml:space="preserve">tocopherols </w:t>
      </w:r>
      <w:r w:rsidR="00872758">
        <w:t>of the hazelnut paste</w:t>
      </w:r>
      <w:r w:rsidR="00793F98">
        <w:t xml:space="preserve"> (Crews et al., 2005)</w:t>
      </w:r>
      <w:r w:rsidR="00872758">
        <w:t xml:space="preserve">. </w:t>
      </w:r>
    </w:p>
    <w:p w14:paraId="703C7D58" w14:textId="43075F28" w:rsidR="00E24F1D" w:rsidRDefault="00E24F1D" w:rsidP="006C1B37">
      <w:pPr>
        <w:pStyle w:val="CETBodytext"/>
      </w:pPr>
      <w:r>
        <w:t xml:space="preserve">As explained in materials and methods, an energy activation of </w:t>
      </w:r>
      <w:r w:rsidRPr="004D4D9C">
        <w:t>10 kcal/mol</w:t>
      </w:r>
      <w:r>
        <w:t xml:space="preserve"> was used to calculate the equivalence of 15 weeks at 40°C to 10 months at 21°C. The observed stability would suggest an even longer shelf-life of the product or a not appropriate </w:t>
      </w:r>
      <w:proofErr w:type="spellStart"/>
      <w:r>
        <w:t>E</w:t>
      </w:r>
      <w:r w:rsidRPr="008A12E2">
        <w:rPr>
          <w:vertAlign w:val="subscript"/>
        </w:rPr>
        <w:t>a</w:t>
      </w:r>
      <w:proofErr w:type="spellEnd"/>
      <w:r>
        <w:t xml:space="preserve"> selection. </w:t>
      </w:r>
    </w:p>
    <w:p w14:paraId="6E149750" w14:textId="08150D7C" w:rsidR="00CF37CD" w:rsidRDefault="00CF37CD" w:rsidP="00CF37CD">
      <w:pPr>
        <w:pStyle w:val="CETBodytext"/>
      </w:pPr>
      <w:r>
        <w:t>The analys</w:t>
      </w:r>
      <w:r w:rsidR="001D28BE">
        <w:t>i</w:t>
      </w:r>
      <w:r>
        <w:t xml:space="preserve">s </w:t>
      </w:r>
      <w:r w:rsidR="006C367B">
        <w:t xml:space="preserve">of tocopherols </w:t>
      </w:r>
      <w:r w:rsidR="008A12E2">
        <w:t>content revealed</w:t>
      </w:r>
      <w:r>
        <w:t xml:space="preserve"> </w:t>
      </w:r>
      <w:r w:rsidR="006C367B">
        <w:t xml:space="preserve">the </w:t>
      </w:r>
      <w:r w:rsidR="008A12E2">
        <w:t>presence of</w:t>
      </w:r>
      <w:r>
        <w:t xml:space="preserve"> </w:t>
      </w:r>
      <w:r w:rsidR="005428EE">
        <w:rPr>
          <w:rFonts w:ascii="Calibri" w:hAnsi="Calibri" w:cs="Calibri"/>
        </w:rPr>
        <w:t>α</w:t>
      </w:r>
      <w:r>
        <w:t xml:space="preserve">-tocopherol, </w:t>
      </w:r>
      <w:r w:rsidR="005428EE">
        <w:sym w:font="Symbol" w:char="F067"/>
      </w:r>
      <w:r>
        <w:t>-</w:t>
      </w:r>
      <w:proofErr w:type="gramStart"/>
      <w:r>
        <w:t>tocopherol</w:t>
      </w:r>
      <w:proofErr w:type="gramEnd"/>
      <w:r>
        <w:t xml:space="preserve"> and </w:t>
      </w:r>
      <w:r w:rsidR="005428EE">
        <w:sym w:font="Symbol" w:char="F064"/>
      </w:r>
      <w:r>
        <w:t xml:space="preserve">-tocopherol, while the presence of </w:t>
      </w:r>
      <w:r w:rsidR="005428EE">
        <w:sym w:font="Symbol" w:char="F062"/>
      </w:r>
      <w:r>
        <w:t xml:space="preserve">-tocopherol was </w:t>
      </w:r>
      <w:r w:rsidR="000D1E50">
        <w:t>negligible. The</w:t>
      </w:r>
      <w:r>
        <w:t xml:space="preserve"> concentration trend was similar for all the </w:t>
      </w:r>
      <w:r w:rsidR="006C367B">
        <w:t>samples (</w:t>
      </w:r>
      <w:r w:rsidR="006C367B">
        <w:rPr>
          <w:i/>
          <w:iCs/>
        </w:rPr>
        <w:t xml:space="preserve">Figures 2 and 3) </w:t>
      </w:r>
      <w:r w:rsidR="006C367B">
        <w:t xml:space="preserve">showing a general decrease over time. </w:t>
      </w:r>
      <w:r>
        <w:t xml:space="preserve"> This decrease </w:t>
      </w:r>
      <w:r w:rsidR="006C367B">
        <w:t>was</w:t>
      </w:r>
      <w:r>
        <w:t xml:space="preserve"> probably due to the antioxidant power of the tocopherols, which, by reacting with oxygen and radicals over time, </w:t>
      </w:r>
      <w:r w:rsidR="008A12E2">
        <w:t>could preserve</w:t>
      </w:r>
      <w:r>
        <w:t xml:space="preserve"> the fat fraction of the </w:t>
      </w:r>
      <w:r w:rsidR="006C367B">
        <w:t xml:space="preserve">hazelnut paste avoiding </w:t>
      </w:r>
      <w:r w:rsidR="000538D6">
        <w:t xml:space="preserve">an </w:t>
      </w:r>
      <w:r w:rsidR="006C367B">
        <w:t>increase in PV and supporting the previous hypothesis to explain the observed oxidative stability</w:t>
      </w:r>
      <w:r>
        <w:t xml:space="preserve">. </w:t>
      </w:r>
      <w:r w:rsidR="00C12460">
        <w:t xml:space="preserve"> </w:t>
      </w:r>
    </w:p>
    <w:p w14:paraId="270420C8" w14:textId="66DA131E" w:rsidR="00EC4169" w:rsidRDefault="00C12460" w:rsidP="008D6F86">
      <w:pPr>
        <w:pStyle w:val="CETBodytext"/>
        <w:spacing w:after="120"/>
      </w:pPr>
      <w:r>
        <w:t xml:space="preserve">Some difference was observed for the different tocopherols. </w:t>
      </w:r>
      <w:r w:rsidR="00CF37CD">
        <w:t xml:space="preserve">The </w:t>
      </w:r>
      <w:r w:rsidR="005428EE">
        <w:rPr>
          <w:rFonts w:ascii="Calibri" w:hAnsi="Calibri" w:cs="Calibri"/>
        </w:rPr>
        <w:t>α</w:t>
      </w:r>
      <w:r w:rsidR="00CF37CD">
        <w:t xml:space="preserve">-tocopherol proved to be the main tocopherol </w:t>
      </w:r>
      <w:r>
        <w:t xml:space="preserve">with </w:t>
      </w:r>
      <w:r w:rsidR="00CF37CD">
        <w:t>no significant difference</w:t>
      </w:r>
      <w:r>
        <w:t xml:space="preserve"> between the different </w:t>
      </w:r>
      <w:r w:rsidR="008A12E2">
        <w:t>paste</w:t>
      </w:r>
      <w:r>
        <w:t xml:space="preserve"> sample</w:t>
      </w:r>
      <w:r w:rsidR="00CF37CD">
        <w:t>s</w:t>
      </w:r>
      <w:r w:rsidR="005428EE">
        <w:t xml:space="preserve"> (</w:t>
      </w:r>
      <w:r w:rsidR="00A243C4" w:rsidRPr="00A243C4">
        <w:rPr>
          <w:i/>
          <w:iCs/>
        </w:rPr>
        <w:fldChar w:fldCharType="begin"/>
      </w:r>
      <w:r w:rsidR="00A243C4" w:rsidRPr="00A243C4">
        <w:instrText xml:space="preserve"> REF _Ref124417451 \h </w:instrText>
      </w:r>
      <w:r w:rsidR="00A243C4" w:rsidRPr="00A243C4">
        <w:rPr>
          <w:i/>
          <w:iCs/>
        </w:rPr>
        <w:instrText xml:space="preserve"> \* MERGEFORMAT </w:instrText>
      </w:r>
      <w:r w:rsidR="00A243C4" w:rsidRPr="00A243C4">
        <w:rPr>
          <w:i/>
          <w:iCs/>
        </w:rPr>
      </w:r>
      <w:r w:rsidR="00A243C4" w:rsidRPr="00A243C4">
        <w:rPr>
          <w:i/>
          <w:iCs/>
        </w:rPr>
        <w:fldChar w:fldCharType="separate"/>
      </w:r>
      <w:r w:rsidR="00A243C4" w:rsidRPr="00A243C4">
        <w:rPr>
          <w:i/>
          <w:iCs/>
        </w:rPr>
        <w:t xml:space="preserve">Figure </w:t>
      </w:r>
      <w:r w:rsidR="00A243C4" w:rsidRPr="00A243C4">
        <w:rPr>
          <w:i/>
          <w:iCs/>
          <w:noProof/>
        </w:rPr>
        <w:t>2</w:t>
      </w:r>
      <w:r w:rsidR="00A243C4" w:rsidRPr="00A243C4">
        <w:rPr>
          <w:i/>
          <w:iCs/>
        </w:rPr>
        <w:fldChar w:fldCharType="end"/>
      </w:r>
      <w:r w:rsidR="005428EE">
        <w:t>)</w:t>
      </w:r>
      <w:r w:rsidR="00CF37CD">
        <w:t>.</w:t>
      </w:r>
      <w:r w:rsidR="00664E69">
        <w:t xml:space="preserve"> </w:t>
      </w:r>
      <w:r>
        <w:t>In all the samples</w:t>
      </w:r>
      <w:r w:rsidR="00CF37CD">
        <w:t xml:space="preserve"> </w:t>
      </w:r>
      <w:r>
        <w:rPr>
          <w:rFonts w:ascii="Calibri" w:hAnsi="Calibri" w:cs="Calibri"/>
        </w:rPr>
        <w:t>α</w:t>
      </w:r>
      <w:r w:rsidDel="00C12460">
        <w:t xml:space="preserve"> </w:t>
      </w:r>
      <w:r w:rsidR="00CF37CD">
        <w:t>-tocopherol decrease</w:t>
      </w:r>
      <w:r>
        <w:t>d</w:t>
      </w:r>
      <w:r w:rsidR="00CF37CD">
        <w:t xml:space="preserve"> over time up to day 56, </w:t>
      </w:r>
      <w:r w:rsidR="008A12E2">
        <w:t>then increased</w:t>
      </w:r>
      <w:r w:rsidR="00CF37CD">
        <w:t xml:space="preserve"> </w:t>
      </w:r>
      <w:r>
        <w:t xml:space="preserve">until </w:t>
      </w:r>
      <w:r w:rsidR="00CF37CD">
        <w:t xml:space="preserve">70 days and </w:t>
      </w:r>
      <w:r>
        <w:t xml:space="preserve">finally decreased after </w:t>
      </w:r>
      <w:r w:rsidR="00CF37CD">
        <w:t>98 days.</w:t>
      </w:r>
      <w:r w:rsidR="00664E69">
        <w:t xml:space="preserve"> </w:t>
      </w:r>
      <w:r w:rsidR="00CF37CD">
        <w:t xml:space="preserve">The </w:t>
      </w:r>
      <w:r>
        <w:t xml:space="preserve">intermediate </w:t>
      </w:r>
      <w:r w:rsidR="00CF37CD">
        <w:t xml:space="preserve">increase could be due to </w:t>
      </w:r>
      <w:r>
        <w:t>the</w:t>
      </w:r>
      <w:r w:rsidR="00CF37CD">
        <w:t xml:space="preserve"> increase in the fluidity of the samples previously commented </w:t>
      </w:r>
      <w:r w:rsidR="008A12E2">
        <w:t>and that</w:t>
      </w:r>
      <w:r w:rsidR="00CF37CD">
        <w:t xml:space="preserve"> could have </w:t>
      </w:r>
      <w:r>
        <w:t>allowed</w:t>
      </w:r>
      <w:r w:rsidR="00CF37CD">
        <w:t xml:space="preserve"> to a higher extractability of tocopherol in the analytical pro</w:t>
      </w:r>
      <w:r>
        <w:t>tocol</w:t>
      </w:r>
      <w:r w:rsidR="00CF37CD">
        <w:t>.</w:t>
      </w:r>
    </w:p>
    <w:p w14:paraId="0CF7F53C" w14:textId="1F288AC7" w:rsidR="005428EE" w:rsidRDefault="00A14D72" w:rsidP="00A169E0">
      <w:pPr>
        <w:pStyle w:val="CETBodytext"/>
        <w:keepNext/>
        <w:jc w:val="left"/>
      </w:pPr>
      <w:r>
        <w:rPr>
          <w:noProof/>
        </w:rPr>
        <w:drawing>
          <wp:inline distT="0" distB="0" distL="0" distR="0" wp14:anchorId="2F904603" wp14:editId="56FEA9E5">
            <wp:extent cx="3290486" cy="1932317"/>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448" t="3496" r="2060" b="4963"/>
                    <a:stretch/>
                  </pic:blipFill>
                  <pic:spPr bwMode="auto">
                    <a:xfrm>
                      <a:off x="0" y="0"/>
                      <a:ext cx="3465068" cy="2034839"/>
                    </a:xfrm>
                    <a:prstGeom prst="rect">
                      <a:avLst/>
                    </a:prstGeom>
                    <a:noFill/>
                    <a:ln>
                      <a:noFill/>
                    </a:ln>
                    <a:extLst>
                      <a:ext uri="{53640926-AAD7-44D8-BBD7-CCE9431645EC}">
                        <a14:shadowObscured xmlns:a14="http://schemas.microsoft.com/office/drawing/2010/main"/>
                      </a:ext>
                    </a:extLst>
                  </pic:spPr>
                </pic:pic>
              </a:graphicData>
            </a:graphic>
          </wp:inline>
        </w:drawing>
      </w:r>
    </w:p>
    <w:p w14:paraId="08E4539A" w14:textId="31BE5696" w:rsidR="005428EE" w:rsidRPr="00C2031A" w:rsidRDefault="005428EE" w:rsidP="00C2031A">
      <w:pPr>
        <w:pStyle w:val="CETCaption"/>
        <w:rPr>
          <w:b/>
          <w:bCs/>
          <w:lang w:val="en-US"/>
        </w:rPr>
      </w:pPr>
      <w:bookmarkStart w:id="6" w:name="_Ref124417451"/>
      <w:r w:rsidRPr="00BA06A0">
        <w:rPr>
          <w:lang w:val="en-US"/>
        </w:rPr>
        <w:t xml:space="preserve">Figure </w:t>
      </w:r>
      <w:r w:rsidRPr="00BA06A0">
        <w:rPr>
          <w:b/>
          <w:bCs/>
          <w:lang w:val="en-US"/>
        </w:rPr>
        <w:fldChar w:fldCharType="begin"/>
      </w:r>
      <w:r w:rsidRPr="00BA06A0">
        <w:rPr>
          <w:lang w:val="en-US"/>
        </w:rPr>
        <w:instrText xml:space="preserve"> SEQ Figure \* ARABIC </w:instrText>
      </w:r>
      <w:r w:rsidRPr="00BA06A0">
        <w:rPr>
          <w:b/>
          <w:bCs/>
          <w:lang w:val="en-US"/>
        </w:rPr>
        <w:fldChar w:fldCharType="separate"/>
      </w:r>
      <w:r w:rsidR="00433370">
        <w:rPr>
          <w:noProof/>
          <w:lang w:val="en-US"/>
        </w:rPr>
        <w:t>2</w:t>
      </w:r>
      <w:r w:rsidRPr="00BA06A0">
        <w:rPr>
          <w:b/>
          <w:bCs/>
          <w:lang w:val="en-US"/>
        </w:rPr>
        <w:fldChar w:fldCharType="end"/>
      </w:r>
      <w:bookmarkEnd w:id="6"/>
      <w:r w:rsidR="00256875">
        <w:rPr>
          <w:lang w:val="en-US"/>
        </w:rPr>
        <w:t>:</w:t>
      </w:r>
      <w:r w:rsidRPr="00BA06A0">
        <w:rPr>
          <w:lang w:val="en-US"/>
        </w:rPr>
        <w:t xml:space="preserve"> Trend of </w:t>
      </w:r>
      <w:bookmarkStart w:id="7" w:name="_Hlk128996144"/>
      <w:r w:rsidR="00C12460">
        <w:rPr>
          <w:rFonts w:cs="Arial"/>
          <w:lang w:val="en-US"/>
        </w:rPr>
        <w:t>α</w:t>
      </w:r>
      <w:r w:rsidRPr="00BA06A0">
        <w:rPr>
          <w:lang w:val="en-US"/>
        </w:rPr>
        <w:t xml:space="preserve">-tocopherol </w:t>
      </w:r>
      <w:bookmarkEnd w:id="7"/>
      <w:r w:rsidRPr="00BA06A0">
        <w:rPr>
          <w:lang w:val="en-US"/>
        </w:rPr>
        <w:t xml:space="preserve">content </w:t>
      </w:r>
      <w:r w:rsidR="00C12460">
        <w:rPr>
          <w:lang w:val="en-US"/>
        </w:rPr>
        <w:t xml:space="preserve">in the oil phase </w:t>
      </w:r>
      <w:r w:rsidRPr="00BA06A0">
        <w:rPr>
          <w:lang w:val="en-US"/>
        </w:rPr>
        <w:t>(</w:t>
      </w:r>
      <w:r w:rsidR="00912FA7">
        <w:rPr>
          <w:lang w:val="en-US"/>
        </w:rPr>
        <w:sym w:font="Symbol" w:char="F06D"/>
      </w:r>
      <w:r w:rsidRPr="00BA06A0">
        <w:rPr>
          <w:lang w:val="en-US"/>
        </w:rPr>
        <w:t>g/L fat)</w:t>
      </w:r>
      <w:r w:rsidR="00C12460">
        <w:rPr>
          <w:lang w:val="en-US"/>
        </w:rPr>
        <w:t xml:space="preserve"> of hazelnut paste samples (stabili</w:t>
      </w:r>
      <w:r w:rsidR="003F48FF">
        <w:rPr>
          <w:lang w:val="en-US"/>
        </w:rPr>
        <w:t>z</w:t>
      </w:r>
      <w:r w:rsidR="00C12460">
        <w:rPr>
          <w:lang w:val="en-US"/>
        </w:rPr>
        <w:t>ed, unstabili</w:t>
      </w:r>
      <w:r w:rsidR="003F48FF">
        <w:rPr>
          <w:lang w:val="en-US"/>
        </w:rPr>
        <w:t>z</w:t>
      </w:r>
      <w:r w:rsidR="00C12460">
        <w:rPr>
          <w:lang w:val="en-US"/>
        </w:rPr>
        <w:t xml:space="preserve">ed, added with sunflower or soy proteins) during storage at 40°C in </w:t>
      </w:r>
      <w:r w:rsidR="008A12E2">
        <w:rPr>
          <w:lang w:val="en-US"/>
        </w:rPr>
        <w:t>open containers.</w:t>
      </w:r>
    </w:p>
    <w:p w14:paraId="6301E818" w14:textId="30540318" w:rsidR="00DC57B6" w:rsidRDefault="005428EE" w:rsidP="008A12E2">
      <w:pPr>
        <w:pStyle w:val="CETBodytext"/>
      </w:pPr>
      <w:r w:rsidRPr="005428EE">
        <w:t xml:space="preserve">In the case of </w:t>
      </w:r>
      <w:r>
        <w:sym w:font="Symbol" w:char="F067"/>
      </w:r>
      <w:r w:rsidRPr="005428EE">
        <w:t xml:space="preserve">-tocopherol, a </w:t>
      </w:r>
      <w:r w:rsidR="00C12460">
        <w:t>more limited reduction</w:t>
      </w:r>
      <w:r w:rsidRPr="005428EE">
        <w:t xml:space="preserve"> </w:t>
      </w:r>
      <w:r w:rsidR="00C12460">
        <w:t>(</w:t>
      </w:r>
      <w:r w:rsidR="00C12460" w:rsidRPr="005428EE">
        <w:t xml:space="preserve">about 30 </w:t>
      </w:r>
      <w:r w:rsidR="00C12460">
        <w:t xml:space="preserve">%) </w:t>
      </w:r>
      <w:r w:rsidR="008A12E2" w:rsidRPr="005428EE">
        <w:t>was observed</w:t>
      </w:r>
      <w:r w:rsidRPr="005428EE">
        <w:t xml:space="preserve"> (</w:t>
      </w:r>
      <w:r w:rsidR="00A243C4" w:rsidRPr="00A243C4">
        <w:rPr>
          <w:i/>
          <w:iCs/>
        </w:rPr>
        <w:fldChar w:fldCharType="begin"/>
      </w:r>
      <w:r w:rsidR="00A243C4" w:rsidRPr="00A243C4">
        <w:instrText xml:space="preserve"> REF _Ref124417798 \h </w:instrText>
      </w:r>
      <w:r w:rsidR="00A243C4" w:rsidRPr="00A243C4">
        <w:rPr>
          <w:i/>
          <w:iCs/>
        </w:rPr>
        <w:instrText xml:space="preserve"> \* MERGEFORMAT </w:instrText>
      </w:r>
      <w:r w:rsidR="00A243C4" w:rsidRPr="00A243C4">
        <w:rPr>
          <w:i/>
          <w:iCs/>
        </w:rPr>
      </w:r>
      <w:r w:rsidR="00A243C4" w:rsidRPr="00A243C4">
        <w:rPr>
          <w:i/>
          <w:iCs/>
        </w:rPr>
        <w:fldChar w:fldCharType="separate"/>
      </w:r>
      <w:r w:rsidR="00A243C4" w:rsidRPr="00A243C4">
        <w:rPr>
          <w:i/>
          <w:iCs/>
        </w:rPr>
        <w:t xml:space="preserve">Figure </w:t>
      </w:r>
      <w:r w:rsidR="00A243C4" w:rsidRPr="00A243C4">
        <w:rPr>
          <w:i/>
          <w:iCs/>
          <w:noProof/>
        </w:rPr>
        <w:t>3</w:t>
      </w:r>
      <w:r w:rsidR="00A243C4" w:rsidRPr="00A243C4">
        <w:rPr>
          <w:i/>
          <w:iCs/>
        </w:rPr>
        <w:fldChar w:fldCharType="end"/>
      </w:r>
      <w:r w:rsidRPr="005428EE">
        <w:t xml:space="preserve">) in all </w:t>
      </w:r>
      <w:r w:rsidR="00CF7262" w:rsidRPr="005428EE">
        <w:t xml:space="preserve">the </w:t>
      </w:r>
      <w:r w:rsidR="00CF7262">
        <w:t>samples</w:t>
      </w:r>
      <w:r w:rsidRPr="005428EE">
        <w:t xml:space="preserve">. </w:t>
      </w:r>
      <w:r w:rsidR="00A7135E">
        <w:t xml:space="preserve">This was also present at a </w:t>
      </w:r>
      <w:r w:rsidRPr="005428EE">
        <w:t>lower concentration</w:t>
      </w:r>
      <w:r w:rsidR="00A7135E">
        <w:t xml:space="preserve"> than  </w:t>
      </w:r>
      <w:r w:rsidR="00A7135E">
        <w:sym w:font="Symbol" w:char="F061"/>
      </w:r>
      <w:r w:rsidR="008A12E2">
        <w:t>- and</w:t>
      </w:r>
      <w:r w:rsidR="00A7135E">
        <w:t xml:space="preserve"> </w:t>
      </w:r>
      <w:r w:rsidR="00A7135E">
        <w:sym w:font="Symbol" w:char="F064"/>
      </w:r>
      <w:r w:rsidR="00A7135E">
        <w:t>- tocopherol</w:t>
      </w:r>
      <w:r>
        <w:t>.</w:t>
      </w:r>
      <w:r w:rsidR="00A7135E">
        <w:t xml:space="preserve"> The latter was the </w:t>
      </w:r>
      <w:r w:rsidR="00CF7262">
        <w:t>tocopherol detected</w:t>
      </w:r>
      <w:r w:rsidR="0044004F">
        <w:t xml:space="preserve"> </w:t>
      </w:r>
      <w:r w:rsidR="00A7135E">
        <w:t>at the</w:t>
      </w:r>
      <w:r w:rsidR="0044004F">
        <w:t xml:space="preserve"> highest average concentrations at t</w:t>
      </w:r>
      <w:r w:rsidR="0044004F" w:rsidRPr="00BA06A0">
        <w:rPr>
          <w:vertAlign w:val="subscript"/>
        </w:rPr>
        <w:t>0</w:t>
      </w:r>
      <w:r w:rsidR="0044004F">
        <w:t xml:space="preserve"> </w:t>
      </w:r>
      <w:r w:rsidR="00E30AC3">
        <w:t>and</w:t>
      </w:r>
      <w:r w:rsidR="00A7135E">
        <w:t xml:space="preserve"> the one that more rapidly degraded (</w:t>
      </w:r>
      <w:r w:rsidR="0044004F">
        <w:rPr>
          <w:i/>
          <w:iCs/>
        </w:rPr>
        <w:fldChar w:fldCharType="begin"/>
      </w:r>
      <w:r w:rsidR="0044004F">
        <w:instrText xml:space="preserve"> REF _Ref124417798 \h </w:instrText>
      </w:r>
      <w:r w:rsidR="0044004F">
        <w:rPr>
          <w:i/>
          <w:iCs/>
        </w:rPr>
      </w:r>
      <w:r w:rsidR="0044004F">
        <w:rPr>
          <w:i/>
          <w:iCs/>
        </w:rPr>
        <w:fldChar w:fldCharType="separate"/>
      </w:r>
      <w:r w:rsidR="0044004F" w:rsidRPr="00BA06A0">
        <w:rPr>
          <w:i/>
          <w:iCs/>
        </w:rPr>
        <w:t xml:space="preserve">Figure </w:t>
      </w:r>
      <w:r w:rsidR="0044004F">
        <w:rPr>
          <w:i/>
          <w:iCs/>
          <w:noProof/>
        </w:rPr>
        <w:t>3</w:t>
      </w:r>
      <w:r w:rsidR="0044004F">
        <w:rPr>
          <w:i/>
          <w:iCs/>
        </w:rPr>
        <w:fldChar w:fldCharType="end"/>
      </w:r>
      <w:r w:rsidR="00A7135E">
        <w:rPr>
          <w:i/>
          <w:iCs/>
        </w:rPr>
        <w:t>)</w:t>
      </w:r>
      <w:r w:rsidR="0044004F">
        <w:t xml:space="preserve">. </w:t>
      </w:r>
      <w:r w:rsidR="00A7135E">
        <w:t>Even though less evident, a</w:t>
      </w:r>
      <w:r w:rsidR="0044004F">
        <w:t>lso</w:t>
      </w:r>
      <w:r w:rsidR="00A7135E">
        <w:t xml:space="preserve"> for </w:t>
      </w:r>
      <w:r w:rsidR="0044004F">
        <w:t xml:space="preserve"> </w:t>
      </w:r>
      <w:r w:rsidR="0044004F">
        <w:sym w:font="Symbol" w:char="F064"/>
      </w:r>
      <w:r w:rsidR="0044004F">
        <w:t>-tocopherol there</w:t>
      </w:r>
      <w:r w:rsidR="00A7135E">
        <w:t xml:space="preserve"> was</w:t>
      </w:r>
      <w:r w:rsidR="0044004F">
        <w:t xml:space="preserve"> an apparent increase in concentration after some time, probably due to easier extraction.</w:t>
      </w:r>
      <w:r w:rsidR="00DD0D80">
        <w:t xml:space="preserve"> </w:t>
      </w:r>
    </w:p>
    <w:p w14:paraId="3702F4B4" w14:textId="3836E2A9" w:rsidR="00BA06A0" w:rsidRPr="0044004F" w:rsidRDefault="009B0615" w:rsidP="00A169E0">
      <w:pPr>
        <w:pStyle w:val="CETBodytext"/>
        <w:keepNext/>
        <w:jc w:val="left"/>
        <w:rPr>
          <w:lang w:val="en-GB"/>
        </w:rPr>
      </w:pPr>
      <w:r>
        <w:rPr>
          <w:noProof/>
        </w:rPr>
        <w:lastRenderedPageBreak/>
        <w:drawing>
          <wp:inline distT="0" distB="0" distL="0" distR="0" wp14:anchorId="7F14E26B" wp14:editId="79CE5D0B">
            <wp:extent cx="2689860" cy="1606816"/>
            <wp:effectExtent l="0" t="0" r="381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3750" t="2084" r="2513" b="4578"/>
                    <a:stretch/>
                  </pic:blipFill>
                  <pic:spPr bwMode="auto">
                    <a:xfrm>
                      <a:off x="0" y="0"/>
                      <a:ext cx="2689860" cy="1606816"/>
                    </a:xfrm>
                    <a:prstGeom prst="rect">
                      <a:avLst/>
                    </a:prstGeom>
                    <a:noFill/>
                    <a:ln>
                      <a:noFill/>
                    </a:ln>
                    <a:extLst>
                      <a:ext uri="{53640926-AAD7-44D8-BBD7-CCE9431645EC}">
                        <a14:shadowObscured xmlns:a14="http://schemas.microsoft.com/office/drawing/2010/main"/>
                      </a:ext>
                    </a:extLst>
                  </pic:spPr>
                </pic:pic>
              </a:graphicData>
            </a:graphic>
          </wp:inline>
        </w:drawing>
      </w:r>
      <w:r w:rsidR="00DB105A">
        <w:rPr>
          <w:noProof/>
        </w:rPr>
        <w:t xml:space="preserve">   </w:t>
      </w:r>
      <w:r w:rsidR="00543D71">
        <w:rPr>
          <w:noProof/>
        </w:rPr>
        <w:drawing>
          <wp:inline distT="0" distB="0" distL="0" distR="0" wp14:anchorId="45B59A40" wp14:editId="278A2586">
            <wp:extent cx="2781300" cy="156560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2588" t="4086" r="1653" b="5390"/>
                    <a:stretch/>
                  </pic:blipFill>
                  <pic:spPr bwMode="auto">
                    <a:xfrm>
                      <a:off x="0" y="0"/>
                      <a:ext cx="2781300" cy="1565602"/>
                    </a:xfrm>
                    <a:prstGeom prst="rect">
                      <a:avLst/>
                    </a:prstGeom>
                    <a:noFill/>
                    <a:ln>
                      <a:noFill/>
                    </a:ln>
                    <a:extLst>
                      <a:ext uri="{53640926-AAD7-44D8-BBD7-CCE9431645EC}">
                        <a14:shadowObscured xmlns:a14="http://schemas.microsoft.com/office/drawing/2010/main"/>
                      </a:ext>
                    </a:extLst>
                  </pic:spPr>
                </pic:pic>
              </a:graphicData>
            </a:graphic>
          </wp:inline>
        </w:drawing>
      </w:r>
    </w:p>
    <w:p w14:paraId="43DEA7B3" w14:textId="247C4044" w:rsidR="00543D71" w:rsidRDefault="00BA06A0" w:rsidP="000C7B6B">
      <w:pPr>
        <w:pStyle w:val="CETBodytext"/>
        <w:rPr>
          <w:i/>
        </w:rPr>
      </w:pPr>
      <w:bookmarkStart w:id="8" w:name="_Ref124417798"/>
      <w:r w:rsidRPr="002D0AAA">
        <w:rPr>
          <w:i/>
        </w:rPr>
        <w:t xml:space="preserve">Figure </w:t>
      </w:r>
      <w:r w:rsidRPr="002D0AAA">
        <w:rPr>
          <w:i/>
        </w:rPr>
        <w:fldChar w:fldCharType="begin"/>
      </w:r>
      <w:r w:rsidRPr="002D0AAA">
        <w:rPr>
          <w:i/>
        </w:rPr>
        <w:instrText xml:space="preserve"> SEQ Figure \* ARABIC </w:instrText>
      </w:r>
      <w:r w:rsidRPr="002D0AAA">
        <w:rPr>
          <w:i/>
        </w:rPr>
        <w:fldChar w:fldCharType="separate"/>
      </w:r>
      <w:r w:rsidR="00433370" w:rsidRPr="002D0AAA">
        <w:rPr>
          <w:i/>
        </w:rPr>
        <w:t>3</w:t>
      </w:r>
      <w:r w:rsidRPr="002D0AAA">
        <w:rPr>
          <w:i/>
        </w:rPr>
        <w:fldChar w:fldCharType="end"/>
      </w:r>
      <w:bookmarkEnd w:id="8"/>
      <w:r w:rsidR="00256875" w:rsidRPr="002D0AAA">
        <w:rPr>
          <w:i/>
        </w:rPr>
        <w:t>:</w:t>
      </w:r>
      <w:r w:rsidRPr="002D0AAA">
        <w:rPr>
          <w:i/>
        </w:rPr>
        <w:t xml:space="preserve"> Trend of </w:t>
      </w:r>
      <w:r w:rsidRPr="002D0AAA">
        <w:rPr>
          <w:i/>
        </w:rPr>
        <w:sym w:font="Symbol" w:char="F067"/>
      </w:r>
      <w:r w:rsidRPr="002D0AAA">
        <w:rPr>
          <w:i/>
        </w:rPr>
        <w:t xml:space="preserve">-tocopherol </w:t>
      </w:r>
      <w:r w:rsidR="00D55E8F" w:rsidRPr="002D0AAA">
        <w:rPr>
          <w:i/>
        </w:rPr>
        <w:t xml:space="preserve">(a) and </w:t>
      </w:r>
      <w:r w:rsidR="00D55E8F" w:rsidRPr="002D0AAA">
        <w:rPr>
          <w:i/>
        </w:rPr>
        <w:sym w:font="Symbol" w:char="F064"/>
      </w:r>
      <w:r w:rsidR="00D55E8F" w:rsidRPr="002D0AAA">
        <w:rPr>
          <w:i/>
        </w:rPr>
        <w:t xml:space="preserve">-tocopherol (b) </w:t>
      </w:r>
      <w:r w:rsidRPr="002D0AAA">
        <w:rPr>
          <w:i/>
        </w:rPr>
        <w:t xml:space="preserve">content </w:t>
      </w:r>
      <w:r w:rsidR="00D55E8F" w:rsidRPr="002D0AAA">
        <w:rPr>
          <w:i/>
        </w:rPr>
        <w:t xml:space="preserve">in the oil phase </w:t>
      </w:r>
      <w:r w:rsidRPr="002D0AAA">
        <w:rPr>
          <w:i/>
        </w:rPr>
        <w:t>(</w:t>
      </w:r>
      <w:r w:rsidR="00B53C49" w:rsidRPr="002D0AAA">
        <w:rPr>
          <w:i/>
        </w:rPr>
        <w:sym w:font="Symbol" w:char="F06D"/>
      </w:r>
      <w:r w:rsidRPr="002D0AAA">
        <w:rPr>
          <w:i/>
        </w:rPr>
        <w:t xml:space="preserve">g/L of fat) </w:t>
      </w:r>
      <w:r w:rsidR="00D55E8F" w:rsidRPr="002D0AAA">
        <w:rPr>
          <w:i/>
        </w:rPr>
        <w:t>of hazelnut paste samples (stabili</w:t>
      </w:r>
      <w:r w:rsidR="003F48FF" w:rsidRPr="002D0AAA">
        <w:rPr>
          <w:i/>
        </w:rPr>
        <w:t>z</w:t>
      </w:r>
      <w:r w:rsidR="00D55E8F" w:rsidRPr="002D0AAA">
        <w:rPr>
          <w:i/>
        </w:rPr>
        <w:t>ed, unstabili</w:t>
      </w:r>
      <w:r w:rsidR="003F48FF" w:rsidRPr="002D0AAA">
        <w:rPr>
          <w:i/>
        </w:rPr>
        <w:t>z</w:t>
      </w:r>
      <w:r w:rsidR="00D55E8F" w:rsidRPr="002D0AAA">
        <w:rPr>
          <w:i/>
        </w:rPr>
        <w:t>ed, added with sunflower or soy proteins) during storage at 40°C in open containers.</w:t>
      </w:r>
    </w:p>
    <w:p w14:paraId="4DBA2A8C" w14:textId="77777777" w:rsidR="002D0AAA" w:rsidRPr="002D0AAA" w:rsidRDefault="002D0AAA" w:rsidP="000C7B6B">
      <w:pPr>
        <w:pStyle w:val="CETBodytext"/>
        <w:rPr>
          <w:iCs/>
        </w:rPr>
      </w:pPr>
    </w:p>
    <w:p w14:paraId="7DCF7D18" w14:textId="4FDF481F" w:rsidR="000C7B6B" w:rsidRDefault="000C7B6B" w:rsidP="000C7B6B">
      <w:pPr>
        <w:pStyle w:val="CETBodytext"/>
      </w:pPr>
      <w:r>
        <w:t xml:space="preserve">The results of many published studies show that the effectiveness of each tocopherol isomer in lipid dispersion systems or in bulk oil is unpredictable because it depends on many side reactions involving neighboring molecules. The fate of the radicals will depend on various parameters leading to different chemical pathways and, consequently, different degrees of efficiency of tocopherols as antioxidants depending on the products in which they are </w:t>
      </w:r>
      <w:r w:rsidR="00E72A2C">
        <w:t xml:space="preserve">present or </w:t>
      </w:r>
      <w:r>
        <w:t>used. Results reported in the literature vary between synergistic or antagonistic effects, and the chemical interactions involved are complex (</w:t>
      </w:r>
      <w:proofErr w:type="spellStart"/>
      <w:r w:rsidRPr="000A2D11">
        <w:t>Barouh</w:t>
      </w:r>
      <w:proofErr w:type="spellEnd"/>
      <w:r w:rsidRPr="000A2D11">
        <w:t xml:space="preserve"> et al., 2022</w:t>
      </w:r>
      <w:r>
        <w:t>).</w:t>
      </w:r>
    </w:p>
    <w:p w14:paraId="4143D8C7" w14:textId="20E72F15" w:rsidR="000C7B6B" w:rsidRPr="00CF37CD" w:rsidRDefault="000C7B6B" w:rsidP="000C7B6B">
      <w:pPr>
        <w:pStyle w:val="CETBodytext"/>
      </w:pPr>
      <w:r>
        <w:t xml:space="preserve">Since it is complex to define and predict the interactions between the tocopherols, the fat fraction and other chemical compounds present in the matrix (in our case, vegetable proteins), it is difficult to assess the reason why the stability of pastes with added soybean and sunflower </w:t>
      </w:r>
      <w:r w:rsidR="00756C32">
        <w:t>p</w:t>
      </w:r>
      <w:r>
        <w:t xml:space="preserve">roteins </w:t>
      </w:r>
      <w:r w:rsidR="00E72A2C">
        <w:t>was higher than both the stabilized and natural paste</w:t>
      </w:r>
      <w:r w:rsidR="00C74D98">
        <w:rPr>
          <w:lang w:val="en-GB"/>
        </w:rPr>
        <w:t xml:space="preserve">: </w:t>
      </w:r>
      <w:r w:rsidR="00C74D98" w:rsidRPr="00C74D98">
        <w:rPr>
          <w:lang w:val="en-GB"/>
        </w:rPr>
        <w:t>this could be due to either the natural presence of the tocopherols or the addition of the proteins themselves</w:t>
      </w:r>
      <w:r w:rsidR="00C74D98">
        <w:rPr>
          <w:lang w:val="en-GB"/>
        </w:rPr>
        <w:t xml:space="preserve">. </w:t>
      </w:r>
      <w:r w:rsidR="00E72A2C">
        <w:t>T</w:t>
      </w:r>
      <w:r>
        <w:t xml:space="preserve">he most likely hypothesis concerns </w:t>
      </w:r>
      <w:r w:rsidR="008A12E2">
        <w:t>the chemical</w:t>
      </w:r>
      <w:r>
        <w:t xml:space="preserve"> interactions between the tocopherols and the </w:t>
      </w:r>
      <w:r w:rsidR="00E72A2C">
        <w:t>added</w:t>
      </w:r>
      <w:r>
        <w:t xml:space="preserve"> proteins</w:t>
      </w:r>
      <w:r w:rsidR="004F7C46">
        <w:t xml:space="preserve">: </w:t>
      </w:r>
      <w:r w:rsidR="004F7C46" w:rsidRPr="004F7C46">
        <w:t>these possible chemical interactions between tocopherols and proteins are consistent with what is present in the data</w:t>
      </w:r>
      <w:r w:rsidR="004F7C46">
        <w:t xml:space="preserve"> </w:t>
      </w:r>
      <w:r>
        <w:t xml:space="preserve">of </w:t>
      </w:r>
      <w:proofErr w:type="spellStart"/>
      <w:r w:rsidRPr="000A2D11">
        <w:t>Krol</w:t>
      </w:r>
      <w:proofErr w:type="spellEnd"/>
      <w:r w:rsidRPr="000A2D11">
        <w:t xml:space="preserve"> et al. (2020)</w:t>
      </w:r>
      <w:r>
        <w:t>.</w:t>
      </w:r>
    </w:p>
    <w:p w14:paraId="41E68DED" w14:textId="21C1D462" w:rsidR="00BA06A0" w:rsidRDefault="0087519D" w:rsidP="008D6F86">
      <w:pPr>
        <w:pStyle w:val="CETBodytext"/>
        <w:spacing w:after="120"/>
      </w:pPr>
      <w:r>
        <w:t xml:space="preserve">The oil separation </w:t>
      </w:r>
      <w:r w:rsidR="00E72A2C">
        <w:t xml:space="preserve">was measured as a </w:t>
      </w:r>
      <w:r>
        <w:t xml:space="preserve">parameter to evaluate the physical stability of the hazelnut pastes. Oil separation </w:t>
      </w:r>
      <w:r w:rsidR="003F48FF">
        <w:t xml:space="preserve">significantly </w:t>
      </w:r>
      <w:r w:rsidR="00E72A2C">
        <w:t>increased for the whole duration of the storage test and for all the samples (</w:t>
      </w:r>
      <w:r w:rsidR="00E72A2C">
        <w:rPr>
          <w:i/>
          <w:iCs/>
        </w:rPr>
        <w:t>Figure 4)</w:t>
      </w:r>
      <w:r>
        <w:t>.</w:t>
      </w:r>
      <w:r w:rsidR="00B91F8B">
        <w:t xml:space="preserve"> T</w:t>
      </w:r>
      <w:r w:rsidR="00B91F8B" w:rsidRPr="00EA6153">
        <w:t>he OHC values make it possible to explain the behavior of these proteins toward oil separation in hazelnut pastes fortified with these products</w:t>
      </w:r>
      <w:r w:rsidR="00B91F8B">
        <w:t>.</w:t>
      </w:r>
    </w:p>
    <w:p w14:paraId="6AC54781" w14:textId="27221A8E" w:rsidR="00433370" w:rsidRDefault="0062469D" w:rsidP="00A169E0">
      <w:pPr>
        <w:pStyle w:val="CETBodytext"/>
        <w:keepNext/>
        <w:jc w:val="left"/>
      </w:pPr>
      <w:r>
        <w:rPr>
          <w:noProof/>
        </w:rPr>
        <w:drawing>
          <wp:inline distT="0" distB="0" distL="0" distR="0" wp14:anchorId="0B4C2280" wp14:editId="28557BD4">
            <wp:extent cx="3729499" cy="1539815"/>
            <wp:effectExtent l="0" t="0" r="444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4431" t="3400" r="4729" b="4469"/>
                    <a:stretch/>
                  </pic:blipFill>
                  <pic:spPr bwMode="auto">
                    <a:xfrm>
                      <a:off x="0" y="0"/>
                      <a:ext cx="3845049" cy="1587523"/>
                    </a:xfrm>
                    <a:prstGeom prst="rect">
                      <a:avLst/>
                    </a:prstGeom>
                    <a:noFill/>
                    <a:ln>
                      <a:noFill/>
                    </a:ln>
                    <a:extLst>
                      <a:ext uri="{53640926-AAD7-44D8-BBD7-CCE9431645EC}">
                        <a14:shadowObscured xmlns:a14="http://schemas.microsoft.com/office/drawing/2010/main"/>
                      </a:ext>
                    </a:extLst>
                  </pic:spPr>
                </pic:pic>
              </a:graphicData>
            </a:graphic>
          </wp:inline>
        </w:drawing>
      </w:r>
    </w:p>
    <w:p w14:paraId="26405E22" w14:textId="7ADD4E22" w:rsidR="00947846" w:rsidRDefault="00433370" w:rsidP="00C2031A">
      <w:pPr>
        <w:pStyle w:val="CETCaption"/>
      </w:pPr>
      <w:bookmarkStart w:id="9" w:name="_Ref124517383"/>
      <w:r w:rsidRPr="00433370">
        <w:rPr>
          <w:lang w:val="en-US"/>
        </w:rPr>
        <w:t xml:space="preserve">Figure </w:t>
      </w:r>
      <w:r w:rsidRPr="00433370">
        <w:rPr>
          <w:b/>
          <w:bCs/>
          <w:lang w:val="en-US"/>
        </w:rPr>
        <w:fldChar w:fldCharType="begin"/>
      </w:r>
      <w:r w:rsidRPr="00433370">
        <w:rPr>
          <w:lang w:val="en-US"/>
        </w:rPr>
        <w:instrText xml:space="preserve"> SEQ Figure \* ARABIC </w:instrText>
      </w:r>
      <w:r w:rsidRPr="00433370">
        <w:rPr>
          <w:b/>
          <w:bCs/>
          <w:lang w:val="en-US"/>
        </w:rPr>
        <w:fldChar w:fldCharType="separate"/>
      </w:r>
      <w:r w:rsidRPr="00433370">
        <w:rPr>
          <w:lang w:val="en-US"/>
        </w:rPr>
        <w:t>4</w:t>
      </w:r>
      <w:r w:rsidRPr="00433370">
        <w:rPr>
          <w:b/>
          <w:bCs/>
          <w:lang w:val="en-US"/>
        </w:rPr>
        <w:fldChar w:fldCharType="end"/>
      </w:r>
      <w:bookmarkEnd w:id="9"/>
      <w:r w:rsidR="00256875">
        <w:rPr>
          <w:lang w:val="en-US"/>
        </w:rPr>
        <w:t>:</w:t>
      </w:r>
      <w:r w:rsidRPr="00433370">
        <w:rPr>
          <w:lang w:val="en-US"/>
        </w:rPr>
        <w:t xml:space="preserve"> Oil separation </w:t>
      </w:r>
      <w:r w:rsidR="003F48FF">
        <w:rPr>
          <w:lang w:val="en-US"/>
        </w:rPr>
        <w:t>in hazelnut paste samples (stabilized, unstabilized, added with sunflower or soy proteins) during storage at 40°C in open containers</w:t>
      </w:r>
      <w:r w:rsidRPr="00433370">
        <w:rPr>
          <w:lang w:val="en-US"/>
        </w:rPr>
        <w:t>.</w:t>
      </w:r>
    </w:p>
    <w:p w14:paraId="2BD4C8F5" w14:textId="2AA83326" w:rsidR="0087519D" w:rsidRDefault="003F48FF" w:rsidP="00D46A5A">
      <w:pPr>
        <w:pStyle w:val="CETBodytext"/>
      </w:pPr>
      <w:r>
        <w:t xml:space="preserve">However, the increasing trend was slightly different for the protein-added </w:t>
      </w:r>
      <w:r w:rsidR="008A12E2">
        <w:t>pastes.</w:t>
      </w:r>
      <w:r w:rsidR="0087519D">
        <w:t xml:space="preserve"> For the paste </w:t>
      </w:r>
      <w:r>
        <w:t xml:space="preserve">added </w:t>
      </w:r>
      <w:r w:rsidR="0087519D">
        <w:t>with soy protein</w:t>
      </w:r>
      <w:r>
        <w:t>,</w:t>
      </w:r>
      <w:r w:rsidR="0087519D">
        <w:t xml:space="preserve"> the separation of oil occur</w:t>
      </w:r>
      <w:r>
        <w:t>red</w:t>
      </w:r>
      <w:r w:rsidR="0087519D">
        <w:t xml:space="preserve"> </w:t>
      </w:r>
      <w:r>
        <w:t xml:space="preserve">more </w:t>
      </w:r>
      <w:r w:rsidR="0087519D">
        <w:t xml:space="preserve">slowly in the first </w:t>
      </w:r>
      <w:r w:rsidR="008A12E2">
        <w:t>days of</w:t>
      </w:r>
      <w:r>
        <w:t xml:space="preserve"> storage at 40°C than in </w:t>
      </w:r>
      <w:r w:rsidR="0087519D">
        <w:t>the other past</w:t>
      </w:r>
      <w:r>
        <w:t>e</w:t>
      </w:r>
      <w:r w:rsidR="0087519D">
        <w:t>s</w:t>
      </w:r>
      <w:r>
        <w:t>, but it</w:t>
      </w:r>
      <w:r w:rsidR="0087519D">
        <w:t xml:space="preserve"> reache</w:t>
      </w:r>
      <w:r>
        <w:t>d</w:t>
      </w:r>
      <w:r w:rsidR="0087519D">
        <w:t xml:space="preserve"> </w:t>
      </w:r>
      <w:r>
        <w:t xml:space="preserve">the </w:t>
      </w:r>
      <w:r w:rsidR="0087519D">
        <w:t>highe</w:t>
      </w:r>
      <w:r>
        <w:t xml:space="preserve">st </w:t>
      </w:r>
      <w:r w:rsidR="0087519D">
        <w:t>level</w:t>
      </w:r>
      <w:r>
        <w:t xml:space="preserve"> among all samples </w:t>
      </w:r>
      <w:proofErr w:type="gramStart"/>
      <w:r w:rsidR="0087519D">
        <w:t>after  42</w:t>
      </w:r>
      <w:proofErr w:type="gramEnd"/>
      <w:r w:rsidR="0087519D">
        <w:t xml:space="preserve"> days</w:t>
      </w:r>
      <w:r>
        <w:t xml:space="preserve">. In the case of </w:t>
      </w:r>
      <w:r w:rsidR="0087519D">
        <w:t>past</w:t>
      </w:r>
      <w:r w:rsidR="004600C1">
        <w:t xml:space="preserve">e </w:t>
      </w:r>
      <w:r>
        <w:t xml:space="preserve">added </w:t>
      </w:r>
      <w:r w:rsidR="0087519D">
        <w:t xml:space="preserve">with sunflower protein, the separation of oil </w:t>
      </w:r>
      <w:r w:rsidR="008A12E2">
        <w:t>was the</w:t>
      </w:r>
      <w:r w:rsidR="0087519D">
        <w:t xml:space="preserve"> lowest among all samples </w:t>
      </w:r>
      <w:r>
        <w:t>at the beginning</w:t>
      </w:r>
      <w:r w:rsidR="0087519D">
        <w:t xml:space="preserve"> and then reach</w:t>
      </w:r>
      <w:r>
        <w:t>ed</w:t>
      </w:r>
      <w:r w:rsidR="0087519D">
        <w:t xml:space="preserve"> values like those </w:t>
      </w:r>
      <w:r>
        <w:t>of either stabilized and</w:t>
      </w:r>
      <w:r w:rsidR="0087519D">
        <w:t xml:space="preserve"> unstabilized pasta. Statistical analysis show</w:t>
      </w:r>
      <w:r>
        <w:t xml:space="preserve">ed a significant </w:t>
      </w:r>
      <w:r w:rsidR="0087519D">
        <w:t>difference between</w:t>
      </w:r>
      <w:r>
        <w:t xml:space="preserve"> all</w:t>
      </w:r>
      <w:r w:rsidR="0087519D">
        <w:t xml:space="preserve"> the samples </w:t>
      </w:r>
      <w:r>
        <w:t>until</w:t>
      </w:r>
      <w:r w:rsidR="0087519D">
        <w:t xml:space="preserve"> </w:t>
      </w:r>
      <w:r>
        <w:t xml:space="preserve">56 days. After 8 weeks, oil separation was significantly different only for soy protein-paste. </w:t>
      </w:r>
    </w:p>
    <w:p w14:paraId="60387324" w14:textId="11BEF5CD" w:rsidR="00CE39F0" w:rsidRDefault="00D46A5A" w:rsidP="00D46A5A">
      <w:pPr>
        <w:pStyle w:val="CETBodytext"/>
      </w:pPr>
      <w:r>
        <w:t>The</w:t>
      </w:r>
      <w:r w:rsidR="00ED42DB">
        <w:t xml:space="preserve"> positive effect of sunflower protein and, even though at a less extent of soy protein</w:t>
      </w:r>
      <w:r>
        <w:t xml:space="preserve"> </w:t>
      </w:r>
      <w:r w:rsidR="00ED42DB">
        <w:t>in reducing oil separation</w:t>
      </w:r>
      <w:r>
        <w:t xml:space="preserve"> in the </w:t>
      </w:r>
      <w:r w:rsidR="00ED42DB">
        <w:t xml:space="preserve">first weeks of </w:t>
      </w:r>
      <w:r w:rsidR="008A12E2">
        <w:t>storage could</w:t>
      </w:r>
      <w:r>
        <w:t xml:space="preserve"> be due to the good emulsifying </w:t>
      </w:r>
      <w:r w:rsidR="00ED42DB">
        <w:t xml:space="preserve">capacities </w:t>
      </w:r>
      <w:r>
        <w:t xml:space="preserve">and the </w:t>
      </w:r>
      <w:r w:rsidR="00ED42DB">
        <w:t xml:space="preserve">oil holding capacity of the protein ingredients. </w:t>
      </w:r>
      <w:r w:rsidR="004600C1">
        <w:t xml:space="preserve"> </w:t>
      </w:r>
    </w:p>
    <w:p w14:paraId="21226E3F" w14:textId="3DF05860" w:rsidR="00D46A5A" w:rsidRDefault="00D46A5A" w:rsidP="00D46A5A">
      <w:pPr>
        <w:pStyle w:val="CETBodytext"/>
      </w:pPr>
      <w:r>
        <w:t xml:space="preserve">However, it is important to point out </w:t>
      </w:r>
      <w:r w:rsidR="008A12E2">
        <w:t>that,</w:t>
      </w:r>
      <w:r w:rsidR="00ED42DB">
        <w:t xml:space="preserve"> contrary to what </w:t>
      </w:r>
      <w:r w:rsidR="00D23DFC">
        <w:t xml:space="preserve">was </w:t>
      </w:r>
      <w:r w:rsidR="00ED42DB">
        <w:t xml:space="preserve">expected, </w:t>
      </w:r>
      <w:r w:rsidR="00CE39F0">
        <w:t>t</w:t>
      </w:r>
      <w:r>
        <w:t xml:space="preserve">here </w:t>
      </w:r>
      <w:r w:rsidR="00ED42DB">
        <w:t xml:space="preserve">was no significant </w:t>
      </w:r>
      <w:r>
        <w:t xml:space="preserve">difference </w:t>
      </w:r>
      <w:r w:rsidR="00ED42DB">
        <w:t xml:space="preserve">in physical stability </w:t>
      </w:r>
      <w:r>
        <w:t>between natural and stabilized paste</w:t>
      </w:r>
      <w:r w:rsidR="00ED42DB">
        <w:t xml:space="preserve">. It might be </w:t>
      </w:r>
      <w:r w:rsidR="008A12E2">
        <w:t>that the</w:t>
      </w:r>
      <w:r>
        <w:t xml:space="preserve"> </w:t>
      </w:r>
      <w:r w:rsidR="00ED42DB">
        <w:t xml:space="preserve">selected </w:t>
      </w:r>
      <w:r>
        <w:t xml:space="preserve">storage temperature </w:t>
      </w:r>
      <w:r w:rsidR="00ED42DB">
        <w:t xml:space="preserve">(40°C) </w:t>
      </w:r>
      <w:r w:rsidR="00ED42DB">
        <w:lastRenderedPageBreak/>
        <w:t xml:space="preserve">to accelerate fat oxidation </w:t>
      </w:r>
      <w:r>
        <w:t xml:space="preserve">may have been too high leading, after the first 6 weeks, </w:t>
      </w:r>
      <w:r w:rsidR="00ED42DB">
        <w:t>to an apparent same</w:t>
      </w:r>
      <w:r>
        <w:t xml:space="preserve"> behavior between the different samples.</w:t>
      </w:r>
      <w:r w:rsidR="002F32E1">
        <w:t xml:space="preserve"> T</w:t>
      </w:r>
      <w:r>
        <w:t xml:space="preserve">here </w:t>
      </w:r>
      <w:r w:rsidR="00ED42DB">
        <w:t>is</w:t>
      </w:r>
      <w:r w:rsidR="008A12E2">
        <w:t xml:space="preserve"> </w:t>
      </w:r>
      <w:r>
        <w:t xml:space="preserve">no data in the literature </w:t>
      </w:r>
      <w:r w:rsidR="008A12E2">
        <w:t>on phase</w:t>
      </w:r>
      <w:r>
        <w:t xml:space="preserve"> separation kinetics </w:t>
      </w:r>
      <w:r w:rsidR="00ED42DB">
        <w:t xml:space="preserve">in nut </w:t>
      </w:r>
      <w:r>
        <w:t>pastes and dependence on temperature.</w:t>
      </w:r>
      <w:r w:rsidR="00ED42DB">
        <w:t xml:space="preserve"> For next investigation</w:t>
      </w:r>
      <w:r w:rsidR="00D23DFC">
        <w:t>,</w:t>
      </w:r>
      <w:r w:rsidR="00ED42DB">
        <w:t xml:space="preserve"> it could be selected a different shape of containers, with a lower height and larger diameter to enhance sedimentation.</w:t>
      </w:r>
    </w:p>
    <w:p w14:paraId="726F6EB0" w14:textId="1812C7A1" w:rsidR="00547EF1" w:rsidRPr="0087519D" w:rsidRDefault="00547EF1" w:rsidP="00547EF1">
      <w:pPr>
        <w:pStyle w:val="CETBodytext"/>
      </w:pPr>
      <w:r>
        <w:t>In the future, it would be interesting to investigate the composition of the proteins used in terms of bioactive compounds. Considering their plant</w:t>
      </w:r>
      <w:r w:rsidR="00736A48">
        <w:t xml:space="preserve">-based </w:t>
      </w:r>
      <w:r>
        <w:t>origin, it might be important to investigate the presence of any antioxidant compounds in the proteins that would allow better preservation of hazelnut pastes over time.</w:t>
      </w:r>
    </w:p>
    <w:p w14:paraId="1DC273B4" w14:textId="77777777" w:rsidR="00D46A5A" w:rsidRPr="00B57B36" w:rsidRDefault="00D46A5A" w:rsidP="00D46A5A">
      <w:pPr>
        <w:pStyle w:val="CETHeading1"/>
        <w:rPr>
          <w:lang w:val="en-GB"/>
        </w:rPr>
      </w:pPr>
      <w:r w:rsidRPr="00B57B36">
        <w:rPr>
          <w:lang w:val="en-GB"/>
        </w:rPr>
        <w:t>Conclusions</w:t>
      </w:r>
    </w:p>
    <w:p w14:paraId="4143998B" w14:textId="02A11280" w:rsidR="0087519D" w:rsidRDefault="00A243C4" w:rsidP="00730725">
      <w:pPr>
        <w:tabs>
          <w:tab w:val="clear" w:pos="7100"/>
        </w:tabs>
        <w:spacing w:after="240"/>
        <w:rPr>
          <w:lang w:val="en-US"/>
        </w:rPr>
      </w:pPr>
      <w:r w:rsidRPr="00A243C4">
        <w:rPr>
          <w:lang w:val="en-US"/>
        </w:rPr>
        <w:t>Plant proteins added to hazelnut pastes could be an</w:t>
      </w:r>
      <w:r w:rsidR="00ED42DB">
        <w:rPr>
          <w:lang w:val="en-US"/>
        </w:rPr>
        <w:t xml:space="preserve"> interesting </w:t>
      </w:r>
      <w:r w:rsidR="008A12E2">
        <w:rPr>
          <w:lang w:val="en-US"/>
        </w:rPr>
        <w:t xml:space="preserve">ingredient </w:t>
      </w:r>
      <w:r w:rsidR="008A12E2" w:rsidRPr="00A243C4">
        <w:rPr>
          <w:lang w:val="en-US"/>
        </w:rPr>
        <w:t>for</w:t>
      </w:r>
      <w:r w:rsidRPr="00A243C4">
        <w:rPr>
          <w:lang w:val="en-US"/>
        </w:rPr>
        <w:t xml:space="preserve"> improving their chemical and physical stability. </w:t>
      </w:r>
      <w:r w:rsidR="00761B3A">
        <w:rPr>
          <w:lang w:val="en-US"/>
        </w:rPr>
        <w:t>In this research soy and sunflower proteins were added to hazelnut paste for this purpose</w:t>
      </w:r>
      <w:r w:rsidR="0062469D">
        <w:rPr>
          <w:lang w:val="en-US"/>
        </w:rPr>
        <w:t xml:space="preserve"> </w:t>
      </w:r>
      <w:r w:rsidR="0062469D" w:rsidRPr="0062469D">
        <w:rPr>
          <w:lang w:val="en-US"/>
        </w:rPr>
        <w:t xml:space="preserve">and the results showed that in terms of oil separation over time, the addition of these proteins may provide an advantage. </w:t>
      </w:r>
      <w:r w:rsidR="0062469D">
        <w:rPr>
          <w:lang w:val="en-US"/>
        </w:rPr>
        <w:t>T</w:t>
      </w:r>
      <w:r w:rsidR="0062469D" w:rsidRPr="0062469D">
        <w:rPr>
          <w:lang w:val="en-US"/>
        </w:rPr>
        <w:t xml:space="preserve">he results related to oxidation over time are also interesting, but </w:t>
      </w:r>
      <w:r w:rsidR="00730725">
        <w:rPr>
          <w:lang w:val="en-US"/>
        </w:rPr>
        <w:t>f</w:t>
      </w:r>
      <w:r w:rsidR="00761B3A">
        <w:rPr>
          <w:lang w:val="en-US"/>
        </w:rPr>
        <w:t xml:space="preserve">urther investigation is needed to betterer understand the interaction of different types of plant proteins with </w:t>
      </w:r>
      <w:r w:rsidR="008A12E2">
        <w:rPr>
          <w:lang w:val="en-US"/>
        </w:rPr>
        <w:t>hazelnut</w:t>
      </w:r>
      <w:r w:rsidR="00761B3A">
        <w:rPr>
          <w:lang w:val="en-US"/>
        </w:rPr>
        <w:t xml:space="preserve"> paste oil and tocopherols fraction and the consequences on texture change and stability. </w:t>
      </w:r>
      <w:r w:rsidRPr="00A243C4">
        <w:rPr>
          <w:lang w:val="en-US"/>
        </w:rPr>
        <w:t xml:space="preserve">  </w:t>
      </w:r>
    </w:p>
    <w:p w14:paraId="1A74B450" w14:textId="43BE7F5A" w:rsidR="00FF5E1C" w:rsidRDefault="00FF5E1C" w:rsidP="00730725">
      <w:pPr>
        <w:tabs>
          <w:tab w:val="clear" w:pos="7100"/>
        </w:tabs>
        <w:spacing w:after="240"/>
        <w:rPr>
          <w:b/>
          <w:bCs/>
          <w:lang w:val="en-US"/>
        </w:rPr>
      </w:pPr>
      <w:r w:rsidRPr="00FF5E1C">
        <w:rPr>
          <w:b/>
          <w:bCs/>
          <w:lang w:val="en-US"/>
        </w:rPr>
        <w:t>References</w:t>
      </w:r>
    </w:p>
    <w:p w14:paraId="39D08C61" w14:textId="040C7B29" w:rsidR="002812EB" w:rsidRDefault="0045562D" w:rsidP="002812EB">
      <w:pPr>
        <w:pStyle w:val="CETReferencetext"/>
      </w:pPr>
      <w:proofErr w:type="spellStart"/>
      <w:r w:rsidRPr="002812EB">
        <w:t>Barouh</w:t>
      </w:r>
      <w:proofErr w:type="spellEnd"/>
      <w:r w:rsidRPr="002812EB">
        <w:t xml:space="preserve"> N., </w:t>
      </w:r>
      <w:proofErr w:type="spellStart"/>
      <w:r w:rsidRPr="002812EB">
        <w:t>Bourlieu-Lacanal</w:t>
      </w:r>
      <w:proofErr w:type="spellEnd"/>
      <w:r w:rsidRPr="002812EB">
        <w:t xml:space="preserve"> C., Figueroa-Espinoza M.C., Durand E., Villeneuve P.</w:t>
      </w:r>
      <w:r w:rsidR="00E97A74">
        <w:t xml:space="preserve">, </w:t>
      </w:r>
      <w:r w:rsidRPr="002812EB">
        <w:t>2022</w:t>
      </w:r>
      <w:r w:rsidR="00E97A74">
        <w:t>,</w:t>
      </w:r>
      <w:r w:rsidRPr="002812EB">
        <w:t xml:space="preserve"> Tocopherols as antioxidants in lipid-based systems: The combination of chemical and physicochemical interactions determines their efficiency</w:t>
      </w:r>
      <w:r w:rsidR="00E97A74">
        <w:t>,</w:t>
      </w:r>
      <w:r w:rsidRPr="002812EB">
        <w:t xml:space="preserve"> Comprehensive Reviews in Food Science and Food Safety, 21(1), pp. 642-688</w:t>
      </w:r>
      <w:r w:rsidR="001906DB">
        <w:t>.</w:t>
      </w:r>
    </w:p>
    <w:p w14:paraId="1363659A" w14:textId="165B91FE" w:rsidR="002812EB" w:rsidRPr="00F34956" w:rsidRDefault="0045562D" w:rsidP="002812EB">
      <w:pPr>
        <w:pStyle w:val="CETReferencetext"/>
        <w:rPr>
          <w:lang w:val="it-IT"/>
        </w:rPr>
      </w:pPr>
      <w:r w:rsidRPr="00F34956">
        <w:rPr>
          <w:lang w:val="it-IT"/>
        </w:rPr>
        <w:t>Carrega, E. G.</w:t>
      </w:r>
      <w:r w:rsidR="00E97A74" w:rsidRPr="00F34956">
        <w:rPr>
          <w:lang w:val="it-IT"/>
        </w:rPr>
        <w:t>,</w:t>
      </w:r>
      <w:r w:rsidRPr="00F34956">
        <w:rPr>
          <w:lang w:val="it-IT"/>
        </w:rPr>
        <w:t xml:space="preserve"> 2019</w:t>
      </w:r>
      <w:r w:rsidR="00E97A74" w:rsidRPr="00F34956">
        <w:rPr>
          <w:lang w:val="it-IT"/>
        </w:rPr>
        <w:t>,</w:t>
      </w:r>
      <w:r w:rsidRPr="00F34956">
        <w:rPr>
          <w:lang w:val="it-IT"/>
        </w:rPr>
        <w:t xml:space="preserve"> </w:t>
      </w:r>
      <w:r w:rsidRPr="0045562D">
        <w:rPr>
          <w:lang w:val="it-IT"/>
        </w:rPr>
        <w:t>Cacao, cioccolato e affini. Manuale di produzione per tecnici dell’industria alimentare</w:t>
      </w:r>
      <w:r w:rsidR="00E97A74">
        <w:rPr>
          <w:lang w:val="it-IT"/>
        </w:rPr>
        <w:t>,</w:t>
      </w:r>
      <w:r w:rsidRPr="0045562D">
        <w:rPr>
          <w:lang w:val="it-IT"/>
        </w:rPr>
        <w:t xml:space="preserve"> </w:t>
      </w:r>
      <w:r w:rsidRPr="00F34956">
        <w:rPr>
          <w:lang w:val="it-IT"/>
        </w:rPr>
        <w:t>PVI Edizioni.</w:t>
      </w:r>
    </w:p>
    <w:p w14:paraId="124A3D37" w14:textId="3828F0AD" w:rsidR="00793F98" w:rsidRPr="00793F98" w:rsidRDefault="00793F98" w:rsidP="00AF25A0">
      <w:pPr>
        <w:pStyle w:val="CETReferencetext"/>
      </w:pPr>
      <w:r w:rsidRPr="00793F98">
        <w:t xml:space="preserve">Crews C., Hough P., Godward J., Brereton P., Lees M., </w:t>
      </w:r>
      <w:proofErr w:type="spellStart"/>
      <w:r w:rsidRPr="00793F98">
        <w:t>Guiet</w:t>
      </w:r>
      <w:proofErr w:type="spellEnd"/>
      <w:r w:rsidRPr="00793F98">
        <w:t xml:space="preserve"> S., Winkelmann W.</w:t>
      </w:r>
      <w:r w:rsidR="00E97A74">
        <w:t>,</w:t>
      </w:r>
      <w:r w:rsidRPr="00793F98">
        <w:t xml:space="preserve"> 2005</w:t>
      </w:r>
      <w:r w:rsidR="00E97A74">
        <w:t>,</w:t>
      </w:r>
      <w:r w:rsidRPr="00793F98">
        <w:t xml:space="preserve"> Study of the Main Constituents of Some Authentic Hazelnut Oils</w:t>
      </w:r>
      <w:r w:rsidR="00E97A74">
        <w:t>,</w:t>
      </w:r>
      <w:r w:rsidRPr="00793F98">
        <w:t xml:space="preserve"> Journal of Agricultural Food Chemistry, 53, 12, 4843–4852.</w:t>
      </w:r>
    </w:p>
    <w:p w14:paraId="6AFC0F13" w14:textId="5F47D940" w:rsidR="00AF25A0" w:rsidRPr="008A12E2" w:rsidRDefault="00793F98" w:rsidP="00AF25A0">
      <w:pPr>
        <w:pStyle w:val="CETReferencetext"/>
      </w:pPr>
      <w:r w:rsidRPr="00E97A74">
        <w:t>D</w:t>
      </w:r>
      <w:r w:rsidR="00AF25A0" w:rsidRPr="00E97A74">
        <w:t xml:space="preserve">e Paiva </w:t>
      </w:r>
      <w:proofErr w:type="spellStart"/>
      <w:r w:rsidR="00AF25A0" w:rsidRPr="00E97A74">
        <w:t>Gouvêa</w:t>
      </w:r>
      <w:proofErr w:type="spellEnd"/>
      <w:r w:rsidR="00AF25A0" w:rsidRPr="00E97A74">
        <w:t xml:space="preserve"> L., </w:t>
      </w:r>
      <w:proofErr w:type="spellStart"/>
      <w:r w:rsidR="00AF25A0" w:rsidRPr="00E97A74">
        <w:t>Caldeira</w:t>
      </w:r>
      <w:proofErr w:type="spellEnd"/>
      <w:r w:rsidR="00AF25A0" w:rsidRPr="00E97A74">
        <w:t xml:space="preserve"> R., de Lima Azevedo T., </w:t>
      </w:r>
      <w:proofErr w:type="spellStart"/>
      <w:r w:rsidR="00AF25A0" w:rsidRPr="00E97A74">
        <w:t>Galdeano</w:t>
      </w:r>
      <w:proofErr w:type="spellEnd"/>
      <w:r w:rsidR="00AF25A0" w:rsidRPr="00E97A74">
        <w:t xml:space="preserve"> M.C., </w:t>
      </w:r>
      <w:proofErr w:type="spellStart"/>
      <w:r w:rsidR="00AF25A0" w:rsidRPr="00E97A74">
        <w:t>Felberg</w:t>
      </w:r>
      <w:proofErr w:type="spellEnd"/>
      <w:r w:rsidR="00AF25A0" w:rsidRPr="00E97A74">
        <w:t xml:space="preserve"> I., Ribeiro Lima J., Grassi Mellinger C.</w:t>
      </w:r>
      <w:r w:rsidR="00E97A74" w:rsidRPr="00F34956">
        <w:t>,</w:t>
      </w:r>
      <w:r w:rsidR="00AF25A0" w:rsidRPr="00E97A74">
        <w:t xml:space="preserve"> </w:t>
      </w:r>
      <w:r w:rsidR="00AF25A0" w:rsidRPr="00CF7262">
        <w:t>2023</w:t>
      </w:r>
      <w:r w:rsidR="00E97A74">
        <w:t>,</w:t>
      </w:r>
      <w:r w:rsidR="00AF25A0" w:rsidRPr="00CF7262">
        <w:t xml:space="preserve"> </w:t>
      </w:r>
      <w:r w:rsidR="00AF25A0" w:rsidRPr="008A12E2">
        <w:t>Physical and techno-functional properties of a common bean protein</w:t>
      </w:r>
      <w:r w:rsidR="00226E87">
        <w:t xml:space="preserve"> </w:t>
      </w:r>
      <w:r w:rsidR="00AF25A0" w:rsidRPr="008A12E2">
        <w:t>concentrate compared to commercial legume ingredients for the</w:t>
      </w:r>
      <w:r w:rsidR="00226E87">
        <w:t xml:space="preserve"> </w:t>
      </w:r>
      <w:r w:rsidR="00AF25A0" w:rsidRPr="008A12E2">
        <w:t>plant-based market</w:t>
      </w:r>
      <w:r w:rsidR="00E97A74">
        <w:t>,</w:t>
      </w:r>
      <w:r w:rsidR="00AF25A0">
        <w:t xml:space="preserve"> Food Hydrocolloids, 137,108351.</w:t>
      </w:r>
    </w:p>
    <w:p w14:paraId="021CD6CB" w14:textId="2FEECFD7" w:rsidR="002812EB" w:rsidRDefault="0045562D" w:rsidP="002812EB">
      <w:pPr>
        <w:pStyle w:val="CETReferencetext"/>
        <w:rPr>
          <w:lang w:val="en-US"/>
        </w:rPr>
      </w:pPr>
      <w:proofErr w:type="spellStart"/>
      <w:r w:rsidRPr="0045562D">
        <w:rPr>
          <w:lang w:val="en-US"/>
        </w:rPr>
        <w:t>Krol</w:t>
      </w:r>
      <w:proofErr w:type="spellEnd"/>
      <w:r w:rsidRPr="0045562D">
        <w:rPr>
          <w:lang w:val="en-US"/>
        </w:rPr>
        <w:t xml:space="preserve"> K., </w:t>
      </w:r>
      <w:proofErr w:type="spellStart"/>
      <w:r w:rsidRPr="0045562D">
        <w:rPr>
          <w:lang w:val="en-US"/>
        </w:rPr>
        <w:t>Gantner</w:t>
      </w:r>
      <w:proofErr w:type="spellEnd"/>
      <w:r w:rsidRPr="0045562D">
        <w:rPr>
          <w:lang w:val="en-US"/>
        </w:rPr>
        <w:t xml:space="preserve"> M.J.</w:t>
      </w:r>
      <w:r w:rsidR="00E97A74">
        <w:rPr>
          <w:lang w:val="en-US"/>
        </w:rPr>
        <w:t>,</w:t>
      </w:r>
      <w:r w:rsidRPr="0045562D">
        <w:rPr>
          <w:lang w:val="en-US"/>
        </w:rPr>
        <w:t xml:space="preserve"> 2020</w:t>
      </w:r>
      <w:r w:rsidR="00E97A74">
        <w:rPr>
          <w:lang w:val="en-US"/>
        </w:rPr>
        <w:t>,</w:t>
      </w:r>
      <w:r w:rsidRPr="0045562D">
        <w:rPr>
          <w:lang w:val="en-US"/>
        </w:rPr>
        <w:t xml:space="preserve"> Morphological Traits and Chemical Composition of Hazelnut from Different Geographical Origins: A Review</w:t>
      </w:r>
      <w:r w:rsidR="00E97A74">
        <w:rPr>
          <w:lang w:val="en-US"/>
        </w:rPr>
        <w:t>,</w:t>
      </w:r>
      <w:r w:rsidRPr="0045562D">
        <w:rPr>
          <w:lang w:val="en-US"/>
        </w:rPr>
        <w:t xml:space="preserve"> Agriculture, 10(9): 375.</w:t>
      </w:r>
    </w:p>
    <w:p w14:paraId="5F67C31F" w14:textId="6DF05B46" w:rsidR="002812EB" w:rsidRDefault="0045562D" w:rsidP="002812EB">
      <w:pPr>
        <w:pStyle w:val="CETReferencetext"/>
        <w:rPr>
          <w:lang w:val="en-US"/>
        </w:rPr>
      </w:pPr>
      <w:r w:rsidRPr="0045562D">
        <w:rPr>
          <w:lang w:val="en-US"/>
        </w:rPr>
        <w:t xml:space="preserve">Nguyen D.Q., Mounir S., </w:t>
      </w:r>
      <w:proofErr w:type="spellStart"/>
      <w:r w:rsidRPr="0045562D">
        <w:rPr>
          <w:lang w:val="en-US"/>
        </w:rPr>
        <w:t>Allaf</w:t>
      </w:r>
      <w:proofErr w:type="spellEnd"/>
      <w:r w:rsidRPr="0045562D">
        <w:rPr>
          <w:lang w:val="en-US"/>
        </w:rPr>
        <w:t xml:space="preserve"> K.</w:t>
      </w:r>
      <w:r w:rsidR="00E97A74">
        <w:rPr>
          <w:lang w:val="en-US"/>
        </w:rPr>
        <w:t>,</w:t>
      </w:r>
      <w:r w:rsidRPr="0045562D">
        <w:rPr>
          <w:lang w:val="en-US"/>
        </w:rPr>
        <w:t xml:space="preserve"> 2015</w:t>
      </w:r>
      <w:r w:rsidR="00E97A74">
        <w:rPr>
          <w:lang w:val="en-US"/>
        </w:rPr>
        <w:t>,</w:t>
      </w:r>
      <w:r w:rsidRPr="0045562D">
        <w:rPr>
          <w:lang w:val="en-US"/>
        </w:rPr>
        <w:t xml:space="preserve"> Functional Properties of Water Holding Capacity, Oil Holding Capacity, Wettability, and Sedimentation of Swell-Dried Soybean Powder</w:t>
      </w:r>
      <w:r w:rsidR="00E97A74">
        <w:rPr>
          <w:lang w:val="en-US"/>
        </w:rPr>
        <w:t>,</w:t>
      </w:r>
      <w:r w:rsidRPr="0045562D">
        <w:rPr>
          <w:lang w:val="en-US"/>
        </w:rPr>
        <w:t xml:space="preserve"> Scholars Journal of Engineering and Technology (SJET), 3(4B), 402-412.</w:t>
      </w:r>
    </w:p>
    <w:p w14:paraId="4CAE41FB" w14:textId="663A98CB" w:rsidR="002812EB" w:rsidRDefault="0045562D" w:rsidP="002812EB">
      <w:pPr>
        <w:pStyle w:val="CETReferencetext"/>
        <w:rPr>
          <w:lang w:val="en-US"/>
        </w:rPr>
      </w:pPr>
      <w:proofErr w:type="spellStart"/>
      <w:r w:rsidRPr="0045562D">
        <w:rPr>
          <w:lang w:val="en-US"/>
        </w:rPr>
        <w:t>Shakerardekani</w:t>
      </w:r>
      <w:proofErr w:type="spellEnd"/>
      <w:r w:rsidRPr="0045562D">
        <w:rPr>
          <w:lang w:val="en-US"/>
        </w:rPr>
        <w:t xml:space="preserve"> A., Karim R., Ghazali H. M., Ling Chin N.</w:t>
      </w:r>
      <w:r w:rsidR="00E97A74">
        <w:rPr>
          <w:lang w:val="en-US"/>
        </w:rPr>
        <w:t>,</w:t>
      </w:r>
      <w:r w:rsidRPr="0045562D">
        <w:rPr>
          <w:lang w:val="en-US"/>
        </w:rPr>
        <w:t xml:space="preserve"> 2013</w:t>
      </w:r>
      <w:r w:rsidR="00E97A74">
        <w:rPr>
          <w:lang w:val="en-US"/>
        </w:rPr>
        <w:t>,</w:t>
      </w:r>
      <w:r w:rsidRPr="0045562D">
        <w:rPr>
          <w:lang w:val="en-US"/>
        </w:rPr>
        <w:t xml:space="preserve"> Textural, Rheological and Sensory Properties and Oxidative Stability of Nut Spreads—A Review</w:t>
      </w:r>
      <w:r w:rsidR="00E97A74">
        <w:rPr>
          <w:lang w:val="en-US"/>
        </w:rPr>
        <w:t>,</w:t>
      </w:r>
      <w:r w:rsidRPr="0045562D">
        <w:rPr>
          <w:lang w:val="en-US"/>
        </w:rPr>
        <w:t xml:space="preserve"> International Journal of Molecular Sciences, 14, 4223-4241.</w:t>
      </w:r>
    </w:p>
    <w:p w14:paraId="4A1059FA" w14:textId="078C7391" w:rsidR="002812EB" w:rsidRDefault="0045562D" w:rsidP="002812EB">
      <w:pPr>
        <w:pStyle w:val="CETReferencetext"/>
        <w:rPr>
          <w:lang w:val="en-US"/>
        </w:rPr>
      </w:pPr>
      <w:r w:rsidRPr="0045562D">
        <w:rPr>
          <w:lang w:val="en-US"/>
        </w:rPr>
        <w:t xml:space="preserve">Spigno G., </w:t>
      </w:r>
      <w:proofErr w:type="spellStart"/>
      <w:r w:rsidRPr="0045562D">
        <w:rPr>
          <w:lang w:val="en-US"/>
        </w:rPr>
        <w:t>Donsì</w:t>
      </w:r>
      <w:proofErr w:type="spellEnd"/>
      <w:r w:rsidRPr="0045562D">
        <w:rPr>
          <w:lang w:val="en-US"/>
        </w:rPr>
        <w:t xml:space="preserve"> F., Amendola D., Sessa M., Ferrari G., De Faveri D. M.</w:t>
      </w:r>
      <w:r w:rsidR="00E97A74">
        <w:rPr>
          <w:lang w:val="en-US"/>
        </w:rPr>
        <w:t>,</w:t>
      </w:r>
      <w:r w:rsidRPr="0045562D">
        <w:rPr>
          <w:lang w:val="en-US"/>
        </w:rPr>
        <w:t xml:space="preserve"> 2013</w:t>
      </w:r>
      <w:r w:rsidR="00E97A74">
        <w:rPr>
          <w:lang w:val="en-US"/>
        </w:rPr>
        <w:t>,</w:t>
      </w:r>
      <w:r w:rsidRPr="0045562D">
        <w:rPr>
          <w:lang w:val="en-US"/>
        </w:rPr>
        <w:t xml:space="preserve"> Nanoencapsulation systems to improve solubility and antioxidant efficiency of a grape marc extract into hazelnut paste</w:t>
      </w:r>
      <w:r w:rsidR="00E97A74">
        <w:rPr>
          <w:lang w:val="en-US"/>
        </w:rPr>
        <w:t>,</w:t>
      </w:r>
      <w:r w:rsidRPr="0045562D">
        <w:rPr>
          <w:lang w:val="en-US"/>
        </w:rPr>
        <w:t xml:space="preserve"> Journal of Food Engineering, 114, </w:t>
      </w:r>
      <w:proofErr w:type="spellStart"/>
      <w:r w:rsidRPr="0045562D">
        <w:rPr>
          <w:lang w:val="en-US"/>
        </w:rPr>
        <w:t>pag</w:t>
      </w:r>
      <w:proofErr w:type="spellEnd"/>
      <w:r w:rsidRPr="0045562D">
        <w:rPr>
          <w:lang w:val="en-US"/>
        </w:rPr>
        <w:t>. 207-214.</w:t>
      </w:r>
    </w:p>
    <w:p w14:paraId="32938679" w14:textId="5D632BF9" w:rsidR="002812EB" w:rsidRPr="00A32E15" w:rsidRDefault="0045562D" w:rsidP="002812EB">
      <w:pPr>
        <w:pStyle w:val="CETReferencetext"/>
      </w:pPr>
      <w:r w:rsidRPr="0045562D">
        <w:rPr>
          <w:lang w:val="en-US"/>
        </w:rPr>
        <w:t xml:space="preserve">Tamang N., Shrestha P., Khadka B., Mondal M.H., </w:t>
      </w:r>
      <w:proofErr w:type="spellStart"/>
      <w:r w:rsidRPr="0045562D">
        <w:rPr>
          <w:lang w:val="en-US"/>
        </w:rPr>
        <w:t>Saha</w:t>
      </w:r>
      <w:proofErr w:type="spellEnd"/>
      <w:r w:rsidRPr="0045562D">
        <w:rPr>
          <w:lang w:val="en-US"/>
        </w:rPr>
        <w:t xml:space="preserve"> B., Bhattarai A.</w:t>
      </w:r>
      <w:r w:rsidR="00E97A74">
        <w:rPr>
          <w:lang w:val="en-US"/>
        </w:rPr>
        <w:t>,</w:t>
      </w:r>
      <w:r w:rsidRPr="0045562D">
        <w:rPr>
          <w:lang w:val="en-US"/>
        </w:rPr>
        <w:t xml:space="preserve"> 2022</w:t>
      </w:r>
      <w:r w:rsidR="00E97A74">
        <w:rPr>
          <w:lang w:val="en-US"/>
        </w:rPr>
        <w:t>,</w:t>
      </w:r>
      <w:r w:rsidRPr="0045562D">
        <w:rPr>
          <w:lang w:val="en-US"/>
        </w:rPr>
        <w:t xml:space="preserve"> A Review of Biopolymers’ Utility as Emulsion Stabilizers</w:t>
      </w:r>
      <w:r w:rsidR="00E97A74">
        <w:rPr>
          <w:lang w:val="en-US"/>
        </w:rPr>
        <w:t>,</w:t>
      </w:r>
      <w:r w:rsidRPr="0045562D">
        <w:rPr>
          <w:lang w:val="en-US"/>
        </w:rPr>
        <w:t xml:space="preserve"> </w:t>
      </w:r>
      <w:r w:rsidRPr="00A32E15">
        <w:t>Polymers 14(1),127.</w:t>
      </w:r>
    </w:p>
    <w:p w14:paraId="0D0DDC9C" w14:textId="5847A2EC" w:rsidR="0045562D" w:rsidRPr="00CD36CA" w:rsidRDefault="0045562D" w:rsidP="00CD36CA">
      <w:pPr>
        <w:pStyle w:val="CETReferencetext"/>
      </w:pPr>
      <w:r w:rsidRPr="00A32E15">
        <w:t xml:space="preserve">Verde A.B., </w:t>
      </w:r>
      <w:proofErr w:type="spellStart"/>
      <w:r w:rsidRPr="00A32E15">
        <w:t>Alvim</w:t>
      </w:r>
      <w:proofErr w:type="spellEnd"/>
      <w:r w:rsidRPr="00A32E15">
        <w:t xml:space="preserve"> I. D., </w:t>
      </w:r>
      <w:proofErr w:type="spellStart"/>
      <w:r w:rsidRPr="00A32E15">
        <w:t>Luccas</w:t>
      </w:r>
      <w:proofErr w:type="spellEnd"/>
      <w:r w:rsidRPr="00A32E15">
        <w:t xml:space="preserve"> V., </w:t>
      </w:r>
      <w:proofErr w:type="spellStart"/>
      <w:r w:rsidRPr="00A32E15">
        <w:t>Vercelino</w:t>
      </w:r>
      <w:proofErr w:type="spellEnd"/>
      <w:r w:rsidRPr="00A32E15">
        <w:t xml:space="preserve"> </w:t>
      </w:r>
      <w:proofErr w:type="spellStart"/>
      <w:r w:rsidRPr="00A32E15">
        <w:t>Alvesa</w:t>
      </w:r>
      <w:proofErr w:type="spellEnd"/>
      <w:r w:rsidRPr="00A32E15">
        <w:t xml:space="preserve"> R.M.</w:t>
      </w:r>
      <w:r w:rsidR="00E97A74">
        <w:t>,</w:t>
      </w:r>
      <w:r w:rsidRPr="00A32E15">
        <w:t xml:space="preserve"> 2021</w:t>
      </w:r>
      <w:r w:rsidR="00E97A74">
        <w:t>,</w:t>
      </w:r>
      <w:r w:rsidRPr="00A32E15">
        <w:t xml:space="preserve"> </w:t>
      </w:r>
      <w:r w:rsidRPr="0045562D">
        <w:rPr>
          <w:lang w:val="en-US"/>
        </w:rPr>
        <w:t>Stability of milk chocolate with hygroscopic fibers during storage</w:t>
      </w:r>
      <w:r w:rsidR="00E97A74">
        <w:rPr>
          <w:lang w:val="en-US"/>
        </w:rPr>
        <w:t>,</w:t>
      </w:r>
      <w:r w:rsidR="00F77E88" w:rsidRPr="00F77E88">
        <w:t xml:space="preserve"> </w:t>
      </w:r>
      <w:proofErr w:type="spellStart"/>
      <w:r w:rsidR="00F77E88" w:rsidRPr="00F77E88">
        <w:rPr>
          <w:lang w:val="en-US"/>
        </w:rPr>
        <w:t>Lebensmittel-Wissenschaft</w:t>
      </w:r>
      <w:proofErr w:type="spellEnd"/>
      <w:r w:rsidR="00F77E88" w:rsidRPr="00F77E88">
        <w:rPr>
          <w:lang w:val="en-US"/>
        </w:rPr>
        <w:t xml:space="preserve"> </w:t>
      </w:r>
      <w:r w:rsidR="00F77E88">
        <w:rPr>
          <w:lang w:val="en-US"/>
        </w:rPr>
        <w:t>und</w:t>
      </w:r>
      <w:r w:rsidR="00F77E88" w:rsidRPr="00F77E88">
        <w:rPr>
          <w:lang w:val="en-US"/>
        </w:rPr>
        <w:t xml:space="preserve"> </w:t>
      </w:r>
      <w:proofErr w:type="spellStart"/>
      <w:r w:rsidR="00F77E88" w:rsidRPr="00F77E88">
        <w:rPr>
          <w:lang w:val="en-US"/>
        </w:rPr>
        <w:t>Technologie</w:t>
      </w:r>
      <w:proofErr w:type="spellEnd"/>
      <w:r w:rsidRPr="0045562D">
        <w:rPr>
          <w:lang w:val="en-US"/>
        </w:rPr>
        <w:t>, volume 137, 110477.</w:t>
      </w:r>
    </w:p>
    <w:sectPr w:rsidR="0045562D" w:rsidRPr="00CD36C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B661" w14:textId="77777777" w:rsidR="005110B4" w:rsidRDefault="005110B4" w:rsidP="004F5E36">
      <w:r>
        <w:separator/>
      </w:r>
    </w:p>
  </w:endnote>
  <w:endnote w:type="continuationSeparator" w:id="0">
    <w:p w14:paraId="1DFB6386" w14:textId="77777777" w:rsidR="005110B4" w:rsidRDefault="005110B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D2D4" w14:textId="77777777" w:rsidR="005110B4" w:rsidRDefault="005110B4" w:rsidP="004F5E36">
      <w:r>
        <w:separator/>
      </w:r>
    </w:p>
  </w:footnote>
  <w:footnote w:type="continuationSeparator" w:id="0">
    <w:p w14:paraId="4D5FED21" w14:textId="77777777" w:rsidR="005110B4" w:rsidRDefault="005110B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774666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055D8"/>
    <w:rsid w:val="000117CB"/>
    <w:rsid w:val="00017CBD"/>
    <w:rsid w:val="00024660"/>
    <w:rsid w:val="0003148D"/>
    <w:rsid w:val="00031EEC"/>
    <w:rsid w:val="0004496A"/>
    <w:rsid w:val="00045D8F"/>
    <w:rsid w:val="00051566"/>
    <w:rsid w:val="000538D6"/>
    <w:rsid w:val="000562A9"/>
    <w:rsid w:val="00062A9A"/>
    <w:rsid w:val="00065058"/>
    <w:rsid w:val="00086C39"/>
    <w:rsid w:val="0009664B"/>
    <w:rsid w:val="000A03B2"/>
    <w:rsid w:val="000A1EBA"/>
    <w:rsid w:val="000A26B1"/>
    <w:rsid w:val="000A2D11"/>
    <w:rsid w:val="000C397A"/>
    <w:rsid w:val="000C7B6B"/>
    <w:rsid w:val="000D0268"/>
    <w:rsid w:val="000D1E50"/>
    <w:rsid w:val="000D272C"/>
    <w:rsid w:val="000D34BE"/>
    <w:rsid w:val="000D5F89"/>
    <w:rsid w:val="000E102F"/>
    <w:rsid w:val="000E36F1"/>
    <w:rsid w:val="000E3A73"/>
    <w:rsid w:val="000E414A"/>
    <w:rsid w:val="000F093C"/>
    <w:rsid w:val="000F787B"/>
    <w:rsid w:val="0012091F"/>
    <w:rsid w:val="00126BC2"/>
    <w:rsid w:val="0012722C"/>
    <w:rsid w:val="001308B6"/>
    <w:rsid w:val="00130F14"/>
    <w:rsid w:val="0013121F"/>
    <w:rsid w:val="00131FE6"/>
    <w:rsid w:val="0013263F"/>
    <w:rsid w:val="001331DF"/>
    <w:rsid w:val="001342EA"/>
    <w:rsid w:val="00134DE4"/>
    <w:rsid w:val="001363BB"/>
    <w:rsid w:val="0014034D"/>
    <w:rsid w:val="00144D16"/>
    <w:rsid w:val="001471C0"/>
    <w:rsid w:val="00150E59"/>
    <w:rsid w:val="00152DE3"/>
    <w:rsid w:val="00153047"/>
    <w:rsid w:val="00160B76"/>
    <w:rsid w:val="00164CF9"/>
    <w:rsid w:val="001661BC"/>
    <w:rsid w:val="001667A6"/>
    <w:rsid w:val="001827B5"/>
    <w:rsid w:val="00184127"/>
    <w:rsid w:val="00184AD6"/>
    <w:rsid w:val="001906DB"/>
    <w:rsid w:val="001A4AF7"/>
    <w:rsid w:val="001B0349"/>
    <w:rsid w:val="001B1953"/>
    <w:rsid w:val="001B1E93"/>
    <w:rsid w:val="001B65C1"/>
    <w:rsid w:val="001C684B"/>
    <w:rsid w:val="001D0CFB"/>
    <w:rsid w:val="001D21AF"/>
    <w:rsid w:val="001D28BE"/>
    <w:rsid w:val="001D42FE"/>
    <w:rsid w:val="001D53FC"/>
    <w:rsid w:val="001E0CB4"/>
    <w:rsid w:val="001F297F"/>
    <w:rsid w:val="001F42A5"/>
    <w:rsid w:val="001F7B9D"/>
    <w:rsid w:val="00201C93"/>
    <w:rsid w:val="002224B4"/>
    <w:rsid w:val="00223FAC"/>
    <w:rsid w:val="00225B38"/>
    <w:rsid w:val="00226E87"/>
    <w:rsid w:val="002447EF"/>
    <w:rsid w:val="002460E8"/>
    <w:rsid w:val="00251550"/>
    <w:rsid w:val="00256875"/>
    <w:rsid w:val="00263B05"/>
    <w:rsid w:val="0027221A"/>
    <w:rsid w:val="00275B61"/>
    <w:rsid w:val="00276C8E"/>
    <w:rsid w:val="00280FAF"/>
    <w:rsid w:val="002812EB"/>
    <w:rsid w:val="00281CA0"/>
    <w:rsid w:val="00282656"/>
    <w:rsid w:val="00296B83"/>
    <w:rsid w:val="002B4015"/>
    <w:rsid w:val="002B525C"/>
    <w:rsid w:val="002B78CE"/>
    <w:rsid w:val="002C2FB6"/>
    <w:rsid w:val="002D0AAA"/>
    <w:rsid w:val="002D1767"/>
    <w:rsid w:val="002E5FA7"/>
    <w:rsid w:val="002F32E1"/>
    <w:rsid w:val="002F3309"/>
    <w:rsid w:val="003008CE"/>
    <w:rsid w:val="003009B7"/>
    <w:rsid w:val="00300E56"/>
    <w:rsid w:val="0030152C"/>
    <w:rsid w:val="0030469C"/>
    <w:rsid w:val="00321CA6"/>
    <w:rsid w:val="00323763"/>
    <w:rsid w:val="00323C5F"/>
    <w:rsid w:val="003326D8"/>
    <w:rsid w:val="00334C09"/>
    <w:rsid w:val="003629C8"/>
    <w:rsid w:val="00366423"/>
    <w:rsid w:val="003717A3"/>
    <w:rsid w:val="003723D4"/>
    <w:rsid w:val="00381905"/>
    <w:rsid w:val="00384CC8"/>
    <w:rsid w:val="003871FD"/>
    <w:rsid w:val="003A1E30"/>
    <w:rsid w:val="003A2829"/>
    <w:rsid w:val="003A6FC6"/>
    <w:rsid w:val="003A7D1C"/>
    <w:rsid w:val="003B304B"/>
    <w:rsid w:val="003B3146"/>
    <w:rsid w:val="003C5CC9"/>
    <w:rsid w:val="003D133E"/>
    <w:rsid w:val="003E31F1"/>
    <w:rsid w:val="003E7AE5"/>
    <w:rsid w:val="003F015E"/>
    <w:rsid w:val="003F48FF"/>
    <w:rsid w:val="003F532D"/>
    <w:rsid w:val="003F5D61"/>
    <w:rsid w:val="00400414"/>
    <w:rsid w:val="0041446B"/>
    <w:rsid w:val="00415304"/>
    <w:rsid w:val="00433370"/>
    <w:rsid w:val="00436CF6"/>
    <w:rsid w:val="0044004F"/>
    <w:rsid w:val="0044071E"/>
    <w:rsid w:val="0044243A"/>
    <w:rsid w:val="0044329C"/>
    <w:rsid w:val="00453E24"/>
    <w:rsid w:val="0045562D"/>
    <w:rsid w:val="00457456"/>
    <w:rsid w:val="004577FE"/>
    <w:rsid w:val="00457B9C"/>
    <w:rsid w:val="00457DDC"/>
    <w:rsid w:val="004600C1"/>
    <w:rsid w:val="0046164A"/>
    <w:rsid w:val="004628D2"/>
    <w:rsid w:val="00462DCD"/>
    <w:rsid w:val="00463101"/>
    <w:rsid w:val="004648AD"/>
    <w:rsid w:val="00465D00"/>
    <w:rsid w:val="004703A9"/>
    <w:rsid w:val="004760DE"/>
    <w:rsid w:val="004763D7"/>
    <w:rsid w:val="00477C5B"/>
    <w:rsid w:val="00486C69"/>
    <w:rsid w:val="004A004E"/>
    <w:rsid w:val="004A0351"/>
    <w:rsid w:val="004A1BE4"/>
    <w:rsid w:val="004A24CF"/>
    <w:rsid w:val="004B7E97"/>
    <w:rsid w:val="004C1A21"/>
    <w:rsid w:val="004C3D1D"/>
    <w:rsid w:val="004C3D84"/>
    <w:rsid w:val="004C7913"/>
    <w:rsid w:val="004D725B"/>
    <w:rsid w:val="004E4DD6"/>
    <w:rsid w:val="004F5E36"/>
    <w:rsid w:val="004F7C46"/>
    <w:rsid w:val="005078DA"/>
    <w:rsid w:val="00507B47"/>
    <w:rsid w:val="00507BEF"/>
    <w:rsid w:val="00507CC9"/>
    <w:rsid w:val="005110B4"/>
    <w:rsid w:val="005119A5"/>
    <w:rsid w:val="00513FCA"/>
    <w:rsid w:val="00516AAC"/>
    <w:rsid w:val="005278B7"/>
    <w:rsid w:val="00532016"/>
    <w:rsid w:val="005346C8"/>
    <w:rsid w:val="005428EE"/>
    <w:rsid w:val="00543D71"/>
    <w:rsid w:val="00543E7D"/>
    <w:rsid w:val="00547A68"/>
    <w:rsid w:val="00547EF1"/>
    <w:rsid w:val="00547F12"/>
    <w:rsid w:val="00552C0A"/>
    <w:rsid w:val="005531C9"/>
    <w:rsid w:val="00557699"/>
    <w:rsid w:val="005618E2"/>
    <w:rsid w:val="0057095E"/>
    <w:rsid w:val="00570C43"/>
    <w:rsid w:val="005A401D"/>
    <w:rsid w:val="005B05DD"/>
    <w:rsid w:val="005B2110"/>
    <w:rsid w:val="005B61E6"/>
    <w:rsid w:val="005C77E1"/>
    <w:rsid w:val="005D668A"/>
    <w:rsid w:val="005D6A2F"/>
    <w:rsid w:val="005E1A82"/>
    <w:rsid w:val="005E794C"/>
    <w:rsid w:val="005F0A28"/>
    <w:rsid w:val="005F0E5E"/>
    <w:rsid w:val="005F7494"/>
    <w:rsid w:val="00600535"/>
    <w:rsid w:val="00603D14"/>
    <w:rsid w:val="00610CD6"/>
    <w:rsid w:val="00620DEE"/>
    <w:rsid w:val="00621F92"/>
    <w:rsid w:val="0062280A"/>
    <w:rsid w:val="0062469D"/>
    <w:rsid w:val="00625639"/>
    <w:rsid w:val="006308A2"/>
    <w:rsid w:val="00631B33"/>
    <w:rsid w:val="00636060"/>
    <w:rsid w:val="0064184D"/>
    <w:rsid w:val="006422CC"/>
    <w:rsid w:val="00660E3E"/>
    <w:rsid w:val="00662D4E"/>
    <w:rsid w:val="00662E74"/>
    <w:rsid w:val="00664E69"/>
    <w:rsid w:val="00680C23"/>
    <w:rsid w:val="00693766"/>
    <w:rsid w:val="006A3281"/>
    <w:rsid w:val="006B4888"/>
    <w:rsid w:val="006C1B37"/>
    <w:rsid w:val="006C2E45"/>
    <w:rsid w:val="006C359C"/>
    <w:rsid w:val="006C367B"/>
    <w:rsid w:val="006C5579"/>
    <w:rsid w:val="006D6E8B"/>
    <w:rsid w:val="006E737D"/>
    <w:rsid w:val="00711984"/>
    <w:rsid w:val="00713973"/>
    <w:rsid w:val="00720A24"/>
    <w:rsid w:val="00730725"/>
    <w:rsid w:val="00732386"/>
    <w:rsid w:val="00734E85"/>
    <w:rsid w:val="0073514D"/>
    <w:rsid w:val="00736A48"/>
    <w:rsid w:val="007441AC"/>
    <w:rsid w:val="007447F3"/>
    <w:rsid w:val="0075499F"/>
    <w:rsid w:val="00756C32"/>
    <w:rsid w:val="00761B3A"/>
    <w:rsid w:val="007661C8"/>
    <w:rsid w:val="0077098D"/>
    <w:rsid w:val="007833A5"/>
    <w:rsid w:val="00791A2B"/>
    <w:rsid w:val="00792033"/>
    <w:rsid w:val="007931FA"/>
    <w:rsid w:val="00793F98"/>
    <w:rsid w:val="00796F99"/>
    <w:rsid w:val="007A23A5"/>
    <w:rsid w:val="007A4861"/>
    <w:rsid w:val="007A4D40"/>
    <w:rsid w:val="007A7BBA"/>
    <w:rsid w:val="007B0C50"/>
    <w:rsid w:val="007B48F9"/>
    <w:rsid w:val="007B50C2"/>
    <w:rsid w:val="007C1A43"/>
    <w:rsid w:val="007D0951"/>
    <w:rsid w:val="007D43E1"/>
    <w:rsid w:val="007E763E"/>
    <w:rsid w:val="0080013E"/>
    <w:rsid w:val="00804C4F"/>
    <w:rsid w:val="00813288"/>
    <w:rsid w:val="008154AA"/>
    <w:rsid w:val="008168FC"/>
    <w:rsid w:val="0083046A"/>
    <w:rsid w:val="00830996"/>
    <w:rsid w:val="008345F1"/>
    <w:rsid w:val="00862229"/>
    <w:rsid w:val="00865B07"/>
    <w:rsid w:val="008667EA"/>
    <w:rsid w:val="00872758"/>
    <w:rsid w:val="0087519D"/>
    <w:rsid w:val="0087637F"/>
    <w:rsid w:val="00877E7E"/>
    <w:rsid w:val="00880201"/>
    <w:rsid w:val="00892AD5"/>
    <w:rsid w:val="00893D14"/>
    <w:rsid w:val="008A12E2"/>
    <w:rsid w:val="008A1512"/>
    <w:rsid w:val="008A5627"/>
    <w:rsid w:val="008D32B9"/>
    <w:rsid w:val="008D3BE4"/>
    <w:rsid w:val="008D433B"/>
    <w:rsid w:val="008D4A16"/>
    <w:rsid w:val="008D56BC"/>
    <w:rsid w:val="008D6F86"/>
    <w:rsid w:val="008E566E"/>
    <w:rsid w:val="0090161A"/>
    <w:rsid w:val="00901EB6"/>
    <w:rsid w:val="00904C62"/>
    <w:rsid w:val="00912FA7"/>
    <w:rsid w:val="00922BA8"/>
    <w:rsid w:val="00924DAC"/>
    <w:rsid w:val="0092658E"/>
    <w:rsid w:val="00927058"/>
    <w:rsid w:val="00927F56"/>
    <w:rsid w:val="00942750"/>
    <w:rsid w:val="009450CE"/>
    <w:rsid w:val="009459BB"/>
    <w:rsid w:val="00947179"/>
    <w:rsid w:val="00947846"/>
    <w:rsid w:val="0095164B"/>
    <w:rsid w:val="00954090"/>
    <w:rsid w:val="009573E7"/>
    <w:rsid w:val="00960F05"/>
    <w:rsid w:val="00963E05"/>
    <w:rsid w:val="00964A45"/>
    <w:rsid w:val="00967843"/>
    <w:rsid w:val="00967D54"/>
    <w:rsid w:val="00971028"/>
    <w:rsid w:val="00973804"/>
    <w:rsid w:val="00993B84"/>
    <w:rsid w:val="00996483"/>
    <w:rsid w:val="00996F5A"/>
    <w:rsid w:val="009A0F1F"/>
    <w:rsid w:val="009B041A"/>
    <w:rsid w:val="009B0615"/>
    <w:rsid w:val="009B430D"/>
    <w:rsid w:val="009C37C3"/>
    <w:rsid w:val="009C7C86"/>
    <w:rsid w:val="009D241B"/>
    <w:rsid w:val="009D2FF7"/>
    <w:rsid w:val="009D37BC"/>
    <w:rsid w:val="009E7884"/>
    <w:rsid w:val="009E788A"/>
    <w:rsid w:val="009F0E08"/>
    <w:rsid w:val="00A14D72"/>
    <w:rsid w:val="00A169E0"/>
    <w:rsid w:val="00A1763D"/>
    <w:rsid w:val="00A17CEC"/>
    <w:rsid w:val="00A243C4"/>
    <w:rsid w:val="00A2479E"/>
    <w:rsid w:val="00A27EF0"/>
    <w:rsid w:val="00A32E15"/>
    <w:rsid w:val="00A42361"/>
    <w:rsid w:val="00A50B20"/>
    <w:rsid w:val="00A51390"/>
    <w:rsid w:val="00A60D13"/>
    <w:rsid w:val="00A63F88"/>
    <w:rsid w:val="00A7135E"/>
    <w:rsid w:val="00A7223D"/>
    <w:rsid w:val="00A72745"/>
    <w:rsid w:val="00A76EFC"/>
    <w:rsid w:val="00A81349"/>
    <w:rsid w:val="00A81DED"/>
    <w:rsid w:val="00A87D50"/>
    <w:rsid w:val="00A91010"/>
    <w:rsid w:val="00A95665"/>
    <w:rsid w:val="00A97F29"/>
    <w:rsid w:val="00AA1D61"/>
    <w:rsid w:val="00AA702E"/>
    <w:rsid w:val="00AA7D26"/>
    <w:rsid w:val="00AB0964"/>
    <w:rsid w:val="00AB332C"/>
    <w:rsid w:val="00AB5011"/>
    <w:rsid w:val="00AC7368"/>
    <w:rsid w:val="00AD16B9"/>
    <w:rsid w:val="00AD6711"/>
    <w:rsid w:val="00AE377D"/>
    <w:rsid w:val="00AF0EBA"/>
    <w:rsid w:val="00AF25A0"/>
    <w:rsid w:val="00B01DF7"/>
    <w:rsid w:val="00B02C8A"/>
    <w:rsid w:val="00B17FBD"/>
    <w:rsid w:val="00B315A6"/>
    <w:rsid w:val="00B31813"/>
    <w:rsid w:val="00B33365"/>
    <w:rsid w:val="00B53C49"/>
    <w:rsid w:val="00B57B36"/>
    <w:rsid w:val="00B57E6F"/>
    <w:rsid w:val="00B83ADD"/>
    <w:rsid w:val="00B8686D"/>
    <w:rsid w:val="00B91F8B"/>
    <w:rsid w:val="00B93F69"/>
    <w:rsid w:val="00BA06A0"/>
    <w:rsid w:val="00BA12C7"/>
    <w:rsid w:val="00BB0830"/>
    <w:rsid w:val="00BB1DDC"/>
    <w:rsid w:val="00BC11D2"/>
    <w:rsid w:val="00BC30C9"/>
    <w:rsid w:val="00BC65E1"/>
    <w:rsid w:val="00BD077D"/>
    <w:rsid w:val="00BE3E58"/>
    <w:rsid w:val="00BF23A1"/>
    <w:rsid w:val="00C01616"/>
    <w:rsid w:val="00C0162B"/>
    <w:rsid w:val="00C068ED"/>
    <w:rsid w:val="00C12460"/>
    <w:rsid w:val="00C2031A"/>
    <w:rsid w:val="00C22E0C"/>
    <w:rsid w:val="00C24C5B"/>
    <w:rsid w:val="00C345B1"/>
    <w:rsid w:val="00C36E5D"/>
    <w:rsid w:val="00C3733F"/>
    <w:rsid w:val="00C40142"/>
    <w:rsid w:val="00C52C3C"/>
    <w:rsid w:val="00C54A5C"/>
    <w:rsid w:val="00C57182"/>
    <w:rsid w:val="00C57863"/>
    <w:rsid w:val="00C640AF"/>
    <w:rsid w:val="00C655FD"/>
    <w:rsid w:val="00C66814"/>
    <w:rsid w:val="00C70A5A"/>
    <w:rsid w:val="00C74D98"/>
    <w:rsid w:val="00C75407"/>
    <w:rsid w:val="00C803DD"/>
    <w:rsid w:val="00C84E30"/>
    <w:rsid w:val="00C870A8"/>
    <w:rsid w:val="00C94434"/>
    <w:rsid w:val="00CA0D75"/>
    <w:rsid w:val="00CA128D"/>
    <w:rsid w:val="00CA1C95"/>
    <w:rsid w:val="00CA5A9C"/>
    <w:rsid w:val="00CC4C20"/>
    <w:rsid w:val="00CC561C"/>
    <w:rsid w:val="00CD3517"/>
    <w:rsid w:val="00CD36CA"/>
    <w:rsid w:val="00CD5FE2"/>
    <w:rsid w:val="00CE39F0"/>
    <w:rsid w:val="00CE76EB"/>
    <w:rsid w:val="00CE7C68"/>
    <w:rsid w:val="00CF207C"/>
    <w:rsid w:val="00CF37CD"/>
    <w:rsid w:val="00CF7262"/>
    <w:rsid w:val="00D02B4C"/>
    <w:rsid w:val="00D040C4"/>
    <w:rsid w:val="00D17826"/>
    <w:rsid w:val="00D20038"/>
    <w:rsid w:val="00D20AD1"/>
    <w:rsid w:val="00D2262E"/>
    <w:rsid w:val="00D23DFC"/>
    <w:rsid w:val="00D46589"/>
    <w:rsid w:val="00D46A5A"/>
    <w:rsid w:val="00D46B7E"/>
    <w:rsid w:val="00D55E8F"/>
    <w:rsid w:val="00D57C84"/>
    <w:rsid w:val="00D6057D"/>
    <w:rsid w:val="00D648EC"/>
    <w:rsid w:val="00D71640"/>
    <w:rsid w:val="00D82B7D"/>
    <w:rsid w:val="00D836C5"/>
    <w:rsid w:val="00D84576"/>
    <w:rsid w:val="00D9595E"/>
    <w:rsid w:val="00DA056C"/>
    <w:rsid w:val="00DA1399"/>
    <w:rsid w:val="00DA24C6"/>
    <w:rsid w:val="00DA4D7B"/>
    <w:rsid w:val="00DB105A"/>
    <w:rsid w:val="00DB1844"/>
    <w:rsid w:val="00DC57B6"/>
    <w:rsid w:val="00DD0D80"/>
    <w:rsid w:val="00DD271C"/>
    <w:rsid w:val="00DE264A"/>
    <w:rsid w:val="00DF5072"/>
    <w:rsid w:val="00E02D18"/>
    <w:rsid w:val="00E03B21"/>
    <w:rsid w:val="00E041E7"/>
    <w:rsid w:val="00E11FAE"/>
    <w:rsid w:val="00E23CA1"/>
    <w:rsid w:val="00E24F1D"/>
    <w:rsid w:val="00E30AC3"/>
    <w:rsid w:val="00E33DD7"/>
    <w:rsid w:val="00E409A8"/>
    <w:rsid w:val="00E50C12"/>
    <w:rsid w:val="00E65B91"/>
    <w:rsid w:val="00E7209D"/>
    <w:rsid w:val="00E72A2C"/>
    <w:rsid w:val="00E72EAD"/>
    <w:rsid w:val="00E76485"/>
    <w:rsid w:val="00E77223"/>
    <w:rsid w:val="00E83635"/>
    <w:rsid w:val="00E8528B"/>
    <w:rsid w:val="00E85B94"/>
    <w:rsid w:val="00E978D0"/>
    <w:rsid w:val="00E97A74"/>
    <w:rsid w:val="00EA0014"/>
    <w:rsid w:val="00EA4613"/>
    <w:rsid w:val="00EA51BB"/>
    <w:rsid w:val="00EA6153"/>
    <w:rsid w:val="00EA7404"/>
    <w:rsid w:val="00EA7F91"/>
    <w:rsid w:val="00EB1523"/>
    <w:rsid w:val="00EC0E49"/>
    <w:rsid w:val="00EC101F"/>
    <w:rsid w:val="00EC1D9F"/>
    <w:rsid w:val="00EC2BFC"/>
    <w:rsid w:val="00EC4169"/>
    <w:rsid w:val="00ED42DB"/>
    <w:rsid w:val="00EE0131"/>
    <w:rsid w:val="00EE17B0"/>
    <w:rsid w:val="00EE3AC0"/>
    <w:rsid w:val="00EE7481"/>
    <w:rsid w:val="00EF06D9"/>
    <w:rsid w:val="00EF3F0B"/>
    <w:rsid w:val="00F02C62"/>
    <w:rsid w:val="00F3049E"/>
    <w:rsid w:val="00F30C64"/>
    <w:rsid w:val="00F32BA2"/>
    <w:rsid w:val="00F32CDB"/>
    <w:rsid w:val="00F34956"/>
    <w:rsid w:val="00F42790"/>
    <w:rsid w:val="00F565FE"/>
    <w:rsid w:val="00F63A70"/>
    <w:rsid w:val="00F63D8C"/>
    <w:rsid w:val="00F733B5"/>
    <w:rsid w:val="00F7534E"/>
    <w:rsid w:val="00F77E88"/>
    <w:rsid w:val="00F81443"/>
    <w:rsid w:val="00F93EDF"/>
    <w:rsid w:val="00FA1802"/>
    <w:rsid w:val="00FA21D0"/>
    <w:rsid w:val="00FA5F5F"/>
    <w:rsid w:val="00FB730C"/>
    <w:rsid w:val="00FC2695"/>
    <w:rsid w:val="00FC3E03"/>
    <w:rsid w:val="00FC3FC1"/>
    <w:rsid w:val="00FC6677"/>
    <w:rsid w:val="00FD37F7"/>
    <w:rsid w:val="00FF5E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76EB"/>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76E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024660"/>
    <w:rPr>
      <w:color w:val="605E5C"/>
      <w:shd w:val="clear" w:color="auto" w:fill="E1DFDD"/>
    </w:rPr>
  </w:style>
  <w:style w:type="paragraph" w:styleId="Revisione">
    <w:name w:val="Revision"/>
    <w:hidden/>
    <w:uiPriority w:val="99"/>
    <w:semiHidden/>
    <w:rsid w:val="00960F05"/>
    <w:pPr>
      <w:spacing w:after="0" w:line="240" w:lineRule="auto"/>
    </w:pPr>
    <w:rPr>
      <w:rFonts w:ascii="Arial" w:eastAsia="Times New Roman" w:hAnsi="Arial" w:cs="Times New Roman"/>
      <w:sz w:val="18"/>
      <w:szCs w:val="20"/>
      <w:lang w:val="en-GB"/>
    </w:rPr>
  </w:style>
  <w:style w:type="table" w:styleId="Tabellasemplice-2">
    <w:name w:val="Plain Table 2"/>
    <w:basedOn w:val="Tabellanormale"/>
    <w:uiPriority w:val="42"/>
    <w:rsid w:val="00EA61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162236">
      <w:bodyDiv w:val="1"/>
      <w:marLeft w:val="0"/>
      <w:marRight w:val="0"/>
      <w:marTop w:val="0"/>
      <w:marBottom w:val="0"/>
      <w:divBdr>
        <w:top w:val="none" w:sz="0" w:space="0" w:color="auto"/>
        <w:left w:val="none" w:sz="0" w:space="0" w:color="auto"/>
        <w:bottom w:val="none" w:sz="0" w:space="0" w:color="auto"/>
        <w:right w:val="none" w:sz="0" w:space="0" w:color="auto"/>
      </w:divBdr>
      <w:divsChild>
        <w:div w:id="159778385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6878">
      <w:bodyDiv w:val="1"/>
      <w:marLeft w:val="0"/>
      <w:marRight w:val="0"/>
      <w:marTop w:val="0"/>
      <w:marBottom w:val="0"/>
      <w:divBdr>
        <w:top w:val="none" w:sz="0" w:space="0" w:color="auto"/>
        <w:left w:val="none" w:sz="0" w:space="0" w:color="auto"/>
        <w:bottom w:val="none" w:sz="0" w:space="0" w:color="auto"/>
        <w:right w:val="none" w:sz="0" w:space="0" w:color="auto"/>
      </w:divBdr>
    </w:div>
    <w:div w:id="126098471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576998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giorgia.spigno@unicat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3383</TotalTime>
  <Pages>6</Pages>
  <Words>3540</Words>
  <Characters>20181</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Bassani Andrea (andrea.bassani)</cp:lastModifiedBy>
  <cp:revision>163</cp:revision>
  <cp:lastPrinted>2015-05-12T18:31:00Z</cp:lastPrinted>
  <dcterms:created xsi:type="dcterms:W3CDTF">2022-09-21T08:52:00Z</dcterms:created>
  <dcterms:modified xsi:type="dcterms:W3CDTF">2023-04-18T09:46:00Z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