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E7135D" w14:paraId="2A131A54" w14:textId="77777777" w:rsidTr="002739BA">
        <w:trPr>
          <w:trHeight w:val="852"/>
          <w:jc w:val="center"/>
        </w:trPr>
        <w:tc>
          <w:tcPr>
            <w:tcW w:w="6940" w:type="dxa"/>
            <w:vMerge w:val="restart"/>
            <w:tcBorders>
              <w:right w:val="single" w:sz="4" w:space="0" w:color="auto"/>
            </w:tcBorders>
          </w:tcPr>
          <w:p w14:paraId="38C3D2BA" w14:textId="77777777" w:rsidR="000A03B2" w:rsidRPr="00E7135D" w:rsidRDefault="000A03B2" w:rsidP="00DE264A">
            <w:pPr>
              <w:tabs>
                <w:tab w:val="left" w:pos="-108"/>
              </w:tabs>
              <w:ind w:left="-108"/>
              <w:jc w:val="left"/>
              <w:rPr>
                <w:rFonts w:cs="Arial"/>
                <w:b/>
                <w:bCs/>
                <w:i/>
                <w:iCs/>
                <w:color w:val="000066"/>
                <w:sz w:val="12"/>
                <w:szCs w:val="12"/>
                <w:lang w:eastAsia="it-IT"/>
              </w:rPr>
            </w:pPr>
            <w:r w:rsidRPr="00E7135D">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Pictur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E7135D">
              <w:rPr>
                <w:rFonts w:ascii="AdvP6960" w:hAnsi="AdvP6960" w:cs="AdvP6960"/>
                <w:color w:val="241F20"/>
                <w:szCs w:val="18"/>
                <w:lang w:eastAsia="it-IT"/>
              </w:rPr>
              <w:t xml:space="preserve"> </w:t>
            </w:r>
            <w:r w:rsidRPr="00E7135D">
              <w:rPr>
                <w:rFonts w:cs="Arial"/>
                <w:b/>
                <w:bCs/>
                <w:i/>
                <w:iCs/>
                <w:color w:val="000066"/>
                <w:sz w:val="24"/>
                <w:szCs w:val="24"/>
                <w:lang w:eastAsia="it-IT"/>
              </w:rPr>
              <w:t>CHEMICAL ENGINEERING</w:t>
            </w:r>
            <w:r w:rsidRPr="00E7135D">
              <w:rPr>
                <w:rFonts w:cs="Arial"/>
                <w:b/>
                <w:bCs/>
                <w:i/>
                <w:iCs/>
                <w:color w:val="0033FF"/>
                <w:sz w:val="24"/>
                <w:szCs w:val="24"/>
                <w:lang w:eastAsia="it-IT"/>
              </w:rPr>
              <w:t xml:space="preserve"> </w:t>
            </w:r>
            <w:r w:rsidRPr="00E7135D">
              <w:rPr>
                <w:rFonts w:cs="Arial"/>
                <w:b/>
                <w:bCs/>
                <w:i/>
                <w:iCs/>
                <w:color w:val="666666"/>
                <w:sz w:val="24"/>
                <w:szCs w:val="24"/>
                <w:lang w:eastAsia="it-IT"/>
              </w:rPr>
              <w:t>TRANSACTIONS</w:t>
            </w:r>
            <w:r w:rsidRPr="00E7135D">
              <w:rPr>
                <w:color w:val="333333"/>
                <w:sz w:val="24"/>
                <w:szCs w:val="24"/>
                <w:lang w:eastAsia="it-IT"/>
              </w:rPr>
              <w:t xml:space="preserve"> </w:t>
            </w:r>
            <w:r w:rsidRPr="00E7135D">
              <w:rPr>
                <w:rFonts w:cs="Arial"/>
                <w:b/>
                <w:bCs/>
                <w:i/>
                <w:iCs/>
                <w:color w:val="000066"/>
                <w:sz w:val="27"/>
                <w:szCs w:val="27"/>
                <w:lang w:eastAsia="it-IT"/>
              </w:rPr>
              <w:br/>
            </w:r>
          </w:p>
          <w:p w14:paraId="4B780582" w14:textId="530285EB" w:rsidR="000A03B2" w:rsidRPr="00E7135D" w:rsidRDefault="00A76EFC" w:rsidP="001D21AF">
            <w:pPr>
              <w:tabs>
                <w:tab w:val="left" w:pos="-108"/>
              </w:tabs>
              <w:ind w:left="-108"/>
              <w:rPr>
                <w:rFonts w:cs="Arial"/>
                <w:b/>
                <w:bCs/>
                <w:i/>
                <w:iCs/>
                <w:color w:val="000066"/>
                <w:sz w:val="22"/>
                <w:szCs w:val="22"/>
                <w:lang w:eastAsia="it-IT"/>
              </w:rPr>
            </w:pPr>
            <w:r w:rsidRPr="00E7135D">
              <w:rPr>
                <w:rFonts w:cs="Arial"/>
                <w:b/>
                <w:bCs/>
                <w:i/>
                <w:iCs/>
                <w:color w:val="000066"/>
                <w:sz w:val="22"/>
                <w:szCs w:val="22"/>
                <w:lang w:eastAsia="it-IT"/>
              </w:rPr>
              <w:t xml:space="preserve">VOL. </w:t>
            </w:r>
            <w:r w:rsidR="0030152C" w:rsidRPr="00E7135D">
              <w:rPr>
                <w:rFonts w:cs="Arial"/>
                <w:b/>
                <w:bCs/>
                <w:i/>
                <w:iCs/>
                <w:color w:val="000066"/>
                <w:sz w:val="22"/>
                <w:szCs w:val="22"/>
                <w:lang w:eastAsia="it-IT"/>
              </w:rPr>
              <w:t xml:space="preserve">   </w:t>
            </w:r>
            <w:r w:rsidR="007B48F9" w:rsidRPr="00E7135D">
              <w:rPr>
                <w:rFonts w:cs="Arial"/>
                <w:b/>
                <w:bCs/>
                <w:i/>
                <w:iCs/>
                <w:color w:val="000066"/>
                <w:sz w:val="22"/>
                <w:szCs w:val="22"/>
                <w:lang w:eastAsia="it-IT"/>
              </w:rPr>
              <w:t>,</w:t>
            </w:r>
            <w:r w:rsidR="00FA5F5F" w:rsidRPr="00E7135D">
              <w:rPr>
                <w:rFonts w:cs="Arial"/>
                <w:b/>
                <w:bCs/>
                <w:i/>
                <w:iCs/>
                <w:color w:val="000066"/>
                <w:sz w:val="22"/>
                <w:szCs w:val="22"/>
                <w:lang w:eastAsia="it-IT"/>
              </w:rPr>
              <w:t xml:space="preserve"> </w:t>
            </w:r>
            <w:r w:rsidR="0030152C" w:rsidRPr="00E7135D">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E7135D" w:rsidRDefault="000A03B2" w:rsidP="00CD5FE2">
            <w:pPr>
              <w:spacing w:line="140" w:lineRule="atLeast"/>
              <w:jc w:val="right"/>
              <w:rPr>
                <w:rFonts w:cs="Arial"/>
                <w:sz w:val="14"/>
                <w:szCs w:val="14"/>
              </w:rPr>
            </w:pPr>
            <w:r w:rsidRPr="00E7135D">
              <w:rPr>
                <w:rFonts w:cs="Arial"/>
                <w:sz w:val="14"/>
                <w:szCs w:val="14"/>
              </w:rPr>
              <w:t>A publication of</w:t>
            </w:r>
          </w:p>
          <w:p w14:paraId="599E5441" w14:textId="77777777" w:rsidR="000A03B2" w:rsidRPr="00E7135D" w:rsidRDefault="000A03B2" w:rsidP="00CD5FE2">
            <w:pPr>
              <w:jc w:val="right"/>
            </w:pPr>
            <w:r w:rsidRPr="00E7135D">
              <w:rPr>
                <w:noProof/>
                <w:lang w:val="it-IT" w:eastAsia="it-IT"/>
              </w:rPr>
              <w:drawing>
                <wp:inline distT="0" distB="0" distL="0" distR="0" wp14:anchorId="59C75AF4" wp14:editId="4FF92432">
                  <wp:extent cx="670560" cy="358140"/>
                  <wp:effectExtent l="0" t="0" r="0" b="3810"/>
                  <wp:docPr id="6" name="Pictur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E7135D" w14:paraId="380FA3CD" w14:textId="77777777" w:rsidTr="002739BA">
        <w:trPr>
          <w:trHeight w:val="567"/>
          <w:jc w:val="center"/>
        </w:trPr>
        <w:tc>
          <w:tcPr>
            <w:tcW w:w="6940" w:type="dxa"/>
            <w:vMerge/>
            <w:tcBorders>
              <w:right w:val="single" w:sz="4" w:space="0" w:color="auto"/>
            </w:tcBorders>
          </w:tcPr>
          <w:p w14:paraId="39E5E4C1" w14:textId="77777777" w:rsidR="000A03B2" w:rsidRPr="00E7135D"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E7135D" w:rsidRDefault="000A03B2" w:rsidP="00CD5FE2">
            <w:pPr>
              <w:spacing w:line="140" w:lineRule="atLeast"/>
              <w:jc w:val="right"/>
              <w:rPr>
                <w:rFonts w:cs="Arial"/>
                <w:sz w:val="14"/>
                <w:szCs w:val="14"/>
              </w:rPr>
            </w:pPr>
            <w:r w:rsidRPr="00E7135D">
              <w:rPr>
                <w:rFonts w:cs="Arial"/>
                <w:sz w:val="14"/>
                <w:szCs w:val="14"/>
              </w:rPr>
              <w:t>The Italian Association</w:t>
            </w:r>
          </w:p>
          <w:p w14:paraId="7522B1D2" w14:textId="77777777" w:rsidR="000A03B2" w:rsidRPr="00E7135D" w:rsidRDefault="000A03B2" w:rsidP="00CD5FE2">
            <w:pPr>
              <w:spacing w:line="140" w:lineRule="atLeast"/>
              <w:jc w:val="right"/>
              <w:rPr>
                <w:rFonts w:cs="Arial"/>
                <w:sz w:val="14"/>
                <w:szCs w:val="14"/>
              </w:rPr>
            </w:pPr>
            <w:r w:rsidRPr="00E7135D">
              <w:rPr>
                <w:rFonts w:cs="Arial"/>
                <w:sz w:val="14"/>
                <w:szCs w:val="14"/>
              </w:rPr>
              <w:t>of Chemical Engineering</w:t>
            </w:r>
          </w:p>
          <w:p w14:paraId="4F0CC5DE" w14:textId="47FDB2FC" w:rsidR="000A03B2" w:rsidRPr="00E7135D" w:rsidRDefault="000D0268" w:rsidP="00CD5FE2">
            <w:pPr>
              <w:spacing w:line="140" w:lineRule="atLeast"/>
              <w:jc w:val="right"/>
              <w:rPr>
                <w:rFonts w:cs="Arial"/>
                <w:sz w:val="13"/>
                <w:szCs w:val="13"/>
              </w:rPr>
            </w:pPr>
            <w:r w:rsidRPr="00E7135D">
              <w:rPr>
                <w:rFonts w:cs="Arial"/>
                <w:sz w:val="13"/>
                <w:szCs w:val="13"/>
              </w:rPr>
              <w:t>Online at www.cetjournal.it</w:t>
            </w:r>
          </w:p>
        </w:tc>
      </w:tr>
      <w:tr w:rsidR="000A03B2" w:rsidRPr="00E7135D" w14:paraId="2D1B7169" w14:textId="77777777" w:rsidTr="002739BA">
        <w:trPr>
          <w:trHeight w:val="68"/>
          <w:jc w:val="center"/>
        </w:trPr>
        <w:tc>
          <w:tcPr>
            <w:tcW w:w="8782" w:type="dxa"/>
            <w:gridSpan w:val="2"/>
          </w:tcPr>
          <w:p w14:paraId="1D8DD3C9" w14:textId="06DCB7F6" w:rsidR="00AA7D26" w:rsidRPr="00E7135D" w:rsidRDefault="00AA7D26" w:rsidP="00AA7D26">
            <w:pPr>
              <w:ind w:left="-107"/>
              <w:outlineLvl w:val="2"/>
              <w:rPr>
                <w:rFonts w:ascii="Tahoma" w:hAnsi="Tahoma" w:cs="Tahoma"/>
                <w:bCs/>
                <w:color w:val="000000"/>
                <w:sz w:val="14"/>
                <w:szCs w:val="14"/>
                <w:lang w:val="it-IT" w:eastAsia="it-IT"/>
              </w:rPr>
            </w:pPr>
            <w:r w:rsidRPr="00E7135D">
              <w:rPr>
                <w:rFonts w:ascii="Tahoma" w:hAnsi="Tahoma" w:cs="Tahoma"/>
                <w:iCs/>
                <w:color w:val="333333"/>
                <w:sz w:val="14"/>
                <w:szCs w:val="14"/>
                <w:lang w:val="it-IT" w:eastAsia="it-IT"/>
              </w:rPr>
              <w:t>Guest Editors:</w:t>
            </w:r>
            <w:r w:rsidRPr="00E7135D">
              <w:rPr>
                <w:rFonts w:ascii="Tahoma" w:hAnsi="Tahoma" w:cs="Tahoma"/>
                <w:color w:val="000000"/>
                <w:sz w:val="14"/>
                <w:szCs w:val="14"/>
                <w:shd w:val="clear" w:color="auto" w:fill="FFFFFF"/>
                <w:lang w:val="it-IT"/>
              </w:rPr>
              <w:t xml:space="preserve"> </w:t>
            </w:r>
            <w:r w:rsidR="003A6FC6" w:rsidRPr="00E7135D">
              <w:rPr>
                <w:rFonts w:ascii="Tahoma" w:hAnsi="Tahoma" w:cs="Tahoma"/>
                <w:color w:val="000000"/>
                <w:sz w:val="14"/>
                <w:szCs w:val="14"/>
                <w:shd w:val="clear" w:color="auto" w:fill="FFFFFF"/>
                <w:lang w:val="it-IT"/>
              </w:rPr>
              <w:t>Laura Piazza, Mauro Moresi, Francesco Donsì</w:t>
            </w:r>
          </w:p>
          <w:p w14:paraId="1B0F1814" w14:textId="617BA86D" w:rsidR="000A03B2" w:rsidRPr="00E7135D" w:rsidRDefault="00AA7D26" w:rsidP="00AA7D26">
            <w:pPr>
              <w:tabs>
                <w:tab w:val="left" w:pos="-108"/>
              </w:tabs>
              <w:spacing w:line="140" w:lineRule="atLeast"/>
              <w:ind w:left="-107"/>
              <w:jc w:val="left"/>
            </w:pPr>
            <w:r w:rsidRPr="00E7135D">
              <w:rPr>
                <w:rFonts w:ascii="Tahoma" w:hAnsi="Tahoma" w:cs="Tahoma"/>
                <w:iCs/>
                <w:color w:val="333333"/>
                <w:sz w:val="14"/>
                <w:szCs w:val="14"/>
                <w:lang w:eastAsia="it-IT"/>
              </w:rPr>
              <w:t xml:space="preserve">Copyright © 2023, AIDIC </w:t>
            </w:r>
            <w:proofErr w:type="spellStart"/>
            <w:r w:rsidRPr="00E7135D">
              <w:rPr>
                <w:rFonts w:ascii="Tahoma" w:hAnsi="Tahoma" w:cs="Tahoma"/>
                <w:iCs/>
                <w:color w:val="333333"/>
                <w:sz w:val="14"/>
                <w:szCs w:val="14"/>
                <w:lang w:eastAsia="it-IT"/>
              </w:rPr>
              <w:t>Servizi</w:t>
            </w:r>
            <w:proofErr w:type="spellEnd"/>
            <w:r w:rsidRPr="00E7135D">
              <w:rPr>
                <w:rFonts w:ascii="Tahoma" w:hAnsi="Tahoma" w:cs="Tahoma"/>
                <w:iCs/>
                <w:color w:val="333333"/>
                <w:sz w:val="14"/>
                <w:szCs w:val="14"/>
                <w:lang w:eastAsia="it-IT"/>
              </w:rPr>
              <w:t xml:space="preserve"> </w:t>
            </w:r>
            <w:proofErr w:type="spellStart"/>
            <w:r w:rsidRPr="00E7135D">
              <w:rPr>
                <w:rFonts w:ascii="Tahoma" w:hAnsi="Tahoma" w:cs="Tahoma"/>
                <w:iCs/>
                <w:color w:val="333333"/>
                <w:sz w:val="14"/>
                <w:szCs w:val="14"/>
                <w:lang w:eastAsia="it-IT"/>
              </w:rPr>
              <w:t>S.r.l</w:t>
            </w:r>
            <w:proofErr w:type="spellEnd"/>
            <w:r w:rsidRPr="00E7135D">
              <w:rPr>
                <w:rFonts w:ascii="Tahoma" w:hAnsi="Tahoma" w:cs="Tahoma"/>
                <w:iCs/>
                <w:color w:val="333333"/>
                <w:sz w:val="14"/>
                <w:szCs w:val="14"/>
                <w:lang w:eastAsia="it-IT"/>
              </w:rPr>
              <w:t>.</w:t>
            </w:r>
            <w:r w:rsidRPr="00E7135D">
              <w:rPr>
                <w:rFonts w:ascii="Tahoma" w:hAnsi="Tahoma" w:cs="Tahoma"/>
                <w:iCs/>
                <w:color w:val="333333"/>
                <w:sz w:val="14"/>
                <w:szCs w:val="14"/>
                <w:lang w:eastAsia="it-IT"/>
              </w:rPr>
              <w:br/>
            </w:r>
            <w:r w:rsidRPr="00E7135D">
              <w:rPr>
                <w:rFonts w:ascii="Tahoma" w:hAnsi="Tahoma" w:cs="Tahoma"/>
                <w:b/>
                <w:iCs/>
                <w:color w:val="000000"/>
                <w:sz w:val="14"/>
                <w:szCs w:val="14"/>
                <w:lang w:eastAsia="it-IT"/>
              </w:rPr>
              <w:t>ISBN</w:t>
            </w:r>
            <w:r w:rsidRPr="00E7135D">
              <w:rPr>
                <w:rFonts w:ascii="Tahoma" w:hAnsi="Tahoma" w:cs="Tahoma"/>
                <w:iCs/>
                <w:color w:val="000000"/>
                <w:sz w:val="14"/>
                <w:szCs w:val="14"/>
                <w:lang w:eastAsia="it-IT"/>
              </w:rPr>
              <w:t xml:space="preserve"> </w:t>
            </w:r>
            <w:r w:rsidR="008B7C03" w:rsidRPr="00E7135D">
              <w:rPr>
                <w:rFonts w:ascii="Tahoma" w:hAnsi="Tahoma" w:cs="Tahoma"/>
                <w:sz w:val="14"/>
                <w:szCs w:val="14"/>
              </w:rPr>
              <w:t>979-12-81206</w:t>
            </w:r>
            <w:r w:rsidRPr="00E7135D">
              <w:rPr>
                <w:rFonts w:ascii="Tahoma" w:hAnsi="Tahoma" w:cs="Tahoma"/>
                <w:sz w:val="14"/>
                <w:szCs w:val="14"/>
              </w:rPr>
              <w:t>-</w:t>
            </w:r>
            <w:r w:rsidR="00E33DD7" w:rsidRPr="00E7135D">
              <w:rPr>
                <w:rFonts w:ascii="Tahoma" w:hAnsi="Tahoma" w:cs="Tahoma"/>
                <w:sz w:val="14"/>
                <w:szCs w:val="14"/>
              </w:rPr>
              <w:t>0</w:t>
            </w:r>
            <w:r w:rsidR="003A6FC6" w:rsidRPr="00E7135D">
              <w:rPr>
                <w:rFonts w:ascii="Tahoma" w:hAnsi="Tahoma" w:cs="Tahoma"/>
                <w:sz w:val="14"/>
                <w:szCs w:val="14"/>
              </w:rPr>
              <w:t>1</w:t>
            </w:r>
            <w:r w:rsidRPr="00E7135D">
              <w:rPr>
                <w:rFonts w:ascii="Tahoma" w:hAnsi="Tahoma" w:cs="Tahoma"/>
                <w:sz w:val="14"/>
                <w:szCs w:val="14"/>
              </w:rPr>
              <w:t>-</w:t>
            </w:r>
            <w:r w:rsidR="003A6FC6" w:rsidRPr="00E7135D">
              <w:rPr>
                <w:rFonts w:ascii="Tahoma" w:hAnsi="Tahoma" w:cs="Tahoma"/>
                <w:sz w:val="14"/>
                <w:szCs w:val="14"/>
              </w:rPr>
              <w:t>4</w:t>
            </w:r>
            <w:r w:rsidRPr="00E7135D">
              <w:rPr>
                <w:rFonts w:ascii="Tahoma" w:hAnsi="Tahoma" w:cs="Tahoma"/>
                <w:iCs/>
                <w:color w:val="333333"/>
                <w:sz w:val="14"/>
                <w:szCs w:val="14"/>
                <w:lang w:eastAsia="it-IT"/>
              </w:rPr>
              <w:t xml:space="preserve">; </w:t>
            </w:r>
            <w:r w:rsidRPr="00E7135D">
              <w:rPr>
                <w:rFonts w:ascii="Tahoma" w:hAnsi="Tahoma" w:cs="Tahoma"/>
                <w:b/>
                <w:iCs/>
                <w:color w:val="333333"/>
                <w:sz w:val="14"/>
                <w:szCs w:val="14"/>
                <w:lang w:eastAsia="it-IT"/>
              </w:rPr>
              <w:t>ISSN</w:t>
            </w:r>
            <w:r w:rsidRPr="00E7135D">
              <w:rPr>
                <w:rFonts w:ascii="Tahoma" w:hAnsi="Tahoma" w:cs="Tahoma"/>
                <w:iCs/>
                <w:color w:val="333333"/>
                <w:sz w:val="14"/>
                <w:szCs w:val="14"/>
                <w:lang w:eastAsia="it-IT"/>
              </w:rPr>
              <w:t xml:space="preserve"> 2283-9216</w:t>
            </w:r>
          </w:p>
        </w:tc>
      </w:tr>
    </w:tbl>
    <w:p w14:paraId="2E667253" w14:textId="0142F4D4" w:rsidR="00E978D0" w:rsidRPr="00E7135D" w:rsidRDefault="005949A3" w:rsidP="00E978D0">
      <w:pPr>
        <w:pStyle w:val="CETTitle"/>
        <w:rPr>
          <w:lang w:val="en-US"/>
        </w:rPr>
      </w:pPr>
      <w:r w:rsidRPr="00E7135D">
        <w:rPr>
          <w:lang w:val="en-US"/>
        </w:rPr>
        <w:t xml:space="preserve">Mathematical </w:t>
      </w:r>
      <w:r w:rsidR="00A720A7" w:rsidRPr="00E7135D">
        <w:rPr>
          <w:lang w:val="en-US"/>
        </w:rPr>
        <w:t>Modeling of the Kinetics of</w:t>
      </w:r>
      <w:r w:rsidR="009D6532" w:rsidRPr="00E7135D">
        <w:rPr>
          <w:lang w:val="en-US"/>
        </w:rPr>
        <w:t xml:space="preserve"> Released</w:t>
      </w:r>
      <w:r w:rsidR="00A720A7" w:rsidRPr="00E7135D">
        <w:rPr>
          <w:lang w:val="en-US"/>
        </w:rPr>
        <w:t xml:space="preserve"> Antioxidant Compounds During Solid-Liquid Extraction for a</w:t>
      </w:r>
      <w:r w:rsidR="009D6532" w:rsidRPr="00E7135D">
        <w:rPr>
          <w:lang w:val="en-US"/>
        </w:rPr>
        <w:t xml:space="preserve"> </w:t>
      </w:r>
      <w:r w:rsidR="00A720A7" w:rsidRPr="00E7135D">
        <w:rPr>
          <w:lang w:val="en-US"/>
        </w:rPr>
        <w:t xml:space="preserve">Nutraceutical Beverage </w:t>
      </w:r>
      <w:r w:rsidR="001002C9" w:rsidRPr="00E7135D">
        <w:rPr>
          <w:lang w:val="en-US"/>
        </w:rPr>
        <w:t>f</w:t>
      </w:r>
      <w:r w:rsidR="00A720A7" w:rsidRPr="00E7135D">
        <w:rPr>
          <w:lang w:val="en-US"/>
        </w:rPr>
        <w:t xml:space="preserve">rom </w:t>
      </w:r>
      <w:r w:rsidRPr="00E7135D">
        <w:rPr>
          <w:i/>
          <w:iCs/>
          <w:lang w:val="en-US"/>
        </w:rPr>
        <w:t xml:space="preserve">Ilex </w:t>
      </w:r>
      <w:r w:rsidR="00A720A7" w:rsidRPr="00E7135D">
        <w:rPr>
          <w:i/>
          <w:iCs/>
          <w:lang w:val="en-US"/>
        </w:rPr>
        <w:t xml:space="preserve">Guayusa, </w:t>
      </w:r>
      <w:r w:rsidRPr="00E7135D">
        <w:rPr>
          <w:i/>
          <w:iCs/>
          <w:lang w:val="en-US"/>
        </w:rPr>
        <w:t xml:space="preserve">Vernonanthura </w:t>
      </w:r>
      <w:r w:rsidR="00A720A7" w:rsidRPr="00E7135D">
        <w:rPr>
          <w:i/>
          <w:iCs/>
          <w:lang w:val="en-US"/>
        </w:rPr>
        <w:t>Patens</w:t>
      </w:r>
      <w:r w:rsidR="00A720A7" w:rsidRPr="00E7135D">
        <w:rPr>
          <w:lang w:val="en-US"/>
        </w:rPr>
        <w:t xml:space="preserve">, and </w:t>
      </w:r>
      <w:r w:rsidRPr="00E7135D">
        <w:rPr>
          <w:lang w:val="en-US"/>
        </w:rPr>
        <w:t xml:space="preserve">Cocoa </w:t>
      </w:r>
      <w:r w:rsidR="00C75AC3" w:rsidRPr="00E7135D">
        <w:rPr>
          <w:lang w:val="en-US"/>
        </w:rPr>
        <w:t>H</w:t>
      </w:r>
      <w:r w:rsidRPr="00E7135D">
        <w:rPr>
          <w:lang w:val="en-US"/>
        </w:rPr>
        <w:t xml:space="preserve">usk </w:t>
      </w:r>
      <w:r w:rsidR="00A720A7" w:rsidRPr="00E7135D">
        <w:rPr>
          <w:lang w:val="en-US"/>
        </w:rPr>
        <w:t>Plants</w:t>
      </w:r>
    </w:p>
    <w:p w14:paraId="29DDABA5" w14:textId="2AB83E80" w:rsidR="00E51C65" w:rsidRPr="00E7135D" w:rsidRDefault="00E51C65" w:rsidP="006156FD">
      <w:pPr>
        <w:pStyle w:val="CETAddress"/>
        <w:jc w:val="both"/>
        <w:rPr>
          <w:sz w:val="24"/>
          <w:lang w:val="es-EC"/>
        </w:rPr>
      </w:pPr>
      <w:r w:rsidRPr="00E7135D">
        <w:rPr>
          <w:sz w:val="24"/>
          <w:lang w:val="es-EC"/>
        </w:rPr>
        <w:t>Alexander P. Espinoza-Vasquez</w:t>
      </w:r>
      <w:r w:rsidR="00762000" w:rsidRPr="00E7135D">
        <w:rPr>
          <w:sz w:val="24"/>
          <w:vertAlign w:val="superscript"/>
          <w:lang w:val="es-EC"/>
        </w:rPr>
        <w:t>a,*</w:t>
      </w:r>
      <w:r w:rsidR="00903476" w:rsidRPr="00E7135D">
        <w:rPr>
          <w:vertAlign w:val="superscript"/>
          <w:lang w:val="es-EC"/>
        </w:rPr>
        <w:t xml:space="preserve"> </w:t>
      </w:r>
      <w:r w:rsidRPr="00E7135D">
        <w:rPr>
          <w:sz w:val="24"/>
          <w:lang w:val="es-EC"/>
        </w:rPr>
        <w:t>, Wilfredo Angulo</w:t>
      </w:r>
      <w:r w:rsidRPr="00E7135D">
        <w:rPr>
          <w:sz w:val="24"/>
          <w:vertAlign w:val="superscript"/>
          <w:lang w:val="es-EC"/>
        </w:rPr>
        <w:t>b</w:t>
      </w:r>
      <w:r w:rsidRPr="00E7135D">
        <w:rPr>
          <w:sz w:val="24"/>
          <w:lang w:val="es-EC"/>
        </w:rPr>
        <w:t>, Dany De Cecchis</w:t>
      </w:r>
      <w:r w:rsidRPr="00E7135D">
        <w:rPr>
          <w:sz w:val="24"/>
          <w:vertAlign w:val="superscript"/>
          <w:lang w:val="es-EC"/>
        </w:rPr>
        <w:t>a</w:t>
      </w:r>
      <w:r w:rsidRPr="00E7135D">
        <w:rPr>
          <w:sz w:val="24"/>
          <w:lang w:val="es-EC"/>
        </w:rPr>
        <w:t>, Yris Gonzalez</w:t>
      </w:r>
      <w:r w:rsidRPr="00E7135D">
        <w:rPr>
          <w:sz w:val="24"/>
          <w:vertAlign w:val="superscript"/>
          <w:lang w:val="es-EC"/>
        </w:rPr>
        <w:t>a</w:t>
      </w:r>
      <w:r w:rsidRPr="00E7135D">
        <w:rPr>
          <w:sz w:val="24"/>
          <w:lang w:val="es-EC"/>
        </w:rPr>
        <w:t>, Daniela Galatro</w:t>
      </w:r>
      <w:r w:rsidRPr="00E7135D">
        <w:rPr>
          <w:sz w:val="24"/>
          <w:vertAlign w:val="superscript"/>
          <w:lang w:val="es-EC"/>
        </w:rPr>
        <w:t>c</w:t>
      </w:r>
      <w:r w:rsidRPr="00E7135D">
        <w:rPr>
          <w:sz w:val="24"/>
          <w:lang w:val="es-EC"/>
        </w:rPr>
        <w:t>, Patricia Manzano</w:t>
      </w:r>
      <w:r w:rsidRPr="00E7135D">
        <w:rPr>
          <w:sz w:val="24"/>
          <w:vertAlign w:val="superscript"/>
          <w:lang w:val="es-EC"/>
        </w:rPr>
        <w:t>a,d,e</w:t>
      </w:r>
      <w:r w:rsidRPr="00E7135D">
        <w:rPr>
          <w:sz w:val="24"/>
          <w:lang w:val="es-EC"/>
        </w:rPr>
        <w:t>, Ivan Choez-Guaranda</w:t>
      </w:r>
      <w:r w:rsidRPr="00E7135D">
        <w:rPr>
          <w:sz w:val="24"/>
          <w:vertAlign w:val="superscript"/>
          <w:lang w:val="es-EC"/>
        </w:rPr>
        <w:t>d</w:t>
      </w:r>
      <w:r w:rsidRPr="00E7135D">
        <w:rPr>
          <w:sz w:val="24"/>
          <w:lang w:val="es-EC"/>
        </w:rPr>
        <w:t>.</w:t>
      </w:r>
    </w:p>
    <w:p w14:paraId="603295E0" w14:textId="0AB178E8" w:rsidR="00E51C65" w:rsidRPr="00E7135D" w:rsidRDefault="00E51C65" w:rsidP="00B57E6F">
      <w:pPr>
        <w:pStyle w:val="CETAddress"/>
        <w:rPr>
          <w:lang w:val="es-EC"/>
        </w:rPr>
      </w:pPr>
      <w:r w:rsidRPr="00E7135D">
        <w:rPr>
          <w:vertAlign w:val="superscript"/>
          <w:lang w:val="es-EC"/>
        </w:rPr>
        <w:t>a</w:t>
      </w:r>
      <w:r w:rsidRPr="00E7135D">
        <w:rPr>
          <w:lang w:val="es-EC"/>
        </w:rPr>
        <w:t xml:space="preserve">Facultad de Ciencias Naturales y Matemáticas, Escuela Superior Politécnica del Litoral, ESPOL, Campus Gustavo Galindo Km. 30.5 vía Perimetral, P.O. Box 09-01-5863, Guayaquil, Ecuador. </w:t>
      </w:r>
    </w:p>
    <w:p w14:paraId="7857EA49" w14:textId="6CD3CD76" w:rsidR="00E51C65" w:rsidRPr="00E7135D" w:rsidRDefault="00E51C65" w:rsidP="00E51C65">
      <w:pPr>
        <w:pStyle w:val="CETAddress"/>
        <w:rPr>
          <w:lang w:val="es-EC"/>
        </w:rPr>
      </w:pPr>
      <w:r w:rsidRPr="00E7135D">
        <w:rPr>
          <w:rStyle w:val="normaltextrun"/>
          <w:vertAlign w:val="superscript"/>
          <w:lang w:val="es-EC"/>
        </w:rPr>
        <w:t>b</w:t>
      </w:r>
      <w:r w:rsidRPr="00E7135D">
        <w:rPr>
          <w:rStyle w:val="normaltextrun"/>
          <w:lang w:val="es-EC"/>
        </w:rPr>
        <w:t>Departamento de Matemática, Colegio de Ciencias e Ingeniería, Universidad San Francisco de Quito, Quito 170901, Ecuador.</w:t>
      </w:r>
    </w:p>
    <w:p w14:paraId="3D5C12BD" w14:textId="7E373511" w:rsidR="00E51C65" w:rsidRPr="00E7135D" w:rsidRDefault="00E51C65" w:rsidP="00E51C65">
      <w:pPr>
        <w:pStyle w:val="CETAddress"/>
        <w:rPr>
          <w:lang w:val="en-US"/>
        </w:rPr>
      </w:pPr>
      <w:r w:rsidRPr="00E7135D">
        <w:rPr>
          <w:rStyle w:val="normaltextrun"/>
          <w:vertAlign w:val="superscript"/>
          <w:lang w:val="en-US"/>
        </w:rPr>
        <w:t>c</w:t>
      </w:r>
      <w:r w:rsidRPr="00E7135D">
        <w:rPr>
          <w:rStyle w:val="normaltextrun"/>
          <w:lang w:val="en-US"/>
        </w:rPr>
        <w:t>Department of Chemical Engineering and Applied Chemistry, University of Toronto, Canada.</w:t>
      </w:r>
      <w:r w:rsidRPr="00E7135D">
        <w:rPr>
          <w:rStyle w:val="eop"/>
          <w:lang w:val="en-US"/>
        </w:rPr>
        <w:t> </w:t>
      </w:r>
    </w:p>
    <w:p w14:paraId="1047A92A" w14:textId="047A7E18" w:rsidR="00E51C65" w:rsidRPr="00E7135D" w:rsidRDefault="00E51C65" w:rsidP="00E51C65">
      <w:pPr>
        <w:pStyle w:val="CETAddress"/>
        <w:rPr>
          <w:lang w:val="es-EC"/>
        </w:rPr>
      </w:pPr>
      <w:r w:rsidRPr="00E7135D">
        <w:rPr>
          <w:rStyle w:val="normaltextrun"/>
          <w:vertAlign w:val="superscript"/>
          <w:lang w:val="es-EC"/>
        </w:rPr>
        <w:t>d</w:t>
      </w:r>
      <w:r w:rsidRPr="00E7135D">
        <w:rPr>
          <w:rStyle w:val="normaltextrun"/>
          <w:lang w:val="es-EC"/>
        </w:rPr>
        <w:t>Centro de Investigaciones Biotecnológicas del Ecuador, Escuela Superior Politécnica del Litoral, ESPOL, Campus Gustavo Galindo Km. 30.5 vía Perimetral, P.O. Box 09-01-5863, Guayaquil, Ecuador.</w:t>
      </w:r>
      <w:r w:rsidRPr="00E7135D">
        <w:rPr>
          <w:rStyle w:val="eop"/>
          <w:lang w:val="es-EC"/>
        </w:rPr>
        <w:t> </w:t>
      </w:r>
    </w:p>
    <w:p w14:paraId="4E980802" w14:textId="278EF5BC" w:rsidR="00E51C65" w:rsidRPr="00E7135D" w:rsidRDefault="00E51C65" w:rsidP="008947F7">
      <w:pPr>
        <w:pStyle w:val="CETAddress"/>
        <w:rPr>
          <w:lang w:val="es-EC"/>
        </w:rPr>
      </w:pPr>
      <w:r w:rsidRPr="00E7135D">
        <w:rPr>
          <w:rStyle w:val="normaltextrun"/>
          <w:vertAlign w:val="superscript"/>
          <w:lang w:val="es-EC"/>
        </w:rPr>
        <w:t>e</w:t>
      </w:r>
      <w:r w:rsidRPr="00E7135D">
        <w:rPr>
          <w:rStyle w:val="normaltextrun"/>
          <w:lang w:val="es-EC"/>
        </w:rPr>
        <w:t>Facultad de Ciencias de la Vida, Escuela Superior Politécnica del Litoral, ESPOL, Campus Gustavo Galindo Km. 30.5 vía Perimetral, P.O. Box 09-01-5863, Guayaquil, Ecuador.</w:t>
      </w:r>
      <w:r w:rsidRPr="00E7135D">
        <w:rPr>
          <w:rStyle w:val="eop"/>
          <w:lang w:val="es-EC"/>
        </w:rPr>
        <w:t> </w:t>
      </w:r>
    </w:p>
    <w:p w14:paraId="73F1267A" w14:textId="46064D1E" w:rsidR="00B57E6F" w:rsidRPr="00E7135D" w:rsidRDefault="00F71621" w:rsidP="00F71621">
      <w:pPr>
        <w:pStyle w:val="CETAddress"/>
        <w:rPr>
          <w:lang w:val="en-US"/>
        </w:rPr>
      </w:pPr>
      <w:r w:rsidRPr="00E7135D">
        <w:rPr>
          <w:vertAlign w:val="superscript"/>
          <w:lang w:val="en-US"/>
        </w:rPr>
        <w:t>*</w:t>
      </w:r>
      <w:r w:rsidRPr="00E7135D">
        <w:rPr>
          <w:lang w:val="en-US"/>
        </w:rPr>
        <w:t>apespino@espol.edu.ec</w:t>
      </w:r>
    </w:p>
    <w:p w14:paraId="6909A3FD" w14:textId="77777777" w:rsidR="00E748AB" w:rsidRPr="00E7135D" w:rsidRDefault="00E748AB" w:rsidP="006156FD">
      <w:pPr>
        <w:pStyle w:val="CETAddress"/>
        <w:rPr>
          <w:lang w:val="en-US"/>
        </w:rPr>
      </w:pPr>
    </w:p>
    <w:p w14:paraId="33B4AEFA" w14:textId="636F4279" w:rsidR="00073683" w:rsidRPr="00E7135D" w:rsidRDefault="002A240D" w:rsidP="00073683">
      <w:pPr>
        <w:pStyle w:val="CETBodytext"/>
      </w:pPr>
      <w:r w:rsidRPr="00E7135D">
        <w:t xml:space="preserve">Mechanistic model parameters are estimated to describe the kinetics of </w:t>
      </w:r>
      <w:r w:rsidR="009D6532" w:rsidRPr="00E7135D">
        <w:t xml:space="preserve">released </w:t>
      </w:r>
      <w:r w:rsidRPr="00E7135D">
        <w:t>antioxidant compounds (phenolic compounds)</w:t>
      </w:r>
      <w:r w:rsidR="00FC6250" w:rsidRPr="00E7135D">
        <w:t xml:space="preserve"> </w:t>
      </w:r>
      <w:r w:rsidRPr="00E7135D">
        <w:t xml:space="preserve">during the solid-liquid extraction of a </w:t>
      </w:r>
      <w:r w:rsidR="009D6532" w:rsidRPr="00E7135D">
        <w:t xml:space="preserve">potential </w:t>
      </w:r>
      <w:r w:rsidRPr="00E7135D">
        <w:t xml:space="preserve">nutraceutical beverage obtained from </w:t>
      </w:r>
      <w:r w:rsidRPr="00E7135D">
        <w:rPr>
          <w:i/>
          <w:iCs/>
        </w:rPr>
        <w:t xml:space="preserve">Ilex </w:t>
      </w:r>
      <w:r w:rsidR="00AA5F83" w:rsidRPr="00E7135D">
        <w:rPr>
          <w:i/>
          <w:iCs/>
        </w:rPr>
        <w:t>g</w:t>
      </w:r>
      <w:r w:rsidRPr="00E7135D">
        <w:rPr>
          <w:i/>
          <w:iCs/>
        </w:rPr>
        <w:t>uayusa</w:t>
      </w:r>
      <w:r w:rsidRPr="00E7135D">
        <w:t xml:space="preserve">, </w:t>
      </w:r>
      <w:r w:rsidRPr="00E7135D">
        <w:rPr>
          <w:i/>
          <w:iCs/>
        </w:rPr>
        <w:t xml:space="preserve">Vernonanthura </w:t>
      </w:r>
      <w:r w:rsidR="00AA5F83" w:rsidRPr="00E7135D">
        <w:rPr>
          <w:i/>
          <w:iCs/>
        </w:rPr>
        <w:t>p</w:t>
      </w:r>
      <w:r w:rsidRPr="00E7135D">
        <w:rPr>
          <w:i/>
          <w:iCs/>
        </w:rPr>
        <w:t>atens</w:t>
      </w:r>
      <w:r w:rsidRPr="00E7135D">
        <w:t xml:space="preserve">, and Cocoa Husk plants. While the concentration evolution for the solvent phase is measured by spectrophotometry, the concentration for the solid phase is determined by mass balances. The mass transfer coefficients are then estimated using the Gekko library by fitting the model parameters with the experimental data for </w:t>
      </w:r>
      <w:r w:rsidR="006A633C" w:rsidRPr="00E7135D">
        <w:t>both</w:t>
      </w:r>
      <w:r w:rsidRPr="00E7135D">
        <w:t xml:space="preserve"> the solvent and solid phases. </w:t>
      </w:r>
      <w:r w:rsidR="009E1D04" w:rsidRPr="00E7135D">
        <w:t xml:space="preserve">Combining experimental data with a mechanistic model for solid-liquid extraction and programming-numeric computing platforms allows for obtaining a robust model (small MSLE); that considers mass transfer phenomena and estimates the required time for the highest percentage extraction of the phenolic compounds. This work provides a potential scheme that can be used for determining predictive analytical models through estimating parameters in Gekko using the experimental kinetics for different raw materials in the food industry and incorporating them into simulators through a connection between simulators with </w:t>
      </w:r>
      <w:proofErr w:type="spellStart"/>
      <w:r w:rsidR="009E1D04" w:rsidRPr="00E7135D">
        <w:t>Matlab</w:t>
      </w:r>
      <w:proofErr w:type="spellEnd"/>
      <w:r w:rsidR="009E1D04" w:rsidRPr="00E7135D">
        <w:t xml:space="preserve"> or Python</w:t>
      </w:r>
      <w:r w:rsidRPr="00E7135D">
        <w:t>.</w:t>
      </w:r>
    </w:p>
    <w:p w14:paraId="476B2F2E" w14:textId="3455D9C7" w:rsidR="00600535" w:rsidRPr="00E7135D" w:rsidRDefault="00600535" w:rsidP="003A63C5">
      <w:pPr>
        <w:pStyle w:val="CETHeading1"/>
      </w:pPr>
      <w:r w:rsidRPr="00E7135D">
        <w:t>Introduction</w:t>
      </w:r>
    </w:p>
    <w:p w14:paraId="2F291664" w14:textId="725A7917" w:rsidR="00516D55" w:rsidRPr="00E7135D" w:rsidRDefault="00516D55" w:rsidP="00516D55">
      <w:pPr>
        <w:pStyle w:val="CETBodytext"/>
      </w:pPr>
      <w:r w:rsidRPr="00E7135D">
        <w:t>In the last decades, the food industry has increased the development of plant-based beverages with antioxidant properties, known as nutraceutical beverages. Herbal infusions are a popular nutraceutical beverage in traditional medicine, used in tumors treatments; hypertension;  and gastrointestinal diseases</w:t>
      </w:r>
      <w:r w:rsidR="001445F5" w:rsidRPr="00E7135D">
        <w:t xml:space="preserve"> </w:t>
      </w:r>
      <w:r w:rsidR="001445F5" w:rsidRPr="00E7135D">
        <w:fldChar w:fldCharType="begin" w:fldLock="1"/>
      </w:r>
      <w:r w:rsidR="006160B4" w:rsidRPr="00E7135D">
        <w:instrText>ADDIN CSL_CITATION {"citationItems":[{"id":"ITEM-1","itemData":{"abstract":"A novel functional drink with nutraceutical properties was formulated from the aqueous extracts of Ilex guayusa, and Vernonanthura patens leaves, and cocoa husks. This juice contains various bioactive compounds, such as phenolic compounds and methylxanthines, with antioxidant and stimulant properties of pharmacological interest. However, it is known whether herbal extracts' interaction may have adverse toxic effects on human health. To evaluate this functional drink's innocuity, we estimated the acute oral toxicity (AOT) in experimental mice. This paper presents the AOT evaluation of two formulations of a functional drink (pre-formulation and microencapsulation) at a single dose of 2000 mg/kg of body weight (b.w.). No signs of adverse toxicity and mortality were observed after a single oral dose of 2000 mg/kg b.w. Likewise, no significant body and organ weight changes, food and water consumption behavior, and no histopathological changes were observed in the main organs evaluated. In conclusion, this functional drink can be categorized as low toxicity \" according to the Globally Harmonized Classification System (GHS), making it a potential beverage with high nutritional and pharmacological value.","author":[{"dropping-particle":"","family":"Paladines-Santacruz","given":"Geovanna","non-dropping-particle":"","parse-names":false,"suffix":""},{"dropping-particle":"","family":"Orellana-Manzano","given":"Andrea","non-dropping-particle":"","parse-names":false,"suffix":""},{"dropping-particle":"","family":"Sarmiento","given":"Glenda","non-dropping-particle":"","parse-names":false,"suffix":""},{"dropping-particle":"","family":"Pilozo","given":"Glenda","non-dropping-particle":"","parse-names":false,"suffix":""},{"dropping-particle":"","family":"Iñiga","given":"Elsy","non-dropping-particle":"","parse-names":false,"suffix":""},{"dropping-particle":"","family":"Zaruma-Torres","given":"Fausto","non-dropping-particle":"","parse-names":false,"suffix":""},{"dropping-particle":"","family":"Ortíz-Ulloa","giv</w:instrText>
      </w:r>
      <w:r w:rsidR="006160B4" w:rsidRPr="00E7135D">
        <w:rPr>
          <w:lang w:val="es-EC"/>
        </w:rPr>
        <w:instrText>en":"Johana","non-dropping-particle":"","parse-names":false,"suffix":""},{"dropping-particle":"","family":"Quijano-Avilés","given":"María","non-dropping-particle":"","parse-names":false,"suffix":""},{"dropping-particle":"","family":"Grumo","given":"Davide","non-dropping-particle":"Di","parse-names":false,"suffix":""},{"dropping-particle":"","family":"Orellana-Manzano","given":"Silvia","non-dropping-particle":"","parse-names":false,"suffix":""},{"dropping-particle":"","family":"Villacrés","given":"María del Carmen","non-dropping-particle":"","parse-names":false,"suffix":""},{"dropping-particle":"","family":"Manzano","given":"Patricia","non-dropping-particle":"","parse-names":false,"suffix":""},{"dropping-particle":"","family":"Berghe","given":"Wim","non-dropping-particle":"Vanden","parse-names":false,"suffix":""}],"container-title":"Toxicology Reports","id":"ITEM-1","issued":{"date-parts":[["2021"]]},"page":"747-752","title":"Acute oral toxicity of a novel functional drink based on Ilex guayusa, Vernonanthura patens, and cocoa husk","type":"article-journal","volume":"8"},"uris":["http://www.mendeley.com/documents/?uuid=e0cb0749-e1df-479b-9dff-13d3e78f81ea"]}],"mendeley":{"formattedCitation":"(Paladines-Santacruz et al., 2021)","plainTextFormattedCitation":"(Paladines-Santacruz et al., 2021)","previouslyFormattedCitation":"(Paladines-Santacruz et al., 2021)"},"properties":{"noteIndex":0},"schema":"https://github.com/citation-style-language/schema/raw/master/csl-citation.json"}</w:instrText>
      </w:r>
      <w:r w:rsidR="001445F5" w:rsidRPr="00E7135D">
        <w:fldChar w:fldCharType="separate"/>
      </w:r>
      <w:r w:rsidR="001445F5" w:rsidRPr="00E7135D">
        <w:rPr>
          <w:noProof/>
          <w:lang w:val="es-EC"/>
        </w:rPr>
        <w:t>(Paladines-Santacruz et al., 2021)</w:t>
      </w:r>
      <w:r w:rsidR="001445F5" w:rsidRPr="00E7135D">
        <w:fldChar w:fldCharType="end"/>
      </w:r>
      <w:r w:rsidRPr="00E7135D">
        <w:rPr>
          <w:lang w:val="es-EC"/>
        </w:rPr>
        <w:t>.</w:t>
      </w:r>
      <w:r w:rsidR="001445F5" w:rsidRPr="00E7135D">
        <w:fldChar w:fldCharType="begin" w:fldLock="1"/>
      </w:r>
      <w:r w:rsidR="001445F5" w:rsidRPr="00E7135D">
        <w:rPr>
          <w:lang w:val="es-EC"/>
        </w:rPr>
        <w:instrText>ADDIN CSL_CITATION {"citationItems":[{"id":"ITEM-1","itemData":{"abstract":"Cocoa bean shell (CBS) is a by-product with aromatic characteristics that can enhance the aroma and bioactivity of herbal infusions. This study was aimed to determine the effect of the addition of cocoa bean shell on the metabolite profile and antioxidant activity of infusions made with Ilex guayusa and Vernonanthura patens and their mixtures. Metabolite profile was analyzed by gas chromatography-mass spectrometry combined with multivariate analysis. Total polyphenol content and flavonoids were determined by the Folin-Ciocalteu method and by the flavonoid-AlCl3 complex, respectively. Antioxidant activities were measured by the decolorization assay of the 2,2-diphenyl-1-picrylhydrazyl radical and the ferric reducing antioxidant power. The results revealed that the addition of CBS increases the content of phenolic acids in the infusions (caffeic acid, 4-hydroxybenzoic acid, and pyrocatechol). Nonetheless, the antioxidant activity of the infusions decreased with the addition of CBS (16.21 to 2.74 TEAC). Carboxylic acids and derivatives, major compounds present in the infusions prepared with V. patens, were the metabolites that showed the highest correlation with the antioxidant activity. This study suggests that the infusions made with CBS present a profile of metabolites different from the infusions of I. guayusa, V. patens, and their mixtures.","author":[{"dropping-particle":"","family":"Quijano-Avilés","given":"Maria","non-dropping-particle":"","parse-names":false,"suffix":""},{"dropping-particle":"","family":"Chóez-Guaranda","given":"Ivan","non-dropping-particle":"","parse-names":false,"suffix":""},{"dropping-particle":"","family":"Viteri","given":"Rafael","non-dropping-particle":"","parse-names":false,"suffix":""},{"dropping-particle":"","family":"Barragán-Lucas","given":"Ana","non-dropping-particle":"","parse-names":false,"suffix":""},{"dropping-particle":"","family":"Sosa","given":"Daynet","non-dropping-particle":"","parse-names":false,"suffix":""},{"dropping-particle":"","family":"Manzano","given":"Patricia","non-dropping-particle":"","parse-names":false,"suffix":""}],"container-title":"International Journal of Food Science","id":"ITEM-1","issued":{"date-parts":[["2021"]]},"publisher":"Hindawi Limited","title":"Effect of Cocoa Bean Shell Addition on Metabolite Profile and Antioxidant Activity of Herbal Infusions","type":"article-journal","volume":"9915797"},"uris":["http://www.mendeley.com/documents/?uuid=3aaf7646-965a-426c-bddd-927b417cd235"]}],"mendeley":{"formattedCitation":"(Quijano-Avilés et al., 2021)","manualFormatting":" Quijano-Avilés et al., (2021)","plainTextFormattedCitation":"(Quijano-Avilés et al., 2021)","previouslyFormattedCitation":"(Quijano-Avilés et al., 2021)"},"properties":{"noteIndex":0},"schema":"https://github.com/citation-style-language/schema/raw/master/csl-citation.json"}</w:instrText>
      </w:r>
      <w:r w:rsidR="001445F5" w:rsidRPr="00E7135D">
        <w:fldChar w:fldCharType="separate"/>
      </w:r>
      <w:r w:rsidR="001445F5" w:rsidRPr="00E7135D">
        <w:rPr>
          <w:noProof/>
          <w:lang w:val="es-EC"/>
        </w:rPr>
        <w:t xml:space="preserve"> Quijano-Avilés et al., (2021)</w:t>
      </w:r>
      <w:r w:rsidR="001445F5" w:rsidRPr="00E7135D">
        <w:fldChar w:fldCharType="end"/>
      </w:r>
      <w:r w:rsidRPr="00E7135D">
        <w:rPr>
          <w:lang w:val="es-EC"/>
        </w:rPr>
        <w:t xml:space="preserve"> </w:t>
      </w:r>
      <w:proofErr w:type="spellStart"/>
      <w:r w:rsidRPr="00E7135D">
        <w:rPr>
          <w:lang w:val="es-EC"/>
        </w:rPr>
        <w:t>developed</w:t>
      </w:r>
      <w:proofErr w:type="spellEnd"/>
      <w:r w:rsidRPr="00E7135D">
        <w:rPr>
          <w:lang w:val="es-EC"/>
        </w:rPr>
        <w:t xml:space="preserve"> </w:t>
      </w:r>
      <w:proofErr w:type="spellStart"/>
      <w:r w:rsidRPr="00E7135D">
        <w:rPr>
          <w:lang w:val="es-EC"/>
        </w:rPr>
        <w:t>an</w:t>
      </w:r>
      <w:proofErr w:type="spellEnd"/>
      <w:r w:rsidRPr="00E7135D">
        <w:rPr>
          <w:lang w:val="es-EC"/>
        </w:rPr>
        <w:t xml:space="preserve"> herbal </w:t>
      </w:r>
      <w:proofErr w:type="spellStart"/>
      <w:r w:rsidRPr="00E7135D">
        <w:rPr>
          <w:lang w:val="es-EC"/>
        </w:rPr>
        <w:t>infusion</w:t>
      </w:r>
      <w:proofErr w:type="spellEnd"/>
      <w:r w:rsidRPr="00E7135D">
        <w:rPr>
          <w:lang w:val="es-EC"/>
        </w:rPr>
        <w:t xml:space="preserve"> </w:t>
      </w:r>
      <w:proofErr w:type="spellStart"/>
      <w:r w:rsidRPr="00E7135D">
        <w:rPr>
          <w:lang w:val="es-EC"/>
        </w:rPr>
        <w:t>comprised</w:t>
      </w:r>
      <w:proofErr w:type="spellEnd"/>
      <w:r w:rsidRPr="00E7135D">
        <w:rPr>
          <w:lang w:val="es-EC"/>
        </w:rPr>
        <w:t xml:space="preserve"> </w:t>
      </w:r>
      <w:proofErr w:type="spellStart"/>
      <w:r w:rsidRPr="00E7135D">
        <w:rPr>
          <w:lang w:val="es-EC"/>
        </w:rPr>
        <w:t>of</w:t>
      </w:r>
      <w:proofErr w:type="spellEnd"/>
      <w:r w:rsidRPr="00E7135D">
        <w:rPr>
          <w:lang w:val="es-EC"/>
        </w:rPr>
        <w:t xml:space="preserve"> </w:t>
      </w:r>
      <w:proofErr w:type="spellStart"/>
      <w:r w:rsidR="00DD7E6A" w:rsidRPr="00E7135D">
        <w:rPr>
          <w:lang w:val="es-EC"/>
        </w:rPr>
        <w:t>three</w:t>
      </w:r>
      <w:proofErr w:type="spellEnd"/>
      <w:r w:rsidRPr="00E7135D">
        <w:rPr>
          <w:lang w:val="es-EC"/>
        </w:rPr>
        <w:t xml:space="preserve"> </w:t>
      </w:r>
      <w:proofErr w:type="spellStart"/>
      <w:r w:rsidRPr="00E7135D">
        <w:rPr>
          <w:lang w:val="es-EC"/>
        </w:rPr>
        <w:t>plants</w:t>
      </w:r>
      <w:proofErr w:type="spellEnd"/>
      <w:r w:rsidRPr="00E7135D">
        <w:rPr>
          <w:lang w:val="es-EC"/>
        </w:rPr>
        <w:t xml:space="preserve"> (</w:t>
      </w:r>
      <w:proofErr w:type="spellStart"/>
      <w:r w:rsidRPr="00E7135D">
        <w:rPr>
          <w:i/>
          <w:iCs/>
          <w:lang w:val="es-EC"/>
        </w:rPr>
        <w:t>Ilex</w:t>
      </w:r>
      <w:proofErr w:type="spellEnd"/>
      <w:r w:rsidRPr="00E7135D">
        <w:rPr>
          <w:i/>
          <w:iCs/>
          <w:lang w:val="es-EC"/>
        </w:rPr>
        <w:t xml:space="preserve"> guayusa, Vernonanthura </w:t>
      </w:r>
      <w:proofErr w:type="spellStart"/>
      <w:r w:rsidRPr="00E7135D">
        <w:rPr>
          <w:i/>
          <w:iCs/>
          <w:lang w:val="es-EC"/>
        </w:rPr>
        <w:t>patens</w:t>
      </w:r>
      <w:proofErr w:type="spellEnd"/>
      <w:r w:rsidRPr="00E7135D">
        <w:rPr>
          <w:lang w:val="es-EC"/>
        </w:rPr>
        <w:t xml:space="preserve">, and Cocoa </w:t>
      </w:r>
      <w:proofErr w:type="spellStart"/>
      <w:r w:rsidRPr="00E7135D">
        <w:rPr>
          <w:lang w:val="es-EC"/>
        </w:rPr>
        <w:t>Husk</w:t>
      </w:r>
      <w:proofErr w:type="spellEnd"/>
      <w:r w:rsidRPr="00E7135D">
        <w:rPr>
          <w:lang w:val="es-EC"/>
        </w:rPr>
        <w:t xml:space="preserve">), and </w:t>
      </w:r>
      <w:proofErr w:type="spellStart"/>
      <w:r w:rsidRPr="00E7135D">
        <w:rPr>
          <w:lang w:val="es-EC"/>
        </w:rPr>
        <w:t>they</w:t>
      </w:r>
      <w:proofErr w:type="spellEnd"/>
      <w:r w:rsidRPr="00E7135D">
        <w:rPr>
          <w:lang w:val="es-EC"/>
        </w:rPr>
        <w:t xml:space="preserve"> </w:t>
      </w:r>
      <w:proofErr w:type="spellStart"/>
      <w:r w:rsidRPr="00E7135D">
        <w:rPr>
          <w:lang w:val="es-EC"/>
        </w:rPr>
        <w:t>studied</w:t>
      </w:r>
      <w:proofErr w:type="spellEnd"/>
      <w:r w:rsidRPr="00E7135D">
        <w:rPr>
          <w:lang w:val="es-EC"/>
        </w:rPr>
        <w:t xml:space="preserve"> </w:t>
      </w:r>
      <w:proofErr w:type="spellStart"/>
      <w:r w:rsidRPr="00E7135D">
        <w:rPr>
          <w:lang w:val="es-EC"/>
        </w:rPr>
        <w:t>the</w:t>
      </w:r>
      <w:proofErr w:type="spellEnd"/>
      <w:r w:rsidRPr="00E7135D">
        <w:rPr>
          <w:lang w:val="es-EC"/>
        </w:rPr>
        <w:t xml:space="preserve"> </w:t>
      </w:r>
      <w:proofErr w:type="spellStart"/>
      <w:r w:rsidRPr="00E7135D">
        <w:rPr>
          <w:lang w:val="es-EC"/>
        </w:rPr>
        <w:t>correlation</w:t>
      </w:r>
      <w:proofErr w:type="spellEnd"/>
      <w:r w:rsidRPr="00E7135D">
        <w:rPr>
          <w:lang w:val="es-EC"/>
        </w:rPr>
        <w:t xml:space="preserve"> </w:t>
      </w:r>
      <w:proofErr w:type="spellStart"/>
      <w:r w:rsidRPr="00E7135D">
        <w:rPr>
          <w:lang w:val="es-EC"/>
        </w:rPr>
        <w:t>between</w:t>
      </w:r>
      <w:proofErr w:type="spellEnd"/>
      <w:r w:rsidRPr="00E7135D">
        <w:rPr>
          <w:lang w:val="es-EC"/>
        </w:rPr>
        <w:t xml:space="preserve"> </w:t>
      </w:r>
      <w:proofErr w:type="spellStart"/>
      <w:r w:rsidRPr="00E7135D">
        <w:rPr>
          <w:lang w:val="es-EC"/>
        </w:rPr>
        <w:t>the</w:t>
      </w:r>
      <w:proofErr w:type="spellEnd"/>
      <w:r w:rsidRPr="00E7135D">
        <w:rPr>
          <w:lang w:val="es-EC"/>
        </w:rPr>
        <w:t xml:space="preserve"> </w:t>
      </w:r>
      <w:proofErr w:type="spellStart"/>
      <w:r w:rsidRPr="00E7135D">
        <w:rPr>
          <w:lang w:val="es-EC"/>
        </w:rPr>
        <w:t>antioxidant</w:t>
      </w:r>
      <w:proofErr w:type="spellEnd"/>
      <w:r w:rsidRPr="00E7135D">
        <w:rPr>
          <w:lang w:val="es-EC"/>
        </w:rPr>
        <w:t xml:space="preserve"> </w:t>
      </w:r>
      <w:proofErr w:type="spellStart"/>
      <w:r w:rsidRPr="00E7135D">
        <w:rPr>
          <w:lang w:val="es-EC"/>
        </w:rPr>
        <w:t>properties</w:t>
      </w:r>
      <w:proofErr w:type="spellEnd"/>
      <w:r w:rsidRPr="00E7135D">
        <w:rPr>
          <w:lang w:val="es-EC"/>
        </w:rPr>
        <w:t xml:space="preserve"> </w:t>
      </w:r>
      <w:proofErr w:type="spellStart"/>
      <w:r w:rsidRPr="00E7135D">
        <w:rPr>
          <w:lang w:val="es-EC"/>
        </w:rPr>
        <w:t>of</w:t>
      </w:r>
      <w:proofErr w:type="spellEnd"/>
      <w:r w:rsidRPr="00E7135D">
        <w:rPr>
          <w:lang w:val="es-EC"/>
        </w:rPr>
        <w:t xml:space="preserve"> </w:t>
      </w:r>
      <w:proofErr w:type="spellStart"/>
      <w:r w:rsidRPr="00E7135D">
        <w:rPr>
          <w:lang w:val="es-EC"/>
        </w:rPr>
        <w:t>the</w:t>
      </w:r>
      <w:proofErr w:type="spellEnd"/>
      <w:r w:rsidRPr="00E7135D">
        <w:rPr>
          <w:lang w:val="es-EC"/>
        </w:rPr>
        <w:t xml:space="preserve"> </w:t>
      </w:r>
      <w:proofErr w:type="spellStart"/>
      <w:r w:rsidRPr="00E7135D">
        <w:rPr>
          <w:lang w:val="es-EC"/>
        </w:rPr>
        <w:t>infusion</w:t>
      </w:r>
      <w:proofErr w:type="spellEnd"/>
      <w:r w:rsidRPr="00E7135D">
        <w:rPr>
          <w:lang w:val="es-EC"/>
        </w:rPr>
        <w:t xml:space="preserve"> </w:t>
      </w:r>
      <w:proofErr w:type="spellStart"/>
      <w:r w:rsidRPr="00E7135D">
        <w:rPr>
          <w:lang w:val="es-EC"/>
        </w:rPr>
        <w:t>with</w:t>
      </w:r>
      <w:proofErr w:type="spellEnd"/>
      <w:r w:rsidRPr="00E7135D">
        <w:rPr>
          <w:lang w:val="es-EC"/>
        </w:rPr>
        <w:t xml:space="preserve"> </w:t>
      </w:r>
      <w:proofErr w:type="spellStart"/>
      <w:r w:rsidRPr="00E7135D">
        <w:rPr>
          <w:lang w:val="es-EC"/>
        </w:rPr>
        <w:t>the</w:t>
      </w:r>
      <w:proofErr w:type="spellEnd"/>
      <w:r w:rsidRPr="00E7135D">
        <w:rPr>
          <w:lang w:val="es-EC"/>
        </w:rPr>
        <w:t xml:space="preserve"> </w:t>
      </w:r>
      <w:proofErr w:type="spellStart"/>
      <w:r w:rsidRPr="00E7135D">
        <w:rPr>
          <w:lang w:val="es-EC"/>
        </w:rPr>
        <w:t>different</w:t>
      </w:r>
      <w:proofErr w:type="spellEnd"/>
      <w:r w:rsidRPr="00E7135D">
        <w:rPr>
          <w:lang w:val="es-EC"/>
        </w:rPr>
        <w:t xml:space="preserve"> </w:t>
      </w:r>
      <w:proofErr w:type="spellStart"/>
      <w:r w:rsidRPr="00E7135D">
        <w:rPr>
          <w:lang w:val="es-EC"/>
        </w:rPr>
        <w:t>proportions</w:t>
      </w:r>
      <w:proofErr w:type="spellEnd"/>
      <w:r w:rsidRPr="00E7135D">
        <w:rPr>
          <w:lang w:val="es-EC"/>
        </w:rPr>
        <w:t xml:space="preserve"> </w:t>
      </w:r>
      <w:proofErr w:type="spellStart"/>
      <w:r w:rsidRPr="00E7135D">
        <w:rPr>
          <w:lang w:val="es-EC"/>
        </w:rPr>
        <w:t>of</w:t>
      </w:r>
      <w:proofErr w:type="spellEnd"/>
      <w:r w:rsidRPr="00E7135D">
        <w:rPr>
          <w:lang w:val="es-EC"/>
        </w:rPr>
        <w:t xml:space="preserve"> </w:t>
      </w:r>
      <w:proofErr w:type="spellStart"/>
      <w:r w:rsidRPr="00E7135D">
        <w:rPr>
          <w:lang w:val="es-EC"/>
        </w:rPr>
        <w:t>the</w:t>
      </w:r>
      <w:proofErr w:type="spellEnd"/>
      <w:r w:rsidRPr="00E7135D">
        <w:rPr>
          <w:lang w:val="es-EC"/>
        </w:rPr>
        <w:t xml:space="preserve"> </w:t>
      </w:r>
      <w:proofErr w:type="spellStart"/>
      <w:r w:rsidRPr="00E7135D">
        <w:rPr>
          <w:lang w:val="es-EC"/>
        </w:rPr>
        <w:t>plants</w:t>
      </w:r>
      <w:proofErr w:type="spellEnd"/>
      <w:r w:rsidR="001445F5" w:rsidRPr="00E7135D">
        <w:rPr>
          <w:lang w:val="es-EC"/>
        </w:rPr>
        <w:t xml:space="preserve"> </w:t>
      </w:r>
      <w:r w:rsidR="001445F5" w:rsidRPr="00E7135D">
        <w:fldChar w:fldCharType="begin" w:fldLock="1"/>
      </w:r>
      <w:r w:rsidR="001445F5" w:rsidRPr="00E7135D">
        <w:rPr>
          <w:lang w:val="es-EC"/>
        </w:rPr>
        <w:instrText>ADDIN CSL_CITATION {"citationItems":[{"id":"ITEM-1","itemData":{"abstract":"Cocoa bean shell (CBS) is a by-product with aromatic characteristics that can enhance the aroma and bioactivity of herbal infusions. This study was aimed to determine the effect of the addition of cocoa bean shell on the metabolite profile and antioxidant activity of infusions made with Ilex guayusa and Vernonanthura patens and their mixtures. Metabolite profile was analyzed by gas chromatography-mass spectrometry combined with multivariate analysis. Total polyphenol content and flavonoids were determined by the Folin-Ciocalteu method and by the flavonoid-AlCl3 complex, respectively. Antioxidant activities were measured by the decolorization assay of the 2,2-diphenyl-1-picrylhydrazyl radical and the ferric reducing antioxidant power. The results revealed that the addition of CBS increases the content of phenolic acids in the infusions (caffeic acid, 4-hydroxybenzoic acid, and pyrocatechol). Nonetheless, the antioxidant activity of the infusions decreased with the addition of CBS (16.21 to 2.74 TEAC). Carboxylic acids and derivatives, major compounds present in the infusions prepared with V. patens, were the metabolites that showed the h</w:instrText>
      </w:r>
      <w:r w:rsidR="001445F5" w:rsidRPr="00E7135D">
        <w:instrText>ighest correlation with the antioxidant activity. This study suggests that the infusions made with CBS present a profile of metabolites different from the infusions of I. guayusa, V. patens, and their mixtures.","author":[{"dropping-particle":"","family":"Quijano-Avilés","given":"Maria","non-dropping-particle":"","parse-names":false,"suffix":""},{"dropping-particle":"","family":"Chóez-Guaranda","given":"Ivan","non-dropping-particle":"","parse-names":false,"suffix":""},{"dropping-particle":"","family":"Viteri","given":"Rafael","non-dropping-particle":"","parse-names":false,"suffix":""},{"dropping-particle":"","family":"Barragán-Lucas","given":"Ana","non-dropping-particle":"","parse-names":false,"suffix":""},{"dropping-particle":"","family":"Sosa","given":"Daynet","non-dropping-particle":"","parse-names":false,"suffix":""},{"dropping-particle":"","family":"Manzano","given":"Patricia","non-dropping-particle":"","parse-names":false,"suffix":""}],"container-title":"International Journal of Food Science","id":"ITEM-1","issued":{"date-parts":[["2021"]]},"publisher":"Hindawi Limited","title":"Effect of Cocoa Bean Shell Addition on Metabolite Profile and Antioxidant Activity of Herbal Infusions","type":"article-journal","volume":"9915797"},"uris":["http://www.mendeley.com/documents/?uuid=3aaf7646-965a-426c-bddd-927b417cd235"]}],"mendeley":{"formattedCitation":"(Quijano-Avilés et al., 2021)","plainTextFormattedCitation":"(Quijano-Avilés et al., 2021)","previouslyFormattedCitation":"(Quijano-Avilés et al., 2021)"},"properties":{"noteIndex":0},"schema":"https://github.com/citation-style-language/schema/raw/master/csl-citation.json"}</w:instrText>
      </w:r>
      <w:r w:rsidR="001445F5" w:rsidRPr="00E7135D">
        <w:fldChar w:fldCharType="separate"/>
      </w:r>
      <w:r w:rsidR="001445F5" w:rsidRPr="00E7135D">
        <w:rPr>
          <w:noProof/>
        </w:rPr>
        <w:t>(Quijano-Avilés et al., 2021)</w:t>
      </w:r>
      <w:r w:rsidR="001445F5" w:rsidRPr="00E7135D">
        <w:fldChar w:fldCharType="end"/>
      </w:r>
      <w:r w:rsidRPr="00E7135D">
        <w:t>. This infusion has a high content of polyphenols (chlorogenic acids, flavonoids, phenolic acids) with a high antioxidant capacity, providing health benefits and the prevention of diseases associated with metabolic syndrome</w:t>
      </w:r>
      <w:r w:rsidR="001445F5" w:rsidRPr="00E7135D">
        <w:t xml:space="preserve">s </w:t>
      </w:r>
      <w:r w:rsidR="001445F5" w:rsidRPr="00E7135D">
        <w:fldChar w:fldCharType="begin" w:fldLock="1"/>
      </w:r>
      <w:r w:rsidR="001445F5" w:rsidRPr="00E7135D">
        <w:instrText>ADDIN CSL_CITATION {"citationItems":[{"id":"ITEM-1","itemData":{"abstract":"A novel functional drink with nutraceutical properties was formulated from the aqueous extracts of Ilex guayusa, and Vernonanthura patens leaves, and cocoa husks. This juice contains various bioactive compounds, such as phenolic compounds and methylxanthines, with antioxidant and stimulant properties of pharmacological interest. However, it is known whether herbal extracts' interaction may have adverse toxic effects on human health. To evaluate this functional drink's innocuity, we estimated the acute oral toxicity (AOT) in experimental mice. This paper presents the AOT evaluation of two formulations of a functional drink (pre-formulation and microencapsulation) at a single dose of 2000 mg/kg of body weight (b.w.). No signs of adverse toxicity and mortality were observed after a single oral dose of 2000 mg/kg b.w. Likewise, no significant body and organ weight changes, food and water consumption behavior, and no histopathological changes were observed in the main organs evaluated. In conclusion, this functional drink can be categorized as low toxicity \" according to the Globally Harmonized Classification System (GHS), making it a potential beverage with high nutritional and pharmacological value.","author":[{"dropping-particle":"","family":"Paladines-Santacruz","given":"Geovanna","non-dropping-particle":"","parse-names":false,"suffix":""},{"dropping-particle":"","family":"Orellana-Manzano","given":"Andrea","non-dropping-particle":"","parse-names":false,"suffix":""},{"dropping-particle":"","family":"Sarmiento","given":"Glenda","non-dropping-particle":"","parse-names":false,"suffix":""},{"dropping-particle":"","family":"Pilozo","given":"Glenda","non-dropping-particle":"","parse-names":false,"suffix":""},{"dropping-particle":"","family":"Iñiga","given":"Elsy","non-dropping-particle":"","parse-names":false,"suffix":""},{"dropping-particle":"","family":"Zaruma-Torres","given":"Fausto","non-dropping-particle":"","parse-names":false,"suffix":""},{"dropping-particle":"","family":"Ortíz-Ulloa","given":"Johana","non-dropping-particle":"","parse-names":false,"suffix":""},{"dropping-particle":"","family":"Quijano-Avilés","given":"María","non-dropping-particle":"","parse-names":false,"suffix":""},{"dropping-particle":"","family":"Grumo","given":"Davide","non-dropping-particle":"Di","parse-names":false,"suffix":""},{"dropping-particle":"","family":"Orellana-Manzano","given":"Silvia","non-dropping-particle":"","parse-names":false,"suffix":""},{"dropping-particle":"","family":"Villacrés","given":"María del Carmen","non-dropping-particle":"","parse-names":false,"suffix":""},{"dropping-particle":"","family":"Manzano","given":"Patricia","non-dropping-particle":"","parse-names":false,"suffix":""},{"dropping-particle":"","family":"Berghe","given":"Wim","non-dropping-particle":"Vanden","parse-names":false,"suffix":""}],"container-title":"Toxicology Reports","id":"ITEM-1","issued":{"date-parts":[["2021"]]},"page":"747-752","title":"Acute oral toxicity of a novel functional drink based on Ilex guayusa, Vernonanthura patens, and cocoa husk","type":"article-journal","volume":"8"},"uris":["http://www.mendeley.com/documents/?uuid=e0cb0749-e1df-479b-9dff-13d3e78f81ea"]}],"mendeley":{"formattedCitation":"(Paladines-Santacruz et al., 2021)","plainTextFormattedCitation":"(Paladines-Santacruz et al., 2021)","previouslyFormattedCitation":"(Paladines-Santacruz et al., 2021)"},"properties":{"noteIndex":0},"schema":"https://github.com/citation-style-language/schema/raw/master/csl-citation.json"}</w:instrText>
      </w:r>
      <w:r w:rsidR="001445F5" w:rsidRPr="00E7135D">
        <w:fldChar w:fldCharType="separate"/>
      </w:r>
      <w:r w:rsidR="001445F5" w:rsidRPr="00E7135D">
        <w:rPr>
          <w:noProof/>
        </w:rPr>
        <w:t>(Paladines-Santacruz et al., 2021)</w:t>
      </w:r>
      <w:r w:rsidR="001445F5" w:rsidRPr="00E7135D">
        <w:fldChar w:fldCharType="end"/>
      </w:r>
      <w:r w:rsidR="001445F5" w:rsidRPr="00E7135D">
        <w:t xml:space="preserve">. </w:t>
      </w:r>
    </w:p>
    <w:p w14:paraId="41386E55" w14:textId="28D58505" w:rsidR="00A720A7" w:rsidRPr="00E7135D" w:rsidRDefault="003D29D9" w:rsidP="00A720A7">
      <w:pPr>
        <w:rPr>
          <w:lang w:val="en-US"/>
        </w:rPr>
      </w:pPr>
      <w:r w:rsidRPr="00E7135D">
        <w:rPr>
          <w:lang w:val="en-US"/>
        </w:rPr>
        <w:t>Food companies and researchers seek to expand and strengthen their technical knowledge in developing nutraceutical products</w:t>
      </w:r>
      <w:r w:rsidR="00ED0333" w:rsidRPr="00E7135D">
        <w:rPr>
          <w:lang w:val="en-US"/>
        </w:rPr>
        <w:t xml:space="preserve"> </w:t>
      </w:r>
      <w:r w:rsidR="00ED0333" w:rsidRPr="00E7135D">
        <w:rPr>
          <w:lang w:val="en-US"/>
        </w:rPr>
        <w:fldChar w:fldCharType="begin" w:fldLock="1"/>
      </w:r>
      <w:r w:rsidR="00ED0333" w:rsidRPr="00E7135D">
        <w:rPr>
          <w:lang w:val="en-US"/>
        </w:rPr>
        <w:instrText>ADDIN CSL_CITATION {"citationItems":[{"id":"ITEM-1","itemData":{"DOI":"10.3303/CET2187098","abstract":"The interest in searching an alternative to the condition of \"waste\" for spent coffee is continuously growing in the scientific community. Indeed, the high content of polyphenols, caffeine, and tannins in this residue can potentially lead to pollution for water and soil, since they show toxicity for various plants, microorganisms, and aquatic organisms. Nevertheless, these same antioxidants find wide applications in the food, cosmetic and pharmaceutical industries, especially caffeine and chlorogenic acid, thanks to their ability to prevent or slow down the oxidation of the substrate.In the context of active packaging, the use of compounds recovered from spent coffee grounds is promising, since they allow extending the shelf-life of food while maintaining its sensory and nutritional properties.In this work, High Pressure and Temperature Extraction process was used to extract antioxidants from spent coffee grounds. The obtained extract was used for the fabrication of zein-based films intended for active packaging applications. Biopolymer films loaded with spent coffee grounds extract were prepared using two different techniques: solvent casting and electrospinning. Films were characterized in terms of morphology and antiradical power of the released active components.Considering the large amount of exhausted coffee produced annually and the global extension of the coffee industry, the proposed application could represent a profitable alternative to conventional waste disposal, as well as an advantage for the environment and the food industry.","author":[{"dropping-particle":"","family":"Pettinato","given":"Margherita","non-dropping-particle":"","parse-names":false,"suffix":""},{"dropping-particle":"","family":"Drago","given":"Emanuela","non-dropping-particle":"","parse-names":false,"suffix":""},{"dropping-particle":"","family":"Campardelli","given":"Roberta","non-dropping-particle":"","parse-names":false,"suffix":""},{"dropping-particle":"","family":"Perego","given":"Patrizia","non-dropping-particle":"","parse-names":false,"suffix":""}],"container-title":"Chemical Engineering Transactions","id":"ITEM-1","issued":{"date-parts":[["2021","7","1"]]},"page":"583-588 SE - Research Articles","title":"Spent Coffee Grounds Extract for Active Packaging Production","type":"article-journal","volume":"87"},"uris":["http://www.mendeley.com/documents/?uuid=5f025b60-2a45-471d-8db9-f83245acfe2f"]}],"mendeley":{"formattedCitation":"(Pettinato et al., 2021)","plainTextFormattedCitation":"(Pettinato et al., 2021)","previouslyFormattedCitation":"(Pettinato et al., 2021)"},"properties":{"noteIndex":0},"schema":"https://github.com/citation-style-language/schema/raw/master/csl-citation.json"}</w:instrText>
      </w:r>
      <w:r w:rsidR="00ED0333" w:rsidRPr="00E7135D">
        <w:rPr>
          <w:lang w:val="en-US"/>
        </w:rPr>
        <w:fldChar w:fldCharType="separate"/>
      </w:r>
      <w:r w:rsidR="00ED0333" w:rsidRPr="00E7135D">
        <w:rPr>
          <w:noProof/>
          <w:lang w:val="en-US"/>
        </w:rPr>
        <w:t>(Pettinato et al., 2021)</w:t>
      </w:r>
      <w:r w:rsidR="00ED0333" w:rsidRPr="00E7135D">
        <w:rPr>
          <w:lang w:val="en-US"/>
        </w:rPr>
        <w:fldChar w:fldCharType="end"/>
      </w:r>
      <w:r w:rsidR="00AF7139" w:rsidRPr="00E7135D">
        <w:rPr>
          <w:lang w:val="en-US"/>
        </w:rPr>
        <w:t xml:space="preserve">. </w:t>
      </w:r>
      <w:r w:rsidR="006C32D6" w:rsidRPr="00E7135D">
        <w:rPr>
          <w:lang w:val="en-US"/>
        </w:rPr>
        <w:t>This process development requires considering different factors, such as the properties of the raw material and operating conditions</w:t>
      </w:r>
      <w:r w:rsidR="00ED0333" w:rsidRPr="00E7135D">
        <w:rPr>
          <w:lang w:val="en-US"/>
        </w:rPr>
        <w:t xml:space="preserve"> </w:t>
      </w:r>
      <w:r w:rsidR="00ED0333" w:rsidRPr="00E7135D">
        <w:rPr>
          <w:lang w:val="en-US"/>
        </w:rPr>
        <w:fldChar w:fldCharType="begin" w:fldLock="1"/>
      </w:r>
      <w:r w:rsidR="00ED0333" w:rsidRPr="00E7135D">
        <w:rPr>
          <w:lang w:val="en-US"/>
        </w:rPr>
        <w:instrText>ADDIN CSL_CITATION {"citationItems":[{"id":"ITEM-1","itemData":{"abstract":"Cocoa bean shell (CBS) is a by-product with aromatic characteristics that can enhance the aroma and bioactivity of herbal infusions. This study was aimed to determine the effect of the addition of cocoa bean shell on the metabolite profile and antioxidant activity of infusions made with Ilex guayusa and Vernonanthura patens and their mixtures. Metabolite profile was analyzed by gas chromatography-mass spectrometry combined with multivariate analysis. Total polyphenol content and flavonoids were determined by the Folin-Ciocalteu method and by the flavonoid-AlCl3 complex, respectively. Antioxidant activities were measured by the decolorization assay of the 2,2-diphenyl-1-picrylhydrazyl radical and the ferric reducing antioxidant power. The results revealed that the addition of CBS increases the content of phenolic acids in the infusions (caffeic acid, 4-hydroxybenzoic acid, and pyrocatechol). Nonetheless, the antioxidant activity of the infusions decreased with the addition of CBS (16.21 to 2.74 TEAC). Carboxylic acids and derivatives, major compounds present in the infusions prepared with V. patens, were the metabolites that showed the highest correlation with the antioxidant activity. This study suggests that the infusions made with CBS present a profile of metabolites different from the infusions of I. guayusa, V. patens, and their mixtures.","author":[{"dropping-particle":"","family":"Quijano-Avilés","given":"Maria","non-dropping-particle":"","parse-names":false,"suffix":""},{"dropping-particle":"","family":"Chóez-Guaranda","given":"Ivan","non-dropping-particle":"","parse-names":false,"suffix":""},{"dropping-particle":"","family":"Viteri","given":"Rafael","non-dropping-particle":"","parse-names":false,"suffix":""},{"dropping-particle":"","family":"Barragán-Lucas","given":"Ana","non-dropping-particle":"","parse-names":false,"suffix":""},{"dropping-particle":"","family":"Sosa","given":"Daynet","non-dropping-particle":"","parse-names":false,"suffix":""},{"dropping-particle":"","family":"Manzano","given":"Patricia","non-dropping-particle":"","parse-names":false,"suffix":""}],"container-title":"International Journal of Food Science","id":"ITEM-1","issued":{"date-parts":[["2021"]]},"publisher":"Hindawi Limited","title":"Effect of Cocoa Bean Shell Addition on Metabolite Profile and Antioxidant Activity of Herbal Infusions","type":"article-journal","volume":"9915797"},"uris":["http://www.mendeley.com/documents/?uuid=3aaf7646-965a-426c-bddd-927b417cd235"]}],"mendeley":{"formattedCitation":"(Quijano-Avilés et al., 2021)","plainTextFormattedCitation":"(Quijano-Avilés et al., 2021)","previouslyFormattedCitation":"(Quijano-Avilés et al., 2021)"},"properties":{"noteIndex":0},"schema":"https://github.com/citation-style-language/schema/raw/master/csl-citation.json"}</w:instrText>
      </w:r>
      <w:r w:rsidR="00ED0333" w:rsidRPr="00E7135D">
        <w:rPr>
          <w:lang w:val="en-US"/>
        </w:rPr>
        <w:fldChar w:fldCharType="separate"/>
      </w:r>
      <w:r w:rsidR="00ED0333" w:rsidRPr="00E7135D">
        <w:rPr>
          <w:noProof/>
          <w:lang w:val="en-US"/>
        </w:rPr>
        <w:t>(Quijano-Avilés et al., 2021)</w:t>
      </w:r>
      <w:r w:rsidR="00ED0333" w:rsidRPr="00E7135D">
        <w:rPr>
          <w:lang w:val="en-US"/>
        </w:rPr>
        <w:fldChar w:fldCharType="end"/>
      </w:r>
      <w:r w:rsidR="006C32D6" w:rsidRPr="00E7135D">
        <w:rPr>
          <w:lang w:val="en-US"/>
        </w:rPr>
        <w:t xml:space="preserve">. Furthermore, industries have relied on </w:t>
      </w:r>
      <w:r w:rsidR="00885973" w:rsidRPr="00E7135D">
        <w:rPr>
          <w:lang w:val="en-US"/>
        </w:rPr>
        <w:t xml:space="preserve">process </w:t>
      </w:r>
      <w:r w:rsidR="006C32D6" w:rsidRPr="00E7135D">
        <w:rPr>
          <w:lang w:val="en-US"/>
        </w:rPr>
        <w:t>simulators</w:t>
      </w:r>
      <w:r w:rsidR="00277B55" w:rsidRPr="00E7135D">
        <w:rPr>
          <w:lang w:val="en-US"/>
        </w:rPr>
        <w:t xml:space="preserve"> </w:t>
      </w:r>
      <w:r w:rsidR="00277B55" w:rsidRPr="00E7135D">
        <w:rPr>
          <w:lang w:val="en-US"/>
        </w:rPr>
        <w:fldChar w:fldCharType="begin" w:fldLock="1"/>
      </w:r>
      <w:r w:rsidR="00277B55" w:rsidRPr="00E7135D">
        <w:rPr>
          <w:lang w:val="en-US"/>
        </w:rPr>
        <w:instrText>ADDIN CSL_CITATION {"citationItems":[{"id":"ITEM-1","itemData":{"DOI":"10.3303/CET2292098","abstract":"This work aims to model the extraction process of lycopene from tomato peels using a conventional or a \"green\" solvent, which could be more environment-friendly, and its subsequent encapsulation. The Aspen Plus® software is used to this end. Different cases considering alternative extracting solvents, as well as the recycling of recovered solvent streams and water are evaluated and compared. The raw materials to be considered in an inventory analysis are tomato peels from local industries, solvents, drying agents and soft capsules. Based on literature data and using MS Excel® worksheets, the process mass and energy balances are set up and, hence, the extraction yield is evaluated, while the solvent recovery stage is simulated and optimized in Aspen Plus®. The economic potential of these cases is calculated by considering the cost of utilities, product and by-product sales, wastewater treatment, and raw material costs.Results show that tomato peels can be appealing for lycopene extraction and valorization. The productivity of lycopene-containing tablets is appreciably large: 12000 pz/h of lycopene-containing tablets after extraction with ethyl acetate and 3500 pz/h in the case of limonene were obtained. Moreover, the predicted gross profit is reasonably attractive, with 39 M€/year for the conventional process and 11 M€/year for the \"green\" alternative.","author":[{"dropping-particle":"","family":"Casa","given":"Marcello","non-dropping-particle":"","parse-names":false,"suffix":""},{"dropping-particle":"","family":"Miccio","given":"Michele","non-dropping-particle":"","parse-names":false,"suffix":""}],"container-title":"Chemical Engineering Transactions","id":"ITEM-1","issued":{"date-parts":[["2022","6","30"]]},"page":"583-588 SE - Research Articles","title":"Lycopene-containing Tablets Production from Tomato Peels by Environment-friendly Extraction: Simulation and Discussion","type":"article-journal","volume":"92"},"uris":["http://www.mendeley.com/documents/?uuid=a346d819-9647-4300-87a4-ec87891ef02d"]}],"mendeley":{"formattedCitation":"(Casa &amp; Miccio, 2022)","plainTextFormattedCitation":"(Casa &amp; Miccio, 2022)","previouslyFormattedCitation":"(Casa &amp; Miccio, 2022)"},"properties":{"noteIndex":0},"schema":"https://github.com/citation-style-language/schema/raw/master/csl-citation.json"}</w:instrText>
      </w:r>
      <w:r w:rsidR="00277B55" w:rsidRPr="00E7135D">
        <w:rPr>
          <w:lang w:val="en-US"/>
        </w:rPr>
        <w:fldChar w:fldCharType="separate"/>
      </w:r>
      <w:r w:rsidR="00277B55" w:rsidRPr="00E7135D">
        <w:rPr>
          <w:noProof/>
          <w:lang w:val="en-US"/>
        </w:rPr>
        <w:t>(Casa &amp; Miccio, 2022)</w:t>
      </w:r>
      <w:r w:rsidR="00277B55" w:rsidRPr="00E7135D">
        <w:rPr>
          <w:lang w:val="en-US"/>
        </w:rPr>
        <w:fldChar w:fldCharType="end"/>
      </w:r>
      <w:r w:rsidR="006C32D6" w:rsidRPr="00E7135D">
        <w:rPr>
          <w:lang w:val="en-US"/>
        </w:rPr>
        <w:t xml:space="preserve"> and mathematical models to represent the </w:t>
      </w:r>
      <w:r w:rsidR="006C32D6" w:rsidRPr="00E7135D">
        <w:rPr>
          <w:lang w:val="en-US"/>
        </w:rPr>
        <w:lastRenderedPageBreak/>
        <w:t>reality of their processes</w:t>
      </w:r>
      <w:r w:rsidR="00AF7139" w:rsidRPr="00E7135D">
        <w:rPr>
          <w:lang w:val="en-US"/>
        </w:rPr>
        <w:t xml:space="preserve"> </w:t>
      </w:r>
      <w:r w:rsidR="00277B55" w:rsidRPr="00E7135D">
        <w:rPr>
          <w:lang w:val="en-US"/>
        </w:rPr>
        <w:fldChar w:fldCharType="begin" w:fldLock="1"/>
      </w:r>
      <w:r w:rsidR="00277B55" w:rsidRPr="00E7135D">
        <w:rPr>
          <w:lang w:val="en-US"/>
        </w:rPr>
        <w:instrText>ADDIN CSL_CITATION {"citationItems":[{"id":"ITEM-1","itemData":{"DOI":"10.3390/molecules24010073","ISSN":"1420-3049","abstract":"The colour of red wine is largely determined by the concentration of anthocyanins that are extracted from grape skins during fermentation. Because colour is a key parameter in determining the overall quality of the finished product, understanding the effect of processing variables on anthocyanin extraction is critical for producing a red wine with the desired sensorial characteristics. In this study, the effect of convective conditions (natural and forced) on the mass transfer properties of malvidin-3-glucoside (M3G) from pre-fermentative grape solids was explored at various liquid phase conditions representing stages of fermentation. A mathematical model that separates solid and liquid phase mass transfer parameters was applied to experimental extraction curves, and in all cases, provided a coefficient of determination exceeding 0.97. Calculated mass transfer coefficients indicated that under forced convective conditions, the extraction process was controlled by internal diffusion whereas under natural convection, both internal diffusion and liquid-phase mass transfer were relevant in determining the overall extraction rate. Predictive simulations of M3G extraction during active fermentation were accomplished by incorporating the current results with a previously developed fermentation model, providing insight into the effect of a dynamic liquid phase on anthocyanin extraction.","author":[{"dropping-particle":"","family":"Setford","given":"Patrick C","non-dropping-particle":"","parse-names":false,"suffix":""},{"dropping-particle":"","family":"Jeffery","given":"David W","non-dropping-particle":"","parse-names":false,"suffix":""},{"dropping-particle":"","family":"Grbin","given":"Paul R","non-dropping-particle":"","parse-names":false,"suffix":""},{"dropping-particle":"","family":"Muhlack","given":"Richard A","non-dropping-particle":"","parse-names":false,"suffix":""}],"container-title":"Molecules","id":"ITEM-1","issue":"1","issued":{"date-parts":[["2019"]]},"title":"Mass Transfer of Anthocyanins during Extraction from Pre-Fermentative Grape Solids under Simulated Fermentation Conditions: Effect of Convective Conditions","type":"article-journal","volume":"24"},"uris":["http://www.mendeley.com/documents/?uuid=052fcaa3-4de3-4910-857b-413a23303283"]}],"mendeley":{"formattedCitation":"(Setford et al., 2019)","plainTextFormattedCitation":"(Setford et al., 2019)","previouslyFormattedCitation":"(Setford et al., 2019)"},"properties":{"noteIndex":0},"schema":"https://github.com/citation-style-language/schema/raw/master/csl-citation.json"}</w:instrText>
      </w:r>
      <w:r w:rsidR="00277B55" w:rsidRPr="00E7135D">
        <w:rPr>
          <w:lang w:val="en-US"/>
        </w:rPr>
        <w:fldChar w:fldCharType="separate"/>
      </w:r>
      <w:r w:rsidR="00277B55" w:rsidRPr="00E7135D">
        <w:rPr>
          <w:noProof/>
          <w:lang w:val="en-US"/>
        </w:rPr>
        <w:t>(Setford et al., 2019)</w:t>
      </w:r>
      <w:r w:rsidR="00277B55" w:rsidRPr="00E7135D">
        <w:rPr>
          <w:lang w:val="en-US"/>
        </w:rPr>
        <w:fldChar w:fldCharType="end"/>
      </w:r>
      <w:r w:rsidR="00AF7139" w:rsidRPr="00E7135D">
        <w:rPr>
          <w:lang w:val="en-US"/>
        </w:rPr>
        <w:t>.</w:t>
      </w:r>
      <w:r w:rsidR="00BD2591" w:rsidRPr="00E7135D">
        <w:rPr>
          <w:lang w:val="en-US"/>
        </w:rPr>
        <w:t xml:space="preserve"> </w:t>
      </w:r>
      <w:r w:rsidR="001635EE" w:rsidRPr="00E7135D">
        <w:rPr>
          <w:lang w:val="en-US"/>
        </w:rPr>
        <w:t>The advantages of having a mathematical model with experimental data are</w:t>
      </w:r>
      <w:r w:rsidR="00FC6250" w:rsidRPr="00E7135D">
        <w:rPr>
          <w:lang w:val="en-US"/>
        </w:rPr>
        <w:t xml:space="preserve">: </w:t>
      </w:r>
      <w:r w:rsidR="00E3532E" w:rsidRPr="00E7135D">
        <w:rPr>
          <w:lang w:val="en-US"/>
        </w:rPr>
        <w:t xml:space="preserve">that </w:t>
      </w:r>
      <w:r w:rsidR="001635EE" w:rsidRPr="00E7135D">
        <w:rPr>
          <w:lang w:val="en-US"/>
        </w:rPr>
        <w:t xml:space="preserve">it adequately describes the behavior of the </w:t>
      </w:r>
      <w:r w:rsidR="00E3532E" w:rsidRPr="00E7135D">
        <w:rPr>
          <w:lang w:val="en-US"/>
        </w:rPr>
        <w:t>process</w:t>
      </w:r>
      <w:r w:rsidR="002D31A4" w:rsidRPr="00E7135D">
        <w:rPr>
          <w:lang w:val="en-US"/>
        </w:rPr>
        <w:t xml:space="preserve"> </w:t>
      </w:r>
      <w:r w:rsidR="001635EE" w:rsidRPr="00E7135D">
        <w:rPr>
          <w:lang w:val="en-US"/>
        </w:rPr>
        <w:t>and allows forecasting the results according to certain conditions</w:t>
      </w:r>
      <w:r w:rsidR="00ED0333" w:rsidRPr="00E7135D">
        <w:rPr>
          <w:lang w:val="en-US"/>
        </w:rPr>
        <w:t xml:space="preserve"> </w:t>
      </w:r>
      <w:r w:rsidR="00ED0333" w:rsidRPr="00E7135D">
        <w:rPr>
          <w:lang w:val="en-US"/>
        </w:rPr>
        <w:fldChar w:fldCharType="begin" w:fldLock="1"/>
      </w:r>
      <w:r w:rsidR="00ED0333" w:rsidRPr="00E7135D">
        <w:rPr>
          <w:lang w:val="en-US"/>
        </w:rPr>
        <w:instrText>ADDIN CSL_CITATION {"citationItems":[{"id":"ITEM-1","itemData":{"DOI":"10.29057/icbi.v9iEspecial2.8041","author":[{"dropping-particle":"","family":"Cerón-Montes","given":"Genaro Iván","non-dropping-particle":"","parse-names":false,"suffix":""},{"dropping-particle":"","family":"Garulo-Fuentes","given":"Adriana Lucila","non-dropping-particle":"","parse-names":false,"suffix":""},{"dropping-particle":"","family":"Valencia-Pérez","given":"Naella Sandivel","non-dropping-particle":"","parse-names":false,"suffix":""},{"dropping-particle":"","family":"Garrido-Hernández","given":"Aristeo","non-dropping-particle":"","parse-names":false,"suffix":""},{"dropping-particle":"","family":"Yáñez-Fernández","given":"Jorge","non-dropping-particle":"","parse-names":false,"suffix":""}],"container-title":"Pädi Boletín Científico de Ciencias Básicas e Ingenierías del ICBI","id":"ITEM-1","issue":"Especial2","issued":{"date-parts":[["2021"]]},"page":"179-186","title":"Modelación de la extracción de polifenoles de semillas de uva","type":"article-journal","volume":"9"},"uris":["http://www.mendeley.com/documents/?uuid=df594f0f-8a46-4dee-8ea6-2c805b091940"]}],"mendeley":{"formattedCitation":"(Cerón-Montes et al., 2021)","plainTextFormattedCitation":"(Cerón-Montes et al., 2021)","previouslyFormattedCitation":"(Cerón-Montes et al., 2021)"},"properties":{"noteIndex":0},"schema":"https://github.com/citation-style-language/schema/raw/master/csl-citation.json"}</w:instrText>
      </w:r>
      <w:r w:rsidR="00ED0333" w:rsidRPr="00E7135D">
        <w:rPr>
          <w:lang w:val="en-US"/>
        </w:rPr>
        <w:fldChar w:fldCharType="separate"/>
      </w:r>
      <w:r w:rsidR="002D31A4" w:rsidRPr="00E7135D">
        <w:rPr>
          <w:lang w:val="en-US"/>
        </w:rPr>
        <w:t>(Cerón-Montes et al., 2021)</w:t>
      </w:r>
      <w:r w:rsidR="00ED0333" w:rsidRPr="00E7135D">
        <w:rPr>
          <w:lang w:val="en-US"/>
        </w:rPr>
        <w:fldChar w:fldCharType="end"/>
      </w:r>
      <w:r w:rsidR="00ED0333" w:rsidRPr="00E7135D">
        <w:rPr>
          <w:lang w:val="en-US"/>
        </w:rPr>
        <w:t>.</w:t>
      </w:r>
      <w:r w:rsidR="00743B81" w:rsidRPr="00E7135D">
        <w:rPr>
          <w:lang w:val="en-US"/>
        </w:rPr>
        <w:t xml:space="preserve"> </w:t>
      </w:r>
      <w:r w:rsidR="002B63FE" w:rsidRPr="00E7135D">
        <w:rPr>
          <w:lang w:val="en-US"/>
        </w:rPr>
        <w:t>The mechanistic solid-liquid mathematical model proposed by</w:t>
      </w:r>
      <w:r w:rsidR="00AF7139" w:rsidRPr="00E7135D">
        <w:rPr>
          <w:lang w:val="en-US"/>
        </w:rPr>
        <w:t xml:space="preserve"> </w:t>
      </w:r>
      <w:r w:rsidR="00AF7139" w:rsidRPr="00E7135D">
        <w:rPr>
          <w:lang w:val="en-US"/>
        </w:rPr>
        <w:fldChar w:fldCharType="begin" w:fldLock="1"/>
      </w:r>
      <w:r w:rsidR="00ED0333" w:rsidRPr="00E7135D">
        <w:rPr>
          <w:lang w:val="en-US"/>
        </w:rPr>
        <w:instrText>ADDIN CSL_CITATION {"citationItems":[{"id":"ITEM-1","itemData":{"DOI":"https://doi.org/10.1016/j.jfoodeng.2006.10.011","ISSN":"0260-8774","abstract":"Rigorous and simplified models were proposed for caffeine kinetic description during the solid–liquid extraction process of coffee decaffeination. The evolution of caffeine concentration was measured both in extract and refined phases by gas chromatograph. The rigorous model is a non-steady diffusion equation for the coffee beans couple with macroscopic mass transfer equation for solvent. The simplified one is the analytical solution of macroscopic mass transfer equations for beans and solvent. In both models, rectangular coordinates were assumed. Caffeine internal mass diffusivity was estimated by fitting the simplified model to experimental results. The caffeine diffusivity in coffee beans yields 3.209×10−10m2s−1 at 90°C. The simplified model reproduce adequately the experimental kinetic of caffeine in both phases.","author":[{"dropping-particle":"","family":"Espinoza-Pérez","given":"J D","non-dropping-particle":"","parse-names":false,"suffix":""},{"dropping-particle":"","family":"Vargas","given":"A","non-dropping-particle":"","parse-names":false,"suffix":""},{"dropping-particle":"","family":"Robles-Olvera","given":"V J","non-dropping-particle":"","parse-names":false,"suffix":""},{"dropping-particle":"","family":"Rodrı´guez-Jimenes","given":"G C","non-dropping-particle":"","parse-names":false,"suffix":""},{"dropping-particle":"","family":"Garcı´a-Alvarado","given":"M A","non-dropping-particle":"","parse-names":false,"suffix":""}],"container-title":"Journal of Food Engineering","id":"ITEM-1","issue":"1","issued":{"date-parts":[["2007"]]},"page":"72-78","title":"Mathematical modeling of caffeine kinetic during solid–liquid extraction of coffee beans","type":"article-journal","volume":"81"},"uris":["http://www.mendeley.com/documents/?uuid=a930e5c8-7ddd-4d21-b88b-38e30a8ff430"]}],"mendeley":{"formattedCitation":"(Espinoza-Pérez et al., 2007)","manualFormatting":"Espinoza-Pérez et al., 2007","plainTextFormattedCitation":"(Espinoza-Pérez et al., 2007)","previouslyFormattedCitation":"(Espinoza-Pérez et al., 2007)"},"properties":{"noteIndex":0},"schema":"https://github.com/citation-style-language/schema/raw/master/csl-citation.json"}</w:instrText>
      </w:r>
      <w:r w:rsidR="00AF7139" w:rsidRPr="00E7135D">
        <w:rPr>
          <w:lang w:val="en-US"/>
        </w:rPr>
        <w:fldChar w:fldCharType="separate"/>
      </w:r>
      <w:r w:rsidR="005E6122" w:rsidRPr="00E7135D">
        <w:rPr>
          <w:noProof/>
          <w:lang w:val="en-US"/>
        </w:rPr>
        <w:t>Espinoza-Pérez et al., 2007</w:t>
      </w:r>
      <w:r w:rsidR="00AF7139" w:rsidRPr="00E7135D">
        <w:rPr>
          <w:lang w:val="en-US"/>
        </w:rPr>
        <w:fldChar w:fldCharType="end"/>
      </w:r>
      <w:r w:rsidR="00E3247F" w:rsidRPr="00E7135D">
        <w:rPr>
          <w:lang w:val="en-US"/>
        </w:rPr>
        <w:t xml:space="preserve">, consisting </w:t>
      </w:r>
      <w:r w:rsidR="00F74429" w:rsidRPr="00E7135D">
        <w:rPr>
          <w:lang w:val="en-US"/>
        </w:rPr>
        <w:t>of two simultaneous algebraic equations obtained from the analytical solution of the macroscopic mass transfer equations</w:t>
      </w:r>
      <w:r w:rsidR="00E3247F" w:rsidRPr="00E7135D">
        <w:rPr>
          <w:lang w:val="en-US"/>
        </w:rPr>
        <w:t>, can be used to evaluate the mass transfer coefficient in the liquid phase and the diffusivity coefficient in the solid phase. This model simulates the extraction of different antioxidant compounds from the following raw materials</w:t>
      </w:r>
      <w:r w:rsidR="00AF7139" w:rsidRPr="00E7135D">
        <w:rPr>
          <w:lang w:val="en-US"/>
        </w:rPr>
        <w:t xml:space="preserve">: coffee </w:t>
      </w:r>
      <w:r w:rsidR="00AF7139" w:rsidRPr="00E7135D">
        <w:rPr>
          <w:lang w:val="en-US"/>
        </w:rPr>
        <w:fldChar w:fldCharType="begin" w:fldLock="1"/>
      </w:r>
      <w:r w:rsidR="00AF7139" w:rsidRPr="00E7135D">
        <w:rPr>
          <w:lang w:val="en-US"/>
        </w:rPr>
        <w:instrText>ADDIN CSL_CITATION {"citationItems":[{"id":"ITEM-1","itemData":{"DOI":"https://doi.org/10.1016/j.jfoodeng.2006.10.011","ISSN":"0260-8774","abstract":"Rigorous and simplified models were proposed for caffeine kinetic description during the solid–liquid extraction process of coffee decaffeination. The evolution of caffeine concentration was measured both in extract and refined phases by gas chromatograph. The rigorous model is a non-steady diffusion equation for the coffee beans couple with macroscopic mass transfer equation for solvent. The simplified one is the analytical solution of macroscopic mass transfer equations for beans and solvent. In both models, rectangular coordinates were assumed. Caffeine internal mass diffusivity was estimated by fitting the</w:instrText>
      </w:r>
      <w:r w:rsidR="00AF7139" w:rsidRPr="00E7135D">
        <w:rPr>
          <w:lang w:val="es-EC"/>
        </w:rPr>
        <w:instrText xml:space="preserve"> simplified model to experimental results. The caffeine diffusivity in coffee beans yields 3.209×10−10m2s−1 at 90°C. The simplified model reproduce adequately the experimental kinetic of caffeine in both phases.","author":[{"dropping-particle":"","family":"Espinoza-Pérez","given":"J D","non-dropping-particle":"","parse-names":false,"suffix":""},{"dropping-particle":"","family":"Vargas","given":"A","non-dropping-particle":"","parse-names":false,"suffix":""},{"dropping-particle":"","family":"Robles-Olvera","given":"V J","non-dropping-particle":"","parse-names":false,"suffix":""},{"dropping-particle":"","family":"Rodrı´guez-Jimenes","given":"G C","non-dropping-particle":"","parse-names":false,"suffix":""},{"dropping-particle":"","family":"Garcı´a-Alvarado","given":"M A","non-dropping-particle":"","parse-names":false,"suffix":""}],"container-title":"Journal of Food Engineering","id":"ITEM-1","issue":"1","issued":{"date-parts":[["2007"]]},"page":"72-78","title":"Mathematical modeling of caffeine kinetic during solid–liquid extraction of coffee beans","type":"article-journal","volume":"81"},"uris":["http://www.mendeley.com/documents/?uuid=a930e5c8-7ddd-4d21-b88b-38e30a8ff430"]}],"mendeley":{"formattedCitation":"(Espinoza-Pérez et al., 2007)","plainTextFormattedCitation":"(Espinoza-Pérez et al., 2007)","previouslyFormattedCitation":"(Espinoza-Pérez et al., 2007)"},"properties":{"noteIndex":0},"schema":"https://github.com/citation-style-language/schema/raw/master/csl-citation.json"}</w:instrText>
      </w:r>
      <w:r w:rsidR="00AF7139" w:rsidRPr="00E7135D">
        <w:rPr>
          <w:lang w:val="en-US"/>
        </w:rPr>
        <w:fldChar w:fldCharType="separate"/>
      </w:r>
      <w:r w:rsidR="00AF7139" w:rsidRPr="00E7135D">
        <w:rPr>
          <w:noProof/>
          <w:lang w:val="es-EC"/>
        </w:rPr>
        <w:t>(Espinoza-Pérez et al., 2007)</w:t>
      </w:r>
      <w:r w:rsidR="00AF7139" w:rsidRPr="00E7135D">
        <w:rPr>
          <w:lang w:val="en-US"/>
        </w:rPr>
        <w:fldChar w:fldCharType="end"/>
      </w:r>
      <w:r w:rsidR="00AF7139" w:rsidRPr="00E7135D">
        <w:rPr>
          <w:lang w:val="es-EC"/>
        </w:rPr>
        <w:t xml:space="preserve">, grapes </w:t>
      </w:r>
      <w:r w:rsidR="00AF7139" w:rsidRPr="00E7135D">
        <w:rPr>
          <w:lang w:val="en-US"/>
        </w:rPr>
        <w:fldChar w:fldCharType="begin" w:fldLock="1"/>
      </w:r>
      <w:r w:rsidR="00AF7139" w:rsidRPr="00E7135D">
        <w:rPr>
          <w:lang w:val="es-EC"/>
        </w:rPr>
        <w:instrText>ADDIN CSL_CITATION {"citationItems":[{"id":"ITEM-1","itemData":{"DOI":"10.3390/molecules24010073","ISSN":"1420-3049","abstract":"The colour of red wine is largely determined by the concentration of anthocyanins that are extracted from grape skins during fermentation. Because colour is a key parameter in determining the overall quality of the finished product, understanding the effect of processing variables on anthocyanin extraction is critical for producing a red wine with the desired sensorial characteristics. In this study, the effect of convective conditions (natural and forced) on the mass transfer properties of malvidin-3-glucoside (M3G) from pre-fermentative grape solids was explored at various liquid phase conditions representing stages of fermentation. A mathematical model that separates solid and liquid phase mass transfer parameters was applied to experimental extraction curves, and in all cases, provided a coefficient of determination exceeding 0.97. Calculated mass transfer coefficients indicated that under forced convective conditions, the extraction process was controlled by internal diffusion whereas under natural convection, both internal diffusion and liquid-phase mass transfer were relevant in determining the overall extraction rate. Predictive simulations of M3G extraction during active fermentation were accomplished by incorporating the current results with a previously developed fermentation model, providing insight into the effect of a dynamic liquid phase on anthocyanin extraction.","author":[{"dropping-particle":"","family":"Setford","given":"Patrick C","non-dropping-particle":"","parse-names":false,"suffix":""},{"dropping-particle":"","family":"Jeffery","given":"David W","non-dropping-particle":"","parse-names":false,"suffix":""},{"dropping-particle":"","family":"Grbin","given":"Paul R","non-dropping-particle":"","parse-names":false,"suffix":""},{"dropping-particle":"","family":"Muhlack","given":"Richard A","non-dropping-particle":"","parse-names":false,"suffix":""}],"container-title":"Molecules","id":"ITEM-1","issue":"1","issued":{"date-parts":[["2019"]]},"title":"Mass Transfer of Anthocyanins during Extraction from Pre-Fermentative Grape Solids under Simulated Fermentation Conditions: Effect of Convective Conditions","type":"article-journal","volume":"24"},"uris":["http://www.mendeley.com/documents/?uuid=052fcaa3-4de3-4910-857b-413a23303283"]}],"mendeley":{"formattedCitation":"(Setford et al., 2019)","plainTextFormattedCitation":"(Setford et al., 2019)","previouslyFormattedCitation":"(Setford et al., 2019)"},"properties":{"noteIndex":0},"schema":"https://github.com/citation-style-language/schema/raw/master/csl-citation.json"}</w:instrText>
      </w:r>
      <w:r w:rsidR="00AF7139" w:rsidRPr="00E7135D">
        <w:rPr>
          <w:lang w:val="en-US"/>
        </w:rPr>
        <w:fldChar w:fldCharType="separate"/>
      </w:r>
      <w:r w:rsidR="00AF7139" w:rsidRPr="00E7135D">
        <w:rPr>
          <w:noProof/>
          <w:lang w:val="es-EC"/>
        </w:rPr>
        <w:t>(Setford et al., 2019)</w:t>
      </w:r>
      <w:r w:rsidR="00AF7139" w:rsidRPr="00E7135D">
        <w:rPr>
          <w:lang w:val="en-US"/>
        </w:rPr>
        <w:fldChar w:fldCharType="end"/>
      </w:r>
      <w:r w:rsidR="00AF7139" w:rsidRPr="00E7135D">
        <w:rPr>
          <w:lang w:val="es-EC"/>
        </w:rPr>
        <w:t xml:space="preserve">, and </w:t>
      </w:r>
      <w:proofErr w:type="spellStart"/>
      <w:r w:rsidR="00E02390" w:rsidRPr="00E7135D">
        <w:rPr>
          <w:lang w:val="es-EC"/>
        </w:rPr>
        <w:t>vanilla</w:t>
      </w:r>
      <w:proofErr w:type="spellEnd"/>
      <w:r w:rsidR="00E3532E" w:rsidRPr="00E7135D">
        <w:rPr>
          <w:lang w:val="es-EC"/>
        </w:rPr>
        <w:t>.</w:t>
      </w:r>
      <w:r w:rsidR="00AF7139" w:rsidRPr="00E7135D">
        <w:rPr>
          <w:lang w:val="es-EC"/>
        </w:rPr>
        <w:t xml:space="preserve"> </w:t>
      </w:r>
      <w:r w:rsidR="00E3532E" w:rsidRPr="00E7135D">
        <w:rPr>
          <w:lang w:val="en-US"/>
        </w:rPr>
        <w:t xml:space="preserve">The mathematical model is also </w:t>
      </w:r>
      <w:r w:rsidR="00503299" w:rsidRPr="00E7135D">
        <w:rPr>
          <w:lang w:val="en-US"/>
        </w:rPr>
        <w:t>validated with experimental data</w:t>
      </w:r>
      <w:r w:rsidR="00A720A7" w:rsidRPr="00E7135D">
        <w:rPr>
          <w:lang w:val="en-US"/>
        </w:rPr>
        <w:t>, ensuring a high prediction by minimizing the error with least squares and adequate</w:t>
      </w:r>
      <w:r w:rsidR="005471E3" w:rsidRPr="00E7135D">
        <w:rPr>
          <w:lang w:val="en-US"/>
        </w:rPr>
        <w:t xml:space="preserve"> parameters</w:t>
      </w:r>
      <w:r w:rsidR="00A720A7" w:rsidRPr="00E7135D">
        <w:rPr>
          <w:lang w:val="en-US"/>
        </w:rPr>
        <w:t xml:space="preserve"> estimation with a confidence interval of 95% </w:t>
      </w:r>
      <w:r w:rsidR="00A720A7" w:rsidRPr="00E7135D">
        <w:rPr>
          <w:lang w:val="en-US"/>
        </w:rPr>
        <w:fldChar w:fldCharType="begin" w:fldLock="1"/>
      </w:r>
      <w:r w:rsidR="001445F5" w:rsidRPr="00E7135D">
        <w:rPr>
          <w:lang w:val="en-US"/>
        </w:rPr>
        <w:instrText>ADDIN CSL_CITATION {"citationItems":[{"id":"ITEM-1","itemData":{"DOI":"10.1007/s11947-012-0975-6","ISSN":"1935-5149","abstract":"In this paper, experimental kinetics of vanilla pods’ solid–liquid extraction were obtained by three different methods: with agitation, without agitation, and microwave-assisted (MAE) without agitation. The extraction kinetics of aroma compounds (vanillin, p-hydroxybenzaldehyde, and p-hydroxybenzoic acid) was measured in vanilla pods (refined) and extracts by high-performance liquid chromatography. Additionally, the equilibrium distribution of aroma compounds between phases and the retained solution by refined pods were experimentally evaluated. A mechanistic model of two simultaneous algebraic equations was fitted to experimental data in order to estimate the aroma compound diffusivities inside the pods and mass transfer coefficients in the extract. The diffusivities in vanilla pods at 50 °C were 4.31 × 10−11, 2.93 × 10−11, and 3.50 × 10−11 m2 s−1 for vanillin, p-hydroxybenzaldehyde, and p-hydroxybenzoic acid, respectively. External mass transfer coefficients were in the order of 1.0 × 10−4 m s−1 for forced convection extraction and MAE and 3.33 × 10−7 m s−1 for natural convection extraction.","author":[{"dropping-particle":"","family":"Rodríguez-Jimenes","given":"Guadalupe C","non-dropping-particle":"","parse-names":false,"suffix":""},{"dropping-particle":"","family":"Vargas-Garcia","given":"Armando","non-dropping-particle":"","parse-names":false,"suffix":""},{"dropping-particle":"","family":"Espinoza-Pérez","given":"Dolores J","non-dropping-particle":"","parse-names":false,"suffix":""},{"dropping-particle":"","family":"Salgado-Cervantes","given":"Marco A","non-dropping-particle":"","parse-names":false,"suffix":""},{"dropping-particle":"","family":"Robles-Olvera","given":"Victor J","non-dropping-particle":"","parse-names":false,"suffix":""},{"dropping-particle":"","family":"García-Alvarado","given":"Miguel A","non-dropping-particle":"","parse-names":false,"suffix":""}],"container-title":"Food and Bioprocess Technology","id":"ITEM-1","issue":"10","issued":{"date-parts":[["2013"]]},"page":"2640-2650","title":"Mass Transfer During Vanilla Pods Solid Liquid Extraction: Effect of Extraction Method","type":"article-journal","volume":"6"},"uris":["http://www.mendeley.com/documents/?uuid=636a8540-b71e-4556-b0ff-1f5beacd6b57"]}],"mendeley":{"formattedCitation":"(Rodríguez-Jimenes et al., 2013)","plainTextFormattedCitation":"(Rodríguez-Jimenes et al., 2013)","previouslyFormattedCitation":"(Rodríguez-Jimenes et al., 2013)"},"properties":{"noteIndex":0},"schema":"https://github.com/citation-style-language/schema/raw/master/csl-citation.json"}</w:instrText>
      </w:r>
      <w:r w:rsidR="00A720A7" w:rsidRPr="00E7135D">
        <w:rPr>
          <w:lang w:val="en-US"/>
        </w:rPr>
        <w:fldChar w:fldCharType="separate"/>
      </w:r>
      <w:r w:rsidR="00A720A7" w:rsidRPr="00E7135D">
        <w:rPr>
          <w:noProof/>
          <w:lang w:val="en-US"/>
        </w:rPr>
        <w:t>(Rodríguez-Jimenes et al., 2013)</w:t>
      </w:r>
      <w:r w:rsidR="00A720A7" w:rsidRPr="00E7135D">
        <w:rPr>
          <w:lang w:val="en-US"/>
        </w:rPr>
        <w:fldChar w:fldCharType="end"/>
      </w:r>
      <w:r w:rsidR="00A720A7" w:rsidRPr="00E7135D">
        <w:rPr>
          <w:lang w:val="en-US"/>
        </w:rPr>
        <w:t>.</w:t>
      </w:r>
    </w:p>
    <w:p w14:paraId="69B55869" w14:textId="51A16659" w:rsidR="00AF7139" w:rsidRPr="00E7135D" w:rsidRDefault="00DE24B5" w:rsidP="00AF7139">
      <w:pPr>
        <w:rPr>
          <w:lang w:val="en-US"/>
        </w:rPr>
      </w:pPr>
      <w:r w:rsidRPr="00E7135D">
        <w:rPr>
          <w:lang w:val="en-US"/>
        </w:rPr>
        <w:t>In this work, the experimental kinetics</w:t>
      </w:r>
      <w:r w:rsidR="00922A50" w:rsidRPr="00E7135D">
        <w:rPr>
          <w:lang w:val="en-US"/>
        </w:rPr>
        <w:t xml:space="preserve"> </w:t>
      </w:r>
      <w:r w:rsidRPr="00E7135D">
        <w:rPr>
          <w:lang w:val="en-US"/>
        </w:rPr>
        <w:t>of a mixture of three plants (</w:t>
      </w:r>
      <w:r w:rsidR="00A54A0D" w:rsidRPr="00E7135D">
        <w:rPr>
          <w:i/>
          <w:iCs/>
          <w:lang w:val="en-US"/>
        </w:rPr>
        <w:t>Il</w:t>
      </w:r>
      <w:r w:rsidRPr="00E7135D">
        <w:rPr>
          <w:i/>
          <w:iCs/>
          <w:lang w:val="en-US"/>
        </w:rPr>
        <w:t xml:space="preserve">ex </w:t>
      </w:r>
      <w:r w:rsidR="009D2FE6" w:rsidRPr="00E7135D">
        <w:rPr>
          <w:i/>
          <w:iCs/>
          <w:lang w:val="en-US"/>
        </w:rPr>
        <w:t>g</w:t>
      </w:r>
      <w:r w:rsidRPr="00E7135D">
        <w:rPr>
          <w:i/>
          <w:iCs/>
          <w:lang w:val="en-US"/>
        </w:rPr>
        <w:t xml:space="preserve">uayusa, Vernonanthura </w:t>
      </w:r>
      <w:r w:rsidR="009D2FE6" w:rsidRPr="00E7135D">
        <w:rPr>
          <w:i/>
          <w:iCs/>
          <w:lang w:val="en-US"/>
        </w:rPr>
        <w:t>p</w:t>
      </w:r>
      <w:r w:rsidRPr="00E7135D">
        <w:rPr>
          <w:i/>
          <w:iCs/>
          <w:lang w:val="en-US"/>
        </w:rPr>
        <w:t>atens</w:t>
      </w:r>
      <w:r w:rsidRPr="00E7135D">
        <w:rPr>
          <w:lang w:val="en-US"/>
        </w:rPr>
        <w:t xml:space="preserve">, and Cocoa </w:t>
      </w:r>
      <w:r w:rsidR="005144A5" w:rsidRPr="00E7135D">
        <w:rPr>
          <w:lang w:val="en-US"/>
        </w:rPr>
        <w:t>H</w:t>
      </w:r>
      <w:r w:rsidRPr="00E7135D">
        <w:rPr>
          <w:lang w:val="en-US"/>
        </w:rPr>
        <w:t xml:space="preserve">usk) with nutraceutical properties are obtained from a solid-liquid extraction. </w:t>
      </w:r>
      <w:r w:rsidR="00922A50" w:rsidRPr="00E7135D">
        <w:rPr>
          <w:lang w:val="en-US"/>
        </w:rPr>
        <w:t>The experimental kinetics consists of measuring the concentrations of the nutraceutical compounds in the extract at different times</w:t>
      </w:r>
      <w:r w:rsidRPr="00E7135D">
        <w:rPr>
          <w:lang w:val="en-US"/>
        </w:rPr>
        <w:t>.</w:t>
      </w:r>
      <w:r w:rsidR="00922A50" w:rsidRPr="00E7135D">
        <w:rPr>
          <w:lang w:val="en-US"/>
        </w:rPr>
        <w:t xml:space="preserve"> </w:t>
      </w:r>
      <w:r w:rsidRPr="00E7135D">
        <w:rPr>
          <w:lang w:val="en-US"/>
        </w:rPr>
        <w:t>Then, using the model proposed by</w:t>
      </w:r>
      <w:r w:rsidR="00AF7139" w:rsidRPr="00E7135D">
        <w:rPr>
          <w:lang w:val="en-US"/>
        </w:rPr>
        <w:t xml:space="preserve"> </w:t>
      </w:r>
      <w:r w:rsidR="008C651A" w:rsidRPr="00E7135D">
        <w:rPr>
          <w:lang w:val="en-US"/>
        </w:rPr>
        <w:fldChar w:fldCharType="begin" w:fldLock="1"/>
      </w:r>
      <w:r w:rsidR="008C651A" w:rsidRPr="00E7135D">
        <w:rPr>
          <w:lang w:val="en-US"/>
        </w:rPr>
        <w:instrText>ADDIN CSL_CITATION {"citationItems":[{"id":"ITEM-1","itemData":{"DOI":"https://doi.org/10.1016/j.jfoodeng.2006.10.011","ISSN":"0260-8774","abstract":"Rigorous and simplified models were proposed for caffeine kinetic description during the solid–liquid extraction process of coffee decaffeination. The evolution of caffeine concentration was measured both in extract and refined phases by gas chromatograph. The rigorous model is a non-steady diffusion equation for the coffee beans couple with macroscopic mass transfer equation for solvent. The simplified one is the analytical solution of macroscopic mass transfer equations for beans and solvent. In both models, rectangular coordinates were assumed. Caffeine internal mass diffusivity was estimated by fitting the simplified model to experimental results. The caffeine diffusivity in coffee beans yields 3.209×10−10m2s−1 at 90°C. The simplified model reproduce adequately the experimental kinetic of caffeine in both phases.","author":[{"dropping-particle":"","family":"Espinoza-Pérez","given":"J D","non-dropping-particle":"","parse-names":false,"suffix":""},{"dropping-particle":"","family":"Vargas","given":"A","non-dropping-particle":"","parse-names":false,"suffix":""},{"dropping-particle":"","family":"Robles-Olvera","given":"V J","non-dropping-particle":"","parse-names":false,"suffix":""},{"dropping-particle":"","family":"Rodrı´guez-Jimenes","given":"G C","non-dropping-particle":"","parse-names":false,"suffix":""},{"dropping-particle":"","family":"Garcı´a-Alvarado","given":"M A","non-dropping-particle":"","parse-names":false,"suffix":""}],"container-title":"Journal of Food Engineering","id":"ITEM-1","issue":"1","issued":{"date-parts":[["2007"]]},"page":"72-78","title":"Mathematical modeling of caffeine kinetic during solid–liquid extraction of coffee beans","type":"article-journal","volume":"81"},"uris":["http://www.mendeley.com/documents/?uuid=a930e5c8-7ddd-4d21-b88b-38e30a8ff430"]}],"mendeley":{"formattedCitation":"(Espinoza-Pérez et al., 2007)","manualFormatting":"Espinoza-Pérez et al. (2007","plainTextFormattedCitation":"(Espinoza-Pérez et al., 2007)","previouslyFormattedCitation":"(Espinoza-Pérez et al., 2007)"},"properties":{"noteIndex":0},"schema":"https://github.com/citation-style-language/schema/raw/master/csl-citation.json"}</w:instrText>
      </w:r>
      <w:r w:rsidR="008C651A" w:rsidRPr="00E7135D">
        <w:rPr>
          <w:lang w:val="en-US"/>
        </w:rPr>
        <w:fldChar w:fldCharType="separate"/>
      </w:r>
      <w:r w:rsidR="008C651A" w:rsidRPr="00E7135D">
        <w:rPr>
          <w:noProof/>
          <w:lang w:val="en-US"/>
        </w:rPr>
        <w:t>Espinoza-Pérez et al. (2007</w:t>
      </w:r>
      <w:r w:rsidR="008C651A" w:rsidRPr="00E7135D">
        <w:rPr>
          <w:lang w:val="en-US"/>
        </w:rPr>
        <w:fldChar w:fldCharType="end"/>
      </w:r>
      <w:r w:rsidR="008C651A" w:rsidRPr="00E7135D">
        <w:rPr>
          <w:lang w:val="en-US"/>
        </w:rPr>
        <w:t>)</w:t>
      </w:r>
      <w:r w:rsidR="007974BF" w:rsidRPr="00E7135D">
        <w:rPr>
          <w:lang w:val="en-US"/>
        </w:rPr>
        <w:t>, the experimental data is adjusted through the Gekko library in Python</w:t>
      </w:r>
      <w:r w:rsidR="000F2573" w:rsidRPr="00E7135D">
        <w:rPr>
          <w:lang w:val="en-US"/>
        </w:rPr>
        <w:t xml:space="preserve"> </w:t>
      </w:r>
      <w:r w:rsidR="00D5367A" w:rsidRPr="00E7135D">
        <w:rPr>
          <w:lang w:val="en-US"/>
        </w:rPr>
        <w:fldChar w:fldCharType="begin" w:fldLock="1"/>
      </w:r>
      <w:r w:rsidR="00327957" w:rsidRPr="00E7135D">
        <w:rPr>
          <w:lang w:val="en-US"/>
        </w:rPr>
        <w:instrText>ADDIN CSL_CITATION {"citationItems":[{"id":"ITEM-1","itemData":{"DOI":"10.3390/pr6080106","ISSN":"2227-9717","abstract":"This paper introduces GEKKO as an optimization suite for Python. GEKKO specializes in dynamic optimization problems for mixed-integer, nonlinear, and differential algebraic equations (DAE) problems. By blending the approaches of typical algebraic modeling languages (AML) and optimal control packages, GEKKO greatly facilitates the development and application of tools such as nonlinear model predicative control (NMPC), real-time optimization (RTO), moving horizon estimation (MHE), and dynamic simulation. GEKKO is an object-oriented Python library that offers model construction, analysis tools, and visualization of simulation and optimization. In a single package, GEKKO provides model reduction, an object-oriented library for data reconciliation/model predictive control, and integrated problem construction/solution/visualization. This paper introduces the GEKKO Optimization Suite, presents GEKKO&amp;rsquo;s approach and unique place among AMLs and optimal control packages, and cites several examples of problems that are enabled by the GEKKO library.","author":[{"dropping-particle":"","family":"Beal","given":"Logan D R","non-dropping-particle":"","parse-names":false,"suffix":""},{"dropping-particle":"","family":"Hill","given":"Daniel C","non-dropping-particle":"","parse-names":false,"suffix":""},{"dropping-particle":"","family":"Martin","given":"R Abraham","non-dropping-particle":"","parse-names":false,"suffix":""},{"dropping-particle":"","family":"Hedengren","given":"John D","non-dropping-particle":"","parse-names":false,"suffix":""}],"container-title":"Processes","id":"ITEM-1","issue":"8","issued":{"date-parts":[["2018"]]},"title":"GEKKO Optimization Suite","type":"article-journal","volume":"6"},"uris":["http://www.mendeley.com/documents/?uuid=66c1b9f8-ef97-44b9-96d7-509022f457a0"]}],"mendeley":{"formattedCitation":"(Beal et al., 2018)","plainTextFormattedCitation":"(Beal et al., 2018)","previouslyFormattedCitation":"(Beal et al., 2018)"},"properties":{"noteIndex":0},"schema":"https://github.com/citation-style-language/schema/raw/master/csl-citation.json"}</w:instrText>
      </w:r>
      <w:r w:rsidR="00D5367A" w:rsidRPr="00E7135D">
        <w:rPr>
          <w:lang w:val="en-US"/>
        </w:rPr>
        <w:fldChar w:fldCharType="separate"/>
      </w:r>
      <w:r w:rsidR="00D5367A" w:rsidRPr="00E7135D">
        <w:rPr>
          <w:noProof/>
          <w:lang w:val="en-US"/>
        </w:rPr>
        <w:t>(Beal et al., 2018)</w:t>
      </w:r>
      <w:r w:rsidR="00D5367A" w:rsidRPr="00E7135D">
        <w:rPr>
          <w:lang w:val="en-US"/>
        </w:rPr>
        <w:fldChar w:fldCharType="end"/>
      </w:r>
      <w:r w:rsidR="00AF7139" w:rsidRPr="00E7135D">
        <w:rPr>
          <w:lang w:val="en-US"/>
        </w:rPr>
        <w:t>,</w:t>
      </w:r>
      <w:r w:rsidR="007974BF" w:rsidRPr="00E7135D">
        <w:rPr>
          <w:lang w:val="en-US"/>
        </w:rPr>
        <w:t xml:space="preserve"> obtaining</w:t>
      </w:r>
      <w:r w:rsidR="00F176A8" w:rsidRPr="00E7135D">
        <w:rPr>
          <w:lang w:val="en-US"/>
        </w:rPr>
        <w:t xml:space="preserve"> the time and</w:t>
      </w:r>
      <w:r w:rsidR="007974BF" w:rsidRPr="00E7135D">
        <w:rPr>
          <w:lang w:val="en-US"/>
        </w:rPr>
        <w:t xml:space="preserve"> the mass transfer coefficients in both; solid and liquid phases. </w:t>
      </w:r>
    </w:p>
    <w:p w14:paraId="5741900F" w14:textId="0EA8D0AA" w:rsidR="00453E24" w:rsidRPr="00E7135D" w:rsidRDefault="00922A50" w:rsidP="00520166">
      <w:pPr>
        <w:pStyle w:val="CETHeading1"/>
      </w:pPr>
      <w:r w:rsidRPr="00E7135D">
        <w:t>Material and Methods</w:t>
      </w:r>
    </w:p>
    <w:p w14:paraId="4EC6A503" w14:textId="705EA4EA" w:rsidR="002739BA" w:rsidRPr="00E7135D" w:rsidRDefault="002739BA" w:rsidP="00FC2284">
      <w:pPr>
        <w:pStyle w:val="CETheadingx"/>
      </w:pPr>
      <w:r w:rsidRPr="00E7135D">
        <w:t>Mathematical model</w:t>
      </w:r>
    </w:p>
    <w:p w14:paraId="6F222F05" w14:textId="6EDF15FB" w:rsidR="002A1EF3" w:rsidRPr="00E7135D" w:rsidRDefault="00601BE7" w:rsidP="001353A7">
      <w:pPr>
        <w:tabs>
          <w:tab w:val="clear" w:pos="7100"/>
        </w:tabs>
        <w:autoSpaceDE w:val="0"/>
        <w:autoSpaceDN w:val="0"/>
        <w:adjustRightInd w:val="0"/>
        <w:spacing w:line="240" w:lineRule="auto"/>
        <w:rPr>
          <w:lang w:val="en-US"/>
        </w:rPr>
      </w:pPr>
      <w:r w:rsidRPr="00E7135D">
        <w:rPr>
          <w:lang w:val="en-US"/>
        </w:rPr>
        <w:t xml:space="preserve">Solid-liquid extraction is a mass transfer operation that involves contact between two phases: the refined (solid) and the extract (solvent). This operation comprises four phenomena. The solvent penetration, into the solid medium, by the fluid flow. The dissolution of the extractable compound (solute) from the solid, by the solvent. The mass transfer by solute diffusion through the pores </w:t>
      </w:r>
      <w:r w:rsidR="00964059" w:rsidRPr="00E7135D">
        <w:rPr>
          <w:lang w:val="en-US"/>
        </w:rPr>
        <w:t>a</w:t>
      </w:r>
      <w:r w:rsidRPr="00E7135D">
        <w:rPr>
          <w:lang w:val="en-US"/>
        </w:rPr>
        <w:t>nd the mass transfer by convection from the interface of pores to the solvent phase. A mechanical model developed by</w:t>
      </w:r>
      <w:r w:rsidR="00E06E12" w:rsidRPr="00E7135D">
        <w:rPr>
          <w:lang w:val="en-US"/>
        </w:rPr>
        <w:t xml:space="preserve"> </w:t>
      </w:r>
      <w:r w:rsidR="003603EB" w:rsidRPr="00E7135D">
        <w:rPr>
          <w:lang w:val="en-US"/>
        </w:rPr>
        <w:fldChar w:fldCharType="begin" w:fldLock="1"/>
      </w:r>
      <w:r w:rsidR="00D5367A" w:rsidRPr="00E7135D">
        <w:rPr>
          <w:lang w:val="en-US"/>
        </w:rPr>
        <w:instrText>ADDIN CSL_CITATION {"citationItems":[{"id":"ITEM-1","itemData":{"DOI":"https://doi.org/10.1016/j.jfoodeng.2006.10.011","ISSN":"0260-8774","abstract":"Rigorous and simplified models were proposed for caffeine kinetic description during the solid–liquid extraction process of coffee decaffeination. The evolution of caffeine concentration was measured both in extract and refined phases by gas chromatograph. The rigorous model is a non-steady diffusion equation for the coffee beans couple with macroscopic mass transfer equation for solvent. The simplified one is the analytical solution of macroscopic mass transfer equations for beans and solvent. In both models, rectangular coordinates were assumed. Caffeine internal mass diffusivity was estimated by fitting the simplified model to experimental results. The caffeine diffusivity in coffee beans yields 3.209×10−10m2s−1 at 90°C. The simplified model reproduce adequately the experimental kinetic of caffeine in both phases.","author":[{"dropping-particle":"","family":"Espinoza-Pérez","given":"J D","non-dropping-particle":"","parse-names":false,"suffix":""},{"dropping-particle":"","family":"Vargas","given":"A","non-dropping-particle":"","parse-names":false,"suffix":""},{"dropping-particle":"","family":"Robles-Olvera","given":"V J","non-dropping-particle":"","parse-names":false,"suffix":""},{"dropping-particle":"","family":"Rodrı´guez-Jimenes","given":"G C","non-dropping-particle":"","parse-names":false,"suffix":""},{"dropping-particle":"","family":"Garcı´a-Alvarado","given":"M A","non-dropping-particle":"","parse-names":false,"suffix":""}],"container-title":"Journal of Food Engineering","id":"ITEM-1","issue":"1","issued":{"date-parts":[["2007"]]},"page":"72-78","title":"Mathematical modeling of caffeine kinetic during solid–liquid extraction of coffee beans","type":"article-journal","volume":"81"},"uris":["http://www.mendeley.com/documents/?uuid=a930e5c8-7ddd-4d21-b88b-38e30a8ff430"]}],"mendeley":{"formattedCitation":"(Espinoza-Pérez et al., 2007)","manualFormatting":"Espinoza-Pérez et al. (2007)","plainTextFormattedCitation":"(Espinoza-Pérez et al., 2007)","previouslyFormattedCitation":"(Espinoza-Pérez et al., 2007)"},"properties":{"noteIndex":0},"schema":"https://github.com/citation-style-language/schema/raw/master/csl-citation.json"}</w:instrText>
      </w:r>
      <w:r w:rsidR="003603EB" w:rsidRPr="00E7135D">
        <w:rPr>
          <w:lang w:val="en-US"/>
        </w:rPr>
        <w:fldChar w:fldCharType="separate"/>
      </w:r>
      <w:r w:rsidR="003603EB" w:rsidRPr="00E7135D">
        <w:rPr>
          <w:noProof/>
          <w:lang w:val="en-US"/>
        </w:rPr>
        <w:t>Espinoza-Pérez et al. (2007)</w:t>
      </w:r>
      <w:r w:rsidR="003603EB" w:rsidRPr="00E7135D">
        <w:rPr>
          <w:lang w:val="en-US"/>
        </w:rPr>
        <w:fldChar w:fldCharType="end"/>
      </w:r>
      <w:r w:rsidR="00E06E12" w:rsidRPr="00E7135D">
        <w:rPr>
          <w:lang w:val="en-US"/>
        </w:rPr>
        <w:t xml:space="preserve"> considers the</w:t>
      </w:r>
      <w:r w:rsidR="005171B2" w:rsidRPr="00E7135D">
        <w:rPr>
          <w:lang w:val="en-US"/>
        </w:rPr>
        <w:t>se</w:t>
      </w:r>
      <w:r w:rsidR="00E06E12" w:rsidRPr="00E7135D">
        <w:rPr>
          <w:lang w:val="en-US"/>
        </w:rPr>
        <w:t xml:space="preserve"> four phenomena and can be summarized</w:t>
      </w:r>
      <w:r w:rsidR="003E6B15" w:rsidRPr="00E7135D">
        <w:rPr>
          <w:lang w:val="en-US"/>
        </w:rPr>
        <w:t xml:space="preserve"> in </w:t>
      </w:r>
      <w:r w:rsidR="00AF7139" w:rsidRPr="00E7135D">
        <w:rPr>
          <w:lang w:val="en-US"/>
        </w:rPr>
        <w:t>Eq</w:t>
      </w:r>
      <w:r w:rsidR="00E06E12" w:rsidRPr="00E7135D">
        <w:rPr>
          <w:lang w:val="en-US"/>
        </w:rPr>
        <w:t>(1-3)</w:t>
      </w:r>
      <w:r w:rsidR="00D42E70" w:rsidRPr="00E7135D">
        <w:rPr>
          <w:lang w:val="en-US"/>
        </w:rPr>
        <w:t>. Eq(1) represents the total mass transfer from the interface to the solvent, Eq(2) shows the mass transfer from the solid to the interface, and Eq(3) represents the equilibrium between the solid-liquid phases</w:t>
      </w:r>
      <w:r w:rsidR="00E06E12" w:rsidRPr="00E7135D">
        <w:rPr>
          <w:lang w:val="en-US"/>
        </w:rPr>
        <w:t>.</w:t>
      </w:r>
    </w:p>
    <w:tbl>
      <w:tblPr>
        <w:tblW w:w="5000" w:type="pct"/>
        <w:tblLook w:val="04A0" w:firstRow="1" w:lastRow="0" w:firstColumn="1" w:lastColumn="0" w:noHBand="0" w:noVBand="1"/>
      </w:tblPr>
      <w:tblGrid>
        <w:gridCol w:w="7983"/>
        <w:gridCol w:w="804"/>
      </w:tblGrid>
      <w:tr w:rsidR="002A1EF3" w:rsidRPr="00E7135D" w14:paraId="4CADE9FA" w14:textId="77777777">
        <w:tc>
          <w:tcPr>
            <w:tcW w:w="7983" w:type="dxa"/>
            <w:shd w:val="clear" w:color="auto" w:fill="auto"/>
            <w:vAlign w:val="center"/>
          </w:tcPr>
          <w:p w14:paraId="5517376E" w14:textId="740BF388" w:rsidR="002A1EF3" w:rsidRPr="00E7135D" w:rsidRDefault="00544FF2">
            <w:pPr>
              <w:pStyle w:val="CETEquation"/>
              <w:rPr>
                <w:lang w:val="en-US"/>
              </w:rPr>
            </w:pPr>
            <m:oMathPara>
              <m:oMathParaPr>
                <m:jc m:val="left"/>
              </m:oMathParaPr>
              <m:oMath>
                <m:r>
                  <m:rPr>
                    <m:sty m:val="p"/>
                  </m:rPr>
                  <w:rPr>
                    <w:rFonts w:ascii="Cambria Math" w:hAnsi="Cambria Math"/>
                    <w:lang w:val="en-US"/>
                  </w:rPr>
                  <m:t>ε</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dc</m:t>
                        </m:r>
                      </m:e>
                      <m:sub>
                        <m:r>
                          <w:rPr>
                            <w:rFonts w:ascii="Cambria Math" w:hAnsi="Cambria Math"/>
                            <w:lang w:val="en-US"/>
                          </w:rPr>
                          <m:t>γ</m:t>
                        </m:r>
                      </m:sub>
                    </m:sSub>
                  </m:num>
                  <m:den>
                    <m:r>
                      <m:rPr>
                        <m:sty m:val="p"/>
                      </m:rPr>
                      <w:rPr>
                        <w:rFonts w:ascii="Cambria Math" w:hAnsi="Cambria Math"/>
                        <w:lang w:val="en-US"/>
                      </w:rPr>
                      <m:t>dt</m:t>
                    </m:r>
                  </m:den>
                </m:f>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k</m:t>
                    </m:r>
                  </m:e>
                  <m:sub>
                    <m:r>
                      <w:rPr>
                        <w:rFonts w:ascii="Cambria Math" w:hAnsi="Cambria Math"/>
                        <w:lang w:val="en-US"/>
                      </w:rPr>
                      <m:t>cγ</m:t>
                    </m:r>
                  </m:sub>
                </m:sSub>
                <m:r>
                  <w:rPr>
                    <w:rFonts w:ascii="Cambria Math" w:hAnsi="Cambria Math"/>
                    <w:lang w:val="en-US"/>
                  </w:rPr>
                  <m:t>a</m:t>
                </m:r>
                <m:d>
                  <m:dPr>
                    <m:ctrlPr>
                      <w:rPr>
                        <w:rFonts w:ascii="Cambria Math" w:hAnsi="Cambria Math"/>
                        <w:lang w:val="en-US"/>
                      </w:rPr>
                    </m:ctrlPr>
                  </m:dPr>
                  <m:e>
                    <m:sSub>
                      <m:sSubPr>
                        <m:ctrlPr>
                          <w:rPr>
                            <w:rFonts w:ascii="Cambria Math" w:hAnsi="Cambria Math"/>
                            <w:lang w:val="en-US"/>
                          </w:rPr>
                        </m:ctrlPr>
                      </m:sSubPr>
                      <m:e>
                        <m:r>
                          <w:rPr>
                            <w:rFonts w:ascii="Cambria Math" w:hAnsi="Cambria Math"/>
                            <w:lang w:val="en-US"/>
                          </w:rPr>
                          <m:t>c</m:t>
                        </m:r>
                      </m:e>
                      <m:sub>
                        <m:r>
                          <w:rPr>
                            <w:rFonts w:ascii="Cambria Math" w:hAnsi="Cambria Math"/>
                            <w:lang w:val="en-US"/>
                          </w:rPr>
                          <m:t>γi</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c</m:t>
                        </m:r>
                      </m:e>
                      <m:sub>
                        <m:r>
                          <w:rPr>
                            <w:rFonts w:ascii="Cambria Math" w:hAnsi="Cambria Math"/>
                            <w:lang w:val="en-US"/>
                          </w:rPr>
                          <m:t>γ</m:t>
                        </m:r>
                      </m:sub>
                    </m:sSub>
                  </m:e>
                </m:d>
                <m:r>
                  <w:rPr>
                    <w:rFonts w:ascii="Cambria Math" w:hAnsi="Cambria Math"/>
                    <w:lang w:val="en-US"/>
                  </w:rPr>
                  <m:t>,</m:t>
                </m:r>
              </m:oMath>
            </m:oMathPara>
          </w:p>
        </w:tc>
        <w:tc>
          <w:tcPr>
            <w:tcW w:w="804" w:type="dxa"/>
            <w:shd w:val="clear" w:color="auto" w:fill="auto"/>
            <w:vAlign w:val="center"/>
          </w:tcPr>
          <w:p w14:paraId="76B65A2A" w14:textId="77777777" w:rsidR="002A1EF3" w:rsidRPr="00E7135D" w:rsidRDefault="002A1EF3">
            <w:pPr>
              <w:pStyle w:val="CETEquation"/>
              <w:jc w:val="right"/>
              <w:rPr>
                <w:lang w:val="en-US"/>
              </w:rPr>
            </w:pPr>
            <w:r w:rsidRPr="00E7135D">
              <w:rPr>
                <w:lang w:val="en-US"/>
              </w:rPr>
              <w:t>(1)</w:t>
            </w:r>
          </w:p>
        </w:tc>
      </w:tr>
      <w:tr w:rsidR="002A1EF3" w:rsidRPr="00E7135D" w14:paraId="489E5413" w14:textId="77777777">
        <w:tc>
          <w:tcPr>
            <w:tcW w:w="7983" w:type="dxa"/>
            <w:shd w:val="clear" w:color="auto" w:fill="auto"/>
            <w:vAlign w:val="center"/>
          </w:tcPr>
          <w:p w14:paraId="46F60B3D" w14:textId="2E2E1055" w:rsidR="002A1EF3" w:rsidRPr="00E7135D" w:rsidRDefault="00000000">
            <w:pPr>
              <w:pStyle w:val="CETEquation"/>
              <w:rPr>
                <w:lang w:val="en-US"/>
              </w:rPr>
            </w:pPr>
            <m:oMathPara>
              <m:oMathParaPr>
                <m:jc m:val="left"/>
              </m:oMathParaPr>
              <m:oMath>
                <m:d>
                  <m:dPr>
                    <m:ctrlPr>
                      <w:rPr>
                        <w:rFonts w:ascii="Cambria Math" w:hAnsi="Cambria Math"/>
                        <w:lang w:val="en-US"/>
                      </w:rPr>
                    </m:ctrlPr>
                  </m:dPr>
                  <m:e>
                    <m:r>
                      <m:rPr>
                        <m:sty m:val="p"/>
                      </m:rPr>
                      <w:rPr>
                        <w:rFonts w:ascii="Cambria Math" w:hAnsi="Cambria Math"/>
                        <w:lang w:val="en-US"/>
                      </w:rPr>
                      <m:t>1-ε</m:t>
                    </m:r>
                  </m:e>
                </m:d>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dc</m:t>
                        </m:r>
                      </m:e>
                      <m:sub>
                        <m:r>
                          <w:rPr>
                            <w:rFonts w:ascii="Cambria Math" w:hAnsi="Cambria Math"/>
                            <w:lang w:val="en-US"/>
                          </w:rPr>
                          <m:t>β</m:t>
                        </m:r>
                      </m:sub>
                    </m:sSub>
                  </m:num>
                  <m:den>
                    <m:r>
                      <m:rPr>
                        <m:sty m:val="p"/>
                      </m:rPr>
                      <w:rPr>
                        <w:rFonts w:ascii="Cambria Math" w:hAnsi="Cambria Math"/>
                        <w:lang w:val="en-US"/>
                      </w:rPr>
                      <m:t>dt</m:t>
                    </m:r>
                  </m:den>
                </m:f>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k</m:t>
                    </m:r>
                  </m:e>
                  <m:sub>
                    <m:r>
                      <w:rPr>
                        <w:rFonts w:ascii="Cambria Math" w:hAnsi="Cambria Math"/>
                        <w:lang w:val="en-US"/>
                      </w:rPr>
                      <m:t>cβ</m:t>
                    </m:r>
                  </m:sub>
                </m:sSub>
                <m:r>
                  <w:rPr>
                    <w:rFonts w:ascii="Cambria Math" w:hAnsi="Cambria Math"/>
                    <w:lang w:val="en-US"/>
                  </w:rPr>
                  <m:t>a</m:t>
                </m:r>
                <m:d>
                  <m:dPr>
                    <m:ctrlPr>
                      <w:rPr>
                        <w:rFonts w:ascii="Cambria Math" w:hAnsi="Cambria Math"/>
                        <w:lang w:val="en-US"/>
                      </w:rPr>
                    </m:ctrlPr>
                  </m:dPr>
                  <m:e>
                    <m:sSub>
                      <m:sSubPr>
                        <m:ctrlPr>
                          <w:rPr>
                            <w:rFonts w:ascii="Cambria Math" w:hAnsi="Cambria Math"/>
                            <w:lang w:val="en-US"/>
                          </w:rPr>
                        </m:ctrlPr>
                      </m:sSubPr>
                      <m:e>
                        <m:r>
                          <w:rPr>
                            <w:rFonts w:ascii="Cambria Math" w:hAnsi="Cambria Math"/>
                            <w:lang w:val="en-US"/>
                          </w:rPr>
                          <m:t>c</m:t>
                        </m:r>
                      </m:e>
                      <m:sub>
                        <m:r>
                          <w:rPr>
                            <w:rFonts w:ascii="Cambria Math" w:hAnsi="Cambria Math"/>
                            <w:lang w:val="en-US"/>
                          </w:rPr>
                          <m:t>βi</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c</m:t>
                        </m:r>
                      </m:e>
                      <m:sub>
                        <m:r>
                          <w:rPr>
                            <w:rFonts w:ascii="Cambria Math" w:hAnsi="Cambria Math"/>
                            <w:lang w:val="en-US"/>
                          </w:rPr>
                          <m:t>β</m:t>
                        </m:r>
                      </m:sub>
                    </m:sSub>
                  </m:e>
                </m:d>
                <m:r>
                  <w:rPr>
                    <w:rFonts w:ascii="Cambria Math" w:hAnsi="Cambria Math"/>
                    <w:lang w:val="en-US"/>
                  </w:rPr>
                  <m:t>,</m:t>
                </m:r>
              </m:oMath>
            </m:oMathPara>
          </w:p>
        </w:tc>
        <w:tc>
          <w:tcPr>
            <w:tcW w:w="804" w:type="dxa"/>
            <w:shd w:val="clear" w:color="auto" w:fill="auto"/>
            <w:vAlign w:val="center"/>
          </w:tcPr>
          <w:p w14:paraId="681A00D2" w14:textId="77777777" w:rsidR="002A1EF3" w:rsidRPr="00E7135D" w:rsidRDefault="002A1EF3">
            <w:pPr>
              <w:pStyle w:val="CETEquation"/>
              <w:jc w:val="right"/>
              <w:rPr>
                <w:lang w:val="en-US"/>
              </w:rPr>
            </w:pPr>
            <w:r w:rsidRPr="00E7135D">
              <w:rPr>
                <w:lang w:val="en-US"/>
              </w:rPr>
              <w:t>(2)</w:t>
            </w:r>
          </w:p>
        </w:tc>
      </w:tr>
      <w:tr w:rsidR="002A1EF3" w:rsidRPr="00E7135D" w14:paraId="0461C398" w14:textId="77777777">
        <w:tc>
          <w:tcPr>
            <w:tcW w:w="7983" w:type="dxa"/>
            <w:shd w:val="clear" w:color="auto" w:fill="auto"/>
            <w:vAlign w:val="center"/>
          </w:tcPr>
          <w:p w14:paraId="7D0C4A4B" w14:textId="23122CDC" w:rsidR="002A1EF3" w:rsidRPr="00E7135D" w:rsidRDefault="00000000">
            <w:pPr>
              <w:pStyle w:val="CETEquation"/>
              <w:rPr>
                <w:lang w:val="en-US"/>
              </w:rPr>
            </w:pPr>
            <m:oMathPara>
              <m:oMathParaPr>
                <m:jc m:val="left"/>
              </m:oMathParaPr>
              <m:oMath>
                <m:sSub>
                  <m:sSubPr>
                    <m:ctrlPr>
                      <w:rPr>
                        <w:rFonts w:ascii="Cambria Math" w:hAnsi="Cambria Math"/>
                        <w:lang w:val="en-US"/>
                      </w:rPr>
                    </m:ctrlPr>
                  </m:sSubPr>
                  <m:e>
                    <m:r>
                      <w:rPr>
                        <w:rFonts w:ascii="Cambria Math" w:hAnsi="Cambria Math"/>
                        <w:lang w:val="en-US"/>
                      </w:rPr>
                      <m:t>c</m:t>
                    </m:r>
                    <m:ctrlPr>
                      <w:rPr>
                        <w:rFonts w:ascii="Cambria Math" w:hAnsi="Cambria Math"/>
                        <w:i/>
                        <w:lang w:val="en-US"/>
                      </w:rPr>
                    </m:ctrlPr>
                  </m:e>
                  <m:sub>
                    <m:r>
                      <w:rPr>
                        <w:rFonts w:ascii="Cambria Math" w:hAnsi="Cambria Math"/>
                        <w:lang w:val="en-US"/>
                      </w:rPr>
                      <m:t>γi</m:t>
                    </m:r>
                  </m:sub>
                </m:sSub>
                <m:r>
                  <m:rPr>
                    <m:sty m:val="p"/>
                  </m:rPr>
                  <w:rPr>
                    <w:rFonts w:ascii="Cambria Math" w:hAnsi="Cambria Math"/>
                    <w:lang w:val="en-US"/>
                  </w:rPr>
                  <m:t>=</m:t>
                </m:r>
                <m:r>
                  <w:rPr>
                    <w:rFonts w:ascii="Cambria Math" w:hAnsi="Cambria Math"/>
                    <w:lang w:val="en-US"/>
                  </w:rPr>
                  <m:t>K</m:t>
                </m:r>
                <m:sSub>
                  <m:sSubPr>
                    <m:ctrlPr>
                      <w:rPr>
                        <w:rFonts w:ascii="Cambria Math" w:hAnsi="Cambria Math"/>
                        <w:lang w:val="en-US"/>
                      </w:rPr>
                    </m:ctrlPr>
                  </m:sSubPr>
                  <m:e>
                    <m:r>
                      <w:rPr>
                        <w:rFonts w:ascii="Cambria Math" w:hAnsi="Cambria Math"/>
                        <w:lang w:val="en-US"/>
                      </w:rPr>
                      <m:t>c</m:t>
                    </m:r>
                    <m:ctrlPr>
                      <w:rPr>
                        <w:rFonts w:ascii="Cambria Math" w:hAnsi="Cambria Math"/>
                        <w:i/>
                        <w:lang w:val="en-US"/>
                      </w:rPr>
                    </m:ctrlPr>
                  </m:e>
                  <m:sub>
                    <m:r>
                      <w:rPr>
                        <w:rFonts w:ascii="Cambria Math" w:hAnsi="Cambria Math"/>
                        <w:lang w:val="en-US"/>
                      </w:rPr>
                      <m:t>βi</m:t>
                    </m:r>
                  </m:sub>
                </m:sSub>
                <m:r>
                  <w:rPr>
                    <w:rFonts w:ascii="Cambria Math" w:hAnsi="Cambria Math"/>
                    <w:lang w:val="en-US"/>
                  </w:rPr>
                  <m:t>,</m:t>
                </m:r>
              </m:oMath>
            </m:oMathPara>
          </w:p>
        </w:tc>
        <w:tc>
          <w:tcPr>
            <w:tcW w:w="804" w:type="dxa"/>
            <w:shd w:val="clear" w:color="auto" w:fill="auto"/>
            <w:vAlign w:val="center"/>
          </w:tcPr>
          <w:p w14:paraId="5B8B26F1" w14:textId="77777777" w:rsidR="002A1EF3" w:rsidRPr="00E7135D" w:rsidRDefault="002A1EF3">
            <w:pPr>
              <w:pStyle w:val="CETEquation"/>
              <w:jc w:val="right"/>
              <w:rPr>
                <w:lang w:val="en-US"/>
              </w:rPr>
            </w:pPr>
            <w:r w:rsidRPr="00E7135D">
              <w:rPr>
                <w:lang w:val="en-US"/>
              </w:rPr>
              <w:t>(3)</w:t>
            </w:r>
          </w:p>
        </w:tc>
      </w:tr>
    </w:tbl>
    <w:p w14:paraId="7D58A954" w14:textId="04D2DD00" w:rsidR="00F5645C" w:rsidRPr="00E7135D" w:rsidRDefault="003603EB" w:rsidP="00841C65">
      <w:pPr>
        <w:pStyle w:val="CETBodytext"/>
      </w:pPr>
      <w:r w:rsidRPr="00E7135D">
        <w:t>w</w:t>
      </w:r>
      <w:r w:rsidR="00F5645C" w:rsidRPr="00E7135D">
        <w:t>here</w:t>
      </w:r>
      <w:r w:rsidR="00914A05" w:rsidRPr="00E7135D">
        <w:t xml:space="preserve"> </w:t>
      </w:r>
      <m:oMath>
        <m:r>
          <w:rPr>
            <w:rFonts w:ascii="Cambria Math" w:hAnsi="Cambria Math"/>
          </w:rPr>
          <m:t>a</m:t>
        </m:r>
      </m:oMath>
      <w:r w:rsidR="00914A05" w:rsidRPr="00E7135D">
        <w:t xml:space="preserve"> is the surface:</w:t>
      </w:r>
      <w:r w:rsidR="005471E3" w:rsidRPr="00E7135D">
        <w:t xml:space="preserve"> </w:t>
      </w:r>
      <w:r w:rsidR="00914A05" w:rsidRPr="00E7135D">
        <w:t xml:space="preserve">volume ratio of a sphere </w:t>
      </w:r>
      <m:oMath>
        <m:r>
          <w:rPr>
            <w:rFonts w:ascii="Cambria Math" w:hAnsi="Cambria Math"/>
          </w:rPr>
          <m:t>(a=</m:t>
        </m:r>
        <m:f>
          <m:fPr>
            <m:ctrlPr>
              <w:rPr>
                <w:rFonts w:ascii="Cambria Math" w:hAnsi="Cambria Math"/>
                <w:i/>
              </w:rPr>
            </m:ctrlPr>
          </m:fPr>
          <m:num>
            <m:r>
              <w:rPr>
                <w:rFonts w:ascii="Cambria Math" w:hAnsi="Cambria Math"/>
              </w:rPr>
              <m:t>6</m:t>
            </m:r>
          </m:num>
          <m:den>
            <m:sSub>
              <m:sSubPr>
                <m:ctrlPr>
                  <w:rPr>
                    <w:rFonts w:ascii="Cambria Math" w:hAnsi="Cambria Math"/>
                    <w:i/>
                  </w:rPr>
                </m:ctrlPr>
              </m:sSubPr>
              <m:e>
                <m:r>
                  <w:rPr>
                    <w:rFonts w:ascii="Cambria Math" w:hAnsi="Cambria Math"/>
                  </w:rPr>
                  <m:t>D</m:t>
                </m:r>
              </m:e>
              <m:sub>
                <m:r>
                  <w:rPr>
                    <w:rFonts w:ascii="Cambria Math" w:hAnsi="Cambria Math"/>
                  </w:rPr>
                  <m:t>p</m:t>
                </m:r>
              </m:sub>
            </m:sSub>
          </m:den>
        </m:f>
        <m:r>
          <w:rPr>
            <w:rFonts w:ascii="Cambria Math" w:hAnsi="Cambria Math"/>
          </w:rPr>
          <m:t>)</m:t>
        </m:r>
      </m:oMath>
      <w:r w:rsidR="004C6880" w:rsidRPr="00E7135D">
        <w:t>;</w:t>
      </w:r>
      <w:r w:rsidR="004A5C7C" w:rsidRPr="00E7135D">
        <w:t xml:space="preserve"> with</w:t>
      </w:r>
      <w:r w:rsidR="00B93F61" w:rsidRPr="00E7135D">
        <w:t xml:space="preserve"> </w:t>
      </w:r>
      <m:oMath>
        <m:sSub>
          <m:sSubPr>
            <m:ctrlPr>
              <w:rPr>
                <w:rFonts w:ascii="Cambria Math" w:hAnsi="Cambria Math"/>
                <w:i/>
              </w:rPr>
            </m:ctrlPr>
          </m:sSubPr>
          <m:e>
            <m:r>
              <w:rPr>
                <w:rFonts w:ascii="Cambria Math" w:hAnsi="Cambria Math"/>
              </w:rPr>
              <m:t>D</m:t>
            </m:r>
          </m:e>
          <m:sub>
            <m:r>
              <w:rPr>
                <w:rFonts w:ascii="Cambria Math" w:hAnsi="Cambria Math"/>
              </w:rPr>
              <m:t>p</m:t>
            </m:r>
          </m:sub>
        </m:sSub>
      </m:oMath>
      <w:r w:rsidR="00B93F61" w:rsidRPr="00E7135D">
        <w:t xml:space="preserve"> the particle diameter</w:t>
      </w:r>
      <w:r w:rsidR="00231B6B" w:rsidRPr="00E7135D">
        <w:t>,</w:t>
      </w:r>
      <w:r w:rsidR="00F5645C" w:rsidRPr="00E7135D">
        <w:t xml:space="preserve"> </w:t>
      </w:r>
      <m:oMath>
        <m:r>
          <m:rPr>
            <m:sty m:val="p"/>
          </m:rPr>
          <w:rPr>
            <w:rFonts w:ascii="Cambria Math" w:hAnsi="Cambria Math"/>
          </w:rPr>
          <m:t>ε</m:t>
        </m:r>
      </m:oMath>
      <w:r w:rsidR="00F5645C" w:rsidRPr="00E7135D">
        <w:t xml:space="preserve"> is the fraction between the volume of the solvent and the total volume. </w:t>
      </w:r>
      <w:r w:rsidR="00E37E3E" w:rsidRPr="00E7135D">
        <w:t>The mass transfer coefficient</w:t>
      </w:r>
      <w:r w:rsidR="00E05979" w:rsidRPr="00E7135D">
        <w:t>s</w:t>
      </w:r>
      <w:r w:rsidR="001F130B" w:rsidRPr="00E7135D">
        <w:t xml:space="preserve"> </w:t>
      </w:r>
      <w:r w:rsidR="00BB36A6" w:rsidRPr="00E7135D">
        <w:t>in the solvent and the solid</w:t>
      </w:r>
      <w:r w:rsidR="00016EC6" w:rsidRPr="00E7135D">
        <w:t xml:space="preserve"> are</w:t>
      </w:r>
      <w:r w:rsidR="00E37E3E" w:rsidRPr="00E7135D">
        <w:t xml:space="preserve"> </w:t>
      </w:r>
      <m:oMath>
        <m:sSub>
          <m:sSubPr>
            <m:ctrlPr>
              <w:rPr>
                <w:rFonts w:ascii="Cambria Math" w:hAnsi="Cambria Math"/>
              </w:rPr>
            </m:ctrlPr>
          </m:sSubPr>
          <m:e>
            <m:r>
              <w:rPr>
                <w:rFonts w:ascii="Cambria Math" w:hAnsi="Cambria Math"/>
              </w:rPr>
              <m:t>k</m:t>
            </m:r>
            <m:ctrlPr>
              <w:rPr>
                <w:rFonts w:ascii="Cambria Math" w:hAnsi="Cambria Math"/>
                <w:i/>
              </w:rPr>
            </m:ctrlPr>
          </m:e>
          <m:sub>
            <m:r>
              <w:rPr>
                <w:rFonts w:ascii="Cambria Math" w:hAnsi="Cambria Math"/>
              </w:rPr>
              <m:t>cγ</m:t>
            </m:r>
          </m:sub>
        </m:sSub>
      </m:oMath>
      <w:r w:rsidR="004C5814" w:rsidRPr="00E7135D">
        <w:t xml:space="preserve"> </w:t>
      </w:r>
      <w:r w:rsidR="00F5645C" w:rsidRPr="00E7135D">
        <w:t xml:space="preserve">and </w:t>
      </w:r>
      <m:oMath>
        <m:sSub>
          <m:sSubPr>
            <m:ctrlPr>
              <w:rPr>
                <w:rFonts w:ascii="Cambria Math" w:hAnsi="Cambria Math"/>
              </w:rPr>
            </m:ctrlPr>
          </m:sSubPr>
          <m:e>
            <m:r>
              <w:rPr>
                <w:rFonts w:ascii="Cambria Math" w:hAnsi="Cambria Math"/>
              </w:rPr>
              <m:t>k</m:t>
            </m:r>
            <m:ctrlPr>
              <w:rPr>
                <w:rFonts w:ascii="Cambria Math" w:hAnsi="Cambria Math"/>
                <w:i/>
              </w:rPr>
            </m:ctrlPr>
          </m:e>
          <m:sub>
            <m:r>
              <w:rPr>
                <w:rFonts w:ascii="Cambria Math" w:hAnsi="Cambria Math"/>
              </w:rPr>
              <m:t>cβ</m:t>
            </m:r>
          </m:sub>
        </m:sSub>
      </m:oMath>
      <w:r w:rsidR="00F5645C" w:rsidRPr="00E7135D">
        <w:t>, respectively.</w:t>
      </w:r>
      <w:r w:rsidR="002D14DB" w:rsidRPr="00E7135D">
        <w:t xml:space="preserve"> </w:t>
      </w:r>
      <w:r w:rsidR="00901A56" w:rsidRPr="00E7135D">
        <w:t>T</w:t>
      </w:r>
      <w:r w:rsidR="002D14DB" w:rsidRPr="00E7135D">
        <w:t>he concentrations of the solute in the solvent and in the solid</w:t>
      </w:r>
      <w:r w:rsidR="00C9572A" w:rsidRPr="00E7135D">
        <w:t xml:space="preserve"> </w:t>
      </w:r>
      <w:r w:rsidR="00B94245" w:rsidRPr="00E7135D">
        <w:t>are</w:t>
      </w:r>
      <w:r w:rsidR="00F5645C" w:rsidRPr="00E7135D">
        <w:t xml:space="preserve"> </w:t>
      </w:r>
      <m:oMath>
        <m:sSub>
          <m:sSubPr>
            <m:ctrlPr>
              <w:rPr>
                <w:rFonts w:ascii="Cambria Math" w:hAnsi="Cambria Math"/>
              </w:rPr>
            </m:ctrlPr>
          </m:sSubPr>
          <m:e>
            <m:r>
              <w:rPr>
                <w:rFonts w:ascii="Cambria Math" w:hAnsi="Cambria Math"/>
              </w:rPr>
              <m:t>c</m:t>
            </m:r>
            <m:ctrlPr>
              <w:rPr>
                <w:rFonts w:ascii="Cambria Math" w:hAnsi="Cambria Math"/>
                <w:i/>
              </w:rPr>
            </m:ctrlPr>
          </m:e>
          <m:sub>
            <m:r>
              <w:rPr>
                <w:rFonts w:ascii="Cambria Math" w:hAnsi="Cambria Math"/>
              </w:rPr>
              <m:t>γ</m:t>
            </m:r>
          </m:sub>
        </m:sSub>
      </m:oMath>
      <w:r w:rsidR="00DD1E03" w:rsidRPr="00E7135D">
        <w:t xml:space="preserve"> </w:t>
      </w:r>
      <w:r w:rsidR="005720BE" w:rsidRPr="00E7135D">
        <w:t>and</w:t>
      </w:r>
      <w:r w:rsidR="00F5645C" w:rsidRPr="00E7135D">
        <w:t xml:space="preserve"> </w:t>
      </w:r>
      <m:oMath>
        <m:sSub>
          <m:sSubPr>
            <m:ctrlPr>
              <w:rPr>
                <w:rFonts w:ascii="Cambria Math" w:hAnsi="Cambria Math"/>
              </w:rPr>
            </m:ctrlPr>
          </m:sSubPr>
          <m:e>
            <m:r>
              <w:rPr>
                <w:rFonts w:ascii="Cambria Math" w:hAnsi="Cambria Math"/>
              </w:rPr>
              <m:t>c</m:t>
            </m:r>
            <m:ctrlPr>
              <w:rPr>
                <w:rFonts w:ascii="Cambria Math" w:hAnsi="Cambria Math"/>
                <w:i/>
              </w:rPr>
            </m:ctrlPr>
          </m:e>
          <m:sub>
            <m:r>
              <w:rPr>
                <w:rFonts w:ascii="Cambria Math" w:hAnsi="Cambria Math"/>
              </w:rPr>
              <m:t>β</m:t>
            </m:r>
          </m:sub>
        </m:sSub>
      </m:oMath>
      <w:r w:rsidR="00F5645C" w:rsidRPr="00E7135D">
        <w:t xml:space="preserve">, respectively. The subscript </w:t>
      </w:r>
      <m:oMath>
        <m:r>
          <w:rPr>
            <w:rFonts w:ascii="Cambria Math" w:hAnsi="Cambria Math"/>
          </w:rPr>
          <m:t>i</m:t>
        </m:r>
      </m:oMath>
      <w:r w:rsidR="00F5645C" w:rsidRPr="00E7135D">
        <w:rPr>
          <w:i/>
          <w:iCs/>
        </w:rPr>
        <w:t xml:space="preserve"> </w:t>
      </w:r>
      <w:r w:rsidR="00F5645C" w:rsidRPr="00E7135D">
        <w:t xml:space="preserve">denotes the interface in the system, and </w:t>
      </w:r>
      <m:oMath>
        <m:r>
          <w:rPr>
            <w:rFonts w:ascii="Cambria Math" w:hAnsi="Cambria Math"/>
          </w:rPr>
          <m:t>K</m:t>
        </m:r>
      </m:oMath>
      <w:r w:rsidR="00F5645C" w:rsidRPr="00E7135D">
        <w:t xml:space="preserve"> is the equilibrium </w:t>
      </w:r>
      <w:r w:rsidR="004C6880" w:rsidRPr="00E7135D">
        <w:t>constant</w:t>
      </w:r>
      <w:r w:rsidR="00F5645C" w:rsidRPr="00E7135D">
        <w:t>.</w:t>
      </w:r>
    </w:p>
    <w:p w14:paraId="1DA1EB5E" w14:textId="77777777" w:rsidR="00F5645C" w:rsidRPr="00E7135D" w:rsidRDefault="00F5645C" w:rsidP="00F5645C">
      <w:pPr>
        <w:pStyle w:val="CETBodytext"/>
      </w:pPr>
    </w:p>
    <w:p w14:paraId="56A52AD7" w14:textId="491CA96C" w:rsidR="00F5645C" w:rsidRPr="00E7135D" w:rsidRDefault="00AF7139" w:rsidP="00F5645C">
      <w:pPr>
        <w:pStyle w:val="CETBodytext"/>
      </w:pPr>
      <w:r w:rsidRPr="00E7135D">
        <w:fldChar w:fldCharType="begin" w:fldLock="1"/>
      </w:r>
      <w:r w:rsidRPr="00E7135D">
        <w:instrText>ADDIN CSL_CITATION {"citationItems":[{"id":"ITEM-1","itemData":{"DOI":"https://doi.org/10.1016/j.jfoodeng.2006.10.011","ISSN":"0260-8774","abstract":"Rigorous and simplified models were proposed for caffeine kinetic description during the solid–liquid extraction process of coffee decaffeination. The evolution of caffeine concentration was measured both in extract and refined phases by gas chromatograph. The rigorous model is a non-steady diffusion equation for the coffee beans couple with macroscopic mass transfer equation for solvent. The simplified one is the analytical solution of macroscopic mass transfer equations for beans and solvent. In both models, rectangular coordinates were assumed. Caffeine internal mass diffusivity was estimated by fitting the simplified model to experimental results. The caffeine diffusivity in coffee beans yields 3.209×10−10m2s−1 at 90°C. The simplified model reproduce adequately the experimental kinetic of caffeine in both phases.","author":[{"dropping-particle":"","family":"Espinoza-Pérez","given":"J D","non-dropping-particle":"","parse-names":false,"suffix":""},{"dropping-particle":"","family":"Vargas","given":"A","non-dropping-particle":"","parse-names":false,"suffix":""},{"dropping-particle":"","family":"Robles-Olvera","given":"V J","non-dropping-particle":"","parse-names":false,"suffix":""},{"dropping-particle":"","family":"Rodrı´guez-Jimenes","given":"G C","non-dropping-particle":"","parse-names":false,"suffix":""},{"dropping-particle":"","family":"Garcı´a-Alvarado","given":"M A","non-dropping-particle":"","parse-names":false,"suffix":""}],"container-title":"Journal of Food Engineering","id":"ITEM-1","issue":"1","issued":{"date-parts":[["2007"]]},"page":"72-78","title":"Mathematical modeling of caffeine kinetic during solid–liquid extraction of coffee beans","type":"article-journal","volume":"81"},"uris":["http://www.mendeley.com/documents/?uuid=a930e5c8-7ddd-4d21-b88b-38e30a8ff430"]}],"mendeley":{"formattedCitation":"(Espinoza-Pérez et al., 2007)","manualFormatting":"Espinoza-Pérez et al. (2007)","plainTextFormattedCitation":"(Espinoza-Pérez et al., 2007)","previouslyFormattedCitation":"(Espinoza-Pérez et al., 2007)"},"properties":{"noteIndex":0},"schema":"https://github.com/citation-style-language/schema/raw/master/csl-citation.json"}</w:instrText>
      </w:r>
      <w:r w:rsidRPr="00E7135D">
        <w:fldChar w:fldCharType="separate"/>
      </w:r>
      <w:r w:rsidRPr="00E7135D">
        <w:rPr>
          <w:noProof/>
        </w:rPr>
        <w:t>Espinoza-Pérez et al. (2007)</w:t>
      </w:r>
      <w:r w:rsidRPr="00E7135D">
        <w:fldChar w:fldCharType="end"/>
      </w:r>
      <w:r w:rsidRPr="00E7135D">
        <w:t xml:space="preserve"> </w:t>
      </w:r>
      <w:r w:rsidR="00363AE8" w:rsidRPr="00E7135D">
        <w:t>propose an analytical solution for Eq(1-3) using Laplace transforms. From this, the average concentrations for both; the solute and the solvent in the solid phase are in Eq(4) and Eq(5), respectively</w:t>
      </w:r>
      <w:r w:rsidR="00F5645C" w:rsidRPr="00E7135D">
        <w:t>.</w:t>
      </w:r>
    </w:p>
    <w:tbl>
      <w:tblPr>
        <w:tblW w:w="5000" w:type="pct"/>
        <w:tblLook w:val="04A0" w:firstRow="1" w:lastRow="0" w:firstColumn="1" w:lastColumn="0" w:noHBand="0" w:noVBand="1"/>
      </w:tblPr>
      <w:tblGrid>
        <w:gridCol w:w="7983"/>
        <w:gridCol w:w="804"/>
      </w:tblGrid>
      <w:tr w:rsidR="00DB2C56" w:rsidRPr="00E7135D" w14:paraId="238ADFAB" w14:textId="77777777" w:rsidTr="00D76FCE">
        <w:tc>
          <w:tcPr>
            <w:tcW w:w="7983" w:type="dxa"/>
            <w:shd w:val="clear" w:color="auto" w:fill="auto"/>
            <w:vAlign w:val="center"/>
          </w:tcPr>
          <w:p w14:paraId="749EDB2E" w14:textId="0B4FA9E0" w:rsidR="00DB2C56" w:rsidRPr="00E7135D" w:rsidRDefault="00000000" w:rsidP="001054DB">
            <w:pPr>
              <w:pStyle w:val="CETEquation"/>
              <w:rPr>
                <w:lang w:val="en-US"/>
              </w:rPr>
            </w:pPr>
            <m:oMathPara>
              <m:oMathParaPr>
                <m:jc m:val="left"/>
              </m:oMathParaPr>
              <m:oMath>
                <m:sSub>
                  <m:sSubPr>
                    <m:ctrlPr>
                      <w:rPr>
                        <w:rFonts w:ascii="Cambria Math" w:hAnsi="Cambria Math"/>
                        <w:lang w:val="en-US"/>
                      </w:rPr>
                    </m:ctrlPr>
                  </m:sSubPr>
                  <m:e>
                    <m:r>
                      <w:rPr>
                        <w:rFonts w:ascii="Cambria Math" w:hAnsi="Cambria Math"/>
                        <w:lang w:val="en-US"/>
                      </w:rPr>
                      <m:t>c</m:t>
                    </m:r>
                    <m:ctrlPr>
                      <w:rPr>
                        <w:rFonts w:ascii="Cambria Math" w:hAnsi="Cambria Math"/>
                        <w:i/>
                        <w:lang w:val="en-US"/>
                      </w:rPr>
                    </m:ctrlPr>
                  </m:e>
                  <m:sub>
                    <m:r>
                      <w:rPr>
                        <w:rFonts w:ascii="Cambria Math" w:hAnsi="Cambria Math"/>
                        <w:lang w:val="en-US"/>
                      </w:rPr>
                      <m:t>β</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c</m:t>
                    </m:r>
                  </m:e>
                  <m:sub>
                    <m:r>
                      <w:rPr>
                        <w:rFonts w:ascii="Cambria Math" w:hAnsi="Cambria Math"/>
                        <w:lang w:val="en-US"/>
                      </w:rPr>
                      <m:t>β</m:t>
                    </m:r>
                    <m:r>
                      <m:rPr>
                        <m:sty m:val="p"/>
                      </m:rPr>
                      <w:rPr>
                        <w:rFonts w:ascii="Cambria Math" w:hAnsi="Cambria Math"/>
                        <w:lang w:val="en-US"/>
                      </w:rPr>
                      <m:t>0</m:t>
                    </m:r>
                  </m:sub>
                </m:sSub>
                <m:d>
                  <m:dPr>
                    <m:ctrlPr>
                      <w:rPr>
                        <w:rFonts w:ascii="Cambria Math" w:hAnsi="Cambria Math"/>
                        <w:lang w:val="en-US"/>
                      </w:rPr>
                    </m:ctrlPr>
                  </m:dPr>
                  <m:e>
                    <m:sSub>
                      <m:sSubPr>
                        <m:ctrlPr>
                          <w:rPr>
                            <w:rFonts w:ascii="Cambria Math" w:hAnsi="Cambria Math"/>
                            <w:lang w:val="en-US"/>
                          </w:rPr>
                        </m:ctrlPr>
                      </m:sSubPr>
                      <m:e>
                        <m:r>
                          <w:rPr>
                            <w:rFonts w:ascii="Cambria Math" w:hAnsi="Cambria Math"/>
                            <w:lang w:val="en-US"/>
                          </w:rPr>
                          <m:t>C</m:t>
                        </m:r>
                      </m:e>
                      <m:sub>
                        <m:r>
                          <m:rPr>
                            <m:sty m:val="p"/>
                          </m:rPr>
                          <w:rPr>
                            <w:rFonts w:ascii="Cambria Math" w:hAnsi="Cambria Math"/>
                            <w:lang w:val="en-US"/>
                          </w:rPr>
                          <m:t>1</m:t>
                        </m:r>
                      </m:sub>
                    </m:sSub>
                    <m:sSup>
                      <m:sSupPr>
                        <m:ctrlPr>
                          <w:rPr>
                            <w:rFonts w:ascii="Cambria Math" w:hAnsi="Cambria Math"/>
                            <w:lang w:val="en-US"/>
                          </w:rPr>
                        </m:ctrlPr>
                      </m:sSupPr>
                      <m:e>
                        <m:r>
                          <w:rPr>
                            <w:rFonts w:ascii="Cambria Math" w:hAnsi="Cambria Math"/>
                            <w:lang w:val="en-US"/>
                          </w:rPr>
                          <m:t>e</m:t>
                        </m:r>
                        <m:ctrlPr>
                          <w:rPr>
                            <w:rFonts w:ascii="Cambria Math" w:hAnsi="Cambria Math"/>
                            <w:i/>
                            <w:lang w:val="en-US"/>
                          </w:rPr>
                        </m:ctrlPr>
                      </m:e>
                      <m:sup>
                        <m:sSub>
                          <m:sSubPr>
                            <m:ctrlPr>
                              <w:rPr>
                                <w:rFonts w:ascii="Cambria Math" w:hAnsi="Cambria Math"/>
                                <w:lang w:val="en-US"/>
                              </w:rPr>
                            </m:ctrlPr>
                          </m:sSubPr>
                          <m:e>
                            <m:r>
                              <w:rPr>
                                <w:rFonts w:ascii="Cambria Math" w:hAnsi="Cambria Math"/>
                                <w:lang w:val="en-US"/>
                              </w:rPr>
                              <m:t>r</m:t>
                            </m:r>
                          </m:e>
                          <m:sub>
                            <m:r>
                              <m:rPr>
                                <m:sty m:val="p"/>
                              </m:rPr>
                              <w:rPr>
                                <w:rFonts w:ascii="Cambria Math" w:hAnsi="Cambria Math"/>
                                <w:lang w:val="en-US"/>
                              </w:rPr>
                              <m:t>1</m:t>
                            </m:r>
                          </m:sub>
                        </m:sSub>
                        <m:r>
                          <w:rPr>
                            <w:rFonts w:ascii="Cambria Math" w:hAnsi="Cambria Math"/>
                            <w:lang w:val="en-US"/>
                          </w:rPr>
                          <m:t>t</m:t>
                        </m:r>
                      </m:sup>
                    </m:sSup>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C</m:t>
                        </m:r>
                      </m:e>
                      <m:sub>
                        <m:r>
                          <m:rPr>
                            <m:sty m:val="p"/>
                          </m:rPr>
                          <w:rPr>
                            <w:rFonts w:ascii="Cambria Math" w:hAnsi="Cambria Math"/>
                            <w:lang w:val="en-US"/>
                          </w:rPr>
                          <m:t>2</m:t>
                        </m:r>
                      </m:sub>
                    </m:sSub>
                    <m:sSup>
                      <m:sSupPr>
                        <m:ctrlPr>
                          <w:rPr>
                            <w:rFonts w:ascii="Cambria Math" w:hAnsi="Cambria Math"/>
                            <w:lang w:val="en-US"/>
                          </w:rPr>
                        </m:ctrlPr>
                      </m:sSupPr>
                      <m:e>
                        <m:r>
                          <w:rPr>
                            <w:rFonts w:ascii="Cambria Math" w:hAnsi="Cambria Math"/>
                            <w:lang w:val="en-US"/>
                          </w:rPr>
                          <m:t>e</m:t>
                        </m:r>
                        <m:ctrlPr>
                          <w:rPr>
                            <w:rFonts w:ascii="Cambria Math" w:hAnsi="Cambria Math"/>
                            <w:i/>
                            <w:lang w:val="en-US"/>
                          </w:rPr>
                        </m:ctrlPr>
                      </m:e>
                      <m:sup>
                        <m:sSub>
                          <m:sSubPr>
                            <m:ctrlPr>
                              <w:rPr>
                                <w:rFonts w:ascii="Cambria Math" w:hAnsi="Cambria Math"/>
                                <w:lang w:val="en-US"/>
                              </w:rPr>
                            </m:ctrlPr>
                          </m:sSubPr>
                          <m:e>
                            <m:r>
                              <w:rPr>
                                <w:rFonts w:ascii="Cambria Math" w:hAnsi="Cambria Math"/>
                                <w:lang w:val="en-US"/>
                              </w:rPr>
                              <m:t>r</m:t>
                            </m:r>
                          </m:e>
                          <m:sub>
                            <m:r>
                              <m:rPr>
                                <m:sty m:val="p"/>
                              </m:rPr>
                              <w:rPr>
                                <w:rFonts w:ascii="Cambria Math" w:hAnsi="Cambria Math"/>
                                <w:lang w:val="en-US"/>
                              </w:rPr>
                              <m:t>2</m:t>
                            </m:r>
                          </m:sub>
                        </m:sSub>
                        <m:r>
                          <w:rPr>
                            <w:rFonts w:ascii="Cambria Math" w:hAnsi="Cambria Math"/>
                            <w:lang w:val="en-US"/>
                          </w:rPr>
                          <m:t>t</m:t>
                        </m:r>
                      </m:sup>
                    </m:sSup>
                  </m:e>
                </m:d>
                <m:r>
                  <w:rPr>
                    <w:rFonts w:ascii="Cambria Math" w:hAnsi="Cambria Math"/>
                    <w:lang w:val="en-US"/>
                  </w:rPr>
                  <m:t>,</m:t>
                </m:r>
              </m:oMath>
            </m:oMathPara>
          </w:p>
        </w:tc>
        <w:tc>
          <w:tcPr>
            <w:tcW w:w="804" w:type="dxa"/>
            <w:shd w:val="clear" w:color="auto" w:fill="auto"/>
            <w:vAlign w:val="center"/>
          </w:tcPr>
          <w:p w14:paraId="0D4B79C3" w14:textId="79E3726E" w:rsidR="00DB2C56" w:rsidRPr="00E7135D" w:rsidRDefault="00DB2C56" w:rsidP="001054DB">
            <w:pPr>
              <w:pStyle w:val="CETEquation"/>
              <w:jc w:val="right"/>
              <w:rPr>
                <w:lang w:val="en-US"/>
              </w:rPr>
            </w:pPr>
            <w:r w:rsidRPr="00E7135D">
              <w:rPr>
                <w:lang w:val="en-US"/>
              </w:rPr>
              <w:t>(</w:t>
            </w:r>
            <w:r w:rsidR="001054DB" w:rsidRPr="00E7135D">
              <w:rPr>
                <w:lang w:val="en-US"/>
              </w:rPr>
              <w:t>4</w:t>
            </w:r>
            <w:r w:rsidRPr="00E7135D">
              <w:rPr>
                <w:lang w:val="en-US"/>
              </w:rPr>
              <w:t>)</w:t>
            </w:r>
          </w:p>
        </w:tc>
      </w:tr>
      <w:tr w:rsidR="00DB2C56" w:rsidRPr="00E7135D" w14:paraId="728FAB30" w14:textId="77777777" w:rsidTr="00D76FCE">
        <w:tc>
          <w:tcPr>
            <w:tcW w:w="7983" w:type="dxa"/>
            <w:shd w:val="clear" w:color="auto" w:fill="auto"/>
            <w:vAlign w:val="center"/>
          </w:tcPr>
          <w:p w14:paraId="5DABCF7B" w14:textId="0A34A176" w:rsidR="00DB2C56" w:rsidRPr="00E7135D" w:rsidRDefault="00000000" w:rsidP="001054DB">
            <w:pPr>
              <w:pStyle w:val="CETEquation"/>
              <w:rPr>
                <w:lang w:val="en-US"/>
              </w:rPr>
            </w:pPr>
            <m:oMathPara>
              <m:oMathParaPr>
                <m:jc m:val="left"/>
              </m:oMathParaPr>
              <m:oMath>
                <m:sSub>
                  <m:sSubPr>
                    <m:ctrlPr>
                      <w:rPr>
                        <w:rFonts w:ascii="Cambria Math" w:hAnsi="Cambria Math"/>
                        <w:lang w:val="en-US"/>
                      </w:rPr>
                    </m:ctrlPr>
                  </m:sSubPr>
                  <m:e>
                    <m:r>
                      <w:rPr>
                        <w:rFonts w:ascii="Cambria Math" w:hAnsi="Cambria Math"/>
                        <w:lang w:val="en-US"/>
                      </w:rPr>
                      <m:t>c</m:t>
                    </m:r>
                    <m:ctrlPr>
                      <w:rPr>
                        <w:rFonts w:ascii="Cambria Math" w:hAnsi="Cambria Math"/>
                        <w:i/>
                        <w:lang w:val="en-US"/>
                      </w:rPr>
                    </m:ctrlPr>
                  </m:e>
                  <m:sub>
                    <m:r>
                      <w:rPr>
                        <w:rFonts w:ascii="Cambria Math" w:hAnsi="Cambria Math"/>
                        <w:lang w:val="en-US"/>
                      </w:rPr>
                      <m:t>γ</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c</m:t>
                    </m:r>
                  </m:e>
                  <m:sub>
                    <m:r>
                      <w:rPr>
                        <w:rFonts w:ascii="Cambria Math" w:hAnsi="Cambria Math"/>
                        <w:lang w:val="en-US"/>
                      </w:rPr>
                      <m:t>β</m:t>
                    </m:r>
                    <m:r>
                      <m:rPr>
                        <m:sty m:val="p"/>
                      </m:rPr>
                      <w:rPr>
                        <w:rFonts w:ascii="Cambria Math" w:hAnsi="Cambria Math"/>
                        <w:lang w:val="en-US"/>
                      </w:rPr>
                      <m:t>0</m:t>
                    </m:r>
                  </m:sub>
                </m:sSub>
                <m:d>
                  <m:dPr>
                    <m:ctrlPr>
                      <w:rPr>
                        <w:rFonts w:ascii="Cambria Math" w:hAnsi="Cambria Math"/>
                        <w:lang w:val="en-US"/>
                      </w:rPr>
                    </m:ctrlPr>
                  </m:dPr>
                  <m:e>
                    <m:sSub>
                      <m:sSubPr>
                        <m:ctrlPr>
                          <w:rPr>
                            <w:rFonts w:ascii="Cambria Math" w:hAnsi="Cambria Math"/>
                            <w:lang w:val="en-US"/>
                          </w:rPr>
                        </m:ctrlPr>
                      </m:sSubPr>
                      <m:e>
                        <m:r>
                          <w:rPr>
                            <w:rFonts w:ascii="Cambria Math" w:hAnsi="Cambria Math"/>
                            <w:lang w:val="en-US"/>
                          </w:rPr>
                          <m:t>C</m:t>
                        </m:r>
                      </m:e>
                      <m:sub>
                        <m:r>
                          <m:rPr>
                            <m:sty m:val="p"/>
                          </m:rPr>
                          <w:rPr>
                            <w:rFonts w:ascii="Cambria Math" w:hAnsi="Cambria Math"/>
                            <w:lang w:val="en-US"/>
                          </w:rPr>
                          <m:t>3</m:t>
                        </m:r>
                      </m:sub>
                    </m:sSub>
                    <m:sSup>
                      <m:sSupPr>
                        <m:ctrlPr>
                          <w:rPr>
                            <w:rFonts w:ascii="Cambria Math" w:hAnsi="Cambria Math"/>
                            <w:lang w:val="en-US"/>
                          </w:rPr>
                        </m:ctrlPr>
                      </m:sSupPr>
                      <m:e>
                        <m:r>
                          <w:rPr>
                            <w:rFonts w:ascii="Cambria Math" w:hAnsi="Cambria Math"/>
                            <w:lang w:val="en-US"/>
                          </w:rPr>
                          <m:t>e</m:t>
                        </m:r>
                        <m:ctrlPr>
                          <w:rPr>
                            <w:rFonts w:ascii="Cambria Math" w:hAnsi="Cambria Math"/>
                            <w:i/>
                            <w:lang w:val="en-US"/>
                          </w:rPr>
                        </m:ctrlPr>
                      </m:e>
                      <m:sup>
                        <m:sSub>
                          <m:sSubPr>
                            <m:ctrlPr>
                              <w:rPr>
                                <w:rFonts w:ascii="Cambria Math" w:hAnsi="Cambria Math"/>
                                <w:lang w:val="en-US"/>
                              </w:rPr>
                            </m:ctrlPr>
                          </m:sSubPr>
                          <m:e>
                            <m:r>
                              <w:rPr>
                                <w:rFonts w:ascii="Cambria Math" w:hAnsi="Cambria Math"/>
                                <w:lang w:val="en-US"/>
                              </w:rPr>
                              <m:t>r</m:t>
                            </m:r>
                          </m:e>
                          <m:sub>
                            <m:r>
                              <m:rPr>
                                <m:sty m:val="p"/>
                              </m:rPr>
                              <w:rPr>
                                <w:rFonts w:ascii="Cambria Math" w:hAnsi="Cambria Math"/>
                                <w:lang w:val="en-US"/>
                              </w:rPr>
                              <m:t>1</m:t>
                            </m:r>
                          </m:sub>
                        </m:sSub>
                        <m:r>
                          <w:rPr>
                            <w:rFonts w:ascii="Cambria Math" w:hAnsi="Cambria Math"/>
                            <w:lang w:val="en-US"/>
                          </w:rPr>
                          <m:t>t</m:t>
                        </m:r>
                      </m:sup>
                    </m:sSup>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C</m:t>
                        </m:r>
                      </m:e>
                      <m:sub>
                        <m:r>
                          <m:rPr>
                            <m:sty m:val="p"/>
                          </m:rPr>
                          <w:rPr>
                            <w:rFonts w:ascii="Cambria Math" w:hAnsi="Cambria Math"/>
                            <w:lang w:val="en-US"/>
                          </w:rPr>
                          <m:t>4</m:t>
                        </m:r>
                      </m:sub>
                    </m:sSub>
                    <m:sSup>
                      <m:sSupPr>
                        <m:ctrlPr>
                          <w:rPr>
                            <w:rFonts w:ascii="Cambria Math" w:hAnsi="Cambria Math"/>
                            <w:lang w:val="en-US"/>
                          </w:rPr>
                        </m:ctrlPr>
                      </m:sSupPr>
                      <m:e>
                        <m:r>
                          <w:rPr>
                            <w:rFonts w:ascii="Cambria Math" w:hAnsi="Cambria Math"/>
                            <w:lang w:val="en-US"/>
                          </w:rPr>
                          <m:t>e</m:t>
                        </m:r>
                        <m:ctrlPr>
                          <w:rPr>
                            <w:rFonts w:ascii="Cambria Math" w:hAnsi="Cambria Math"/>
                            <w:i/>
                            <w:lang w:val="en-US"/>
                          </w:rPr>
                        </m:ctrlPr>
                      </m:e>
                      <m:sup>
                        <m:sSub>
                          <m:sSubPr>
                            <m:ctrlPr>
                              <w:rPr>
                                <w:rFonts w:ascii="Cambria Math" w:hAnsi="Cambria Math"/>
                                <w:lang w:val="en-US"/>
                              </w:rPr>
                            </m:ctrlPr>
                          </m:sSubPr>
                          <m:e>
                            <m:r>
                              <w:rPr>
                                <w:rFonts w:ascii="Cambria Math" w:hAnsi="Cambria Math"/>
                                <w:lang w:val="en-US"/>
                              </w:rPr>
                              <m:t>r</m:t>
                            </m:r>
                          </m:e>
                          <m:sub>
                            <m:r>
                              <m:rPr>
                                <m:sty m:val="p"/>
                              </m:rPr>
                              <w:rPr>
                                <w:rFonts w:ascii="Cambria Math" w:hAnsi="Cambria Math"/>
                                <w:lang w:val="en-US"/>
                              </w:rPr>
                              <m:t>2</m:t>
                            </m:r>
                          </m:sub>
                        </m:sSub>
                        <m:r>
                          <w:rPr>
                            <w:rFonts w:ascii="Cambria Math" w:hAnsi="Cambria Math"/>
                            <w:lang w:val="en-US"/>
                          </w:rPr>
                          <m:t>t</m:t>
                        </m:r>
                      </m:sup>
                    </m:sSup>
                  </m:e>
                </m:d>
                <m:r>
                  <w:rPr>
                    <w:rFonts w:ascii="Cambria Math" w:hAnsi="Cambria Math"/>
                    <w:lang w:val="en-US"/>
                  </w:rPr>
                  <m:t>,</m:t>
                </m:r>
              </m:oMath>
            </m:oMathPara>
          </w:p>
        </w:tc>
        <w:tc>
          <w:tcPr>
            <w:tcW w:w="804" w:type="dxa"/>
            <w:shd w:val="clear" w:color="auto" w:fill="auto"/>
            <w:vAlign w:val="center"/>
          </w:tcPr>
          <w:p w14:paraId="234393F4" w14:textId="0290A3C4" w:rsidR="00DB2C56" w:rsidRPr="00E7135D" w:rsidRDefault="00DB2C56" w:rsidP="001054DB">
            <w:pPr>
              <w:pStyle w:val="CETEquation"/>
              <w:jc w:val="right"/>
              <w:rPr>
                <w:lang w:val="en-US"/>
              </w:rPr>
            </w:pPr>
            <w:r w:rsidRPr="00E7135D">
              <w:rPr>
                <w:lang w:val="en-US"/>
              </w:rPr>
              <w:t>(</w:t>
            </w:r>
            <w:r w:rsidR="001054DB" w:rsidRPr="00E7135D">
              <w:rPr>
                <w:lang w:val="en-US"/>
              </w:rPr>
              <w:t>5</w:t>
            </w:r>
            <w:r w:rsidRPr="00E7135D">
              <w:rPr>
                <w:lang w:val="en-US"/>
              </w:rPr>
              <w:t>)</w:t>
            </w:r>
          </w:p>
        </w:tc>
      </w:tr>
    </w:tbl>
    <w:p w14:paraId="7A7AE5A9" w14:textId="2B0BCFAF" w:rsidR="00AF7139" w:rsidRPr="00E7135D" w:rsidRDefault="00F936B5" w:rsidP="00E51C65">
      <w:pPr>
        <w:pStyle w:val="CETBodytext"/>
      </w:pPr>
      <w:r w:rsidRPr="00E7135D">
        <w:t>w</w:t>
      </w:r>
      <w:r w:rsidR="00AF7139" w:rsidRPr="00E7135D">
        <w:t xml:space="preserve">here </w:t>
      </w:r>
      <m:oMath>
        <m:sSub>
          <m:sSubPr>
            <m:ctrlPr>
              <w:rPr>
                <w:rFonts w:ascii="Cambria Math" w:hAnsi="Cambria Math"/>
              </w:rPr>
            </m:ctrlPr>
          </m:sSubPr>
          <m:e>
            <m:r>
              <w:rPr>
                <w:rFonts w:ascii="Cambria Math" w:hAnsi="Cambria Math"/>
              </w:rPr>
              <m:t>c</m:t>
            </m:r>
          </m:e>
          <m:sub>
            <m:r>
              <w:rPr>
                <w:rFonts w:ascii="Cambria Math" w:hAnsi="Cambria Math"/>
              </w:rPr>
              <m:t>β</m:t>
            </m:r>
            <m:r>
              <m:rPr>
                <m:sty m:val="p"/>
              </m:rPr>
              <w:rPr>
                <w:rFonts w:ascii="Cambria Math" w:hAnsi="Cambria Math"/>
              </w:rPr>
              <m:t>0</m:t>
            </m:r>
          </m:sub>
        </m:sSub>
      </m:oMath>
      <w:r w:rsidR="00AF7139" w:rsidRPr="00E7135D">
        <w:t xml:space="preserve"> is the initial concentration of the solute in the solid, and </w:t>
      </w:r>
      <m:oMath>
        <m:r>
          <w:rPr>
            <w:rFonts w:ascii="Cambria Math" w:hAnsi="Cambria Math"/>
          </w:rPr>
          <m:t>t</m:t>
        </m:r>
      </m:oMath>
      <w:r w:rsidR="00AF7139" w:rsidRPr="00E7135D">
        <w:t xml:space="preserve"> represents the time.</w:t>
      </w:r>
      <w:r w:rsidR="00F95EC7" w:rsidRPr="00E7135D">
        <w:t xml:space="preserve"> The </w:t>
      </w:r>
      <w:r w:rsidR="005D2508" w:rsidRPr="00E7135D">
        <w:t>coefficients</w:t>
      </w:r>
      <w:r w:rsidR="00AF7139" w:rsidRPr="00E7135D">
        <w:t xml:space="preserve"> </w:t>
      </w:r>
      <m:oMath>
        <m:sSub>
          <m:sSubPr>
            <m:ctrlPr>
              <w:rPr>
                <w:rFonts w:ascii="Cambria Math" w:hAnsi="Cambria Math"/>
              </w:rPr>
            </m:ctrlPr>
          </m:sSubPr>
          <m:e>
            <m:r>
              <w:rPr>
                <w:rFonts w:ascii="Cambria Math" w:hAnsi="Cambria Math"/>
              </w:rPr>
              <m:t>C</m:t>
            </m:r>
          </m:e>
          <m:sub>
            <m:r>
              <m:rPr>
                <m:sty m:val="p"/>
              </m:rPr>
              <w:rPr>
                <w:rFonts w:ascii="Cambria Math" w:hAnsi="Cambria Math"/>
              </w:rPr>
              <m:t>1</m:t>
            </m:r>
          </m:sub>
        </m:sSub>
      </m:oMath>
      <w:r w:rsidR="005B74BA" w:rsidRPr="00E7135D">
        <w:t xml:space="preserve">, </w:t>
      </w:r>
      <m:oMath>
        <m:sSub>
          <m:sSubPr>
            <m:ctrlPr>
              <w:rPr>
                <w:rFonts w:ascii="Cambria Math" w:hAnsi="Cambria Math"/>
              </w:rPr>
            </m:ctrlPr>
          </m:sSubPr>
          <m:e>
            <m:r>
              <w:rPr>
                <w:rFonts w:ascii="Cambria Math" w:hAnsi="Cambria Math"/>
              </w:rPr>
              <m:t>C</m:t>
            </m:r>
          </m:e>
          <m:sub>
            <m:r>
              <m:rPr>
                <m:sty m:val="p"/>
              </m:rPr>
              <w:rPr>
                <w:rFonts w:ascii="Cambria Math" w:hAnsi="Cambria Math"/>
              </w:rPr>
              <m:t>2</m:t>
            </m:r>
          </m:sub>
        </m:sSub>
      </m:oMath>
      <w:r w:rsidR="00D03B66" w:rsidRPr="00E7135D">
        <w:t>,</w:t>
      </w:r>
      <w:r w:rsidR="00AF7139" w:rsidRPr="00E7135D">
        <w:t xml:space="preserve"> </w:t>
      </w:r>
      <m:oMath>
        <m:sSub>
          <m:sSubPr>
            <m:ctrlPr>
              <w:rPr>
                <w:rFonts w:ascii="Cambria Math" w:hAnsi="Cambria Math"/>
              </w:rPr>
            </m:ctrlPr>
          </m:sSubPr>
          <m:e>
            <m:r>
              <w:rPr>
                <w:rFonts w:ascii="Cambria Math" w:hAnsi="Cambria Math"/>
              </w:rPr>
              <m:t>C</m:t>
            </m:r>
          </m:e>
          <m:sub>
            <m:r>
              <m:rPr>
                <m:sty m:val="p"/>
              </m:rPr>
              <w:rPr>
                <w:rFonts w:ascii="Cambria Math" w:hAnsi="Cambria Math"/>
              </w:rPr>
              <m:t>3</m:t>
            </m:r>
          </m:sub>
        </m:sSub>
      </m:oMath>
      <w:r w:rsidR="00D03B66" w:rsidRPr="00E7135D">
        <w:t xml:space="preserve">, </w:t>
      </w:r>
      <m:oMath>
        <m:sSub>
          <m:sSubPr>
            <m:ctrlPr>
              <w:rPr>
                <w:rFonts w:ascii="Cambria Math" w:hAnsi="Cambria Math"/>
              </w:rPr>
            </m:ctrlPr>
          </m:sSubPr>
          <m:e>
            <m:r>
              <w:rPr>
                <w:rFonts w:ascii="Cambria Math" w:hAnsi="Cambria Math"/>
              </w:rPr>
              <m:t>C</m:t>
            </m:r>
          </m:e>
          <m:sub>
            <m:r>
              <m:rPr>
                <m:sty m:val="p"/>
              </m:rPr>
              <w:rPr>
                <w:rFonts w:ascii="Cambria Math" w:hAnsi="Cambria Math"/>
              </w:rPr>
              <m:t>4</m:t>
            </m:r>
          </m:sub>
        </m:sSub>
      </m:oMath>
      <w:r w:rsidR="00D03B66" w:rsidRPr="00E7135D">
        <w:t xml:space="preserve">, </w:t>
      </w:r>
      <m:oMath>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 xml:space="preserve">, </m:t>
        </m:r>
      </m:oMath>
      <w:r w:rsidR="00AF7139" w:rsidRPr="00E7135D">
        <w:t xml:space="preserve">and </w:t>
      </w:r>
      <m:oMath>
        <m:sSub>
          <m:sSubPr>
            <m:ctrlPr>
              <w:rPr>
                <w:rFonts w:ascii="Cambria Math" w:hAnsi="Cambria Math"/>
              </w:rPr>
            </m:ctrlPr>
          </m:sSubPr>
          <m:e>
            <m:r>
              <w:rPr>
                <w:rFonts w:ascii="Cambria Math" w:hAnsi="Cambria Math"/>
              </w:rPr>
              <m:t>r</m:t>
            </m:r>
          </m:e>
          <m:sub>
            <m:r>
              <m:rPr>
                <m:sty m:val="p"/>
              </m:rPr>
              <w:rPr>
                <w:rFonts w:ascii="Cambria Math" w:hAnsi="Cambria Math"/>
              </w:rPr>
              <m:t>2</m:t>
            </m:r>
          </m:sub>
        </m:sSub>
      </m:oMath>
      <w:r w:rsidR="00AF7139" w:rsidRPr="00E7135D">
        <w:t xml:space="preserve"> represent dimensionless constants in the model.</w:t>
      </w:r>
    </w:p>
    <w:p w14:paraId="172C99C8" w14:textId="7606AB92" w:rsidR="002739BA" w:rsidRPr="00E7135D" w:rsidRDefault="002739BA" w:rsidP="00FC2284">
      <w:pPr>
        <w:pStyle w:val="CETheadingx"/>
      </w:pPr>
      <w:r w:rsidRPr="00E7135D">
        <w:t>Experimental</w:t>
      </w:r>
      <w:r w:rsidR="00F936B5" w:rsidRPr="00E7135D">
        <w:t xml:space="preserve"> methodology</w:t>
      </w:r>
    </w:p>
    <w:p w14:paraId="1AE71B7E" w14:textId="4C7FD1F3" w:rsidR="002739BA" w:rsidRPr="00E7135D" w:rsidRDefault="009E4793" w:rsidP="00FC2284">
      <w:pPr>
        <w:pStyle w:val="CETHeadingxx"/>
      </w:pPr>
      <w:r w:rsidRPr="00E7135D">
        <w:t xml:space="preserve">Extraction of phenolic </w:t>
      </w:r>
      <w:r w:rsidR="00700114" w:rsidRPr="00E7135D">
        <w:t>compounds for the nutraceutical beverage</w:t>
      </w:r>
    </w:p>
    <w:p w14:paraId="2937E64E" w14:textId="53BD06B7" w:rsidR="00472756" w:rsidRPr="00E7135D" w:rsidRDefault="00237B95" w:rsidP="00BC1452">
      <w:pPr>
        <w:pStyle w:val="CETBodytext"/>
      </w:pPr>
      <w:r w:rsidRPr="00E7135D">
        <w:t>Figure 1 depicts the production process of the nutraceutical beverage, from the plants drying to the extraction of the phenolic compoun</w:t>
      </w:r>
      <w:r w:rsidR="0030592F" w:rsidRPr="00E7135D">
        <w:t>ds in an aqueous medium at atmospheric pressure</w:t>
      </w:r>
      <w:r w:rsidRPr="00E7135D">
        <w:t xml:space="preserve">. The feed stream (stream 4) comprises a mix of Cocoa Husk (stream 1), </w:t>
      </w:r>
      <w:r w:rsidRPr="00E7135D">
        <w:rPr>
          <w:i/>
          <w:iCs/>
        </w:rPr>
        <w:t xml:space="preserve">Ilex </w:t>
      </w:r>
      <w:r w:rsidR="005144A5" w:rsidRPr="00E7135D">
        <w:rPr>
          <w:i/>
          <w:iCs/>
        </w:rPr>
        <w:t>g</w:t>
      </w:r>
      <w:r w:rsidRPr="00E7135D">
        <w:rPr>
          <w:i/>
          <w:iCs/>
        </w:rPr>
        <w:t>uayusa</w:t>
      </w:r>
      <w:r w:rsidRPr="00E7135D">
        <w:t xml:space="preserve"> (stream 2), and </w:t>
      </w:r>
      <w:r w:rsidRPr="00E7135D">
        <w:rPr>
          <w:i/>
          <w:iCs/>
        </w:rPr>
        <w:t xml:space="preserve">Vernonanthura </w:t>
      </w:r>
      <w:r w:rsidR="005144A5" w:rsidRPr="00E7135D">
        <w:rPr>
          <w:i/>
          <w:iCs/>
        </w:rPr>
        <w:t>p</w:t>
      </w:r>
      <w:r w:rsidRPr="00E7135D">
        <w:rPr>
          <w:i/>
          <w:iCs/>
        </w:rPr>
        <w:t>atens</w:t>
      </w:r>
      <w:r w:rsidRPr="00E7135D">
        <w:t xml:space="preserve"> (stream 3)</w:t>
      </w:r>
      <w:r w:rsidR="00914A05" w:rsidRPr="00E7135D">
        <w:t xml:space="preserve"> in a  ratio of 1:1:1</w:t>
      </w:r>
      <w:r w:rsidR="005E6122" w:rsidRPr="00E7135D">
        <w:rPr>
          <w:noProof/>
        </w:rPr>
        <w:t xml:space="preserve"> </w:t>
      </w:r>
      <w:r w:rsidR="005E6122" w:rsidRPr="00E7135D">
        <w:rPr>
          <w:noProof/>
        </w:rPr>
        <w:fldChar w:fldCharType="begin" w:fldLock="1"/>
      </w:r>
      <w:r w:rsidR="00ED0333" w:rsidRPr="00E7135D">
        <w:rPr>
          <w:noProof/>
        </w:rPr>
        <w:instrText>ADDIN CSL_CITATION {"citationItems":[{"id":"ITEM-1","itemData":{"DOI":"https://doi.org/10.1016/j.jfoodeng.2022.111341","ISSN":"0260-8774","abstract":"Feed characterization in the food industry has significant variability due to the complexity of its composition. This variability influences the product quality and the process equipment sizing. Uncertainty analyses permit to assess such variations when designing food processing equipment. Because standalone codes are built to run the system's simulation, computational solutions are limited to specific feed characterizations. In this work, a framework for sizing equipment including feedstock uncertainty in food engineering applications is proposed. A tray dryer which dries a mixture of plants to produce a nutraceutical beverage is evaluated. This approach integrates a commercial process simulation software to generate physicochemical properties of complex compounds and a scientific computing environment to evaluate uncertainty in the feed stream. For the case study, considerable variability was observed in terms of the dryer volume (6.68–29.95%), energy consumption (5.72–25.43%), and CAPEX (3.52%–14.00%) when compared to the base case. The integrated platform provides a reliable operational envelope that can be used for sizing, monitoring, and optimization purposes and it can be adapted to other unit operations in the food industry.","author":[{"dropping-particle":"","family":"Espinoza-Vasquez","given":"Alexander P","non-dropping-particle":"","parse-names":false,"suffix":""},{"dropping-particle":"","family":"Galatro","given":"Daniela","non-dropping-particle":"","parse-names":false,"suffix":""},{"dropping-particle":"","family":"Manzano","given":"Patricia","non-dropping-particle":"","parse-names":false,"suffix":""},{"dropping-particle":"","family":"Choez-Guaranda","given":"Ivan","non-dropping-particle":"","parse-names":false,"suffix":""},{"dropping-particle":"","family":"Cevallos","given":"Juan M","non-dropping-particle":"","parse-names":false,"suffix":""},{"dropping-particle":"","family":"Salas","given":"Santiago D","non-dropping-particle":"","parse-names":false,"suffix":""},{"dropping-particle":"","family":"Gonzalez","given":"Yris","non-dropping-particle":"","parse-names":false,"suffix":""}],"container-title":"Journal of Food Engineering","id":"ITEM-1","issued":{"date-parts":[["2023"]]},"page":"111341","title":"Tray dryer design under feed uncertainty: A case study on a nutraceutical beverage","type":"article-journal","volume":"341"},"uris":["http://www.mendeley.com/documents/?uuid=c0ba50c1-d695-481c-995e-1250e95c8c83"]}],"mendeley":{"formattedCitation":"(Espinoza-Vasquez et al., 2023)","plainTextFormattedCitation":"(Espinoza-Vasquez et al., 2023)","previouslyFormattedCitation":"(Espinoza-Vasquez et al., 2023)"},"properties":{"noteIndex":0},"schema":"https://github.com/citation-style-language/schema/raw/master/csl-citation.json"}</w:instrText>
      </w:r>
      <w:r w:rsidR="005E6122" w:rsidRPr="00E7135D">
        <w:rPr>
          <w:noProof/>
        </w:rPr>
        <w:fldChar w:fldCharType="separate"/>
      </w:r>
      <w:r w:rsidR="005E6122" w:rsidRPr="00E7135D">
        <w:rPr>
          <w:noProof/>
        </w:rPr>
        <w:t>(Espinoza-Vasquez et al., 2023)</w:t>
      </w:r>
      <w:r w:rsidR="005E6122" w:rsidRPr="00E7135D">
        <w:rPr>
          <w:noProof/>
        </w:rPr>
        <w:fldChar w:fldCharType="end"/>
      </w:r>
      <w:r w:rsidRPr="00E7135D">
        <w:t xml:space="preserve">. Stream 4 feeds a dryer (DE-101) to reduce the moisture content </w:t>
      </w:r>
      <w:r w:rsidRPr="00E7135D">
        <w:lastRenderedPageBreak/>
        <w:t xml:space="preserve">to less than 12% at a constant temperature. The dryer is supported by a heat exchanger, which heats the air (stream 5) from ambient temperature to 45°C (stream 6). Subsequently, the dry stream (stream 8) enters a mill (stream 9) to reduce the particle size </w:t>
      </w:r>
      <w:r w:rsidR="007A6C22" w:rsidRPr="00E7135D">
        <w:t>(</w:t>
      </w:r>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-5</m:t>
            </m:r>
          </m:sup>
        </m:sSup>
        <m:r>
          <m:rPr>
            <m:sty m:val="p"/>
          </m:rPr>
          <w:rPr>
            <w:rFonts w:ascii="Cambria Math" w:hAnsi="Cambria Math"/>
            <w:vertAlign w:val="superscript"/>
          </w:rPr>
          <m:t xml:space="preserve"> </m:t>
        </m:r>
      </m:oMath>
      <w:r w:rsidR="00CB0EE4" w:rsidRPr="00E7135D">
        <w:t xml:space="preserve">- </w:t>
      </w:r>
      <m:oMath>
        <m:r>
          <m:rPr>
            <m:sty m:val="p"/>
          </m:rPr>
          <w:rPr>
            <w:rFonts w:ascii="Cambria Math" w:hAnsi="Cambria Math"/>
          </w:rPr>
          <m:t>5×</m:t>
        </m:r>
        <m:sSup>
          <m:sSupPr>
            <m:ctrlPr>
              <w:rPr>
                <w:rFonts w:ascii="Cambria Math" w:hAnsi="Cambria Math"/>
              </w:rPr>
            </m:ctrlPr>
          </m:sSupPr>
          <m:e>
            <m:r>
              <m:rPr>
                <m:sty m:val="p"/>
              </m:rPr>
              <w:rPr>
                <w:rFonts w:ascii="Cambria Math" w:hAnsi="Cambria Math"/>
              </w:rPr>
              <m:t>10</m:t>
            </m:r>
          </m:e>
          <m:sup>
            <m:r>
              <w:rPr>
                <w:rFonts w:ascii="Cambria Math" w:hAnsi="Cambria Math"/>
              </w:rPr>
              <m:t>-4</m:t>
            </m:r>
          </m:sup>
        </m:sSup>
      </m:oMath>
      <w:r w:rsidR="007473FB" w:rsidRPr="00E7135D">
        <w:t xml:space="preserve"> </w:t>
      </w:r>
      <w:r w:rsidR="007A6C22" w:rsidRPr="00E7135D">
        <w:t xml:space="preserve">m) </w:t>
      </w:r>
      <w:r w:rsidR="0029424E" w:rsidRPr="00E7135D">
        <w:t xml:space="preserve">to increase the transfer area (stream 9). Stream 9 enters a sieve (S-101) to ensure suitable particle size before arriving at the extractor. Stream 10 represents the fine solids, while stream 11 represents the coarse solids that must be back in the mill. </w:t>
      </w:r>
      <w:r w:rsidR="0029424E" w:rsidRPr="00E7135D">
        <w:rPr>
          <w:color w:val="000000" w:themeColor="text1"/>
        </w:rPr>
        <w:t>Finally, stream 10 feeds an extractor (E-101</w:t>
      </w:r>
      <w:r w:rsidR="001F1360" w:rsidRPr="00E7135D">
        <w:rPr>
          <w:color w:val="000000" w:themeColor="text1"/>
        </w:rPr>
        <w:t xml:space="preserve">), where the </w:t>
      </w:r>
      <w:r w:rsidR="0029424E" w:rsidRPr="00E7135D">
        <w:rPr>
          <w:color w:val="000000" w:themeColor="text1"/>
        </w:rPr>
        <w:t>heat exchanger (HX-102) preheats the water (stream 12) to a temperature of 60°</w:t>
      </w:r>
      <w:r w:rsidR="00F176A8" w:rsidRPr="00E7135D">
        <w:rPr>
          <w:color w:val="000000" w:themeColor="text1"/>
        </w:rPr>
        <w:t xml:space="preserve"> </w:t>
      </w:r>
      <w:r w:rsidR="0029424E" w:rsidRPr="00E7135D">
        <w:rPr>
          <w:color w:val="000000" w:themeColor="text1"/>
        </w:rPr>
        <w:t>and enters the extractor</w:t>
      </w:r>
      <w:r w:rsidR="001F1360" w:rsidRPr="00E7135D">
        <w:rPr>
          <w:color w:val="000000" w:themeColor="text1"/>
        </w:rPr>
        <w:t xml:space="preserve"> using a ratio of 1:10 (w/s)</w:t>
      </w:r>
      <w:r w:rsidR="0029424E" w:rsidRPr="00E7135D">
        <w:rPr>
          <w:color w:val="000000" w:themeColor="text1"/>
        </w:rPr>
        <w:t xml:space="preserve">. </w:t>
      </w:r>
      <w:r w:rsidR="0029424E" w:rsidRPr="00E7135D">
        <w:t>The extractor operates for 15 minutes to extract the phenol content from the milling of plants</w:t>
      </w:r>
      <w:r w:rsidR="00885973" w:rsidRPr="00E7135D">
        <w:t>.</w:t>
      </w:r>
      <w:r w:rsidR="0029424E" w:rsidRPr="00E7135D">
        <w:t xml:space="preserve"> </w:t>
      </w:r>
      <w:r w:rsidR="00885973" w:rsidRPr="00E7135D">
        <w:t>T</w:t>
      </w:r>
      <w:r w:rsidR="0029424E" w:rsidRPr="00E7135D">
        <w:t>he outlet stream from the digester (stream14) is filtered in the filter (P-101), separating the residue husk (stream 16) and the beverage (stream 15)</w:t>
      </w:r>
      <w:r w:rsidR="00ED0333" w:rsidRPr="00E7135D">
        <w:t xml:space="preserve"> </w:t>
      </w:r>
      <w:r w:rsidR="00ED0333" w:rsidRPr="00E7135D">
        <w:fldChar w:fldCharType="begin" w:fldLock="1"/>
      </w:r>
      <w:r w:rsidR="00ED0333" w:rsidRPr="00E7135D">
        <w:instrText>ADDIN CSL_CITATION {"citationItems":[{"id":"ITEM-1","itemData":{"abstract":"Cocoa bean shell (CBS) is a by-product with aromatic characteristics that can enhance the aroma and bioactivity of herbal infusions. This study was aimed to determine the effect of the addition of cocoa bean shell on the metabolite profile and antioxidant activity of infusions made with Ilex guayusa and Vernonanthura patens and their mixtures. Metabolite profile was analyzed by gas chromatography-mass spectrometry combined with multivariate analysis. Total polyphenol content and flavonoids were determined by the Folin-Ciocalteu method and by the flavonoid-AlCl3 complex, respectively. Antioxidant activities were measured by the decolorization assay of the 2,2-diphenyl-1-picrylhydrazyl radical and the ferric reducing antioxidant power. The results revealed that the addition of CBS increases the content of phenolic acids in the infusions (caffeic acid, 4-hydroxybenzoic acid, and pyrocatechol). Nonetheless, the antioxidant activity of the infusions decreased with the addition of CBS (16.21 to 2.74 TEAC). Carboxylic acids and derivatives, major compounds present in the infusions prepared with V. patens, were the metabolites that showed the highest correlation with the antioxidant activity. This study suggests that the infusions made with CBS present a profile of metabolites different from the infusions of I. guayusa, V. patens, and their mixtures.","author":[{"dropping-particle":"","family":"Quijano-Avilés","given":"Maria","non-dropping-particle":"","parse-names":false,"suffix":""},{"dropping-particle":"","family":"Chóez-Guaranda","given":"Ivan","non-dropping-particle":"","parse-names":false,"suffix":""},{"dropping-particle":"","family":"Viteri","given":"Rafael","non-dropping-particle":"","parse-names":false,"suffix":""},{"dropping-particle":"","family":"Barragán-Lucas","given":"Ana","non-dropping-particle":"","parse-names":false,"suffix":""},{"dropping-particle":"","family":"Sosa","given":"Daynet","non-dropping-particle":"","parse-names":false,"suffix":""},{"dropping-particle":"","family":"Manzano","given":"Patricia","non-dropping-particle":"","parse-names":false,"suffix":""}],"container-title":"International Journal of Food Science","id":"ITEM-1","issued":{"date-parts":[["2021"]]},"publisher":"Hindawi Limited","title":"Effect of Cocoa Bean Shell Addition on Metabolite Profile and Antioxidant Activity of Herbal Infusions","type":"article-journal","volume":"9915797"},"uris":["http://www.mendeley.com/documents/?uuid=3aaf7646-965a-426c-bddd-927b417cd235"]}],"mendeley":{"formattedCitation":"(Quijano-Avilés et al., 2021)","plainTextFormattedCitation":"(Quijano-Avilés et al., 2021)","previouslyFormattedCitation":"(Quijano-Avilés et al., 2021)"},"properties":{"noteIndex":0},"schema":"https://github.com/citation-style-language/schema/raw/master/csl-citation.json"}</w:instrText>
      </w:r>
      <w:r w:rsidR="00ED0333" w:rsidRPr="00E7135D">
        <w:fldChar w:fldCharType="separate"/>
      </w:r>
      <w:r w:rsidR="00ED0333" w:rsidRPr="00E7135D">
        <w:rPr>
          <w:noProof/>
        </w:rPr>
        <w:t>(Quijano-Avilés et al., 2021)</w:t>
      </w:r>
      <w:r w:rsidR="00ED0333" w:rsidRPr="00E7135D">
        <w:fldChar w:fldCharType="end"/>
      </w:r>
      <w:r w:rsidR="00C00C1A" w:rsidRPr="00E7135D">
        <w:t>.</w:t>
      </w: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74"/>
        <w:gridCol w:w="13"/>
      </w:tblGrid>
      <w:tr w:rsidR="002739BA" w:rsidRPr="00E7135D" w14:paraId="5E5AE94F" w14:textId="77777777" w:rsidTr="00315062">
        <w:trPr>
          <w:trHeight w:val="2837"/>
        </w:trPr>
        <w:tc>
          <w:tcPr>
            <w:tcW w:w="8787" w:type="dxa"/>
            <w:gridSpan w:val="2"/>
          </w:tcPr>
          <w:p w14:paraId="20545559" w14:textId="4D5EB39F" w:rsidR="002739BA" w:rsidRPr="00E7135D" w:rsidRDefault="002739BA" w:rsidP="00FC2284">
            <w:pPr>
              <w:pStyle w:val="CETHeadingxx"/>
            </w:pPr>
            <w:r w:rsidRPr="00E7135D">
              <w:rPr>
                <w:noProof/>
              </w:rPr>
              <w:drawing>
                <wp:inline distT="0" distB="0" distL="0" distR="0" wp14:anchorId="451DC768" wp14:editId="7E9B15B5">
                  <wp:extent cx="5509411" cy="1728000"/>
                  <wp:effectExtent l="0" t="0" r="0" b="5715"/>
                  <wp:docPr id="3" name="Picture 3"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Esquemático&#10;&#10;Descripción generada automáticamente"/>
                          <pic:cNvPicPr/>
                        </pic:nvPicPr>
                        <pic:blipFill>
                          <a:blip r:embed="rId10"/>
                          <a:stretch>
                            <a:fillRect/>
                          </a:stretch>
                        </pic:blipFill>
                        <pic:spPr>
                          <a:xfrm>
                            <a:off x="0" y="0"/>
                            <a:ext cx="5509411" cy="1728000"/>
                          </a:xfrm>
                          <a:prstGeom prst="rect">
                            <a:avLst/>
                          </a:prstGeom>
                        </pic:spPr>
                      </pic:pic>
                    </a:graphicData>
                  </a:graphic>
                </wp:inline>
              </w:drawing>
            </w:r>
          </w:p>
        </w:tc>
      </w:tr>
      <w:tr w:rsidR="001148D5" w:rsidRPr="00E7135D" w14:paraId="26D304D2" w14:textId="77777777" w:rsidTr="00315062">
        <w:trPr>
          <w:gridAfter w:val="1"/>
          <w:wAfter w:w="13" w:type="dxa"/>
          <w:trHeight w:val="299"/>
        </w:trPr>
        <w:tc>
          <w:tcPr>
            <w:tcW w:w="8774" w:type="dxa"/>
          </w:tcPr>
          <w:p w14:paraId="2AEED0F5" w14:textId="77777777" w:rsidR="001148D5" w:rsidRPr="00E7135D" w:rsidRDefault="001148D5">
            <w:pPr>
              <w:pStyle w:val="CETCaption"/>
              <w:rPr>
                <w:lang w:val="en-US"/>
              </w:rPr>
            </w:pPr>
            <w:r w:rsidRPr="00E7135D">
              <w:rPr>
                <w:rStyle w:val="CETCaptionCarattere"/>
                <w:i/>
                <w:lang w:val="en-US"/>
              </w:rPr>
              <w:t>Figure 1: Production process of the nutraceutical beverage or extraction of phenol compounds</w:t>
            </w:r>
          </w:p>
        </w:tc>
      </w:tr>
    </w:tbl>
    <w:p w14:paraId="16D7E93C" w14:textId="3C6DC3B0" w:rsidR="00F214E6" w:rsidRPr="00E7135D" w:rsidRDefault="00F214E6" w:rsidP="00FC2284">
      <w:pPr>
        <w:pStyle w:val="CETHeadingxx"/>
      </w:pPr>
      <w:r w:rsidRPr="00E7135D">
        <w:t>Quantification of phenolic compounds</w:t>
      </w:r>
    </w:p>
    <w:p w14:paraId="111E5DB8" w14:textId="7F5B39D0" w:rsidR="006001F0" w:rsidRPr="00E7135D" w:rsidRDefault="00631322" w:rsidP="007F0DD6">
      <w:pPr>
        <w:pStyle w:val="CETBodytext"/>
      </w:pPr>
      <w:r w:rsidRPr="00E7135D">
        <w:t>In the extraction stage for the nutraceutical beverage</w:t>
      </w:r>
      <w:r w:rsidR="000E4E4E" w:rsidRPr="00E7135D">
        <w:t xml:space="preserve">, 2 ml </w:t>
      </w:r>
      <w:r w:rsidR="003126D6" w:rsidRPr="00E7135D">
        <w:t>of samples were collected every 1.5 minutes during the 10.5 minutes of operation, ensuring the concentration in the solvent</w:t>
      </w:r>
      <w:r w:rsidR="00885973" w:rsidRPr="00E7135D">
        <w:t xml:space="preserve"> is constant</w:t>
      </w:r>
      <w:r w:rsidR="003126D6" w:rsidRPr="00E7135D">
        <w:t>. Additionally, a beverage sample is stored after 15 minutes of operation to determine the total concentration of phenolic compounds. The solute concentrations in the solvent phase are determined by the Folin-</w:t>
      </w:r>
      <w:proofErr w:type="spellStart"/>
      <w:r w:rsidR="003126D6" w:rsidRPr="00E7135D">
        <w:t>Ciocalteu</w:t>
      </w:r>
      <w:proofErr w:type="spellEnd"/>
      <w:r w:rsidR="003126D6" w:rsidRPr="00E7135D">
        <w:t xml:space="preserve"> method because plant phenolic compounds react with antioxidant agents. This method means mixing</w:t>
      </w:r>
      <w:r w:rsidR="000E4E4E" w:rsidRPr="00E7135D">
        <w:t xml:space="preserve"> 2uL of the extract with</w:t>
      </w:r>
      <w:r w:rsidR="0001284C" w:rsidRPr="00E7135D">
        <w:t xml:space="preserve"> 80 </w:t>
      </w:r>
      <w:proofErr w:type="spellStart"/>
      <w:r w:rsidR="0001284C" w:rsidRPr="00E7135D">
        <w:t>uL</w:t>
      </w:r>
      <w:proofErr w:type="spellEnd"/>
      <w:r w:rsidR="000E4E4E" w:rsidRPr="00E7135D">
        <w:t xml:space="preserve"> of 7.5% v/v sodium carbonate solution and</w:t>
      </w:r>
      <w:r w:rsidR="0001284C" w:rsidRPr="00E7135D">
        <w:t xml:space="preserve"> 100 </w:t>
      </w:r>
      <w:proofErr w:type="spellStart"/>
      <w:r w:rsidR="0001284C" w:rsidRPr="00E7135D">
        <w:t>uL</w:t>
      </w:r>
      <w:proofErr w:type="spellEnd"/>
      <w:r w:rsidR="000E4E4E" w:rsidRPr="00E7135D">
        <w:t xml:space="preserve"> of a Folin-</w:t>
      </w:r>
      <w:proofErr w:type="spellStart"/>
      <w:r w:rsidR="000E4E4E" w:rsidRPr="00E7135D">
        <w:t>Ciocalteu</w:t>
      </w:r>
      <w:proofErr w:type="spellEnd"/>
      <w:r w:rsidR="000E4E4E" w:rsidRPr="00E7135D">
        <w:t xml:space="preserve"> reagent solution at a 1:10 volumetric ratio</w:t>
      </w:r>
      <w:r w:rsidR="00ED0333" w:rsidRPr="00E7135D">
        <w:t xml:space="preserve"> </w:t>
      </w:r>
      <w:r w:rsidR="00ED0333" w:rsidRPr="00E7135D">
        <w:fldChar w:fldCharType="begin" w:fldLock="1"/>
      </w:r>
      <w:r w:rsidR="00ED0333" w:rsidRPr="00E7135D">
        <w:instrText>ADDIN CSL_CITATION {"citationItems":[{"id":"ITEM-1","itemData":{"abstract":"Cocoa bean shell (CBS) is a by-product with aromatic characteristics that can enhance the aroma and bioactivity of herbal infusions. This study was aimed to determine the effect of the addition of cocoa bean shell on the metabolite profile and antioxidant activity of infusions made with Ilex guayusa and Vernonanthura patens and their mixtures. Metabolite profile was analyzed by gas chromatography-mass spectrometry combined with multivariate analysis. Total polyphenol content and flavonoids were determined by the Folin-Ciocalteu method and by the flavonoid-AlCl3 complex, respectively. Antioxidant activities were measured by the decolorization assay of the 2,2-diphenyl-1-picrylhydrazyl radical and the ferric reducing antioxidant power. The results revealed that the addition of CBS increases the content of phenolic acids in the infusions (caffeic acid, 4-hydroxybenzoic acid, and pyrocatechol). Nonetheless, the antioxidant activity of the infusions decreased with the addition of CBS (16.21 to 2.74 TEAC). Carboxylic acids and derivatives, major compounds present in the infusions prepared with V. patens, were the metabolites that showed the highest correlation with the antioxidant activity. This study suggests that the infusions made with CBS present a profile of metabolites different from the infusions of I. guayusa, V. patens, and their mixtures.","author":[{"dropping-particle":"","family":"Quijano-Avilés","given":"Maria","non-dropping-particle":"","parse-names":false,"suffix":""},{"dropping-particle":"","family":"Chóez-Guaranda","given":"Ivan","non-dropping-particle":"","parse-names":false,"suffix":""},{"dropping-particle":"","family":"Viteri","given":"Rafael","non-dropping-particle":"","parse-names":false,"suffix":""},{"dropping-particle":"","family":"Barragán-Lucas","given":"Ana","non-dropping-particle":"","parse-names":false,"suffix":""},{"dropping-particle":"","family":"Sosa","given":"Daynet","non-dropping-particle":"","parse-names":false,"suffix":""},{"dropping-particle":"","family":"Manzano","given":"Patricia","non-dropping-particle":"","parse-names":false,"suffix":""}],"container-title":"International Journal of Food Science","id":"ITEM-1","issued":{"date-parts":[["2021"]]},"publisher":"Hindawi Limited","title":"Effect of Cocoa Bean Shell Addition on Metabolite Profile and Antioxidant Activity of Herbal Infusions","type":"article-journal","volume":"9915797"},"uris":["http://www.mendeley.com/documents/?uuid=3aaf7646-965a-426c-bddd-927b417cd235"]}],"mendeley":{"formattedCitation":"(Quijano-Avilés et al., 2021)","plainTextFormattedCitation":"(Quijano-Avilés et al., 2021)","previouslyFormattedCitation":"(Quijano-Avilés et al., 2021)"},"properties":{"noteIndex":0},"schema":"https://github.com/citation-style-language/schema/raw/master/csl-citation.json"}</w:instrText>
      </w:r>
      <w:r w:rsidR="00ED0333" w:rsidRPr="00E7135D">
        <w:fldChar w:fldCharType="separate"/>
      </w:r>
      <w:r w:rsidR="00ED0333" w:rsidRPr="00E7135D">
        <w:rPr>
          <w:noProof/>
        </w:rPr>
        <w:t>(Quijano-Avilés et al., 2021)</w:t>
      </w:r>
      <w:r w:rsidR="00ED0333" w:rsidRPr="00E7135D">
        <w:fldChar w:fldCharType="end"/>
      </w:r>
      <w:r w:rsidR="000E4E4E" w:rsidRPr="00E7135D">
        <w:t xml:space="preserve">. </w:t>
      </w:r>
      <w:r w:rsidR="00AE140A" w:rsidRPr="00E7135D">
        <w:t xml:space="preserve">The absorbance of the samples is measured using the </w:t>
      </w:r>
      <w:proofErr w:type="spellStart"/>
      <w:r w:rsidR="00AE140A" w:rsidRPr="00E7135D">
        <w:t>BioTek</w:t>
      </w:r>
      <w:proofErr w:type="spellEnd"/>
      <w:r w:rsidR="00AE140A" w:rsidRPr="00E7135D">
        <w:t xml:space="preserve"> </w:t>
      </w:r>
      <w:proofErr w:type="spellStart"/>
      <w:r w:rsidR="00AE140A" w:rsidRPr="00E7135D">
        <w:t>Cytation</w:t>
      </w:r>
      <w:proofErr w:type="spellEnd"/>
      <w:r w:rsidR="00AE140A" w:rsidRPr="00E7135D">
        <w:t>™ 5 instrument at a wavelength of</w:t>
      </w:r>
      <w:r w:rsidR="000E4E4E" w:rsidRPr="00E7135D">
        <w:t xml:space="preserve"> </w:t>
      </w:r>
      <m:oMath>
        <m:r>
          <m:rPr>
            <m:sty m:val="p"/>
          </m:rPr>
          <w:rPr>
            <w:rFonts w:ascii="Cambria Math" w:hAnsi="Cambria Math"/>
          </w:rPr>
          <m:t>760×</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-6</m:t>
            </m:r>
          </m:sup>
        </m:sSup>
        <m:r>
          <m:rPr>
            <m:sty m:val="p"/>
          </m:rPr>
          <w:rPr>
            <w:rFonts w:ascii="Cambria Math" w:hAnsi="Cambria Math"/>
          </w:rPr>
          <m:t xml:space="preserve"> m,</m:t>
        </m:r>
      </m:oMath>
      <w:r w:rsidR="000E4E4E" w:rsidRPr="00E7135D">
        <w:t xml:space="preserve">, </w:t>
      </w:r>
      <w:r w:rsidR="00913FE4" w:rsidRPr="00E7135D">
        <w:t>and the concentration is determined using a relation between absorbance and gallic acid concentration. Eq(6) shows the linear regression between absorbance and gallic acid concentration with a coefficient of determination of 0.991</w:t>
      </w:r>
      <w:r w:rsidR="00ED0333" w:rsidRPr="00E7135D">
        <w:t xml:space="preserve"> </w:t>
      </w:r>
      <w:r w:rsidR="00F13850" w:rsidRPr="00E7135D">
        <w:t xml:space="preserve"> </w:t>
      </w:r>
      <w:r w:rsidR="00ED0333" w:rsidRPr="00E7135D">
        <w:fldChar w:fldCharType="begin" w:fldLock="1"/>
      </w:r>
      <w:r w:rsidR="00ED0333" w:rsidRPr="00E7135D">
        <w:instrText>ADDIN CSL_CITATION {"citationItems":[{"id":"ITEM-1","itemData":{"author":[{"dropping-particle":"","family":"Patiño","given":"Oscar","non-dropping-particle":"","parse-names":false,"suffix":""},{"dropping-particle":"","family":"Prado","given":"Ginger","non-dropping-particle":"","parse-names":false,"suffix":""}],"id":"ITEM-1","issued":{"date-parts":[["2022"]]},"number-of-pages":"1-64","publisher":"ESCUELA SUPERIOR POLITÉCNICA DEL LITORAL Facultad","title":"Determinación de parámetros experimentales para un modelo de extracción sólido-líquido de una bebida nutracéutica. [Determination of experimental parameters for a solid-liquid extraction model of a nutraceutical beverage.]","type":"thesis"},"uris":["http://www.mendeley.com/documents/?uuid=9f65a4e6-0b56-4c4f-8b13-0a439d7187a7"]}],"mendeley":{"formattedCitation":"(Patiño &amp; Prado, 2022)","plainTextFormattedCitation":"(Patiño &amp; Prado, 2022)","previouslyFormattedCitation":"(Patiño &amp; Prado, 2022)"},"properties":{"noteIndex":0},"schema":"https://github.com/citation-style-language/schema/raw/master/csl-citation.json"}</w:instrText>
      </w:r>
      <w:r w:rsidR="00ED0333" w:rsidRPr="00E7135D">
        <w:fldChar w:fldCharType="separate"/>
      </w:r>
      <w:r w:rsidR="00ED0333" w:rsidRPr="00E7135D">
        <w:rPr>
          <w:noProof/>
        </w:rPr>
        <w:t>(Patiño &amp; Prado, 2022)</w:t>
      </w:r>
      <w:r w:rsidR="00ED0333" w:rsidRPr="00E7135D">
        <w:fldChar w:fldCharType="end"/>
      </w:r>
      <w:r w:rsidR="000E4E4E" w:rsidRPr="00E7135D">
        <w:t>.</w:t>
      </w:r>
    </w:p>
    <w:tbl>
      <w:tblPr>
        <w:tblW w:w="5000" w:type="pct"/>
        <w:tblLook w:val="04A0" w:firstRow="1" w:lastRow="0" w:firstColumn="1" w:lastColumn="0" w:noHBand="0" w:noVBand="1"/>
      </w:tblPr>
      <w:tblGrid>
        <w:gridCol w:w="7983"/>
        <w:gridCol w:w="804"/>
      </w:tblGrid>
      <w:tr w:rsidR="000B4493" w:rsidRPr="00E7135D" w14:paraId="45B3787B" w14:textId="77777777">
        <w:tc>
          <w:tcPr>
            <w:tcW w:w="7983" w:type="dxa"/>
            <w:shd w:val="clear" w:color="auto" w:fill="auto"/>
            <w:vAlign w:val="center"/>
          </w:tcPr>
          <w:p w14:paraId="2DDC761C" w14:textId="4FFB558D" w:rsidR="000B4493" w:rsidRPr="00E7135D" w:rsidRDefault="00000000">
            <w:pPr>
              <w:pStyle w:val="CETEquation"/>
              <w:rPr>
                <w:bCs/>
                <w:lang w:val="en-US"/>
              </w:rPr>
            </w:pPr>
            <m:oMathPara>
              <m:oMathParaPr>
                <m:jc m:val="left"/>
              </m:oMathParaPr>
              <m:oMath>
                <m:d>
                  <m:dPr>
                    <m:begChr m:val="["/>
                    <m:endChr m:val="]"/>
                    <m:ctrlPr>
                      <w:rPr>
                        <w:rFonts w:ascii="Cambria Math" w:hAnsi="Cambria Math"/>
                        <w:bCs/>
                        <w:i/>
                        <w:lang w:val="en-US"/>
                      </w:rPr>
                    </m:ctrlPr>
                  </m:dPr>
                  <m:e>
                    <m:r>
                      <w:rPr>
                        <w:rFonts w:ascii="Cambria Math" w:hAnsi="Cambria Math"/>
                        <w:lang w:val="en-US"/>
                      </w:rPr>
                      <m:t>c</m:t>
                    </m:r>
                  </m:e>
                </m:d>
                <m:r>
                  <m:rPr>
                    <m:sty m:val="p"/>
                  </m:rPr>
                  <w:rPr>
                    <w:rFonts w:ascii="Cambria Math" w:hAnsi="Cambria Math"/>
                    <w:lang w:val="en-US"/>
                  </w:rPr>
                  <m:t>=</m:t>
                </m:r>
                <m:d>
                  <m:dPr>
                    <m:ctrlPr>
                      <w:rPr>
                        <w:rFonts w:ascii="Cambria Math" w:hAnsi="Cambria Math"/>
                        <w:bCs/>
                        <w:lang w:val="en-US"/>
                      </w:rPr>
                    </m:ctrlPr>
                  </m:dPr>
                  <m:e>
                    <m:r>
                      <w:rPr>
                        <w:rFonts w:ascii="Cambria Math" w:hAnsi="Cambria Math"/>
                        <w:lang w:val="en-US"/>
                      </w:rPr>
                      <m:t>5.26*</m:t>
                    </m:r>
                    <m:sSup>
                      <m:sSupPr>
                        <m:ctrlPr>
                          <w:rPr>
                            <w:rFonts w:ascii="Cambria Math" w:hAnsi="Cambria Math"/>
                            <w:bCs/>
                            <w:i/>
                            <w:lang w:val="en-US"/>
                          </w:rPr>
                        </m:ctrlPr>
                      </m:sSupPr>
                      <m:e>
                        <m:r>
                          <w:rPr>
                            <w:rFonts w:ascii="Cambria Math" w:hAnsi="Cambria Math"/>
                            <w:lang w:val="en-US"/>
                          </w:rPr>
                          <m:t>10</m:t>
                        </m:r>
                      </m:e>
                      <m:sup>
                        <m:r>
                          <w:rPr>
                            <w:rFonts w:ascii="Cambria Math" w:hAnsi="Cambria Math"/>
                            <w:lang w:val="en-US"/>
                          </w:rPr>
                          <m:t>5</m:t>
                        </m:r>
                      </m:sup>
                    </m:sSup>
                    <m:ctrlPr>
                      <w:rPr>
                        <w:rFonts w:ascii="Cambria Math" w:hAnsi="Cambria Math"/>
                        <w:bCs/>
                        <w:i/>
                        <w:lang w:val="en-US"/>
                      </w:rPr>
                    </m:ctrlPr>
                  </m:e>
                </m:d>
                <m:r>
                  <w:rPr>
                    <w:rFonts w:ascii="Cambria Math" w:hAnsi="Cambria Math"/>
                    <w:lang w:val="en-US"/>
                  </w:rPr>
                  <m:t>*A-7.90*</m:t>
                </m:r>
                <m:sSup>
                  <m:sSupPr>
                    <m:ctrlPr>
                      <w:rPr>
                        <w:rFonts w:ascii="Cambria Math" w:hAnsi="Cambria Math"/>
                        <w:bCs/>
                        <w:i/>
                        <w:lang w:val="en-US"/>
                      </w:rPr>
                    </m:ctrlPr>
                  </m:sSupPr>
                  <m:e>
                    <m:r>
                      <w:rPr>
                        <w:rFonts w:ascii="Cambria Math" w:hAnsi="Cambria Math"/>
                        <w:lang w:val="en-US"/>
                      </w:rPr>
                      <m:t>10</m:t>
                    </m:r>
                  </m:e>
                  <m:sup>
                    <m:r>
                      <w:rPr>
                        <w:rFonts w:ascii="Cambria Math" w:hAnsi="Cambria Math"/>
                        <w:lang w:val="en-US"/>
                      </w:rPr>
                      <m:t>-3</m:t>
                    </m:r>
                  </m:sup>
                </m:sSup>
              </m:oMath>
            </m:oMathPara>
          </w:p>
        </w:tc>
        <w:tc>
          <w:tcPr>
            <w:tcW w:w="804" w:type="dxa"/>
            <w:shd w:val="clear" w:color="auto" w:fill="auto"/>
            <w:vAlign w:val="center"/>
          </w:tcPr>
          <w:p w14:paraId="7DABDFBE" w14:textId="77777777" w:rsidR="000B4493" w:rsidRPr="00E7135D" w:rsidRDefault="000B4493">
            <w:pPr>
              <w:pStyle w:val="CETEquation"/>
              <w:jc w:val="right"/>
              <w:rPr>
                <w:bCs/>
                <w:lang w:val="en-US"/>
              </w:rPr>
            </w:pPr>
            <w:r w:rsidRPr="00E7135D">
              <w:rPr>
                <w:bCs/>
                <w:lang w:val="en-US"/>
              </w:rPr>
              <w:t>(6)</w:t>
            </w:r>
          </w:p>
        </w:tc>
      </w:tr>
    </w:tbl>
    <w:p w14:paraId="4D491A2C" w14:textId="570BA7A1" w:rsidR="00F5645C" w:rsidRPr="00E7135D" w:rsidRDefault="00795001" w:rsidP="00765D20">
      <w:pPr>
        <w:pStyle w:val="CETBodytext"/>
      </w:pPr>
      <w:r w:rsidRPr="00E7135D">
        <w:t>w</w:t>
      </w:r>
      <w:r w:rsidR="00E51C65" w:rsidRPr="00E7135D">
        <w:t>here</w:t>
      </w:r>
      <w:r w:rsidR="00F5645C" w:rsidRPr="00E7135D">
        <w:rPr>
          <w:rStyle w:val="CETBodytextCarattere"/>
        </w:rPr>
        <w:t xml:space="preserve"> </w:t>
      </w:r>
      <m:oMath>
        <m:r>
          <w:rPr>
            <w:rStyle w:val="CETBodytextCarattere"/>
            <w:rFonts w:ascii="Cambria Math" w:hAnsi="Cambria Math"/>
          </w:rPr>
          <m:t>c</m:t>
        </m:r>
      </m:oMath>
      <w:r w:rsidR="00F5645C" w:rsidRPr="00E7135D">
        <w:t xml:space="preserve"> represent</w:t>
      </w:r>
      <w:r w:rsidR="00E51C65" w:rsidRPr="00E7135D">
        <w:t>s the concentration</w:t>
      </w:r>
      <w:r w:rsidR="00153654" w:rsidRPr="00E7135D">
        <w:t xml:space="preserve"> </w:t>
      </w:r>
      <m:oMath>
        <m:r>
          <m:rPr>
            <m:sty m:val="p"/>
          </m:rPr>
          <w:rPr>
            <w:rFonts w:ascii="Cambria Math" w:hAnsi="Cambria Math"/>
          </w:rPr>
          <m:t xml:space="preserve">(kg </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 xml:space="preserve">), </m:t>
        </m:r>
      </m:oMath>
      <w:r w:rsidRPr="00E7135D">
        <w:t>and</w:t>
      </w:r>
      <w:r w:rsidR="00153654" w:rsidRPr="00E7135D">
        <w:t xml:space="preserve"> </w:t>
      </w:r>
      <m:oMath>
        <m:r>
          <w:rPr>
            <w:rFonts w:ascii="Cambria Math" w:hAnsi="Cambria Math"/>
          </w:rPr>
          <m:t>A</m:t>
        </m:r>
        <m:r>
          <m:rPr>
            <m:sty m:val="p"/>
          </m:rPr>
          <w:rPr>
            <w:rFonts w:ascii="Cambria Math" w:hAnsi="Cambria Math"/>
          </w:rPr>
          <m:t xml:space="preserve"> </m:t>
        </m:r>
      </m:oMath>
      <w:r w:rsidR="00E51C65" w:rsidRPr="00E7135D">
        <w:t xml:space="preserve">is the </w:t>
      </w:r>
      <w:r w:rsidR="000D5E05" w:rsidRPr="00E7135D">
        <w:t>absorbance</w:t>
      </w:r>
      <w:r w:rsidR="00F5645C" w:rsidRPr="00E7135D">
        <w:t xml:space="preserve"> </w:t>
      </w:r>
      <w:r w:rsidR="00153654" w:rsidRPr="00E7135D">
        <w:t>(</w:t>
      </w:r>
      <m:oMath>
        <m:r>
          <m:rPr>
            <m:sty m:val="p"/>
          </m:rPr>
          <w:rPr>
            <w:rFonts w:ascii="Cambria Math" w:hAnsi="Cambria Math"/>
          </w:rPr>
          <m:t>m)</m:t>
        </m:r>
      </m:oMath>
      <w:r w:rsidR="00F5645C" w:rsidRPr="00E7135D">
        <w:t>.</w:t>
      </w:r>
    </w:p>
    <w:p w14:paraId="20A6CB01" w14:textId="7FC93704" w:rsidR="004E5962" w:rsidRPr="00E7135D" w:rsidRDefault="005A0BAB" w:rsidP="007128D6">
      <w:pPr>
        <w:pStyle w:val="CETBodytext"/>
      </w:pPr>
      <w:r w:rsidRPr="00E7135D">
        <w:t>On the other hand, the solute concentration in the solid phase is determined through the mass balance of the phenolic compounds. Eq(7) represents the mass balance using concentration and volume. The solid phase volume can be calculated by the relationship between its mass (</w:t>
      </w:r>
      <m:oMath>
        <m:r>
          <m:rPr>
            <m:sty m:val="p"/>
          </m:rPr>
          <w:rPr>
            <w:rFonts w:ascii="Cambria Math" w:hAnsi="Cambria Math"/>
          </w:rPr>
          <m:t>0.1 kg</m:t>
        </m:r>
      </m:oMath>
      <w:r w:rsidRPr="00E7135D">
        <w:t>) and its solid density</w:t>
      </w:r>
      <w:r w:rsidR="00FF4138" w:rsidRPr="00E7135D">
        <w:t xml:space="preserve"> (</w:t>
      </w:r>
      <m:oMath>
        <m:r>
          <m:rPr>
            <m:sty m:val="p"/>
          </m:rPr>
          <w:rPr>
            <w:rFonts w:ascii="Cambria Math" w:hAnsi="Cambria Math"/>
          </w:rPr>
          <m:t xml:space="preserve">1360 kg </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00FF4138" w:rsidRPr="00E7135D">
        <w:t>)</w:t>
      </w:r>
      <w:r w:rsidR="00F13850" w:rsidRPr="00E7135D">
        <w:t xml:space="preserve"> </w:t>
      </w:r>
      <w:r w:rsidR="00F13850" w:rsidRPr="00E7135D">
        <w:rPr>
          <w:b/>
        </w:rPr>
        <w:fldChar w:fldCharType="begin" w:fldLock="1"/>
      </w:r>
      <w:r w:rsidR="00F13850" w:rsidRPr="00E7135D">
        <w:instrText>ADDIN CSL_CITATION {"citationItems":[{"id":"ITEM-1","itemData":{"author":[{"dropping-particle":"","family":"Patiño","given":"Oscar","non-dropping-particle":"","parse-names":false,"suffix":""},{"dropping-particle":"","family":"Prado","given":"Ginger","non-dropping-particle":"","parse-names":false,"suffix":""}],"id":"ITEM-1","issued":{"date-parts":[["2022"]]},"number-of-pages":"1-64","publisher":"ESCUELA SUPERIOR POLITÉCNICA DEL LITORAL Facultad","title":"Determinación de parámetros experimentales para un modelo de extracción sólido-líquido de una bebida nutracéutica. [Determination of experimental parameters for a solid-liquid extraction model of a nutraceutical beverage.]","type":"thesis"},"uris":["http://www.mendeley.com/documents/?uuid=9f65a4e6-0b56-4c4f-8b13-0a439d7187a7"]}],"mendeley":{"formattedCitation":"(Patiño &amp; Prado, 2022)","plainTextFormattedCitation":"(Patiño &amp; Prado, 2022)","previouslyFormattedCitation":"(Patiño &amp; Prado, 2022)"},"properties":{"noteIndex":0},"schema":"https://github.com/citation-style-language/schema/raw/master/csl-citation.json"}</w:instrText>
      </w:r>
      <w:r w:rsidR="00F13850" w:rsidRPr="00E7135D">
        <w:rPr>
          <w:b/>
        </w:rPr>
        <w:fldChar w:fldCharType="separate"/>
      </w:r>
      <w:r w:rsidR="00F13850" w:rsidRPr="00E7135D">
        <w:rPr>
          <w:noProof/>
        </w:rPr>
        <w:t>(Patiño &amp; Prado, 2022)</w:t>
      </w:r>
      <w:r w:rsidR="00F13850" w:rsidRPr="00E7135D">
        <w:rPr>
          <w:b/>
        </w:rPr>
        <w:fldChar w:fldCharType="end"/>
      </w:r>
      <w:r w:rsidR="00FF4138" w:rsidRPr="00E7135D">
        <w:t>.</w:t>
      </w:r>
    </w:p>
    <w:tbl>
      <w:tblPr>
        <w:tblW w:w="5000" w:type="pct"/>
        <w:tblLook w:val="04A0" w:firstRow="1" w:lastRow="0" w:firstColumn="1" w:lastColumn="0" w:noHBand="0" w:noVBand="1"/>
      </w:tblPr>
      <w:tblGrid>
        <w:gridCol w:w="7983"/>
        <w:gridCol w:w="804"/>
      </w:tblGrid>
      <w:tr w:rsidR="008E52B8" w:rsidRPr="00E7135D" w14:paraId="3911DA8D" w14:textId="77777777">
        <w:tc>
          <w:tcPr>
            <w:tcW w:w="7983" w:type="dxa"/>
            <w:shd w:val="clear" w:color="auto" w:fill="auto"/>
            <w:vAlign w:val="center"/>
          </w:tcPr>
          <w:p w14:paraId="3FB4C461" w14:textId="78094574" w:rsidR="008E52B8" w:rsidRPr="00E7135D" w:rsidRDefault="00000000">
            <w:pPr>
              <w:pStyle w:val="CETEquation"/>
              <w:rPr>
                <w:bCs/>
                <w:lang w:val="en-US"/>
              </w:rPr>
            </w:pPr>
            <m:oMathPara>
              <m:oMathParaPr>
                <m:jc m:val="left"/>
              </m:oMathParaPr>
              <m:oMath>
                <m:sSub>
                  <m:sSubPr>
                    <m:ctrlPr>
                      <w:rPr>
                        <w:rFonts w:ascii="Cambria Math" w:hAnsi="Cambria Math"/>
                        <w:bCs/>
                        <w:lang w:val="en-US"/>
                      </w:rPr>
                    </m:ctrlPr>
                  </m:sSubPr>
                  <m:e>
                    <m:r>
                      <w:rPr>
                        <w:rFonts w:ascii="Cambria Math" w:hAnsi="Cambria Math"/>
                        <w:lang w:val="en-US"/>
                      </w:rPr>
                      <m:t>c</m:t>
                    </m:r>
                    <m:ctrlPr>
                      <w:rPr>
                        <w:rFonts w:ascii="Cambria Math" w:hAnsi="Cambria Math"/>
                        <w:bCs/>
                        <w:i/>
                        <w:lang w:val="en-US"/>
                      </w:rPr>
                    </m:ctrlPr>
                  </m:e>
                  <m:sub>
                    <m:r>
                      <w:rPr>
                        <w:rFonts w:ascii="Cambria Math" w:hAnsi="Cambria Math"/>
                        <w:lang w:val="en-US"/>
                      </w:rPr>
                      <m:t>β0</m:t>
                    </m:r>
                  </m:sub>
                </m:sSub>
                <m:sSub>
                  <m:sSubPr>
                    <m:ctrlPr>
                      <w:rPr>
                        <w:rFonts w:ascii="Cambria Math" w:hAnsi="Cambria Math"/>
                        <w:bCs/>
                        <w:lang w:val="en-US"/>
                      </w:rPr>
                    </m:ctrlPr>
                  </m:sSubPr>
                  <m:e>
                    <m:r>
                      <m:rPr>
                        <m:sty m:val="p"/>
                      </m:rPr>
                      <w:rPr>
                        <w:rFonts w:ascii="Cambria Math" w:hAnsi="Cambria Math"/>
                        <w:lang w:val="en-US"/>
                      </w:rPr>
                      <m:t>V</m:t>
                    </m:r>
                  </m:e>
                  <m:sub>
                    <m:r>
                      <w:rPr>
                        <w:rFonts w:ascii="Cambria Math" w:hAnsi="Cambria Math"/>
                        <w:lang w:val="en-US"/>
                      </w:rPr>
                      <m:t>β</m:t>
                    </m:r>
                  </m:sub>
                </m:sSub>
                <m:r>
                  <m:rPr>
                    <m:sty m:val="p"/>
                  </m:rPr>
                  <w:rPr>
                    <w:rFonts w:ascii="Cambria Math" w:hAnsi="Cambria Math"/>
                    <w:lang w:val="en-US"/>
                  </w:rPr>
                  <m:t>=</m:t>
                </m:r>
                <m:sSub>
                  <m:sSubPr>
                    <m:ctrlPr>
                      <w:rPr>
                        <w:rFonts w:ascii="Cambria Math" w:hAnsi="Cambria Math"/>
                        <w:bCs/>
                        <w:lang w:val="en-US"/>
                      </w:rPr>
                    </m:ctrlPr>
                  </m:sSubPr>
                  <m:e>
                    <m:r>
                      <w:rPr>
                        <w:rFonts w:ascii="Cambria Math" w:hAnsi="Cambria Math"/>
                        <w:lang w:val="en-US"/>
                      </w:rPr>
                      <m:t>c</m:t>
                    </m:r>
                  </m:e>
                  <m:sub>
                    <m:r>
                      <w:rPr>
                        <w:rFonts w:ascii="Cambria Math" w:hAnsi="Cambria Math"/>
                        <w:lang w:val="en-US"/>
                      </w:rPr>
                      <m:t>β,t=x</m:t>
                    </m:r>
                  </m:sub>
                </m:sSub>
                <m:sSub>
                  <m:sSubPr>
                    <m:ctrlPr>
                      <w:rPr>
                        <w:rFonts w:ascii="Cambria Math" w:hAnsi="Cambria Math"/>
                        <w:bCs/>
                        <w:lang w:val="en-US"/>
                      </w:rPr>
                    </m:ctrlPr>
                  </m:sSubPr>
                  <m:e>
                    <m:r>
                      <m:rPr>
                        <m:sty m:val="p"/>
                      </m:rPr>
                      <w:rPr>
                        <w:rFonts w:ascii="Cambria Math" w:hAnsi="Cambria Math"/>
                        <w:lang w:val="en-US"/>
                      </w:rPr>
                      <m:t>V</m:t>
                    </m:r>
                  </m:e>
                  <m:sub>
                    <m:r>
                      <w:rPr>
                        <w:rFonts w:ascii="Cambria Math" w:hAnsi="Cambria Math"/>
                        <w:lang w:val="en-US"/>
                      </w:rPr>
                      <m:t>β</m:t>
                    </m:r>
                  </m:sub>
                </m:sSub>
                <m:r>
                  <w:rPr>
                    <w:rFonts w:ascii="Cambria Math" w:hAnsi="Cambria Math"/>
                    <w:lang w:val="en-US"/>
                  </w:rPr>
                  <m:t>+</m:t>
                </m:r>
                <m:sSub>
                  <m:sSubPr>
                    <m:ctrlPr>
                      <w:rPr>
                        <w:rFonts w:ascii="Cambria Math" w:hAnsi="Cambria Math"/>
                        <w:bCs/>
                        <w:lang w:val="en-US"/>
                      </w:rPr>
                    </m:ctrlPr>
                  </m:sSubPr>
                  <m:e>
                    <m:r>
                      <w:rPr>
                        <w:rFonts w:ascii="Cambria Math" w:hAnsi="Cambria Math"/>
                        <w:lang w:val="en-US"/>
                      </w:rPr>
                      <m:t>c</m:t>
                    </m:r>
                    <m:ctrlPr>
                      <w:rPr>
                        <w:rFonts w:ascii="Cambria Math" w:hAnsi="Cambria Math"/>
                        <w:bCs/>
                        <w:i/>
                        <w:lang w:val="en-US"/>
                      </w:rPr>
                    </m:ctrlPr>
                  </m:e>
                  <m:sub>
                    <m:r>
                      <w:rPr>
                        <w:rFonts w:ascii="Cambria Math" w:hAnsi="Cambria Math"/>
                        <w:lang w:val="en-US"/>
                      </w:rPr>
                      <m:t>γ, t=x</m:t>
                    </m:r>
                  </m:sub>
                </m:sSub>
                <m:sSub>
                  <m:sSubPr>
                    <m:ctrlPr>
                      <w:rPr>
                        <w:rFonts w:ascii="Cambria Math" w:hAnsi="Cambria Math"/>
                        <w:bCs/>
                        <w:lang w:val="en-US"/>
                      </w:rPr>
                    </m:ctrlPr>
                  </m:sSubPr>
                  <m:e>
                    <m:r>
                      <m:rPr>
                        <m:sty m:val="p"/>
                      </m:rPr>
                      <w:rPr>
                        <w:rFonts w:ascii="Cambria Math" w:hAnsi="Cambria Math"/>
                        <w:lang w:val="en-US"/>
                      </w:rPr>
                      <m:t>V</m:t>
                    </m:r>
                  </m:e>
                  <m:sub>
                    <m:r>
                      <w:rPr>
                        <w:rFonts w:ascii="Cambria Math" w:hAnsi="Cambria Math"/>
                        <w:lang w:val="en-US"/>
                      </w:rPr>
                      <m:t>y</m:t>
                    </m:r>
                  </m:sub>
                </m:sSub>
              </m:oMath>
            </m:oMathPara>
          </w:p>
        </w:tc>
        <w:tc>
          <w:tcPr>
            <w:tcW w:w="804" w:type="dxa"/>
            <w:shd w:val="clear" w:color="auto" w:fill="auto"/>
            <w:vAlign w:val="center"/>
          </w:tcPr>
          <w:p w14:paraId="14DE8E9D" w14:textId="4BF16306" w:rsidR="008E52B8" w:rsidRPr="00E7135D" w:rsidRDefault="008E52B8">
            <w:pPr>
              <w:pStyle w:val="CETEquation"/>
              <w:jc w:val="right"/>
              <w:rPr>
                <w:bCs/>
                <w:lang w:val="en-US"/>
              </w:rPr>
            </w:pPr>
            <w:r w:rsidRPr="00E7135D">
              <w:rPr>
                <w:bCs/>
                <w:lang w:val="en-US"/>
              </w:rPr>
              <w:t>(</w:t>
            </w:r>
            <w:r w:rsidR="000B4493" w:rsidRPr="00E7135D">
              <w:rPr>
                <w:bCs/>
                <w:lang w:val="en-US"/>
              </w:rPr>
              <w:t>7</w:t>
            </w:r>
            <w:r w:rsidRPr="00E7135D">
              <w:rPr>
                <w:bCs/>
                <w:lang w:val="en-US"/>
              </w:rPr>
              <w:t>)</w:t>
            </w:r>
          </w:p>
        </w:tc>
      </w:tr>
    </w:tbl>
    <w:p w14:paraId="1BDDE8E2" w14:textId="3467AE9A" w:rsidR="00FC0D7E" w:rsidRPr="00E7135D" w:rsidRDefault="00D5724B" w:rsidP="007128D6">
      <w:pPr>
        <w:pStyle w:val="CETBodytext"/>
        <w:rPr>
          <w:b/>
        </w:rPr>
      </w:pPr>
      <w:r w:rsidRPr="00E7135D">
        <w:t xml:space="preserve">where </w:t>
      </w:r>
      <m:oMath>
        <m:r>
          <w:rPr>
            <w:rFonts w:ascii="Cambria Math" w:hAnsi="Cambria Math"/>
          </w:rPr>
          <m:t>V</m:t>
        </m:r>
      </m:oMath>
      <w:r w:rsidRPr="00E7135D">
        <w:rPr>
          <w:i/>
        </w:rPr>
        <w:t xml:space="preserve"> </w:t>
      </w:r>
      <w:r w:rsidRPr="00E7135D">
        <w:t>represents the volume, and</w:t>
      </w:r>
      <w:r w:rsidRPr="00E7135D">
        <w:rPr>
          <w:b/>
        </w:rPr>
        <w:t xml:space="preserve"> </w:t>
      </w:r>
      <m:oMath>
        <m:r>
          <w:rPr>
            <w:rFonts w:ascii="Cambria Math" w:hAnsi="Cambria Math"/>
          </w:rPr>
          <m:t>c</m:t>
        </m:r>
      </m:oMath>
      <w:r w:rsidRPr="00E7135D">
        <w:rPr>
          <w:b/>
        </w:rPr>
        <w:t xml:space="preserve"> </w:t>
      </w:r>
      <w:r w:rsidRPr="00E7135D">
        <w:t xml:space="preserve">is the concentration of the solute. The subscript </w:t>
      </w:r>
      <m:oMath>
        <m:r>
          <w:rPr>
            <w:rFonts w:ascii="Cambria Math" w:hAnsi="Cambria Math"/>
          </w:rPr>
          <m:t>t</m:t>
        </m:r>
      </m:oMath>
      <w:r w:rsidRPr="00E7135D">
        <w:t xml:space="preserve"> is the time, and </w:t>
      </w:r>
      <m:oMath>
        <m:r>
          <w:rPr>
            <w:rFonts w:ascii="Cambria Math" w:hAnsi="Cambria Math"/>
          </w:rPr>
          <m:t>t=x</m:t>
        </m:r>
      </m:oMath>
      <w:r w:rsidRPr="00E7135D">
        <w:t xml:space="preserve"> indicates an extraction during the time</w:t>
      </w:r>
      <w:r w:rsidRPr="00E7135D">
        <w:rPr>
          <w:b/>
        </w:rPr>
        <w:t xml:space="preserve"> </w:t>
      </w:r>
      <m:oMath>
        <m:r>
          <w:rPr>
            <w:rFonts w:ascii="Cambria Math" w:hAnsi="Cambria Math"/>
          </w:rPr>
          <m:t>x</m:t>
        </m:r>
      </m:oMath>
      <w:r w:rsidRPr="00E7135D">
        <w:t>. The subscripts</w:t>
      </w:r>
      <m:oMath>
        <m:r>
          <w:rPr>
            <w:rFonts w:ascii="Cambria Math" w:hAnsi="Cambria Math"/>
          </w:rPr>
          <m:t xml:space="preserve"> β</m:t>
        </m:r>
      </m:oMath>
      <w:r w:rsidRPr="00E7135D">
        <w:t xml:space="preserve"> and </w:t>
      </w:r>
      <m:oMath>
        <m:r>
          <w:rPr>
            <w:rFonts w:ascii="Cambria Math" w:hAnsi="Cambria Math"/>
          </w:rPr>
          <m:t>γ</m:t>
        </m:r>
      </m:oMath>
      <w:r w:rsidRPr="00E7135D">
        <w:t xml:space="preserve"> represent the phases of solid and solvent, respectively. The subscript </w:t>
      </w:r>
      <m:oMath>
        <m:r>
          <w:rPr>
            <w:rFonts w:ascii="Cambria Math" w:hAnsi="Cambria Math"/>
          </w:rPr>
          <m:t>0</m:t>
        </m:r>
      </m:oMath>
      <w:r w:rsidRPr="00E7135D">
        <w:t xml:space="preserve"> i</w:t>
      </w:r>
      <w:proofErr w:type="spellStart"/>
      <w:r w:rsidRPr="00E7135D">
        <w:t>ndicates</w:t>
      </w:r>
      <w:proofErr w:type="spellEnd"/>
      <w:r w:rsidRPr="00E7135D">
        <w:t xml:space="preserve"> the initial condition.</w:t>
      </w:r>
    </w:p>
    <w:p w14:paraId="2873ADE8" w14:textId="797C1831" w:rsidR="00FB1290" w:rsidRPr="00E7135D" w:rsidRDefault="002739BA" w:rsidP="00846220">
      <w:pPr>
        <w:pStyle w:val="CETheadingx"/>
      </w:pPr>
      <w:r w:rsidRPr="00E7135D">
        <w:t>Parameter Estimation</w:t>
      </w:r>
    </w:p>
    <w:p w14:paraId="625AD9C4" w14:textId="77F5681C" w:rsidR="00002608" w:rsidRPr="00E7135D" w:rsidRDefault="00F31A5D" w:rsidP="00D44003">
      <w:pPr>
        <w:pStyle w:val="CETBodytext"/>
      </w:pPr>
      <w:r w:rsidRPr="00E7135D">
        <w:t xml:space="preserve">In this work, the monitored extractable materials (solute) </w:t>
      </w:r>
      <w:r w:rsidR="001756F3" w:rsidRPr="00E7135D">
        <w:t>are</w:t>
      </w:r>
      <w:r w:rsidRPr="00E7135D">
        <w:t xml:space="preserve"> phenolic compounds during the solid-liquid extraction in </w:t>
      </w:r>
      <w:r w:rsidR="002D0B9A" w:rsidRPr="00E7135D">
        <w:t xml:space="preserve">a </w:t>
      </w:r>
      <w:r w:rsidRPr="00E7135D">
        <w:t xml:space="preserve">mixture of the </w:t>
      </w:r>
      <w:r w:rsidRPr="00E7135D">
        <w:rPr>
          <w:i/>
          <w:iCs/>
        </w:rPr>
        <w:t xml:space="preserve">Ilex </w:t>
      </w:r>
      <w:r w:rsidR="005144A5" w:rsidRPr="00E7135D">
        <w:rPr>
          <w:i/>
          <w:iCs/>
        </w:rPr>
        <w:t>g</w:t>
      </w:r>
      <w:r w:rsidRPr="00E7135D">
        <w:rPr>
          <w:i/>
          <w:iCs/>
        </w:rPr>
        <w:t>uayusa</w:t>
      </w:r>
      <w:r w:rsidRPr="00E7135D">
        <w:t>, Cocoa Husk, and</w:t>
      </w:r>
      <w:r w:rsidR="007E6596" w:rsidRPr="00E7135D">
        <w:t xml:space="preserve"> </w:t>
      </w:r>
      <w:r w:rsidR="007E6596" w:rsidRPr="00E7135D">
        <w:rPr>
          <w:i/>
          <w:iCs/>
        </w:rPr>
        <w:t>Vernonanthura patens</w:t>
      </w:r>
      <w:r w:rsidR="007E6596" w:rsidRPr="00E7135D" w:rsidDel="007E6596">
        <w:rPr>
          <w:i/>
          <w:iCs/>
        </w:rPr>
        <w:t xml:space="preserve"> </w:t>
      </w:r>
      <w:r w:rsidRPr="00E7135D">
        <w:t>plants. The estimation of parameters of the differential equations Eq(1-3</w:t>
      </w:r>
      <w:r w:rsidR="001756F3" w:rsidRPr="00E7135D">
        <w:t>)</w:t>
      </w:r>
      <w:r w:rsidRPr="00E7135D">
        <w:t xml:space="preserve"> and the </w:t>
      </w:r>
      <w:r w:rsidR="001756F3" w:rsidRPr="00E7135D">
        <w:t>average concentration</w:t>
      </w:r>
      <w:r w:rsidRPr="00E7135D">
        <w:t xml:space="preserve"> Eq(4-5</w:t>
      </w:r>
      <w:r w:rsidR="001756F3" w:rsidRPr="00E7135D">
        <w:t xml:space="preserve">) are fitted using the </w:t>
      </w:r>
      <w:r w:rsidRPr="00E7135D">
        <w:t xml:space="preserve">experimental data. </w:t>
      </w:r>
      <w:r w:rsidR="001756F3" w:rsidRPr="00E7135D">
        <w:t xml:space="preserve">For Eq(1-3), the </w:t>
      </w:r>
      <w:r w:rsidRPr="00E7135D">
        <w:t xml:space="preserve">parameters </w:t>
      </w:r>
      <w:r w:rsidR="001756F3" w:rsidRPr="00E7135D">
        <w:t>are</w:t>
      </w:r>
      <w:r w:rsidRPr="00E7135D">
        <w:t xml:space="preserve"> the mass transfer coefficient </w:t>
      </w:r>
      <w:r w:rsidR="001756F3" w:rsidRPr="00E7135D">
        <w:t>for both</w:t>
      </w:r>
      <w:r w:rsidRPr="00E7135D">
        <w:t xml:space="preserve"> the solvent  (</w:t>
      </w:r>
      <m:oMath>
        <m:sSub>
          <m:sSubPr>
            <m:ctrlPr>
              <w:rPr>
                <w:rFonts w:ascii="Cambria Math" w:hAnsi="Cambria Math"/>
                <w:i/>
                <w:iCs/>
              </w:rPr>
            </m:ctrlPr>
          </m:sSubPr>
          <m:e>
            <m:r>
              <w:rPr>
                <w:rFonts w:ascii="Cambria Math" w:hAnsi="Cambria Math"/>
              </w:rPr>
              <m:t>k</m:t>
            </m:r>
          </m:e>
          <m:sub>
            <m:r>
              <w:rPr>
                <w:rFonts w:ascii="Cambria Math" w:hAnsi="Cambria Math"/>
              </w:rPr>
              <m:t>cγ</m:t>
            </m:r>
          </m:sub>
        </m:sSub>
      </m:oMath>
      <w:r w:rsidRPr="00E7135D">
        <w:t>)</w:t>
      </w:r>
      <w:r w:rsidR="00AA3C76" w:rsidRPr="00E7135D">
        <w:t xml:space="preserve"> and the solid </w:t>
      </w:r>
      <w:r w:rsidRPr="00E7135D">
        <w:t xml:space="preserve"> (</w:t>
      </w:r>
      <m:oMath>
        <m:sSub>
          <m:sSubPr>
            <m:ctrlPr>
              <w:rPr>
                <w:rFonts w:ascii="Cambria Math" w:hAnsi="Cambria Math"/>
                <w:i/>
                <w:iCs/>
              </w:rPr>
            </m:ctrlPr>
          </m:sSubPr>
          <m:e>
            <m:r>
              <w:rPr>
                <w:rFonts w:ascii="Cambria Math" w:hAnsi="Cambria Math"/>
              </w:rPr>
              <m:t>k</m:t>
            </m:r>
          </m:e>
          <m:sub>
            <m:r>
              <w:rPr>
                <w:rFonts w:ascii="Cambria Math" w:hAnsi="Cambria Math"/>
              </w:rPr>
              <m:t>cβ</m:t>
            </m:r>
          </m:sub>
        </m:sSub>
      </m:oMath>
      <w:r w:rsidRPr="00E7135D">
        <w:t xml:space="preserve">) </w:t>
      </w:r>
      <w:r w:rsidR="0015225B" w:rsidRPr="00E7135D">
        <w:t>phases, as well as the equilibrium constant</w:t>
      </w:r>
      <w:r w:rsidRPr="00E7135D">
        <w:t xml:space="preserve"> (</w:t>
      </w:r>
      <m:oMath>
        <m:r>
          <w:rPr>
            <w:rFonts w:ascii="Cambria Math" w:hAnsi="Cambria Math"/>
          </w:rPr>
          <m:t>K</m:t>
        </m:r>
      </m:oMath>
      <w:r w:rsidRPr="00E7135D">
        <w:t>).</w:t>
      </w:r>
      <w:r w:rsidR="002F26D3" w:rsidRPr="00E7135D">
        <w:t xml:space="preserve"> Gekko library is a Python package developed for </w:t>
      </w:r>
      <w:proofErr w:type="spellStart"/>
      <w:r w:rsidR="002F26D3" w:rsidRPr="00E7135D">
        <w:t>t</w:t>
      </w:r>
      <w:r w:rsidR="00A00DE8" w:rsidRPr="00E7135D">
        <w:t>optimizingdifferential</w:t>
      </w:r>
      <w:proofErr w:type="spellEnd"/>
      <w:r w:rsidR="00A00DE8" w:rsidRPr="00E7135D">
        <w:t>-algebraic equations and mixed integers, solving problems of</w:t>
      </w:r>
      <w:r w:rsidR="002F26D3" w:rsidRPr="00E7135D">
        <w:t xml:space="preserve"> linear programming, quadratic programming, parameter estimation, dynamic simulation, and nonlinear predictive control  </w:t>
      </w:r>
      <w:r w:rsidR="002F26D3" w:rsidRPr="00E7135D">
        <w:fldChar w:fldCharType="begin" w:fldLock="1"/>
      </w:r>
      <w:r w:rsidR="00A720A7" w:rsidRPr="00E7135D">
        <w:instrText>ADDIN CSL_CITATION {"citationItems":[{"id":"ITEM-1","itemData":{"DOI":"10.3390/pr6080106","ISSN":"2227-9717","abstract":"This paper introduces GEKKO as an optimization suite for Python. GEKKO specializes in dynamic optimization problems for mixed-integer, nonlinear, and differential algebraic equations (DAE) problems. By blending the approaches of typical algebraic modeling languages (AML) and optimal control packages, GEKKO greatly facilitates the development and application of tools such as nonlinear model predicative control (NMPC), real-time optimization (RTO), moving horizon estimation (MHE), and dynamic simulation. GEKKO is an object-oriented Python library that offers model construction, analysis tools, and visualization of simulation and optimization. In a single package, GEKKO provides model reduction, an object-oriented library for data reconciliation/model predictive control, and integrated problem construction/solution/visualization. This paper introduces the GEKKO Optimization Suite, presents GEKKO&amp;rsquo;s approach and unique place among AMLs and optimal control packages, and cites several examples of problems that are enabled by the GEKKO library.","author":[{"dropping-particle":"","family":"Beal","given":"Logan D R","non-dropping-particle":"","parse-names":false,"suffix":""},{"dropping-particle":"","family":"Hill","given":"Daniel C","non-dropping-particle":"","parse-names":false,"suffix":""},{"dropping-particle":"","family":"Martin","given":"R Abraham","non-dropping-particle":"","parse-names":false,"suffix":""},{"dropping-particle":"","family":"Hedengren","given":"John D","non-dropping-particle":"","parse-names":false,"suffix":""}],"container-title":"Processes","id":"ITEM-1","issue":"8","issued":{"date-parts":[["2018"]]},"title":"GEKKO Optimization Suite","type":"article-journal","volume":"6"},"uris":["http://www.mendeley.com/documents/?uuid=66c1b9f8-ef97-44b9-96d7-509022f457a0"]}],"mendeley":{"formattedCitation":"(Beal et al., 2018)","plainTextFormattedCitation":"(Beal et al., 2018)","previouslyFormattedCitation":"(Beal et al., 2018)"},"properties":{"noteIndex":0},"schema":"https://github.com/citation-style-language/schema/raw/master/csl-citation.json"}</w:instrText>
      </w:r>
      <w:r w:rsidR="002F26D3" w:rsidRPr="00E7135D">
        <w:fldChar w:fldCharType="separate"/>
      </w:r>
      <w:r w:rsidR="002F26D3" w:rsidRPr="00E7135D">
        <w:rPr>
          <w:noProof/>
        </w:rPr>
        <w:t xml:space="preserve">(Beal et al., </w:t>
      </w:r>
      <w:r w:rsidR="002F26D3" w:rsidRPr="00E7135D">
        <w:rPr>
          <w:noProof/>
        </w:rPr>
        <w:lastRenderedPageBreak/>
        <w:t>2018)</w:t>
      </w:r>
      <w:r w:rsidR="002F26D3" w:rsidRPr="00E7135D">
        <w:fldChar w:fldCharType="end"/>
      </w:r>
      <w:r w:rsidR="002F26D3" w:rsidRPr="00E7135D">
        <w:t>.</w:t>
      </w:r>
      <w:r w:rsidRPr="00E7135D">
        <w:t xml:space="preserve"> </w:t>
      </w:r>
      <w:r w:rsidR="002F26D3" w:rsidRPr="00E7135D">
        <w:t>For this reason, w</w:t>
      </w:r>
      <w:r w:rsidR="002732B9" w:rsidRPr="00E7135D">
        <w:t>e</w:t>
      </w:r>
      <w:r w:rsidR="00AA4A0B" w:rsidRPr="00E7135D">
        <w:t xml:space="preserve"> </w:t>
      </w:r>
      <w:r w:rsidR="002732B9" w:rsidRPr="00E7135D">
        <w:t xml:space="preserve">use the </w:t>
      </w:r>
      <w:r w:rsidRPr="00E7135D">
        <w:t>Gekko library in Python</w:t>
      </w:r>
      <w:r w:rsidR="002732B9" w:rsidRPr="00E7135D">
        <w:t xml:space="preserve"> to fit these parameters using the </w:t>
      </w:r>
      <w:r w:rsidRPr="00E7135D">
        <w:t xml:space="preserve">resolution mode </w:t>
      </w:r>
      <w:r w:rsidR="00B14E63" w:rsidRPr="00E7135D">
        <w:t>'</w:t>
      </w:r>
      <w:r w:rsidRPr="00E7135D">
        <w:t xml:space="preserve">5 IMODE' because </w:t>
      </w:r>
      <w:r w:rsidR="002732B9" w:rsidRPr="00E7135D">
        <w:t>we require solving a set of</w:t>
      </w:r>
      <w:r w:rsidRPr="00E7135D">
        <w:t xml:space="preserve"> differential </w:t>
      </w:r>
      <w:r w:rsidR="002732B9" w:rsidRPr="00E7135D">
        <w:t>equations</w:t>
      </w:r>
      <w:r w:rsidRPr="00E7135D">
        <w:t xml:space="preserve"> simultaneously</w:t>
      </w:r>
      <w:r w:rsidR="00A02046" w:rsidRPr="00E7135D">
        <w:t xml:space="preserve"> </w:t>
      </w:r>
      <w:r w:rsidR="00A02046" w:rsidRPr="00E7135D">
        <w:fldChar w:fldCharType="begin" w:fldLock="1"/>
      </w:r>
      <w:r w:rsidR="00A02046" w:rsidRPr="00E7135D">
        <w:instrText>ADDIN CSL_CITATION {"citationItems":[{"id":"ITEM-1","itemData":{"DOI":"10.3390/pr6080106","ISSN":"2227-9717","abstract":"This paper introduces GEKKO as an optimization suite for Python. GEKKO specializes in dynamic optimization problems for mixed-integer, nonlinear, and differential algebraic equations (DAE) problems. By blending the approaches of typical algebraic modeling languages (AML) and optimal control packages, GEKKO greatly facilitates the development and application of tools such as nonlinear model predicative control (NMPC), real-time optimization (RTO), moving horizon estimation (MHE), and dynamic simulation. GEKKO is an object-oriented Python library that offers model construction, analysis tools, and visualization of simulation and optimization. In a single package, GEKKO provides model reduction, an object-oriented library for data reconciliation/model predictive control, and integrated problem construction/solution/visualization. This paper introduces the GEKKO Optimization Suite, presents GEKKO&amp;rsquo;s approach and unique place among AMLs and optimal control packages, and cites several examples of problems that are enabled by the GEKKO library.","author":[{"dropping-particle":"","family":"Beal","given":"Logan D R","non-dropping-particle":"","parse-names":false,"suffix":""},{"dropping-particle":"","family":"Hill","given":"Daniel C","non-dropping-particle":"","parse-names":false,"suffix":""},{"dropping-particle":"","family":"Martin","given":"R Abraham","non-dropping-particle":"","parse-names":false,"suffix":""},{"dropping-particle":"","family":"Hedengren","given":"John D","non-dropping-particle":"","parse-names":false,"suffix":""}],"container-title":"Processes","id":"ITEM-1","issue":"8","issued":{"date-parts":[["2018"]]},"title":"GEKKO Optimization Suite","type":"article-journal","volume":"6"},"uris":["http://www.mendeley.com/documents/?uuid=66c1b9f8-ef97-44b9-96d7-509022f457a0"]}],"mendeley":{"formattedCitation":"(Beal et al., 2018)","plainTextFormattedCitation":"(Beal et al., 2018)","previouslyFormattedCitation":"(Beal et al., 2018)"},"properties":{"noteIndex":0},"schema":"https://github.com/citation-style-language/schema/raw/master/csl-citation.json"}</w:instrText>
      </w:r>
      <w:r w:rsidR="00A02046" w:rsidRPr="00E7135D">
        <w:fldChar w:fldCharType="separate"/>
      </w:r>
      <w:r w:rsidR="00A02046" w:rsidRPr="00E7135D">
        <w:rPr>
          <w:noProof/>
        </w:rPr>
        <w:t>(Beal et al., 2018)</w:t>
      </w:r>
      <w:r w:rsidR="00A02046" w:rsidRPr="00E7135D">
        <w:fldChar w:fldCharType="end"/>
      </w:r>
      <w:r w:rsidRPr="00E7135D">
        <w:t xml:space="preserve">. Furthermore, </w:t>
      </w:r>
      <w:r w:rsidR="002757C6" w:rsidRPr="00E7135D">
        <w:t>how the library</w:t>
      </w:r>
      <w:r w:rsidRPr="00E7135D">
        <w:t xml:space="preserve"> requires the </w:t>
      </w:r>
      <w:r w:rsidR="002757C6" w:rsidRPr="00E7135D">
        <w:t>range for</w:t>
      </w:r>
      <w:r w:rsidRPr="00E7135D">
        <w:t xml:space="preserve"> the parameters to be estimated, </w:t>
      </w:r>
      <w:r w:rsidR="002757C6" w:rsidRPr="00E7135D">
        <w:t>we set these</w:t>
      </w:r>
      <w:r w:rsidRPr="00E7135D">
        <w:t xml:space="preserve"> </w:t>
      </w:r>
      <w:r w:rsidR="00795001" w:rsidRPr="00E7135D">
        <w:t>ranges</w:t>
      </w:r>
      <w:r w:rsidRPr="00E7135D">
        <w:t xml:space="preserve"> </w:t>
      </w:r>
      <w:r w:rsidR="002757C6" w:rsidRPr="00E7135D">
        <w:t>in</w:t>
      </w:r>
      <w:r w:rsidRPr="00E7135D">
        <w:rPr>
          <w:rFonts w:ascii="Cambria Math" w:hAnsi="Cambria Math"/>
        </w:rPr>
        <w:t xml:space="preserve"> </w:t>
      </w:r>
      <m:oMath>
        <m:sSub>
          <m:sSubPr>
            <m:ctrlPr>
              <w:rPr>
                <w:rFonts w:ascii="Cambria Math" w:hAnsi="Cambria Math"/>
                <w:i/>
                <w:iCs/>
              </w:rPr>
            </m:ctrlPr>
          </m:sSubPr>
          <m:e>
            <m:r>
              <w:rPr>
                <w:rFonts w:ascii="Cambria Math" w:hAnsi="Cambria Math"/>
              </w:rPr>
              <m:t>k</m:t>
            </m:r>
          </m:e>
          <m:sub>
            <m:r>
              <w:rPr>
                <w:rFonts w:ascii="Cambria Math" w:hAnsi="Cambria Math"/>
              </w:rPr>
              <m:t>cβ</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m:t>
            </m:r>
          </m:e>
        </m:d>
      </m:oMath>
      <w:r w:rsidRPr="00E7135D">
        <w:t>,</w:t>
      </w:r>
      <w:r w:rsidR="00F55B6F" w:rsidRPr="00E7135D">
        <w:rPr>
          <w:i/>
          <w:iCs/>
        </w:rPr>
        <w:t xml:space="preserve"> </w:t>
      </w:r>
      <m:oMath>
        <m:sSub>
          <m:sSubPr>
            <m:ctrlPr>
              <w:rPr>
                <w:rFonts w:ascii="Cambria Math" w:hAnsi="Cambria Math"/>
                <w:i/>
                <w:iCs/>
              </w:rPr>
            </m:ctrlPr>
          </m:sSubPr>
          <m:e>
            <m:r>
              <w:rPr>
                <w:rFonts w:ascii="Cambria Math" w:hAnsi="Cambria Math"/>
              </w:rPr>
              <m:t>k</m:t>
            </m:r>
          </m:e>
          <m:sub>
            <m:r>
              <w:rPr>
                <w:rFonts w:ascii="Cambria Math" w:hAnsi="Cambria Math"/>
              </w:rPr>
              <m:t>cγ</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m:t>
            </m:r>
          </m:e>
        </m:d>
      </m:oMath>
      <w:r w:rsidRPr="00E7135D">
        <w:t>,</w:t>
      </w:r>
      <w:r w:rsidRPr="00E7135D">
        <w:rPr>
          <w:rFonts w:ascii="Cambria Math" w:hAnsi="Cambria Math"/>
        </w:rPr>
        <w:t xml:space="preserve"> </w:t>
      </w:r>
      <m:oMath>
        <m:r>
          <w:rPr>
            <w:rFonts w:ascii="Cambria Math" w:hAnsi="Cambria Math"/>
          </w:rPr>
          <m:t>K</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0, 1</m:t>
            </m:r>
          </m:e>
        </m:d>
      </m:oMath>
      <w:r w:rsidRPr="00E7135D">
        <w:rPr>
          <w:rFonts w:ascii="Cambria Math" w:hAnsi="Cambria Math"/>
        </w:rPr>
        <w:t>.</w:t>
      </w:r>
      <w:r w:rsidRPr="00E7135D">
        <w:t xml:space="preserve"> </w:t>
      </w:r>
      <w:r w:rsidR="006D04A1" w:rsidRPr="00E7135D">
        <w:t xml:space="preserve">On the other hand, for Eq(4-5), the estimated </w:t>
      </w:r>
      <w:r w:rsidR="00231EA9" w:rsidRPr="00E7135D">
        <w:t xml:space="preserve">fixed </w:t>
      </w:r>
      <w:r w:rsidR="006D04A1" w:rsidRPr="00E7135D">
        <w:t>parameters are the constants</w:t>
      </w:r>
      <w:r w:rsidRPr="00E7135D">
        <w:t xml:space="preserve"> </w:t>
      </w:r>
      <m:oMath>
        <m:sSub>
          <m:sSubPr>
            <m:ctrlPr>
              <w:rPr>
                <w:rFonts w:ascii="Cambria Math" w:hAnsi="Cambria Math"/>
              </w:rPr>
            </m:ctrlPr>
          </m:sSubPr>
          <m:e>
            <m:r>
              <w:rPr>
                <w:rFonts w:ascii="Cambria Math" w:hAnsi="Cambria Math"/>
              </w:rPr>
              <m:t>C</m:t>
            </m:r>
          </m:e>
          <m:sub>
            <m:r>
              <w:rPr>
                <w:rFonts w:ascii="Cambria Math" w:hAnsi="Cambria Math"/>
              </w:rPr>
              <m:t>1</m:t>
            </m:r>
          </m:sub>
        </m:sSub>
      </m:oMath>
      <w:r w:rsidR="00A22FD5" w:rsidRPr="00E7135D">
        <w:t xml:space="preserve">, </w:t>
      </w:r>
      <m:oMath>
        <m:sSub>
          <m:sSubPr>
            <m:ctrlPr>
              <w:rPr>
                <w:rFonts w:ascii="Cambria Math" w:hAnsi="Cambria Math"/>
              </w:rPr>
            </m:ctrlPr>
          </m:sSubPr>
          <m:e>
            <m:r>
              <w:rPr>
                <w:rFonts w:ascii="Cambria Math" w:hAnsi="Cambria Math"/>
              </w:rPr>
              <m:t>C</m:t>
            </m:r>
          </m:e>
          <m:sub>
            <m:r>
              <w:rPr>
                <w:rFonts w:ascii="Cambria Math" w:hAnsi="Cambria Math"/>
              </w:rPr>
              <m:t>2</m:t>
            </m:r>
          </m:sub>
        </m:sSub>
      </m:oMath>
      <w:r w:rsidR="00A22FD5" w:rsidRPr="00E7135D">
        <w:t xml:space="preserve">, </w:t>
      </w:r>
      <m:oMath>
        <m:sSub>
          <m:sSubPr>
            <m:ctrlPr>
              <w:rPr>
                <w:rFonts w:ascii="Cambria Math" w:hAnsi="Cambria Math"/>
              </w:rPr>
            </m:ctrlPr>
          </m:sSubPr>
          <m:e>
            <m:r>
              <w:rPr>
                <w:rFonts w:ascii="Cambria Math" w:hAnsi="Cambria Math"/>
              </w:rPr>
              <m:t>C</m:t>
            </m:r>
          </m:e>
          <m:sub>
            <m:r>
              <m:rPr>
                <m:sty m:val="p"/>
              </m:rPr>
              <w:rPr>
                <w:rFonts w:ascii="Cambria Math" w:hAnsi="Cambria Math"/>
              </w:rPr>
              <m:t>3</m:t>
            </m:r>
          </m:sub>
        </m:sSub>
      </m:oMath>
      <w:r w:rsidR="00A22FD5" w:rsidRPr="00E7135D">
        <w:t xml:space="preserve">, </w:t>
      </w:r>
      <m:oMath>
        <m:sSub>
          <m:sSubPr>
            <m:ctrlPr>
              <w:rPr>
                <w:rFonts w:ascii="Cambria Math" w:hAnsi="Cambria Math"/>
              </w:rPr>
            </m:ctrlPr>
          </m:sSubPr>
          <m:e>
            <m:r>
              <w:rPr>
                <w:rFonts w:ascii="Cambria Math" w:hAnsi="Cambria Math"/>
              </w:rPr>
              <m:t>C</m:t>
            </m:r>
          </m:e>
          <m:sub>
            <m:r>
              <m:rPr>
                <m:sty m:val="p"/>
              </m:rPr>
              <w:rPr>
                <w:rFonts w:ascii="Cambria Math" w:hAnsi="Cambria Math"/>
              </w:rPr>
              <m:t>4</m:t>
            </m:r>
          </m:sub>
        </m:sSub>
      </m:oMath>
      <w:r w:rsidR="00A22FD5" w:rsidRPr="00E7135D">
        <w:t xml:space="preserve">, </w:t>
      </w:r>
      <m:oMath>
        <m:sSub>
          <m:sSubPr>
            <m:ctrlPr>
              <w:rPr>
                <w:rFonts w:ascii="Cambria Math" w:hAnsi="Cambria Math"/>
              </w:rPr>
            </m:ctrlPr>
          </m:sSubPr>
          <m:e>
            <m:r>
              <w:rPr>
                <w:rFonts w:ascii="Cambria Math" w:hAnsi="Cambria Math"/>
              </w:rPr>
              <m:t>r</m:t>
            </m:r>
          </m:e>
          <m:sub>
            <m:r>
              <w:rPr>
                <w:rFonts w:ascii="Cambria Math" w:hAnsi="Cambria Math"/>
              </w:rPr>
              <m:t>1</m:t>
            </m:r>
          </m:sub>
        </m:sSub>
        <m:r>
          <m:rPr>
            <m:sty m:val="p"/>
          </m:rPr>
          <w:rPr>
            <w:rFonts w:ascii="Cambria Math" w:hAnsi="Cambria Math"/>
          </w:rPr>
          <m:t xml:space="preserve">, </m:t>
        </m:r>
      </m:oMath>
      <w:r w:rsidRPr="00E7135D">
        <w:t xml:space="preserve">and </w:t>
      </w:r>
      <m:oMath>
        <m:sSub>
          <m:sSubPr>
            <m:ctrlPr>
              <w:rPr>
                <w:rFonts w:ascii="Cambria Math" w:hAnsi="Cambria Math"/>
              </w:rPr>
            </m:ctrlPr>
          </m:sSubPr>
          <m:e>
            <m:r>
              <w:rPr>
                <w:rFonts w:ascii="Cambria Math" w:hAnsi="Cambria Math"/>
              </w:rPr>
              <m:t>r</m:t>
            </m:r>
          </m:e>
          <m:sub>
            <m:r>
              <w:rPr>
                <w:rFonts w:ascii="Cambria Math" w:hAnsi="Cambria Math"/>
              </w:rPr>
              <m:t>2</m:t>
            </m:r>
          </m:sub>
        </m:sSub>
      </m:oMath>
      <w:r w:rsidRPr="00E7135D">
        <w:t xml:space="preserve">. </w:t>
      </w:r>
      <w:r w:rsidR="00231EA9" w:rsidRPr="00E7135D">
        <w:t xml:space="preserve">These constants of Eq(4-5) belong to the analytical solution of Eq(1-3). </w:t>
      </w:r>
      <w:r w:rsidR="00BF6189" w:rsidRPr="00E7135D">
        <w:t>The resolution mode used in Gekko is '2 IMODE' because the regression is non-linear, and time is a dependent variable in the model. Finally, we calculate the mean square logarithmic error (MSLE) between the experimental data and the values predicted by the mechanistic model to determine the model precision using the Scikit-learn library</w:t>
      </w:r>
      <w:r w:rsidR="00A02046" w:rsidRPr="00E7135D">
        <w:t xml:space="preserve"> </w:t>
      </w:r>
      <w:r w:rsidR="00A02046" w:rsidRPr="00E7135D">
        <w:fldChar w:fldCharType="begin" w:fldLock="1"/>
      </w:r>
      <w:r w:rsidR="0063712C" w:rsidRPr="00E7135D">
        <w:instrText>ADDIN CSL_CITATION {"citationItems":[{"id":"ITEM-1","itemData":{"author":[{"dropping-particle":"","family":"Pedregosa","given":"Fabian","non-dropping-particle":"","parse-names":false,"suffix":""},{"dropping-particle":"","family":"Varoquaux","given":"Gaël","non-dropping-particle":"","parse-names":false,"suffix":""},{"dropping-particle":"","family":"Gramfort","given":"Alexandre","non-dropping-particle":"","parse-names":false,"suffix":""},{"dropping-particle":"","family":"Michel","given":"Vincent","non-dropping-particle":"","parse-names":false,"suffix":""},{"dropping-particle":"","family":"Thirion","given":"Bertrand","non-dropping-particle":"","parse-names":false,"suffix":""},{"dropping-particle":"","family":"Grisel","given":"Olivier","non-dropping-particle":"","parse-names":false,"suffix":""},{"dropping-particle":"","family":"Blondel","given":"Mathieu","non-dropping-particle":"","parse-names":false,"suffix":""},{"dropping-particle":"","family":"Prettenhofer","given":"Peter","non-dropping-particle":"","parse-names":false,"suffix":""},{"dropping-particle":"","family":"Weiss","given":"Ron","non-dropping-particle":"","parse-names":false,"suffix":""},{"dropping-particle":"","family":"Dubourg","given":"Vincent","non-dropping-particle":"","parse-names":false,"suffix":""},{"dropping-particle":"","family":"Vanderplas","given":"Jake","non-dropping-particle":"","parse-names":false,"suffix":""},{"dropping-particle":"","family":"Passos","given":"Alexandre","non-dropping-particle":"","parse-names":false,"suffix":""},{"dropping-particle":"","family":"Cournapeau","given":"David","non-dropping-particle":"","parse-names":false,"suffix":""},{"dropping-particle":"","family":"Brucher","given":"Matthieu","non-dropping-particle":"","parse-names":false,"suffix":""},{"dropping-particle":"","family":"Perrot","given":"Matthieu","non-dropping-particle":"","parse-names":false,"suffix":""},{"dropping-particle":"","family":"Duchesnay","given":"Édouard","non-dropping-particle":"","parse-names":false,"suffix":""}],"container-title":"Journal of Machine Learning Research","id":"ITEM-1","issue":"85","issued":{"date-parts":[["2011"]]},"page":"2825-2830","title":"Scikit-learn: Machine Learning in Python","type":"article-journal","volume":"12"},"uris":["http://www.mendeley.com/documents/?uuid=9647ea16-a1b4-4ef0-95d6-999739d566ec"]}],"mendeley":{"formattedCitation":"(Pedregosa et al., 2011)","plainTextFormattedCitation":"(Pedregosa et al., 2011)","previouslyFormattedCitation":"(Pedregosa et al., 2011)"},"properties":{"noteIndex":0},"schema":"https://github.com/citation-style-language/schema/raw/master/csl-citation.json"}</w:instrText>
      </w:r>
      <w:r w:rsidR="00A02046" w:rsidRPr="00E7135D">
        <w:fldChar w:fldCharType="separate"/>
      </w:r>
      <w:r w:rsidR="00A02046" w:rsidRPr="00E7135D">
        <w:rPr>
          <w:noProof/>
        </w:rPr>
        <w:t>(Pedregosa et al., 2011)</w:t>
      </w:r>
      <w:r w:rsidR="00A02046" w:rsidRPr="00E7135D">
        <w:fldChar w:fldCharType="end"/>
      </w:r>
      <w:r w:rsidRPr="00E7135D">
        <w:t xml:space="preserve">. </w:t>
      </w:r>
      <w:r w:rsidR="00805176" w:rsidRPr="00E7135D">
        <w:t>Table 1 depicts the typical values of some model parameters determined experimentally</w:t>
      </w:r>
      <w:r w:rsidR="00CB0A3B" w:rsidRPr="00E7135D">
        <w:t xml:space="preserve"> given in </w:t>
      </w:r>
      <w:r w:rsidR="00327957" w:rsidRPr="00E7135D">
        <w:fldChar w:fldCharType="begin" w:fldLock="1"/>
      </w:r>
      <w:r w:rsidR="00B371B4" w:rsidRPr="00E7135D">
        <w:instrText>ADDIN CSL_CITATION {"citationItems":[{"id":"ITEM-1","itemData":{"author":[{"dropping-particle":"","family":"Patiño","given":"Oscar","non-dropping-particle":"","parse-names":false,"suffix":""},{"dropping-particle":"","family":"Prado","given":"Ginger","non-dropping-particle":"","parse-names":false,"suffix":""}],"id":"ITEM-1","issued":{"date-parts":[["2022"]]},"number-of-pages":"1-64","publisher":"ESCUELA SUPERIOR POLITÉCNICA DEL LITORAL Facultad","title":"Determinación de parámetros experimentales para un modelo de extracción sólido-líquido de una bebida nutracéutica. [Determination of experimental parameters for a solid-liquid extraction model of a nutraceutical beverage.]","type":"thesis"},"uris":["http://www.mendeley.com/documents/?uuid=9f65a4e6-0b56-4c4f-8b13-0a439d7187a7"]}],"mendeley":{"formattedCitation":"(Patiño &amp; Prado, 2022)","manualFormatting":"Patiño &amp; Prado (2022","plainTextFormattedCitation":"(Patiño &amp; Prado, 2022)","previouslyFormattedCitation":"(Patiño &amp; Prado, 2022)"},"properties":{"noteIndex":0},"schema":"https://github.com/citation-style-language/schema/raw/master/csl-citation.json"}</w:instrText>
      </w:r>
      <w:r w:rsidR="00327957" w:rsidRPr="00E7135D">
        <w:fldChar w:fldCharType="separate"/>
      </w:r>
      <w:r w:rsidR="00327957" w:rsidRPr="00E7135D">
        <w:rPr>
          <w:noProof/>
        </w:rPr>
        <w:t xml:space="preserve">Patiño &amp; Prado </w:t>
      </w:r>
      <w:r w:rsidR="00831B01" w:rsidRPr="00E7135D">
        <w:rPr>
          <w:noProof/>
        </w:rPr>
        <w:t>(</w:t>
      </w:r>
      <w:r w:rsidR="00327957" w:rsidRPr="00E7135D">
        <w:rPr>
          <w:noProof/>
        </w:rPr>
        <w:t>2022</w:t>
      </w:r>
      <w:r w:rsidR="00327957" w:rsidRPr="00E7135D">
        <w:fldChar w:fldCharType="end"/>
      </w:r>
      <w:r w:rsidR="00CB0A3B" w:rsidRPr="00E7135D">
        <w:t>)</w:t>
      </w:r>
      <w:r w:rsidR="003D6822" w:rsidRPr="00E7135D">
        <w:t xml:space="preserve"> and</w:t>
      </w:r>
      <w:r w:rsidR="00805176" w:rsidRPr="00E7135D">
        <w:t xml:space="preserve"> thus are set constant in the parameter estimation process</w:t>
      </w:r>
      <w:r w:rsidR="002F07CA" w:rsidRPr="00E7135D">
        <w:t>.</w:t>
      </w:r>
    </w:p>
    <w:p w14:paraId="205C010F" w14:textId="367D61EF" w:rsidR="00C555BC" w:rsidRPr="00E7135D" w:rsidRDefault="00B6512B" w:rsidP="00704A36">
      <w:pPr>
        <w:pStyle w:val="CETTabletitle"/>
        <w:spacing w:before="120"/>
        <w:rPr>
          <w:lang w:val="en-US"/>
        </w:rPr>
      </w:pPr>
      <w:r w:rsidRPr="00E7135D">
        <w:rPr>
          <w:lang w:val="en-US"/>
        </w:rPr>
        <w:t>T</w:t>
      </w:r>
      <w:r w:rsidR="00C555BC" w:rsidRPr="00E7135D">
        <w:rPr>
          <w:lang w:val="en-US"/>
        </w:rPr>
        <w:t>able 1:</w:t>
      </w:r>
      <w:r w:rsidR="00121D77" w:rsidRPr="00E7135D">
        <w:rPr>
          <w:lang w:val="en-US"/>
        </w:rPr>
        <w:t xml:space="preserve"> </w:t>
      </w:r>
      <w:r w:rsidR="00E86211" w:rsidRPr="00E7135D">
        <w:rPr>
          <w:lang w:val="en-US"/>
        </w:rPr>
        <w:t>P</w:t>
      </w:r>
      <w:r w:rsidR="00AF03BA" w:rsidRPr="00E7135D">
        <w:rPr>
          <w:lang w:val="en-US"/>
        </w:rPr>
        <w:t xml:space="preserve">arameters </w:t>
      </w:r>
      <w:r w:rsidR="00A55922" w:rsidRPr="00E7135D">
        <w:rPr>
          <w:lang w:val="en-US"/>
        </w:rPr>
        <w:t>obtained experimentally</w:t>
      </w:r>
      <w:r w:rsidR="007D6E71" w:rsidRPr="00E7135D">
        <w:rPr>
          <w:lang w:val="en-US"/>
        </w:rPr>
        <w:t xml:space="preserve"> and</w:t>
      </w:r>
      <w:r w:rsidR="00A55922" w:rsidRPr="00E7135D">
        <w:rPr>
          <w:lang w:val="en-US"/>
        </w:rPr>
        <w:t xml:space="preserve"> fixed during the </w:t>
      </w:r>
      <w:r w:rsidR="007D6E71" w:rsidRPr="00E7135D">
        <w:rPr>
          <w:lang w:val="en-US"/>
        </w:rPr>
        <w:t>fitting</w:t>
      </w:r>
      <w:r w:rsidR="00F31A5D" w:rsidRPr="00E7135D">
        <w:rPr>
          <w:lang w:val="en-US"/>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tblGrid>
      <w:tr w:rsidR="008C651A" w:rsidRPr="00E7135D" w14:paraId="34851589" w14:textId="77777777" w:rsidTr="00FF31BE">
        <w:tc>
          <w:tcPr>
            <w:tcW w:w="1134" w:type="dxa"/>
            <w:tcBorders>
              <w:top w:val="single" w:sz="12" w:space="0" w:color="008000"/>
              <w:bottom w:val="single" w:sz="6" w:space="0" w:color="008000"/>
            </w:tcBorders>
            <w:shd w:val="clear" w:color="auto" w:fill="FFFFFF"/>
          </w:tcPr>
          <w:p w14:paraId="04A16941" w14:textId="6D37D4E5" w:rsidR="008C651A" w:rsidRPr="00E7135D" w:rsidRDefault="008C651A" w:rsidP="00F61A3B">
            <w:pPr>
              <w:pStyle w:val="CETBodytext"/>
              <w:jc w:val="center"/>
            </w:pPr>
            <w:r w:rsidRPr="00E7135D">
              <w:t>Parameter</w:t>
            </w:r>
          </w:p>
        </w:tc>
        <w:tc>
          <w:tcPr>
            <w:tcW w:w="1134" w:type="dxa"/>
            <w:tcBorders>
              <w:top w:val="single" w:sz="12" w:space="0" w:color="008000"/>
              <w:bottom w:val="single" w:sz="6" w:space="0" w:color="008000"/>
            </w:tcBorders>
            <w:shd w:val="clear" w:color="auto" w:fill="FFFFFF"/>
          </w:tcPr>
          <w:p w14:paraId="3F4F9D0F" w14:textId="0713B9D4" w:rsidR="008C651A" w:rsidRPr="00E7135D" w:rsidRDefault="008C651A" w:rsidP="00DE3DED">
            <w:pPr>
              <w:pStyle w:val="CETBodytext"/>
              <w:jc w:val="center"/>
            </w:pPr>
            <w:r w:rsidRPr="00E7135D">
              <w:t>Value</w:t>
            </w:r>
          </w:p>
        </w:tc>
        <w:tc>
          <w:tcPr>
            <w:tcW w:w="1134" w:type="dxa"/>
            <w:tcBorders>
              <w:top w:val="single" w:sz="12" w:space="0" w:color="008000"/>
              <w:bottom w:val="single" w:sz="6" w:space="0" w:color="008000"/>
            </w:tcBorders>
            <w:shd w:val="clear" w:color="auto" w:fill="FFFFFF"/>
          </w:tcPr>
          <w:p w14:paraId="4FF807ED" w14:textId="529E7FD5" w:rsidR="008C651A" w:rsidRPr="00E7135D" w:rsidRDefault="008C651A" w:rsidP="00DE3DED">
            <w:pPr>
              <w:pStyle w:val="CETBodytext"/>
              <w:jc w:val="center"/>
            </w:pPr>
            <w:r w:rsidRPr="00E7135D">
              <w:t>Unit</w:t>
            </w:r>
          </w:p>
        </w:tc>
      </w:tr>
      <w:tr w:rsidR="008C651A" w:rsidRPr="00E7135D" w14:paraId="422E5EB0" w14:textId="77777777" w:rsidTr="00FF31BE">
        <w:tc>
          <w:tcPr>
            <w:tcW w:w="1134" w:type="dxa"/>
            <w:shd w:val="clear" w:color="auto" w:fill="FFFFFF"/>
          </w:tcPr>
          <w:p w14:paraId="7097EE60" w14:textId="79F61199" w:rsidR="008C651A" w:rsidRPr="00E7135D" w:rsidRDefault="008C651A" w:rsidP="00E503F6">
            <w:pPr>
              <w:pStyle w:val="CETBodytext"/>
            </w:pPr>
            <m:oMathPara>
              <m:oMath>
                <m:r>
                  <m:rPr>
                    <m:sty m:val="p"/>
                  </m:rPr>
                  <w:rPr>
                    <w:rFonts w:ascii="Cambria Math" w:hAnsi="Cambria Math"/>
                  </w:rPr>
                  <m:t>ε</m:t>
                </m:r>
              </m:oMath>
            </m:oMathPara>
          </w:p>
        </w:tc>
        <w:tc>
          <w:tcPr>
            <w:tcW w:w="1134" w:type="dxa"/>
            <w:shd w:val="clear" w:color="auto" w:fill="FFFFFF"/>
          </w:tcPr>
          <w:p w14:paraId="0FA0CF44" w14:textId="4E57A6C8" w:rsidR="008C651A" w:rsidRPr="00E7135D" w:rsidRDefault="008C651A" w:rsidP="00E503F6">
            <w:pPr>
              <w:pStyle w:val="CETBodytext"/>
            </w:pPr>
            <w:r w:rsidRPr="00E7135D">
              <w:t>0.9941</w:t>
            </w:r>
          </w:p>
        </w:tc>
        <w:tc>
          <w:tcPr>
            <w:tcW w:w="1134" w:type="dxa"/>
            <w:shd w:val="clear" w:color="auto" w:fill="FFFFFF"/>
          </w:tcPr>
          <w:p w14:paraId="4A7045BD" w14:textId="09A5F433" w:rsidR="008C651A" w:rsidRPr="00E7135D" w:rsidRDefault="005805C0" w:rsidP="00E503F6">
            <w:pPr>
              <w:pStyle w:val="CETBodytext"/>
            </w:pPr>
            <m:oMathPara>
              <m:oMath>
                <m:r>
                  <m:rPr>
                    <m:sty m:val="p"/>
                  </m:rPr>
                  <w:rPr>
                    <w:rFonts w:ascii="Cambria Math" w:hAnsi="Cambria Math"/>
                  </w:rPr>
                  <m:t>-</m:t>
                </m:r>
              </m:oMath>
            </m:oMathPara>
          </w:p>
        </w:tc>
      </w:tr>
      <w:tr w:rsidR="008C651A" w:rsidRPr="00E7135D" w14:paraId="1443C43D" w14:textId="77777777" w:rsidTr="00FF31BE">
        <w:tc>
          <w:tcPr>
            <w:tcW w:w="1134" w:type="dxa"/>
            <w:shd w:val="clear" w:color="auto" w:fill="FFFFFF"/>
          </w:tcPr>
          <w:p w14:paraId="07F35FC8" w14:textId="0845055D" w:rsidR="008C651A" w:rsidRPr="00E7135D" w:rsidRDefault="007D6DF5" w:rsidP="00E503F6">
            <w:pPr>
              <w:pStyle w:val="CETBodytext"/>
              <w:ind w:right="-1"/>
              <w:rPr>
                <w:rFonts w:cs="Arial"/>
                <w:szCs w:val="18"/>
              </w:rPr>
            </w:pPr>
            <m:oMathPara>
              <m:oMath>
                <m:r>
                  <w:rPr>
                    <w:rFonts w:ascii="Cambria Math" w:hAnsi="Cambria Math"/>
                  </w:rPr>
                  <m:t>a</m:t>
                </m:r>
              </m:oMath>
            </m:oMathPara>
          </w:p>
        </w:tc>
        <w:tc>
          <w:tcPr>
            <w:tcW w:w="1134" w:type="dxa"/>
            <w:shd w:val="clear" w:color="auto" w:fill="FFFFFF"/>
          </w:tcPr>
          <w:p w14:paraId="1EAE26F8" w14:textId="4B3C3F4A" w:rsidR="008C651A" w:rsidRPr="00E7135D" w:rsidRDefault="007D6DF5" w:rsidP="00E503F6">
            <w:pPr>
              <w:pStyle w:val="CETBodytext"/>
              <w:ind w:right="-1"/>
              <w:rPr>
                <w:rFonts w:cs="Arial"/>
                <w:szCs w:val="18"/>
              </w:rPr>
            </w:pPr>
            <m:oMathPara>
              <m:oMath>
                <m:r>
                  <m:rPr>
                    <m:sty m:val="p"/>
                  </m:rPr>
                  <w:rPr>
                    <w:rFonts w:ascii="Cambria Math" w:hAnsi="Cambria Math"/>
                  </w:rPr>
                  <m:t>3.79×</m:t>
                </m:r>
                <m:sSup>
                  <m:sSupPr>
                    <m:ctrlPr>
                      <w:rPr>
                        <w:rFonts w:ascii="Cambria Math" w:hAnsi="Cambria Math"/>
                      </w:rPr>
                    </m:ctrlPr>
                  </m:sSupPr>
                  <m:e>
                    <m:r>
                      <m:rPr>
                        <m:sty m:val="p"/>
                      </m:rPr>
                      <w:rPr>
                        <w:rFonts w:ascii="Cambria Math" w:hAnsi="Cambria Math"/>
                      </w:rPr>
                      <m:t>10</m:t>
                    </m:r>
                  </m:e>
                  <m:sup>
                    <m:r>
                      <w:rPr>
                        <w:rFonts w:ascii="Cambria Math" w:hAnsi="Cambria Math"/>
                      </w:rPr>
                      <m:t>4</m:t>
                    </m:r>
                  </m:sup>
                </m:sSup>
              </m:oMath>
            </m:oMathPara>
          </w:p>
        </w:tc>
        <w:tc>
          <w:tcPr>
            <w:tcW w:w="1134" w:type="dxa"/>
            <w:shd w:val="clear" w:color="auto" w:fill="FFFFFF"/>
          </w:tcPr>
          <w:p w14:paraId="644439B9" w14:textId="6352E12D" w:rsidR="008C651A" w:rsidRPr="00E7135D" w:rsidRDefault="00000000" w:rsidP="00E503F6">
            <w:pPr>
              <w:pStyle w:val="CETBodytext"/>
              <w:ind w:right="-1"/>
              <w:rPr>
                <w:iCs/>
              </w:rPr>
            </w:pPr>
            <m:oMathPara>
              <m:oMath>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-3</m:t>
                    </m:r>
                  </m:sup>
                </m:sSup>
              </m:oMath>
            </m:oMathPara>
          </w:p>
        </w:tc>
      </w:tr>
      <w:tr w:rsidR="008C651A" w:rsidRPr="00E7135D" w14:paraId="43A1D54E" w14:textId="77777777" w:rsidTr="00FF31BE">
        <w:tc>
          <w:tcPr>
            <w:tcW w:w="1134" w:type="dxa"/>
            <w:shd w:val="clear" w:color="auto" w:fill="FFFFFF"/>
          </w:tcPr>
          <w:p w14:paraId="6A2B2267" w14:textId="5896C7F6" w:rsidR="008C651A" w:rsidRPr="00E7135D" w:rsidRDefault="00000000" w:rsidP="00E503F6">
            <w:pPr>
              <w:pStyle w:val="CETBodytext"/>
              <w:ind w:right="-1"/>
            </w:pPr>
            <m:oMathPara>
              <m:oMath>
                <m:sSub>
                  <m:sSubPr>
                    <m:ctrlPr>
                      <w:rPr>
                        <w:rFonts w:ascii="Cambria Math" w:hAnsi="Cambria Math"/>
                      </w:rPr>
                    </m:ctrlPr>
                  </m:sSubPr>
                  <m:e>
                    <m:r>
                      <w:rPr>
                        <w:rFonts w:ascii="Cambria Math" w:hAnsi="Cambria Math"/>
                      </w:rPr>
                      <m:t>c</m:t>
                    </m:r>
                    <m:ctrlPr>
                      <w:rPr>
                        <w:rFonts w:ascii="Cambria Math" w:hAnsi="Cambria Math"/>
                        <w:i/>
                      </w:rPr>
                    </m:ctrlPr>
                  </m:e>
                  <m:sub>
                    <m:r>
                      <w:rPr>
                        <w:rFonts w:ascii="Cambria Math" w:hAnsi="Cambria Math"/>
                      </w:rPr>
                      <m:t>β</m:t>
                    </m:r>
                    <m:r>
                      <m:rPr>
                        <m:sty m:val="p"/>
                      </m:rPr>
                      <w:rPr>
                        <w:rFonts w:ascii="Cambria Math" w:hAnsi="Cambria Math"/>
                      </w:rPr>
                      <m:t>0</m:t>
                    </m:r>
                  </m:sub>
                </m:sSub>
              </m:oMath>
            </m:oMathPara>
          </w:p>
        </w:tc>
        <w:tc>
          <w:tcPr>
            <w:tcW w:w="1134" w:type="dxa"/>
            <w:shd w:val="clear" w:color="auto" w:fill="FFFFFF"/>
          </w:tcPr>
          <w:p w14:paraId="13D3B64B" w14:textId="47FDD1C5" w:rsidR="008C651A" w:rsidRPr="00E7135D" w:rsidRDefault="008C651A" w:rsidP="00E503F6">
            <w:pPr>
              <w:pStyle w:val="CETBodytext"/>
              <w:ind w:right="-1"/>
              <w:rPr>
                <w:rFonts w:cs="Arial"/>
                <w:szCs w:val="18"/>
              </w:rPr>
            </w:pPr>
            <w:r w:rsidRPr="00E7135D">
              <w:rPr>
                <w:rFonts w:cs="Arial"/>
                <w:szCs w:val="18"/>
              </w:rPr>
              <w:t>3</w:t>
            </w:r>
            <w:r w:rsidR="001402AC" w:rsidRPr="00E7135D">
              <w:rPr>
                <w:rFonts w:cs="Arial"/>
                <w:szCs w:val="18"/>
              </w:rPr>
              <w:t>2.24</w:t>
            </w:r>
          </w:p>
        </w:tc>
        <w:tc>
          <w:tcPr>
            <w:tcW w:w="1134" w:type="dxa"/>
            <w:shd w:val="clear" w:color="auto" w:fill="FFFFFF"/>
          </w:tcPr>
          <w:p w14:paraId="21825526" w14:textId="37D37E38" w:rsidR="008C651A" w:rsidRPr="00E7135D" w:rsidRDefault="007D6DF5" w:rsidP="00E503F6">
            <w:pPr>
              <w:pStyle w:val="CETBodytext"/>
              <w:ind w:right="-1"/>
              <w:rPr>
                <w:iCs/>
              </w:rPr>
            </w:pPr>
            <m:oMathPara>
              <m:oMath>
                <m:r>
                  <m:rPr>
                    <m:sty m:val="p"/>
                  </m:rPr>
                  <w:rPr>
                    <w:rFonts w:ascii="Cambria Math" w:hAnsi="Cambria Math"/>
                  </w:rPr>
                  <m:t>kg</m:t>
                </m:r>
                <m:sSup>
                  <m:sSupPr>
                    <m:ctrlPr>
                      <w:rPr>
                        <w:rFonts w:ascii="Cambria Math" w:hAnsi="Cambria Math"/>
                        <w:iCs/>
                      </w:rPr>
                    </m:ctrlPr>
                  </m:sSupPr>
                  <m:e>
                    <m:r>
                      <m:rPr>
                        <m:sty m:val="p"/>
                      </m:rPr>
                      <w:rPr>
                        <w:rFonts w:ascii="Cambria Math" w:hAnsi="Cambria Math"/>
                      </w:rPr>
                      <m:t xml:space="preserve"> m</m:t>
                    </m:r>
                  </m:e>
                  <m:sup>
                    <m:r>
                      <m:rPr>
                        <m:sty m:val="p"/>
                      </m:rPr>
                      <w:rPr>
                        <w:rFonts w:ascii="Cambria Math" w:hAnsi="Cambria Math"/>
                      </w:rPr>
                      <m:t>-3</m:t>
                    </m:r>
                  </m:sup>
                </m:sSup>
              </m:oMath>
            </m:oMathPara>
          </w:p>
        </w:tc>
      </w:tr>
    </w:tbl>
    <w:p w14:paraId="7E1A4AF4" w14:textId="069FBA18" w:rsidR="002B0AD5" w:rsidRPr="00E7135D" w:rsidRDefault="002B0AD5" w:rsidP="00600535">
      <w:pPr>
        <w:pStyle w:val="CETHeading1"/>
      </w:pPr>
      <w:r w:rsidRPr="00E7135D">
        <w:t>Results</w:t>
      </w:r>
    </w:p>
    <w:p w14:paraId="1EBD1368" w14:textId="6F4372D7" w:rsidR="0063712C" w:rsidRPr="00E7135D" w:rsidRDefault="004666B8" w:rsidP="00EE22D3">
      <w:pPr>
        <w:pStyle w:val="CETBodytext"/>
      </w:pPr>
      <w:r w:rsidRPr="00E7135D">
        <w:t xml:space="preserve">Table 2 </w:t>
      </w:r>
      <w:r w:rsidR="00885973" w:rsidRPr="00E7135D">
        <w:t xml:space="preserve">shows </w:t>
      </w:r>
      <w:r w:rsidRPr="00E7135D">
        <w:t xml:space="preserve">the estimated values of the eight parameters defined in both sets of equations using the Gekko library. </w:t>
      </w:r>
      <w:r w:rsidR="003817AE" w:rsidRPr="00E7135D">
        <w:t xml:space="preserve">The mass coefficients are determined to establish the phase with the highest resistance between the solid-liquid extraction, indicating whether the extraction is slow due to the characteristics of the liquid (viscosity, temperature) or the plant characteristics  (solubility, particle size). </w:t>
      </w:r>
      <w:r w:rsidRPr="00E7135D">
        <w:t>The magnitude of the mass transfer coefficient in the solvent phase</w:t>
      </w:r>
      <w:r w:rsidR="00230D08" w:rsidRPr="00E7135D">
        <w:t xml:space="preserve"> (</w:t>
      </w:r>
      <m:oMath>
        <m:r>
          <m:rPr>
            <m:sty m:val="p"/>
          </m:rPr>
          <w:rPr>
            <w:rFonts w:ascii="Cambria Math" w:hAnsi="Cambria Math"/>
          </w:rPr>
          <m:t>2.28×</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00230D08" w:rsidRPr="00E7135D">
        <w:t xml:space="preserve"> </w:t>
      </w:r>
      <m:oMath>
        <m:r>
          <m:rPr>
            <m:sty m:val="p"/>
          </m:rPr>
          <w:rPr>
            <w:rFonts w:ascii="Cambria Math" w:hAnsi="Cambria Math" w:cs="Arial"/>
            <w:szCs w:val="18"/>
          </w:rPr>
          <m:t xml:space="preserve">m </m:t>
        </m:r>
        <m:sSup>
          <m:sSupPr>
            <m:ctrlPr>
              <w:rPr>
                <w:rFonts w:ascii="Cambria Math" w:hAnsi="Cambria Math" w:cs="Arial"/>
                <w:szCs w:val="18"/>
              </w:rPr>
            </m:ctrlPr>
          </m:sSupPr>
          <m:e>
            <m:r>
              <m:rPr>
                <m:sty m:val="p"/>
              </m:rPr>
              <w:rPr>
                <w:rFonts w:ascii="Cambria Math" w:hAnsi="Cambria Math" w:cs="Arial"/>
                <w:szCs w:val="18"/>
              </w:rPr>
              <m:t>s</m:t>
            </m:r>
          </m:e>
          <m:sup>
            <m:r>
              <m:rPr>
                <m:sty m:val="p"/>
              </m:rPr>
              <w:rPr>
                <w:rFonts w:ascii="Cambria Math" w:hAnsi="Cambria Math" w:cs="Arial"/>
                <w:szCs w:val="18"/>
              </w:rPr>
              <m:t>-1</m:t>
            </m:r>
          </m:sup>
        </m:sSup>
      </m:oMath>
      <w:r w:rsidR="00230D08" w:rsidRPr="00E7135D">
        <w:t>)</w:t>
      </w:r>
      <w:r w:rsidR="00A50318" w:rsidRPr="00E7135D">
        <w:t xml:space="preserve"> is greater than the </w:t>
      </w:r>
      <w:r w:rsidR="00846EE1" w:rsidRPr="00E7135D">
        <w:t>corresponding</w:t>
      </w:r>
      <w:r w:rsidR="00A50318" w:rsidRPr="00E7135D">
        <w:t xml:space="preserve"> coefficient in the solid phase</w:t>
      </w:r>
      <w:r w:rsidR="00230D08" w:rsidRPr="00E7135D">
        <w:t xml:space="preserve"> (</w:t>
      </w:r>
      <w:r w:rsidR="00036B4C" w:rsidRPr="00E7135D">
        <w:t>1</w:t>
      </w:r>
      <w:r w:rsidR="00230D08" w:rsidRPr="00E7135D">
        <w:t>.</w:t>
      </w:r>
      <w:r w:rsidR="00036B4C" w:rsidRPr="00E7135D">
        <w:t>30</w:t>
      </w:r>
      <m:oMath>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-8</m:t>
            </m:r>
          </m:sup>
        </m:sSup>
      </m:oMath>
      <w:r w:rsidR="00230D08" w:rsidRPr="00E7135D">
        <w:rPr>
          <w:rFonts w:cs="Arial"/>
          <w:szCs w:val="18"/>
        </w:rPr>
        <w:t xml:space="preserve"> </w:t>
      </w:r>
      <m:oMath>
        <m:r>
          <m:rPr>
            <m:sty m:val="p"/>
          </m:rPr>
          <w:rPr>
            <w:rFonts w:ascii="Cambria Math" w:hAnsi="Cambria Math" w:cs="Arial"/>
            <w:szCs w:val="18"/>
          </w:rPr>
          <m:t>m</m:t>
        </m:r>
        <m:sSup>
          <m:sSupPr>
            <m:ctrlPr>
              <w:rPr>
                <w:rFonts w:ascii="Cambria Math" w:hAnsi="Cambria Math" w:cs="Arial"/>
                <w:szCs w:val="18"/>
              </w:rPr>
            </m:ctrlPr>
          </m:sSupPr>
          <m:e>
            <m:r>
              <m:rPr>
                <m:sty m:val="p"/>
              </m:rPr>
              <w:rPr>
                <w:rFonts w:ascii="Cambria Math" w:hAnsi="Cambria Math" w:cs="Arial"/>
                <w:szCs w:val="18"/>
              </w:rPr>
              <m:t xml:space="preserve"> s</m:t>
            </m:r>
          </m:e>
          <m:sup>
            <m:r>
              <m:rPr>
                <m:sty m:val="p"/>
              </m:rPr>
              <w:rPr>
                <w:rFonts w:ascii="Cambria Math" w:hAnsi="Cambria Math" w:cs="Arial"/>
                <w:szCs w:val="18"/>
              </w:rPr>
              <m:t>-1</m:t>
            </m:r>
          </m:sup>
        </m:sSup>
      </m:oMath>
      <w:r w:rsidR="00230D08" w:rsidRPr="00E7135D">
        <w:t>)</w:t>
      </w:r>
      <w:r w:rsidR="00A50318" w:rsidRPr="00E7135D">
        <w:t>. This difference indicates that the mass transfer between the interface and the solid phase presents more resistance in mass phenomena compared to the interface and the solvent phase.</w:t>
      </w:r>
      <w:r w:rsidR="00273E6F" w:rsidRPr="00E7135D">
        <w:t xml:space="preserve"> </w:t>
      </w:r>
    </w:p>
    <w:p w14:paraId="569E417E" w14:textId="40A7C239" w:rsidR="0063712C" w:rsidRPr="00E7135D" w:rsidRDefault="0063712C" w:rsidP="00704A36">
      <w:pPr>
        <w:pStyle w:val="CETTabletitle"/>
        <w:spacing w:before="120"/>
        <w:rPr>
          <w:lang w:val="en-US"/>
        </w:rPr>
      </w:pPr>
      <w:r w:rsidRPr="00E7135D">
        <w:rPr>
          <w:lang w:val="en-US"/>
        </w:rPr>
        <w:t>Table 2: Estimated parameters in the differential equations and the mechani</w:t>
      </w:r>
      <w:r w:rsidR="00B362E0" w:rsidRPr="00E7135D">
        <w:rPr>
          <w:lang w:val="en-US"/>
        </w:rPr>
        <w:t>stic</w:t>
      </w:r>
      <w:r w:rsidRPr="00E7135D">
        <w:rPr>
          <w:lang w:val="en-US"/>
        </w:rPr>
        <w:t xml:space="preserve"> model.</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tblGrid>
      <w:tr w:rsidR="0063712C" w:rsidRPr="00E7135D" w14:paraId="0BC648A2" w14:textId="77777777" w:rsidTr="00FF31BE">
        <w:tc>
          <w:tcPr>
            <w:tcW w:w="1134" w:type="dxa"/>
            <w:tcBorders>
              <w:top w:val="single" w:sz="12" w:space="0" w:color="008000"/>
              <w:bottom w:val="single" w:sz="6" w:space="0" w:color="008000"/>
            </w:tcBorders>
            <w:shd w:val="clear" w:color="auto" w:fill="FFFFFF"/>
          </w:tcPr>
          <w:p w14:paraId="10435368" w14:textId="77777777" w:rsidR="0063712C" w:rsidRPr="00E7135D" w:rsidRDefault="0063712C" w:rsidP="00704A36">
            <w:pPr>
              <w:pStyle w:val="CETBodytext"/>
              <w:jc w:val="center"/>
              <w:rPr>
                <w:rFonts w:cs="Arial"/>
                <w:szCs w:val="18"/>
              </w:rPr>
            </w:pPr>
            <w:r w:rsidRPr="00E7135D">
              <w:rPr>
                <w:rFonts w:cs="Arial"/>
                <w:szCs w:val="18"/>
              </w:rPr>
              <w:t>Equations</w:t>
            </w:r>
          </w:p>
        </w:tc>
        <w:tc>
          <w:tcPr>
            <w:tcW w:w="1134" w:type="dxa"/>
            <w:tcBorders>
              <w:top w:val="single" w:sz="12" w:space="0" w:color="008000"/>
              <w:bottom w:val="single" w:sz="6" w:space="0" w:color="008000"/>
            </w:tcBorders>
            <w:shd w:val="clear" w:color="auto" w:fill="FFFFFF"/>
          </w:tcPr>
          <w:p w14:paraId="01E389A9" w14:textId="77777777" w:rsidR="0063712C" w:rsidRPr="00E7135D" w:rsidRDefault="0063712C" w:rsidP="00704A36">
            <w:pPr>
              <w:pStyle w:val="CETBodytext"/>
              <w:jc w:val="center"/>
              <w:rPr>
                <w:rFonts w:cs="Arial"/>
                <w:szCs w:val="18"/>
              </w:rPr>
            </w:pPr>
            <w:r w:rsidRPr="00E7135D">
              <w:rPr>
                <w:rFonts w:cs="Arial"/>
                <w:szCs w:val="18"/>
              </w:rPr>
              <w:t>Constants</w:t>
            </w:r>
          </w:p>
        </w:tc>
        <w:tc>
          <w:tcPr>
            <w:tcW w:w="1134" w:type="dxa"/>
            <w:tcBorders>
              <w:top w:val="single" w:sz="12" w:space="0" w:color="008000"/>
              <w:bottom w:val="single" w:sz="6" w:space="0" w:color="008000"/>
            </w:tcBorders>
            <w:shd w:val="clear" w:color="auto" w:fill="FFFFFF"/>
          </w:tcPr>
          <w:p w14:paraId="1124D9CF" w14:textId="77777777" w:rsidR="0063712C" w:rsidRPr="00E7135D" w:rsidRDefault="0063712C" w:rsidP="00704A36">
            <w:pPr>
              <w:pStyle w:val="CETBodytext"/>
              <w:jc w:val="center"/>
              <w:rPr>
                <w:rFonts w:cs="Arial"/>
                <w:szCs w:val="18"/>
              </w:rPr>
            </w:pPr>
            <w:r w:rsidRPr="00E7135D">
              <w:rPr>
                <w:rFonts w:cs="Arial"/>
                <w:szCs w:val="18"/>
              </w:rPr>
              <w:t>Value</w:t>
            </w:r>
          </w:p>
        </w:tc>
        <w:tc>
          <w:tcPr>
            <w:tcW w:w="1134" w:type="dxa"/>
            <w:tcBorders>
              <w:top w:val="single" w:sz="12" w:space="0" w:color="008000"/>
              <w:bottom w:val="single" w:sz="6" w:space="0" w:color="008000"/>
            </w:tcBorders>
            <w:shd w:val="clear" w:color="auto" w:fill="FFFFFF"/>
          </w:tcPr>
          <w:p w14:paraId="4DC4A3A1" w14:textId="77777777" w:rsidR="0063712C" w:rsidRPr="00E7135D" w:rsidRDefault="0063712C" w:rsidP="00704A36">
            <w:pPr>
              <w:pStyle w:val="CETBodytext"/>
              <w:jc w:val="center"/>
              <w:rPr>
                <w:rFonts w:cs="Arial"/>
                <w:szCs w:val="18"/>
              </w:rPr>
            </w:pPr>
            <w:r w:rsidRPr="00E7135D">
              <w:rPr>
                <w:rFonts w:cs="Arial"/>
                <w:szCs w:val="18"/>
              </w:rPr>
              <w:t>Unit</w:t>
            </w:r>
          </w:p>
        </w:tc>
      </w:tr>
      <w:tr w:rsidR="0063712C" w:rsidRPr="00E7135D" w14:paraId="1F6497AD" w14:textId="77777777" w:rsidTr="00FF31BE">
        <w:tc>
          <w:tcPr>
            <w:tcW w:w="1134" w:type="dxa"/>
            <w:vMerge w:val="restart"/>
            <w:shd w:val="clear" w:color="auto" w:fill="FFFFFF"/>
          </w:tcPr>
          <w:p w14:paraId="50DD2CF7" w14:textId="77777777" w:rsidR="0063712C" w:rsidRPr="00E7135D" w:rsidRDefault="0063712C">
            <w:pPr>
              <w:pStyle w:val="CETBodytext"/>
              <w:jc w:val="center"/>
              <w:rPr>
                <w:rFonts w:cs="Arial"/>
                <w:szCs w:val="18"/>
              </w:rPr>
            </w:pPr>
            <w:r w:rsidRPr="00E7135D">
              <w:rPr>
                <w:rFonts w:cs="Arial"/>
                <w:szCs w:val="18"/>
              </w:rPr>
              <w:t>(1-3)</w:t>
            </w:r>
          </w:p>
        </w:tc>
        <w:tc>
          <w:tcPr>
            <w:tcW w:w="1134" w:type="dxa"/>
            <w:shd w:val="clear" w:color="auto" w:fill="FFFFFF"/>
          </w:tcPr>
          <w:p w14:paraId="5012EFD3" w14:textId="4BCA123E" w:rsidR="0063712C" w:rsidRPr="00E7135D" w:rsidRDefault="00000000">
            <w:pPr>
              <w:pStyle w:val="CETBodytext"/>
              <w:jc w:val="center"/>
              <w:rPr>
                <w:rFonts w:cs="Arial"/>
                <w:i/>
                <w:szCs w:val="18"/>
              </w:rPr>
            </w:pPr>
            <m:oMathPara>
              <m:oMath>
                <m:sSub>
                  <m:sSubPr>
                    <m:ctrlPr>
                      <w:rPr>
                        <w:rFonts w:ascii="Cambria Math" w:hAnsi="Cambria Math" w:cs="Arial"/>
                        <w:szCs w:val="18"/>
                      </w:rPr>
                    </m:ctrlPr>
                  </m:sSubPr>
                  <m:e>
                    <m:r>
                      <w:rPr>
                        <w:rFonts w:ascii="Cambria Math" w:hAnsi="Cambria Math" w:cs="Arial"/>
                        <w:szCs w:val="18"/>
                      </w:rPr>
                      <m:t>k</m:t>
                    </m:r>
                    <m:ctrlPr>
                      <w:rPr>
                        <w:rFonts w:ascii="Cambria Math" w:hAnsi="Cambria Math" w:cs="Arial"/>
                        <w:i/>
                        <w:szCs w:val="18"/>
                      </w:rPr>
                    </m:ctrlPr>
                  </m:e>
                  <m:sub>
                    <m:r>
                      <w:rPr>
                        <w:rFonts w:ascii="Cambria Math" w:hAnsi="Cambria Math" w:cs="Arial"/>
                        <w:szCs w:val="18"/>
                      </w:rPr>
                      <m:t>cγ</m:t>
                    </m:r>
                  </m:sub>
                </m:sSub>
              </m:oMath>
            </m:oMathPara>
          </w:p>
        </w:tc>
        <w:tc>
          <w:tcPr>
            <w:tcW w:w="1134" w:type="dxa"/>
            <w:shd w:val="clear" w:color="auto" w:fill="FFFFFF"/>
          </w:tcPr>
          <w:p w14:paraId="0187414E" w14:textId="2D5F0969" w:rsidR="0063712C" w:rsidRPr="00E7135D" w:rsidRDefault="007D6DF5">
            <w:pPr>
              <w:pStyle w:val="CETBodytext"/>
              <w:jc w:val="center"/>
              <w:rPr>
                <w:rFonts w:cs="Arial"/>
                <w:color w:val="000000"/>
                <w:szCs w:val="18"/>
              </w:rPr>
            </w:pPr>
            <m:oMathPara>
              <m:oMath>
                <m:r>
                  <m:rPr>
                    <m:sty m:val="p"/>
                  </m:rPr>
                  <w:rPr>
                    <w:rFonts w:ascii="Cambria Math" w:hAnsi="Cambria Math"/>
                  </w:rPr>
                  <m:t>2.28×</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c>
          <w:tcPr>
            <w:tcW w:w="1134" w:type="dxa"/>
            <w:shd w:val="clear" w:color="auto" w:fill="FFFFFF"/>
          </w:tcPr>
          <w:p w14:paraId="3CE10409" w14:textId="1622E4CA" w:rsidR="0063712C" w:rsidRPr="00E7135D" w:rsidRDefault="007D6DF5">
            <w:pPr>
              <w:pStyle w:val="CETBodytext"/>
              <w:jc w:val="center"/>
              <w:rPr>
                <w:rFonts w:cs="Arial"/>
                <w:iCs/>
                <w:szCs w:val="18"/>
              </w:rPr>
            </w:pPr>
            <m:oMathPara>
              <m:oMath>
                <m:r>
                  <m:rPr>
                    <m:sty m:val="p"/>
                  </m:rPr>
                  <w:rPr>
                    <w:rFonts w:ascii="Cambria Math" w:hAnsi="Cambria Math" w:cs="Arial"/>
                    <w:szCs w:val="18"/>
                  </w:rPr>
                  <m:t>m</m:t>
                </m:r>
                <m:sSup>
                  <m:sSupPr>
                    <m:ctrlPr>
                      <w:rPr>
                        <w:rFonts w:ascii="Cambria Math" w:hAnsi="Cambria Math" w:cs="Arial"/>
                        <w:iCs/>
                        <w:szCs w:val="18"/>
                      </w:rPr>
                    </m:ctrlPr>
                  </m:sSupPr>
                  <m:e>
                    <m:r>
                      <m:rPr>
                        <m:sty m:val="p"/>
                      </m:rPr>
                      <w:rPr>
                        <w:rFonts w:ascii="Cambria Math" w:hAnsi="Cambria Math" w:cs="Arial"/>
                        <w:szCs w:val="18"/>
                      </w:rPr>
                      <m:t xml:space="preserve"> s</m:t>
                    </m:r>
                  </m:e>
                  <m:sup>
                    <m:r>
                      <m:rPr>
                        <m:sty m:val="p"/>
                      </m:rPr>
                      <w:rPr>
                        <w:rFonts w:ascii="Cambria Math" w:hAnsi="Cambria Math" w:cs="Arial"/>
                        <w:szCs w:val="18"/>
                      </w:rPr>
                      <m:t>-1</m:t>
                    </m:r>
                  </m:sup>
                </m:sSup>
              </m:oMath>
            </m:oMathPara>
          </w:p>
        </w:tc>
      </w:tr>
      <w:tr w:rsidR="0063712C" w:rsidRPr="00E7135D" w14:paraId="3D221AA8" w14:textId="77777777" w:rsidTr="00FF31BE">
        <w:tc>
          <w:tcPr>
            <w:tcW w:w="1134" w:type="dxa"/>
            <w:vMerge/>
            <w:shd w:val="clear" w:color="auto" w:fill="FFFFFF"/>
          </w:tcPr>
          <w:p w14:paraId="711B94F2" w14:textId="77777777" w:rsidR="0063712C" w:rsidRPr="00E7135D" w:rsidRDefault="0063712C">
            <w:pPr>
              <w:pStyle w:val="CETBodytext"/>
              <w:jc w:val="center"/>
              <w:rPr>
                <w:rFonts w:cs="Arial"/>
                <w:szCs w:val="18"/>
              </w:rPr>
            </w:pPr>
          </w:p>
        </w:tc>
        <w:tc>
          <w:tcPr>
            <w:tcW w:w="1134" w:type="dxa"/>
            <w:shd w:val="clear" w:color="auto" w:fill="FFFFFF"/>
          </w:tcPr>
          <w:p w14:paraId="4A2E0498" w14:textId="6B5F329B" w:rsidR="0063712C" w:rsidRPr="00E7135D" w:rsidRDefault="00000000">
            <w:pPr>
              <w:pStyle w:val="CETBodytext"/>
              <w:jc w:val="center"/>
              <w:rPr>
                <w:rFonts w:cs="Arial"/>
                <w:szCs w:val="18"/>
              </w:rPr>
            </w:pPr>
            <m:oMathPara>
              <m:oMath>
                <m:sSub>
                  <m:sSubPr>
                    <m:ctrlPr>
                      <w:rPr>
                        <w:rFonts w:ascii="Cambria Math" w:hAnsi="Cambria Math" w:cs="Arial"/>
                        <w:szCs w:val="18"/>
                      </w:rPr>
                    </m:ctrlPr>
                  </m:sSubPr>
                  <m:e>
                    <m:r>
                      <w:rPr>
                        <w:rFonts w:ascii="Cambria Math" w:hAnsi="Cambria Math" w:cs="Arial"/>
                        <w:szCs w:val="18"/>
                      </w:rPr>
                      <m:t>k</m:t>
                    </m:r>
                    <m:ctrlPr>
                      <w:rPr>
                        <w:rFonts w:ascii="Cambria Math" w:hAnsi="Cambria Math" w:cs="Arial"/>
                        <w:i/>
                        <w:szCs w:val="18"/>
                      </w:rPr>
                    </m:ctrlPr>
                  </m:e>
                  <m:sub>
                    <m:r>
                      <w:rPr>
                        <w:rFonts w:ascii="Cambria Math" w:hAnsi="Cambria Math" w:cs="Arial"/>
                        <w:szCs w:val="18"/>
                      </w:rPr>
                      <m:t>cβ</m:t>
                    </m:r>
                  </m:sub>
                </m:sSub>
              </m:oMath>
            </m:oMathPara>
          </w:p>
        </w:tc>
        <w:tc>
          <w:tcPr>
            <w:tcW w:w="1134" w:type="dxa"/>
            <w:shd w:val="clear" w:color="auto" w:fill="FFFFFF"/>
          </w:tcPr>
          <w:p w14:paraId="62731EA6" w14:textId="11D648B7" w:rsidR="0063712C" w:rsidRPr="00E7135D" w:rsidRDefault="007D6DF5" w:rsidP="002F07CA">
            <w:pPr>
              <w:pStyle w:val="CETBodytext"/>
              <w:jc w:val="center"/>
              <w:rPr>
                <w:rFonts w:cs="Arial"/>
                <w:szCs w:val="18"/>
              </w:rPr>
            </w:pPr>
            <m:oMathPara>
              <m:oMath>
                <m:r>
                  <m:rPr>
                    <m:sty m:val="p"/>
                  </m:rPr>
                  <w:rPr>
                    <w:rFonts w:ascii="Cambria Math" w:hAnsi="Cambria Math"/>
                  </w:rPr>
                  <m:t>1.30×</m:t>
                </m:r>
                <m:sSup>
                  <m:sSupPr>
                    <m:ctrlPr>
                      <w:rPr>
                        <w:rFonts w:ascii="Cambria Math" w:hAnsi="Cambria Math"/>
                      </w:rPr>
                    </m:ctrlPr>
                  </m:sSupPr>
                  <m:e>
                    <m:r>
                      <m:rPr>
                        <m:sty m:val="p"/>
                      </m:rPr>
                      <w:rPr>
                        <w:rFonts w:ascii="Cambria Math" w:hAnsi="Cambria Math"/>
                      </w:rPr>
                      <m:t>10</m:t>
                    </m:r>
                  </m:e>
                  <m:sup>
                    <m:r>
                      <w:rPr>
                        <w:rFonts w:ascii="Cambria Math" w:hAnsi="Cambria Math"/>
                      </w:rPr>
                      <m:t>-8</m:t>
                    </m:r>
                  </m:sup>
                </m:sSup>
              </m:oMath>
            </m:oMathPara>
          </w:p>
        </w:tc>
        <w:tc>
          <w:tcPr>
            <w:tcW w:w="1134" w:type="dxa"/>
            <w:shd w:val="clear" w:color="auto" w:fill="FFFFFF"/>
          </w:tcPr>
          <w:p w14:paraId="756BA190" w14:textId="67D7BE05" w:rsidR="0063712C" w:rsidRPr="00E7135D" w:rsidRDefault="007D6DF5">
            <w:pPr>
              <w:pStyle w:val="CETBodytext"/>
              <w:jc w:val="center"/>
              <w:rPr>
                <w:rFonts w:cs="Arial"/>
                <w:iCs/>
                <w:szCs w:val="18"/>
              </w:rPr>
            </w:pPr>
            <m:oMathPara>
              <m:oMath>
                <m:r>
                  <m:rPr>
                    <m:sty m:val="p"/>
                  </m:rPr>
                  <w:rPr>
                    <w:rFonts w:ascii="Cambria Math" w:hAnsi="Cambria Math" w:cs="Arial"/>
                    <w:szCs w:val="18"/>
                  </w:rPr>
                  <m:t xml:space="preserve">m </m:t>
                </m:r>
                <m:sSup>
                  <m:sSupPr>
                    <m:ctrlPr>
                      <w:rPr>
                        <w:rFonts w:ascii="Cambria Math" w:hAnsi="Cambria Math" w:cs="Arial"/>
                        <w:iCs/>
                        <w:szCs w:val="18"/>
                      </w:rPr>
                    </m:ctrlPr>
                  </m:sSupPr>
                  <m:e>
                    <m:r>
                      <m:rPr>
                        <m:sty m:val="p"/>
                      </m:rPr>
                      <w:rPr>
                        <w:rFonts w:ascii="Cambria Math" w:hAnsi="Cambria Math" w:cs="Arial"/>
                        <w:szCs w:val="18"/>
                      </w:rPr>
                      <m:t>s</m:t>
                    </m:r>
                  </m:e>
                  <m:sup>
                    <m:r>
                      <m:rPr>
                        <m:sty m:val="p"/>
                      </m:rPr>
                      <w:rPr>
                        <w:rFonts w:ascii="Cambria Math" w:hAnsi="Cambria Math" w:cs="Arial"/>
                        <w:szCs w:val="18"/>
                      </w:rPr>
                      <m:t>-1</m:t>
                    </m:r>
                  </m:sup>
                </m:sSup>
              </m:oMath>
            </m:oMathPara>
          </w:p>
        </w:tc>
      </w:tr>
      <w:tr w:rsidR="0063712C" w:rsidRPr="00E7135D" w14:paraId="6DD7D629" w14:textId="77777777" w:rsidTr="00FF31BE">
        <w:tc>
          <w:tcPr>
            <w:tcW w:w="1134" w:type="dxa"/>
            <w:vMerge/>
            <w:shd w:val="clear" w:color="auto" w:fill="FFFFFF"/>
          </w:tcPr>
          <w:p w14:paraId="606576EC" w14:textId="77777777" w:rsidR="0063712C" w:rsidRPr="00E7135D" w:rsidRDefault="0063712C">
            <w:pPr>
              <w:pStyle w:val="CETBodytext"/>
              <w:jc w:val="center"/>
              <w:rPr>
                <w:rFonts w:cs="Arial"/>
                <w:szCs w:val="18"/>
              </w:rPr>
            </w:pPr>
          </w:p>
        </w:tc>
        <w:tc>
          <w:tcPr>
            <w:tcW w:w="1134" w:type="dxa"/>
            <w:shd w:val="clear" w:color="auto" w:fill="FFFFFF"/>
          </w:tcPr>
          <w:p w14:paraId="2F90180C" w14:textId="77777777" w:rsidR="0063712C" w:rsidRPr="00E7135D" w:rsidRDefault="0063712C">
            <w:pPr>
              <w:pStyle w:val="CETBodytext"/>
              <w:jc w:val="center"/>
              <w:rPr>
                <w:rFonts w:cs="Arial"/>
                <w:szCs w:val="18"/>
              </w:rPr>
            </w:pPr>
            <m:oMathPara>
              <m:oMath>
                <m:r>
                  <w:rPr>
                    <w:rFonts w:ascii="Cambria Math" w:hAnsi="Cambria Math" w:cs="Arial"/>
                    <w:szCs w:val="18"/>
                  </w:rPr>
                  <m:t>K</m:t>
                </m:r>
              </m:oMath>
            </m:oMathPara>
          </w:p>
        </w:tc>
        <w:tc>
          <w:tcPr>
            <w:tcW w:w="1134" w:type="dxa"/>
            <w:shd w:val="clear" w:color="auto" w:fill="FFFFFF"/>
          </w:tcPr>
          <w:p w14:paraId="45F755CE" w14:textId="7E08E26D" w:rsidR="0063712C" w:rsidRPr="00E7135D" w:rsidRDefault="002F07CA" w:rsidP="002F07CA">
            <w:pPr>
              <w:pStyle w:val="CETBodytext"/>
              <w:jc w:val="center"/>
              <w:rPr>
                <w:rFonts w:cs="Arial"/>
                <w:color w:val="000000"/>
                <w:szCs w:val="18"/>
              </w:rPr>
            </w:pPr>
            <m:oMathPara>
              <m:oMath>
                <m:r>
                  <m:rPr>
                    <m:sty m:val="p"/>
                  </m:rPr>
                  <w:rPr>
                    <w:rFonts w:ascii="Cambria Math" w:hAnsi="Cambria Math"/>
                  </w:rPr>
                  <m:t>6.89×</m:t>
                </m:r>
                <m:sSup>
                  <m:sSupPr>
                    <m:ctrlPr>
                      <w:rPr>
                        <w:rFonts w:ascii="Cambria Math" w:hAnsi="Cambria Math"/>
                      </w:rPr>
                    </m:ctrlPr>
                  </m:sSupPr>
                  <m:e>
                    <m:r>
                      <m:rPr>
                        <m:sty m:val="p"/>
                      </m:rPr>
                      <w:rPr>
                        <w:rFonts w:ascii="Cambria Math" w:hAnsi="Cambria Math"/>
                      </w:rPr>
                      <m:t>10</m:t>
                    </m:r>
                  </m:e>
                  <m:sup>
                    <m:r>
                      <w:rPr>
                        <w:rFonts w:ascii="Cambria Math" w:hAnsi="Cambria Math"/>
                      </w:rPr>
                      <m:t>-2</m:t>
                    </m:r>
                  </m:sup>
                </m:sSup>
              </m:oMath>
            </m:oMathPara>
          </w:p>
        </w:tc>
        <w:tc>
          <w:tcPr>
            <w:tcW w:w="1134" w:type="dxa"/>
            <w:shd w:val="clear" w:color="auto" w:fill="FFFFFF"/>
          </w:tcPr>
          <w:p w14:paraId="3CA3AAAF" w14:textId="43F22B9A" w:rsidR="0063712C" w:rsidRPr="00E7135D" w:rsidRDefault="005805C0">
            <w:pPr>
              <w:pStyle w:val="CETBodytext"/>
              <w:jc w:val="center"/>
              <w:rPr>
                <w:rFonts w:cs="Arial"/>
                <w:szCs w:val="18"/>
              </w:rPr>
            </w:pPr>
            <m:oMathPara>
              <m:oMath>
                <m:r>
                  <m:rPr>
                    <m:sty m:val="p"/>
                  </m:rPr>
                  <w:rPr>
                    <w:rFonts w:ascii="Cambria Math" w:hAnsi="Cambria Math"/>
                  </w:rPr>
                  <m:t>-</m:t>
                </m:r>
              </m:oMath>
            </m:oMathPara>
          </w:p>
        </w:tc>
      </w:tr>
      <w:tr w:rsidR="0063712C" w:rsidRPr="00E7135D" w14:paraId="5AF0FD33" w14:textId="77777777" w:rsidTr="00FF31BE">
        <w:tc>
          <w:tcPr>
            <w:tcW w:w="1134" w:type="dxa"/>
            <w:vMerge w:val="restart"/>
            <w:shd w:val="clear" w:color="auto" w:fill="FFFFFF"/>
          </w:tcPr>
          <w:p w14:paraId="0C3FD3E4" w14:textId="77777777" w:rsidR="0063712C" w:rsidRPr="00E7135D" w:rsidRDefault="0063712C">
            <w:pPr>
              <w:pStyle w:val="CETBodytext"/>
              <w:jc w:val="center"/>
              <w:rPr>
                <w:rFonts w:cs="Arial"/>
                <w:szCs w:val="18"/>
              </w:rPr>
            </w:pPr>
            <w:r w:rsidRPr="00E7135D">
              <w:rPr>
                <w:rFonts w:cs="Arial"/>
                <w:szCs w:val="18"/>
              </w:rPr>
              <w:t>(4-5)</w:t>
            </w:r>
          </w:p>
        </w:tc>
        <w:tc>
          <w:tcPr>
            <w:tcW w:w="1134" w:type="dxa"/>
            <w:shd w:val="clear" w:color="auto" w:fill="FFFFFF"/>
          </w:tcPr>
          <w:p w14:paraId="07B08203" w14:textId="77777777" w:rsidR="0063712C" w:rsidRPr="00E7135D" w:rsidRDefault="00000000">
            <w:pPr>
              <w:pStyle w:val="CETBodytext"/>
              <w:jc w:val="center"/>
              <w:rPr>
                <w:rFonts w:cs="Arial"/>
                <w:szCs w:val="18"/>
              </w:rPr>
            </w:pPr>
            <m:oMathPara>
              <m:oMath>
                <m:sSub>
                  <m:sSubPr>
                    <m:ctrlPr>
                      <w:rPr>
                        <w:rFonts w:ascii="Cambria Math" w:hAnsi="Cambria Math" w:cs="Arial"/>
                        <w:szCs w:val="18"/>
                      </w:rPr>
                    </m:ctrlPr>
                  </m:sSubPr>
                  <m:e>
                    <m:r>
                      <w:rPr>
                        <w:rFonts w:ascii="Cambria Math" w:hAnsi="Cambria Math" w:cs="Arial"/>
                        <w:szCs w:val="18"/>
                      </w:rPr>
                      <m:t>C</m:t>
                    </m:r>
                    <m:ctrlPr>
                      <w:rPr>
                        <w:rFonts w:ascii="Cambria Math" w:hAnsi="Cambria Math" w:cs="Arial"/>
                        <w:i/>
                        <w:szCs w:val="18"/>
                      </w:rPr>
                    </m:ctrlPr>
                  </m:e>
                  <m:sub>
                    <m:r>
                      <w:rPr>
                        <w:rFonts w:ascii="Cambria Math" w:hAnsi="Cambria Math" w:cs="Arial"/>
                        <w:szCs w:val="18"/>
                      </w:rPr>
                      <m:t>1</m:t>
                    </m:r>
                  </m:sub>
                </m:sSub>
              </m:oMath>
            </m:oMathPara>
          </w:p>
        </w:tc>
        <w:tc>
          <w:tcPr>
            <w:tcW w:w="1134" w:type="dxa"/>
            <w:shd w:val="clear" w:color="auto" w:fill="FFFFFF"/>
          </w:tcPr>
          <w:p w14:paraId="197858B3" w14:textId="24FED539" w:rsidR="0063712C" w:rsidRPr="00E7135D" w:rsidRDefault="002F07CA" w:rsidP="002F07CA">
            <w:pPr>
              <w:pStyle w:val="CETBodytext"/>
              <w:jc w:val="center"/>
              <w:rPr>
                <w:rFonts w:cs="Arial"/>
                <w:szCs w:val="18"/>
              </w:rPr>
            </w:pPr>
            <m:oMathPara>
              <m:oMath>
                <m:r>
                  <m:rPr>
                    <m:sty m:val="p"/>
                  </m:rPr>
                  <w:rPr>
                    <w:rFonts w:ascii="Cambria Math" w:hAnsi="Cambria Math"/>
                  </w:rPr>
                  <m:t>8.99×</m:t>
                </m:r>
                <m:sSup>
                  <m:sSupPr>
                    <m:ctrlPr>
                      <w:rPr>
                        <w:rFonts w:ascii="Cambria Math" w:hAnsi="Cambria Math"/>
                      </w:rPr>
                    </m:ctrlPr>
                  </m:sSupPr>
                  <m:e>
                    <m:r>
                      <m:rPr>
                        <m:sty m:val="p"/>
                      </m:rPr>
                      <w:rPr>
                        <w:rFonts w:ascii="Cambria Math" w:hAnsi="Cambria Math"/>
                      </w:rPr>
                      <m:t>10</m:t>
                    </m:r>
                  </m:e>
                  <m:sup>
                    <m:r>
                      <w:rPr>
                        <w:rFonts w:ascii="Cambria Math" w:hAnsi="Cambria Math"/>
                      </w:rPr>
                      <m:t>-1</m:t>
                    </m:r>
                  </m:sup>
                </m:sSup>
              </m:oMath>
            </m:oMathPara>
          </w:p>
        </w:tc>
        <w:tc>
          <w:tcPr>
            <w:tcW w:w="1134" w:type="dxa"/>
            <w:shd w:val="clear" w:color="auto" w:fill="FFFFFF"/>
          </w:tcPr>
          <w:p w14:paraId="38EF99ED" w14:textId="3B398552" w:rsidR="0063712C" w:rsidRPr="00E7135D" w:rsidRDefault="00CC4A9A">
            <w:pPr>
              <w:pStyle w:val="CETBodytext"/>
              <w:jc w:val="center"/>
              <w:rPr>
                <w:rFonts w:cs="Arial"/>
                <w:szCs w:val="18"/>
              </w:rPr>
            </w:pPr>
            <m:oMathPara>
              <m:oMath>
                <m:r>
                  <m:rPr>
                    <m:sty m:val="p"/>
                  </m:rPr>
                  <w:rPr>
                    <w:rFonts w:ascii="Cambria Math" w:hAnsi="Cambria Math"/>
                  </w:rPr>
                  <m:t>-</m:t>
                </m:r>
              </m:oMath>
            </m:oMathPara>
          </w:p>
        </w:tc>
      </w:tr>
      <w:tr w:rsidR="0063712C" w:rsidRPr="00E7135D" w14:paraId="4EAEEB60" w14:textId="77777777" w:rsidTr="00FF31BE">
        <w:tc>
          <w:tcPr>
            <w:tcW w:w="1134" w:type="dxa"/>
            <w:vMerge/>
            <w:shd w:val="clear" w:color="auto" w:fill="FFFFFF"/>
          </w:tcPr>
          <w:p w14:paraId="6A2E8124" w14:textId="77777777" w:rsidR="0063712C" w:rsidRPr="00E7135D" w:rsidRDefault="0063712C">
            <w:pPr>
              <w:pStyle w:val="CETBodytext"/>
              <w:jc w:val="center"/>
              <w:rPr>
                <w:rFonts w:cs="Arial"/>
                <w:szCs w:val="18"/>
              </w:rPr>
            </w:pPr>
          </w:p>
        </w:tc>
        <w:tc>
          <w:tcPr>
            <w:tcW w:w="1134" w:type="dxa"/>
            <w:shd w:val="clear" w:color="auto" w:fill="FFFFFF"/>
          </w:tcPr>
          <w:p w14:paraId="151D2656" w14:textId="77777777" w:rsidR="0063712C" w:rsidRPr="00E7135D" w:rsidRDefault="00000000">
            <w:pPr>
              <w:pStyle w:val="CETBodytext"/>
              <w:jc w:val="center"/>
              <w:rPr>
                <w:rFonts w:cs="Arial"/>
                <w:szCs w:val="18"/>
              </w:rPr>
            </w:pPr>
            <m:oMathPara>
              <m:oMath>
                <m:sSub>
                  <m:sSubPr>
                    <m:ctrlPr>
                      <w:rPr>
                        <w:rFonts w:ascii="Cambria Math" w:hAnsi="Cambria Math" w:cs="Arial"/>
                        <w:szCs w:val="18"/>
                      </w:rPr>
                    </m:ctrlPr>
                  </m:sSubPr>
                  <m:e>
                    <m:r>
                      <w:rPr>
                        <w:rFonts w:ascii="Cambria Math" w:hAnsi="Cambria Math" w:cs="Arial"/>
                        <w:szCs w:val="18"/>
                      </w:rPr>
                      <m:t>C</m:t>
                    </m:r>
                    <m:ctrlPr>
                      <w:rPr>
                        <w:rFonts w:ascii="Cambria Math" w:hAnsi="Cambria Math" w:cs="Arial"/>
                        <w:i/>
                        <w:szCs w:val="18"/>
                      </w:rPr>
                    </m:ctrlPr>
                  </m:e>
                  <m:sub>
                    <m:r>
                      <w:rPr>
                        <w:rFonts w:ascii="Cambria Math" w:hAnsi="Cambria Math" w:cs="Arial"/>
                        <w:szCs w:val="18"/>
                      </w:rPr>
                      <m:t>2</m:t>
                    </m:r>
                  </m:sub>
                </m:sSub>
              </m:oMath>
            </m:oMathPara>
          </w:p>
        </w:tc>
        <w:tc>
          <w:tcPr>
            <w:tcW w:w="1134" w:type="dxa"/>
            <w:shd w:val="clear" w:color="auto" w:fill="FFFFFF"/>
          </w:tcPr>
          <w:p w14:paraId="1A546612" w14:textId="31CB0C58" w:rsidR="0063712C" w:rsidRPr="00E7135D" w:rsidRDefault="002F07CA" w:rsidP="002F07CA">
            <w:pPr>
              <w:pStyle w:val="CETBodytext"/>
              <w:jc w:val="center"/>
              <w:rPr>
                <w:rFonts w:cs="Arial"/>
                <w:szCs w:val="18"/>
              </w:rPr>
            </w:pPr>
            <m:oMathPara>
              <m:oMath>
                <m:r>
                  <m:rPr>
                    <m:sty m:val="p"/>
                  </m:rPr>
                  <w:rPr>
                    <w:rFonts w:ascii="Cambria Math" w:hAnsi="Cambria Math"/>
                  </w:rPr>
                  <m:t>1.00×</m:t>
                </m:r>
                <m:sSup>
                  <m:sSupPr>
                    <m:ctrlPr>
                      <w:rPr>
                        <w:rFonts w:ascii="Cambria Math" w:hAnsi="Cambria Math"/>
                      </w:rPr>
                    </m:ctrlPr>
                  </m:sSupPr>
                  <m:e>
                    <m:r>
                      <m:rPr>
                        <m:sty m:val="p"/>
                      </m:rPr>
                      <w:rPr>
                        <w:rFonts w:ascii="Cambria Math" w:hAnsi="Cambria Math"/>
                      </w:rPr>
                      <m:t>10</m:t>
                    </m:r>
                  </m:e>
                  <m:sup>
                    <m:r>
                      <w:rPr>
                        <w:rFonts w:ascii="Cambria Math" w:hAnsi="Cambria Math"/>
                      </w:rPr>
                      <m:t>-1</m:t>
                    </m:r>
                  </m:sup>
                </m:sSup>
              </m:oMath>
            </m:oMathPara>
          </w:p>
        </w:tc>
        <w:tc>
          <w:tcPr>
            <w:tcW w:w="1134" w:type="dxa"/>
            <w:shd w:val="clear" w:color="auto" w:fill="FFFFFF"/>
          </w:tcPr>
          <w:p w14:paraId="32DC7630" w14:textId="5E6911F7" w:rsidR="0063712C" w:rsidRPr="00E7135D" w:rsidRDefault="00CC4A9A">
            <w:pPr>
              <w:pStyle w:val="CETBodytext"/>
              <w:jc w:val="center"/>
              <w:rPr>
                <w:rFonts w:cs="Arial"/>
                <w:szCs w:val="18"/>
              </w:rPr>
            </w:pPr>
            <m:oMathPara>
              <m:oMath>
                <m:r>
                  <m:rPr>
                    <m:sty m:val="p"/>
                  </m:rPr>
                  <w:rPr>
                    <w:rFonts w:ascii="Cambria Math" w:hAnsi="Cambria Math"/>
                  </w:rPr>
                  <m:t>-</m:t>
                </m:r>
              </m:oMath>
            </m:oMathPara>
          </w:p>
        </w:tc>
      </w:tr>
      <w:tr w:rsidR="0063712C" w:rsidRPr="00E7135D" w14:paraId="290B6131" w14:textId="77777777" w:rsidTr="00FF31BE">
        <w:tc>
          <w:tcPr>
            <w:tcW w:w="1134" w:type="dxa"/>
            <w:vMerge/>
            <w:shd w:val="clear" w:color="auto" w:fill="FFFFFF"/>
          </w:tcPr>
          <w:p w14:paraId="278896D8" w14:textId="77777777" w:rsidR="0063712C" w:rsidRPr="00E7135D" w:rsidRDefault="0063712C">
            <w:pPr>
              <w:pStyle w:val="CETBodytext"/>
              <w:jc w:val="center"/>
              <w:rPr>
                <w:rFonts w:cs="Arial"/>
                <w:szCs w:val="18"/>
              </w:rPr>
            </w:pPr>
          </w:p>
        </w:tc>
        <w:tc>
          <w:tcPr>
            <w:tcW w:w="1134" w:type="dxa"/>
            <w:shd w:val="clear" w:color="auto" w:fill="FFFFFF"/>
          </w:tcPr>
          <w:p w14:paraId="3E0FB58F" w14:textId="77777777" w:rsidR="0063712C" w:rsidRPr="00E7135D" w:rsidRDefault="00000000">
            <w:pPr>
              <w:pStyle w:val="CETBodytext"/>
              <w:jc w:val="center"/>
              <w:rPr>
                <w:rFonts w:cs="Arial"/>
                <w:szCs w:val="18"/>
              </w:rPr>
            </w:pPr>
            <m:oMathPara>
              <m:oMath>
                <m:sSub>
                  <m:sSubPr>
                    <m:ctrlPr>
                      <w:rPr>
                        <w:rFonts w:ascii="Cambria Math" w:hAnsi="Cambria Math" w:cs="Arial"/>
                        <w:szCs w:val="18"/>
                      </w:rPr>
                    </m:ctrlPr>
                  </m:sSubPr>
                  <m:e>
                    <m:r>
                      <w:rPr>
                        <w:rFonts w:ascii="Cambria Math" w:hAnsi="Cambria Math" w:cs="Arial"/>
                        <w:szCs w:val="18"/>
                      </w:rPr>
                      <m:t>C</m:t>
                    </m:r>
                    <m:ctrlPr>
                      <w:rPr>
                        <w:rFonts w:ascii="Cambria Math" w:hAnsi="Cambria Math" w:cs="Arial"/>
                        <w:i/>
                        <w:szCs w:val="18"/>
                      </w:rPr>
                    </m:ctrlPr>
                  </m:e>
                  <m:sub>
                    <m:r>
                      <w:rPr>
                        <w:rFonts w:ascii="Cambria Math" w:hAnsi="Cambria Math" w:cs="Arial"/>
                        <w:szCs w:val="18"/>
                      </w:rPr>
                      <m:t>3</m:t>
                    </m:r>
                  </m:sub>
                </m:sSub>
              </m:oMath>
            </m:oMathPara>
          </w:p>
        </w:tc>
        <w:tc>
          <w:tcPr>
            <w:tcW w:w="1134" w:type="dxa"/>
            <w:shd w:val="clear" w:color="auto" w:fill="FFFFFF"/>
          </w:tcPr>
          <w:p w14:paraId="7BB507A9" w14:textId="07830521" w:rsidR="0063712C" w:rsidRPr="00E7135D" w:rsidRDefault="002F07CA" w:rsidP="002F07CA">
            <w:pPr>
              <w:pStyle w:val="CETBodytext"/>
              <w:jc w:val="center"/>
              <w:rPr>
                <w:rFonts w:cs="Arial"/>
                <w:color w:val="000000"/>
                <w:szCs w:val="18"/>
              </w:rPr>
            </w:pPr>
            <m:oMathPara>
              <m:oMath>
                <m:r>
                  <m:rPr>
                    <m:sty m:val="p"/>
                  </m:rPr>
                  <w:rPr>
                    <w:rFonts w:ascii="Cambria Math" w:hAnsi="Cambria Math"/>
                  </w:rPr>
                  <m:t>-6.71×</m:t>
                </m:r>
                <m:sSup>
                  <m:sSupPr>
                    <m:ctrlPr>
                      <w:rPr>
                        <w:rFonts w:ascii="Cambria Math" w:hAnsi="Cambria Math"/>
                      </w:rPr>
                    </m:ctrlPr>
                  </m:sSupPr>
                  <m:e>
                    <m:r>
                      <m:rPr>
                        <m:sty m:val="p"/>
                      </m:rPr>
                      <w:rPr>
                        <w:rFonts w:ascii="Cambria Math" w:hAnsi="Cambria Math"/>
                      </w:rPr>
                      <m:t>10</m:t>
                    </m:r>
                  </m:e>
                  <m:sup>
                    <m:r>
                      <w:rPr>
                        <w:rFonts w:ascii="Cambria Math" w:hAnsi="Cambria Math"/>
                      </w:rPr>
                      <m:t>-3</m:t>
                    </m:r>
                  </m:sup>
                </m:sSup>
              </m:oMath>
            </m:oMathPara>
          </w:p>
        </w:tc>
        <w:tc>
          <w:tcPr>
            <w:tcW w:w="1134" w:type="dxa"/>
            <w:shd w:val="clear" w:color="auto" w:fill="FFFFFF"/>
          </w:tcPr>
          <w:p w14:paraId="6AF3E0FE" w14:textId="4494EF26" w:rsidR="0063712C" w:rsidRPr="00E7135D" w:rsidRDefault="00CC4A9A">
            <w:pPr>
              <w:pStyle w:val="CETBodytext"/>
              <w:jc w:val="center"/>
              <w:rPr>
                <w:rFonts w:cs="Arial"/>
                <w:szCs w:val="18"/>
              </w:rPr>
            </w:pPr>
            <m:oMathPara>
              <m:oMath>
                <m:r>
                  <m:rPr>
                    <m:sty m:val="p"/>
                  </m:rPr>
                  <w:rPr>
                    <w:rFonts w:ascii="Cambria Math" w:hAnsi="Cambria Math"/>
                  </w:rPr>
                  <m:t>-</m:t>
                </m:r>
              </m:oMath>
            </m:oMathPara>
          </w:p>
        </w:tc>
      </w:tr>
      <w:tr w:rsidR="0063712C" w:rsidRPr="00E7135D" w14:paraId="059F1448" w14:textId="77777777" w:rsidTr="00FF31BE">
        <w:tc>
          <w:tcPr>
            <w:tcW w:w="1134" w:type="dxa"/>
            <w:vMerge/>
            <w:shd w:val="clear" w:color="auto" w:fill="FFFFFF"/>
          </w:tcPr>
          <w:p w14:paraId="349C6473" w14:textId="77777777" w:rsidR="0063712C" w:rsidRPr="00E7135D" w:rsidRDefault="0063712C">
            <w:pPr>
              <w:pStyle w:val="CETBodytext"/>
              <w:jc w:val="center"/>
              <w:rPr>
                <w:rFonts w:cs="Arial"/>
                <w:szCs w:val="18"/>
              </w:rPr>
            </w:pPr>
          </w:p>
        </w:tc>
        <w:tc>
          <w:tcPr>
            <w:tcW w:w="1134" w:type="dxa"/>
            <w:shd w:val="clear" w:color="auto" w:fill="FFFFFF"/>
          </w:tcPr>
          <w:p w14:paraId="6EC66CD6" w14:textId="77777777" w:rsidR="0063712C" w:rsidRPr="00E7135D" w:rsidRDefault="00000000">
            <w:pPr>
              <w:pStyle w:val="CETBodytext"/>
              <w:jc w:val="center"/>
              <w:rPr>
                <w:rFonts w:cs="Arial"/>
                <w:szCs w:val="18"/>
              </w:rPr>
            </w:pPr>
            <m:oMathPara>
              <m:oMath>
                <m:sSub>
                  <m:sSubPr>
                    <m:ctrlPr>
                      <w:rPr>
                        <w:rFonts w:ascii="Cambria Math" w:hAnsi="Cambria Math" w:cs="Arial"/>
                        <w:szCs w:val="18"/>
                      </w:rPr>
                    </m:ctrlPr>
                  </m:sSubPr>
                  <m:e>
                    <m:r>
                      <w:rPr>
                        <w:rFonts w:ascii="Cambria Math" w:hAnsi="Cambria Math" w:cs="Arial"/>
                        <w:szCs w:val="18"/>
                      </w:rPr>
                      <m:t>C</m:t>
                    </m:r>
                    <m:ctrlPr>
                      <w:rPr>
                        <w:rFonts w:ascii="Cambria Math" w:hAnsi="Cambria Math" w:cs="Arial"/>
                        <w:i/>
                        <w:szCs w:val="18"/>
                      </w:rPr>
                    </m:ctrlPr>
                  </m:e>
                  <m:sub>
                    <m:r>
                      <w:rPr>
                        <w:rFonts w:ascii="Cambria Math" w:hAnsi="Cambria Math" w:cs="Arial"/>
                        <w:szCs w:val="18"/>
                      </w:rPr>
                      <m:t>4</m:t>
                    </m:r>
                  </m:sub>
                </m:sSub>
              </m:oMath>
            </m:oMathPara>
          </w:p>
        </w:tc>
        <w:tc>
          <w:tcPr>
            <w:tcW w:w="1134" w:type="dxa"/>
            <w:shd w:val="clear" w:color="auto" w:fill="FFFFFF"/>
          </w:tcPr>
          <w:p w14:paraId="4D4A3E82" w14:textId="3E82B629" w:rsidR="0063712C" w:rsidRPr="00E7135D" w:rsidRDefault="002F07CA" w:rsidP="002F07CA">
            <w:pPr>
              <w:pStyle w:val="CETBodytext"/>
              <w:jc w:val="center"/>
              <w:rPr>
                <w:rFonts w:cs="Arial"/>
                <w:color w:val="000000"/>
                <w:szCs w:val="18"/>
              </w:rPr>
            </w:pPr>
            <m:oMathPara>
              <m:oMathParaPr>
                <m:jc m:val="center"/>
              </m:oMathParaPr>
              <m:oMath>
                <m:r>
                  <m:rPr>
                    <m:sty m:val="p"/>
                  </m:rPr>
                  <w:rPr>
                    <w:rFonts w:ascii="Cambria Math" w:hAnsi="Cambria Math"/>
                  </w:rPr>
                  <m:t>6.71×</m:t>
                </m:r>
                <m:sSup>
                  <m:sSupPr>
                    <m:ctrlPr>
                      <w:rPr>
                        <w:rFonts w:ascii="Cambria Math" w:hAnsi="Cambria Math"/>
                      </w:rPr>
                    </m:ctrlPr>
                  </m:sSupPr>
                  <m:e>
                    <m:r>
                      <m:rPr>
                        <m:sty m:val="p"/>
                      </m:rPr>
                      <w:rPr>
                        <w:rFonts w:ascii="Cambria Math" w:hAnsi="Cambria Math"/>
                      </w:rPr>
                      <m:t>10</m:t>
                    </m:r>
                  </m:e>
                  <m:sup>
                    <m:r>
                      <w:rPr>
                        <w:rFonts w:ascii="Cambria Math" w:hAnsi="Cambria Math"/>
                      </w:rPr>
                      <m:t>-3</m:t>
                    </m:r>
                  </m:sup>
                </m:sSup>
              </m:oMath>
            </m:oMathPara>
          </w:p>
        </w:tc>
        <w:tc>
          <w:tcPr>
            <w:tcW w:w="1134" w:type="dxa"/>
            <w:shd w:val="clear" w:color="auto" w:fill="FFFFFF"/>
          </w:tcPr>
          <w:p w14:paraId="344CE94E" w14:textId="5208D90A" w:rsidR="0063712C" w:rsidRPr="00E7135D" w:rsidRDefault="00CC4A9A">
            <w:pPr>
              <w:pStyle w:val="CETBodytext"/>
              <w:jc w:val="center"/>
              <w:rPr>
                <w:rFonts w:cs="Arial"/>
                <w:szCs w:val="18"/>
              </w:rPr>
            </w:pPr>
            <m:oMathPara>
              <m:oMath>
                <m:r>
                  <m:rPr>
                    <m:sty m:val="p"/>
                  </m:rPr>
                  <w:rPr>
                    <w:rFonts w:ascii="Cambria Math" w:hAnsi="Cambria Math"/>
                  </w:rPr>
                  <m:t>-</m:t>
                </m:r>
              </m:oMath>
            </m:oMathPara>
          </w:p>
        </w:tc>
      </w:tr>
      <w:tr w:rsidR="0063712C" w:rsidRPr="00E7135D" w14:paraId="6E8DDA40" w14:textId="77777777" w:rsidTr="00FF31BE">
        <w:tc>
          <w:tcPr>
            <w:tcW w:w="1134" w:type="dxa"/>
            <w:vMerge/>
            <w:shd w:val="clear" w:color="auto" w:fill="FFFFFF"/>
          </w:tcPr>
          <w:p w14:paraId="42D9B173" w14:textId="77777777" w:rsidR="0063712C" w:rsidRPr="00E7135D" w:rsidRDefault="0063712C">
            <w:pPr>
              <w:pStyle w:val="CETBodytext"/>
              <w:jc w:val="center"/>
              <w:rPr>
                <w:rFonts w:cs="Arial"/>
                <w:szCs w:val="18"/>
              </w:rPr>
            </w:pPr>
          </w:p>
        </w:tc>
        <w:tc>
          <w:tcPr>
            <w:tcW w:w="1134" w:type="dxa"/>
            <w:shd w:val="clear" w:color="auto" w:fill="FFFFFF"/>
          </w:tcPr>
          <w:p w14:paraId="34795175" w14:textId="77777777" w:rsidR="0063712C" w:rsidRPr="00E7135D" w:rsidRDefault="00000000">
            <w:pPr>
              <w:pStyle w:val="CETBodytext"/>
              <w:jc w:val="center"/>
              <w:rPr>
                <w:rFonts w:cs="Arial"/>
                <w:szCs w:val="18"/>
              </w:rPr>
            </w:pPr>
            <m:oMathPara>
              <m:oMath>
                <m:sSub>
                  <m:sSubPr>
                    <m:ctrlPr>
                      <w:rPr>
                        <w:rFonts w:ascii="Cambria Math" w:hAnsi="Cambria Math" w:cs="Arial"/>
                        <w:szCs w:val="18"/>
                      </w:rPr>
                    </m:ctrlPr>
                  </m:sSubPr>
                  <m:e>
                    <m:r>
                      <w:rPr>
                        <w:rFonts w:ascii="Cambria Math" w:hAnsi="Cambria Math" w:cs="Arial"/>
                        <w:szCs w:val="18"/>
                      </w:rPr>
                      <m:t>r</m:t>
                    </m:r>
                    <m:ctrlPr>
                      <w:rPr>
                        <w:rFonts w:ascii="Cambria Math" w:hAnsi="Cambria Math" w:cs="Arial"/>
                        <w:i/>
                        <w:szCs w:val="18"/>
                      </w:rPr>
                    </m:ctrlPr>
                  </m:e>
                  <m:sub>
                    <m:r>
                      <w:rPr>
                        <w:rFonts w:ascii="Cambria Math" w:hAnsi="Cambria Math" w:cs="Arial"/>
                        <w:szCs w:val="18"/>
                      </w:rPr>
                      <m:t>1</m:t>
                    </m:r>
                  </m:sub>
                </m:sSub>
              </m:oMath>
            </m:oMathPara>
          </w:p>
        </w:tc>
        <w:tc>
          <w:tcPr>
            <w:tcW w:w="1134" w:type="dxa"/>
            <w:shd w:val="clear" w:color="auto" w:fill="FFFFFF"/>
          </w:tcPr>
          <w:p w14:paraId="2D36D6B0" w14:textId="57CB2918" w:rsidR="0063712C" w:rsidRPr="00E7135D" w:rsidRDefault="002F07CA" w:rsidP="002F07CA">
            <w:pPr>
              <w:pStyle w:val="CETBodytext"/>
              <w:jc w:val="center"/>
              <w:rPr>
                <w:rFonts w:cs="Arial"/>
                <w:color w:val="000000"/>
                <w:szCs w:val="18"/>
              </w:rPr>
            </w:pPr>
            <m:oMathPara>
              <m:oMath>
                <m:r>
                  <m:rPr>
                    <m:sty m:val="p"/>
                  </m:rPr>
                  <w:rPr>
                    <w:rFonts w:ascii="Cambria Math" w:hAnsi="Cambria Math"/>
                  </w:rPr>
                  <m:t>-1.92×</m:t>
                </m:r>
                <m:sSup>
                  <m:sSupPr>
                    <m:ctrlPr>
                      <w:rPr>
                        <w:rFonts w:ascii="Cambria Math" w:hAnsi="Cambria Math"/>
                      </w:rPr>
                    </m:ctrlPr>
                  </m:sSupPr>
                  <m:e>
                    <m:r>
                      <m:rPr>
                        <m:sty m:val="p"/>
                      </m:rPr>
                      <w:rPr>
                        <w:rFonts w:ascii="Cambria Math" w:hAnsi="Cambria Math"/>
                      </w:rPr>
                      <m:t>10</m:t>
                    </m:r>
                  </m:e>
                  <m:sup>
                    <m:r>
                      <w:rPr>
                        <w:rFonts w:ascii="Cambria Math" w:hAnsi="Cambria Math"/>
                      </w:rPr>
                      <m:t>-2</m:t>
                    </m:r>
                  </m:sup>
                </m:sSup>
              </m:oMath>
            </m:oMathPara>
          </w:p>
        </w:tc>
        <w:tc>
          <w:tcPr>
            <w:tcW w:w="1134" w:type="dxa"/>
            <w:shd w:val="clear" w:color="auto" w:fill="FFFFFF"/>
          </w:tcPr>
          <w:p w14:paraId="2BD6E7F8" w14:textId="6C058359" w:rsidR="0063712C" w:rsidRPr="00E7135D" w:rsidRDefault="00CC4A9A">
            <w:pPr>
              <w:pStyle w:val="CETBodytext"/>
              <w:jc w:val="center"/>
              <w:rPr>
                <w:rFonts w:cs="Arial"/>
                <w:szCs w:val="18"/>
              </w:rPr>
            </w:pPr>
            <m:oMathPara>
              <m:oMath>
                <m:r>
                  <m:rPr>
                    <m:sty m:val="p"/>
                  </m:rPr>
                  <w:rPr>
                    <w:rFonts w:ascii="Cambria Math" w:hAnsi="Cambria Math"/>
                  </w:rPr>
                  <m:t>-</m:t>
                </m:r>
              </m:oMath>
            </m:oMathPara>
          </w:p>
        </w:tc>
      </w:tr>
      <w:tr w:rsidR="0063712C" w:rsidRPr="00E7135D" w14:paraId="0009EA51" w14:textId="77777777" w:rsidTr="00FF31BE">
        <w:tc>
          <w:tcPr>
            <w:tcW w:w="1134" w:type="dxa"/>
            <w:vMerge/>
            <w:shd w:val="clear" w:color="auto" w:fill="FFFFFF"/>
          </w:tcPr>
          <w:p w14:paraId="52FABC30" w14:textId="77777777" w:rsidR="0063712C" w:rsidRPr="00E7135D" w:rsidRDefault="0063712C">
            <w:pPr>
              <w:pStyle w:val="CETBodytext"/>
              <w:jc w:val="center"/>
              <w:rPr>
                <w:rFonts w:cs="Arial"/>
                <w:szCs w:val="18"/>
              </w:rPr>
            </w:pPr>
          </w:p>
        </w:tc>
        <w:tc>
          <w:tcPr>
            <w:tcW w:w="1134" w:type="dxa"/>
            <w:shd w:val="clear" w:color="auto" w:fill="FFFFFF"/>
          </w:tcPr>
          <w:p w14:paraId="78126FDA" w14:textId="77777777" w:rsidR="0063712C" w:rsidRPr="00E7135D" w:rsidRDefault="00000000">
            <w:pPr>
              <w:pStyle w:val="CETBodytext"/>
              <w:jc w:val="center"/>
              <w:rPr>
                <w:rFonts w:cs="Arial"/>
                <w:szCs w:val="18"/>
              </w:rPr>
            </w:pPr>
            <m:oMathPara>
              <m:oMath>
                <m:sSub>
                  <m:sSubPr>
                    <m:ctrlPr>
                      <w:rPr>
                        <w:rFonts w:ascii="Cambria Math" w:hAnsi="Cambria Math" w:cs="Arial"/>
                        <w:szCs w:val="18"/>
                      </w:rPr>
                    </m:ctrlPr>
                  </m:sSubPr>
                  <m:e>
                    <m:r>
                      <w:rPr>
                        <w:rFonts w:ascii="Cambria Math" w:hAnsi="Cambria Math" w:cs="Arial"/>
                        <w:szCs w:val="18"/>
                      </w:rPr>
                      <m:t>r</m:t>
                    </m:r>
                    <m:ctrlPr>
                      <w:rPr>
                        <w:rFonts w:ascii="Cambria Math" w:hAnsi="Cambria Math" w:cs="Arial"/>
                        <w:i/>
                        <w:szCs w:val="18"/>
                      </w:rPr>
                    </m:ctrlPr>
                  </m:e>
                  <m:sub>
                    <m:r>
                      <w:rPr>
                        <w:rFonts w:ascii="Cambria Math" w:hAnsi="Cambria Math" w:cs="Arial"/>
                        <w:szCs w:val="18"/>
                      </w:rPr>
                      <m:t>2</m:t>
                    </m:r>
                  </m:sub>
                </m:sSub>
              </m:oMath>
            </m:oMathPara>
          </w:p>
        </w:tc>
        <w:tc>
          <w:tcPr>
            <w:tcW w:w="1134" w:type="dxa"/>
            <w:shd w:val="clear" w:color="auto" w:fill="FFFFFF"/>
          </w:tcPr>
          <w:p w14:paraId="7659E60B" w14:textId="702324A0" w:rsidR="0063712C" w:rsidRPr="00E7135D" w:rsidRDefault="002F07CA" w:rsidP="002F07CA">
            <w:pPr>
              <w:pStyle w:val="CETBodytext"/>
              <w:jc w:val="center"/>
              <w:rPr>
                <w:rFonts w:cs="Arial"/>
                <w:color w:val="000000"/>
                <w:szCs w:val="18"/>
              </w:rPr>
            </w:pPr>
            <m:oMathPara>
              <m:oMath>
                <m:r>
                  <m:rPr>
                    <m:sty m:val="p"/>
                  </m:rPr>
                  <w:rPr>
                    <w:rFonts w:ascii="Cambria Math" w:hAnsi="Cambria Math"/>
                  </w:rPr>
                  <m:t>-2.36×</m:t>
                </m:r>
                <m:sSup>
                  <m:sSupPr>
                    <m:ctrlPr>
                      <w:rPr>
                        <w:rFonts w:ascii="Cambria Math" w:hAnsi="Cambria Math"/>
                      </w:rPr>
                    </m:ctrlPr>
                  </m:sSupPr>
                  <m:e>
                    <m:r>
                      <m:rPr>
                        <m:sty m:val="p"/>
                      </m:rPr>
                      <w:rPr>
                        <w:rFonts w:ascii="Cambria Math" w:hAnsi="Cambria Math"/>
                      </w:rPr>
                      <m:t>10</m:t>
                    </m:r>
                  </m:e>
                  <m:sup>
                    <m:r>
                      <w:rPr>
                        <w:rFonts w:ascii="Cambria Math" w:hAnsi="Cambria Math"/>
                      </w:rPr>
                      <m:t>-5</m:t>
                    </m:r>
                  </m:sup>
                </m:sSup>
              </m:oMath>
            </m:oMathPara>
          </w:p>
        </w:tc>
        <w:tc>
          <w:tcPr>
            <w:tcW w:w="1134" w:type="dxa"/>
            <w:shd w:val="clear" w:color="auto" w:fill="FFFFFF"/>
          </w:tcPr>
          <w:p w14:paraId="71DB2AE8" w14:textId="76DB680E" w:rsidR="0063712C" w:rsidRPr="00E7135D" w:rsidRDefault="00CC4A9A">
            <w:pPr>
              <w:pStyle w:val="CETBodytext"/>
              <w:jc w:val="center"/>
              <w:rPr>
                <w:rFonts w:cs="Arial"/>
                <w:szCs w:val="18"/>
              </w:rPr>
            </w:pPr>
            <m:oMathPara>
              <m:oMath>
                <m:r>
                  <m:rPr>
                    <m:sty m:val="p"/>
                  </m:rPr>
                  <w:rPr>
                    <w:rFonts w:ascii="Cambria Math" w:hAnsi="Cambria Math"/>
                  </w:rPr>
                  <m:t>-</m:t>
                </m:r>
              </m:oMath>
            </m:oMathPara>
          </w:p>
        </w:tc>
      </w:tr>
    </w:tbl>
    <w:p w14:paraId="442C9D12" w14:textId="6F08CDEA" w:rsidR="0037479F" w:rsidRPr="00E7135D" w:rsidRDefault="0037479F" w:rsidP="00EE22D3">
      <w:pPr>
        <w:pStyle w:val="CETBodytext"/>
      </w:pPr>
    </w:p>
    <w:p w14:paraId="4ED4A78D" w14:textId="2E60D857" w:rsidR="00756DF6" w:rsidRPr="00E7135D" w:rsidRDefault="00A60B5C" w:rsidP="008F19F1">
      <w:pPr>
        <w:pStyle w:val="CETBodytext"/>
        <w:spacing w:after="120"/>
      </w:pPr>
      <w:r w:rsidRPr="00E7135D">
        <w:t xml:space="preserve">On the other hand, the results obtained from the six constants of the analytical solution (Eq(4-5)) </w:t>
      </w:r>
      <w:r w:rsidR="006E5CBF" w:rsidRPr="00E7135D">
        <w:t>are</w:t>
      </w:r>
      <w:r w:rsidRPr="00E7135D">
        <w:t xml:space="preserve"> used to carry out the extraction curve of the phenolic compounds in the solid and liquid phases. Figure 2 shows the non-linear regression obtained from Eq(4-5) and the experimental data of the concentrations.</w:t>
      </w: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444"/>
        <w:gridCol w:w="4343"/>
      </w:tblGrid>
      <w:tr w:rsidR="00230D08" w:rsidRPr="00E7135D" w14:paraId="7DD0B2A5" w14:textId="77777777" w:rsidTr="0096613D">
        <w:trPr>
          <w:trHeight w:val="20"/>
        </w:trPr>
        <w:tc>
          <w:tcPr>
            <w:tcW w:w="4444" w:type="dxa"/>
          </w:tcPr>
          <w:p w14:paraId="3D1C9955" w14:textId="77777777" w:rsidR="00230D08" w:rsidRPr="00E7135D" w:rsidRDefault="00230D08" w:rsidP="0096613D">
            <w:pPr>
              <w:pStyle w:val="CETHeadingxx"/>
            </w:pPr>
            <w:r w:rsidRPr="00E7135D">
              <w:rPr>
                <w:noProof/>
              </w:rPr>
              <w:lastRenderedPageBreak/>
              <w:drawing>
                <wp:inline distT="0" distB="0" distL="0" distR="0" wp14:anchorId="092F99BF" wp14:editId="3D3EC3EC">
                  <wp:extent cx="2640905" cy="1728000"/>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2640905" cy="1728000"/>
                          </a:xfrm>
                          <a:prstGeom prst="rect">
                            <a:avLst/>
                          </a:prstGeom>
                        </pic:spPr>
                      </pic:pic>
                    </a:graphicData>
                  </a:graphic>
                </wp:inline>
              </w:drawing>
            </w:r>
          </w:p>
        </w:tc>
        <w:tc>
          <w:tcPr>
            <w:tcW w:w="4343" w:type="dxa"/>
          </w:tcPr>
          <w:p w14:paraId="0D3322F4" w14:textId="77777777" w:rsidR="00230D08" w:rsidRPr="00E7135D" w:rsidRDefault="00230D08" w:rsidP="0096613D">
            <w:pPr>
              <w:pStyle w:val="CETHeadingxx"/>
            </w:pPr>
            <w:r w:rsidRPr="00E7135D">
              <w:rPr>
                <w:noProof/>
              </w:rPr>
              <w:drawing>
                <wp:inline distT="0" distB="0" distL="0" distR="0" wp14:anchorId="1F73FB25" wp14:editId="5BD5B636">
                  <wp:extent cx="2522038" cy="169199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stretch>
                            <a:fillRect/>
                          </a:stretch>
                        </pic:blipFill>
                        <pic:spPr>
                          <a:xfrm>
                            <a:off x="0" y="0"/>
                            <a:ext cx="2522038" cy="1691999"/>
                          </a:xfrm>
                          <a:prstGeom prst="rect">
                            <a:avLst/>
                          </a:prstGeom>
                        </pic:spPr>
                      </pic:pic>
                    </a:graphicData>
                  </a:graphic>
                </wp:inline>
              </w:drawing>
            </w:r>
          </w:p>
        </w:tc>
      </w:tr>
      <w:tr w:rsidR="00073A9A" w:rsidRPr="00E7135D" w14:paraId="208E2ED2" w14:textId="77777777" w:rsidTr="0096613D">
        <w:trPr>
          <w:trHeight w:val="20"/>
        </w:trPr>
        <w:tc>
          <w:tcPr>
            <w:tcW w:w="4444" w:type="dxa"/>
          </w:tcPr>
          <w:p w14:paraId="1C5DA402" w14:textId="6310338E" w:rsidR="00073A9A" w:rsidRPr="00E7135D" w:rsidRDefault="00476393" w:rsidP="0096613D">
            <w:pPr>
              <w:pStyle w:val="CETHeadingxx"/>
              <w:jc w:val="center"/>
              <w:rPr>
                <w:noProof/>
              </w:rPr>
            </w:pPr>
            <w:r w:rsidRPr="00E7135D">
              <w:rPr>
                <w:noProof/>
              </w:rPr>
              <w:t>(</w:t>
            </w:r>
            <w:r w:rsidR="00073A9A" w:rsidRPr="00E7135D">
              <w:rPr>
                <w:noProof/>
              </w:rPr>
              <w:t>a</w:t>
            </w:r>
            <w:r w:rsidRPr="00E7135D">
              <w:rPr>
                <w:noProof/>
              </w:rPr>
              <w:t>)</w:t>
            </w:r>
          </w:p>
        </w:tc>
        <w:tc>
          <w:tcPr>
            <w:tcW w:w="4343" w:type="dxa"/>
          </w:tcPr>
          <w:p w14:paraId="4F699537" w14:textId="0E95596F" w:rsidR="00073A9A" w:rsidRPr="00E7135D" w:rsidRDefault="00430274" w:rsidP="0096613D">
            <w:pPr>
              <w:pStyle w:val="CETHeadingxx"/>
              <w:jc w:val="center"/>
              <w:rPr>
                <w:noProof/>
              </w:rPr>
            </w:pPr>
            <w:r w:rsidRPr="00E7135D">
              <w:rPr>
                <w:noProof/>
              </w:rPr>
              <w:t>(</w:t>
            </w:r>
            <w:r w:rsidR="00073A9A" w:rsidRPr="00E7135D">
              <w:rPr>
                <w:noProof/>
              </w:rPr>
              <w:t>b</w:t>
            </w:r>
            <w:r w:rsidRPr="00E7135D">
              <w:rPr>
                <w:noProof/>
              </w:rPr>
              <w:t>)</w:t>
            </w:r>
          </w:p>
        </w:tc>
      </w:tr>
      <w:tr w:rsidR="00230D08" w:rsidRPr="00E7135D" w14:paraId="391C2E79" w14:textId="77777777" w:rsidTr="0096613D">
        <w:tblPrEx>
          <w:tblCellMar>
            <w:left w:w="108" w:type="dxa"/>
            <w:right w:w="108" w:type="dxa"/>
          </w:tblCellMar>
        </w:tblPrEx>
        <w:trPr>
          <w:trHeight w:val="20"/>
        </w:trPr>
        <w:tc>
          <w:tcPr>
            <w:tcW w:w="8787" w:type="dxa"/>
            <w:gridSpan w:val="2"/>
          </w:tcPr>
          <w:p w14:paraId="4A625322" w14:textId="288B1A4A" w:rsidR="00230D08" w:rsidRPr="00E7135D" w:rsidRDefault="00230D08" w:rsidP="0096613D">
            <w:pPr>
              <w:pStyle w:val="CETCaption"/>
              <w:spacing w:before="0" w:after="0"/>
              <w:rPr>
                <w:rFonts w:eastAsiaTheme="minorHAnsi"/>
                <w:color w:val="131413"/>
                <w:lang w:val="en-US"/>
              </w:rPr>
            </w:pPr>
            <w:r w:rsidRPr="00E7135D">
              <w:rPr>
                <w:rStyle w:val="CETCaptionCarattere"/>
                <w:rFonts w:cs="Arial"/>
                <w:i/>
                <w:szCs w:val="18"/>
                <w:lang w:val="en-US"/>
              </w:rPr>
              <w:t xml:space="preserve">Figure 2: </w:t>
            </w:r>
            <w:r w:rsidRPr="00E7135D">
              <w:rPr>
                <w:rFonts w:eastAsia="AdvEPSTIM"/>
                <w:lang w:val="en-US"/>
              </w:rPr>
              <w:t xml:space="preserve">Experimental and simulated </w:t>
            </w:r>
            <w:r w:rsidR="001A2641" w:rsidRPr="00E7135D">
              <w:rPr>
                <w:rFonts w:eastAsia="AdvEPSTIM"/>
                <w:lang w:val="en-US"/>
              </w:rPr>
              <w:t xml:space="preserve">evolution of </w:t>
            </w:r>
            <w:r w:rsidRPr="00E7135D">
              <w:rPr>
                <w:rFonts w:eastAsia="AdvEPSTIM"/>
                <w:lang w:val="en-US"/>
              </w:rPr>
              <w:t xml:space="preserve">phenol compounds </w:t>
            </w:r>
            <w:r w:rsidRPr="00E7135D">
              <w:rPr>
                <w:rFonts w:eastAsiaTheme="minorHAnsi"/>
                <w:color w:val="131413"/>
                <w:lang w:val="en-US"/>
              </w:rPr>
              <w:t xml:space="preserve">during </w:t>
            </w:r>
            <w:r w:rsidR="00A00DE8" w:rsidRPr="00E7135D">
              <w:rPr>
                <w:rFonts w:eastAsiaTheme="minorHAnsi"/>
                <w:color w:val="131413"/>
                <w:lang w:val="en-US"/>
              </w:rPr>
              <w:t>solid–liquid</w:t>
            </w:r>
            <w:r w:rsidRPr="00E7135D">
              <w:rPr>
                <w:rFonts w:eastAsiaTheme="minorHAnsi"/>
                <w:color w:val="131413"/>
                <w:lang w:val="en-US"/>
              </w:rPr>
              <w:t xml:space="preserve"> extraction: (a)</w:t>
            </w:r>
            <w:r w:rsidR="00E83532" w:rsidRPr="00E7135D">
              <w:rPr>
                <w:rFonts w:eastAsiaTheme="minorHAnsi"/>
                <w:color w:val="131413"/>
                <w:lang w:val="en-US"/>
              </w:rPr>
              <w:t xml:space="preserve"> </w:t>
            </w:r>
            <w:r w:rsidRPr="00E7135D">
              <w:rPr>
                <w:rFonts w:eastAsiaTheme="minorHAnsi"/>
                <w:color w:val="131413"/>
                <w:lang w:val="en-US"/>
              </w:rPr>
              <w:t>Solvent phase, and</w:t>
            </w:r>
            <w:r w:rsidR="00430274" w:rsidRPr="00E7135D">
              <w:rPr>
                <w:rFonts w:eastAsiaTheme="minorHAnsi"/>
                <w:color w:val="131413"/>
                <w:lang w:val="en-US"/>
              </w:rPr>
              <w:t xml:space="preserve"> </w:t>
            </w:r>
            <w:r w:rsidRPr="00E7135D">
              <w:rPr>
                <w:rFonts w:eastAsiaTheme="minorHAnsi"/>
                <w:color w:val="131413"/>
                <w:lang w:val="en-US"/>
              </w:rPr>
              <w:t>(b)</w:t>
            </w:r>
            <w:r w:rsidR="00E83532" w:rsidRPr="00E7135D">
              <w:rPr>
                <w:rFonts w:eastAsiaTheme="minorHAnsi"/>
                <w:color w:val="131413"/>
                <w:lang w:val="en-US"/>
              </w:rPr>
              <w:t xml:space="preserve"> </w:t>
            </w:r>
            <w:r w:rsidRPr="00E7135D">
              <w:rPr>
                <w:rFonts w:eastAsiaTheme="minorHAnsi"/>
                <w:color w:val="131413"/>
                <w:lang w:val="en-US"/>
              </w:rPr>
              <w:t>Solid phase.</w:t>
            </w:r>
            <w:r w:rsidR="00430274" w:rsidRPr="00E7135D">
              <w:rPr>
                <w:rFonts w:eastAsiaTheme="minorHAnsi"/>
                <w:color w:val="131413"/>
                <w:lang w:val="en-US"/>
              </w:rPr>
              <w:t xml:space="preserve"> </w:t>
            </w:r>
            <w:r w:rsidRPr="00E7135D">
              <w:rPr>
                <w:rFonts w:eastAsiaTheme="minorHAnsi"/>
                <w:color w:val="131413"/>
                <w:lang w:val="en-US"/>
              </w:rPr>
              <w:t xml:space="preserve">The black line indicates the data obtained by the non-linear regression. </w:t>
            </w:r>
            <w:r w:rsidR="00561795" w:rsidRPr="00E7135D">
              <w:rPr>
                <w:rFonts w:eastAsiaTheme="minorHAnsi"/>
                <w:color w:val="131413"/>
                <w:lang w:val="en-US"/>
              </w:rPr>
              <w:t>''A</w:t>
            </w:r>
            <w:r w:rsidR="004C0B5C" w:rsidRPr="00E7135D">
              <w:rPr>
                <w:rFonts w:eastAsiaTheme="minorHAnsi"/>
                <w:color w:val="131413"/>
                <w:lang w:val="en-US"/>
              </w:rPr>
              <w:t>vg</w:t>
            </w:r>
            <w:r w:rsidR="00561795" w:rsidRPr="00E7135D">
              <w:rPr>
                <w:rFonts w:eastAsiaTheme="minorHAnsi"/>
                <w:color w:val="131413"/>
                <w:lang w:val="en-US"/>
              </w:rPr>
              <w:t xml:space="preserve"> </w:t>
            </w:r>
            <w:proofErr w:type="spellStart"/>
            <w:r w:rsidR="004C0B5C" w:rsidRPr="00E7135D">
              <w:rPr>
                <w:rFonts w:eastAsiaTheme="minorHAnsi"/>
                <w:color w:val="131413"/>
                <w:lang w:val="en-US"/>
              </w:rPr>
              <w:t>Meas</w:t>
            </w:r>
            <w:proofErr w:type="spellEnd"/>
            <w:r w:rsidR="004C0B5C" w:rsidRPr="00E7135D">
              <w:rPr>
                <w:rFonts w:eastAsiaTheme="minorHAnsi"/>
                <w:color w:val="131413"/>
                <w:lang w:val="en-US"/>
              </w:rPr>
              <w:t xml:space="preserve"> </w:t>
            </w:r>
            <w:r w:rsidR="00561795" w:rsidRPr="00E7135D">
              <w:rPr>
                <w:rFonts w:eastAsiaTheme="minorHAnsi"/>
                <w:color w:val="131413"/>
                <w:lang w:val="en-US"/>
              </w:rPr>
              <w:t xml:space="preserve">with SD'' is the average </w:t>
            </w:r>
            <w:r w:rsidR="002D31A4" w:rsidRPr="00E7135D">
              <w:rPr>
                <w:rFonts w:eastAsiaTheme="minorHAnsi"/>
                <w:color w:val="131413"/>
                <w:lang w:val="en-US"/>
              </w:rPr>
              <w:t>concentrations</w:t>
            </w:r>
            <w:r w:rsidR="004C0B5C" w:rsidRPr="00E7135D">
              <w:rPr>
                <w:rFonts w:eastAsiaTheme="minorHAnsi"/>
                <w:color w:val="131413"/>
                <w:lang w:val="en-US"/>
              </w:rPr>
              <w:t xml:space="preserve"> (blue '*' symbol)</w:t>
            </w:r>
            <w:r w:rsidR="002D31A4" w:rsidRPr="00E7135D">
              <w:rPr>
                <w:rFonts w:eastAsiaTheme="minorHAnsi"/>
                <w:color w:val="131413"/>
                <w:lang w:val="en-US"/>
              </w:rPr>
              <w:t xml:space="preserve"> </w:t>
            </w:r>
            <w:r w:rsidR="00561795" w:rsidRPr="00E7135D">
              <w:rPr>
                <w:rFonts w:eastAsiaTheme="minorHAnsi"/>
                <w:color w:val="131413"/>
                <w:lang w:val="en-US"/>
              </w:rPr>
              <w:t>with their standard deviation</w:t>
            </w:r>
            <w:r w:rsidR="004C0B5C" w:rsidRPr="00E7135D">
              <w:rPr>
                <w:rFonts w:eastAsiaTheme="minorHAnsi"/>
                <w:color w:val="131413"/>
                <w:lang w:val="en-US"/>
              </w:rPr>
              <w:t xml:space="preserve"> (red vertical bar)</w:t>
            </w:r>
            <w:r w:rsidR="00A00DE8" w:rsidRPr="00E7135D">
              <w:rPr>
                <w:rFonts w:eastAsiaTheme="minorHAnsi"/>
                <w:color w:val="131413"/>
                <w:lang w:val="en-US"/>
              </w:rPr>
              <w:t>.</w:t>
            </w:r>
            <w:r w:rsidRPr="00E7135D">
              <w:rPr>
                <w:rFonts w:eastAsiaTheme="minorHAnsi"/>
                <w:color w:val="131413"/>
                <w:lang w:val="en-US"/>
              </w:rPr>
              <w:t xml:space="preserve"> The</w:t>
            </w:r>
            <w:r w:rsidR="00FE378B" w:rsidRPr="00E7135D">
              <w:rPr>
                <w:rFonts w:eastAsiaTheme="minorHAnsi"/>
                <w:color w:val="131413"/>
                <w:lang w:val="en-US"/>
              </w:rPr>
              <w:t xml:space="preserve"> vertical</w:t>
            </w:r>
            <w:r w:rsidRPr="00E7135D">
              <w:rPr>
                <w:rFonts w:eastAsiaTheme="minorHAnsi"/>
                <w:color w:val="131413"/>
                <w:lang w:val="en-US"/>
              </w:rPr>
              <w:t xml:space="preserve"> dotted, dashed-dotted, and dashed lines represent the extraction percentage of the phenolic compounds at 50%, 70%, and 90%, respectively.</w:t>
            </w:r>
          </w:p>
        </w:tc>
      </w:tr>
    </w:tbl>
    <w:p w14:paraId="61BA90B7" w14:textId="5234CEA5" w:rsidR="00C02009" w:rsidRPr="00E7135D" w:rsidRDefault="00C02009" w:rsidP="00FC2284">
      <w:pPr>
        <w:pStyle w:val="CETheadingx"/>
        <w:rPr>
          <w:rFonts w:eastAsiaTheme="minorHAnsi"/>
        </w:rPr>
      </w:pPr>
      <w:r w:rsidRPr="00E7135D">
        <w:t xml:space="preserve"> </w:t>
      </w:r>
      <w:r w:rsidR="00A53280" w:rsidRPr="00E7135D">
        <w:t xml:space="preserve">Evolution of </w:t>
      </w:r>
      <w:r w:rsidR="00A53280" w:rsidRPr="00E7135D">
        <w:rPr>
          <w:rFonts w:eastAsia="AdvEPSTIM"/>
        </w:rPr>
        <w:t xml:space="preserve">phenol </w:t>
      </w:r>
      <w:r w:rsidRPr="00E7135D">
        <w:rPr>
          <w:rFonts w:eastAsia="AdvEPSTIM"/>
        </w:rPr>
        <w:t xml:space="preserve">compounds </w:t>
      </w:r>
      <w:r w:rsidRPr="00E7135D">
        <w:rPr>
          <w:rFonts w:eastAsiaTheme="minorHAnsi"/>
        </w:rPr>
        <w:t>during solid</w:t>
      </w:r>
      <w:r w:rsidR="00BE7EF3" w:rsidRPr="00E7135D">
        <w:rPr>
          <w:rFonts w:eastAsiaTheme="minorHAnsi"/>
        </w:rPr>
        <w:t>-</w:t>
      </w:r>
      <w:r w:rsidRPr="00E7135D">
        <w:rPr>
          <w:rFonts w:eastAsiaTheme="minorHAnsi"/>
        </w:rPr>
        <w:t xml:space="preserve">liquid extraction in </w:t>
      </w:r>
      <w:r w:rsidR="00F146F6" w:rsidRPr="00E7135D">
        <w:rPr>
          <w:rFonts w:eastAsiaTheme="minorHAnsi"/>
        </w:rPr>
        <w:t xml:space="preserve">the </w:t>
      </w:r>
      <w:r w:rsidRPr="00E7135D">
        <w:rPr>
          <w:rFonts w:eastAsiaTheme="minorHAnsi"/>
        </w:rPr>
        <w:t>solvent phase</w:t>
      </w:r>
    </w:p>
    <w:p w14:paraId="6B6A2008" w14:textId="18071976" w:rsidR="007C565A" w:rsidRPr="00E7135D" w:rsidRDefault="003F7591" w:rsidP="007C565A">
      <w:pPr>
        <w:pStyle w:val="CETBodytext"/>
      </w:pPr>
      <w:r w:rsidRPr="00E7135D">
        <w:t>Figure 2a shows that in the solvent, the solute concentration (phenolic compounds) increases quickly until reachin</w:t>
      </w:r>
      <w:r w:rsidR="004E6FF0" w:rsidRPr="00E7135D">
        <w:t>g</w:t>
      </w:r>
      <w:r w:rsidR="00230D08" w:rsidRPr="00E7135D">
        <w:t xml:space="preserve"> </w:t>
      </w:r>
      <w:r w:rsidR="007C565A" w:rsidRPr="00E7135D">
        <w:t>0.212</w:t>
      </w:r>
      <w:r w:rsidR="00230D08" w:rsidRPr="00E7135D">
        <w:t xml:space="preserve"> </w:t>
      </w:r>
      <m:oMath>
        <m:sSup>
          <m:sSupPr>
            <m:ctrlPr>
              <w:rPr>
                <w:rFonts w:ascii="Cambria Math" w:hAnsi="Cambria Math" w:cs="Arial"/>
                <w:szCs w:val="18"/>
              </w:rPr>
            </m:ctrlPr>
          </m:sSupPr>
          <m:e>
            <m:r>
              <m:rPr>
                <m:sty m:val="p"/>
              </m:rPr>
              <w:rPr>
                <w:rFonts w:ascii="Cambria Math" w:hAnsi="Cambria Math" w:cs="Arial"/>
                <w:szCs w:val="18"/>
              </w:rPr>
              <m:t>kg m</m:t>
            </m:r>
          </m:e>
          <m:sup>
            <m:r>
              <m:rPr>
                <m:sty m:val="p"/>
              </m:rPr>
              <w:rPr>
                <w:rFonts w:ascii="Cambria Math" w:hAnsi="Cambria Math" w:cs="Arial"/>
                <w:szCs w:val="18"/>
              </w:rPr>
              <m:t>-3</m:t>
            </m:r>
          </m:sup>
        </m:sSup>
      </m:oMath>
      <w:r w:rsidR="00230D08" w:rsidRPr="00E7135D">
        <w:rPr>
          <w:rFonts w:cs="Arial"/>
          <w:szCs w:val="18"/>
        </w:rPr>
        <w:t xml:space="preserve"> </w:t>
      </w:r>
      <w:r w:rsidR="00715BB0" w:rsidRPr="00E7135D">
        <w:rPr>
          <w:rFonts w:cs="Arial"/>
          <w:szCs w:val="18"/>
        </w:rPr>
        <w:t>after 250 seconds. However, the solvent phase concentration tends to be constant with values between</w:t>
      </w:r>
      <w:r w:rsidR="007C565A" w:rsidRPr="00E7135D">
        <w:t xml:space="preserve"> </w:t>
      </w:r>
      <w:r w:rsidR="007C565A" w:rsidRPr="00E7135D">
        <w:rPr>
          <w:rFonts w:cs="Arial"/>
          <w:iCs/>
          <w:szCs w:val="18"/>
        </w:rPr>
        <w:t>0.213 a 0.214</w:t>
      </w:r>
      <w:r w:rsidR="007C565A" w:rsidRPr="00E7135D">
        <w:rPr>
          <w:rFonts w:ascii="Cambria Math" w:hAnsi="Cambria Math" w:cs="Arial"/>
          <w:iCs/>
          <w:szCs w:val="18"/>
        </w:rPr>
        <w:t xml:space="preserve"> kg</w:t>
      </w:r>
      <m:oMath>
        <m:sSup>
          <m:sSupPr>
            <m:ctrlPr>
              <w:rPr>
                <w:rFonts w:ascii="Cambria Math" w:hAnsi="Cambria Math" w:cs="Arial"/>
                <w:iCs/>
                <w:szCs w:val="18"/>
              </w:rPr>
            </m:ctrlPr>
          </m:sSupPr>
          <m:e>
            <m:r>
              <m:rPr>
                <m:sty m:val="p"/>
              </m:rPr>
              <w:rPr>
                <w:rFonts w:ascii="Cambria Math" w:hAnsi="Cambria Math" w:cs="Arial"/>
                <w:szCs w:val="18"/>
              </w:rPr>
              <m:t xml:space="preserve"> m</m:t>
            </m:r>
          </m:e>
          <m:sup>
            <m:r>
              <m:rPr>
                <m:sty m:val="p"/>
              </m:rPr>
              <w:rPr>
                <w:rFonts w:ascii="Cambria Math" w:hAnsi="Cambria Math" w:cs="Arial"/>
                <w:szCs w:val="18"/>
              </w:rPr>
              <m:t>-3</m:t>
            </m:r>
          </m:sup>
        </m:sSup>
      </m:oMath>
      <w:r w:rsidR="00336863" w:rsidRPr="00E7135D">
        <w:rPr>
          <w:rFonts w:ascii="Cambria Math" w:hAnsi="Cambria Math" w:cs="Arial"/>
          <w:szCs w:val="18"/>
        </w:rPr>
        <w:t xml:space="preserve"> </w:t>
      </w:r>
      <w:r w:rsidR="00336863" w:rsidRPr="00E7135D">
        <w:t xml:space="preserve">when time is beyond 250 seconds. This almost flat behavior is because the extraction process reaches the equilibrium between the liquid and solid phases. On the other hand, vertical lines in Figure 2 </w:t>
      </w:r>
      <w:r w:rsidR="00DF3690" w:rsidRPr="00E7135D">
        <w:t xml:space="preserve">are </w:t>
      </w:r>
      <w:r w:rsidR="00336863" w:rsidRPr="00E7135D">
        <w:t xml:space="preserve">the times required for obtaining an extraction percentage of phenolic compounds of 90% (dashed lines), 70% (dashed-dotted lines), and 50% (dotted lines). The minimum operating time of the extractor to obtain a percentage of 50% of the phenolic compounds </w:t>
      </w:r>
      <w:r w:rsidR="002D3049" w:rsidRPr="00E7135D">
        <w:t xml:space="preserve">from </w:t>
      </w:r>
      <w:r w:rsidR="00336863" w:rsidRPr="00E7135D">
        <w:t xml:space="preserve">the raw material must be greater than 42 seconds, and for achieving </w:t>
      </w:r>
      <w:r w:rsidR="00A00DE8" w:rsidRPr="00E7135D">
        <w:t>an extraction</w:t>
      </w:r>
      <w:r w:rsidR="00336863" w:rsidRPr="00E7135D">
        <w:t xml:space="preserve"> of around 90% is necessary an operating time of 243 seconds. Finally, the MSLE error for the non-linear regression in the solvent phase</w:t>
      </w:r>
      <w:r w:rsidR="005D798B" w:rsidRPr="00E7135D">
        <w:t xml:space="preserve"> (Eq (4))</w:t>
      </w:r>
      <w:r w:rsidR="00336863" w:rsidRPr="00E7135D">
        <w:t xml:space="preserve"> is</w:t>
      </w:r>
      <w:r w:rsidR="007C565A" w:rsidRPr="00E7135D">
        <w:t xml:space="preserve"> </w:t>
      </w:r>
      <m:oMath>
        <m:r>
          <w:rPr>
            <w:rFonts w:ascii="Cambria Math" w:hAnsi="Cambria Math"/>
          </w:rPr>
          <m:t>1.5×</m:t>
        </m:r>
        <m:sSup>
          <m:sSupPr>
            <m:ctrlPr>
              <w:rPr>
                <w:rFonts w:ascii="Cambria Math" w:hAnsi="Cambria Math"/>
                <w:i/>
              </w:rPr>
            </m:ctrlPr>
          </m:sSupPr>
          <m:e>
            <m:r>
              <w:rPr>
                <w:rFonts w:ascii="Cambria Math" w:hAnsi="Cambria Math"/>
              </w:rPr>
              <m:t>10</m:t>
            </m:r>
          </m:e>
          <m:sup>
            <m:r>
              <w:rPr>
                <w:rFonts w:ascii="Cambria Math" w:hAnsi="Cambria Math"/>
              </w:rPr>
              <m:t>-3</m:t>
            </m:r>
          </m:sup>
        </m:sSup>
      </m:oMath>
      <w:r w:rsidR="007C565A" w:rsidRPr="00E7135D">
        <w:t xml:space="preserve">. </w:t>
      </w:r>
      <w:r w:rsidR="003B20F9" w:rsidRPr="00E7135D">
        <w:t>This value assures us that the predicted values are not far from the experimental data</w:t>
      </w:r>
      <w:r w:rsidR="007C565A" w:rsidRPr="00E7135D">
        <w:t>.</w:t>
      </w:r>
    </w:p>
    <w:p w14:paraId="349993CB" w14:textId="12A3E377" w:rsidR="00C02009" w:rsidRPr="00E7135D" w:rsidRDefault="00C02009" w:rsidP="00FC2284">
      <w:pPr>
        <w:pStyle w:val="CETheadingx"/>
        <w:rPr>
          <w:rFonts w:eastAsiaTheme="minorHAnsi"/>
        </w:rPr>
      </w:pPr>
      <w:r w:rsidRPr="00E7135D">
        <w:rPr>
          <w:rFonts w:eastAsia="AdvEPSTIM"/>
        </w:rPr>
        <w:t xml:space="preserve">Phenol compounds evolution </w:t>
      </w:r>
      <w:r w:rsidRPr="00E7135D">
        <w:rPr>
          <w:rFonts w:eastAsiaTheme="minorHAnsi"/>
        </w:rPr>
        <w:t>during solid</w:t>
      </w:r>
      <w:r w:rsidR="00765C2A" w:rsidRPr="00E7135D">
        <w:rPr>
          <w:rFonts w:eastAsiaTheme="minorHAnsi"/>
        </w:rPr>
        <w:t>-</w:t>
      </w:r>
      <w:r w:rsidRPr="00E7135D">
        <w:rPr>
          <w:rFonts w:eastAsiaTheme="minorHAnsi"/>
        </w:rPr>
        <w:t>liquid extraction in solid phase</w:t>
      </w:r>
    </w:p>
    <w:p w14:paraId="460DD348" w14:textId="33CE9049" w:rsidR="00BC6FD1" w:rsidRPr="00E7135D" w:rsidRDefault="00CB1819" w:rsidP="00BC6FD1">
      <w:pPr>
        <w:pStyle w:val="CETBodytext"/>
      </w:pPr>
      <w:r w:rsidRPr="00E7135D">
        <w:t xml:space="preserve">Figure 2b shows that the solute concentration (phenolic compounds) in the solid phase </w:t>
      </w:r>
      <w:r w:rsidR="0016094C" w:rsidRPr="00E7135D">
        <w:t>decreases</w:t>
      </w:r>
      <w:r w:rsidRPr="00E7135D">
        <w:t xml:space="preserve"> quickly until reaching</w:t>
      </w:r>
      <w:r w:rsidR="00DB6045" w:rsidRPr="00E7135D">
        <w:t xml:space="preserve"> </w:t>
      </w:r>
      <w:r w:rsidR="00E7611A" w:rsidRPr="00E7135D">
        <w:t>3.45</w:t>
      </w:r>
      <w:r w:rsidR="009D187C" w:rsidRPr="00E7135D">
        <w:t xml:space="preserve"> </w:t>
      </w:r>
      <m:oMath>
        <m:sSup>
          <m:sSupPr>
            <m:ctrlPr>
              <w:rPr>
                <w:rFonts w:ascii="Cambria Math" w:hAnsi="Cambria Math" w:cs="Arial"/>
                <w:szCs w:val="18"/>
              </w:rPr>
            </m:ctrlPr>
          </m:sSupPr>
          <m:e>
            <m:r>
              <m:rPr>
                <m:sty m:val="p"/>
              </m:rPr>
              <w:rPr>
                <w:rFonts w:ascii="Cambria Math" w:hAnsi="Cambria Math" w:cs="Arial"/>
                <w:szCs w:val="18"/>
              </w:rPr>
              <m:t>kg m</m:t>
            </m:r>
          </m:e>
          <m:sup>
            <m:r>
              <m:rPr>
                <m:sty m:val="p"/>
              </m:rPr>
              <w:rPr>
                <w:rFonts w:ascii="Cambria Math" w:hAnsi="Cambria Math" w:cs="Arial"/>
                <w:szCs w:val="18"/>
              </w:rPr>
              <m:t>-3</m:t>
            </m:r>
          </m:sup>
        </m:sSup>
      </m:oMath>
      <w:r w:rsidR="00E7611A" w:rsidRPr="00E7135D">
        <w:rPr>
          <w:rFonts w:cs="Arial"/>
          <w:szCs w:val="18"/>
        </w:rPr>
        <w:t xml:space="preserve"> </w:t>
      </w:r>
      <w:r w:rsidR="00C15406" w:rsidRPr="00E7135D">
        <w:rPr>
          <w:rFonts w:cs="Arial"/>
          <w:szCs w:val="18"/>
        </w:rPr>
        <w:t>after 250 seconds. However, the solid phase concentration tends to be constant between</w:t>
      </w:r>
      <w:r w:rsidR="00BC6FD1" w:rsidRPr="00E7135D">
        <w:t xml:space="preserve"> </w:t>
      </w:r>
      <w:r w:rsidR="00D35362" w:rsidRPr="00E7135D">
        <w:rPr>
          <w:rFonts w:cs="Arial"/>
          <w:szCs w:val="18"/>
        </w:rPr>
        <w:t>3.45 and 3.15</w:t>
      </w:r>
      <w:r w:rsidR="00D35362" w:rsidRPr="00E7135D">
        <w:rPr>
          <w:rFonts w:ascii="Cambria Math" w:hAnsi="Cambria Math" w:cs="Arial"/>
          <w:szCs w:val="18"/>
        </w:rPr>
        <w:t xml:space="preserve"> kg</w:t>
      </w:r>
      <m:oMath>
        <m:r>
          <w:rPr>
            <w:rFonts w:ascii="Cambria Math" w:hAnsi="Cambria Math" w:cs="Arial"/>
            <w:szCs w:val="18"/>
          </w:rPr>
          <m:t xml:space="preserve"> </m:t>
        </m:r>
        <m:sSup>
          <m:sSupPr>
            <m:ctrlPr>
              <w:rPr>
                <w:rFonts w:ascii="Cambria Math" w:hAnsi="Cambria Math" w:cs="Arial"/>
                <w:szCs w:val="18"/>
              </w:rPr>
            </m:ctrlPr>
          </m:sSupPr>
          <m:e>
            <m:r>
              <m:rPr>
                <m:sty m:val="p"/>
              </m:rPr>
              <w:rPr>
                <w:rFonts w:ascii="Cambria Math" w:hAnsi="Cambria Math" w:cs="Arial"/>
                <w:szCs w:val="18"/>
              </w:rPr>
              <m:t>m</m:t>
            </m:r>
          </m:e>
          <m:sup>
            <m:r>
              <m:rPr>
                <m:sty m:val="p"/>
              </m:rPr>
              <w:rPr>
                <w:rFonts w:ascii="Cambria Math" w:hAnsi="Cambria Math" w:cs="Arial"/>
                <w:szCs w:val="18"/>
              </w:rPr>
              <m:t>-3</m:t>
            </m:r>
          </m:sup>
        </m:sSup>
      </m:oMath>
      <w:r w:rsidR="00BC6FD1" w:rsidRPr="00E7135D">
        <w:t xml:space="preserve">. </w:t>
      </w:r>
      <w:r w:rsidR="000069BA" w:rsidRPr="00E7135D">
        <w:t xml:space="preserve">When the operating time </w:t>
      </w:r>
      <w:r w:rsidR="000A6FD3" w:rsidRPr="00E7135D">
        <w:t xml:space="preserve">of </w:t>
      </w:r>
      <w:r w:rsidR="000069BA" w:rsidRPr="00E7135D">
        <w:t>the extractor is 243 seconds, 10% of the phenolic compounds are not transferred from the solid phase (plants) to solvent due to the equilibrium in the system. For example, the extraction percentages obtained at 243 seconds (90.06%) and 800 seconds (90.15%) are almost similar and vary around 0.07%. Finally, the MSLE error for the non-linear regression in the solid phase (Eq (5)) is</w:t>
      </w:r>
      <w:r w:rsidR="00BC6FD1" w:rsidRPr="00E7135D">
        <w:t xml:space="preserve"> </w:t>
      </w:r>
      <m:oMath>
        <m:r>
          <w:rPr>
            <w:rFonts w:ascii="Cambria Math" w:hAnsi="Cambria Math"/>
          </w:rPr>
          <m:t>1.5×</m:t>
        </m:r>
        <m:sSup>
          <m:sSupPr>
            <m:ctrlPr>
              <w:rPr>
                <w:rFonts w:ascii="Cambria Math" w:hAnsi="Cambria Math"/>
                <w:i/>
              </w:rPr>
            </m:ctrlPr>
          </m:sSupPr>
          <m:e>
            <m:r>
              <w:rPr>
                <w:rFonts w:ascii="Cambria Math" w:hAnsi="Cambria Math"/>
              </w:rPr>
              <m:t>10</m:t>
            </m:r>
          </m:e>
          <m:sup>
            <m:r>
              <w:rPr>
                <w:rFonts w:ascii="Cambria Math" w:hAnsi="Cambria Math"/>
              </w:rPr>
              <m:t>-1</m:t>
            </m:r>
          </m:sup>
        </m:sSup>
      </m:oMath>
      <w:r w:rsidR="001C60FA" w:rsidRPr="00E7135D">
        <w:t>, also giving the certitude</w:t>
      </w:r>
      <w:r w:rsidR="000F2D2F" w:rsidRPr="00E7135D">
        <w:t xml:space="preserve"> that</w:t>
      </w:r>
      <w:r w:rsidR="001C60FA" w:rsidRPr="00E7135D">
        <w:t xml:space="preserve"> estimates values are </w:t>
      </w:r>
      <w:r w:rsidR="00885973" w:rsidRPr="00E7135D">
        <w:t>close</w:t>
      </w:r>
      <w:r w:rsidR="001C60FA" w:rsidRPr="00E7135D">
        <w:t xml:space="preserve"> </w:t>
      </w:r>
      <w:r w:rsidR="000234F1" w:rsidRPr="00E7135D">
        <w:t>to</w:t>
      </w:r>
      <w:r w:rsidR="001C60FA" w:rsidRPr="00E7135D">
        <w:t xml:space="preserve"> the experimental</w:t>
      </w:r>
      <w:r w:rsidR="00BC6FD1" w:rsidRPr="00E7135D">
        <w:t>.</w:t>
      </w:r>
    </w:p>
    <w:p w14:paraId="68D26B83" w14:textId="4A4319BE" w:rsidR="00600535" w:rsidRPr="00E7135D" w:rsidRDefault="00600535" w:rsidP="00600535">
      <w:pPr>
        <w:pStyle w:val="CETHeading1"/>
      </w:pPr>
      <w:r w:rsidRPr="00E7135D">
        <w:t>Conclusions</w:t>
      </w:r>
    </w:p>
    <w:p w14:paraId="0B3F6578" w14:textId="225CE82F" w:rsidR="008947F7" w:rsidRPr="00A62546" w:rsidRDefault="008947F7" w:rsidP="008947F7">
      <w:pPr>
        <w:pStyle w:val="CETBodytext"/>
      </w:pPr>
      <w:r w:rsidRPr="00E7135D">
        <w:t xml:space="preserve">A non-differential mechanistic model allows for representing the extraction kinetics for the case of solid-liquid extraction. In this work, the parameters of the mechanical model for the phenolic compounds extracted from </w:t>
      </w:r>
      <w:r w:rsidR="007F06F1" w:rsidRPr="00E7135D">
        <w:t xml:space="preserve">a </w:t>
      </w:r>
      <w:r w:rsidRPr="00E7135D">
        <w:t>mixture of three plants (</w:t>
      </w:r>
      <w:r w:rsidRPr="00E7135D">
        <w:rPr>
          <w:i/>
          <w:iCs/>
        </w:rPr>
        <w:t xml:space="preserve">Ilex </w:t>
      </w:r>
      <w:r w:rsidR="00144145" w:rsidRPr="00E7135D">
        <w:rPr>
          <w:i/>
          <w:iCs/>
        </w:rPr>
        <w:t>g</w:t>
      </w:r>
      <w:r w:rsidRPr="00E7135D">
        <w:rPr>
          <w:i/>
          <w:iCs/>
        </w:rPr>
        <w:t>uayusa</w:t>
      </w:r>
      <w:r w:rsidRPr="00E7135D">
        <w:t xml:space="preserve">, Cocoa Husk, and </w:t>
      </w:r>
      <w:r w:rsidR="00144145" w:rsidRPr="00E7135D">
        <w:rPr>
          <w:i/>
          <w:iCs/>
        </w:rPr>
        <w:t>Vernonanthura patens</w:t>
      </w:r>
      <w:r w:rsidRPr="00E7135D">
        <w:t xml:space="preserve">) </w:t>
      </w:r>
      <w:r w:rsidR="00127A55" w:rsidRPr="00E7135D">
        <w:t>are</w:t>
      </w:r>
      <w:r w:rsidRPr="00E7135D">
        <w:t xml:space="preserve"> estimated and validated with experimental kinetics. The values of the mass transfer coefficients of the </w:t>
      </w:r>
      <w:r w:rsidR="00EF44CB" w:rsidRPr="00E7135D">
        <w:t>solid</w:t>
      </w:r>
      <w:r w:rsidRPr="00E7135D">
        <w:t xml:space="preserve"> and the </w:t>
      </w:r>
      <w:r w:rsidR="00EF44CB" w:rsidRPr="00E7135D">
        <w:t xml:space="preserve">solvent </w:t>
      </w:r>
      <w:r w:rsidR="00127A55" w:rsidRPr="00E7135D">
        <w:t>are</w:t>
      </w:r>
      <w:r w:rsidRPr="00E7135D">
        <w:t xml:space="preserve"> determined by a dynamic estimation </w:t>
      </w:r>
      <w:r w:rsidR="00127A55" w:rsidRPr="00E7135D">
        <w:t xml:space="preserve">using the </w:t>
      </w:r>
      <w:r w:rsidRPr="00E7135D">
        <w:t>Gekko</w:t>
      </w:r>
      <w:r w:rsidR="00127A55" w:rsidRPr="00E7135D">
        <w:t xml:space="preserve"> library</w:t>
      </w:r>
      <w:r w:rsidRPr="00E7135D">
        <w:t xml:space="preserve">, obtaining values of </w:t>
      </w:r>
      <m:oMath>
        <m:r>
          <m:rPr>
            <m:sty m:val="p"/>
          </m:rPr>
          <w:rPr>
            <w:rFonts w:ascii="Cambria Math" w:hAnsi="Cambria Math"/>
          </w:rPr>
          <m:t>1.30×</m:t>
        </m:r>
        <m:sSup>
          <m:sSupPr>
            <m:ctrlPr>
              <w:rPr>
                <w:rFonts w:ascii="Cambria Math" w:hAnsi="Cambria Math"/>
              </w:rPr>
            </m:ctrlPr>
          </m:sSupPr>
          <m:e>
            <m:r>
              <m:rPr>
                <m:sty m:val="p"/>
              </m:rPr>
              <w:rPr>
                <w:rFonts w:ascii="Cambria Math" w:hAnsi="Cambria Math"/>
              </w:rPr>
              <m:t>10</m:t>
            </m:r>
          </m:e>
          <m:sup>
            <m:r>
              <w:rPr>
                <w:rFonts w:ascii="Cambria Math" w:hAnsi="Cambria Math"/>
              </w:rPr>
              <m:t>-8</m:t>
            </m:r>
          </m:sup>
        </m:sSup>
      </m:oMath>
      <w:r w:rsidR="00641BA3" w:rsidRPr="00E7135D">
        <w:t xml:space="preserve"> </w:t>
      </w:r>
      <m:oMath>
        <m:r>
          <m:rPr>
            <m:sty m:val="p"/>
          </m:rPr>
          <w:rPr>
            <w:rFonts w:ascii="Cambria Math" w:hAnsi="Cambria Math" w:cs="Arial"/>
            <w:szCs w:val="18"/>
          </w:rPr>
          <m:t xml:space="preserve">m </m:t>
        </m:r>
        <m:sSup>
          <m:sSupPr>
            <m:ctrlPr>
              <w:rPr>
                <w:rFonts w:ascii="Cambria Math" w:hAnsi="Cambria Math" w:cs="Arial"/>
                <w:szCs w:val="18"/>
              </w:rPr>
            </m:ctrlPr>
          </m:sSupPr>
          <m:e>
            <m:r>
              <m:rPr>
                <m:sty m:val="p"/>
              </m:rPr>
              <w:rPr>
                <w:rFonts w:ascii="Cambria Math" w:hAnsi="Cambria Math" w:cs="Arial"/>
                <w:szCs w:val="18"/>
              </w:rPr>
              <m:t>s</m:t>
            </m:r>
          </m:e>
          <m:sup>
            <m:r>
              <m:rPr>
                <m:sty m:val="p"/>
              </m:rPr>
              <w:rPr>
                <w:rFonts w:ascii="Cambria Math" w:hAnsi="Cambria Math" w:cs="Arial"/>
                <w:szCs w:val="18"/>
              </w:rPr>
              <m:t>-1</m:t>
            </m:r>
          </m:sup>
        </m:sSup>
      </m:oMath>
      <w:r w:rsidRPr="00E7135D">
        <w:t xml:space="preserve">, and </w:t>
      </w:r>
      <m:oMath>
        <m:r>
          <m:rPr>
            <m:sty m:val="p"/>
          </m:rPr>
          <w:rPr>
            <w:rFonts w:ascii="Cambria Math" w:hAnsi="Cambria Math"/>
          </w:rPr>
          <m:t>2.28×</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w:r w:rsidR="00641BA3" w:rsidRPr="00E7135D">
        <w:t xml:space="preserve"> </w:t>
      </w:r>
      <w:r w:rsidRPr="00E7135D">
        <w:rPr>
          <w:rFonts w:cs="Arial"/>
          <w:szCs w:val="18"/>
        </w:rPr>
        <w:t xml:space="preserve"> </w:t>
      </w:r>
      <m:oMath>
        <m:r>
          <m:rPr>
            <m:sty m:val="p"/>
          </m:rPr>
          <w:rPr>
            <w:rFonts w:ascii="Cambria Math" w:hAnsi="Cambria Math" w:cs="Arial"/>
            <w:szCs w:val="18"/>
          </w:rPr>
          <m:t xml:space="preserve">m </m:t>
        </m:r>
        <m:sSup>
          <m:sSupPr>
            <m:ctrlPr>
              <w:rPr>
                <w:rFonts w:ascii="Cambria Math" w:hAnsi="Cambria Math" w:cs="Arial"/>
                <w:szCs w:val="18"/>
              </w:rPr>
            </m:ctrlPr>
          </m:sSupPr>
          <m:e>
            <m:r>
              <m:rPr>
                <m:sty m:val="p"/>
              </m:rPr>
              <w:rPr>
                <w:rFonts w:ascii="Cambria Math" w:hAnsi="Cambria Math" w:cs="Arial"/>
                <w:szCs w:val="18"/>
              </w:rPr>
              <m:t>s</m:t>
            </m:r>
          </m:e>
          <m:sup>
            <m:r>
              <m:rPr>
                <m:sty m:val="p"/>
              </m:rPr>
              <w:rPr>
                <w:rFonts w:ascii="Cambria Math" w:hAnsi="Cambria Math" w:cs="Arial"/>
                <w:szCs w:val="18"/>
              </w:rPr>
              <m:t>-1</m:t>
            </m:r>
          </m:sup>
        </m:sSup>
      </m:oMath>
      <w:r w:rsidRPr="00E7135D">
        <w:t xml:space="preserve">, respectively. </w:t>
      </w:r>
      <w:r w:rsidR="00162196" w:rsidRPr="00E7135D">
        <w:t>Combining</w:t>
      </w:r>
      <w:r w:rsidRPr="00E7135D">
        <w:t xml:space="preserve"> experimental data with a mechanistic model for solid-liquid extraction </w:t>
      </w:r>
      <w:r w:rsidR="00A00DE8" w:rsidRPr="00E7135D">
        <w:t>and</w:t>
      </w:r>
      <w:r w:rsidR="00560ADF" w:rsidRPr="00E7135D">
        <w:t xml:space="preserve"> </w:t>
      </w:r>
      <w:r w:rsidR="00F316F3" w:rsidRPr="00E7135D">
        <w:rPr>
          <w:lang w:val="en-GB"/>
        </w:rPr>
        <w:t>programming and numeric computing platform</w:t>
      </w:r>
      <w:r w:rsidR="00C96306" w:rsidRPr="00E7135D">
        <w:rPr>
          <w:lang w:val="en-GB"/>
        </w:rPr>
        <w:t>s</w:t>
      </w:r>
      <w:r w:rsidRPr="00E7135D">
        <w:t xml:space="preserve"> </w:t>
      </w:r>
      <w:r w:rsidR="00A00DE8" w:rsidRPr="00E7135D">
        <w:t>allows</w:t>
      </w:r>
      <w:r w:rsidRPr="00E7135D">
        <w:t xml:space="preserve"> obtaining a robust model (</w:t>
      </w:r>
      <w:r w:rsidR="00162196" w:rsidRPr="00E7135D">
        <w:t xml:space="preserve">small </w:t>
      </w:r>
      <w:r w:rsidRPr="00E7135D">
        <w:t xml:space="preserve">MSLE) that considers mass transfer phenomena. </w:t>
      </w:r>
      <w:r w:rsidR="00162196" w:rsidRPr="00E7135D">
        <w:t xml:space="preserve">The </w:t>
      </w:r>
      <w:r w:rsidRPr="00E7135D">
        <w:t xml:space="preserve">model for </w:t>
      </w:r>
      <w:r w:rsidR="00414B0C" w:rsidRPr="00E7135D">
        <w:t>extracti</w:t>
      </w:r>
      <w:r w:rsidR="006E62F6" w:rsidRPr="00E7135D">
        <w:t>ng</w:t>
      </w:r>
      <w:r w:rsidR="00414B0C" w:rsidRPr="00E7135D">
        <w:t xml:space="preserve"> </w:t>
      </w:r>
      <w:r w:rsidRPr="00E7135D">
        <w:t>phenol compound</w:t>
      </w:r>
      <w:r w:rsidR="00414B0C" w:rsidRPr="00E7135D">
        <w:t>s</w:t>
      </w:r>
      <w:r w:rsidRPr="00E7135D">
        <w:t xml:space="preserve"> </w:t>
      </w:r>
      <w:r w:rsidR="00A00DE8" w:rsidRPr="00E7135D">
        <w:t>will enable</w:t>
      </w:r>
      <w:r w:rsidRPr="00E7135D">
        <w:t xml:space="preserve"> us to determine the necessary </w:t>
      </w:r>
      <w:r w:rsidR="00162196" w:rsidRPr="00E7135D">
        <w:t xml:space="preserve">time </w:t>
      </w:r>
      <w:r w:rsidRPr="00E7135D">
        <w:t xml:space="preserve">to reach </w:t>
      </w:r>
      <w:r w:rsidR="00162196" w:rsidRPr="00E7135D">
        <w:t>a</w:t>
      </w:r>
      <w:r w:rsidRPr="00E7135D">
        <w:t xml:space="preserve"> concentration </w:t>
      </w:r>
      <w:r w:rsidR="00162196" w:rsidRPr="00E7135D">
        <w:t xml:space="preserve">value </w:t>
      </w:r>
      <w:r w:rsidRPr="00E7135D">
        <w:t xml:space="preserve">or the maximum extraction percentage by the user, considering the balance between the phases. </w:t>
      </w:r>
      <w:r w:rsidR="00162196" w:rsidRPr="00E7135D">
        <w:t>Herein, the highest</w:t>
      </w:r>
      <w:r w:rsidRPr="00E7135D">
        <w:t xml:space="preserve"> extraction percentage of phenolic compounds is 90% in 243 seconds</w:t>
      </w:r>
      <w:r w:rsidR="00A24E22" w:rsidRPr="00E7135D">
        <w:t xml:space="preserve">, and this value is subject to the experimental data of the operating conditions described above. </w:t>
      </w:r>
      <w:r w:rsidR="00D5537C" w:rsidRPr="00E7135D">
        <w:t xml:space="preserve">Potentially, this work can be adapted to determine predictive analytical models by estimating parameters in Gekko with experimental kinetics for different raw materials, and incorporating them into simulators, using the connection between the Simulator with Python or </w:t>
      </w:r>
      <w:proofErr w:type="spellStart"/>
      <w:r w:rsidR="00D5537C" w:rsidRPr="00E7135D">
        <w:t>Matlab</w:t>
      </w:r>
      <w:proofErr w:type="spellEnd"/>
      <w:r w:rsidR="00D5537C" w:rsidRPr="00E7135D">
        <w:t xml:space="preserve">. </w:t>
      </w:r>
    </w:p>
    <w:p w14:paraId="07A6D20F" w14:textId="4699B66F" w:rsidR="00280FAF" w:rsidRPr="00A62546" w:rsidRDefault="00280FAF" w:rsidP="00FC2284">
      <w:pPr>
        <w:pStyle w:val="CETHeadingxx"/>
        <w:sectPr w:rsidR="00280FAF" w:rsidRPr="00A62546" w:rsidSect="007D0951">
          <w:type w:val="continuous"/>
          <w:pgSz w:w="11906" w:h="16838" w:code="9"/>
          <w:pgMar w:top="1701" w:right="1418" w:bottom="1701" w:left="1701" w:header="1701" w:footer="0" w:gutter="0"/>
          <w:cols w:space="708"/>
          <w:formProt w:val="0"/>
          <w:titlePg/>
          <w:docGrid w:linePitch="360"/>
        </w:sectPr>
      </w:pPr>
      <w:r w:rsidRPr="00A62546">
        <w:lastRenderedPageBreak/>
        <w:t>Nomenclature</w:t>
      </w:r>
      <w:r w:rsidR="00F13850" w:rsidRPr="00A62546">
        <w:t xml:space="preserve"> </w:t>
      </w:r>
    </w:p>
    <w:p w14:paraId="4AF41D28" w14:textId="0E38FF6B" w:rsidR="00901ED7" w:rsidRPr="00A62546" w:rsidRDefault="00901ED7" w:rsidP="00D6324C">
      <w:pPr>
        <w:pStyle w:val="CETBodytext"/>
        <w:jc w:val="left"/>
        <w:rPr>
          <w:iCs/>
        </w:rPr>
      </w:pPr>
      <m:oMath>
        <m:r>
          <w:rPr>
            <w:rFonts w:ascii="Cambria Math" w:hAnsi="Cambria Math"/>
          </w:rPr>
          <m:t>A</m:t>
        </m:r>
        <m:r>
          <m:rPr>
            <m:sty m:val="bi"/>
          </m:rPr>
          <w:rPr>
            <w:rFonts w:ascii="Cambria Math" w:hAnsi="Cambria Math"/>
          </w:rPr>
          <m:t xml:space="preserve"> </m:t>
        </m:r>
      </m:oMath>
      <w:r w:rsidRPr="00A62546">
        <w:rPr>
          <w:rFonts w:eastAsia="SimSun"/>
          <w:iCs/>
        </w:rPr>
        <w:t>–</w:t>
      </w:r>
      <w:r w:rsidRPr="00A62546">
        <w:t xml:space="preserve"> </w:t>
      </w:r>
      <w:proofErr w:type="spellStart"/>
      <w:r w:rsidRPr="00A62546">
        <w:t>absorbence</w:t>
      </w:r>
      <w:proofErr w:type="spellEnd"/>
      <w:r w:rsidRPr="00A62546">
        <w:t xml:space="preserve">, </w:t>
      </w:r>
      <m:oMath>
        <m:r>
          <m:rPr>
            <m:sty m:val="p"/>
          </m:rPr>
          <w:rPr>
            <w:rFonts w:ascii="Cambria Math" w:hAnsi="Cambria Math"/>
          </w:rPr>
          <m:t>m</m:t>
        </m:r>
      </m:oMath>
    </w:p>
    <w:p w14:paraId="6117A145" w14:textId="5F3D3A58" w:rsidR="00D6324C" w:rsidRPr="00A62546" w:rsidRDefault="00D6324C" w:rsidP="00D6324C">
      <w:pPr>
        <w:pStyle w:val="CETBodytext"/>
        <w:jc w:val="left"/>
        <w:rPr>
          <w:rFonts w:eastAsia="SimSun"/>
          <w:iCs/>
        </w:rPr>
      </w:pPr>
      <m:oMath>
        <m:r>
          <w:rPr>
            <w:rFonts w:ascii="Cambria Math" w:hAnsi="Cambria Math"/>
          </w:rPr>
          <m:t>a</m:t>
        </m:r>
      </m:oMath>
      <w:r w:rsidRPr="00A62546">
        <w:rPr>
          <w:rFonts w:eastAsia="SimSun"/>
          <w:iCs/>
        </w:rPr>
        <w:t xml:space="preserve"> – specific surface for mass transfer, </w:t>
      </w:r>
      <m:oMath>
        <m:sSup>
          <m:sSupPr>
            <m:ctrlPr>
              <w:rPr>
                <w:rFonts w:ascii="Cambria Math" w:eastAsia="SimSun" w:hAnsi="Cambria Math"/>
                <w:iCs/>
              </w:rPr>
            </m:ctrlPr>
          </m:sSupPr>
          <m:e>
            <m:r>
              <m:rPr>
                <m:sty m:val="p"/>
              </m:rPr>
              <w:rPr>
                <w:rFonts w:ascii="Cambria Math" w:eastAsia="SimSun" w:hAnsi="Cambria Math"/>
              </w:rPr>
              <m:t>m</m:t>
            </m:r>
          </m:e>
          <m:sup>
            <m:r>
              <m:rPr>
                <m:sty m:val="p"/>
              </m:rPr>
              <w:rPr>
                <w:rFonts w:ascii="Cambria Math" w:eastAsia="SimSun" w:hAnsi="Cambria Math"/>
              </w:rPr>
              <m:t>2</m:t>
            </m:r>
          </m:sup>
        </m:sSup>
        <m:sSup>
          <m:sSupPr>
            <m:ctrlPr>
              <w:rPr>
                <w:rFonts w:ascii="Cambria Math" w:eastAsia="SimSun" w:hAnsi="Cambria Math"/>
                <w:iCs/>
              </w:rPr>
            </m:ctrlPr>
          </m:sSupPr>
          <m:e>
            <m:r>
              <m:rPr>
                <m:sty m:val="p"/>
              </m:rPr>
              <w:rPr>
                <w:rFonts w:ascii="Cambria Math" w:eastAsia="SimSun" w:hAnsi="Cambria Math"/>
              </w:rPr>
              <m:t>m</m:t>
            </m:r>
          </m:e>
          <m:sup>
            <m:r>
              <m:rPr>
                <m:sty m:val="p"/>
              </m:rPr>
              <w:rPr>
                <w:rFonts w:ascii="Cambria Math" w:eastAsia="SimSun" w:hAnsi="Cambria Math"/>
              </w:rPr>
              <m:t>-3</m:t>
            </m:r>
          </m:sup>
        </m:sSup>
      </m:oMath>
    </w:p>
    <w:p w14:paraId="6292BC24" w14:textId="6CA9E69B" w:rsidR="00D6324C" w:rsidRPr="00A62546" w:rsidRDefault="00094427" w:rsidP="00D6324C">
      <w:pPr>
        <w:pStyle w:val="CETBodytext"/>
        <w:jc w:val="left"/>
        <w:rPr>
          <w:rFonts w:eastAsia="SimSun"/>
          <w:iCs/>
        </w:rPr>
      </w:pPr>
      <m:oMath>
        <m:r>
          <w:rPr>
            <w:rFonts w:ascii="Cambria Math" w:hAnsi="Cambria Math"/>
          </w:rPr>
          <m:t>c</m:t>
        </m:r>
        <m:r>
          <m:rPr>
            <m:sty m:val="bi"/>
          </m:rPr>
          <w:rPr>
            <w:rFonts w:ascii="Cambria Math" w:hAnsi="Cambria Math"/>
          </w:rPr>
          <m:t xml:space="preserve"> </m:t>
        </m:r>
      </m:oMath>
      <w:r w:rsidR="00D6324C" w:rsidRPr="00A62546">
        <w:rPr>
          <w:rFonts w:eastAsia="SimSun"/>
          <w:iCs/>
        </w:rPr>
        <w:t xml:space="preserve">– phenolic compounds concentration, </w:t>
      </w:r>
      <m:oMath>
        <m:r>
          <m:rPr>
            <m:sty m:val="p"/>
          </m:rPr>
          <w:rPr>
            <w:rFonts w:ascii="Cambria Math" w:eastAsia="SimSun" w:hAnsi="Cambria Math"/>
          </w:rPr>
          <m:t>kg</m:t>
        </m:r>
        <m:sSup>
          <m:sSupPr>
            <m:ctrlPr>
              <w:rPr>
                <w:rFonts w:ascii="Cambria Math" w:eastAsia="SimSun" w:hAnsi="Cambria Math"/>
                <w:iCs/>
              </w:rPr>
            </m:ctrlPr>
          </m:sSupPr>
          <m:e>
            <m:r>
              <m:rPr>
                <m:sty m:val="p"/>
              </m:rPr>
              <w:rPr>
                <w:rFonts w:ascii="Cambria Math" w:eastAsia="SimSun" w:hAnsi="Cambria Math"/>
              </w:rPr>
              <m:t xml:space="preserve"> m</m:t>
            </m:r>
          </m:e>
          <m:sup>
            <m:r>
              <m:rPr>
                <m:sty m:val="p"/>
              </m:rPr>
              <w:rPr>
                <w:rFonts w:ascii="Cambria Math" w:eastAsia="SimSun" w:hAnsi="Cambria Math"/>
              </w:rPr>
              <m:t>-3</m:t>
            </m:r>
          </m:sup>
        </m:sSup>
      </m:oMath>
    </w:p>
    <w:p w14:paraId="3BF330A3" w14:textId="4AF3B63E" w:rsidR="00224CEB" w:rsidRPr="00A62546" w:rsidRDefault="00000000" w:rsidP="00D6324C">
      <w:pPr>
        <w:pStyle w:val="CETBodytext"/>
        <w:jc w:val="left"/>
        <w:rPr>
          <w:rFonts w:eastAsia="SimSun"/>
          <w:iCs/>
        </w:rPr>
      </w:pPr>
      <m:oMath>
        <m:sSub>
          <m:sSubPr>
            <m:ctrlPr>
              <w:rPr>
                <w:rFonts w:ascii="Cambria Math" w:hAnsi="Cambria Math"/>
                <w:i/>
              </w:rPr>
            </m:ctrlPr>
          </m:sSubPr>
          <m:e>
            <m:r>
              <w:rPr>
                <w:rFonts w:ascii="Cambria Math" w:hAnsi="Cambria Math"/>
              </w:rPr>
              <m:t>C</m:t>
            </m:r>
          </m:e>
          <m:sub>
            <m:r>
              <w:rPr>
                <w:rFonts w:ascii="Cambria Math" w:hAnsi="Cambria Math"/>
              </w:rPr>
              <m:t>1,2,3,4</m:t>
            </m:r>
          </m:sub>
        </m:sSub>
      </m:oMath>
      <w:r w:rsidR="00224CEB" w:rsidRPr="00A62546">
        <w:rPr>
          <w:rFonts w:eastAsia="SimSun"/>
        </w:rPr>
        <w:t xml:space="preserve"> </w:t>
      </w:r>
      <w:r w:rsidR="00224CEB" w:rsidRPr="00A62546">
        <w:rPr>
          <w:rFonts w:eastAsia="SimSun"/>
          <w:iCs/>
        </w:rPr>
        <w:t>–</w:t>
      </w:r>
      <m:oMath>
        <m:r>
          <w:rPr>
            <w:rFonts w:ascii="Cambria Math" w:hAnsi="Cambria Math"/>
          </w:rPr>
          <m:t xml:space="preserve"> </m:t>
        </m:r>
      </m:oMath>
      <w:r w:rsidR="00C72190">
        <w:rPr>
          <w:rFonts w:eastAsia="SimSun"/>
        </w:rPr>
        <w:t xml:space="preserve">set of </w:t>
      </w:r>
      <w:r w:rsidR="00224CEB" w:rsidRPr="00A62546">
        <w:rPr>
          <w:rFonts w:eastAsia="SimSun"/>
        </w:rPr>
        <w:t>constants required for Eq(4-5), -</w:t>
      </w:r>
    </w:p>
    <w:p w14:paraId="0D728AF8" w14:textId="195CC0AD" w:rsidR="00645319" w:rsidRPr="00A62546" w:rsidRDefault="00000000" w:rsidP="00645319">
      <w:pPr>
        <w:pStyle w:val="CETBodytext"/>
        <w:jc w:val="left"/>
        <w:rPr>
          <w:rFonts w:eastAsia="SimSun"/>
          <w:iCs/>
        </w:rPr>
      </w:pPr>
      <m:oMath>
        <m:sSub>
          <m:sSubPr>
            <m:ctrlPr>
              <w:rPr>
                <w:rFonts w:ascii="Cambria Math" w:hAnsi="Cambria Math"/>
                <w:i/>
              </w:rPr>
            </m:ctrlPr>
          </m:sSubPr>
          <m:e>
            <m:r>
              <w:rPr>
                <w:rFonts w:ascii="Cambria Math" w:hAnsi="Cambria Math"/>
              </w:rPr>
              <m:t>D</m:t>
            </m:r>
          </m:e>
          <m:sub>
            <m:r>
              <w:rPr>
                <w:rFonts w:ascii="Cambria Math" w:hAnsi="Cambria Math"/>
              </w:rPr>
              <m:t>p</m:t>
            </m:r>
          </m:sub>
        </m:sSub>
        <m:r>
          <m:rPr>
            <m:sty m:val="bi"/>
          </m:rPr>
          <w:rPr>
            <w:rFonts w:ascii="Cambria Math" w:hAnsi="Cambria Math"/>
          </w:rPr>
          <m:t xml:space="preserve"> </m:t>
        </m:r>
      </m:oMath>
      <w:r w:rsidR="00645319" w:rsidRPr="00A62546">
        <w:rPr>
          <w:rFonts w:eastAsia="SimSun"/>
          <w:iCs/>
        </w:rPr>
        <w:t xml:space="preserve">– </w:t>
      </w:r>
      <w:r w:rsidR="00664543" w:rsidRPr="00A62546">
        <w:rPr>
          <w:rFonts w:eastAsia="SimSun"/>
          <w:iCs/>
        </w:rPr>
        <w:t>particle diameter</w:t>
      </w:r>
      <w:r w:rsidR="00645319" w:rsidRPr="00A62546">
        <w:rPr>
          <w:rFonts w:eastAsia="SimSun"/>
          <w:iCs/>
        </w:rPr>
        <w:t xml:space="preserve">, </w:t>
      </w:r>
      <m:oMath>
        <m:r>
          <m:rPr>
            <m:sty m:val="p"/>
          </m:rPr>
          <w:rPr>
            <w:rFonts w:ascii="Cambria Math" w:eastAsia="SimSun" w:hAnsi="Cambria Math"/>
          </w:rPr>
          <m:t>m</m:t>
        </m:r>
      </m:oMath>
    </w:p>
    <w:p w14:paraId="32489662" w14:textId="268317E9" w:rsidR="00D6324C" w:rsidRPr="00A62546" w:rsidRDefault="00000000" w:rsidP="00D6324C">
      <w:pPr>
        <w:pStyle w:val="CETBodytext"/>
        <w:jc w:val="left"/>
        <w:rPr>
          <w:rFonts w:eastAsia="SimSun"/>
          <w:iCs/>
        </w:rPr>
      </w:pPr>
      <m:oMath>
        <m:sSub>
          <m:sSubPr>
            <m:ctrlPr>
              <w:rPr>
                <w:rFonts w:ascii="Cambria Math" w:hAnsi="Cambria Math"/>
                <w:i/>
              </w:rPr>
            </m:ctrlPr>
          </m:sSubPr>
          <m:e>
            <m:r>
              <w:rPr>
                <w:rFonts w:ascii="Cambria Math" w:hAnsi="Cambria Math"/>
              </w:rPr>
              <m:t>k</m:t>
            </m:r>
          </m:e>
          <m:sub>
            <m:r>
              <w:rPr>
                <w:rFonts w:ascii="Cambria Math" w:hAnsi="Cambria Math"/>
              </w:rPr>
              <m:t>c</m:t>
            </m:r>
          </m:sub>
        </m:sSub>
      </m:oMath>
      <w:r w:rsidR="00901ED7" w:rsidRPr="00A62546">
        <w:rPr>
          <w:rFonts w:eastAsia="SimSun"/>
          <w:b/>
          <w:bCs/>
        </w:rPr>
        <w:t xml:space="preserve"> </w:t>
      </w:r>
      <w:r w:rsidR="00D6324C" w:rsidRPr="00A62546">
        <w:rPr>
          <w:rFonts w:eastAsia="SimSun"/>
          <w:iCs/>
        </w:rPr>
        <w:t xml:space="preserve">– global mass transfer, </w:t>
      </w:r>
      <m:oMath>
        <m:r>
          <m:rPr>
            <m:sty m:val="p"/>
          </m:rPr>
          <w:rPr>
            <w:rFonts w:ascii="Cambria Math" w:eastAsia="SimSun" w:hAnsi="Cambria Math"/>
          </w:rPr>
          <m:t>m</m:t>
        </m:r>
        <m:sSup>
          <m:sSupPr>
            <m:ctrlPr>
              <w:rPr>
                <w:rFonts w:ascii="Cambria Math" w:eastAsia="SimSun" w:hAnsi="Cambria Math"/>
                <w:iCs/>
              </w:rPr>
            </m:ctrlPr>
          </m:sSupPr>
          <m:e>
            <m:r>
              <m:rPr>
                <m:sty m:val="p"/>
              </m:rPr>
              <w:rPr>
                <w:rFonts w:ascii="Cambria Math" w:eastAsia="SimSun" w:hAnsi="Cambria Math"/>
              </w:rPr>
              <m:t xml:space="preserve"> s</m:t>
            </m:r>
          </m:e>
          <m:sup>
            <m:r>
              <m:rPr>
                <m:sty m:val="p"/>
              </m:rPr>
              <w:rPr>
                <w:rFonts w:ascii="Cambria Math" w:eastAsia="SimSun" w:hAnsi="Cambria Math"/>
              </w:rPr>
              <m:t>-1</m:t>
            </m:r>
          </m:sup>
        </m:sSup>
      </m:oMath>
    </w:p>
    <w:p w14:paraId="769A1DEA" w14:textId="71E29B25" w:rsidR="00901ED7" w:rsidRPr="00A62546" w:rsidRDefault="00901ED7" w:rsidP="00901ED7">
      <w:pPr>
        <w:pStyle w:val="CETBodytext"/>
        <w:jc w:val="left"/>
        <w:rPr>
          <w:rFonts w:eastAsia="SimSun"/>
        </w:rPr>
      </w:pPr>
      <m:oMath>
        <m:r>
          <w:rPr>
            <w:rFonts w:ascii="Cambria Math" w:hAnsi="Cambria Math"/>
          </w:rPr>
          <m:t>K</m:t>
        </m:r>
      </m:oMath>
      <w:r w:rsidRPr="00A62546">
        <w:rPr>
          <w:rFonts w:eastAsia="SimSun"/>
        </w:rPr>
        <w:t xml:space="preserve"> </w:t>
      </w:r>
      <w:r w:rsidRPr="00A62546">
        <w:rPr>
          <w:rFonts w:eastAsia="SimSun"/>
          <w:iCs/>
        </w:rPr>
        <w:t xml:space="preserve">– </w:t>
      </w:r>
      <w:r w:rsidRPr="00A62546">
        <w:rPr>
          <w:rFonts w:eastAsia="SimSun"/>
        </w:rPr>
        <w:t>distribution constant, -</w:t>
      </w:r>
    </w:p>
    <w:p w14:paraId="0FD4F47C" w14:textId="02A3497C" w:rsidR="00224CEB" w:rsidRPr="00A62546" w:rsidRDefault="00000000" w:rsidP="00901ED7">
      <w:pPr>
        <w:pStyle w:val="CETBodytext"/>
        <w:jc w:val="left"/>
        <w:rPr>
          <w:rFonts w:eastAsia="SimSun"/>
          <w:iCs/>
        </w:rPr>
      </w:pPr>
      <m:oMath>
        <m:sSub>
          <m:sSubPr>
            <m:ctrlPr>
              <w:rPr>
                <w:rFonts w:ascii="Cambria Math" w:hAnsi="Cambria Math"/>
                <w:i/>
              </w:rPr>
            </m:ctrlPr>
          </m:sSubPr>
          <m:e>
            <m:r>
              <w:rPr>
                <w:rFonts w:ascii="Cambria Math" w:hAnsi="Cambria Math"/>
              </w:rPr>
              <m:t>r</m:t>
            </m:r>
          </m:e>
          <m:sub>
            <m:r>
              <w:rPr>
                <w:rFonts w:ascii="Cambria Math" w:hAnsi="Cambria Math"/>
              </w:rPr>
              <m:t>1,2</m:t>
            </m:r>
          </m:sub>
        </m:sSub>
      </m:oMath>
      <w:r w:rsidR="00224CEB" w:rsidRPr="00A62546">
        <w:rPr>
          <w:rFonts w:eastAsia="SimSun"/>
        </w:rPr>
        <w:t xml:space="preserve"> </w:t>
      </w:r>
      <w:r w:rsidR="00224CEB" w:rsidRPr="00A62546">
        <w:rPr>
          <w:rFonts w:eastAsia="SimSun"/>
          <w:iCs/>
        </w:rPr>
        <w:t>–</w:t>
      </w:r>
      <w:r w:rsidR="00AC5C6B">
        <w:rPr>
          <w:rFonts w:eastAsia="SimSun"/>
          <w:iCs/>
        </w:rPr>
        <w:t xml:space="preserve"> set </w:t>
      </w:r>
      <w:r w:rsidR="006E6138">
        <w:rPr>
          <w:rFonts w:eastAsia="SimSun"/>
          <w:iCs/>
        </w:rPr>
        <w:t>of constant</w:t>
      </w:r>
      <w:r w:rsidR="00224CEB" w:rsidRPr="00A62546">
        <w:rPr>
          <w:rFonts w:eastAsia="SimSun"/>
        </w:rPr>
        <w:t>s required for Eq(4-5), -</w:t>
      </w:r>
    </w:p>
    <w:p w14:paraId="2F3401BE" w14:textId="23C504A5" w:rsidR="00901ED7" w:rsidRPr="00A62546" w:rsidRDefault="00901ED7" w:rsidP="00901ED7">
      <w:pPr>
        <w:pStyle w:val="CETBodytext"/>
        <w:jc w:val="left"/>
        <w:rPr>
          <w:rFonts w:eastAsia="SimSun"/>
          <w:iCs/>
        </w:rPr>
      </w:pPr>
      <m:oMath>
        <m:r>
          <w:rPr>
            <w:rFonts w:ascii="Cambria Math" w:hAnsi="Cambria Math"/>
          </w:rPr>
          <m:t>t</m:t>
        </m:r>
      </m:oMath>
      <w:r w:rsidRPr="00A62546">
        <w:rPr>
          <w:rFonts w:eastAsia="SimSun"/>
        </w:rPr>
        <w:t xml:space="preserve"> </w:t>
      </w:r>
      <w:r w:rsidRPr="00A62546">
        <w:rPr>
          <w:rFonts w:eastAsia="SimSun"/>
          <w:iCs/>
        </w:rPr>
        <w:t xml:space="preserve">– time, </w:t>
      </w:r>
      <m:oMath>
        <m:r>
          <m:rPr>
            <m:sty m:val="p"/>
          </m:rPr>
          <w:rPr>
            <w:rFonts w:ascii="Cambria Math" w:eastAsia="SimSun" w:hAnsi="Cambria Math"/>
          </w:rPr>
          <m:t>s</m:t>
        </m:r>
      </m:oMath>
    </w:p>
    <w:p w14:paraId="66D49DCA" w14:textId="0E934159" w:rsidR="000F2297" w:rsidRPr="00A62546" w:rsidRDefault="00645319" w:rsidP="00901ED7">
      <w:pPr>
        <w:pStyle w:val="CETBodytext"/>
        <w:jc w:val="left"/>
        <w:rPr>
          <w:rFonts w:eastAsia="SimSun"/>
        </w:rPr>
      </w:pPr>
      <m:oMath>
        <m:r>
          <w:rPr>
            <w:rFonts w:ascii="Cambria Math" w:eastAsia="SimSun" w:hAnsi="Cambria Math"/>
          </w:rPr>
          <m:t>V</m:t>
        </m:r>
      </m:oMath>
      <w:r w:rsidRPr="00A62546">
        <w:rPr>
          <w:rFonts w:eastAsia="SimSun"/>
        </w:rPr>
        <w:t xml:space="preserve"> </w:t>
      </w:r>
      <w:r w:rsidRPr="00A62546">
        <w:rPr>
          <w:rFonts w:eastAsia="SimSun"/>
          <w:iCs/>
        </w:rPr>
        <w:t xml:space="preserve">– volume, </w:t>
      </w:r>
      <m:oMath>
        <m:sSup>
          <m:sSupPr>
            <m:ctrlPr>
              <w:rPr>
                <w:rFonts w:ascii="Cambria Math" w:eastAsia="SimSun" w:hAnsi="Cambria Math"/>
              </w:rPr>
            </m:ctrlPr>
          </m:sSupPr>
          <m:e>
            <m:r>
              <m:rPr>
                <m:sty m:val="p"/>
              </m:rPr>
              <w:rPr>
                <w:rFonts w:ascii="Cambria Math" w:eastAsia="SimSun" w:hAnsi="Cambria Math"/>
              </w:rPr>
              <m:t>m</m:t>
            </m:r>
          </m:e>
          <m:sup>
            <m:r>
              <m:rPr>
                <m:sty m:val="p"/>
              </m:rPr>
              <w:rPr>
                <w:rFonts w:ascii="Cambria Math" w:eastAsia="SimSun" w:hAnsi="Cambria Math"/>
              </w:rPr>
              <m:t>-3</m:t>
            </m:r>
          </m:sup>
        </m:sSup>
      </m:oMath>
    </w:p>
    <w:p w14:paraId="0A2AC454" w14:textId="05B647EC" w:rsidR="00224CEB" w:rsidRPr="00A62546" w:rsidRDefault="00224CEB" w:rsidP="00901ED7">
      <w:pPr>
        <w:pStyle w:val="CETBodytext"/>
        <w:jc w:val="left"/>
        <w:rPr>
          <w:rFonts w:eastAsia="SimSun"/>
          <w:iCs/>
        </w:rPr>
      </w:pPr>
      <w:r w:rsidRPr="00A62546">
        <w:rPr>
          <w:rFonts w:eastAsiaTheme="minorHAnsi" w:cs="Arial"/>
          <w:szCs w:val="18"/>
        </w:rPr>
        <w:t>Greeks</w:t>
      </w:r>
    </w:p>
    <w:p w14:paraId="201DB84C" w14:textId="568EE4F4" w:rsidR="00901ED7" w:rsidRPr="00A62546" w:rsidRDefault="00224CEB" w:rsidP="00901ED7">
      <w:pPr>
        <w:pStyle w:val="CETBodytext"/>
        <w:jc w:val="left"/>
        <w:rPr>
          <w:rFonts w:eastAsia="SimSun"/>
        </w:rPr>
      </w:pPr>
      <m:oMath>
        <m:r>
          <m:rPr>
            <m:sty m:val="p"/>
          </m:rPr>
          <w:rPr>
            <w:rFonts w:ascii="Cambria Math" w:hAnsi="Cambria Math"/>
          </w:rPr>
          <m:t xml:space="preserve">ε </m:t>
        </m:r>
      </m:oMath>
      <w:r w:rsidRPr="00A62546">
        <w:rPr>
          <w:rFonts w:eastAsia="SimSun"/>
          <w:iCs/>
        </w:rPr>
        <w:t>– volume</w:t>
      </w:r>
      <w:r w:rsidR="000F2297" w:rsidRPr="00A62546">
        <w:rPr>
          <w:rFonts w:eastAsia="SimSun"/>
          <w:iCs/>
        </w:rPr>
        <w:t xml:space="preserve"> fraction of solvent</w:t>
      </w:r>
      <w:r w:rsidRPr="00A62546">
        <w:rPr>
          <w:rFonts w:eastAsia="SimSun"/>
          <w:iCs/>
        </w:rPr>
        <w:t>,</w:t>
      </w:r>
      <w:r w:rsidR="000F2297" w:rsidRPr="00A62546">
        <w:rPr>
          <w:rFonts w:eastAsia="SimSun"/>
          <w:iCs/>
        </w:rPr>
        <w:t xml:space="preserve"> </w:t>
      </w:r>
      <w:r w:rsidR="000F2297" w:rsidRPr="00A62546">
        <w:rPr>
          <w:rFonts w:eastAsia="SimSun"/>
        </w:rPr>
        <w:t>-</w:t>
      </w:r>
    </w:p>
    <w:p w14:paraId="4A69DD99" w14:textId="28857017" w:rsidR="000F2297" w:rsidRPr="00A62546" w:rsidRDefault="000F2297" w:rsidP="00901ED7">
      <w:pPr>
        <w:pStyle w:val="CETBodytext"/>
        <w:jc w:val="left"/>
        <w:rPr>
          <w:rFonts w:eastAsiaTheme="minorHAnsi" w:cs="Arial"/>
          <w:szCs w:val="18"/>
        </w:rPr>
      </w:pPr>
      <w:r w:rsidRPr="00A62546">
        <w:rPr>
          <w:rFonts w:eastAsiaTheme="minorHAnsi" w:cs="Arial"/>
          <w:szCs w:val="18"/>
        </w:rPr>
        <w:t>Subscripts</w:t>
      </w:r>
    </w:p>
    <w:p w14:paraId="2229EA70" w14:textId="4D46CF2C" w:rsidR="000F2297" w:rsidRPr="00A62546" w:rsidRDefault="000F2297" w:rsidP="00901ED7">
      <w:pPr>
        <w:pStyle w:val="CETBodytext"/>
        <w:jc w:val="left"/>
        <w:rPr>
          <w:rFonts w:eastAsia="SimSun"/>
        </w:rPr>
      </w:pPr>
      <m:oMath>
        <m:r>
          <w:rPr>
            <w:rFonts w:ascii="Cambria Math" w:eastAsia="SimSun" w:hAnsi="Cambria Math"/>
          </w:rPr>
          <m:t>0</m:t>
        </m:r>
      </m:oMath>
      <w:r w:rsidRPr="00A62546">
        <w:rPr>
          <w:rFonts w:eastAsia="SimSun"/>
        </w:rPr>
        <w:t xml:space="preserve"> </w:t>
      </w:r>
      <w:r w:rsidRPr="00A62546">
        <w:rPr>
          <w:rFonts w:eastAsia="SimSun"/>
          <w:iCs/>
        </w:rPr>
        <w:t xml:space="preserve">– at initial or </w:t>
      </w:r>
      <w:r w:rsidR="0038781B">
        <w:rPr>
          <w:rFonts w:eastAsia="SimSun"/>
          <w:iCs/>
        </w:rPr>
        <w:t>a</w:t>
      </w:r>
      <w:r w:rsidR="0038781B" w:rsidRPr="00A62546">
        <w:rPr>
          <w:rFonts w:eastAsia="SimSun"/>
          <w:iCs/>
        </w:rPr>
        <w:t xml:space="preserve"> </w:t>
      </w:r>
      <w:r w:rsidRPr="00A62546">
        <w:rPr>
          <w:rFonts w:eastAsia="SimSun"/>
          <w:iCs/>
        </w:rPr>
        <w:t>reference</w:t>
      </w:r>
    </w:p>
    <w:p w14:paraId="67B5EF4A" w14:textId="7DC6CEB3" w:rsidR="000F2297" w:rsidRPr="00A62546" w:rsidRDefault="000F2297" w:rsidP="000F2297">
      <w:pPr>
        <w:pStyle w:val="CETBodytext"/>
        <w:jc w:val="left"/>
        <w:rPr>
          <w:rFonts w:eastAsia="SimSun"/>
        </w:rPr>
      </w:pPr>
      <m:oMath>
        <m:r>
          <w:rPr>
            <w:rFonts w:ascii="Cambria Math" w:eastAsia="SimSun" w:hAnsi="Cambria Math"/>
          </w:rPr>
          <m:t>i</m:t>
        </m:r>
      </m:oMath>
      <w:r w:rsidRPr="00A62546">
        <w:rPr>
          <w:rFonts w:eastAsia="SimSun"/>
        </w:rPr>
        <w:t xml:space="preserve"> </w:t>
      </w:r>
      <w:r w:rsidRPr="00A62546">
        <w:rPr>
          <w:rFonts w:eastAsia="SimSun"/>
          <w:iCs/>
        </w:rPr>
        <w:t xml:space="preserve">– at </w:t>
      </w:r>
      <w:r w:rsidR="00726D53">
        <w:rPr>
          <w:rFonts w:eastAsia="SimSun"/>
          <w:iCs/>
        </w:rPr>
        <w:t xml:space="preserve">the </w:t>
      </w:r>
      <w:r w:rsidRPr="00A62546">
        <w:rPr>
          <w:rFonts w:eastAsia="SimSun"/>
          <w:iCs/>
        </w:rPr>
        <w:t>interface</w:t>
      </w:r>
    </w:p>
    <w:p w14:paraId="1B0524F9" w14:textId="469952AB" w:rsidR="000F2297" w:rsidRPr="00A62546" w:rsidRDefault="000F2297" w:rsidP="000F2297">
      <w:pPr>
        <w:pStyle w:val="CETBodytext"/>
        <w:jc w:val="left"/>
        <w:rPr>
          <w:rFonts w:eastAsia="SimSun"/>
          <w:iCs/>
        </w:rPr>
      </w:pPr>
      <m:oMath>
        <m:r>
          <w:rPr>
            <w:rFonts w:ascii="Cambria Math" w:eastAsia="SimSun" w:hAnsi="Cambria Math"/>
          </w:rPr>
          <m:t>x</m:t>
        </m:r>
      </m:oMath>
      <w:r w:rsidRPr="00A62546">
        <w:rPr>
          <w:rFonts w:eastAsia="SimSun"/>
        </w:rPr>
        <w:t xml:space="preserve"> </w:t>
      </w:r>
      <w:r w:rsidRPr="00A62546">
        <w:rPr>
          <w:rFonts w:eastAsia="SimSun"/>
          <w:iCs/>
        </w:rPr>
        <w:t xml:space="preserve">– indicates at </w:t>
      </w:r>
      <w:r w:rsidR="007824E7">
        <w:rPr>
          <w:rFonts w:eastAsia="SimSun"/>
          <w:iCs/>
        </w:rPr>
        <w:t xml:space="preserve">a </w:t>
      </w:r>
      <w:r w:rsidRPr="00A62546">
        <w:rPr>
          <w:rFonts w:eastAsia="SimSun"/>
          <w:iCs/>
        </w:rPr>
        <w:t>specific time</w:t>
      </w:r>
    </w:p>
    <w:p w14:paraId="02652F61" w14:textId="10039F0E" w:rsidR="000F2297" w:rsidRPr="00A62546" w:rsidRDefault="000F2297" w:rsidP="000F2297">
      <w:pPr>
        <w:pStyle w:val="CETBodytext"/>
        <w:jc w:val="left"/>
        <w:rPr>
          <w:rFonts w:eastAsia="SimSun"/>
        </w:rPr>
      </w:pPr>
      <m:oMath>
        <m:r>
          <w:rPr>
            <w:rFonts w:ascii="Cambria Math" w:eastAsia="SimSun" w:hAnsi="Cambria Math"/>
          </w:rPr>
          <m:t>β</m:t>
        </m:r>
      </m:oMath>
      <w:r w:rsidRPr="00A62546">
        <w:rPr>
          <w:rFonts w:eastAsia="SimSun"/>
        </w:rPr>
        <w:t xml:space="preserve"> </w:t>
      </w:r>
      <w:r w:rsidRPr="00A62546">
        <w:rPr>
          <w:rFonts w:eastAsia="SimSun"/>
          <w:iCs/>
        </w:rPr>
        <w:t xml:space="preserve">– for </w:t>
      </w:r>
      <w:r w:rsidR="00BE1F84" w:rsidRPr="00A62546">
        <w:rPr>
          <w:rFonts w:eastAsia="SimSun"/>
          <w:iCs/>
        </w:rPr>
        <w:t>disperse</w:t>
      </w:r>
      <w:r w:rsidRPr="00A62546">
        <w:rPr>
          <w:rFonts w:eastAsia="SimSun"/>
          <w:iCs/>
        </w:rPr>
        <w:t xml:space="preserve"> phase (</w:t>
      </w:r>
      <w:r w:rsidR="00BE1F84" w:rsidRPr="00A62546">
        <w:rPr>
          <w:rFonts w:eastAsia="SimSun"/>
          <w:iCs/>
        </w:rPr>
        <w:t>solid</w:t>
      </w:r>
      <w:r w:rsidRPr="00A62546">
        <w:rPr>
          <w:rFonts w:eastAsia="SimSun"/>
          <w:iCs/>
        </w:rPr>
        <w:t>)</w:t>
      </w:r>
    </w:p>
    <w:p w14:paraId="38BFE636" w14:textId="14F07AC5" w:rsidR="00230D08" w:rsidRPr="00A62546" w:rsidRDefault="000F2297" w:rsidP="00280FAF">
      <w:pPr>
        <w:pStyle w:val="CETBodytext"/>
        <w:jc w:val="left"/>
        <w:rPr>
          <w:rFonts w:eastAsia="SimSun"/>
        </w:rPr>
        <w:sectPr w:rsidR="00230D08" w:rsidRPr="00A62546">
          <w:type w:val="continuous"/>
          <w:pgSz w:w="11906" w:h="16838" w:code="9"/>
          <w:pgMar w:top="1701" w:right="1418" w:bottom="1701" w:left="1701" w:header="1701" w:footer="0" w:gutter="0"/>
          <w:cols w:num="2" w:space="708"/>
          <w:formProt w:val="0"/>
          <w:titlePg/>
          <w:docGrid w:linePitch="360"/>
        </w:sectPr>
      </w:pPr>
      <m:oMath>
        <m:r>
          <w:rPr>
            <w:rFonts w:ascii="Cambria Math" w:eastAsia="SimSun" w:hAnsi="Cambria Math"/>
          </w:rPr>
          <m:t>γ</m:t>
        </m:r>
      </m:oMath>
      <w:r w:rsidRPr="00A62546">
        <w:rPr>
          <w:rFonts w:eastAsia="SimSun"/>
        </w:rPr>
        <w:t xml:space="preserve"> </w:t>
      </w:r>
      <w:r w:rsidRPr="00A62546">
        <w:rPr>
          <w:rFonts w:eastAsia="SimSun"/>
          <w:iCs/>
        </w:rPr>
        <w:t xml:space="preserve">– for </w:t>
      </w:r>
      <w:r w:rsidR="00BE1F84" w:rsidRPr="00A62546">
        <w:rPr>
          <w:rFonts w:eastAsia="SimSun"/>
          <w:iCs/>
        </w:rPr>
        <w:t>continuous</w:t>
      </w:r>
      <w:r w:rsidRPr="00A62546">
        <w:rPr>
          <w:rFonts w:eastAsia="SimSun"/>
          <w:iCs/>
        </w:rPr>
        <w:t xml:space="preserve"> phase</w:t>
      </w:r>
      <w:r w:rsidR="00BE1F84" w:rsidRPr="00A62546">
        <w:rPr>
          <w:rFonts w:eastAsia="SimSun"/>
          <w:iCs/>
        </w:rPr>
        <w:t xml:space="preserve"> (solvent)</w:t>
      </w:r>
    </w:p>
    <w:p w14:paraId="4F1327F8" w14:textId="061895A1" w:rsidR="00600535" w:rsidRPr="00A62546" w:rsidRDefault="00600535" w:rsidP="00600535">
      <w:pPr>
        <w:pStyle w:val="CETReference"/>
        <w:rPr>
          <w:lang w:val="en-US"/>
        </w:rPr>
      </w:pPr>
      <w:r w:rsidRPr="00A62546">
        <w:rPr>
          <w:lang w:val="en-US"/>
        </w:rPr>
        <w:t>References</w:t>
      </w:r>
    </w:p>
    <w:p w14:paraId="52F62848" w14:textId="28800730" w:rsidR="002D31A4" w:rsidRPr="002D31A4" w:rsidRDefault="00AF7139" w:rsidP="002D31A4">
      <w:pPr>
        <w:widowControl w:val="0"/>
        <w:autoSpaceDE w:val="0"/>
        <w:autoSpaceDN w:val="0"/>
        <w:adjustRightInd w:val="0"/>
        <w:spacing w:line="240" w:lineRule="auto"/>
        <w:ind w:left="480" w:hanging="480"/>
        <w:rPr>
          <w:rFonts w:cs="Arial"/>
          <w:noProof/>
          <w:szCs w:val="24"/>
        </w:rPr>
      </w:pPr>
      <w:r w:rsidRPr="00A62546">
        <w:rPr>
          <w:lang w:val="en-US"/>
        </w:rPr>
        <w:fldChar w:fldCharType="begin" w:fldLock="1"/>
      </w:r>
      <w:r w:rsidRPr="00A62546">
        <w:rPr>
          <w:lang w:val="en-US"/>
        </w:rPr>
        <w:instrText xml:space="preserve">ADDIN Mendeley Bibliography CSL_BIBLIOGRAPHY </w:instrText>
      </w:r>
      <w:r w:rsidRPr="00A62546">
        <w:rPr>
          <w:lang w:val="en-US"/>
        </w:rPr>
        <w:fldChar w:fldCharType="separate"/>
      </w:r>
      <w:r w:rsidR="002D31A4" w:rsidRPr="002D31A4">
        <w:rPr>
          <w:rFonts w:cs="Arial"/>
          <w:noProof/>
          <w:szCs w:val="24"/>
        </w:rPr>
        <w:t xml:space="preserve">Adeyi, O., Okolo, B. I., Oke, E. O., Adeyi, A. J., Otolorin, J. A., Olalere, O. A., Taiwo, A. E., Okhale, S., Gbadamosi, B., Onu, P. N., Aremu, O. S., &amp; Qwebani-Ogunleye, T. (2022). Preliminary techno-economic assessment and uncertainty analysis of scaled-up integrated process for bioactive extracts production from Senna alata (L.) leaves. </w:t>
      </w:r>
      <w:r w:rsidR="002D31A4" w:rsidRPr="002D31A4">
        <w:rPr>
          <w:rFonts w:cs="Arial"/>
          <w:i/>
          <w:iCs/>
          <w:noProof/>
          <w:szCs w:val="24"/>
        </w:rPr>
        <w:t>South African Journal of Chemical Engineering</w:t>
      </w:r>
      <w:r w:rsidR="002D31A4" w:rsidRPr="002D31A4">
        <w:rPr>
          <w:rFonts w:cs="Arial"/>
          <w:noProof/>
          <w:szCs w:val="24"/>
        </w:rPr>
        <w:t xml:space="preserve">, </w:t>
      </w:r>
      <w:r w:rsidR="002D31A4" w:rsidRPr="002D31A4">
        <w:rPr>
          <w:rFonts w:cs="Arial"/>
          <w:i/>
          <w:iCs/>
          <w:noProof/>
          <w:szCs w:val="24"/>
        </w:rPr>
        <w:t>42</w:t>
      </w:r>
      <w:r w:rsidR="002D31A4" w:rsidRPr="002D31A4">
        <w:rPr>
          <w:rFonts w:cs="Arial"/>
          <w:noProof/>
          <w:szCs w:val="24"/>
        </w:rPr>
        <w:t>, 72–90. https://doi.org/https://doi.org/10.1016/j.sajce.2022.07.007</w:t>
      </w:r>
    </w:p>
    <w:p w14:paraId="48744120" w14:textId="77777777" w:rsidR="002D31A4" w:rsidRPr="002D31A4" w:rsidRDefault="002D31A4" w:rsidP="002D31A4">
      <w:pPr>
        <w:widowControl w:val="0"/>
        <w:autoSpaceDE w:val="0"/>
        <w:autoSpaceDN w:val="0"/>
        <w:adjustRightInd w:val="0"/>
        <w:spacing w:line="240" w:lineRule="auto"/>
        <w:ind w:left="480" w:hanging="480"/>
        <w:rPr>
          <w:rFonts w:cs="Arial"/>
          <w:noProof/>
          <w:szCs w:val="24"/>
        </w:rPr>
      </w:pPr>
      <w:r w:rsidRPr="002D31A4">
        <w:rPr>
          <w:rFonts w:cs="Arial"/>
          <w:noProof/>
          <w:szCs w:val="24"/>
        </w:rPr>
        <w:t xml:space="preserve">Beal, L. D. R., Hill, D. C., Martin, R. A., &amp; Hedengren, J. D. (2018). GEKKO Optimization Suite. </w:t>
      </w:r>
      <w:r w:rsidRPr="002D31A4">
        <w:rPr>
          <w:rFonts w:cs="Arial"/>
          <w:i/>
          <w:iCs/>
          <w:noProof/>
          <w:szCs w:val="24"/>
        </w:rPr>
        <w:t>Processes</w:t>
      </w:r>
      <w:r w:rsidRPr="002D31A4">
        <w:rPr>
          <w:rFonts w:cs="Arial"/>
          <w:noProof/>
          <w:szCs w:val="24"/>
        </w:rPr>
        <w:t xml:space="preserve">, </w:t>
      </w:r>
      <w:r w:rsidRPr="002D31A4">
        <w:rPr>
          <w:rFonts w:cs="Arial"/>
          <w:i/>
          <w:iCs/>
          <w:noProof/>
          <w:szCs w:val="24"/>
        </w:rPr>
        <w:t>6</w:t>
      </w:r>
      <w:r w:rsidRPr="002D31A4">
        <w:rPr>
          <w:rFonts w:cs="Arial"/>
          <w:noProof/>
          <w:szCs w:val="24"/>
        </w:rPr>
        <w:t>(8). https://doi.org/10.3390/pr6080106</w:t>
      </w:r>
    </w:p>
    <w:p w14:paraId="2EF342D7" w14:textId="77777777" w:rsidR="002D31A4" w:rsidRPr="002D31A4" w:rsidRDefault="002D31A4" w:rsidP="002D31A4">
      <w:pPr>
        <w:widowControl w:val="0"/>
        <w:autoSpaceDE w:val="0"/>
        <w:autoSpaceDN w:val="0"/>
        <w:adjustRightInd w:val="0"/>
        <w:spacing w:line="240" w:lineRule="auto"/>
        <w:ind w:left="480" w:hanging="480"/>
        <w:rPr>
          <w:rFonts w:cs="Arial"/>
          <w:noProof/>
          <w:szCs w:val="24"/>
        </w:rPr>
      </w:pPr>
      <w:r w:rsidRPr="002D31A4">
        <w:rPr>
          <w:rFonts w:cs="Arial"/>
          <w:noProof/>
          <w:szCs w:val="24"/>
        </w:rPr>
        <w:t xml:space="preserve">Caroço, R. F., Kim, B., Santacoloma, P. A., Abildskov, J., Lee, J. H., &amp; Huusom, J. K. (2019). Analysis and model-based optimization of a pectin extraction process. </w:t>
      </w:r>
      <w:r w:rsidRPr="002D31A4">
        <w:rPr>
          <w:rFonts w:cs="Arial"/>
          <w:i/>
          <w:iCs/>
          <w:noProof/>
          <w:szCs w:val="24"/>
        </w:rPr>
        <w:t>Journal of Food Engineering</w:t>
      </w:r>
      <w:r w:rsidRPr="002D31A4">
        <w:rPr>
          <w:rFonts w:cs="Arial"/>
          <w:noProof/>
          <w:szCs w:val="24"/>
        </w:rPr>
        <w:t xml:space="preserve">, </w:t>
      </w:r>
      <w:r w:rsidRPr="002D31A4">
        <w:rPr>
          <w:rFonts w:cs="Arial"/>
          <w:i/>
          <w:iCs/>
          <w:noProof/>
          <w:szCs w:val="24"/>
        </w:rPr>
        <w:t>244</w:t>
      </w:r>
      <w:r w:rsidRPr="002D31A4">
        <w:rPr>
          <w:rFonts w:cs="Arial"/>
          <w:noProof/>
          <w:szCs w:val="24"/>
        </w:rPr>
        <w:t>, 159–169. https://doi.org/10.1016/j.jfoodeng.2018.09.016</w:t>
      </w:r>
    </w:p>
    <w:p w14:paraId="45580041" w14:textId="77777777" w:rsidR="002D31A4" w:rsidRPr="002D31A4" w:rsidRDefault="002D31A4" w:rsidP="002D31A4">
      <w:pPr>
        <w:widowControl w:val="0"/>
        <w:autoSpaceDE w:val="0"/>
        <w:autoSpaceDN w:val="0"/>
        <w:adjustRightInd w:val="0"/>
        <w:spacing w:line="240" w:lineRule="auto"/>
        <w:ind w:left="480" w:hanging="480"/>
        <w:rPr>
          <w:rFonts w:cs="Arial"/>
          <w:noProof/>
          <w:szCs w:val="24"/>
        </w:rPr>
      </w:pPr>
      <w:r w:rsidRPr="002D31A4">
        <w:rPr>
          <w:rFonts w:cs="Arial"/>
          <w:noProof/>
          <w:szCs w:val="24"/>
        </w:rPr>
        <w:t xml:space="preserve">Casa, M., &amp; Miccio, M. (2022). Lycopene-containing Tablets Production from Tomato Peels by Environment-friendly Extraction: Simulation and Discussion. </w:t>
      </w:r>
      <w:r w:rsidRPr="002D31A4">
        <w:rPr>
          <w:rFonts w:cs="Arial"/>
          <w:i/>
          <w:iCs/>
          <w:noProof/>
          <w:szCs w:val="24"/>
        </w:rPr>
        <w:t>Chemical Engineering Transactions</w:t>
      </w:r>
      <w:r w:rsidRPr="002D31A4">
        <w:rPr>
          <w:rFonts w:cs="Arial"/>
          <w:noProof/>
          <w:szCs w:val="24"/>
        </w:rPr>
        <w:t xml:space="preserve">, </w:t>
      </w:r>
      <w:r w:rsidRPr="002D31A4">
        <w:rPr>
          <w:rFonts w:cs="Arial"/>
          <w:i/>
          <w:iCs/>
          <w:noProof/>
          <w:szCs w:val="24"/>
        </w:rPr>
        <w:t>92</w:t>
      </w:r>
      <w:r w:rsidRPr="002D31A4">
        <w:rPr>
          <w:rFonts w:cs="Arial"/>
          <w:noProof/>
          <w:szCs w:val="24"/>
        </w:rPr>
        <w:t>, 583-588 SE-Research Articles. https://doi.org/10.3303/CET2292098</w:t>
      </w:r>
    </w:p>
    <w:p w14:paraId="5C0EA8C2" w14:textId="77777777" w:rsidR="002D31A4" w:rsidRPr="009D6532" w:rsidRDefault="002D31A4" w:rsidP="002D31A4">
      <w:pPr>
        <w:widowControl w:val="0"/>
        <w:autoSpaceDE w:val="0"/>
        <w:autoSpaceDN w:val="0"/>
        <w:adjustRightInd w:val="0"/>
        <w:spacing w:line="240" w:lineRule="auto"/>
        <w:ind w:left="480" w:hanging="480"/>
        <w:rPr>
          <w:rFonts w:cs="Arial"/>
          <w:noProof/>
          <w:szCs w:val="24"/>
          <w:lang w:val="es-EC"/>
        </w:rPr>
      </w:pPr>
      <w:r w:rsidRPr="002D31A4">
        <w:rPr>
          <w:rFonts w:cs="Arial"/>
          <w:noProof/>
          <w:szCs w:val="24"/>
        </w:rPr>
        <w:t xml:space="preserve">Cerón-Montes, G. I., Garulo-Fuentes, A. L., Valencia-Pérez, N. S., Garrido-Hernández, A., &amp; Yáñez-Fernández, J. (2021). </w:t>
      </w:r>
      <w:r w:rsidRPr="009D6532">
        <w:rPr>
          <w:rFonts w:cs="Arial"/>
          <w:noProof/>
          <w:szCs w:val="24"/>
          <w:lang w:val="es-EC"/>
        </w:rPr>
        <w:t xml:space="preserve">Modelación de la extracción de polifenoles de semillas de uva. </w:t>
      </w:r>
      <w:r w:rsidRPr="009D6532">
        <w:rPr>
          <w:rFonts w:cs="Arial"/>
          <w:i/>
          <w:iCs/>
          <w:noProof/>
          <w:szCs w:val="24"/>
          <w:lang w:val="es-EC"/>
        </w:rPr>
        <w:t>Pädi Boletín Científico de Ciencias Básicas e Ingenierías Del ICBI</w:t>
      </w:r>
      <w:r w:rsidRPr="009D6532">
        <w:rPr>
          <w:rFonts w:cs="Arial"/>
          <w:noProof/>
          <w:szCs w:val="24"/>
          <w:lang w:val="es-EC"/>
        </w:rPr>
        <w:t xml:space="preserve">, </w:t>
      </w:r>
      <w:r w:rsidRPr="009D6532">
        <w:rPr>
          <w:rFonts w:cs="Arial"/>
          <w:i/>
          <w:iCs/>
          <w:noProof/>
          <w:szCs w:val="24"/>
          <w:lang w:val="es-EC"/>
        </w:rPr>
        <w:t>9</w:t>
      </w:r>
      <w:r w:rsidRPr="009D6532">
        <w:rPr>
          <w:rFonts w:cs="Arial"/>
          <w:noProof/>
          <w:szCs w:val="24"/>
          <w:lang w:val="es-EC"/>
        </w:rPr>
        <w:t>(Especial2), 179–186. https://doi.org/10.29057/icbi.v9iEspecial2.8041</w:t>
      </w:r>
    </w:p>
    <w:p w14:paraId="396D10F0" w14:textId="36FF7BAC" w:rsidR="002D31A4" w:rsidRPr="002D31A4" w:rsidRDefault="002D31A4" w:rsidP="002D31A4">
      <w:pPr>
        <w:widowControl w:val="0"/>
        <w:autoSpaceDE w:val="0"/>
        <w:autoSpaceDN w:val="0"/>
        <w:adjustRightInd w:val="0"/>
        <w:spacing w:line="240" w:lineRule="auto"/>
        <w:ind w:left="480" w:hanging="480"/>
        <w:rPr>
          <w:rFonts w:cs="Arial"/>
          <w:noProof/>
          <w:szCs w:val="24"/>
        </w:rPr>
      </w:pPr>
      <w:r w:rsidRPr="009D6532">
        <w:rPr>
          <w:rFonts w:cs="Arial"/>
          <w:noProof/>
          <w:szCs w:val="24"/>
          <w:lang w:val="es-EC"/>
        </w:rPr>
        <w:t xml:space="preserve">Espinoza-Pérez, J. D., Vargas, A., Robles-Olvera, V. J., Rodrı´guez-Jimenes, G. C., &amp; Garcı´a-Alvarado, M. A. (2007). </w:t>
      </w:r>
      <w:r w:rsidRPr="002D31A4">
        <w:rPr>
          <w:rFonts w:cs="Arial"/>
          <w:noProof/>
          <w:szCs w:val="24"/>
        </w:rPr>
        <w:t xml:space="preserve">Mathematical modeling of caffeine kinetic during </w:t>
      </w:r>
      <w:r w:rsidR="00A00DE8">
        <w:rPr>
          <w:rFonts w:cs="Arial"/>
          <w:noProof/>
          <w:szCs w:val="24"/>
        </w:rPr>
        <w:t>solid–liquid</w:t>
      </w:r>
      <w:r w:rsidRPr="002D31A4">
        <w:rPr>
          <w:rFonts w:cs="Arial"/>
          <w:noProof/>
          <w:szCs w:val="24"/>
        </w:rPr>
        <w:t xml:space="preserve"> extraction of coffee beans. </w:t>
      </w:r>
      <w:r w:rsidRPr="002D31A4">
        <w:rPr>
          <w:rFonts w:cs="Arial"/>
          <w:i/>
          <w:iCs/>
          <w:noProof/>
          <w:szCs w:val="24"/>
        </w:rPr>
        <w:t>Journal of Food Engineering</w:t>
      </w:r>
      <w:r w:rsidRPr="002D31A4">
        <w:rPr>
          <w:rFonts w:cs="Arial"/>
          <w:noProof/>
          <w:szCs w:val="24"/>
        </w:rPr>
        <w:t xml:space="preserve">, </w:t>
      </w:r>
      <w:r w:rsidRPr="002D31A4">
        <w:rPr>
          <w:rFonts w:cs="Arial"/>
          <w:i/>
          <w:iCs/>
          <w:noProof/>
          <w:szCs w:val="24"/>
        </w:rPr>
        <w:t>81</w:t>
      </w:r>
      <w:r w:rsidRPr="002D31A4">
        <w:rPr>
          <w:rFonts w:cs="Arial"/>
          <w:noProof/>
          <w:szCs w:val="24"/>
        </w:rPr>
        <w:t>(1), 72–78. https://doi.org/https://doi.org/10.1016/j.jfoodeng.2006.10.011</w:t>
      </w:r>
    </w:p>
    <w:p w14:paraId="282FA7B2" w14:textId="77777777" w:rsidR="002D31A4" w:rsidRPr="002D31A4" w:rsidRDefault="002D31A4" w:rsidP="002D31A4">
      <w:pPr>
        <w:widowControl w:val="0"/>
        <w:autoSpaceDE w:val="0"/>
        <w:autoSpaceDN w:val="0"/>
        <w:adjustRightInd w:val="0"/>
        <w:spacing w:line="240" w:lineRule="auto"/>
        <w:ind w:left="480" w:hanging="480"/>
        <w:rPr>
          <w:rFonts w:cs="Arial"/>
          <w:noProof/>
          <w:szCs w:val="24"/>
        </w:rPr>
      </w:pPr>
      <w:r w:rsidRPr="009D6532">
        <w:rPr>
          <w:rFonts w:cs="Arial"/>
          <w:noProof/>
          <w:szCs w:val="24"/>
          <w:lang w:val="es-EC"/>
        </w:rPr>
        <w:t xml:space="preserve">Espinoza-Vasquez, A. P., Galatro, D., Manzano, P., Choez-Guaranda, I., Cevallos, J. M., Salas, S. D., &amp; Gonzalez, Y. (2023). </w:t>
      </w:r>
      <w:r w:rsidRPr="002D31A4">
        <w:rPr>
          <w:rFonts w:cs="Arial"/>
          <w:noProof/>
          <w:szCs w:val="24"/>
        </w:rPr>
        <w:t xml:space="preserve">Tray dryer design under feed uncertainty: A case study on a nutraceutical beverage. </w:t>
      </w:r>
      <w:r w:rsidRPr="002D31A4">
        <w:rPr>
          <w:rFonts w:cs="Arial"/>
          <w:i/>
          <w:iCs/>
          <w:noProof/>
          <w:szCs w:val="24"/>
        </w:rPr>
        <w:t>Journal of Food Engineering</w:t>
      </w:r>
      <w:r w:rsidRPr="002D31A4">
        <w:rPr>
          <w:rFonts w:cs="Arial"/>
          <w:noProof/>
          <w:szCs w:val="24"/>
        </w:rPr>
        <w:t xml:space="preserve">, </w:t>
      </w:r>
      <w:r w:rsidRPr="002D31A4">
        <w:rPr>
          <w:rFonts w:cs="Arial"/>
          <w:i/>
          <w:iCs/>
          <w:noProof/>
          <w:szCs w:val="24"/>
        </w:rPr>
        <w:t>341</w:t>
      </w:r>
      <w:r w:rsidRPr="002D31A4">
        <w:rPr>
          <w:rFonts w:cs="Arial"/>
          <w:noProof/>
          <w:szCs w:val="24"/>
        </w:rPr>
        <w:t>, 111341. https://doi.org/https://doi.org/10.1016/j.jfoodeng.2022.111341</w:t>
      </w:r>
    </w:p>
    <w:p w14:paraId="47412FB4" w14:textId="77777777" w:rsidR="002D31A4" w:rsidRPr="009D6532" w:rsidRDefault="002D31A4" w:rsidP="002D31A4">
      <w:pPr>
        <w:widowControl w:val="0"/>
        <w:autoSpaceDE w:val="0"/>
        <w:autoSpaceDN w:val="0"/>
        <w:adjustRightInd w:val="0"/>
        <w:spacing w:line="240" w:lineRule="auto"/>
        <w:ind w:left="480" w:hanging="480"/>
        <w:rPr>
          <w:rFonts w:cs="Arial"/>
          <w:noProof/>
          <w:szCs w:val="24"/>
          <w:lang w:val="es-EC"/>
        </w:rPr>
      </w:pPr>
      <w:r w:rsidRPr="009D6532">
        <w:rPr>
          <w:rFonts w:cs="Arial"/>
          <w:noProof/>
          <w:szCs w:val="24"/>
          <w:lang w:val="es-EC"/>
        </w:rPr>
        <w:t xml:space="preserve">Paladines-Santacruz, G., Orellana-Manzano, A., Sarmiento, G., Pilozo, G., Iñiga, E., Zaruma-Torres, F., Ortíz-Ulloa, J., Quijano-Avilés, M., Di Grumo, D., Orellana-Manzano, S., Villacrés, M. del C., Manzano, P., &amp; Vanden Berghe, W. (2021). </w:t>
      </w:r>
      <w:r w:rsidRPr="002D31A4">
        <w:rPr>
          <w:rFonts w:cs="Arial"/>
          <w:noProof/>
          <w:szCs w:val="24"/>
        </w:rPr>
        <w:t xml:space="preserve">Acute oral toxicity of a novel functional drink based on Ilex guayusa, Vernonanthura patens, and cocoa husk. </w:t>
      </w:r>
      <w:r w:rsidRPr="009D6532">
        <w:rPr>
          <w:rFonts w:cs="Arial"/>
          <w:i/>
          <w:iCs/>
          <w:noProof/>
          <w:szCs w:val="24"/>
          <w:lang w:val="es-EC"/>
        </w:rPr>
        <w:t>Toxicology Reports</w:t>
      </w:r>
      <w:r w:rsidRPr="009D6532">
        <w:rPr>
          <w:rFonts w:cs="Arial"/>
          <w:noProof/>
          <w:szCs w:val="24"/>
          <w:lang w:val="es-EC"/>
        </w:rPr>
        <w:t xml:space="preserve">, </w:t>
      </w:r>
      <w:r w:rsidRPr="009D6532">
        <w:rPr>
          <w:rFonts w:cs="Arial"/>
          <w:i/>
          <w:iCs/>
          <w:noProof/>
          <w:szCs w:val="24"/>
          <w:lang w:val="es-EC"/>
        </w:rPr>
        <w:t>8</w:t>
      </w:r>
      <w:r w:rsidRPr="009D6532">
        <w:rPr>
          <w:rFonts w:cs="Arial"/>
          <w:noProof/>
          <w:szCs w:val="24"/>
          <w:lang w:val="es-EC"/>
        </w:rPr>
        <w:t>, 747–752.</w:t>
      </w:r>
    </w:p>
    <w:p w14:paraId="2ACFF6A4" w14:textId="77777777" w:rsidR="002D31A4" w:rsidRPr="009D6532" w:rsidRDefault="002D31A4" w:rsidP="002D31A4">
      <w:pPr>
        <w:widowControl w:val="0"/>
        <w:autoSpaceDE w:val="0"/>
        <w:autoSpaceDN w:val="0"/>
        <w:adjustRightInd w:val="0"/>
        <w:spacing w:line="240" w:lineRule="auto"/>
        <w:ind w:left="480" w:hanging="480"/>
        <w:rPr>
          <w:rFonts w:cs="Arial"/>
          <w:noProof/>
          <w:szCs w:val="24"/>
          <w:lang w:val="es-EC"/>
        </w:rPr>
      </w:pPr>
      <w:r w:rsidRPr="009D6532">
        <w:rPr>
          <w:rFonts w:cs="Arial"/>
          <w:noProof/>
          <w:szCs w:val="24"/>
          <w:lang w:val="es-EC"/>
        </w:rPr>
        <w:t xml:space="preserve">Patiño, O., &amp; Prado, G. (2022). </w:t>
      </w:r>
      <w:r w:rsidRPr="009D6532">
        <w:rPr>
          <w:rFonts w:cs="Arial"/>
          <w:i/>
          <w:iCs/>
          <w:noProof/>
          <w:szCs w:val="24"/>
          <w:lang w:val="es-EC"/>
        </w:rPr>
        <w:t xml:space="preserve">Determinación de parámetros experimentales para un modelo de extracción sólido-líquido de una bebida nutracéutica. </w:t>
      </w:r>
      <w:r w:rsidRPr="002D31A4">
        <w:rPr>
          <w:rFonts w:cs="Arial"/>
          <w:i/>
          <w:iCs/>
          <w:noProof/>
          <w:szCs w:val="24"/>
        </w:rPr>
        <w:t>[Determination of experimental parameters for a solid-liquid extraction model of a nutraceutical beverage.]</w:t>
      </w:r>
      <w:r w:rsidRPr="002D31A4">
        <w:rPr>
          <w:rFonts w:cs="Arial"/>
          <w:noProof/>
          <w:szCs w:val="24"/>
        </w:rPr>
        <w:t xml:space="preserve"> </w:t>
      </w:r>
      <w:r w:rsidRPr="009D6532">
        <w:rPr>
          <w:rFonts w:cs="Arial"/>
          <w:noProof/>
          <w:szCs w:val="24"/>
          <w:lang w:val="es-EC"/>
        </w:rPr>
        <w:t>[ESCUELA SUPERIOR POLITÉCNICA DEL LITORAL Facultad]. http://www.dspace.espol.edu.ec/handle/123456789/56670</w:t>
      </w:r>
    </w:p>
    <w:p w14:paraId="0735BAC9" w14:textId="77777777" w:rsidR="002D31A4" w:rsidRPr="002D31A4" w:rsidRDefault="002D31A4" w:rsidP="002D31A4">
      <w:pPr>
        <w:widowControl w:val="0"/>
        <w:autoSpaceDE w:val="0"/>
        <w:autoSpaceDN w:val="0"/>
        <w:adjustRightInd w:val="0"/>
        <w:spacing w:line="240" w:lineRule="auto"/>
        <w:ind w:left="480" w:hanging="480"/>
        <w:rPr>
          <w:rFonts w:cs="Arial"/>
          <w:noProof/>
          <w:szCs w:val="24"/>
        </w:rPr>
      </w:pPr>
      <w:r w:rsidRPr="002D31A4">
        <w:rPr>
          <w:rFonts w:cs="Arial"/>
          <w:noProof/>
          <w:szCs w:val="24"/>
        </w:rPr>
        <w:t xml:space="preserve">Pedregosa, F., Varoquaux, G., Gramfort, A., Michel, V., Thirion, B., Grisel, O., Blondel, M., Prettenhofer, P., Weiss, R., Dubourg, V., Vanderplas, J., Passos, A., Cournapeau, D., Brucher, M., Perrot, M., &amp; Duchesnay, É. (2011). Scikit-learn: Machine Learning in Python. </w:t>
      </w:r>
      <w:r w:rsidRPr="002D31A4">
        <w:rPr>
          <w:rFonts w:cs="Arial"/>
          <w:i/>
          <w:iCs/>
          <w:noProof/>
          <w:szCs w:val="24"/>
        </w:rPr>
        <w:t>Journal of Machine Learning Research</w:t>
      </w:r>
      <w:r w:rsidRPr="002D31A4">
        <w:rPr>
          <w:rFonts w:cs="Arial"/>
          <w:noProof/>
          <w:szCs w:val="24"/>
        </w:rPr>
        <w:t xml:space="preserve">, </w:t>
      </w:r>
      <w:r w:rsidRPr="002D31A4">
        <w:rPr>
          <w:rFonts w:cs="Arial"/>
          <w:i/>
          <w:iCs/>
          <w:noProof/>
          <w:szCs w:val="24"/>
        </w:rPr>
        <w:t>12</w:t>
      </w:r>
      <w:r w:rsidRPr="002D31A4">
        <w:rPr>
          <w:rFonts w:cs="Arial"/>
          <w:noProof/>
          <w:szCs w:val="24"/>
        </w:rPr>
        <w:t>(85), 2825–2830. http://jmlr.org/papers/v12/pedregosa11a.html</w:t>
      </w:r>
    </w:p>
    <w:p w14:paraId="334B7641" w14:textId="77777777" w:rsidR="002D31A4" w:rsidRPr="002D31A4" w:rsidRDefault="002D31A4" w:rsidP="002D31A4">
      <w:pPr>
        <w:widowControl w:val="0"/>
        <w:autoSpaceDE w:val="0"/>
        <w:autoSpaceDN w:val="0"/>
        <w:adjustRightInd w:val="0"/>
        <w:spacing w:line="240" w:lineRule="auto"/>
        <w:ind w:left="480" w:hanging="480"/>
        <w:rPr>
          <w:rFonts w:cs="Arial"/>
          <w:noProof/>
          <w:szCs w:val="24"/>
        </w:rPr>
      </w:pPr>
      <w:r w:rsidRPr="009D6532">
        <w:rPr>
          <w:rFonts w:cs="Arial"/>
          <w:noProof/>
          <w:szCs w:val="24"/>
          <w:lang w:val="es-EC"/>
        </w:rPr>
        <w:t xml:space="preserve">Pettinato, M., Drago, E., Campardelli, R., &amp; Perego, P. (2021). </w:t>
      </w:r>
      <w:r w:rsidRPr="002D31A4">
        <w:rPr>
          <w:rFonts w:cs="Arial"/>
          <w:noProof/>
          <w:szCs w:val="24"/>
        </w:rPr>
        <w:t xml:space="preserve">Spent Coffee Grounds Extract for Active Packaging Production. </w:t>
      </w:r>
      <w:r w:rsidRPr="002D31A4">
        <w:rPr>
          <w:rFonts w:cs="Arial"/>
          <w:i/>
          <w:iCs/>
          <w:noProof/>
          <w:szCs w:val="24"/>
        </w:rPr>
        <w:t>Chemical Engineering Transactions</w:t>
      </w:r>
      <w:r w:rsidRPr="002D31A4">
        <w:rPr>
          <w:rFonts w:cs="Arial"/>
          <w:noProof/>
          <w:szCs w:val="24"/>
        </w:rPr>
        <w:t xml:space="preserve">, </w:t>
      </w:r>
      <w:r w:rsidRPr="002D31A4">
        <w:rPr>
          <w:rFonts w:cs="Arial"/>
          <w:i/>
          <w:iCs/>
          <w:noProof/>
          <w:szCs w:val="24"/>
        </w:rPr>
        <w:t>87</w:t>
      </w:r>
      <w:r w:rsidRPr="002D31A4">
        <w:rPr>
          <w:rFonts w:cs="Arial"/>
          <w:noProof/>
          <w:szCs w:val="24"/>
        </w:rPr>
        <w:t>, 583-588 SE-Research Articles. https://doi.org/10.3303/CET2187098</w:t>
      </w:r>
    </w:p>
    <w:p w14:paraId="71046F28" w14:textId="77777777" w:rsidR="002D31A4" w:rsidRPr="009D6532" w:rsidRDefault="002D31A4" w:rsidP="002D31A4">
      <w:pPr>
        <w:widowControl w:val="0"/>
        <w:autoSpaceDE w:val="0"/>
        <w:autoSpaceDN w:val="0"/>
        <w:adjustRightInd w:val="0"/>
        <w:spacing w:line="240" w:lineRule="auto"/>
        <w:ind w:left="480" w:hanging="480"/>
        <w:rPr>
          <w:rFonts w:cs="Arial"/>
          <w:noProof/>
          <w:szCs w:val="24"/>
          <w:lang w:val="es-EC"/>
        </w:rPr>
      </w:pPr>
      <w:r w:rsidRPr="002D31A4">
        <w:rPr>
          <w:rFonts w:cs="Arial"/>
          <w:noProof/>
          <w:szCs w:val="24"/>
        </w:rPr>
        <w:t xml:space="preserve">Quijano-Avilés, M., Chóez-Guaranda, I., Viteri, R., Barragán-Lucas, A., Sosa, D., &amp; Manzano, P. (2021). Effect of Cocoa Bean Shell Addition on Metabolite Profile and Antioxidant Activity of Herbal Infusions. </w:t>
      </w:r>
      <w:r w:rsidRPr="009D6532">
        <w:rPr>
          <w:rFonts w:cs="Arial"/>
          <w:i/>
          <w:iCs/>
          <w:noProof/>
          <w:szCs w:val="24"/>
          <w:lang w:val="es-EC"/>
        </w:rPr>
        <w:t>International Journal of Food Science</w:t>
      </w:r>
      <w:r w:rsidRPr="009D6532">
        <w:rPr>
          <w:rFonts w:cs="Arial"/>
          <w:noProof/>
          <w:szCs w:val="24"/>
          <w:lang w:val="es-EC"/>
        </w:rPr>
        <w:t xml:space="preserve">, </w:t>
      </w:r>
      <w:r w:rsidRPr="009D6532">
        <w:rPr>
          <w:rFonts w:cs="Arial"/>
          <w:i/>
          <w:iCs/>
          <w:noProof/>
          <w:szCs w:val="24"/>
          <w:lang w:val="es-EC"/>
        </w:rPr>
        <w:t>9915797</w:t>
      </w:r>
      <w:r w:rsidRPr="009D6532">
        <w:rPr>
          <w:rFonts w:cs="Arial"/>
          <w:noProof/>
          <w:szCs w:val="24"/>
          <w:lang w:val="es-EC"/>
        </w:rPr>
        <w:t>.</w:t>
      </w:r>
    </w:p>
    <w:p w14:paraId="52293FAD" w14:textId="77777777" w:rsidR="002D31A4" w:rsidRPr="002D31A4" w:rsidRDefault="002D31A4" w:rsidP="002D31A4">
      <w:pPr>
        <w:widowControl w:val="0"/>
        <w:autoSpaceDE w:val="0"/>
        <w:autoSpaceDN w:val="0"/>
        <w:adjustRightInd w:val="0"/>
        <w:spacing w:line="240" w:lineRule="auto"/>
        <w:ind w:left="480" w:hanging="480"/>
        <w:rPr>
          <w:rFonts w:cs="Arial"/>
          <w:noProof/>
          <w:szCs w:val="24"/>
        </w:rPr>
      </w:pPr>
      <w:r w:rsidRPr="009D6532">
        <w:rPr>
          <w:rFonts w:cs="Arial"/>
          <w:noProof/>
          <w:szCs w:val="24"/>
          <w:lang w:val="es-EC"/>
        </w:rPr>
        <w:t xml:space="preserve">Rodríguez-Jimenes, G. C., Vargas-Garcia, A., Espinoza-Pérez, D. J., Salgado-Cervantes, M. A., Robles-Olvera, V. J., &amp; García-Alvarado, M. A. (2013). </w:t>
      </w:r>
      <w:r w:rsidRPr="002D31A4">
        <w:rPr>
          <w:rFonts w:cs="Arial"/>
          <w:noProof/>
          <w:szCs w:val="24"/>
        </w:rPr>
        <w:t xml:space="preserve">Mass Transfer During Vanilla Pods Solid Liquid Extraction: Effect of Extraction Method. </w:t>
      </w:r>
      <w:r w:rsidRPr="002D31A4">
        <w:rPr>
          <w:rFonts w:cs="Arial"/>
          <w:i/>
          <w:iCs/>
          <w:noProof/>
          <w:szCs w:val="24"/>
        </w:rPr>
        <w:t>Food and Bioprocess Technology</w:t>
      </w:r>
      <w:r w:rsidRPr="002D31A4">
        <w:rPr>
          <w:rFonts w:cs="Arial"/>
          <w:noProof/>
          <w:szCs w:val="24"/>
        </w:rPr>
        <w:t xml:space="preserve">, </w:t>
      </w:r>
      <w:r w:rsidRPr="002D31A4">
        <w:rPr>
          <w:rFonts w:cs="Arial"/>
          <w:i/>
          <w:iCs/>
          <w:noProof/>
          <w:szCs w:val="24"/>
        </w:rPr>
        <w:t>6</w:t>
      </w:r>
      <w:r w:rsidRPr="002D31A4">
        <w:rPr>
          <w:rFonts w:cs="Arial"/>
          <w:noProof/>
          <w:szCs w:val="24"/>
        </w:rPr>
        <w:t>(10), 2640–2650. https://doi.org/10.1007/s11947-012-0975-6</w:t>
      </w:r>
    </w:p>
    <w:p w14:paraId="137CAA4A" w14:textId="77777777" w:rsidR="002D31A4" w:rsidRPr="002D31A4" w:rsidRDefault="002D31A4" w:rsidP="002D31A4">
      <w:pPr>
        <w:widowControl w:val="0"/>
        <w:autoSpaceDE w:val="0"/>
        <w:autoSpaceDN w:val="0"/>
        <w:adjustRightInd w:val="0"/>
        <w:spacing w:line="240" w:lineRule="auto"/>
        <w:ind w:left="480" w:hanging="480"/>
        <w:rPr>
          <w:rFonts w:cs="Arial"/>
          <w:noProof/>
        </w:rPr>
      </w:pPr>
      <w:r w:rsidRPr="002D31A4">
        <w:rPr>
          <w:rFonts w:cs="Arial"/>
          <w:noProof/>
          <w:szCs w:val="24"/>
        </w:rPr>
        <w:t xml:space="preserve">Setford, P. C., Jeffery, D. W., Grbin, P. R., &amp; Muhlack, R. A. (2019). Mass Transfer of Anthocyanins during Extraction from Pre-Fermentative Grape Solids under Simulated Fermentation Conditions: Effect of Convective Conditions. </w:t>
      </w:r>
      <w:r w:rsidRPr="002D31A4">
        <w:rPr>
          <w:rFonts w:cs="Arial"/>
          <w:i/>
          <w:iCs/>
          <w:noProof/>
          <w:szCs w:val="24"/>
        </w:rPr>
        <w:t>Molecules</w:t>
      </w:r>
      <w:r w:rsidRPr="002D31A4">
        <w:rPr>
          <w:rFonts w:cs="Arial"/>
          <w:noProof/>
          <w:szCs w:val="24"/>
        </w:rPr>
        <w:t xml:space="preserve">, </w:t>
      </w:r>
      <w:r w:rsidRPr="002D31A4">
        <w:rPr>
          <w:rFonts w:cs="Arial"/>
          <w:i/>
          <w:iCs/>
          <w:noProof/>
          <w:szCs w:val="24"/>
        </w:rPr>
        <w:t>24</w:t>
      </w:r>
      <w:r w:rsidRPr="002D31A4">
        <w:rPr>
          <w:rFonts w:cs="Arial"/>
          <w:noProof/>
          <w:szCs w:val="24"/>
        </w:rPr>
        <w:t>(1). https://doi.org/10.3390/molecules24010073</w:t>
      </w:r>
    </w:p>
    <w:p w14:paraId="379677A1" w14:textId="2E891F35" w:rsidR="00427811" w:rsidRPr="00A62546" w:rsidRDefault="00AF7139" w:rsidP="006156FD">
      <w:pPr>
        <w:pStyle w:val="CETReferencetext"/>
        <w:rPr>
          <w:lang w:val="en-US"/>
        </w:rPr>
      </w:pPr>
      <w:r w:rsidRPr="00A62546">
        <w:rPr>
          <w:lang w:val="en-US"/>
        </w:rPr>
        <w:fldChar w:fldCharType="end"/>
      </w:r>
    </w:p>
    <w:p w14:paraId="1D7A1D19" w14:textId="70BB1BC6" w:rsidR="00427811" w:rsidRPr="00A62546" w:rsidRDefault="00427811" w:rsidP="00427811">
      <w:pPr>
        <w:pStyle w:val="CETBodytext"/>
      </w:pPr>
    </w:p>
    <w:sectPr w:rsidR="00427811" w:rsidRPr="00A6254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72020" w14:textId="77777777" w:rsidR="00E73AE9" w:rsidRDefault="00E73AE9" w:rsidP="004F5E36">
      <w:r>
        <w:separator/>
      </w:r>
    </w:p>
  </w:endnote>
  <w:endnote w:type="continuationSeparator" w:id="0">
    <w:p w14:paraId="0124E6A2" w14:textId="77777777" w:rsidR="00E73AE9" w:rsidRDefault="00E73AE9" w:rsidP="004F5E36">
      <w:r>
        <w:continuationSeparator/>
      </w:r>
    </w:p>
  </w:endnote>
  <w:endnote w:type="continuationNotice" w:id="1">
    <w:p w14:paraId="32C6CC0D" w14:textId="77777777" w:rsidR="00E73AE9" w:rsidRDefault="00E73A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dvEPSTIM">
    <w:altName w:val="Yu Gothic"/>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1A2C5" w14:textId="77777777" w:rsidR="00E73AE9" w:rsidRDefault="00E73AE9" w:rsidP="004F5E36">
      <w:r>
        <w:separator/>
      </w:r>
    </w:p>
  </w:footnote>
  <w:footnote w:type="continuationSeparator" w:id="0">
    <w:p w14:paraId="51833D9E" w14:textId="77777777" w:rsidR="00E73AE9" w:rsidRDefault="00E73AE9" w:rsidP="004F5E36">
      <w:r>
        <w:continuationSeparator/>
      </w:r>
    </w:p>
  </w:footnote>
  <w:footnote w:type="continuationNotice" w:id="1">
    <w:p w14:paraId="4A36C8CE" w14:textId="77777777" w:rsidR="00E73AE9" w:rsidRDefault="00E73AE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6016613"/>
    <w:multiLevelType w:val="multilevel"/>
    <w:tmpl w:val="C7E8881C"/>
    <w:styleLink w:val="CurrentList1"/>
    <w:lvl w:ilvl="0">
      <w:start w:val="1"/>
      <w:numFmt w:val="decimal"/>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142"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438217E"/>
    <w:multiLevelType w:val="multilevel"/>
    <w:tmpl w:val="3A4CC966"/>
    <w:lvl w:ilvl="0">
      <w:start w:val="1"/>
      <w:numFmt w:val="decimal"/>
      <w:lvlText w:val="%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2CD6995"/>
    <w:multiLevelType w:val="multilevel"/>
    <w:tmpl w:val="638E9500"/>
    <w:styleLink w:val="CurrentList2"/>
    <w:lvl w:ilvl="0">
      <w:start w:val="1"/>
      <w:numFmt w:val="decimal"/>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142"/>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3"/>
  </w:num>
  <w:num w:numId="14" w16cid:durableId="145903400">
    <w:abstractNumId w:val="20"/>
  </w:num>
  <w:num w:numId="15" w16cid:durableId="19162326">
    <w:abstractNumId w:val="22"/>
  </w:num>
  <w:num w:numId="16" w16cid:durableId="1977102699">
    <w:abstractNumId w:val="21"/>
  </w:num>
  <w:num w:numId="17" w16cid:durableId="860774865">
    <w:abstractNumId w:val="12"/>
  </w:num>
  <w:num w:numId="18" w16cid:durableId="313221457">
    <w:abstractNumId w:val="13"/>
    <w:lvlOverride w:ilvl="0">
      <w:startOverride w:val="1"/>
    </w:lvlOverride>
  </w:num>
  <w:num w:numId="19" w16cid:durableId="534971577">
    <w:abstractNumId w:val="18"/>
  </w:num>
  <w:num w:numId="20" w16cid:durableId="1150947773">
    <w:abstractNumId w:val="17"/>
  </w:num>
  <w:num w:numId="21" w16cid:durableId="124660497">
    <w:abstractNumId w:val="15"/>
  </w:num>
  <w:num w:numId="22" w16cid:durableId="2099861471">
    <w:abstractNumId w:val="14"/>
  </w:num>
  <w:num w:numId="23" w16cid:durableId="723715632">
    <w:abstractNumId w:val="10"/>
  </w:num>
  <w:num w:numId="24" w16cid:durableId="13162954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0C5"/>
    <w:rsid w:val="00002608"/>
    <w:rsid w:val="000027C0"/>
    <w:rsid w:val="00004C34"/>
    <w:rsid w:val="000052FB"/>
    <w:rsid w:val="000069BA"/>
    <w:rsid w:val="00006C79"/>
    <w:rsid w:val="00006E36"/>
    <w:rsid w:val="000117CB"/>
    <w:rsid w:val="0001284C"/>
    <w:rsid w:val="00016EC6"/>
    <w:rsid w:val="000234F1"/>
    <w:rsid w:val="00023C44"/>
    <w:rsid w:val="00027374"/>
    <w:rsid w:val="0003148D"/>
    <w:rsid w:val="000315E2"/>
    <w:rsid w:val="00031EEC"/>
    <w:rsid w:val="000368E8"/>
    <w:rsid w:val="00036B4C"/>
    <w:rsid w:val="00040F15"/>
    <w:rsid w:val="000431A0"/>
    <w:rsid w:val="00051566"/>
    <w:rsid w:val="000562A9"/>
    <w:rsid w:val="00056ADD"/>
    <w:rsid w:val="00062A9A"/>
    <w:rsid w:val="00062B17"/>
    <w:rsid w:val="000649A0"/>
    <w:rsid w:val="00065058"/>
    <w:rsid w:val="00065F64"/>
    <w:rsid w:val="0007038D"/>
    <w:rsid w:val="00073683"/>
    <w:rsid w:val="00073A9A"/>
    <w:rsid w:val="0007425B"/>
    <w:rsid w:val="0007588D"/>
    <w:rsid w:val="00076D7D"/>
    <w:rsid w:val="00080933"/>
    <w:rsid w:val="00083108"/>
    <w:rsid w:val="00086C39"/>
    <w:rsid w:val="00094427"/>
    <w:rsid w:val="000A03B2"/>
    <w:rsid w:val="000A1102"/>
    <w:rsid w:val="000A1141"/>
    <w:rsid w:val="000A68DF"/>
    <w:rsid w:val="000A6FD3"/>
    <w:rsid w:val="000B10DE"/>
    <w:rsid w:val="000B174D"/>
    <w:rsid w:val="000B4493"/>
    <w:rsid w:val="000B56B1"/>
    <w:rsid w:val="000D0268"/>
    <w:rsid w:val="000D02DA"/>
    <w:rsid w:val="000D0795"/>
    <w:rsid w:val="000D34BE"/>
    <w:rsid w:val="000D4AB1"/>
    <w:rsid w:val="000D5E05"/>
    <w:rsid w:val="000E102F"/>
    <w:rsid w:val="000E36F1"/>
    <w:rsid w:val="000E3A73"/>
    <w:rsid w:val="000E3B77"/>
    <w:rsid w:val="000E4065"/>
    <w:rsid w:val="000E414A"/>
    <w:rsid w:val="000E4E4E"/>
    <w:rsid w:val="000F01F7"/>
    <w:rsid w:val="000F093C"/>
    <w:rsid w:val="000F0EC1"/>
    <w:rsid w:val="000F2297"/>
    <w:rsid w:val="000F2573"/>
    <w:rsid w:val="000F2D2F"/>
    <w:rsid w:val="000F787B"/>
    <w:rsid w:val="001002C9"/>
    <w:rsid w:val="001054DB"/>
    <w:rsid w:val="0011197E"/>
    <w:rsid w:val="001148BD"/>
    <w:rsid w:val="001148D5"/>
    <w:rsid w:val="0011745F"/>
    <w:rsid w:val="00117C17"/>
    <w:rsid w:val="0012091F"/>
    <w:rsid w:val="00121D77"/>
    <w:rsid w:val="0012404B"/>
    <w:rsid w:val="00126BC2"/>
    <w:rsid w:val="0012774D"/>
    <w:rsid w:val="00127A55"/>
    <w:rsid w:val="001308B6"/>
    <w:rsid w:val="0013121F"/>
    <w:rsid w:val="00131FE6"/>
    <w:rsid w:val="0013263F"/>
    <w:rsid w:val="001331DF"/>
    <w:rsid w:val="00134DE4"/>
    <w:rsid w:val="001353A7"/>
    <w:rsid w:val="001402AC"/>
    <w:rsid w:val="0014034D"/>
    <w:rsid w:val="00144145"/>
    <w:rsid w:val="001445F5"/>
    <w:rsid w:val="00144D16"/>
    <w:rsid w:val="001467DB"/>
    <w:rsid w:val="00147EC5"/>
    <w:rsid w:val="00150E59"/>
    <w:rsid w:val="0015225B"/>
    <w:rsid w:val="00152DE3"/>
    <w:rsid w:val="00153654"/>
    <w:rsid w:val="001560FA"/>
    <w:rsid w:val="00156427"/>
    <w:rsid w:val="001571DB"/>
    <w:rsid w:val="00157B1B"/>
    <w:rsid w:val="00157E9E"/>
    <w:rsid w:val="0016094C"/>
    <w:rsid w:val="00162196"/>
    <w:rsid w:val="0016333D"/>
    <w:rsid w:val="001635EE"/>
    <w:rsid w:val="001636B6"/>
    <w:rsid w:val="00164CF9"/>
    <w:rsid w:val="00164F0F"/>
    <w:rsid w:val="00166205"/>
    <w:rsid w:val="001667A6"/>
    <w:rsid w:val="00167FC2"/>
    <w:rsid w:val="001756F3"/>
    <w:rsid w:val="00176E2D"/>
    <w:rsid w:val="001807BE"/>
    <w:rsid w:val="0018273F"/>
    <w:rsid w:val="00182C51"/>
    <w:rsid w:val="00184AD6"/>
    <w:rsid w:val="00186E2B"/>
    <w:rsid w:val="00191D89"/>
    <w:rsid w:val="001934CE"/>
    <w:rsid w:val="00196840"/>
    <w:rsid w:val="0019782F"/>
    <w:rsid w:val="001A2641"/>
    <w:rsid w:val="001A2B90"/>
    <w:rsid w:val="001A46FE"/>
    <w:rsid w:val="001A4AF7"/>
    <w:rsid w:val="001A774D"/>
    <w:rsid w:val="001A7BDC"/>
    <w:rsid w:val="001B0349"/>
    <w:rsid w:val="001B1E93"/>
    <w:rsid w:val="001B1F4E"/>
    <w:rsid w:val="001B65C1"/>
    <w:rsid w:val="001B6802"/>
    <w:rsid w:val="001C1D90"/>
    <w:rsid w:val="001C60FA"/>
    <w:rsid w:val="001C684B"/>
    <w:rsid w:val="001D0CFB"/>
    <w:rsid w:val="001D21AF"/>
    <w:rsid w:val="001D53FC"/>
    <w:rsid w:val="001E399A"/>
    <w:rsid w:val="001F130B"/>
    <w:rsid w:val="001F1360"/>
    <w:rsid w:val="001F4045"/>
    <w:rsid w:val="001F42A5"/>
    <w:rsid w:val="001F46CF"/>
    <w:rsid w:val="001F5F0C"/>
    <w:rsid w:val="001F7B9D"/>
    <w:rsid w:val="00201C93"/>
    <w:rsid w:val="00204473"/>
    <w:rsid w:val="00211AE6"/>
    <w:rsid w:val="00215A78"/>
    <w:rsid w:val="00215FF3"/>
    <w:rsid w:val="002224B4"/>
    <w:rsid w:val="00223501"/>
    <w:rsid w:val="00224CEB"/>
    <w:rsid w:val="00230D08"/>
    <w:rsid w:val="00231757"/>
    <w:rsid w:val="00231B6B"/>
    <w:rsid w:val="00231EA9"/>
    <w:rsid w:val="00234802"/>
    <w:rsid w:val="00237B95"/>
    <w:rsid w:val="002426E5"/>
    <w:rsid w:val="00242FBF"/>
    <w:rsid w:val="002447EF"/>
    <w:rsid w:val="00251550"/>
    <w:rsid w:val="0025418D"/>
    <w:rsid w:val="002549F7"/>
    <w:rsid w:val="002555FB"/>
    <w:rsid w:val="00257BC4"/>
    <w:rsid w:val="00263B05"/>
    <w:rsid w:val="002644C7"/>
    <w:rsid w:val="00264518"/>
    <w:rsid w:val="002651C4"/>
    <w:rsid w:val="00271B37"/>
    <w:rsid w:val="0027221A"/>
    <w:rsid w:val="002732B9"/>
    <w:rsid w:val="002739BA"/>
    <w:rsid w:val="00273E6F"/>
    <w:rsid w:val="002757C6"/>
    <w:rsid w:val="00275B61"/>
    <w:rsid w:val="00276EBE"/>
    <w:rsid w:val="00277B55"/>
    <w:rsid w:val="00280A64"/>
    <w:rsid w:val="00280FAF"/>
    <w:rsid w:val="00281E6D"/>
    <w:rsid w:val="00282037"/>
    <w:rsid w:val="00282656"/>
    <w:rsid w:val="002834BB"/>
    <w:rsid w:val="0028391E"/>
    <w:rsid w:val="00283EA1"/>
    <w:rsid w:val="00292320"/>
    <w:rsid w:val="0029424E"/>
    <w:rsid w:val="00296B83"/>
    <w:rsid w:val="002A1EF3"/>
    <w:rsid w:val="002A240D"/>
    <w:rsid w:val="002A2D9A"/>
    <w:rsid w:val="002A3A8E"/>
    <w:rsid w:val="002A724D"/>
    <w:rsid w:val="002A77BF"/>
    <w:rsid w:val="002B0AD5"/>
    <w:rsid w:val="002B4015"/>
    <w:rsid w:val="002B4042"/>
    <w:rsid w:val="002B63FE"/>
    <w:rsid w:val="002B7175"/>
    <w:rsid w:val="002B78CE"/>
    <w:rsid w:val="002C1386"/>
    <w:rsid w:val="002C2FB6"/>
    <w:rsid w:val="002C31B9"/>
    <w:rsid w:val="002C33E4"/>
    <w:rsid w:val="002D08D3"/>
    <w:rsid w:val="002D0B9A"/>
    <w:rsid w:val="002D14DB"/>
    <w:rsid w:val="002D3049"/>
    <w:rsid w:val="002D31A4"/>
    <w:rsid w:val="002D4BBD"/>
    <w:rsid w:val="002D51C2"/>
    <w:rsid w:val="002E1EA7"/>
    <w:rsid w:val="002E5FA7"/>
    <w:rsid w:val="002E71F9"/>
    <w:rsid w:val="002F07CA"/>
    <w:rsid w:val="002F26D3"/>
    <w:rsid w:val="002F3309"/>
    <w:rsid w:val="002F3506"/>
    <w:rsid w:val="002F6751"/>
    <w:rsid w:val="002F6770"/>
    <w:rsid w:val="002F7097"/>
    <w:rsid w:val="003008CE"/>
    <w:rsid w:val="003009B7"/>
    <w:rsid w:val="00300E56"/>
    <w:rsid w:val="0030152C"/>
    <w:rsid w:val="00303369"/>
    <w:rsid w:val="0030469C"/>
    <w:rsid w:val="0030592F"/>
    <w:rsid w:val="003126D6"/>
    <w:rsid w:val="00313FD2"/>
    <w:rsid w:val="00315062"/>
    <w:rsid w:val="003175DC"/>
    <w:rsid w:val="003204F2"/>
    <w:rsid w:val="00321CA6"/>
    <w:rsid w:val="00323763"/>
    <w:rsid w:val="00323C5F"/>
    <w:rsid w:val="00325F01"/>
    <w:rsid w:val="00326BF9"/>
    <w:rsid w:val="00327957"/>
    <w:rsid w:val="00334885"/>
    <w:rsid w:val="00334C09"/>
    <w:rsid w:val="00336053"/>
    <w:rsid w:val="00336863"/>
    <w:rsid w:val="00343172"/>
    <w:rsid w:val="0034643F"/>
    <w:rsid w:val="003472A7"/>
    <w:rsid w:val="0035197D"/>
    <w:rsid w:val="00354283"/>
    <w:rsid w:val="0035608B"/>
    <w:rsid w:val="003603EB"/>
    <w:rsid w:val="00363AE8"/>
    <w:rsid w:val="003656ED"/>
    <w:rsid w:val="00365F9A"/>
    <w:rsid w:val="00366CEA"/>
    <w:rsid w:val="0037215D"/>
    <w:rsid w:val="003723D4"/>
    <w:rsid w:val="003724BE"/>
    <w:rsid w:val="00373DFB"/>
    <w:rsid w:val="0037479F"/>
    <w:rsid w:val="003817AE"/>
    <w:rsid w:val="00381905"/>
    <w:rsid w:val="003833D6"/>
    <w:rsid w:val="00384528"/>
    <w:rsid w:val="00384CC8"/>
    <w:rsid w:val="003871FD"/>
    <w:rsid w:val="0038781B"/>
    <w:rsid w:val="0039010A"/>
    <w:rsid w:val="003A1E30"/>
    <w:rsid w:val="003A2829"/>
    <w:rsid w:val="003A35C4"/>
    <w:rsid w:val="003A3FF3"/>
    <w:rsid w:val="003A4C81"/>
    <w:rsid w:val="003A63C5"/>
    <w:rsid w:val="003A6E1C"/>
    <w:rsid w:val="003A6FC6"/>
    <w:rsid w:val="003A7D1C"/>
    <w:rsid w:val="003B20F9"/>
    <w:rsid w:val="003B27A2"/>
    <w:rsid w:val="003B304B"/>
    <w:rsid w:val="003B3146"/>
    <w:rsid w:val="003D29D9"/>
    <w:rsid w:val="003D6822"/>
    <w:rsid w:val="003D6992"/>
    <w:rsid w:val="003E2F46"/>
    <w:rsid w:val="003E3983"/>
    <w:rsid w:val="003E3EF6"/>
    <w:rsid w:val="003E4210"/>
    <w:rsid w:val="003E5D5B"/>
    <w:rsid w:val="003E6B15"/>
    <w:rsid w:val="003E7E6C"/>
    <w:rsid w:val="003F015E"/>
    <w:rsid w:val="003F1A36"/>
    <w:rsid w:val="003F2501"/>
    <w:rsid w:val="003F29AC"/>
    <w:rsid w:val="003F4280"/>
    <w:rsid w:val="003F7591"/>
    <w:rsid w:val="00400414"/>
    <w:rsid w:val="00400ACE"/>
    <w:rsid w:val="00405697"/>
    <w:rsid w:val="0040575E"/>
    <w:rsid w:val="00407151"/>
    <w:rsid w:val="00411D61"/>
    <w:rsid w:val="00412DB3"/>
    <w:rsid w:val="0041446B"/>
    <w:rsid w:val="00414B0C"/>
    <w:rsid w:val="004156CF"/>
    <w:rsid w:val="004170CD"/>
    <w:rsid w:val="00420207"/>
    <w:rsid w:val="00420C70"/>
    <w:rsid w:val="0042102E"/>
    <w:rsid w:val="0042756E"/>
    <w:rsid w:val="00427811"/>
    <w:rsid w:val="00430274"/>
    <w:rsid w:val="0043747A"/>
    <w:rsid w:val="0044071E"/>
    <w:rsid w:val="0044077B"/>
    <w:rsid w:val="00440C52"/>
    <w:rsid w:val="00442C13"/>
    <w:rsid w:val="0044329C"/>
    <w:rsid w:val="0044566D"/>
    <w:rsid w:val="0044649C"/>
    <w:rsid w:val="00453E24"/>
    <w:rsid w:val="00456E8E"/>
    <w:rsid w:val="00457215"/>
    <w:rsid w:val="00457456"/>
    <w:rsid w:val="004577FE"/>
    <w:rsid w:val="00457B9C"/>
    <w:rsid w:val="0046164A"/>
    <w:rsid w:val="00461667"/>
    <w:rsid w:val="004628D2"/>
    <w:rsid w:val="00462B6B"/>
    <w:rsid w:val="00462DCD"/>
    <w:rsid w:val="004648AD"/>
    <w:rsid w:val="004666B8"/>
    <w:rsid w:val="00466B53"/>
    <w:rsid w:val="00467111"/>
    <w:rsid w:val="004703A9"/>
    <w:rsid w:val="00472745"/>
    <w:rsid w:val="00472756"/>
    <w:rsid w:val="00473C16"/>
    <w:rsid w:val="004754A8"/>
    <w:rsid w:val="004760DE"/>
    <w:rsid w:val="00476393"/>
    <w:rsid w:val="004763D7"/>
    <w:rsid w:val="004A004E"/>
    <w:rsid w:val="004A1A5D"/>
    <w:rsid w:val="004A1F99"/>
    <w:rsid w:val="004A24CF"/>
    <w:rsid w:val="004A5C7C"/>
    <w:rsid w:val="004B579A"/>
    <w:rsid w:val="004B5BFE"/>
    <w:rsid w:val="004B6BA7"/>
    <w:rsid w:val="004C0B5C"/>
    <w:rsid w:val="004C23EC"/>
    <w:rsid w:val="004C2F49"/>
    <w:rsid w:val="004C3D1D"/>
    <w:rsid w:val="004C3D84"/>
    <w:rsid w:val="004C3E49"/>
    <w:rsid w:val="004C5347"/>
    <w:rsid w:val="004C5814"/>
    <w:rsid w:val="004C5BB9"/>
    <w:rsid w:val="004C6880"/>
    <w:rsid w:val="004C7913"/>
    <w:rsid w:val="004D105C"/>
    <w:rsid w:val="004E2953"/>
    <w:rsid w:val="004E4DD6"/>
    <w:rsid w:val="004E5962"/>
    <w:rsid w:val="004E6FF0"/>
    <w:rsid w:val="004F4881"/>
    <w:rsid w:val="004F5E36"/>
    <w:rsid w:val="00501FFA"/>
    <w:rsid w:val="00503299"/>
    <w:rsid w:val="005076F1"/>
    <w:rsid w:val="00507B47"/>
    <w:rsid w:val="00507BEF"/>
    <w:rsid w:val="00507CC9"/>
    <w:rsid w:val="00510058"/>
    <w:rsid w:val="005119A5"/>
    <w:rsid w:val="005144A5"/>
    <w:rsid w:val="005157E9"/>
    <w:rsid w:val="00516AAC"/>
    <w:rsid w:val="00516D55"/>
    <w:rsid w:val="005171B2"/>
    <w:rsid w:val="00520166"/>
    <w:rsid w:val="00521D24"/>
    <w:rsid w:val="00523192"/>
    <w:rsid w:val="0052358F"/>
    <w:rsid w:val="00524D4C"/>
    <w:rsid w:val="00524EF9"/>
    <w:rsid w:val="005278B7"/>
    <w:rsid w:val="00530F71"/>
    <w:rsid w:val="00532016"/>
    <w:rsid w:val="005346C8"/>
    <w:rsid w:val="00536538"/>
    <w:rsid w:val="00543A5F"/>
    <w:rsid w:val="00543E7D"/>
    <w:rsid w:val="00544FF2"/>
    <w:rsid w:val="005471E3"/>
    <w:rsid w:val="00547A68"/>
    <w:rsid w:val="00550E28"/>
    <w:rsid w:val="005531C9"/>
    <w:rsid w:val="00553CC9"/>
    <w:rsid w:val="00556362"/>
    <w:rsid w:val="00560ADF"/>
    <w:rsid w:val="00561795"/>
    <w:rsid w:val="00564DF6"/>
    <w:rsid w:val="00570C43"/>
    <w:rsid w:val="0057165C"/>
    <w:rsid w:val="005720BE"/>
    <w:rsid w:val="00572272"/>
    <w:rsid w:val="005805C0"/>
    <w:rsid w:val="005814D9"/>
    <w:rsid w:val="0058286F"/>
    <w:rsid w:val="005868F7"/>
    <w:rsid w:val="00586B01"/>
    <w:rsid w:val="00591148"/>
    <w:rsid w:val="005949A3"/>
    <w:rsid w:val="005A0BAB"/>
    <w:rsid w:val="005A21E6"/>
    <w:rsid w:val="005A42AD"/>
    <w:rsid w:val="005A46B5"/>
    <w:rsid w:val="005A5357"/>
    <w:rsid w:val="005A587E"/>
    <w:rsid w:val="005B0FAC"/>
    <w:rsid w:val="005B2110"/>
    <w:rsid w:val="005B21D1"/>
    <w:rsid w:val="005B61E6"/>
    <w:rsid w:val="005B74BA"/>
    <w:rsid w:val="005C036D"/>
    <w:rsid w:val="005C37A3"/>
    <w:rsid w:val="005C3952"/>
    <w:rsid w:val="005C4018"/>
    <w:rsid w:val="005C6852"/>
    <w:rsid w:val="005C7463"/>
    <w:rsid w:val="005C77E1"/>
    <w:rsid w:val="005D1B60"/>
    <w:rsid w:val="005D2508"/>
    <w:rsid w:val="005D2CD8"/>
    <w:rsid w:val="005D5623"/>
    <w:rsid w:val="005D668A"/>
    <w:rsid w:val="005D6A2F"/>
    <w:rsid w:val="005D798B"/>
    <w:rsid w:val="005E1A82"/>
    <w:rsid w:val="005E6122"/>
    <w:rsid w:val="005E794C"/>
    <w:rsid w:val="005F0A28"/>
    <w:rsid w:val="005F0E5E"/>
    <w:rsid w:val="005F1C4B"/>
    <w:rsid w:val="005F6C33"/>
    <w:rsid w:val="006001F0"/>
    <w:rsid w:val="00600535"/>
    <w:rsid w:val="00601BE7"/>
    <w:rsid w:val="00610CD6"/>
    <w:rsid w:val="00613759"/>
    <w:rsid w:val="006156FD"/>
    <w:rsid w:val="00615F46"/>
    <w:rsid w:val="006160B4"/>
    <w:rsid w:val="00620DEE"/>
    <w:rsid w:val="00621DCC"/>
    <w:rsid w:val="00621F92"/>
    <w:rsid w:val="0062269A"/>
    <w:rsid w:val="0062280A"/>
    <w:rsid w:val="00625639"/>
    <w:rsid w:val="00631322"/>
    <w:rsid w:val="006319CA"/>
    <w:rsid w:val="00631B33"/>
    <w:rsid w:val="006348A8"/>
    <w:rsid w:val="0063712C"/>
    <w:rsid w:val="0063779C"/>
    <w:rsid w:val="0064184D"/>
    <w:rsid w:val="006419A6"/>
    <w:rsid w:val="00641BA3"/>
    <w:rsid w:val="006422CC"/>
    <w:rsid w:val="0064274E"/>
    <w:rsid w:val="00645319"/>
    <w:rsid w:val="006457C3"/>
    <w:rsid w:val="00646744"/>
    <w:rsid w:val="00655741"/>
    <w:rsid w:val="00655CF8"/>
    <w:rsid w:val="00660E3E"/>
    <w:rsid w:val="00662E74"/>
    <w:rsid w:val="00664543"/>
    <w:rsid w:val="006659D6"/>
    <w:rsid w:val="00670E22"/>
    <w:rsid w:val="00671FA2"/>
    <w:rsid w:val="00674334"/>
    <w:rsid w:val="006747C1"/>
    <w:rsid w:val="00674B37"/>
    <w:rsid w:val="00680C23"/>
    <w:rsid w:val="00682472"/>
    <w:rsid w:val="00692CD9"/>
    <w:rsid w:val="00693766"/>
    <w:rsid w:val="00694126"/>
    <w:rsid w:val="006A1A88"/>
    <w:rsid w:val="006A24D0"/>
    <w:rsid w:val="006A2D06"/>
    <w:rsid w:val="006A3281"/>
    <w:rsid w:val="006A633C"/>
    <w:rsid w:val="006B4888"/>
    <w:rsid w:val="006B6E61"/>
    <w:rsid w:val="006C2E45"/>
    <w:rsid w:val="006C32D6"/>
    <w:rsid w:val="006C359C"/>
    <w:rsid w:val="006C5579"/>
    <w:rsid w:val="006C560A"/>
    <w:rsid w:val="006C7EF4"/>
    <w:rsid w:val="006D04A1"/>
    <w:rsid w:val="006D0CBF"/>
    <w:rsid w:val="006D5C17"/>
    <w:rsid w:val="006D6E8B"/>
    <w:rsid w:val="006D7CBF"/>
    <w:rsid w:val="006E4A15"/>
    <w:rsid w:val="006E5CBF"/>
    <w:rsid w:val="006E6138"/>
    <w:rsid w:val="006E62F6"/>
    <w:rsid w:val="006E737D"/>
    <w:rsid w:val="00700114"/>
    <w:rsid w:val="00700C50"/>
    <w:rsid w:val="0070235B"/>
    <w:rsid w:val="007041E2"/>
    <w:rsid w:val="00704A36"/>
    <w:rsid w:val="007068D7"/>
    <w:rsid w:val="007128D6"/>
    <w:rsid w:val="0071320E"/>
    <w:rsid w:val="00713973"/>
    <w:rsid w:val="00715BB0"/>
    <w:rsid w:val="00716176"/>
    <w:rsid w:val="00720A24"/>
    <w:rsid w:val="007244E4"/>
    <w:rsid w:val="00726B52"/>
    <w:rsid w:val="00726D53"/>
    <w:rsid w:val="00732386"/>
    <w:rsid w:val="00733254"/>
    <w:rsid w:val="007346B2"/>
    <w:rsid w:val="00734CEE"/>
    <w:rsid w:val="0073514D"/>
    <w:rsid w:val="00743B81"/>
    <w:rsid w:val="007447F3"/>
    <w:rsid w:val="00744966"/>
    <w:rsid w:val="00745427"/>
    <w:rsid w:val="007473FB"/>
    <w:rsid w:val="007533A7"/>
    <w:rsid w:val="00754386"/>
    <w:rsid w:val="00754989"/>
    <w:rsid w:val="0075499F"/>
    <w:rsid w:val="00755430"/>
    <w:rsid w:val="00756DF6"/>
    <w:rsid w:val="00762000"/>
    <w:rsid w:val="00764F5E"/>
    <w:rsid w:val="00765C2A"/>
    <w:rsid w:val="00765D20"/>
    <w:rsid w:val="007661C8"/>
    <w:rsid w:val="0077061B"/>
    <w:rsid w:val="0077098D"/>
    <w:rsid w:val="00774905"/>
    <w:rsid w:val="007824E7"/>
    <w:rsid w:val="007842D0"/>
    <w:rsid w:val="00790251"/>
    <w:rsid w:val="007931FA"/>
    <w:rsid w:val="00795001"/>
    <w:rsid w:val="007974BF"/>
    <w:rsid w:val="007A4861"/>
    <w:rsid w:val="007A6C22"/>
    <w:rsid w:val="007A7BBA"/>
    <w:rsid w:val="007B0C50"/>
    <w:rsid w:val="007B1F3B"/>
    <w:rsid w:val="007B2372"/>
    <w:rsid w:val="007B4625"/>
    <w:rsid w:val="007B48F9"/>
    <w:rsid w:val="007B5BB6"/>
    <w:rsid w:val="007B6B84"/>
    <w:rsid w:val="007C1A43"/>
    <w:rsid w:val="007C311E"/>
    <w:rsid w:val="007C4F7F"/>
    <w:rsid w:val="007C565A"/>
    <w:rsid w:val="007C6D64"/>
    <w:rsid w:val="007D032A"/>
    <w:rsid w:val="007D0951"/>
    <w:rsid w:val="007D190F"/>
    <w:rsid w:val="007D6DF5"/>
    <w:rsid w:val="007D6E71"/>
    <w:rsid w:val="007D7960"/>
    <w:rsid w:val="007E0C3C"/>
    <w:rsid w:val="007E197F"/>
    <w:rsid w:val="007E1CA6"/>
    <w:rsid w:val="007E6596"/>
    <w:rsid w:val="007F06F1"/>
    <w:rsid w:val="007F0DD6"/>
    <w:rsid w:val="007F121B"/>
    <w:rsid w:val="007F18B7"/>
    <w:rsid w:val="007F5221"/>
    <w:rsid w:val="007F57BB"/>
    <w:rsid w:val="007F738A"/>
    <w:rsid w:val="007F7D12"/>
    <w:rsid w:val="0080013E"/>
    <w:rsid w:val="00801F42"/>
    <w:rsid w:val="0080362F"/>
    <w:rsid w:val="00805176"/>
    <w:rsid w:val="00813288"/>
    <w:rsid w:val="008141BB"/>
    <w:rsid w:val="008168FC"/>
    <w:rsid w:val="0082355F"/>
    <w:rsid w:val="00827AE2"/>
    <w:rsid w:val="00830996"/>
    <w:rsid w:val="00831B01"/>
    <w:rsid w:val="00833406"/>
    <w:rsid w:val="008345F1"/>
    <w:rsid w:val="00837B10"/>
    <w:rsid w:val="00841C65"/>
    <w:rsid w:val="00842CFE"/>
    <w:rsid w:val="00842FE7"/>
    <w:rsid w:val="00846220"/>
    <w:rsid w:val="00846EE1"/>
    <w:rsid w:val="00847675"/>
    <w:rsid w:val="00850426"/>
    <w:rsid w:val="008510EA"/>
    <w:rsid w:val="00851FF9"/>
    <w:rsid w:val="0085497B"/>
    <w:rsid w:val="00856502"/>
    <w:rsid w:val="00857902"/>
    <w:rsid w:val="008604ED"/>
    <w:rsid w:val="00863AAB"/>
    <w:rsid w:val="00863ED5"/>
    <w:rsid w:val="00865B07"/>
    <w:rsid w:val="008665BD"/>
    <w:rsid w:val="008667EA"/>
    <w:rsid w:val="00872769"/>
    <w:rsid w:val="00875EF5"/>
    <w:rsid w:val="0087637F"/>
    <w:rsid w:val="00884B7A"/>
    <w:rsid w:val="00885973"/>
    <w:rsid w:val="00892AD5"/>
    <w:rsid w:val="008933C9"/>
    <w:rsid w:val="00894380"/>
    <w:rsid w:val="008947F7"/>
    <w:rsid w:val="00896880"/>
    <w:rsid w:val="00897B3A"/>
    <w:rsid w:val="008A1512"/>
    <w:rsid w:val="008A33B9"/>
    <w:rsid w:val="008A5EC0"/>
    <w:rsid w:val="008B2C18"/>
    <w:rsid w:val="008B690F"/>
    <w:rsid w:val="008B7C03"/>
    <w:rsid w:val="008C3214"/>
    <w:rsid w:val="008C651A"/>
    <w:rsid w:val="008D039A"/>
    <w:rsid w:val="008D171A"/>
    <w:rsid w:val="008D19D8"/>
    <w:rsid w:val="008D32B9"/>
    <w:rsid w:val="008D433B"/>
    <w:rsid w:val="008D4A16"/>
    <w:rsid w:val="008D6C27"/>
    <w:rsid w:val="008E4A9F"/>
    <w:rsid w:val="008E52B8"/>
    <w:rsid w:val="008E562C"/>
    <w:rsid w:val="008E566E"/>
    <w:rsid w:val="008F19F1"/>
    <w:rsid w:val="009008E8"/>
    <w:rsid w:val="0090161A"/>
    <w:rsid w:val="00901A56"/>
    <w:rsid w:val="00901EB6"/>
    <w:rsid w:val="00901ED7"/>
    <w:rsid w:val="009023D5"/>
    <w:rsid w:val="00903476"/>
    <w:rsid w:val="00904C62"/>
    <w:rsid w:val="009130B8"/>
    <w:rsid w:val="00913FE4"/>
    <w:rsid w:val="009140D9"/>
    <w:rsid w:val="00914A05"/>
    <w:rsid w:val="00915D92"/>
    <w:rsid w:val="00916ED1"/>
    <w:rsid w:val="009221BE"/>
    <w:rsid w:val="0092232B"/>
    <w:rsid w:val="00922A50"/>
    <w:rsid w:val="00922BA8"/>
    <w:rsid w:val="00924DAC"/>
    <w:rsid w:val="00924ED0"/>
    <w:rsid w:val="00927058"/>
    <w:rsid w:val="00931E1C"/>
    <w:rsid w:val="00932451"/>
    <w:rsid w:val="009337A7"/>
    <w:rsid w:val="0093381C"/>
    <w:rsid w:val="009338F1"/>
    <w:rsid w:val="0094171D"/>
    <w:rsid w:val="00941988"/>
    <w:rsid w:val="00942750"/>
    <w:rsid w:val="009450CE"/>
    <w:rsid w:val="009459BB"/>
    <w:rsid w:val="00947179"/>
    <w:rsid w:val="0095164B"/>
    <w:rsid w:val="00953E03"/>
    <w:rsid w:val="00954090"/>
    <w:rsid w:val="009573E7"/>
    <w:rsid w:val="00957B5A"/>
    <w:rsid w:val="00963E05"/>
    <w:rsid w:val="00964059"/>
    <w:rsid w:val="00964090"/>
    <w:rsid w:val="00964A45"/>
    <w:rsid w:val="00964AF0"/>
    <w:rsid w:val="00964FDE"/>
    <w:rsid w:val="0096613D"/>
    <w:rsid w:val="00967843"/>
    <w:rsid w:val="00967C61"/>
    <w:rsid w:val="00967D54"/>
    <w:rsid w:val="00971028"/>
    <w:rsid w:val="00971DE1"/>
    <w:rsid w:val="009748F6"/>
    <w:rsid w:val="00975496"/>
    <w:rsid w:val="00992908"/>
    <w:rsid w:val="00993B84"/>
    <w:rsid w:val="00996483"/>
    <w:rsid w:val="00996782"/>
    <w:rsid w:val="00996F5A"/>
    <w:rsid w:val="00997CE9"/>
    <w:rsid w:val="009A05A6"/>
    <w:rsid w:val="009A4EB8"/>
    <w:rsid w:val="009A63F1"/>
    <w:rsid w:val="009A684A"/>
    <w:rsid w:val="009A6CCE"/>
    <w:rsid w:val="009A6FB7"/>
    <w:rsid w:val="009B041A"/>
    <w:rsid w:val="009C37C3"/>
    <w:rsid w:val="009C7C86"/>
    <w:rsid w:val="009D187C"/>
    <w:rsid w:val="009D2FE6"/>
    <w:rsid w:val="009D2FF7"/>
    <w:rsid w:val="009D58FD"/>
    <w:rsid w:val="009D6532"/>
    <w:rsid w:val="009D6990"/>
    <w:rsid w:val="009D7F5F"/>
    <w:rsid w:val="009E19A9"/>
    <w:rsid w:val="009E1D04"/>
    <w:rsid w:val="009E37EB"/>
    <w:rsid w:val="009E4793"/>
    <w:rsid w:val="009E5973"/>
    <w:rsid w:val="009E6064"/>
    <w:rsid w:val="009E7884"/>
    <w:rsid w:val="009E788A"/>
    <w:rsid w:val="009F0E08"/>
    <w:rsid w:val="009F3D7C"/>
    <w:rsid w:val="009F5941"/>
    <w:rsid w:val="009F5EED"/>
    <w:rsid w:val="009F6BD3"/>
    <w:rsid w:val="009F7606"/>
    <w:rsid w:val="00A00DE8"/>
    <w:rsid w:val="00A01872"/>
    <w:rsid w:val="00A02046"/>
    <w:rsid w:val="00A068AC"/>
    <w:rsid w:val="00A10B40"/>
    <w:rsid w:val="00A12619"/>
    <w:rsid w:val="00A1616A"/>
    <w:rsid w:val="00A16F71"/>
    <w:rsid w:val="00A1763D"/>
    <w:rsid w:val="00A17CEC"/>
    <w:rsid w:val="00A22FD5"/>
    <w:rsid w:val="00A24E22"/>
    <w:rsid w:val="00A276AD"/>
    <w:rsid w:val="00A27EF0"/>
    <w:rsid w:val="00A30415"/>
    <w:rsid w:val="00A32913"/>
    <w:rsid w:val="00A33104"/>
    <w:rsid w:val="00A351CC"/>
    <w:rsid w:val="00A3522E"/>
    <w:rsid w:val="00A42361"/>
    <w:rsid w:val="00A4683A"/>
    <w:rsid w:val="00A469B4"/>
    <w:rsid w:val="00A46F36"/>
    <w:rsid w:val="00A50318"/>
    <w:rsid w:val="00A50B20"/>
    <w:rsid w:val="00A51390"/>
    <w:rsid w:val="00A52C31"/>
    <w:rsid w:val="00A53280"/>
    <w:rsid w:val="00A54A0D"/>
    <w:rsid w:val="00A55922"/>
    <w:rsid w:val="00A56692"/>
    <w:rsid w:val="00A60B5C"/>
    <w:rsid w:val="00A60D13"/>
    <w:rsid w:val="00A62546"/>
    <w:rsid w:val="00A62764"/>
    <w:rsid w:val="00A65E71"/>
    <w:rsid w:val="00A720A7"/>
    <w:rsid w:val="00A7223D"/>
    <w:rsid w:val="00A72745"/>
    <w:rsid w:val="00A76EFC"/>
    <w:rsid w:val="00A82053"/>
    <w:rsid w:val="00A823EC"/>
    <w:rsid w:val="00A826C6"/>
    <w:rsid w:val="00A86EFE"/>
    <w:rsid w:val="00A86FC6"/>
    <w:rsid w:val="00A87D50"/>
    <w:rsid w:val="00A91010"/>
    <w:rsid w:val="00A94512"/>
    <w:rsid w:val="00A95707"/>
    <w:rsid w:val="00A97F29"/>
    <w:rsid w:val="00AA3C76"/>
    <w:rsid w:val="00AA4A0B"/>
    <w:rsid w:val="00AA5F83"/>
    <w:rsid w:val="00AA702E"/>
    <w:rsid w:val="00AA7D26"/>
    <w:rsid w:val="00AB0964"/>
    <w:rsid w:val="00AB4779"/>
    <w:rsid w:val="00AB5011"/>
    <w:rsid w:val="00AB55DA"/>
    <w:rsid w:val="00AB5B66"/>
    <w:rsid w:val="00AC3BEC"/>
    <w:rsid w:val="00AC4AA8"/>
    <w:rsid w:val="00AC5C6B"/>
    <w:rsid w:val="00AC5C93"/>
    <w:rsid w:val="00AC7368"/>
    <w:rsid w:val="00AD16B9"/>
    <w:rsid w:val="00AD1C17"/>
    <w:rsid w:val="00AD23F1"/>
    <w:rsid w:val="00AD4C90"/>
    <w:rsid w:val="00AD50A8"/>
    <w:rsid w:val="00AE140A"/>
    <w:rsid w:val="00AE377D"/>
    <w:rsid w:val="00AE58DD"/>
    <w:rsid w:val="00AE6AFA"/>
    <w:rsid w:val="00AF03BA"/>
    <w:rsid w:val="00AF0EBA"/>
    <w:rsid w:val="00AF25DE"/>
    <w:rsid w:val="00AF4B08"/>
    <w:rsid w:val="00AF65C9"/>
    <w:rsid w:val="00AF7139"/>
    <w:rsid w:val="00B02C8A"/>
    <w:rsid w:val="00B07739"/>
    <w:rsid w:val="00B10D21"/>
    <w:rsid w:val="00B14BB6"/>
    <w:rsid w:val="00B14E63"/>
    <w:rsid w:val="00B163D4"/>
    <w:rsid w:val="00B17FBD"/>
    <w:rsid w:val="00B21D58"/>
    <w:rsid w:val="00B234F9"/>
    <w:rsid w:val="00B315A6"/>
    <w:rsid w:val="00B31813"/>
    <w:rsid w:val="00B31AB0"/>
    <w:rsid w:val="00B31B71"/>
    <w:rsid w:val="00B323C0"/>
    <w:rsid w:val="00B328E2"/>
    <w:rsid w:val="00B33365"/>
    <w:rsid w:val="00B340F4"/>
    <w:rsid w:val="00B35584"/>
    <w:rsid w:val="00B362E0"/>
    <w:rsid w:val="00B371B4"/>
    <w:rsid w:val="00B378F9"/>
    <w:rsid w:val="00B42DD7"/>
    <w:rsid w:val="00B5012E"/>
    <w:rsid w:val="00B54FFB"/>
    <w:rsid w:val="00B56072"/>
    <w:rsid w:val="00B56993"/>
    <w:rsid w:val="00B56B69"/>
    <w:rsid w:val="00B56FF8"/>
    <w:rsid w:val="00B57B36"/>
    <w:rsid w:val="00B57E6F"/>
    <w:rsid w:val="00B61A0E"/>
    <w:rsid w:val="00B64A63"/>
    <w:rsid w:val="00B64BB8"/>
    <w:rsid w:val="00B6512B"/>
    <w:rsid w:val="00B71201"/>
    <w:rsid w:val="00B77EA4"/>
    <w:rsid w:val="00B8686D"/>
    <w:rsid w:val="00B9214D"/>
    <w:rsid w:val="00B935A4"/>
    <w:rsid w:val="00B93F61"/>
    <w:rsid w:val="00B93F69"/>
    <w:rsid w:val="00B94245"/>
    <w:rsid w:val="00BA61D5"/>
    <w:rsid w:val="00BB1DDC"/>
    <w:rsid w:val="00BB36A6"/>
    <w:rsid w:val="00BB53D0"/>
    <w:rsid w:val="00BC1452"/>
    <w:rsid w:val="00BC30C9"/>
    <w:rsid w:val="00BC62D7"/>
    <w:rsid w:val="00BC6DA6"/>
    <w:rsid w:val="00BC6FD1"/>
    <w:rsid w:val="00BD077D"/>
    <w:rsid w:val="00BD2591"/>
    <w:rsid w:val="00BD35FB"/>
    <w:rsid w:val="00BE1F84"/>
    <w:rsid w:val="00BE2140"/>
    <w:rsid w:val="00BE2F30"/>
    <w:rsid w:val="00BE3E58"/>
    <w:rsid w:val="00BE7EF3"/>
    <w:rsid w:val="00BE7FC5"/>
    <w:rsid w:val="00BE7FFB"/>
    <w:rsid w:val="00BF1D16"/>
    <w:rsid w:val="00BF2987"/>
    <w:rsid w:val="00BF2F26"/>
    <w:rsid w:val="00BF3525"/>
    <w:rsid w:val="00BF4C38"/>
    <w:rsid w:val="00BF6189"/>
    <w:rsid w:val="00C00C1A"/>
    <w:rsid w:val="00C01616"/>
    <w:rsid w:val="00C0162B"/>
    <w:rsid w:val="00C02009"/>
    <w:rsid w:val="00C068ED"/>
    <w:rsid w:val="00C136DC"/>
    <w:rsid w:val="00C13C54"/>
    <w:rsid w:val="00C15406"/>
    <w:rsid w:val="00C15D42"/>
    <w:rsid w:val="00C1632F"/>
    <w:rsid w:val="00C22E0C"/>
    <w:rsid w:val="00C30166"/>
    <w:rsid w:val="00C30F13"/>
    <w:rsid w:val="00C31AD4"/>
    <w:rsid w:val="00C329C3"/>
    <w:rsid w:val="00C345B1"/>
    <w:rsid w:val="00C40142"/>
    <w:rsid w:val="00C4028E"/>
    <w:rsid w:val="00C40B83"/>
    <w:rsid w:val="00C4530B"/>
    <w:rsid w:val="00C52C3C"/>
    <w:rsid w:val="00C52C49"/>
    <w:rsid w:val="00C53AAD"/>
    <w:rsid w:val="00C555BC"/>
    <w:rsid w:val="00C57182"/>
    <w:rsid w:val="00C57863"/>
    <w:rsid w:val="00C60AC1"/>
    <w:rsid w:val="00C640AF"/>
    <w:rsid w:val="00C655FD"/>
    <w:rsid w:val="00C71333"/>
    <w:rsid w:val="00C72190"/>
    <w:rsid w:val="00C743FA"/>
    <w:rsid w:val="00C75407"/>
    <w:rsid w:val="00C75731"/>
    <w:rsid w:val="00C75922"/>
    <w:rsid w:val="00C75AC3"/>
    <w:rsid w:val="00C80BD5"/>
    <w:rsid w:val="00C8431A"/>
    <w:rsid w:val="00C84CAC"/>
    <w:rsid w:val="00C8699B"/>
    <w:rsid w:val="00C870A8"/>
    <w:rsid w:val="00C92A11"/>
    <w:rsid w:val="00C93D9D"/>
    <w:rsid w:val="00C94434"/>
    <w:rsid w:val="00C9572A"/>
    <w:rsid w:val="00C96306"/>
    <w:rsid w:val="00C96443"/>
    <w:rsid w:val="00CA0D4A"/>
    <w:rsid w:val="00CA0D75"/>
    <w:rsid w:val="00CA173D"/>
    <w:rsid w:val="00CA1C95"/>
    <w:rsid w:val="00CA409B"/>
    <w:rsid w:val="00CA5A9C"/>
    <w:rsid w:val="00CB09D4"/>
    <w:rsid w:val="00CB0A3B"/>
    <w:rsid w:val="00CB0EE4"/>
    <w:rsid w:val="00CB1819"/>
    <w:rsid w:val="00CB24DF"/>
    <w:rsid w:val="00CB25A8"/>
    <w:rsid w:val="00CB722A"/>
    <w:rsid w:val="00CB7311"/>
    <w:rsid w:val="00CB7EA4"/>
    <w:rsid w:val="00CC0007"/>
    <w:rsid w:val="00CC4A9A"/>
    <w:rsid w:val="00CC4C20"/>
    <w:rsid w:val="00CD3517"/>
    <w:rsid w:val="00CD5FE2"/>
    <w:rsid w:val="00CD7958"/>
    <w:rsid w:val="00CE2393"/>
    <w:rsid w:val="00CE301D"/>
    <w:rsid w:val="00CE7C68"/>
    <w:rsid w:val="00CF1C91"/>
    <w:rsid w:val="00D02B4C"/>
    <w:rsid w:val="00D03B66"/>
    <w:rsid w:val="00D040C4"/>
    <w:rsid w:val="00D04C85"/>
    <w:rsid w:val="00D11452"/>
    <w:rsid w:val="00D13EB6"/>
    <w:rsid w:val="00D14593"/>
    <w:rsid w:val="00D20AD1"/>
    <w:rsid w:val="00D34CB5"/>
    <w:rsid w:val="00D35362"/>
    <w:rsid w:val="00D3778C"/>
    <w:rsid w:val="00D405AC"/>
    <w:rsid w:val="00D42E70"/>
    <w:rsid w:val="00D44003"/>
    <w:rsid w:val="00D4501F"/>
    <w:rsid w:val="00D451B3"/>
    <w:rsid w:val="00D45899"/>
    <w:rsid w:val="00D45DFE"/>
    <w:rsid w:val="00D46B7E"/>
    <w:rsid w:val="00D5367A"/>
    <w:rsid w:val="00D5537C"/>
    <w:rsid w:val="00D56836"/>
    <w:rsid w:val="00D56A5C"/>
    <w:rsid w:val="00D5724B"/>
    <w:rsid w:val="00D57C84"/>
    <w:rsid w:val="00D60464"/>
    <w:rsid w:val="00D6057D"/>
    <w:rsid w:val="00D62923"/>
    <w:rsid w:val="00D6324C"/>
    <w:rsid w:val="00D648EC"/>
    <w:rsid w:val="00D64CCA"/>
    <w:rsid w:val="00D71640"/>
    <w:rsid w:val="00D73BBC"/>
    <w:rsid w:val="00D76DA3"/>
    <w:rsid w:val="00D76FCE"/>
    <w:rsid w:val="00D836C5"/>
    <w:rsid w:val="00D84576"/>
    <w:rsid w:val="00D8725B"/>
    <w:rsid w:val="00DA1399"/>
    <w:rsid w:val="00DA24C6"/>
    <w:rsid w:val="00DA4D7B"/>
    <w:rsid w:val="00DA7E25"/>
    <w:rsid w:val="00DB12EC"/>
    <w:rsid w:val="00DB29C4"/>
    <w:rsid w:val="00DB2C56"/>
    <w:rsid w:val="00DB6045"/>
    <w:rsid w:val="00DC0CAE"/>
    <w:rsid w:val="00DD0ACB"/>
    <w:rsid w:val="00DD1E03"/>
    <w:rsid w:val="00DD271C"/>
    <w:rsid w:val="00DD3460"/>
    <w:rsid w:val="00DD3F49"/>
    <w:rsid w:val="00DD7E6A"/>
    <w:rsid w:val="00DE192C"/>
    <w:rsid w:val="00DE24B5"/>
    <w:rsid w:val="00DE264A"/>
    <w:rsid w:val="00DE3DC3"/>
    <w:rsid w:val="00DE3DED"/>
    <w:rsid w:val="00DE50CF"/>
    <w:rsid w:val="00DF12F0"/>
    <w:rsid w:val="00DF3690"/>
    <w:rsid w:val="00DF5072"/>
    <w:rsid w:val="00DF693B"/>
    <w:rsid w:val="00E00DAD"/>
    <w:rsid w:val="00E02390"/>
    <w:rsid w:val="00E02B11"/>
    <w:rsid w:val="00E02D18"/>
    <w:rsid w:val="00E03B16"/>
    <w:rsid w:val="00E03EB2"/>
    <w:rsid w:val="00E041E7"/>
    <w:rsid w:val="00E04E39"/>
    <w:rsid w:val="00E05979"/>
    <w:rsid w:val="00E067A8"/>
    <w:rsid w:val="00E06D40"/>
    <w:rsid w:val="00E06E12"/>
    <w:rsid w:val="00E07234"/>
    <w:rsid w:val="00E0749C"/>
    <w:rsid w:val="00E0772D"/>
    <w:rsid w:val="00E11200"/>
    <w:rsid w:val="00E12401"/>
    <w:rsid w:val="00E12C24"/>
    <w:rsid w:val="00E1389D"/>
    <w:rsid w:val="00E15614"/>
    <w:rsid w:val="00E160E9"/>
    <w:rsid w:val="00E21116"/>
    <w:rsid w:val="00E218B1"/>
    <w:rsid w:val="00E22FFB"/>
    <w:rsid w:val="00E23CA1"/>
    <w:rsid w:val="00E2421D"/>
    <w:rsid w:val="00E252E8"/>
    <w:rsid w:val="00E26111"/>
    <w:rsid w:val="00E30EB8"/>
    <w:rsid w:val="00E3247F"/>
    <w:rsid w:val="00E33C8F"/>
    <w:rsid w:val="00E33DD7"/>
    <w:rsid w:val="00E33FB1"/>
    <w:rsid w:val="00E3532E"/>
    <w:rsid w:val="00E36390"/>
    <w:rsid w:val="00E37E3E"/>
    <w:rsid w:val="00E409A8"/>
    <w:rsid w:val="00E430FF"/>
    <w:rsid w:val="00E503F6"/>
    <w:rsid w:val="00E50C12"/>
    <w:rsid w:val="00E518A6"/>
    <w:rsid w:val="00E51C65"/>
    <w:rsid w:val="00E5448F"/>
    <w:rsid w:val="00E554AA"/>
    <w:rsid w:val="00E56F93"/>
    <w:rsid w:val="00E57DC8"/>
    <w:rsid w:val="00E61FE3"/>
    <w:rsid w:val="00E65B91"/>
    <w:rsid w:val="00E7135D"/>
    <w:rsid w:val="00E7209D"/>
    <w:rsid w:val="00E72EAD"/>
    <w:rsid w:val="00E73AE9"/>
    <w:rsid w:val="00E748AB"/>
    <w:rsid w:val="00E749B2"/>
    <w:rsid w:val="00E7611A"/>
    <w:rsid w:val="00E77223"/>
    <w:rsid w:val="00E80C15"/>
    <w:rsid w:val="00E83532"/>
    <w:rsid w:val="00E84136"/>
    <w:rsid w:val="00E8528B"/>
    <w:rsid w:val="00E85B94"/>
    <w:rsid w:val="00E86211"/>
    <w:rsid w:val="00E864EC"/>
    <w:rsid w:val="00E869B8"/>
    <w:rsid w:val="00E919C4"/>
    <w:rsid w:val="00E923B9"/>
    <w:rsid w:val="00E978D0"/>
    <w:rsid w:val="00EA3339"/>
    <w:rsid w:val="00EA4613"/>
    <w:rsid w:val="00EA7F91"/>
    <w:rsid w:val="00EB1523"/>
    <w:rsid w:val="00EC0E49"/>
    <w:rsid w:val="00EC101F"/>
    <w:rsid w:val="00EC1CDF"/>
    <w:rsid w:val="00EC1D9F"/>
    <w:rsid w:val="00EC5083"/>
    <w:rsid w:val="00EC63F0"/>
    <w:rsid w:val="00ED0333"/>
    <w:rsid w:val="00ED33BC"/>
    <w:rsid w:val="00ED4648"/>
    <w:rsid w:val="00ED5143"/>
    <w:rsid w:val="00ED635C"/>
    <w:rsid w:val="00ED6AD5"/>
    <w:rsid w:val="00ED6C08"/>
    <w:rsid w:val="00EE0131"/>
    <w:rsid w:val="00EE17B0"/>
    <w:rsid w:val="00EE22D3"/>
    <w:rsid w:val="00EE39D5"/>
    <w:rsid w:val="00EE3ED6"/>
    <w:rsid w:val="00EE7E62"/>
    <w:rsid w:val="00EF06D9"/>
    <w:rsid w:val="00EF28B3"/>
    <w:rsid w:val="00EF44CB"/>
    <w:rsid w:val="00EF6F3D"/>
    <w:rsid w:val="00F010B8"/>
    <w:rsid w:val="00F07FA0"/>
    <w:rsid w:val="00F13850"/>
    <w:rsid w:val="00F146F6"/>
    <w:rsid w:val="00F176A8"/>
    <w:rsid w:val="00F214E6"/>
    <w:rsid w:val="00F272A9"/>
    <w:rsid w:val="00F27630"/>
    <w:rsid w:val="00F27E91"/>
    <w:rsid w:val="00F3049E"/>
    <w:rsid w:val="00F30C64"/>
    <w:rsid w:val="00F316F3"/>
    <w:rsid w:val="00F31A5D"/>
    <w:rsid w:val="00F32BA2"/>
    <w:rsid w:val="00F32CDB"/>
    <w:rsid w:val="00F33A63"/>
    <w:rsid w:val="00F35276"/>
    <w:rsid w:val="00F3657F"/>
    <w:rsid w:val="00F46ABC"/>
    <w:rsid w:val="00F5160E"/>
    <w:rsid w:val="00F55B6F"/>
    <w:rsid w:val="00F5645C"/>
    <w:rsid w:val="00F565FE"/>
    <w:rsid w:val="00F56E42"/>
    <w:rsid w:val="00F61A3B"/>
    <w:rsid w:val="00F63A70"/>
    <w:rsid w:val="00F63D8C"/>
    <w:rsid w:val="00F71621"/>
    <w:rsid w:val="00F7359B"/>
    <w:rsid w:val="00F74429"/>
    <w:rsid w:val="00F7534E"/>
    <w:rsid w:val="00F773C9"/>
    <w:rsid w:val="00F80277"/>
    <w:rsid w:val="00F804C8"/>
    <w:rsid w:val="00F83043"/>
    <w:rsid w:val="00F86BEF"/>
    <w:rsid w:val="00F870D2"/>
    <w:rsid w:val="00F9039B"/>
    <w:rsid w:val="00F908C5"/>
    <w:rsid w:val="00F936B5"/>
    <w:rsid w:val="00F93EDF"/>
    <w:rsid w:val="00F95EC7"/>
    <w:rsid w:val="00F9611C"/>
    <w:rsid w:val="00FA0655"/>
    <w:rsid w:val="00FA1802"/>
    <w:rsid w:val="00FA21D0"/>
    <w:rsid w:val="00FA2453"/>
    <w:rsid w:val="00FA2B4A"/>
    <w:rsid w:val="00FA3921"/>
    <w:rsid w:val="00FA5F5F"/>
    <w:rsid w:val="00FA7C63"/>
    <w:rsid w:val="00FB1290"/>
    <w:rsid w:val="00FB3B65"/>
    <w:rsid w:val="00FB730C"/>
    <w:rsid w:val="00FB767F"/>
    <w:rsid w:val="00FB7C65"/>
    <w:rsid w:val="00FC0D7E"/>
    <w:rsid w:val="00FC2284"/>
    <w:rsid w:val="00FC2695"/>
    <w:rsid w:val="00FC28D5"/>
    <w:rsid w:val="00FC3E03"/>
    <w:rsid w:val="00FC3FC1"/>
    <w:rsid w:val="00FC4CD3"/>
    <w:rsid w:val="00FC5F08"/>
    <w:rsid w:val="00FC6250"/>
    <w:rsid w:val="00FE378B"/>
    <w:rsid w:val="00FE3BC7"/>
    <w:rsid w:val="00FE47F3"/>
    <w:rsid w:val="00FE4FE4"/>
    <w:rsid w:val="00FE6881"/>
    <w:rsid w:val="00FF3092"/>
    <w:rsid w:val="00FF31BE"/>
    <w:rsid w:val="00FF4138"/>
    <w:rsid w:val="00FF5A2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7D5C1438-36C8-4F0B-AC6A-2F145A77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C2284"/>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C2284"/>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table" w:styleId="Tablaconcuadrculaclara">
    <w:name w:val="Grid Table Light"/>
    <w:basedOn w:val="Tablanormal"/>
    <w:uiPriority w:val="40"/>
    <w:rsid w:val="002739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D76FCE"/>
    <w:rPr>
      <w:color w:val="808080"/>
    </w:rPr>
  </w:style>
  <w:style w:type="paragraph" w:customStyle="1" w:styleId="paragraph">
    <w:name w:val="paragraph"/>
    <w:basedOn w:val="Normal"/>
    <w:rsid w:val="00E51C65"/>
    <w:pPr>
      <w:tabs>
        <w:tab w:val="clear" w:pos="7100"/>
      </w:tabs>
      <w:spacing w:before="100" w:beforeAutospacing="1" w:after="100" w:afterAutospacing="1" w:line="240" w:lineRule="auto"/>
      <w:jc w:val="left"/>
    </w:pPr>
    <w:rPr>
      <w:rFonts w:ascii="Times New Roman" w:hAnsi="Times New Roman"/>
      <w:sz w:val="24"/>
      <w:szCs w:val="24"/>
      <w:lang w:val="es-EC" w:eastAsia="es-EC"/>
    </w:rPr>
  </w:style>
  <w:style w:type="character" w:customStyle="1" w:styleId="normaltextrun">
    <w:name w:val="normaltextrun"/>
    <w:basedOn w:val="Fuentedeprrafopredeter"/>
    <w:rsid w:val="00E51C65"/>
  </w:style>
  <w:style w:type="character" w:customStyle="1" w:styleId="eop">
    <w:name w:val="eop"/>
    <w:basedOn w:val="Fuentedeprrafopredeter"/>
    <w:rsid w:val="00E51C65"/>
  </w:style>
  <w:style w:type="paragraph" w:styleId="Revisin">
    <w:name w:val="Revision"/>
    <w:hidden/>
    <w:uiPriority w:val="99"/>
    <w:semiHidden/>
    <w:rsid w:val="00B64A63"/>
    <w:pPr>
      <w:spacing w:after="0" w:line="240" w:lineRule="auto"/>
    </w:pPr>
    <w:rPr>
      <w:rFonts w:ascii="Arial" w:eastAsia="Times New Roman" w:hAnsi="Arial" w:cs="Times New Roman"/>
      <w:sz w:val="18"/>
      <w:szCs w:val="20"/>
      <w:lang w:val="en-GB"/>
    </w:rPr>
  </w:style>
  <w:style w:type="character" w:styleId="Mencinsinresolver">
    <w:name w:val="Unresolved Mention"/>
    <w:basedOn w:val="Fuentedeprrafopredeter"/>
    <w:uiPriority w:val="99"/>
    <w:semiHidden/>
    <w:unhideWhenUsed/>
    <w:rsid w:val="00E748AB"/>
    <w:rPr>
      <w:color w:val="605E5C"/>
      <w:shd w:val="clear" w:color="auto" w:fill="E1DFDD"/>
    </w:rPr>
  </w:style>
  <w:style w:type="numbering" w:customStyle="1" w:styleId="CurrentList1">
    <w:name w:val="Current List1"/>
    <w:uiPriority w:val="99"/>
    <w:rsid w:val="00916ED1"/>
    <w:pPr>
      <w:numPr>
        <w:numId w:val="23"/>
      </w:numPr>
    </w:pPr>
  </w:style>
  <w:style w:type="numbering" w:customStyle="1" w:styleId="CurrentList2">
    <w:name w:val="Current List2"/>
    <w:uiPriority w:val="99"/>
    <w:rsid w:val="00FC2284"/>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2799">
      <w:bodyDiv w:val="1"/>
      <w:marLeft w:val="0"/>
      <w:marRight w:val="0"/>
      <w:marTop w:val="0"/>
      <w:marBottom w:val="0"/>
      <w:divBdr>
        <w:top w:val="none" w:sz="0" w:space="0" w:color="auto"/>
        <w:left w:val="none" w:sz="0" w:space="0" w:color="auto"/>
        <w:bottom w:val="none" w:sz="0" w:space="0" w:color="auto"/>
        <w:right w:val="none" w:sz="0" w:space="0" w:color="auto"/>
      </w:divBdr>
    </w:div>
    <w:div w:id="259876420">
      <w:bodyDiv w:val="1"/>
      <w:marLeft w:val="0"/>
      <w:marRight w:val="0"/>
      <w:marTop w:val="0"/>
      <w:marBottom w:val="0"/>
      <w:divBdr>
        <w:top w:val="none" w:sz="0" w:space="0" w:color="auto"/>
        <w:left w:val="none" w:sz="0" w:space="0" w:color="auto"/>
        <w:bottom w:val="none" w:sz="0" w:space="0" w:color="auto"/>
        <w:right w:val="none" w:sz="0" w:space="0" w:color="auto"/>
      </w:divBdr>
    </w:div>
    <w:div w:id="325329515">
      <w:bodyDiv w:val="1"/>
      <w:marLeft w:val="0"/>
      <w:marRight w:val="0"/>
      <w:marTop w:val="0"/>
      <w:marBottom w:val="0"/>
      <w:divBdr>
        <w:top w:val="none" w:sz="0" w:space="0" w:color="auto"/>
        <w:left w:val="none" w:sz="0" w:space="0" w:color="auto"/>
        <w:bottom w:val="none" w:sz="0" w:space="0" w:color="auto"/>
        <w:right w:val="none" w:sz="0" w:space="0" w:color="auto"/>
      </w:divBdr>
    </w:div>
    <w:div w:id="530653225">
      <w:bodyDiv w:val="1"/>
      <w:marLeft w:val="0"/>
      <w:marRight w:val="0"/>
      <w:marTop w:val="0"/>
      <w:marBottom w:val="0"/>
      <w:divBdr>
        <w:top w:val="none" w:sz="0" w:space="0" w:color="auto"/>
        <w:left w:val="none" w:sz="0" w:space="0" w:color="auto"/>
        <w:bottom w:val="none" w:sz="0" w:space="0" w:color="auto"/>
        <w:right w:val="none" w:sz="0" w:space="0" w:color="auto"/>
      </w:divBdr>
      <w:divsChild>
        <w:div w:id="1530559439">
          <w:marLeft w:val="0"/>
          <w:marRight w:val="0"/>
          <w:marTop w:val="0"/>
          <w:marBottom w:val="0"/>
          <w:divBdr>
            <w:top w:val="none" w:sz="0" w:space="0" w:color="auto"/>
            <w:left w:val="none" w:sz="0" w:space="0" w:color="auto"/>
            <w:bottom w:val="none" w:sz="0" w:space="0" w:color="auto"/>
            <w:right w:val="none" w:sz="0" w:space="0" w:color="auto"/>
          </w:divBdr>
        </w:div>
        <w:div w:id="1743021475">
          <w:marLeft w:val="0"/>
          <w:marRight w:val="0"/>
          <w:marTop w:val="0"/>
          <w:marBottom w:val="0"/>
          <w:divBdr>
            <w:top w:val="none" w:sz="0" w:space="0" w:color="auto"/>
            <w:left w:val="none" w:sz="0" w:space="0" w:color="auto"/>
            <w:bottom w:val="none" w:sz="0" w:space="0" w:color="auto"/>
            <w:right w:val="none" w:sz="0" w:space="0" w:color="auto"/>
          </w:divBdr>
        </w:div>
        <w:div w:id="1765374285">
          <w:marLeft w:val="0"/>
          <w:marRight w:val="0"/>
          <w:marTop w:val="0"/>
          <w:marBottom w:val="0"/>
          <w:divBdr>
            <w:top w:val="none" w:sz="0" w:space="0" w:color="auto"/>
            <w:left w:val="none" w:sz="0" w:space="0" w:color="auto"/>
            <w:bottom w:val="none" w:sz="0" w:space="0" w:color="auto"/>
            <w:right w:val="none" w:sz="0" w:space="0" w:color="auto"/>
          </w:divBdr>
          <w:divsChild>
            <w:div w:id="1467552241">
              <w:marLeft w:val="0"/>
              <w:marRight w:val="0"/>
              <w:marTop w:val="0"/>
              <w:marBottom w:val="0"/>
              <w:divBdr>
                <w:top w:val="none" w:sz="0" w:space="0" w:color="auto"/>
                <w:left w:val="none" w:sz="0" w:space="0" w:color="auto"/>
                <w:bottom w:val="none" w:sz="0" w:space="0" w:color="auto"/>
                <w:right w:val="none" w:sz="0" w:space="0" w:color="auto"/>
              </w:divBdr>
              <w:divsChild>
                <w:div w:id="11450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0026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3055">
      <w:bodyDiv w:val="1"/>
      <w:marLeft w:val="0"/>
      <w:marRight w:val="0"/>
      <w:marTop w:val="0"/>
      <w:marBottom w:val="0"/>
      <w:divBdr>
        <w:top w:val="none" w:sz="0" w:space="0" w:color="auto"/>
        <w:left w:val="none" w:sz="0" w:space="0" w:color="auto"/>
        <w:bottom w:val="none" w:sz="0" w:space="0" w:color="auto"/>
        <w:right w:val="none" w:sz="0" w:space="0" w:color="auto"/>
      </w:divBdr>
    </w:div>
    <w:div w:id="839465664">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6450571">
      <w:bodyDiv w:val="1"/>
      <w:marLeft w:val="0"/>
      <w:marRight w:val="0"/>
      <w:marTop w:val="0"/>
      <w:marBottom w:val="0"/>
      <w:divBdr>
        <w:top w:val="none" w:sz="0" w:space="0" w:color="auto"/>
        <w:left w:val="none" w:sz="0" w:space="0" w:color="auto"/>
        <w:bottom w:val="none" w:sz="0" w:space="0" w:color="auto"/>
        <w:right w:val="none" w:sz="0" w:space="0" w:color="auto"/>
      </w:divBdr>
      <w:divsChild>
        <w:div w:id="265621263">
          <w:marLeft w:val="0"/>
          <w:marRight w:val="0"/>
          <w:marTop w:val="0"/>
          <w:marBottom w:val="0"/>
          <w:divBdr>
            <w:top w:val="none" w:sz="0" w:space="0" w:color="auto"/>
            <w:left w:val="none" w:sz="0" w:space="0" w:color="auto"/>
            <w:bottom w:val="none" w:sz="0" w:space="0" w:color="auto"/>
            <w:right w:val="none" w:sz="0" w:space="0" w:color="auto"/>
          </w:divBdr>
          <w:divsChild>
            <w:div w:id="893930612">
              <w:marLeft w:val="0"/>
              <w:marRight w:val="0"/>
              <w:marTop w:val="0"/>
              <w:marBottom w:val="0"/>
              <w:divBdr>
                <w:top w:val="none" w:sz="0" w:space="0" w:color="auto"/>
                <w:left w:val="none" w:sz="0" w:space="0" w:color="auto"/>
                <w:bottom w:val="none" w:sz="0" w:space="0" w:color="auto"/>
                <w:right w:val="none" w:sz="0" w:space="0" w:color="auto"/>
              </w:divBdr>
              <w:divsChild>
                <w:div w:id="16316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19313">
          <w:marLeft w:val="0"/>
          <w:marRight w:val="0"/>
          <w:marTop w:val="0"/>
          <w:marBottom w:val="0"/>
          <w:divBdr>
            <w:top w:val="none" w:sz="0" w:space="0" w:color="auto"/>
            <w:left w:val="none" w:sz="0" w:space="0" w:color="auto"/>
            <w:bottom w:val="none" w:sz="0" w:space="0" w:color="auto"/>
            <w:right w:val="none" w:sz="0" w:space="0" w:color="auto"/>
          </w:divBdr>
          <w:divsChild>
            <w:div w:id="525212880">
              <w:marLeft w:val="0"/>
              <w:marRight w:val="0"/>
              <w:marTop w:val="0"/>
              <w:marBottom w:val="0"/>
              <w:divBdr>
                <w:top w:val="none" w:sz="0" w:space="0" w:color="auto"/>
                <w:left w:val="none" w:sz="0" w:space="0" w:color="auto"/>
                <w:bottom w:val="none" w:sz="0" w:space="0" w:color="auto"/>
                <w:right w:val="none" w:sz="0" w:space="0" w:color="auto"/>
              </w:divBdr>
              <w:divsChild>
                <w:div w:id="995648813">
                  <w:marLeft w:val="0"/>
                  <w:marRight w:val="0"/>
                  <w:marTop w:val="0"/>
                  <w:marBottom w:val="0"/>
                  <w:divBdr>
                    <w:top w:val="none" w:sz="0" w:space="0" w:color="auto"/>
                    <w:left w:val="none" w:sz="0" w:space="0" w:color="auto"/>
                    <w:bottom w:val="none" w:sz="0" w:space="0" w:color="auto"/>
                    <w:right w:val="none" w:sz="0" w:space="0" w:color="auto"/>
                  </w:divBdr>
                  <w:divsChild>
                    <w:div w:id="1150753312">
                      <w:marLeft w:val="0"/>
                      <w:marRight w:val="0"/>
                      <w:marTop w:val="0"/>
                      <w:marBottom w:val="0"/>
                      <w:divBdr>
                        <w:top w:val="none" w:sz="0" w:space="0" w:color="auto"/>
                        <w:left w:val="none" w:sz="0" w:space="0" w:color="auto"/>
                        <w:bottom w:val="none" w:sz="0" w:space="0" w:color="auto"/>
                        <w:right w:val="none" w:sz="0" w:space="0" w:color="auto"/>
                      </w:divBdr>
                      <w:divsChild>
                        <w:div w:id="16504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40226">
              <w:marLeft w:val="0"/>
              <w:marRight w:val="0"/>
              <w:marTop w:val="0"/>
              <w:marBottom w:val="0"/>
              <w:divBdr>
                <w:top w:val="none" w:sz="0" w:space="0" w:color="auto"/>
                <w:left w:val="none" w:sz="0" w:space="0" w:color="auto"/>
                <w:bottom w:val="none" w:sz="0" w:space="0" w:color="auto"/>
                <w:right w:val="none" w:sz="0" w:space="0" w:color="auto"/>
              </w:divBdr>
              <w:divsChild>
                <w:div w:id="324474903">
                  <w:marLeft w:val="0"/>
                  <w:marRight w:val="0"/>
                  <w:marTop w:val="0"/>
                  <w:marBottom w:val="0"/>
                  <w:divBdr>
                    <w:top w:val="none" w:sz="0" w:space="0" w:color="auto"/>
                    <w:left w:val="none" w:sz="0" w:space="0" w:color="auto"/>
                    <w:bottom w:val="none" w:sz="0" w:space="0" w:color="auto"/>
                    <w:right w:val="none" w:sz="0" w:space="0" w:color="auto"/>
                  </w:divBdr>
                  <w:divsChild>
                    <w:div w:id="16409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50086">
          <w:marLeft w:val="0"/>
          <w:marRight w:val="0"/>
          <w:marTop w:val="100"/>
          <w:marBottom w:val="0"/>
          <w:divBdr>
            <w:top w:val="none" w:sz="0" w:space="0" w:color="auto"/>
            <w:left w:val="none" w:sz="0" w:space="0" w:color="auto"/>
            <w:bottom w:val="none" w:sz="0" w:space="0" w:color="auto"/>
            <w:right w:val="none" w:sz="0" w:space="0" w:color="auto"/>
          </w:divBdr>
        </w:div>
        <w:div w:id="1650983698">
          <w:marLeft w:val="0"/>
          <w:marRight w:val="0"/>
          <w:marTop w:val="0"/>
          <w:marBottom w:val="0"/>
          <w:divBdr>
            <w:top w:val="none" w:sz="0" w:space="0" w:color="auto"/>
            <w:left w:val="none" w:sz="0" w:space="0" w:color="auto"/>
            <w:bottom w:val="none" w:sz="0" w:space="0" w:color="auto"/>
            <w:right w:val="none" w:sz="0" w:space="0" w:color="auto"/>
          </w:divBdr>
          <w:divsChild>
            <w:div w:id="15655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1981">
      <w:bodyDiv w:val="1"/>
      <w:marLeft w:val="0"/>
      <w:marRight w:val="0"/>
      <w:marTop w:val="0"/>
      <w:marBottom w:val="0"/>
      <w:divBdr>
        <w:top w:val="none" w:sz="0" w:space="0" w:color="auto"/>
        <w:left w:val="none" w:sz="0" w:space="0" w:color="auto"/>
        <w:bottom w:val="none" w:sz="0" w:space="0" w:color="auto"/>
        <w:right w:val="none" w:sz="0" w:space="0" w:color="auto"/>
      </w:divBdr>
    </w:div>
    <w:div w:id="1128818749">
      <w:bodyDiv w:val="1"/>
      <w:marLeft w:val="0"/>
      <w:marRight w:val="0"/>
      <w:marTop w:val="0"/>
      <w:marBottom w:val="0"/>
      <w:divBdr>
        <w:top w:val="none" w:sz="0" w:space="0" w:color="auto"/>
        <w:left w:val="none" w:sz="0" w:space="0" w:color="auto"/>
        <w:bottom w:val="none" w:sz="0" w:space="0" w:color="auto"/>
        <w:right w:val="none" w:sz="0" w:space="0" w:color="auto"/>
      </w:divBdr>
      <w:divsChild>
        <w:div w:id="198662696">
          <w:marLeft w:val="0"/>
          <w:marRight w:val="0"/>
          <w:marTop w:val="0"/>
          <w:marBottom w:val="0"/>
          <w:divBdr>
            <w:top w:val="none" w:sz="0" w:space="0" w:color="auto"/>
            <w:left w:val="none" w:sz="0" w:space="0" w:color="auto"/>
            <w:bottom w:val="none" w:sz="0" w:space="0" w:color="auto"/>
            <w:right w:val="none" w:sz="0" w:space="0" w:color="auto"/>
          </w:divBdr>
          <w:divsChild>
            <w:div w:id="549344712">
              <w:marLeft w:val="0"/>
              <w:marRight w:val="0"/>
              <w:marTop w:val="0"/>
              <w:marBottom w:val="0"/>
              <w:divBdr>
                <w:top w:val="none" w:sz="0" w:space="0" w:color="auto"/>
                <w:left w:val="none" w:sz="0" w:space="0" w:color="auto"/>
                <w:bottom w:val="none" w:sz="0" w:space="0" w:color="auto"/>
                <w:right w:val="none" w:sz="0" w:space="0" w:color="auto"/>
              </w:divBdr>
              <w:divsChild>
                <w:div w:id="518591664">
                  <w:marLeft w:val="0"/>
                  <w:marRight w:val="0"/>
                  <w:marTop w:val="0"/>
                  <w:marBottom w:val="0"/>
                  <w:divBdr>
                    <w:top w:val="none" w:sz="0" w:space="0" w:color="auto"/>
                    <w:left w:val="none" w:sz="0" w:space="0" w:color="auto"/>
                    <w:bottom w:val="none" w:sz="0" w:space="0" w:color="auto"/>
                    <w:right w:val="none" w:sz="0" w:space="0" w:color="auto"/>
                  </w:divBdr>
                  <w:divsChild>
                    <w:div w:id="16483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7643">
              <w:marLeft w:val="0"/>
              <w:marRight w:val="0"/>
              <w:marTop w:val="0"/>
              <w:marBottom w:val="0"/>
              <w:divBdr>
                <w:top w:val="none" w:sz="0" w:space="0" w:color="auto"/>
                <w:left w:val="none" w:sz="0" w:space="0" w:color="auto"/>
                <w:bottom w:val="none" w:sz="0" w:space="0" w:color="auto"/>
                <w:right w:val="none" w:sz="0" w:space="0" w:color="auto"/>
              </w:divBdr>
              <w:divsChild>
                <w:div w:id="1560172106">
                  <w:marLeft w:val="0"/>
                  <w:marRight w:val="0"/>
                  <w:marTop w:val="0"/>
                  <w:marBottom w:val="0"/>
                  <w:divBdr>
                    <w:top w:val="none" w:sz="0" w:space="0" w:color="auto"/>
                    <w:left w:val="none" w:sz="0" w:space="0" w:color="auto"/>
                    <w:bottom w:val="none" w:sz="0" w:space="0" w:color="auto"/>
                    <w:right w:val="none" w:sz="0" w:space="0" w:color="auto"/>
                  </w:divBdr>
                  <w:divsChild>
                    <w:div w:id="1071003097">
                      <w:marLeft w:val="0"/>
                      <w:marRight w:val="0"/>
                      <w:marTop w:val="0"/>
                      <w:marBottom w:val="0"/>
                      <w:divBdr>
                        <w:top w:val="none" w:sz="0" w:space="0" w:color="auto"/>
                        <w:left w:val="none" w:sz="0" w:space="0" w:color="auto"/>
                        <w:bottom w:val="none" w:sz="0" w:space="0" w:color="auto"/>
                        <w:right w:val="none" w:sz="0" w:space="0" w:color="auto"/>
                      </w:divBdr>
                      <w:divsChild>
                        <w:div w:id="2674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78686">
          <w:marLeft w:val="0"/>
          <w:marRight w:val="0"/>
          <w:marTop w:val="0"/>
          <w:marBottom w:val="0"/>
          <w:divBdr>
            <w:top w:val="none" w:sz="0" w:space="0" w:color="auto"/>
            <w:left w:val="none" w:sz="0" w:space="0" w:color="auto"/>
            <w:bottom w:val="none" w:sz="0" w:space="0" w:color="auto"/>
            <w:right w:val="none" w:sz="0" w:space="0" w:color="auto"/>
          </w:divBdr>
          <w:divsChild>
            <w:div w:id="422381092">
              <w:marLeft w:val="0"/>
              <w:marRight w:val="0"/>
              <w:marTop w:val="0"/>
              <w:marBottom w:val="0"/>
              <w:divBdr>
                <w:top w:val="none" w:sz="0" w:space="0" w:color="auto"/>
                <w:left w:val="none" w:sz="0" w:space="0" w:color="auto"/>
                <w:bottom w:val="none" w:sz="0" w:space="0" w:color="auto"/>
                <w:right w:val="none" w:sz="0" w:space="0" w:color="auto"/>
              </w:divBdr>
              <w:divsChild>
                <w:div w:id="18088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4693">
          <w:marLeft w:val="0"/>
          <w:marRight w:val="0"/>
          <w:marTop w:val="100"/>
          <w:marBottom w:val="0"/>
          <w:divBdr>
            <w:top w:val="none" w:sz="0" w:space="0" w:color="auto"/>
            <w:left w:val="none" w:sz="0" w:space="0" w:color="auto"/>
            <w:bottom w:val="none" w:sz="0" w:space="0" w:color="auto"/>
            <w:right w:val="none" w:sz="0" w:space="0" w:color="auto"/>
          </w:divBdr>
        </w:div>
        <w:div w:id="1657030767">
          <w:marLeft w:val="0"/>
          <w:marRight w:val="0"/>
          <w:marTop w:val="0"/>
          <w:marBottom w:val="0"/>
          <w:divBdr>
            <w:top w:val="none" w:sz="0" w:space="0" w:color="auto"/>
            <w:left w:val="none" w:sz="0" w:space="0" w:color="auto"/>
            <w:bottom w:val="none" w:sz="0" w:space="0" w:color="auto"/>
            <w:right w:val="none" w:sz="0" w:space="0" w:color="auto"/>
          </w:divBdr>
          <w:divsChild>
            <w:div w:id="7424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6875256">
      <w:bodyDiv w:val="1"/>
      <w:marLeft w:val="0"/>
      <w:marRight w:val="0"/>
      <w:marTop w:val="0"/>
      <w:marBottom w:val="0"/>
      <w:divBdr>
        <w:top w:val="none" w:sz="0" w:space="0" w:color="auto"/>
        <w:left w:val="none" w:sz="0" w:space="0" w:color="auto"/>
        <w:bottom w:val="none" w:sz="0" w:space="0" w:color="auto"/>
        <w:right w:val="none" w:sz="0" w:space="0" w:color="auto"/>
      </w:divBdr>
    </w:div>
    <w:div w:id="1480001860">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5589037">
      <w:bodyDiv w:val="1"/>
      <w:marLeft w:val="0"/>
      <w:marRight w:val="0"/>
      <w:marTop w:val="0"/>
      <w:marBottom w:val="0"/>
      <w:divBdr>
        <w:top w:val="none" w:sz="0" w:space="0" w:color="auto"/>
        <w:left w:val="none" w:sz="0" w:space="0" w:color="auto"/>
        <w:bottom w:val="none" w:sz="0" w:space="0" w:color="auto"/>
        <w:right w:val="none" w:sz="0" w:space="0" w:color="auto"/>
      </w:divBdr>
    </w:div>
    <w:div w:id="1526556227">
      <w:bodyDiv w:val="1"/>
      <w:marLeft w:val="0"/>
      <w:marRight w:val="0"/>
      <w:marTop w:val="0"/>
      <w:marBottom w:val="0"/>
      <w:divBdr>
        <w:top w:val="none" w:sz="0" w:space="0" w:color="auto"/>
        <w:left w:val="none" w:sz="0" w:space="0" w:color="auto"/>
        <w:bottom w:val="none" w:sz="0" w:space="0" w:color="auto"/>
        <w:right w:val="none" w:sz="0" w:space="0" w:color="auto"/>
      </w:divBdr>
    </w:div>
    <w:div w:id="154024046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11904">
      <w:bodyDiv w:val="1"/>
      <w:marLeft w:val="0"/>
      <w:marRight w:val="0"/>
      <w:marTop w:val="0"/>
      <w:marBottom w:val="0"/>
      <w:divBdr>
        <w:top w:val="none" w:sz="0" w:space="0" w:color="auto"/>
        <w:left w:val="none" w:sz="0" w:space="0" w:color="auto"/>
        <w:bottom w:val="none" w:sz="0" w:space="0" w:color="auto"/>
        <w:right w:val="none" w:sz="0" w:space="0" w:color="auto"/>
      </w:divBdr>
      <w:divsChild>
        <w:div w:id="409427930">
          <w:marLeft w:val="0"/>
          <w:marRight w:val="0"/>
          <w:marTop w:val="0"/>
          <w:marBottom w:val="0"/>
          <w:divBdr>
            <w:top w:val="none" w:sz="0" w:space="0" w:color="auto"/>
            <w:left w:val="none" w:sz="0" w:space="0" w:color="auto"/>
            <w:bottom w:val="none" w:sz="0" w:space="0" w:color="auto"/>
            <w:right w:val="none" w:sz="0" w:space="0" w:color="auto"/>
          </w:divBdr>
          <w:divsChild>
            <w:div w:id="128325969">
              <w:marLeft w:val="0"/>
              <w:marRight w:val="0"/>
              <w:marTop w:val="0"/>
              <w:marBottom w:val="0"/>
              <w:divBdr>
                <w:top w:val="none" w:sz="0" w:space="0" w:color="auto"/>
                <w:left w:val="none" w:sz="0" w:space="0" w:color="auto"/>
                <w:bottom w:val="none" w:sz="0" w:space="0" w:color="auto"/>
                <w:right w:val="none" w:sz="0" w:space="0" w:color="auto"/>
              </w:divBdr>
              <w:divsChild>
                <w:div w:id="70396311">
                  <w:marLeft w:val="0"/>
                  <w:marRight w:val="0"/>
                  <w:marTop w:val="0"/>
                  <w:marBottom w:val="0"/>
                  <w:divBdr>
                    <w:top w:val="none" w:sz="0" w:space="0" w:color="auto"/>
                    <w:left w:val="none" w:sz="0" w:space="0" w:color="auto"/>
                    <w:bottom w:val="none" w:sz="0" w:space="0" w:color="auto"/>
                    <w:right w:val="none" w:sz="0" w:space="0" w:color="auto"/>
                  </w:divBdr>
                  <w:divsChild>
                    <w:div w:id="1920214576">
                      <w:marLeft w:val="0"/>
                      <w:marRight w:val="0"/>
                      <w:marTop w:val="0"/>
                      <w:marBottom w:val="0"/>
                      <w:divBdr>
                        <w:top w:val="none" w:sz="0" w:space="0" w:color="auto"/>
                        <w:left w:val="none" w:sz="0" w:space="0" w:color="auto"/>
                        <w:bottom w:val="none" w:sz="0" w:space="0" w:color="auto"/>
                        <w:right w:val="none" w:sz="0" w:space="0" w:color="auto"/>
                      </w:divBdr>
                      <w:divsChild>
                        <w:div w:id="8479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53836">
              <w:marLeft w:val="0"/>
              <w:marRight w:val="0"/>
              <w:marTop w:val="0"/>
              <w:marBottom w:val="0"/>
              <w:divBdr>
                <w:top w:val="none" w:sz="0" w:space="0" w:color="auto"/>
                <w:left w:val="none" w:sz="0" w:space="0" w:color="auto"/>
                <w:bottom w:val="none" w:sz="0" w:space="0" w:color="auto"/>
                <w:right w:val="none" w:sz="0" w:space="0" w:color="auto"/>
              </w:divBdr>
              <w:divsChild>
                <w:div w:id="1643147918">
                  <w:marLeft w:val="0"/>
                  <w:marRight w:val="0"/>
                  <w:marTop w:val="0"/>
                  <w:marBottom w:val="0"/>
                  <w:divBdr>
                    <w:top w:val="none" w:sz="0" w:space="0" w:color="auto"/>
                    <w:left w:val="none" w:sz="0" w:space="0" w:color="auto"/>
                    <w:bottom w:val="none" w:sz="0" w:space="0" w:color="auto"/>
                    <w:right w:val="none" w:sz="0" w:space="0" w:color="auto"/>
                  </w:divBdr>
                  <w:divsChild>
                    <w:div w:id="11080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13131">
          <w:marLeft w:val="0"/>
          <w:marRight w:val="0"/>
          <w:marTop w:val="100"/>
          <w:marBottom w:val="0"/>
          <w:divBdr>
            <w:top w:val="none" w:sz="0" w:space="0" w:color="auto"/>
            <w:left w:val="none" w:sz="0" w:space="0" w:color="auto"/>
            <w:bottom w:val="none" w:sz="0" w:space="0" w:color="auto"/>
            <w:right w:val="none" w:sz="0" w:space="0" w:color="auto"/>
          </w:divBdr>
        </w:div>
      </w:divsChild>
    </w:div>
    <w:div w:id="1736852476">
      <w:bodyDiv w:val="1"/>
      <w:marLeft w:val="0"/>
      <w:marRight w:val="0"/>
      <w:marTop w:val="0"/>
      <w:marBottom w:val="0"/>
      <w:divBdr>
        <w:top w:val="none" w:sz="0" w:space="0" w:color="auto"/>
        <w:left w:val="none" w:sz="0" w:space="0" w:color="auto"/>
        <w:bottom w:val="none" w:sz="0" w:space="0" w:color="auto"/>
        <w:right w:val="none" w:sz="0" w:space="0" w:color="auto"/>
      </w:divBdr>
    </w:div>
    <w:div w:id="1774863330">
      <w:bodyDiv w:val="1"/>
      <w:marLeft w:val="0"/>
      <w:marRight w:val="0"/>
      <w:marTop w:val="0"/>
      <w:marBottom w:val="0"/>
      <w:divBdr>
        <w:top w:val="none" w:sz="0" w:space="0" w:color="auto"/>
        <w:left w:val="none" w:sz="0" w:space="0" w:color="auto"/>
        <w:bottom w:val="none" w:sz="0" w:space="0" w:color="auto"/>
        <w:right w:val="none" w:sz="0" w:space="0" w:color="auto"/>
      </w:divBdr>
    </w:div>
    <w:div w:id="193312835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13484</Words>
  <Characters>73627</Characters>
  <Application>Microsoft Office Word</Application>
  <DocSecurity>0</DocSecurity>
  <Lines>10518</Lines>
  <Paragraphs>7919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79192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Alexander Paul Espinoza Vasquez</cp:lastModifiedBy>
  <cp:revision>2</cp:revision>
  <cp:lastPrinted>2015-05-12T20:31:00Z</cp:lastPrinted>
  <dcterms:created xsi:type="dcterms:W3CDTF">2023-06-15T03:03:00Z</dcterms:created>
  <dcterms:modified xsi:type="dcterms:W3CDTF">2023-06-15T03:03:00Z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6a06d97c405b2b6f53ec51b03bc59dd41e5d8579460e51b69d4abef0a4abab4f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86805ee6-7c7b-3d26-aae7-5d68f358c195</vt:lpwstr>
  </property>
  <property fmtid="{D5CDD505-2E9C-101B-9397-08002B2CF9AE}" pid="27" name="Mendeley Citation Style_1">
    <vt:lpwstr>http://www.zotero.org/styles/apa</vt:lpwstr>
  </property>
</Properties>
</file>