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 xml:space="preserve">auro Moresi, Francesco </w:t>
            </w:r>
            <w:proofErr w:type="spellStart"/>
            <w:r w:rsidR="003A6FC6">
              <w:rPr>
                <w:rFonts w:ascii="Tahoma" w:hAnsi="Tahoma" w:cs="Tahoma"/>
                <w:color w:val="000000"/>
                <w:sz w:val="14"/>
                <w:szCs w:val="14"/>
                <w:shd w:val="clear" w:color="auto" w:fill="FFFFFF"/>
                <w:lang w:val="it-IT"/>
              </w:rPr>
              <w:t>Donsì</w:t>
            </w:r>
            <w:proofErr w:type="spellEnd"/>
          </w:p>
          <w:p w14:paraId="1B0F1814" w14:textId="617BA86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078D8246" w:rsidR="00E978D0" w:rsidRPr="00FE6725" w:rsidRDefault="00546B8F" w:rsidP="00E978D0">
      <w:pPr>
        <w:pStyle w:val="CETTitle"/>
      </w:pPr>
      <w:r>
        <w:t xml:space="preserve">Polyphenols extraction from hazelnut skin using water as </w:t>
      </w:r>
      <w:r w:rsidRPr="00FE6725">
        <w:t xml:space="preserve">solvent: </w:t>
      </w:r>
      <w:r w:rsidR="000D20E8" w:rsidRPr="00FE6725">
        <w:t>equilibrium</w:t>
      </w:r>
      <w:r w:rsidRPr="00FE6725">
        <w:t xml:space="preserve"> studies and </w:t>
      </w:r>
      <w:r w:rsidR="000D20E8" w:rsidRPr="00FE6725">
        <w:t>quantification</w:t>
      </w:r>
      <w:r w:rsidRPr="00FE6725">
        <w:t xml:space="preserve"> of the total extractable polyphenols</w:t>
      </w:r>
    </w:p>
    <w:p w14:paraId="0488FED2" w14:textId="0FDCD25A" w:rsidR="00B57E6F" w:rsidRPr="00FE6725" w:rsidRDefault="00471C0D" w:rsidP="00B57E6F">
      <w:pPr>
        <w:pStyle w:val="CETAuthors"/>
        <w:rPr>
          <w:lang w:val="it-IT"/>
        </w:rPr>
      </w:pPr>
      <w:r w:rsidRPr="00FE6725">
        <w:rPr>
          <w:lang w:val="it-IT"/>
        </w:rPr>
        <w:t>Alice Bertino</w:t>
      </w:r>
      <w:r w:rsidR="00B57E6F" w:rsidRPr="00FE6725">
        <w:rPr>
          <w:vertAlign w:val="superscript"/>
          <w:lang w:val="it-IT"/>
        </w:rPr>
        <w:t>a</w:t>
      </w:r>
      <w:r w:rsidRPr="00FE6725">
        <w:rPr>
          <w:vertAlign w:val="superscript"/>
          <w:lang w:val="it-IT"/>
        </w:rPr>
        <w:t>,</w:t>
      </w:r>
      <w:r w:rsidRPr="00FE6725">
        <w:rPr>
          <w:lang w:val="it-IT"/>
        </w:rPr>
        <w:t>*</w:t>
      </w:r>
      <w:r w:rsidR="00B57E6F" w:rsidRPr="00FE6725">
        <w:rPr>
          <w:lang w:val="it-IT"/>
        </w:rPr>
        <w:t xml:space="preserve">, </w:t>
      </w:r>
      <w:r w:rsidRPr="00FE6725">
        <w:rPr>
          <w:lang w:val="it-IT"/>
        </w:rPr>
        <w:t>Leone Mazzeo</w:t>
      </w:r>
      <w:r w:rsidRPr="00FE6725">
        <w:rPr>
          <w:vertAlign w:val="superscript"/>
          <w:lang w:val="it-IT"/>
        </w:rPr>
        <w:t>a</w:t>
      </w:r>
      <w:r w:rsidRPr="00FE6725">
        <w:rPr>
          <w:lang w:val="it-IT"/>
        </w:rPr>
        <w:t>, Valeria Gallo</w:t>
      </w:r>
      <w:r w:rsidR="00B57E6F" w:rsidRPr="00FE6725">
        <w:rPr>
          <w:vertAlign w:val="superscript"/>
          <w:lang w:val="it-IT"/>
        </w:rPr>
        <w:t>b</w:t>
      </w:r>
      <w:r w:rsidR="00B57E6F" w:rsidRPr="00FE6725">
        <w:rPr>
          <w:lang w:val="it-IT"/>
        </w:rPr>
        <w:t xml:space="preserve">, </w:t>
      </w:r>
      <w:r w:rsidR="006955D2" w:rsidRPr="00FE6725">
        <w:rPr>
          <w:lang w:val="it-IT"/>
        </w:rPr>
        <w:t>Susanna Della Posta</w:t>
      </w:r>
      <w:r w:rsidR="006955D2" w:rsidRPr="00FE6725">
        <w:rPr>
          <w:vertAlign w:val="superscript"/>
          <w:lang w:val="it-IT"/>
        </w:rPr>
        <w:t>b</w:t>
      </w:r>
      <w:r w:rsidR="006955D2" w:rsidRPr="00FE6725">
        <w:rPr>
          <w:lang w:val="it-IT"/>
        </w:rPr>
        <w:t xml:space="preserve">, </w:t>
      </w:r>
      <w:r w:rsidR="0061176F" w:rsidRPr="00FE6725">
        <w:rPr>
          <w:lang w:val="it-IT"/>
        </w:rPr>
        <w:t>Chiara Fanali</w:t>
      </w:r>
      <w:r w:rsidR="006955D2" w:rsidRPr="00FE6725">
        <w:rPr>
          <w:vertAlign w:val="superscript"/>
          <w:lang w:val="it-IT"/>
        </w:rPr>
        <w:t>b</w:t>
      </w:r>
      <w:r w:rsidR="006955D2" w:rsidRPr="00FE6725">
        <w:rPr>
          <w:lang w:val="it-IT"/>
        </w:rPr>
        <w:t xml:space="preserve"> and V</w:t>
      </w:r>
      <w:r w:rsidR="0061176F" w:rsidRPr="00FE6725">
        <w:rPr>
          <w:lang w:val="it-IT"/>
        </w:rPr>
        <w:t>incenzo Piemonte</w:t>
      </w:r>
      <w:r w:rsidR="0061176F" w:rsidRPr="00FE6725">
        <w:rPr>
          <w:vertAlign w:val="superscript"/>
          <w:lang w:val="it-IT"/>
        </w:rPr>
        <w:t>a</w:t>
      </w:r>
    </w:p>
    <w:p w14:paraId="3AE9C225" w14:textId="11268BAE" w:rsidR="0061176F" w:rsidRPr="00FE6725" w:rsidRDefault="00B57E6F" w:rsidP="00B57E6F">
      <w:pPr>
        <w:pStyle w:val="CETAddress"/>
      </w:pPr>
      <w:r w:rsidRPr="00FE6725">
        <w:rPr>
          <w:vertAlign w:val="superscript"/>
        </w:rPr>
        <w:t>a</w:t>
      </w:r>
      <w:r w:rsidR="0061176F" w:rsidRPr="00FE6725">
        <w:t>Faculty of Science and technology for sustainable Development and One Healt, Unit of Chemical-physics Fundamentals in Chemical Engineering, University Campus Bio-medico of Rome, Via Alvaro del Portillo, 21, 00128 Rome, Italy;</w:t>
      </w:r>
    </w:p>
    <w:p w14:paraId="3D72B0B0" w14:textId="680B83E8" w:rsidR="00B57E6F" w:rsidRPr="00FE6725" w:rsidRDefault="00B57E6F" w:rsidP="00B57E6F">
      <w:pPr>
        <w:pStyle w:val="CETAddress"/>
      </w:pPr>
      <w:r w:rsidRPr="00FE6725">
        <w:rPr>
          <w:vertAlign w:val="superscript"/>
        </w:rPr>
        <w:t>b</w:t>
      </w:r>
      <w:r w:rsidR="00B40200" w:rsidRPr="00FE6725">
        <w:t>Faculty of Science and technology for sustainable Development and One Healt, Unit of Food and Nutrition Sciences, University Campus Bio-medico of Rome, Via Alvaro del Portillo, 21, 00128 Rome, Italy;</w:t>
      </w:r>
      <w:r w:rsidRPr="00FE6725">
        <w:t xml:space="preserve"> </w:t>
      </w:r>
    </w:p>
    <w:p w14:paraId="73F1267A" w14:textId="595D5650" w:rsidR="00B57E6F" w:rsidRPr="00FE6725" w:rsidRDefault="00B57E15" w:rsidP="00B57E6F">
      <w:pPr>
        <w:pStyle w:val="CETemail"/>
      </w:pPr>
      <w:r w:rsidRPr="00FE6725">
        <w:t xml:space="preserve"> </w:t>
      </w:r>
      <w:r w:rsidR="0061176F" w:rsidRPr="00FE6725">
        <w:t>*</w:t>
      </w:r>
      <w:r w:rsidRPr="00FE6725">
        <w:t xml:space="preserve"> alice</w:t>
      </w:r>
      <w:r w:rsidR="00B57E6F" w:rsidRPr="00FE6725">
        <w:t>.</w:t>
      </w:r>
      <w:r w:rsidRPr="00FE6725">
        <w:t>bertino</w:t>
      </w:r>
      <w:r w:rsidR="00B57E6F" w:rsidRPr="00FE6725">
        <w:t>@</w:t>
      </w:r>
      <w:r w:rsidRPr="00FE6725">
        <w:t>unicampus</w:t>
      </w:r>
      <w:r w:rsidR="00B57E6F" w:rsidRPr="00FE6725">
        <w:t>.</w:t>
      </w:r>
      <w:r w:rsidRPr="00FE6725">
        <w:t>it</w:t>
      </w:r>
    </w:p>
    <w:p w14:paraId="1FCCC030" w14:textId="7A331D90" w:rsidR="00600535" w:rsidRPr="00FE6725" w:rsidRDefault="00D71169" w:rsidP="00D71169">
      <w:pPr>
        <w:pStyle w:val="CETBodytext"/>
        <w:rPr>
          <w:b/>
        </w:rPr>
      </w:pPr>
      <w:bookmarkStart w:id="0" w:name="_Hlk495475023"/>
      <w:r w:rsidRPr="00FE6725">
        <w:t xml:space="preserve">In this work, a system for the </w:t>
      </w:r>
      <w:r w:rsidR="00960E92" w:rsidRPr="00FE6725">
        <w:t>extraction of</w:t>
      </w:r>
      <w:r w:rsidRPr="00FE6725">
        <w:t xml:space="preserve"> </w:t>
      </w:r>
      <w:r w:rsidR="00960E92" w:rsidRPr="00FE6725">
        <w:t>antioxidant agents</w:t>
      </w:r>
      <w:r w:rsidRPr="00FE6725">
        <w:t xml:space="preserve"> from </w:t>
      </w:r>
      <w:r w:rsidR="00960E92" w:rsidRPr="00FE6725">
        <w:t xml:space="preserve">waste </w:t>
      </w:r>
      <w:r w:rsidRPr="00FE6725">
        <w:t xml:space="preserve">vegetal matrices was studied. To this end, the extraction of polyphenols from </w:t>
      </w:r>
      <w:r w:rsidR="00451DD0" w:rsidRPr="00FE6725">
        <w:t xml:space="preserve">food </w:t>
      </w:r>
      <w:r w:rsidR="00960E92" w:rsidRPr="00FE6725">
        <w:t xml:space="preserve">waste </w:t>
      </w:r>
      <w:r w:rsidRPr="00FE6725">
        <w:t>hazelnut skin</w:t>
      </w:r>
      <w:r w:rsidR="00960E92" w:rsidRPr="00FE6725">
        <w:t>s</w:t>
      </w:r>
      <w:r w:rsidRPr="00FE6725">
        <w:t xml:space="preserve"> was taken into consideration as a case study and a continuous set-up using distilled water</w:t>
      </w:r>
      <w:r w:rsidR="00A9200B" w:rsidRPr="00FE6725">
        <w:t xml:space="preserve"> at 70 °C</w:t>
      </w:r>
      <w:r w:rsidRPr="00FE6725">
        <w:t xml:space="preserve"> as</w:t>
      </w:r>
      <w:r w:rsidR="006E1D08" w:rsidRPr="00FE6725">
        <w:t xml:space="preserve"> a</w:t>
      </w:r>
      <w:r w:rsidRPr="00FE6725">
        <w:t xml:space="preserve"> solvent has been developed. Various extraction cycles were performed at different solid/liquid ratios (ranging from 2 to </w:t>
      </w:r>
      <w:r w:rsidR="00534B52" w:rsidRPr="00FE6725">
        <w:t>5.7</w:t>
      </w:r>
      <w:r w:rsidRPr="00FE6725">
        <w:t xml:space="preserve"> g/l) in order to study the effect of this parameter on extraction efficiency</w:t>
      </w:r>
      <w:r w:rsidR="00960E92" w:rsidRPr="00FE6725">
        <w:t xml:space="preserve">. </w:t>
      </w:r>
      <w:r w:rsidR="00A9200B" w:rsidRPr="00FE6725">
        <w:t>Through a mass balance, d</w:t>
      </w:r>
      <w:r w:rsidR="00960E92" w:rsidRPr="00FE6725">
        <w:t xml:space="preserve">ata </w:t>
      </w:r>
      <w:r w:rsidR="00A9200B" w:rsidRPr="00FE6725">
        <w:t>obtained from the</w:t>
      </w:r>
      <w:r w:rsidR="00960E92" w:rsidRPr="00FE6725">
        <w:t xml:space="preserve"> various cycles were used to calculate the total extractable polyphenols</w:t>
      </w:r>
      <w:r w:rsidR="00A9200B" w:rsidRPr="00FE6725">
        <w:t>, and a value of 0.114 g of polyphenols per g of hazelnut skin was evaluated</w:t>
      </w:r>
      <w:r w:rsidR="00960E92" w:rsidRPr="00FE6725">
        <w:t xml:space="preserve">. </w:t>
      </w:r>
      <w:r w:rsidR="00A9200B" w:rsidRPr="00FE6725">
        <w:t>Moreover, for two selected cycles t</w:t>
      </w:r>
      <w:r w:rsidRPr="00FE6725">
        <w:t xml:space="preserve">he polyphenols concentration </w:t>
      </w:r>
      <w:r w:rsidR="00D46710" w:rsidRPr="00FE6725">
        <w:t>in the aqueous solution</w:t>
      </w:r>
      <w:r w:rsidRPr="00FE6725">
        <w:t xml:space="preserve"> was measured at different time intervals in order to </w:t>
      </w:r>
      <w:r w:rsidR="00724E6E" w:rsidRPr="00FE6725">
        <w:t>determine the extraction time</w:t>
      </w:r>
      <w:r w:rsidR="00A9200B" w:rsidRPr="00FE6725">
        <w:t xml:space="preserve">, and in both tests </w:t>
      </w:r>
      <w:r w:rsidR="00D46710" w:rsidRPr="00FE6725">
        <w:t>it</w:t>
      </w:r>
      <w:r w:rsidR="00A9200B" w:rsidRPr="00FE6725">
        <w:t xml:space="preserve"> </w:t>
      </w:r>
      <w:r w:rsidR="00D46710" w:rsidRPr="00FE6725">
        <w:t xml:space="preserve">reached a plateau within the first hour. Finally, equilibrium concentrations of polyphenols in liquid and solid phases of the six tests were correlated by a linear isotherm equation, and a partition coefficient of 0.0368 l/g was evaluated through a fitting of </w:t>
      </w:r>
      <w:r w:rsidR="006E1D08" w:rsidRPr="00FE6725">
        <w:t xml:space="preserve">experimental </w:t>
      </w:r>
      <w:r w:rsidR="00D46710" w:rsidRPr="00FE6725">
        <w:t>data.</w:t>
      </w:r>
    </w:p>
    <w:bookmarkEnd w:id="0"/>
    <w:p w14:paraId="6174838B" w14:textId="368F0870" w:rsidR="00B60796" w:rsidRPr="00FE6725" w:rsidRDefault="00600535" w:rsidP="00600535">
      <w:pPr>
        <w:pStyle w:val="CETHeading1"/>
        <w:rPr>
          <w:lang w:val="en-GB"/>
        </w:rPr>
      </w:pPr>
      <w:r w:rsidRPr="00FE6725">
        <w:rPr>
          <w:lang w:val="en-GB"/>
        </w:rPr>
        <w:t>Introduction</w:t>
      </w:r>
    </w:p>
    <w:p w14:paraId="58D932BE" w14:textId="451E6389" w:rsidR="00BF49F5" w:rsidRPr="00FE6725" w:rsidRDefault="00BF49F5" w:rsidP="00BF49F5">
      <w:pPr>
        <w:pStyle w:val="CETBodytext"/>
        <w:rPr>
          <w:lang w:val="en-GB"/>
        </w:rPr>
      </w:pPr>
      <w:r w:rsidRPr="00FE6725">
        <w:rPr>
          <w:lang w:val="en-GB"/>
        </w:rPr>
        <w:t xml:space="preserve">The unsustainable nature of the traditional linear economic model, driven by population growth and resource exploitation, has led to an urgent need for a viable alternative. The Circular Economy offers a solution by decoupling economic growth from the consumption of new resources and </w:t>
      </w:r>
      <w:r w:rsidR="00724E6E" w:rsidRPr="00FE6725">
        <w:rPr>
          <w:lang w:val="en-GB"/>
        </w:rPr>
        <w:t xml:space="preserve">by </w:t>
      </w:r>
      <w:r w:rsidRPr="00FE6725">
        <w:rPr>
          <w:lang w:val="en-GB"/>
        </w:rPr>
        <w:t>emphasizing the valorisation of waste as secondary raw materials.</w:t>
      </w:r>
    </w:p>
    <w:p w14:paraId="4CE2FC93" w14:textId="4B00856C" w:rsidR="001B5E21" w:rsidRPr="00FE6725" w:rsidRDefault="00BF49F5" w:rsidP="00BF49F5">
      <w:pPr>
        <w:pStyle w:val="CETBodytext"/>
        <w:rPr>
          <w:lang w:val="en-GB"/>
        </w:rPr>
      </w:pPr>
      <w:r w:rsidRPr="00FE6725">
        <w:rPr>
          <w:lang w:val="en-GB"/>
        </w:rPr>
        <w:t xml:space="preserve">In line with this concept, hazelnut skin, a waste product generated by various food industry processes, holds significant potential. </w:t>
      </w:r>
      <w:r w:rsidR="00964601" w:rsidRPr="00FE6725">
        <w:rPr>
          <w:lang w:val="en-GB"/>
        </w:rPr>
        <w:t>The Food and Agriculture Organisation of the United Nations (FAO) estimates that the world production of hazelnuts was almost 1.1 million tons in 2020</w:t>
      </w:r>
      <w:r w:rsidRPr="00FE6725">
        <w:rPr>
          <w:lang w:val="en-GB"/>
        </w:rPr>
        <w:t>, with</w:t>
      </w:r>
      <w:r w:rsidR="00451DD0" w:rsidRPr="00FE6725">
        <w:rPr>
          <w:lang w:val="en-GB"/>
        </w:rPr>
        <w:t xml:space="preserve"> </w:t>
      </w:r>
      <w:r w:rsidR="00964601" w:rsidRPr="00FE6725">
        <w:rPr>
          <w:lang w:val="en-GB"/>
        </w:rPr>
        <w:t xml:space="preserve">Turkey </w:t>
      </w:r>
      <w:r w:rsidRPr="00FE6725">
        <w:rPr>
          <w:lang w:val="en-GB"/>
        </w:rPr>
        <w:t>and Italy as the leading producers</w:t>
      </w:r>
      <w:r w:rsidR="00964601" w:rsidRPr="00FE6725">
        <w:rPr>
          <w:lang w:val="en-GB"/>
        </w:rPr>
        <w:t xml:space="preserve"> </w:t>
      </w:r>
      <w:r w:rsidR="003A4BB8" w:rsidRPr="00FE6725">
        <w:rPr>
          <w:lang w:val="en-GB"/>
        </w:rPr>
        <w:fldChar w:fldCharType="begin" w:fldLock="1"/>
      </w:r>
      <w:r w:rsidR="003A4BB8" w:rsidRPr="00FE6725">
        <w:rPr>
          <w:lang w:val="en-GB"/>
        </w:rPr>
        <w:instrText>ADDIN CSL_CITATION {"citationItems":[{"id":"ITEM-1","itemData":{"DOI":"10.1016/j.seppur.2005.03.007","id":"ITEM-1","issued":{"date-parts":[["0"]]},"title":"www.fao.org","type":"article"},"uris":["http://www.mendeley.com/documents/?uuid=79b128f1-200a-46ed-8e2a-68140327c90b"]}],"mendeley":{"formattedCitation":"(&lt;i&gt;Www.Fao.Org&lt;/i&gt;, n.d.)","manualFormatting":"(www.Fao.Org)","plainTextFormattedCitation":"(Www.Fao.Org, n.d.)","previouslyFormattedCitation":"(&lt;i&gt;Www.Fao.Org&lt;/i&gt;, n.d.)"},"properties":{"noteIndex":0},"schema":"https://github.com/citation-style-language/schema/raw/master/csl-citation.json"}</w:instrText>
      </w:r>
      <w:r w:rsidR="003A4BB8" w:rsidRPr="00FE6725">
        <w:rPr>
          <w:lang w:val="en-GB"/>
        </w:rPr>
        <w:fldChar w:fldCharType="separate"/>
      </w:r>
      <w:r w:rsidR="003A4BB8" w:rsidRPr="00FE6725">
        <w:rPr>
          <w:noProof/>
          <w:lang w:val="en-GB"/>
        </w:rPr>
        <w:t>(</w:t>
      </w:r>
      <w:r w:rsidR="003A4BB8" w:rsidRPr="00FE6725">
        <w:rPr>
          <w:i/>
          <w:noProof/>
          <w:lang w:val="en-GB"/>
        </w:rPr>
        <w:t>www.Fao.Org</w:t>
      </w:r>
      <w:r w:rsidR="003A4BB8" w:rsidRPr="00FE6725">
        <w:rPr>
          <w:noProof/>
          <w:lang w:val="en-GB"/>
        </w:rPr>
        <w:t>)</w:t>
      </w:r>
      <w:r w:rsidR="003A4BB8" w:rsidRPr="00FE6725">
        <w:rPr>
          <w:lang w:val="en-GB"/>
        </w:rPr>
        <w:fldChar w:fldCharType="end"/>
      </w:r>
      <w:r w:rsidR="00964601" w:rsidRPr="00FE6725">
        <w:rPr>
          <w:lang w:val="en-GB"/>
        </w:rPr>
        <w:t xml:space="preserve">. </w:t>
      </w:r>
      <w:r w:rsidR="001B5E21" w:rsidRPr="00FE6725">
        <w:rPr>
          <w:lang w:val="en-GB"/>
        </w:rPr>
        <w:t xml:space="preserve"> </w:t>
      </w:r>
    </w:p>
    <w:p w14:paraId="7AC98681" w14:textId="0789A5AD" w:rsidR="00964601" w:rsidRPr="00FE6725" w:rsidRDefault="00DD1FA9" w:rsidP="00B60796">
      <w:pPr>
        <w:pStyle w:val="CETBodytext"/>
        <w:rPr>
          <w:lang w:val="en-GB"/>
        </w:rPr>
      </w:pPr>
      <w:r w:rsidRPr="00FE6725">
        <w:rPr>
          <w:lang w:val="en-GB"/>
        </w:rPr>
        <w:t>H</w:t>
      </w:r>
      <w:r w:rsidR="00272A98" w:rsidRPr="00FE6725">
        <w:rPr>
          <w:lang w:val="en-GB"/>
        </w:rPr>
        <w:t>azelnut skin</w:t>
      </w:r>
      <w:r w:rsidRPr="00FE6725">
        <w:rPr>
          <w:lang w:val="en-GB"/>
        </w:rPr>
        <w:t>, constituting about 2% of the fruit's weight, is rich in polyphenols</w:t>
      </w:r>
      <w:r w:rsidR="00272A98" w:rsidRPr="00FE6725">
        <w:rPr>
          <w:lang w:val="en-GB"/>
        </w:rPr>
        <w:t xml:space="preserve">, </w:t>
      </w:r>
      <w:r w:rsidR="00BF49F5" w:rsidRPr="00FE6725">
        <w:rPr>
          <w:lang w:val="en-GB"/>
        </w:rPr>
        <w:t xml:space="preserve">which are </w:t>
      </w:r>
      <w:r w:rsidR="00272A98" w:rsidRPr="00FE6725">
        <w:rPr>
          <w:lang w:val="en-GB"/>
        </w:rPr>
        <w:t>natural antioxidants with numerous beneficial properties.</w:t>
      </w:r>
      <w:r w:rsidR="00BF49F5" w:rsidRPr="00FE6725">
        <w:rPr>
          <w:lang w:val="en-GB"/>
        </w:rPr>
        <w:t xml:space="preserve"> According to</w:t>
      </w:r>
      <w:r w:rsidR="00272A98" w:rsidRPr="00FE6725">
        <w:rPr>
          <w:lang w:val="en-GB"/>
        </w:rPr>
        <w:t xml:space="preserve"> </w:t>
      </w:r>
      <w:r w:rsidR="003A4BB8" w:rsidRPr="00FE6725">
        <w:rPr>
          <w:lang w:val="en-GB"/>
        </w:rPr>
        <w:fldChar w:fldCharType="begin" w:fldLock="1"/>
      </w:r>
      <w:r w:rsidR="006773B8" w:rsidRPr="00FE6725">
        <w:rPr>
          <w:lang w:val="en-GB"/>
        </w:rPr>
        <w:instrText>ADDIN CSL_CITATION {"citationItems":[{"id":"ITEM-1","itemData":{"DOI":"10.3390/nu2121231","abstract":"Polyphenols are the biggest group of phytochemicals, and many of them have been found in plant-based foods. Polyphenol-rich diets have been linked to many health benefits. This paper is intended to review the chemistry and biochemistry of polyphenols as related to classification, extraction, separation and analytical methods, their occurrence and biosynthesis in plants, and the biological activities and implications in human health. The discussions are focused on important and most recent advances in the above aspects, and challenges are identified for future research.","author":[{"dropping-particle":"","family":"Tsao","given":"Rong","non-dropping-particle":"","parse-names":false,"suffix":""}],"container-title":"Nutrients","id":"ITEM-1","issued":{"date-parts":[["2010"]]},"page":"1231-1246","title":"Chemistry and Biochemistry of Dietary Polyphenols","type":"article-journal","volume":"2"},"uris":["http://www.mendeley.com/documents/?uuid=77b75b7b-cd4f-4870-8c08-f7a62ce528c5"]}],"mendeley":{"formattedCitation":"(Tsao, 2010)","manualFormatting":"Tsao (2010)","plainTextFormattedCitation":"(Tsao, 2010)","previouslyFormattedCitation":"(Tsao, 2010)"},"properties":{"noteIndex":0},"schema":"https://github.com/citation-style-language/schema/raw/master/csl-citation.json"}</w:instrText>
      </w:r>
      <w:r w:rsidR="003A4BB8" w:rsidRPr="00FE6725">
        <w:rPr>
          <w:lang w:val="en-GB"/>
        </w:rPr>
        <w:fldChar w:fldCharType="separate"/>
      </w:r>
      <w:r w:rsidR="003A4BB8" w:rsidRPr="00FE6725">
        <w:rPr>
          <w:noProof/>
          <w:lang w:val="en-GB"/>
        </w:rPr>
        <w:t>Tsao (2010)</w:t>
      </w:r>
      <w:r w:rsidR="003A4BB8" w:rsidRPr="00FE6725">
        <w:rPr>
          <w:lang w:val="en-GB"/>
        </w:rPr>
        <w:fldChar w:fldCharType="end"/>
      </w:r>
      <w:r w:rsidR="00BF49F5" w:rsidRPr="00FE6725">
        <w:rPr>
          <w:lang w:val="en-GB"/>
        </w:rPr>
        <w:t>,</w:t>
      </w:r>
      <w:r w:rsidR="00272A98" w:rsidRPr="00FE6725">
        <w:rPr>
          <w:lang w:val="en-GB"/>
        </w:rPr>
        <w:t xml:space="preserve"> polyphenols </w:t>
      </w:r>
      <w:r w:rsidR="00BF49F5" w:rsidRPr="00FE6725">
        <w:rPr>
          <w:lang w:val="en-GB"/>
        </w:rPr>
        <w:t>are able</w:t>
      </w:r>
      <w:r w:rsidR="00272A98" w:rsidRPr="00FE6725">
        <w:rPr>
          <w:lang w:val="en-GB"/>
        </w:rPr>
        <w:t xml:space="preserve"> to complement the functions of vitamins and enzymes against oxidative stress</w:t>
      </w:r>
      <w:r w:rsidR="0007087F" w:rsidRPr="00FE6725">
        <w:rPr>
          <w:lang w:val="en-GB"/>
        </w:rPr>
        <w:t>. Th</w:t>
      </w:r>
      <w:r w:rsidR="00BF49F5" w:rsidRPr="00FE6725">
        <w:rPr>
          <w:lang w:val="en-GB"/>
        </w:rPr>
        <w:t>is protective action</w:t>
      </w:r>
      <w:r w:rsidR="0007087F" w:rsidRPr="00FE6725">
        <w:rPr>
          <w:lang w:val="en-GB"/>
        </w:rPr>
        <w:t xml:space="preserve"> play</w:t>
      </w:r>
      <w:r w:rsidR="00053229" w:rsidRPr="00FE6725">
        <w:rPr>
          <w:lang w:val="en-GB"/>
        </w:rPr>
        <w:t>s</w:t>
      </w:r>
      <w:r w:rsidR="0007087F" w:rsidRPr="00FE6725">
        <w:rPr>
          <w:lang w:val="en-GB"/>
        </w:rPr>
        <w:t xml:space="preserve"> an important role in the prevention and treatment of </w:t>
      </w:r>
      <w:r w:rsidR="00053229" w:rsidRPr="00FE6725">
        <w:rPr>
          <w:lang w:val="en-GB"/>
        </w:rPr>
        <w:t xml:space="preserve">inflammatory </w:t>
      </w:r>
      <w:r w:rsidR="0007087F" w:rsidRPr="00FE6725">
        <w:rPr>
          <w:lang w:val="en-GB"/>
        </w:rPr>
        <w:t>pathologies such as cancer, cardiovascular and neurodegenerative diseases</w:t>
      </w:r>
      <w:r w:rsidR="00053229" w:rsidRPr="00FE6725">
        <w:rPr>
          <w:lang w:val="en-GB"/>
        </w:rPr>
        <w:t xml:space="preserve">, </w:t>
      </w:r>
      <w:r w:rsidR="0007087F" w:rsidRPr="00FE6725">
        <w:rPr>
          <w:lang w:val="en-GB"/>
        </w:rPr>
        <w:t>as reported by</w:t>
      </w:r>
      <w:r w:rsidR="006773B8" w:rsidRPr="00FE6725">
        <w:rPr>
          <w:lang w:val="en-GB"/>
        </w:rPr>
        <w:t xml:space="preserve"> </w:t>
      </w:r>
      <w:r w:rsidR="006773B8" w:rsidRPr="00FE6725">
        <w:rPr>
          <w:lang w:val="en-GB"/>
        </w:rPr>
        <w:fldChar w:fldCharType="begin" w:fldLock="1"/>
      </w:r>
      <w:r w:rsidR="006773B8" w:rsidRPr="00FE6725">
        <w:rPr>
          <w:lang w:val="en-GB"/>
        </w:rPr>
        <w:instrText>ADDIN CSL_CITATION {"citationItems":[{"id":"ITEM-1","itemData":{"author":[{"dropping-particle":"","family":"Silva","given":"Rui F. M.","non-dropping-particle":"","parse-names":false,"suffix":""},{"dropping-particle":"","family":"Pogačnik","given":"Lea","non-dropping-particle":"","parse-names":false,"suffix":""}],"container-title":"Antioxidants","id":"ITEM-1","issue":"61","issued":{"date-parts":[["2020"]]},"page":"1-13","title":"Polyphenols from Food and Natural Products: Neuroprotection and Safety","type":"article-journal","volume":"9"},"uris":["http://www.mendeley.com/documents/?uuid=3194e96c-8e53-4a2f-bfdb-6cf2a75d8b10"]}],"mendeley":{"formattedCitation":"(Silva &amp; Pogačnik, 2020)","manualFormatting":"Silva and Pogačnik (2020)","plainTextFormattedCitation":"(Silva &amp; Pogačnik, 2020)","previouslyFormattedCitation":"(Silva &amp; Pogačnik, 2020)"},"properties":{"noteIndex":0},"schema":"https://github.com/citation-style-language/schema/raw/master/csl-citation.json"}</w:instrText>
      </w:r>
      <w:r w:rsidR="006773B8" w:rsidRPr="00FE6725">
        <w:rPr>
          <w:lang w:val="en-GB"/>
        </w:rPr>
        <w:fldChar w:fldCharType="separate"/>
      </w:r>
      <w:r w:rsidR="006773B8" w:rsidRPr="00FE6725">
        <w:rPr>
          <w:noProof/>
          <w:lang w:val="en-GB"/>
        </w:rPr>
        <w:t>Silva and Pogačnik (2020)</w:t>
      </w:r>
      <w:r w:rsidR="006773B8" w:rsidRPr="00FE6725">
        <w:rPr>
          <w:lang w:val="en-GB"/>
        </w:rPr>
        <w:fldChar w:fldCharType="end"/>
      </w:r>
      <w:r w:rsidR="0007087F" w:rsidRPr="00FE6725">
        <w:t>.</w:t>
      </w:r>
      <w:r w:rsidR="009011AA" w:rsidRPr="00FE6725">
        <w:t xml:space="preserve"> </w:t>
      </w:r>
      <w:r w:rsidR="006773B8" w:rsidRPr="00FE6725">
        <w:fldChar w:fldCharType="begin" w:fldLock="1"/>
      </w:r>
      <w:r w:rsidR="006773B8" w:rsidRPr="00FE6725">
        <w:instrText>ADDIN CSL_CITATION {"citationItems":[{"id":"ITEM-1","itemData":{"author":[{"dropping-particle":"","family":"Spagnuolo","given":"Ludovica","non-dropping-particle":"","parse-names":false,"suffix":""},{"dropping-particle":"","family":"Posta","given":"Susanna","non-dropping-particle":"Della","parse-names":false,"suffix":""},{"dropping-particle":"","family":"Fanali","given":"Chiara","non-dropping-particle":"","parse-names":false,"suffix":""},{"dropping-particle":"","family":"Dugo","given":"Laura","non-dropping-particle":"","parse-names":false,"suffix":""},{"dropping-particle":"","family":"Gara","given":"Laura","non-dropping-particle":"De","parse-names":false,"suffix":""}],"container-title":"Antioxidants","id":"ITEM-1","issue":"424","issued":{"date-parts":[["2021"]]},"page":"3-14","title":"Antioxidant and Antiglycation Effects of Polyphenol Compounds Extracted from Hazelnut Skin on Advanced","type":"article-journal","volume":"10"},"uris":["http://www.mendeley.com/documents/?uuid=424f74cf-7278-4cd3-818f-7e3c38c86ccb"]}],"mendeley":{"formattedCitation":"(Spagnuolo et al., 2021)","manualFormatting":"Spagnuolo et al. (2021)","plainTextFormattedCitation":"(Spagnuolo et al., 2021)","previouslyFormattedCitation":"(Spagnuolo et al., 2021)"},"properties":{"noteIndex":0},"schema":"https://github.com/citation-style-language/schema/raw/master/csl-citation.json"}</w:instrText>
      </w:r>
      <w:r w:rsidR="006773B8" w:rsidRPr="00FE6725">
        <w:fldChar w:fldCharType="separate"/>
      </w:r>
      <w:r w:rsidR="006773B8" w:rsidRPr="00FE6725">
        <w:rPr>
          <w:noProof/>
        </w:rPr>
        <w:t>Spagnuolo et al. (2021)</w:t>
      </w:r>
      <w:r w:rsidR="006773B8" w:rsidRPr="00FE6725">
        <w:fldChar w:fldCharType="end"/>
      </w:r>
      <w:r w:rsidR="006773B8" w:rsidRPr="00FE6725">
        <w:t xml:space="preserve"> </w:t>
      </w:r>
      <w:r w:rsidRPr="00FE6725">
        <w:t xml:space="preserve">also </w:t>
      </w:r>
      <w:r w:rsidR="009011AA" w:rsidRPr="00FE6725">
        <w:t>e</w:t>
      </w:r>
      <w:r w:rsidR="00B04DE7" w:rsidRPr="00FE6725">
        <w:t>xplore</w:t>
      </w:r>
      <w:r w:rsidRPr="00FE6725">
        <w:t>d</w:t>
      </w:r>
      <w:r w:rsidR="009011AA" w:rsidRPr="00FE6725">
        <w:t xml:space="preserve"> the </w:t>
      </w:r>
      <w:r w:rsidR="00B04DE7" w:rsidRPr="00FE6725">
        <w:t>ability</w:t>
      </w:r>
      <w:r w:rsidR="009011AA" w:rsidRPr="00FE6725">
        <w:t xml:space="preserve"> o</w:t>
      </w:r>
      <w:r w:rsidR="00053229" w:rsidRPr="00FE6725">
        <w:t>f</w:t>
      </w:r>
      <w:r w:rsidR="009011AA" w:rsidRPr="00FE6725">
        <w:t xml:space="preserve"> polyphenols to </w:t>
      </w:r>
      <w:r w:rsidR="00B04DE7" w:rsidRPr="00FE6725">
        <w:t>inhibit</w:t>
      </w:r>
      <w:r w:rsidR="009011AA" w:rsidRPr="00FE6725">
        <w:t xml:space="preserve"> </w:t>
      </w:r>
      <w:r w:rsidR="00B04DE7" w:rsidRPr="00FE6725">
        <w:t>formation and accumulation of advanced glycation-end products (AGEs)</w:t>
      </w:r>
      <w:r w:rsidRPr="00FE6725">
        <w:t>.</w:t>
      </w:r>
    </w:p>
    <w:p w14:paraId="4A3A0D21" w14:textId="53F11EB1" w:rsidR="00915A1C" w:rsidRPr="00FE6725" w:rsidRDefault="00DD1FA9" w:rsidP="00B60796">
      <w:pPr>
        <w:pStyle w:val="CETBodytext"/>
        <w:rPr>
          <w:lang w:val="en-GB"/>
        </w:rPr>
      </w:pPr>
      <w:r w:rsidRPr="00FE6725">
        <w:rPr>
          <w:lang w:val="en-GB"/>
        </w:rPr>
        <w:t xml:space="preserve">Extracting polyphenols from vegetable matrices opens up opportunities for their inclusion in food supplements, topical drugs, and cosmetics. Common solvents include </w:t>
      </w:r>
      <w:r w:rsidR="00915A1C" w:rsidRPr="00FE6725">
        <w:rPr>
          <w:lang w:val="en-GB"/>
        </w:rPr>
        <w:t>water</w:t>
      </w:r>
      <w:r w:rsidR="003A4BB8" w:rsidRPr="00FE6725">
        <w:rPr>
          <w:lang w:val="en-GB"/>
        </w:rPr>
        <w:t xml:space="preserve"> </w:t>
      </w:r>
      <w:r w:rsidR="003A4BB8" w:rsidRPr="00FE6725">
        <w:rPr>
          <w:lang w:val="en-GB"/>
        </w:rPr>
        <w:fldChar w:fldCharType="begin" w:fldLock="1"/>
      </w:r>
      <w:r w:rsidR="003A4BB8" w:rsidRPr="00FE6725">
        <w:rPr>
          <w:lang w:val="en-GB"/>
        </w:rPr>
        <w:instrText>ADDIN CSL_CITATION {"citationItems":[{"id":"ITEM-1","itemData":{"DOI":"10.1002/apj","author":[{"dropping-particle":"","family":"Capparucci","given":"Claudio","non-dropping-particle":"","parse-names":false,"suffix":""},{"dropping-particle":"","family":"Gironi","given":"Fausto","non-dropping-particle":"","parse-names":false,"suffix":""},{"dropping-particle":"","family":"Piemonte","given":"Vincenzo","non-dropping-particle":"","parse-names":false,"suffix":""}],"container-title":"Asia-Pacific Journal of Chemical Engineering","id":"ITEM-1","issued":{"date-parts":[["2011"]]},"page":"606-612","title":"Equilibrium and extraction kinetics of tannins from chestnut tree wood in water solutions","type":"article-journal","volume":"6"},"uris":["http://www.mendeley.com/documents/?uuid=0c685e72-0f42-4c08-af45-e6d07ed6bfcb"]}],"mendeley":{"formattedCitation":"(Capparucci et al., 2011)","plainTextFormattedCitation":"(Capparucci et al., 2011)","previouslyFormattedCitation":"(Capparucci et al., 2011)"},"properties":{"noteIndex":0},"schema":"https://github.com/citation-style-language/schema/raw/master/csl-citation.json"}</w:instrText>
      </w:r>
      <w:r w:rsidR="003A4BB8" w:rsidRPr="00FE6725">
        <w:rPr>
          <w:lang w:val="en-GB"/>
        </w:rPr>
        <w:fldChar w:fldCharType="separate"/>
      </w:r>
      <w:r w:rsidR="003A4BB8" w:rsidRPr="00FE6725">
        <w:rPr>
          <w:noProof/>
          <w:lang w:val="en-GB"/>
        </w:rPr>
        <w:t>(Capparucci et al., 2011)</w:t>
      </w:r>
      <w:r w:rsidR="003A4BB8" w:rsidRPr="00FE6725">
        <w:rPr>
          <w:lang w:val="en-GB"/>
        </w:rPr>
        <w:fldChar w:fldCharType="end"/>
      </w:r>
      <w:r w:rsidR="00915A1C" w:rsidRPr="00FE6725">
        <w:rPr>
          <w:lang w:val="en-GB"/>
        </w:rPr>
        <w:t>, ethanol</w:t>
      </w:r>
      <w:r w:rsidR="00357AB9" w:rsidRPr="00FE6725">
        <w:rPr>
          <w:lang w:val="en-GB"/>
        </w:rPr>
        <w:t xml:space="preserve"> </w:t>
      </w:r>
      <w:r w:rsidR="006773B8" w:rsidRPr="00FE6725">
        <w:rPr>
          <w:lang w:val="en-GB"/>
        </w:rPr>
        <w:fldChar w:fldCharType="begin" w:fldLock="1"/>
      </w:r>
      <w:r w:rsidR="006773B8" w:rsidRPr="00FE6725">
        <w:rPr>
          <w:lang w:val="en-GB"/>
        </w:rPr>
        <w:instrText>ADDIN CSL_CITATION {"citationItems":[{"id":"ITEM-1","itemData":{"DOI":"10.1016/j.lwt.2004.02.008","author":[{"dropping-particle":"","family":"Zhou","given":"Kequan","non-dropping-particle":"","parse-names":false,"suffix":""},{"dropping-particle":"","family":"Yu","given":"Liangli","non-dropping-particle":"","parse-names":false,"suffix":""}],"container-title":"LWT - Food Science and Technology","id":"ITEM-1","issued":{"date-parts":[["2004"]]},"page":"717-721","title":"Effects of extraction solvent on wheat bran antioxidant activity estimation","type":"article-journal","volume":"37"},"uris":["http://www.mendeley.com/documents/?uuid=9231facd-6144-4e18-aa6a-a934a43ecce1"]}],"mendeley":{"formattedCitation":"(Zhou &amp; Yu, 2004)","plainTextFormattedCitation":"(Zhou &amp; Yu, 2004)","previouslyFormattedCitation":"(Zhou &amp; Yu, 2004)"},"properties":{"noteIndex":0},"schema":"https://github.com/citation-style-language/schema/raw/master/csl-citation.json"}</w:instrText>
      </w:r>
      <w:r w:rsidR="006773B8" w:rsidRPr="00FE6725">
        <w:rPr>
          <w:lang w:val="en-GB"/>
        </w:rPr>
        <w:fldChar w:fldCharType="separate"/>
      </w:r>
      <w:r w:rsidR="006773B8" w:rsidRPr="00FE6725">
        <w:rPr>
          <w:noProof/>
          <w:lang w:val="en-GB"/>
        </w:rPr>
        <w:t>(Zhou &amp; Yu, 2004)</w:t>
      </w:r>
      <w:r w:rsidR="006773B8" w:rsidRPr="00FE6725">
        <w:rPr>
          <w:lang w:val="en-GB"/>
        </w:rPr>
        <w:fldChar w:fldCharType="end"/>
      </w:r>
      <w:r w:rsidR="00915A1C" w:rsidRPr="00FE6725">
        <w:rPr>
          <w:lang w:val="en-GB"/>
        </w:rPr>
        <w:t>, water-ethanol mixtures</w:t>
      </w:r>
      <w:r w:rsidR="003D7419" w:rsidRPr="00FE6725">
        <w:rPr>
          <w:lang w:val="en-GB"/>
        </w:rPr>
        <w:t xml:space="preserve"> </w:t>
      </w:r>
      <w:r w:rsidR="006773B8" w:rsidRPr="00FE6725">
        <w:rPr>
          <w:lang w:val="en-GB"/>
        </w:rPr>
        <w:fldChar w:fldCharType="begin" w:fldLock="1"/>
      </w:r>
      <w:r w:rsidR="006773B8" w:rsidRPr="00FE6725">
        <w:rPr>
          <w:lang w:val="en-GB"/>
        </w:rPr>
        <w:instrText>ADDIN CSL_CITATION {"citationItems":[{"id":"ITEM-1","itemData":{"DOI":"10.1080/01496395.2018.1520720","ISSN":"0149-6395","author":[{"dropping-particle":"","family":"Savic","given":"Ivan M.","non-dropping-particle":"","parse-names":false,"suffix":""},{"dropping-particle":"","family":"Nikolic","given":"Ivana Lj.","non-dropping-particle":"","parse-names":false,"suffix":""},{"dropping-particle":"","family":"Savic-gajic","given":"Ivana M.","non-dropping-particle":"","parse-names":false,"suffix":""},{"dropping-particle":"","family":"Kundakovic","given":"Tatjana D.","non-dropping-particle":"","parse-names":false,"suffix":""}],"container-title":"Separation Science and Technology","id":"ITEM-1","issued":{"date-parts":[["2018"]]},"page":"1-10","publisher":"Taylor &amp; Francis","title":"Modeling and optimization of bioactive compounds from chickpea seeds ( Cicer arietinum L )","type":"article-journal"},"uris":["http://www.mendeley.com/documents/?uuid=ea52704d-431a-4e33-8065-abc79ef03f0a"]}],"mendeley":{"formattedCitation":"(Savic et al., 2018)","plainTextFormattedCitation":"(Savic et al., 2018)","previouslyFormattedCitation":"(Savic et al., 2018)"},"properties":{"noteIndex":0},"schema":"https://github.com/citation-style-language/schema/raw/master/csl-citation.json"}</w:instrText>
      </w:r>
      <w:r w:rsidR="006773B8" w:rsidRPr="00FE6725">
        <w:rPr>
          <w:lang w:val="en-GB"/>
        </w:rPr>
        <w:fldChar w:fldCharType="separate"/>
      </w:r>
      <w:r w:rsidR="006773B8" w:rsidRPr="00FE6725">
        <w:rPr>
          <w:noProof/>
          <w:lang w:val="en-GB"/>
        </w:rPr>
        <w:t>(Savic et al., 2018)</w:t>
      </w:r>
      <w:r w:rsidR="006773B8" w:rsidRPr="00FE6725">
        <w:rPr>
          <w:lang w:val="en-GB"/>
        </w:rPr>
        <w:fldChar w:fldCharType="end"/>
      </w:r>
      <w:r w:rsidR="00915A1C" w:rsidRPr="00FE6725">
        <w:rPr>
          <w:lang w:val="en-GB"/>
        </w:rPr>
        <w:t xml:space="preserve">, acetone </w:t>
      </w:r>
      <w:r w:rsidR="006773B8" w:rsidRPr="00FE6725">
        <w:rPr>
          <w:lang w:val="fr-FR"/>
        </w:rPr>
        <w:fldChar w:fldCharType="begin" w:fldLock="1"/>
      </w:r>
      <w:r w:rsidR="006773B8" w:rsidRPr="00FE6725">
        <w:rPr>
          <w:lang w:val="en-GB"/>
        </w:rPr>
        <w:instrText>ADDIN CSL_CITATION {"citationItems":[{"id":"ITEM-1","itemData":{"author":[{"dropping-particle":"","family":"Zhou","given":"Kequan","non-dropping-particle":"","parse-names":false,"suffix":""},{"dropping-particle":"","family":"Laux","given":"Joseph J.","non-dropping-particle":"","parse-names":false,"suffix":""},{"dropping-particle":"","family":"Liangli","given":"Yu Lucy","non-dropping-particle":"","parse-names":false,"suffix":""}],"container-title":"Journal of Agricultural and Food Chemistry","id":"ITEM-1","issued":{"date-parts":[["2004"]]},"page":"1118-1123","title":"Comparison of Swiss Red Wheat Grain and Fractions for Their Antioxidant Properties","type":"article-journal","volume":"52"},"uris":["http://www.mendeley.com/documents/?uuid=4f980c4a-b15b-4af7-a000-a1bb770b10fe"]}],"mendeley":{"formattedCitation":"(Zhou et al., 2004)","plainTextFormattedCitation":"(Zhou et al., 2004)"},"properties":{"noteIndex":0},"schema":"https://github.com/citation-style-language/schema/raw/master/csl-citation.json"}</w:instrText>
      </w:r>
      <w:r w:rsidR="006773B8" w:rsidRPr="00FE6725">
        <w:rPr>
          <w:lang w:val="fr-FR"/>
        </w:rPr>
        <w:fldChar w:fldCharType="separate"/>
      </w:r>
      <w:r w:rsidR="006773B8" w:rsidRPr="00FE6725">
        <w:rPr>
          <w:noProof/>
          <w:lang w:val="en-GB"/>
        </w:rPr>
        <w:t>(Zhou et al., 2004)</w:t>
      </w:r>
      <w:r w:rsidR="006773B8" w:rsidRPr="00FE6725">
        <w:rPr>
          <w:lang w:val="fr-FR"/>
        </w:rPr>
        <w:fldChar w:fldCharType="end"/>
      </w:r>
      <w:r w:rsidR="003D7419" w:rsidRPr="00FE6725">
        <w:rPr>
          <w:lang w:val="en-GB"/>
        </w:rPr>
        <w:t xml:space="preserve"> </w:t>
      </w:r>
      <w:r w:rsidR="00915A1C" w:rsidRPr="00FE6725">
        <w:rPr>
          <w:lang w:val="en-GB"/>
        </w:rPr>
        <w:t>and ethyl acetate</w:t>
      </w:r>
      <w:r w:rsidR="003D7419" w:rsidRPr="00FE6725">
        <w:rPr>
          <w:lang w:val="en-GB"/>
        </w:rPr>
        <w:t xml:space="preserve"> </w:t>
      </w:r>
      <w:r w:rsidR="003A4BB8" w:rsidRPr="00FE6725">
        <w:rPr>
          <w:lang w:val="fr-FR"/>
        </w:rPr>
        <w:fldChar w:fldCharType="begin" w:fldLock="1"/>
      </w:r>
      <w:r w:rsidR="003A4BB8" w:rsidRPr="00FE6725">
        <w:rPr>
          <w:lang w:val="en-GB"/>
        </w:rPr>
        <w:instrText>ADDIN CSL_CITATION {"citationItems":[{"id":"ITEM-1","itemData":{"DOI":"10.1016/j.foodchem.2007.02.010","author":[{"dropping-particle":"","family":"Hayouni","given":"El Akrem","non-dropping-particle":"","parse-names":false,"suffix":""},{"dropping-particle":"","family":"Abedrabba","given":"Manaf","non-dropping-particle":"","parse-names":false,"suffix":""},{"dropping-particle":"","family":"Bouix","given":"Marielle","non-dropping-particle":"","parse-names":false,"suffix":""},{"dropping-particle":"","family":"Hamdi","given":"Moktar","non-dropping-particle":"","parse-names":false,"suffix":""}],"container-title":"Food Chemistry","id":"ITEM-1","issued":{"date-parts":[["2007"]]},"page":"1126-1134","title":"Food Chemistry The effects of solvents and extraction method on the phenolic contents and biological activities in vitro of Tunisian Quercus","type":"article-journal","volume":"105"},"uris":["http://www.mendeley.com/documents/?uuid=d5d8b5b7-3d3a-45c0-a8bd-30f75927f763"]}],"mendeley":{"formattedCitation":"(Hayouni et al., 2007)","plainTextFormattedCitation":"(Hayouni et al., 2007)","previouslyFormattedCitation":"(Hayouni et al., 2007)"},"properties":{"noteIndex":0},"schema":"https://github.com/citation-style-language/schema/raw/master/csl-citation.json"}</w:instrText>
      </w:r>
      <w:r w:rsidR="003A4BB8" w:rsidRPr="00FE6725">
        <w:rPr>
          <w:lang w:val="fr-FR"/>
        </w:rPr>
        <w:fldChar w:fldCharType="separate"/>
      </w:r>
      <w:r w:rsidR="003A4BB8" w:rsidRPr="00FE6725">
        <w:rPr>
          <w:noProof/>
          <w:lang w:val="en-GB"/>
        </w:rPr>
        <w:t>(Hayouni et al., 2007)</w:t>
      </w:r>
      <w:r w:rsidR="003A4BB8" w:rsidRPr="00FE6725">
        <w:rPr>
          <w:lang w:val="fr-FR"/>
        </w:rPr>
        <w:fldChar w:fldCharType="end"/>
      </w:r>
      <w:r w:rsidR="003A4BB8" w:rsidRPr="00FE6725">
        <w:rPr>
          <w:lang w:val="en-GB"/>
        </w:rPr>
        <w:t>.</w:t>
      </w:r>
    </w:p>
    <w:p w14:paraId="338960B4" w14:textId="1BE3ECD4" w:rsidR="001C0218" w:rsidRPr="00FE6725" w:rsidRDefault="00B32AF3" w:rsidP="00B60796">
      <w:pPr>
        <w:pStyle w:val="CETBodytext"/>
        <w:rPr>
          <w:lang w:val="en-GB"/>
        </w:rPr>
      </w:pPr>
      <w:r w:rsidRPr="00FE6725">
        <w:rPr>
          <w:lang w:val="en-GB"/>
        </w:rPr>
        <w:lastRenderedPageBreak/>
        <w:t>In this work, six e</w:t>
      </w:r>
      <w:r w:rsidR="001C0218" w:rsidRPr="00FE6725">
        <w:rPr>
          <w:lang w:val="en-GB"/>
        </w:rPr>
        <w:t>xtraction</w:t>
      </w:r>
      <w:r w:rsidRPr="00FE6725">
        <w:rPr>
          <w:lang w:val="en-GB"/>
        </w:rPr>
        <w:t xml:space="preserve"> tests were</w:t>
      </w:r>
      <w:r w:rsidR="001C0218" w:rsidRPr="00FE6725">
        <w:rPr>
          <w:lang w:val="en-GB"/>
        </w:rPr>
        <w:t xml:space="preserve"> </w:t>
      </w:r>
      <w:r w:rsidR="001C0218" w:rsidRPr="00FE6725">
        <w:t xml:space="preserve">performed at different solid/liquid ratios in a continuous set-up using distilled water at 70 °C as </w:t>
      </w:r>
      <w:r w:rsidR="006E1D08" w:rsidRPr="00FE6725">
        <w:t xml:space="preserve">a </w:t>
      </w:r>
      <w:r w:rsidR="001C0218" w:rsidRPr="00FE6725">
        <w:t>solvent</w:t>
      </w:r>
      <w:r w:rsidRPr="00FE6725">
        <w:t xml:space="preserve">. </w:t>
      </w:r>
      <w:r w:rsidR="00053229" w:rsidRPr="00FE6725">
        <w:t>Water was chosen for</w:t>
      </w:r>
      <w:r w:rsidRPr="00FE6725">
        <w:t xml:space="preserve"> its sustainability, safety and non-toxicity, together with its low cost and high availability. </w:t>
      </w:r>
    </w:p>
    <w:p w14:paraId="63EAB859" w14:textId="6EA82DB9" w:rsidR="00B60796" w:rsidRPr="00FE6725" w:rsidRDefault="00B60796" w:rsidP="00B60796">
      <w:pPr>
        <w:pStyle w:val="CETBodytext"/>
        <w:rPr>
          <w:lang w:val="en-GB"/>
        </w:rPr>
      </w:pPr>
      <w:r w:rsidRPr="00FE6725">
        <w:rPr>
          <w:lang w:val="en-GB"/>
        </w:rPr>
        <w:t xml:space="preserve">The scopes of this work are </w:t>
      </w:r>
      <w:r w:rsidR="00641CF6" w:rsidRPr="00FE6725">
        <w:rPr>
          <w:lang w:val="en-GB"/>
        </w:rPr>
        <w:t>the</w:t>
      </w:r>
      <w:r w:rsidRPr="00FE6725">
        <w:rPr>
          <w:lang w:val="en-GB"/>
        </w:rPr>
        <w:t xml:space="preserve"> follow</w:t>
      </w:r>
      <w:r w:rsidR="00641CF6" w:rsidRPr="00FE6725">
        <w:rPr>
          <w:lang w:val="en-GB"/>
        </w:rPr>
        <w:t>ing</w:t>
      </w:r>
      <w:r w:rsidRPr="00FE6725">
        <w:rPr>
          <w:lang w:val="en-GB"/>
        </w:rPr>
        <w:t xml:space="preserve">: </w:t>
      </w:r>
    </w:p>
    <w:p w14:paraId="184E4EDE" w14:textId="2A039220" w:rsidR="00126D4C" w:rsidRPr="00FE6725" w:rsidRDefault="007F1FA5" w:rsidP="00D71169">
      <w:pPr>
        <w:pStyle w:val="CETListbullets"/>
        <w:numPr>
          <w:ilvl w:val="0"/>
          <w:numId w:val="13"/>
        </w:numPr>
      </w:pPr>
      <w:r w:rsidRPr="00FE6725">
        <w:t>t</w:t>
      </w:r>
      <w:r w:rsidR="00B60796" w:rsidRPr="00FE6725">
        <w:t xml:space="preserve">o </w:t>
      </w:r>
      <w:r w:rsidR="000D20E8" w:rsidRPr="00FE6725">
        <w:t>quantify</w:t>
      </w:r>
      <w:r w:rsidR="00B60796" w:rsidRPr="00FE6725">
        <w:t xml:space="preserve"> the total extractable mass of polyphenols </w:t>
      </w:r>
      <w:r w:rsidR="00A9200B" w:rsidRPr="00FE6725">
        <w:t>from</w:t>
      </w:r>
      <w:r w:rsidR="00B60796" w:rsidRPr="00FE6725">
        <w:t xml:space="preserve"> hazelnut skin</w:t>
      </w:r>
      <w:r w:rsidR="000D20E8" w:rsidRPr="00FE6725">
        <w:t xml:space="preserve"> and to determine the extraction time</w:t>
      </w:r>
      <w:r w:rsidR="00A9200B" w:rsidRPr="00FE6725">
        <w:t>;</w:t>
      </w:r>
    </w:p>
    <w:p w14:paraId="575EF7C8" w14:textId="12CB29E9" w:rsidR="00C15374" w:rsidRPr="00FE6725" w:rsidRDefault="007F1FA5" w:rsidP="00D71169">
      <w:pPr>
        <w:pStyle w:val="CETListbullets"/>
        <w:numPr>
          <w:ilvl w:val="0"/>
          <w:numId w:val="13"/>
        </w:numPr>
      </w:pPr>
      <w:r w:rsidRPr="00FE6725">
        <w:t>t</w:t>
      </w:r>
      <w:r w:rsidR="001C0218" w:rsidRPr="00FE6725">
        <w:t xml:space="preserve">o correlate the equilibrium concentrations of polyphenols in solid and liquid phases at 70 °C; in particular, a linear equilibrium isotherm was used, and a linear partition coefficient </w:t>
      </w:r>
      <m:oMath>
        <m:r>
          <w:rPr>
            <w:rFonts w:ascii="Cambria Math" w:hAnsi="Cambria Math"/>
          </w:rPr>
          <m:t>k</m:t>
        </m:r>
      </m:oMath>
      <w:r w:rsidR="001C0218" w:rsidRPr="00FE6725">
        <w:t xml:space="preserve"> was evaluated from the fitting of experimental data. </w:t>
      </w:r>
    </w:p>
    <w:p w14:paraId="6F08808D" w14:textId="541B8ECB" w:rsidR="00126D4C" w:rsidRPr="00FE6725" w:rsidRDefault="00126D4C" w:rsidP="00D71169">
      <w:pPr>
        <w:pStyle w:val="CETBodytext"/>
      </w:pPr>
      <w:r w:rsidRPr="00FE6725">
        <w:t xml:space="preserve">The results of this paper can be used as a starting point for further experiments on extraction processes of polyphenols from the same solid matrix and with different solvents. </w:t>
      </w:r>
    </w:p>
    <w:p w14:paraId="4041E327" w14:textId="77777777" w:rsidR="00BF4C24" w:rsidRPr="00FE6725" w:rsidRDefault="00BF4C24" w:rsidP="00D71169">
      <w:pPr>
        <w:pStyle w:val="CETBodytext"/>
      </w:pPr>
    </w:p>
    <w:p w14:paraId="7A9975F0" w14:textId="49A8A74F" w:rsidR="002B630D" w:rsidRPr="00FE6725" w:rsidRDefault="00126D4C" w:rsidP="00126D4C">
      <w:pPr>
        <w:pStyle w:val="CETHeading1"/>
      </w:pPr>
      <w:r w:rsidRPr="00FE6725">
        <w:t>Materials and Methods</w:t>
      </w:r>
    </w:p>
    <w:p w14:paraId="21E4EA5B" w14:textId="0D2D9E39" w:rsidR="006869E5" w:rsidRPr="00FE6725" w:rsidRDefault="006869E5" w:rsidP="000D20E8">
      <w:pPr>
        <w:pStyle w:val="CETheadingx"/>
      </w:pPr>
      <w:r w:rsidRPr="00FE6725">
        <w:t>Solid preparation</w:t>
      </w:r>
    </w:p>
    <w:p w14:paraId="65FF700F" w14:textId="2D3CBDEC" w:rsidR="006869E5" w:rsidRPr="00FE6725" w:rsidRDefault="006869E5" w:rsidP="006869E5">
      <w:pPr>
        <w:pStyle w:val="CETBodytext"/>
      </w:pPr>
      <w:r w:rsidRPr="00FE6725">
        <w:t>Experiments were performed on samples of 3-year-old hazelnut skin</w:t>
      </w:r>
      <w:r w:rsidR="007A6D7C" w:rsidRPr="00FE6725">
        <w:t>s</w:t>
      </w:r>
      <w:r w:rsidRPr="00FE6725">
        <w:t xml:space="preserve"> </w:t>
      </w:r>
      <w:r w:rsidR="007A6D7C" w:rsidRPr="00FE6725">
        <w:t xml:space="preserve">obtained from a local food industry that uses hazelnuts as a raw material for its products. </w:t>
      </w:r>
      <w:r w:rsidRPr="00FE6725">
        <w:t>The solid matrix was ground and sieved in order to obtain solid with a grain size &lt; 0.5 mm before being inserted in the extraction system.</w:t>
      </w:r>
    </w:p>
    <w:p w14:paraId="137AE8D6" w14:textId="58365D60" w:rsidR="006869E5" w:rsidRPr="00FE6725" w:rsidRDefault="006869E5" w:rsidP="000D20E8">
      <w:pPr>
        <w:pStyle w:val="CETheadingx"/>
      </w:pPr>
      <w:r w:rsidRPr="00FE6725">
        <w:t>Experimental set-up</w:t>
      </w:r>
    </w:p>
    <w:p w14:paraId="1BFA0BC9" w14:textId="111DE110" w:rsidR="00922D34" w:rsidRPr="00FE6725" w:rsidRDefault="002B630D" w:rsidP="00126D4C">
      <w:pPr>
        <w:pStyle w:val="CETBodytext"/>
      </w:pPr>
      <w:r w:rsidRPr="00FE6725">
        <w:t xml:space="preserve">Extraction runs were performed in a </w:t>
      </w:r>
      <w:r w:rsidR="0023772D" w:rsidRPr="00FE6725">
        <w:t xml:space="preserve">closed loop using a </w:t>
      </w:r>
      <w:r w:rsidRPr="00FE6725">
        <w:t>continuous set-up (Fig</w:t>
      </w:r>
      <w:r w:rsidR="00616517" w:rsidRPr="00FE6725">
        <w:t>ure</w:t>
      </w:r>
      <w:r w:rsidRPr="00FE6725">
        <w:t xml:space="preserve"> 1)</w:t>
      </w:r>
      <w:r w:rsidR="00CA2B6F" w:rsidRPr="00FE6725">
        <w:t xml:space="preserve"> </w:t>
      </w:r>
      <w:r w:rsidR="003310C5" w:rsidRPr="00FE6725">
        <w:t xml:space="preserve">consisting of: a </w:t>
      </w:r>
      <w:r w:rsidR="00B00E24" w:rsidRPr="00FE6725">
        <w:t xml:space="preserve">fixed-bed </w:t>
      </w:r>
      <w:r w:rsidR="003310C5" w:rsidRPr="00FE6725">
        <w:t xml:space="preserve">glass column </w:t>
      </w:r>
      <w:r w:rsidR="00714246" w:rsidRPr="00FE6725">
        <w:t xml:space="preserve">(1) </w:t>
      </w:r>
      <w:r w:rsidR="00DE630C" w:rsidRPr="00FE6725">
        <w:t>6</w:t>
      </w:r>
      <w:r w:rsidR="00A37EF9" w:rsidRPr="00FE6725">
        <w:t xml:space="preserve"> </w:t>
      </w:r>
      <w:r w:rsidR="00714246" w:rsidRPr="00FE6725">
        <w:t>cm long and with 1.5 cm diameter; a</w:t>
      </w:r>
      <w:r w:rsidR="00C369DC" w:rsidRPr="00FE6725">
        <w:t>n heating</w:t>
      </w:r>
      <w:r w:rsidR="00714246" w:rsidRPr="00FE6725">
        <w:t xml:space="preserve"> jacket (2) filled with water coming from a thermostat set at T = 70 °C; </w:t>
      </w:r>
      <w:r w:rsidR="00CA2B6F" w:rsidRPr="00FE6725">
        <w:t xml:space="preserve">a VELP peristaltic pump (3) for the continuous liquid flow recirculation; a collection drum </w:t>
      </w:r>
      <w:r w:rsidR="00C369DC" w:rsidRPr="00FE6725">
        <w:t xml:space="preserve">(4) </w:t>
      </w:r>
      <w:r w:rsidR="00CA2B6F" w:rsidRPr="00FE6725">
        <w:t xml:space="preserve">with </w:t>
      </w:r>
      <w:r w:rsidR="00B00E24" w:rsidRPr="00FE6725">
        <w:t>0.</w:t>
      </w:r>
      <w:r w:rsidR="00CA2B6F" w:rsidRPr="00FE6725">
        <w:t>250 l capacity for product accumulation</w:t>
      </w:r>
      <w:r w:rsidR="00767BAD" w:rsidRPr="00FE6725">
        <w:t>; a three</w:t>
      </w:r>
      <w:r w:rsidR="00B00E24" w:rsidRPr="00FE6725">
        <w:t>-</w:t>
      </w:r>
      <w:r w:rsidR="00767BAD" w:rsidRPr="00FE6725">
        <w:t xml:space="preserve">ways valve (5) for sampling. </w:t>
      </w:r>
    </w:p>
    <w:p w14:paraId="5092CF25" w14:textId="5F045414" w:rsidR="00616517" w:rsidRPr="00FE6725" w:rsidRDefault="00F22659" w:rsidP="00616517">
      <w:pPr>
        <w:pStyle w:val="CETCaption"/>
      </w:pPr>
      <w:r w:rsidRPr="00FE6725">
        <w:rPr>
          <w:noProof/>
          <w:lang w:val="en-US"/>
        </w:rPr>
        <w:drawing>
          <wp:inline distT="0" distB="0" distL="0" distR="0" wp14:anchorId="441A5D8E" wp14:editId="121C6317">
            <wp:extent cx="3564693" cy="3152118"/>
            <wp:effectExtent l="0" t="0" r="0" b="0"/>
            <wp:docPr id="1388196376" name="Immagine 1"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96376" name="Immagine 1" descr="Immagine che contiene diagramma&#10;&#10;Descrizione generata automaticamente"/>
                    <pic:cNvPicPr/>
                  </pic:nvPicPr>
                  <pic:blipFill>
                    <a:blip r:embed="rId10"/>
                    <a:stretch>
                      <a:fillRect/>
                    </a:stretch>
                  </pic:blipFill>
                  <pic:spPr>
                    <a:xfrm>
                      <a:off x="0" y="0"/>
                      <a:ext cx="3593941" cy="3177981"/>
                    </a:xfrm>
                    <a:prstGeom prst="rect">
                      <a:avLst/>
                    </a:prstGeom>
                  </pic:spPr>
                </pic:pic>
              </a:graphicData>
            </a:graphic>
          </wp:inline>
        </w:drawing>
      </w:r>
    </w:p>
    <w:p w14:paraId="6CD2083C" w14:textId="7197DE67" w:rsidR="00616517" w:rsidRPr="00FE6725" w:rsidRDefault="00616517" w:rsidP="00616517">
      <w:pPr>
        <w:pStyle w:val="CETCaption"/>
      </w:pPr>
      <w:r w:rsidRPr="00FE6725">
        <w:rPr>
          <w:rStyle w:val="CETCaptionCarattere"/>
          <w:i/>
        </w:rPr>
        <w:t xml:space="preserve">Figure 1: </w:t>
      </w:r>
      <w:r w:rsidR="00431AD7" w:rsidRPr="00FE6725">
        <w:rPr>
          <w:rStyle w:val="CETCaptionCarattere"/>
          <w:i/>
        </w:rPr>
        <w:t>Experimental set-up</w:t>
      </w:r>
      <w:r w:rsidRPr="00FE6725">
        <w:t xml:space="preserve"> </w:t>
      </w:r>
    </w:p>
    <w:p w14:paraId="7386196E" w14:textId="6786CF86" w:rsidR="00126D4C" w:rsidRPr="00FE6725" w:rsidRDefault="008D5E5E" w:rsidP="000D20E8">
      <w:pPr>
        <w:pStyle w:val="CETheadingx"/>
      </w:pPr>
      <w:r w:rsidRPr="00FE6725">
        <w:t xml:space="preserve">Experimental </w:t>
      </w:r>
      <w:r w:rsidR="00CB77FD" w:rsidRPr="00FE6725">
        <w:t>tests</w:t>
      </w:r>
    </w:p>
    <w:p w14:paraId="07A213BE" w14:textId="3FD660EF" w:rsidR="00616517" w:rsidRPr="00FE6725" w:rsidRDefault="00CF70E6" w:rsidP="00126D4C">
      <w:pPr>
        <w:pStyle w:val="CETBodytext"/>
      </w:pPr>
      <w:r w:rsidRPr="00FE6725">
        <w:t xml:space="preserve">The extraction tests were performed at a constant flow rate of </w:t>
      </w:r>
      <w:r w:rsidR="000D7BB3" w:rsidRPr="00FE6725">
        <w:t>0.0</w:t>
      </w:r>
      <w:r w:rsidRPr="00FE6725">
        <w:t xml:space="preserve">25 l/min. </w:t>
      </w:r>
      <w:r w:rsidR="00CB77FD" w:rsidRPr="00FE6725">
        <w:t xml:space="preserve">On the whole, </w:t>
      </w:r>
      <w:r w:rsidR="00B00E24" w:rsidRPr="00FE6725">
        <w:t>six</w:t>
      </w:r>
      <w:r w:rsidR="00CB77FD" w:rsidRPr="00FE6725">
        <w:t xml:space="preserve"> tests were performed by varying the solid mass and the liquid volume, and consequently the solid-liquid ratio </w:t>
      </w:r>
      <m:oMath>
        <m:r>
          <w:rPr>
            <w:rFonts w:ascii="Cambria Math" w:hAnsi="Cambria Math"/>
          </w:rPr>
          <m:t>α</m:t>
        </m:r>
      </m:oMath>
      <w:r w:rsidR="00CB77FD" w:rsidRPr="00FE6725">
        <w:t xml:space="preserve"> (Table 1).</w:t>
      </w:r>
    </w:p>
    <w:p w14:paraId="6FDC0470" w14:textId="1C3D117C" w:rsidR="00616517" w:rsidRPr="00FE6725" w:rsidRDefault="00616517" w:rsidP="00177456">
      <w:pPr>
        <w:pStyle w:val="CETTabletitle"/>
      </w:pPr>
      <w:r w:rsidRPr="00FE6725">
        <w:lastRenderedPageBreak/>
        <w:t xml:space="preserve">Table 1: </w:t>
      </w:r>
      <w:r w:rsidR="001C514E" w:rsidRPr="00FE6725">
        <w:t xml:space="preserve">Experimental conditions of extraction tests </w:t>
      </w:r>
      <w:r w:rsidR="00CF3798" w:rsidRPr="00FE6725">
        <w:t>(T=70 °C, flow rate = 0.025 l/min)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616517" w:rsidRPr="00FE6725" w14:paraId="6D01C7F0" w14:textId="77777777" w:rsidTr="009352A6">
        <w:tc>
          <w:tcPr>
            <w:tcW w:w="1134" w:type="dxa"/>
            <w:tcBorders>
              <w:top w:val="single" w:sz="12" w:space="0" w:color="008000"/>
              <w:bottom w:val="single" w:sz="6" w:space="0" w:color="008000"/>
            </w:tcBorders>
            <w:shd w:val="clear" w:color="auto" w:fill="FFFFFF"/>
          </w:tcPr>
          <w:p w14:paraId="66A3212A" w14:textId="44CE24DF" w:rsidR="00616517" w:rsidRPr="00FE6725" w:rsidRDefault="00CF3798" w:rsidP="009352A6">
            <w:pPr>
              <w:pStyle w:val="CETBodytext"/>
              <w:rPr>
                <w:lang w:val="en-GB"/>
              </w:rPr>
            </w:pPr>
            <w:r w:rsidRPr="00FE6725">
              <w:rPr>
                <w:lang w:val="en-GB"/>
              </w:rPr>
              <w:t>Test</w:t>
            </w:r>
            <w:r w:rsidR="00616517" w:rsidRPr="00FE6725">
              <w:rPr>
                <w:lang w:val="en-GB"/>
              </w:rPr>
              <w:t xml:space="preserve"> </w:t>
            </w:r>
          </w:p>
        </w:tc>
        <w:tc>
          <w:tcPr>
            <w:tcW w:w="1134" w:type="dxa"/>
            <w:tcBorders>
              <w:top w:val="single" w:sz="12" w:space="0" w:color="008000"/>
              <w:bottom w:val="single" w:sz="6" w:space="0" w:color="008000"/>
            </w:tcBorders>
            <w:shd w:val="clear" w:color="auto" w:fill="FFFFFF"/>
          </w:tcPr>
          <w:p w14:paraId="1B3C386E" w14:textId="7BDB2937" w:rsidR="00616517" w:rsidRPr="00FE6725" w:rsidRDefault="00CF3798" w:rsidP="00CF3798">
            <w:pPr>
              <w:pStyle w:val="CETBodytext"/>
              <w:jc w:val="left"/>
              <w:rPr>
                <w:lang w:val="en-GB"/>
              </w:rPr>
            </w:pPr>
            <w:r w:rsidRPr="00FE6725">
              <w:rPr>
                <w:lang w:val="en-GB"/>
              </w:rPr>
              <w:t>Number of cycles</w:t>
            </w:r>
          </w:p>
        </w:tc>
        <w:tc>
          <w:tcPr>
            <w:tcW w:w="1134" w:type="dxa"/>
            <w:tcBorders>
              <w:top w:val="single" w:sz="12" w:space="0" w:color="008000"/>
              <w:bottom w:val="single" w:sz="6" w:space="0" w:color="008000"/>
            </w:tcBorders>
            <w:shd w:val="clear" w:color="auto" w:fill="FFFFFF"/>
          </w:tcPr>
          <w:p w14:paraId="704D8436" w14:textId="1834F942" w:rsidR="00616517" w:rsidRPr="00FE6725" w:rsidRDefault="00CF3798" w:rsidP="009352A6">
            <w:pPr>
              <w:pStyle w:val="CETBodytext"/>
              <w:rPr>
                <w:lang w:val="en-GB"/>
              </w:rPr>
            </w:pPr>
            <m:oMath>
              <m:r>
                <w:rPr>
                  <w:rFonts w:ascii="Cambria Math" w:hAnsi="Cambria Math"/>
                </w:rPr>
                <m:t>α</m:t>
              </m:r>
            </m:oMath>
            <w:r w:rsidRPr="00FE6725">
              <w:rPr>
                <w:lang w:val="en-GB"/>
              </w:rPr>
              <w:t xml:space="preserve"> (g/l)</w:t>
            </w:r>
          </w:p>
        </w:tc>
        <w:tc>
          <w:tcPr>
            <w:tcW w:w="1134" w:type="dxa"/>
            <w:tcBorders>
              <w:top w:val="single" w:sz="12" w:space="0" w:color="008000"/>
              <w:bottom w:val="single" w:sz="6" w:space="0" w:color="008000"/>
            </w:tcBorders>
            <w:shd w:val="clear" w:color="auto" w:fill="FFFFFF"/>
          </w:tcPr>
          <w:p w14:paraId="68D60AEB" w14:textId="7289B31B" w:rsidR="00616517" w:rsidRPr="00FE6725" w:rsidRDefault="00000000" w:rsidP="009352A6">
            <w:pPr>
              <w:pStyle w:val="CETBodytext"/>
              <w:ind w:right="-1"/>
              <w:rPr>
                <w:rFonts w:cs="Arial"/>
                <w:szCs w:val="18"/>
                <w:lang w:val="en-GB"/>
              </w:rPr>
            </w:pPr>
            <m:oMath>
              <m:sSub>
                <m:sSubPr>
                  <m:ctrlPr>
                    <w:rPr>
                      <w:rFonts w:ascii="Cambria Math" w:hAnsi="Cambria Math"/>
                      <w:i/>
                    </w:rPr>
                  </m:ctrlPr>
                </m:sSubPr>
                <m:e>
                  <m:r>
                    <w:rPr>
                      <w:rFonts w:ascii="Cambria Math" w:hAnsi="Cambria Math"/>
                    </w:rPr>
                    <m:t>M</m:t>
                  </m:r>
                </m:e>
                <m:sub>
                  <m:r>
                    <w:rPr>
                      <w:rFonts w:ascii="Cambria Math" w:hAnsi="Cambria Math"/>
                    </w:rPr>
                    <m:t>S</m:t>
                  </m:r>
                </m:sub>
              </m:sSub>
            </m:oMath>
            <w:r w:rsidR="00CF3798" w:rsidRPr="00FE6725">
              <w:rPr>
                <w:rFonts w:cs="Arial"/>
                <w:szCs w:val="18"/>
                <w:lang w:val="en-GB"/>
              </w:rPr>
              <w:t xml:space="preserve"> (g)</w:t>
            </w:r>
          </w:p>
        </w:tc>
        <w:tc>
          <w:tcPr>
            <w:tcW w:w="1134" w:type="dxa"/>
            <w:tcBorders>
              <w:top w:val="single" w:sz="12" w:space="0" w:color="008000"/>
              <w:bottom w:val="single" w:sz="6" w:space="0" w:color="008000"/>
            </w:tcBorders>
            <w:shd w:val="clear" w:color="auto" w:fill="FFFFFF"/>
          </w:tcPr>
          <w:p w14:paraId="766DCA96" w14:textId="009D91F2" w:rsidR="00616517" w:rsidRPr="00FE6725" w:rsidRDefault="00000000" w:rsidP="009352A6">
            <w:pPr>
              <w:pStyle w:val="CETBodytext"/>
              <w:ind w:right="-1"/>
              <w:rPr>
                <w:rFonts w:cs="Arial"/>
                <w:szCs w:val="18"/>
                <w:lang w:val="en-GB"/>
              </w:rPr>
            </w:pP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00CF3798" w:rsidRPr="00FE6725">
              <w:rPr>
                <w:rFonts w:cs="Arial"/>
                <w:szCs w:val="18"/>
                <w:lang w:val="en-GB"/>
              </w:rPr>
              <w:t xml:space="preserve"> (l)</w:t>
            </w:r>
          </w:p>
        </w:tc>
      </w:tr>
      <w:tr w:rsidR="00616517" w:rsidRPr="00FE6725" w14:paraId="4217B7F8" w14:textId="77777777" w:rsidTr="009352A6">
        <w:tc>
          <w:tcPr>
            <w:tcW w:w="1134" w:type="dxa"/>
            <w:shd w:val="clear" w:color="auto" w:fill="FFFFFF"/>
          </w:tcPr>
          <w:p w14:paraId="78602E4E" w14:textId="123323B8" w:rsidR="00616517" w:rsidRPr="00FE6725" w:rsidRDefault="00CF3798" w:rsidP="009352A6">
            <w:pPr>
              <w:pStyle w:val="CETBodytext"/>
              <w:rPr>
                <w:lang w:val="en-GB"/>
              </w:rPr>
            </w:pPr>
            <w:r w:rsidRPr="00FE6725">
              <w:rPr>
                <w:lang w:val="en-GB"/>
              </w:rPr>
              <w:t>1</w:t>
            </w:r>
          </w:p>
        </w:tc>
        <w:tc>
          <w:tcPr>
            <w:tcW w:w="1134" w:type="dxa"/>
            <w:shd w:val="clear" w:color="auto" w:fill="FFFFFF"/>
          </w:tcPr>
          <w:p w14:paraId="1CDD6ABD" w14:textId="59B485B6" w:rsidR="00616517" w:rsidRPr="00FE6725" w:rsidRDefault="00CF3798" w:rsidP="009352A6">
            <w:pPr>
              <w:pStyle w:val="CETBodytext"/>
              <w:rPr>
                <w:lang w:val="en-GB"/>
              </w:rPr>
            </w:pPr>
            <w:r w:rsidRPr="00FE6725">
              <w:rPr>
                <w:lang w:val="en-GB"/>
              </w:rPr>
              <w:t>2</w:t>
            </w:r>
          </w:p>
        </w:tc>
        <w:tc>
          <w:tcPr>
            <w:tcW w:w="1134" w:type="dxa"/>
            <w:shd w:val="clear" w:color="auto" w:fill="FFFFFF"/>
          </w:tcPr>
          <w:p w14:paraId="755486A2" w14:textId="6B2BD3BA" w:rsidR="00616517" w:rsidRPr="00FE6725" w:rsidRDefault="00CF3798" w:rsidP="009352A6">
            <w:pPr>
              <w:pStyle w:val="CETBodytext"/>
              <w:rPr>
                <w:lang w:val="en-GB"/>
              </w:rPr>
            </w:pPr>
            <w:r w:rsidRPr="00FE6725">
              <w:rPr>
                <w:lang w:val="en-GB"/>
              </w:rPr>
              <w:t>3.1</w:t>
            </w:r>
          </w:p>
        </w:tc>
        <w:tc>
          <w:tcPr>
            <w:tcW w:w="1134" w:type="dxa"/>
            <w:shd w:val="clear" w:color="auto" w:fill="FFFFFF"/>
          </w:tcPr>
          <w:p w14:paraId="46BDFAF9" w14:textId="41AB34E4" w:rsidR="00616517" w:rsidRPr="00FE6725" w:rsidRDefault="00CF3798" w:rsidP="009352A6">
            <w:pPr>
              <w:pStyle w:val="CETBodytext"/>
              <w:ind w:right="-1"/>
              <w:rPr>
                <w:rFonts w:cs="Arial"/>
                <w:szCs w:val="18"/>
                <w:lang w:val="en-GB"/>
              </w:rPr>
            </w:pPr>
            <w:r w:rsidRPr="00FE6725">
              <w:rPr>
                <w:rFonts w:cs="Arial"/>
                <w:szCs w:val="18"/>
                <w:lang w:val="en-GB"/>
              </w:rPr>
              <w:t>0.31</w:t>
            </w:r>
          </w:p>
        </w:tc>
        <w:tc>
          <w:tcPr>
            <w:tcW w:w="1134" w:type="dxa"/>
            <w:shd w:val="clear" w:color="auto" w:fill="FFFFFF"/>
          </w:tcPr>
          <w:p w14:paraId="015201B2" w14:textId="2F80687D" w:rsidR="00616517" w:rsidRPr="00FE6725" w:rsidRDefault="00CF3798" w:rsidP="009352A6">
            <w:pPr>
              <w:pStyle w:val="CETBodytext"/>
              <w:ind w:right="-1"/>
              <w:rPr>
                <w:rFonts w:cs="Arial"/>
                <w:szCs w:val="18"/>
                <w:lang w:val="en-GB"/>
              </w:rPr>
            </w:pPr>
            <w:r w:rsidRPr="00FE6725">
              <w:rPr>
                <w:rFonts w:cs="Arial"/>
                <w:szCs w:val="18"/>
                <w:lang w:val="en-GB"/>
              </w:rPr>
              <w:t>0.10</w:t>
            </w:r>
          </w:p>
        </w:tc>
      </w:tr>
      <w:tr w:rsidR="00CF3798" w:rsidRPr="00FE6725" w14:paraId="1A3D2B8C" w14:textId="77777777" w:rsidTr="009352A6">
        <w:tc>
          <w:tcPr>
            <w:tcW w:w="1134" w:type="dxa"/>
            <w:shd w:val="clear" w:color="auto" w:fill="FFFFFF"/>
          </w:tcPr>
          <w:p w14:paraId="1E1FD7CA" w14:textId="4EEE11A0" w:rsidR="00CF3798" w:rsidRPr="00FE6725" w:rsidRDefault="00CF3798" w:rsidP="009352A6">
            <w:pPr>
              <w:pStyle w:val="CETBodytext"/>
              <w:rPr>
                <w:lang w:val="en-GB"/>
              </w:rPr>
            </w:pPr>
            <w:r w:rsidRPr="00FE6725">
              <w:rPr>
                <w:lang w:val="en-GB"/>
              </w:rPr>
              <w:t>2</w:t>
            </w:r>
          </w:p>
        </w:tc>
        <w:tc>
          <w:tcPr>
            <w:tcW w:w="1134" w:type="dxa"/>
            <w:shd w:val="clear" w:color="auto" w:fill="FFFFFF"/>
          </w:tcPr>
          <w:p w14:paraId="46A62C49" w14:textId="61C72513" w:rsidR="00CF3798" w:rsidRPr="00FE6725" w:rsidRDefault="00CF3798" w:rsidP="009352A6">
            <w:pPr>
              <w:pStyle w:val="CETBodytext"/>
              <w:rPr>
                <w:lang w:val="en-GB"/>
              </w:rPr>
            </w:pPr>
            <w:r w:rsidRPr="00FE6725">
              <w:rPr>
                <w:lang w:val="en-GB"/>
              </w:rPr>
              <w:t>2</w:t>
            </w:r>
          </w:p>
        </w:tc>
        <w:tc>
          <w:tcPr>
            <w:tcW w:w="1134" w:type="dxa"/>
            <w:shd w:val="clear" w:color="auto" w:fill="FFFFFF"/>
          </w:tcPr>
          <w:p w14:paraId="6FFDC66E" w14:textId="72F3AD71" w:rsidR="00CF3798" w:rsidRPr="00FE6725" w:rsidRDefault="00CF3798" w:rsidP="009352A6">
            <w:pPr>
              <w:pStyle w:val="CETBodytext"/>
              <w:rPr>
                <w:lang w:val="en-GB"/>
              </w:rPr>
            </w:pPr>
            <w:r w:rsidRPr="00FE6725">
              <w:rPr>
                <w:lang w:val="en-GB"/>
              </w:rPr>
              <w:t>3.3</w:t>
            </w:r>
          </w:p>
        </w:tc>
        <w:tc>
          <w:tcPr>
            <w:tcW w:w="1134" w:type="dxa"/>
            <w:shd w:val="clear" w:color="auto" w:fill="FFFFFF"/>
          </w:tcPr>
          <w:p w14:paraId="75B268F6" w14:textId="6D874EB7" w:rsidR="00CF3798" w:rsidRPr="00FE6725" w:rsidRDefault="00CF3798" w:rsidP="009352A6">
            <w:pPr>
              <w:pStyle w:val="CETBodytext"/>
              <w:ind w:right="-1"/>
              <w:rPr>
                <w:rFonts w:cs="Arial"/>
                <w:szCs w:val="18"/>
                <w:lang w:val="en-GB"/>
              </w:rPr>
            </w:pPr>
            <w:r w:rsidRPr="00FE6725">
              <w:rPr>
                <w:rFonts w:cs="Arial"/>
                <w:szCs w:val="18"/>
                <w:lang w:val="en-GB"/>
              </w:rPr>
              <w:t>0.50</w:t>
            </w:r>
          </w:p>
        </w:tc>
        <w:tc>
          <w:tcPr>
            <w:tcW w:w="1134" w:type="dxa"/>
            <w:shd w:val="clear" w:color="auto" w:fill="FFFFFF"/>
          </w:tcPr>
          <w:p w14:paraId="5871A113" w14:textId="781A6653" w:rsidR="00CF3798" w:rsidRPr="00FE6725" w:rsidRDefault="00CF3798" w:rsidP="009352A6">
            <w:pPr>
              <w:pStyle w:val="CETBodytext"/>
              <w:ind w:right="-1"/>
              <w:rPr>
                <w:rFonts w:cs="Arial"/>
                <w:szCs w:val="18"/>
                <w:lang w:val="en-GB"/>
              </w:rPr>
            </w:pPr>
            <w:r w:rsidRPr="00FE6725">
              <w:rPr>
                <w:rFonts w:cs="Arial"/>
                <w:szCs w:val="18"/>
                <w:lang w:val="en-GB"/>
              </w:rPr>
              <w:t>0.15</w:t>
            </w:r>
          </w:p>
        </w:tc>
      </w:tr>
      <w:tr w:rsidR="00CF3798" w:rsidRPr="00FE6725" w14:paraId="77079AFF" w14:textId="77777777" w:rsidTr="009352A6">
        <w:tc>
          <w:tcPr>
            <w:tcW w:w="1134" w:type="dxa"/>
            <w:shd w:val="clear" w:color="auto" w:fill="FFFFFF"/>
          </w:tcPr>
          <w:p w14:paraId="5F09AA93" w14:textId="1E27016A" w:rsidR="00CF3798" w:rsidRPr="00FE6725" w:rsidRDefault="00CF3798" w:rsidP="009352A6">
            <w:pPr>
              <w:pStyle w:val="CETBodytext"/>
              <w:rPr>
                <w:lang w:val="en-GB"/>
              </w:rPr>
            </w:pPr>
            <w:r w:rsidRPr="00FE6725">
              <w:rPr>
                <w:lang w:val="en-GB"/>
              </w:rPr>
              <w:t>3</w:t>
            </w:r>
          </w:p>
        </w:tc>
        <w:tc>
          <w:tcPr>
            <w:tcW w:w="1134" w:type="dxa"/>
            <w:shd w:val="clear" w:color="auto" w:fill="FFFFFF"/>
          </w:tcPr>
          <w:p w14:paraId="10E1AA4A" w14:textId="7D7A8ED9" w:rsidR="00CF3798" w:rsidRPr="00FE6725" w:rsidRDefault="00CF3798" w:rsidP="009352A6">
            <w:pPr>
              <w:pStyle w:val="CETBodytext"/>
              <w:rPr>
                <w:lang w:val="en-GB"/>
              </w:rPr>
            </w:pPr>
            <w:r w:rsidRPr="00FE6725">
              <w:rPr>
                <w:lang w:val="en-GB"/>
              </w:rPr>
              <w:t>2</w:t>
            </w:r>
          </w:p>
        </w:tc>
        <w:tc>
          <w:tcPr>
            <w:tcW w:w="1134" w:type="dxa"/>
            <w:shd w:val="clear" w:color="auto" w:fill="FFFFFF"/>
          </w:tcPr>
          <w:p w14:paraId="3C4E870A" w14:textId="009539C7" w:rsidR="00CF3798" w:rsidRPr="00FE6725" w:rsidRDefault="00CF3798" w:rsidP="009352A6">
            <w:pPr>
              <w:pStyle w:val="CETBodytext"/>
              <w:rPr>
                <w:lang w:val="en-GB"/>
              </w:rPr>
            </w:pPr>
            <w:r w:rsidRPr="00FE6725">
              <w:rPr>
                <w:lang w:val="en-GB"/>
              </w:rPr>
              <w:t>5.0</w:t>
            </w:r>
          </w:p>
        </w:tc>
        <w:tc>
          <w:tcPr>
            <w:tcW w:w="1134" w:type="dxa"/>
            <w:shd w:val="clear" w:color="auto" w:fill="FFFFFF"/>
          </w:tcPr>
          <w:p w14:paraId="2B9F6047" w14:textId="1DAB4859" w:rsidR="00CF3798" w:rsidRPr="00FE6725" w:rsidRDefault="00CF3798" w:rsidP="009352A6">
            <w:pPr>
              <w:pStyle w:val="CETBodytext"/>
              <w:ind w:right="-1"/>
              <w:rPr>
                <w:rFonts w:cs="Arial"/>
                <w:szCs w:val="18"/>
                <w:lang w:val="en-GB"/>
              </w:rPr>
            </w:pPr>
            <w:r w:rsidRPr="00FE6725">
              <w:rPr>
                <w:rFonts w:cs="Arial"/>
                <w:szCs w:val="18"/>
                <w:lang w:val="en-GB"/>
              </w:rPr>
              <w:t>0.45</w:t>
            </w:r>
          </w:p>
        </w:tc>
        <w:tc>
          <w:tcPr>
            <w:tcW w:w="1134" w:type="dxa"/>
            <w:shd w:val="clear" w:color="auto" w:fill="FFFFFF"/>
          </w:tcPr>
          <w:p w14:paraId="1C3D4EE0" w14:textId="6A4B005E" w:rsidR="00CF3798" w:rsidRPr="00FE6725" w:rsidRDefault="00CF3798" w:rsidP="009352A6">
            <w:pPr>
              <w:pStyle w:val="CETBodytext"/>
              <w:ind w:right="-1"/>
              <w:rPr>
                <w:rFonts w:cs="Arial"/>
                <w:szCs w:val="18"/>
                <w:lang w:val="en-GB"/>
              </w:rPr>
            </w:pPr>
            <w:r w:rsidRPr="00FE6725">
              <w:rPr>
                <w:rFonts w:cs="Arial"/>
                <w:szCs w:val="18"/>
                <w:lang w:val="en-GB"/>
              </w:rPr>
              <w:t>0.</w:t>
            </w:r>
            <w:r w:rsidR="00B00E24" w:rsidRPr="00FE6725">
              <w:rPr>
                <w:rFonts w:cs="Arial"/>
                <w:szCs w:val="18"/>
                <w:lang w:val="en-GB"/>
              </w:rPr>
              <w:t>0</w:t>
            </w:r>
            <w:r w:rsidRPr="00FE6725">
              <w:rPr>
                <w:rFonts w:cs="Arial"/>
                <w:szCs w:val="18"/>
                <w:lang w:val="en-GB"/>
              </w:rPr>
              <w:t>9</w:t>
            </w:r>
          </w:p>
        </w:tc>
      </w:tr>
      <w:tr w:rsidR="00CF3798" w:rsidRPr="00FE6725" w14:paraId="38D3D69F" w14:textId="77777777" w:rsidTr="009352A6">
        <w:tc>
          <w:tcPr>
            <w:tcW w:w="1134" w:type="dxa"/>
            <w:shd w:val="clear" w:color="auto" w:fill="FFFFFF"/>
          </w:tcPr>
          <w:p w14:paraId="5FE2E22A" w14:textId="596E14A0" w:rsidR="00CF3798" w:rsidRPr="00FE6725" w:rsidRDefault="00CF3798" w:rsidP="009352A6">
            <w:pPr>
              <w:pStyle w:val="CETBodytext"/>
              <w:rPr>
                <w:lang w:val="en-GB"/>
              </w:rPr>
            </w:pPr>
            <w:r w:rsidRPr="00FE6725">
              <w:rPr>
                <w:lang w:val="en-GB"/>
              </w:rPr>
              <w:t>4</w:t>
            </w:r>
          </w:p>
        </w:tc>
        <w:tc>
          <w:tcPr>
            <w:tcW w:w="1134" w:type="dxa"/>
            <w:shd w:val="clear" w:color="auto" w:fill="FFFFFF"/>
          </w:tcPr>
          <w:p w14:paraId="1E0B5FB1" w14:textId="2FE628B0" w:rsidR="00CF3798" w:rsidRPr="00FE6725" w:rsidRDefault="00CF3798" w:rsidP="009352A6">
            <w:pPr>
              <w:pStyle w:val="CETBodytext"/>
              <w:rPr>
                <w:lang w:val="en-GB"/>
              </w:rPr>
            </w:pPr>
            <w:r w:rsidRPr="00FE6725">
              <w:rPr>
                <w:lang w:val="en-GB"/>
              </w:rPr>
              <w:t>3</w:t>
            </w:r>
          </w:p>
        </w:tc>
        <w:tc>
          <w:tcPr>
            <w:tcW w:w="1134" w:type="dxa"/>
            <w:shd w:val="clear" w:color="auto" w:fill="FFFFFF"/>
          </w:tcPr>
          <w:p w14:paraId="3562DB80" w14:textId="643ECA0D" w:rsidR="00CF3798" w:rsidRPr="00FE6725" w:rsidRDefault="00CF3798" w:rsidP="009352A6">
            <w:pPr>
              <w:pStyle w:val="CETBodytext"/>
              <w:rPr>
                <w:lang w:val="en-GB"/>
              </w:rPr>
            </w:pPr>
            <w:r w:rsidRPr="00FE6725">
              <w:rPr>
                <w:lang w:val="en-GB"/>
              </w:rPr>
              <w:t>5.7</w:t>
            </w:r>
          </w:p>
        </w:tc>
        <w:tc>
          <w:tcPr>
            <w:tcW w:w="1134" w:type="dxa"/>
            <w:shd w:val="clear" w:color="auto" w:fill="FFFFFF"/>
          </w:tcPr>
          <w:p w14:paraId="2C8B7AF1" w14:textId="5B8AAF26" w:rsidR="00CF3798" w:rsidRPr="00FE6725" w:rsidRDefault="00CF3798" w:rsidP="009352A6">
            <w:pPr>
              <w:pStyle w:val="CETBodytext"/>
              <w:ind w:right="-1"/>
              <w:rPr>
                <w:rFonts w:cs="Arial"/>
                <w:szCs w:val="18"/>
                <w:lang w:val="en-GB"/>
              </w:rPr>
            </w:pPr>
            <w:r w:rsidRPr="00FE6725">
              <w:rPr>
                <w:rFonts w:cs="Arial"/>
                <w:szCs w:val="18"/>
                <w:lang w:val="en-GB"/>
              </w:rPr>
              <w:t>0.40</w:t>
            </w:r>
          </w:p>
        </w:tc>
        <w:tc>
          <w:tcPr>
            <w:tcW w:w="1134" w:type="dxa"/>
            <w:shd w:val="clear" w:color="auto" w:fill="FFFFFF"/>
          </w:tcPr>
          <w:p w14:paraId="7DF8474A" w14:textId="5A5A0916" w:rsidR="00CF3798" w:rsidRPr="00FE6725" w:rsidRDefault="00CF3798" w:rsidP="009352A6">
            <w:pPr>
              <w:pStyle w:val="CETBodytext"/>
              <w:ind w:right="-1"/>
              <w:rPr>
                <w:rFonts w:cs="Arial"/>
                <w:szCs w:val="18"/>
                <w:lang w:val="en-GB"/>
              </w:rPr>
            </w:pPr>
            <w:r w:rsidRPr="00FE6725">
              <w:rPr>
                <w:rFonts w:cs="Arial"/>
                <w:szCs w:val="18"/>
                <w:lang w:val="en-GB"/>
              </w:rPr>
              <w:t>0.</w:t>
            </w:r>
            <w:r w:rsidR="00B00E24" w:rsidRPr="00FE6725">
              <w:rPr>
                <w:rFonts w:cs="Arial"/>
                <w:szCs w:val="18"/>
                <w:lang w:val="en-GB"/>
              </w:rPr>
              <w:t>0</w:t>
            </w:r>
            <w:r w:rsidRPr="00FE6725">
              <w:rPr>
                <w:rFonts w:cs="Arial"/>
                <w:szCs w:val="18"/>
                <w:lang w:val="en-GB"/>
              </w:rPr>
              <w:t>7</w:t>
            </w:r>
          </w:p>
        </w:tc>
      </w:tr>
      <w:tr w:rsidR="00CF3798" w:rsidRPr="00FE6725" w14:paraId="4A48C927" w14:textId="77777777" w:rsidTr="009352A6">
        <w:tc>
          <w:tcPr>
            <w:tcW w:w="1134" w:type="dxa"/>
            <w:shd w:val="clear" w:color="auto" w:fill="FFFFFF"/>
          </w:tcPr>
          <w:p w14:paraId="31B120AE" w14:textId="6F1A2526" w:rsidR="00CF3798" w:rsidRPr="00FE6725" w:rsidRDefault="00CF3798" w:rsidP="009352A6">
            <w:pPr>
              <w:pStyle w:val="CETBodytext"/>
              <w:rPr>
                <w:lang w:val="en-GB"/>
              </w:rPr>
            </w:pPr>
            <w:r w:rsidRPr="00FE6725">
              <w:rPr>
                <w:lang w:val="en-GB"/>
              </w:rPr>
              <w:t>5</w:t>
            </w:r>
          </w:p>
        </w:tc>
        <w:tc>
          <w:tcPr>
            <w:tcW w:w="1134" w:type="dxa"/>
            <w:shd w:val="clear" w:color="auto" w:fill="FFFFFF"/>
          </w:tcPr>
          <w:p w14:paraId="733F7991" w14:textId="2BB3B929" w:rsidR="00CF3798" w:rsidRPr="00FE6725" w:rsidRDefault="00CF3798" w:rsidP="009352A6">
            <w:pPr>
              <w:pStyle w:val="CETBodytext"/>
              <w:rPr>
                <w:lang w:val="en-GB"/>
              </w:rPr>
            </w:pPr>
            <w:r w:rsidRPr="00FE6725">
              <w:rPr>
                <w:lang w:val="en-GB"/>
              </w:rPr>
              <w:t>5</w:t>
            </w:r>
          </w:p>
        </w:tc>
        <w:tc>
          <w:tcPr>
            <w:tcW w:w="1134" w:type="dxa"/>
            <w:shd w:val="clear" w:color="auto" w:fill="FFFFFF"/>
          </w:tcPr>
          <w:p w14:paraId="65279F04" w14:textId="389B8A29" w:rsidR="00CF3798" w:rsidRPr="00FE6725" w:rsidRDefault="00CF3798" w:rsidP="009352A6">
            <w:pPr>
              <w:pStyle w:val="CETBodytext"/>
              <w:rPr>
                <w:lang w:val="en-GB"/>
              </w:rPr>
            </w:pPr>
            <w:r w:rsidRPr="00FE6725">
              <w:rPr>
                <w:lang w:val="en-GB"/>
              </w:rPr>
              <w:t>4.0</w:t>
            </w:r>
          </w:p>
        </w:tc>
        <w:tc>
          <w:tcPr>
            <w:tcW w:w="1134" w:type="dxa"/>
            <w:shd w:val="clear" w:color="auto" w:fill="FFFFFF"/>
          </w:tcPr>
          <w:p w14:paraId="3C0C59A9" w14:textId="0C2D72E9" w:rsidR="00CF3798" w:rsidRPr="00FE6725" w:rsidRDefault="00CF3798" w:rsidP="009352A6">
            <w:pPr>
              <w:pStyle w:val="CETBodytext"/>
              <w:ind w:right="-1"/>
              <w:rPr>
                <w:rFonts w:cs="Arial"/>
                <w:szCs w:val="18"/>
                <w:lang w:val="en-GB"/>
              </w:rPr>
            </w:pPr>
            <w:r w:rsidRPr="00FE6725">
              <w:rPr>
                <w:rFonts w:cs="Arial"/>
                <w:szCs w:val="18"/>
                <w:lang w:val="en-GB"/>
              </w:rPr>
              <w:t>0.40</w:t>
            </w:r>
          </w:p>
        </w:tc>
        <w:tc>
          <w:tcPr>
            <w:tcW w:w="1134" w:type="dxa"/>
            <w:shd w:val="clear" w:color="auto" w:fill="FFFFFF"/>
          </w:tcPr>
          <w:p w14:paraId="40D86FE0" w14:textId="74DAC5F5" w:rsidR="00CF3798" w:rsidRPr="00FE6725" w:rsidRDefault="00CF3798" w:rsidP="009352A6">
            <w:pPr>
              <w:pStyle w:val="CETBodytext"/>
              <w:ind w:right="-1"/>
              <w:rPr>
                <w:rFonts w:cs="Arial"/>
                <w:szCs w:val="18"/>
                <w:lang w:val="en-GB"/>
              </w:rPr>
            </w:pPr>
            <w:r w:rsidRPr="00FE6725">
              <w:rPr>
                <w:rFonts w:cs="Arial"/>
                <w:szCs w:val="18"/>
                <w:lang w:val="en-GB"/>
              </w:rPr>
              <w:t>0.10</w:t>
            </w:r>
          </w:p>
        </w:tc>
      </w:tr>
      <w:tr w:rsidR="00616517" w:rsidRPr="00FE6725" w14:paraId="270EAD90" w14:textId="77777777" w:rsidTr="009352A6">
        <w:tc>
          <w:tcPr>
            <w:tcW w:w="1134" w:type="dxa"/>
            <w:shd w:val="clear" w:color="auto" w:fill="FFFFFF"/>
          </w:tcPr>
          <w:p w14:paraId="22F988AD" w14:textId="591019A4" w:rsidR="00616517" w:rsidRPr="00FE6725" w:rsidRDefault="00CF3798" w:rsidP="009352A6">
            <w:pPr>
              <w:pStyle w:val="CETBodytext"/>
              <w:ind w:right="-1"/>
              <w:rPr>
                <w:rFonts w:cs="Arial"/>
                <w:szCs w:val="18"/>
                <w:lang w:val="en-GB"/>
              </w:rPr>
            </w:pPr>
            <w:r w:rsidRPr="00FE6725">
              <w:rPr>
                <w:rFonts w:cs="Arial"/>
                <w:szCs w:val="18"/>
                <w:lang w:val="en-GB"/>
              </w:rPr>
              <w:t>6</w:t>
            </w:r>
          </w:p>
        </w:tc>
        <w:tc>
          <w:tcPr>
            <w:tcW w:w="1134" w:type="dxa"/>
            <w:shd w:val="clear" w:color="auto" w:fill="FFFFFF"/>
          </w:tcPr>
          <w:p w14:paraId="59FD2325" w14:textId="28D32FD7" w:rsidR="00616517" w:rsidRPr="00FE6725" w:rsidRDefault="00CF3798" w:rsidP="009352A6">
            <w:pPr>
              <w:pStyle w:val="CETBodytext"/>
              <w:ind w:right="-1"/>
              <w:rPr>
                <w:rFonts w:cs="Arial"/>
                <w:szCs w:val="18"/>
                <w:lang w:val="en-GB"/>
              </w:rPr>
            </w:pPr>
            <w:r w:rsidRPr="00FE6725">
              <w:rPr>
                <w:rFonts w:cs="Arial"/>
                <w:szCs w:val="18"/>
                <w:lang w:val="en-GB"/>
              </w:rPr>
              <w:t>6</w:t>
            </w:r>
          </w:p>
        </w:tc>
        <w:tc>
          <w:tcPr>
            <w:tcW w:w="1134" w:type="dxa"/>
            <w:shd w:val="clear" w:color="auto" w:fill="FFFFFF"/>
          </w:tcPr>
          <w:p w14:paraId="5F3A3B86" w14:textId="44BFBE87" w:rsidR="00616517" w:rsidRPr="00FE6725" w:rsidRDefault="00CF3798" w:rsidP="009352A6">
            <w:pPr>
              <w:pStyle w:val="CETBodytext"/>
              <w:ind w:right="-1"/>
              <w:rPr>
                <w:rFonts w:cs="Arial"/>
                <w:szCs w:val="18"/>
                <w:lang w:val="en-GB"/>
              </w:rPr>
            </w:pPr>
            <w:r w:rsidRPr="00FE6725">
              <w:rPr>
                <w:rFonts w:cs="Arial"/>
                <w:szCs w:val="18"/>
                <w:lang w:val="en-GB"/>
              </w:rPr>
              <w:t>2.0</w:t>
            </w:r>
          </w:p>
        </w:tc>
        <w:tc>
          <w:tcPr>
            <w:tcW w:w="1134" w:type="dxa"/>
            <w:shd w:val="clear" w:color="auto" w:fill="FFFFFF"/>
          </w:tcPr>
          <w:p w14:paraId="580A71E6" w14:textId="4DCA4464" w:rsidR="00616517" w:rsidRPr="00FE6725" w:rsidRDefault="00CF3798" w:rsidP="009352A6">
            <w:pPr>
              <w:pStyle w:val="CETBodytext"/>
              <w:ind w:right="-1"/>
              <w:rPr>
                <w:rFonts w:cs="Arial"/>
                <w:szCs w:val="18"/>
                <w:lang w:val="en-GB"/>
              </w:rPr>
            </w:pPr>
            <w:r w:rsidRPr="00FE6725">
              <w:rPr>
                <w:rFonts w:cs="Arial"/>
                <w:szCs w:val="18"/>
                <w:lang w:val="en-GB"/>
              </w:rPr>
              <w:t>0.20</w:t>
            </w:r>
          </w:p>
        </w:tc>
        <w:tc>
          <w:tcPr>
            <w:tcW w:w="1134" w:type="dxa"/>
            <w:shd w:val="clear" w:color="auto" w:fill="FFFFFF"/>
          </w:tcPr>
          <w:p w14:paraId="23C065D0" w14:textId="26ED7E9A" w:rsidR="00616517" w:rsidRPr="00FE6725" w:rsidRDefault="00CF3798" w:rsidP="009352A6">
            <w:pPr>
              <w:pStyle w:val="CETBodytext"/>
              <w:ind w:right="-1"/>
              <w:rPr>
                <w:rFonts w:cs="Arial"/>
                <w:szCs w:val="18"/>
                <w:lang w:val="en-GB"/>
              </w:rPr>
            </w:pPr>
            <w:r w:rsidRPr="00FE6725">
              <w:rPr>
                <w:rFonts w:cs="Arial"/>
                <w:szCs w:val="18"/>
                <w:lang w:val="en-GB"/>
              </w:rPr>
              <w:t>0.10</w:t>
            </w:r>
          </w:p>
        </w:tc>
      </w:tr>
    </w:tbl>
    <w:p w14:paraId="3DAF4BC3" w14:textId="77777777" w:rsidR="00616517" w:rsidRPr="00FE6725" w:rsidRDefault="00616517" w:rsidP="00126D4C">
      <w:pPr>
        <w:pStyle w:val="CETBodytext"/>
      </w:pPr>
    </w:p>
    <w:p w14:paraId="7A8A7762" w14:textId="0B7A29CC" w:rsidR="00126D4C" w:rsidRPr="00FE6725" w:rsidRDefault="008D5E5E" w:rsidP="00126D4C">
      <w:pPr>
        <w:pStyle w:val="CETBodytext"/>
      </w:pPr>
      <w:r w:rsidRPr="00FE6725">
        <w:t>Before</w:t>
      </w:r>
      <w:r w:rsidR="00126D4C" w:rsidRPr="00FE6725">
        <w:t xml:space="preserve"> </w:t>
      </w:r>
      <w:r w:rsidRPr="00FE6725">
        <w:t xml:space="preserve">each </w:t>
      </w:r>
      <w:r w:rsidR="00CB77FD" w:rsidRPr="00FE6725">
        <w:t>test</w:t>
      </w:r>
      <w:r w:rsidRPr="00FE6725">
        <w:t xml:space="preserve">, </w:t>
      </w:r>
      <w:r w:rsidR="00CB77FD" w:rsidRPr="00FE6725">
        <w:t xml:space="preserve">the volume of liquid solvent and the mass of </w:t>
      </w:r>
      <w:r w:rsidRPr="00FE6725">
        <w:t>solid matrix</w:t>
      </w:r>
      <w:r w:rsidR="00CB77FD" w:rsidRPr="00FE6725">
        <w:t xml:space="preserve"> </w:t>
      </w:r>
      <w:r w:rsidRPr="00FE6725">
        <w:t>w</w:t>
      </w:r>
      <w:r w:rsidR="00CB77FD" w:rsidRPr="00FE6725">
        <w:t xml:space="preserve">ere </w:t>
      </w:r>
      <w:r w:rsidR="00B00E24" w:rsidRPr="00FE6725">
        <w:t>measured</w:t>
      </w:r>
      <w:r w:rsidR="00CB77FD" w:rsidRPr="00FE6725">
        <w:t xml:space="preserve"> and subsequently</w:t>
      </w:r>
      <w:r w:rsidRPr="00FE6725">
        <w:t xml:space="preserve"> loaded in the</w:t>
      </w:r>
      <w:r w:rsidR="00CB77FD" w:rsidRPr="00FE6725">
        <w:t xml:space="preserve"> collection drum and in the</w:t>
      </w:r>
      <w:r w:rsidRPr="00FE6725">
        <w:t xml:space="preserve"> glass column</w:t>
      </w:r>
      <w:r w:rsidR="00CB77FD" w:rsidRPr="00FE6725">
        <w:t>, respectively.</w:t>
      </w:r>
      <w:r w:rsidR="00E71A8B" w:rsidRPr="00FE6725">
        <w:t xml:space="preserve"> Within the column, glass spheres were placed above the solid in order to keep it confined and packed in a fixed bed.</w:t>
      </w:r>
      <w:r w:rsidR="00505698" w:rsidRPr="00FE6725">
        <w:t xml:space="preserve"> </w:t>
      </w:r>
    </w:p>
    <w:p w14:paraId="4B7FD8C9" w14:textId="1B916E72" w:rsidR="0075104D" w:rsidRPr="00FE6725" w:rsidRDefault="00CB77FD" w:rsidP="00126D4C">
      <w:pPr>
        <w:pStyle w:val="CETBodytext"/>
      </w:pPr>
      <w:r w:rsidRPr="00FE6725">
        <w:t xml:space="preserve">In each test, several extraction </w:t>
      </w:r>
      <w:r w:rsidR="00682026" w:rsidRPr="00FE6725">
        <w:t>cycles</w:t>
      </w:r>
      <w:r w:rsidRPr="00FE6725">
        <w:t xml:space="preserve"> were performed on the same solid sample</w:t>
      </w:r>
      <w:r w:rsidR="00E71A8B" w:rsidRPr="00FE6725">
        <w:t xml:space="preserve">. The number of </w:t>
      </w:r>
      <w:r w:rsidR="00682026" w:rsidRPr="00FE6725">
        <w:t>cycles</w:t>
      </w:r>
      <w:r w:rsidR="00E71A8B" w:rsidRPr="00FE6725">
        <w:t xml:space="preserve"> performed for each </w:t>
      </w:r>
      <w:r w:rsidR="00682026" w:rsidRPr="00FE6725">
        <w:t>test</w:t>
      </w:r>
      <w:r w:rsidR="00E71A8B" w:rsidRPr="00FE6725">
        <w:t xml:space="preserve"> is reported</w:t>
      </w:r>
      <w:r w:rsidR="00293097" w:rsidRPr="00FE6725">
        <w:t xml:space="preserve"> in</w:t>
      </w:r>
      <w:r w:rsidR="00E71A8B" w:rsidRPr="00FE6725">
        <w:t xml:space="preserve"> Table 1. </w:t>
      </w:r>
      <w:r w:rsidR="0075104D" w:rsidRPr="00FE6725">
        <w:t xml:space="preserve">Each </w:t>
      </w:r>
      <w:r w:rsidR="00682026" w:rsidRPr="00FE6725">
        <w:t>cycle</w:t>
      </w:r>
      <w:r w:rsidR="0075104D" w:rsidRPr="00FE6725">
        <w:t xml:space="preserve"> started by activating the peristaltic pump </w:t>
      </w:r>
      <w:r w:rsidR="004B68BC" w:rsidRPr="00FE6725">
        <w:t>(</w:t>
      </w:r>
      <w:r w:rsidR="00767B75" w:rsidRPr="00FE6725">
        <w:t>3</w:t>
      </w:r>
      <w:r w:rsidR="004B68BC" w:rsidRPr="00FE6725">
        <w:t>)</w:t>
      </w:r>
      <w:r w:rsidR="00816521" w:rsidRPr="00FE6725">
        <w:t xml:space="preserve">, allowing a constant flow of liquid solvent to continuously leave the collection drum </w:t>
      </w:r>
      <w:r w:rsidR="004B68BC" w:rsidRPr="00FE6725">
        <w:t>(</w:t>
      </w:r>
      <w:r w:rsidR="00816521" w:rsidRPr="00FE6725">
        <w:t xml:space="preserve">4), pass through the extraction column (1), and be recirculated back into the accumulation drum in a closed loop. </w:t>
      </w:r>
      <w:r w:rsidR="00767B75" w:rsidRPr="00FE6725">
        <w:t xml:space="preserve">During </w:t>
      </w:r>
      <w:r w:rsidR="00C62042" w:rsidRPr="00FE6725">
        <w:t>the first</w:t>
      </w:r>
      <w:r w:rsidR="00682026" w:rsidRPr="00FE6725">
        <w:t xml:space="preserve"> extraction</w:t>
      </w:r>
      <w:r w:rsidR="00767B75" w:rsidRPr="00FE6725">
        <w:t xml:space="preserve"> </w:t>
      </w:r>
      <w:r w:rsidR="00682026" w:rsidRPr="00FE6725">
        <w:t>cycle</w:t>
      </w:r>
      <w:r w:rsidR="00C62042" w:rsidRPr="00FE6725">
        <w:t xml:space="preserve">s of tests 1 and </w:t>
      </w:r>
      <w:r w:rsidR="00A236AD" w:rsidRPr="00FE6725">
        <w:t>3</w:t>
      </w:r>
      <w:r w:rsidR="00682026" w:rsidRPr="00FE6725">
        <w:t xml:space="preserve">, samples of the liquid stream were collected at fixed time intervals </w:t>
      </w:r>
      <w:r w:rsidR="00A236AD" w:rsidRPr="00FE6725">
        <w:t>through the three</w:t>
      </w:r>
      <w:r w:rsidR="00951A91" w:rsidRPr="00FE6725">
        <w:t>-</w:t>
      </w:r>
      <w:r w:rsidR="00A236AD" w:rsidRPr="00FE6725">
        <w:t xml:space="preserve">ways valve (5) </w:t>
      </w:r>
      <w:r w:rsidR="00682026" w:rsidRPr="00FE6725">
        <w:t xml:space="preserve">and then analyzed as described in </w:t>
      </w:r>
      <w:r w:rsidR="00224A1B" w:rsidRPr="00FE6725">
        <w:t>the following section (Section 2.4)</w:t>
      </w:r>
      <w:r w:rsidR="00682026" w:rsidRPr="00FE6725">
        <w:t xml:space="preserve"> in order to </w:t>
      </w:r>
      <w:r w:rsidR="00724E6E" w:rsidRPr="00FE6725">
        <w:t>determine the extraction time</w:t>
      </w:r>
      <w:r w:rsidR="00682026" w:rsidRPr="00FE6725">
        <w:t xml:space="preserve"> of the system.  </w:t>
      </w:r>
    </w:p>
    <w:p w14:paraId="007C80D0" w14:textId="5D599BD7" w:rsidR="00922D34" w:rsidRPr="00FE6725" w:rsidRDefault="00407D75" w:rsidP="00126D4C">
      <w:pPr>
        <w:pStyle w:val="CETBodytext"/>
      </w:pPr>
      <w:r w:rsidRPr="00FE6725">
        <w:t>A</w:t>
      </w:r>
      <w:r w:rsidR="00767B75" w:rsidRPr="00FE6725">
        <w:t>t the end of</w:t>
      </w:r>
      <w:r w:rsidRPr="00FE6725">
        <w:t xml:space="preserve"> each </w:t>
      </w:r>
      <w:r w:rsidR="00682026" w:rsidRPr="00FE6725">
        <w:t>cycle</w:t>
      </w:r>
      <w:r w:rsidRPr="00FE6725">
        <w:t>, having a</w:t>
      </w:r>
      <w:r w:rsidR="00FF70E0" w:rsidRPr="00FE6725">
        <w:t xml:space="preserve"> duration </w:t>
      </w:r>
      <w:r w:rsidRPr="00FE6725">
        <w:t>ranging</w:t>
      </w:r>
      <w:r w:rsidR="006C4F5F" w:rsidRPr="00FE6725">
        <w:t xml:space="preserve"> from </w:t>
      </w:r>
      <w:r w:rsidR="00B00E24" w:rsidRPr="00FE6725">
        <w:t>20 min</w:t>
      </w:r>
      <w:r w:rsidR="00C62042" w:rsidRPr="00FE6725">
        <w:t xml:space="preserve"> </w:t>
      </w:r>
      <w:r w:rsidR="006C4F5F" w:rsidRPr="00FE6725">
        <w:t xml:space="preserve">to </w:t>
      </w:r>
      <w:r w:rsidR="00834343" w:rsidRPr="00FE6725">
        <w:t>520 min</w:t>
      </w:r>
      <w:r w:rsidRPr="00FE6725">
        <w:t xml:space="preserve">, the liquid product </w:t>
      </w:r>
      <w:r w:rsidR="005C7099" w:rsidRPr="00FE6725">
        <w:t xml:space="preserve">containing the extracted polyphenols </w:t>
      </w:r>
      <w:r w:rsidRPr="00FE6725">
        <w:t>was removed</w:t>
      </w:r>
      <w:r w:rsidR="00C62042" w:rsidRPr="00FE6725">
        <w:t>, analyzed as described in Section 2.4,</w:t>
      </w:r>
      <w:r w:rsidR="00682026" w:rsidRPr="00FE6725">
        <w:t xml:space="preserve"> </w:t>
      </w:r>
      <w:r w:rsidRPr="00FE6725">
        <w:t>and replaced with fresh solvent</w:t>
      </w:r>
      <w:r w:rsidR="00DA5C22" w:rsidRPr="00FE6725">
        <w:t xml:space="preserve"> in the same amount of that loaded at the beginning of the test</w:t>
      </w:r>
      <w:r w:rsidR="005C7099" w:rsidRPr="00FE6725">
        <w:t xml:space="preserve">. On the other </w:t>
      </w:r>
      <w:r w:rsidR="004B68BC" w:rsidRPr="00FE6725">
        <w:t>ha</w:t>
      </w:r>
      <w:r w:rsidR="005C7099" w:rsidRPr="00FE6725">
        <w:t>nd, the solid remain</w:t>
      </w:r>
      <w:r w:rsidR="004B68BC" w:rsidRPr="00FE6725">
        <w:t>ed</w:t>
      </w:r>
      <w:r w:rsidR="005C7099" w:rsidRPr="00FE6725">
        <w:t xml:space="preserve"> confined in the column and </w:t>
      </w:r>
      <w:r w:rsidR="004B68BC" w:rsidRPr="00FE6725">
        <w:t>wa</w:t>
      </w:r>
      <w:r w:rsidR="005C7099" w:rsidRPr="00FE6725">
        <w:t xml:space="preserve">s removed </w:t>
      </w:r>
      <w:r w:rsidR="009765A5" w:rsidRPr="00FE6725">
        <w:t xml:space="preserve">and replaced </w:t>
      </w:r>
      <w:r w:rsidR="005C7099" w:rsidRPr="00FE6725">
        <w:t xml:space="preserve">only at the end of each test. </w:t>
      </w:r>
    </w:p>
    <w:p w14:paraId="6774445B" w14:textId="77777777" w:rsidR="00224A1B" w:rsidRPr="00FE6725" w:rsidRDefault="00224A1B" w:rsidP="000D20E8">
      <w:pPr>
        <w:pStyle w:val="CETheadingx"/>
      </w:pPr>
      <w:proofErr w:type="spellStart"/>
      <w:r w:rsidRPr="00FE6725">
        <w:t>Analyticals</w:t>
      </w:r>
      <w:proofErr w:type="spellEnd"/>
    </w:p>
    <w:p w14:paraId="10640082" w14:textId="143E4322" w:rsidR="00224A1B" w:rsidRPr="00FE6725" w:rsidRDefault="00224A1B" w:rsidP="00126D4C">
      <w:pPr>
        <w:pStyle w:val="CETBodytext"/>
      </w:pPr>
      <w:r w:rsidRPr="00FE6725">
        <w:rPr>
          <w:lang w:val="en-GB"/>
        </w:rPr>
        <w:t xml:space="preserve">The concentration of polyphenols in the </w:t>
      </w:r>
      <w:r w:rsidR="00AB75A3" w:rsidRPr="00FE6725">
        <w:rPr>
          <w:lang w:val="en-GB"/>
        </w:rPr>
        <w:t>liquid</w:t>
      </w:r>
      <w:r w:rsidRPr="00FE6725">
        <w:rPr>
          <w:lang w:val="en-GB"/>
        </w:rPr>
        <w:t xml:space="preserve"> </w:t>
      </w:r>
      <w:r w:rsidR="00AB75A3" w:rsidRPr="00FE6725">
        <w:rPr>
          <w:lang w:val="en-GB"/>
        </w:rPr>
        <w:t>samples</w:t>
      </w:r>
      <w:r w:rsidRPr="00FE6725">
        <w:rPr>
          <w:lang w:val="en-GB"/>
        </w:rPr>
        <w:t xml:space="preserve"> </w:t>
      </w:r>
      <w:r w:rsidR="00AB75A3" w:rsidRPr="00FE6725">
        <w:rPr>
          <w:lang w:val="en-GB"/>
        </w:rPr>
        <w:t>collected from e</w:t>
      </w:r>
      <w:r w:rsidR="00B82413" w:rsidRPr="00FE6725">
        <w:rPr>
          <w:lang w:val="en-GB"/>
        </w:rPr>
        <w:t>xperimental tests</w:t>
      </w:r>
      <w:r w:rsidR="00AB75A3" w:rsidRPr="00FE6725">
        <w:rPr>
          <w:lang w:val="en-GB"/>
        </w:rPr>
        <w:t xml:space="preserve"> </w:t>
      </w:r>
      <w:r w:rsidRPr="00FE6725">
        <w:rPr>
          <w:lang w:val="en-GB"/>
        </w:rPr>
        <w:t xml:space="preserve">was determined </w:t>
      </w:r>
      <w:r w:rsidR="00B82413" w:rsidRPr="00FE6725">
        <w:rPr>
          <w:lang w:val="en-GB"/>
        </w:rPr>
        <w:t>by oxidation of phenolic compounds using</w:t>
      </w:r>
      <w:r w:rsidRPr="00FE6725">
        <w:rPr>
          <w:lang w:val="en-GB"/>
        </w:rPr>
        <w:t xml:space="preserve"> the Folin</w:t>
      </w:r>
      <w:r w:rsidR="009F48FD" w:rsidRPr="00FE6725">
        <w:rPr>
          <w:lang w:val="en-GB"/>
        </w:rPr>
        <w:t>-</w:t>
      </w:r>
      <w:proofErr w:type="spellStart"/>
      <w:r w:rsidRPr="00FE6725">
        <w:rPr>
          <w:lang w:val="en-GB"/>
        </w:rPr>
        <w:t>Ciocalteau</w:t>
      </w:r>
      <w:proofErr w:type="spellEnd"/>
      <w:r w:rsidRPr="00FE6725">
        <w:rPr>
          <w:lang w:val="en-GB"/>
        </w:rPr>
        <w:t xml:space="preserve"> </w:t>
      </w:r>
      <w:r w:rsidR="00E40E8F" w:rsidRPr="00FE6725">
        <w:rPr>
          <w:lang w:val="en-GB"/>
        </w:rPr>
        <w:t>(F</w:t>
      </w:r>
      <w:r w:rsidR="009F48FD" w:rsidRPr="00FE6725">
        <w:rPr>
          <w:lang w:val="en-GB"/>
        </w:rPr>
        <w:t>-</w:t>
      </w:r>
      <w:r w:rsidR="00E40E8F" w:rsidRPr="00FE6725">
        <w:rPr>
          <w:lang w:val="en-GB"/>
        </w:rPr>
        <w:t xml:space="preserve">C) assay. </w:t>
      </w:r>
      <w:r w:rsidR="00AB75A3" w:rsidRPr="00FE6725">
        <w:rPr>
          <w:lang w:val="en-GB"/>
        </w:rPr>
        <w:t xml:space="preserve">The details regarding the analytical procedure are reported by </w:t>
      </w:r>
      <w:r w:rsidR="003A4BB8" w:rsidRPr="00FE6725">
        <w:rPr>
          <w:lang w:val="en-GB"/>
        </w:rPr>
        <w:fldChar w:fldCharType="begin" w:fldLock="1"/>
      </w:r>
      <w:r w:rsidR="003A4BB8" w:rsidRPr="00FE6725">
        <w:rPr>
          <w:lang w:val="en-GB"/>
        </w:rPr>
        <w:instrText>ADDIN CSL_CITATION {"citationItems":[{"id":"ITEM-1","itemData":{"DOI":"10.1021/jf1005935","author":[{"dropping-particle":"","family":"Everette","given":"Jace D.","non-dropping-particle":"","parse-names":false,"suffix":""},{"dropping-particle":"","family":"Bryant","given":"Quinton M.","non-dropping-particle":"","parse-names":false,"suffix":""},{"dropping-particle":"","family":"Green","given":"Ashlee M.","non-dropping-particle":"","parse-names":false,"suffix":""},{"dropping-particle":"","family":"Abbey","given":"Yvonne A.","non-dropping-particle":"","parse-names":false,"suffix":""},{"dropping-particle":"","family":"Wangila","given":"Grant W.","non-dropping-particle":"","parse-names":false,"suffix":""},{"dropping-particle":"","family":"Walker","given":"Richard B.","non-dropping-particle":"","parse-names":false,"suffix":""}],"container-title":"Journal of Agricultural and Food Chemistry","id":"ITEM-1","issued":{"date-parts":[["2010"]]},"page":"8139-8144","title":"Thorough Study of Reactivity of Various Compound Classes toward the Folin - Ciocalteu Reagent","type":"article-journal","volume":"58"},"uris":["http://www.mendeley.com/documents/?uuid=ca2624a0-2751-4824-8bd0-55eaf0a50fe9"]}],"mendeley":{"formattedCitation":"(Everette et al., 2010)","manualFormatting":"Everette et al. (2010)","plainTextFormattedCitation":"(Everette et al., 2010)","previouslyFormattedCitation":"(Everette et al., 2010)"},"properties":{"noteIndex":0},"schema":"https://github.com/citation-style-language/schema/raw/master/csl-citation.json"}</w:instrText>
      </w:r>
      <w:r w:rsidR="003A4BB8" w:rsidRPr="00FE6725">
        <w:rPr>
          <w:lang w:val="en-GB"/>
        </w:rPr>
        <w:fldChar w:fldCharType="separate"/>
      </w:r>
      <w:r w:rsidR="003A4BB8" w:rsidRPr="00FE6725">
        <w:rPr>
          <w:noProof/>
          <w:lang w:val="en-GB"/>
        </w:rPr>
        <w:t>Everette et al. (2010)</w:t>
      </w:r>
      <w:r w:rsidR="003A4BB8" w:rsidRPr="00FE6725">
        <w:rPr>
          <w:lang w:val="en-GB"/>
        </w:rPr>
        <w:fldChar w:fldCharType="end"/>
      </w:r>
      <w:r w:rsidR="00AB75A3" w:rsidRPr="00FE6725">
        <w:rPr>
          <w:lang w:val="en-GB"/>
        </w:rPr>
        <w:t xml:space="preserve">. </w:t>
      </w:r>
      <w:r w:rsidR="004B68BC" w:rsidRPr="00FE6725">
        <w:t xml:space="preserve">Briefly, 20 µL of </w:t>
      </w:r>
      <w:r w:rsidR="002C7679" w:rsidRPr="00FE6725">
        <w:t xml:space="preserve">each experimental </w:t>
      </w:r>
      <w:r w:rsidR="004B68BC" w:rsidRPr="00FE6725">
        <w:t xml:space="preserve">sample were mixed with </w:t>
      </w:r>
      <w:r w:rsidR="00B82413" w:rsidRPr="00FE6725">
        <w:t xml:space="preserve">1580 µL of distilled water and </w:t>
      </w:r>
      <w:r w:rsidR="004B68BC" w:rsidRPr="00FE6725">
        <w:t>100 µL of Folin</w:t>
      </w:r>
      <w:r w:rsidR="009F48FD" w:rsidRPr="00FE6725">
        <w:t>-</w:t>
      </w:r>
      <w:proofErr w:type="spellStart"/>
      <w:r w:rsidR="004B68BC" w:rsidRPr="00FE6725">
        <w:t>Ciocalteu’s</w:t>
      </w:r>
      <w:proofErr w:type="spellEnd"/>
      <w:r w:rsidR="004B68BC" w:rsidRPr="00FE6725">
        <w:t xml:space="preserve"> reagent</w:t>
      </w:r>
      <w:r w:rsidR="00153B75" w:rsidRPr="00FE6725">
        <w:t xml:space="preserve">, </w:t>
      </w:r>
      <w:r w:rsidR="00DE630C" w:rsidRPr="00FE6725">
        <w:t>purchased from Sigma Aldrich (Milan, Italy) and used without any further purification</w:t>
      </w:r>
      <w:r w:rsidR="000B57FF" w:rsidRPr="00FE6725">
        <w:t>. The mixture was stirred and</w:t>
      </w:r>
      <w:r w:rsidR="004B68BC" w:rsidRPr="00FE6725">
        <w:t xml:space="preserve"> kept in the dark for </w:t>
      </w:r>
      <w:r w:rsidR="00B82413" w:rsidRPr="00FE6725">
        <w:t>8</w:t>
      </w:r>
      <w:r w:rsidR="004B68BC" w:rsidRPr="00FE6725">
        <w:t xml:space="preserve"> min. Then, 300 µL of an aqueous solution </w:t>
      </w:r>
      <w:r w:rsidR="002C7679" w:rsidRPr="00FE6725">
        <w:t xml:space="preserve">containing 20% w/w </w:t>
      </w:r>
      <w:r w:rsidR="004B68BC" w:rsidRPr="00FE6725">
        <w:t xml:space="preserve">of </w:t>
      </w:r>
      <w:r w:rsidR="001D7F5A" w:rsidRPr="00FE6725">
        <w:t>sodium carbonate (</w:t>
      </w:r>
      <w:r w:rsidR="004B68BC" w:rsidRPr="00FE6725">
        <w:t>Na</w:t>
      </w:r>
      <w:r w:rsidR="004B68BC" w:rsidRPr="00FE6725">
        <w:rPr>
          <w:vertAlign w:val="subscript"/>
        </w:rPr>
        <w:t>2</w:t>
      </w:r>
      <w:r w:rsidR="004B68BC" w:rsidRPr="00FE6725">
        <w:t>CO</w:t>
      </w:r>
      <w:r w:rsidR="004B68BC" w:rsidRPr="00FE6725">
        <w:rPr>
          <w:vertAlign w:val="subscript"/>
        </w:rPr>
        <w:t>3</w:t>
      </w:r>
      <w:r w:rsidR="001D7F5A" w:rsidRPr="00FE6725">
        <w:t>)</w:t>
      </w:r>
      <w:r w:rsidR="004B68BC" w:rsidRPr="00FE6725">
        <w:t xml:space="preserve"> was added and </w:t>
      </w:r>
      <w:r w:rsidR="001D7F5A" w:rsidRPr="00FE6725">
        <w:t xml:space="preserve">the </w:t>
      </w:r>
      <w:r w:rsidR="000B57FF" w:rsidRPr="00FE6725">
        <w:t>mixture</w:t>
      </w:r>
      <w:r w:rsidR="001D7F5A" w:rsidRPr="00FE6725">
        <w:t xml:space="preserve"> was </w:t>
      </w:r>
      <w:r w:rsidR="004B68BC" w:rsidRPr="00FE6725">
        <w:t>put back in the dark for 2 h. Finally, 200 µL of th</w:t>
      </w:r>
      <w:r w:rsidR="000B57FF" w:rsidRPr="00FE6725">
        <w:t xml:space="preserve">e prepared </w:t>
      </w:r>
      <w:r w:rsidR="002C7679" w:rsidRPr="00FE6725">
        <w:t>sample</w:t>
      </w:r>
      <w:r w:rsidR="004B68BC" w:rsidRPr="00FE6725">
        <w:t xml:space="preserve"> was put in a Greiner</w:t>
      </w:r>
      <w:r w:rsidR="000B57FF" w:rsidRPr="00FE6725">
        <w:t xml:space="preserve"> 96 flat transparent</w:t>
      </w:r>
      <w:r w:rsidR="004B68BC" w:rsidRPr="00FE6725">
        <w:t xml:space="preserve"> microplate. </w:t>
      </w:r>
      <w:r w:rsidR="000B57FF" w:rsidRPr="00FE6725">
        <w:t>The</w:t>
      </w:r>
      <w:r w:rsidR="004B68BC" w:rsidRPr="00FE6725">
        <w:t xml:space="preserve"> absorbance</w:t>
      </w:r>
      <w:r w:rsidR="00C16F0C" w:rsidRPr="00FE6725">
        <w:t xml:space="preserve"> of the sample</w:t>
      </w:r>
      <w:r w:rsidR="004B68BC" w:rsidRPr="00FE6725">
        <w:t xml:space="preserve"> was measured </w:t>
      </w:r>
      <w:r w:rsidR="00E65D5C" w:rsidRPr="00FE6725">
        <w:t xml:space="preserve">through </w:t>
      </w:r>
      <w:r w:rsidR="004B68BC" w:rsidRPr="00FE6725">
        <w:t>the Infinite M200 PRO Tecan microplate spectrophotometer (Tecan Trading AG, Switzerland) at 765 nm. The concentration</w:t>
      </w:r>
      <w:r w:rsidR="000B57FF" w:rsidRPr="00FE6725">
        <w:t xml:space="preserve"> </w:t>
      </w:r>
      <w:r w:rsidR="004B68BC" w:rsidRPr="00FE6725">
        <w:t>was calculated by interpolating the result</w:t>
      </w:r>
      <w:r w:rsidR="00C00A7E" w:rsidRPr="00FE6725">
        <w:t xml:space="preserve"> </w:t>
      </w:r>
      <w:r w:rsidR="004B68BC" w:rsidRPr="00FE6725">
        <w:t xml:space="preserve">in a calibration curve </w:t>
      </w:r>
      <w:r w:rsidR="00C00A7E" w:rsidRPr="00FE6725">
        <w:t xml:space="preserve">obtained by measuring the absorbance of solutions of known </w:t>
      </w:r>
      <w:r w:rsidR="008D5B8A" w:rsidRPr="00FE6725">
        <w:t>composition of</w:t>
      </w:r>
      <w:r w:rsidR="004B68BC" w:rsidRPr="00FE6725">
        <w:t xml:space="preserve"> gallic acid</w:t>
      </w:r>
      <w:r w:rsidR="008D5B8A" w:rsidRPr="00FE6725">
        <w:t xml:space="preserve">, </w:t>
      </w:r>
      <w:r w:rsidR="00C16F0C" w:rsidRPr="00FE6725">
        <w:t xml:space="preserve">used </w:t>
      </w:r>
      <w:r w:rsidR="004B68BC" w:rsidRPr="00FE6725">
        <w:t>as analytical standard</w:t>
      </w:r>
      <w:r w:rsidR="00431AD7" w:rsidRPr="00FE6725">
        <w:t>.</w:t>
      </w:r>
      <w:r w:rsidR="00DE630C" w:rsidRPr="00FE6725">
        <w:t xml:space="preserve"> For this reason, the concentration of polyphenols is calculated in terms of equivalent Gallic Acid.</w:t>
      </w:r>
    </w:p>
    <w:p w14:paraId="00A6E66E" w14:textId="77777777" w:rsidR="00BF4C24" w:rsidRPr="00FE6725" w:rsidRDefault="00BF4C24" w:rsidP="00126D4C">
      <w:pPr>
        <w:pStyle w:val="CETBodytext"/>
        <w:rPr>
          <w:lang w:val="en-GB"/>
        </w:rPr>
      </w:pPr>
    </w:p>
    <w:p w14:paraId="677EBFF0" w14:textId="08AA44C4" w:rsidR="00600535" w:rsidRPr="00FE6725" w:rsidRDefault="00616517" w:rsidP="00600535">
      <w:pPr>
        <w:pStyle w:val="CETHeading1"/>
        <w:tabs>
          <w:tab w:val="clear" w:pos="360"/>
          <w:tab w:val="right" w:pos="7100"/>
        </w:tabs>
        <w:jc w:val="both"/>
        <w:rPr>
          <w:lang w:val="en-GB"/>
        </w:rPr>
      </w:pPr>
      <w:r w:rsidRPr="00FE6725">
        <w:rPr>
          <w:lang w:val="en-GB"/>
        </w:rPr>
        <w:t xml:space="preserve">Results </w:t>
      </w:r>
    </w:p>
    <w:p w14:paraId="777A41CF" w14:textId="6D4816B6" w:rsidR="00AA205E" w:rsidRPr="00FE6725" w:rsidRDefault="000D20E8" w:rsidP="000D20E8">
      <w:pPr>
        <w:pStyle w:val="CETheadingx"/>
      </w:pPr>
      <w:r w:rsidRPr="00FE6725">
        <w:t>Quantification</w:t>
      </w:r>
      <w:r w:rsidR="00AA205E" w:rsidRPr="00FE6725">
        <w:t xml:space="preserve"> of total extractable polyphenols from hazelnut skins</w:t>
      </w:r>
      <w:r w:rsidRPr="00FE6725">
        <w:t xml:space="preserve"> and of extra</w:t>
      </w:r>
      <w:r w:rsidR="00357FA9" w:rsidRPr="00FE6725">
        <w:t>ction time</w:t>
      </w:r>
    </w:p>
    <w:p w14:paraId="283B9B0F" w14:textId="77777777" w:rsidR="00AA205E" w:rsidRPr="00FE6725" w:rsidRDefault="00AA205E" w:rsidP="00AA205E">
      <w:pPr>
        <w:pStyle w:val="CETBodytext"/>
      </w:pPr>
      <w:r w:rsidRPr="00FE6725">
        <w:rPr>
          <w:lang w:val="en-GB"/>
        </w:rPr>
        <w:t>T</w:t>
      </w:r>
      <w:r w:rsidRPr="00FE6725">
        <w:t xml:space="preserve">he total amount </w:t>
      </w:r>
      <m:oMath>
        <m:sSub>
          <m:sSubPr>
            <m:ctrlPr>
              <w:rPr>
                <w:rFonts w:ascii="Cambria Math" w:hAnsi="Cambria Math"/>
                <w:i/>
              </w:rPr>
            </m:ctrlPr>
          </m:sSubPr>
          <m:e>
            <m:r>
              <w:rPr>
                <w:rFonts w:ascii="Cambria Math" w:hAnsi="Cambria Math"/>
              </w:rPr>
              <m:t>q</m:t>
            </m:r>
          </m:e>
          <m:sub>
            <m:r>
              <w:rPr>
                <w:rFonts w:ascii="Cambria Math" w:hAnsi="Cambria Math"/>
              </w:rPr>
              <m:t>tot</m:t>
            </m:r>
          </m:sub>
        </m:sSub>
      </m:oMath>
      <w:r w:rsidRPr="00FE6725">
        <w:t xml:space="preserve"> of extractable polyphenols per mass of solid matrix was calculated through a mass balance extended to all the extraction cycles of each test as follows:</w:t>
      </w:r>
    </w:p>
    <w:tbl>
      <w:tblPr>
        <w:tblW w:w="5000" w:type="pct"/>
        <w:tblLook w:val="04A0" w:firstRow="1" w:lastRow="0" w:firstColumn="1" w:lastColumn="0" w:noHBand="0" w:noVBand="1"/>
      </w:tblPr>
      <w:tblGrid>
        <w:gridCol w:w="7983"/>
        <w:gridCol w:w="804"/>
      </w:tblGrid>
      <w:tr w:rsidR="00AA205E" w:rsidRPr="00FE6725" w14:paraId="102C95A2" w14:textId="77777777" w:rsidTr="00965CD5">
        <w:tc>
          <w:tcPr>
            <w:tcW w:w="8188" w:type="dxa"/>
            <w:shd w:val="clear" w:color="auto" w:fill="auto"/>
            <w:vAlign w:val="center"/>
          </w:tcPr>
          <w:p w14:paraId="11B867D8" w14:textId="66656E15" w:rsidR="00AA205E" w:rsidRPr="00FE6725" w:rsidRDefault="00000000" w:rsidP="00965CD5">
            <w:pPr>
              <w:pStyle w:val="CETEquation"/>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tot</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L</m:t>
                        </m:r>
                      </m:sub>
                    </m:sSub>
                  </m:num>
                  <m:den>
                    <m:sSub>
                      <m:sSubPr>
                        <m:ctrlPr>
                          <w:rPr>
                            <w:rFonts w:ascii="Cambria Math" w:hAnsi="Cambria Math"/>
                            <w:i/>
                          </w:rPr>
                        </m:ctrlPr>
                      </m:sSubPr>
                      <m:e>
                        <m:r>
                          <w:rPr>
                            <w:rFonts w:ascii="Cambria Math" w:hAnsi="Cambria Math"/>
                          </w:rPr>
                          <m:t>M</m:t>
                        </m:r>
                      </m:e>
                      <m:sub>
                        <m:r>
                          <w:rPr>
                            <w:rFonts w:ascii="Cambria Math" w:hAnsi="Cambria Math"/>
                          </w:rPr>
                          <m:t>S</m:t>
                        </m:r>
                      </m:sub>
                    </m:sSub>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i</m:t>
                        </m:r>
                      </m:sub>
                    </m:sSub>
                  </m:e>
                </m:nary>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α</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C</m:t>
                        </m:r>
                      </m:e>
                      <m:sub>
                        <m:r>
                          <w:rPr>
                            <w:rFonts w:ascii="Cambria Math" w:hAnsi="Cambria Math"/>
                          </w:rPr>
                          <m:t>i</m:t>
                        </m:r>
                      </m:sub>
                    </m:sSub>
                  </m:e>
                </m:nary>
              </m:oMath>
            </m:oMathPara>
          </w:p>
        </w:tc>
        <w:tc>
          <w:tcPr>
            <w:tcW w:w="815" w:type="dxa"/>
            <w:shd w:val="clear" w:color="auto" w:fill="auto"/>
            <w:vAlign w:val="center"/>
          </w:tcPr>
          <w:p w14:paraId="6A747154" w14:textId="77777777" w:rsidR="00AA205E" w:rsidRPr="00FE6725" w:rsidRDefault="00AA205E" w:rsidP="00965CD5">
            <w:pPr>
              <w:pStyle w:val="CETEquation"/>
              <w:jc w:val="right"/>
            </w:pPr>
            <w:r w:rsidRPr="00FE6725">
              <w:t>(1)</w:t>
            </w:r>
          </w:p>
        </w:tc>
      </w:tr>
    </w:tbl>
    <w:p w14:paraId="197533D5" w14:textId="79CB8BF5" w:rsidR="00AA205E" w:rsidRPr="00FE6725" w:rsidRDefault="00AA205E" w:rsidP="00AA205E">
      <w:pPr>
        <w:pStyle w:val="CETBodytext"/>
        <w:rPr>
          <w:lang w:val="en-GB"/>
        </w:rPr>
      </w:pPr>
      <w:r w:rsidRPr="00FE6725">
        <w:rPr>
          <w:lang w:val="en-GB"/>
        </w:rPr>
        <w:t xml:space="preserve">where </w:t>
      </w: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Pr="00FE6725">
        <w:rPr>
          <w:lang w:val="en-GB"/>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S</m:t>
            </m:r>
          </m:sub>
        </m:sSub>
      </m:oMath>
      <w:r w:rsidRPr="00FE6725">
        <w:rPr>
          <w:lang w:val="en-GB"/>
        </w:rPr>
        <w:t xml:space="preserve"> are the liquid volume and the solid mass loaded at the beginning of the test, respectively, and </w:t>
      </w:r>
      <m:oMath>
        <m:sSub>
          <m:sSubPr>
            <m:ctrlPr>
              <w:rPr>
                <w:rFonts w:ascii="Cambria Math" w:hAnsi="Cambria Math"/>
                <w:i/>
                <w:lang w:val="en-GB"/>
              </w:rPr>
            </m:ctrlPr>
          </m:sSubPr>
          <m:e>
            <m:r>
              <w:rPr>
                <w:rFonts w:ascii="Cambria Math" w:hAnsi="Cambria Math"/>
              </w:rPr>
              <m:t>C</m:t>
            </m:r>
          </m:e>
          <m:sub>
            <m:r>
              <w:rPr>
                <w:rFonts w:ascii="Cambria Math" w:hAnsi="Cambria Math"/>
              </w:rPr>
              <m:t>i</m:t>
            </m:r>
          </m:sub>
        </m:sSub>
      </m:oMath>
      <w:r w:rsidRPr="00FE6725">
        <w:rPr>
          <w:lang w:val="en-GB"/>
        </w:rPr>
        <w:t xml:space="preserve"> is the concentration of polyphenols in the aqueous solution at the end of the</w:t>
      </w:r>
      <w:r w:rsidR="006675E5" w:rsidRPr="00FE6725">
        <w:rPr>
          <w:lang w:val="en-GB"/>
        </w:rPr>
        <w:t xml:space="preserve"> </w:t>
      </w:r>
      <m:oMath>
        <m:r>
          <w:rPr>
            <w:rFonts w:ascii="Cambria Math" w:hAnsi="Cambria Math"/>
            <w:lang w:val="en-GB"/>
          </w:rPr>
          <m:t>i</m:t>
        </m:r>
      </m:oMath>
      <w:r w:rsidR="006675E5" w:rsidRPr="00FE6725">
        <w:rPr>
          <w:lang w:val="en-GB"/>
        </w:rPr>
        <w:t xml:space="preserve">-th </w:t>
      </w:r>
      <w:r w:rsidRPr="00FE6725">
        <w:rPr>
          <w:lang w:val="en-GB"/>
        </w:rPr>
        <w:t xml:space="preserve">cycle of the test; the ratio between </w:t>
      </w: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00B00E24" w:rsidRPr="00FE6725">
        <w:t xml:space="preserve"> </w:t>
      </w:r>
      <w:r w:rsidRPr="00FE6725">
        <w:rPr>
          <w:lang w:val="en-GB"/>
        </w:rPr>
        <w:t xml:space="preserve">and </w:t>
      </w:r>
      <m:oMath>
        <m:sSub>
          <m:sSubPr>
            <m:ctrlPr>
              <w:rPr>
                <w:rFonts w:ascii="Cambria Math" w:hAnsi="Cambria Math"/>
                <w:i/>
              </w:rPr>
            </m:ctrlPr>
          </m:sSubPr>
          <m:e>
            <m:r>
              <w:rPr>
                <w:rFonts w:ascii="Cambria Math" w:hAnsi="Cambria Math"/>
              </w:rPr>
              <m:t>M</m:t>
            </m:r>
          </m:e>
          <m:sub>
            <m:r>
              <w:rPr>
                <w:rFonts w:ascii="Cambria Math" w:hAnsi="Cambria Math"/>
              </w:rPr>
              <m:t>S</m:t>
            </m:r>
          </m:sub>
        </m:sSub>
      </m:oMath>
      <w:r w:rsidRPr="00FE6725">
        <w:rPr>
          <w:lang w:val="en-GB"/>
        </w:rPr>
        <w:t xml:space="preserve"> coincides with the reciprocal of the solid liquid ratio </w:t>
      </w:r>
      <m:oMath>
        <m:r>
          <w:rPr>
            <w:rFonts w:ascii="Cambria Math" w:hAnsi="Cambria Math"/>
          </w:rPr>
          <m:t xml:space="preserve">α. </m:t>
        </m:r>
      </m:oMath>
    </w:p>
    <w:p w14:paraId="40522CE6" w14:textId="1A4C7F27" w:rsidR="00AA205E" w:rsidRPr="00FE6725" w:rsidRDefault="00AA205E" w:rsidP="00AA205E">
      <w:pPr>
        <w:pStyle w:val="CETBodytext"/>
        <w:rPr>
          <w:color w:val="FF0000"/>
          <w:lang w:val="en-GB"/>
        </w:rPr>
      </w:pPr>
      <w:r w:rsidRPr="00FE6725">
        <w:rPr>
          <w:lang w:val="en-GB"/>
        </w:rPr>
        <w:t xml:space="preserve">The calculation of </w:t>
      </w:r>
      <m:oMath>
        <m:sSub>
          <m:sSubPr>
            <m:ctrlPr>
              <w:rPr>
                <w:rFonts w:ascii="Cambria Math" w:hAnsi="Cambria Math"/>
                <w:i/>
                <w:lang w:val="en-GB"/>
              </w:rPr>
            </m:ctrlPr>
          </m:sSubPr>
          <m:e>
            <m:r>
              <w:rPr>
                <w:rFonts w:ascii="Cambria Math" w:hAnsi="Cambria Math"/>
              </w:rPr>
              <m:t>q</m:t>
            </m:r>
          </m:e>
          <m:sub>
            <m:r>
              <w:rPr>
                <w:rFonts w:ascii="Cambria Math" w:hAnsi="Cambria Math"/>
              </w:rPr>
              <m:t>tot</m:t>
            </m:r>
          </m:sub>
        </m:sSub>
      </m:oMath>
      <w:r w:rsidRPr="00FE6725">
        <w:rPr>
          <w:lang w:val="en-GB"/>
        </w:rPr>
        <w:t xml:space="preserve"> was repeated for all tests, each characterized by a different number </w:t>
      </w:r>
      <m:oMath>
        <m:r>
          <w:rPr>
            <w:rFonts w:ascii="Cambria Math" w:hAnsi="Cambria Math"/>
            <w:lang w:val="en-GB"/>
          </w:rPr>
          <m:t>N</m:t>
        </m:r>
      </m:oMath>
      <w:r w:rsidRPr="00FE6725">
        <w:rPr>
          <w:lang w:val="en-GB"/>
        </w:rPr>
        <w:t xml:space="preserve"> of cycles. Finally, by calculating the mean of the results summarized in Table 2, an average value of 0.114 g</w:t>
      </w:r>
      <w:r w:rsidR="00951A91" w:rsidRPr="00FE6725">
        <w:rPr>
          <w:lang w:val="en-GB"/>
        </w:rPr>
        <w:t>/g</w:t>
      </w:r>
      <w:r w:rsidRPr="00FE6725">
        <w:rPr>
          <w:lang w:val="en-GB"/>
        </w:rPr>
        <w:t xml:space="preserve"> of extractable polyphenols per </w:t>
      </w:r>
      <w:r w:rsidR="00951A91" w:rsidRPr="00FE6725">
        <w:rPr>
          <w:lang w:val="en-GB"/>
        </w:rPr>
        <w:t>mass</w:t>
      </w:r>
      <w:r w:rsidRPr="00FE6725">
        <w:rPr>
          <w:lang w:val="en-GB"/>
        </w:rPr>
        <w:t xml:space="preserve"> of hazelnut skins was obtained. This result is in the same order of magnitude as that</w:t>
      </w:r>
      <w:r w:rsidR="001E09B0" w:rsidRPr="00FE6725">
        <w:rPr>
          <w:lang w:val="en-GB"/>
        </w:rPr>
        <w:t xml:space="preserve"> reported by </w:t>
      </w:r>
      <w:r w:rsidR="003A4BB8" w:rsidRPr="00FE6725">
        <w:rPr>
          <w:lang w:val="en-GB"/>
        </w:rPr>
        <w:fldChar w:fldCharType="begin" w:fldLock="1"/>
      </w:r>
      <w:r w:rsidR="003A4BB8" w:rsidRPr="00FE6725">
        <w:rPr>
          <w:lang w:val="en-GB"/>
        </w:rPr>
        <w:instrText>ADDIN CSL_CITATION {"citationItems":[{"id":"ITEM-1","itemData":{"author":[{"dropping-particle":"","family":"Fanali","given":"Chiara","non-dropping-particle":"","parse-names":false,"suffix":""},{"dropping-particle":"","family":"Gallo","given":"Valeria","non-dropping-particle":"","parse-names":false,"suffix":""},{"dropping-particle":"","family":"Posta","given":"Susanna","non-dropping-particle":"Della","parse-names":false,"suffix":""},{"dropping-particle":"","family":"Dugo","given":"Laura","non-dropping-particle":"","parse-names":false,"suffix":""},{"dropping-particle":"","family":"Mazzeo","given":"Leone","non-dropping-particle":"","parse-names":false,"suffix":""},{"dropping-particle":"","family":"Cocchi","given":"Marco","non-dropping-particle":"","parse-names":false,"suffix":""},{"dropping-particle":"","family":"Piemonte","given":"Vincenzo","non-dropping-particle":"","parse-names":false,"suffix":""},{"dropping-particle":"","family":"Gara","given":"Laura","non-dropping-particle":"De","parse-names":false,"suffix":""}],"container-title":"Molecules","id":"ITEM-1","issue":"2652","issued":{"date-parts":[["2021"]]},"page":"1-15","title":"Choline Chloride – Lactic Acid-Based NADES As an Extraction Medium in a Response Surface Methodology-Optimized Method for the Extraction of Phenolic Compounds from Hazelnut Skin","type":"article-journal","volume":"26"},"uris":["http://www.mendeley.com/documents/?uuid=a3b7596f-b6cb-439b-b247-8007b3a31fe2"]}],"mendeley":{"formattedCitation":"(Fanali et al., 2021)","manualFormatting":"Fanali et al. (2021)","plainTextFormattedCitation":"(Fanali et al., 2021)","previouslyFormattedCitation":"(Fanali et al., 2021)"},"properties":{"noteIndex":0},"schema":"https://github.com/citation-style-language/schema/raw/master/csl-citation.json"}</w:instrText>
      </w:r>
      <w:r w:rsidR="003A4BB8" w:rsidRPr="00FE6725">
        <w:rPr>
          <w:lang w:val="en-GB"/>
        </w:rPr>
        <w:fldChar w:fldCharType="separate"/>
      </w:r>
      <w:r w:rsidR="003A4BB8" w:rsidRPr="00FE6725">
        <w:rPr>
          <w:noProof/>
          <w:lang w:val="en-GB"/>
        </w:rPr>
        <w:t>Fanali et al. (2021)</w:t>
      </w:r>
      <w:r w:rsidR="003A4BB8" w:rsidRPr="00FE6725">
        <w:rPr>
          <w:lang w:val="en-GB"/>
        </w:rPr>
        <w:fldChar w:fldCharType="end"/>
      </w:r>
      <w:r w:rsidRPr="00FE6725">
        <w:rPr>
          <w:lang w:val="en-GB"/>
        </w:rPr>
        <w:t>.</w:t>
      </w:r>
    </w:p>
    <w:p w14:paraId="2B914813" w14:textId="0F609045" w:rsidR="00AA205E" w:rsidRPr="00FE6725" w:rsidRDefault="00AA205E" w:rsidP="00AA205E">
      <w:pPr>
        <w:pStyle w:val="CETTabletitle"/>
      </w:pPr>
      <w:r w:rsidRPr="00FE6725">
        <w:lastRenderedPageBreak/>
        <w:t xml:space="preserve">Table 2: </w:t>
      </w:r>
      <w:r w:rsidR="00E54884" w:rsidRPr="00FE6725">
        <w:t xml:space="preserve">Experimental data of </w:t>
      </w:r>
      <m:oMath>
        <m:sSub>
          <m:sSubPr>
            <m:ctrlPr>
              <w:rPr>
                <w:rFonts w:ascii="Cambria Math" w:hAnsi="Cambria Math"/>
              </w:rPr>
            </m:ctrlPr>
          </m:sSubPr>
          <m:e>
            <m:r>
              <w:rPr>
                <w:rFonts w:ascii="Cambria Math" w:hAnsi="Cambria Math"/>
              </w:rPr>
              <m:t>q</m:t>
            </m:r>
          </m:e>
          <m:sub>
            <m:r>
              <w:rPr>
                <w:rFonts w:ascii="Cambria Math" w:hAnsi="Cambria Math"/>
              </w:rPr>
              <m:t>tot</m:t>
            </m:r>
          </m:sub>
        </m:sSub>
      </m:oMath>
      <w:r w:rsidR="00E54884" w:rsidRPr="00FE6725">
        <w:t xml:space="preserve">, </w:t>
      </w:r>
      <m:oMath>
        <m:sSub>
          <m:sSubPr>
            <m:ctrlPr>
              <w:rPr>
                <w:rFonts w:ascii="Cambria Math" w:hAnsi="Cambria Math"/>
              </w:rPr>
            </m:ctrlPr>
          </m:sSubPr>
          <m:e>
            <m:r>
              <w:rPr>
                <w:rFonts w:ascii="Cambria Math" w:hAnsi="Cambria Math"/>
              </w:rPr>
              <m:t>C</m:t>
            </m:r>
          </m:e>
          <m:sub>
            <m:r>
              <w:rPr>
                <w:rFonts w:ascii="Cambria Math" w:hAnsi="Cambria Math"/>
              </w:rPr>
              <m:t>e</m:t>
            </m:r>
          </m:sub>
        </m:sSub>
      </m:oMath>
      <w:r w:rsidR="00E54884" w:rsidRPr="00FE6725">
        <w:t xml:space="preserve">, </w:t>
      </w:r>
      <m:oMath>
        <m:sSub>
          <m:sSubPr>
            <m:ctrlPr>
              <w:rPr>
                <w:rFonts w:ascii="Cambria Math" w:hAnsi="Cambria Math"/>
              </w:rPr>
            </m:ctrlPr>
          </m:sSubPr>
          <m:e>
            <m:r>
              <w:rPr>
                <w:rFonts w:ascii="Cambria Math" w:hAnsi="Cambria Math"/>
              </w:rPr>
              <m:t>q</m:t>
            </m:r>
          </m:e>
          <m:sub>
            <m:r>
              <w:rPr>
                <w:rFonts w:ascii="Cambria Math" w:hAnsi="Cambria Math"/>
              </w:rPr>
              <m:t>e</m:t>
            </m:r>
          </m:sub>
        </m:sSub>
      </m:oMath>
      <w:r w:rsidR="00E54884" w:rsidRPr="00FE6725">
        <w:t xml:space="preserve"> for each test at a different solid-liquid ratio </w:t>
      </w:r>
      <m:oMath>
        <m:r>
          <w:rPr>
            <w:rFonts w:ascii="Cambria Math" w:hAnsi="Cambria Math"/>
          </w:rPr>
          <m:t>α</m:t>
        </m:r>
      </m:oMath>
      <w:r w:rsidR="00E54884" w:rsidRPr="00FE6725">
        <w:t xml:space="preserve"> (T = 70 °C, flow rate = 0</w:t>
      </w:r>
      <w:r w:rsidR="00CF3798" w:rsidRPr="00FE6725">
        <w:t>.</w:t>
      </w:r>
      <w:r w:rsidR="00E54884" w:rsidRPr="00FE6725">
        <w:t>025 l/min)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AA205E" w:rsidRPr="00FE6725" w14:paraId="7F7C666F" w14:textId="77777777" w:rsidTr="00965CD5">
        <w:tc>
          <w:tcPr>
            <w:tcW w:w="1134" w:type="dxa"/>
            <w:tcBorders>
              <w:top w:val="single" w:sz="12" w:space="0" w:color="008000"/>
              <w:bottom w:val="single" w:sz="6" w:space="0" w:color="008000"/>
            </w:tcBorders>
            <w:shd w:val="clear" w:color="auto" w:fill="FFFFFF"/>
          </w:tcPr>
          <w:p w14:paraId="7F86D68B" w14:textId="4B400301" w:rsidR="00AA205E" w:rsidRPr="00FE6725" w:rsidRDefault="00534B52" w:rsidP="00965CD5">
            <w:pPr>
              <w:pStyle w:val="CETBodytext"/>
              <w:rPr>
                <w:lang w:val="en-GB"/>
              </w:rPr>
            </w:pPr>
            <w:r w:rsidRPr="00FE6725">
              <w:rPr>
                <w:lang w:val="en-GB"/>
              </w:rPr>
              <w:t>Test</w:t>
            </w:r>
            <w:r w:rsidR="00AA205E" w:rsidRPr="00FE6725">
              <w:rPr>
                <w:lang w:val="en-GB"/>
              </w:rPr>
              <w:t xml:space="preserve"> </w:t>
            </w:r>
          </w:p>
        </w:tc>
        <w:tc>
          <w:tcPr>
            <w:tcW w:w="1134" w:type="dxa"/>
            <w:tcBorders>
              <w:top w:val="single" w:sz="12" w:space="0" w:color="008000"/>
              <w:bottom w:val="single" w:sz="6" w:space="0" w:color="008000"/>
            </w:tcBorders>
            <w:shd w:val="clear" w:color="auto" w:fill="FFFFFF"/>
          </w:tcPr>
          <w:p w14:paraId="72E183EF" w14:textId="20E77DAA" w:rsidR="00AA205E" w:rsidRPr="00FE6725" w:rsidRDefault="00534B52" w:rsidP="00965CD5">
            <w:pPr>
              <w:pStyle w:val="CETBodytext"/>
              <w:rPr>
                <w:lang w:val="en-GB"/>
              </w:rPr>
            </w:pPr>
            <m:oMath>
              <m:r>
                <w:rPr>
                  <w:rFonts w:ascii="Cambria Math" w:hAnsi="Cambria Math"/>
                </w:rPr>
                <m:t>α</m:t>
              </m:r>
            </m:oMath>
            <w:r w:rsidRPr="00FE6725">
              <w:rPr>
                <w:lang w:val="en-GB"/>
              </w:rPr>
              <w:t xml:space="preserve"> (g/l)</w:t>
            </w:r>
          </w:p>
        </w:tc>
        <w:tc>
          <w:tcPr>
            <w:tcW w:w="1134" w:type="dxa"/>
            <w:tcBorders>
              <w:top w:val="single" w:sz="12" w:space="0" w:color="008000"/>
              <w:bottom w:val="single" w:sz="6" w:space="0" w:color="008000"/>
            </w:tcBorders>
            <w:shd w:val="clear" w:color="auto" w:fill="FFFFFF"/>
          </w:tcPr>
          <w:p w14:paraId="508F6853" w14:textId="2FCC49F6" w:rsidR="00AA205E" w:rsidRPr="00FE6725" w:rsidRDefault="00000000" w:rsidP="00965CD5">
            <w:pPr>
              <w:pStyle w:val="CETBodytext"/>
              <w:rPr>
                <w:lang w:val="en-GB"/>
              </w:rPr>
            </w:pPr>
            <m:oMath>
              <m:sSub>
                <m:sSubPr>
                  <m:ctrlPr>
                    <w:rPr>
                      <w:rFonts w:ascii="Cambria Math" w:hAnsi="Cambria Math"/>
                      <w:i/>
                    </w:rPr>
                  </m:ctrlPr>
                </m:sSubPr>
                <m:e>
                  <m:r>
                    <w:rPr>
                      <w:rFonts w:ascii="Cambria Math" w:hAnsi="Cambria Math"/>
                    </w:rPr>
                    <m:t>q</m:t>
                  </m:r>
                </m:e>
                <m:sub>
                  <m:r>
                    <w:rPr>
                      <w:rFonts w:ascii="Cambria Math" w:hAnsi="Cambria Math"/>
                    </w:rPr>
                    <m:t>tot</m:t>
                  </m:r>
                </m:sub>
              </m:sSub>
            </m:oMath>
            <w:r w:rsidR="00534B52" w:rsidRPr="00FE6725">
              <w:rPr>
                <w:lang w:val="en-GB"/>
              </w:rPr>
              <w:t xml:space="preserve"> (g/g)</w:t>
            </w:r>
          </w:p>
        </w:tc>
        <w:tc>
          <w:tcPr>
            <w:tcW w:w="1134" w:type="dxa"/>
            <w:tcBorders>
              <w:top w:val="single" w:sz="12" w:space="0" w:color="008000"/>
              <w:bottom w:val="single" w:sz="6" w:space="0" w:color="008000"/>
            </w:tcBorders>
            <w:shd w:val="clear" w:color="auto" w:fill="FFFFFF"/>
          </w:tcPr>
          <w:p w14:paraId="28A225C6" w14:textId="4382FB93" w:rsidR="00AA205E" w:rsidRPr="00FE6725" w:rsidRDefault="00000000" w:rsidP="00965CD5">
            <w:pPr>
              <w:pStyle w:val="CETBodytext"/>
              <w:ind w:right="-1"/>
              <w:rPr>
                <w:rFonts w:cs="Arial"/>
                <w:szCs w:val="18"/>
                <w:lang w:val="en-GB"/>
              </w:rPr>
            </w:pP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00534B52" w:rsidRPr="00FE6725">
              <w:rPr>
                <w:lang w:val="en-GB"/>
              </w:rPr>
              <w:t xml:space="preserve"> (g/l)</w:t>
            </w:r>
          </w:p>
        </w:tc>
        <w:tc>
          <w:tcPr>
            <w:tcW w:w="1134" w:type="dxa"/>
            <w:tcBorders>
              <w:top w:val="single" w:sz="12" w:space="0" w:color="008000"/>
              <w:bottom w:val="single" w:sz="6" w:space="0" w:color="008000"/>
            </w:tcBorders>
            <w:shd w:val="clear" w:color="auto" w:fill="FFFFFF"/>
          </w:tcPr>
          <w:p w14:paraId="6F8FECCD" w14:textId="06DA57FC" w:rsidR="00AA205E" w:rsidRPr="00FE6725" w:rsidRDefault="00000000" w:rsidP="00965CD5">
            <w:pPr>
              <w:pStyle w:val="CETBodytext"/>
              <w:ind w:right="-1"/>
              <w:rPr>
                <w:rFonts w:cs="Arial"/>
                <w:szCs w:val="18"/>
                <w:lang w:val="en-GB"/>
              </w:rPr>
            </w:pP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00534B52" w:rsidRPr="00FE6725">
              <w:rPr>
                <w:lang w:val="en-GB"/>
              </w:rPr>
              <w:t xml:space="preserve"> (g/g)</w:t>
            </w:r>
          </w:p>
        </w:tc>
      </w:tr>
      <w:tr w:rsidR="00AA205E" w:rsidRPr="00FE6725" w14:paraId="2D487A38" w14:textId="77777777" w:rsidTr="00965CD5">
        <w:tc>
          <w:tcPr>
            <w:tcW w:w="1134" w:type="dxa"/>
            <w:shd w:val="clear" w:color="auto" w:fill="FFFFFF"/>
          </w:tcPr>
          <w:p w14:paraId="6272BB2A" w14:textId="30F52E4E" w:rsidR="00AA205E" w:rsidRPr="00FE6725" w:rsidRDefault="00534B52" w:rsidP="00965CD5">
            <w:pPr>
              <w:pStyle w:val="CETBodytext"/>
              <w:rPr>
                <w:lang w:val="en-GB"/>
              </w:rPr>
            </w:pPr>
            <w:r w:rsidRPr="00FE6725">
              <w:rPr>
                <w:lang w:val="en-GB"/>
              </w:rPr>
              <w:t>6</w:t>
            </w:r>
          </w:p>
        </w:tc>
        <w:tc>
          <w:tcPr>
            <w:tcW w:w="1134" w:type="dxa"/>
            <w:shd w:val="clear" w:color="auto" w:fill="FFFFFF"/>
          </w:tcPr>
          <w:p w14:paraId="66832A6C" w14:textId="4D03D135" w:rsidR="00AA205E" w:rsidRPr="00FE6725" w:rsidRDefault="00534B52" w:rsidP="00965CD5">
            <w:pPr>
              <w:pStyle w:val="CETBodytext"/>
              <w:rPr>
                <w:lang w:val="en-GB"/>
              </w:rPr>
            </w:pPr>
            <w:r w:rsidRPr="00FE6725">
              <w:rPr>
                <w:lang w:val="en-GB"/>
              </w:rPr>
              <w:t>2.0</w:t>
            </w:r>
          </w:p>
        </w:tc>
        <w:tc>
          <w:tcPr>
            <w:tcW w:w="1134" w:type="dxa"/>
            <w:shd w:val="clear" w:color="auto" w:fill="FFFFFF"/>
          </w:tcPr>
          <w:p w14:paraId="50FF6E37" w14:textId="1A0FCE4B" w:rsidR="00AA205E" w:rsidRPr="00FE6725" w:rsidRDefault="00075F3A" w:rsidP="00965CD5">
            <w:pPr>
              <w:pStyle w:val="CETBodytext"/>
              <w:rPr>
                <w:lang w:val="en-GB"/>
              </w:rPr>
            </w:pPr>
            <w:r w:rsidRPr="00FE6725">
              <w:rPr>
                <w:lang w:val="en-GB"/>
              </w:rPr>
              <w:t>0.132</w:t>
            </w:r>
          </w:p>
        </w:tc>
        <w:tc>
          <w:tcPr>
            <w:tcW w:w="1134" w:type="dxa"/>
            <w:shd w:val="clear" w:color="auto" w:fill="FFFFFF"/>
          </w:tcPr>
          <w:p w14:paraId="72340CEB" w14:textId="310224BA" w:rsidR="00AA205E" w:rsidRPr="00FE6725" w:rsidRDefault="00075F3A" w:rsidP="00965CD5">
            <w:pPr>
              <w:pStyle w:val="CETBodytext"/>
              <w:ind w:right="-1"/>
              <w:rPr>
                <w:rFonts w:cs="Arial"/>
                <w:szCs w:val="18"/>
                <w:lang w:val="en-GB"/>
              </w:rPr>
            </w:pPr>
            <w:r w:rsidRPr="00FE6725">
              <w:rPr>
                <w:rFonts w:cs="Arial"/>
                <w:szCs w:val="18"/>
                <w:lang w:val="en-GB"/>
              </w:rPr>
              <w:t>0.215</w:t>
            </w:r>
          </w:p>
        </w:tc>
        <w:tc>
          <w:tcPr>
            <w:tcW w:w="1134" w:type="dxa"/>
            <w:shd w:val="clear" w:color="auto" w:fill="FFFFFF"/>
          </w:tcPr>
          <w:p w14:paraId="51E08483" w14:textId="3CD449D7" w:rsidR="00AA205E" w:rsidRPr="00FE6725" w:rsidRDefault="00075F3A" w:rsidP="00965CD5">
            <w:pPr>
              <w:pStyle w:val="CETBodytext"/>
              <w:ind w:right="-1"/>
              <w:rPr>
                <w:rFonts w:cs="Arial"/>
                <w:szCs w:val="18"/>
                <w:lang w:val="en-GB"/>
              </w:rPr>
            </w:pPr>
            <w:r w:rsidRPr="00FE6725">
              <w:rPr>
                <w:rFonts w:cs="Arial"/>
                <w:szCs w:val="18"/>
                <w:lang w:val="en-GB"/>
              </w:rPr>
              <w:t>0.0062</w:t>
            </w:r>
          </w:p>
        </w:tc>
      </w:tr>
      <w:tr w:rsidR="00534B52" w:rsidRPr="00FE6725" w14:paraId="133064B1" w14:textId="77777777" w:rsidTr="00965CD5">
        <w:tc>
          <w:tcPr>
            <w:tcW w:w="1134" w:type="dxa"/>
            <w:shd w:val="clear" w:color="auto" w:fill="FFFFFF"/>
          </w:tcPr>
          <w:p w14:paraId="32E202C0" w14:textId="70E3CCFE" w:rsidR="00534B52" w:rsidRPr="00FE6725" w:rsidRDefault="00534B52" w:rsidP="00965CD5">
            <w:pPr>
              <w:pStyle w:val="CETBodytext"/>
              <w:rPr>
                <w:lang w:val="en-GB"/>
              </w:rPr>
            </w:pPr>
            <w:r w:rsidRPr="00FE6725">
              <w:rPr>
                <w:lang w:val="en-GB"/>
              </w:rPr>
              <w:t>1</w:t>
            </w:r>
          </w:p>
        </w:tc>
        <w:tc>
          <w:tcPr>
            <w:tcW w:w="1134" w:type="dxa"/>
            <w:shd w:val="clear" w:color="auto" w:fill="FFFFFF"/>
          </w:tcPr>
          <w:p w14:paraId="23905000" w14:textId="34F6889D" w:rsidR="00534B52" w:rsidRPr="00FE6725" w:rsidRDefault="00534B52" w:rsidP="00965CD5">
            <w:pPr>
              <w:pStyle w:val="CETBodytext"/>
              <w:rPr>
                <w:lang w:val="en-GB"/>
              </w:rPr>
            </w:pPr>
            <w:r w:rsidRPr="00FE6725">
              <w:rPr>
                <w:lang w:val="en-GB"/>
              </w:rPr>
              <w:t>3.1</w:t>
            </w:r>
          </w:p>
        </w:tc>
        <w:tc>
          <w:tcPr>
            <w:tcW w:w="1134" w:type="dxa"/>
            <w:shd w:val="clear" w:color="auto" w:fill="FFFFFF"/>
          </w:tcPr>
          <w:p w14:paraId="7259D814" w14:textId="24C607E4" w:rsidR="00534B52" w:rsidRPr="00FE6725" w:rsidRDefault="00075F3A" w:rsidP="00965CD5">
            <w:pPr>
              <w:pStyle w:val="CETBodytext"/>
              <w:rPr>
                <w:lang w:val="en-GB"/>
              </w:rPr>
            </w:pPr>
            <w:r w:rsidRPr="00FE6725">
              <w:rPr>
                <w:lang w:val="en-GB"/>
              </w:rPr>
              <w:t>0.120</w:t>
            </w:r>
          </w:p>
        </w:tc>
        <w:tc>
          <w:tcPr>
            <w:tcW w:w="1134" w:type="dxa"/>
            <w:shd w:val="clear" w:color="auto" w:fill="FFFFFF"/>
          </w:tcPr>
          <w:p w14:paraId="7BC36D6D" w14:textId="092DEA37" w:rsidR="00534B52" w:rsidRPr="00FE6725" w:rsidRDefault="00075F3A" w:rsidP="00965CD5">
            <w:pPr>
              <w:pStyle w:val="CETBodytext"/>
              <w:ind w:right="-1"/>
              <w:rPr>
                <w:rFonts w:cs="Arial"/>
                <w:szCs w:val="18"/>
                <w:lang w:val="en-GB"/>
              </w:rPr>
            </w:pPr>
            <w:r w:rsidRPr="00FE6725">
              <w:rPr>
                <w:rFonts w:cs="Arial"/>
                <w:szCs w:val="18"/>
                <w:lang w:val="en-GB"/>
              </w:rPr>
              <w:t>0.320</w:t>
            </w:r>
          </w:p>
        </w:tc>
        <w:tc>
          <w:tcPr>
            <w:tcW w:w="1134" w:type="dxa"/>
            <w:shd w:val="clear" w:color="auto" w:fill="FFFFFF"/>
          </w:tcPr>
          <w:p w14:paraId="1349D9AC" w14:textId="7D49A2CA" w:rsidR="00534B52" w:rsidRPr="00FE6725" w:rsidRDefault="00075F3A" w:rsidP="00965CD5">
            <w:pPr>
              <w:pStyle w:val="CETBodytext"/>
              <w:ind w:right="-1"/>
              <w:rPr>
                <w:rFonts w:cs="Arial"/>
                <w:szCs w:val="18"/>
                <w:lang w:val="en-GB"/>
              </w:rPr>
            </w:pPr>
            <w:r w:rsidRPr="00FE6725">
              <w:rPr>
                <w:rFonts w:cs="Arial"/>
                <w:szCs w:val="18"/>
                <w:lang w:val="en-GB"/>
              </w:rPr>
              <w:t>0.0104</w:t>
            </w:r>
          </w:p>
        </w:tc>
      </w:tr>
      <w:tr w:rsidR="00534B52" w:rsidRPr="00FE6725" w14:paraId="5CA2DE21" w14:textId="77777777" w:rsidTr="00965CD5">
        <w:tc>
          <w:tcPr>
            <w:tcW w:w="1134" w:type="dxa"/>
            <w:shd w:val="clear" w:color="auto" w:fill="FFFFFF"/>
          </w:tcPr>
          <w:p w14:paraId="5D7E5A20" w14:textId="56F4FCA1" w:rsidR="00534B52" w:rsidRPr="00FE6725" w:rsidRDefault="00534B52" w:rsidP="00965CD5">
            <w:pPr>
              <w:pStyle w:val="CETBodytext"/>
              <w:rPr>
                <w:lang w:val="en-GB"/>
              </w:rPr>
            </w:pPr>
            <w:r w:rsidRPr="00FE6725">
              <w:rPr>
                <w:lang w:val="en-GB"/>
              </w:rPr>
              <w:t>2</w:t>
            </w:r>
          </w:p>
        </w:tc>
        <w:tc>
          <w:tcPr>
            <w:tcW w:w="1134" w:type="dxa"/>
            <w:shd w:val="clear" w:color="auto" w:fill="FFFFFF"/>
          </w:tcPr>
          <w:p w14:paraId="53546E77" w14:textId="45974313" w:rsidR="00534B52" w:rsidRPr="00FE6725" w:rsidRDefault="00534B52" w:rsidP="00965CD5">
            <w:pPr>
              <w:pStyle w:val="CETBodytext"/>
              <w:rPr>
                <w:lang w:val="en-GB"/>
              </w:rPr>
            </w:pPr>
            <w:r w:rsidRPr="00FE6725">
              <w:rPr>
                <w:lang w:val="en-GB"/>
              </w:rPr>
              <w:t>3.3</w:t>
            </w:r>
          </w:p>
        </w:tc>
        <w:tc>
          <w:tcPr>
            <w:tcW w:w="1134" w:type="dxa"/>
            <w:shd w:val="clear" w:color="auto" w:fill="FFFFFF"/>
          </w:tcPr>
          <w:p w14:paraId="691EBA32" w14:textId="6FFC7D40" w:rsidR="00534B52" w:rsidRPr="00FE6725" w:rsidRDefault="00075F3A" w:rsidP="00965CD5">
            <w:pPr>
              <w:pStyle w:val="CETBodytext"/>
              <w:rPr>
                <w:lang w:val="en-GB"/>
              </w:rPr>
            </w:pPr>
            <w:r w:rsidRPr="00FE6725">
              <w:rPr>
                <w:lang w:val="en-GB"/>
              </w:rPr>
              <w:t>0.108</w:t>
            </w:r>
          </w:p>
        </w:tc>
        <w:tc>
          <w:tcPr>
            <w:tcW w:w="1134" w:type="dxa"/>
            <w:shd w:val="clear" w:color="auto" w:fill="FFFFFF"/>
          </w:tcPr>
          <w:p w14:paraId="5ADA10BD" w14:textId="30BC20F9" w:rsidR="00534B52" w:rsidRPr="00FE6725" w:rsidRDefault="00075F3A" w:rsidP="00965CD5">
            <w:pPr>
              <w:pStyle w:val="CETBodytext"/>
              <w:ind w:right="-1"/>
              <w:rPr>
                <w:rFonts w:cs="Arial"/>
                <w:szCs w:val="18"/>
                <w:lang w:val="en-GB"/>
              </w:rPr>
            </w:pPr>
            <w:r w:rsidRPr="00FE6725">
              <w:rPr>
                <w:rFonts w:cs="Arial"/>
                <w:szCs w:val="18"/>
                <w:lang w:val="en-GB"/>
              </w:rPr>
              <w:t>0.342</w:t>
            </w:r>
          </w:p>
        </w:tc>
        <w:tc>
          <w:tcPr>
            <w:tcW w:w="1134" w:type="dxa"/>
            <w:shd w:val="clear" w:color="auto" w:fill="FFFFFF"/>
          </w:tcPr>
          <w:p w14:paraId="7AC1172C" w14:textId="3740610E" w:rsidR="00534B52" w:rsidRPr="00FE6725" w:rsidRDefault="00075F3A" w:rsidP="00965CD5">
            <w:pPr>
              <w:pStyle w:val="CETBodytext"/>
              <w:ind w:right="-1"/>
              <w:rPr>
                <w:rFonts w:cs="Arial"/>
                <w:szCs w:val="18"/>
                <w:lang w:val="en-GB"/>
              </w:rPr>
            </w:pPr>
            <w:r w:rsidRPr="00FE6725">
              <w:rPr>
                <w:rFonts w:cs="Arial"/>
                <w:szCs w:val="18"/>
                <w:lang w:val="en-GB"/>
              </w:rPr>
              <w:t>0.0101</w:t>
            </w:r>
          </w:p>
        </w:tc>
      </w:tr>
      <w:tr w:rsidR="00534B52" w:rsidRPr="00FE6725" w14:paraId="78DE7393" w14:textId="77777777" w:rsidTr="00965CD5">
        <w:tc>
          <w:tcPr>
            <w:tcW w:w="1134" w:type="dxa"/>
            <w:shd w:val="clear" w:color="auto" w:fill="FFFFFF"/>
          </w:tcPr>
          <w:p w14:paraId="71654266" w14:textId="14197B3E" w:rsidR="00534B52" w:rsidRPr="00FE6725" w:rsidRDefault="00534B52" w:rsidP="00965CD5">
            <w:pPr>
              <w:pStyle w:val="CETBodytext"/>
              <w:rPr>
                <w:lang w:val="en-GB"/>
              </w:rPr>
            </w:pPr>
            <w:r w:rsidRPr="00FE6725">
              <w:rPr>
                <w:lang w:val="en-GB"/>
              </w:rPr>
              <w:t>5</w:t>
            </w:r>
          </w:p>
        </w:tc>
        <w:tc>
          <w:tcPr>
            <w:tcW w:w="1134" w:type="dxa"/>
            <w:shd w:val="clear" w:color="auto" w:fill="FFFFFF"/>
          </w:tcPr>
          <w:p w14:paraId="54B1353F" w14:textId="270208D4" w:rsidR="00534B52" w:rsidRPr="00FE6725" w:rsidRDefault="00534B52" w:rsidP="00965CD5">
            <w:pPr>
              <w:pStyle w:val="CETBodytext"/>
              <w:rPr>
                <w:lang w:val="en-GB"/>
              </w:rPr>
            </w:pPr>
            <w:r w:rsidRPr="00FE6725">
              <w:rPr>
                <w:lang w:val="en-GB"/>
              </w:rPr>
              <w:t>4.0</w:t>
            </w:r>
          </w:p>
        </w:tc>
        <w:tc>
          <w:tcPr>
            <w:tcW w:w="1134" w:type="dxa"/>
            <w:shd w:val="clear" w:color="auto" w:fill="FFFFFF"/>
          </w:tcPr>
          <w:p w14:paraId="2D5484D5" w14:textId="1711AD2D" w:rsidR="00534B52" w:rsidRPr="00FE6725" w:rsidRDefault="00075F3A" w:rsidP="00965CD5">
            <w:pPr>
              <w:pStyle w:val="CETBodytext"/>
              <w:rPr>
                <w:lang w:val="en-GB"/>
              </w:rPr>
            </w:pPr>
            <w:r w:rsidRPr="00FE6725">
              <w:rPr>
                <w:lang w:val="en-GB"/>
              </w:rPr>
              <w:t>0.112</w:t>
            </w:r>
          </w:p>
        </w:tc>
        <w:tc>
          <w:tcPr>
            <w:tcW w:w="1134" w:type="dxa"/>
            <w:shd w:val="clear" w:color="auto" w:fill="FFFFFF"/>
          </w:tcPr>
          <w:p w14:paraId="1E78BC24" w14:textId="39EAF5D8" w:rsidR="00534B52" w:rsidRPr="00FE6725" w:rsidRDefault="00075F3A" w:rsidP="00965CD5">
            <w:pPr>
              <w:pStyle w:val="CETBodytext"/>
              <w:ind w:right="-1"/>
              <w:rPr>
                <w:rFonts w:cs="Arial"/>
                <w:szCs w:val="18"/>
                <w:lang w:val="en-GB"/>
              </w:rPr>
            </w:pPr>
            <w:r w:rsidRPr="00FE6725">
              <w:rPr>
                <w:rFonts w:cs="Arial"/>
                <w:szCs w:val="18"/>
                <w:lang w:val="en-GB"/>
              </w:rPr>
              <w:t>0.390</w:t>
            </w:r>
          </w:p>
        </w:tc>
        <w:tc>
          <w:tcPr>
            <w:tcW w:w="1134" w:type="dxa"/>
            <w:shd w:val="clear" w:color="auto" w:fill="FFFFFF"/>
          </w:tcPr>
          <w:p w14:paraId="18D685F9" w14:textId="77DFAFFF" w:rsidR="00534B52" w:rsidRPr="00FE6725" w:rsidRDefault="00075F3A" w:rsidP="00965CD5">
            <w:pPr>
              <w:pStyle w:val="CETBodytext"/>
              <w:ind w:right="-1"/>
              <w:rPr>
                <w:rFonts w:cs="Arial"/>
                <w:szCs w:val="18"/>
                <w:lang w:val="en-GB"/>
              </w:rPr>
            </w:pPr>
            <w:r w:rsidRPr="00FE6725">
              <w:rPr>
                <w:rFonts w:cs="Arial"/>
                <w:szCs w:val="18"/>
                <w:lang w:val="en-GB"/>
              </w:rPr>
              <w:t>0.0162</w:t>
            </w:r>
          </w:p>
        </w:tc>
      </w:tr>
      <w:tr w:rsidR="00534B52" w:rsidRPr="00FE6725" w14:paraId="0D4E47C5" w14:textId="77777777" w:rsidTr="00965CD5">
        <w:tc>
          <w:tcPr>
            <w:tcW w:w="1134" w:type="dxa"/>
            <w:shd w:val="clear" w:color="auto" w:fill="FFFFFF"/>
          </w:tcPr>
          <w:p w14:paraId="62C3BA5B" w14:textId="1BEB1E4D" w:rsidR="00534B52" w:rsidRPr="00FE6725" w:rsidRDefault="00534B52" w:rsidP="00965CD5">
            <w:pPr>
              <w:pStyle w:val="CETBodytext"/>
              <w:rPr>
                <w:lang w:val="en-GB"/>
              </w:rPr>
            </w:pPr>
            <w:r w:rsidRPr="00FE6725">
              <w:rPr>
                <w:lang w:val="en-GB"/>
              </w:rPr>
              <w:t>3</w:t>
            </w:r>
          </w:p>
        </w:tc>
        <w:tc>
          <w:tcPr>
            <w:tcW w:w="1134" w:type="dxa"/>
            <w:shd w:val="clear" w:color="auto" w:fill="FFFFFF"/>
          </w:tcPr>
          <w:p w14:paraId="09D11306" w14:textId="17546674" w:rsidR="00534B52" w:rsidRPr="00FE6725" w:rsidRDefault="00534B52" w:rsidP="00965CD5">
            <w:pPr>
              <w:pStyle w:val="CETBodytext"/>
              <w:rPr>
                <w:lang w:val="en-GB"/>
              </w:rPr>
            </w:pPr>
            <w:r w:rsidRPr="00FE6725">
              <w:rPr>
                <w:lang w:val="en-GB"/>
              </w:rPr>
              <w:t>5.0</w:t>
            </w:r>
          </w:p>
        </w:tc>
        <w:tc>
          <w:tcPr>
            <w:tcW w:w="1134" w:type="dxa"/>
            <w:shd w:val="clear" w:color="auto" w:fill="FFFFFF"/>
          </w:tcPr>
          <w:p w14:paraId="34D3781D" w14:textId="2CB1BBA1" w:rsidR="00534B52" w:rsidRPr="00FE6725" w:rsidRDefault="00075F3A" w:rsidP="00965CD5">
            <w:pPr>
              <w:pStyle w:val="CETBodytext"/>
              <w:rPr>
                <w:lang w:val="en-GB"/>
              </w:rPr>
            </w:pPr>
            <w:r w:rsidRPr="00FE6725">
              <w:rPr>
                <w:lang w:val="en-GB"/>
              </w:rPr>
              <w:t>0.107</w:t>
            </w:r>
          </w:p>
        </w:tc>
        <w:tc>
          <w:tcPr>
            <w:tcW w:w="1134" w:type="dxa"/>
            <w:shd w:val="clear" w:color="auto" w:fill="FFFFFF"/>
          </w:tcPr>
          <w:p w14:paraId="2FB3CD73" w14:textId="4A657EFD" w:rsidR="00534B52" w:rsidRPr="00FE6725" w:rsidRDefault="00075F3A" w:rsidP="00965CD5">
            <w:pPr>
              <w:pStyle w:val="CETBodytext"/>
              <w:ind w:right="-1"/>
              <w:rPr>
                <w:rFonts w:cs="Arial"/>
                <w:szCs w:val="18"/>
                <w:lang w:val="en-GB"/>
              </w:rPr>
            </w:pPr>
            <w:r w:rsidRPr="00FE6725">
              <w:rPr>
                <w:rFonts w:cs="Arial"/>
                <w:szCs w:val="18"/>
                <w:lang w:val="en-GB"/>
              </w:rPr>
              <w:t>0.476</w:t>
            </w:r>
          </w:p>
        </w:tc>
        <w:tc>
          <w:tcPr>
            <w:tcW w:w="1134" w:type="dxa"/>
            <w:shd w:val="clear" w:color="auto" w:fill="FFFFFF"/>
          </w:tcPr>
          <w:p w14:paraId="1FDD713F" w14:textId="792B4D0E" w:rsidR="00534B52" w:rsidRPr="00FE6725" w:rsidRDefault="00075F3A" w:rsidP="00965CD5">
            <w:pPr>
              <w:pStyle w:val="CETBodytext"/>
              <w:ind w:right="-1"/>
              <w:rPr>
                <w:rFonts w:cs="Arial"/>
                <w:szCs w:val="18"/>
                <w:lang w:val="en-GB"/>
              </w:rPr>
            </w:pPr>
            <w:r w:rsidRPr="00FE6725">
              <w:rPr>
                <w:rFonts w:cs="Arial"/>
                <w:szCs w:val="18"/>
                <w:lang w:val="en-GB"/>
              </w:rPr>
              <w:t>0.0184</w:t>
            </w:r>
          </w:p>
        </w:tc>
      </w:tr>
      <w:tr w:rsidR="00AA205E" w:rsidRPr="00FE6725" w14:paraId="3A416061" w14:textId="77777777" w:rsidTr="00965CD5">
        <w:tc>
          <w:tcPr>
            <w:tcW w:w="1134" w:type="dxa"/>
            <w:shd w:val="clear" w:color="auto" w:fill="FFFFFF"/>
          </w:tcPr>
          <w:p w14:paraId="50858E02" w14:textId="42C53991" w:rsidR="00AA205E" w:rsidRPr="00FE6725" w:rsidRDefault="00534B52" w:rsidP="00965CD5">
            <w:pPr>
              <w:pStyle w:val="CETBodytext"/>
              <w:ind w:right="-1"/>
              <w:rPr>
                <w:rFonts w:cs="Arial"/>
                <w:szCs w:val="18"/>
                <w:lang w:val="en-GB"/>
              </w:rPr>
            </w:pPr>
            <w:r w:rsidRPr="00FE6725">
              <w:rPr>
                <w:rFonts w:cs="Arial"/>
                <w:szCs w:val="18"/>
                <w:lang w:val="en-GB"/>
              </w:rPr>
              <w:t>4</w:t>
            </w:r>
          </w:p>
        </w:tc>
        <w:tc>
          <w:tcPr>
            <w:tcW w:w="1134" w:type="dxa"/>
            <w:shd w:val="clear" w:color="auto" w:fill="FFFFFF"/>
          </w:tcPr>
          <w:p w14:paraId="2EA5D07F" w14:textId="6EA81F4A" w:rsidR="00AA205E" w:rsidRPr="00FE6725" w:rsidRDefault="00534B52" w:rsidP="00965CD5">
            <w:pPr>
              <w:pStyle w:val="CETBodytext"/>
              <w:ind w:right="-1"/>
              <w:rPr>
                <w:rFonts w:cs="Arial"/>
                <w:szCs w:val="18"/>
                <w:lang w:val="en-GB"/>
              </w:rPr>
            </w:pPr>
            <w:r w:rsidRPr="00FE6725">
              <w:rPr>
                <w:rFonts w:cs="Arial"/>
                <w:szCs w:val="18"/>
                <w:lang w:val="en-GB"/>
              </w:rPr>
              <w:t>5.7</w:t>
            </w:r>
          </w:p>
        </w:tc>
        <w:tc>
          <w:tcPr>
            <w:tcW w:w="1134" w:type="dxa"/>
            <w:shd w:val="clear" w:color="auto" w:fill="FFFFFF"/>
          </w:tcPr>
          <w:p w14:paraId="2A3C75F3" w14:textId="3F909FC3" w:rsidR="00AA205E" w:rsidRPr="00FE6725" w:rsidRDefault="00075F3A" w:rsidP="00965CD5">
            <w:pPr>
              <w:pStyle w:val="CETBodytext"/>
              <w:ind w:right="-1"/>
              <w:rPr>
                <w:rFonts w:cs="Arial"/>
                <w:szCs w:val="18"/>
                <w:lang w:val="en-GB"/>
              </w:rPr>
            </w:pPr>
            <w:r w:rsidRPr="00FE6725">
              <w:rPr>
                <w:rFonts w:cs="Arial"/>
                <w:szCs w:val="18"/>
                <w:lang w:val="en-GB"/>
              </w:rPr>
              <w:t>0.103</w:t>
            </w:r>
          </w:p>
        </w:tc>
        <w:tc>
          <w:tcPr>
            <w:tcW w:w="1134" w:type="dxa"/>
            <w:shd w:val="clear" w:color="auto" w:fill="FFFFFF"/>
          </w:tcPr>
          <w:p w14:paraId="6C85AEA3" w14:textId="5F536BC7" w:rsidR="00AA205E" w:rsidRPr="00FE6725" w:rsidRDefault="00075F3A" w:rsidP="00965CD5">
            <w:pPr>
              <w:pStyle w:val="CETBodytext"/>
              <w:ind w:right="-1"/>
              <w:rPr>
                <w:rFonts w:cs="Arial"/>
                <w:szCs w:val="18"/>
                <w:lang w:val="en-GB"/>
              </w:rPr>
            </w:pPr>
            <w:r w:rsidRPr="00FE6725">
              <w:rPr>
                <w:rFonts w:cs="Arial"/>
                <w:szCs w:val="18"/>
                <w:lang w:val="en-GB"/>
              </w:rPr>
              <w:t>0.533</w:t>
            </w:r>
          </w:p>
        </w:tc>
        <w:tc>
          <w:tcPr>
            <w:tcW w:w="1134" w:type="dxa"/>
            <w:shd w:val="clear" w:color="auto" w:fill="FFFFFF"/>
          </w:tcPr>
          <w:p w14:paraId="5F89885E" w14:textId="653E7EA6" w:rsidR="00AA205E" w:rsidRPr="00FE6725" w:rsidRDefault="00075F3A" w:rsidP="00965CD5">
            <w:pPr>
              <w:pStyle w:val="CETBodytext"/>
              <w:ind w:right="-1"/>
              <w:rPr>
                <w:rFonts w:cs="Arial"/>
                <w:szCs w:val="18"/>
                <w:lang w:val="en-GB"/>
              </w:rPr>
            </w:pPr>
            <w:r w:rsidRPr="00FE6725">
              <w:rPr>
                <w:rFonts w:cs="Arial"/>
                <w:szCs w:val="18"/>
                <w:lang w:val="en-GB"/>
              </w:rPr>
              <w:t>0.0207</w:t>
            </w:r>
          </w:p>
        </w:tc>
      </w:tr>
    </w:tbl>
    <w:p w14:paraId="071CD093" w14:textId="77777777" w:rsidR="00AA205E" w:rsidRPr="00FE6725" w:rsidRDefault="00AA205E" w:rsidP="00AA205E">
      <w:pPr>
        <w:pStyle w:val="CETBodytext"/>
        <w:rPr>
          <w:lang w:val="en-GB"/>
        </w:rPr>
      </w:pPr>
    </w:p>
    <w:p w14:paraId="64AB1A4C" w14:textId="618E8014" w:rsidR="00834343" w:rsidRPr="00FE6725" w:rsidRDefault="002B00D2" w:rsidP="00616517">
      <w:pPr>
        <w:pStyle w:val="CETBodytext"/>
        <w:rPr>
          <w:lang w:val="en-GB"/>
        </w:rPr>
      </w:pPr>
      <w:r w:rsidRPr="00FE6725">
        <w:rPr>
          <w:lang w:val="en-GB"/>
        </w:rPr>
        <w:t>Among the six test</w:t>
      </w:r>
      <w:r w:rsidR="00E65D5C" w:rsidRPr="00FE6725">
        <w:rPr>
          <w:lang w:val="en-GB"/>
        </w:rPr>
        <w:t>s</w:t>
      </w:r>
      <w:r w:rsidRPr="00FE6725">
        <w:rPr>
          <w:lang w:val="en-GB"/>
        </w:rPr>
        <w:t xml:space="preserve"> performed, test</w:t>
      </w:r>
      <w:r w:rsidR="00E65D5C" w:rsidRPr="00FE6725">
        <w:rPr>
          <w:lang w:val="en-GB"/>
        </w:rPr>
        <w:t>s</w:t>
      </w:r>
      <w:r w:rsidRPr="00FE6725">
        <w:rPr>
          <w:lang w:val="en-GB"/>
        </w:rPr>
        <w:t xml:space="preserve"> 1 and 3 were dedicated to the </w:t>
      </w:r>
      <w:r w:rsidR="00357FA9" w:rsidRPr="00FE6725">
        <w:rPr>
          <w:lang w:val="en-GB"/>
        </w:rPr>
        <w:t>determination</w:t>
      </w:r>
      <w:r w:rsidRPr="00FE6725">
        <w:rPr>
          <w:lang w:val="en-GB"/>
        </w:rPr>
        <w:t xml:space="preserve"> of the extraction </w:t>
      </w:r>
      <w:r w:rsidR="00357FA9" w:rsidRPr="00FE6725">
        <w:rPr>
          <w:lang w:val="en-GB"/>
        </w:rPr>
        <w:t>time</w:t>
      </w:r>
      <w:r w:rsidRPr="00FE6725">
        <w:rPr>
          <w:lang w:val="en-GB"/>
        </w:rPr>
        <w:t xml:space="preserve">. In this regard, </w:t>
      </w:r>
      <w:r w:rsidR="00431AD7" w:rsidRPr="00FE6725">
        <w:rPr>
          <w:lang w:val="en-GB"/>
        </w:rPr>
        <w:t xml:space="preserve">Figures 2a and 2b show the concentration of polyphenols versus time during the first cycle of tests 1 and </w:t>
      </w:r>
      <w:r w:rsidR="00A92C18" w:rsidRPr="00FE6725">
        <w:rPr>
          <w:lang w:val="en-GB"/>
        </w:rPr>
        <w:t>3</w:t>
      </w:r>
      <w:r w:rsidR="00431AD7" w:rsidRPr="00FE6725">
        <w:rPr>
          <w:lang w:val="en-GB"/>
        </w:rPr>
        <w:t xml:space="preserve">, respectively. In both cases, the concentration reaches a plateau at the second sampling (made 15 and 60 min from the beginning of the </w:t>
      </w:r>
      <w:r w:rsidRPr="00FE6725">
        <w:rPr>
          <w:lang w:val="en-GB"/>
        </w:rPr>
        <w:t>cycle</w:t>
      </w:r>
      <w:r w:rsidR="00431AD7" w:rsidRPr="00FE6725">
        <w:rPr>
          <w:lang w:val="en-GB"/>
        </w:rPr>
        <w:t xml:space="preserve">, respectively). </w:t>
      </w:r>
    </w:p>
    <w:p w14:paraId="72C72E70" w14:textId="6CB44516" w:rsidR="007872E8" w:rsidRPr="00FE6725" w:rsidRDefault="007872E8" w:rsidP="00616517">
      <w:pPr>
        <w:pStyle w:val="CETBodytext"/>
        <w:rPr>
          <w:lang w:val="en-GB"/>
        </w:rPr>
      </w:pPr>
    </w:p>
    <w:p w14:paraId="5DA2473B" w14:textId="20F83E4F" w:rsidR="007872E8" w:rsidRPr="00FE6725" w:rsidRDefault="00DC4000" w:rsidP="00616517">
      <w:pPr>
        <w:pStyle w:val="CETBodytext"/>
        <w:rPr>
          <w:lang w:val="en-GB"/>
        </w:rPr>
      </w:pPr>
      <w:r w:rsidRPr="00FE6725">
        <w:rPr>
          <w:noProof/>
          <w:lang w:val="en-GB"/>
        </w:rPr>
        <w:drawing>
          <wp:inline distT="0" distB="0" distL="0" distR="0" wp14:anchorId="37E26D0A" wp14:editId="1CCF0D62">
            <wp:extent cx="4894126" cy="2267500"/>
            <wp:effectExtent l="0" t="0" r="1905" b="0"/>
            <wp:docPr id="183146338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6335" cy="2277789"/>
                    </a:xfrm>
                    <a:prstGeom prst="rect">
                      <a:avLst/>
                    </a:prstGeom>
                    <a:noFill/>
                  </pic:spPr>
                </pic:pic>
              </a:graphicData>
            </a:graphic>
          </wp:inline>
        </w:drawing>
      </w:r>
    </w:p>
    <w:p w14:paraId="702B1829" w14:textId="1CCDFF9D" w:rsidR="00A85FD7" w:rsidRPr="00FE6725" w:rsidRDefault="001104D6" w:rsidP="001104D6">
      <w:pPr>
        <w:pStyle w:val="CETCaption"/>
        <w:rPr>
          <w:rStyle w:val="CETCaptionCarattere"/>
          <w:i/>
        </w:rPr>
      </w:pPr>
      <w:r w:rsidRPr="00FE6725">
        <w:rPr>
          <w:rStyle w:val="CETCaptionCarattere"/>
          <w:i/>
        </w:rPr>
        <w:t xml:space="preserve">Figure </w:t>
      </w:r>
      <w:r w:rsidR="005D7CEE" w:rsidRPr="00FE6725">
        <w:rPr>
          <w:rStyle w:val="CETCaptionCarattere"/>
          <w:i/>
        </w:rPr>
        <w:t>2</w:t>
      </w:r>
      <w:r w:rsidRPr="00FE6725">
        <w:rPr>
          <w:rStyle w:val="CETCaptionCarattere"/>
          <w:i/>
        </w:rPr>
        <w:t xml:space="preserve">: </w:t>
      </w:r>
      <w:r w:rsidR="005D7CEE" w:rsidRPr="00FE6725">
        <w:rPr>
          <w:rStyle w:val="CETCaptionCarattere"/>
          <w:i/>
        </w:rPr>
        <w:t>Concentration of polyphenols versus time; (a): first cycle of test 1,</w:t>
      </w:r>
      <w:r w:rsidRPr="00FE6725">
        <w:rPr>
          <w:rStyle w:val="CETCaptionCarattere"/>
          <w:i/>
        </w:rPr>
        <w:t xml:space="preserve"> </w:t>
      </w:r>
      <w:r w:rsidR="005D7CEE" w:rsidRPr="00FE6725">
        <w:rPr>
          <w:rStyle w:val="CETCaptionCarattere"/>
          <w:i/>
        </w:rPr>
        <w:t xml:space="preserve">(b): first cycle of test </w:t>
      </w:r>
      <w:r w:rsidR="00A92C18" w:rsidRPr="00FE6725">
        <w:rPr>
          <w:rStyle w:val="CETCaptionCarattere"/>
          <w:i/>
        </w:rPr>
        <w:t>3</w:t>
      </w:r>
    </w:p>
    <w:p w14:paraId="2B449824" w14:textId="0803A050" w:rsidR="005C6259" w:rsidRPr="00FE6725" w:rsidRDefault="006D0AA5" w:rsidP="006D0AA5">
      <w:pPr>
        <w:pStyle w:val="CETBodytext"/>
        <w:rPr>
          <w:color w:val="FF0000"/>
          <w:lang w:val="en-GB"/>
        </w:rPr>
      </w:pPr>
      <w:r w:rsidRPr="00FE6725">
        <w:rPr>
          <w:lang w:val="en-GB"/>
        </w:rPr>
        <w:t>Th</w:t>
      </w:r>
      <w:r w:rsidR="002B00D2" w:rsidRPr="00FE6725">
        <w:rPr>
          <w:lang w:val="en-GB"/>
        </w:rPr>
        <w:t>e</w:t>
      </w:r>
      <w:r w:rsidRPr="00FE6725">
        <w:rPr>
          <w:lang w:val="en-GB"/>
        </w:rPr>
        <w:t>s</w:t>
      </w:r>
      <w:r w:rsidR="002B00D2" w:rsidRPr="00FE6725">
        <w:rPr>
          <w:lang w:val="en-GB"/>
        </w:rPr>
        <w:t>e</w:t>
      </w:r>
      <w:r w:rsidRPr="00FE6725">
        <w:rPr>
          <w:lang w:val="en-GB"/>
        </w:rPr>
        <w:t xml:space="preserve"> results shows that the process is very fast, since most of the polyphenols are extracted within the first few m</w:t>
      </w:r>
      <w:r w:rsidR="00500131" w:rsidRPr="00FE6725">
        <w:rPr>
          <w:lang w:val="en-GB"/>
        </w:rPr>
        <w:t>inutes</w:t>
      </w:r>
      <w:r w:rsidRPr="00FE6725">
        <w:rPr>
          <w:lang w:val="en-GB"/>
        </w:rPr>
        <w:t xml:space="preserve">. </w:t>
      </w:r>
      <w:r w:rsidR="009469BE" w:rsidRPr="00FE6725">
        <w:rPr>
          <w:lang w:val="en-GB"/>
        </w:rPr>
        <w:t xml:space="preserve">Industrially, </w:t>
      </w:r>
      <w:r w:rsidR="002D4298" w:rsidRPr="00FE6725">
        <w:rPr>
          <w:lang w:val="en-GB"/>
        </w:rPr>
        <w:t xml:space="preserve">cycles of up to one hour (also including the </w:t>
      </w:r>
      <w:r w:rsidR="0071746B" w:rsidRPr="00FE6725">
        <w:rPr>
          <w:lang w:val="en-GB"/>
        </w:rPr>
        <w:t xml:space="preserve">solid loading and unloading) </w:t>
      </w:r>
      <w:r w:rsidR="002D4298" w:rsidRPr="00FE6725">
        <w:rPr>
          <w:lang w:val="en-GB"/>
        </w:rPr>
        <w:t xml:space="preserve">would therefore be sufficient to achieve the optimum yield of polyphenols. </w:t>
      </w:r>
      <w:r w:rsidR="00D04B4E" w:rsidRPr="00FE6725">
        <w:rPr>
          <w:lang w:val="en-GB"/>
        </w:rPr>
        <w:t>Hence</w:t>
      </w:r>
      <w:r w:rsidR="003E268D" w:rsidRPr="00FE6725">
        <w:rPr>
          <w:lang w:val="en-GB"/>
        </w:rPr>
        <w:t xml:space="preserve">, </w:t>
      </w:r>
      <w:r w:rsidR="00D04B4E" w:rsidRPr="00FE6725">
        <w:rPr>
          <w:lang w:val="en-GB"/>
        </w:rPr>
        <w:t>when taking into account</w:t>
      </w:r>
      <w:r w:rsidR="002D4298" w:rsidRPr="00FE6725">
        <w:rPr>
          <w:lang w:val="en-GB"/>
        </w:rPr>
        <w:t xml:space="preserve"> an</w:t>
      </w:r>
      <w:r w:rsidR="003E268D" w:rsidRPr="00FE6725">
        <w:rPr>
          <w:lang w:val="en-GB"/>
        </w:rPr>
        <w:t xml:space="preserve"> industrial extractor </w:t>
      </w:r>
      <w:r w:rsidR="00D04B4E" w:rsidRPr="00FE6725">
        <w:rPr>
          <w:lang w:val="en-GB"/>
        </w:rPr>
        <w:t>operating during an</w:t>
      </w:r>
      <w:r w:rsidR="003E268D" w:rsidRPr="00FE6725">
        <w:rPr>
          <w:lang w:val="en-GB"/>
        </w:rPr>
        <w:t xml:space="preserve"> </w:t>
      </w:r>
      <w:r w:rsidR="002D4298" w:rsidRPr="00FE6725">
        <w:rPr>
          <w:lang w:val="en-GB"/>
        </w:rPr>
        <w:t>8-hour work shift</w:t>
      </w:r>
      <w:r w:rsidR="0071746B" w:rsidRPr="00FE6725">
        <w:rPr>
          <w:lang w:val="en-GB"/>
        </w:rPr>
        <w:t>,</w:t>
      </w:r>
      <w:r w:rsidR="00DC4E03" w:rsidRPr="00FE6725">
        <w:rPr>
          <w:lang w:val="en-GB"/>
        </w:rPr>
        <w:t xml:space="preserve"> </w:t>
      </w:r>
      <w:r w:rsidR="003E268D" w:rsidRPr="00FE6725">
        <w:rPr>
          <w:lang w:val="en-GB"/>
        </w:rPr>
        <w:t>th</w:t>
      </w:r>
      <w:r w:rsidR="004A16EA" w:rsidRPr="00FE6725">
        <w:rPr>
          <w:lang w:val="en-GB"/>
        </w:rPr>
        <w:t>e</w:t>
      </w:r>
      <w:r w:rsidR="003E268D" w:rsidRPr="00FE6725">
        <w:rPr>
          <w:lang w:val="en-GB"/>
        </w:rPr>
        <w:t xml:space="preserve"> productivity</w:t>
      </w:r>
      <w:r w:rsidR="003F7913" w:rsidRPr="00FE6725">
        <w:rPr>
          <w:lang w:val="en-GB"/>
        </w:rPr>
        <w:t xml:space="preserve"> of the extractor</w:t>
      </w:r>
      <w:r w:rsidR="003E268D" w:rsidRPr="00FE6725">
        <w:rPr>
          <w:lang w:val="en-GB"/>
        </w:rPr>
        <w:t xml:space="preserve"> in terms of g</w:t>
      </w:r>
      <w:r w:rsidR="00D04B4E" w:rsidRPr="00FE6725">
        <w:rPr>
          <w:lang w:val="en-GB"/>
        </w:rPr>
        <w:t>rams</w:t>
      </w:r>
      <w:r w:rsidR="003E268D" w:rsidRPr="00FE6725">
        <w:rPr>
          <w:lang w:val="en-GB"/>
        </w:rPr>
        <w:t xml:space="preserve"> of </w:t>
      </w:r>
      <w:r w:rsidR="00D04B4E" w:rsidRPr="00FE6725">
        <w:rPr>
          <w:lang w:val="en-GB"/>
        </w:rPr>
        <w:t xml:space="preserve">extracted </w:t>
      </w:r>
      <w:r w:rsidR="003E268D" w:rsidRPr="00FE6725">
        <w:rPr>
          <w:lang w:val="en-GB"/>
        </w:rPr>
        <w:t xml:space="preserve">polyphenols per </w:t>
      </w:r>
      <w:r w:rsidR="004A16EA" w:rsidRPr="00FE6725">
        <w:rPr>
          <w:lang w:val="en-GB"/>
        </w:rPr>
        <w:t>shift</w:t>
      </w:r>
      <w:r w:rsidR="003E268D" w:rsidRPr="00FE6725">
        <w:rPr>
          <w:lang w:val="en-GB"/>
        </w:rPr>
        <w:t xml:space="preserve"> would be </w:t>
      </w:r>
      <w:r w:rsidR="002D4298" w:rsidRPr="00FE6725">
        <w:rPr>
          <w:lang w:val="en-GB"/>
        </w:rPr>
        <w:t>eight</w:t>
      </w:r>
      <w:r w:rsidR="00D04B4E" w:rsidRPr="00FE6725">
        <w:rPr>
          <w:lang w:val="en-GB"/>
        </w:rPr>
        <w:t>fold</w:t>
      </w:r>
      <w:r w:rsidR="002D4298" w:rsidRPr="00FE6725">
        <w:rPr>
          <w:lang w:val="en-GB"/>
        </w:rPr>
        <w:t xml:space="preserve"> </w:t>
      </w:r>
      <w:r w:rsidR="00D04B4E" w:rsidRPr="00FE6725">
        <w:rPr>
          <w:lang w:val="en-GB"/>
        </w:rPr>
        <w:t>greater</w:t>
      </w:r>
      <w:r w:rsidR="002D4298" w:rsidRPr="00FE6725">
        <w:rPr>
          <w:lang w:val="en-GB"/>
        </w:rPr>
        <w:t xml:space="preserve"> </w:t>
      </w:r>
      <w:r w:rsidR="00D04B4E" w:rsidRPr="00FE6725">
        <w:rPr>
          <w:lang w:val="en-GB"/>
        </w:rPr>
        <w:t>than that of a</w:t>
      </w:r>
      <w:r w:rsidR="003E268D" w:rsidRPr="00FE6725">
        <w:rPr>
          <w:lang w:val="en-GB"/>
        </w:rPr>
        <w:t xml:space="preserve"> single cycle</w:t>
      </w:r>
      <w:r w:rsidR="002D4298" w:rsidRPr="00FE6725">
        <w:rPr>
          <w:lang w:val="en-GB"/>
        </w:rPr>
        <w:t xml:space="preserve">. </w:t>
      </w:r>
    </w:p>
    <w:p w14:paraId="5D6DEA81" w14:textId="77777777" w:rsidR="00366407" w:rsidRPr="00FE6725" w:rsidRDefault="00366407" w:rsidP="006D0AA5">
      <w:pPr>
        <w:pStyle w:val="CETBodytext"/>
        <w:rPr>
          <w:color w:val="FF0000"/>
          <w:lang w:val="en-GB"/>
        </w:rPr>
      </w:pPr>
    </w:p>
    <w:p w14:paraId="3E67090A" w14:textId="06519543" w:rsidR="00616517" w:rsidRPr="00FE6725" w:rsidRDefault="00BF15E0" w:rsidP="000D20E8">
      <w:pPr>
        <w:pStyle w:val="CETheadingx"/>
      </w:pPr>
      <w:r w:rsidRPr="00FE6725">
        <w:t>Equilibrium studies</w:t>
      </w:r>
      <w:r w:rsidR="00616517" w:rsidRPr="00FE6725">
        <w:t xml:space="preserve"> </w:t>
      </w:r>
    </w:p>
    <w:p w14:paraId="1BAF3048" w14:textId="3F5C4201" w:rsidR="005C6259" w:rsidRPr="00FE6725" w:rsidRDefault="00616517" w:rsidP="00616517">
      <w:pPr>
        <w:pStyle w:val="CETBodytext"/>
        <w:rPr>
          <w:lang w:val="en-GB"/>
        </w:rPr>
      </w:pPr>
      <w:r w:rsidRPr="00FE6725">
        <w:rPr>
          <w:lang w:val="en-GB"/>
        </w:rPr>
        <w:t>T</w:t>
      </w:r>
      <w:r w:rsidR="00702502" w:rsidRPr="00FE6725">
        <w:rPr>
          <w:lang w:val="en-GB"/>
        </w:rPr>
        <w:t xml:space="preserve">able 2 summarizes the experimental equilibrium data </w:t>
      </w: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00702502" w:rsidRPr="00FE6725">
        <w:rPr>
          <w:lang w:val="en-GB"/>
        </w:rPr>
        <w:t xml:space="preserve"> and </w:t>
      </w: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00702502" w:rsidRPr="00FE6725">
        <w:rPr>
          <w:lang w:val="en-GB"/>
        </w:rPr>
        <w:t xml:space="preserve"> of polyphenols in </w:t>
      </w:r>
      <w:r w:rsidR="005C6259" w:rsidRPr="00FE6725">
        <w:rPr>
          <w:lang w:val="en-GB"/>
        </w:rPr>
        <w:t>liquid</w:t>
      </w:r>
      <w:r w:rsidR="00702502" w:rsidRPr="00FE6725">
        <w:rPr>
          <w:lang w:val="en-GB"/>
        </w:rPr>
        <w:t xml:space="preserve"> and </w:t>
      </w:r>
      <w:r w:rsidR="005C6259" w:rsidRPr="00FE6725">
        <w:rPr>
          <w:lang w:val="en-GB"/>
        </w:rPr>
        <w:t>solid</w:t>
      </w:r>
      <w:r w:rsidR="00702502" w:rsidRPr="00FE6725">
        <w:rPr>
          <w:lang w:val="en-GB"/>
        </w:rPr>
        <w:t xml:space="preserve"> phases, respectively, obtained for the tests </w:t>
      </w:r>
      <w:r w:rsidR="005C6259" w:rsidRPr="00FE6725">
        <w:rPr>
          <w:lang w:val="en-GB"/>
        </w:rPr>
        <w:t>1</w:t>
      </w:r>
      <w:r w:rsidR="004A534C" w:rsidRPr="00FE6725">
        <w:rPr>
          <w:lang w:val="en-GB"/>
        </w:rPr>
        <w:t>-</w:t>
      </w:r>
      <w:r w:rsidR="005C6259" w:rsidRPr="00FE6725">
        <w:rPr>
          <w:lang w:val="en-GB"/>
        </w:rPr>
        <w:t xml:space="preserve">6 </w:t>
      </w:r>
      <w:r w:rsidR="00702502" w:rsidRPr="00FE6725">
        <w:rPr>
          <w:lang w:val="en-GB"/>
        </w:rPr>
        <w:t xml:space="preserve">by varying the solid-liquid ratio </w:t>
      </w:r>
      <w:r w:rsidR="006675E5" w:rsidRPr="00FE6725">
        <w:rPr>
          <w:rFonts w:ascii="Cambria Math" w:hAnsi="Cambria Math" w:cs="Cambria Math"/>
          <w:lang w:val="en-GB"/>
        </w:rPr>
        <w:t>𝛼</w:t>
      </w:r>
      <w:r w:rsidR="00702502" w:rsidRPr="00FE6725">
        <w:rPr>
          <w:lang w:val="en-GB"/>
        </w:rPr>
        <w:t xml:space="preserve">. </w:t>
      </w:r>
      <w:r w:rsidR="00407550" w:rsidRPr="00FE6725">
        <w:rPr>
          <w:lang w:val="en-GB"/>
        </w:rPr>
        <w:t xml:space="preserve">As </w:t>
      </w:r>
      <w:r w:rsidR="006D3C50" w:rsidRPr="00FE6725">
        <w:rPr>
          <w:lang w:val="en-GB"/>
        </w:rPr>
        <w:t xml:space="preserve">shown </w:t>
      </w:r>
      <w:r w:rsidR="00407550" w:rsidRPr="00FE6725">
        <w:rPr>
          <w:lang w:val="en-GB"/>
        </w:rPr>
        <w:t>in the previous Section 3.2,</w:t>
      </w:r>
      <w:r w:rsidR="006D3C50" w:rsidRPr="00FE6725">
        <w:rPr>
          <w:lang w:val="en-GB"/>
        </w:rPr>
        <w:t xml:space="preserve"> </w:t>
      </w:r>
      <w:r w:rsidR="00407550" w:rsidRPr="00FE6725">
        <w:rPr>
          <w:lang w:val="en-GB"/>
        </w:rPr>
        <w:t xml:space="preserve">equilibrium </w:t>
      </w:r>
      <w:r w:rsidR="006D0AA5" w:rsidRPr="00FE6725">
        <w:rPr>
          <w:lang w:val="en-GB"/>
        </w:rPr>
        <w:t xml:space="preserve">in the liquid phase </w:t>
      </w:r>
      <w:r w:rsidR="00407550" w:rsidRPr="00FE6725">
        <w:rPr>
          <w:lang w:val="en-GB"/>
        </w:rPr>
        <w:t>is observed to be reached</w:t>
      </w:r>
      <w:r w:rsidR="006D3C50" w:rsidRPr="00FE6725">
        <w:rPr>
          <w:lang w:val="en-GB"/>
        </w:rPr>
        <w:t xml:space="preserve"> already after </w:t>
      </w:r>
      <w:r w:rsidR="006D0AA5" w:rsidRPr="00FE6725">
        <w:rPr>
          <w:lang w:val="en-GB"/>
        </w:rPr>
        <w:t>the first few minutes of the extraction</w:t>
      </w:r>
      <w:r w:rsidR="006D3C50" w:rsidRPr="00FE6725">
        <w:rPr>
          <w:lang w:val="en-GB"/>
        </w:rPr>
        <w:t>.</w:t>
      </w:r>
      <w:r w:rsidR="00407550" w:rsidRPr="00FE6725">
        <w:rPr>
          <w:lang w:val="en-GB"/>
        </w:rPr>
        <w:t xml:space="preserve"> </w:t>
      </w:r>
      <w:r w:rsidR="006D3C50" w:rsidRPr="00FE6725">
        <w:rPr>
          <w:lang w:val="en-GB"/>
        </w:rPr>
        <w:t xml:space="preserve">For this reason, the various concentrations </w:t>
      </w: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006D3C50" w:rsidRPr="00FE6725">
        <w:rPr>
          <w:lang w:val="en-GB"/>
        </w:rPr>
        <w:t xml:space="preserve"> were taken after </w:t>
      </w:r>
      <w:r w:rsidR="004A534C" w:rsidRPr="00FE6725">
        <w:rPr>
          <w:lang w:val="en-GB"/>
        </w:rPr>
        <w:t xml:space="preserve">a </w:t>
      </w:r>
      <w:r w:rsidR="006D3C50" w:rsidRPr="00FE6725">
        <w:rPr>
          <w:lang w:val="en-GB"/>
        </w:rPr>
        <w:t xml:space="preserve">maximum </w:t>
      </w:r>
      <w:r w:rsidR="004A534C" w:rsidRPr="00FE6725">
        <w:rPr>
          <w:lang w:val="en-GB"/>
        </w:rPr>
        <w:t xml:space="preserve">of </w:t>
      </w:r>
      <w:r w:rsidR="006D3C50" w:rsidRPr="00FE6725">
        <w:rPr>
          <w:lang w:val="en-GB"/>
        </w:rPr>
        <w:t xml:space="preserve">65 min from the beginning of each test, and then </w:t>
      </w:r>
      <w:r w:rsidR="005C6259" w:rsidRPr="00FE6725">
        <w:t>analyzed as described in Section 2.4</w:t>
      </w:r>
      <w:r w:rsidR="005C6259" w:rsidRPr="00FE6725">
        <w:rPr>
          <w:lang w:val="en-GB"/>
        </w:rPr>
        <w:t xml:space="preserve">. In Figure 3a, the data </w:t>
      </w:r>
      <w:r w:rsidR="00AB2F24" w:rsidRPr="00FE6725">
        <w:rPr>
          <w:lang w:val="en-GB"/>
        </w:rPr>
        <w:t xml:space="preserve">of </w:t>
      </w:r>
      <m:oMath>
        <m:sSub>
          <m:sSubPr>
            <m:ctrlPr>
              <w:rPr>
                <w:rFonts w:ascii="Cambria Math" w:hAnsi="Cambria Math"/>
                <w:i/>
              </w:rPr>
            </m:ctrlPr>
          </m:sSubPr>
          <m:e>
            <m:r>
              <w:rPr>
                <w:rFonts w:ascii="Cambria Math" w:hAnsi="Cambria Math"/>
              </w:rPr>
              <m:t>C</m:t>
            </m:r>
          </m:e>
          <m:sub>
            <m:r>
              <w:rPr>
                <w:rFonts w:ascii="Cambria Math" w:hAnsi="Cambria Math"/>
              </w:rPr>
              <m:t>e</m:t>
            </m:r>
          </m:sub>
        </m:sSub>
        <m:r>
          <w:rPr>
            <w:rFonts w:ascii="Cambria Math" w:hAnsi="Cambria Math"/>
          </w:rPr>
          <m:t xml:space="preserve"> </m:t>
        </m:r>
      </m:oMath>
      <w:r w:rsidR="005C6259" w:rsidRPr="00FE6725">
        <w:rPr>
          <w:lang w:val="en-GB"/>
        </w:rPr>
        <w:t>obtained are plotted versus the solid</w:t>
      </w:r>
      <w:r w:rsidR="009526AB" w:rsidRPr="00FE6725">
        <w:rPr>
          <w:lang w:val="en-GB"/>
        </w:rPr>
        <w:t>-</w:t>
      </w:r>
      <w:r w:rsidR="005C6259" w:rsidRPr="00FE6725">
        <w:rPr>
          <w:lang w:val="en-GB"/>
        </w:rPr>
        <w:t xml:space="preserve">liquid ratio </w:t>
      </w:r>
      <w:r w:rsidR="005C6259" w:rsidRPr="00FE6725">
        <w:rPr>
          <w:rFonts w:ascii="Cambria Math" w:hAnsi="Cambria Math" w:cs="Cambria Math"/>
          <w:lang w:val="en-GB"/>
        </w:rPr>
        <w:t>𝛼</w:t>
      </w:r>
      <w:r w:rsidR="005C6259" w:rsidRPr="00FE6725">
        <w:rPr>
          <w:lang w:val="en-GB"/>
        </w:rPr>
        <w:t>. In particular, a linear proportionality between the concentration of extracted polyphenols</w:t>
      </w:r>
      <w:r w:rsidR="007D5BA6" w:rsidRPr="00FE6725">
        <w:rPr>
          <w:lang w:val="en-GB"/>
        </w:rPr>
        <w:t xml:space="preserve"> and </w:t>
      </w:r>
      <w:r w:rsidR="007D5BA6" w:rsidRPr="00FE6725">
        <w:rPr>
          <w:rFonts w:ascii="Cambria Math" w:hAnsi="Cambria Math" w:cs="Cambria Math"/>
          <w:lang w:val="en-GB"/>
        </w:rPr>
        <w:t>𝛼</w:t>
      </w:r>
      <w:r w:rsidR="007D5BA6" w:rsidRPr="00FE6725">
        <w:rPr>
          <w:lang w:val="en-GB"/>
        </w:rPr>
        <w:t xml:space="preserve"> </w:t>
      </w:r>
      <w:r w:rsidR="005C6259" w:rsidRPr="00FE6725">
        <w:rPr>
          <w:lang w:val="en-GB"/>
        </w:rPr>
        <w:t xml:space="preserve">is clearly shown. </w:t>
      </w:r>
    </w:p>
    <w:p w14:paraId="515CE778" w14:textId="7428CEE4" w:rsidR="00237690" w:rsidRPr="00FE6725" w:rsidRDefault="00237690" w:rsidP="00616517">
      <w:pPr>
        <w:pStyle w:val="CETBodytext"/>
        <w:rPr>
          <w:lang w:val="en-GB"/>
        </w:rPr>
      </w:pPr>
    </w:p>
    <w:p w14:paraId="3F1D6396" w14:textId="65824975" w:rsidR="002C7326" w:rsidRPr="00FE6725" w:rsidRDefault="002C7326" w:rsidP="00616517">
      <w:pPr>
        <w:pStyle w:val="CETBodytext"/>
        <w:rPr>
          <w:lang w:val="en-GB"/>
        </w:rPr>
      </w:pPr>
    </w:p>
    <w:p w14:paraId="52A0DEF2" w14:textId="77777777" w:rsidR="00053229" w:rsidRPr="00FE6725" w:rsidRDefault="00053229" w:rsidP="00616517">
      <w:pPr>
        <w:pStyle w:val="CETBodytext"/>
        <w:rPr>
          <w:lang w:val="en-GB"/>
        </w:rPr>
      </w:pPr>
    </w:p>
    <w:p w14:paraId="0DC5864E" w14:textId="77777777" w:rsidR="00053229" w:rsidRPr="00FE6725" w:rsidRDefault="00053229" w:rsidP="00616517">
      <w:pPr>
        <w:pStyle w:val="CETBodytext"/>
        <w:rPr>
          <w:lang w:val="en-GB"/>
        </w:rPr>
      </w:pPr>
    </w:p>
    <w:p w14:paraId="2F7EF895" w14:textId="77777777" w:rsidR="00053229" w:rsidRPr="00FE6725" w:rsidRDefault="00053229" w:rsidP="00616517">
      <w:pPr>
        <w:pStyle w:val="CETBodytext"/>
        <w:rPr>
          <w:lang w:val="en-GB"/>
        </w:rPr>
      </w:pPr>
    </w:p>
    <w:p w14:paraId="3DE91E5B" w14:textId="77777777" w:rsidR="00053229" w:rsidRPr="00FE6725" w:rsidRDefault="00053229" w:rsidP="00616517">
      <w:pPr>
        <w:pStyle w:val="CETBodytext"/>
        <w:rPr>
          <w:lang w:val="en-GB"/>
        </w:rPr>
      </w:pPr>
    </w:p>
    <w:p w14:paraId="7914BDDD" w14:textId="77777777" w:rsidR="00053229" w:rsidRPr="00FE6725" w:rsidRDefault="00053229" w:rsidP="00616517">
      <w:pPr>
        <w:pStyle w:val="CETBodytext"/>
        <w:rPr>
          <w:lang w:val="en-GB"/>
        </w:rPr>
      </w:pPr>
    </w:p>
    <w:p w14:paraId="37D25066" w14:textId="77777777" w:rsidR="00053229" w:rsidRPr="00FE6725" w:rsidRDefault="00053229" w:rsidP="00616517">
      <w:pPr>
        <w:pStyle w:val="CETBodytext"/>
        <w:rPr>
          <w:lang w:val="en-GB"/>
        </w:rPr>
      </w:pPr>
    </w:p>
    <w:p w14:paraId="3796F57C" w14:textId="77777777" w:rsidR="00053229" w:rsidRPr="00FE6725" w:rsidRDefault="00053229" w:rsidP="00616517">
      <w:pPr>
        <w:pStyle w:val="CETBodytext"/>
        <w:rPr>
          <w:lang w:val="en-GB"/>
        </w:rPr>
      </w:pPr>
    </w:p>
    <w:p w14:paraId="3A7A01B8" w14:textId="185BE959" w:rsidR="00237690" w:rsidRPr="00FE6725" w:rsidRDefault="003F6C2C" w:rsidP="002C7326">
      <w:pPr>
        <w:pStyle w:val="CETBodytext"/>
        <w:rPr>
          <w:lang w:val="en-GB"/>
        </w:rPr>
      </w:pPr>
      <w:r w:rsidRPr="00FE6725">
        <w:rPr>
          <w:noProof/>
        </w:rPr>
        <w:lastRenderedPageBreak/>
        <w:drawing>
          <wp:inline distT="0" distB="0" distL="0" distR="0" wp14:anchorId="5C0377CD" wp14:editId="37A05A8B">
            <wp:extent cx="5127791" cy="2304499"/>
            <wp:effectExtent l="0" t="0" r="0" b="635"/>
            <wp:docPr id="21639627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1676" cy="2310739"/>
                    </a:xfrm>
                    <a:prstGeom prst="rect">
                      <a:avLst/>
                    </a:prstGeom>
                    <a:noFill/>
                  </pic:spPr>
                </pic:pic>
              </a:graphicData>
            </a:graphic>
          </wp:inline>
        </w:drawing>
      </w:r>
      <w:r w:rsidR="002C7326" w:rsidRPr="00FE6725">
        <w:rPr>
          <w:noProof/>
        </w:rPr>
        <w:t xml:space="preserve"> </w:t>
      </w:r>
    </w:p>
    <w:p w14:paraId="6A5E99B0" w14:textId="3DD981E5" w:rsidR="005C6259" w:rsidRPr="00FE6725" w:rsidRDefault="005C6259" w:rsidP="00237690">
      <w:pPr>
        <w:pStyle w:val="CETBodytext"/>
        <w:jc w:val="left"/>
        <w:rPr>
          <w:lang w:val="en-GB"/>
        </w:rPr>
      </w:pPr>
      <w:r w:rsidRPr="00FE6725">
        <w:rPr>
          <w:rStyle w:val="CETCaptionCarattere"/>
        </w:rPr>
        <w:t xml:space="preserve">Figure 3: </w:t>
      </w:r>
      <w:r w:rsidR="00E22560" w:rsidRPr="00FE6725">
        <w:rPr>
          <w:rStyle w:val="CETCaptionCarattere"/>
        </w:rPr>
        <w:t>Equilibrium of extraction of polyphenols at 70 °C (tests 1</w:t>
      </w:r>
      <w:r w:rsidR="004A534C" w:rsidRPr="00FE6725">
        <w:rPr>
          <w:rStyle w:val="CETCaptionCarattere"/>
        </w:rPr>
        <w:t>-</w:t>
      </w:r>
      <w:r w:rsidR="00E22560" w:rsidRPr="00FE6725">
        <w:rPr>
          <w:rStyle w:val="CETCaptionCarattere"/>
        </w:rPr>
        <w:t>6); (a): Equilibrium c</w:t>
      </w:r>
      <w:r w:rsidRPr="00FE6725">
        <w:rPr>
          <w:rStyle w:val="CETCaptionCarattere"/>
        </w:rPr>
        <w:t>oncentration of polyphenols</w:t>
      </w:r>
      <w:r w:rsidR="00E22560" w:rsidRPr="00FE6725">
        <w:rPr>
          <w:rStyle w:val="CETCaptionCarattere"/>
        </w:rPr>
        <w:t xml:space="preserve"> in water</w:t>
      </w:r>
      <w:r w:rsidRPr="00FE6725">
        <w:rPr>
          <w:rStyle w:val="CETCaptionCarattere"/>
        </w:rPr>
        <w:t xml:space="preserve"> versus </w:t>
      </w:r>
      <m:oMath>
        <m:r>
          <w:rPr>
            <w:rFonts w:ascii="Cambria Math" w:hAnsi="Cambria Math"/>
          </w:rPr>
          <m:t>α</m:t>
        </m:r>
      </m:oMath>
      <w:r w:rsidR="00E22560" w:rsidRPr="00FE6725">
        <w:rPr>
          <w:rStyle w:val="CETCaptionCarattere"/>
        </w:rPr>
        <w:t xml:space="preserve">, (b): Equilibrium concentration of polyphenols in solid matrix versus </w:t>
      </w:r>
      <w:r w:rsidR="00951A91" w:rsidRPr="00FE6725">
        <w:rPr>
          <w:rStyle w:val="CETCaptionCarattere"/>
        </w:rPr>
        <w:t xml:space="preserve">in </w:t>
      </w:r>
      <w:r w:rsidR="00E22560" w:rsidRPr="00FE6725">
        <w:rPr>
          <w:rStyle w:val="CETCaptionCarattere"/>
        </w:rPr>
        <w:t>water</w:t>
      </w:r>
    </w:p>
    <w:p w14:paraId="02299064" w14:textId="77777777" w:rsidR="00237690" w:rsidRPr="00FE6725" w:rsidRDefault="00237690" w:rsidP="00616517">
      <w:pPr>
        <w:pStyle w:val="CETBodytext"/>
        <w:rPr>
          <w:lang w:val="en-GB"/>
        </w:rPr>
      </w:pPr>
    </w:p>
    <w:p w14:paraId="11D28DFE" w14:textId="599C14BD" w:rsidR="00616517" w:rsidRPr="00FE6725" w:rsidRDefault="005C6259" w:rsidP="00616517">
      <w:pPr>
        <w:pStyle w:val="CETBodytext"/>
      </w:pPr>
      <w:r w:rsidRPr="00FE6725">
        <w:rPr>
          <w:lang w:val="en-GB"/>
        </w:rPr>
        <w:t>On the other hand,</w:t>
      </w:r>
      <w:r w:rsidR="00702502" w:rsidRPr="00FE6725">
        <w:rPr>
          <w:lang w:val="en-GB"/>
        </w:rPr>
        <w:t xml:space="preserve"> </w:t>
      </w:r>
      <w:r w:rsidR="000D1167" w:rsidRPr="00FE6725">
        <w:rPr>
          <w:lang w:val="en-GB"/>
        </w:rPr>
        <w:t>for each test</w:t>
      </w:r>
      <w:r w:rsidR="00E65D5C" w:rsidRPr="00FE6725">
        <w:rPr>
          <w:lang w:val="en-GB"/>
        </w:rPr>
        <w:t>,</w:t>
      </w:r>
      <w:r w:rsidR="000D1167" w:rsidRPr="00FE6725">
        <w:rPr>
          <w:lang w:val="en-GB"/>
        </w:rPr>
        <w:t xml:space="preserve"> </w:t>
      </w:r>
      <w:r w:rsidR="00702502" w:rsidRPr="00FE6725">
        <w:rPr>
          <w:lang w:val="en-GB"/>
        </w:rPr>
        <w:t>the</w:t>
      </w:r>
      <w:r w:rsidR="000D1167" w:rsidRPr="00FE6725">
        <w:rPr>
          <w:lang w:val="en-GB"/>
        </w:rPr>
        <w:t xml:space="preserve"> equilibrium</w:t>
      </w:r>
      <w:r w:rsidR="00702502" w:rsidRPr="00FE6725">
        <w:rPr>
          <w:lang w:val="en-GB"/>
        </w:rPr>
        <w:t xml:space="preserve"> concentration</w:t>
      </w:r>
      <w:r w:rsidRPr="00FE6725">
        <w:rPr>
          <w:lang w:val="en-GB"/>
        </w:rPr>
        <w:t>s</w:t>
      </w:r>
      <w:r w:rsidR="00702502" w:rsidRPr="00FE6725">
        <w:rPr>
          <w:lang w:val="en-GB"/>
        </w:rPr>
        <w:t xml:space="preserve"> of polyphenols in the solid phase </w:t>
      </w: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00702502" w:rsidRPr="00FE6725">
        <w:rPr>
          <w:lang w:val="en-GB"/>
        </w:rPr>
        <w:t xml:space="preserve"> w</w:t>
      </w:r>
      <w:r w:rsidRPr="00FE6725">
        <w:rPr>
          <w:lang w:val="en-GB"/>
        </w:rPr>
        <w:t>ere</w:t>
      </w:r>
      <w:r w:rsidR="00702502" w:rsidRPr="00FE6725">
        <w:rPr>
          <w:lang w:val="en-GB"/>
        </w:rPr>
        <w:t xml:space="preserve"> calculated through the following material balance</w:t>
      </w:r>
      <w:r w:rsidR="00616517" w:rsidRPr="00FE6725">
        <w:t>:</w:t>
      </w:r>
    </w:p>
    <w:tbl>
      <w:tblPr>
        <w:tblW w:w="5000" w:type="pct"/>
        <w:tblLook w:val="04A0" w:firstRow="1" w:lastRow="0" w:firstColumn="1" w:lastColumn="0" w:noHBand="0" w:noVBand="1"/>
      </w:tblPr>
      <w:tblGrid>
        <w:gridCol w:w="7983"/>
        <w:gridCol w:w="804"/>
      </w:tblGrid>
      <w:tr w:rsidR="00EB0D5B" w:rsidRPr="00FE6725" w14:paraId="2F3EEF5B" w14:textId="77777777" w:rsidTr="009352A6">
        <w:tc>
          <w:tcPr>
            <w:tcW w:w="8188" w:type="dxa"/>
            <w:shd w:val="clear" w:color="auto" w:fill="auto"/>
            <w:vAlign w:val="center"/>
          </w:tcPr>
          <w:p w14:paraId="559DF614" w14:textId="58FCC7D9" w:rsidR="00616517" w:rsidRPr="00FE6725" w:rsidRDefault="00000000" w:rsidP="009352A6">
            <w:pPr>
              <w:pStyle w:val="CETEquation"/>
            </w:pPr>
            <m:oMathPara>
              <m:oMathParaPr>
                <m:jc m:val="left"/>
              </m:oMathParaPr>
              <m:oMath>
                <m:sSub>
                  <m:sSubPr>
                    <m:ctrlPr>
                      <w:rPr>
                        <w:rFonts w:ascii="Cambria Math" w:hAnsi="Cambria Math"/>
                        <w:i/>
                      </w:rPr>
                    </m:ctrlPr>
                  </m:sSubPr>
                  <m:e>
                    <m:sSub>
                      <m:sSubPr>
                        <m:ctrlPr>
                          <w:rPr>
                            <w:rFonts w:ascii="Cambria Math" w:hAnsi="Cambria Math"/>
                            <w:i/>
                          </w:rPr>
                        </m:ctrlPr>
                      </m:sSubPr>
                      <m:e>
                        <m:r>
                          <w:rPr>
                            <w:rFonts w:ascii="Cambria Math" w:hAnsi="Cambria Math"/>
                          </w:rPr>
                          <m:t>M</m:t>
                        </m:r>
                      </m:e>
                      <m:sub>
                        <m:r>
                          <w:rPr>
                            <w:rFonts w:ascii="Cambria Math" w:hAnsi="Cambria Math"/>
                          </w:rPr>
                          <m:t>S</m:t>
                        </m:r>
                      </m:sub>
                    </m:sSub>
                    <m:r>
                      <w:rPr>
                        <w:rFonts w:ascii="Cambria Math" w:hAnsi="Cambria Math"/>
                      </w:rPr>
                      <m:t>(q</m:t>
                    </m:r>
                  </m:e>
                  <m:sub>
                    <m:r>
                      <w:rPr>
                        <w:rFonts w:ascii="Cambria Math" w:hAnsi="Cambria Math"/>
                      </w:rPr>
                      <m:t>tot,a</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e</m:t>
                    </m:r>
                  </m:sub>
                </m:sSub>
                <m:r>
                  <w:rPr>
                    <w:rFonts w:ascii="Cambria Math" w:hAnsi="Cambria Math"/>
                  </w:rPr>
                  <m:t xml:space="preserve"> )= </m:t>
                </m:r>
                <m:sSub>
                  <m:sSubPr>
                    <m:ctrlPr>
                      <w:rPr>
                        <w:rFonts w:ascii="Cambria Math" w:hAnsi="Cambria Math"/>
                        <w:i/>
                      </w:rPr>
                    </m:ctrlPr>
                  </m:sSubPr>
                  <m:e>
                    <m:r>
                      <w:rPr>
                        <w:rFonts w:ascii="Cambria Math" w:hAnsi="Cambria Math"/>
                      </w:rPr>
                      <m:t>V</m:t>
                    </m:r>
                  </m:e>
                  <m:sub>
                    <m:r>
                      <w:rPr>
                        <w:rFonts w:ascii="Cambria Math" w:hAnsi="Cambria Math"/>
                      </w:rPr>
                      <m:t>L</m:t>
                    </m:r>
                  </m:sub>
                </m:sSub>
                <m:sSub>
                  <m:sSubPr>
                    <m:ctrlPr>
                      <w:rPr>
                        <w:rFonts w:ascii="Cambria Math" w:hAnsi="Cambria Math"/>
                        <w:i/>
                      </w:rPr>
                    </m:ctrlPr>
                  </m:sSubPr>
                  <m:e>
                    <m:r>
                      <w:rPr>
                        <w:rFonts w:ascii="Cambria Math" w:hAnsi="Cambria Math"/>
                      </w:rPr>
                      <m:t>C</m:t>
                    </m:r>
                  </m:e>
                  <m:sub>
                    <m:r>
                      <w:rPr>
                        <w:rFonts w:ascii="Cambria Math" w:hAnsi="Cambria Math"/>
                      </w:rPr>
                      <m:t>e</m:t>
                    </m:r>
                  </m:sub>
                </m:sSub>
              </m:oMath>
            </m:oMathPara>
          </w:p>
        </w:tc>
        <w:tc>
          <w:tcPr>
            <w:tcW w:w="815" w:type="dxa"/>
            <w:shd w:val="clear" w:color="auto" w:fill="auto"/>
            <w:vAlign w:val="center"/>
          </w:tcPr>
          <w:p w14:paraId="27F64EEF" w14:textId="550B480F" w:rsidR="00616517" w:rsidRPr="00FE6725" w:rsidRDefault="00616517" w:rsidP="009352A6">
            <w:pPr>
              <w:pStyle w:val="CETEquation"/>
              <w:jc w:val="right"/>
            </w:pPr>
            <w:r w:rsidRPr="00FE6725">
              <w:t>(</w:t>
            </w:r>
            <w:r w:rsidR="0020094F" w:rsidRPr="00FE6725">
              <w:t>2</w:t>
            </w:r>
            <w:r w:rsidRPr="00FE6725">
              <w:t>)</w:t>
            </w:r>
          </w:p>
        </w:tc>
      </w:tr>
    </w:tbl>
    <w:p w14:paraId="1C71494E" w14:textId="042826D1" w:rsidR="00616517" w:rsidRPr="00FE6725" w:rsidRDefault="00120785" w:rsidP="00616517">
      <w:pPr>
        <w:pStyle w:val="CETBodytext"/>
      </w:pPr>
      <w:r w:rsidRPr="00FE6725">
        <w:rPr>
          <w:lang w:val="en-GB"/>
        </w:rPr>
        <w:t>w</w:t>
      </w:r>
      <w:r w:rsidR="00616517" w:rsidRPr="00FE6725">
        <w:rPr>
          <w:lang w:val="en-GB"/>
        </w:rPr>
        <w:t>here</w:t>
      </w:r>
      <w:r w:rsidRPr="00FE6725">
        <w:rPr>
          <w:lang w:val="en-GB"/>
        </w:rPr>
        <w:t xml:space="preserve"> </w:t>
      </w: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Pr="00FE6725">
        <w:rPr>
          <w:lang w:val="en-GB"/>
        </w:rPr>
        <w:t xml:space="preserve"> and </w:t>
      </w:r>
      <m:oMath>
        <m:sSub>
          <m:sSubPr>
            <m:ctrlPr>
              <w:rPr>
                <w:rFonts w:ascii="Cambria Math" w:hAnsi="Cambria Math"/>
                <w:i/>
              </w:rPr>
            </m:ctrlPr>
          </m:sSubPr>
          <m:e>
            <m:r>
              <w:rPr>
                <w:rFonts w:ascii="Cambria Math" w:hAnsi="Cambria Math"/>
              </w:rPr>
              <m:t>M</m:t>
            </m:r>
          </m:e>
          <m:sub>
            <m:r>
              <w:rPr>
                <w:rFonts w:ascii="Cambria Math" w:hAnsi="Cambria Math"/>
              </w:rPr>
              <m:t>S</m:t>
            </m:r>
          </m:sub>
        </m:sSub>
      </m:oMath>
      <w:r w:rsidRPr="00FE6725">
        <w:rPr>
          <w:lang w:val="en-GB"/>
        </w:rPr>
        <w:t xml:space="preserve"> are the </w:t>
      </w:r>
      <w:r w:rsidR="00957F5C" w:rsidRPr="00FE6725">
        <w:rPr>
          <w:lang w:val="en-GB"/>
        </w:rPr>
        <w:t>liquid</w:t>
      </w:r>
      <w:r w:rsidRPr="00FE6725">
        <w:rPr>
          <w:lang w:val="en-GB"/>
        </w:rPr>
        <w:t xml:space="preserve"> volume and the solid mass loaded</w:t>
      </w:r>
      <w:r w:rsidR="003C0B0C" w:rsidRPr="00FE6725">
        <w:rPr>
          <w:lang w:val="en-GB"/>
        </w:rPr>
        <w:t xml:space="preserve"> at the beginning of the test</w:t>
      </w:r>
      <w:r w:rsidRPr="00FE6725">
        <w:rPr>
          <w:lang w:val="en-GB"/>
        </w:rPr>
        <w:t>, respectively, and</w:t>
      </w:r>
      <w:r w:rsidR="00616517" w:rsidRPr="00FE6725">
        <w:rPr>
          <w:lang w:val="en-GB"/>
        </w:rPr>
        <w:t xml:space="preserve"> </w:t>
      </w:r>
      <m:oMath>
        <m:sSub>
          <m:sSubPr>
            <m:ctrlPr>
              <w:rPr>
                <w:rFonts w:ascii="Cambria Math" w:hAnsi="Cambria Math"/>
                <w:i/>
                <w:lang w:val="en-GB"/>
              </w:rPr>
            </m:ctrlPr>
          </m:sSubPr>
          <m:e>
            <m:r>
              <w:rPr>
                <w:rFonts w:ascii="Cambria Math" w:hAnsi="Cambria Math"/>
              </w:rPr>
              <m:t>q</m:t>
            </m:r>
          </m:e>
          <m:sub>
            <m:r>
              <w:rPr>
                <w:rFonts w:ascii="Cambria Math" w:hAnsi="Cambria Math"/>
              </w:rPr>
              <m:t>tot,a</m:t>
            </m:r>
          </m:sub>
        </m:sSub>
      </m:oMath>
      <w:r w:rsidR="006675E5" w:rsidRPr="00FE6725">
        <w:rPr>
          <w:lang w:val="en-GB"/>
        </w:rPr>
        <w:t xml:space="preserve"> </w:t>
      </w:r>
      <w:r w:rsidR="00616517" w:rsidRPr="00FE6725">
        <w:rPr>
          <w:lang w:val="en-GB"/>
        </w:rPr>
        <w:t xml:space="preserve">is </w:t>
      </w:r>
      <w:r w:rsidR="006675E5" w:rsidRPr="00FE6725">
        <w:rPr>
          <w:lang w:val="en-GB"/>
        </w:rPr>
        <w:t xml:space="preserve">average total amount of extractable polyphenols per mass of solid matrix obtained in Section 3.1. </w:t>
      </w:r>
      <w:r w:rsidR="008675A9" w:rsidRPr="00FE6725">
        <w:rPr>
          <w:lang w:val="en-GB"/>
        </w:rPr>
        <w:t>In Equation 2, t</w:t>
      </w:r>
      <w:r w:rsidR="000076F2" w:rsidRPr="00FE6725">
        <w:rPr>
          <w:lang w:val="en-GB"/>
        </w:rPr>
        <w:t xml:space="preserve">he average value </w:t>
      </w:r>
      <m:oMath>
        <m:sSub>
          <m:sSubPr>
            <m:ctrlPr>
              <w:rPr>
                <w:rFonts w:ascii="Cambria Math" w:hAnsi="Cambria Math"/>
                <w:i/>
                <w:lang w:val="en-GB"/>
              </w:rPr>
            </m:ctrlPr>
          </m:sSubPr>
          <m:e>
            <m:r>
              <w:rPr>
                <w:rFonts w:ascii="Cambria Math" w:hAnsi="Cambria Math"/>
              </w:rPr>
              <m:t>q</m:t>
            </m:r>
          </m:e>
          <m:sub>
            <m:r>
              <w:rPr>
                <w:rFonts w:ascii="Cambria Math" w:hAnsi="Cambria Math"/>
              </w:rPr>
              <m:t>tot,a</m:t>
            </m:r>
          </m:sub>
        </m:sSub>
      </m:oMath>
      <w:r w:rsidR="000076F2" w:rsidRPr="00FE6725">
        <w:rPr>
          <w:lang w:val="en-GB"/>
        </w:rPr>
        <w:t xml:space="preserve"> was </w:t>
      </w:r>
      <w:r w:rsidR="008675A9" w:rsidRPr="00FE6725">
        <w:rPr>
          <w:lang w:val="en-GB"/>
        </w:rPr>
        <w:t>employed</w:t>
      </w:r>
      <w:r w:rsidR="000076F2" w:rsidRPr="00FE6725">
        <w:rPr>
          <w:lang w:val="en-GB"/>
        </w:rPr>
        <w:t xml:space="preserve"> </w:t>
      </w:r>
      <w:r w:rsidR="008675A9" w:rsidRPr="00FE6725">
        <w:rPr>
          <w:lang w:val="en-GB"/>
        </w:rPr>
        <w:t>rather than</w:t>
      </w:r>
      <w:r w:rsidR="000076F2" w:rsidRPr="00FE6725">
        <w:rPr>
          <w:lang w:val="en-GB"/>
        </w:rPr>
        <w:t xml:space="preserve"> the </w:t>
      </w:r>
      <w:r w:rsidR="008675A9" w:rsidRPr="00FE6725">
        <w:rPr>
          <w:lang w:val="en-GB"/>
        </w:rPr>
        <w:t xml:space="preserve">individual sample </w:t>
      </w:r>
      <w:r w:rsidR="006519D5" w:rsidRPr="00FE6725">
        <w:rPr>
          <w:lang w:val="en-GB"/>
        </w:rPr>
        <w:t>values reported in the third column of Table 2 to</w:t>
      </w:r>
      <w:r w:rsidR="008675A9" w:rsidRPr="00FE6725">
        <w:rPr>
          <w:lang w:val="en-GB"/>
        </w:rPr>
        <w:t xml:space="preserve"> reduce</w:t>
      </w:r>
      <w:r w:rsidR="000076F2" w:rsidRPr="00FE6725">
        <w:rPr>
          <w:lang w:val="en-GB"/>
        </w:rPr>
        <w:t xml:space="preserve"> the </w:t>
      </w:r>
      <w:r w:rsidR="008675A9" w:rsidRPr="00FE6725">
        <w:rPr>
          <w:lang w:val="en-GB"/>
        </w:rPr>
        <w:t>fluctuation in</w:t>
      </w:r>
      <w:r w:rsidR="000076F2" w:rsidRPr="00FE6725">
        <w:rPr>
          <w:lang w:val="en-GB"/>
        </w:rPr>
        <w:t xml:space="preserve"> error </w:t>
      </w:r>
      <w:r w:rsidR="008675A9" w:rsidRPr="00FE6725">
        <w:rPr>
          <w:lang w:val="en-GB"/>
        </w:rPr>
        <w:t xml:space="preserve">linked to </w:t>
      </w:r>
      <w:r w:rsidR="000076F2" w:rsidRPr="00FE6725">
        <w:rPr>
          <w:lang w:val="en-GB"/>
        </w:rPr>
        <w:t xml:space="preserve">each experimental value. </w:t>
      </w:r>
    </w:p>
    <w:p w14:paraId="3E8FEC1D" w14:textId="06E46AE1" w:rsidR="000D1167" w:rsidRPr="00FE6725" w:rsidRDefault="000D1167" w:rsidP="00616517">
      <w:pPr>
        <w:pStyle w:val="CETBodytext"/>
      </w:pPr>
      <w:r w:rsidRPr="00FE6725">
        <w:t xml:space="preserve">By introducing </w:t>
      </w:r>
      <w:r w:rsidR="005700B3" w:rsidRPr="00FE6725">
        <w:rPr>
          <w:rFonts w:ascii="Cambria Math" w:hAnsi="Cambria Math"/>
          <w:lang w:val="en-GB"/>
        </w:rPr>
        <w:t>𝛼</w:t>
      </w:r>
      <w:r w:rsidRPr="00FE6725">
        <w:t xml:space="preserve"> and by isolating </w:t>
      </w: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Pr="00FE6725">
        <w:t xml:space="preserve">, the following equation for the calculation of </w:t>
      </w: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Pr="00FE6725">
        <w:t xml:space="preserve"> is finally obtained:</w:t>
      </w:r>
    </w:p>
    <w:tbl>
      <w:tblPr>
        <w:tblW w:w="5000" w:type="pct"/>
        <w:tblLook w:val="04A0" w:firstRow="1" w:lastRow="0" w:firstColumn="1" w:lastColumn="0" w:noHBand="0" w:noVBand="1"/>
      </w:tblPr>
      <w:tblGrid>
        <w:gridCol w:w="7983"/>
        <w:gridCol w:w="804"/>
      </w:tblGrid>
      <w:tr w:rsidR="000D1167" w:rsidRPr="00FE6725" w14:paraId="4A2C1EFF" w14:textId="77777777" w:rsidTr="00965CD5">
        <w:tc>
          <w:tcPr>
            <w:tcW w:w="8188" w:type="dxa"/>
            <w:shd w:val="clear" w:color="auto" w:fill="auto"/>
            <w:vAlign w:val="center"/>
          </w:tcPr>
          <w:p w14:paraId="233BB561" w14:textId="2B33992B" w:rsidR="000D1167" w:rsidRPr="00FE6725" w:rsidRDefault="00000000" w:rsidP="00965CD5">
            <w:pPr>
              <w:pStyle w:val="CETEquation"/>
              <w:rPr>
                <w:i/>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e</m:t>
                    </m:r>
                  </m:sub>
                </m:sSub>
                <m:sSub>
                  <m:sSubPr>
                    <m:ctrlPr>
                      <w:rPr>
                        <w:rFonts w:ascii="Cambria Math" w:hAnsi="Cambria Math"/>
                        <w:i/>
                      </w:rPr>
                    </m:ctrlPr>
                  </m:sSubPr>
                  <m:e>
                    <m:r>
                      <w:rPr>
                        <w:rFonts w:ascii="Cambria Math" w:hAnsi="Cambria Math"/>
                      </w:rPr>
                      <m:t>=q</m:t>
                    </m:r>
                  </m:e>
                  <m:sub>
                    <m:r>
                      <w:rPr>
                        <w:rFonts w:ascii="Cambria Math" w:hAnsi="Cambria Math"/>
                      </w:rPr>
                      <m:t>tot,a</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e</m:t>
                        </m:r>
                      </m:sub>
                    </m:sSub>
                  </m:num>
                  <m:den>
                    <m:r>
                      <w:rPr>
                        <w:rFonts w:ascii="Cambria Math" w:hAnsi="Cambria Math"/>
                      </w:rPr>
                      <m:t>α</m:t>
                    </m:r>
                  </m:den>
                </m:f>
                <m:r>
                  <w:rPr>
                    <w:rFonts w:ascii="Cambria Math" w:hAnsi="Cambria Math"/>
                  </w:rPr>
                  <m:t xml:space="preserve">  </m:t>
                </m:r>
              </m:oMath>
            </m:oMathPara>
          </w:p>
        </w:tc>
        <w:tc>
          <w:tcPr>
            <w:tcW w:w="815" w:type="dxa"/>
            <w:shd w:val="clear" w:color="auto" w:fill="auto"/>
            <w:vAlign w:val="center"/>
          </w:tcPr>
          <w:p w14:paraId="44AA091B" w14:textId="749BF000" w:rsidR="000D1167" w:rsidRPr="00FE6725" w:rsidRDefault="000D1167" w:rsidP="00965CD5">
            <w:pPr>
              <w:pStyle w:val="CETEquation"/>
              <w:jc w:val="right"/>
            </w:pPr>
            <w:r w:rsidRPr="00FE6725">
              <w:t>(</w:t>
            </w:r>
            <w:r w:rsidR="005700B3" w:rsidRPr="00FE6725">
              <w:t>3</w:t>
            </w:r>
            <w:r w:rsidRPr="00FE6725">
              <w:t>)</w:t>
            </w:r>
          </w:p>
        </w:tc>
      </w:tr>
    </w:tbl>
    <w:p w14:paraId="51BA1200" w14:textId="19AE3476" w:rsidR="00600535" w:rsidRPr="00FE6725" w:rsidRDefault="00AB2F24" w:rsidP="00616517">
      <w:pPr>
        <w:pStyle w:val="CETBodytext"/>
        <w:rPr>
          <w:lang w:val="en-GB"/>
        </w:rPr>
      </w:pPr>
      <w:r w:rsidRPr="00FE6725">
        <w:rPr>
          <w:lang w:val="en-GB"/>
        </w:rPr>
        <w:t xml:space="preserve">In Figure 3b, the data of </w:t>
      </w:r>
      <m:oMath>
        <m:sSub>
          <m:sSubPr>
            <m:ctrlPr>
              <w:rPr>
                <w:rFonts w:ascii="Cambria Math" w:hAnsi="Cambria Math"/>
                <w:i/>
              </w:rPr>
            </m:ctrlPr>
          </m:sSubPr>
          <m:e>
            <m:r>
              <w:rPr>
                <w:rFonts w:ascii="Cambria Math" w:hAnsi="Cambria Math"/>
              </w:rPr>
              <m:t>q</m:t>
            </m:r>
          </m:e>
          <m:sub>
            <m:r>
              <w:rPr>
                <w:rFonts w:ascii="Cambria Math" w:hAnsi="Cambria Math"/>
              </w:rPr>
              <m:t>e</m:t>
            </m:r>
          </m:sub>
        </m:sSub>
      </m:oMath>
      <w:r w:rsidRPr="00FE6725">
        <w:rPr>
          <w:lang w:val="en-GB"/>
        </w:rPr>
        <w:t xml:space="preserve"> obtained </w:t>
      </w:r>
      <w:r w:rsidR="00E65D5C" w:rsidRPr="00FE6725">
        <w:rPr>
          <w:lang w:val="en-GB"/>
        </w:rPr>
        <w:t xml:space="preserve">from </w:t>
      </w:r>
      <w:r w:rsidRPr="00FE6725">
        <w:rPr>
          <w:lang w:val="en-GB"/>
        </w:rPr>
        <w:t xml:space="preserve">Equation 3 are plotted with the respective values of </w:t>
      </w: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007D5BA6" w:rsidRPr="00FE6725">
        <w:rPr>
          <w:lang w:val="en-GB"/>
        </w:rPr>
        <w:t>, and</w:t>
      </w:r>
      <w:r w:rsidR="00BC64B7" w:rsidRPr="00FE6725">
        <w:rPr>
          <w:lang w:val="en-GB"/>
        </w:rPr>
        <w:t xml:space="preserve"> a</w:t>
      </w:r>
      <w:r w:rsidRPr="00FE6725">
        <w:rPr>
          <w:lang w:val="en-GB"/>
        </w:rPr>
        <w:t xml:space="preserve"> linear proportionality between the equilibrium concentrations of polyphenols in the two phases is observed. In particular, the angular coefficient m </w:t>
      </w:r>
      <w:r w:rsidR="00561043" w:rsidRPr="00FE6725">
        <w:rPr>
          <w:lang w:val="en-GB"/>
        </w:rPr>
        <w:t xml:space="preserve">resulting from the fitting of the data shown in Figure 3b represents the partition coefficient </w:t>
      </w:r>
      <m:oMath>
        <m:r>
          <w:rPr>
            <w:rFonts w:ascii="Cambria Math" w:hAnsi="Cambria Math"/>
          </w:rPr>
          <m:t>k</m:t>
        </m:r>
      </m:oMath>
      <w:r w:rsidR="00561043" w:rsidRPr="00FE6725">
        <w:rPr>
          <w:lang w:val="en-GB"/>
        </w:rPr>
        <w:t xml:space="preserve">, with a value of 0.0368 l/g. The partition coefficient gives information </w:t>
      </w:r>
      <w:r w:rsidR="00AD072F" w:rsidRPr="00FE6725">
        <w:rPr>
          <w:lang w:val="en-GB"/>
        </w:rPr>
        <w:t xml:space="preserve">on how </w:t>
      </w:r>
      <w:r w:rsidR="001725E2" w:rsidRPr="00FE6725">
        <w:rPr>
          <w:lang w:val="en-GB"/>
        </w:rPr>
        <w:t>the polyphenols are distributed in the two solid and liquid phases at equilibrium, according to the following equilibrium isotherm at 70 °C:</w:t>
      </w:r>
    </w:p>
    <w:tbl>
      <w:tblPr>
        <w:tblW w:w="5000" w:type="pct"/>
        <w:tblLook w:val="04A0" w:firstRow="1" w:lastRow="0" w:firstColumn="1" w:lastColumn="0" w:noHBand="0" w:noVBand="1"/>
      </w:tblPr>
      <w:tblGrid>
        <w:gridCol w:w="7983"/>
        <w:gridCol w:w="804"/>
      </w:tblGrid>
      <w:tr w:rsidR="001725E2" w:rsidRPr="00FE6725" w14:paraId="2812A50C" w14:textId="77777777" w:rsidTr="00FC5C61">
        <w:tc>
          <w:tcPr>
            <w:tcW w:w="7983" w:type="dxa"/>
            <w:shd w:val="clear" w:color="auto" w:fill="auto"/>
            <w:vAlign w:val="center"/>
          </w:tcPr>
          <w:p w14:paraId="6EA8FFF0" w14:textId="6081DE4B" w:rsidR="001725E2" w:rsidRPr="00FE6725" w:rsidRDefault="00000000" w:rsidP="00965CD5">
            <w:pPr>
              <w:pStyle w:val="CETEquation"/>
              <w:rPr>
                <w:i/>
              </w:rPr>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e</m:t>
                    </m:r>
                  </m:sub>
                </m:sSub>
                <m:sSub>
                  <m:sSubPr>
                    <m:ctrlPr>
                      <w:rPr>
                        <w:rFonts w:ascii="Cambria Math" w:hAnsi="Cambria Math"/>
                        <w:i/>
                      </w:rPr>
                    </m:ctrlPr>
                  </m:sSubPr>
                  <m:e>
                    <m:r>
                      <w:rPr>
                        <w:rFonts w:ascii="Cambria Math" w:hAnsi="Cambria Math"/>
                      </w:rPr>
                      <m:t>=kC</m:t>
                    </m:r>
                  </m:e>
                  <m:sub>
                    <m:r>
                      <w:rPr>
                        <w:rFonts w:ascii="Cambria Math" w:hAnsi="Cambria Math"/>
                      </w:rPr>
                      <m:t>e</m:t>
                    </m:r>
                  </m:sub>
                </m:sSub>
                <m:r>
                  <w:rPr>
                    <w:rFonts w:ascii="Cambria Math" w:hAnsi="Cambria Math"/>
                  </w:rPr>
                  <m:t xml:space="preserve"> </m:t>
                </m:r>
              </m:oMath>
            </m:oMathPara>
          </w:p>
        </w:tc>
        <w:tc>
          <w:tcPr>
            <w:tcW w:w="804" w:type="dxa"/>
            <w:shd w:val="clear" w:color="auto" w:fill="auto"/>
            <w:vAlign w:val="center"/>
          </w:tcPr>
          <w:p w14:paraId="646F9777" w14:textId="6CC527A5" w:rsidR="001725E2" w:rsidRPr="00FE6725" w:rsidRDefault="001725E2" w:rsidP="00965CD5">
            <w:pPr>
              <w:pStyle w:val="CETEquation"/>
              <w:jc w:val="right"/>
            </w:pPr>
            <w:r w:rsidRPr="00FE6725">
              <w:t>(4)</w:t>
            </w:r>
          </w:p>
        </w:tc>
      </w:tr>
    </w:tbl>
    <w:p w14:paraId="4CCE26DF" w14:textId="11A42821" w:rsidR="003C0B0C" w:rsidRPr="00FE6725" w:rsidRDefault="007A5F8C" w:rsidP="00616517">
      <w:pPr>
        <w:pStyle w:val="CETBodytext"/>
        <w:rPr>
          <w:lang w:val="en-GB"/>
        </w:rPr>
      </w:pPr>
      <w:r w:rsidRPr="00FE6725">
        <w:rPr>
          <w:lang w:val="en-GB"/>
        </w:rPr>
        <w:t>However,</w:t>
      </w:r>
      <w:r w:rsidR="000A090D" w:rsidRPr="00FE6725">
        <w:rPr>
          <w:lang w:val="en-GB"/>
        </w:rPr>
        <w:t xml:space="preserve"> it is important to underline that</w:t>
      </w:r>
      <w:r w:rsidRPr="00FE6725">
        <w:rPr>
          <w:lang w:val="en-GB"/>
        </w:rPr>
        <w:t xml:space="preserve"> th</w:t>
      </w:r>
      <w:r w:rsidR="00E65D5C" w:rsidRPr="00FE6725">
        <w:rPr>
          <w:lang w:val="en-GB"/>
        </w:rPr>
        <w:t>i</w:t>
      </w:r>
      <w:r w:rsidRPr="00FE6725">
        <w:rPr>
          <w:lang w:val="en-GB"/>
        </w:rPr>
        <w:t>s equation is valid only for solid</w:t>
      </w:r>
      <w:r w:rsidR="009F48FD" w:rsidRPr="00FE6725">
        <w:rPr>
          <w:lang w:val="en-GB"/>
        </w:rPr>
        <w:t>-</w:t>
      </w:r>
      <w:r w:rsidRPr="00FE6725">
        <w:rPr>
          <w:lang w:val="en-GB"/>
        </w:rPr>
        <w:t xml:space="preserve">liquid ratios lower than or equal to </w:t>
      </w:r>
      <w:r w:rsidR="00534B52" w:rsidRPr="00FE6725">
        <w:rPr>
          <w:lang w:val="en-GB"/>
        </w:rPr>
        <w:t>5.7</w:t>
      </w:r>
      <w:r w:rsidRPr="00FE6725">
        <w:rPr>
          <w:lang w:val="en-GB"/>
        </w:rPr>
        <w:t xml:space="preserve"> g/l, </w:t>
      </w:r>
      <w:r w:rsidR="000A090D" w:rsidRPr="00FE6725">
        <w:rPr>
          <w:lang w:val="en-GB"/>
        </w:rPr>
        <w:t>which coincides with the maximum solid</w:t>
      </w:r>
      <w:r w:rsidR="00500131" w:rsidRPr="00FE6725">
        <w:rPr>
          <w:lang w:val="en-GB"/>
        </w:rPr>
        <w:t>-</w:t>
      </w:r>
      <w:r w:rsidR="000A090D" w:rsidRPr="00FE6725">
        <w:rPr>
          <w:lang w:val="en-GB"/>
        </w:rPr>
        <w:t>liquid ratio obtainable with the experimental set up used in this work and presented in Section 2.2. In fact, with the same solid matrix loaded in the column, higher solid</w:t>
      </w:r>
      <w:r w:rsidR="009F48FD" w:rsidRPr="00FE6725">
        <w:rPr>
          <w:lang w:val="en-GB"/>
        </w:rPr>
        <w:t>-</w:t>
      </w:r>
      <w:r w:rsidR="000A090D" w:rsidRPr="00FE6725">
        <w:rPr>
          <w:lang w:val="en-GB"/>
        </w:rPr>
        <w:t>liquid ratios could only be achieved with a lower liquid volume than the plant holdup.</w:t>
      </w:r>
    </w:p>
    <w:p w14:paraId="2C3EA111" w14:textId="77777777" w:rsidR="00BF4C24" w:rsidRPr="00FE6725" w:rsidRDefault="00BF4C24" w:rsidP="00616517">
      <w:pPr>
        <w:pStyle w:val="CETBodytext"/>
        <w:rPr>
          <w:lang w:val="en-GB"/>
        </w:rPr>
      </w:pPr>
    </w:p>
    <w:p w14:paraId="68D26B83" w14:textId="77777777" w:rsidR="00600535" w:rsidRPr="00FE6725" w:rsidRDefault="00600535" w:rsidP="00600535">
      <w:pPr>
        <w:pStyle w:val="CETHeading1"/>
        <w:rPr>
          <w:lang w:val="en-GB"/>
        </w:rPr>
      </w:pPr>
      <w:r w:rsidRPr="00FE6725">
        <w:rPr>
          <w:lang w:val="en-GB"/>
        </w:rPr>
        <w:t>Conclusions</w:t>
      </w:r>
    </w:p>
    <w:p w14:paraId="52DAFDE0" w14:textId="10263F4C" w:rsidR="001D0CFB" w:rsidRPr="00FE6725" w:rsidRDefault="00467D46" w:rsidP="00600535">
      <w:pPr>
        <w:pStyle w:val="CETBodytext"/>
        <w:rPr>
          <w:lang w:val="en-GB"/>
        </w:rPr>
      </w:pPr>
      <w:r w:rsidRPr="00FE6725">
        <w:rPr>
          <w:lang w:val="en-GB"/>
        </w:rPr>
        <w:t xml:space="preserve">This </w:t>
      </w:r>
      <w:r w:rsidR="006145D1" w:rsidRPr="00FE6725">
        <w:rPr>
          <w:lang w:val="en-GB"/>
        </w:rPr>
        <w:t>paper</w:t>
      </w:r>
      <w:r w:rsidRPr="00FE6725">
        <w:rPr>
          <w:lang w:val="en-GB"/>
        </w:rPr>
        <w:t xml:space="preserve"> presents </w:t>
      </w:r>
      <w:r w:rsidR="00E33910" w:rsidRPr="00FE6725">
        <w:rPr>
          <w:lang w:val="en-GB"/>
        </w:rPr>
        <w:t xml:space="preserve">the results </w:t>
      </w:r>
      <w:r w:rsidR="002A30BB" w:rsidRPr="00FE6725">
        <w:rPr>
          <w:lang w:val="en-GB"/>
        </w:rPr>
        <w:t xml:space="preserve">of </w:t>
      </w:r>
      <w:r w:rsidR="00E33910" w:rsidRPr="00FE6725">
        <w:rPr>
          <w:lang w:val="en-GB"/>
        </w:rPr>
        <w:t>six ex</w:t>
      </w:r>
      <w:r w:rsidR="002A30BB" w:rsidRPr="00FE6725">
        <w:rPr>
          <w:lang w:val="en-GB"/>
        </w:rPr>
        <w:t>perimental</w:t>
      </w:r>
      <w:r w:rsidR="00E33910" w:rsidRPr="00FE6725">
        <w:rPr>
          <w:lang w:val="en-GB"/>
        </w:rPr>
        <w:t xml:space="preserve"> tests</w:t>
      </w:r>
      <w:r w:rsidR="002A30BB" w:rsidRPr="00FE6725">
        <w:rPr>
          <w:lang w:val="en-GB"/>
        </w:rPr>
        <w:t>,</w:t>
      </w:r>
      <w:r w:rsidR="00E33910" w:rsidRPr="00FE6725">
        <w:rPr>
          <w:lang w:val="en-GB"/>
        </w:rPr>
        <w:t xml:space="preserve"> performed </w:t>
      </w:r>
      <w:r w:rsidR="002A30BB" w:rsidRPr="00FE6725">
        <w:rPr>
          <w:lang w:val="en-GB"/>
        </w:rPr>
        <w:t xml:space="preserve">in order to </w:t>
      </w:r>
      <w:r w:rsidR="004161FD" w:rsidRPr="00FE6725">
        <w:rPr>
          <w:lang w:val="en-GB"/>
        </w:rPr>
        <w:t>evaluate</w:t>
      </w:r>
      <w:r w:rsidR="002A30BB" w:rsidRPr="00FE6725">
        <w:rPr>
          <w:lang w:val="en-GB"/>
        </w:rPr>
        <w:t xml:space="preserve"> the feasibility of using water as a solvent </w:t>
      </w:r>
      <w:r w:rsidR="004161FD" w:rsidRPr="00FE6725">
        <w:rPr>
          <w:lang w:val="en-GB"/>
        </w:rPr>
        <w:t>for extracting</w:t>
      </w:r>
      <w:r w:rsidR="002A30BB" w:rsidRPr="00FE6725">
        <w:rPr>
          <w:lang w:val="en-GB"/>
        </w:rPr>
        <w:t xml:space="preserve"> polyphenols</w:t>
      </w:r>
      <w:r w:rsidR="00E33910" w:rsidRPr="00FE6725">
        <w:rPr>
          <w:lang w:val="en-GB"/>
        </w:rPr>
        <w:t xml:space="preserve"> from </w:t>
      </w:r>
      <w:r w:rsidR="00BC64B7" w:rsidRPr="00FE6725">
        <w:rPr>
          <w:lang w:val="en-GB"/>
        </w:rPr>
        <w:t xml:space="preserve">waste </w:t>
      </w:r>
      <w:r w:rsidR="00E33910" w:rsidRPr="00FE6725">
        <w:rPr>
          <w:lang w:val="en-GB"/>
        </w:rPr>
        <w:t xml:space="preserve">hazelnut skins. </w:t>
      </w:r>
      <w:r w:rsidR="002A30BB" w:rsidRPr="00FE6725">
        <w:rPr>
          <w:lang w:val="en-GB"/>
        </w:rPr>
        <w:t xml:space="preserve">The six tests </w:t>
      </w:r>
      <w:r w:rsidR="004161FD" w:rsidRPr="00FE6725">
        <w:rPr>
          <w:lang w:val="en-GB"/>
        </w:rPr>
        <w:t>involved</w:t>
      </w:r>
      <w:r w:rsidR="002A30BB" w:rsidRPr="00FE6725">
        <w:rPr>
          <w:lang w:val="en-GB"/>
        </w:rPr>
        <w:t xml:space="preserve"> varying the solid</w:t>
      </w:r>
      <w:r w:rsidR="001624B2" w:rsidRPr="00FE6725">
        <w:rPr>
          <w:lang w:val="en-GB"/>
        </w:rPr>
        <w:t>-</w:t>
      </w:r>
      <w:r w:rsidR="002A30BB" w:rsidRPr="00FE6725">
        <w:rPr>
          <w:lang w:val="en-GB"/>
        </w:rPr>
        <w:t xml:space="preserve">liquid ratio </w:t>
      </w:r>
      <w:r w:rsidR="004161FD" w:rsidRPr="00FE6725">
        <w:rPr>
          <w:lang w:val="en-GB"/>
        </w:rPr>
        <w:t>within</w:t>
      </w:r>
      <w:r w:rsidR="002A30BB" w:rsidRPr="00FE6725">
        <w:rPr>
          <w:lang w:val="en-GB"/>
        </w:rPr>
        <w:t xml:space="preserve"> the range of 2</w:t>
      </w:r>
      <w:r w:rsidR="001624B2" w:rsidRPr="00FE6725">
        <w:rPr>
          <w:lang w:val="en-GB"/>
        </w:rPr>
        <w:t>-</w:t>
      </w:r>
      <w:r w:rsidR="002A30BB" w:rsidRPr="00FE6725">
        <w:rPr>
          <w:lang w:val="en-GB"/>
        </w:rPr>
        <w:t>5.7 g/l</w:t>
      </w:r>
      <w:r w:rsidR="001624B2" w:rsidRPr="00FE6725">
        <w:rPr>
          <w:lang w:val="en-GB"/>
        </w:rPr>
        <w:t xml:space="preserve"> </w:t>
      </w:r>
      <w:r w:rsidR="004161FD" w:rsidRPr="00FE6725">
        <w:rPr>
          <w:lang w:val="en-GB"/>
        </w:rPr>
        <w:t>while maintaining a</w:t>
      </w:r>
      <w:r w:rsidR="001624B2" w:rsidRPr="00FE6725">
        <w:rPr>
          <w:lang w:val="en-GB"/>
        </w:rPr>
        <w:t xml:space="preserve"> constant temperature</w:t>
      </w:r>
      <w:r w:rsidR="004161FD" w:rsidRPr="00FE6725">
        <w:rPr>
          <w:lang w:val="en-GB"/>
        </w:rPr>
        <w:t xml:space="preserve"> of 70 °C</w:t>
      </w:r>
      <w:r w:rsidR="001624B2" w:rsidRPr="00FE6725">
        <w:rPr>
          <w:lang w:val="en-GB"/>
        </w:rPr>
        <w:t xml:space="preserve"> and</w:t>
      </w:r>
      <w:r w:rsidR="004161FD" w:rsidRPr="00FE6725">
        <w:rPr>
          <w:lang w:val="en-GB"/>
        </w:rPr>
        <w:t xml:space="preserve"> a</w:t>
      </w:r>
      <w:r w:rsidR="001624B2" w:rsidRPr="00FE6725">
        <w:rPr>
          <w:lang w:val="en-GB"/>
        </w:rPr>
        <w:t xml:space="preserve"> liquid flow rate </w:t>
      </w:r>
      <w:r w:rsidR="004161FD" w:rsidRPr="00FE6725">
        <w:rPr>
          <w:lang w:val="en-GB"/>
        </w:rPr>
        <w:t>of</w:t>
      </w:r>
      <w:r w:rsidR="001624B2" w:rsidRPr="00FE6725">
        <w:rPr>
          <w:lang w:val="en-GB"/>
        </w:rPr>
        <w:t xml:space="preserve"> 0.0025 l/min. The use of a closed-loop fixed-bed set</w:t>
      </w:r>
      <w:r w:rsidR="00BC64B7" w:rsidRPr="00FE6725">
        <w:rPr>
          <w:lang w:val="en-GB"/>
        </w:rPr>
        <w:t>-</w:t>
      </w:r>
      <w:r w:rsidR="001624B2" w:rsidRPr="00FE6725">
        <w:rPr>
          <w:lang w:val="en-GB"/>
        </w:rPr>
        <w:t xml:space="preserve">up allowed to perform multiple cycles in the same test, by maintaining the same solid bed while fresh solvent was replaced at the end of each cycle. </w:t>
      </w:r>
      <w:r w:rsidR="00F23259" w:rsidRPr="00FE6725">
        <w:rPr>
          <w:lang w:val="en-GB"/>
        </w:rPr>
        <w:t xml:space="preserve">The a posteriori analysis of the experimental data </w:t>
      </w:r>
      <w:r w:rsidR="004161FD" w:rsidRPr="00FE6725">
        <w:rPr>
          <w:lang w:val="en-GB"/>
        </w:rPr>
        <w:t>focused on</w:t>
      </w:r>
      <w:r w:rsidR="00F23259" w:rsidRPr="00FE6725">
        <w:rPr>
          <w:lang w:val="en-GB"/>
        </w:rPr>
        <w:t xml:space="preserve"> t</w:t>
      </w:r>
      <w:r w:rsidR="008451E8" w:rsidRPr="00FE6725">
        <w:rPr>
          <w:lang w:val="en-GB"/>
        </w:rPr>
        <w:t>wo</w:t>
      </w:r>
      <w:r w:rsidR="004161FD" w:rsidRPr="00FE6725">
        <w:rPr>
          <w:lang w:val="en-GB"/>
        </w:rPr>
        <w:t xml:space="preserve"> key</w:t>
      </w:r>
      <w:r w:rsidR="00F23259" w:rsidRPr="00FE6725">
        <w:rPr>
          <w:lang w:val="en-GB"/>
        </w:rPr>
        <w:t xml:space="preserve"> aspects, </w:t>
      </w:r>
      <w:r w:rsidR="004161FD" w:rsidRPr="00FE6725">
        <w:rPr>
          <w:lang w:val="en-GB"/>
        </w:rPr>
        <w:t>aligning</w:t>
      </w:r>
      <w:r w:rsidR="006145D1" w:rsidRPr="00FE6725">
        <w:rPr>
          <w:lang w:val="en-GB"/>
        </w:rPr>
        <w:t xml:space="preserve"> with the </w:t>
      </w:r>
      <w:r w:rsidR="004161FD" w:rsidRPr="00FE6725">
        <w:rPr>
          <w:lang w:val="en-GB"/>
        </w:rPr>
        <w:t>primary objectives</w:t>
      </w:r>
      <w:r w:rsidR="006145D1" w:rsidRPr="00FE6725">
        <w:rPr>
          <w:lang w:val="en-GB"/>
        </w:rPr>
        <w:t xml:space="preserve"> of this </w:t>
      </w:r>
      <w:r w:rsidR="004161FD" w:rsidRPr="00FE6725">
        <w:rPr>
          <w:lang w:val="en-GB"/>
        </w:rPr>
        <w:t>study</w:t>
      </w:r>
      <w:r w:rsidR="006145D1" w:rsidRPr="00FE6725">
        <w:rPr>
          <w:lang w:val="en-GB"/>
        </w:rPr>
        <w:t>:</w:t>
      </w:r>
    </w:p>
    <w:p w14:paraId="10E56D00" w14:textId="49C6E3AD" w:rsidR="006145D1" w:rsidRPr="00FE6725" w:rsidRDefault="00357FA9" w:rsidP="006145D1">
      <w:pPr>
        <w:pStyle w:val="CETListbullets"/>
        <w:numPr>
          <w:ilvl w:val="0"/>
          <w:numId w:val="13"/>
        </w:numPr>
      </w:pPr>
      <w:r w:rsidRPr="00FE6725">
        <w:t xml:space="preserve">quantification of </w:t>
      </w:r>
      <w:r w:rsidR="000D20E8" w:rsidRPr="00FE6725">
        <w:t>total extractable polyphenols from hazelnut skins</w:t>
      </w:r>
      <w:r w:rsidRPr="00FE6725">
        <w:t xml:space="preserve"> and of extraction time</w:t>
      </w:r>
      <w:r w:rsidR="006145D1" w:rsidRPr="00FE6725">
        <w:t>;</w:t>
      </w:r>
    </w:p>
    <w:p w14:paraId="6C45DDBF" w14:textId="3BB2DB3E" w:rsidR="002A30BB" w:rsidRPr="00FE6725" w:rsidRDefault="00E65D5C" w:rsidP="00600535">
      <w:pPr>
        <w:pStyle w:val="CETListbullets"/>
        <w:numPr>
          <w:ilvl w:val="0"/>
          <w:numId w:val="13"/>
        </w:numPr>
      </w:pPr>
      <w:r w:rsidRPr="00FE6725">
        <w:t>e</w:t>
      </w:r>
      <w:r w:rsidR="006145D1" w:rsidRPr="00FE6725">
        <w:t xml:space="preserve">quilibrium </w:t>
      </w:r>
      <w:r w:rsidR="006F6D03" w:rsidRPr="00FE6725">
        <w:t>isotherm determination.</w:t>
      </w:r>
      <w:r w:rsidR="006145D1" w:rsidRPr="00FE6725">
        <w:t xml:space="preserve"> </w:t>
      </w:r>
    </w:p>
    <w:p w14:paraId="483BCADE" w14:textId="0BB5774F" w:rsidR="00F23259" w:rsidRPr="00FE6725" w:rsidRDefault="004161FD" w:rsidP="00600535">
      <w:pPr>
        <w:pStyle w:val="CETBodytext"/>
        <w:rPr>
          <w:lang w:val="en-GB"/>
        </w:rPr>
      </w:pPr>
      <w:r w:rsidRPr="00FE6725">
        <w:rPr>
          <w:lang w:val="en-GB"/>
        </w:rPr>
        <w:t>Initially</w:t>
      </w:r>
      <w:r w:rsidR="006F6D03" w:rsidRPr="00FE6725">
        <w:rPr>
          <w:lang w:val="en-GB"/>
        </w:rPr>
        <w:t xml:space="preserve">, </w:t>
      </w:r>
      <w:r w:rsidR="006B6D9C" w:rsidRPr="00FE6725">
        <w:rPr>
          <w:lang w:val="en-GB"/>
        </w:rPr>
        <w:t xml:space="preserve">a </w:t>
      </w:r>
      <w:r w:rsidR="001624B2" w:rsidRPr="00FE6725">
        <w:rPr>
          <w:lang w:val="en-GB"/>
        </w:rPr>
        <w:t xml:space="preserve">mass balance </w:t>
      </w:r>
      <w:r w:rsidR="006B6D9C" w:rsidRPr="00FE6725">
        <w:rPr>
          <w:lang w:val="en-GB"/>
        </w:rPr>
        <w:t>approach was used to evaluate</w:t>
      </w:r>
      <w:r w:rsidR="001624B2" w:rsidRPr="00FE6725">
        <w:rPr>
          <w:lang w:val="en-GB"/>
        </w:rPr>
        <w:t xml:space="preserve"> the </w:t>
      </w:r>
      <w:r w:rsidR="00500131" w:rsidRPr="00FE6725">
        <w:rPr>
          <w:lang w:val="en-GB"/>
        </w:rPr>
        <w:t xml:space="preserve">average </w:t>
      </w:r>
      <w:r w:rsidR="001624B2" w:rsidRPr="00FE6725">
        <w:rPr>
          <w:lang w:val="en-GB"/>
        </w:rPr>
        <w:t xml:space="preserve">total </w:t>
      </w:r>
      <w:r w:rsidR="006B6D9C" w:rsidRPr="00FE6725">
        <w:rPr>
          <w:lang w:val="en-GB"/>
        </w:rPr>
        <w:t>extractable polyphenol content</w:t>
      </w:r>
      <w:r w:rsidR="001624B2" w:rsidRPr="00FE6725">
        <w:rPr>
          <w:lang w:val="en-GB"/>
        </w:rPr>
        <w:t xml:space="preserve"> </w:t>
      </w:r>
      <w:r w:rsidR="00F23259" w:rsidRPr="00FE6725">
        <w:rPr>
          <w:lang w:val="en-GB"/>
        </w:rPr>
        <w:t xml:space="preserve">per mass of </w:t>
      </w:r>
      <w:r w:rsidR="006B6D9C" w:rsidRPr="00FE6725">
        <w:rPr>
          <w:lang w:val="en-GB"/>
        </w:rPr>
        <w:t>solid matrix (</w:t>
      </w:r>
      <m:oMath>
        <m:sSub>
          <m:sSubPr>
            <m:ctrlPr>
              <w:rPr>
                <w:rFonts w:ascii="Cambria Math" w:hAnsi="Cambria Math"/>
                <w:i/>
                <w:lang w:val="en-GB"/>
              </w:rPr>
            </m:ctrlPr>
          </m:sSubPr>
          <m:e>
            <m:r>
              <w:rPr>
                <w:rFonts w:ascii="Cambria Math" w:hAnsi="Cambria Math"/>
              </w:rPr>
              <m:t>q</m:t>
            </m:r>
          </m:e>
          <m:sub>
            <m:r>
              <w:rPr>
                <w:rFonts w:ascii="Cambria Math" w:hAnsi="Cambria Math"/>
              </w:rPr>
              <m:t>tot,a</m:t>
            </m:r>
          </m:sub>
        </m:sSub>
      </m:oMath>
      <w:r w:rsidR="006B6D9C" w:rsidRPr="00FE6725">
        <w:rPr>
          <w:lang w:val="en-GB"/>
        </w:rPr>
        <w:t>), and t</w:t>
      </w:r>
      <w:r w:rsidR="00F23259" w:rsidRPr="00FE6725">
        <w:rPr>
          <w:lang w:val="en-GB"/>
        </w:rPr>
        <w:t>he</w:t>
      </w:r>
      <w:r w:rsidR="001624B2" w:rsidRPr="00FE6725">
        <w:rPr>
          <w:lang w:val="en-GB"/>
        </w:rPr>
        <w:t xml:space="preserve"> value </w:t>
      </w:r>
      <w:r w:rsidR="00F23259" w:rsidRPr="00FE6725">
        <w:rPr>
          <w:lang w:val="en-GB"/>
        </w:rPr>
        <w:t xml:space="preserve">of 0.114 g/g obtained is confirmed by literature. </w:t>
      </w:r>
    </w:p>
    <w:p w14:paraId="471CDED9" w14:textId="77777777" w:rsidR="00FC5275" w:rsidRPr="00FE6725" w:rsidRDefault="006F6D03" w:rsidP="00600535">
      <w:pPr>
        <w:pStyle w:val="CETBodytext"/>
        <w:rPr>
          <w:lang w:val="en-GB"/>
        </w:rPr>
      </w:pPr>
      <w:r w:rsidRPr="00FE6725">
        <w:rPr>
          <w:lang w:val="en-GB"/>
        </w:rPr>
        <w:lastRenderedPageBreak/>
        <w:t xml:space="preserve">Then, the </w:t>
      </w:r>
      <w:r w:rsidR="002D5478" w:rsidRPr="00FE6725">
        <w:rPr>
          <w:lang w:val="en-GB"/>
        </w:rPr>
        <w:t>extraction time</w:t>
      </w:r>
      <w:r w:rsidRPr="00FE6725">
        <w:rPr>
          <w:lang w:val="en-GB"/>
        </w:rPr>
        <w:t xml:space="preserve"> was </w:t>
      </w:r>
      <w:r w:rsidR="002D5478" w:rsidRPr="00FE6725">
        <w:rPr>
          <w:lang w:val="en-GB"/>
        </w:rPr>
        <w:t>determined</w:t>
      </w:r>
      <w:r w:rsidR="006B6D9C" w:rsidRPr="00FE6725">
        <w:rPr>
          <w:lang w:val="en-GB"/>
        </w:rPr>
        <w:t xml:space="preserve"> by analysing the samples taken at fixed time intervals during two of the six tests</w:t>
      </w:r>
      <w:r w:rsidRPr="00FE6725">
        <w:rPr>
          <w:lang w:val="en-GB"/>
        </w:rPr>
        <w:t xml:space="preserve">. </w:t>
      </w:r>
      <w:r w:rsidR="00FC5275" w:rsidRPr="00FE6725">
        <w:rPr>
          <w:lang w:val="en-GB"/>
        </w:rPr>
        <w:t xml:space="preserve">The results revealed a rapid extraction process, reaching a plateau within the first hour. This finding is significant for potential industrial applications, as it allows for multiple short cycles to be carried out in a single working shift, offering significant economic advantages. </w:t>
      </w:r>
    </w:p>
    <w:p w14:paraId="3D0A2678" w14:textId="51A87172" w:rsidR="00027E79" w:rsidRPr="00FE6725" w:rsidRDefault="00E035BB" w:rsidP="00600535">
      <w:pPr>
        <w:pStyle w:val="CETBodytext"/>
        <w:rPr>
          <w:lang w:val="en-GB"/>
        </w:rPr>
      </w:pPr>
      <w:r w:rsidRPr="00FE6725">
        <w:rPr>
          <w:lang w:val="en-GB"/>
        </w:rPr>
        <w:t xml:space="preserve">Finally, </w:t>
      </w:r>
      <w:r w:rsidR="004A534C" w:rsidRPr="00FE6725">
        <w:rPr>
          <w:lang w:val="en-GB"/>
        </w:rPr>
        <w:t>the equilibrium concentrations of polyphenols in the liquid and solid phases were obtained for the various tests</w:t>
      </w:r>
      <w:r w:rsidR="002800D2" w:rsidRPr="00FE6725">
        <w:rPr>
          <w:lang w:val="en-GB"/>
        </w:rPr>
        <w:t xml:space="preserve">. In particular, </w:t>
      </w:r>
      <w:r w:rsidR="009526AB" w:rsidRPr="00FE6725">
        <w:rPr>
          <w:lang w:val="en-GB"/>
        </w:rPr>
        <w:t xml:space="preserve">the concentration in water was obtained by sampling analysis, while </w:t>
      </w:r>
      <w:r w:rsidR="002800D2" w:rsidRPr="00FE6725">
        <w:rPr>
          <w:lang w:val="en-GB"/>
        </w:rPr>
        <w:t xml:space="preserve">the concentration </w:t>
      </w:r>
      <w:r w:rsidR="00FA5485" w:rsidRPr="00FE6725">
        <w:rPr>
          <w:lang w:val="en-GB"/>
        </w:rPr>
        <w:t xml:space="preserve">in the solid matrix </w:t>
      </w:r>
      <w:r w:rsidR="002800D2" w:rsidRPr="00FE6725">
        <w:rPr>
          <w:lang w:val="en-GB"/>
        </w:rPr>
        <w:t>wa</w:t>
      </w:r>
      <w:r w:rsidR="00FA5485" w:rsidRPr="00FE6725">
        <w:rPr>
          <w:lang w:val="en-GB"/>
        </w:rPr>
        <w:t>s</w:t>
      </w:r>
      <w:r w:rsidR="002800D2" w:rsidRPr="00FE6725">
        <w:rPr>
          <w:lang w:val="en-GB"/>
        </w:rPr>
        <w:t xml:space="preserve"> calculated </w:t>
      </w:r>
      <w:r w:rsidR="00FA5485" w:rsidRPr="00FE6725">
        <w:rPr>
          <w:lang w:val="en-GB"/>
        </w:rPr>
        <w:t>through</w:t>
      </w:r>
      <w:r w:rsidR="002800D2" w:rsidRPr="00FE6725">
        <w:rPr>
          <w:lang w:val="en-GB"/>
        </w:rPr>
        <w:t xml:space="preserve"> a mass balance between the amount of polyphenols leaving the hazelnut skins and that entering the aqueous solution. The </w:t>
      </w:r>
      <w:r w:rsidR="006E2BC0" w:rsidRPr="00FE6725">
        <w:rPr>
          <w:lang w:val="en-GB"/>
        </w:rPr>
        <w:t xml:space="preserve">correlation between </w:t>
      </w:r>
      <w:r w:rsidR="002800D2" w:rsidRPr="00FE6725">
        <w:rPr>
          <w:lang w:val="en-GB"/>
        </w:rPr>
        <w:t>solid and liquid</w:t>
      </w:r>
      <w:r w:rsidR="006E2BC0" w:rsidRPr="00FE6725">
        <w:rPr>
          <w:lang w:val="en-GB"/>
        </w:rPr>
        <w:t xml:space="preserve"> equilibrium</w:t>
      </w:r>
      <w:r w:rsidR="002800D2" w:rsidRPr="00FE6725">
        <w:rPr>
          <w:lang w:val="en-GB"/>
        </w:rPr>
        <w:t xml:space="preserve"> concentrations w</w:t>
      </w:r>
      <w:r w:rsidR="006E2BC0" w:rsidRPr="00FE6725">
        <w:rPr>
          <w:lang w:val="en-GB"/>
        </w:rPr>
        <w:t>as</w:t>
      </w:r>
      <w:r w:rsidR="002800D2" w:rsidRPr="00FE6725">
        <w:rPr>
          <w:lang w:val="en-GB"/>
        </w:rPr>
        <w:t xml:space="preserve"> </w:t>
      </w:r>
      <w:r w:rsidR="006E2BC0" w:rsidRPr="00FE6725">
        <w:rPr>
          <w:lang w:val="en-GB"/>
        </w:rPr>
        <w:t>described by a linear isotherm</w:t>
      </w:r>
      <w:r w:rsidR="009F48FD" w:rsidRPr="00FE6725">
        <w:rPr>
          <w:lang w:val="en-GB"/>
        </w:rPr>
        <w:t>, and a</w:t>
      </w:r>
      <w:r w:rsidR="006E2BC0" w:rsidRPr="00FE6725">
        <w:rPr>
          <w:lang w:val="en-GB"/>
        </w:rPr>
        <w:t xml:space="preserve"> linear </w:t>
      </w:r>
      <w:r w:rsidR="009F48FD" w:rsidRPr="00FE6725">
        <w:rPr>
          <w:lang w:val="en-GB"/>
        </w:rPr>
        <w:t xml:space="preserve">partition </w:t>
      </w:r>
      <w:r w:rsidR="006E2BC0" w:rsidRPr="00FE6725">
        <w:rPr>
          <w:lang w:val="en-GB"/>
        </w:rPr>
        <w:t xml:space="preserve">coefficient </w:t>
      </w:r>
      <m:oMath>
        <m:r>
          <w:rPr>
            <w:rFonts w:ascii="Cambria Math" w:hAnsi="Cambria Math"/>
            <w:lang w:val="en-GB"/>
          </w:rPr>
          <m:t>k</m:t>
        </m:r>
      </m:oMath>
      <w:r w:rsidR="006E2BC0" w:rsidRPr="00FE6725">
        <w:rPr>
          <w:lang w:val="en-GB"/>
        </w:rPr>
        <w:t xml:space="preserve"> </w:t>
      </w:r>
      <w:r w:rsidR="00C4160E" w:rsidRPr="00FE6725">
        <w:rPr>
          <w:lang w:val="en-GB"/>
        </w:rPr>
        <w:t xml:space="preserve">= 0.0368 l/g </w:t>
      </w:r>
      <w:r w:rsidR="006E2BC0" w:rsidRPr="00FE6725">
        <w:rPr>
          <w:lang w:val="en-GB"/>
        </w:rPr>
        <w:t>was</w:t>
      </w:r>
      <w:r w:rsidR="00C4160E" w:rsidRPr="00FE6725">
        <w:rPr>
          <w:lang w:val="en-GB"/>
        </w:rPr>
        <w:t xml:space="preserve"> evaluated</w:t>
      </w:r>
      <w:r w:rsidR="006E2BC0" w:rsidRPr="00FE6725">
        <w:rPr>
          <w:lang w:val="en-GB"/>
        </w:rPr>
        <w:t xml:space="preserve"> through a fitting of the </w:t>
      </w:r>
      <w:r w:rsidR="00D871A9" w:rsidRPr="00FE6725">
        <w:rPr>
          <w:lang w:val="en-GB"/>
        </w:rPr>
        <w:t xml:space="preserve">equilibrium </w:t>
      </w:r>
      <w:r w:rsidR="006E2BC0" w:rsidRPr="00FE6725">
        <w:rPr>
          <w:lang w:val="en-GB"/>
        </w:rPr>
        <w:t xml:space="preserve">data. </w:t>
      </w:r>
      <w:r w:rsidR="00027E79" w:rsidRPr="00FE6725">
        <w:rPr>
          <w:lang w:val="en-GB"/>
        </w:rPr>
        <w:t xml:space="preserve">However, further experiments at higher solid-liquid ratios are necessary to confirm the linearity of the equilibrium isotherm and the obtained value of </w:t>
      </w:r>
      <m:oMath>
        <m:r>
          <w:rPr>
            <w:rFonts w:ascii="Cambria Math" w:hAnsi="Cambria Math"/>
            <w:lang w:val="en-GB"/>
          </w:rPr>
          <m:t>k</m:t>
        </m:r>
      </m:oMath>
      <w:r w:rsidR="00027E79" w:rsidRPr="00FE6725">
        <w:rPr>
          <w:lang w:val="en-GB"/>
        </w:rPr>
        <w:t>.</w:t>
      </w:r>
    </w:p>
    <w:p w14:paraId="3C8CFC66" w14:textId="3F125315" w:rsidR="00430384" w:rsidRPr="00FE6725" w:rsidRDefault="00BF6BC7" w:rsidP="00600535">
      <w:pPr>
        <w:pStyle w:val="CETBodytext"/>
        <w:rPr>
          <w:lang w:val="en-GB"/>
        </w:rPr>
      </w:pPr>
      <w:r w:rsidRPr="00FE6725">
        <w:rPr>
          <w:lang w:val="en-GB"/>
        </w:rPr>
        <w:t xml:space="preserve">In conclusion, the significance of this study lies in its pioneering investigation of hazelnut skin polyphenol extraction from an engineering perspective. </w:t>
      </w:r>
      <w:r w:rsidR="00940B1E" w:rsidRPr="00FE6725">
        <w:rPr>
          <w:lang w:val="en-GB"/>
        </w:rPr>
        <w:t>While previous research predominantly focused on engineering descriptions of polyphenol extraction using different solid matrices, and only analytically calculated the extractable mass of polyphenols from hazelnut skins, this work aimed to replicate a laboratory-scale extraction setup, providing insights into potential future industrial applications.</w:t>
      </w:r>
      <w:r w:rsidRPr="00FE6725">
        <w:rPr>
          <w:lang w:val="en-GB"/>
        </w:rPr>
        <w:t xml:space="preserve"> </w:t>
      </w:r>
      <w:r w:rsidR="00430384" w:rsidRPr="00FE6725">
        <w:rPr>
          <w:lang w:val="en-GB"/>
        </w:rPr>
        <w:t>However</w:t>
      </w:r>
      <w:r w:rsidRPr="00FE6725">
        <w:rPr>
          <w:lang w:val="en-GB"/>
        </w:rPr>
        <w:t xml:space="preserve">, </w:t>
      </w:r>
      <w:r w:rsidR="00940B1E" w:rsidRPr="00FE6725">
        <w:rPr>
          <w:lang w:val="en-GB"/>
        </w:rPr>
        <w:t xml:space="preserve">it should be noted that </w:t>
      </w:r>
      <w:r w:rsidRPr="00FE6725">
        <w:rPr>
          <w:lang w:val="en-GB"/>
        </w:rPr>
        <w:t xml:space="preserve">this </w:t>
      </w:r>
      <w:r w:rsidR="00940B1E" w:rsidRPr="00FE6725">
        <w:rPr>
          <w:lang w:val="en-GB"/>
        </w:rPr>
        <w:t>study</w:t>
      </w:r>
      <w:r w:rsidRPr="00FE6725">
        <w:rPr>
          <w:lang w:val="en-GB"/>
        </w:rPr>
        <w:t xml:space="preserve"> represents a preliminary investigation with ample room for further improvements. </w:t>
      </w:r>
      <w:r w:rsidR="002D5478" w:rsidRPr="00FE6725">
        <w:rPr>
          <w:lang w:val="en-GB"/>
        </w:rPr>
        <w:t>In addition to expanding the range of validity for the equilibrium isotherm, another crucial step in this ongoing research will involve comparing the performance of water extraction with that of other natural solvents.</w:t>
      </w:r>
      <w:r w:rsidR="004161FD" w:rsidRPr="00FE6725">
        <w:rPr>
          <w:lang w:val="en-GB"/>
        </w:rPr>
        <w:t xml:space="preserve"> </w:t>
      </w:r>
      <w:r w:rsidRPr="00FE6725">
        <w:rPr>
          <w:lang w:val="en-GB"/>
        </w:rPr>
        <w:t xml:space="preserve">Nevertheless, the results presented in this paper confirm the considerable added value of hazelnut skins as waste material, </w:t>
      </w:r>
      <w:r w:rsidR="00940B1E" w:rsidRPr="00FE6725">
        <w:rPr>
          <w:lang w:val="en-GB"/>
        </w:rPr>
        <w:t>owing</w:t>
      </w:r>
      <w:r w:rsidRPr="00FE6725">
        <w:rPr>
          <w:lang w:val="en-GB"/>
        </w:rPr>
        <w:t xml:space="preserve"> to their abundant polyphenol content. Furthermore, water extraction emerges as a promising process for the recovery of these valuable waste materials</w:t>
      </w:r>
      <w:r w:rsidR="00430384" w:rsidRPr="00FE6725">
        <w:rPr>
          <w:lang w:val="en-GB"/>
        </w:rPr>
        <w:t xml:space="preserve">, </w:t>
      </w:r>
      <w:r w:rsidR="004161FD" w:rsidRPr="00FE6725">
        <w:rPr>
          <w:lang w:val="en-GB"/>
        </w:rPr>
        <w:t xml:space="preserve">undoubtedly </w:t>
      </w:r>
      <w:r w:rsidR="00430384" w:rsidRPr="00FE6725">
        <w:rPr>
          <w:lang w:val="en-GB"/>
        </w:rPr>
        <w:t>spark</w:t>
      </w:r>
      <w:r w:rsidR="004161FD" w:rsidRPr="00FE6725">
        <w:rPr>
          <w:lang w:val="en-GB"/>
        </w:rPr>
        <w:t>ing</w:t>
      </w:r>
      <w:r w:rsidR="00430384" w:rsidRPr="00FE6725">
        <w:rPr>
          <w:lang w:val="en-GB"/>
        </w:rPr>
        <w:t xml:space="preserve"> further comprehensive </w:t>
      </w:r>
      <w:r w:rsidR="00940B1E" w:rsidRPr="00FE6725">
        <w:rPr>
          <w:lang w:val="en-GB"/>
        </w:rPr>
        <w:t>studies</w:t>
      </w:r>
      <w:r w:rsidR="00430384" w:rsidRPr="00FE6725">
        <w:rPr>
          <w:lang w:val="en-GB"/>
        </w:rPr>
        <w:t xml:space="preserve"> in the field.</w:t>
      </w:r>
    </w:p>
    <w:p w14:paraId="65176531" w14:textId="77777777" w:rsidR="00F23259" w:rsidRPr="00FE6725" w:rsidRDefault="00F23259" w:rsidP="00600535">
      <w:pPr>
        <w:pStyle w:val="CETBodytext"/>
        <w:rPr>
          <w:lang w:val="en-GB"/>
        </w:rPr>
      </w:pPr>
    </w:p>
    <w:p w14:paraId="07A6D20F" w14:textId="0ECF229E" w:rsidR="00280FAF" w:rsidRPr="00FE6725" w:rsidRDefault="00280FAF" w:rsidP="000D20E8">
      <w:pPr>
        <w:pStyle w:val="CETHeadingxx"/>
        <w:rPr>
          <w:lang w:val="en-GB"/>
        </w:rPr>
        <w:sectPr w:rsidR="00280FAF" w:rsidRPr="00FE6725" w:rsidSect="007D0951">
          <w:type w:val="continuous"/>
          <w:pgSz w:w="11906" w:h="16838" w:code="9"/>
          <w:pgMar w:top="1701" w:right="1418" w:bottom="1701" w:left="1701" w:header="1701" w:footer="0" w:gutter="0"/>
          <w:cols w:space="708"/>
          <w:formProt w:val="0"/>
          <w:titlePg/>
          <w:docGrid w:linePitch="360"/>
        </w:sectPr>
      </w:pPr>
      <w:r w:rsidRPr="00FE6725">
        <w:t>Nomenclature</w:t>
      </w:r>
    </w:p>
    <w:p w14:paraId="57590CE2" w14:textId="5B78BE6D" w:rsidR="00280FAF" w:rsidRPr="00FE6725" w:rsidRDefault="002959B5" w:rsidP="00280FAF">
      <w:pPr>
        <w:pStyle w:val="CETBodytext"/>
        <w:jc w:val="left"/>
        <w:rPr>
          <w:rFonts w:eastAsia="SimSun"/>
        </w:rPr>
      </w:pPr>
      <m:oMath>
        <m:r>
          <w:rPr>
            <w:rFonts w:ascii="Cambria Math" w:hAnsi="Cambria Math"/>
          </w:rPr>
          <m:t>C</m:t>
        </m:r>
      </m:oMath>
      <w:r w:rsidR="00280FAF" w:rsidRPr="00FE6725">
        <w:rPr>
          <w:rFonts w:eastAsia="SimSun"/>
        </w:rPr>
        <w:t xml:space="preserve"> – </w:t>
      </w:r>
      <w:r w:rsidR="00D6564A" w:rsidRPr="00FE6725">
        <w:rPr>
          <w:rFonts w:eastAsia="SimSun"/>
        </w:rPr>
        <w:t>concentration of polyphenols in water, g/l</w:t>
      </w:r>
    </w:p>
    <w:p w14:paraId="3C8EA0FC" w14:textId="26D68C76" w:rsidR="002959B5" w:rsidRPr="00FE6725" w:rsidRDefault="00000000" w:rsidP="00280FAF">
      <w:pPr>
        <w:pStyle w:val="CETBodytext"/>
        <w:jc w:val="left"/>
        <w:rPr>
          <w:rFonts w:eastAsia="SimSun"/>
        </w:rPr>
      </w:pPr>
      <m:oMath>
        <m:sSub>
          <m:sSubPr>
            <m:ctrlPr>
              <w:rPr>
                <w:rFonts w:ascii="Cambria Math" w:hAnsi="Cambria Math"/>
                <w:i/>
              </w:rPr>
            </m:ctrlPr>
          </m:sSubPr>
          <m:e>
            <m:r>
              <w:rPr>
                <w:rFonts w:ascii="Cambria Math" w:hAnsi="Cambria Math"/>
              </w:rPr>
              <m:t>C</m:t>
            </m:r>
          </m:e>
          <m:sub>
            <m:r>
              <w:rPr>
                <w:rFonts w:ascii="Cambria Math" w:hAnsi="Cambria Math"/>
              </w:rPr>
              <m:t>e</m:t>
            </m:r>
          </m:sub>
        </m:sSub>
      </m:oMath>
      <w:r w:rsidR="002959B5" w:rsidRPr="00FE6725">
        <w:rPr>
          <w:rFonts w:eastAsia="SimSun"/>
        </w:rPr>
        <w:t xml:space="preserve"> – equilibrium concentration of polyphenols in water, g/l</w:t>
      </w:r>
    </w:p>
    <w:p w14:paraId="72D6C2FA" w14:textId="3125F608" w:rsidR="002959B5" w:rsidRPr="00FE6725" w:rsidRDefault="00000000" w:rsidP="00280FAF">
      <w:pPr>
        <w:pStyle w:val="CETBodytext"/>
        <w:jc w:val="left"/>
        <w:rPr>
          <w:rFonts w:eastAsia="SimSun"/>
        </w:rPr>
      </w:pP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2959B5" w:rsidRPr="00FE6725">
        <w:rPr>
          <w:rFonts w:eastAsia="SimSun"/>
        </w:rPr>
        <w:t xml:space="preserve"> – concentration of polyphenols in water at the end of the</w:t>
      </w:r>
      <w:r w:rsidR="002959B5" w:rsidRPr="00FE6725">
        <w:rPr>
          <w:rFonts w:ascii="Cambria Math" w:hAnsi="Cambria Math"/>
          <w:i/>
        </w:rPr>
        <w:t xml:space="preserve"> </w:t>
      </w:r>
      <m:oMath>
        <m:r>
          <w:rPr>
            <w:rFonts w:ascii="Cambria Math" w:hAnsi="Cambria Math"/>
          </w:rPr>
          <m:t>i</m:t>
        </m:r>
      </m:oMath>
      <w:r w:rsidR="002959B5" w:rsidRPr="00FE6725">
        <w:rPr>
          <w:rFonts w:eastAsia="SimSun"/>
        </w:rPr>
        <w:t>-th cycle, g/l</w:t>
      </w:r>
    </w:p>
    <w:p w14:paraId="185C6401" w14:textId="3B0585AB" w:rsidR="00153B75" w:rsidRPr="00FE6725" w:rsidRDefault="00153B75" w:rsidP="00280FAF">
      <w:pPr>
        <w:pStyle w:val="CETBodytext"/>
        <w:jc w:val="left"/>
        <w:rPr>
          <w:rFonts w:eastAsia="SimSun"/>
          <w:lang w:val="fr-FR"/>
        </w:rPr>
      </w:pPr>
      <m:oMath>
        <m:r>
          <w:rPr>
            <w:rFonts w:ascii="Cambria Math" w:eastAsia="SimSun" w:hAnsi="Cambria Math"/>
          </w:rPr>
          <m:t>k</m:t>
        </m:r>
      </m:oMath>
      <w:r w:rsidRPr="00FE6725">
        <w:rPr>
          <w:rFonts w:eastAsia="SimSun"/>
          <w:lang w:val="fr-FR"/>
        </w:rPr>
        <w:t xml:space="preserve"> – linear partition coefficient, l/g</w:t>
      </w:r>
    </w:p>
    <w:p w14:paraId="0E502614" w14:textId="34DA4D53" w:rsidR="00280FAF" w:rsidRPr="00FE6725" w:rsidRDefault="00D6564A" w:rsidP="00280FAF">
      <w:pPr>
        <w:pStyle w:val="CETBodytext"/>
        <w:jc w:val="left"/>
        <w:rPr>
          <w:rFonts w:eastAsia="SimSun"/>
        </w:rPr>
      </w:pPr>
      <m:oMath>
        <m:r>
          <w:rPr>
            <w:rFonts w:ascii="Cambria Math" w:hAnsi="Cambria Math"/>
          </w:rPr>
          <m:t>M</m:t>
        </m:r>
      </m:oMath>
      <w:r w:rsidR="00280FAF" w:rsidRPr="00FE6725">
        <w:rPr>
          <w:rFonts w:eastAsia="SimSun"/>
        </w:rPr>
        <w:t xml:space="preserve"> – </w:t>
      </w:r>
      <w:r w:rsidR="002060F2" w:rsidRPr="00FE6725">
        <w:rPr>
          <w:rFonts w:eastAsia="SimSun"/>
        </w:rPr>
        <w:t>mass of solid matrix</w:t>
      </w:r>
      <w:r w:rsidR="00280FAF" w:rsidRPr="00FE6725">
        <w:rPr>
          <w:rFonts w:eastAsia="SimSun"/>
        </w:rPr>
        <w:t xml:space="preserve">, </w:t>
      </w:r>
      <w:r w:rsidR="002060F2" w:rsidRPr="00FE6725">
        <w:rPr>
          <w:rFonts w:eastAsia="SimSun"/>
        </w:rPr>
        <w:t>g</w:t>
      </w:r>
    </w:p>
    <w:p w14:paraId="35D547F0" w14:textId="5D4D4860" w:rsidR="004E7A11" w:rsidRPr="00FE6725" w:rsidRDefault="00000000" w:rsidP="00280FAF">
      <w:pPr>
        <w:pStyle w:val="CETBodytext"/>
        <w:jc w:val="left"/>
        <w:rPr>
          <w:rFonts w:eastAsia="SimSun"/>
        </w:rPr>
      </w:pPr>
      <m:oMath>
        <m:sSub>
          <m:sSubPr>
            <m:ctrlPr>
              <w:rPr>
                <w:rFonts w:ascii="Cambria Math" w:hAnsi="Cambria Math"/>
                <w:i/>
                <w:lang w:val="en-GB"/>
              </w:rPr>
            </m:ctrlPr>
          </m:sSubPr>
          <m:e>
            <m:r>
              <w:rPr>
                <w:rFonts w:ascii="Cambria Math" w:hAnsi="Cambria Math"/>
              </w:rPr>
              <m:t>q</m:t>
            </m:r>
          </m:e>
          <m:sub>
            <m:r>
              <w:rPr>
                <w:rFonts w:ascii="Cambria Math" w:hAnsi="Cambria Math"/>
              </w:rPr>
              <m:t>e</m:t>
            </m:r>
          </m:sub>
        </m:sSub>
      </m:oMath>
      <w:r w:rsidR="004E7A11" w:rsidRPr="00FE6725">
        <w:rPr>
          <w:rFonts w:eastAsia="SimSun"/>
        </w:rPr>
        <w:t xml:space="preserve"> – equilibrium concentration polyphenols in solid mass of hazelnut skins, g/g</w:t>
      </w:r>
    </w:p>
    <w:p w14:paraId="63AB7028" w14:textId="2804EEFD" w:rsidR="00280FAF" w:rsidRPr="00FE6725" w:rsidRDefault="00000000" w:rsidP="00280FAF">
      <w:pPr>
        <w:pStyle w:val="CETBodytext"/>
        <w:jc w:val="left"/>
        <w:rPr>
          <w:rFonts w:eastAsia="SimSun"/>
        </w:rPr>
      </w:pPr>
      <m:oMath>
        <m:sSub>
          <m:sSubPr>
            <m:ctrlPr>
              <w:rPr>
                <w:rFonts w:ascii="Cambria Math" w:hAnsi="Cambria Math"/>
                <w:i/>
                <w:lang w:val="en-GB"/>
              </w:rPr>
            </m:ctrlPr>
          </m:sSubPr>
          <m:e>
            <m:r>
              <w:rPr>
                <w:rFonts w:ascii="Cambria Math" w:hAnsi="Cambria Math"/>
              </w:rPr>
              <m:t>q</m:t>
            </m:r>
          </m:e>
          <m:sub>
            <m:r>
              <w:rPr>
                <w:rFonts w:ascii="Cambria Math" w:hAnsi="Cambria Math"/>
              </w:rPr>
              <m:t>tot</m:t>
            </m:r>
          </m:sub>
        </m:sSub>
      </m:oMath>
      <w:r w:rsidR="00280FAF" w:rsidRPr="00FE6725">
        <w:rPr>
          <w:rFonts w:eastAsia="SimSun"/>
        </w:rPr>
        <w:t xml:space="preserve"> – </w:t>
      </w:r>
      <w:r w:rsidR="002060F2" w:rsidRPr="00FE6725">
        <w:rPr>
          <w:rFonts w:eastAsia="SimSun"/>
        </w:rPr>
        <w:t xml:space="preserve">total amount of extractable polyphenols </w:t>
      </w:r>
      <w:r w:rsidR="004E7A11" w:rsidRPr="00FE6725">
        <w:rPr>
          <w:rFonts w:eastAsia="SimSun"/>
        </w:rPr>
        <w:t>in solid mass of hazelnut skins</w:t>
      </w:r>
      <w:r w:rsidR="00280FAF" w:rsidRPr="00FE6725">
        <w:rPr>
          <w:rFonts w:eastAsia="SimSun"/>
        </w:rPr>
        <w:t xml:space="preserve">, </w:t>
      </w:r>
      <w:r w:rsidR="002060F2" w:rsidRPr="00FE6725">
        <w:rPr>
          <w:rFonts w:eastAsia="SimSun"/>
        </w:rPr>
        <w:t>g/g</w:t>
      </w:r>
    </w:p>
    <w:p w14:paraId="6B0B5F2B" w14:textId="5FDF8BA6" w:rsidR="00280FAF" w:rsidRPr="00FE6725" w:rsidRDefault="002060F2" w:rsidP="00280FAF">
      <w:pPr>
        <w:pStyle w:val="CETBodytext"/>
        <w:jc w:val="left"/>
        <w:rPr>
          <w:rFonts w:eastAsia="SimSun"/>
        </w:rPr>
      </w:pPr>
      <m:oMath>
        <m:r>
          <w:rPr>
            <w:rFonts w:ascii="Cambria Math" w:hAnsi="Cambria Math"/>
            <w:lang w:val="en-GB"/>
          </w:rPr>
          <m:t>V</m:t>
        </m:r>
      </m:oMath>
      <w:r w:rsidRPr="00FE6725">
        <w:rPr>
          <w:rFonts w:eastAsia="SimSun"/>
        </w:rPr>
        <w:t xml:space="preserve"> – volume of solvent, l</w:t>
      </w:r>
    </w:p>
    <w:p w14:paraId="38BFE636" w14:textId="136565B4" w:rsidR="00280FAF" w:rsidRPr="00FE6725" w:rsidRDefault="00D6564A" w:rsidP="00280FAF">
      <w:pPr>
        <w:pStyle w:val="CETBodytext"/>
        <w:jc w:val="left"/>
        <w:rPr>
          <w:rFonts w:eastAsia="SimSun"/>
        </w:rPr>
        <w:sectPr w:rsidR="00280FAF" w:rsidRPr="00FE6725" w:rsidSect="00200ECB">
          <w:type w:val="continuous"/>
          <w:pgSz w:w="11906" w:h="16838" w:code="9"/>
          <w:pgMar w:top="1701" w:right="1418" w:bottom="1701" w:left="1701" w:header="1701" w:footer="0" w:gutter="0"/>
          <w:cols w:num="2" w:space="708"/>
          <w:formProt w:val="0"/>
          <w:titlePg/>
          <w:docGrid w:linePitch="360"/>
        </w:sectPr>
      </w:pPr>
      <m:oMath>
        <m:r>
          <w:rPr>
            <w:rFonts w:ascii="Cambria Math" w:hAnsi="Cambria Math"/>
          </w:rPr>
          <m:t>α</m:t>
        </m:r>
      </m:oMath>
      <w:r w:rsidR="00280FAF" w:rsidRPr="00FE6725">
        <w:rPr>
          <w:rFonts w:eastAsia="SimSun"/>
          <w:lang w:val="el-GR"/>
        </w:rPr>
        <w:t xml:space="preserve"> </w:t>
      </w:r>
      <w:r w:rsidRPr="00FE6725">
        <w:rPr>
          <w:rFonts w:eastAsia="SimSun"/>
          <w:lang w:val="el-GR"/>
        </w:rPr>
        <w:t>–</w:t>
      </w:r>
      <w:r w:rsidR="00280FAF" w:rsidRPr="00FE6725">
        <w:rPr>
          <w:rFonts w:eastAsia="SimSun"/>
          <w:lang w:val="el-GR"/>
        </w:rPr>
        <w:t xml:space="preserve"> </w:t>
      </w:r>
      <w:r w:rsidRPr="00FE6725">
        <w:rPr>
          <w:rFonts w:eastAsia="SimSun"/>
        </w:rPr>
        <w:t>solid</w:t>
      </w:r>
      <w:r w:rsidR="001624B2" w:rsidRPr="00FE6725">
        <w:rPr>
          <w:rFonts w:eastAsia="SimSun"/>
        </w:rPr>
        <w:t>-</w:t>
      </w:r>
      <w:r w:rsidRPr="00FE6725">
        <w:rPr>
          <w:rFonts w:eastAsia="SimSun"/>
        </w:rPr>
        <w:t xml:space="preserve">liquid ratio </w:t>
      </w:r>
      <w:r w:rsidR="00280FAF" w:rsidRPr="00FE6725">
        <w:rPr>
          <w:rFonts w:eastAsia="SimSun"/>
        </w:rPr>
        <w:t xml:space="preserve">, </w:t>
      </w:r>
      <w:r w:rsidRPr="00FE6725">
        <w:rPr>
          <w:rFonts w:eastAsia="SimSun"/>
        </w:rPr>
        <w:t>g</w:t>
      </w:r>
      <w:r w:rsidR="00280FAF" w:rsidRPr="00FE6725">
        <w:rPr>
          <w:rFonts w:eastAsia="SimSun"/>
        </w:rPr>
        <w:t>/</w:t>
      </w:r>
      <w:r w:rsidR="00153B75" w:rsidRPr="00FE6725">
        <w:rPr>
          <w:rFonts w:eastAsia="SimSun"/>
        </w:rPr>
        <w:t>l</w:t>
      </w:r>
    </w:p>
    <w:p w14:paraId="4F1327F8" w14:textId="77777777" w:rsidR="00600535" w:rsidRPr="00FE6725" w:rsidRDefault="00600535" w:rsidP="00600535">
      <w:pPr>
        <w:pStyle w:val="CETReference"/>
        <w:rPr>
          <w:lang w:val="it-IT"/>
        </w:rPr>
      </w:pPr>
      <w:proofErr w:type="spellStart"/>
      <w:r w:rsidRPr="00FE6725">
        <w:rPr>
          <w:lang w:val="it-IT"/>
        </w:rPr>
        <w:t>References</w:t>
      </w:r>
      <w:proofErr w:type="spellEnd"/>
    </w:p>
    <w:p w14:paraId="7FDEF516" w14:textId="5476F5AE" w:rsidR="006773B8" w:rsidRPr="00FE6725" w:rsidRDefault="003A4BB8" w:rsidP="003F6C2C">
      <w:pPr>
        <w:widowControl w:val="0"/>
        <w:autoSpaceDE w:val="0"/>
        <w:autoSpaceDN w:val="0"/>
        <w:adjustRightInd w:val="0"/>
        <w:spacing w:line="240" w:lineRule="auto"/>
        <w:ind w:left="284" w:hanging="284"/>
        <w:rPr>
          <w:rFonts w:cs="Arial"/>
          <w:noProof/>
          <w:szCs w:val="24"/>
        </w:rPr>
      </w:pPr>
      <w:r w:rsidRPr="00FE6725">
        <w:fldChar w:fldCharType="begin" w:fldLock="1"/>
      </w:r>
      <w:r w:rsidRPr="00FE6725">
        <w:rPr>
          <w:lang w:val="it-IT"/>
        </w:rPr>
        <w:instrText xml:space="preserve">ADDIN Mendeley Bibliography CSL_BIBLIOGRAPHY </w:instrText>
      </w:r>
      <w:r w:rsidRPr="00FE6725">
        <w:fldChar w:fldCharType="separate"/>
      </w:r>
      <w:r w:rsidR="006773B8" w:rsidRPr="00FE6725">
        <w:rPr>
          <w:rFonts w:cs="Arial"/>
          <w:noProof/>
          <w:szCs w:val="24"/>
          <w:lang w:val="it-IT"/>
        </w:rPr>
        <w:t xml:space="preserve">Capparucci, C., Gironi, F., &amp; Piemonte, V. (2011). </w:t>
      </w:r>
      <w:r w:rsidR="006773B8" w:rsidRPr="00FE6725">
        <w:rPr>
          <w:rFonts w:cs="Arial"/>
          <w:noProof/>
          <w:szCs w:val="24"/>
        </w:rPr>
        <w:t xml:space="preserve">Equilibrium and extraction kinetics of tannins from chestnut tree wood in water solutions. </w:t>
      </w:r>
      <w:r w:rsidR="006773B8" w:rsidRPr="00FE6725">
        <w:rPr>
          <w:rFonts w:cs="Arial"/>
          <w:i/>
          <w:iCs/>
          <w:noProof/>
          <w:szCs w:val="24"/>
        </w:rPr>
        <w:t>Asia-Pacific Journal of Chemical Engineering</w:t>
      </w:r>
      <w:r w:rsidR="006773B8" w:rsidRPr="00FE6725">
        <w:rPr>
          <w:rFonts w:cs="Arial"/>
          <w:noProof/>
          <w:szCs w:val="24"/>
        </w:rPr>
        <w:t xml:space="preserve">, </w:t>
      </w:r>
      <w:r w:rsidR="006773B8" w:rsidRPr="00FE6725">
        <w:rPr>
          <w:rFonts w:cs="Arial"/>
          <w:i/>
          <w:iCs/>
          <w:noProof/>
          <w:szCs w:val="24"/>
        </w:rPr>
        <w:t>6</w:t>
      </w:r>
      <w:r w:rsidR="006773B8" w:rsidRPr="00FE6725">
        <w:rPr>
          <w:rFonts w:cs="Arial"/>
          <w:noProof/>
          <w:szCs w:val="24"/>
        </w:rPr>
        <w:t>, 606–612. https://doi.org/10.1002/apj</w:t>
      </w:r>
    </w:p>
    <w:p w14:paraId="276D4481" w14:textId="77777777" w:rsidR="006773B8" w:rsidRPr="00FE6725" w:rsidRDefault="006773B8" w:rsidP="003F6C2C">
      <w:pPr>
        <w:widowControl w:val="0"/>
        <w:autoSpaceDE w:val="0"/>
        <w:autoSpaceDN w:val="0"/>
        <w:adjustRightInd w:val="0"/>
        <w:spacing w:line="240" w:lineRule="auto"/>
        <w:ind w:left="284" w:hanging="284"/>
        <w:rPr>
          <w:rFonts w:cs="Arial"/>
          <w:noProof/>
          <w:szCs w:val="24"/>
        </w:rPr>
      </w:pPr>
      <w:r w:rsidRPr="00FE6725">
        <w:rPr>
          <w:rFonts w:cs="Arial"/>
          <w:noProof/>
          <w:szCs w:val="24"/>
        </w:rPr>
        <w:t xml:space="preserve">Everette, J. D., Bryant, Q. M., Green, A. M., Abbey, Y. A., Wangila, G. W., &amp; Walker, R. B. (2010). Thorough Study of Reactivity of Various Compound Classes toward the Folin - Ciocalteu Reagent. </w:t>
      </w:r>
      <w:r w:rsidRPr="00FE6725">
        <w:rPr>
          <w:rFonts w:cs="Arial"/>
          <w:i/>
          <w:iCs/>
          <w:noProof/>
          <w:szCs w:val="24"/>
        </w:rPr>
        <w:t>Journal of Agricultural and Food Chemistry</w:t>
      </w:r>
      <w:r w:rsidRPr="00FE6725">
        <w:rPr>
          <w:rFonts w:cs="Arial"/>
          <w:noProof/>
          <w:szCs w:val="24"/>
        </w:rPr>
        <w:t xml:space="preserve">, </w:t>
      </w:r>
      <w:r w:rsidRPr="00FE6725">
        <w:rPr>
          <w:rFonts w:cs="Arial"/>
          <w:i/>
          <w:iCs/>
          <w:noProof/>
          <w:szCs w:val="24"/>
        </w:rPr>
        <w:t>58</w:t>
      </w:r>
      <w:r w:rsidRPr="00FE6725">
        <w:rPr>
          <w:rFonts w:cs="Arial"/>
          <w:noProof/>
          <w:szCs w:val="24"/>
        </w:rPr>
        <w:t>, 8139–8144. https://doi.org/10.1021/jf1005935</w:t>
      </w:r>
    </w:p>
    <w:p w14:paraId="25E9D7EA" w14:textId="77777777" w:rsidR="006773B8" w:rsidRPr="00FE6725" w:rsidRDefault="006773B8" w:rsidP="003F6C2C">
      <w:pPr>
        <w:widowControl w:val="0"/>
        <w:autoSpaceDE w:val="0"/>
        <w:autoSpaceDN w:val="0"/>
        <w:adjustRightInd w:val="0"/>
        <w:spacing w:line="240" w:lineRule="auto"/>
        <w:ind w:left="284" w:hanging="284"/>
        <w:rPr>
          <w:rFonts w:cs="Arial"/>
          <w:noProof/>
          <w:szCs w:val="24"/>
        </w:rPr>
      </w:pPr>
      <w:r w:rsidRPr="00FE6725">
        <w:rPr>
          <w:rFonts w:cs="Arial"/>
          <w:noProof/>
          <w:szCs w:val="24"/>
        </w:rPr>
        <w:t xml:space="preserve">Fanali, C., Gallo, V., Della Posta, S., Dugo, L., Mazzeo, L., Cocchi, M., Piemonte, V., &amp; De Gara, L. (2021). Choline Chloride – Lactic Acid-Based NADES As an Extraction Medium in a Response Surface Methodology-Optimized Method for the Extraction of Phenolic Compounds from Hazelnut Skin. </w:t>
      </w:r>
      <w:r w:rsidRPr="00FE6725">
        <w:rPr>
          <w:rFonts w:cs="Arial"/>
          <w:i/>
          <w:iCs/>
          <w:noProof/>
          <w:szCs w:val="24"/>
        </w:rPr>
        <w:t>Molecules</w:t>
      </w:r>
      <w:r w:rsidRPr="00FE6725">
        <w:rPr>
          <w:rFonts w:cs="Arial"/>
          <w:noProof/>
          <w:szCs w:val="24"/>
        </w:rPr>
        <w:t xml:space="preserve">, </w:t>
      </w:r>
      <w:r w:rsidRPr="00FE6725">
        <w:rPr>
          <w:rFonts w:cs="Arial"/>
          <w:i/>
          <w:iCs/>
          <w:noProof/>
          <w:szCs w:val="24"/>
        </w:rPr>
        <w:t>26</w:t>
      </w:r>
      <w:r w:rsidRPr="00FE6725">
        <w:rPr>
          <w:rFonts w:cs="Arial"/>
          <w:noProof/>
          <w:szCs w:val="24"/>
        </w:rPr>
        <w:t>(2652), 1–15.</w:t>
      </w:r>
    </w:p>
    <w:p w14:paraId="170CF7B0" w14:textId="77777777" w:rsidR="006773B8" w:rsidRPr="00FE6725" w:rsidRDefault="006773B8" w:rsidP="003F6C2C">
      <w:pPr>
        <w:widowControl w:val="0"/>
        <w:autoSpaceDE w:val="0"/>
        <w:autoSpaceDN w:val="0"/>
        <w:adjustRightInd w:val="0"/>
        <w:spacing w:line="240" w:lineRule="auto"/>
        <w:ind w:left="284" w:hanging="284"/>
        <w:rPr>
          <w:rFonts w:cs="Arial"/>
          <w:noProof/>
          <w:szCs w:val="24"/>
        </w:rPr>
      </w:pPr>
      <w:r w:rsidRPr="00FE6725">
        <w:rPr>
          <w:rFonts w:cs="Arial"/>
          <w:noProof/>
          <w:szCs w:val="24"/>
        </w:rPr>
        <w:t xml:space="preserve">Hayouni, E. A., Abedrabba, M., Bouix, M., &amp; Hamdi, M. (2007). Food Chemistry The effects of solvents and extraction method on the phenolic contents and biological activities in vitro of Tunisian Quercus. </w:t>
      </w:r>
      <w:r w:rsidRPr="00FE6725">
        <w:rPr>
          <w:rFonts w:cs="Arial"/>
          <w:i/>
          <w:iCs/>
          <w:noProof/>
          <w:szCs w:val="24"/>
        </w:rPr>
        <w:t>Food Chemistry</w:t>
      </w:r>
      <w:r w:rsidRPr="00FE6725">
        <w:rPr>
          <w:rFonts w:cs="Arial"/>
          <w:noProof/>
          <w:szCs w:val="24"/>
        </w:rPr>
        <w:t xml:space="preserve">, </w:t>
      </w:r>
      <w:r w:rsidRPr="00FE6725">
        <w:rPr>
          <w:rFonts w:cs="Arial"/>
          <w:i/>
          <w:iCs/>
          <w:noProof/>
          <w:szCs w:val="24"/>
        </w:rPr>
        <w:t>105</w:t>
      </w:r>
      <w:r w:rsidRPr="00FE6725">
        <w:rPr>
          <w:rFonts w:cs="Arial"/>
          <w:noProof/>
          <w:szCs w:val="24"/>
        </w:rPr>
        <w:t>, 1126–1134. https://doi.org/10.1016/j.foodchem.2007.02.010</w:t>
      </w:r>
    </w:p>
    <w:p w14:paraId="6786DFF2" w14:textId="77777777" w:rsidR="006773B8" w:rsidRPr="00FE6725" w:rsidRDefault="006773B8" w:rsidP="003F6C2C">
      <w:pPr>
        <w:widowControl w:val="0"/>
        <w:autoSpaceDE w:val="0"/>
        <w:autoSpaceDN w:val="0"/>
        <w:adjustRightInd w:val="0"/>
        <w:spacing w:line="240" w:lineRule="auto"/>
        <w:ind w:left="284" w:hanging="284"/>
        <w:rPr>
          <w:rFonts w:cs="Arial"/>
          <w:noProof/>
          <w:szCs w:val="24"/>
        </w:rPr>
      </w:pPr>
      <w:r w:rsidRPr="00FE6725">
        <w:rPr>
          <w:rFonts w:cs="Arial"/>
          <w:noProof/>
          <w:szCs w:val="24"/>
        </w:rPr>
        <w:t xml:space="preserve">Savic, I. M., Nikolic, I. L., Savic-gajic, I. M., &amp; Kundakovic, T. D. (2018). Modeling and optimization of bioactive compounds from chickpea seeds ( Cicer arietinum L ). </w:t>
      </w:r>
      <w:r w:rsidRPr="00FE6725">
        <w:rPr>
          <w:rFonts w:cs="Arial"/>
          <w:i/>
          <w:iCs/>
          <w:noProof/>
          <w:szCs w:val="24"/>
        </w:rPr>
        <w:t>Separation Science and Technology</w:t>
      </w:r>
      <w:r w:rsidRPr="00FE6725">
        <w:rPr>
          <w:rFonts w:cs="Arial"/>
          <w:noProof/>
          <w:szCs w:val="24"/>
        </w:rPr>
        <w:t>, 1–10. https://doi.org/10.1080/01496395.2018.1520720</w:t>
      </w:r>
    </w:p>
    <w:p w14:paraId="3C4A2BEB" w14:textId="77777777" w:rsidR="006773B8" w:rsidRPr="00FE6725" w:rsidRDefault="006773B8" w:rsidP="003F6C2C">
      <w:pPr>
        <w:widowControl w:val="0"/>
        <w:autoSpaceDE w:val="0"/>
        <w:autoSpaceDN w:val="0"/>
        <w:adjustRightInd w:val="0"/>
        <w:spacing w:line="240" w:lineRule="auto"/>
        <w:ind w:left="284" w:hanging="284"/>
        <w:rPr>
          <w:rFonts w:cs="Arial"/>
          <w:noProof/>
          <w:szCs w:val="24"/>
          <w:lang w:val="it-IT"/>
        </w:rPr>
      </w:pPr>
      <w:r w:rsidRPr="00FE6725">
        <w:rPr>
          <w:rFonts w:cs="Arial"/>
          <w:noProof/>
          <w:szCs w:val="24"/>
        </w:rPr>
        <w:t xml:space="preserve">Silva, R. F. M., &amp; Pogačnik, L. (2020). Polyphenols from Food and Natural Products: Neuroprotection and Safety. </w:t>
      </w:r>
      <w:r w:rsidRPr="00FE6725">
        <w:rPr>
          <w:rFonts w:cs="Arial"/>
          <w:i/>
          <w:iCs/>
          <w:noProof/>
          <w:szCs w:val="24"/>
          <w:lang w:val="it-IT"/>
        </w:rPr>
        <w:t>Antioxidants</w:t>
      </w:r>
      <w:r w:rsidRPr="00FE6725">
        <w:rPr>
          <w:rFonts w:cs="Arial"/>
          <w:noProof/>
          <w:szCs w:val="24"/>
          <w:lang w:val="it-IT"/>
        </w:rPr>
        <w:t xml:space="preserve">, </w:t>
      </w:r>
      <w:r w:rsidRPr="00FE6725">
        <w:rPr>
          <w:rFonts w:cs="Arial"/>
          <w:i/>
          <w:iCs/>
          <w:noProof/>
          <w:szCs w:val="24"/>
          <w:lang w:val="it-IT"/>
        </w:rPr>
        <w:t>9</w:t>
      </w:r>
      <w:r w:rsidRPr="00FE6725">
        <w:rPr>
          <w:rFonts w:cs="Arial"/>
          <w:noProof/>
          <w:szCs w:val="24"/>
          <w:lang w:val="it-IT"/>
        </w:rPr>
        <w:t>(61), 1–13.</w:t>
      </w:r>
    </w:p>
    <w:p w14:paraId="0483AA85" w14:textId="77777777" w:rsidR="006773B8" w:rsidRPr="00FE6725" w:rsidRDefault="006773B8" w:rsidP="003F6C2C">
      <w:pPr>
        <w:widowControl w:val="0"/>
        <w:autoSpaceDE w:val="0"/>
        <w:autoSpaceDN w:val="0"/>
        <w:adjustRightInd w:val="0"/>
        <w:spacing w:line="240" w:lineRule="auto"/>
        <w:ind w:left="284" w:hanging="284"/>
        <w:rPr>
          <w:rFonts w:cs="Arial"/>
          <w:noProof/>
          <w:szCs w:val="24"/>
        </w:rPr>
      </w:pPr>
      <w:r w:rsidRPr="00FE6725">
        <w:rPr>
          <w:rFonts w:cs="Arial"/>
          <w:noProof/>
          <w:szCs w:val="24"/>
          <w:lang w:val="it-IT"/>
        </w:rPr>
        <w:t xml:space="preserve">Spagnuolo, L., Della Posta, S., Fanali, C., Dugo, L., &amp; De Gara, L. (2021). </w:t>
      </w:r>
      <w:r w:rsidRPr="00FE6725">
        <w:rPr>
          <w:rFonts w:cs="Arial"/>
          <w:noProof/>
          <w:szCs w:val="24"/>
        </w:rPr>
        <w:t xml:space="preserve">Antioxidant and Antiglycation Effects of Polyphenol Compounds Extracted from Hazelnut Skin on Advanced. </w:t>
      </w:r>
      <w:r w:rsidRPr="00FE6725">
        <w:rPr>
          <w:rFonts w:cs="Arial"/>
          <w:i/>
          <w:iCs/>
          <w:noProof/>
          <w:szCs w:val="24"/>
        </w:rPr>
        <w:t>Antioxidants</w:t>
      </w:r>
      <w:r w:rsidRPr="00FE6725">
        <w:rPr>
          <w:rFonts w:cs="Arial"/>
          <w:noProof/>
          <w:szCs w:val="24"/>
        </w:rPr>
        <w:t xml:space="preserve">, </w:t>
      </w:r>
      <w:r w:rsidRPr="00FE6725">
        <w:rPr>
          <w:rFonts w:cs="Arial"/>
          <w:i/>
          <w:iCs/>
          <w:noProof/>
          <w:szCs w:val="24"/>
        </w:rPr>
        <w:t>10</w:t>
      </w:r>
      <w:r w:rsidRPr="00FE6725">
        <w:rPr>
          <w:rFonts w:cs="Arial"/>
          <w:noProof/>
          <w:szCs w:val="24"/>
        </w:rPr>
        <w:t>(424), 3–14.</w:t>
      </w:r>
    </w:p>
    <w:p w14:paraId="4A31631E" w14:textId="77777777" w:rsidR="006773B8" w:rsidRPr="00FE6725" w:rsidRDefault="006773B8" w:rsidP="003F6C2C">
      <w:pPr>
        <w:widowControl w:val="0"/>
        <w:autoSpaceDE w:val="0"/>
        <w:autoSpaceDN w:val="0"/>
        <w:adjustRightInd w:val="0"/>
        <w:spacing w:line="240" w:lineRule="auto"/>
        <w:ind w:left="284" w:hanging="284"/>
        <w:rPr>
          <w:rFonts w:cs="Arial"/>
          <w:noProof/>
          <w:szCs w:val="24"/>
        </w:rPr>
      </w:pPr>
      <w:r w:rsidRPr="00FE6725">
        <w:rPr>
          <w:rFonts w:cs="Arial"/>
          <w:noProof/>
          <w:szCs w:val="24"/>
        </w:rPr>
        <w:t xml:space="preserve">Tsao, R. (2010). Chemistry and Biochemistry of Dietary Polyphenols. </w:t>
      </w:r>
      <w:r w:rsidRPr="00FE6725">
        <w:rPr>
          <w:rFonts w:cs="Arial"/>
          <w:i/>
          <w:iCs/>
          <w:noProof/>
          <w:szCs w:val="24"/>
        </w:rPr>
        <w:t>Nutrients</w:t>
      </w:r>
      <w:r w:rsidRPr="00FE6725">
        <w:rPr>
          <w:rFonts w:cs="Arial"/>
          <w:noProof/>
          <w:szCs w:val="24"/>
        </w:rPr>
        <w:t xml:space="preserve">, </w:t>
      </w:r>
      <w:r w:rsidRPr="00FE6725">
        <w:rPr>
          <w:rFonts w:cs="Arial"/>
          <w:i/>
          <w:iCs/>
          <w:noProof/>
          <w:szCs w:val="24"/>
        </w:rPr>
        <w:t>2</w:t>
      </w:r>
      <w:r w:rsidRPr="00FE6725">
        <w:rPr>
          <w:rFonts w:cs="Arial"/>
          <w:noProof/>
          <w:szCs w:val="24"/>
        </w:rPr>
        <w:t>, 1231–1246. https://doi.org/10.3390/nu2121231</w:t>
      </w:r>
    </w:p>
    <w:p w14:paraId="63B45594" w14:textId="77777777" w:rsidR="006773B8" w:rsidRPr="00FE6725" w:rsidRDefault="006773B8" w:rsidP="003F6C2C">
      <w:pPr>
        <w:widowControl w:val="0"/>
        <w:autoSpaceDE w:val="0"/>
        <w:autoSpaceDN w:val="0"/>
        <w:adjustRightInd w:val="0"/>
        <w:spacing w:line="240" w:lineRule="auto"/>
        <w:ind w:left="284" w:hanging="284"/>
        <w:rPr>
          <w:rFonts w:cs="Arial"/>
          <w:noProof/>
          <w:szCs w:val="24"/>
        </w:rPr>
      </w:pPr>
      <w:r w:rsidRPr="00FE6725">
        <w:rPr>
          <w:rFonts w:cs="Arial"/>
          <w:i/>
          <w:iCs/>
          <w:noProof/>
          <w:szCs w:val="24"/>
        </w:rPr>
        <w:t>www.fao.org</w:t>
      </w:r>
      <w:r w:rsidRPr="00FE6725">
        <w:rPr>
          <w:rFonts w:cs="Arial"/>
          <w:noProof/>
          <w:szCs w:val="24"/>
        </w:rPr>
        <w:t>. (n.d.). https://doi.org/10.1016/j.seppur.2005.03.007</w:t>
      </w:r>
    </w:p>
    <w:p w14:paraId="18440D3F" w14:textId="77777777" w:rsidR="006773B8" w:rsidRPr="00FE6725" w:rsidRDefault="006773B8" w:rsidP="003F6C2C">
      <w:pPr>
        <w:widowControl w:val="0"/>
        <w:autoSpaceDE w:val="0"/>
        <w:autoSpaceDN w:val="0"/>
        <w:adjustRightInd w:val="0"/>
        <w:spacing w:line="240" w:lineRule="auto"/>
        <w:ind w:left="284" w:hanging="284"/>
        <w:rPr>
          <w:rFonts w:cs="Arial"/>
          <w:noProof/>
          <w:szCs w:val="24"/>
        </w:rPr>
      </w:pPr>
      <w:r w:rsidRPr="00FE6725">
        <w:rPr>
          <w:rFonts w:cs="Arial"/>
          <w:noProof/>
          <w:szCs w:val="24"/>
          <w:lang w:val="fr-FR"/>
        </w:rPr>
        <w:t xml:space="preserve">Zhou, K., Laux, J. J., &amp; Liangli, Y. L. (2004). </w:t>
      </w:r>
      <w:r w:rsidRPr="00FE6725">
        <w:rPr>
          <w:rFonts w:cs="Arial"/>
          <w:noProof/>
          <w:szCs w:val="24"/>
        </w:rPr>
        <w:t xml:space="preserve">Comparison of Swiss Red Wheat Grain and Fractions for Their Antioxidant Properties. </w:t>
      </w:r>
      <w:r w:rsidRPr="00FE6725">
        <w:rPr>
          <w:rFonts w:cs="Arial"/>
          <w:i/>
          <w:iCs/>
          <w:noProof/>
          <w:szCs w:val="24"/>
        </w:rPr>
        <w:t>Journal of Agricultural and Food Chemistry</w:t>
      </w:r>
      <w:r w:rsidRPr="00FE6725">
        <w:rPr>
          <w:rFonts w:cs="Arial"/>
          <w:noProof/>
          <w:szCs w:val="24"/>
        </w:rPr>
        <w:t xml:space="preserve">, </w:t>
      </w:r>
      <w:r w:rsidRPr="00FE6725">
        <w:rPr>
          <w:rFonts w:cs="Arial"/>
          <w:i/>
          <w:iCs/>
          <w:noProof/>
          <w:szCs w:val="24"/>
        </w:rPr>
        <w:t>52</w:t>
      </w:r>
      <w:r w:rsidRPr="00FE6725">
        <w:rPr>
          <w:rFonts w:cs="Arial"/>
          <w:noProof/>
          <w:szCs w:val="24"/>
        </w:rPr>
        <w:t>, 1118–1123.</w:t>
      </w:r>
    </w:p>
    <w:p w14:paraId="19C4FC68" w14:textId="2562248B" w:rsidR="004628D2" w:rsidRDefault="006773B8" w:rsidP="003F6C2C">
      <w:pPr>
        <w:widowControl w:val="0"/>
        <w:autoSpaceDE w:val="0"/>
        <w:autoSpaceDN w:val="0"/>
        <w:adjustRightInd w:val="0"/>
        <w:spacing w:line="240" w:lineRule="auto"/>
        <w:ind w:left="284" w:hanging="284"/>
      </w:pPr>
      <w:r w:rsidRPr="00FE6725">
        <w:rPr>
          <w:rFonts w:cs="Arial"/>
          <w:noProof/>
          <w:szCs w:val="24"/>
        </w:rPr>
        <w:t xml:space="preserve">Zhou, K., &amp; Yu, L. (2004). Effects of extraction solvent on wheat bran antioxidant activity estimation. </w:t>
      </w:r>
      <w:r w:rsidRPr="00FE6725">
        <w:rPr>
          <w:rFonts w:cs="Arial"/>
          <w:i/>
          <w:iCs/>
          <w:noProof/>
          <w:szCs w:val="24"/>
        </w:rPr>
        <w:t>LWT - Food Science and Technology</w:t>
      </w:r>
      <w:r w:rsidRPr="00FE6725">
        <w:rPr>
          <w:rFonts w:cs="Arial"/>
          <w:noProof/>
          <w:szCs w:val="24"/>
        </w:rPr>
        <w:t xml:space="preserve">, </w:t>
      </w:r>
      <w:r w:rsidRPr="00FE6725">
        <w:rPr>
          <w:rFonts w:cs="Arial"/>
          <w:i/>
          <w:iCs/>
          <w:noProof/>
          <w:szCs w:val="24"/>
        </w:rPr>
        <w:t>37</w:t>
      </w:r>
      <w:r w:rsidRPr="00FE6725">
        <w:rPr>
          <w:rFonts w:cs="Arial"/>
          <w:noProof/>
          <w:szCs w:val="24"/>
        </w:rPr>
        <w:t>, 717–721. https://doi.org/10.1016/j.lwt.2004.02.008</w:t>
      </w:r>
      <w:r w:rsidR="003A4BB8" w:rsidRPr="00FE6725">
        <w:fldChar w:fldCharType="end"/>
      </w:r>
    </w:p>
    <w:sectPr w:rsidR="004628D2"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CEC0" w14:textId="77777777" w:rsidR="002A5F27" w:rsidRDefault="002A5F27" w:rsidP="004F5E36">
      <w:r>
        <w:separator/>
      </w:r>
    </w:p>
  </w:endnote>
  <w:endnote w:type="continuationSeparator" w:id="0">
    <w:p w14:paraId="125735CD" w14:textId="77777777" w:rsidR="002A5F27" w:rsidRDefault="002A5F2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D909" w14:textId="77777777" w:rsidR="002A5F27" w:rsidRDefault="002A5F27" w:rsidP="004F5E36">
      <w:r>
        <w:separator/>
      </w:r>
    </w:p>
  </w:footnote>
  <w:footnote w:type="continuationSeparator" w:id="0">
    <w:p w14:paraId="6F77F833" w14:textId="77777777" w:rsidR="002A5F27" w:rsidRDefault="002A5F2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369687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5780304">
    <w:abstractNumId w:val="10"/>
  </w:num>
  <w:num w:numId="2" w16cid:durableId="538326080">
    <w:abstractNumId w:val="8"/>
  </w:num>
  <w:num w:numId="3" w16cid:durableId="114374065">
    <w:abstractNumId w:val="3"/>
  </w:num>
  <w:num w:numId="4" w16cid:durableId="26377750">
    <w:abstractNumId w:val="2"/>
  </w:num>
  <w:num w:numId="5" w16cid:durableId="1519923440">
    <w:abstractNumId w:val="1"/>
  </w:num>
  <w:num w:numId="6" w16cid:durableId="15082122">
    <w:abstractNumId w:val="0"/>
  </w:num>
  <w:num w:numId="7" w16cid:durableId="1087187607">
    <w:abstractNumId w:val="9"/>
  </w:num>
  <w:num w:numId="8" w16cid:durableId="421679385">
    <w:abstractNumId w:val="7"/>
  </w:num>
  <w:num w:numId="9" w16cid:durableId="1674988877">
    <w:abstractNumId w:val="6"/>
  </w:num>
  <w:num w:numId="10" w16cid:durableId="260647046">
    <w:abstractNumId w:val="5"/>
  </w:num>
  <w:num w:numId="11" w16cid:durableId="837692650">
    <w:abstractNumId w:val="4"/>
  </w:num>
  <w:num w:numId="12" w16cid:durableId="1333222476">
    <w:abstractNumId w:val="17"/>
  </w:num>
  <w:num w:numId="13" w16cid:durableId="1441416844">
    <w:abstractNumId w:val="12"/>
  </w:num>
  <w:num w:numId="14" w16cid:durableId="1704475432">
    <w:abstractNumId w:val="18"/>
  </w:num>
  <w:num w:numId="15" w16cid:durableId="596521424">
    <w:abstractNumId w:val="20"/>
  </w:num>
  <w:num w:numId="16" w16cid:durableId="799809492">
    <w:abstractNumId w:val="19"/>
  </w:num>
  <w:num w:numId="17" w16cid:durableId="473523339">
    <w:abstractNumId w:val="11"/>
  </w:num>
  <w:num w:numId="18" w16cid:durableId="152642762">
    <w:abstractNumId w:val="12"/>
    <w:lvlOverride w:ilvl="0">
      <w:startOverride w:val="1"/>
    </w:lvlOverride>
  </w:num>
  <w:num w:numId="19" w16cid:durableId="1804301767">
    <w:abstractNumId w:val="16"/>
  </w:num>
  <w:num w:numId="20" w16cid:durableId="572468052">
    <w:abstractNumId w:val="15"/>
  </w:num>
  <w:num w:numId="21" w16cid:durableId="1348825902">
    <w:abstractNumId w:val="14"/>
  </w:num>
  <w:num w:numId="22" w16cid:durableId="1350447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F71"/>
    <w:rsid w:val="000027C0"/>
    <w:rsid w:val="000052FB"/>
    <w:rsid w:val="000076F2"/>
    <w:rsid w:val="000117CB"/>
    <w:rsid w:val="00021188"/>
    <w:rsid w:val="00027E79"/>
    <w:rsid w:val="000300C0"/>
    <w:rsid w:val="0003148D"/>
    <w:rsid w:val="00031EEC"/>
    <w:rsid w:val="00034734"/>
    <w:rsid w:val="00051566"/>
    <w:rsid w:val="00053229"/>
    <w:rsid w:val="000562A9"/>
    <w:rsid w:val="0006242D"/>
    <w:rsid w:val="00062A9A"/>
    <w:rsid w:val="00065058"/>
    <w:rsid w:val="0007087F"/>
    <w:rsid w:val="00075F3A"/>
    <w:rsid w:val="00086C39"/>
    <w:rsid w:val="000A03B2"/>
    <w:rsid w:val="000A090D"/>
    <w:rsid w:val="000B4FE5"/>
    <w:rsid w:val="000B57FF"/>
    <w:rsid w:val="000D0268"/>
    <w:rsid w:val="000D1167"/>
    <w:rsid w:val="000D2098"/>
    <w:rsid w:val="000D20E8"/>
    <w:rsid w:val="000D2A25"/>
    <w:rsid w:val="000D34BE"/>
    <w:rsid w:val="000D7BB3"/>
    <w:rsid w:val="000E102F"/>
    <w:rsid w:val="000E36F1"/>
    <w:rsid w:val="000E3A73"/>
    <w:rsid w:val="000E414A"/>
    <w:rsid w:val="000F093C"/>
    <w:rsid w:val="000F787B"/>
    <w:rsid w:val="00102FDE"/>
    <w:rsid w:val="001104D6"/>
    <w:rsid w:val="0011055C"/>
    <w:rsid w:val="001133D2"/>
    <w:rsid w:val="001179C7"/>
    <w:rsid w:val="00120785"/>
    <w:rsid w:val="0012091F"/>
    <w:rsid w:val="00126BC2"/>
    <w:rsid w:val="00126D4C"/>
    <w:rsid w:val="001308B6"/>
    <w:rsid w:val="0013121F"/>
    <w:rsid w:val="00131FE6"/>
    <w:rsid w:val="0013263F"/>
    <w:rsid w:val="001331DF"/>
    <w:rsid w:val="00134DE4"/>
    <w:rsid w:val="0014034D"/>
    <w:rsid w:val="00144D16"/>
    <w:rsid w:val="00150E59"/>
    <w:rsid w:val="00152DE3"/>
    <w:rsid w:val="00153B75"/>
    <w:rsid w:val="001624B2"/>
    <w:rsid w:val="00164CF9"/>
    <w:rsid w:val="001667A6"/>
    <w:rsid w:val="001725E2"/>
    <w:rsid w:val="00177456"/>
    <w:rsid w:val="00184AD6"/>
    <w:rsid w:val="00194CBF"/>
    <w:rsid w:val="001A4AF7"/>
    <w:rsid w:val="001A69BE"/>
    <w:rsid w:val="001B0349"/>
    <w:rsid w:val="001B1E93"/>
    <w:rsid w:val="001B5E21"/>
    <w:rsid w:val="001B65C1"/>
    <w:rsid w:val="001C0218"/>
    <w:rsid w:val="001C0C7B"/>
    <w:rsid w:val="001C514E"/>
    <w:rsid w:val="001C684B"/>
    <w:rsid w:val="001D0CFB"/>
    <w:rsid w:val="001D21AF"/>
    <w:rsid w:val="001D53FC"/>
    <w:rsid w:val="001D7F5A"/>
    <w:rsid w:val="001E09B0"/>
    <w:rsid w:val="001F1EF5"/>
    <w:rsid w:val="001F42A5"/>
    <w:rsid w:val="001F7B9D"/>
    <w:rsid w:val="0020094F"/>
    <w:rsid w:val="00201C93"/>
    <w:rsid w:val="002060F2"/>
    <w:rsid w:val="002224B4"/>
    <w:rsid w:val="00224A1B"/>
    <w:rsid w:val="00237690"/>
    <w:rsid w:val="0023772D"/>
    <w:rsid w:val="00240F8B"/>
    <w:rsid w:val="002447EF"/>
    <w:rsid w:val="00251550"/>
    <w:rsid w:val="0026048B"/>
    <w:rsid w:val="00263B05"/>
    <w:rsid w:val="0027221A"/>
    <w:rsid w:val="00272A98"/>
    <w:rsid w:val="00275B61"/>
    <w:rsid w:val="002800D2"/>
    <w:rsid w:val="00280FAF"/>
    <w:rsid w:val="00282656"/>
    <w:rsid w:val="00285E5C"/>
    <w:rsid w:val="00293097"/>
    <w:rsid w:val="002959B5"/>
    <w:rsid w:val="00296B83"/>
    <w:rsid w:val="002A30BB"/>
    <w:rsid w:val="002A5F27"/>
    <w:rsid w:val="002B00D2"/>
    <w:rsid w:val="002B1E50"/>
    <w:rsid w:val="002B4015"/>
    <w:rsid w:val="002B630D"/>
    <w:rsid w:val="002B78CE"/>
    <w:rsid w:val="002C2FB6"/>
    <w:rsid w:val="002C7326"/>
    <w:rsid w:val="002C7679"/>
    <w:rsid w:val="002D4298"/>
    <w:rsid w:val="002D5478"/>
    <w:rsid w:val="002D627B"/>
    <w:rsid w:val="002E5FA7"/>
    <w:rsid w:val="002E7FAB"/>
    <w:rsid w:val="002F147A"/>
    <w:rsid w:val="002F3309"/>
    <w:rsid w:val="003008CE"/>
    <w:rsid w:val="003009B7"/>
    <w:rsid w:val="00300E56"/>
    <w:rsid w:val="0030152C"/>
    <w:rsid w:val="0030469C"/>
    <w:rsid w:val="00312FF4"/>
    <w:rsid w:val="003164F8"/>
    <w:rsid w:val="00321CA6"/>
    <w:rsid w:val="00323763"/>
    <w:rsid w:val="00323C5F"/>
    <w:rsid w:val="003310C5"/>
    <w:rsid w:val="00334C09"/>
    <w:rsid w:val="00337F10"/>
    <w:rsid w:val="00357AB9"/>
    <w:rsid w:val="00357FA9"/>
    <w:rsid w:val="00366407"/>
    <w:rsid w:val="003723D4"/>
    <w:rsid w:val="00381905"/>
    <w:rsid w:val="00384CC8"/>
    <w:rsid w:val="003871FD"/>
    <w:rsid w:val="003A1E30"/>
    <w:rsid w:val="003A2829"/>
    <w:rsid w:val="003A4BB8"/>
    <w:rsid w:val="003A6FC6"/>
    <w:rsid w:val="003A7D1C"/>
    <w:rsid w:val="003B304B"/>
    <w:rsid w:val="003B3146"/>
    <w:rsid w:val="003B630B"/>
    <w:rsid w:val="003C0B0C"/>
    <w:rsid w:val="003C107A"/>
    <w:rsid w:val="003D7419"/>
    <w:rsid w:val="003E268D"/>
    <w:rsid w:val="003F015E"/>
    <w:rsid w:val="003F6C2C"/>
    <w:rsid w:val="003F7913"/>
    <w:rsid w:val="00400414"/>
    <w:rsid w:val="00407550"/>
    <w:rsid w:val="00407D75"/>
    <w:rsid w:val="00413D23"/>
    <w:rsid w:val="0041446B"/>
    <w:rsid w:val="004161FD"/>
    <w:rsid w:val="00430384"/>
    <w:rsid w:val="00431AD7"/>
    <w:rsid w:val="0044071E"/>
    <w:rsid w:val="004407DA"/>
    <w:rsid w:val="0044174C"/>
    <w:rsid w:val="0044329C"/>
    <w:rsid w:val="00447CF7"/>
    <w:rsid w:val="00451DD0"/>
    <w:rsid w:val="00453E24"/>
    <w:rsid w:val="00457456"/>
    <w:rsid w:val="004577FE"/>
    <w:rsid w:val="00457B9C"/>
    <w:rsid w:val="0046164A"/>
    <w:rsid w:val="004628D2"/>
    <w:rsid w:val="00462DCD"/>
    <w:rsid w:val="004648AD"/>
    <w:rsid w:val="00467D46"/>
    <w:rsid w:val="004703A9"/>
    <w:rsid w:val="00471C0D"/>
    <w:rsid w:val="004760DE"/>
    <w:rsid w:val="004763D7"/>
    <w:rsid w:val="0047710E"/>
    <w:rsid w:val="004A004E"/>
    <w:rsid w:val="004A16EA"/>
    <w:rsid w:val="004A24CF"/>
    <w:rsid w:val="004A534C"/>
    <w:rsid w:val="004B68BC"/>
    <w:rsid w:val="004B6B64"/>
    <w:rsid w:val="004C3D1D"/>
    <w:rsid w:val="004C3D84"/>
    <w:rsid w:val="004C78D1"/>
    <w:rsid w:val="004C7913"/>
    <w:rsid w:val="004E4DD6"/>
    <w:rsid w:val="004E7A11"/>
    <w:rsid w:val="004F5E36"/>
    <w:rsid w:val="00500131"/>
    <w:rsid w:val="00505698"/>
    <w:rsid w:val="00507B47"/>
    <w:rsid w:val="00507BEF"/>
    <w:rsid w:val="00507CC9"/>
    <w:rsid w:val="005119A5"/>
    <w:rsid w:val="00516AAC"/>
    <w:rsid w:val="005227E7"/>
    <w:rsid w:val="005278B7"/>
    <w:rsid w:val="00532016"/>
    <w:rsid w:val="005346C8"/>
    <w:rsid w:val="00534B52"/>
    <w:rsid w:val="00543E7D"/>
    <w:rsid w:val="00546B8F"/>
    <w:rsid w:val="00546CBE"/>
    <w:rsid w:val="00547A68"/>
    <w:rsid w:val="005531C9"/>
    <w:rsid w:val="00561043"/>
    <w:rsid w:val="005700B3"/>
    <w:rsid w:val="00570C43"/>
    <w:rsid w:val="005B2110"/>
    <w:rsid w:val="005B61E6"/>
    <w:rsid w:val="005C08AF"/>
    <w:rsid w:val="005C6259"/>
    <w:rsid w:val="005C6FD1"/>
    <w:rsid w:val="005C7099"/>
    <w:rsid w:val="005C77E1"/>
    <w:rsid w:val="005D668A"/>
    <w:rsid w:val="005D6A2F"/>
    <w:rsid w:val="005D7CEE"/>
    <w:rsid w:val="005E1A82"/>
    <w:rsid w:val="005E794C"/>
    <w:rsid w:val="005F0A28"/>
    <w:rsid w:val="005F0E5E"/>
    <w:rsid w:val="00600535"/>
    <w:rsid w:val="00610CD6"/>
    <w:rsid w:val="0061176F"/>
    <w:rsid w:val="006145D1"/>
    <w:rsid w:val="00616517"/>
    <w:rsid w:val="00617ADF"/>
    <w:rsid w:val="00620DEE"/>
    <w:rsid w:val="00621F92"/>
    <w:rsid w:val="0062280A"/>
    <w:rsid w:val="00625639"/>
    <w:rsid w:val="00631B33"/>
    <w:rsid w:val="006346A4"/>
    <w:rsid w:val="0064184D"/>
    <w:rsid w:val="00641CF6"/>
    <w:rsid w:val="006422CC"/>
    <w:rsid w:val="006519D5"/>
    <w:rsid w:val="00660E3E"/>
    <w:rsid w:val="00662E74"/>
    <w:rsid w:val="006675E5"/>
    <w:rsid w:val="00671239"/>
    <w:rsid w:val="006773B8"/>
    <w:rsid w:val="00680C23"/>
    <w:rsid w:val="00682026"/>
    <w:rsid w:val="006869E5"/>
    <w:rsid w:val="00693766"/>
    <w:rsid w:val="006955D2"/>
    <w:rsid w:val="006A3281"/>
    <w:rsid w:val="006B4888"/>
    <w:rsid w:val="006B6D9C"/>
    <w:rsid w:val="006C2E45"/>
    <w:rsid w:val="006C359C"/>
    <w:rsid w:val="006C4F5F"/>
    <w:rsid w:val="006C5579"/>
    <w:rsid w:val="006D0AA5"/>
    <w:rsid w:val="006D3C50"/>
    <w:rsid w:val="006D6E8B"/>
    <w:rsid w:val="006D7F2F"/>
    <w:rsid w:val="006E1D08"/>
    <w:rsid w:val="006E2BC0"/>
    <w:rsid w:val="006E737D"/>
    <w:rsid w:val="006F29CB"/>
    <w:rsid w:val="006F69E3"/>
    <w:rsid w:val="006F6D03"/>
    <w:rsid w:val="00702502"/>
    <w:rsid w:val="00713973"/>
    <w:rsid w:val="00714246"/>
    <w:rsid w:val="0071746B"/>
    <w:rsid w:val="00720A24"/>
    <w:rsid w:val="00724E6E"/>
    <w:rsid w:val="00732386"/>
    <w:rsid w:val="0073514D"/>
    <w:rsid w:val="00735788"/>
    <w:rsid w:val="00737197"/>
    <w:rsid w:val="00740764"/>
    <w:rsid w:val="00744274"/>
    <w:rsid w:val="007447F3"/>
    <w:rsid w:val="0075104D"/>
    <w:rsid w:val="0075499F"/>
    <w:rsid w:val="00756D6C"/>
    <w:rsid w:val="00761BD2"/>
    <w:rsid w:val="007661C8"/>
    <w:rsid w:val="00767B75"/>
    <w:rsid w:val="00767BAD"/>
    <w:rsid w:val="0077098D"/>
    <w:rsid w:val="007872E8"/>
    <w:rsid w:val="007931FA"/>
    <w:rsid w:val="007A4861"/>
    <w:rsid w:val="007A5F8C"/>
    <w:rsid w:val="007A6D7C"/>
    <w:rsid w:val="007A7BBA"/>
    <w:rsid w:val="007B0618"/>
    <w:rsid w:val="007B0C50"/>
    <w:rsid w:val="007B4111"/>
    <w:rsid w:val="007B48F9"/>
    <w:rsid w:val="007C1A43"/>
    <w:rsid w:val="007C5600"/>
    <w:rsid w:val="007D0951"/>
    <w:rsid w:val="007D5BA6"/>
    <w:rsid w:val="007F1FA5"/>
    <w:rsid w:val="0080013E"/>
    <w:rsid w:val="00813288"/>
    <w:rsid w:val="00816521"/>
    <w:rsid w:val="008168FC"/>
    <w:rsid w:val="00830996"/>
    <w:rsid w:val="00834343"/>
    <w:rsid w:val="008345F1"/>
    <w:rsid w:val="008451E8"/>
    <w:rsid w:val="00865B07"/>
    <w:rsid w:val="008667EA"/>
    <w:rsid w:val="008675A9"/>
    <w:rsid w:val="0087243D"/>
    <w:rsid w:val="0087637F"/>
    <w:rsid w:val="00892AD5"/>
    <w:rsid w:val="008A1512"/>
    <w:rsid w:val="008B7C03"/>
    <w:rsid w:val="008C4334"/>
    <w:rsid w:val="008D32B9"/>
    <w:rsid w:val="008D433B"/>
    <w:rsid w:val="008D4A16"/>
    <w:rsid w:val="008D5B8A"/>
    <w:rsid w:val="008D5E5E"/>
    <w:rsid w:val="008E566E"/>
    <w:rsid w:val="008F6F13"/>
    <w:rsid w:val="009011AA"/>
    <w:rsid w:val="0090161A"/>
    <w:rsid w:val="00901EB6"/>
    <w:rsid w:val="00904C62"/>
    <w:rsid w:val="00911886"/>
    <w:rsid w:val="0091349E"/>
    <w:rsid w:val="00915A1C"/>
    <w:rsid w:val="00916B22"/>
    <w:rsid w:val="009176C5"/>
    <w:rsid w:val="00922BA8"/>
    <w:rsid w:val="00922D34"/>
    <w:rsid w:val="00924DAC"/>
    <w:rsid w:val="00927058"/>
    <w:rsid w:val="00934AC1"/>
    <w:rsid w:val="00940B1E"/>
    <w:rsid w:val="00942750"/>
    <w:rsid w:val="009450CE"/>
    <w:rsid w:val="009459BB"/>
    <w:rsid w:val="009469BE"/>
    <w:rsid w:val="00947179"/>
    <w:rsid w:val="0095164B"/>
    <w:rsid w:val="00951A91"/>
    <w:rsid w:val="009526AB"/>
    <w:rsid w:val="00954090"/>
    <w:rsid w:val="009573E7"/>
    <w:rsid w:val="00957F5C"/>
    <w:rsid w:val="00960E92"/>
    <w:rsid w:val="00963E05"/>
    <w:rsid w:val="00964601"/>
    <w:rsid w:val="00964A45"/>
    <w:rsid w:val="00967843"/>
    <w:rsid w:val="00967D54"/>
    <w:rsid w:val="00970E02"/>
    <w:rsid w:val="00971028"/>
    <w:rsid w:val="009765A5"/>
    <w:rsid w:val="00985508"/>
    <w:rsid w:val="00993B84"/>
    <w:rsid w:val="00996483"/>
    <w:rsid w:val="00996F5A"/>
    <w:rsid w:val="009A6677"/>
    <w:rsid w:val="009B041A"/>
    <w:rsid w:val="009C37C3"/>
    <w:rsid w:val="009C59CA"/>
    <w:rsid w:val="009C7C86"/>
    <w:rsid w:val="009D2FF7"/>
    <w:rsid w:val="009E7884"/>
    <w:rsid w:val="009E788A"/>
    <w:rsid w:val="009F0E08"/>
    <w:rsid w:val="009F48FD"/>
    <w:rsid w:val="00A1763D"/>
    <w:rsid w:val="00A17CEC"/>
    <w:rsid w:val="00A236AD"/>
    <w:rsid w:val="00A27EF0"/>
    <w:rsid w:val="00A37EF9"/>
    <w:rsid w:val="00A402F1"/>
    <w:rsid w:val="00A42361"/>
    <w:rsid w:val="00A50B20"/>
    <w:rsid w:val="00A51390"/>
    <w:rsid w:val="00A52A7D"/>
    <w:rsid w:val="00A60D13"/>
    <w:rsid w:val="00A7223D"/>
    <w:rsid w:val="00A72745"/>
    <w:rsid w:val="00A744FC"/>
    <w:rsid w:val="00A76EFC"/>
    <w:rsid w:val="00A85FD7"/>
    <w:rsid w:val="00A87D50"/>
    <w:rsid w:val="00A91010"/>
    <w:rsid w:val="00A9200B"/>
    <w:rsid w:val="00A92C18"/>
    <w:rsid w:val="00A97F29"/>
    <w:rsid w:val="00AA205E"/>
    <w:rsid w:val="00AA702E"/>
    <w:rsid w:val="00AA7D26"/>
    <w:rsid w:val="00AB0964"/>
    <w:rsid w:val="00AB1F9F"/>
    <w:rsid w:val="00AB2F24"/>
    <w:rsid w:val="00AB3E6C"/>
    <w:rsid w:val="00AB5011"/>
    <w:rsid w:val="00AB75A3"/>
    <w:rsid w:val="00AC7368"/>
    <w:rsid w:val="00AD072F"/>
    <w:rsid w:val="00AD16B9"/>
    <w:rsid w:val="00AD4654"/>
    <w:rsid w:val="00AE377D"/>
    <w:rsid w:val="00AF0578"/>
    <w:rsid w:val="00AF0EBA"/>
    <w:rsid w:val="00B00E24"/>
    <w:rsid w:val="00B02C8A"/>
    <w:rsid w:val="00B04DE7"/>
    <w:rsid w:val="00B17FBD"/>
    <w:rsid w:val="00B24EC1"/>
    <w:rsid w:val="00B315A6"/>
    <w:rsid w:val="00B31813"/>
    <w:rsid w:val="00B32AF3"/>
    <w:rsid w:val="00B33365"/>
    <w:rsid w:val="00B40200"/>
    <w:rsid w:val="00B43573"/>
    <w:rsid w:val="00B57B36"/>
    <w:rsid w:val="00B57E15"/>
    <w:rsid w:val="00B57E6F"/>
    <w:rsid w:val="00B60796"/>
    <w:rsid w:val="00B82413"/>
    <w:rsid w:val="00B8686D"/>
    <w:rsid w:val="00B93F69"/>
    <w:rsid w:val="00BA02B5"/>
    <w:rsid w:val="00BA3A03"/>
    <w:rsid w:val="00BB1DDC"/>
    <w:rsid w:val="00BB6FA9"/>
    <w:rsid w:val="00BC26ED"/>
    <w:rsid w:val="00BC2D0C"/>
    <w:rsid w:val="00BC2E06"/>
    <w:rsid w:val="00BC30C9"/>
    <w:rsid w:val="00BC5505"/>
    <w:rsid w:val="00BC64B7"/>
    <w:rsid w:val="00BC7A3A"/>
    <w:rsid w:val="00BD077D"/>
    <w:rsid w:val="00BE0CAA"/>
    <w:rsid w:val="00BE3E58"/>
    <w:rsid w:val="00BF15E0"/>
    <w:rsid w:val="00BF49F5"/>
    <w:rsid w:val="00BF4C24"/>
    <w:rsid w:val="00BF6BC7"/>
    <w:rsid w:val="00C00A7E"/>
    <w:rsid w:val="00C01616"/>
    <w:rsid w:val="00C0162B"/>
    <w:rsid w:val="00C068ED"/>
    <w:rsid w:val="00C1354C"/>
    <w:rsid w:val="00C15374"/>
    <w:rsid w:val="00C16F0C"/>
    <w:rsid w:val="00C22E0C"/>
    <w:rsid w:val="00C345B1"/>
    <w:rsid w:val="00C369DC"/>
    <w:rsid w:val="00C40142"/>
    <w:rsid w:val="00C4160E"/>
    <w:rsid w:val="00C52C3C"/>
    <w:rsid w:val="00C544AE"/>
    <w:rsid w:val="00C57182"/>
    <w:rsid w:val="00C57863"/>
    <w:rsid w:val="00C60D38"/>
    <w:rsid w:val="00C6121B"/>
    <w:rsid w:val="00C62042"/>
    <w:rsid w:val="00C640AF"/>
    <w:rsid w:val="00C655FD"/>
    <w:rsid w:val="00C66316"/>
    <w:rsid w:val="00C75407"/>
    <w:rsid w:val="00C83F3D"/>
    <w:rsid w:val="00C870A8"/>
    <w:rsid w:val="00C94434"/>
    <w:rsid w:val="00CA0145"/>
    <w:rsid w:val="00CA0D4A"/>
    <w:rsid w:val="00CA0D75"/>
    <w:rsid w:val="00CA1C95"/>
    <w:rsid w:val="00CA2B6F"/>
    <w:rsid w:val="00CA5A9C"/>
    <w:rsid w:val="00CB77FD"/>
    <w:rsid w:val="00CC4C20"/>
    <w:rsid w:val="00CD3517"/>
    <w:rsid w:val="00CD41FF"/>
    <w:rsid w:val="00CD5FE2"/>
    <w:rsid w:val="00CE6213"/>
    <w:rsid w:val="00CE7C68"/>
    <w:rsid w:val="00CF1D6B"/>
    <w:rsid w:val="00CF3798"/>
    <w:rsid w:val="00CF70E6"/>
    <w:rsid w:val="00D02B4C"/>
    <w:rsid w:val="00D040C4"/>
    <w:rsid w:val="00D04B4E"/>
    <w:rsid w:val="00D162F7"/>
    <w:rsid w:val="00D20AD1"/>
    <w:rsid w:val="00D32053"/>
    <w:rsid w:val="00D46710"/>
    <w:rsid w:val="00D46B7E"/>
    <w:rsid w:val="00D57C84"/>
    <w:rsid w:val="00D6057D"/>
    <w:rsid w:val="00D648EC"/>
    <w:rsid w:val="00D6564A"/>
    <w:rsid w:val="00D71169"/>
    <w:rsid w:val="00D71640"/>
    <w:rsid w:val="00D71F8C"/>
    <w:rsid w:val="00D836C5"/>
    <w:rsid w:val="00D84576"/>
    <w:rsid w:val="00D871A9"/>
    <w:rsid w:val="00DA1399"/>
    <w:rsid w:val="00DA24C6"/>
    <w:rsid w:val="00DA27E9"/>
    <w:rsid w:val="00DA4D7B"/>
    <w:rsid w:val="00DA5C22"/>
    <w:rsid w:val="00DC4000"/>
    <w:rsid w:val="00DC4E03"/>
    <w:rsid w:val="00DC695F"/>
    <w:rsid w:val="00DD1FA9"/>
    <w:rsid w:val="00DD271C"/>
    <w:rsid w:val="00DE264A"/>
    <w:rsid w:val="00DE630C"/>
    <w:rsid w:val="00DF5072"/>
    <w:rsid w:val="00E02D18"/>
    <w:rsid w:val="00E035BB"/>
    <w:rsid w:val="00E041E7"/>
    <w:rsid w:val="00E22560"/>
    <w:rsid w:val="00E23CA1"/>
    <w:rsid w:val="00E332DE"/>
    <w:rsid w:val="00E33910"/>
    <w:rsid w:val="00E33DD7"/>
    <w:rsid w:val="00E409A8"/>
    <w:rsid w:val="00E40E8F"/>
    <w:rsid w:val="00E50C12"/>
    <w:rsid w:val="00E51D35"/>
    <w:rsid w:val="00E534B0"/>
    <w:rsid w:val="00E54884"/>
    <w:rsid w:val="00E65B91"/>
    <w:rsid w:val="00E65D5C"/>
    <w:rsid w:val="00E678C9"/>
    <w:rsid w:val="00E71A8B"/>
    <w:rsid w:val="00E7209D"/>
    <w:rsid w:val="00E72EAD"/>
    <w:rsid w:val="00E74B91"/>
    <w:rsid w:val="00E77223"/>
    <w:rsid w:val="00E8528B"/>
    <w:rsid w:val="00E85B94"/>
    <w:rsid w:val="00E978D0"/>
    <w:rsid w:val="00EA3068"/>
    <w:rsid w:val="00EA4613"/>
    <w:rsid w:val="00EA7F91"/>
    <w:rsid w:val="00EB0D5B"/>
    <w:rsid w:val="00EB1523"/>
    <w:rsid w:val="00EC0E49"/>
    <w:rsid w:val="00EC101F"/>
    <w:rsid w:val="00EC1D9F"/>
    <w:rsid w:val="00ED22C0"/>
    <w:rsid w:val="00EE0131"/>
    <w:rsid w:val="00EE17B0"/>
    <w:rsid w:val="00EE26B6"/>
    <w:rsid w:val="00EE4FCC"/>
    <w:rsid w:val="00EF06D9"/>
    <w:rsid w:val="00EF63D2"/>
    <w:rsid w:val="00F05A52"/>
    <w:rsid w:val="00F14632"/>
    <w:rsid w:val="00F22659"/>
    <w:rsid w:val="00F23259"/>
    <w:rsid w:val="00F273C9"/>
    <w:rsid w:val="00F3049E"/>
    <w:rsid w:val="00F30C64"/>
    <w:rsid w:val="00F32BA2"/>
    <w:rsid w:val="00F32CDB"/>
    <w:rsid w:val="00F565FE"/>
    <w:rsid w:val="00F63A70"/>
    <w:rsid w:val="00F63D8C"/>
    <w:rsid w:val="00F7534E"/>
    <w:rsid w:val="00F85BFD"/>
    <w:rsid w:val="00F93EDF"/>
    <w:rsid w:val="00FA1802"/>
    <w:rsid w:val="00FA21D0"/>
    <w:rsid w:val="00FA5485"/>
    <w:rsid w:val="00FA5F5F"/>
    <w:rsid w:val="00FB730C"/>
    <w:rsid w:val="00FB79F0"/>
    <w:rsid w:val="00FC205C"/>
    <w:rsid w:val="00FC2695"/>
    <w:rsid w:val="00FC3E03"/>
    <w:rsid w:val="00FC3FC1"/>
    <w:rsid w:val="00FC5275"/>
    <w:rsid w:val="00FC5C61"/>
    <w:rsid w:val="00FE6725"/>
    <w:rsid w:val="00FF5B45"/>
    <w:rsid w:val="00FF70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D20E8"/>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D20E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505698"/>
    <w:rPr>
      <w:color w:val="808080"/>
    </w:rPr>
  </w:style>
  <w:style w:type="paragraph" w:styleId="Revisione">
    <w:name w:val="Revision"/>
    <w:hidden/>
    <w:uiPriority w:val="99"/>
    <w:semiHidden/>
    <w:rsid w:val="00DA27E9"/>
    <w:pPr>
      <w:spacing w:after="0" w:line="240" w:lineRule="auto"/>
    </w:pPr>
    <w:rPr>
      <w:rFonts w:ascii="Arial" w:eastAsia="Times New Roman" w:hAnsi="Arial" w:cs="Times New Roman"/>
      <w:sz w:val="18"/>
      <w:szCs w:val="20"/>
      <w:lang w:val="en-GB"/>
    </w:rPr>
  </w:style>
  <w:style w:type="character" w:customStyle="1" w:styleId="rynqvb">
    <w:name w:val="rynqvb"/>
    <w:basedOn w:val="Carpredefinitoparagrafo"/>
    <w:rsid w:val="00030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99744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6AACE-1354-42CA-A8C7-E1A4E219E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4994</Words>
  <Characters>28470</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2023-06-12T09:12:00Z</dcterms:created>
  <dcterms:modified xsi:type="dcterms:W3CDTF">2023-06-20T08:09:00Z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b7df7703-9998-3f1d-bc05-f68975e22b69</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http://www.zotero.org/styles/journal-of-molecular-liquids</vt:lpwstr>
  </property>
  <property fmtid="{D5CDD505-2E9C-101B-9397-08002B2CF9AE}" pid="15" name="Mendeley Recent Style Name 5_1">
    <vt:lpwstr>Journal of Molecular Liquids</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http://www.zotero.org/styles/harvard-cite-them-right</vt:lpwstr>
  </property>
</Properties>
</file>