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E7A64" w:rsidRPr="00736C50" w14:paraId="0AAD9963" w14:textId="77777777" w:rsidTr="004921DA">
        <w:trPr>
          <w:trHeight w:val="852"/>
          <w:jc w:val="center"/>
        </w:trPr>
        <w:tc>
          <w:tcPr>
            <w:tcW w:w="6946" w:type="dxa"/>
            <w:vMerge w:val="restart"/>
            <w:tcBorders>
              <w:right w:val="single" w:sz="4" w:space="0" w:color="auto"/>
            </w:tcBorders>
          </w:tcPr>
          <w:p w14:paraId="712E9A8C" w14:textId="41946CA0" w:rsidR="009E7A64" w:rsidRPr="00736C50" w:rsidRDefault="009E7A64" w:rsidP="004921DA">
            <w:pPr>
              <w:tabs>
                <w:tab w:val="left" w:pos="-108"/>
              </w:tabs>
              <w:ind w:left="-108"/>
              <w:jc w:val="left"/>
              <w:rPr>
                <w:rFonts w:cs="Arial"/>
                <w:b/>
                <w:bCs/>
                <w:i/>
                <w:iCs/>
                <w:color w:val="000066"/>
                <w:sz w:val="12"/>
                <w:szCs w:val="12"/>
                <w:lang w:val="en-US" w:eastAsia="it-IT"/>
              </w:rPr>
            </w:pPr>
            <w:bookmarkStart w:id="0" w:name="_GoBack"/>
            <w:bookmarkEnd w:id="0"/>
            <w:r w:rsidRPr="00736C50">
              <w:rPr>
                <w:rFonts w:ascii="AdvP6960" w:hAnsi="AdvP6960" w:cs="AdvP6960"/>
                <w:noProof/>
                <w:color w:val="241F20"/>
                <w:szCs w:val="18"/>
                <w:lang w:val="it-IT" w:eastAsia="it-IT"/>
              </w:rPr>
              <w:drawing>
                <wp:inline distT="0" distB="0" distL="0" distR="0" wp14:anchorId="48528243" wp14:editId="205C27C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36C50">
              <w:rPr>
                <w:rFonts w:ascii="AdvP6960" w:hAnsi="AdvP6960" w:cs="AdvP6960"/>
                <w:color w:val="241F20"/>
                <w:szCs w:val="18"/>
                <w:lang w:val="en-US" w:eastAsia="it-IT"/>
              </w:rPr>
              <w:t xml:space="preserve"> </w:t>
            </w:r>
            <w:r w:rsidRPr="00736C50">
              <w:rPr>
                <w:rFonts w:cs="Arial"/>
                <w:b/>
                <w:bCs/>
                <w:i/>
                <w:iCs/>
                <w:color w:val="000066"/>
                <w:sz w:val="24"/>
                <w:szCs w:val="24"/>
                <w:lang w:val="en-US" w:eastAsia="it-IT"/>
              </w:rPr>
              <w:t>CHEMICAL ENGINEERING</w:t>
            </w:r>
            <w:r w:rsidRPr="00736C50">
              <w:rPr>
                <w:rFonts w:cs="Arial"/>
                <w:b/>
                <w:bCs/>
                <w:i/>
                <w:iCs/>
                <w:color w:val="0033FF"/>
                <w:sz w:val="24"/>
                <w:szCs w:val="24"/>
                <w:lang w:val="en-US" w:eastAsia="it-IT"/>
              </w:rPr>
              <w:t xml:space="preserve"> </w:t>
            </w:r>
            <w:r w:rsidRPr="00736C50">
              <w:rPr>
                <w:rFonts w:cs="Arial"/>
                <w:b/>
                <w:bCs/>
                <w:i/>
                <w:iCs/>
                <w:color w:val="666666"/>
                <w:sz w:val="24"/>
                <w:szCs w:val="24"/>
                <w:lang w:val="en-US" w:eastAsia="it-IT"/>
              </w:rPr>
              <w:t>TRANSACTIONS</w:t>
            </w:r>
            <w:r w:rsidRPr="00736C50">
              <w:rPr>
                <w:color w:val="333333"/>
                <w:sz w:val="24"/>
                <w:szCs w:val="24"/>
                <w:lang w:val="en-US" w:eastAsia="it-IT"/>
              </w:rPr>
              <w:t xml:space="preserve"> </w:t>
            </w:r>
            <w:r w:rsidRPr="00736C50">
              <w:rPr>
                <w:rFonts w:cs="Arial"/>
                <w:b/>
                <w:bCs/>
                <w:i/>
                <w:iCs/>
                <w:color w:val="000066"/>
                <w:sz w:val="27"/>
                <w:szCs w:val="27"/>
                <w:lang w:val="en-US" w:eastAsia="it-IT"/>
              </w:rPr>
              <w:br/>
            </w:r>
          </w:p>
          <w:p w14:paraId="23EBDC48" w14:textId="77777777" w:rsidR="009E7A64" w:rsidRPr="00736C50" w:rsidRDefault="009E7A64" w:rsidP="004921DA">
            <w:pPr>
              <w:tabs>
                <w:tab w:val="left" w:pos="-108"/>
              </w:tabs>
              <w:ind w:left="-108"/>
              <w:rPr>
                <w:rFonts w:cs="Arial"/>
                <w:b/>
                <w:bCs/>
                <w:i/>
                <w:iCs/>
                <w:color w:val="000066"/>
                <w:sz w:val="22"/>
                <w:szCs w:val="22"/>
                <w:lang w:val="en-US" w:eastAsia="it-IT"/>
              </w:rPr>
            </w:pPr>
            <w:r w:rsidRPr="00736C50">
              <w:rPr>
                <w:rFonts w:cs="Arial"/>
                <w:b/>
                <w:bCs/>
                <w:i/>
                <w:iCs/>
                <w:color w:val="000066"/>
                <w:sz w:val="22"/>
                <w:szCs w:val="22"/>
                <w:lang w:val="en-US" w:eastAsia="it-IT"/>
              </w:rPr>
              <w:t xml:space="preserve">VOL.  </w:t>
            </w:r>
            <w:proofErr w:type="gramStart"/>
            <w:r w:rsidRPr="00736C50">
              <w:rPr>
                <w:rFonts w:cs="Arial"/>
                <w:b/>
                <w:bCs/>
                <w:i/>
                <w:iCs/>
                <w:color w:val="000066"/>
                <w:sz w:val="22"/>
                <w:szCs w:val="22"/>
                <w:lang w:val="en-US" w:eastAsia="it-IT"/>
              </w:rPr>
              <w:t xml:space="preserve">  ,</w:t>
            </w:r>
            <w:proofErr w:type="gramEnd"/>
            <w:r w:rsidRPr="00736C50">
              <w:rPr>
                <w:rFonts w:cs="Arial"/>
                <w:b/>
                <w:bCs/>
                <w:i/>
                <w:iCs/>
                <w:color w:val="000066"/>
                <w:sz w:val="22"/>
                <w:szCs w:val="22"/>
                <w:lang w:val="en-US" w:eastAsia="it-IT"/>
              </w:rPr>
              <w:t xml:space="preserve"> 2023</w:t>
            </w:r>
          </w:p>
        </w:tc>
        <w:tc>
          <w:tcPr>
            <w:tcW w:w="1843" w:type="dxa"/>
            <w:tcBorders>
              <w:left w:val="single" w:sz="4" w:space="0" w:color="auto"/>
              <w:bottom w:val="nil"/>
              <w:right w:val="single" w:sz="4" w:space="0" w:color="auto"/>
            </w:tcBorders>
          </w:tcPr>
          <w:p w14:paraId="2A6E6D88" w14:textId="77777777" w:rsidR="009E7A64" w:rsidRPr="00736C50" w:rsidRDefault="009E7A64" w:rsidP="004921DA">
            <w:pPr>
              <w:spacing w:line="140" w:lineRule="atLeast"/>
              <w:jc w:val="right"/>
              <w:rPr>
                <w:rFonts w:cs="Arial"/>
                <w:sz w:val="14"/>
                <w:szCs w:val="14"/>
                <w:lang w:val="en-US"/>
              </w:rPr>
            </w:pPr>
            <w:r w:rsidRPr="00736C50">
              <w:rPr>
                <w:rFonts w:cs="Arial"/>
                <w:sz w:val="14"/>
                <w:szCs w:val="14"/>
                <w:lang w:val="en-US"/>
              </w:rPr>
              <w:t>A publication of</w:t>
            </w:r>
          </w:p>
          <w:p w14:paraId="696CB6CC" w14:textId="77777777" w:rsidR="009E7A64" w:rsidRPr="00736C50" w:rsidRDefault="009E7A64" w:rsidP="004921DA">
            <w:pPr>
              <w:jc w:val="right"/>
              <w:rPr>
                <w:lang w:val="en-US"/>
              </w:rPr>
            </w:pPr>
            <w:r w:rsidRPr="00736C50">
              <w:rPr>
                <w:noProof/>
                <w:lang w:val="it-IT" w:eastAsia="it-IT"/>
              </w:rPr>
              <w:drawing>
                <wp:inline distT="0" distB="0" distL="0" distR="0" wp14:anchorId="0A6E8BD5" wp14:editId="4DF726F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E7A64" w:rsidRPr="00736C50" w14:paraId="69C6F5B2" w14:textId="77777777" w:rsidTr="004921DA">
        <w:trPr>
          <w:trHeight w:val="567"/>
          <w:jc w:val="center"/>
        </w:trPr>
        <w:tc>
          <w:tcPr>
            <w:tcW w:w="6946" w:type="dxa"/>
            <w:vMerge/>
            <w:tcBorders>
              <w:right w:val="single" w:sz="4" w:space="0" w:color="auto"/>
            </w:tcBorders>
          </w:tcPr>
          <w:p w14:paraId="40E2264F" w14:textId="77777777" w:rsidR="009E7A64" w:rsidRPr="00736C50" w:rsidRDefault="009E7A64" w:rsidP="004921DA">
            <w:pPr>
              <w:tabs>
                <w:tab w:val="left" w:pos="-108"/>
              </w:tabs>
              <w:rPr>
                <w:lang w:val="en-US"/>
              </w:rPr>
            </w:pPr>
          </w:p>
        </w:tc>
        <w:tc>
          <w:tcPr>
            <w:tcW w:w="1843" w:type="dxa"/>
            <w:tcBorders>
              <w:left w:val="single" w:sz="4" w:space="0" w:color="auto"/>
              <w:bottom w:val="nil"/>
              <w:right w:val="single" w:sz="4" w:space="0" w:color="auto"/>
            </w:tcBorders>
          </w:tcPr>
          <w:p w14:paraId="3EE47925" w14:textId="77777777" w:rsidR="009E7A64" w:rsidRPr="00736C50" w:rsidRDefault="009E7A64" w:rsidP="004921DA">
            <w:pPr>
              <w:spacing w:line="140" w:lineRule="atLeast"/>
              <w:jc w:val="right"/>
              <w:rPr>
                <w:rFonts w:cs="Arial"/>
                <w:sz w:val="14"/>
                <w:szCs w:val="14"/>
                <w:lang w:val="en-US"/>
              </w:rPr>
            </w:pPr>
            <w:r w:rsidRPr="00736C50">
              <w:rPr>
                <w:rFonts w:cs="Arial"/>
                <w:sz w:val="14"/>
                <w:szCs w:val="14"/>
                <w:lang w:val="en-US"/>
              </w:rPr>
              <w:t>The Italian Association</w:t>
            </w:r>
          </w:p>
          <w:p w14:paraId="5E084F1D" w14:textId="77777777" w:rsidR="009E7A64" w:rsidRPr="00736C50" w:rsidRDefault="009E7A64" w:rsidP="004921DA">
            <w:pPr>
              <w:spacing w:line="140" w:lineRule="atLeast"/>
              <w:jc w:val="right"/>
              <w:rPr>
                <w:rFonts w:cs="Arial"/>
                <w:sz w:val="14"/>
                <w:szCs w:val="14"/>
                <w:lang w:val="en-US"/>
              </w:rPr>
            </w:pPr>
            <w:r w:rsidRPr="00736C50">
              <w:rPr>
                <w:rFonts w:cs="Arial"/>
                <w:sz w:val="14"/>
                <w:szCs w:val="14"/>
                <w:lang w:val="en-US"/>
              </w:rPr>
              <w:t>of Chemical Engineering</w:t>
            </w:r>
          </w:p>
          <w:p w14:paraId="7FD00118" w14:textId="77777777" w:rsidR="009E7A64" w:rsidRPr="00736C50" w:rsidRDefault="009E7A64" w:rsidP="004921DA">
            <w:pPr>
              <w:spacing w:line="140" w:lineRule="atLeast"/>
              <w:jc w:val="right"/>
              <w:rPr>
                <w:rFonts w:cs="Arial"/>
                <w:sz w:val="13"/>
                <w:szCs w:val="13"/>
                <w:lang w:val="en-US"/>
              </w:rPr>
            </w:pPr>
            <w:r w:rsidRPr="00736C50">
              <w:rPr>
                <w:rFonts w:cs="Arial"/>
                <w:sz w:val="13"/>
                <w:szCs w:val="13"/>
                <w:lang w:val="en-US"/>
              </w:rPr>
              <w:t>Online at www.cetjournal.it</w:t>
            </w:r>
          </w:p>
        </w:tc>
      </w:tr>
      <w:tr w:rsidR="009E7A64" w:rsidRPr="00736C50" w14:paraId="0ECF789B" w14:textId="77777777" w:rsidTr="004921DA">
        <w:trPr>
          <w:trHeight w:val="68"/>
          <w:jc w:val="center"/>
        </w:trPr>
        <w:tc>
          <w:tcPr>
            <w:tcW w:w="8789" w:type="dxa"/>
            <w:gridSpan w:val="2"/>
          </w:tcPr>
          <w:p w14:paraId="10CC90CC" w14:textId="77777777" w:rsidR="009E7A64" w:rsidRPr="00D73D76" w:rsidRDefault="009E7A64" w:rsidP="004921DA">
            <w:pPr>
              <w:ind w:left="-107"/>
              <w:outlineLvl w:val="2"/>
              <w:rPr>
                <w:rFonts w:ascii="Tahoma" w:hAnsi="Tahoma" w:cs="Tahoma"/>
                <w:bCs/>
                <w:color w:val="000000"/>
                <w:sz w:val="14"/>
                <w:szCs w:val="14"/>
                <w:lang w:val="it-IT" w:eastAsia="it-IT"/>
              </w:rPr>
            </w:pPr>
            <w:r w:rsidRPr="00D73D76">
              <w:rPr>
                <w:rFonts w:ascii="Tahoma" w:hAnsi="Tahoma" w:cs="Tahoma"/>
                <w:iCs/>
                <w:color w:val="333333"/>
                <w:sz w:val="14"/>
                <w:szCs w:val="14"/>
                <w:lang w:val="it-IT" w:eastAsia="it-IT"/>
              </w:rPr>
              <w:t xml:space="preserve">Guest </w:t>
            </w:r>
            <w:proofErr w:type="spellStart"/>
            <w:r w:rsidRPr="00D73D76">
              <w:rPr>
                <w:rFonts w:ascii="Tahoma" w:hAnsi="Tahoma" w:cs="Tahoma"/>
                <w:iCs/>
                <w:color w:val="333333"/>
                <w:sz w:val="14"/>
                <w:szCs w:val="14"/>
                <w:lang w:val="it-IT" w:eastAsia="it-IT"/>
              </w:rPr>
              <w:t>Editors</w:t>
            </w:r>
            <w:proofErr w:type="spellEnd"/>
            <w:r w:rsidRPr="00D73D76">
              <w:rPr>
                <w:rFonts w:ascii="Tahoma" w:hAnsi="Tahoma" w:cs="Tahoma"/>
                <w:iCs/>
                <w:color w:val="333333"/>
                <w:sz w:val="14"/>
                <w:szCs w:val="14"/>
                <w:lang w:val="it-IT" w:eastAsia="it-IT"/>
              </w:rPr>
              <w:t>:</w:t>
            </w:r>
            <w:r w:rsidRPr="00D73D76">
              <w:rPr>
                <w:rFonts w:ascii="Tahoma" w:hAnsi="Tahoma" w:cs="Tahoma"/>
                <w:color w:val="000000"/>
                <w:sz w:val="14"/>
                <w:szCs w:val="14"/>
                <w:shd w:val="clear" w:color="auto" w:fill="FFFFFF"/>
                <w:lang w:val="it-IT"/>
              </w:rPr>
              <w:t xml:space="preserve"> Laura Piazza, Mauro Moresi, Francesco </w:t>
            </w:r>
            <w:proofErr w:type="spellStart"/>
            <w:r w:rsidRPr="00D73D76">
              <w:rPr>
                <w:rFonts w:ascii="Tahoma" w:hAnsi="Tahoma" w:cs="Tahoma"/>
                <w:color w:val="000000"/>
                <w:sz w:val="14"/>
                <w:szCs w:val="14"/>
                <w:shd w:val="clear" w:color="auto" w:fill="FFFFFF"/>
                <w:lang w:val="it-IT"/>
              </w:rPr>
              <w:t>Donsì</w:t>
            </w:r>
            <w:proofErr w:type="spellEnd"/>
          </w:p>
          <w:p w14:paraId="12DBA180" w14:textId="77777777" w:rsidR="009E7A64" w:rsidRPr="00736C50" w:rsidRDefault="009E7A64" w:rsidP="004921DA">
            <w:pPr>
              <w:tabs>
                <w:tab w:val="left" w:pos="-108"/>
              </w:tabs>
              <w:spacing w:line="140" w:lineRule="atLeast"/>
              <w:ind w:left="-107"/>
              <w:jc w:val="left"/>
              <w:rPr>
                <w:lang w:val="en-US"/>
              </w:rPr>
            </w:pPr>
            <w:r w:rsidRPr="00736C50">
              <w:rPr>
                <w:rFonts w:ascii="Tahoma" w:hAnsi="Tahoma" w:cs="Tahoma"/>
                <w:iCs/>
                <w:color w:val="333333"/>
                <w:sz w:val="14"/>
                <w:szCs w:val="14"/>
                <w:lang w:val="en-US" w:eastAsia="it-IT"/>
              </w:rPr>
              <w:t xml:space="preserve">Copyright © 2023, AIDIC </w:t>
            </w:r>
            <w:proofErr w:type="spellStart"/>
            <w:r w:rsidRPr="00736C50">
              <w:rPr>
                <w:rFonts w:ascii="Tahoma" w:hAnsi="Tahoma" w:cs="Tahoma"/>
                <w:iCs/>
                <w:color w:val="333333"/>
                <w:sz w:val="14"/>
                <w:szCs w:val="14"/>
                <w:lang w:val="en-US" w:eastAsia="it-IT"/>
              </w:rPr>
              <w:t>Servizi</w:t>
            </w:r>
            <w:proofErr w:type="spellEnd"/>
            <w:r w:rsidRPr="00736C50">
              <w:rPr>
                <w:rFonts w:ascii="Tahoma" w:hAnsi="Tahoma" w:cs="Tahoma"/>
                <w:iCs/>
                <w:color w:val="333333"/>
                <w:sz w:val="14"/>
                <w:szCs w:val="14"/>
                <w:lang w:val="en-US" w:eastAsia="it-IT"/>
              </w:rPr>
              <w:t xml:space="preserve"> </w:t>
            </w:r>
            <w:proofErr w:type="spellStart"/>
            <w:r w:rsidRPr="00736C50">
              <w:rPr>
                <w:rFonts w:ascii="Tahoma" w:hAnsi="Tahoma" w:cs="Tahoma"/>
                <w:iCs/>
                <w:color w:val="333333"/>
                <w:sz w:val="14"/>
                <w:szCs w:val="14"/>
                <w:lang w:val="en-US" w:eastAsia="it-IT"/>
              </w:rPr>
              <w:t>S.r.l</w:t>
            </w:r>
            <w:proofErr w:type="spellEnd"/>
            <w:r w:rsidRPr="00736C50">
              <w:rPr>
                <w:rFonts w:ascii="Tahoma" w:hAnsi="Tahoma" w:cs="Tahoma"/>
                <w:iCs/>
                <w:color w:val="333333"/>
                <w:sz w:val="14"/>
                <w:szCs w:val="14"/>
                <w:lang w:val="en-US" w:eastAsia="it-IT"/>
              </w:rPr>
              <w:t>.</w:t>
            </w:r>
            <w:r w:rsidRPr="00736C50">
              <w:rPr>
                <w:rFonts w:ascii="Tahoma" w:hAnsi="Tahoma" w:cs="Tahoma"/>
                <w:iCs/>
                <w:color w:val="333333"/>
                <w:sz w:val="14"/>
                <w:szCs w:val="14"/>
                <w:lang w:val="en-US" w:eastAsia="it-IT"/>
              </w:rPr>
              <w:br/>
            </w:r>
            <w:r w:rsidRPr="00736C50">
              <w:rPr>
                <w:rFonts w:ascii="Tahoma" w:hAnsi="Tahoma" w:cs="Tahoma"/>
                <w:b/>
                <w:iCs/>
                <w:color w:val="000000"/>
                <w:sz w:val="14"/>
                <w:szCs w:val="14"/>
                <w:lang w:val="en-US" w:eastAsia="it-IT"/>
              </w:rPr>
              <w:t>ISBN</w:t>
            </w:r>
            <w:r w:rsidRPr="00736C50">
              <w:rPr>
                <w:rFonts w:ascii="Tahoma" w:hAnsi="Tahoma" w:cs="Tahoma"/>
                <w:iCs/>
                <w:color w:val="000000"/>
                <w:sz w:val="14"/>
                <w:szCs w:val="14"/>
                <w:lang w:val="en-US" w:eastAsia="it-IT"/>
              </w:rPr>
              <w:t xml:space="preserve"> </w:t>
            </w:r>
            <w:r w:rsidRPr="00736C50">
              <w:rPr>
                <w:rFonts w:ascii="Tahoma" w:hAnsi="Tahoma" w:cs="Tahoma"/>
                <w:sz w:val="14"/>
                <w:szCs w:val="14"/>
                <w:lang w:val="en-US"/>
              </w:rPr>
              <w:t>978-88-81206-01-4</w:t>
            </w:r>
            <w:r w:rsidRPr="00736C50">
              <w:rPr>
                <w:rFonts w:ascii="Tahoma" w:hAnsi="Tahoma" w:cs="Tahoma"/>
                <w:iCs/>
                <w:color w:val="333333"/>
                <w:sz w:val="14"/>
                <w:szCs w:val="14"/>
                <w:lang w:val="en-US" w:eastAsia="it-IT"/>
              </w:rPr>
              <w:t xml:space="preserve">; </w:t>
            </w:r>
            <w:r w:rsidRPr="00736C50">
              <w:rPr>
                <w:rFonts w:ascii="Tahoma" w:hAnsi="Tahoma" w:cs="Tahoma"/>
                <w:b/>
                <w:iCs/>
                <w:color w:val="333333"/>
                <w:sz w:val="14"/>
                <w:szCs w:val="14"/>
                <w:lang w:val="en-US" w:eastAsia="it-IT"/>
              </w:rPr>
              <w:t>ISSN</w:t>
            </w:r>
            <w:r w:rsidRPr="00736C50">
              <w:rPr>
                <w:rFonts w:ascii="Tahoma" w:hAnsi="Tahoma" w:cs="Tahoma"/>
                <w:iCs/>
                <w:color w:val="333333"/>
                <w:sz w:val="14"/>
                <w:szCs w:val="14"/>
                <w:lang w:val="en-US" w:eastAsia="it-IT"/>
              </w:rPr>
              <w:t xml:space="preserve"> 2283-9216</w:t>
            </w:r>
          </w:p>
        </w:tc>
      </w:tr>
    </w:tbl>
    <w:p w14:paraId="52BCDC6E" w14:textId="388911D2" w:rsidR="00AB569D" w:rsidRPr="00736C50" w:rsidRDefault="00AB569D" w:rsidP="00F21177">
      <w:pPr>
        <w:pStyle w:val="CETTitle"/>
        <w:jc w:val="both"/>
        <w:rPr>
          <w:lang w:val="en-US"/>
        </w:rPr>
      </w:pPr>
      <w:r w:rsidRPr="00736C50">
        <w:rPr>
          <w:lang w:val="en-US"/>
        </w:rPr>
        <w:t>Supercritical CO</w:t>
      </w:r>
      <w:r w:rsidRPr="00736C50">
        <w:rPr>
          <w:vertAlign w:val="subscript"/>
          <w:lang w:val="en-US"/>
        </w:rPr>
        <w:t>2</w:t>
      </w:r>
      <w:r w:rsidRPr="00736C50">
        <w:rPr>
          <w:lang w:val="en-US"/>
        </w:rPr>
        <w:t xml:space="preserve"> pasteurization of solid products: a case study</w:t>
      </w:r>
      <w:r w:rsidR="00315C27">
        <w:rPr>
          <w:lang w:val="en-US"/>
        </w:rPr>
        <w:t xml:space="preserve"> on fresh-cut potatoes</w:t>
      </w:r>
    </w:p>
    <w:p w14:paraId="646E89DC" w14:textId="20CBDB56" w:rsidR="00AB569D" w:rsidRPr="00D73D76" w:rsidRDefault="00AB569D" w:rsidP="00AB569D">
      <w:pPr>
        <w:pStyle w:val="CETAuthors"/>
        <w:rPr>
          <w:noProof w:val="0"/>
          <w:lang w:val="it-IT"/>
        </w:rPr>
      </w:pPr>
      <w:r w:rsidRPr="00D73D76">
        <w:rPr>
          <w:noProof w:val="0"/>
          <w:lang w:val="it-IT"/>
        </w:rPr>
        <w:t xml:space="preserve">Riccardo </w:t>
      </w:r>
      <w:proofErr w:type="spellStart"/>
      <w:r w:rsidRPr="00D73D76">
        <w:rPr>
          <w:noProof w:val="0"/>
          <w:lang w:val="it-IT"/>
        </w:rPr>
        <w:t>Zulli</w:t>
      </w:r>
      <w:r w:rsidR="00F72B42" w:rsidRPr="00F72B42">
        <w:rPr>
          <w:noProof w:val="0"/>
          <w:vertAlign w:val="superscript"/>
          <w:lang w:val="it-IT"/>
        </w:rPr>
        <w:t>a</w:t>
      </w:r>
      <w:proofErr w:type="spellEnd"/>
      <w:r w:rsidR="00CE449A" w:rsidRPr="00D73D76">
        <w:rPr>
          <w:noProof w:val="0"/>
          <w:lang w:val="it-IT"/>
        </w:rPr>
        <w:t>*</w:t>
      </w:r>
      <w:r w:rsidR="00031C53" w:rsidRPr="00D73D76">
        <w:rPr>
          <w:noProof w:val="0"/>
          <w:lang w:val="it-IT"/>
        </w:rPr>
        <w:t>,</w:t>
      </w:r>
      <w:r w:rsidRPr="00D73D76">
        <w:rPr>
          <w:noProof w:val="0"/>
          <w:lang w:val="it-IT"/>
        </w:rPr>
        <w:t xml:space="preserve"> </w:t>
      </w:r>
      <w:r w:rsidR="00CE449A" w:rsidRPr="00D73D76">
        <w:rPr>
          <w:noProof w:val="0"/>
          <w:lang w:val="it-IT"/>
        </w:rPr>
        <w:t xml:space="preserve">Fabio </w:t>
      </w:r>
      <w:proofErr w:type="spellStart"/>
      <w:r w:rsidR="00CE449A" w:rsidRPr="00D73D76">
        <w:rPr>
          <w:noProof w:val="0"/>
          <w:lang w:val="it-IT"/>
        </w:rPr>
        <w:t>Santi</w:t>
      </w:r>
      <w:r w:rsidR="00F72B42" w:rsidRPr="00F72B42">
        <w:rPr>
          <w:noProof w:val="0"/>
          <w:vertAlign w:val="superscript"/>
          <w:lang w:val="it-IT"/>
        </w:rPr>
        <w:t>a</w:t>
      </w:r>
      <w:proofErr w:type="spellEnd"/>
      <w:r w:rsidR="00CE449A" w:rsidRPr="00D73D76">
        <w:rPr>
          <w:noProof w:val="0"/>
          <w:lang w:val="it-IT"/>
        </w:rPr>
        <w:t xml:space="preserve">, </w:t>
      </w:r>
      <w:r w:rsidRPr="00D73D76">
        <w:rPr>
          <w:noProof w:val="0"/>
          <w:lang w:val="it-IT"/>
        </w:rPr>
        <w:t xml:space="preserve">Pietro </w:t>
      </w:r>
      <w:proofErr w:type="spellStart"/>
      <w:r w:rsidRPr="00D73D76">
        <w:rPr>
          <w:noProof w:val="0"/>
          <w:lang w:val="it-IT"/>
        </w:rPr>
        <w:t>Andrigo</w:t>
      </w:r>
      <w:r w:rsidR="00F72B42" w:rsidRPr="00F72B42">
        <w:rPr>
          <w:noProof w:val="0"/>
          <w:vertAlign w:val="superscript"/>
          <w:lang w:val="it-IT"/>
        </w:rPr>
        <w:t>a</w:t>
      </w:r>
      <w:proofErr w:type="spellEnd"/>
      <w:r w:rsidRPr="00D73D76">
        <w:rPr>
          <w:noProof w:val="0"/>
          <w:lang w:val="it-IT"/>
        </w:rPr>
        <w:t xml:space="preserve">, Alessandro </w:t>
      </w:r>
      <w:proofErr w:type="spellStart"/>
      <w:proofErr w:type="gramStart"/>
      <w:r w:rsidRPr="00D73D76">
        <w:rPr>
          <w:noProof w:val="0"/>
          <w:lang w:val="it-IT"/>
        </w:rPr>
        <w:t>Zambon</w:t>
      </w:r>
      <w:r w:rsidR="00F72B42" w:rsidRPr="00F72B42">
        <w:rPr>
          <w:noProof w:val="0"/>
          <w:vertAlign w:val="superscript"/>
          <w:lang w:val="it-IT"/>
        </w:rPr>
        <w:t>a,b</w:t>
      </w:r>
      <w:proofErr w:type="spellEnd"/>
      <w:proofErr w:type="gramEnd"/>
      <w:r w:rsidRPr="00D73D76">
        <w:rPr>
          <w:noProof w:val="0"/>
          <w:lang w:val="it-IT"/>
        </w:rPr>
        <w:t xml:space="preserve">, Sara </w:t>
      </w:r>
      <w:proofErr w:type="spellStart"/>
      <w:r w:rsidRPr="00D73D76">
        <w:rPr>
          <w:noProof w:val="0"/>
          <w:lang w:val="it-IT"/>
        </w:rPr>
        <w:t>Spilimbergo</w:t>
      </w:r>
      <w:r w:rsidR="00F72B42" w:rsidRPr="00903504">
        <w:rPr>
          <w:noProof w:val="0"/>
          <w:vertAlign w:val="superscript"/>
          <w:lang w:val="it-IT"/>
        </w:rPr>
        <w:t>a</w:t>
      </w:r>
      <w:proofErr w:type="spellEnd"/>
    </w:p>
    <w:p w14:paraId="4885A407" w14:textId="1B94037C" w:rsidR="00AB569D" w:rsidRDefault="00903504" w:rsidP="00AB569D">
      <w:pPr>
        <w:pStyle w:val="CETAddress"/>
        <w:rPr>
          <w:noProof w:val="0"/>
          <w:lang w:val="en-US"/>
        </w:rPr>
      </w:pPr>
      <w:proofErr w:type="spellStart"/>
      <w:r w:rsidRPr="00903504">
        <w:rPr>
          <w:noProof w:val="0"/>
          <w:vertAlign w:val="superscript"/>
          <w:lang w:val="en-US"/>
        </w:rPr>
        <w:t>a</w:t>
      </w:r>
      <w:r w:rsidR="00C66162" w:rsidRPr="00736C50">
        <w:rPr>
          <w:noProof w:val="0"/>
          <w:lang w:val="en-US"/>
        </w:rPr>
        <w:t>Department</w:t>
      </w:r>
      <w:proofErr w:type="spellEnd"/>
      <w:r w:rsidR="00C66162" w:rsidRPr="00736C50">
        <w:rPr>
          <w:noProof w:val="0"/>
          <w:lang w:val="en-US"/>
        </w:rPr>
        <w:t xml:space="preserve"> of Industrial Engineering, </w:t>
      </w:r>
      <w:r w:rsidR="00AB569D" w:rsidRPr="00736C50">
        <w:rPr>
          <w:noProof w:val="0"/>
          <w:lang w:val="en-US"/>
        </w:rPr>
        <w:t xml:space="preserve">University of Padova, Via Marzolo 9, 35131, Padova, Italy </w:t>
      </w:r>
    </w:p>
    <w:p w14:paraId="18566D3D" w14:textId="58C9F703" w:rsidR="00903504" w:rsidRPr="00736C50" w:rsidRDefault="00903504" w:rsidP="00AB569D">
      <w:pPr>
        <w:pStyle w:val="CETAddress"/>
        <w:rPr>
          <w:noProof w:val="0"/>
          <w:lang w:val="en-US"/>
        </w:rPr>
      </w:pPr>
      <w:r w:rsidRPr="00903504">
        <w:rPr>
          <w:noProof w:val="0"/>
          <w:vertAlign w:val="superscript"/>
          <w:lang w:val="en-US"/>
        </w:rPr>
        <w:t>b</w:t>
      </w:r>
      <w:r>
        <w:rPr>
          <w:rFonts w:cs="Arial"/>
          <w:color w:val="2E2E2E"/>
          <w:shd w:val="clear" w:color="auto" w:fill="FFFFFF"/>
        </w:rPr>
        <w:t>Department of Civil, Chemical, Environmental, and Materials Engineering (DICAM), University of Bologna, Via Terracini 28, Bologna 40131, Italy</w:t>
      </w:r>
    </w:p>
    <w:p w14:paraId="49F283F9" w14:textId="64A2B014" w:rsidR="00AB569D" w:rsidRPr="00736C50" w:rsidRDefault="00CE449A" w:rsidP="00AB569D">
      <w:pPr>
        <w:pStyle w:val="CETemail"/>
        <w:rPr>
          <w:noProof w:val="0"/>
          <w:lang w:val="en-US"/>
        </w:rPr>
      </w:pPr>
      <w:r w:rsidRPr="00736C50">
        <w:rPr>
          <w:noProof w:val="0"/>
          <w:lang w:val="en-US"/>
        </w:rPr>
        <w:t>riccardo.zulli</w:t>
      </w:r>
      <w:r w:rsidR="006663A9" w:rsidRPr="00736C50">
        <w:rPr>
          <w:noProof w:val="0"/>
          <w:lang w:val="en-US"/>
        </w:rPr>
        <w:t>@unipd.it</w:t>
      </w:r>
    </w:p>
    <w:p w14:paraId="7032F85F" w14:textId="6CD04E90" w:rsidR="00B518B3" w:rsidRPr="00736C50" w:rsidRDefault="00B518B3" w:rsidP="00B518B3">
      <w:pPr>
        <w:pStyle w:val="CETBodytext"/>
      </w:pPr>
      <w:r w:rsidRPr="00736C50">
        <w:t>During the last decades, supercritical carbon dioxide (scCO</w:t>
      </w:r>
      <w:r w:rsidRPr="00736C50">
        <w:rPr>
          <w:vertAlign w:val="subscript"/>
        </w:rPr>
        <w:t>2</w:t>
      </w:r>
      <w:r w:rsidRPr="00736C50">
        <w:t>) pasteurization has been intensively studied as a potential technology to increase the safety and shelf-life of fresh food.</w:t>
      </w:r>
      <w:r w:rsidR="00031C53" w:rsidRPr="00736C50">
        <w:rPr>
          <w:rStyle w:val="Rimandocommento"/>
        </w:rPr>
        <w:t xml:space="preserve"> </w:t>
      </w:r>
      <w:r w:rsidRPr="00736C50">
        <w:rPr>
          <w:rStyle w:val="Rimandocommento"/>
        </w:rPr>
        <w:t>H</w:t>
      </w:r>
      <w:r w:rsidRPr="00736C50">
        <w:t xml:space="preserve">owever, the </w:t>
      </w:r>
      <w:r w:rsidR="0069182D" w:rsidRPr="00736C50">
        <w:t xml:space="preserve">high risk of post-process contamination still represents a barrier to its industrialization. </w:t>
      </w:r>
      <w:r w:rsidRPr="00736C50">
        <w:t xml:space="preserve"> </w:t>
      </w:r>
    </w:p>
    <w:p w14:paraId="6E6F3551" w14:textId="2E41C08C" w:rsidR="00B518B3" w:rsidRPr="00736C50" w:rsidRDefault="00B518B3" w:rsidP="00B518B3">
      <w:pPr>
        <w:pStyle w:val="CETBodytext"/>
      </w:pPr>
      <w:r w:rsidRPr="00736C50">
        <w:t xml:space="preserve">This study reports </w:t>
      </w:r>
      <w:r w:rsidR="00031C53" w:rsidRPr="00736C50">
        <w:t>a</w:t>
      </w:r>
      <w:r w:rsidR="003321C0" w:rsidRPr="00736C50">
        <w:t xml:space="preserve"> proof of concept study in order to demonstrate the applicability of a novel method that combines scCO</w:t>
      </w:r>
      <w:r w:rsidR="003321C0" w:rsidRPr="00736C50">
        <w:rPr>
          <w:vertAlign w:val="subscript"/>
        </w:rPr>
        <w:t>2</w:t>
      </w:r>
      <w:r w:rsidR="003321C0" w:rsidRPr="00736C50">
        <w:t xml:space="preserve"> and Modified Atmosphere Packaging (MAP)</w:t>
      </w:r>
      <w:r w:rsidR="00031C53" w:rsidRPr="00736C50">
        <w:t xml:space="preserve"> </w:t>
      </w:r>
      <w:r w:rsidR="003321C0" w:rsidRPr="00736C50">
        <w:t xml:space="preserve">for fresh-cut potatoes. The process was investigated by a full-factorial design of experiment, studying the effect of </w:t>
      </w:r>
      <w:r w:rsidR="00031C53" w:rsidRPr="00736C50">
        <w:t>temperature (</w:t>
      </w:r>
      <w:r w:rsidR="004D426F" w:rsidRPr="00736C50">
        <w:t>35 - 45 °C)</w:t>
      </w:r>
      <w:r w:rsidRPr="00736C50">
        <w:t xml:space="preserve">, pressure </w:t>
      </w:r>
      <w:r w:rsidR="004D426F" w:rsidRPr="00736C50">
        <w:t>(</w:t>
      </w:r>
      <w:r w:rsidR="003321C0" w:rsidRPr="00736C50">
        <w:t>8</w:t>
      </w:r>
      <w:r w:rsidR="004D426F" w:rsidRPr="00736C50">
        <w:t xml:space="preserve"> – 12 MPa)</w:t>
      </w:r>
      <w:r w:rsidR="00207082" w:rsidRPr="00736C50">
        <w:t>,</w:t>
      </w:r>
      <w:r w:rsidR="004D426F" w:rsidRPr="00736C50">
        <w:t xml:space="preserve"> </w:t>
      </w:r>
      <w:r w:rsidRPr="00736C50">
        <w:t>and treatment tim</w:t>
      </w:r>
      <w:r w:rsidR="00031C53" w:rsidRPr="00736C50">
        <w:t>e</w:t>
      </w:r>
      <w:r w:rsidR="004D426F" w:rsidRPr="00736C50">
        <w:t xml:space="preserve"> (5 – 35 min)</w:t>
      </w:r>
      <w:r w:rsidRPr="00736C50">
        <w:t xml:space="preserve"> </w:t>
      </w:r>
      <w:r w:rsidR="003321C0" w:rsidRPr="00736C50">
        <w:t xml:space="preserve">on the microbial inactivation of </w:t>
      </w:r>
      <w:r w:rsidR="003321C0" w:rsidRPr="00736C50">
        <w:rPr>
          <w:i/>
        </w:rPr>
        <w:t>E. coli</w:t>
      </w:r>
      <w:r w:rsidR="003321C0" w:rsidRPr="00736C50">
        <w:t xml:space="preserve"> and the color of the</w:t>
      </w:r>
      <w:r w:rsidR="002000C5">
        <w:t xml:space="preserve"> processed</w:t>
      </w:r>
      <w:r w:rsidR="003321C0" w:rsidRPr="00736C50">
        <w:t xml:space="preserve"> product. The method was able to</w:t>
      </w:r>
      <w:r w:rsidR="001317BB">
        <w:t xml:space="preserve"> reduce up to 1.50 Log CFU/g </w:t>
      </w:r>
      <w:r w:rsidR="003321C0" w:rsidRPr="00736C50">
        <w:t xml:space="preserve">the load of inoculated </w:t>
      </w:r>
      <w:r w:rsidR="003321C0" w:rsidRPr="00736C50">
        <w:rPr>
          <w:i/>
        </w:rPr>
        <w:t>E. coli</w:t>
      </w:r>
      <w:r w:rsidR="003321C0" w:rsidRPr="00736C50">
        <w:t xml:space="preserve"> </w:t>
      </w:r>
      <w:r w:rsidR="00315C27">
        <w:t xml:space="preserve">at 45°C, 8.0 MPa and 35 min, </w:t>
      </w:r>
      <w:r w:rsidR="003321C0" w:rsidRPr="00736C50">
        <w:t xml:space="preserve">without excessively modifying the product color. Moreover, the color </w:t>
      </w:r>
      <w:r w:rsidR="001317BB">
        <w:t xml:space="preserve">did not </w:t>
      </w:r>
      <w:r w:rsidR="00EA0C2B">
        <w:t xml:space="preserve">significantly </w:t>
      </w:r>
      <w:r w:rsidR="001317BB">
        <w:t xml:space="preserve">change </w:t>
      </w:r>
      <w:r w:rsidR="003321C0" w:rsidRPr="00736C50">
        <w:t>during storage at 4</w:t>
      </w:r>
      <w:r w:rsidR="004921DA" w:rsidRPr="00736C50">
        <w:t xml:space="preserve"> °C</w:t>
      </w:r>
      <w:r w:rsidR="003321C0" w:rsidRPr="00736C50">
        <w:t xml:space="preserve"> for 7 days. </w:t>
      </w:r>
    </w:p>
    <w:p w14:paraId="5E712FFE" w14:textId="0DC1A8B7" w:rsidR="001F4938" w:rsidRPr="00736C50" w:rsidRDefault="00EE5C33" w:rsidP="001F4938">
      <w:pPr>
        <w:pStyle w:val="CETHeading1"/>
      </w:pPr>
      <w:r w:rsidRPr="00736C50">
        <w:t>Introduction</w:t>
      </w:r>
    </w:p>
    <w:p w14:paraId="6FCFE3B2" w14:textId="6C190F81" w:rsidR="00F070FF" w:rsidRPr="00736C50" w:rsidRDefault="006F4E09" w:rsidP="00F070FF">
      <w:pPr>
        <w:pStyle w:val="CETBodytext"/>
      </w:pPr>
      <w:r w:rsidRPr="00736C50">
        <w:t>T</w:t>
      </w:r>
      <w:r w:rsidR="00F070FF" w:rsidRPr="00736C50">
        <w:t>he ready-to-eat</w:t>
      </w:r>
      <w:r w:rsidR="004203E1" w:rsidRPr="00736C50">
        <w:t>/ready-to-cook</w:t>
      </w:r>
      <w:r w:rsidR="00F070FF" w:rsidRPr="00736C50">
        <w:t xml:space="preserve"> (RTE) food market is expected to reach USD 172 million by the end of 2023, with an annual growth rate of 7.3% </w:t>
      </w:r>
      <w:r w:rsidR="007E026C" w:rsidRPr="00736C50">
        <w:fldChar w:fldCharType="begin"/>
      </w:r>
      <w:r w:rsidR="00D7251D" w:rsidRPr="00736C50">
        <w:instrText xml:space="preserve"> ADDIN ZOTERO_ITEM CSL_CITATION {"citationID":"nS161UBg","properties":{"formattedCitation":"(Research Nester, 2021)","plainCitation":"(Research Nester, 2021)","noteIndex":0},"citationItems":[{"id":461,"uris":["http://zotero.org/users/6511723/items/7QULCLUD"],"itemData":{"id":461,"type":"article-newspaper","title":"Ready to Eat Food: Market Demand, Size &amp; Growth Forecast 2023","URL":"https://www.researchnester.com/reports/global-ready-to-eat-food-market/200","author":[{"family":"Research Nester","given":""}],"accessed":{"date-parts":[["2021",12,21]]},"issued":{"date-parts":[["2021"]]}}}],"schema":"https://github.com/citation-style-language/schema/raw/master/csl-citation.json"} </w:instrText>
      </w:r>
      <w:r w:rsidR="007E026C" w:rsidRPr="00736C50">
        <w:fldChar w:fldCharType="separate"/>
      </w:r>
      <w:r w:rsidR="0035325B" w:rsidRPr="0035325B">
        <w:rPr>
          <w:rFonts w:cs="Arial"/>
        </w:rPr>
        <w:t>(Research Nester, 2021)</w:t>
      </w:r>
      <w:r w:rsidR="007E026C" w:rsidRPr="00736C50">
        <w:fldChar w:fldCharType="end"/>
      </w:r>
      <w:r w:rsidR="00F070FF" w:rsidRPr="00736C50">
        <w:t>. In</w:t>
      </w:r>
      <w:r w:rsidR="00B518B3" w:rsidRPr="00736C50">
        <w:t xml:space="preserve"> recent years, </w:t>
      </w:r>
      <w:r w:rsidR="00F070FF" w:rsidRPr="00736C50">
        <w:t>fresh-cut fruits and vegetables have gained great popularity among consumers worldwide</w:t>
      </w:r>
      <w:r w:rsidR="00CE0822">
        <w:t>,</w:t>
      </w:r>
      <w:r w:rsidR="00F070FF" w:rsidRPr="00736C50">
        <w:t xml:space="preserve"> leading to </w:t>
      </w:r>
      <w:r w:rsidR="00CE0822">
        <w:t xml:space="preserve">an </w:t>
      </w:r>
      <w:r w:rsidR="00F070FF" w:rsidRPr="00736C50">
        <w:t xml:space="preserve">increased consumption and research investment </w:t>
      </w:r>
      <w:r w:rsidR="007E026C" w:rsidRPr="00736C50">
        <w:fldChar w:fldCharType="begin"/>
      </w:r>
      <w:r w:rsidR="00D7251D" w:rsidRPr="00736C50">
        <w:instrText xml:space="preserve"> ADDIN ZOTERO_ITEM CSL_CITATION {"citationID":"WcgCP9J1","properties":{"formattedCitation":"(Ma et al., 2017)","plainCitation":"(Ma et al., 2017)","noteIndex":0},"citationItems":[{"id":435,"uris":["http://zotero.org/users/6511723/items/E97TB9X9"],"itemData":{"id":435,"type":"article-journal","abstract":"Background\nFresh-cut fruits and vegetables have gained much more attention worldwide in the past decades. Due to the increased awareness of consumers in sensorial and nutritional qualities of fresh-cut fruits and vegetables, as well as the serious concerns towards public health caused by foodborne outbreaks owing to inappropriate handling or preservation of fresh-cut fruits and vegetables, fresh-cut industry is in urgent need of new and improved technologies for shelf life extension.\nScope and approach\nIn this review the recent development in novel shelf life extension technology applied to fresh-cut fruits and vegetables, including physical, chemical and biopreservation methods are described. These novel technologies better maintain or improve the quality and safety of fresh-cut fruits and vegetables. However, reduction in microbial load without compromising in sensory and nutritional qualities could not be easily achieved by one technique alone. Some combined application of these techniques proved to be very effective in both shelf life extension and microbial inhibition of fresh-cut fruits and vegetables.\nKey findings and conclusions\nFuture research needs to consider varieties of further combined applications of physical, chemical and biopreservation technologies, which may allow a better maintenance of the fresh-like characteristics of the raw produce. Meanwhile, consumer's acceptance, safety and legal aspects, and commercial availability, such as the efficacy, cost-effectiveness ratio and convenient manipulation, should also be taken into consideration in future studies.","container-title":"Trends in Food Science &amp; Technology","DOI":"10.1016/j.tifs.2017.03.005","ISSN":"0924-2244","journalAbbreviation":"Trends in Food Science &amp; Technology","language":"en","page":"23-38","source":"ScienceDirect","title":"Recent developments in novel shelf life extension technologies of fresh-cut fruits and vegetables","volume":"64","author":[{"family":"Ma","given":"Liang"},{"family":"Zhang","given":"Min"},{"family":"Bhandari","given":"Bhesh"},{"family":"Gao","given":"Zhongxue"}],"issued":{"date-parts":[["2017",6,1]]}}}],"schema":"https://github.com/citation-style-language/schema/raw/master/csl-citation.json"} </w:instrText>
      </w:r>
      <w:r w:rsidR="007E026C" w:rsidRPr="00736C50">
        <w:fldChar w:fldCharType="separate"/>
      </w:r>
      <w:r w:rsidR="0035325B" w:rsidRPr="0035325B">
        <w:rPr>
          <w:rFonts w:cs="Arial"/>
        </w:rPr>
        <w:t>(Ma et al., 2017)</w:t>
      </w:r>
      <w:r w:rsidR="007E026C" w:rsidRPr="00736C50">
        <w:fldChar w:fldCharType="end"/>
      </w:r>
      <w:r w:rsidR="00F070FF" w:rsidRPr="00736C50">
        <w:t xml:space="preserve">. </w:t>
      </w:r>
    </w:p>
    <w:p w14:paraId="7EC483D2" w14:textId="62885CE7" w:rsidR="00F070FF" w:rsidRPr="00685343" w:rsidRDefault="00F070FF" w:rsidP="00F070FF">
      <w:pPr>
        <w:pStyle w:val="CETBodytext"/>
        <w:rPr>
          <w:lang w:val="it-IT"/>
        </w:rPr>
      </w:pPr>
      <w:r w:rsidRPr="00736C50">
        <w:t xml:space="preserve">Besides the advantages of </w:t>
      </w:r>
      <w:r w:rsidR="00B518B3" w:rsidRPr="00736C50">
        <w:t xml:space="preserve">consuming </w:t>
      </w:r>
      <w:r w:rsidRPr="00736C50">
        <w:t xml:space="preserve">these products, such as freshness, high nutritional content, and convenience, they </w:t>
      </w:r>
      <w:r w:rsidR="00B518B3" w:rsidRPr="00736C50">
        <w:t>usually have</w:t>
      </w:r>
      <w:r w:rsidR="007F7FF1" w:rsidRPr="00736C50">
        <w:t xml:space="preserve"> a relatively short shelf-life</w:t>
      </w:r>
      <w:r w:rsidRPr="00736C50">
        <w:t xml:space="preserve">. </w:t>
      </w:r>
      <w:r w:rsidR="00B518B3" w:rsidRPr="00736C50">
        <w:t>Indeed, t</w:t>
      </w:r>
      <w:r w:rsidRPr="00736C50">
        <w:t xml:space="preserve">he </w:t>
      </w:r>
      <w:r w:rsidR="001F4938" w:rsidRPr="00736C50">
        <w:t xml:space="preserve">different </w:t>
      </w:r>
      <w:r w:rsidRPr="00736C50">
        <w:t>preparation</w:t>
      </w:r>
      <w:r w:rsidR="001F4938" w:rsidRPr="00736C50">
        <w:t xml:space="preserve"> steps, like</w:t>
      </w:r>
      <w:r w:rsidRPr="00736C50">
        <w:t xml:space="preserve"> peeling, coring, cutting, and/or slicing </w:t>
      </w:r>
      <w:r w:rsidR="001F4938" w:rsidRPr="00736C50">
        <w:t>can</w:t>
      </w:r>
      <w:r w:rsidRPr="00736C50">
        <w:t xml:space="preserve"> lead to accelerated ripeness and senescence due to higher respiration rate and ethylene (</w:t>
      </w:r>
      <w:r w:rsidR="007F7FF1" w:rsidRPr="00736C50">
        <w:t>C</w:t>
      </w:r>
      <w:r w:rsidR="007F7FF1" w:rsidRPr="00736C50">
        <w:rPr>
          <w:vertAlign w:val="subscript"/>
        </w:rPr>
        <w:t>2</w:t>
      </w:r>
      <w:r w:rsidR="007F7FF1" w:rsidRPr="00736C50">
        <w:t>H</w:t>
      </w:r>
      <w:r w:rsidR="007F7FF1" w:rsidRPr="00736C50">
        <w:rPr>
          <w:vertAlign w:val="subscript"/>
        </w:rPr>
        <w:t>4</w:t>
      </w:r>
      <w:r w:rsidRPr="00736C50">
        <w:t xml:space="preserve">) production </w:t>
      </w:r>
      <w:r w:rsidR="00E71F52" w:rsidRPr="00736C50">
        <w:t>concerning</w:t>
      </w:r>
      <w:r w:rsidRPr="00736C50">
        <w:t xml:space="preserve"> whole fruits and vegetables </w:t>
      </w:r>
      <w:r w:rsidR="007E026C" w:rsidRPr="00736C50">
        <w:fldChar w:fldCharType="begin"/>
      </w:r>
      <w:r w:rsidR="00D7251D" w:rsidRPr="00736C50">
        <w:instrText xml:space="preserve"> ADDIN ZOTERO_ITEM CSL_CITATION {"citationID":"bPForQzB","properties":{"formattedCitation":"(Wu et al., 2012)","plainCitation":"(Wu et al., 2012)","noteIndex":0},"citationItems":[{"id":437,"uris":["http://zotero.org/users/6511723/items/6IA5DEDJ"],"itemData":{"id":437,"type":"article-journal","abstract":"High pressure (HP) argon (Ar) processing that makes argon and water molecules form clathrate hydrates to restrict intracellular water activity and enzymatic reactions. This can be used in the preservation of fruits and vegetables. Effects of HP (150 MPa) Ar treatments on preserving fresh-cut apples were investigated at 4 °C for two weeks. Respiration rate and ethylene production of fresh-cut apples treated by the HP (150 MPa) Ar for 10 min were lower apparently in comparison with those untreated and treated by flushing with Ar and the HP air for 10 min. The HP Ar treatment delayed browning and microbial growth of fresh-cut apples at cold storage, because the populations of both mesophiles and psychrotrophs did not exceed 6.0 log cfu/g, and those for molds and yeasts were less than 3.0 log cfu/g after two weeks storage. HP Ar treatment did not affect the content of titrated acidity and soluble solids, and significantly reduced the total phenolics decrease in fresh-cut apples (p &lt; 0.05). Dipping into chemical solution, such as 0.5% ascorbic acid (AA), 0.5% citric acid (CA) and 0.5% calcium chloride (CC) for 5 min could reduce the changes in the color and firmness of apple wedges during HP operation, and the combined HP Ar with dipping treatment remained good sensory attributes of fresh-cut apples for 12 days at 4 °C. These results indicated the HP Ar treatment could be an effective method for improving the quality of fresh-cut apples at cold storage conditions.","container-title":"Food Control","DOI":"10.1016/j.foodcont.2011.06.021","ISSN":"0956-7135","issue":"1","journalAbbreviation":"Food Control","language":"en","page":"120-127","source":"ScienceDirect","title":"Effects of high pressure argon treatments on the quality of fresh-cut apples at cold storage","volume":"23","author":[{"family":"Wu","given":"Z. S."},{"family":"Zhang","given":"M."},{"family":"Wang","given":"S."}],"issued":{"date-parts":[["2012",1,1]]}}}],"schema":"https://github.com/citation-style-language/schema/raw/master/csl-citation.json"} </w:instrText>
      </w:r>
      <w:r w:rsidR="007E026C" w:rsidRPr="00736C50">
        <w:fldChar w:fldCharType="separate"/>
      </w:r>
      <w:r w:rsidR="0035325B" w:rsidRPr="0035325B">
        <w:rPr>
          <w:rFonts w:cs="Arial"/>
        </w:rPr>
        <w:t>(Wu et al., 2012)</w:t>
      </w:r>
      <w:r w:rsidR="007E026C" w:rsidRPr="00736C50">
        <w:fldChar w:fldCharType="end"/>
      </w:r>
      <w:r w:rsidRPr="00736C50">
        <w:t xml:space="preserve">. Changes in aspect are also caused by hydroxylation and oxidation of polyphenols due to the action of active tissue enzymes, such as polyphenol oxidases (PPOs) and peroxidases (PODs) </w:t>
      </w:r>
      <w:r w:rsidR="007E026C" w:rsidRPr="00736C50">
        <w:fldChar w:fldCharType="begin"/>
      </w:r>
      <w:r w:rsidR="00D7251D" w:rsidRPr="00736C50">
        <w:instrText xml:space="preserve"> ADDIN ZOTERO_ITEM CSL_CITATION {"citationID":"rujEKXTt","properties":{"formattedCitation":"(Marsza\\uc0\\u322{}ek et al., 2019)","plainCitation":"(Marszałek et al., 2019)","noteIndex":0},"citationItems":[{"id":402,"uris":["http://zotero.org/users/6511723/items/K7AR2WYV"],"itemData":{"id":402,"type":"article-journal","abstract":"Due to the CO2 specific characteristics, it has been used as supercritical (Sc) fluid for several applications, including enzyme inactivation. The influence of Sc-CO2 (10–65 MPa/10–30 min/35–65 °C) on mushroom polyphenol oxidase (PPO) and horseradish peroxidase (POD) was evaluated and the results were compared with those found using high pressure processing (HPP) (200–900 MPa/5–45 °C/1–15 min). The free ion concentration was also studied to compare the enzymatic activity and changes in electrical conductivity. Additionally both enzymes, untreated or treated using either Sc-CO2 or HPP, were used as additives in the CuCl2 crystallization method. The resulting additive-specific CuCl2 patterns were characterized based on different structural features. Sc-CO2 was found to have a significant influence on PPO and POD activities, and an increased reduction in the residual activity of both enzymes was observed when the Sc-CO2 pressure was increased. However, PPO was more resistant to temperature and pressure than POD. The D-value calculated for POD was in the range of 38.3 and 592.0 min, and 60.6 and 291.5 min, for HPP and Sc-CO2 treatments, respectively; whereas for PPO varied from 103.1 to 284.3 min under HPP and from 83.4 to 303.0 min using the Sc-CO2 treatment. It can be concluded that the application of Sc-CO2 could be an effective tool for inactivating PPO and POD enzymes. Moreover, both enzymes and treatments could be differentiated significantly based on the resulting CuCl2 crystallization patterns.","container-title":"Journal of CO2 Utilization","DOI":"10.1016/j.jcou.2018.11.007","ISSN":"2212-9820","journalAbbreviation":"Journal of CO2 Utilization","language":"en","page":"46-56","source":"ScienceDirect","title":"Comparative effect of supercritical carbon dioxide and high pressure processing on structural changes and activity loss of oxidoreductive enzymes","volume":"29","author":[{"family":"Marszałek","given":"Krystian"},{"family":"Doesburg","given":"Paul"},{"family":"Starzonek","given":"Szymon"},{"family":"Szczepańska","given":"Justyna"},{"family":"Woźniak","given":"Łukasz"},{"family":"Lorenzo","given":"Jose Manuel"},{"family":"Skąpska","given":"Sylwia"},{"family":"Rzoska","given":"Sylwester"},{"family":"Barba","given":"Francisco J."}],"issued":{"date-parts":[["2019",1,1]]}}}],"schema":"https://github.com/citation-style-language/schema/raw/master/csl-citation.json"} </w:instrText>
      </w:r>
      <w:r w:rsidR="007E026C" w:rsidRPr="00736C50">
        <w:fldChar w:fldCharType="separate"/>
      </w:r>
      <w:r w:rsidR="0035325B" w:rsidRPr="0035325B">
        <w:rPr>
          <w:rFonts w:cs="Arial"/>
          <w:szCs w:val="24"/>
        </w:rPr>
        <w:t>(Marszałek et al., 2019)</w:t>
      </w:r>
      <w:r w:rsidR="007E026C" w:rsidRPr="00736C50">
        <w:fldChar w:fldCharType="end"/>
      </w:r>
      <w:r w:rsidRPr="00736C50">
        <w:t xml:space="preserve">. </w:t>
      </w:r>
      <w:r w:rsidR="006D6A87" w:rsidRPr="00736C50">
        <w:t xml:space="preserve">Moreover, </w:t>
      </w:r>
      <w:r w:rsidR="00B518B3" w:rsidRPr="00736C50">
        <w:t>microbial growth (</w:t>
      </w:r>
      <w:r w:rsidR="00706591" w:rsidRPr="00736C50">
        <w:t>including</w:t>
      </w:r>
      <w:r w:rsidR="00B518B3" w:rsidRPr="00736C50">
        <w:t xml:space="preserve"> pathogenic</w:t>
      </w:r>
      <w:r w:rsidR="00706591" w:rsidRPr="00736C50">
        <w:t xml:space="preserve"> bacteria</w:t>
      </w:r>
      <w:r w:rsidR="00B518B3" w:rsidRPr="00736C50">
        <w:t xml:space="preserve">) is facilitated due to the </w:t>
      </w:r>
      <w:r w:rsidRPr="00736C50">
        <w:t>incre</w:t>
      </w:r>
      <w:r w:rsidR="006F4E09" w:rsidRPr="00736C50">
        <w:t>ment of the</w:t>
      </w:r>
      <w:r w:rsidRPr="00736C50">
        <w:t xml:space="preserve"> exposed surface and the consequent release of nutrients</w:t>
      </w:r>
      <w:r w:rsidR="00B518B3" w:rsidRPr="00736C50">
        <w:t xml:space="preserve">. </w:t>
      </w:r>
      <w:r w:rsidR="00154946">
        <w:t>M</w:t>
      </w:r>
      <w:r w:rsidR="006A5726">
        <w:t xml:space="preserve">any </w:t>
      </w:r>
      <w:r w:rsidRPr="00736C50">
        <w:t xml:space="preserve">foodborne disease outbreaks </w:t>
      </w:r>
      <w:r w:rsidR="00154946">
        <w:t xml:space="preserve">are </w:t>
      </w:r>
      <w:r w:rsidRPr="00736C50">
        <w:t xml:space="preserve">associated </w:t>
      </w:r>
      <w:r w:rsidR="006A5726" w:rsidRPr="00736C50">
        <w:t xml:space="preserve">with </w:t>
      </w:r>
      <w:r w:rsidR="006A5726">
        <w:t xml:space="preserve">different </w:t>
      </w:r>
      <w:r w:rsidR="006A5726" w:rsidRPr="00736C50">
        <w:t>RTE food</w:t>
      </w:r>
      <w:r w:rsidR="006A5726">
        <w:t xml:space="preserve">, such as leafy green vegetables </w:t>
      </w:r>
      <w:r w:rsidR="006A5726">
        <w:fldChar w:fldCharType="begin"/>
      </w:r>
      <w:r w:rsidR="006A5726">
        <w:instrText xml:space="preserve"> ADDIN ZOTERO_ITEM CSL_CITATION {"citationID":"6Dku2KRZ","properties":{"formattedCitation":"(Stephan et al., 2015)","plainCitation":"(Stephan et al., 2015)","noteIndex":0},"citationItems":[{"id":426,"uris":["http://zotero.org/users/6511723/items/ZJ5UZU7D"],"itemData":{"id":426,"type":"article-journal","abstract":"From 26 October 2013 to 23 April 2014, 32 cases of listeriosis infected with an Listeria monocytogenes strain serovar 4b, sequence type 4 and belonging to a single distinct PFGE pulsotype were registered in patients from several cantons of Switzerland. L. monocytogenes was detected in blood (75%), CSF (16%), ascites (6%) and in joint fluid (3%) samples. By the end of March 2014, a food producing company reported an L. monocytogenes contamination of ready-to-eat salads to the authorities after detecting the pathogen through its in-house routine quality control. Product and environmental samples collected during subsequent investigations yielded isolates, matching the outbreak strain, thus confirming that ready-to-eat salad from this company was most likely the outbreak source. The cause for the product contamination was related to a design-inherent hygienic problem of one specific product-feeding belt. Complementary patient interviews also identified ready-to-eat green salads bought at one retailer as the likely outbreak source.","container-title":"Food Control","DOI":"10.1016/j.foodcont.2015.03.034","ISSN":"0956-7135","journalAbbreviation":"Food Control","language":"en","page":"14-17","source":"ScienceDirect","title":"Foodborne transmission of Listeria monocytogenes via ready-to-eat salad: A nationwide outbreak in Switzerland, 2013–2014","title-short":"Foodborne transmission of Listeria monocytogenes via ready-to-eat salad","volume":"57","author":[{"family":"Stephan","given":"Roger"},{"family":"Althaus","given":"Denise"},{"family":"Kiefer","given":"Sabine"},{"family":"Lehner","given":"Angelika"},{"family":"Hatz","given":"Christoph"},{"family":"Schmutz","given":"Claudia"},{"family":"Jost","given":"Marianne"},{"family":"Gerber","given":"Nadine"},{"family":"Baumgartner","given":"Andreas"},{"family":"Hächler","given":"Herbert"},{"family":"Mäusezahl-Feuz","given":"Mirjam"}],"issued":{"date-parts":[["2015",11,1]]}}}],"schema":"https://github.com/citation-style-language/schema/raw/master/csl-citation.json"} </w:instrText>
      </w:r>
      <w:r w:rsidR="006A5726">
        <w:fldChar w:fldCharType="separate"/>
      </w:r>
      <w:r w:rsidR="0035325B" w:rsidRPr="0035325B">
        <w:rPr>
          <w:rFonts w:cs="Arial"/>
        </w:rPr>
        <w:t>(Stephan et al., 2015)</w:t>
      </w:r>
      <w:r w:rsidR="006A5726">
        <w:fldChar w:fldCharType="end"/>
      </w:r>
      <w:r w:rsidR="006A5726">
        <w:t xml:space="preserve"> and tubers </w:t>
      </w:r>
      <w:r w:rsidR="006A5726">
        <w:fldChar w:fldCharType="begin"/>
      </w:r>
      <w:r w:rsidR="001F24E5">
        <w:instrText xml:space="preserve"> ADDIN ZOTERO_ITEM CSL_CITATION {"citationID":"V1xuMaOP","properties":{"formattedCitation":"(Da Silva Fel\\uc0\\u237{}cio et al., 2015)","plainCitation":"(Da Silva Felício et al., 2015)","noteIndex":0},"citationItems":[{"id":752,"uris":["http://zotero.org/users/6511723/items/TH63QEXR"],"itemData":{"id":752,"type":"article-journal","abstract":"Foods of non-animal origin (FoNAO) are consumed in a variety of forms, being a major component of almost all meals. These food types have the potential to be associated with large outbreaks as seen in 2011 associated with VTEC O104. In order to identify and rank specific food/pathogen combinations most often linked to human cases originating from FoNAO in the EU, a semi-quantitative model was developed using seven criteria: strength of associations between food and pathogen based on the foodborne outbreak data from EU Zoonoses Monitoring (2007–2011), incidence of illness, burden of disease, dose–response relationship, consumption, prevalence of contamination and pathogen growth potential during shelf life. The top ranking food/pathogen combination was Salmonella spp. and leafy greens eaten raw followed by (in equal rank) Salmonella spp. and bulb and stem vegetables, Salmonella spp. and tomatoes, Salmonella spp. and melons, and pathogenic Escherichia coli and fresh pods, legumes or grains. Despite the inherent assumptions and limitations, this risk model is considered a tool for risk managers, as it allows ranking of food/pathogen combinations most often linked to foodborne human cases originating from FoNAO in the EU. Efforts to collect additional data even in the absence of reported outbreaks as well as to enhance the quality of the EU-specific data, which was used as input for all the model criteria, will allow the improvement of the model outputs. Furthermore, it is recommended that harmonised terminology be applied to the categorisation of foods collected for different reasons, e.g. monitoring, surveillance, outbreak investigation and consumption. In addition, to assist future microbiological risk assessments, consideration should be given to the collection of additional information on how food has been processed, stored and prepared as part of the above data collection exercises.","container-title":"International Journal of Food Microbiology","DOI":"10.1016/j.ijfoodmicro.2014.11.005","ISSN":"0168-1605","journalAbbreviation":"International Journal of Food Microbiology","language":"en","page":"9-19","source":"ScienceDirect","title":"Risk ranking of pathogens in ready-to-eat unprocessed foods of non-animal origin (FoNAO) in the EU: Initial evaluation using outbreak data (2007–2011)","title-short":"Risk ranking of pathogens in ready-to-eat unprocessed foods of non-animal origin (FoNAO) in the EU","volume":"195","author":[{"family":"Da Silva Felício","given":"M. T."},{"family":"Hald","given":"T."},{"family":"Liebana","given":"E."},{"family":"Allende","given":"A."},{"family":"Hugas","given":"M."},{"family":"Nguyen-The","given":"C."},{"family":"Johannessen","given":"G. Skoien"},{"family":"Niskanen","given":"T."},{"family":"Uyttendaele","given":"M."},{"family":"McLauchlin","given":"J."}],"issued":{"date-parts":[["2015",2,16]]}}}],"schema":"https://github.com/citation-style-language/schema/raw/master/csl-citation.json"} </w:instrText>
      </w:r>
      <w:r w:rsidR="006A5726">
        <w:fldChar w:fldCharType="separate"/>
      </w:r>
      <w:r w:rsidR="0035325B" w:rsidRPr="0035325B">
        <w:rPr>
          <w:rFonts w:cs="Arial"/>
          <w:szCs w:val="24"/>
        </w:rPr>
        <w:t>(Da Silva Felício et al., 2015)</w:t>
      </w:r>
      <w:r w:rsidR="006A5726">
        <w:fldChar w:fldCharType="end"/>
      </w:r>
      <w:r w:rsidR="006A5726">
        <w:t>,</w:t>
      </w:r>
      <w:r w:rsidRPr="00736C50">
        <w:t xml:space="preserve"> becoming a </w:t>
      </w:r>
      <w:r w:rsidR="00B518B3" w:rsidRPr="00736C50">
        <w:t xml:space="preserve">serious problem for </w:t>
      </w:r>
      <w:r w:rsidRPr="00736C50">
        <w:t xml:space="preserve">public health. In the majority of the cases, the diffusion of pathogenic </w:t>
      </w:r>
      <w:r w:rsidR="00D73D76">
        <w:t>microorganisms</w:t>
      </w:r>
      <w:r w:rsidRPr="00736C50">
        <w:t xml:space="preserve">, such as </w:t>
      </w:r>
      <w:r w:rsidRPr="00736C50">
        <w:rPr>
          <w:i/>
        </w:rPr>
        <w:t>Listeria monocytogenes</w:t>
      </w:r>
      <w:r w:rsidRPr="00736C50">
        <w:t xml:space="preserve"> </w:t>
      </w:r>
      <w:r w:rsidR="007E026C" w:rsidRPr="00736C50">
        <w:fldChar w:fldCharType="begin"/>
      </w:r>
      <w:r w:rsidR="00C0761D">
        <w:instrText xml:space="preserve"> ADDIN ZOTERO_ITEM CSL_CITATION {"citationID":"S8i9yls1","properties":{"formattedCitation":"(Montero et al., 2015; Stephan et al., 2015)","plainCitation":"(Montero et al., 2015; Stephan et al., 2015)","noteIndex":0},"citationItems":[{"id":424,"uris":["http://zotero.org/users/6511723/items/3F6H8NG3"],"itemData":{"id":424,"type":"article-journal","abstract":"Listeria monocytogenes is a pathogen transmitted through food that can cause severe infections in high-risk groups such as pregnant women, elderly, young children and immunocompromised individuals. It is a ubiquitous bacterium that can survive in harsh conditions, such as dry environments, at low temperatures, in brine conditions and at low pH values. It also has the capacity to form biofilms, which makes it particularly successful even in colonizing surfaces within food processing plants. This study analyzed the presence of L. monocytogenes in ready-to-eat food (RTE) such as sausage, cheese, fresh salads, and other types of raw food. 850 samples of refrigerated and packaged food collected in 2008 and 2009 were analyzed. It was found that 25% of these samples were contaminated with L. monocytogenes strains. Serotyping and virulence genes detection by polymerase chain reaction (PCR) identified that strains belonging to serotype 4b, and containing one or more genes encoded by pathogenicity island (LIPI-1), were significantly associated with specific food types. Furthermore, using pulse field gel electrophoresis (PFGE), it was possible to associate isolates from cheese with strains from clinical cases of listeriosis outbreaks that occurred during the same time period within the same geographic regions. In addition, a strong correlation was observed between isolates from frozen seafood and from clinical strains obtained from sporadic cases of listeriosis. In agreement with reports described in other countries, our results shown that Chilean strains of L. monocytogenes from food products include the most virulent serotypes, encoding for the main virulence genes of the LIPI-1, and were clonally related to clinical isolates from sporadic cases and outbreaks of listeriosis. In conclusion, we show that Chilean isolates of L. monocytogenes from RTE and raw food products can cause disease in humans, representing a public health risk that justifies permanent surveillance.","container-title":"Frontiers in Microbiology","DOI":"10.3389/fmicb.2015.00384","ISSN":"1664-302X","page":"384","source":"Frontiers","title":"Molecular epidemiology and genetic diversity of Listeria monocytogenes isolates from a wide variety of ready-to-eat foods and their relationship to clinical strains from listeriosis outbreaks in Chile","volume":"6","author":[{"family":"Montero","given":"David"},{"family":"Bodero","given":"Marcia"},{"family":"Riveros","given":"Guillermina"},{"family":"Lapierre","given":"Lisette"},{"family":"Gaggero","given":"Aldo"},{"family":"Vidal","given":"Roberto M."},{"family":"Vidal","given":"Maricel"}],"issued":{"date-parts":[["2015"]]}}},{"id":426,"uris":["http://zotero.org/users/6511723/items/ZJ5UZU7D"],"itemData":{"id":426,"type":"article-journal","abstract":"From 26 October 2013 to 23 April 2014, 32 cases of listeriosis infected with an Listeria monocytogenes strain serovar 4b, sequence type 4 and belonging to a single distinct PFGE pulsotype were registered in patients from several cantons of Switzerland. L. monocytogenes was detected in blood (75%), CSF (16%), ascites (6%) and in joint fluid (3%) samples. By the end of March 2014, a food producing company reported an L. monocytogenes contamination of ready-to-eat salads to the authorities after detecting the pathogen through its in-h</w:instrText>
      </w:r>
      <w:r w:rsidR="00C0761D" w:rsidRPr="00F72B42">
        <w:rPr>
          <w:lang w:val="it-IT"/>
        </w:rPr>
        <w:instrText>ouse routine qua</w:instrText>
      </w:r>
      <w:r w:rsidR="00C0761D" w:rsidRPr="00C0761D">
        <w:rPr>
          <w:lang w:val="it-IT"/>
        </w:rPr>
        <w:instrText xml:space="preserve">lity control. Product and environmental samples collected during subsequent investigations yielded isolates, matching the outbreak strain, thus confirming that ready-to-eat salad from this company was most likely the outbreak source. The cause for the product contamination was related to a design-inherent hygienic problem of one specific product-feeding belt. Complementary patient interviews also identified ready-to-eat green salads bought at one retailer as the likely outbreak source.","container-title":"Food Control","DOI":"10.1016/j.foodcont.2015.03.034","ISSN":"0956-7135","journalAbbreviation":"Food Control","language":"en","page":"14-17","source":"ScienceDirect","title":"Foodborne transmission of Listeria monocytogenes via ready-to-eat salad: A nationwide outbreak in Switzerland, 2013–2014","title-short":"Foodborne transmission of Listeria monocytogenes via ready-to-eat salad","volume":"57","author":[{"family":"Stephan","given":"Roger"},{"family":"Althaus","given":"Denise"},{"family":"Kiefer","given":"Sabine"},{"family":"Lehner","given":"Angelika"},{"family":"Hatz","given":"Christoph"},{"family":"Schmutz","given":"Claudia"},{"family":"Jost","given":"Marianne"},{"family":"Gerber","given":"Nadine"},{"family":"Baumgartner","given":"Andreas"},{"family":"Hächler","given":"Herbert"},{"family":"Mäusezahl-Feuz","given":"Mirjam"}],"issued":{"date-parts":[["2015",11,1]]}}}],"schema":"https://github.com/citation-style-language/schema/raw/master/csl-citation.json"} </w:instrText>
      </w:r>
      <w:r w:rsidR="007E026C" w:rsidRPr="00736C50">
        <w:fldChar w:fldCharType="separate"/>
      </w:r>
      <w:r w:rsidR="00C0761D" w:rsidRPr="00C0761D">
        <w:rPr>
          <w:rFonts w:cs="Arial"/>
          <w:lang w:val="it-IT"/>
        </w:rPr>
        <w:t>(Montero et al., 2015; Stephan et al., 2015)</w:t>
      </w:r>
      <w:r w:rsidR="007E026C" w:rsidRPr="00736C50">
        <w:fldChar w:fldCharType="end"/>
      </w:r>
      <w:r w:rsidRPr="00D73D76">
        <w:rPr>
          <w:lang w:val="it-IT"/>
        </w:rPr>
        <w:t xml:space="preserve">, </w:t>
      </w:r>
      <w:r w:rsidRPr="00D73D76">
        <w:rPr>
          <w:i/>
          <w:lang w:val="it-IT"/>
        </w:rPr>
        <w:t>Salmonella enterica</w:t>
      </w:r>
      <w:r w:rsidRPr="00D73D76">
        <w:rPr>
          <w:lang w:val="it-IT"/>
        </w:rPr>
        <w:t xml:space="preserve"> </w:t>
      </w:r>
      <w:r w:rsidR="007E026C" w:rsidRPr="00736C50">
        <w:fldChar w:fldCharType="begin"/>
      </w:r>
      <w:r w:rsidR="00D7251D" w:rsidRPr="00D73D76">
        <w:rPr>
          <w:lang w:val="it-IT"/>
        </w:rPr>
        <w:instrText xml:space="preserve"> ADDIN ZOTERO_ITEM CSL_CITATION {"citationID":"W9zd8rcn","properties":{"formattedCitation":"(Vestrheim et al., 2016)","plainCitation":"(Vestrheim et al., 2016)","noteIndex":0},"citationItems":[{"id":442,"uris":["http://zotero.org/users/6511723/items/JM827KJT"],"itemData":{"id":442,"type":"article-journal","abstract":"We investigated a nationwide outbreak of Salmonella Coeln in Norway, including 26 cases identified between 20 October 2013 and 4 January 2014. We performed a matched case-control study, environmental investigation and detailed traceback of food purchases to identify the source of the outbreak. In the case-control study, cases were found to be more likely than controls to have consumed a ready-to-eat salad mix (matched odds ratio 20, 95% confidence interval 2·7–∞). By traceback of purchases one brand of ready-to-eat salad was indicated, but all environmental samples were negative for Salmonella. This outbreak underlines that pre-washed and bagged salads carry a risk of infection despite thorough cleaning procedures by the importer. To further reduce the risk of infection by consumption of ready-to-eat salads product quality should be ensured by importers. Outbreaks linked to salads reinforce the importance of implementation of appropriate food safety management systems, including good practices in lettuce production.","container-title":"Epidemiology &amp; Infection","DOI":"10.1017/S0950268815002769","ISSN":"0950-2688, 1469-4409","issue":"8","language":"en","note":"publisher: Cambridge University Press","page":"1756-1760","source":"Cambridge University Press","title":"Are ready-to-eat salads ready to eat? An outbreak of Salmonella Coeln linked to imported, mixed, pre-washed and bagged salad, Norway, November 2013","title-short":"Are ready-to-eat salads ready to eat?","volume":"144","author":[{"family":"Vestrheim","given":"D. F."},{"family":"Lange","given":"H."},{"family":"Nygård","given":"K."},{"family":"Borgen","given":"K."},{"family":"Wester","given":"A. L."},{"family":"Kvarme","given":"M. L."},{"family":"Vold","given":"L."}],"issued":{"date-parts":[["2016",6]]}}}],"schema":"https://github.com/citation-style-language/schema/raw/master/csl-citation.json"} </w:instrText>
      </w:r>
      <w:r w:rsidR="007E026C" w:rsidRPr="00736C50">
        <w:fldChar w:fldCharType="separate"/>
      </w:r>
      <w:r w:rsidR="0035325B" w:rsidRPr="0035325B">
        <w:rPr>
          <w:rFonts w:cs="Arial"/>
          <w:lang w:val="it-IT"/>
        </w:rPr>
        <w:t>(Vestrheim et al., 2016)</w:t>
      </w:r>
      <w:r w:rsidR="007E026C" w:rsidRPr="00736C50">
        <w:fldChar w:fldCharType="end"/>
      </w:r>
      <w:r w:rsidRPr="00D73D76">
        <w:rPr>
          <w:lang w:val="it-IT"/>
        </w:rPr>
        <w:t xml:space="preserve">, </w:t>
      </w:r>
      <w:proofErr w:type="spellStart"/>
      <w:r w:rsidRPr="00D73D76">
        <w:rPr>
          <w:i/>
          <w:lang w:val="it-IT"/>
        </w:rPr>
        <w:t>Norovirus</w:t>
      </w:r>
      <w:proofErr w:type="spellEnd"/>
      <w:r w:rsidRPr="00D73D76">
        <w:rPr>
          <w:lang w:val="it-IT"/>
        </w:rPr>
        <w:t xml:space="preserve"> </w:t>
      </w:r>
      <w:r w:rsidR="007E026C" w:rsidRPr="00736C50">
        <w:fldChar w:fldCharType="begin"/>
      </w:r>
      <w:r w:rsidR="00D7251D" w:rsidRPr="00D73D76">
        <w:rPr>
          <w:lang w:val="it-IT"/>
        </w:rPr>
        <w:instrText xml:space="preserve"> ADDIN ZOTERO_ITEM CSL_CITATION {"citationID":"cQxxtv2y","properties":{"formattedCitation":"(Callej\\uc0\\u243{}n et al., 2015)","plainCitation":"(Callejón et al., 2015)","noteIndex":0},"citationItems":[{"id":463,"uris":["http://zotero.org/users/6511723/items/9HCY5KZC"],"itemData":{"id":463,"type":"article-journal","abstract":"The consumption of fruit and vegetables continues to rise in the United States and European Union due to healthy lifestyle recommendations. Meanwhile, the rate of foodborne illness caused by the consumption of these products remains high in both regions, representing a significant public health and financial issue. This study addresses the occurrence of reported foodborne outbreaks associated with fresh fruits and vegetables consumption in the United States and European Union during the period 2004–2012, where data are available. Special attention is paid to those pathogens responsible for these outbreaks, the mechanisms of contamination, and the fresh produce vehicles involved. Norovirus is shown to be responsible for most of the produce-related outbreaks, followed by Salmonella. Norovirus is mainly linked with the consumption of salad in the United States and of berries in the European Union, as demonstrated by the Multiple Correspondence Analysis (MCA). Salmonella was the leading cause of multistate produce outbreaks in the United States and was the pathogen involved in the majority of sprouts-associated outbreaks. As is reflected in the MCA, the pattern of fresh produce outbreaks differed in the United States and European Union by the type of microorganism and the food vehicle involved.","container-title":"Foodborne Pathogens and Disease","ISSN":"1535-3141","issue":"1","note":"publisher: Mary Ann Liebert, Inc., publishers","page":"32-38","source":"liebertpub.com (Atypon)","title":"Reported Foodborne Outbreaks Due to Fresh Produce in the United States and European Union: Trends and Causes","title-short":"Reported Foodborne Outbreaks Due to Fresh Produce in the United States and European Union","volume":"12","author":[{"family":"Callejón","given":"Raquel M."},{"family":"Rodríguez-Naranjo","given":"M. Isabel"},{"family":"Ubeda","given":"Cristina"},{"family":"Hornedo-Ortega","given":"Ruth"},{"family":"Garcia-Parrilla","given":"M. Carmen"},{"family":"Troncoso","given":"Ana M."}],"issued":{"date-parts":[["2015",1,1]]}}}],"schema":"https://github.com/citation-style-language/schema/raw/master/csl-citation.json"} </w:instrText>
      </w:r>
      <w:r w:rsidR="007E026C" w:rsidRPr="00736C50">
        <w:fldChar w:fldCharType="separate"/>
      </w:r>
      <w:r w:rsidR="0035325B" w:rsidRPr="0035325B">
        <w:rPr>
          <w:rFonts w:cs="Arial"/>
          <w:szCs w:val="24"/>
          <w:lang w:val="it-IT"/>
        </w:rPr>
        <w:t>(</w:t>
      </w:r>
      <w:proofErr w:type="spellStart"/>
      <w:r w:rsidR="0035325B" w:rsidRPr="0035325B">
        <w:rPr>
          <w:rFonts w:cs="Arial"/>
          <w:szCs w:val="24"/>
          <w:lang w:val="it-IT"/>
        </w:rPr>
        <w:t>Callejón</w:t>
      </w:r>
      <w:proofErr w:type="spellEnd"/>
      <w:r w:rsidR="0035325B" w:rsidRPr="0035325B">
        <w:rPr>
          <w:rFonts w:cs="Arial"/>
          <w:szCs w:val="24"/>
          <w:lang w:val="it-IT"/>
        </w:rPr>
        <w:t xml:space="preserve"> et al., 2015)</w:t>
      </w:r>
      <w:r w:rsidR="007E026C" w:rsidRPr="00736C50">
        <w:fldChar w:fldCharType="end"/>
      </w:r>
      <w:r w:rsidRPr="00D73D76">
        <w:rPr>
          <w:lang w:val="it-IT"/>
        </w:rPr>
        <w:t xml:space="preserve"> and </w:t>
      </w:r>
      <w:proofErr w:type="spellStart"/>
      <w:r w:rsidRPr="00D73D76">
        <w:rPr>
          <w:i/>
          <w:lang w:val="it-IT"/>
        </w:rPr>
        <w:t>Yersinia</w:t>
      </w:r>
      <w:proofErr w:type="spellEnd"/>
      <w:r w:rsidRPr="00D73D76">
        <w:rPr>
          <w:i/>
          <w:lang w:val="it-IT"/>
        </w:rPr>
        <w:t xml:space="preserve"> enterocolitica</w:t>
      </w:r>
      <w:r w:rsidRPr="00D73D76">
        <w:rPr>
          <w:lang w:val="it-IT"/>
        </w:rPr>
        <w:t xml:space="preserve"> </w:t>
      </w:r>
      <w:r w:rsidR="007E026C" w:rsidRPr="00736C50">
        <w:fldChar w:fldCharType="begin"/>
      </w:r>
      <w:r w:rsidR="00D7251D" w:rsidRPr="00D73D76">
        <w:rPr>
          <w:lang w:val="it-IT"/>
        </w:rPr>
        <w:instrText xml:space="preserve"> ADDIN ZOTERO_ITEM CSL_CITATION {"citationID"</w:instrText>
      </w:r>
      <w:r w:rsidR="00D7251D" w:rsidRPr="00685343">
        <w:rPr>
          <w:lang w:val="it-IT"/>
        </w:rPr>
        <w:instrText xml:space="preserve">:"n9iZZ9XV","properties":{"formattedCitation":"(MacDonald et al., 2012)","plainCitation":"(MacDonald et al., 2012)","noteIndex":0},"citationItems":[{"id":445,"uris":["http://zotero.org/users/6511723/items/7VEWB3SG"],"itemData":{"id":445,"type":"article-journal","abstract":"In 2011, an outbreak of illness caused by Yersinia enterocolitica O:9 in Norway was linked to ready-to-eat salad mix, an unusual vehicle for this pathogen. The outbreak illustrates the need to characterize isolates of this organism, and reinforces the need for international traceback mechanisms for fresh produce.","container-title":"Emerging Infectious Diseases","DOI":"10.3201/eid1809.120087","ISSN":"1080-6040","issue":"9","journalAbbreviation":"Emerg Infect Dis","note":"PMID: 22932318\nPMCID: PMC3437701","page":"1496-1499","source":"PubMed Central","title":"Yersinia enterocolitica Outbreak Associated with Ready-to-Eat Salad Mix, Norway, 2011","volume":"18","author":[{"family":"MacDonald","given":"Emily"},{"family":"Heier","given":"Berit Tafjord"},{"family":"Nygård","given":"Karin"},{"family":"Stalheim","given":"Torunn"},{"family":"Cudjoe","given":"Kofitsyo S."},{"family":"Skjerdal","given":"Taran"},{"family":"Wester","given":"Astrid Louise"},{"family":"Lindstedt","given":"Bjørn-Arne"},{"family":"Stavnes","given":"Trine-Lise"},{"family":"Vold","given":"Line"}],"issued":{"date-parts":[["2012",9]]}}}],"schema":"https://github.com/citation-style-language/schema/raw/master/csl-citation.json"} </w:instrText>
      </w:r>
      <w:r w:rsidR="007E026C" w:rsidRPr="00736C50">
        <w:fldChar w:fldCharType="separate"/>
      </w:r>
      <w:r w:rsidR="0035325B" w:rsidRPr="0035325B">
        <w:rPr>
          <w:rFonts w:cs="Arial"/>
          <w:lang w:val="it-IT"/>
        </w:rPr>
        <w:t>(</w:t>
      </w:r>
      <w:proofErr w:type="spellStart"/>
      <w:r w:rsidR="0035325B" w:rsidRPr="0035325B">
        <w:rPr>
          <w:rFonts w:cs="Arial"/>
          <w:lang w:val="it-IT"/>
        </w:rPr>
        <w:t>MacDonald</w:t>
      </w:r>
      <w:proofErr w:type="spellEnd"/>
      <w:r w:rsidR="0035325B" w:rsidRPr="0035325B">
        <w:rPr>
          <w:rFonts w:cs="Arial"/>
          <w:lang w:val="it-IT"/>
        </w:rPr>
        <w:t xml:space="preserve"> et al., 2012)</w:t>
      </w:r>
      <w:r w:rsidR="007E026C" w:rsidRPr="00736C50">
        <w:fldChar w:fldCharType="end"/>
      </w:r>
      <w:r w:rsidRPr="00685343">
        <w:rPr>
          <w:lang w:val="it-IT"/>
        </w:rPr>
        <w:t xml:space="preserve"> </w:t>
      </w:r>
      <w:proofErr w:type="spellStart"/>
      <w:r w:rsidRPr="0005303D">
        <w:rPr>
          <w:lang w:val="it-IT"/>
        </w:rPr>
        <w:t>has</w:t>
      </w:r>
      <w:proofErr w:type="spellEnd"/>
      <w:r w:rsidRPr="0005303D">
        <w:rPr>
          <w:lang w:val="it-IT"/>
        </w:rPr>
        <w:t xml:space="preserve"> </w:t>
      </w:r>
      <w:proofErr w:type="spellStart"/>
      <w:r w:rsidRPr="0005303D">
        <w:rPr>
          <w:lang w:val="it-IT"/>
        </w:rPr>
        <w:t>been</w:t>
      </w:r>
      <w:proofErr w:type="spellEnd"/>
      <w:r w:rsidRPr="0005303D">
        <w:rPr>
          <w:lang w:val="it-IT"/>
        </w:rPr>
        <w:t xml:space="preserve"> </w:t>
      </w:r>
      <w:proofErr w:type="spellStart"/>
      <w:r w:rsidRPr="0005303D">
        <w:rPr>
          <w:lang w:val="it-IT"/>
        </w:rPr>
        <w:t>caused</w:t>
      </w:r>
      <w:proofErr w:type="spellEnd"/>
      <w:r w:rsidRPr="0005303D">
        <w:rPr>
          <w:lang w:val="it-IT"/>
        </w:rPr>
        <w:t xml:space="preserve"> by </w:t>
      </w:r>
      <w:proofErr w:type="spellStart"/>
      <w:r w:rsidRPr="0005303D">
        <w:rPr>
          <w:lang w:val="it-IT"/>
        </w:rPr>
        <w:t>incorrect</w:t>
      </w:r>
      <w:proofErr w:type="spellEnd"/>
      <w:r w:rsidRPr="0005303D">
        <w:rPr>
          <w:lang w:val="it-IT"/>
        </w:rPr>
        <w:t xml:space="preserve"> </w:t>
      </w:r>
      <w:proofErr w:type="spellStart"/>
      <w:r w:rsidR="001F24E5" w:rsidRPr="0005303D">
        <w:rPr>
          <w:lang w:val="it-IT"/>
        </w:rPr>
        <w:t>preparation</w:t>
      </w:r>
      <w:proofErr w:type="spellEnd"/>
      <w:r w:rsidR="001F24E5" w:rsidRPr="0005303D">
        <w:rPr>
          <w:lang w:val="it-IT"/>
        </w:rPr>
        <w:t xml:space="preserve"> </w:t>
      </w:r>
      <w:proofErr w:type="spellStart"/>
      <w:r w:rsidR="001F24E5" w:rsidRPr="0005303D">
        <w:rPr>
          <w:lang w:val="it-IT"/>
        </w:rPr>
        <w:t>procedures</w:t>
      </w:r>
      <w:proofErr w:type="spellEnd"/>
      <w:r w:rsidR="001F24E5" w:rsidRPr="0005303D">
        <w:rPr>
          <w:lang w:val="it-IT"/>
        </w:rPr>
        <w:t xml:space="preserve"> </w:t>
      </w:r>
      <w:r w:rsidRPr="0005303D">
        <w:rPr>
          <w:lang w:val="it-IT"/>
        </w:rPr>
        <w:t xml:space="preserve">of </w:t>
      </w:r>
      <w:r w:rsidR="001F24E5" w:rsidRPr="0005303D">
        <w:rPr>
          <w:lang w:val="it-IT"/>
        </w:rPr>
        <w:t>the</w:t>
      </w:r>
      <w:r w:rsidRPr="0005303D">
        <w:rPr>
          <w:lang w:val="it-IT"/>
        </w:rPr>
        <w:t xml:space="preserve"> produc</w:t>
      </w:r>
      <w:r w:rsidR="00793641" w:rsidRPr="0005303D">
        <w:rPr>
          <w:lang w:val="it-IT"/>
        </w:rPr>
        <w:t>t</w:t>
      </w:r>
      <w:r w:rsidRPr="0005303D">
        <w:rPr>
          <w:lang w:val="it-IT"/>
        </w:rPr>
        <w:t xml:space="preserve">s. </w:t>
      </w:r>
    </w:p>
    <w:p w14:paraId="540217F5" w14:textId="7FEB6514" w:rsidR="00F070FF" w:rsidRPr="00736C50" w:rsidRDefault="00F070FF" w:rsidP="00F070FF">
      <w:pPr>
        <w:pStyle w:val="CETBodytext"/>
      </w:pPr>
      <w:r w:rsidRPr="00736C50">
        <w:t xml:space="preserve">One of the most effective techniques that have been widely studied and successfully </w:t>
      </w:r>
      <w:r w:rsidR="00566D17">
        <w:t>applied</w:t>
      </w:r>
      <w:r w:rsidR="00566D17" w:rsidRPr="00736C50">
        <w:t xml:space="preserve"> </w:t>
      </w:r>
      <w:r w:rsidR="001F24E5">
        <w:t xml:space="preserve">to increase the safety and the shelf life </w:t>
      </w:r>
      <w:r w:rsidRPr="00736C50">
        <w:t xml:space="preserve">of fresh produce is </w:t>
      </w:r>
      <w:r w:rsidR="00566D17">
        <w:t xml:space="preserve">the </w:t>
      </w:r>
      <w:r w:rsidRPr="00736C50">
        <w:t>Modified Atmosphere Packaging (MAP)</w:t>
      </w:r>
      <w:r w:rsidR="001F24E5">
        <w:t>,</w:t>
      </w:r>
      <w:r w:rsidRPr="00736C50">
        <w:t xml:space="preserve"> which </w:t>
      </w:r>
      <w:r w:rsidR="001F24E5">
        <w:t>consists</w:t>
      </w:r>
      <w:r w:rsidR="00ED510C">
        <w:t xml:space="preserve"> on </w:t>
      </w:r>
      <w:r w:rsidRPr="00736C50">
        <w:t xml:space="preserve">the </w:t>
      </w:r>
      <w:r w:rsidR="00ED510C">
        <w:t xml:space="preserve">control </w:t>
      </w:r>
      <w:r w:rsidRPr="00736C50">
        <w:t>of the composition of the gas that surrounds the product inside seale</w:t>
      </w:r>
      <w:r w:rsidR="00CF265B" w:rsidRPr="00736C50">
        <w:t>d packaging. Carbon dioxide (CO</w:t>
      </w:r>
      <w:r w:rsidR="00CF265B" w:rsidRPr="00736C50">
        <w:rPr>
          <w:vertAlign w:val="subscript"/>
        </w:rPr>
        <w:t>2</w:t>
      </w:r>
      <w:r w:rsidRPr="00736C50">
        <w:t xml:space="preserve">) is one of the most used gases in MAP thanks to its bacteriostatic action during the storage of the products, prolonging their shelf-life </w:t>
      </w:r>
      <w:r w:rsidR="007E026C" w:rsidRPr="00736C50">
        <w:fldChar w:fldCharType="begin"/>
      </w:r>
      <w:r w:rsidR="00D7251D" w:rsidRPr="00736C50">
        <w:instrText xml:space="preserve"> ADDIN ZOTERO_ITEM CSL_CITATION {"citationID":"TPivwSv2","properties":{"formattedCitation":"(Ma et al., 2017)","plainCitation":"(Ma et al., 2017)","noteIndex":0},"citationItems":[{"id":435,"uris":["http://zotero.org/users/6511723/items/E97TB9X9"],"itemData":{"id":435,"type":"article-journal","abstract":"Background\nFresh-cut fruits and vegetables have gained much more attention worldwide in the past decades. Due to the increased awareness of consumers in sensorial and nutritional qualities of fresh-cut fruits and vegetables, as well as the serious concerns towards public health caused by foodborne outbreaks owing to inappropriate handling or preservation of fresh-cut fruits and vegetables, fresh-cut industry is in urgent need of new and improved technologies for shelf life extension.\nScope and approach\nIn this review the recent development in novel shelf life extension technology applied to fresh-cut fruits and vegetables, including physical, chemical and biopreservation methods are described. These novel technologies better maintain or improve the quality and safety of fresh-cut fruits and vegetables. However, reduction in microbial load without compromising in sensory and nutritional qualities could not be easily achieved by one technique alone. Some combined application of these techniques proved to be very effective in both shelf life extension and microbial inhibition of fresh-cut fruits and vegetables.\nKey findings and conclusions\nFuture research needs to consider varieties of further combined applications of physical, chemical and biopreservation technologies, which may allow a better maintenance of the fresh-like characteristics of the raw produce. Meanwhile, consumer's acceptance, safety and legal aspects, and commercial availability, such as the efficacy, cost-effectiveness ratio and convenient manipulation, should also be taken into consideration in future studies.","container-title":"Trends in Food Science &amp; Technology","DOI":"10.1016/j.tifs.2017.03.005","ISSN":"0924-2244","journalAbbreviation":"Trends in Food Science &amp; Technology","language":"en","page":"23-38","source":"ScienceDirect","title":"Recent developments in novel shelf life extension technologies of fresh-cut fruits and vegetables","volume":"64","author":[{"family":"Ma","given":"Liang"},{"family":"Zhang","given":"Min"},{"family":"Bhandari","given":"Bhesh"},{"family":"Gao","given":"Zhongxue"}],"issued":{"date-parts":[["2017",6,1]]}}}],"schema":"https://github.com/citation-style-language/schema/raw/master/csl-citation.json"} </w:instrText>
      </w:r>
      <w:r w:rsidR="007E026C" w:rsidRPr="00736C50">
        <w:fldChar w:fldCharType="separate"/>
      </w:r>
      <w:r w:rsidR="0035325B" w:rsidRPr="0035325B">
        <w:rPr>
          <w:rFonts w:cs="Arial"/>
        </w:rPr>
        <w:t>(Ma et al., 2017)</w:t>
      </w:r>
      <w:r w:rsidR="007E026C" w:rsidRPr="00736C50">
        <w:fldChar w:fldCharType="end"/>
      </w:r>
      <w:r w:rsidRPr="00736C50">
        <w:t xml:space="preserve">. However, the exclusive use of a MAP in RTE food </w:t>
      </w:r>
      <w:r w:rsidR="006D6A87" w:rsidRPr="00736C50">
        <w:t>might not</w:t>
      </w:r>
      <w:r w:rsidRPr="00736C50">
        <w:t xml:space="preserve"> guarantee microbial inactivation of </w:t>
      </w:r>
      <w:r w:rsidR="00E71F52" w:rsidRPr="00736C50">
        <w:t>spoiling</w:t>
      </w:r>
      <w:r w:rsidRPr="00736C50">
        <w:t xml:space="preserve"> and pathogen microorganisms.</w:t>
      </w:r>
    </w:p>
    <w:p w14:paraId="6F5DF7D4" w14:textId="22B7E471" w:rsidR="00F070FF" w:rsidRPr="00736C50" w:rsidRDefault="001F24E5" w:rsidP="00F070FF">
      <w:pPr>
        <w:pStyle w:val="CETBodytext"/>
      </w:pPr>
      <w:r>
        <w:lastRenderedPageBreak/>
        <w:t xml:space="preserve">On the contrary, effective methods of microbial inactivation are achieved by thermal processes, </w:t>
      </w:r>
      <w:r w:rsidR="00F070FF" w:rsidRPr="00736C50">
        <w:t xml:space="preserve">which </w:t>
      </w:r>
      <w:r w:rsidR="00736C50">
        <w:t>are</w:t>
      </w:r>
      <w:r w:rsidR="00F070FF" w:rsidRPr="00736C50">
        <w:t xml:space="preserve"> worldwide used to increase the shelf-life and safety of a great variety of food products by using high temperatures.</w:t>
      </w:r>
      <w:r>
        <w:t xml:space="preserve"> In particular, fresh produce is usually quickly immersed in hot water (blanching) and then rapidly cooled </w:t>
      </w:r>
      <w:r w:rsidR="00D145E8" w:rsidRPr="00736C50">
        <w:t>in order to pasteurize the</w:t>
      </w:r>
      <w:r w:rsidR="00F2738D">
        <w:t xml:space="preserve"> surface of the</w:t>
      </w:r>
      <w:r w:rsidR="00D145E8" w:rsidRPr="00736C50">
        <w:t xml:space="preserve"> product</w:t>
      </w:r>
      <w:r w:rsidR="00F2738D">
        <w:t xml:space="preserve"> and reducing the enzymes activity. However</w:t>
      </w:r>
      <w:r w:rsidR="00315C27">
        <w:t xml:space="preserve">, blanching is usually adopted only prior to further processing, such as drying, canning and freezing </w:t>
      </w:r>
      <w:r w:rsidR="00315C27">
        <w:fldChar w:fldCharType="begin"/>
      </w:r>
      <w:r w:rsidR="00315C27">
        <w:instrText xml:space="preserve"> ADDIN ZOTERO_ITEM CSL_CITATION {"citationID":"jNhJmTEb","properties":{"formattedCitation":"(Teixeira, 2014)","plainCitation":"(Teixeira, 2014)","noteIndex":0},"citationItems":[{"id":874,"uris":["http://zotero.org/users/6511723/items/SU3QYFPF"],"itemData":{"id":874,"type":"chapter","abstract":"This chapter intends to describe the processing technologies used in the food industry to accomplish different types of heat treatments. Sterilization of foods is normally accomplished by what is commonly called ‘canning’ to preserve the safety and wholesomeness of ready-to-eat foods over long terms of extended storage at normal room temperature. Pasteurization is normally used to extend the limited shelf-life of refrigerated foods. Both processes make use of heat treatments to inactivate microorganisms. Dole Engineering system was designed to fill conventional steel cans aseptically and made use of superheated steam chambers to sterilize empty can bodies and covers as they were slowly conveyed to the filling chamber. Blanching is a relatively mild form of heat treatment consisting of a few minutes of exposure to boiling water or atmospheric steam, and is not a food preservation process.","container-title":"Conventional and Advanced Food Processing Technologies","ISBN":"978-1-118-40628-1","language":"en","note":"section: 6\n_eprint: https://onlinelibrary.wiley.com/doi/pdf/10.1002/9781118406281.ch6\nDOI: 10.1002/9781118406281.ch6","page":"115-128","publisher":"John Wiley &amp; Sons, Ltd","source":"Wiley Online Library","title":"Thermal Food Preservation Techniques (Pasteurization, Sterilization, Canning and Blanching)","URL":"https://onlinelibrary.wiley.com/doi/abs/10.1002/9781118406281.ch6","author":[{"family":"Teixeira","given":"Arthur A."}],"accessed":{"date-parts":[["2023",2,27]]},"issued":{"date-parts":[["2014"]]}}}],"schema":"https://github.com/citation-style-language/schema/raw/master/csl-citation.json"} </w:instrText>
      </w:r>
      <w:r w:rsidR="00315C27">
        <w:fldChar w:fldCharType="separate"/>
      </w:r>
      <w:r w:rsidR="0035325B" w:rsidRPr="0035325B">
        <w:rPr>
          <w:rFonts w:cs="Arial"/>
        </w:rPr>
        <w:t>(Teixeira, 2014)</w:t>
      </w:r>
      <w:r w:rsidR="00315C27">
        <w:fldChar w:fldCharType="end"/>
      </w:r>
      <w:r w:rsidR="00315C27">
        <w:t>.</w:t>
      </w:r>
    </w:p>
    <w:p w14:paraId="15C1EC8C" w14:textId="77777777" w:rsidR="00C0761D" w:rsidRDefault="00F070FF" w:rsidP="00F070FF">
      <w:pPr>
        <w:pStyle w:val="CETBodytext"/>
      </w:pPr>
      <w:r w:rsidRPr="00736C50">
        <w:t xml:space="preserve">In the last decades, many novel low-temperature </w:t>
      </w:r>
      <w:proofErr w:type="gramStart"/>
      <w:r w:rsidRPr="00736C50">
        <w:t>pasteurization</w:t>
      </w:r>
      <w:proofErr w:type="gramEnd"/>
      <w:r w:rsidRPr="00736C50">
        <w:t xml:space="preserve"> technologies have been widely studied to extend the</w:t>
      </w:r>
      <w:r w:rsidR="00F2738D">
        <w:t xml:space="preserve"> </w:t>
      </w:r>
      <w:r w:rsidRPr="00736C50">
        <w:t>shelf-life</w:t>
      </w:r>
      <w:r w:rsidR="00905038">
        <w:t xml:space="preserve"> </w:t>
      </w:r>
      <w:r w:rsidRPr="00736C50">
        <w:t xml:space="preserve">and safety </w:t>
      </w:r>
      <w:r w:rsidR="00F2738D">
        <w:t xml:space="preserve">of fresh products </w:t>
      </w:r>
      <w:r w:rsidRPr="00736C50">
        <w:t xml:space="preserve">without compromising their organoleptic qualities. </w:t>
      </w:r>
    </w:p>
    <w:p w14:paraId="37DB6020" w14:textId="2D53E7CF" w:rsidR="00F070FF" w:rsidRPr="000A70D0" w:rsidRDefault="00F070FF" w:rsidP="00F070FF">
      <w:pPr>
        <w:pStyle w:val="CETBodytext"/>
        <w:rPr>
          <w:lang w:val="en-GB"/>
        </w:rPr>
      </w:pPr>
      <w:r w:rsidRPr="00736C50">
        <w:t xml:space="preserve">The use of supercritical fluids, especially </w:t>
      </w:r>
      <w:r w:rsidR="00732820" w:rsidRPr="00736C50">
        <w:t>CO</w:t>
      </w:r>
      <w:r w:rsidR="00732820" w:rsidRPr="00736C50">
        <w:rPr>
          <w:vertAlign w:val="subscript"/>
        </w:rPr>
        <w:t>2</w:t>
      </w:r>
      <w:r w:rsidRPr="00736C50">
        <w:t>, is one of the promising novel technologies for the low-temperature pasteurization of food, being effective at temperatures below 50</w:t>
      </w:r>
      <w:r w:rsidR="004921DA" w:rsidRPr="00736C50">
        <w:t xml:space="preserve"> °C</w:t>
      </w:r>
      <w:r w:rsidRPr="00736C50">
        <w:t xml:space="preserve"> and pressures lower than 20 MPa. Regarding fruit</w:t>
      </w:r>
      <w:r w:rsidR="006714B1" w:rsidRPr="00736C50">
        <w:t>s</w:t>
      </w:r>
      <w:r w:rsidRPr="00736C50">
        <w:t xml:space="preserve"> and vegetable</w:t>
      </w:r>
      <w:r w:rsidR="006714B1" w:rsidRPr="00736C50">
        <w:t>s</w:t>
      </w:r>
      <w:r w:rsidRPr="00736C50">
        <w:t xml:space="preserve">, many works have underlined the effectiveness of supercritical </w:t>
      </w:r>
      <w:r w:rsidR="00CF265B" w:rsidRPr="00736C50">
        <w:t>CO</w:t>
      </w:r>
      <w:r w:rsidR="00CF265B" w:rsidRPr="00736C50">
        <w:rPr>
          <w:vertAlign w:val="subscript"/>
        </w:rPr>
        <w:t>2</w:t>
      </w:r>
      <w:r w:rsidR="00CF265B" w:rsidRPr="00736C50">
        <w:t xml:space="preserve"> (scCO</w:t>
      </w:r>
      <w:r w:rsidR="00CF265B" w:rsidRPr="00736C50">
        <w:rPr>
          <w:vertAlign w:val="subscript"/>
        </w:rPr>
        <w:t>2</w:t>
      </w:r>
      <w:r w:rsidRPr="00736C50">
        <w:t xml:space="preserve">) in ensuring microbial and enzymatic </w:t>
      </w:r>
      <w:r w:rsidR="00B518B3" w:rsidRPr="00736C50">
        <w:t>inactivation</w:t>
      </w:r>
      <w:r w:rsidRPr="00736C50">
        <w:t xml:space="preserve"> in different matrices, such as carrots, coconut,</w:t>
      </w:r>
      <w:r w:rsidR="001F24E5">
        <w:t xml:space="preserve"> </w:t>
      </w:r>
      <w:r w:rsidR="00C05A9F">
        <w:t xml:space="preserve">almonds </w:t>
      </w:r>
      <w:r w:rsidR="001F24E5">
        <w:t>and</w:t>
      </w:r>
      <w:r w:rsidRPr="00736C50">
        <w:t xml:space="preserve"> spinach leaves</w:t>
      </w:r>
      <w:r w:rsidR="00C05A9F">
        <w:t xml:space="preserve">, also ensuring the inactivation </w:t>
      </w:r>
      <w:r w:rsidR="004A74BF">
        <w:t>o</w:t>
      </w:r>
      <w:r w:rsidR="00C05A9F">
        <w:t xml:space="preserve">f different </w:t>
      </w:r>
      <w:r w:rsidRPr="00736C50">
        <w:t>pathogenic bacteria (</w:t>
      </w:r>
      <w:r w:rsidRPr="00736C50">
        <w:rPr>
          <w:i/>
        </w:rPr>
        <w:t>Escherichia coli</w:t>
      </w:r>
      <w:r w:rsidRPr="00736C50">
        <w:t xml:space="preserve">, </w:t>
      </w:r>
      <w:r w:rsidRPr="00736C50">
        <w:rPr>
          <w:i/>
        </w:rPr>
        <w:t>Salmonella enterica</w:t>
      </w:r>
      <w:r w:rsidRPr="00736C50">
        <w:t xml:space="preserve">, </w:t>
      </w:r>
      <w:r w:rsidRPr="00736C50">
        <w:rPr>
          <w:i/>
        </w:rPr>
        <w:t>Listeria monocytogenes</w:t>
      </w:r>
      <w:r w:rsidRPr="00736C50">
        <w:t xml:space="preserve">) </w:t>
      </w:r>
      <w:r w:rsidR="007E026C" w:rsidRPr="00736C50">
        <w:fldChar w:fldCharType="begin"/>
      </w:r>
      <w:r w:rsidR="0019655F">
        <w:instrText xml:space="preserve"> ADDIN ZOTERO_ITEM CSL_CITATION {"citationID":"MBjxhqEy","properties":{"formattedCitation":"(Chen et al., 2022; Spilimbergo et al., 2013; Zhong et al., 2008)","plainCitation":"(Chen et al., 2022; Spilimbergo et al., 2013; Zhong et al., 2008)","noteIndex":0},"citationItems":[{"id":469,"uris":["http://zotero.org/users/6511723/items/4NS7AB9K"],"itemData":{"id":469,"type":"article-journal","abstract":"Raw almonds could be contaminated by pathogens, but the current pasteurization practice using propylene oxide in the U.S. has flammability and carcinogenicity concerns. Supercritical carbon dioxide (scCO2) is a water-free technology and is a solvent of essential oils that are effective antimicrobial preservatives. The objective of this study was to investigate the possibility of combining scCO2 and thyme oil (TO) to reduce Escherichia coli K12 inoculated on raw almonds. Raw almonds inoculated with </w:instrText>
      </w:r>
      <w:r w:rsidR="0019655F">
        <w:rPr>
          <w:rFonts w:ascii="Cambria Math" w:hAnsi="Cambria Math" w:cs="Cambria Math"/>
        </w:rPr>
        <w:instrText>∼</w:instrText>
      </w:r>
      <w:r w:rsidR="0019655F">
        <w:instrText>6 log CFU/g E.</w:instrText>
      </w:r>
      <w:r w:rsidR="0019655F">
        <w:rPr>
          <w:rFonts w:cs="Arial"/>
        </w:rPr>
        <w:instrText> </w:instrText>
      </w:r>
      <w:r w:rsidR="0019655F">
        <w:instrText xml:space="preserve">coli K12 were batch-treated with scCO2 alone or the combination of presoaking in pure TO followed by scCO2 treatments at different combinations of temperature, pressure, and duration. Compared to scCO2 alone treatments, the combination of TO and scCO2 treatments significantly improved the disinfection effectiveness. Temperature had the most significant effect on the log reduction. At 70 °C, the log reduction by the combination treatment was over 4-log CFU/g and the maximum reduction was 5.16 log CFU/g. The findings suggest that the combination of TO and scCO2 may be a potential water-free technology to meet the requirement of over 4-log reduction of target microorganism for almond and other tree nut products.","container-title":"Food Microbiology","ISSN":"0740-0020","journalAbbreviation":"Food Microbiology","language":"en","page":"103955","source":"ScienceDirect","title":"Inactivation of Escherichia coli K12 on raw almonds using supercritical carbon dioxide and thyme oil","volume":"103","author":[{"family":"Chen","given":"Huaiqiong"},{"family":"Guan","given":"Yongguang"},{"family":"Wang","given":"Anyi"},{"family":"Zhong","given":"Qixin"}],"issued":{"date-parts":[["2022",5,1]]}}},{"id":13,"uris":["http://zotero.org/users/6511723/items/GCGPSZE2"],"itemData":{"id":13,"type":"article-journal","abstract":"High pressure carbon dioxide treatment (HPCD) was applied for the pasteurization of fresh-cut carrot. The inactivation kinetics of the natural microbial flora were determined as a function of the treatment conditions (8 or 12MPa, 22, 35, 40, 45°C, 5–45min) to investigate the more feasible process conditions to assure a microbial stability to the product. Further, the effect of HPCD treatment on the qualitative aspects of the product in terms of enzymatic activity (polyphenol oxidase (PPO), peroxidase (POD), pectin methylesterase (PME) and polygalacturonase (PG)), bioactive composition (phenol, flavonoid, carotenoid, ascorbic acid content and antioxidant capacity), texture, pH and tritatable acidity (TA) were measured. A storage study at refrigerated conditions (4°C) for 4 weeks was also performed to monitor the microbial and qualitative stability of the product. The results showed that 12MPa, 40°C, 15min were effective to inactivate the natural microbial flora and assure the microbial and enzymatic stability of the product for 4 weeks. Bioactive compounds content, antioxidant capacity, and enzyme stability were all preserved with the exception of the texture which exhibited a significant reduction up to 90% compared to the control, and the ascorbic acid content which was reduced down to 40%.","collection-title":"Special Issue – 10th International Symposium on Supercritical Fluids","container-title":"The Journal of Supercritical Fluids","ISSN":"0896-8446","journalAbbreviation":"The Journal of Supercritical Fluids","language":"en","page":"92-100","source":"ScienceDirect","title":"High pressure carbon dioxide pasteurization of fresh-cut carrot","volume":"79","author":[{"family":"Spilimbergo","given":"Sara"},{"family":"Komes","given":"Drazenka"},{"family":"Vojvodic","given":"Aleksandra"},{"family":"Levaj","given":"Branka"},{"family":"Ferrentino","given":"Giovanna"}],"issued":{"date-parts":[["2013",7,1]]}}},{"id":9,"uris":["http://zotero.org/users/6511723/items/527NQQDK"],"itemData":{"id":9,"type":"article-journal","container-title":"Journal of Food Protection","ISSN":"0362-028X","issue":"5","journalAbbreviation":"J Food Prot","language":"en","note":"publisher: Allen Press","page":"1015-1017","source":"meridian.allenpress.com","title":"Nonthermal Inactivation of Escherichia coli K-12 on Spinach Leaves, Using Dense Phase Carbon Dioxide","volume":"71","author":[{"family":"Zhong","given":"Qixin"},{"family":"Black","given":"D. Glenn"},{"family":"Davidson","given":"P. Michael"},{"family":"Golden","given":"David A."}],"issued":{"date-parts":[["2008",5,1]]}}}],"schema":"https://github.com/citation-style-language/schema/raw/master/csl-citation.json"} </w:instrText>
      </w:r>
      <w:r w:rsidR="007E026C" w:rsidRPr="00736C50">
        <w:fldChar w:fldCharType="separate"/>
      </w:r>
      <w:r w:rsidR="0019655F" w:rsidRPr="0019655F">
        <w:rPr>
          <w:rFonts w:cs="Arial"/>
        </w:rPr>
        <w:t>(Chen et al., 2022; Spilimbergo et al., 2013; Zhong et al., 2008)</w:t>
      </w:r>
      <w:r w:rsidR="007E026C" w:rsidRPr="00736C50">
        <w:fldChar w:fldCharType="end"/>
      </w:r>
      <w:r w:rsidRPr="000A70D0">
        <w:rPr>
          <w:lang w:val="en-GB"/>
        </w:rPr>
        <w:t xml:space="preserve">. </w:t>
      </w:r>
    </w:p>
    <w:p w14:paraId="7DF947DD" w14:textId="0938FDBE" w:rsidR="00F070FF" w:rsidRPr="00736C50" w:rsidRDefault="00F070FF" w:rsidP="00F070FF">
      <w:pPr>
        <w:pStyle w:val="CETBodytext"/>
      </w:pPr>
      <w:r w:rsidRPr="00736C50">
        <w:t>However,</w:t>
      </w:r>
      <w:r w:rsidR="00D145E8" w:rsidRPr="00736C50">
        <w:t xml:space="preserve"> direct pasteurization methods, like s</w:t>
      </w:r>
      <w:r w:rsidRPr="00736C50">
        <w:t>c</w:t>
      </w:r>
      <w:r w:rsidR="00CF265B" w:rsidRPr="00736C50">
        <w:t>CO</w:t>
      </w:r>
      <w:r w:rsidR="00CF265B" w:rsidRPr="00736C50">
        <w:rPr>
          <w:vertAlign w:val="subscript"/>
        </w:rPr>
        <w:t>2</w:t>
      </w:r>
      <w:r w:rsidR="00D145E8" w:rsidRPr="00736C50">
        <w:t xml:space="preserve">, present some obstacles for their industrial application </w:t>
      </w:r>
      <w:r w:rsidRPr="00736C50">
        <w:t xml:space="preserve">for solid </w:t>
      </w:r>
      <w:r w:rsidR="00D145E8" w:rsidRPr="00736C50">
        <w:t xml:space="preserve">food </w:t>
      </w:r>
      <w:r w:rsidRPr="00736C50">
        <w:t>products</w:t>
      </w:r>
      <w:r w:rsidR="00D145E8" w:rsidRPr="00736C50">
        <w:t>.</w:t>
      </w:r>
      <w:r w:rsidRPr="00736C50">
        <w:t xml:space="preserve"> </w:t>
      </w:r>
      <w:r w:rsidR="00D145E8" w:rsidRPr="00736C50">
        <w:t>In particular, t</w:t>
      </w:r>
      <w:r w:rsidRPr="00736C50">
        <w:t>he major one is the risk of cross-contamination during the post-process operation, especially packaging, which requires expensive aseptic systems.</w:t>
      </w:r>
      <w:r w:rsidR="00EA0C2B">
        <w:t xml:space="preserve"> To </w:t>
      </w:r>
      <w:r w:rsidR="00F2738D">
        <w:t xml:space="preserve">mitigate </w:t>
      </w:r>
      <w:r w:rsidR="00EA0C2B">
        <w:t>this obstacle,</w:t>
      </w:r>
      <w:r w:rsidRPr="00736C50">
        <w:t xml:space="preserve"> </w:t>
      </w:r>
      <w:r w:rsidR="002F2705">
        <w:fldChar w:fldCharType="begin"/>
      </w:r>
      <w:r w:rsidR="00315C27">
        <w:instrText xml:space="preserve"> ADDIN ZOTERO_ITEM CSL_CITATION {"citationID":"iB66Tpde","properties":{"formattedCitation":"(Barberi et al., 2021; Zambon et al., 2022)","plainCitation":"(Barberi et al., 2021; Zambon et al., 2022)","dontUpdate":true,"noteIndex":0},"citationItems":[{"id":392,"uris":["http://zotero.org/users/6511723/items/CMS6GUBL"],"itemData":{"id":392,"type":"article-journal","abstract":"A high-pressure CO2 process applied to ready-to-eat food products guarantees an increase of both their microbial safety and shelf-life. However, the treatment often produces unwanted changes in the visual appearance of products depending on the adopted process conditions. Accordingly, the alteration of the visual appearance influences consumers&amp;rsquo; perception and acceptability. This study aims at identifying the optimal treatment conditions in terms of visual appearance by using an artificial vision system. The developed methodology was applied to fresh-cut carrots (Daucus carota) as the test product. The results showed that carrots packaged in 100% CO2 and subsequently treated at 6 MPa and 40 &amp;deg;C for 15 min maintained an appearance similar to the fresh product for up to 7 days of storage at 4 &amp;deg;C. Mild appearance changes were identified at 7 and 14 days of storage in the processed products. Microbiological analysis performed on the optimal treatment condition showed the microbiological stability of the samples up to 14 days of storage at 4 &amp;deg;C. The artificial vision system, successfully applied to the CO2 pasteurization process, can easily be applied to any food process involving changes in the appearance of any food product.","container-title":"Foods","DOI":"10.3390/foods10122999","issue":"12","language":"en","license":"http://creativecommons.org/licenses/by/3.0/","note":"number: 12\npublisher: Multidisciplinary Digital Publishing Institute","page":"2999","source":"www.mdpi.com","title":"Optimization of the Appearance Quality in CO2 Processed Ready-to-Eat Carrots through Image Analysis","volume":"10","author":[{"family":"Barberi","given":"Gianmarco"},{"family":"González-Alonso","given":"Víctor"},{"family":"Spilimbergo","given":"Sara"},{"family":"Barolo","given":"Massimiliano"},{"family":"Zambon","given":"Alessandro"},{"family":"Facco","given":"Pierantonio"}],"issued":{"date-parts":[["2021",12]]}}},{"id":706,"uris":["http://zotero.org/users/6511723/items/X3YH6MZ3"],"itemData":{"id":706,"type":"article-journal","abstract":"This work presents a feasibility lab-scale study for a new preservation method to inactivate microorganisms and increase the shelf life of pre-packed fresh-cut products. Experiments were conducted on coriander leaves and fresh-cut carrots and coconut. The technology used the combination of hydrostatic pressure (&amp;lt;15 MPa), low temperature (≤45 °C), and CO2 modified atmosphere packaging (MAP). The inactivation was achieved for the naturally present microorganisms (total mesophilic bacteria, yeasts and molds, total coliforms) and inoculated E. coli. Yeasts and molds and coliform were under the detection limit in all the treated samples, while mesophiles were strongly reduced, but below the detection limit only in carrots. Inoculated E. coli strains were completely inactivated (&amp;gt;6.0 log CFU/g) on coconut, while a reduction &amp;gt;4.0 log CFU/g was achieved for carrots and coriander. For all the treated products, the texture was similar to the fresh ones, while a small alteration of color was detected. Microbiological stability was achieved for up to 14 days for both fresh-cut carrots and coconut. Overall, the results are promising for the development of a new mild and innovative food preservation technique for fresh food.","container-title":"Foods (Basel, Switzerland)","DOI":"10.3390/foods12010021","ISSN":"2304-8158","issue":"1","journalAbbreviation":"Foods","language":"eng","note":"PMID: 36613236\nPMCID: PMC9818350","page":"21","source":"PubMed","title":"Increasing the Safety and Storage of Pre-Packed Fresh-Cut Fruits and Vegetables by Supercritical CO2 Process","volume":"12","author":[{"family":"Zambon","given":"Alessandro"},{"family":"González-Alonso","given":"Víctor"},{"family":"Lomolino","given":"Giovanna"},{"family":"Zulli","given":"Riccardo"},{"family":"Rajkovic","given":"Andreja"},{"family":"Spilimbergo","given":"Sara"}],"issued":{"date-parts":[["2022",12,21]]}}}],"schema":"https://github.com/citation-style-language/schema/raw/master/csl-citation.json"} </w:instrText>
      </w:r>
      <w:r w:rsidR="002F2705">
        <w:fldChar w:fldCharType="separate"/>
      </w:r>
      <w:r w:rsidR="00B25365" w:rsidRPr="00B25365">
        <w:rPr>
          <w:rFonts w:cs="Arial"/>
        </w:rPr>
        <w:t xml:space="preserve">Barberi et al. </w:t>
      </w:r>
      <w:r w:rsidR="00B25365">
        <w:rPr>
          <w:rFonts w:cs="Arial"/>
        </w:rPr>
        <w:t>(</w:t>
      </w:r>
      <w:r w:rsidR="00B25365" w:rsidRPr="00B25365">
        <w:rPr>
          <w:rFonts w:cs="Arial"/>
        </w:rPr>
        <w:t>2021</w:t>
      </w:r>
      <w:r w:rsidR="00B25365">
        <w:rPr>
          <w:rFonts w:cs="Arial"/>
        </w:rPr>
        <w:t xml:space="preserve">) and </w:t>
      </w:r>
      <w:r w:rsidR="00B25365" w:rsidRPr="00B25365">
        <w:rPr>
          <w:rFonts w:cs="Arial"/>
        </w:rPr>
        <w:t xml:space="preserve"> Zambon et al. </w:t>
      </w:r>
      <w:r w:rsidR="00B25365">
        <w:rPr>
          <w:rFonts w:cs="Arial"/>
        </w:rPr>
        <w:t>(</w:t>
      </w:r>
      <w:r w:rsidR="00B25365" w:rsidRPr="00B25365">
        <w:rPr>
          <w:rFonts w:cs="Arial"/>
        </w:rPr>
        <w:t>2022)</w:t>
      </w:r>
      <w:r w:rsidR="002F2705">
        <w:fldChar w:fldCharType="end"/>
      </w:r>
      <w:r w:rsidR="00B25365">
        <w:t xml:space="preserve"> investigated a new patented process </w:t>
      </w:r>
      <w:r w:rsidR="00EA0C2B">
        <w:t>(scCO</w:t>
      </w:r>
      <w:r w:rsidR="00EA0C2B" w:rsidRPr="00EA0C2B">
        <w:rPr>
          <w:vertAlign w:val="subscript"/>
        </w:rPr>
        <w:t>2</w:t>
      </w:r>
      <w:r w:rsidR="00EA0C2B">
        <w:t>-MAP)</w:t>
      </w:r>
      <w:r w:rsidR="00C0761D">
        <w:t xml:space="preserve"> </w:t>
      </w:r>
      <w:r w:rsidR="00B25365">
        <w:fldChar w:fldCharType="begin"/>
      </w:r>
      <w:r w:rsidR="00B25365">
        <w:instrText xml:space="preserve"> ADDIN ZOTERO_ITEM CSL_CITATION {"citationID":"LMQOlcWa","properties":{"formattedCitation":"(Spilimbergo et al., 2017)","plainCitation":"(Spilimbergo et al., 2017)","noteIndex":0},"citationItems":[{"id":252,"uris":["http://zotero.org/users/6511723/items/IHMLAMHD"],"itemData":{"id":252,"type":"patent","abstract":"A method for treating food where inside a packaging, made of a material configured for containing a gas-mixture, a food product and a gas mixture including at least carbon dioxide are inserted. Then, on the sealed packaging a uniform pressure, between 4 MPa and 20 MPa, is applied to compress the food. During application of the pressure, the packaging is maintained at a temperature between 25° C. and 50° C.","authority":"United States","call-number":"US16/642,401","number":"US20200196619A1","title":"Method for food pasteurization","URL":"https://patents.google.com/patent/US20200196619A1/en","author":[{"family":"Spilimbergo","given":"Sara"},{"family":"Zambon","given":"Alessandro"},{"family":"Michelino","given":"Filippo"},{"family":"Polato","given":"Stefano"}],"accessed":{"date-parts":[["2020",11,14]]},"issued":{"date-parts":[["2017"]]},"submitted":{"date-parts":[["2017",9,11]]}}}],"schema":"https://github.com/citation-style-language/schema/raw/master/csl-citation.json"} </w:instrText>
      </w:r>
      <w:r w:rsidR="00B25365">
        <w:fldChar w:fldCharType="separate"/>
      </w:r>
      <w:r w:rsidR="0035325B" w:rsidRPr="0035325B">
        <w:rPr>
          <w:rFonts w:cs="Arial"/>
        </w:rPr>
        <w:t>(Spilimbergo et al., 2017)</w:t>
      </w:r>
      <w:r w:rsidR="00B25365">
        <w:fldChar w:fldCharType="end"/>
      </w:r>
      <w:r w:rsidR="00EA0C2B">
        <w:t xml:space="preserve"> which exploit the power of supercritical fluids by pressurizing products packaged in a CO</w:t>
      </w:r>
      <w:r w:rsidR="00EA0C2B" w:rsidRPr="00EA0C2B">
        <w:rPr>
          <w:vertAlign w:val="subscript"/>
        </w:rPr>
        <w:t>2</w:t>
      </w:r>
      <w:r w:rsidR="00EA0C2B">
        <w:t xml:space="preserve"> MAP.</w:t>
      </w:r>
      <w:r w:rsidR="00B25365">
        <w:t xml:space="preserve"> </w:t>
      </w:r>
      <w:r w:rsidRPr="00736C50">
        <w:t>The method has already been demonstrated effective on fresh-cut carrots</w:t>
      </w:r>
      <w:r w:rsidR="004203E1" w:rsidRPr="00736C50">
        <w:t>, coconut and coriander</w:t>
      </w:r>
      <w:r w:rsidR="00F2738D">
        <w:t xml:space="preserve"> a</w:t>
      </w:r>
      <w:r w:rsidR="00315C27">
        <w:t>t</w:t>
      </w:r>
      <w:r w:rsidR="00F2738D">
        <w:t xml:space="preserve"> lab scale</w:t>
      </w:r>
      <w:r w:rsidR="004203E1" w:rsidRPr="00736C50">
        <w:t>,</w:t>
      </w:r>
      <w:r w:rsidR="00B25365">
        <w:t xml:space="preserve"> with performance in terms</w:t>
      </w:r>
      <w:r w:rsidRPr="00736C50">
        <w:t xml:space="preserve"> of </w:t>
      </w:r>
      <w:r w:rsidR="00B25365">
        <w:t>microbial stability similar to scCO</w:t>
      </w:r>
      <w:r w:rsidR="00B25365" w:rsidRPr="00B25365">
        <w:rPr>
          <w:vertAlign w:val="subscript"/>
        </w:rPr>
        <w:t>2</w:t>
      </w:r>
      <w:r w:rsidR="00B25365">
        <w:t xml:space="preserve"> but with less detrimental effects on the products quality. </w:t>
      </w:r>
    </w:p>
    <w:p w14:paraId="0C3C9552" w14:textId="695EB555" w:rsidR="00331FE8" w:rsidRPr="00736C50" w:rsidRDefault="00331FE8" w:rsidP="00F070FF">
      <w:pPr>
        <w:pStyle w:val="CETBodytext"/>
      </w:pPr>
      <w:r w:rsidRPr="00736C50">
        <w:t xml:space="preserve">Fresh-cut potatoes are easily susceptible to microbial spoilage and loss of quality especially due to the high moisture content and respiration rate </w:t>
      </w:r>
      <w:r w:rsidRPr="00736C50">
        <w:fldChar w:fldCharType="begin"/>
      </w:r>
      <w:r w:rsidR="00D7251D" w:rsidRPr="00736C50">
        <w:instrText xml:space="preserve"> ADDIN ZOTERO_ITEM CSL_CITATION {"citationID":"jXE60FTm","properties":{"formattedCitation":"(Rashid et al., 2021)","plainCitation":"(Rashid et al., 2021)","noteIndex":0},"citationItems":[{"id":715,"uris":["http://zotero.org/users/6511723/items/CU74KPNX"],"itemData":{"id":715,"type":"article-journal","abstract":"Fresh-cut foods have become highly popular as these commodities are convenient to manage with premium freshness and quality. However, the shelf life of fresh-cut potatoes is limited. The traditional practice consists of a set of operations including washing, peeling, slicing, chemical treatment, packing, and storage. Besides, various chemical or synthetic additives are being applied to tackle quality-related issues such as browning, textural degradation, microbial spoilage, and shelf-life stability. Nevertheless, the demand for natural additives and nonthermal preservation techniques has increased with growing concerns about the potential health risks of chemical additives. This review paper discusses the use of various synthetic and natural food additives alone or in combination with the emerging nonthermal technologies for enhancing the quality characteristics of fresh-cut potatoes. Overall, the nonthermal processing technologies including sonication, cold plasma, high-pressure processing, ultraviolet, and pulsed electric field would be promising treatments for the fresh-cut food industry compared with conventional approaches. Practical applications Fresh-cut potato is highly susceptible to microbial spoilage and undergoes rapid loss of quality due to high moisture content and rapid metabolic rate. Researchers are exploring alternative nonthermal processing technologies for producing shelf-stable food products using a clean label approach. This review covers some recent advances concerning the use of chemical compounds, including plant natural antimicrobials and antioxidants, as well as nonthermal technologies for the quality maintenance of fresh-cut potato. These technologies are known to be safe, cost-effective, and can be upscaled for use in existing processing lines of the food industry.","container-title":"Journal of Food Processing and Preservation","DOI":"10.1111/jfpp.15582","ISSN":"1745-4549","issue":"6","language":"en","note":"_eprint: https://onlinelibrary.wiley.com/doi/pdf/10.1111/jfpp.15582","page":"e15582","source":"Wiley Online Library","title":"Enhancing the shelf stability of fresh-cut potatoes via chemical and nonthermal treatments","volume":"45","author":[{"family":"Rashid","given":"Muhammad Hamdan"},{"family":"Khan","given":"Moazzam Rafiq"},{"family":"Roobab","given":"Ume"},{"family":"Rajoka","given":"Muhammad Shahid Riaz"},{"family":"Inam-ur-Raheem","given":"Muhammad"},{"family":"Anwar","given":"Raheel"},{"family":"Ahmed","given":"Waqar"},{"family":"Jahan","given":"Musarrat"},{"family":"Ijaz","given":"Muhammad Rafaqat Ather"},{"family":"Asghar","given":"Malik Muhammad"},{"family":"Shabbir","given":"Muhammad Asim"},{"family":"Aadil","given":"Rana Muhammad"}],"issued":{"date-parts":[["2021"]]}}}],"schema":"https://github.com/citation-style-language/schema/raw/master/csl-citation.json"} </w:instrText>
      </w:r>
      <w:r w:rsidRPr="00736C50">
        <w:fldChar w:fldCharType="separate"/>
      </w:r>
      <w:r w:rsidR="0035325B" w:rsidRPr="0035325B">
        <w:rPr>
          <w:rFonts w:cs="Arial"/>
        </w:rPr>
        <w:t>(Rashid et al., 2021)</w:t>
      </w:r>
      <w:r w:rsidRPr="00736C50">
        <w:fldChar w:fldCharType="end"/>
      </w:r>
      <w:r w:rsidRPr="00736C50">
        <w:t xml:space="preserve">. For this reason, they are usually treated by the use of chemical compounds and blanching processes or packaged under aseptic conditions and/or frozen. </w:t>
      </w:r>
    </w:p>
    <w:p w14:paraId="0E2D9695" w14:textId="65F333AB" w:rsidR="006714B1" w:rsidRPr="00736C50" w:rsidRDefault="00331FE8" w:rsidP="00354885">
      <w:pPr>
        <w:pStyle w:val="CETBodytext"/>
      </w:pPr>
      <w:r w:rsidRPr="00736C50">
        <w:t xml:space="preserve">This study aimed at </w:t>
      </w:r>
      <w:r w:rsidR="00C53E32">
        <w:t xml:space="preserve">preliminary </w:t>
      </w:r>
      <w:r w:rsidRPr="00736C50">
        <w:t>investigating the possibility to apply the scCO</w:t>
      </w:r>
      <w:r w:rsidRPr="00736C50">
        <w:rPr>
          <w:vertAlign w:val="subscript"/>
        </w:rPr>
        <w:t>2</w:t>
      </w:r>
      <w:r w:rsidRPr="00736C50">
        <w:t xml:space="preserve">-MAP method for the treatment of fresh-cut potatoes in order to reduce their </w:t>
      </w:r>
      <w:r w:rsidR="00354885" w:rsidRPr="00736C50">
        <w:t xml:space="preserve">microbial contamination risk while maintaining their fresh-like aspect. In particular, the process parameters of the method (temperature, pressure and time) have been studied in function of the inactivation of a </w:t>
      </w:r>
      <w:r w:rsidR="00914388">
        <w:t xml:space="preserve">fecal indicator </w:t>
      </w:r>
      <w:r w:rsidR="00354885" w:rsidRPr="00736C50">
        <w:t>bacterium (</w:t>
      </w:r>
      <w:r w:rsidR="00354885" w:rsidRPr="007C689D">
        <w:rPr>
          <w:i/>
        </w:rPr>
        <w:t>Escherichia coli</w:t>
      </w:r>
      <w:r w:rsidR="00354885" w:rsidRPr="00736C50">
        <w:t xml:space="preserve">) and the aspect of the product, right after the process and after 7 days. </w:t>
      </w:r>
    </w:p>
    <w:p w14:paraId="24600CAE" w14:textId="6E5A02E2" w:rsidR="00BF67AD" w:rsidRPr="00736C50" w:rsidRDefault="00BF67AD" w:rsidP="006714B1">
      <w:pPr>
        <w:pStyle w:val="CETHeading1"/>
      </w:pPr>
      <w:r w:rsidRPr="00736C50">
        <w:t>Materials and method</w:t>
      </w:r>
    </w:p>
    <w:p w14:paraId="2A2DBA56" w14:textId="61F27471" w:rsidR="00BF67AD" w:rsidRPr="00CC1598" w:rsidRDefault="00BF67AD" w:rsidP="00BF67AD">
      <w:pPr>
        <w:pStyle w:val="CETheadingx"/>
      </w:pPr>
      <w:r w:rsidRPr="00CC1598">
        <w:t>Sample preparation</w:t>
      </w:r>
      <w:r w:rsidR="00684879" w:rsidRPr="00CC1598">
        <w:t xml:space="preserve"> and bacteria inoculation</w:t>
      </w:r>
    </w:p>
    <w:p w14:paraId="62881F2A" w14:textId="35AA4EDD" w:rsidR="004203E1" w:rsidRPr="00CC1598" w:rsidRDefault="00F070FF" w:rsidP="004203E1">
      <w:pPr>
        <w:pStyle w:val="CETBodytext"/>
      </w:pPr>
      <w:r w:rsidRPr="00CC1598">
        <w:t>Fresh potatoes (</w:t>
      </w:r>
      <w:r w:rsidRPr="00CC1598">
        <w:rPr>
          <w:i/>
        </w:rPr>
        <w:t>Solanum tuberosum</w:t>
      </w:r>
      <w:r w:rsidRPr="00CC1598">
        <w:t>) were purchased from a local market (Padova, Italy)</w:t>
      </w:r>
      <w:r w:rsidR="00D73D76" w:rsidRPr="00CC1598">
        <w:t xml:space="preserve">, </w:t>
      </w:r>
      <w:r w:rsidRPr="00CC1598">
        <w:t>peeled and cut into</w:t>
      </w:r>
      <w:r w:rsidR="00E71F52" w:rsidRPr="00CC1598">
        <w:t xml:space="preserve"> </w:t>
      </w:r>
      <w:r w:rsidRPr="00CC1598">
        <w:t xml:space="preserve">cubes </w:t>
      </w:r>
      <w:r w:rsidR="00D73D76" w:rsidRPr="00CC1598">
        <w:t>with a side of</w:t>
      </w:r>
      <w:r w:rsidRPr="00CC1598">
        <w:t xml:space="preserve"> </w:t>
      </w:r>
      <w:r w:rsidR="006714B1" w:rsidRPr="00CC1598">
        <w:t>1</w:t>
      </w:r>
      <w:r w:rsidRPr="00CC1598">
        <w:t xml:space="preserve">.5 cm. All the samples were prepared and processed </w:t>
      </w:r>
      <w:r w:rsidR="00736C50" w:rsidRPr="00CC1598">
        <w:t xml:space="preserve">on </w:t>
      </w:r>
      <w:r w:rsidRPr="00CC1598">
        <w:t>the same day of purchase.</w:t>
      </w:r>
      <w:r w:rsidR="00C556DE" w:rsidRPr="00CC1598">
        <w:t xml:space="preserve"> Fo</w:t>
      </w:r>
      <w:r w:rsidR="00830E1F" w:rsidRPr="00CC1598">
        <w:t>r the measurement of the inactiv</w:t>
      </w:r>
      <w:r w:rsidR="00C556DE" w:rsidRPr="00CC1598">
        <w:t>ation capacity of the process</w:t>
      </w:r>
      <w:r w:rsidR="00830E1F" w:rsidRPr="00CC1598">
        <w:t>,</w:t>
      </w:r>
      <w:r w:rsidR="00C556DE" w:rsidRPr="00CC1598">
        <w:t xml:space="preserve"> some samples were inoculated with a </w:t>
      </w:r>
      <w:r w:rsidR="004203E1" w:rsidRPr="00CC1598">
        <w:t xml:space="preserve">clinically isolated </w:t>
      </w:r>
      <w:r w:rsidR="004203E1" w:rsidRPr="00CC1598">
        <w:rPr>
          <w:i/>
        </w:rPr>
        <w:t>Escherichia coli</w:t>
      </w:r>
      <w:r w:rsidR="004203E1" w:rsidRPr="00CC1598">
        <w:t xml:space="preserve"> strain (NCTC 9001) as </w:t>
      </w:r>
      <w:r w:rsidR="00354885" w:rsidRPr="00CC1598">
        <w:t xml:space="preserve">a </w:t>
      </w:r>
      <w:r w:rsidR="00914388" w:rsidRPr="00CC1598">
        <w:t xml:space="preserve">fecal indicator </w:t>
      </w:r>
      <w:r w:rsidR="004203E1" w:rsidRPr="00CC1598">
        <w:t>microorganism. The strain was resuscitated from a frozen culture at -80</w:t>
      </w:r>
      <w:r w:rsidR="004921DA" w:rsidRPr="00CC1598">
        <w:t xml:space="preserve"> °C</w:t>
      </w:r>
      <w:r w:rsidR="004203E1" w:rsidRPr="00CC1598">
        <w:t xml:space="preserve"> by overnight incubation at 37</w:t>
      </w:r>
      <w:r w:rsidR="004921DA" w:rsidRPr="00CC1598">
        <w:t xml:space="preserve"> °C</w:t>
      </w:r>
      <w:r w:rsidR="004203E1" w:rsidRPr="00CC1598">
        <w:t xml:space="preserve"> in 10 mL of Luria-Bertani (LB) broth (</w:t>
      </w:r>
      <w:r w:rsidR="001845DA" w:rsidRPr="00CC1598">
        <w:t xml:space="preserve">Sacco system, </w:t>
      </w:r>
      <w:r w:rsidR="00483D4D" w:rsidRPr="00CC1598">
        <w:t xml:space="preserve">Como, </w:t>
      </w:r>
      <w:r w:rsidR="001845DA" w:rsidRPr="00CC1598">
        <w:t>Italy</w:t>
      </w:r>
      <w:r w:rsidR="004203E1" w:rsidRPr="00CC1598">
        <w:t>) until reaching the stationary phase. The microbial suspension was centrifuged</w:t>
      </w:r>
      <w:r w:rsidR="00674B49" w:rsidRPr="00CC1598">
        <w:t xml:space="preserve"> (</w:t>
      </w:r>
      <w:proofErr w:type="spellStart"/>
      <w:r w:rsidR="009D35BE" w:rsidRPr="00CC1598">
        <w:t>Rotina</w:t>
      </w:r>
      <w:proofErr w:type="spellEnd"/>
      <w:r w:rsidR="009D35BE" w:rsidRPr="00CC1598">
        <w:t xml:space="preserve"> 380, </w:t>
      </w:r>
      <w:proofErr w:type="spellStart"/>
      <w:r w:rsidR="009D35BE" w:rsidRPr="00CC1598">
        <w:t>Hettic</w:t>
      </w:r>
      <w:proofErr w:type="spellEnd"/>
      <w:r w:rsidR="009D35BE" w:rsidRPr="00CC1598">
        <w:t xml:space="preserve">, </w:t>
      </w:r>
      <w:r w:rsidR="00483D4D" w:rsidRPr="00CC1598">
        <w:t>Treviso, Italy)</w:t>
      </w:r>
      <w:r w:rsidR="004203E1" w:rsidRPr="00CC1598">
        <w:t xml:space="preserve"> at 6000 rpm for 8 min; the supernatant was removed, and the pellet </w:t>
      </w:r>
      <w:r w:rsidR="00736C50" w:rsidRPr="00CC1598">
        <w:t xml:space="preserve">was </w:t>
      </w:r>
      <w:r w:rsidR="004203E1" w:rsidRPr="00CC1598">
        <w:t>re-</w:t>
      </w:r>
      <w:r w:rsidR="00354885" w:rsidRPr="00CC1598">
        <w:t>suspended</w:t>
      </w:r>
      <w:r w:rsidR="004203E1" w:rsidRPr="00CC1598">
        <w:t xml:space="preserve"> in Ringer solution (</w:t>
      </w:r>
      <w:r w:rsidR="001845DA" w:rsidRPr="00CC1598">
        <w:t xml:space="preserve">Merck </w:t>
      </w:r>
      <w:proofErr w:type="spellStart"/>
      <w:r w:rsidR="001845DA" w:rsidRPr="00CC1598">
        <w:t>KGaA</w:t>
      </w:r>
      <w:proofErr w:type="spellEnd"/>
      <w:r w:rsidR="001845DA" w:rsidRPr="00CC1598">
        <w:t xml:space="preserve">, </w:t>
      </w:r>
      <w:r w:rsidR="00483D4D" w:rsidRPr="00CC1598">
        <w:t xml:space="preserve">Darmstadt, </w:t>
      </w:r>
      <w:r w:rsidR="001845DA" w:rsidRPr="00CC1598">
        <w:t>Germany</w:t>
      </w:r>
      <w:r w:rsidR="004203E1" w:rsidRPr="00CC1598">
        <w:t>) reaching a final concentration of around 1.0 x 10</w:t>
      </w:r>
      <w:r w:rsidR="004203E1" w:rsidRPr="00CC1598">
        <w:rPr>
          <w:vertAlign w:val="superscript"/>
        </w:rPr>
        <w:t>8</w:t>
      </w:r>
      <w:r w:rsidR="004203E1" w:rsidRPr="00CC1598">
        <w:t xml:space="preserve"> CFU/</w:t>
      </w:r>
      <w:proofErr w:type="spellStart"/>
      <w:r w:rsidR="004203E1" w:rsidRPr="00CC1598">
        <w:t>mL.</w:t>
      </w:r>
      <w:proofErr w:type="spellEnd"/>
      <w:r w:rsidR="004203E1" w:rsidRPr="00CC1598">
        <w:t xml:space="preserve"> Fresh-cut potato samples were immersed in the bacterial solution for 15 min under constant agitation and then dried after a laminar flow safety cabinet (</w:t>
      </w:r>
      <w:proofErr w:type="spellStart"/>
      <w:r w:rsidR="001845DA" w:rsidRPr="00CC1598">
        <w:t>BioAir</w:t>
      </w:r>
      <w:proofErr w:type="spellEnd"/>
      <w:r w:rsidR="001845DA" w:rsidRPr="00CC1598">
        <w:t xml:space="preserve">, </w:t>
      </w:r>
      <w:r w:rsidR="00483D4D" w:rsidRPr="00CC1598">
        <w:t xml:space="preserve">Pavia, </w:t>
      </w:r>
      <w:r w:rsidR="001845DA" w:rsidRPr="00CC1598">
        <w:t>Italy</w:t>
      </w:r>
      <w:r w:rsidR="004203E1" w:rsidRPr="00CC1598">
        <w:t xml:space="preserve">) for 60 min. </w:t>
      </w:r>
      <w:r w:rsidR="00D73D76" w:rsidRPr="00CC1598">
        <w:t xml:space="preserve">The inoculated products were then </w:t>
      </w:r>
      <w:r w:rsidR="00830E1F" w:rsidRPr="00CC1598">
        <w:t>packaged</w:t>
      </w:r>
      <w:r w:rsidR="008A2A6C" w:rsidRPr="00CC1598">
        <w:t>/</w:t>
      </w:r>
      <w:r w:rsidR="00D73D76" w:rsidRPr="00CC1598">
        <w:t>treated or directly analyzed</w:t>
      </w:r>
      <w:r w:rsidR="00830E1F" w:rsidRPr="00CC1598">
        <w:t xml:space="preserve"> to measure the initial load</w:t>
      </w:r>
      <w:r w:rsidR="008A2A6C" w:rsidRPr="00CC1598">
        <w:t xml:space="preserve"> (see </w:t>
      </w:r>
      <w:r w:rsidR="00CC1598" w:rsidRPr="00CC1598">
        <w:t>§</w:t>
      </w:r>
      <w:r w:rsidR="008A2A6C" w:rsidRPr="00CC1598">
        <w:t>2.4)</w:t>
      </w:r>
      <w:r w:rsidR="00830E1F" w:rsidRPr="00CC1598">
        <w:t>.</w:t>
      </w:r>
    </w:p>
    <w:p w14:paraId="604AB18B" w14:textId="7710B424" w:rsidR="00BF67AD" w:rsidRPr="00CC1598" w:rsidRDefault="00BF67AD" w:rsidP="00BF67AD">
      <w:pPr>
        <w:pStyle w:val="CETheadingx"/>
      </w:pPr>
      <w:r w:rsidRPr="00CC1598">
        <w:t>MAP packaging</w:t>
      </w:r>
      <w:r w:rsidR="00354885" w:rsidRPr="00CC1598">
        <w:t xml:space="preserve"> and storage</w:t>
      </w:r>
    </w:p>
    <w:p w14:paraId="1E847F49" w14:textId="0412DFE4" w:rsidR="00EE5C33" w:rsidRPr="00CC1598" w:rsidRDefault="007F7FF1" w:rsidP="007F7FF1">
      <w:pPr>
        <w:pStyle w:val="CETBodytext"/>
      </w:pPr>
      <w:r w:rsidRPr="00CC1598">
        <w:t xml:space="preserve">Each sample was packed </w:t>
      </w:r>
      <w:r w:rsidR="00830E1F" w:rsidRPr="00CC1598">
        <w:t xml:space="preserve">within </w:t>
      </w:r>
      <w:r w:rsidRPr="00CC1598">
        <w:t xml:space="preserve">a MAP filled with 100% </w:t>
      </w:r>
      <w:r w:rsidR="00CF265B" w:rsidRPr="00CC1598">
        <w:t>CO</w:t>
      </w:r>
      <w:r w:rsidR="00CF265B" w:rsidRPr="00CC1598">
        <w:rPr>
          <w:vertAlign w:val="subscript"/>
        </w:rPr>
        <w:t>2</w:t>
      </w:r>
      <w:r w:rsidRPr="00CC1598">
        <w:t xml:space="preserve"> </w:t>
      </w:r>
      <w:r w:rsidR="00F84760" w:rsidRPr="00CC1598">
        <w:t xml:space="preserve">(carbon dioxide 4.0, purity &gt; 99.8%, Nippon Gases Italia, Milano, Italy) </w:t>
      </w:r>
      <w:r w:rsidRPr="00CC1598">
        <w:t>at atmospheric pressure</w:t>
      </w:r>
      <w:r w:rsidR="00B43BD9" w:rsidRPr="00CC1598">
        <w:t xml:space="preserve">. </w:t>
      </w:r>
      <w:r w:rsidRPr="00CC1598">
        <w:t>10x10</w:t>
      </w:r>
      <w:r w:rsidR="00684879" w:rsidRPr="00CC1598">
        <w:t xml:space="preserve"> </w:t>
      </w:r>
      <w:r w:rsidRPr="00CC1598">
        <w:t xml:space="preserve">cm pouches of </w:t>
      </w:r>
      <w:r w:rsidR="001845DA" w:rsidRPr="00CC1598">
        <w:t xml:space="preserve">recyclable </w:t>
      </w:r>
      <w:r w:rsidR="00C3274D" w:rsidRPr="00CC1598">
        <w:t>multi-material</w:t>
      </w:r>
      <w:r w:rsidR="006D6A87" w:rsidRPr="00CC1598">
        <w:t xml:space="preserve"> </w:t>
      </w:r>
      <w:r w:rsidR="006D6A87" w:rsidRPr="00CC1598">
        <w:rPr>
          <w:rFonts w:cs="Arial"/>
          <w:color w:val="222222"/>
          <w:szCs w:val="18"/>
          <w:shd w:val="clear" w:color="auto" w:fill="FFFFFF"/>
        </w:rPr>
        <w:t>(</w:t>
      </w:r>
      <w:r w:rsidR="00D155BE" w:rsidRPr="00CC1598">
        <w:rPr>
          <w:rFonts w:cs="Arial"/>
          <w:color w:val="222222"/>
          <w:szCs w:val="18"/>
          <w:shd w:val="clear" w:color="auto" w:fill="FFFFFF"/>
        </w:rPr>
        <w:t>coextruded PE/</w:t>
      </w:r>
      <w:r w:rsidR="006D6A87" w:rsidRPr="00CC1598">
        <w:rPr>
          <w:rFonts w:cs="Arial"/>
          <w:color w:val="222222"/>
          <w:szCs w:val="18"/>
          <w:shd w:val="clear" w:color="auto" w:fill="FFFFFF"/>
        </w:rPr>
        <w:t>EVOH/PE)</w:t>
      </w:r>
      <w:r w:rsidR="006D6A87" w:rsidRPr="00CC1598">
        <w:t xml:space="preserve"> high-</w:t>
      </w:r>
      <w:r w:rsidRPr="00CC1598">
        <w:t>barrier film (</w:t>
      </w:r>
      <w:proofErr w:type="spellStart"/>
      <w:r w:rsidR="001845DA" w:rsidRPr="00CC1598">
        <w:t>Niederwieser</w:t>
      </w:r>
      <w:proofErr w:type="spellEnd"/>
      <w:r w:rsidR="001845DA" w:rsidRPr="00CC1598">
        <w:t>,</w:t>
      </w:r>
      <w:r w:rsidR="00D155BE" w:rsidRPr="00CC1598">
        <w:t xml:space="preserve"> </w:t>
      </w:r>
      <w:r w:rsidR="00483D4D" w:rsidRPr="00CC1598">
        <w:t xml:space="preserve">Modena, </w:t>
      </w:r>
      <w:r w:rsidR="00D155BE" w:rsidRPr="00CC1598">
        <w:t>Italy</w:t>
      </w:r>
      <w:r w:rsidRPr="00CC1598">
        <w:t>) were made using a</w:t>
      </w:r>
      <w:r w:rsidR="00F84760" w:rsidRPr="00CC1598">
        <w:t xml:space="preserve">n electrical sealer </w:t>
      </w:r>
      <w:r w:rsidRPr="00CC1598">
        <w:t xml:space="preserve">(FS300, Plastic Film Sealer, China). </w:t>
      </w:r>
      <w:r w:rsidR="00736C50" w:rsidRPr="00CC1598">
        <w:t>A</w:t>
      </w:r>
      <w:r w:rsidRPr="00CC1598">
        <w:t xml:space="preserve"> volume of </w:t>
      </w:r>
      <w:r w:rsidR="009613C4" w:rsidRPr="00CC1598">
        <w:t>100</w:t>
      </w:r>
      <w:r w:rsidR="00F37782" w:rsidRPr="00CC1598">
        <w:t xml:space="preserve"> </w:t>
      </w:r>
      <w:r w:rsidR="00830E1F" w:rsidRPr="00CC1598">
        <w:rPr>
          <w:rFonts w:cs="Arial"/>
        </w:rPr>
        <w:t>±</w:t>
      </w:r>
      <w:r w:rsidR="00CC1598">
        <w:rPr>
          <w:rFonts w:cs="Arial"/>
        </w:rPr>
        <w:t xml:space="preserve"> </w:t>
      </w:r>
      <w:r w:rsidR="00830E1F" w:rsidRPr="00CC1598">
        <w:t>10</w:t>
      </w:r>
      <w:r w:rsidRPr="00CC1598">
        <w:t xml:space="preserve"> mL was guaranteed for each sample</w:t>
      </w:r>
      <w:r w:rsidR="00684879" w:rsidRPr="00CC1598">
        <w:t xml:space="preserve">. </w:t>
      </w:r>
      <w:r w:rsidR="00371DBD" w:rsidRPr="00CC1598">
        <w:t xml:space="preserve">For the measurement of the color overtime, some packages (treated and untreated) were </w:t>
      </w:r>
      <w:r w:rsidR="00483D4D" w:rsidRPr="00CC1598">
        <w:t>stor</w:t>
      </w:r>
      <w:r w:rsidR="00371DBD" w:rsidRPr="00CC1598">
        <w:t xml:space="preserve">ed </w:t>
      </w:r>
      <w:r w:rsidR="00483D4D" w:rsidRPr="00CC1598">
        <w:t xml:space="preserve">at </w:t>
      </w:r>
      <w:r w:rsidR="005812BD" w:rsidRPr="00CC1598">
        <w:t>4</w:t>
      </w:r>
      <w:r w:rsidR="00F37782" w:rsidRPr="00CC1598">
        <w:t xml:space="preserve"> </w:t>
      </w:r>
      <w:r w:rsidR="00674B49" w:rsidRPr="00CC1598">
        <w:rPr>
          <w:rFonts w:cs="Arial"/>
        </w:rPr>
        <w:t>±</w:t>
      </w:r>
      <w:r w:rsidR="00F37782" w:rsidRPr="00CC1598">
        <w:rPr>
          <w:rFonts w:cs="Arial"/>
        </w:rPr>
        <w:t xml:space="preserve"> </w:t>
      </w:r>
      <w:r w:rsidR="00674B49" w:rsidRPr="00CC1598">
        <w:t>1</w:t>
      </w:r>
      <w:r w:rsidR="004921DA" w:rsidRPr="00CC1598">
        <w:t xml:space="preserve"> °C</w:t>
      </w:r>
      <w:r w:rsidR="005812BD" w:rsidRPr="00CC1598">
        <w:t xml:space="preserve"> </w:t>
      </w:r>
      <w:r w:rsidR="00371DBD" w:rsidRPr="00CC1598">
        <w:t xml:space="preserve">up to </w:t>
      </w:r>
      <w:r w:rsidR="005812BD" w:rsidRPr="00CC1598">
        <w:t xml:space="preserve">7 days. </w:t>
      </w:r>
    </w:p>
    <w:p w14:paraId="2453DEC5" w14:textId="1C250B66" w:rsidR="00EE5C33" w:rsidRPr="00CC1598" w:rsidRDefault="007F7FF1" w:rsidP="007F7FF1">
      <w:pPr>
        <w:pStyle w:val="CETheadingx"/>
      </w:pPr>
      <w:r w:rsidRPr="00CC1598">
        <w:t>High-pressure system</w:t>
      </w:r>
    </w:p>
    <w:p w14:paraId="5432FD07" w14:textId="51BC7224" w:rsidR="007F7FF1" w:rsidRPr="00CC1598" w:rsidRDefault="007F7FF1" w:rsidP="007F7FF1">
      <w:pPr>
        <w:pStyle w:val="CETBodytext"/>
      </w:pPr>
      <w:r w:rsidRPr="00CC1598">
        <w:t xml:space="preserve">The treatment was carried out in a high-pressure system as shown in Figure 1. Samples were inserted inside a </w:t>
      </w:r>
      <w:r w:rsidR="00936152" w:rsidRPr="00CC1598">
        <w:t>stainless-steel</w:t>
      </w:r>
      <w:r w:rsidRPr="00CC1598">
        <w:t xml:space="preserve"> vessel with an internal volume of 4 dm</w:t>
      </w:r>
      <w:r w:rsidRPr="00CC1598">
        <w:rPr>
          <w:vertAlign w:val="superscript"/>
        </w:rPr>
        <w:t>3</w:t>
      </w:r>
      <w:r w:rsidRPr="00CC1598">
        <w:t xml:space="preserve">, which was preheated before each test at the desired temperature thanks to an external heating cable system. Water is stored </w:t>
      </w:r>
      <w:r w:rsidR="00C3274D" w:rsidRPr="00CC1598">
        <w:t>in</w:t>
      </w:r>
      <w:r w:rsidRPr="00CC1598">
        <w:t xml:space="preserve"> a </w:t>
      </w:r>
      <w:r w:rsidR="00936152" w:rsidRPr="00CC1598">
        <w:t>stainless-steel</w:t>
      </w:r>
      <w:r w:rsidRPr="00CC1598">
        <w:t xml:space="preserve"> storage tank where it is preheated thanks to an immersion thermostat (M900-TI, MPM Instruments, Italy) and then pumped to the </w:t>
      </w:r>
      <w:r w:rsidR="00C3274D" w:rsidRPr="00CC1598">
        <w:t>high-pressure</w:t>
      </w:r>
      <w:r w:rsidRPr="00CC1598">
        <w:t xml:space="preserve"> vessel by the use of an air-driven hydraulic pump (G35LVE, </w:t>
      </w:r>
      <w:proofErr w:type="spellStart"/>
      <w:r w:rsidRPr="00CC1598">
        <w:t>Maximator</w:t>
      </w:r>
      <w:proofErr w:type="spellEnd"/>
      <w:r w:rsidRPr="00CC1598">
        <w:t>, Italy).</w:t>
      </w:r>
      <w:r w:rsidR="004921DA" w:rsidRPr="00CC1598">
        <w:t xml:space="preserve"> The system was designed to work at a maximum temperature and pressure of 50 °C and 20 MPa, respectively. </w:t>
      </w:r>
    </w:p>
    <w:p w14:paraId="2685FE74" w14:textId="66563FFB" w:rsidR="007F7FF1" w:rsidRPr="00CC1598" w:rsidRDefault="00182A6A" w:rsidP="007F7FF1">
      <w:pPr>
        <w:pStyle w:val="CETBodytext"/>
      </w:pPr>
      <w:r w:rsidRPr="00CC1598">
        <w:rPr>
          <w:noProof/>
        </w:rPr>
        <w:lastRenderedPageBreak/>
        <w:t xml:space="preserve"> </w:t>
      </w:r>
      <w:r w:rsidRPr="00CC1598">
        <w:rPr>
          <w:noProof/>
          <w:lang w:val="it-IT" w:eastAsia="it-IT"/>
        </w:rPr>
        <w:drawing>
          <wp:inline distT="0" distB="0" distL="0" distR="0" wp14:anchorId="7A3F570A" wp14:editId="0337B119">
            <wp:extent cx="3588343" cy="17907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50173" cy="1821555"/>
                    </a:xfrm>
                    <a:prstGeom prst="rect">
                      <a:avLst/>
                    </a:prstGeom>
                  </pic:spPr>
                </pic:pic>
              </a:graphicData>
            </a:graphic>
          </wp:inline>
        </w:drawing>
      </w:r>
    </w:p>
    <w:p w14:paraId="4A8526E5" w14:textId="0C55C675" w:rsidR="00FB2326" w:rsidRPr="00CC1598" w:rsidRDefault="007F7FF1" w:rsidP="00684879">
      <w:pPr>
        <w:pStyle w:val="CETCaption"/>
        <w:spacing w:before="0"/>
        <w:rPr>
          <w:lang w:val="en-US"/>
        </w:rPr>
      </w:pPr>
      <w:r w:rsidRPr="00CC1598">
        <w:rPr>
          <w:lang w:val="en-US"/>
        </w:rPr>
        <w:t xml:space="preserve">Figure 1: Scheme of the used high-pressure system (S: storage tank, P: </w:t>
      </w:r>
      <w:r w:rsidR="00182A6A" w:rsidRPr="00CC1598">
        <w:rPr>
          <w:lang w:val="en-US"/>
        </w:rPr>
        <w:t>pressure intensifier (air-driven pump)</w:t>
      </w:r>
      <w:r w:rsidRPr="00CC1598">
        <w:rPr>
          <w:lang w:val="en-US"/>
        </w:rPr>
        <w:t>, R: pasteurization vessel, TT. temperature transmitter, TC: temperature controller, PT: pressure transmitter)</w:t>
      </w:r>
    </w:p>
    <w:p w14:paraId="7DB86DB7" w14:textId="706079EF" w:rsidR="004203E1" w:rsidRPr="00CC1598" w:rsidRDefault="004203E1" w:rsidP="004203E1">
      <w:pPr>
        <w:pStyle w:val="CETheadingx"/>
      </w:pPr>
      <w:r w:rsidRPr="00CC1598">
        <w:t xml:space="preserve">Microbial </w:t>
      </w:r>
      <w:r w:rsidR="00D155BE" w:rsidRPr="00CC1598">
        <w:t>inactivation assessment</w:t>
      </w:r>
    </w:p>
    <w:p w14:paraId="2C4BE58A" w14:textId="79D6E0B6" w:rsidR="004203E1" w:rsidRPr="00CC1598" w:rsidRDefault="008F4EF6" w:rsidP="004203E1">
      <w:pPr>
        <w:pStyle w:val="CETBodytext"/>
      </w:pPr>
      <w:r w:rsidRPr="00CC1598">
        <w:t xml:space="preserve">Standard plate count technique was used to analyze the </w:t>
      </w:r>
      <w:r w:rsidR="00936152" w:rsidRPr="00CC1598">
        <w:rPr>
          <w:i/>
        </w:rPr>
        <w:t>E. coli</w:t>
      </w:r>
      <w:r w:rsidRPr="00CC1598">
        <w:t xml:space="preserve"> microbial load before and after the treatment. Samples were place</w:t>
      </w:r>
      <w:r w:rsidR="004A74BF" w:rsidRPr="00CC1598">
        <w:t>d</w:t>
      </w:r>
      <w:r w:rsidRPr="00CC1598">
        <w:t xml:space="preserve"> in a 50</w:t>
      </w:r>
      <w:r w:rsidR="00D155BE" w:rsidRPr="00CC1598">
        <w:t xml:space="preserve"> </w:t>
      </w:r>
      <w:r w:rsidRPr="00CC1598">
        <w:t xml:space="preserve">mL falcon tubes in sterility conditions, diluted 1:10 in Ringer solution and vortexed at 2400 rpm for 90 s. The solution was serially diluted (1:10) in Ringer solution and 100 </w:t>
      </w:r>
      <w:proofErr w:type="spellStart"/>
      <w:r w:rsidRPr="00CC1598">
        <w:rPr>
          <w:rFonts w:cs="Arial"/>
        </w:rPr>
        <w:t>μ</w:t>
      </w:r>
      <w:r w:rsidRPr="00CC1598">
        <w:t>L</w:t>
      </w:r>
      <w:proofErr w:type="spellEnd"/>
      <w:r w:rsidRPr="00CC1598">
        <w:t xml:space="preserve"> of the appropriate dilutions were spread-plated on M</w:t>
      </w:r>
      <w:r w:rsidR="00D12CF8" w:rsidRPr="00CC1598">
        <w:t>a</w:t>
      </w:r>
      <w:r w:rsidRPr="00CC1598">
        <w:t>cConkey agar (</w:t>
      </w:r>
      <w:r w:rsidR="001845DA" w:rsidRPr="00CC1598">
        <w:t>Microbiol, Italy</w:t>
      </w:r>
      <w:r w:rsidRPr="00CC1598">
        <w:t>). Plates were then incubated at 37</w:t>
      </w:r>
      <w:r w:rsidR="004921DA" w:rsidRPr="00CC1598">
        <w:t xml:space="preserve"> °C</w:t>
      </w:r>
      <w:r w:rsidRPr="00CC1598">
        <w:t xml:space="preserve"> for 24</w:t>
      </w:r>
      <w:r w:rsidR="00D155BE" w:rsidRPr="00CC1598">
        <w:t xml:space="preserve"> </w:t>
      </w:r>
      <w:r w:rsidRPr="00CC1598">
        <w:t xml:space="preserve">h. At least three independent </w:t>
      </w:r>
      <w:r w:rsidR="00D155BE" w:rsidRPr="00CC1598">
        <w:t>analysis</w:t>
      </w:r>
      <w:r w:rsidRPr="00CC1598">
        <w:t xml:space="preserve"> were carried out for each </w:t>
      </w:r>
      <w:r w:rsidR="00936152" w:rsidRPr="00CC1598">
        <w:t>condition</w:t>
      </w:r>
      <w:r w:rsidRPr="00CC1598">
        <w:t>.</w:t>
      </w:r>
      <w:r w:rsidR="009D35BE" w:rsidRPr="00CC1598">
        <w:t xml:space="preserve"> </w:t>
      </w:r>
    </w:p>
    <w:p w14:paraId="3EC330C9" w14:textId="741D8B5D" w:rsidR="004203E1" w:rsidRPr="00CC1598" w:rsidRDefault="004203E1" w:rsidP="004203E1">
      <w:pPr>
        <w:pStyle w:val="CETheadingx"/>
      </w:pPr>
      <w:r w:rsidRPr="00CC1598">
        <w:t>Color measurement</w:t>
      </w:r>
    </w:p>
    <w:p w14:paraId="613370A6" w14:textId="6E438CE1" w:rsidR="004203E1" w:rsidRPr="00CC1598" w:rsidRDefault="004203E1" w:rsidP="004203E1">
      <w:pPr>
        <w:pStyle w:val="CETBodytext"/>
      </w:pPr>
      <w:r w:rsidRPr="00CC1598">
        <w:t xml:space="preserve">The color of each sample was determined using the </w:t>
      </w:r>
      <w:proofErr w:type="spellStart"/>
      <w:r w:rsidR="00354885" w:rsidRPr="00CC1598">
        <w:t>CIELab</w:t>
      </w:r>
      <w:proofErr w:type="spellEnd"/>
      <w:r w:rsidRPr="00CC1598">
        <w:t xml:space="preserve"> color space, largely used for food analysis. L* represents the lightness component, while a* and b* </w:t>
      </w:r>
      <w:r w:rsidR="00354885" w:rsidRPr="00CC1598">
        <w:t>respectively represent redness and yellowness (</w:t>
      </w:r>
      <w:r w:rsidRPr="00CC1598">
        <w:t>+a* and −a* indicate the direction of red and green, +b* and −b* indicate the direction of yellow and blue</w:t>
      </w:r>
      <w:r w:rsidR="00354885" w:rsidRPr="00CC1598">
        <w:t>)</w:t>
      </w:r>
      <w:r w:rsidRPr="00CC1598">
        <w:t xml:space="preserve">. The color was measured for each sample, before and after the treatment using a precision colorimeter (NR100, 3nh Technology Co., Ltd., China), with a D65 light source and CIE 10° standard observer at 8/d illuminating geometry and a 4 mm aperture. </w:t>
      </w:r>
      <w:r w:rsidR="0045689D" w:rsidRPr="00CC1598">
        <w:t>Color was also measured for both treated and untreated products (packaged in CO</w:t>
      </w:r>
      <w:r w:rsidR="0045689D" w:rsidRPr="00CC1598">
        <w:rPr>
          <w:vertAlign w:val="subscript"/>
        </w:rPr>
        <w:t>2</w:t>
      </w:r>
      <w:r w:rsidR="0045689D" w:rsidRPr="00CC1598">
        <w:t>) and stored at 4</w:t>
      </w:r>
      <w:r w:rsidR="004921DA" w:rsidRPr="00CC1598">
        <w:t xml:space="preserve"> °C</w:t>
      </w:r>
      <w:r w:rsidR="0045689D" w:rsidRPr="00CC1598">
        <w:t>. Total color</w:t>
      </w:r>
      <w:r w:rsidRPr="00CC1598">
        <w:t xml:space="preserve"> difference </w:t>
      </w:r>
      <w:r w:rsidR="00674B49" w:rsidRPr="00CC1598">
        <w:t>(</w:t>
      </w:r>
      <w:r w:rsidR="00674B49" w:rsidRPr="00CC1598">
        <w:rPr>
          <w:rFonts w:cs="Arial"/>
          <w:i/>
        </w:rPr>
        <w:t>Δ</w:t>
      </w:r>
      <w:r w:rsidR="00674B49" w:rsidRPr="00CC1598">
        <w:rPr>
          <w:i/>
        </w:rPr>
        <w:t>E</w:t>
      </w:r>
      <w:r w:rsidR="00674B49" w:rsidRPr="00CC1598">
        <w:t>)</w:t>
      </w:r>
      <w:r w:rsidR="00483D4D" w:rsidRPr="00CC1598">
        <w:t xml:space="preserve"> </w:t>
      </w:r>
      <w:r w:rsidR="0045689D" w:rsidRPr="00CC1598">
        <w:t xml:space="preserve">was </w:t>
      </w:r>
      <w:r w:rsidRPr="00CC1598">
        <w:t xml:space="preserve">calculated by </w:t>
      </w:r>
      <w:r w:rsidR="0045689D" w:rsidRPr="00CC1598">
        <w:t xml:space="preserve">the equation: </w:t>
      </w:r>
    </w:p>
    <w:tbl>
      <w:tblPr>
        <w:tblW w:w="5000" w:type="pct"/>
        <w:tblLook w:val="04A0" w:firstRow="1" w:lastRow="0" w:firstColumn="1" w:lastColumn="0" w:noHBand="0" w:noVBand="1"/>
      </w:tblPr>
      <w:tblGrid>
        <w:gridCol w:w="7988"/>
        <w:gridCol w:w="799"/>
      </w:tblGrid>
      <w:tr w:rsidR="004203E1" w:rsidRPr="00CC1598" w14:paraId="7A6EBCFB" w14:textId="77777777" w:rsidTr="00C0761D">
        <w:trPr>
          <w:trHeight w:val="567"/>
        </w:trPr>
        <w:tc>
          <w:tcPr>
            <w:tcW w:w="8188" w:type="dxa"/>
            <w:shd w:val="clear" w:color="auto" w:fill="auto"/>
            <w:vAlign w:val="center"/>
          </w:tcPr>
          <w:p w14:paraId="0D758426" w14:textId="77777777" w:rsidR="004203E1" w:rsidRPr="00CC1598" w:rsidRDefault="004203E1" w:rsidP="004921DA">
            <w:pPr>
              <w:pStyle w:val="CETEquation"/>
              <w:rPr>
                <w:rFonts w:cs="Arial"/>
                <w:lang w:val="en-US"/>
              </w:rPr>
            </w:pPr>
            <m:oMathPara>
              <m:oMathParaPr>
                <m:jc m:val="left"/>
              </m:oMathParaPr>
              <m:oMath>
                <m:r>
                  <m:rPr>
                    <m:sty m:val="p"/>
                  </m:rPr>
                  <w:rPr>
                    <w:rFonts w:ascii="Cambria Math" w:hAnsi="Cambria Math" w:cs="Arial"/>
                    <w:lang w:val="en-US"/>
                  </w:rPr>
                  <m:t>∆</m:t>
                </m:r>
                <m:r>
                  <w:rPr>
                    <w:rFonts w:ascii="Cambria Math" w:hAnsi="Cambria Math" w:cs="Arial"/>
                    <w:lang w:val="en-US"/>
                  </w:rPr>
                  <m:t>E</m:t>
                </m:r>
                <m:r>
                  <m:rPr>
                    <m:sty m:val="p"/>
                  </m:rPr>
                  <w:rPr>
                    <w:rFonts w:ascii="Cambria Math" w:hAnsi="Cambria Math" w:cs="Arial"/>
                    <w:lang w:val="en-US"/>
                  </w:rPr>
                  <m:t>=</m:t>
                </m:r>
                <m:rad>
                  <m:radPr>
                    <m:degHide m:val="1"/>
                    <m:ctrlPr>
                      <w:rPr>
                        <w:rFonts w:ascii="Cambria Math" w:hAnsi="Cambria Math" w:cs="Arial"/>
                        <w:lang w:val="en-US"/>
                      </w:rPr>
                    </m:ctrlPr>
                  </m:radPr>
                  <m:deg/>
                  <m:e>
                    <m:sSup>
                      <m:sSupPr>
                        <m:ctrlPr>
                          <w:rPr>
                            <w:rFonts w:ascii="Cambria Math" w:hAnsi="Cambria Math" w:cs="Arial"/>
                            <w:lang w:val="en-US"/>
                          </w:rPr>
                        </m:ctrlPr>
                      </m:sSupPr>
                      <m:e>
                        <m:d>
                          <m:dPr>
                            <m:ctrlPr>
                              <w:rPr>
                                <w:rFonts w:ascii="Cambria Math" w:hAnsi="Cambria Math" w:cs="Arial"/>
                                <w:lang w:val="en-US"/>
                              </w:rPr>
                            </m:ctrlPr>
                          </m:dPr>
                          <m:e>
                            <m:sSubSup>
                              <m:sSubSupPr>
                                <m:ctrlPr>
                                  <w:rPr>
                                    <w:rFonts w:ascii="Cambria Math" w:hAnsi="Cambria Math" w:cs="Arial"/>
                                    <w:lang w:val="en-US"/>
                                  </w:rPr>
                                </m:ctrlPr>
                              </m:sSubSupPr>
                              <m:e>
                                <m:r>
                                  <w:rPr>
                                    <w:rFonts w:ascii="Cambria Math" w:hAnsi="Cambria Math" w:cs="Arial"/>
                                    <w:lang w:val="en-US"/>
                                  </w:rPr>
                                  <m:t>L</m:t>
                                </m:r>
                              </m:e>
                              <m:sub>
                                <m:r>
                                  <m:rPr>
                                    <m:sty m:val="p"/>
                                  </m:rPr>
                                  <w:rPr>
                                    <w:rFonts w:ascii="Cambria Math" w:hAnsi="Cambria Math" w:cs="Arial"/>
                                    <w:lang w:val="en-US"/>
                                  </w:rPr>
                                  <m:t>2</m:t>
                                </m:r>
                              </m:sub>
                              <m:sup>
                                <m:r>
                                  <m:rPr>
                                    <m:sty m:val="p"/>
                                  </m:rPr>
                                  <w:rPr>
                                    <w:rFonts w:ascii="Cambria Math" w:hAnsi="Cambria Math" w:cs="Arial"/>
                                    <w:lang w:val="en-US"/>
                                  </w:rPr>
                                  <m:t>*</m:t>
                                </m:r>
                              </m:sup>
                            </m:sSubSup>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L</m:t>
                                </m:r>
                              </m:e>
                              <m:sub>
                                <m:r>
                                  <m:rPr>
                                    <m:sty m:val="p"/>
                                  </m:rPr>
                                  <w:rPr>
                                    <w:rFonts w:ascii="Cambria Math" w:hAnsi="Cambria Math" w:cs="Arial"/>
                                    <w:lang w:val="en-US"/>
                                  </w:rPr>
                                  <m:t>1</m:t>
                                </m:r>
                              </m:sub>
                              <m:sup>
                                <m:r>
                                  <m:rPr>
                                    <m:sty m:val="p"/>
                                  </m:rPr>
                                  <w:rPr>
                                    <w:rFonts w:ascii="Cambria Math" w:hAnsi="Cambria Math" w:cs="Arial"/>
                                    <w:lang w:val="en-US"/>
                                  </w:rPr>
                                  <m:t>*</m:t>
                                </m:r>
                              </m:sup>
                            </m:sSubSup>
                          </m:e>
                        </m:d>
                      </m:e>
                      <m:sup>
                        <m:r>
                          <m:rPr>
                            <m:sty m:val="p"/>
                          </m:rPr>
                          <w:rPr>
                            <w:rFonts w:ascii="Cambria Math" w:hAnsi="Cambria Math" w:cs="Arial"/>
                            <w:lang w:val="en-US"/>
                          </w:rPr>
                          <m:t>2</m:t>
                        </m:r>
                      </m:sup>
                    </m:sSup>
                    <m:r>
                      <m:rPr>
                        <m:sty m:val="p"/>
                      </m:rPr>
                      <w:rPr>
                        <w:rFonts w:ascii="Cambria Math" w:hAnsi="Cambria Math" w:cs="Arial"/>
                        <w:lang w:val="en-US"/>
                      </w:rPr>
                      <m:t>+</m:t>
                    </m:r>
                    <m:sSup>
                      <m:sSupPr>
                        <m:ctrlPr>
                          <w:rPr>
                            <w:rFonts w:ascii="Cambria Math" w:hAnsi="Cambria Math" w:cs="Arial"/>
                            <w:lang w:val="en-US"/>
                          </w:rPr>
                        </m:ctrlPr>
                      </m:sSupPr>
                      <m:e>
                        <m:d>
                          <m:dPr>
                            <m:ctrlPr>
                              <w:rPr>
                                <w:rFonts w:ascii="Cambria Math" w:hAnsi="Cambria Math" w:cs="Arial"/>
                                <w:lang w:val="en-US"/>
                              </w:rPr>
                            </m:ctrlPr>
                          </m:dPr>
                          <m:e>
                            <m:sSubSup>
                              <m:sSubSupPr>
                                <m:ctrlPr>
                                  <w:rPr>
                                    <w:rFonts w:ascii="Cambria Math" w:hAnsi="Cambria Math" w:cs="Arial"/>
                                    <w:lang w:val="en-US"/>
                                  </w:rPr>
                                </m:ctrlPr>
                              </m:sSubSupPr>
                              <m:e>
                                <m:r>
                                  <w:rPr>
                                    <w:rFonts w:ascii="Cambria Math" w:hAnsi="Cambria Math" w:cs="Arial"/>
                                    <w:lang w:val="en-US"/>
                                  </w:rPr>
                                  <m:t>a</m:t>
                                </m:r>
                              </m:e>
                              <m:sub>
                                <m:r>
                                  <m:rPr>
                                    <m:sty m:val="p"/>
                                  </m:rPr>
                                  <w:rPr>
                                    <w:rFonts w:ascii="Cambria Math" w:hAnsi="Cambria Math" w:cs="Arial"/>
                                    <w:lang w:val="en-US"/>
                                  </w:rPr>
                                  <m:t>2</m:t>
                                </m:r>
                              </m:sub>
                              <m:sup>
                                <m:r>
                                  <m:rPr>
                                    <m:sty m:val="p"/>
                                  </m:rPr>
                                  <w:rPr>
                                    <w:rFonts w:ascii="Cambria Math" w:hAnsi="Cambria Math" w:cs="Arial"/>
                                    <w:lang w:val="en-US"/>
                                  </w:rPr>
                                  <m:t>*</m:t>
                                </m:r>
                              </m:sup>
                            </m:sSubSup>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a</m:t>
                                </m:r>
                              </m:e>
                              <m:sub>
                                <m:r>
                                  <m:rPr>
                                    <m:sty m:val="p"/>
                                  </m:rPr>
                                  <w:rPr>
                                    <w:rFonts w:ascii="Cambria Math" w:hAnsi="Cambria Math" w:cs="Arial"/>
                                    <w:lang w:val="en-US"/>
                                  </w:rPr>
                                  <m:t>1</m:t>
                                </m:r>
                              </m:sub>
                              <m:sup>
                                <m:r>
                                  <m:rPr>
                                    <m:sty m:val="p"/>
                                  </m:rPr>
                                  <w:rPr>
                                    <w:rFonts w:ascii="Cambria Math" w:hAnsi="Cambria Math" w:cs="Arial"/>
                                    <w:lang w:val="en-US"/>
                                  </w:rPr>
                                  <m:t>*</m:t>
                                </m:r>
                              </m:sup>
                            </m:sSubSup>
                          </m:e>
                        </m:d>
                      </m:e>
                      <m:sup>
                        <m:r>
                          <m:rPr>
                            <m:sty m:val="p"/>
                          </m:rPr>
                          <w:rPr>
                            <w:rFonts w:ascii="Cambria Math" w:hAnsi="Cambria Math" w:cs="Arial"/>
                            <w:lang w:val="en-US"/>
                          </w:rPr>
                          <m:t>2</m:t>
                        </m:r>
                      </m:sup>
                    </m:sSup>
                    <m:r>
                      <m:rPr>
                        <m:sty m:val="p"/>
                      </m:rPr>
                      <w:rPr>
                        <w:rFonts w:ascii="Cambria Math" w:hAnsi="Cambria Math" w:cs="Arial"/>
                        <w:lang w:val="en-US"/>
                      </w:rPr>
                      <m:t>+</m:t>
                    </m:r>
                    <m:sSup>
                      <m:sSupPr>
                        <m:ctrlPr>
                          <w:rPr>
                            <w:rFonts w:ascii="Cambria Math" w:hAnsi="Cambria Math" w:cs="Arial"/>
                            <w:lang w:val="en-US"/>
                          </w:rPr>
                        </m:ctrlPr>
                      </m:sSupPr>
                      <m:e>
                        <m:d>
                          <m:dPr>
                            <m:ctrlPr>
                              <w:rPr>
                                <w:rFonts w:ascii="Cambria Math" w:hAnsi="Cambria Math" w:cs="Arial"/>
                                <w:lang w:val="en-US"/>
                              </w:rPr>
                            </m:ctrlPr>
                          </m:dPr>
                          <m:e>
                            <m:sSubSup>
                              <m:sSubSupPr>
                                <m:ctrlPr>
                                  <w:rPr>
                                    <w:rFonts w:ascii="Cambria Math" w:hAnsi="Cambria Math" w:cs="Arial"/>
                                    <w:lang w:val="en-US"/>
                                  </w:rPr>
                                </m:ctrlPr>
                              </m:sSubSupPr>
                              <m:e>
                                <m:r>
                                  <w:rPr>
                                    <w:rFonts w:ascii="Cambria Math" w:hAnsi="Cambria Math" w:cs="Arial"/>
                                    <w:lang w:val="en-US"/>
                                  </w:rPr>
                                  <m:t>b</m:t>
                                </m:r>
                              </m:e>
                              <m:sub>
                                <m:r>
                                  <m:rPr>
                                    <m:sty m:val="p"/>
                                  </m:rPr>
                                  <w:rPr>
                                    <w:rFonts w:ascii="Cambria Math" w:hAnsi="Cambria Math" w:cs="Arial"/>
                                    <w:lang w:val="en-US"/>
                                  </w:rPr>
                                  <m:t>2</m:t>
                                </m:r>
                              </m:sub>
                              <m:sup>
                                <m:r>
                                  <m:rPr>
                                    <m:sty m:val="p"/>
                                  </m:rPr>
                                  <w:rPr>
                                    <w:rFonts w:ascii="Cambria Math" w:hAnsi="Cambria Math" w:cs="Arial"/>
                                    <w:lang w:val="en-US"/>
                                  </w:rPr>
                                  <m:t>*</m:t>
                                </m:r>
                              </m:sup>
                            </m:sSubSup>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b</m:t>
                                </m:r>
                              </m:e>
                              <m:sub>
                                <m:r>
                                  <m:rPr>
                                    <m:sty m:val="p"/>
                                  </m:rPr>
                                  <w:rPr>
                                    <w:rFonts w:ascii="Cambria Math" w:hAnsi="Cambria Math" w:cs="Arial"/>
                                    <w:lang w:val="en-US"/>
                                  </w:rPr>
                                  <m:t>1</m:t>
                                </m:r>
                              </m:sub>
                              <m:sup>
                                <m:r>
                                  <m:rPr>
                                    <m:sty m:val="p"/>
                                  </m:rPr>
                                  <w:rPr>
                                    <w:rFonts w:ascii="Cambria Math" w:hAnsi="Cambria Math" w:cs="Arial"/>
                                    <w:lang w:val="en-US"/>
                                  </w:rPr>
                                  <m:t>*</m:t>
                                </m:r>
                              </m:sup>
                            </m:sSubSup>
                          </m:e>
                        </m:d>
                      </m:e>
                      <m:sup>
                        <m:r>
                          <m:rPr>
                            <m:sty m:val="p"/>
                          </m:rPr>
                          <w:rPr>
                            <w:rFonts w:ascii="Cambria Math" w:hAnsi="Cambria Math" w:cs="Arial"/>
                            <w:lang w:val="en-US"/>
                          </w:rPr>
                          <m:t>2</m:t>
                        </m:r>
                      </m:sup>
                    </m:sSup>
                  </m:e>
                </m:rad>
              </m:oMath>
            </m:oMathPara>
          </w:p>
        </w:tc>
        <w:tc>
          <w:tcPr>
            <w:tcW w:w="815" w:type="dxa"/>
            <w:shd w:val="clear" w:color="auto" w:fill="auto"/>
            <w:vAlign w:val="center"/>
          </w:tcPr>
          <w:p w14:paraId="705B523C" w14:textId="77777777" w:rsidR="004203E1" w:rsidRPr="00CC1598" w:rsidRDefault="004203E1" w:rsidP="004921DA">
            <w:pPr>
              <w:pStyle w:val="CETEquation"/>
              <w:jc w:val="right"/>
              <w:rPr>
                <w:lang w:val="en-US"/>
              </w:rPr>
            </w:pPr>
            <w:r w:rsidRPr="00CC1598">
              <w:rPr>
                <w:lang w:val="en-US"/>
              </w:rPr>
              <w:t>(1)</w:t>
            </w:r>
          </w:p>
        </w:tc>
      </w:tr>
    </w:tbl>
    <w:p w14:paraId="788BCC34" w14:textId="7DF22F96" w:rsidR="00483D4D" w:rsidRPr="00CC1598" w:rsidRDefault="00483D4D" w:rsidP="00483D4D">
      <w:pPr>
        <w:pStyle w:val="CETBodytextItalic"/>
        <w:rPr>
          <w:i w:val="0"/>
        </w:rPr>
      </w:pPr>
      <w:r w:rsidRPr="00CC1598">
        <w:rPr>
          <w:i w:val="0"/>
        </w:rPr>
        <w:t xml:space="preserve">where the subscripts 1 and 2 represents the untreated and treated samples, respectively. </w:t>
      </w:r>
      <w:r w:rsidR="00C0761D" w:rsidRPr="00CC1598">
        <w:rPr>
          <w:i w:val="0"/>
        </w:rPr>
        <w:t xml:space="preserve">The total </w:t>
      </w:r>
      <w:proofErr w:type="spellStart"/>
      <w:r w:rsidR="00C0761D" w:rsidRPr="00CC1598">
        <w:rPr>
          <w:i w:val="0"/>
        </w:rPr>
        <w:t>color</w:t>
      </w:r>
      <w:proofErr w:type="spellEnd"/>
      <w:r w:rsidR="00C0761D" w:rsidRPr="00CC1598">
        <w:rPr>
          <w:i w:val="0"/>
        </w:rPr>
        <w:t xml:space="preserve"> difference could be classified as very distinct (</w:t>
      </w:r>
      <w:r w:rsidR="00C0761D" w:rsidRPr="00CC1598">
        <w:rPr>
          <w:rFonts w:cs="Arial"/>
          <w:i w:val="0"/>
        </w:rPr>
        <w:t>Δ</w:t>
      </w:r>
      <w:r w:rsidR="00C0761D" w:rsidRPr="00CC1598">
        <w:rPr>
          <w:i w:val="0"/>
        </w:rPr>
        <w:t>E&gt;3), distinct (1.5&lt;</w:t>
      </w:r>
      <w:r w:rsidR="00C0761D" w:rsidRPr="00CC1598">
        <w:rPr>
          <w:rFonts w:cs="Arial"/>
          <w:i w:val="0"/>
        </w:rPr>
        <w:t>Δ</w:t>
      </w:r>
      <w:r w:rsidR="00C0761D" w:rsidRPr="00CC1598">
        <w:rPr>
          <w:i w:val="0"/>
        </w:rPr>
        <w:t>E&lt;3) and small (</w:t>
      </w:r>
      <w:r w:rsidR="00C0761D" w:rsidRPr="00CC1598">
        <w:rPr>
          <w:rFonts w:cs="Arial"/>
          <w:i w:val="0"/>
        </w:rPr>
        <w:t>Δ</w:t>
      </w:r>
      <w:r w:rsidR="00C0761D" w:rsidRPr="00CC1598">
        <w:rPr>
          <w:i w:val="0"/>
        </w:rPr>
        <w:t xml:space="preserve">E&lt;1.5) </w:t>
      </w:r>
      <w:r w:rsidR="00C0761D" w:rsidRPr="00CC1598">
        <w:rPr>
          <w:i w:val="0"/>
        </w:rPr>
        <w:fldChar w:fldCharType="begin"/>
      </w:r>
      <w:r w:rsidR="00C0761D" w:rsidRPr="00CC1598">
        <w:rPr>
          <w:i w:val="0"/>
        </w:rPr>
        <w:instrText xml:space="preserve"> ADDIN ZOTERO_ITEM CSL_CITATION {"citationID":"A59q79D1","properties":{"formattedCitation":"(Pathare et al., 2013)","plainCitation":"(Pathare et al., 2013)","noteIndex":0},"citationItems":[{"id":472,"uris":["http://zotero.org/users/6511723/items/XXF95CIG"],"itemData":{"id":472,"type":"article-journal","abstract":"Colour is an important quality attribute in the food and bioprocess industries, and it influences consumer’s choice and preferences. Food colour is governed by the chemical, biochemical, microbial and physical changes which occur during growth, maturation, postharvest handling and processing. Colour measurement of food products has been used as an indirect measure of other quality attributes such as flavour and contents of pigments because it is simpler, faster and correlates well with other physicochemical properties. This review discusses the techniques and procedures for the measurement and analysis of colour in food and other biomaterial materials. It focuses on the instrumental (objective) and visual (subjective) measurements for quantifying colour attributes and highlights the range of primary and derived objective colour indices used to characterise the maturity and quality of a wide range of food products and beverages. Different approaches applied to model food colour are described, including reaction mechanisms, response surface methodology and others based on probabilistic and non-isothermal kinetics. Colour is one of the most widely measured product quality attributes in postharvest handling and in the food processing research and industry. Apart from differences in instrumentation, colour measurements are often reported based on different colour indices even for the same product, making it difficult to compare results in the literature. There is a need for standardisation to improve the traceability and transferability of measurements. The correlation between colour and other sensory quality attributes is well established, but future prospects exist in the application of objective non-destructive colour measurement in predictive modelling of the nutritional quality of fresh and processed food products.","container-title":"Food and Bioprocess Technology","DOI":"10.1007/s11947-012-0867-9","ISSN":"1935-5149","issue":"1","journalAbbreviation":"Food Bioprocess Technol","language":"en","page":"36-60","source":"Springer Link","title":"Colour Measurement and Analysis in Fresh and Processed Foods: A Review","title-short":"Colour Measurement and Analysis in Fresh and Processed Foods","volume":"6","author":[{"family":"Pathare","given":"Pankaj B."},{"family":"Opara","given":"Umezuruike Linus"},{"family":"Al-Said","given":"Fahad Al-Julanda"}],"issued":{"date-parts":[["2013",1,1]]}}}],"schema":"https://github.com/citation-style-language/schema/raw/master/csl-citation.json"} </w:instrText>
      </w:r>
      <w:r w:rsidR="00C0761D" w:rsidRPr="00CC1598">
        <w:rPr>
          <w:i w:val="0"/>
        </w:rPr>
        <w:fldChar w:fldCharType="separate"/>
      </w:r>
      <w:r w:rsidR="00C0761D" w:rsidRPr="00CC1598">
        <w:rPr>
          <w:rFonts w:cs="Arial"/>
          <w:i w:val="0"/>
        </w:rPr>
        <w:t>(Pathare et al., 2013)</w:t>
      </w:r>
      <w:r w:rsidR="00C0761D" w:rsidRPr="00CC1598">
        <w:rPr>
          <w:i w:val="0"/>
        </w:rPr>
        <w:fldChar w:fldCharType="end"/>
      </w:r>
    </w:p>
    <w:p w14:paraId="4805C856" w14:textId="4F869194" w:rsidR="007F7FF1" w:rsidRPr="00CC1598" w:rsidRDefault="007F7FF1" w:rsidP="007F7FF1">
      <w:pPr>
        <w:pStyle w:val="CETheadingx"/>
      </w:pPr>
      <w:r w:rsidRPr="00CC1598">
        <w:t>Design of Experiment</w:t>
      </w:r>
      <w:r w:rsidR="00BE2EE9" w:rsidRPr="00CC1598">
        <w:t xml:space="preserve"> and statistical </w:t>
      </w:r>
      <w:r w:rsidR="00C3274D" w:rsidRPr="00CC1598">
        <w:t>analyses</w:t>
      </w:r>
    </w:p>
    <w:p w14:paraId="17F4C873" w14:textId="171293D2" w:rsidR="007F7FF1" w:rsidRPr="00CC1598" w:rsidRDefault="007F7FF1" w:rsidP="007F7FF1">
      <w:pPr>
        <w:pStyle w:val="CETBodytext"/>
      </w:pPr>
      <w:r w:rsidRPr="00CC1598">
        <w:t xml:space="preserve">The samples have been treated following a </w:t>
      </w:r>
      <w:r w:rsidR="00483D4D" w:rsidRPr="00CC1598">
        <w:t>2</w:t>
      </w:r>
      <w:r w:rsidR="00483D4D" w:rsidRPr="00CC1598">
        <w:rPr>
          <w:vertAlign w:val="superscript"/>
        </w:rPr>
        <w:t>3</w:t>
      </w:r>
      <w:r w:rsidRPr="00CC1598">
        <w:t xml:space="preserve"> Design of Experiment (DoE)</w:t>
      </w:r>
      <w:r w:rsidR="00483D4D" w:rsidRPr="00CC1598">
        <w:t xml:space="preserve">. The </w:t>
      </w:r>
      <w:r w:rsidRPr="00CC1598">
        <w:t xml:space="preserve">entire set of treatment conditions </w:t>
      </w:r>
      <w:r w:rsidR="00C3274D" w:rsidRPr="00CC1598">
        <w:t>was</w:t>
      </w:r>
      <w:r w:rsidRPr="00CC1598">
        <w:t xml:space="preserve"> carried out in </w:t>
      </w:r>
      <w:r w:rsidR="00483D4D" w:rsidRPr="00CC1598">
        <w:t>triplicates</w:t>
      </w:r>
      <w:r w:rsidRPr="00CC1598">
        <w:t>. The range of the selected parameters, temperature, pressure, and treatment time, are shown in Table 1.</w:t>
      </w:r>
    </w:p>
    <w:p w14:paraId="3EBDAB91" w14:textId="77777777" w:rsidR="00C0761D" w:rsidRPr="00CC1598" w:rsidRDefault="00C0761D" w:rsidP="007F7FF1">
      <w:pPr>
        <w:pStyle w:val="CETBodytext"/>
        <w:rPr>
          <w:sz w:val="4"/>
        </w:rPr>
      </w:pPr>
    </w:p>
    <w:p w14:paraId="313E90D0" w14:textId="07C86106" w:rsidR="007F7FF1" w:rsidRPr="00CC1598" w:rsidRDefault="007F7FF1" w:rsidP="00C0761D">
      <w:pPr>
        <w:pStyle w:val="CETTabletitle"/>
        <w:spacing w:before="0"/>
        <w:rPr>
          <w:rFonts w:ascii="Times New Roman" w:hAnsi="Times New Roman"/>
          <w:sz w:val="24"/>
          <w:szCs w:val="24"/>
          <w:lang w:val="en-US" w:eastAsia="it-IT"/>
        </w:rPr>
      </w:pPr>
      <w:r w:rsidRPr="00CC1598">
        <w:rPr>
          <w:lang w:val="en-US" w:eastAsia="it-IT"/>
        </w:rPr>
        <w:t xml:space="preserve">Table 1: Design of </w:t>
      </w:r>
      <w:r w:rsidR="00483D4D" w:rsidRPr="00CC1598">
        <w:rPr>
          <w:lang w:val="en-US" w:eastAsia="it-IT"/>
        </w:rPr>
        <w:t>e</w:t>
      </w:r>
      <w:r w:rsidRPr="00CC1598">
        <w:rPr>
          <w:lang w:val="en-US" w:eastAsia="it-IT"/>
        </w:rPr>
        <w:t>xperiment parameter range</w:t>
      </w:r>
    </w:p>
    <w:tbl>
      <w:tblPr>
        <w:tblW w:w="5483" w:type="dxa"/>
        <w:tblCellMar>
          <w:top w:w="15" w:type="dxa"/>
          <w:left w:w="15" w:type="dxa"/>
          <w:bottom w:w="15" w:type="dxa"/>
          <w:right w:w="15" w:type="dxa"/>
        </w:tblCellMar>
        <w:tblLook w:val="04A0" w:firstRow="1" w:lastRow="0" w:firstColumn="1" w:lastColumn="0" w:noHBand="0" w:noVBand="1"/>
      </w:tblPr>
      <w:tblGrid>
        <w:gridCol w:w="1985"/>
        <w:gridCol w:w="1134"/>
        <w:gridCol w:w="1275"/>
        <w:gridCol w:w="1089"/>
      </w:tblGrid>
      <w:tr w:rsidR="006D6A87" w:rsidRPr="00CC1598" w14:paraId="5FD06EC2" w14:textId="77777777" w:rsidTr="006D6A87">
        <w:trPr>
          <w:trHeight w:val="236"/>
        </w:trPr>
        <w:tc>
          <w:tcPr>
            <w:tcW w:w="1985" w:type="dxa"/>
            <w:tcBorders>
              <w:top w:val="single" w:sz="12" w:space="0" w:color="008000"/>
              <w:bottom w:val="single" w:sz="6" w:space="0" w:color="008000"/>
            </w:tcBorders>
            <w:shd w:val="clear" w:color="auto" w:fill="FFFFFF"/>
            <w:hideMark/>
          </w:tcPr>
          <w:p w14:paraId="484643B8" w14:textId="77777777" w:rsidR="006D6A87" w:rsidRPr="00CC1598" w:rsidRDefault="006D6A87" w:rsidP="00E30D53">
            <w:pPr>
              <w:pStyle w:val="CETBodytext"/>
              <w:rPr>
                <w:rFonts w:ascii="Times New Roman" w:hAnsi="Times New Roman"/>
                <w:sz w:val="24"/>
                <w:szCs w:val="24"/>
                <w:lang w:eastAsia="it-IT"/>
              </w:rPr>
            </w:pPr>
            <w:r w:rsidRPr="00CC1598">
              <w:rPr>
                <w:lang w:eastAsia="it-IT"/>
              </w:rPr>
              <w:t>Parameter</w:t>
            </w:r>
          </w:p>
        </w:tc>
        <w:tc>
          <w:tcPr>
            <w:tcW w:w="1134" w:type="dxa"/>
            <w:tcBorders>
              <w:top w:val="single" w:sz="12" w:space="0" w:color="008000"/>
              <w:bottom w:val="single" w:sz="6" w:space="0" w:color="008000"/>
            </w:tcBorders>
            <w:shd w:val="clear" w:color="auto" w:fill="FFFFFF"/>
            <w:hideMark/>
          </w:tcPr>
          <w:p w14:paraId="4AA0C09C" w14:textId="77777777" w:rsidR="006D6A87" w:rsidRPr="00CC1598" w:rsidRDefault="006D6A87" w:rsidP="00E30D53">
            <w:pPr>
              <w:pStyle w:val="CETBodytext"/>
              <w:rPr>
                <w:rFonts w:ascii="Times New Roman" w:hAnsi="Times New Roman"/>
                <w:sz w:val="24"/>
                <w:szCs w:val="24"/>
                <w:lang w:eastAsia="it-IT"/>
              </w:rPr>
            </w:pPr>
            <w:r w:rsidRPr="00CC1598">
              <w:rPr>
                <w:lang w:eastAsia="it-IT"/>
              </w:rPr>
              <w:t>Min value</w:t>
            </w:r>
          </w:p>
        </w:tc>
        <w:tc>
          <w:tcPr>
            <w:tcW w:w="1275" w:type="dxa"/>
            <w:tcBorders>
              <w:top w:val="single" w:sz="12" w:space="0" w:color="008000"/>
              <w:bottom w:val="single" w:sz="6" w:space="0" w:color="008000"/>
            </w:tcBorders>
            <w:shd w:val="clear" w:color="auto" w:fill="FFFFFF"/>
          </w:tcPr>
          <w:p w14:paraId="325508B9" w14:textId="57A8C66D" w:rsidR="006D6A87" w:rsidRPr="00CC1598" w:rsidRDefault="006D6A87" w:rsidP="00E30D53">
            <w:pPr>
              <w:pStyle w:val="CETBodytext"/>
              <w:rPr>
                <w:lang w:eastAsia="it-IT"/>
              </w:rPr>
            </w:pPr>
            <w:r w:rsidRPr="00CC1598">
              <w:rPr>
                <w:lang w:eastAsia="it-IT"/>
              </w:rPr>
              <w:t>Central point</w:t>
            </w:r>
          </w:p>
        </w:tc>
        <w:tc>
          <w:tcPr>
            <w:tcW w:w="1089" w:type="dxa"/>
            <w:tcBorders>
              <w:top w:val="single" w:sz="12" w:space="0" w:color="008000"/>
              <w:bottom w:val="single" w:sz="6" w:space="0" w:color="008000"/>
            </w:tcBorders>
            <w:shd w:val="clear" w:color="auto" w:fill="FFFFFF"/>
            <w:hideMark/>
          </w:tcPr>
          <w:p w14:paraId="140A078D" w14:textId="3A82431A" w:rsidR="006D6A87" w:rsidRPr="00CC1598" w:rsidRDefault="006D6A87" w:rsidP="00E30D53">
            <w:pPr>
              <w:pStyle w:val="CETBodytext"/>
              <w:rPr>
                <w:rFonts w:ascii="Times New Roman" w:hAnsi="Times New Roman"/>
                <w:sz w:val="24"/>
                <w:szCs w:val="24"/>
                <w:lang w:eastAsia="it-IT"/>
              </w:rPr>
            </w:pPr>
            <w:r w:rsidRPr="00CC1598">
              <w:rPr>
                <w:lang w:eastAsia="it-IT"/>
              </w:rPr>
              <w:t>Max value</w:t>
            </w:r>
          </w:p>
        </w:tc>
      </w:tr>
      <w:tr w:rsidR="006D6A87" w:rsidRPr="00CC1598" w14:paraId="7C1C8E00" w14:textId="77777777" w:rsidTr="006D6A87">
        <w:trPr>
          <w:trHeight w:val="236"/>
        </w:trPr>
        <w:tc>
          <w:tcPr>
            <w:tcW w:w="1985" w:type="dxa"/>
            <w:tcBorders>
              <w:top w:val="single" w:sz="6" w:space="0" w:color="008000"/>
            </w:tcBorders>
            <w:shd w:val="clear" w:color="auto" w:fill="FFFFFF"/>
            <w:hideMark/>
          </w:tcPr>
          <w:p w14:paraId="5A35EDB4" w14:textId="77777777" w:rsidR="006D6A87" w:rsidRPr="00CC1598" w:rsidRDefault="006D6A87" w:rsidP="00E30D53">
            <w:pPr>
              <w:pStyle w:val="CETBodytext"/>
              <w:rPr>
                <w:rFonts w:ascii="Times New Roman" w:hAnsi="Times New Roman"/>
                <w:sz w:val="24"/>
                <w:szCs w:val="24"/>
                <w:lang w:eastAsia="it-IT"/>
              </w:rPr>
            </w:pPr>
            <w:r w:rsidRPr="00CC1598">
              <w:rPr>
                <w:lang w:eastAsia="it-IT"/>
              </w:rPr>
              <w:t>Temperature (°C)</w:t>
            </w:r>
          </w:p>
        </w:tc>
        <w:tc>
          <w:tcPr>
            <w:tcW w:w="1134" w:type="dxa"/>
            <w:tcBorders>
              <w:top w:val="single" w:sz="6" w:space="0" w:color="008000"/>
            </w:tcBorders>
            <w:shd w:val="clear" w:color="auto" w:fill="FFFFFF"/>
            <w:hideMark/>
          </w:tcPr>
          <w:p w14:paraId="61ECFB70" w14:textId="77777777" w:rsidR="006D6A87" w:rsidRPr="00CC1598" w:rsidRDefault="006D6A87" w:rsidP="00E30D53">
            <w:pPr>
              <w:pStyle w:val="CETBodytext"/>
              <w:rPr>
                <w:rFonts w:ascii="Times New Roman" w:hAnsi="Times New Roman"/>
                <w:sz w:val="24"/>
                <w:szCs w:val="24"/>
                <w:lang w:eastAsia="it-IT"/>
              </w:rPr>
            </w:pPr>
            <w:r w:rsidRPr="00CC1598">
              <w:rPr>
                <w:lang w:eastAsia="it-IT"/>
              </w:rPr>
              <w:t>35.0</w:t>
            </w:r>
          </w:p>
        </w:tc>
        <w:tc>
          <w:tcPr>
            <w:tcW w:w="1275" w:type="dxa"/>
            <w:tcBorders>
              <w:top w:val="single" w:sz="6" w:space="0" w:color="008000"/>
            </w:tcBorders>
            <w:shd w:val="clear" w:color="auto" w:fill="FFFFFF"/>
          </w:tcPr>
          <w:p w14:paraId="41C512FB" w14:textId="5E027B99" w:rsidR="006D6A87" w:rsidRPr="00CC1598" w:rsidRDefault="006D6A87" w:rsidP="00E30D53">
            <w:pPr>
              <w:pStyle w:val="CETBodytext"/>
              <w:rPr>
                <w:lang w:eastAsia="it-IT"/>
              </w:rPr>
            </w:pPr>
            <w:r w:rsidRPr="00CC1598">
              <w:rPr>
                <w:lang w:eastAsia="it-IT"/>
              </w:rPr>
              <w:t>40.0</w:t>
            </w:r>
          </w:p>
        </w:tc>
        <w:tc>
          <w:tcPr>
            <w:tcW w:w="1089" w:type="dxa"/>
            <w:tcBorders>
              <w:top w:val="single" w:sz="6" w:space="0" w:color="008000"/>
            </w:tcBorders>
            <w:shd w:val="clear" w:color="auto" w:fill="FFFFFF"/>
            <w:hideMark/>
          </w:tcPr>
          <w:p w14:paraId="5B76EADA" w14:textId="033C779A" w:rsidR="006D6A87" w:rsidRPr="00CC1598" w:rsidRDefault="006D6A87" w:rsidP="00E30D53">
            <w:pPr>
              <w:pStyle w:val="CETBodytext"/>
              <w:rPr>
                <w:rFonts w:ascii="Times New Roman" w:hAnsi="Times New Roman"/>
                <w:sz w:val="24"/>
                <w:szCs w:val="24"/>
                <w:lang w:eastAsia="it-IT"/>
              </w:rPr>
            </w:pPr>
            <w:r w:rsidRPr="00CC1598">
              <w:rPr>
                <w:lang w:eastAsia="it-IT"/>
              </w:rPr>
              <w:t>45.0</w:t>
            </w:r>
          </w:p>
        </w:tc>
      </w:tr>
      <w:tr w:rsidR="006D6A87" w:rsidRPr="00CC1598" w14:paraId="024AB321" w14:textId="77777777" w:rsidTr="006D6A87">
        <w:trPr>
          <w:trHeight w:val="252"/>
        </w:trPr>
        <w:tc>
          <w:tcPr>
            <w:tcW w:w="1985" w:type="dxa"/>
            <w:shd w:val="clear" w:color="auto" w:fill="FFFFFF"/>
            <w:hideMark/>
          </w:tcPr>
          <w:p w14:paraId="6E8089E9" w14:textId="77777777" w:rsidR="006D6A87" w:rsidRPr="00CC1598" w:rsidRDefault="006D6A87" w:rsidP="00E30D53">
            <w:pPr>
              <w:pStyle w:val="CETBodytext"/>
              <w:rPr>
                <w:rFonts w:ascii="Times New Roman" w:hAnsi="Times New Roman"/>
                <w:sz w:val="24"/>
                <w:szCs w:val="24"/>
                <w:lang w:eastAsia="it-IT"/>
              </w:rPr>
            </w:pPr>
            <w:r w:rsidRPr="00CC1598">
              <w:rPr>
                <w:lang w:eastAsia="it-IT"/>
              </w:rPr>
              <w:t>Pressure (MPa)</w:t>
            </w:r>
          </w:p>
        </w:tc>
        <w:tc>
          <w:tcPr>
            <w:tcW w:w="1134" w:type="dxa"/>
            <w:shd w:val="clear" w:color="auto" w:fill="FFFFFF"/>
            <w:hideMark/>
          </w:tcPr>
          <w:p w14:paraId="5437AFD9" w14:textId="77777777" w:rsidR="006D6A87" w:rsidRPr="00CC1598" w:rsidRDefault="006D6A87" w:rsidP="00E30D53">
            <w:pPr>
              <w:pStyle w:val="CETBodytext"/>
              <w:rPr>
                <w:rFonts w:ascii="Times New Roman" w:hAnsi="Times New Roman"/>
                <w:sz w:val="24"/>
                <w:szCs w:val="24"/>
                <w:lang w:eastAsia="it-IT"/>
              </w:rPr>
            </w:pPr>
            <w:r w:rsidRPr="00CC1598">
              <w:rPr>
                <w:lang w:eastAsia="it-IT"/>
              </w:rPr>
              <w:t>8.0</w:t>
            </w:r>
          </w:p>
        </w:tc>
        <w:tc>
          <w:tcPr>
            <w:tcW w:w="1275" w:type="dxa"/>
            <w:shd w:val="clear" w:color="auto" w:fill="FFFFFF"/>
          </w:tcPr>
          <w:p w14:paraId="09AAB084" w14:textId="57CFDABB" w:rsidR="006D6A87" w:rsidRPr="00CC1598" w:rsidRDefault="006D6A87" w:rsidP="00E30D53">
            <w:pPr>
              <w:pStyle w:val="CETBodytext"/>
              <w:rPr>
                <w:lang w:eastAsia="it-IT"/>
              </w:rPr>
            </w:pPr>
            <w:r w:rsidRPr="00CC1598">
              <w:rPr>
                <w:lang w:eastAsia="it-IT"/>
              </w:rPr>
              <w:t>11.0</w:t>
            </w:r>
          </w:p>
        </w:tc>
        <w:tc>
          <w:tcPr>
            <w:tcW w:w="1089" w:type="dxa"/>
            <w:shd w:val="clear" w:color="auto" w:fill="FFFFFF"/>
            <w:hideMark/>
          </w:tcPr>
          <w:p w14:paraId="7761E993" w14:textId="4075FE54" w:rsidR="006D6A87" w:rsidRPr="00CC1598" w:rsidRDefault="006D6A87" w:rsidP="00E30D53">
            <w:pPr>
              <w:pStyle w:val="CETBodytext"/>
              <w:rPr>
                <w:rFonts w:ascii="Times New Roman" w:hAnsi="Times New Roman"/>
                <w:sz w:val="24"/>
                <w:szCs w:val="24"/>
                <w:lang w:eastAsia="it-IT"/>
              </w:rPr>
            </w:pPr>
            <w:r w:rsidRPr="00CC1598">
              <w:rPr>
                <w:lang w:eastAsia="it-IT"/>
              </w:rPr>
              <w:t>14.0</w:t>
            </w:r>
          </w:p>
        </w:tc>
      </w:tr>
      <w:tr w:rsidR="006D6A87" w:rsidRPr="00CC1598" w14:paraId="3E518410" w14:textId="77777777" w:rsidTr="006D6A87">
        <w:trPr>
          <w:trHeight w:val="236"/>
        </w:trPr>
        <w:tc>
          <w:tcPr>
            <w:tcW w:w="1985" w:type="dxa"/>
            <w:tcBorders>
              <w:bottom w:val="single" w:sz="12" w:space="0" w:color="008000"/>
            </w:tcBorders>
            <w:shd w:val="clear" w:color="auto" w:fill="FFFFFF"/>
            <w:hideMark/>
          </w:tcPr>
          <w:p w14:paraId="06C69CE2" w14:textId="77777777" w:rsidR="006D6A87" w:rsidRPr="00CC1598" w:rsidRDefault="006D6A87" w:rsidP="00E30D53">
            <w:pPr>
              <w:pStyle w:val="CETBodytext"/>
              <w:rPr>
                <w:rFonts w:ascii="Times New Roman" w:hAnsi="Times New Roman"/>
                <w:sz w:val="24"/>
                <w:szCs w:val="24"/>
                <w:lang w:eastAsia="it-IT"/>
              </w:rPr>
            </w:pPr>
            <w:r w:rsidRPr="00CC1598">
              <w:rPr>
                <w:lang w:eastAsia="it-IT"/>
              </w:rPr>
              <w:t>Treatment time (min)</w:t>
            </w:r>
          </w:p>
        </w:tc>
        <w:tc>
          <w:tcPr>
            <w:tcW w:w="1134" w:type="dxa"/>
            <w:tcBorders>
              <w:bottom w:val="single" w:sz="12" w:space="0" w:color="008000"/>
            </w:tcBorders>
            <w:shd w:val="clear" w:color="auto" w:fill="FFFFFF"/>
            <w:hideMark/>
          </w:tcPr>
          <w:p w14:paraId="0C7D3DCF" w14:textId="77777777" w:rsidR="006D6A87" w:rsidRPr="00CC1598" w:rsidRDefault="006D6A87" w:rsidP="00E30D53">
            <w:pPr>
              <w:pStyle w:val="CETBodytext"/>
              <w:rPr>
                <w:rFonts w:ascii="Times New Roman" w:hAnsi="Times New Roman"/>
                <w:sz w:val="24"/>
                <w:szCs w:val="24"/>
                <w:lang w:eastAsia="it-IT"/>
              </w:rPr>
            </w:pPr>
            <w:r w:rsidRPr="00CC1598">
              <w:rPr>
                <w:lang w:eastAsia="it-IT"/>
              </w:rPr>
              <w:t>5.0</w:t>
            </w:r>
          </w:p>
        </w:tc>
        <w:tc>
          <w:tcPr>
            <w:tcW w:w="1275" w:type="dxa"/>
            <w:tcBorders>
              <w:bottom w:val="single" w:sz="12" w:space="0" w:color="008000"/>
            </w:tcBorders>
            <w:shd w:val="clear" w:color="auto" w:fill="FFFFFF"/>
          </w:tcPr>
          <w:p w14:paraId="30EFA5DA" w14:textId="771F917F" w:rsidR="006D6A87" w:rsidRPr="00CC1598" w:rsidRDefault="006D6A87" w:rsidP="00E30D53">
            <w:pPr>
              <w:pStyle w:val="CETBodytext"/>
              <w:rPr>
                <w:lang w:eastAsia="it-IT"/>
              </w:rPr>
            </w:pPr>
            <w:r w:rsidRPr="00CC1598">
              <w:rPr>
                <w:lang w:eastAsia="it-IT"/>
              </w:rPr>
              <w:t>20.0</w:t>
            </w:r>
          </w:p>
        </w:tc>
        <w:tc>
          <w:tcPr>
            <w:tcW w:w="1089" w:type="dxa"/>
            <w:tcBorders>
              <w:bottom w:val="single" w:sz="12" w:space="0" w:color="008000"/>
            </w:tcBorders>
            <w:shd w:val="clear" w:color="auto" w:fill="FFFFFF"/>
            <w:hideMark/>
          </w:tcPr>
          <w:p w14:paraId="3BB8DF0B" w14:textId="74425CD1" w:rsidR="006D6A87" w:rsidRPr="00CC1598" w:rsidRDefault="006D6A87" w:rsidP="00E30D53">
            <w:pPr>
              <w:pStyle w:val="CETBodytext"/>
              <w:rPr>
                <w:rFonts w:ascii="Times New Roman" w:hAnsi="Times New Roman"/>
                <w:sz w:val="24"/>
                <w:szCs w:val="24"/>
                <w:lang w:eastAsia="it-IT"/>
              </w:rPr>
            </w:pPr>
            <w:r w:rsidRPr="00CC1598">
              <w:rPr>
                <w:lang w:eastAsia="it-IT"/>
              </w:rPr>
              <w:t>35.0</w:t>
            </w:r>
          </w:p>
        </w:tc>
      </w:tr>
    </w:tbl>
    <w:p w14:paraId="72E9F739" w14:textId="70CC3FE0" w:rsidR="00FB2326" w:rsidRPr="00CC1598" w:rsidRDefault="00BE2EE9" w:rsidP="00D155BE">
      <w:pPr>
        <w:pStyle w:val="CETBodytext"/>
        <w:spacing w:before="240"/>
      </w:pPr>
      <w:r w:rsidRPr="00CC1598">
        <w:t xml:space="preserve">Analysis of variance (ANOVA) was carried out for the statistical interpretation of </w:t>
      </w:r>
      <w:r w:rsidR="00D12CF8" w:rsidRPr="00CC1598">
        <w:t>response variables</w:t>
      </w:r>
      <w:r w:rsidRPr="00CC1598">
        <w:t xml:space="preserve"> between treated and untreated products in function of the selected process </w:t>
      </w:r>
      <w:r w:rsidR="00D12CF8" w:rsidRPr="00CC1598">
        <w:t>parameters</w:t>
      </w:r>
      <w:r w:rsidRPr="00CC1598">
        <w:t>. Both Design of Experiment and ANOVA analyses were conducted by using Minitab</w:t>
      </w:r>
      <w:r w:rsidR="00D155BE" w:rsidRPr="00CC1598">
        <w:rPr>
          <w:rFonts w:ascii="Times New Roman" w:hAnsi="Times New Roman"/>
          <w:vertAlign w:val="superscript"/>
        </w:rPr>
        <w:t>®</w:t>
      </w:r>
      <w:r w:rsidRPr="00CC1598">
        <w:t xml:space="preserve"> statistical software.</w:t>
      </w:r>
    </w:p>
    <w:p w14:paraId="6C26AB79" w14:textId="161ADD86" w:rsidR="00EE5C33" w:rsidRPr="00CC1598" w:rsidRDefault="00EE5C33" w:rsidP="00EE5C33">
      <w:pPr>
        <w:pStyle w:val="CETHeading1"/>
      </w:pPr>
      <w:r w:rsidRPr="00CC1598">
        <w:t>Results</w:t>
      </w:r>
    </w:p>
    <w:p w14:paraId="7D57ED9D" w14:textId="4B6BE69E" w:rsidR="00EE5C33" w:rsidRPr="00CC1598" w:rsidRDefault="00E30D53" w:rsidP="00EE5C33">
      <w:pPr>
        <w:pStyle w:val="CETBodytext"/>
      </w:pPr>
      <w:r w:rsidRPr="00CC1598">
        <w:t xml:space="preserve">Table 2 shows </w:t>
      </w:r>
      <w:r w:rsidR="00BD298E" w:rsidRPr="00CC1598">
        <w:t xml:space="preserve">the </w:t>
      </w:r>
      <w:r w:rsidR="00C53E32" w:rsidRPr="00CC1598">
        <w:t xml:space="preserve">achieved results in terms of </w:t>
      </w:r>
      <w:r w:rsidR="00EC3707" w:rsidRPr="00CC1598">
        <w:t>microbial</w:t>
      </w:r>
      <w:r w:rsidR="00C53E32" w:rsidRPr="00CC1598">
        <w:t xml:space="preserve"> inactivation</w:t>
      </w:r>
      <w:r w:rsidR="00EA0C2B" w:rsidRPr="00CC1598">
        <w:t xml:space="preserve"> </w:t>
      </w:r>
      <w:r w:rsidR="00C53E32" w:rsidRPr="00CC1598">
        <w:t>and total color change of the samples</w:t>
      </w:r>
      <w:r w:rsidR="00EA0C2B" w:rsidRPr="00CC1598">
        <w:t xml:space="preserve"> right after the treatment</w:t>
      </w:r>
      <w:r w:rsidR="00315C27" w:rsidRPr="00CC1598">
        <w:t xml:space="preserve">. The total color change was also monitored after a </w:t>
      </w:r>
      <w:r w:rsidR="00C53E32" w:rsidRPr="00CC1598">
        <w:t xml:space="preserve">7-days storage at each condition tested following the selected DoE. </w:t>
      </w:r>
      <w:r w:rsidR="00EC3707" w:rsidRPr="00CC1598">
        <w:t xml:space="preserve">In order to test the inactivation capacity of the method at different process conditions, </w:t>
      </w:r>
      <w:r w:rsidR="00EC3707" w:rsidRPr="00CC1598">
        <w:lastRenderedPageBreak/>
        <w:t xml:space="preserve">a </w:t>
      </w:r>
      <w:r w:rsidR="00315C27" w:rsidRPr="00CC1598">
        <w:t>large amount</w:t>
      </w:r>
      <w:r w:rsidR="0009480D" w:rsidRPr="00CC1598">
        <w:t xml:space="preserve"> of </w:t>
      </w:r>
      <w:r w:rsidR="00EC3707" w:rsidRPr="00CC1598">
        <w:t xml:space="preserve">bacteria </w:t>
      </w:r>
      <w:r w:rsidR="00315C27" w:rsidRPr="00CC1598">
        <w:t xml:space="preserve">load </w:t>
      </w:r>
      <w:r w:rsidR="00EC3707" w:rsidRPr="00CC1598">
        <w:t xml:space="preserve">was inoculated on the surface of the products. </w:t>
      </w:r>
      <w:r w:rsidR="00EC3707" w:rsidRPr="00CC1598">
        <w:rPr>
          <w:i/>
        </w:rPr>
        <w:t>E. coli</w:t>
      </w:r>
      <w:r w:rsidR="00EC3707" w:rsidRPr="00CC1598">
        <w:t xml:space="preserve"> </w:t>
      </w:r>
      <w:r w:rsidR="00B25365" w:rsidRPr="00CC1598">
        <w:t xml:space="preserve">NCTC 9001 </w:t>
      </w:r>
      <w:r w:rsidR="00EC3707" w:rsidRPr="00CC1598">
        <w:t xml:space="preserve">was selected as a target bacterium, being a surrogate of the pathogenic strains </w:t>
      </w:r>
      <w:r w:rsidR="00EC3707" w:rsidRPr="00CC1598">
        <w:rPr>
          <w:i/>
        </w:rPr>
        <w:t>E. coli</w:t>
      </w:r>
      <w:r w:rsidR="00EC3707" w:rsidRPr="00CC1598">
        <w:t xml:space="preserve"> O157:H7 and </w:t>
      </w:r>
      <w:r w:rsidR="00EC3707" w:rsidRPr="00CC1598">
        <w:rPr>
          <w:i/>
        </w:rPr>
        <w:t xml:space="preserve">Salmonella enterica </w:t>
      </w:r>
      <w:r w:rsidR="00EC3707" w:rsidRPr="00CC1598">
        <w:rPr>
          <w:i/>
        </w:rPr>
        <w:fldChar w:fldCharType="begin"/>
      </w:r>
      <w:r w:rsidR="0035325B" w:rsidRPr="00CC1598">
        <w:rPr>
          <w:i/>
        </w:rPr>
        <w:instrText xml:space="preserve"> ADDIN ZOTERO_ITEM CSL_CITATION {"citationID":"qfU7zg1n","properties":{"formattedCitation":"(Hu and Gurtler, 2017)","plainCitation":"(Hu and Gurtler, 2017)","noteIndex":0},"citationItems":[{"id":735,"uris":["http://zotero.org/users/6511723/items/2E85MVBK"],"itemData":{"id":735,"type":"article-journal","abstract":"Nonpathogenic surrogate bacteria are prevalently used in a variety of food challenge studies in place of foodborne pathogens such as Listeria monocytogenes, Salmonella, Escherichia coli O157:H7, and Clostridium botulinum because of safety and sanitary concerns. Surrogate bacteria should have growth characteristics and/or inactivation kinetics similar to those of target pathogens under given conditions in challenge studies. It is of great importance to carefully select and validate potential surrogate bacteria when verifying microbial inactivation processes. A validated surrogate responds similar to the targeted pathogen when tested for inactivation kinetics, growth parameters, or survivability under given conditions in agreement with appropriate statistical analyses. However, a considerable number of food studies involving putative surrogate bacteria lack convincing validation sources or adequate validation processes. Most of the validation information for surrogates in these studies is anecdotal and has been collected from previous publications but may not be sufficient for given conditions in the study at hand. This review is limited to an overview of select studies and discussion of the general criteria and approaches for selecting potential surrogate bacteria under given conditions. The review also includes a list of documented bacterial pathogen surrogates and their corresponding food products and treatments to provide guidance for future studies.","container-title":"Journal of Food Protection","DOI":"10.4315/0362-028X.JFP-16-536","ISSN":"0362-028X","issue":"9","journalAbbreviation":"Journal of Food Protection","page":"1506-1536","source":"Silverchair","title":"Selection of Surrogate Bacteria for Use in Food Safety Challenge Studies: A Review","title-short":"Selection of Surrogate Bacteria for Use in Food Safety Challenge Studies","volume":"80","author":[{"family":"Hu","given":"Mengyi"},{"family":"Gurtler","given":"Joshua B."}],"issued":{"date-parts":[["2017",8,14]]}}}],"schema":"https://github.com/citation-style-language/schema/raw/master/csl-citation.json"} </w:instrText>
      </w:r>
      <w:r w:rsidR="00EC3707" w:rsidRPr="00CC1598">
        <w:rPr>
          <w:i/>
        </w:rPr>
        <w:fldChar w:fldCharType="separate"/>
      </w:r>
      <w:r w:rsidR="0035325B" w:rsidRPr="00CC1598">
        <w:rPr>
          <w:rFonts w:cs="Arial"/>
        </w:rPr>
        <w:t>(Hu and Gurtler, 2017)</w:t>
      </w:r>
      <w:r w:rsidR="00EC3707" w:rsidRPr="00CC1598">
        <w:rPr>
          <w:i/>
        </w:rPr>
        <w:fldChar w:fldCharType="end"/>
      </w:r>
      <w:r w:rsidR="00B25365" w:rsidRPr="00CC1598">
        <w:t xml:space="preserve">. The bacterial load inoculated on the surface of each sample was </w:t>
      </w:r>
      <w:r w:rsidR="00EC3707" w:rsidRPr="00CC1598">
        <w:t xml:space="preserve">7.188 </w:t>
      </w:r>
      <w:r w:rsidR="00EC3707" w:rsidRPr="00CC1598">
        <w:rPr>
          <w:rFonts w:cs="Arial"/>
        </w:rPr>
        <w:t>±</w:t>
      </w:r>
      <w:r w:rsidR="00EC3707" w:rsidRPr="00CC1598">
        <w:t xml:space="preserve"> 0.060 Log CFU/g.</w:t>
      </w:r>
    </w:p>
    <w:p w14:paraId="057B1AA3" w14:textId="77777777" w:rsidR="00C0761D" w:rsidRPr="00CC1598" w:rsidRDefault="00C0761D" w:rsidP="00EE5C33">
      <w:pPr>
        <w:pStyle w:val="CETBodytext"/>
        <w:rPr>
          <w:sz w:val="6"/>
        </w:rPr>
      </w:pPr>
    </w:p>
    <w:p w14:paraId="61BF0A3D" w14:textId="4A1ABF1B" w:rsidR="00E30D53" w:rsidRPr="00CC1598" w:rsidRDefault="00E30D53" w:rsidP="00C0761D">
      <w:pPr>
        <w:pStyle w:val="CETTabletitle"/>
        <w:spacing w:before="0"/>
        <w:jc w:val="both"/>
        <w:rPr>
          <w:lang w:val="en-US"/>
        </w:rPr>
      </w:pPr>
      <w:r w:rsidRPr="00CC1598">
        <w:rPr>
          <w:lang w:val="en-US"/>
        </w:rPr>
        <w:t xml:space="preserve">Table 2: </w:t>
      </w:r>
      <w:r w:rsidR="0045689D" w:rsidRPr="00CC1598">
        <w:rPr>
          <w:lang w:val="en-US"/>
        </w:rPr>
        <w:t xml:space="preserve">E. coli inactivation </w:t>
      </w:r>
      <w:r w:rsidR="0009480D" w:rsidRPr="00CC1598">
        <w:rPr>
          <w:lang w:val="en-US"/>
        </w:rPr>
        <w:t xml:space="preserve">after </w:t>
      </w:r>
      <w:r w:rsidR="0045689D" w:rsidRPr="00CC1598">
        <w:rPr>
          <w:lang w:val="en-US"/>
        </w:rPr>
        <w:t>the treatment and total color difference</w:t>
      </w:r>
      <w:r w:rsidR="00962797" w:rsidRPr="00CC1598">
        <w:rPr>
          <w:lang w:val="en-US"/>
        </w:rPr>
        <w:t xml:space="preserve"> </w:t>
      </w:r>
      <w:r w:rsidR="00962797" w:rsidRPr="00CC1598">
        <w:t>(ΔE)</w:t>
      </w:r>
      <w:r w:rsidR="0045689D" w:rsidRPr="00CC1598">
        <w:rPr>
          <w:lang w:val="en-US"/>
        </w:rPr>
        <w:t xml:space="preserve"> with respect to the fresh untreated product</w:t>
      </w:r>
      <w:r w:rsidR="00962797" w:rsidRPr="00CC1598">
        <w:rPr>
          <w:lang w:val="en-US"/>
        </w:rPr>
        <w:t xml:space="preserve"> at</w:t>
      </w:r>
      <w:r w:rsidR="003C7C4B" w:rsidRPr="00CC1598">
        <w:rPr>
          <w:lang w:val="en-US"/>
        </w:rPr>
        <w:t xml:space="preserve"> day </w:t>
      </w:r>
      <w:r w:rsidR="00962797" w:rsidRPr="00CC1598">
        <w:rPr>
          <w:lang w:val="en-US"/>
        </w:rPr>
        <w:t>0</w:t>
      </w:r>
      <w:r w:rsidR="005812BD" w:rsidRPr="00CC1598">
        <w:rPr>
          <w:lang w:val="en-US"/>
        </w:rPr>
        <w:t xml:space="preserve"> </w:t>
      </w:r>
      <w:r w:rsidR="00962797" w:rsidRPr="00CC1598">
        <w:rPr>
          <w:lang w:val="en-US"/>
        </w:rPr>
        <w:t xml:space="preserve">(day of processing) and at day </w:t>
      </w:r>
      <w:r w:rsidR="005812BD" w:rsidRPr="00CC1598">
        <w:rPr>
          <w:lang w:val="en-US"/>
        </w:rPr>
        <w:t>7 of storage at 4</w:t>
      </w:r>
      <w:r w:rsidR="004921DA" w:rsidRPr="00CC1598">
        <w:rPr>
          <w:lang w:val="en-US"/>
        </w:rPr>
        <w:t xml:space="preserve"> °C</w:t>
      </w:r>
      <w:r w:rsidR="0045689D" w:rsidRPr="00CC1598">
        <w:rPr>
          <w:lang w:val="en-US"/>
        </w:rPr>
        <w:t xml:space="preserve">. </w:t>
      </w:r>
      <w:r w:rsidR="0028459E" w:rsidRPr="00CC1598">
        <w:rPr>
          <w:lang w:val="en-US"/>
        </w:rPr>
        <w:t xml:space="preserve">Results are expressed as mean </w:t>
      </w:r>
      <w:r w:rsidR="0028459E" w:rsidRPr="00CC1598">
        <w:rPr>
          <w:rFonts w:cs="Arial"/>
          <w:lang w:val="en-US"/>
        </w:rPr>
        <w:t>±</w:t>
      </w:r>
      <w:r w:rsidR="0028459E" w:rsidRPr="00CC1598">
        <w:rPr>
          <w:lang w:val="en-US"/>
        </w:rPr>
        <w:t xml:space="preserve"> standard deviation. </w:t>
      </w:r>
      <w:r w:rsidR="0045689D" w:rsidRPr="00CC1598">
        <w:rPr>
          <w:lang w:val="en-US"/>
        </w:rPr>
        <w:t xml:space="preserve">Means with different superscript letters in the same column are statistically different </w:t>
      </w:r>
      <w:r w:rsidRPr="00CC1598">
        <w:rPr>
          <w:lang w:val="en-US"/>
        </w:rPr>
        <w:t>(</w:t>
      </w:r>
      <w:r w:rsidR="00EA0F57">
        <w:rPr>
          <w:lang w:val="en-US"/>
        </w:rPr>
        <w:t>p</w:t>
      </w:r>
      <w:r w:rsidR="0045689D" w:rsidRPr="00CC1598">
        <w:rPr>
          <w:lang w:val="en-US"/>
        </w:rPr>
        <w:t xml:space="preserve">-value </w:t>
      </w:r>
      <w:r w:rsidRPr="00CC1598">
        <w:rPr>
          <w:lang w:val="en-US"/>
        </w:rPr>
        <w:t>&lt;</w:t>
      </w:r>
      <w:r w:rsidR="0045689D" w:rsidRPr="00CC1598">
        <w:rPr>
          <w:lang w:val="en-US"/>
        </w:rPr>
        <w:t xml:space="preserve"> </w:t>
      </w:r>
      <w:r w:rsidRPr="00CC1598">
        <w:rPr>
          <w:lang w:val="en-US"/>
        </w:rPr>
        <w:t>0.05).</w:t>
      </w:r>
    </w:p>
    <w:tbl>
      <w:tblPr>
        <w:tblW w:w="8789" w:type="dxa"/>
        <w:tblCellMar>
          <w:top w:w="15" w:type="dxa"/>
          <w:left w:w="15" w:type="dxa"/>
          <w:bottom w:w="15" w:type="dxa"/>
          <w:right w:w="15" w:type="dxa"/>
        </w:tblCellMar>
        <w:tblLook w:val="04A0" w:firstRow="1" w:lastRow="0" w:firstColumn="1" w:lastColumn="0" w:noHBand="0" w:noVBand="1"/>
      </w:tblPr>
      <w:tblGrid>
        <w:gridCol w:w="1134"/>
        <w:gridCol w:w="993"/>
        <w:gridCol w:w="1134"/>
        <w:gridCol w:w="1842"/>
        <w:gridCol w:w="1843"/>
        <w:gridCol w:w="1843"/>
      </w:tblGrid>
      <w:tr w:rsidR="00354885" w:rsidRPr="00CC1598" w14:paraId="1C3AAA94" w14:textId="77777777" w:rsidTr="001F2B2E">
        <w:trPr>
          <w:trHeight w:val="390"/>
        </w:trPr>
        <w:tc>
          <w:tcPr>
            <w:tcW w:w="1134" w:type="dxa"/>
            <w:tcBorders>
              <w:top w:val="single" w:sz="12" w:space="0" w:color="008000"/>
              <w:bottom w:val="single" w:sz="12" w:space="0" w:color="008000"/>
            </w:tcBorders>
            <w:shd w:val="clear" w:color="auto" w:fill="FFFFFF"/>
            <w:hideMark/>
          </w:tcPr>
          <w:p w14:paraId="78F8AA30" w14:textId="58CC8C1C" w:rsidR="00354885" w:rsidRPr="00CC1598" w:rsidRDefault="00354885" w:rsidP="00354885">
            <w:pPr>
              <w:pStyle w:val="CETBodytext"/>
              <w:jc w:val="left"/>
            </w:pPr>
            <w:r w:rsidRPr="00CC1598">
              <w:t>Temperature (°C)</w:t>
            </w:r>
          </w:p>
        </w:tc>
        <w:tc>
          <w:tcPr>
            <w:tcW w:w="993" w:type="dxa"/>
            <w:tcBorders>
              <w:top w:val="single" w:sz="12" w:space="0" w:color="008000"/>
              <w:bottom w:val="single" w:sz="12" w:space="0" w:color="008000"/>
            </w:tcBorders>
            <w:shd w:val="clear" w:color="auto" w:fill="FFFFFF"/>
            <w:hideMark/>
          </w:tcPr>
          <w:p w14:paraId="76A5E015" w14:textId="77777777" w:rsidR="00354885" w:rsidRPr="00CC1598" w:rsidRDefault="00354885" w:rsidP="00354885">
            <w:pPr>
              <w:pStyle w:val="CETBodytext"/>
              <w:jc w:val="left"/>
            </w:pPr>
            <w:r w:rsidRPr="00CC1598">
              <w:t>Pressure (MPa)</w:t>
            </w:r>
          </w:p>
        </w:tc>
        <w:tc>
          <w:tcPr>
            <w:tcW w:w="1134" w:type="dxa"/>
            <w:tcBorders>
              <w:top w:val="single" w:sz="12" w:space="0" w:color="008000"/>
              <w:bottom w:val="single" w:sz="12" w:space="0" w:color="008000"/>
            </w:tcBorders>
            <w:shd w:val="clear" w:color="auto" w:fill="FFFFFF"/>
            <w:hideMark/>
          </w:tcPr>
          <w:p w14:paraId="54926E27" w14:textId="27E2ADED" w:rsidR="00354885" w:rsidRPr="00CC1598" w:rsidRDefault="00354885" w:rsidP="00354885">
            <w:pPr>
              <w:pStyle w:val="CETBodytext"/>
              <w:jc w:val="left"/>
            </w:pPr>
            <w:r w:rsidRPr="00CC1598">
              <w:t>Treatment time (min)</w:t>
            </w:r>
          </w:p>
        </w:tc>
        <w:tc>
          <w:tcPr>
            <w:tcW w:w="1842" w:type="dxa"/>
            <w:tcBorders>
              <w:top w:val="single" w:sz="12" w:space="0" w:color="008000"/>
              <w:bottom w:val="single" w:sz="12" w:space="0" w:color="008000"/>
            </w:tcBorders>
            <w:shd w:val="clear" w:color="auto" w:fill="FFFFFF"/>
            <w:hideMark/>
          </w:tcPr>
          <w:p w14:paraId="735D6236" w14:textId="77777777" w:rsidR="0045689D" w:rsidRPr="00CC1598" w:rsidRDefault="0045689D" w:rsidP="0045689D">
            <w:pPr>
              <w:pStyle w:val="CETBodytext"/>
              <w:jc w:val="left"/>
              <w:rPr>
                <w:lang w:val="it-IT"/>
              </w:rPr>
            </w:pPr>
            <w:r w:rsidRPr="00CC1598">
              <w:rPr>
                <w:i/>
                <w:lang w:val="it-IT"/>
              </w:rPr>
              <w:t>E. coli</w:t>
            </w:r>
            <w:r w:rsidRPr="00CC1598">
              <w:rPr>
                <w:lang w:val="it-IT"/>
              </w:rPr>
              <w:t xml:space="preserve"> inactivation </w:t>
            </w:r>
          </w:p>
          <w:p w14:paraId="1098B6FF" w14:textId="608DAE99" w:rsidR="00354885" w:rsidRPr="00CC1598" w:rsidRDefault="0045689D" w:rsidP="0045689D">
            <w:pPr>
              <w:pStyle w:val="CETBodytext"/>
              <w:jc w:val="left"/>
              <w:rPr>
                <w:lang w:val="it-IT"/>
              </w:rPr>
            </w:pPr>
            <w:r w:rsidRPr="00CC1598">
              <w:rPr>
                <w:lang w:val="it-IT"/>
              </w:rPr>
              <w:t>(Log CFU/g)</w:t>
            </w:r>
          </w:p>
        </w:tc>
        <w:tc>
          <w:tcPr>
            <w:tcW w:w="1843" w:type="dxa"/>
            <w:tcBorders>
              <w:top w:val="single" w:sz="12" w:space="0" w:color="008000"/>
              <w:bottom w:val="single" w:sz="12" w:space="0" w:color="008000"/>
            </w:tcBorders>
            <w:shd w:val="clear" w:color="auto" w:fill="FFFFFF"/>
          </w:tcPr>
          <w:p w14:paraId="2F587EA0" w14:textId="547B40FF" w:rsidR="00354885" w:rsidRPr="00CC1598" w:rsidRDefault="00354885">
            <w:pPr>
              <w:pStyle w:val="CETBodytext"/>
              <w:jc w:val="left"/>
              <w:rPr>
                <w:i/>
              </w:rPr>
            </w:pPr>
            <w:r w:rsidRPr="00CC1598">
              <w:rPr>
                <w:lang w:val="it-IT"/>
              </w:rPr>
              <w:t xml:space="preserve"> </w:t>
            </w:r>
            <w:r w:rsidRPr="00CC1598">
              <w:t>ΔE</w:t>
            </w:r>
            <w:r w:rsidR="00962797" w:rsidRPr="00CC1598">
              <w:t xml:space="preserve"> day 0 (-)</w:t>
            </w:r>
          </w:p>
        </w:tc>
        <w:tc>
          <w:tcPr>
            <w:tcW w:w="1843" w:type="dxa"/>
            <w:tcBorders>
              <w:top w:val="single" w:sz="12" w:space="0" w:color="008000"/>
              <w:bottom w:val="single" w:sz="12" w:space="0" w:color="008000"/>
            </w:tcBorders>
            <w:shd w:val="clear" w:color="auto" w:fill="FFFFFF"/>
            <w:hideMark/>
          </w:tcPr>
          <w:p w14:paraId="229BC9CC" w14:textId="64DBEA26" w:rsidR="0045689D" w:rsidRPr="00CC1598" w:rsidRDefault="0045689D" w:rsidP="0045689D">
            <w:pPr>
              <w:pStyle w:val="CETBodytext"/>
              <w:jc w:val="left"/>
            </w:pPr>
            <w:r w:rsidRPr="00CC1598">
              <w:t xml:space="preserve">ΔE </w:t>
            </w:r>
            <w:r w:rsidR="00962797" w:rsidRPr="00CC1598">
              <w:t xml:space="preserve">day </w:t>
            </w:r>
            <w:r w:rsidRPr="00CC1598">
              <w:t>7</w:t>
            </w:r>
            <w:r w:rsidR="00962797" w:rsidRPr="00CC1598">
              <w:t xml:space="preserve"> (-)</w:t>
            </w:r>
          </w:p>
          <w:p w14:paraId="4DB10C88" w14:textId="6B6989EA" w:rsidR="00354885" w:rsidRPr="00CC1598" w:rsidRDefault="00354885" w:rsidP="00354885">
            <w:pPr>
              <w:pStyle w:val="CETBodytext"/>
              <w:jc w:val="left"/>
            </w:pPr>
          </w:p>
        </w:tc>
      </w:tr>
      <w:tr w:rsidR="00892D31" w:rsidRPr="00CC1598" w14:paraId="1D623572" w14:textId="77777777" w:rsidTr="001F2B2E">
        <w:trPr>
          <w:trHeight w:val="170"/>
        </w:trPr>
        <w:tc>
          <w:tcPr>
            <w:tcW w:w="3261" w:type="dxa"/>
            <w:gridSpan w:val="3"/>
            <w:tcBorders>
              <w:top w:val="single" w:sz="12" w:space="0" w:color="008000"/>
            </w:tcBorders>
            <w:shd w:val="clear" w:color="auto" w:fill="FFFFFF"/>
          </w:tcPr>
          <w:p w14:paraId="34324479" w14:textId="25933D93" w:rsidR="00892D31" w:rsidRPr="00CC1598" w:rsidRDefault="00892D31" w:rsidP="00354885">
            <w:pPr>
              <w:pStyle w:val="CETBodytext"/>
              <w:jc w:val="left"/>
              <w:rPr>
                <w:i/>
              </w:rPr>
            </w:pPr>
            <w:r w:rsidRPr="00CC1598">
              <w:rPr>
                <w:i/>
              </w:rPr>
              <w:t>Non-treated</w:t>
            </w:r>
          </w:p>
        </w:tc>
        <w:tc>
          <w:tcPr>
            <w:tcW w:w="1842" w:type="dxa"/>
            <w:tcBorders>
              <w:top w:val="single" w:sz="12" w:space="0" w:color="008000"/>
            </w:tcBorders>
            <w:shd w:val="clear" w:color="auto" w:fill="FFFFFF"/>
          </w:tcPr>
          <w:p w14:paraId="07799640" w14:textId="3DB94546" w:rsidR="00892D31" w:rsidRPr="00CC1598" w:rsidRDefault="00892D31" w:rsidP="0045689D">
            <w:pPr>
              <w:pStyle w:val="CETBodytext"/>
              <w:jc w:val="left"/>
            </w:pPr>
            <w:r w:rsidRPr="00CC1598">
              <w:t>-</w:t>
            </w:r>
          </w:p>
        </w:tc>
        <w:tc>
          <w:tcPr>
            <w:tcW w:w="1843" w:type="dxa"/>
            <w:tcBorders>
              <w:top w:val="single" w:sz="12" w:space="0" w:color="008000"/>
            </w:tcBorders>
            <w:shd w:val="clear" w:color="auto" w:fill="FFFFFF"/>
          </w:tcPr>
          <w:p w14:paraId="5E85C2E1" w14:textId="07A368F2" w:rsidR="00892D31" w:rsidRPr="00CC1598" w:rsidRDefault="00892D31" w:rsidP="00354885">
            <w:pPr>
              <w:pStyle w:val="CETBodytext"/>
              <w:jc w:val="left"/>
            </w:pPr>
            <w:r w:rsidRPr="00CC1598">
              <w:t>-</w:t>
            </w:r>
          </w:p>
        </w:tc>
        <w:tc>
          <w:tcPr>
            <w:tcW w:w="1843" w:type="dxa"/>
            <w:tcBorders>
              <w:top w:val="single" w:sz="12" w:space="0" w:color="008000"/>
            </w:tcBorders>
            <w:shd w:val="clear" w:color="auto" w:fill="FFFFFF"/>
          </w:tcPr>
          <w:p w14:paraId="4C922354" w14:textId="640D84E3" w:rsidR="00892D31" w:rsidRPr="00CC1598" w:rsidRDefault="00892D31" w:rsidP="0045689D">
            <w:pPr>
              <w:pStyle w:val="CETBodytext"/>
              <w:jc w:val="left"/>
            </w:pPr>
            <w:r w:rsidRPr="00CC1598">
              <w:t>5.384 ± 0.087</w:t>
            </w:r>
            <w:r w:rsidRPr="00CC1598">
              <w:rPr>
                <w:vertAlign w:val="superscript"/>
              </w:rPr>
              <w:t>b</w:t>
            </w:r>
          </w:p>
        </w:tc>
      </w:tr>
      <w:tr w:rsidR="00892D31" w:rsidRPr="00CC1598" w14:paraId="283DAB36" w14:textId="77777777" w:rsidTr="001F2B2E">
        <w:tc>
          <w:tcPr>
            <w:tcW w:w="1134" w:type="dxa"/>
            <w:shd w:val="clear" w:color="auto" w:fill="FFFFFF"/>
          </w:tcPr>
          <w:p w14:paraId="224FED24" w14:textId="2FC09C5A" w:rsidR="00CE36FA" w:rsidRPr="00CC1598" w:rsidRDefault="00CE36FA" w:rsidP="00EA0C2B">
            <w:pPr>
              <w:pStyle w:val="CETBodytext"/>
              <w:jc w:val="left"/>
            </w:pPr>
            <w:r w:rsidRPr="00CC1598">
              <w:t>35.0</w:t>
            </w:r>
          </w:p>
        </w:tc>
        <w:tc>
          <w:tcPr>
            <w:tcW w:w="993" w:type="dxa"/>
            <w:shd w:val="clear" w:color="auto" w:fill="FFFFFF"/>
          </w:tcPr>
          <w:p w14:paraId="6F49519F" w14:textId="4014F5A7" w:rsidR="00CE36FA" w:rsidRPr="00CC1598" w:rsidRDefault="00CE36FA" w:rsidP="00EA0C2B">
            <w:pPr>
              <w:pStyle w:val="CETBodytext"/>
              <w:jc w:val="left"/>
            </w:pPr>
            <w:r w:rsidRPr="00CC1598">
              <w:t>8.0</w:t>
            </w:r>
          </w:p>
        </w:tc>
        <w:tc>
          <w:tcPr>
            <w:tcW w:w="1134" w:type="dxa"/>
            <w:shd w:val="clear" w:color="auto" w:fill="FFFFFF"/>
          </w:tcPr>
          <w:p w14:paraId="6ACD2EE7" w14:textId="72A08AA5" w:rsidR="00CE36FA" w:rsidRPr="00CC1598" w:rsidRDefault="00CE36FA" w:rsidP="00EA0C2B">
            <w:pPr>
              <w:pStyle w:val="CETBodytext"/>
              <w:jc w:val="left"/>
            </w:pPr>
            <w:r w:rsidRPr="00CC1598">
              <w:t>5.0</w:t>
            </w:r>
          </w:p>
        </w:tc>
        <w:tc>
          <w:tcPr>
            <w:tcW w:w="1842" w:type="dxa"/>
            <w:shd w:val="clear" w:color="auto" w:fill="FFFFFF"/>
          </w:tcPr>
          <w:p w14:paraId="5C8D54B8" w14:textId="72168653" w:rsidR="00CE36FA" w:rsidRPr="00CC1598" w:rsidRDefault="00CE36FA" w:rsidP="00CE36FA">
            <w:pPr>
              <w:pStyle w:val="CETBodytext"/>
            </w:pPr>
            <w:r w:rsidRPr="00CC1598">
              <w:t>0.604 ± 0.264</w:t>
            </w:r>
            <w:r w:rsidRPr="00CC1598">
              <w:rPr>
                <w:vertAlign w:val="superscript"/>
              </w:rPr>
              <w:t>ab</w:t>
            </w:r>
          </w:p>
        </w:tc>
        <w:tc>
          <w:tcPr>
            <w:tcW w:w="1843" w:type="dxa"/>
            <w:shd w:val="clear" w:color="auto" w:fill="FFFFFF"/>
          </w:tcPr>
          <w:p w14:paraId="0688EF46" w14:textId="04378F3C" w:rsidR="00CE36FA" w:rsidRPr="00CC1598" w:rsidRDefault="00CE36FA" w:rsidP="00CE36FA">
            <w:pPr>
              <w:pStyle w:val="CETBodytext"/>
            </w:pPr>
            <w:r w:rsidRPr="00CC1598">
              <w:t>1.713 ± 1.131</w:t>
            </w:r>
            <w:r w:rsidRPr="00CC1598">
              <w:rPr>
                <w:vertAlign w:val="superscript"/>
              </w:rPr>
              <w:t>a</w:t>
            </w:r>
          </w:p>
        </w:tc>
        <w:tc>
          <w:tcPr>
            <w:tcW w:w="1843" w:type="dxa"/>
            <w:shd w:val="clear" w:color="auto" w:fill="FFFFFF"/>
          </w:tcPr>
          <w:p w14:paraId="34F7F9FA" w14:textId="6987DF59" w:rsidR="00CE36FA" w:rsidRPr="00CC1598" w:rsidRDefault="00892D31" w:rsidP="00CE36FA">
            <w:pPr>
              <w:pStyle w:val="CETBodytext"/>
            </w:pPr>
            <w:r w:rsidRPr="00CC1598">
              <w:t>2.294</w:t>
            </w:r>
            <w:r w:rsidR="00CE36FA" w:rsidRPr="00CC1598">
              <w:t xml:space="preserve"> ± </w:t>
            </w:r>
            <w:r w:rsidRPr="00CC1598">
              <w:t>0.047</w:t>
            </w:r>
            <w:r w:rsidRPr="00CC1598">
              <w:rPr>
                <w:vertAlign w:val="superscript"/>
              </w:rPr>
              <w:t>a</w:t>
            </w:r>
          </w:p>
        </w:tc>
      </w:tr>
      <w:tr w:rsidR="00892D31" w:rsidRPr="00CC1598" w14:paraId="69D083D9" w14:textId="77777777" w:rsidTr="001F2B2E">
        <w:tc>
          <w:tcPr>
            <w:tcW w:w="1134" w:type="dxa"/>
            <w:shd w:val="clear" w:color="auto" w:fill="FFFFFF"/>
          </w:tcPr>
          <w:p w14:paraId="3C6FE37F" w14:textId="4468195E" w:rsidR="00CE36FA" w:rsidRPr="00CC1598" w:rsidRDefault="00CE36FA" w:rsidP="00EA0C2B">
            <w:pPr>
              <w:pStyle w:val="CETBodytext"/>
              <w:jc w:val="left"/>
            </w:pPr>
            <w:r w:rsidRPr="00CC1598">
              <w:t>35.0</w:t>
            </w:r>
          </w:p>
        </w:tc>
        <w:tc>
          <w:tcPr>
            <w:tcW w:w="993" w:type="dxa"/>
            <w:shd w:val="clear" w:color="auto" w:fill="FFFFFF"/>
          </w:tcPr>
          <w:p w14:paraId="2B774E0A" w14:textId="7F20CD6C" w:rsidR="00CE36FA" w:rsidRPr="00CC1598" w:rsidRDefault="00CE36FA" w:rsidP="00EA0C2B">
            <w:pPr>
              <w:pStyle w:val="CETBodytext"/>
              <w:jc w:val="left"/>
            </w:pPr>
            <w:r w:rsidRPr="00CC1598">
              <w:t>8.0</w:t>
            </w:r>
          </w:p>
        </w:tc>
        <w:tc>
          <w:tcPr>
            <w:tcW w:w="1134" w:type="dxa"/>
            <w:shd w:val="clear" w:color="auto" w:fill="FFFFFF"/>
          </w:tcPr>
          <w:p w14:paraId="1AF99360" w14:textId="27DA6FC9" w:rsidR="00CE36FA" w:rsidRPr="00CC1598" w:rsidRDefault="00CE36FA" w:rsidP="00EA0C2B">
            <w:pPr>
              <w:pStyle w:val="CETBodytext"/>
              <w:jc w:val="left"/>
            </w:pPr>
            <w:r w:rsidRPr="00CC1598">
              <w:t>35.0</w:t>
            </w:r>
          </w:p>
        </w:tc>
        <w:tc>
          <w:tcPr>
            <w:tcW w:w="1842" w:type="dxa"/>
            <w:shd w:val="clear" w:color="auto" w:fill="FFFFFF"/>
          </w:tcPr>
          <w:p w14:paraId="73979720" w14:textId="652C0D32" w:rsidR="00CE36FA" w:rsidRPr="00CC1598" w:rsidRDefault="00CE36FA" w:rsidP="00CE36FA">
            <w:pPr>
              <w:pStyle w:val="CETBodytext"/>
            </w:pPr>
            <w:r w:rsidRPr="00CC1598">
              <w:t>0.561 ± 0.233</w:t>
            </w:r>
            <w:r w:rsidRPr="00CC1598">
              <w:rPr>
                <w:vertAlign w:val="superscript"/>
              </w:rPr>
              <w:t>ab</w:t>
            </w:r>
          </w:p>
        </w:tc>
        <w:tc>
          <w:tcPr>
            <w:tcW w:w="1843" w:type="dxa"/>
            <w:shd w:val="clear" w:color="auto" w:fill="FFFFFF"/>
          </w:tcPr>
          <w:p w14:paraId="198D8AE2" w14:textId="322883CE" w:rsidR="00CE36FA" w:rsidRPr="00CC1598" w:rsidRDefault="00CE36FA" w:rsidP="00CE36FA">
            <w:pPr>
              <w:pStyle w:val="CETBodytext"/>
            </w:pPr>
            <w:r w:rsidRPr="00CC1598">
              <w:t>2.789 ± 0.221</w:t>
            </w:r>
            <w:r w:rsidRPr="00CC1598">
              <w:rPr>
                <w:vertAlign w:val="superscript"/>
              </w:rPr>
              <w:t>a</w:t>
            </w:r>
          </w:p>
        </w:tc>
        <w:tc>
          <w:tcPr>
            <w:tcW w:w="1843" w:type="dxa"/>
            <w:shd w:val="clear" w:color="auto" w:fill="FFFFFF"/>
          </w:tcPr>
          <w:p w14:paraId="6615B513" w14:textId="1CA0A270" w:rsidR="00CE36FA" w:rsidRPr="00CC1598" w:rsidRDefault="00892D31" w:rsidP="00CE36FA">
            <w:pPr>
              <w:pStyle w:val="CETBodytext"/>
            </w:pPr>
            <w:r w:rsidRPr="00CC1598">
              <w:t>3.939</w:t>
            </w:r>
            <w:r w:rsidR="00CE36FA" w:rsidRPr="00CC1598">
              <w:t xml:space="preserve"> ± </w:t>
            </w:r>
            <w:r w:rsidRPr="00CC1598">
              <w:t>0.535</w:t>
            </w:r>
            <w:r w:rsidR="00CE36FA" w:rsidRPr="00CC1598">
              <w:rPr>
                <w:vertAlign w:val="superscript"/>
              </w:rPr>
              <w:t>ab</w:t>
            </w:r>
          </w:p>
        </w:tc>
      </w:tr>
      <w:tr w:rsidR="00892D31" w:rsidRPr="00CC1598" w14:paraId="6FA4AF39" w14:textId="77777777" w:rsidTr="001F2B2E">
        <w:tc>
          <w:tcPr>
            <w:tcW w:w="1134" w:type="dxa"/>
            <w:shd w:val="clear" w:color="auto" w:fill="FFFFFF"/>
            <w:hideMark/>
          </w:tcPr>
          <w:p w14:paraId="60DE03B7" w14:textId="77777777" w:rsidR="00CE36FA" w:rsidRPr="00CC1598" w:rsidRDefault="00CE36FA" w:rsidP="00EA0C2B">
            <w:pPr>
              <w:pStyle w:val="CETBodytext"/>
              <w:jc w:val="left"/>
            </w:pPr>
            <w:r w:rsidRPr="00CC1598">
              <w:t>35.0</w:t>
            </w:r>
          </w:p>
        </w:tc>
        <w:tc>
          <w:tcPr>
            <w:tcW w:w="993" w:type="dxa"/>
            <w:shd w:val="clear" w:color="auto" w:fill="FFFFFF"/>
            <w:hideMark/>
          </w:tcPr>
          <w:p w14:paraId="40418029" w14:textId="2875AC8F" w:rsidR="00CE36FA" w:rsidRPr="00CC1598" w:rsidRDefault="00CE36FA" w:rsidP="00EA0C2B">
            <w:pPr>
              <w:pStyle w:val="CETBodytext"/>
              <w:jc w:val="left"/>
            </w:pPr>
            <w:r w:rsidRPr="00CC1598">
              <w:t>14.0</w:t>
            </w:r>
          </w:p>
        </w:tc>
        <w:tc>
          <w:tcPr>
            <w:tcW w:w="1134" w:type="dxa"/>
            <w:shd w:val="clear" w:color="auto" w:fill="FFFFFF"/>
            <w:hideMark/>
          </w:tcPr>
          <w:p w14:paraId="2BDE8853" w14:textId="77777777" w:rsidR="00CE36FA" w:rsidRPr="00CC1598" w:rsidRDefault="00CE36FA" w:rsidP="00EA0C2B">
            <w:pPr>
              <w:pStyle w:val="CETBodytext"/>
              <w:jc w:val="left"/>
            </w:pPr>
            <w:r w:rsidRPr="00CC1598">
              <w:t>5.0</w:t>
            </w:r>
          </w:p>
        </w:tc>
        <w:tc>
          <w:tcPr>
            <w:tcW w:w="1842" w:type="dxa"/>
            <w:shd w:val="clear" w:color="auto" w:fill="FFFFFF"/>
            <w:hideMark/>
          </w:tcPr>
          <w:p w14:paraId="1320B36B" w14:textId="1FCF981B" w:rsidR="00CE36FA" w:rsidRPr="00CC1598" w:rsidRDefault="00CE36FA" w:rsidP="00CE36FA">
            <w:pPr>
              <w:pStyle w:val="CETBodytext"/>
            </w:pPr>
            <w:r w:rsidRPr="00CC1598">
              <w:t>0.519 ± 0.143</w:t>
            </w:r>
            <w:r w:rsidRPr="00CC1598">
              <w:rPr>
                <w:vertAlign w:val="superscript"/>
              </w:rPr>
              <w:t>a</w:t>
            </w:r>
          </w:p>
        </w:tc>
        <w:tc>
          <w:tcPr>
            <w:tcW w:w="1843" w:type="dxa"/>
            <w:shd w:val="clear" w:color="auto" w:fill="FFFFFF"/>
          </w:tcPr>
          <w:p w14:paraId="6D0C1FF6" w14:textId="7ED2F209" w:rsidR="00CE36FA" w:rsidRPr="00CC1598" w:rsidRDefault="00CE36FA" w:rsidP="00CE36FA">
            <w:pPr>
              <w:pStyle w:val="CETBodytext"/>
            </w:pPr>
            <w:r w:rsidRPr="00CC1598">
              <w:t>1.713 ± 1.037</w:t>
            </w:r>
            <w:r w:rsidRPr="00CC1598">
              <w:rPr>
                <w:vertAlign w:val="superscript"/>
              </w:rPr>
              <w:t>a</w:t>
            </w:r>
          </w:p>
        </w:tc>
        <w:tc>
          <w:tcPr>
            <w:tcW w:w="1843" w:type="dxa"/>
            <w:shd w:val="clear" w:color="auto" w:fill="FFFFFF"/>
            <w:hideMark/>
          </w:tcPr>
          <w:p w14:paraId="688FCC7C" w14:textId="75AFDA78" w:rsidR="00CE36FA" w:rsidRPr="00CC1598" w:rsidRDefault="00892D31" w:rsidP="00CE36FA">
            <w:pPr>
              <w:pStyle w:val="CETBodytext"/>
            </w:pPr>
            <w:r w:rsidRPr="00CC1598">
              <w:t>3.891</w:t>
            </w:r>
            <w:r w:rsidR="00CE36FA" w:rsidRPr="00CC1598">
              <w:t xml:space="preserve"> ± </w:t>
            </w:r>
            <w:r w:rsidRPr="00CC1598">
              <w:t>1.034</w:t>
            </w:r>
            <w:r w:rsidR="00CE36FA" w:rsidRPr="00CC1598">
              <w:rPr>
                <w:vertAlign w:val="superscript"/>
              </w:rPr>
              <w:t>a</w:t>
            </w:r>
            <w:r w:rsidRPr="00CC1598">
              <w:rPr>
                <w:vertAlign w:val="superscript"/>
              </w:rPr>
              <w:t>b</w:t>
            </w:r>
          </w:p>
        </w:tc>
      </w:tr>
      <w:tr w:rsidR="00892D31" w:rsidRPr="00CC1598" w14:paraId="612C9E58" w14:textId="77777777" w:rsidTr="001F2B2E">
        <w:tc>
          <w:tcPr>
            <w:tcW w:w="1134" w:type="dxa"/>
            <w:shd w:val="clear" w:color="auto" w:fill="FFFFFF"/>
            <w:hideMark/>
          </w:tcPr>
          <w:p w14:paraId="1BE3196B" w14:textId="77777777" w:rsidR="00CE36FA" w:rsidRPr="00CC1598" w:rsidRDefault="00CE36FA" w:rsidP="00EA0C2B">
            <w:pPr>
              <w:pStyle w:val="CETBodytext"/>
              <w:jc w:val="left"/>
            </w:pPr>
            <w:r w:rsidRPr="00CC1598">
              <w:t>35.0</w:t>
            </w:r>
          </w:p>
        </w:tc>
        <w:tc>
          <w:tcPr>
            <w:tcW w:w="993" w:type="dxa"/>
            <w:shd w:val="clear" w:color="auto" w:fill="FFFFFF"/>
            <w:hideMark/>
          </w:tcPr>
          <w:p w14:paraId="7252CD26" w14:textId="4569BB65" w:rsidR="00CE36FA" w:rsidRPr="00CC1598" w:rsidRDefault="00CE36FA" w:rsidP="00EA0C2B">
            <w:pPr>
              <w:pStyle w:val="CETBodytext"/>
              <w:jc w:val="left"/>
            </w:pPr>
            <w:r w:rsidRPr="00CC1598">
              <w:t>14.0</w:t>
            </w:r>
          </w:p>
        </w:tc>
        <w:tc>
          <w:tcPr>
            <w:tcW w:w="1134" w:type="dxa"/>
            <w:shd w:val="clear" w:color="auto" w:fill="FFFFFF"/>
            <w:hideMark/>
          </w:tcPr>
          <w:p w14:paraId="6D951C3E" w14:textId="77777777" w:rsidR="00CE36FA" w:rsidRPr="00CC1598" w:rsidRDefault="00CE36FA" w:rsidP="00EA0C2B">
            <w:pPr>
              <w:pStyle w:val="CETBodytext"/>
              <w:jc w:val="left"/>
            </w:pPr>
            <w:r w:rsidRPr="00CC1598">
              <w:t>35.0</w:t>
            </w:r>
          </w:p>
        </w:tc>
        <w:tc>
          <w:tcPr>
            <w:tcW w:w="1842" w:type="dxa"/>
            <w:shd w:val="clear" w:color="auto" w:fill="FFFFFF"/>
            <w:hideMark/>
          </w:tcPr>
          <w:p w14:paraId="0C697707" w14:textId="7A0B00B9" w:rsidR="00CE36FA" w:rsidRPr="00CC1598" w:rsidRDefault="00CE36FA" w:rsidP="00CE36FA">
            <w:pPr>
              <w:pStyle w:val="CETBodytext"/>
            </w:pPr>
            <w:r w:rsidRPr="00CC1598">
              <w:t>0.748 ± 0.229</w:t>
            </w:r>
            <w:r w:rsidRPr="00CC1598">
              <w:rPr>
                <w:vertAlign w:val="superscript"/>
              </w:rPr>
              <w:t>ab</w:t>
            </w:r>
          </w:p>
        </w:tc>
        <w:tc>
          <w:tcPr>
            <w:tcW w:w="1843" w:type="dxa"/>
            <w:shd w:val="clear" w:color="auto" w:fill="FFFFFF"/>
          </w:tcPr>
          <w:p w14:paraId="1430817A" w14:textId="6B7CB13E" w:rsidR="00CE36FA" w:rsidRPr="00CC1598" w:rsidRDefault="00CE36FA" w:rsidP="00CE36FA">
            <w:pPr>
              <w:pStyle w:val="CETBodytext"/>
            </w:pPr>
            <w:r w:rsidRPr="00CC1598">
              <w:t>2.210 ± 0.766</w:t>
            </w:r>
            <w:r w:rsidRPr="00CC1598">
              <w:rPr>
                <w:vertAlign w:val="superscript"/>
              </w:rPr>
              <w:t>a</w:t>
            </w:r>
          </w:p>
        </w:tc>
        <w:tc>
          <w:tcPr>
            <w:tcW w:w="1843" w:type="dxa"/>
            <w:shd w:val="clear" w:color="auto" w:fill="FFFFFF"/>
            <w:hideMark/>
          </w:tcPr>
          <w:p w14:paraId="45080ECD" w14:textId="765D1DE9" w:rsidR="00CE36FA" w:rsidRPr="00CC1598" w:rsidRDefault="00892D31" w:rsidP="00CE36FA">
            <w:pPr>
              <w:pStyle w:val="CETBodytext"/>
            </w:pPr>
            <w:r w:rsidRPr="00CC1598">
              <w:t>2.472</w:t>
            </w:r>
            <w:r w:rsidR="00CE36FA" w:rsidRPr="00CC1598">
              <w:t xml:space="preserve"> ± </w:t>
            </w:r>
            <w:r w:rsidRPr="00CC1598">
              <w:t>0.527</w:t>
            </w:r>
            <w:r w:rsidR="00CE36FA" w:rsidRPr="00CC1598">
              <w:rPr>
                <w:vertAlign w:val="superscript"/>
              </w:rPr>
              <w:t>a</w:t>
            </w:r>
          </w:p>
        </w:tc>
      </w:tr>
      <w:tr w:rsidR="00892D31" w:rsidRPr="00CC1598" w14:paraId="1FFF0D69" w14:textId="77777777" w:rsidTr="001F2B2E">
        <w:tc>
          <w:tcPr>
            <w:tcW w:w="1134" w:type="dxa"/>
            <w:shd w:val="clear" w:color="auto" w:fill="FFFFFF"/>
            <w:hideMark/>
          </w:tcPr>
          <w:p w14:paraId="07C387F0" w14:textId="77777777" w:rsidR="00CE36FA" w:rsidRPr="00CC1598" w:rsidRDefault="00CE36FA" w:rsidP="00EA0C2B">
            <w:pPr>
              <w:pStyle w:val="CETBodytext"/>
              <w:jc w:val="left"/>
            </w:pPr>
            <w:r w:rsidRPr="00CC1598">
              <w:t>40.0</w:t>
            </w:r>
          </w:p>
        </w:tc>
        <w:tc>
          <w:tcPr>
            <w:tcW w:w="993" w:type="dxa"/>
            <w:shd w:val="clear" w:color="auto" w:fill="FFFFFF"/>
            <w:hideMark/>
          </w:tcPr>
          <w:p w14:paraId="7342C03A" w14:textId="0446FC8B" w:rsidR="00CE36FA" w:rsidRPr="00CC1598" w:rsidRDefault="00CE36FA" w:rsidP="00EA0C2B">
            <w:pPr>
              <w:pStyle w:val="CETBodytext"/>
              <w:jc w:val="left"/>
            </w:pPr>
            <w:r w:rsidRPr="00CC1598">
              <w:t>11.0</w:t>
            </w:r>
          </w:p>
        </w:tc>
        <w:tc>
          <w:tcPr>
            <w:tcW w:w="1134" w:type="dxa"/>
            <w:shd w:val="clear" w:color="auto" w:fill="FFFFFF"/>
            <w:hideMark/>
          </w:tcPr>
          <w:p w14:paraId="62D55A31" w14:textId="77777777" w:rsidR="00CE36FA" w:rsidRPr="00CC1598" w:rsidRDefault="00CE36FA" w:rsidP="00EA0C2B">
            <w:pPr>
              <w:pStyle w:val="CETBodytext"/>
              <w:jc w:val="left"/>
            </w:pPr>
            <w:r w:rsidRPr="00CC1598">
              <w:t>20.0</w:t>
            </w:r>
          </w:p>
        </w:tc>
        <w:tc>
          <w:tcPr>
            <w:tcW w:w="1842" w:type="dxa"/>
            <w:shd w:val="clear" w:color="auto" w:fill="FFFFFF"/>
            <w:hideMark/>
          </w:tcPr>
          <w:p w14:paraId="2DF20403" w14:textId="1327ACE6" w:rsidR="00CE36FA" w:rsidRPr="00CC1598" w:rsidRDefault="00CE36FA" w:rsidP="00CE36FA">
            <w:pPr>
              <w:pStyle w:val="CETBodytext"/>
            </w:pPr>
            <w:r w:rsidRPr="00CC1598">
              <w:t>0.687 ± 0.172</w:t>
            </w:r>
            <w:r w:rsidRPr="00CC1598">
              <w:rPr>
                <w:vertAlign w:val="superscript"/>
              </w:rPr>
              <w:t>ab</w:t>
            </w:r>
          </w:p>
        </w:tc>
        <w:tc>
          <w:tcPr>
            <w:tcW w:w="1843" w:type="dxa"/>
            <w:shd w:val="clear" w:color="auto" w:fill="FFFFFF"/>
          </w:tcPr>
          <w:p w14:paraId="79D25B51" w14:textId="3F200260" w:rsidR="00CE36FA" w:rsidRPr="00CC1598" w:rsidRDefault="00CE36FA" w:rsidP="00CE36FA">
            <w:pPr>
              <w:pStyle w:val="CETBodytext"/>
            </w:pPr>
            <w:r w:rsidRPr="00CC1598">
              <w:t>2.274 ± 0.290</w:t>
            </w:r>
            <w:r w:rsidRPr="00CC1598">
              <w:rPr>
                <w:vertAlign w:val="superscript"/>
              </w:rPr>
              <w:t>a</w:t>
            </w:r>
          </w:p>
        </w:tc>
        <w:tc>
          <w:tcPr>
            <w:tcW w:w="1843" w:type="dxa"/>
            <w:shd w:val="clear" w:color="auto" w:fill="FFFFFF"/>
            <w:hideMark/>
          </w:tcPr>
          <w:p w14:paraId="3890A462" w14:textId="0010F960" w:rsidR="00CE36FA" w:rsidRPr="00CC1598" w:rsidRDefault="00892D31" w:rsidP="00CE36FA">
            <w:pPr>
              <w:pStyle w:val="CETBodytext"/>
            </w:pPr>
            <w:r w:rsidRPr="00CC1598">
              <w:t>4.183</w:t>
            </w:r>
            <w:r w:rsidR="00CE36FA" w:rsidRPr="00CC1598">
              <w:t xml:space="preserve"> ± </w:t>
            </w:r>
            <w:r w:rsidRPr="00CC1598">
              <w:t>1.062</w:t>
            </w:r>
            <w:r w:rsidR="00CE36FA" w:rsidRPr="00CC1598">
              <w:rPr>
                <w:vertAlign w:val="superscript"/>
              </w:rPr>
              <w:t>ab</w:t>
            </w:r>
          </w:p>
        </w:tc>
      </w:tr>
      <w:tr w:rsidR="00892D31" w:rsidRPr="00CC1598" w14:paraId="0805173B" w14:textId="77777777" w:rsidTr="001F2B2E">
        <w:tc>
          <w:tcPr>
            <w:tcW w:w="1134" w:type="dxa"/>
            <w:shd w:val="clear" w:color="auto" w:fill="FFFFFF"/>
            <w:hideMark/>
          </w:tcPr>
          <w:p w14:paraId="16B22567" w14:textId="77777777" w:rsidR="00CE36FA" w:rsidRPr="00CC1598" w:rsidRDefault="00CE36FA" w:rsidP="00EA0C2B">
            <w:pPr>
              <w:pStyle w:val="CETBodytext"/>
              <w:jc w:val="left"/>
            </w:pPr>
            <w:r w:rsidRPr="00CC1598">
              <w:t>45.0</w:t>
            </w:r>
          </w:p>
        </w:tc>
        <w:tc>
          <w:tcPr>
            <w:tcW w:w="993" w:type="dxa"/>
            <w:shd w:val="clear" w:color="auto" w:fill="FFFFFF"/>
            <w:hideMark/>
          </w:tcPr>
          <w:p w14:paraId="4B5192FF" w14:textId="325314B9" w:rsidR="00CE36FA" w:rsidRPr="00CC1598" w:rsidRDefault="00CE36FA" w:rsidP="00EA0C2B">
            <w:pPr>
              <w:pStyle w:val="CETBodytext"/>
              <w:jc w:val="left"/>
            </w:pPr>
            <w:r w:rsidRPr="00CC1598">
              <w:t>8.0</w:t>
            </w:r>
          </w:p>
        </w:tc>
        <w:tc>
          <w:tcPr>
            <w:tcW w:w="1134" w:type="dxa"/>
            <w:shd w:val="clear" w:color="auto" w:fill="FFFFFF"/>
            <w:hideMark/>
          </w:tcPr>
          <w:p w14:paraId="13810B6B" w14:textId="77777777" w:rsidR="00CE36FA" w:rsidRPr="00CC1598" w:rsidRDefault="00CE36FA" w:rsidP="00EA0C2B">
            <w:pPr>
              <w:pStyle w:val="CETBodytext"/>
              <w:jc w:val="left"/>
            </w:pPr>
            <w:r w:rsidRPr="00CC1598">
              <w:t>5.0</w:t>
            </w:r>
          </w:p>
        </w:tc>
        <w:tc>
          <w:tcPr>
            <w:tcW w:w="1842" w:type="dxa"/>
            <w:shd w:val="clear" w:color="auto" w:fill="FFFFFF"/>
            <w:hideMark/>
          </w:tcPr>
          <w:p w14:paraId="589FC5FC" w14:textId="7420B869" w:rsidR="00CE36FA" w:rsidRPr="00CC1598" w:rsidRDefault="00CE36FA" w:rsidP="00CE36FA">
            <w:pPr>
              <w:pStyle w:val="CETBodytext"/>
            </w:pPr>
            <w:r w:rsidRPr="00CC1598">
              <w:t>0.825 ± 0.353</w:t>
            </w:r>
            <w:r w:rsidRPr="00CC1598">
              <w:rPr>
                <w:vertAlign w:val="superscript"/>
              </w:rPr>
              <w:t>ab</w:t>
            </w:r>
          </w:p>
        </w:tc>
        <w:tc>
          <w:tcPr>
            <w:tcW w:w="1843" w:type="dxa"/>
            <w:shd w:val="clear" w:color="auto" w:fill="FFFFFF"/>
          </w:tcPr>
          <w:p w14:paraId="06F67A7C" w14:textId="67F09CAD" w:rsidR="00CE36FA" w:rsidRPr="00CC1598" w:rsidRDefault="00CE36FA" w:rsidP="00CE36FA">
            <w:pPr>
              <w:pStyle w:val="CETBodytext"/>
            </w:pPr>
            <w:r w:rsidRPr="00CC1598">
              <w:t>3.784 ± 1.451</w:t>
            </w:r>
            <w:r w:rsidRPr="00CC1598">
              <w:rPr>
                <w:vertAlign w:val="superscript"/>
              </w:rPr>
              <w:t>ab</w:t>
            </w:r>
          </w:p>
        </w:tc>
        <w:tc>
          <w:tcPr>
            <w:tcW w:w="1843" w:type="dxa"/>
            <w:shd w:val="clear" w:color="auto" w:fill="FFFFFF"/>
            <w:hideMark/>
          </w:tcPr>
          <w:p w14:paraId="047B44A5" w14:textId="6D515845" w:rsidR="00CE36FA" w:rsidRPr="00CC1598" w:rsidRDefault="00892D31" w:rsidP="00CE36FA">
            <w:pPr>
              <w:pStyle w:val="CETBodytext"/>
            </w:pPr>
            <w:r w:rsidRPr="00CC1598">
              <w:t>5.151</w:t>
            </w:r>
            <w:r w:rsidR="00CE36FA" w:rsidRPr="00CC1598">
              <w:t xml:space="preserve"> ± </w:t>
            </w:r>
            <w:r w:rsidRPr="00CC1598">
              <w:t>1.171</w:t>
            </w:r>
            <w:r w:rsidR="00CE36FA" w:rsidRPr="00CC1598">
              <w:rPr>
                <w:vertAlign w:val="superscript"/>
              </w:rPr>
              <w:t>b</w:t>
            </w:r>
          </w:p>
        </w:tc>
      </w:tr>
      <w:tr w:rsidR="00892D31" w:rsidRPr="00CC1598" w14:paraId="5D0B26B0" w14:textId="77777777" w:rsidTr="001F2B2E">
        <w:tc>
          <w:tcPr>
            <w:tcW w:w="1134" w:type="dxa"/>
            <w:shd w:val="clear" w:color="auto" w:fill="FFFFFF"/>
            <w:hideMark/>
          </w:tcPr>
          <w:p w14:paraId="4658E922" w14:textId="77777777" w:rsidR="00CE36FA" w:rsidRPr="00CC1598" w:rsidRDefault="00CE36FA" w:rsidP="00EA0C2B">
            <w:pPr>
              <w:pStyle w:val="CETBodytext"/>
              <w:jc w:val="left"/>
            </w:pPr>
            <w:r w:rsidRPr="00CC1598">
              <w:t>45.0</w:t>
            </w:r>
          </w:p>
        </w:tc>
        <w:tc>
          <w:tcPr>
            <w:tcW w:w="993" w:type="dxa"/>
            <w:shd w:val="clear" w:color="auto" w:fill="FFFFFF"/>
            <w:hideMark/>
          </w:tcPr>
          <w:p w14:paraId="5BF487C1" w14:textId="384EC7D6" w:rsidR="00CE36FA" w:rsidRPr="00CC1598" w:rsidRDefault="00CE36FA" w:rsidP="00EA0C2B">
            <w:pPr>
              <w:pStyle w:val="CETBodytext"/>
              <w:jc w:val="left"/>
            </w:pPr>
            <w:r w:rsidRPr="00CC1598">
              <w:t>8.0</w:t>
            </w:r>
          </w:p>
        </w:tc>
        <w:tc>
          <w:tcPr>
            <w:tcW w:w="1134" w:type="dxa"/>
            <w:shd w:val="clear" w:color="auto" w:fill="FFFFFF"/>
            <w:hideMark/>
          </w:tcPr>
          <w:p w14:paraId="4F08DF1D" w14:textId="77777777" w:rsidR="00CE36FA" w:rsidRPr="00CC1598" w:rsidRDefault="00CE36FA" w:rsidP="00EA0C2B">
            <w:pPr>
              <w:pStyle w:val="CETBodytext"/>
              <w:jc w:val="left"/>
            </w:pPr>
            <w:r w:rsidRPr="00CC1598">
              <w:t>35.0</w:t>
            </w:r>
          </w:p>
        </w:tc>
        <w:tc>
          <w:tcPr>
            <w:tcW w:w="1842" w:type="dxa"/>
            <w:shd w:val="clear" w:color="auto" w:fill="FFFFFF"/>
            <w:hideMark/>
          </w:tcPr>
          <w:p w14:paraId="226439DF" w14:textId="1580E59F" w:rsidR="00CE36FA" w:rsidRPr="00CC1598" w:rsidRDefault="00CE36FA" w:rsidP="00CE36FA">
            <w:pPr>
              <w:pStyle w:val="CETBodytext"/>
            </w:pPr>
            <w:r w:rsidRPr="00CC1598">
              <w:t>1.498 ± 0.125</w:t>
            </w:r>
            <w:r w:rsidRPr="00CC1598">
              <w:rPr>
                <w:vertAlign w:val="superscript"/>
              </w:rPr>
              <w:t>b</w:t>
            </w:r>
          </w:p>
        </w:tc>
        <w:tc>
          <w:tcPr>
            <w:tcW w:w="1843" w:type="dxa"/>
            <w:shd w:val="clear" w:color="auto" w:fill="FFFFFF"/>
          </w:tcPr>
          <w:p w14:paraId="0D6D1362" w14:textId="5D5A2495" w:rsidR="00CE36FA" w:rsidRPr="00CC1598" w:rsidRDefault="00CE36FA" w:rsidP="00CE36FA">
            <w:pPr>
              <w:pStyle w:val="CETBodytext"/>
            </w:pPr>
            <w:r w:rsidRPr="00CC1598">
              <w:t>4.879 ± 0.285</w:t>
            </w:r>
            <w:r w:rsidRPr="00CC1598">
              <w:rPr>
                <w:vertAlign w:val="superscript"/>
              </w:rPr>
              <w:t>abc</w:t>
            </w:r>
          </w:p>
        </w:tc>
        <w:tc>
          <w:tcPr>
            <w:tcW w:w="1843" w:type="dxa"/>
            <w:shd w:val="clear" w:color="auto" w:fill="FFFFFF"/>
            <w:hideMark/>
          </w:tcPr>
          <w:p w14:paraId="7A0CEDC9" w14:textId="075AB27D" w:rsidR="00CE36FA" w:rsidRPr="00CC1598" w:rsidRDefault="00892D31" w:rsidP="00CE36FA">
            <w:pPr>
              <w:pStyle w:val="CETBodytext"/>
            </w:pPr>
            <w:r w:rsidRPr="00CC1598">
              <w:t>5.656</w:t>
            </w:r>
            <w:r w:rsidR="00CE36FA" w:rsidRPr="00CC1598">
              <w:t xml:space="preserve"> ± </w:t>
            </w:r>
            <w:r w:rsidRPr="00CC1598">
              <w:t>0.218</w:t>
            </w:r>
            <w:r w:rsidR="00CE36FA" w:rsidRPr="00CC1598">
              <w:rPr>
                <w:vertAlign w:val="superscript"/>
              </w:rPr>
              <w:t>b</w:t>
            </w:r>
          </w:p>
        </w:tc>
      </w:tr>
      <w:tr w:rsidR="00892D31" w:rsidRPr="00CC1598" w14:paraId="36EBDE78" w14:textId="77777777" w:rsidTr="001F2B2E">
        <w:tc>
          <w:tcPr>
            <w:tcW w:w="1134" w:type="dxa"/>
            <w:shd w:val="clear" w:color="auto" w:fill="FFFFFF"/>
            <w:hideMark/>
          </w:tcPr>
          <w:p w14:paraId="0FD812B8" w14:textId="77777777" w:rsidR="00CE36FA" w:rsidRPr="00CC1598" w:rsidRDefault="00CE36FA" w:rsidP="00EA0C2B">
            <w:pPr>
              <w:pStyle w:val="CETBodytext"/>
              <w:jc w:val="left"/>
            </w:pPr>
            <w:bookmarkStart w:id="1" w:name="_Hlk125990958"/>
            <w:r w:rsidRPr="00CC1598">
              <w:t>45.0</w:t>
            </w:r>
          </w:p>
        </w:tc>
        <w:tc>
          <w:tcPr>
            <w:tcW w:w="993" w:type="dxa"/>
            <w:shd w:val="clear" w:color="auto" w:fill="FFFFFF"/>
            <w:hideMark/>
          </w:tcPr>
          <w:p w14:paraId="6F52DC15" w14:textId="41553349" w:rsidR="00CE36FA" w:rsidRPr="00CC1598" w:rsidRDefault="00CE36FA" w:rsidP="00EA0C2B">
            <w:pPr>
              <w:pStyle w:val="CETBodytext"/>
              <w:jc w:val="left"/>
            </w:pPr>
            <w:r w:rsidRPr="00CC1598">
              <w:t>14.0</w:t>
            </w:r>
          </w:p>
        </w:tc>
        <w:tc>
          <w:tcPr>
            <w:tcW w:w="1134" w:type="dxa"/>
            <w:shd w:val="clear" w:color="auto" w:fill="FFFFFF"/>
            <w:hideMark/>
          </w:tcPr>
          <w:p w14:paraId="58D1F728" w14:textId="77777777" w:rsidR="00CE36FA" w:rsidRPr="00CC1598" w:rsidRDefault="00CE36FA" w:rsidP="00EA0C2B">
            <w:pPr>
              <w:pStyle w:val="CETBodytext"/>
              <w:jc w:val="left"/>
            </w:pPr>
            <w:r w:rsidRPr="00CC1598">
              <w:t>5.0</w:t>
            </w:r>
          </w:p>
        </w:tc>
        <w:tc>
          <w:tcPr>
            <w:tcW w:w="1842" w:type="dxa"/>
            <w:shd w:val="clear" w:color="auto" w:fill="FFFFFF"/>
            <w:hideMark/>
          </w:tcPr>
          <w:p w14:paraId="0A03982B" w14:textId="559090F0" w:rsidR="00CE36FA" w:rsidRPr="00CC1598" w:rsidRDefault="00CE36FA" w:rsidP="00CE36FA">
            <w:pPr>
              <w:pStyle w:val="CETBodytext"/>
            </w:pPr>
            <w:r w:rsidRPr="00CC1598">
              <w:t>1.151 ± 0.153</w:t>
            </w:r>
            <w:r w:rsidRPr="00CC1598">
              <w:rPr>
                <w:vertAlign w:val="superscript"/>
              </w:rPr>
              <w:t>ab</w:t>
            </w:r>
          </w:p>
        </w:tc>
        <w:tc>
          <w:tcPr>
            <w:tcW w:w="1843" w:type="dxa"/>
            <w:shd w:val="clear" w:color="auto" w:fill="FFFFFF"/>
          </w:tcPr>
          <w:p w14:paraId="45E675D7" w14:textId="5E164BD4" w:rsidR="00CE36FA" w:rsidRPr="00CC1598" w:rsidRDefault="00CE36FA" w:rsidP="00CE36FA">
            <w:pPr>
              <w:pStyle w:val="CETBodytext"/>
            </w:pPr>
            <w:r w:rsidRPr="00CC1598">
              <w:t>7.149 ± 0.808</w:t>
            </w:r>
            <w:r w:rsidRPr="00CC1598">
              <w:rPr>
                <w:vertAlign w:val="superscript"/>
              </w:rPr>
              <w:t>c</w:t>
            </w:r>
          </w:p>
        </w:tc>
        <w:tc>
          <w:tcPr>
            <w:tcW w:w="1843" w:type="dxa"/>
            <w:shd w:val="clear" w:color="auto" w:fill="FFFFFF"/>
            <w:hideMark/>
          </w:tcPr>
          <w:p w14:paraId="46F16CE8" w14:textId="6BCD7EB8" w:rsidR="00CE36FA" w:rsidRPr="00CC1598" w:rsidRDefault="00892D31" w:rsidP="00CE36FA">
            <w:pPr>
              <w:pStyle w:val="CETBodytext"/>
            </w:pPr>
            <w:r w:rsidRPr="00CC1598">
              <w:t>4.203</w:t>
            </w:r>
            <w:r w:rsidR="00CE36FA" w:rsidRPr="00CC1598">
              <w:t xml:space="preserve"> ± </w:t>
            </w:r>
            <w:r w:rsidRPr="00CC1598">
              <w:t>0.221</w:t>
            </w:r>
            <w:r w:rsidR="00CE36FA" w:rsidRPr="00CC1598">
              <w:rPr>
                <w:vertAlign w:val="superscript"/>
              </w:rPr>
              <w:t>ab</w:t>
            </w:r>
          </w:p>
        </w:tc>
      </w:tr>
      <w:tr w:rsidR="00892D31" w:rsidRPr="00CC1598" w14:paraId="12E30E3C" w14:textId="77777777" w:rsidTr="001F2B2E">
        <w:tc>
          <w:tcPr>
            <w:tcW w:w="1134" w:type="dxa"/>
            <w:tcBorders>
              <w:bottom w:val="single" w:sz="12" w:space="0" w:color="008000"/>
            </w:tcBorders>
            <w:shd w:val="clear" w:color="auto" w:fill="FFFFFF"/>
            <w:hideMark/>
          </w:tcPr>
          <w:p w14:paraId="11C26170" w14:textId="77777777" w:rsidR="00CE36FA" w:rsidRPr="00CC1598" w:rsidRDefault="00CE36FA" w:rsidP="00EA0C2B">
            <w:pPr>
              <w:pStyle w:val="CETBodytext"/>
              <w:jc w:val="left"/>
            </w:pPr>
            <w:r w:rsidRPr="00CC1598">
              <w:t>45.0</w:t>
            </w:r>
          </w:p>
        </w:tc>
        <w:tc>
          <w:tcPr>
            <w:tcW w:w="993" w:type="dxa"/>
            <w:tcBorders>
              <w:bottom w:val="single" w:sz="12" w:space="0" w:color="008000"/>
            </w:tcBorders>
            <w:shd w:val="clear" w:color="auto" w:fill="FFFFFF"/>
            <w:hideMark/>
          </w:tcPr>
          <w:p w14:paraId="6920AFDF" w14:textId="7C9D497D" w:rsidR="00CE36FA" w:rsidRPr="00CC1598" w:rsidRDefault="00CE36FA" w:rsidP="00EA0C2B">
            <w:pPr>
              <w:pStyle w:val="CETBodytext"/>
              <w:jc w:val="left"/>
            </w:pPr>
            <w:r w:rsidRPr="00CC1598">
              <w:t>14.0</w:t>
            </w:r>
          </w:p>
        </w:tc>
        <w:tc>
          <w:tcPr>
            <w:tcW w:w="1134" w:type="dxa"/>
            <w:tcBorders>
              <w:bottom w:val="single" w:sz="12" w:space="0" w:color="008000"/>
            </w:tcBorders>
            <w:shd w:val="clear" w:color="auto" w:fill="FFFFFF"/>
            <w:hideMark/>
          </w:tcPr>
          <w:p w14:paraId="2607E1F8" w14:textId="77777777" w:rsidR="00CE36FA" w:rsidRPr="00CC1598" w:rsidRDefault="00CE36FA" w:rsidP="00EA0C2B">
            <w:pPr>
              <w:pStyle w:val="CETBodytext"/>
              <w:jc w:val="left"/>
            </w:pPr>
            <w:r w:rsidRPr="00CC1598">
              <w:t>35.0</w:t>
            </w:r>
          </w:p>
        </w:tc>
        <w:tc>
          <w:tcPr>
            <w:tcW w:w="1842" w:type="dxa"/>
            <w:tcBorders>
              <w:bottom w:val="single" w:sz="12" w:space="0" w:color="008000"/>
            </w:tcBorders>
            <w:shd w:val="clear" w:color="auto" w:fill="FFFFFF"/>
            <w:hideMark/>
          </w:tcPr>
          <w:p w14:paraId="1774A669" w14:textId="49F1AA99" w:rsidR="00CE36FA" w:rsidRPr="00CC1598" w:rsidRDefault="00CE36FA" w:rsidP="00CE36FA">
            <w:pPr>
              <w:pStyle w:val="CETBodytext"/>
            </w:pPr>
            <w:r w:rsidRPr="00CC1598">
              <w:t>1.471 ± 0.361</w:t>
            </w:r>
            <w:r w:rsidRPr="00CC1598">
              <w:rPr>
                <w:vertAlign w:val="superscript"/>
              </w:rPr>
              <w:t>ab</w:t>
            </w:r>
          </w:p>
        </w:tc>
        <w:tc>
          <w:tcPr>
            <w:tcW w:w="1843" w:type="dxa"/>
            <w:tcBorders>
              <w:bottom w:val="single" w:sz="12" w:space="0" w:color="008000"/>
            </w:tcBorders>
            <w:shd w:val="clear" w:color="auto" w:fill="FFFFFF"/>
          </w:tcPr>
          <w:p w14:paraId="7B5DCB9C" w14:textId="68CA31C6" w:rsidR="00CE36FA" w:rsidRPr="00CC1598" w:rsidRDefault="00CE36FA" w:rsidP="00CE36FA">
            <w:pPr>
              <w:pStyle w:val="CETBodytext"/>
            </w:pPr>
            <w:r w:rsidRPr="00CC1598">
              <w:t>6.907 ± 0.029</w:t>
            </w:r>
            <w:r w:rsidRPr="00CC1598">
              <w:rPr>
                <w:vertAlign w:val="superscript"/>
              </w:rPr>
              <w:t>bc</w:t>
            </w:r>
          </w:p>
        </w:tc>
        <w:tc>
          <w:tcPr>
            <w:tcW w:w="1843" w:type="dxa"/>
            <w:tcBorders>
              <w:bottom w:val="single" w:sz="12" w:space="0" w:color="008000"/>
            </w:tcBorders>
            <w:shd w:val="clear" w:color="auto" w:fill="FFFFFF"/>
            <w:hideMark/>
          </w:tcPr>
          <w:p w14:paraId="7120D046" w14:textId="64B44D2B" w:rsidR="00CE36FA" w:rsidRPr="00CC1598" w:rsidRDefault="00892D31" w:rsidP="00CE36FA">
            <w:pPr>
              <w:pStyle w:val="CETBodytext"/>
            </w:pPr>
            <w:r w:rsidRPr="00CC1598">
              <w:t>6.261</w:t>
            </w:r>
            <w:r w:rsidR="00CE36FA" w:rsidRPr="00CC1598">
              <w:t xml:space="preserve"> ± 0</w:t>
            </w:r>
            <w:r w:rsidRPr="00CC1598">
              <w:t>.073</w:t>
            </w:r>
            <w:r w:rsidR="00CE36FA" w:rsidRPr="00CC1598">
              <w:rPr>
                <w:vertAlign w:val="superscript"/>
              </w:rPr>
              <w:t>b</w:t>
            </w:r>
          </w:p>
        </w:tc>
      </w:tr>
      <w:bookmarkEnd w:id="1"/>
    </w:tbl>
    <w:p w14:paraId="6AB342AA" w14:textId="66BB5555" w:rsidR="00E30D53" w:rsidRPr="00CC1598" w:rsidRDefault="00E30D53" w:rsidP="00EE5C33">
      <w:pPr>
        <w:pStyle w:val="CETBodytext"/>
      </w:pPr>
    </w:p>
    <w:p w14:paraId="3BC57984" w14:textId="3948BA82" w:rsidR="005812BD" w:rsidRPr="00CC1598" w:rsidRDefault="00435920" w:rsidP="00EE5C33">
      <w:pPr>
        <w:pStyle w:val="CETBodytext"/>
      </w:pPr>
      <w:r w:rsidRPr="000A70D0">
        <w:rPr>
          <w:szCs w:val="18"/>
        </w:rPr>
        <w:t>The larger inactivation was reached at high</w:t>
      </w:r>
      <w:r w:rsidR="00EC3707" w:rsidRPr="000A70D0">
        <w:rPr>
          <w:szCs w:val="18"/>
        </w:rPr>
        <w:t>er</w:t>
      </w:r>
      <w:r w:rsidRPr="000A70D0">
        <w:rPr>
          <w:szCs w:val="18"/>
        </w:rPr>
        <w:t xml:space="preserve"> temperature (45</w:t>
      </w:r>
      <w:r w:rsidR="004921DA" w:rsidRPr="000A70D0">
        <w:rPr>
          <w:szCs w:val="18"/>
        </w:rPr>
        <w:t xml:space="preserve"> °C</w:t>
      </w:r>
      <w:r w:rsidRPr="000A70D0">
        <w:rPr>
          <w:szCs w:val="18"/>
        </w:rPr>
        <w:t>) and long</w:t>
      </w:r>
      <w:r w:rsidR="00EC3707" w:rsidRPr="000A70D0">
        <w:rPr>
          <w:szCs w:val="18"/>
        </w:rPr>
        <w:t>er</w:t>
      </w:r>
      <w:r w:rsidRPr="000A70D0">
        <w:rPr>
          <w:szCs w:val="18"/>
        </w:rPr>
        <w:t xml:space="preserve"> time (35 min). </w:t>
      </w:r>
      <w:r w:rsidR="000A70D0" w:rsidRPr="000A70D0">
        <w:rPr>
          <w:szCs w:val="18"/>
        </w:rPr>
        <w:t>Specifically,</w:t>
      </w:r>
      <w:r w:rsidR="000A70D0">
        <w:rPr>
          <w:szCs w:val="18"/>
        </w:rPr>
        <w:t xml:space="preserve"> </w:t>
      </w:r>
      <w:r w:rsidR="000A70D0" w:rsidRPr="000A70D0">
        <w:rPr>
          <w:rFonts w:cs="Arial"/>
          <w:szCs w:val="18"/>
          <w:lang w:eastAsia="en-GB"/>
        </w:rPr>
        <w:t>such result was not significantly different at the probability level p=0.05 from the maximum inactivation observed (1.498 ± 0.125 Log CFU/g) at 45 °C, 8.0 MPa and 35 min.</w:t>
      </w:r>
      <w:r w:rsidR="000A70D0" w:rsidRPr="000A70D0">
        <w:rPr>
          <w:szCs w:val="18"/>
        </w:rPr>
        <w:t xml:space="preserve"> </w:t>
      </w:r>
      <w:r w:rsidRPr="000A70D0">
        <w:rPr>
          <w:szCs w:val="18"/>
        </w:rPr>
        <w:t>The Pareto chart in Figure 2a shows indeed how temperature and, in minor contribution</w:t>
      </w:r>
      <w:r w:rsidRPr="00CC1598">
        <w:t>, time significantly influenced the microbial inactivation of the method.</w:t>
      </w:r>
      <w:r w:rsidR="00EC3707" w:rsidRPr="00CC1598">
        <w:t xml:space="preserve"> Pressure, instead, was not significant on the microbial inactivation.</w:t>
      </w:r>
    </w:p>
    <w:p w14:paraId="67C64487" w14:textId="77777777" w:rsidR="00CE36FA" w:rsidRPr="00CC1598" w:rsidRDefault="00CE36FA" w:rsidP="003E1F19">
      <w:pPr>
        <w:pStyle w:val="CETBodytext"/>
      </w:pPr>
    </w:p>
    <w:p w14:paraId="76D94E75" w14:textId="7B03F309" w:rsidR="00CE36FA" w:rsidRPr="00CC1598" w:rsidRDefault="00D12CF8" w:rsidP="00AC2AFC">
      <w:pPr>
        <w:pStyle w:val="CETBodytext"/>
        <w:jc w:val="center"/>
      </w:pPr>
      <w:r w:rsidRPr="00CC1598">
        <w:rPr>
          <w:noProof/>
          <w:lang w:val="it-IT" w:eastAsia="it-IT"/>
        </w:rPr>
        <w:drawing>
          <wp:inline distT="0" distB="0" distL="0" distR="0" wp14:anchorId="42A72A4E" wp14:editId="47284BCF">
            <wp:extent cx="2772000" cy="1876842"/>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05" t="13910" r="17039" b="3360"/>
                    <a:stretch/>
                  </pic:blipFill>
                  <pic:spPr bwMode="auto">
                    <a:xfrm>
                      <a:off x="0" y="0"/>
                      <a:ext cx="2772000" cy="1876842"/>
                    </a:xfrm>
                    <a:prstGeom prst="rect">
                      <a:avLst/>
                    </a:prstGeom>
                    <a:ln>
                      <a:noFill/>
                    </a:ln>
                    <a:extLst>
                      <a:ext uri="{53640926-AAD7-44D8-BBD7-CCE9431645EC}">
                        <a14:shadowObscured xmlns:a14="http://schemas.microsoft.com/office/drawing/2010/main"/>
                      </a:ext>
                    </a:extLst>
                  </pic:spPr>
                </pic:pic>
              </a:graphicData>
            </a:graphic>
          </wp:inline>
        </w:drawing>
      </w:r>
      <w:r w:rsidR="00CE36FA" w:rsidRPr="00CC1598">
        <w:rPr>
          <w:noProof/>
          <w:lang w:val="it-IT" w:eastAsia="it-IT"/>
        </w:rPr>
        <w:drawing>
          <wp:inline distT="0" distB="0" distL="0" distR="0" wp14:anchorId="0E4748B9" wp14:editId="0DC26A2C">
            <wp:extent cx="2772000" cy="188987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38" t="14209" r="16900" b="2790"/>
                    <a:stretch/>
                  </pic:blipFill>
                  <pic:spPr bwMode="auto">
                    <a:xfrm>
                      <a:off x="0" y="0"/>
                      <a:ext cx="2772000" cy="1889875"/>
                    </a:xfrm>
                    <a:prstGeom prst="rect">
                      <a:avLst/>
                    </a:prstGeom>
                    <a:ln>
                      <a:noFill/>
                    </a:ln>
                    <a:extLst>
                      <a:ext uri="{53640926-AAD7-44D8-BBD7-CCE9431645EC}">
                        <a14:shadowObscured xmlns:a14="http://schemas.microsoft.com/office/drawing/2010/main"/>
                      </a:ext>
                    </a:extLst>
                  </pic:spPr>
                </pic:pic>
              </a:graphicData>
            </a:graphic>
          </wp:inline>
        </w:drawing>
      </w:r>
    </w:p>
    <w:p w14:paraId="24C5A7BE" w14:textId="41B49FC7" w:rsidR="00CE36FA" w:rsidRPr="00CC1598" w:rsidRDefault="00CE36FA" w:rsidP="00CE36FA">
      <w:pPr>
        <w:pStyle w:val="CETCaption"/>
        <w:spacing w:before="0" w:after="0"/>
        <w:rPr>
          <w:lang w:val="en-US"/>
        </w:rPr>
      </w:pPr>
      <w:r w:rsidRPr="00CC1598">
        <w:rPr>
          <w:lang w:val="en-US"/>
        </w:rPr>
        <w:t xml:space="preserve">                                     </w:t>
      </w:r>
      <w:r w:rsidR="00AC2AFC" w:rsidRPr="00CC1598">
        <w:rPr>
          <w:lang w:val="en-US"/>
        </w:rPr>
        <w:t xml:space="preserve"> </w:t>
      </w:r>
      <w:r w:rsidR="00EA6F96" w:rsidRPr="00CC1598">
        <w:rPr>
          <w:lang w:val="en-US"/>
        </w:rPr>
        <w:t xml:space="preserve"> </w:t>
      </w:r>
      <w:r w:rsidR="00AC2AFC" w:rsidRPr="00CC1598">
        <w:rPr>
          <w:lang w:val="en-US"/>
        </w:rPr>
        <w:t xml:space="preserve">   </w:t>
      </w:r>
      <w:r w:rsidRPr="00CC1598">
        <w:rPr>
          <w:lang w:val="en-US"/>
        </w:rPr>
        <w:t xml:space="preserve">   (a)               </w:t>
      </w:r>
      <w:r w:rsidR="00C53E32" w:rsidRPr="00CC1598">
        <w:rPr>
          <w:lang w:val="en-US"/>
        </w:rPr>
        <w:t xml:space="preserve">           </w:t>
      </w:r>
      <w:r w:rsidRPr="00CC1598">
        <w:rPr>
          <w:lang w:val="en-US"/>
        </w:rPr>
        <w:t xml:space="preserve">                                                     </w:t>
      </w:r>
      <w:proofErr w:type="gramStart"/>
      <w:r w:rsidRPr="00CC1598">
        <w:rPr>
          <w:lang w:val="en-US"/>
        </w:rPr>
        <w:t xml:space="preserve">   (</w:t>
      </w:r>
      <w:proofErr w:type="gramEnd"/>
      <w:r w:rsidRPr="00CC1598">
        <w:rPr>
          <w:lang w:val="en-US"/>
        </w:rPr>
        <w:t>b)</w:t>
      </w:r>
    </w:p>
    <w:p w14:paraId="6BFCAE0A" w14:textId="24F93260" w:rsidR="00CE36FA" w:rsidRPr="00CC1598" w:rsidRDefault="00CE36FA" w:rsidP="004D599D">
      <w:pPr>
        <w:pStyle w:val="CETCaption"/>
        <w:spacing w:before="0"/>
        <w:rPr>
          <w:lang w:val="en-US"/>
        </w:rPr>
      </w:pPr>
      <w:r w:rsidRPr="00CC1598">
        <w:rPr>
          <w:lang w:val="en-US"/>
        </w:rPr>
        <w:t>Figure 2: Pareto chart of the standardized effects of the process variable (A: time, B: pressure, C: temperature)</w:t>
      </w:r>
      <w:r w:rsidR="00EA0F57">
        <w:rPr>
          <w:lang w:val="en-US"/>
        </w:rPr>
        <w:t xml:space="preserve"> </w:t>
      </w:r>
      <w:r w:rsidR="00F37782" w:rsidRPr="00CC1598">
        <w:rPr>
          <w:lang w:val="en-US"/>
        </w:rPr>
        <w:t>and their linear interaction (example AB: time * pressure)</w:t>
      </w:r>
      <w:r w:rsidRPr="00CC1598">
        <w:rPr>
          <w:lang w:val="en-US"/>
        </w:rPr>
        <w:t xml:space="preserve"> on the E. coli inactivation (a) and the total color difference (b). </w:t>
      </w:r>
      <w:r w:rsidR="00D12CF8" w:rsidRPr="00CC1598">
        <w:rPr>
          <w:lang w:val="en-US"/>
        </w:rPr>
        <w:t xml:space="preserve">The level of confidence was set at 95%. </w:t>
      </w:r>
    </w:p>
    <w:p w14:paraId="0A2BE76E" w14:textId="7BF6F54B" w:rsidR="00435920" w:rsidRPr="00CC1598" w:rsidRDefault="0069182D" w:rsidP="00435920">
      <w:pPr>
        <w:pStyle w:val="CETBodytext"/>
      </w:pPr>
      <w:r w:rsidRPr="00CC1598">
        <w:t>On the best of our knowledge, no research studies have been conducted on the microbial inactivation efficiency of supercritical carbon dioxide on fresh-cut potatoes. Other non-thermal technologies have been investigated,</w:t>
      </w:r>
      <w:r w:rsidR="00AC487D" w:rsidRPr="00CC1598">
        <w:t xml:space="preserve"> with particular attention to the natural microflora of the products. </w:t>
      </w:r>
      <w:r w:rsidR="00AC487D" w:rsidRPr="00CC1598">
        <w:fldChar w:fldCharType="begin"/>
      </w:r>
      <w:r w:rsidR="00EA6F96" w:rsidRPr="00CC1598">
        <w:instrText xml:space="preserve"> ADDIN ZOTERO_ITEM CSL_CITATION {"citationID":"j76LLTi3","properties":{"formattedCitation":"(Selma et al., 2006)","plainCitation":"(Selma et al., 2006)","dontUpdate":true,"noteIndex":0},"citationItems":[{"id":741,"uris":["http://zotero.org/users/6511723/items/VQSFIS94"],"itemData":{"id":741,"type":"article-journal","abstract":"Fresh vegetables contaminated with Yersinia enterocolitica have been implicated in foodborne disease outbreaks. Surfaces of vegetables can become contaminated with pathogenic microorganisms through contact with soil, irrigation water, fertilizers, equipment, humans, and animals. One approach to reduce this contamination is to treat fresh produce with sanitizers. In this study, the ability of ozone to inactivate Y. enterocolitica inoculated in water and on potato surfaces was evaluated. Furthermore, the efficacy of ozone in reducing natural flora on whole potato was determined. Total aerobic mesophilic and psychrotrophic bacteria, total coliforms, and Listeria monocytogenes were enumerated. Finally, several disinfection kinetic models were considered to predict Y. enterocolitica inactivation with ozone. Treatments with ozone (1.4 and 1.9 ppm) for 1 min decreased the Y. enterocolitica population in water by 4.6 and 6.2 log CFU ml−1, respectively. Furthermore, ozonated water (5 ppm) for 1 min decreased Y. enterocolitica and L. monocytogenes from potato surfaces by 1.6 and 0.8 log CFU g−1, respectively. Therefore, ozone can be an effective treatment for disinfection of wash water and for reduction of potato surface contamination.","container-title":"Journal of Food Protection","DOI":"10.4315/0362-028X-69.10.2357","ISSN":"0362-028X","issue":"10","journalAbbreviation":"Journal of Food Protection","language":"en","page":"2357-2363","source":"ScienceDirect","title":"Effect of Ozone on the Inactivation of Yersinia enterocolitica and the Reduction of Natural Flora on Potatoes","volume":"69","author":[{"family":"Selma","given":"María Victoria"},{"family":"Beltrán","given":"David"},{"family":"Chacón-Vera","given":"Eliseo"},{"family":"Gil","given":"María Isabel"}],"issued":{"date-parts":[["2006",10,1]]}}}],"schema":"https://github.com/citation-style-language/schema/raw/master/csl-citation.json"} </w:instrText>
      </w:r>
      <w:r w:rsidR="00AC487D" w:rsidRPr="00CC1598">
        <w:fldChar w:fldCharType="separate"/>
      </w:r>
      <w:r w:rsidR="00AC487D" w:rsidRPr="00CC1598">
        <w:rPr>
          <w:rFonts w:cs="Arial"/>
        </w:rPr>
        <w:t>Selma et al. (2006)</w:t>
      </w:r>
      <w:r w:rsidR="00AC487D" w:rsidRPr="00CC1598">
        <w:fldChar w:fldCharType="end"/>
      </w:r>
      <w:r w:rsidR="00AC487D" w:rsidRPr="00CC1598">
        <w:t>, for instance, were able to inactivate around 1.5 and 1.0 Log CFU/g of coliform bacteria and total mesophilic bacteria</w:t>
      </w:r>
      <w:r w:rsidR="00B25365" w:rsidRPr="00CC1598">
        <w:t>, respectively,</w:t>
      </w:r>
      <w:r w:rsidR="00AC487D" w:rsidRPr="00CC1598">
        <w:t xml:space="preserve"> by applying ozone or ozonated water for 6 min. Only a few studies investigated the inactivation of inoculated microorganisms </w:t>
      </w:r>
      <w:r w:rsidR="000E7D87" w:rsidRPr="00CC1598">
        <w:t xml:space="preserve">on </w:t>
      </w:r>
      <w:r w:rsidR="00AC487D" w:rsidRPr="00CC1598">
        <w:t>fresh-cut potatoes</w:t>
      </w:r>
      <w:r w:rsidR="00EA6F96" w:rsidRPr="00CC1598">
        <w:t>, principally</w:t>
      </w:r>
      <w:r w:rsidR="00AC487D" w:rsidRPr="00CC1598">
        <w:t xml:space="preserve"> by applying aqueous sanitizers. </w:t>
      </w:r>
      <w:r w:rsidR="00AC487D" w:rsidRPr="00CC1598">
        <w:fldChar w:fldCharType="begin"/>
      </w:r>
      <w:r w:rsidR="00EA6F96" w:rsidRPr="00CC1598">
        <w:instrText xml:space="preserve"> ADDIN ZOTERO_ITEM CSL_CITATION {"citationID":"quKTHIHB","properties":{"formattedCitation":"(Park et al., 2008)","plainCitation":"(Park et al., 2008)","dontUpdate":true,"noteIndex":0},"citationItems":[{"id":758,"uris":["http://zotero.org/users/6511723/items/LCTUXF24"],"itemData":{"id":758,"type":"article-journal","abstract":"ABSTRACT: A commercial fresh pack potato operation was used as a model to evaluate FIT fruit and vegetable wash effectiveness in reducing levels of microorganisms on potatoes and in flume water. Fresh potatoes were washed in flume water with or without FIT, or treated with a spray bar utilizing either FIT, 9 ppm chlorine dioxide (ClO2), or a water control. Both flume treatments were also evaluated for APC and Gram-negatives. There were no significant differences in reduction of these microorganisms on treated or control potatoes. However, levels of Gram-negative bacteria in FIT-amended flume water were reduced by 5.95 log CFU/g, and the APC was reduced by 1.43 log CFU/g. To validate plant trial findings, this test was repeated using solutions of sterile potato flume water from the fresh pack operation, containing a typical level of dissolved and suspended solids. Treatment solutions prepared with flume water or deionized water containing FIT, 9 ppm ClO2, or a water control were inoculated with E. coli O157:H7, Salmonella Typhimurium, or Pectobacterium carotovorum ssp. carotovorum. FIT and ClO2 prepared with deionized water reduced levels of microorganisms by &gt;6.1 to 6.6 log CFU/g to below the detection limit. FIT prepared with flume water reduced levels of all organisms by &gt;6.0 to 6.4 log CFU/g to below the detection limit, whereas ClO2 prepared from flume water reduced bacterial levels of all organisms by only 0.7 to 1.4 log CFU/g. Neither FIT nor ClO2 was particularly efficacious against E. coli O157:H7, S. Typhimurium, APC, yeasts, or molds on potato surfaces.","container-title":"Journal of Food Science","DOI":"10.1111/j.1750-3841.2008.00793.x","ISSN":"1750-3841","issue":"6","language":"en","note":"_eprint: https://onlinelibrary.wiley.com/doi/pdf/10.1111/j.1750-3841.2008.00793.x","page":"M278-M282","source":"Wiley Online Library","title":"Efficacy of FIT Produce Wash and Chlorine Dioxide on Pathogen Control in Fresh Potatoes","volume":"73","author":[{"family":"Park","given":"E.-J."},{"family":"Gray","given":"P.m."},{"family":"Oh","given":"S.-W."},{"family":"Kronenberg","given":"J."},{"family":"Kang","given":"D.-H."}],"issued":{"date-parts":[["2008"]]}}}],"schema":"https://github.com/citation-style-language/schema/raw/master/csl-citation.json"} </w:instrText>
      </w:r>
      <w:r w:rsidR="00AC487D" w:rsidRPr="00CC1598">
        <w:fldChar w:fldCharType="separate"/>
      </w:r>
      <w:r w:rsidR="00EA6F96" w:rsidRPr="00CC1598">
        <w:rPr>
          <w:rFonts w:cs="Arial"/>
        </w:rPr>
        <w:t>Park et al. (2008)</w:t>
      </w:r>
      <w:r w:rsidR="00AC487D" w:rsidRPr="00CC1598">
        <w:fldChar w:fldCharType="end"/>
      </w:r>
      <w:r w:rsidRPr="00CC1598">
        <w:t xml:space="preserve"> </w:t>
      </w:r>
      <w:r w:rsidR="00EA6F96" w:rsidRPr="00CC1598">
        <w:t xml:space="preserve">reached an inactivation of </w:t>
      </w:r>
      <w:r w:rsidR="00EA6F96" w:rsidRPr="00CC1598">
        <w:rPr>
          <w:i/>
        </w:rPr>
        <w:t>E. coli</w:t>
      </w:r>
      <w:r w:rsidR="00EA6F96" w:rsidRPr="00CC1598">
        <w:t xml:space="preserve"> O157:H7 equal to 0.89 Log CFU/g by washing potatoes with a chlorine dioxide (9 ppm) solution for 5 min. </w:t>
      </w:r>
      <w:r w:rsidR="00EA6F96" w:rsidRPr="00CC1598">
        <w:fldChar w:fldCharType="begin"/>
      </w:r>
      <w:r w:rsidR="00EA6F96" w:rsidRPr="00CC1598">
        <w:instrText xml:space="preserve"> ADDIN ZOTERO_ITEM CSL_CITATION {"citationID":"N9oPnNoM","properties":{"formattedCitation":"(Luu et al., 2020)","plainCitation":"(Luu et al., 2020)","dontUpdate":true,"noteIndex":0},"citationItems":[{"id":761,"uris":["http://zotero.org/users/6511723/items/WED9V94Z"],"itemData":{"id":761,"type":"article-journal","abstract":"Sodium hypochlorite (NaOCl) is a commonly used sanitizer in the produce industry despite its limited effectiveness against contaminated human pathogens in fresh produce. Aqueous chlorine dioxide (ClO2) is an alternative sanitizer offering a greater oxidizing potency with greater efficacy in reducing a large number of microorganisms. We investigated the effect of aqueous chlorine dioxide treatment against human pathogens, Salmonella, Escherichia coli O157:H7, and Listeria monocytogenes seeded on sweet potatoes. Sweet potatoes were spot inoculated (4.2 to 5.7 log CFU/cm2) with multi-strain cocktails of Salmonella spp., E. coli O157:H7, and L. monocytogenes and treated for 10–30 min with 5 ppm aqueous ClO2 or water. Aqueous ClO2 treatment was significantly (p &lt; 0.05) effective in reducing Salmonella with a reduction of 2.14 log CFU/cm2 within 20 min compared to 1.44 log CFU/cm2 for water treatment. Similar results were observed for L. monocytogenes with a 1.98 log CFU/cm2 reduction compared to 0.49 log CFU/cm2 reduction observed after 30 min treatment with aqueous ClO2 the water respectively. The maximum reduction in E. coli O157: H7 reached 2.1 Log CFU/cm2 after 20 min of treatment with aqueous ClO2. The level of the pathogens in ClO2 wash solutions, after the treatment, was below the detectable limit. While in the water wash solutions, the pathogens’ populations ranged from 3.47 to 4.63 log CFU/mL. Our study indicates that aqueous ClO2 is highly effective in controlling cross-contamination during postharvest washing of sweet potatoes.","container-title":"Foods","DOI":"10.3390/foods9091259","ISSN":"2304-8158","issue":"9","language":"en","license":"http://creativecommons.org/licenses/by/3.0/","note":"number: 9\npublisher: Multidisciplinary Digital Publishing Institute","page":"1259","source":"www.mdpi.com","title":"Effectiveness of Aqueous Chlorine Dioxide in Minimizing Food Safety Risk Associated with Salmonella, E. coli O157:H7, and Listeria monocytogenes on Sweet Potatoes","title-short":"Effectiveness of Aqueous Chlorine Dioxide in Minimizing Food Safety Risk Associated with Salmonella, E. coli O157","volume":"9","author":[{"family":"Luu","given":"Phillip"},{"family":"Chhetri","given":"Vijay Singh"},{"family":"Janes","given":"Marlene E."},{"family":"King","given":"Joan M."},{"family":"Adhikari","given":"Achyut"}],"issued":{"date-parts":[["2020",9]]}}}],"schema":"https://github.com/citation-style-language/schema/raw/master/csl-citation.json"} </w:instrText>
      </w:r>
      <w:r w:rsidR="00EA6F96" w:rsidRPr="00CC1598">
        <w:fldChar w:fldCharType="separate"/>
      </w:r>
      <w:r w:rsidR="00EA6F96" w:rsidRPr="00CC1598">
        <w:rPr>
          <w:rFonts w:cs="Arial"/>
        </w:rPr>
        <w:t>Luu et al. (2020)</w:t>
      </w:r>
      <w:r w:rsidR="00EA6F96" w:rsidRPr="00CC1598">
        <w:fldChar w:fldCharType="end"/>
      </w:r>
      <w:r w:rsidR="00EA6F96" w:rsidRPr="00CC1598">
        <w:t xml:space="preserve">, however, observed that the inactivation of the same pathogen achieved by a chlorine dioxide solution (5 ppm) for 30 min was equal to the inactivation achieved by only washing the products with water. Moreover, </w:t>
      </w:r>
      <w:r w:rsidRPr="00CC1598">
        <w:t xml:space="preserve">these methods should provide an aseptic packaging </w:t>
      </w:r>
      <w:r w:rsidR="00EA6F96" w:rsidRPr="00CC1598">
        <w:t>procedure</w:t>
      </w:r>
      <w:r w:rsidRPr="00CC1598">
        <w:t xml:space="preserve"> after the treatment, which </w:t>
      </w:r>
      <w:r w:rsidR="00684879" w:rsidRPr="00CC1598">
        <w:t>can represent a</w:t>
      </w:r>
      <w:r w:rsidRPr="00CC1598">
        <w:t xml:space="preserve"> barrier to their industrialization. </w:t>
      </w:r>
    </w:p>
    <w:p w14:paraId="515A2826" w14:textId="0BB48ADE" w:rsidR="00435920" w:rsidRPr="00CC1598" w:rsidRDefault="00435920" w:rsidP="00435920">
      <w:pPr>
        <w:pStyle w:val="CETBodytext"/>
      </w:pPr>
      <w:r w:rsidRPr="00CC1598">
        <w:t>The</w:t>
      </w:r>
      <w:r w:rsidR="0069182D" w:rsidRPr="00CC1598">
        <w:t xml:space="preserve"> inactivation data with the scCO</w:t>
      </w:r>
      <w:r w:rsidR="0069182D" w:rsidRPr="00CC1598">
        <w:rPr>
          <w:vertAlign w:val="subscript"/>
        </w:rPr>
        <w:t>2</w:t>
      </w:r>
      <w:r w:rsidR="0069182D" w:rsidRPr="00CC1598">
        <w:t xml:space="preserve">-MAP method </w:t>
      </w:r>
      <w:r w:rsidRPr="00CC1598">
        <w:t xml:space="preserve">suggest that a higher inactivation could be obtained by treating the samples at higher temperature and for longer time. However, harsher treatment conditions could </w:t>
      </w:r>
      <w:r w:rsidRPr="00CC1598">
        <w:lastRenderedPageBreak/>
        <w:t>also affect the aspect of the product</w:t>
      </w:r>
      <w:r w:rsidR="00E22503" w:rsidRPr="00CC1598">
        <w:t xml:space="preserve"> and its stability during storage</w:t>
      </w:r>
      <w:r w:rsidR="00EA6F96" w:rsidRPr="00CC1598">
        <w:t>, being a crucial factor for the consumer acceptance</w:t>
      </w:r>
      <w:r w:rsidR="00E22503" w:rsidRPr="00CC1598">
        <w:t>.</w:t>
      </w:r>
      <w:r w:rsidR="00EA6F96" w:rsidRPr="00CC1598">
        <w:t xml:space="preserve"> For this reason, the color modification of the products was monitored right after the treatment and during a 7-days storage. </w:t>
      </w:r>
    </w:p>
    <w:p w14:paraId="75FE6F0A" w14:textId="13D5F1DC" w:rsidR="00EA6F96" w:rsidRPr="00CC1598" w:rsidRDefault="00EA6F96" w:rsidP="001F2B2E">
      <w:pPr>
        <w:pStyle w:val="CETBodytext"/>
      </w:pPr>
      <w:r w:rsidRPr="00CC1598">
        <w:t xml:space="preserve">The obtained results showed that the treatment </w:t>
      </w:r>
      <w:r w:rsidR="00E22503" w:rsidRPr="00CC1598">
        <w:t>led to a slight modification of the product color, except for the conditions at 45</w:t>
      </w:r>
      <w:r w:rsidR="004921DA" w:rsidRPr="00CC1598">
        <w:t xml:space="preserve"> °C</w:t>
      </w:r>
      <w:r w:rsidR="00E22503" w:rsidRPr="00CC1598">
        <w:t xml:space="preserve"> and 14 MPa, where the color change was 7.149 ± 0.808 and 6.907 ± 0.029, for 5-min and 35-min treatment respectively</w:t>
      </w:r>
      <w:r w:rsidR="00C0761D" w:rsidRPr="00CC1598">
        <w:t xml:space="preserve">, due to a </w:t>
      </w:r>
      <w:r w:rsidR="003C7C4B" w:rsidRPr="00CC1598">
        <w:t>reduction of the lightness parameter (L*)</w:t>
      </w:r>
      <w:r w:rsidR="00C0761D" w:rsidRPr="00CC1598">
        <w:t>.</w:t>
      </w:r>
      <w:r w:rsidR="003C7C4B" w:rsidRPr="00CC1598">
        <w:t xml:space="preserve"> </w:t>
      </w:r>
      <w:r w:rsidRPr="00CC1598">
        <w:t xml:space="preserve">Regarding the color, </w:t>
      </w:r>
      <w:r w:rsidR="00E22503" w:rsidRPr="00CC1598">
        <w:t xml:space="preserve">indeed, temperature, pressure and the combination of the two, were the most influencing parameters as shown </w:t>
      </w:r>
      <w:r w:rsidRPr="00CC1598">
        <w:t>by the Pareto char</w:t>
      </w:r>
      <w:r w:rsidR="00BB2859" w:rsidRPr="00CC1598">
        <w:t>t</w:t>
      </w:r>
      <w:r w:rsidRPr="00CC1598">
        <w:t xml:space="preserve"> in </w:t>
      </w:r>
      <w:r w:rsidR="00E22503" w:rsidRPr="00CC1598">
        <w:t xml:space="preserve">Figure 2b. </w:t>
      </w:r>
      <w:r w:rsidR="008516DA" w:rsidRPr="00CC1598">
        <w:t xml:space="preserve">Moreover, the color of the samples remained stable when stored at 4 °C for 7 days, demonstrating that none of the treated products showed a color difference significantly higher than the non-treated product. </w:t>
      </w:r>
      <w:r w:rsidRPr="00CC1598">
        <w:t xml:space="preserve">These data </w:t>
      </w:r>
      <w:r w:rsidR="001F2B2E" w:rsidRPr="00CC1598">
        <w:t>support the fact that the scCO</w:t>
      </w:r>
      <w:r w:rsidR="001F2B2E" w:rsidRPr="00CC1598">
        <w:rPr>
          <w:vertAlign w:val="subscript"/>
        </w:rPr>
        <w:t>2</w:t>
      </w:r>
      <w:r w:rsidR="001F2B2E" w:rsidRPr="00CC1598">
        <w:t>-MAP pasteurization method does not strongly impact the visual quality of potato products</w:t>
      </w:r>
      <w:r w:rsidR="004949C7" w:rsidRPr="00CC1598">
        <w:t xml:space="preserve"> at mild conditions. </w:t>
      </w:r>
    </w:p>
    <w:p w14:paraId="4507B175" w14:textId="11AC4FDA" w:rsidR="007D5EA2" w:rsidRPr="00CC1598" w:rsidRDefault="003C040F" w:rsidP="001F2B2E">
      <w:pPr>
        <w:pStyle w:val="CETBodytext"/>
      </w:pPr>
      <w:r w:rsidRPr="00CC1598">
        <w:t>Only few studies reported the color difference of fruits and vegetables subjected to scCO</w:t>
      </w:r>
      <w:r w:rsidRPr="00CC1598">
        <w:rPr>
          <w:vertAlign w:val="subscript"/>
        </w:rPr>
        <w:t>2</w:t>
      </w:r>
      <w:r w:rsidRPr="00CC1598">
        <w:t xml:space="preserve"> pasteurization methods. Recently, </w:t>
      </w:r>
      <w:r w:rsidRPr="00CC1598">
        <w:fldChar w:fldCharType="begin"/>
      </w:r>
      <w:r w:rsidRPr="00CC1598">
        <w:instrText xml:space="preserve"> ADDIN ZOTERO_ITEM CSL_CITATION {"citationID":"X3NVJ1JE","properties":{"formattedCitation":"(Barberi et al., 2021; Zambon, Gonz\\uc0\\u225{}lez-Alonso, et al., 2022)","plainCitation":"(Barberi et al., 2021; Zambon, González-Alonso, et al., 2022)","dontUpdate":true,"noteIndex":0},"citationItems":[{"id":392,"uris":["http://zotero.org/users/6511723/items/CMS6GUBL"],"itemData":{"id":392,"type":"article-journal","abstract":"A high-pressure CO2 process applied to ready-to-eat food products guarantees an increase of both their microbial safety and shelf-life. However, the treatment often produces unwanted changes in the visual appearance of products depending on the adopted process conditions. Accordingly, the alteration of the visual appearance influences consumers&amp;rsquo; perception and acceptability. This study aims at identifying the optimal treatment conditions in terms of visual appearance by using an artificial vision system. The developed methodology was applied to fresh-cut carrots (Daucus carota) as the test product. The results showed that carrots packaged in 100% CO2 and subsequently treated at 6 MPa and 40 &amp;deg;C for 15 min maintained an appearance similar to the fresh product for up to 7 days of storage at 4 &amp;deg;C. Mild appearance changes were identified at 7 and 14 days of storage in the processed products. Microbiological analysis performed on the optimal treatment condition showed the microbiological stability of the samples up to 14 days of storage at 4 &amp;deg;C. The artificial vision system, successfully applied to the CO2 pasteurization process, can easily be applied to any food process involving changes in the appearance of any food product.","container-title":"Foods","DOI":"10.3390/foods10122999","issue":"12","language":"en","license":"http://creativecommons.org/licenses/by/3.0/","note":"number: 12\npublisher: Multidisciplinary Digital Publishing Institute","page":"2999","source":"www.mdpi.com","title":"Optimization of the Appearance Quality in CO2 Processed Ready-to-Eat Carrots through Image Analysis","volume":"10","author":[{"family":"Barberi","given":"Gianmarco"},{"family":"González-Alonso","given":"Víctor"},{"family":"Spilimbergo","given":"Sara"},{"family":"Barolo","given":"Massimiliano"},{"family":"Zambon","given":"Alessandro"},{"family":"Facco","given":"Pierantonio"}],"issued":{"date-parts":[["2021",12]]}}},{"id":706,"uris":["http://zotero.org/users/6511723/items/X3YH6MZ3"],"itemData":{"id":706,"type":"article-journal","abstract":"This work presents a feasibility lab-scale study for a new preservation method to inactivate microorganisms and increase the shelf life of pre-packed fresh-cut products. Experiments were conducted on coriander leaves and fresh-cut carrots and coconut. The technology used the combination of hydrostatic pressure (&amp;lt;15 MPa), low temperature (≤45 °C), and CO2 modified atmosphere packaging (MAP). The inactivation was achieved for the naturally present microorganisms (total mesophilic bacteria, yeasts and molds, total coliforms) and inoculated E. coli. Yeasts and molds and coliform were under the detection limit in all the treated samples, while mesophiles were strongly reduced, but below the detection limit only in carrots. Inoculated E. coli strains were completely inactivated (&amp;gt;6.0 log CFU/g) on coconut, while a reduction &amp;gt;4.0 log CFU/g was achieved for carrots and coriander. For all the treated products, the texture was similar to the fresh ones, while a small alteration of color was detected. Microbiological stability was achieved for up to 14 days for both fresh-cut carrots and coconut. Overall, the results are promising for the development of a new mild and innovative food preservation technique for fresh food.","container-title":"Foods (Basel, Switzerland)","DOI":"10.3390/foods12010021","ISSN":"2304-8158","issue":"1","journalAbbreviation":"Foods","language":"eng","note":"PMID: 36613236\nPMCID: PMC9818350","page":"21","source":"PubMed","title":"Increasing the Safety and Storage of Pre-Packed Fresh-Cut Fruits and Vegetables by Supercritical CO2 Process","volume":"12","author":[{"family":"Zambon","given":"Alessandro"},{"family":"González-Alonso","given":"Víctor"},{"family":"Lomolino","given":"Giovanna"},{"family":"Zulli","given":"Riccardo"},{"family":"Rajkovic","given":"Andreja"},{"family":"Spilimbergo","given":"Sara"}],"issued":{"date-parts":[["2022",12,21]]}}}],"schema":"https://github.com/citation-style-language/schema/raw/master/csl-citation.json"} </w:instrText>
      </w:r>
      <w:r w:rsidRPr="00CC1598">
        <w:fldChar w:fldCharType="separate"/>
      </w:r>
      <w:r w:rsidRPr="00CC1598">
        <w:rPr>
          <w:rFonts w:cs="Arial"/>
          <w:szCs w:val="24"/>
        </w:rPr>
        <w:t>Zambon, et al. (2022)</w:t>
      </w:r>
      <w:r w:rsidRPr="00CC1598">
        <w:fldChar w:fldCharType="end"/>
      </w:r>
      <w:r w:rsidRPr="00CC1598">
        <w:t xml:space="preserve"> obtained similar results for fresh-cut carrots and coconut treated with the scCO</w:t>
      </w:r>
      <w:r w:rsidRPr="00CC1598">
        <w:rPr>
          <w:vertAlign w:val="subscript"/>
        </w:rPr>
        <w:t>2</w:t>
      </w:r>
      <w:r w:rsidRPr="00CC1598">
        <w:t>-MAP method. The total color difference was 6.4</w:t>
      </w:r>
      <w:r w:rsidR="00B51239" w:rsidRPr="00CC1598">
        <w:t>5</w:t>
      </w:r>
      <w:r w:rsidRPr="00CC1598">
        <w:t xml:space="preserve"> for carrots treated at 12 MPa, 40 °C for 20 min and 1.</w:t>
      </w:r>
      <w:r w:rsidR="00B51239" w:rsidRPr="00CC1598">
        <w:t>20</w:t>
      </w:r>
      <w:r w:rsidRPr="00CC1598">
        <w:t xml:space="preserve"> for coconut treated at 12 MPa, 45 °C for 30 min. Even if the color change was strongly dependent </w:t>
      </w:r>
      <w:r w:rsidR="00483D4D" w:rsidRPr="00CC1598">
        <w:t>on</w:t>
      </w:r>
      <w:r w:rsidRPr="00CC1598">
        <w:t xml:space="preserve"> the process conditions and the matrix, these results were significantly lower than the color changes obtained by direct scCO</w:t>
      </w:r>
      <w:r w:rsidRPr="00CC1598">
        <w:rPr>
          <w:vertAlign w:val="subscript"/>
        </w:rPr>
        <w:t>2</w:t>
      </w:r>
      <w:r w:rsidRPr="00CC1598">
        <w:t xml:space="preserve"> pasteurization, while the microbial inactivation </w:t>
      </w:r>
      <w:r w:rsidR="00B25365" w:rsidRPr="00CC1598">
        <w:t>was</w:t>
      </w:r>
      <w:r w:rsidRPr="00CC1598">
        <w:t xml:space="preserve"> similar. Also other studies reported a strong influence of the direct scCO</w:t>
      </w:r>
      <w:r w:rsidRPr="00CC1598">
        <w:rPr>
          <w:vertAlign w:val="subscript"/>
        </w:rPr>
        <w:t>2</w:t>
      </w:r>
      <w:r w:rsidRPr="00CC1598">
        <w:t xml:space="preserve"> method on the aspect of different products, such as coconut </w:t>
      </w:r>
      <w:r w:rsidRPr="00CC1598">
        <w:fldChar w:fldCharType="begin"/>
      </w:r>
      <w:r w:rsidRPr="00CC1598">
        <w:instrText xml:space="preserve"> ADDIN ZOTERO_ITEM CSL_CITATION {"citationID":"UgPzVaqc","properties":{"formattedCitation":"(Ferrentino, Balzan, &amp; Spilimbergo, 2012)","plainCitation":"(Ferrentino, Balzan, &amp; Spilimbergo, 2012)","dontUpdate":true,"noteIndex":0},"citationItems":[{"id":482,"uris":["http://zotero.org/users/6511723/items/32H5H82S"],"itemData":{"id":482,"type":"article-journal","abstract":"An on-line color monitoring system for solid foods to be used during supercritical carbon dioxide (SC-CO2) pasteurization was designed and tested. The experimental apparatus described here allowed for the measurement of reflectance spectra and color parameters (L</w:instrText>
      </w:r>
      <w:r w:rsidRPr="00CC1598">
        <w:rPr>
          <w:rFonts w:ascii="Cambria Math" w:hAnsi="Cambria Math" w:cs="Cambria Math"/>
        </w:rPr>
        <w:instrText>∗</w:instrText>
      </w:r>
      <w:r w:rsidRPr="00CC1598">
        <w:instrText>, a</w:instrText>
      </w:r>
      <w:r w:rsidRPr="00CC1598">
        <w:rPr>
          <w:rFonts w:ascii="Cambria Math" w:hAnsi="Cambria Math" w:cs="Cambria Math"/>
        </w:rPr>
        <w:instrText>∗</w:instrText>
      </w:r>
      <w:r w:rsidRPr="00CC1598">
        <w:instrText>, b</w:instrText>
      </w:r>
      <w:r w:rsidRPr="00CC1598">
        <w:rPr>
          <w:rFonts w:ascii="Cambria Math" w:hAnsi="Cambria Math" w:cs="Cambria Math"/>
        </w:rPr>
        <w:instrText>∗</w:instrText>
      </w:r>
      <w:r w:rsidRPr="00CC1598">
        <w:instrText>) during (on-line) as well as before and after treatments (off-line). The results demonstrated that SC-CO2 pasteurization applied at 12.0MPa, 40°C slightly affected the color of freshly cut pieces of coconut and carrot during the process performed at different treatment times (10, 20, and 30min). Reflectance spectra of coconut, acquired on-line, showed that CO2 influenced the color immediately upon treatment: lightness (L</w:instrText>
      </w:r>
      <w:r w:rsidRPr="00CC1598">
        <w:rPr>
          <w:rFonts w:ascii="Cambria Math" w:hAnsi="Cambria Math" w:cs="Cambria Math"/>
        </w:rPr>
        <w:instrText>∗</w:instrText>
      </w:r>
      <w:r w:rsidRPr="00CC1598">
        <w:instrText>) changed from 86.10</w:instrText>
      </w:r>
      <w:r w:rsidRPr="00CC1598">
        <w:rPr>
          <w:rFonts w:cs="Arial"/>
        </w:rPr>
        <w:instrText>±</w:instrText>
      </w:r>
      <w:r w:rsidRPr="00CC1598">
        <w:instrText>2.80 at 1min to 79.57</w:instrText>
      </w:r>
      <w:r w:rsidRPr="00CC1598">
        <w:rPr>
          <w:rFonts w:cs="Arial"/>
        </w:rPr>
        <w:instrText>±</w:instrText>
      </w:r>
      <w:r w:rsidRPr="00CC1598">
        <w:instrText>0.74 at 30min. The decompression was demonstrated to be the critical parameter affecting the color of carrot. The off-line measurements showed that 30min of treatment induced 38% and 22% decrease of redness (a</w:instrText>
      </w:r>
      <w:r w:rsidRPr="00CC1598">
        <w:rPr>
          <w:rFonts w:ascii="Cambria Math" w:hAnsi="Cambria Math" w:cs="Cambria Math"/>
        </w:rPr>
        <w:instrText>∗</w:instrText>
      </w:r>
      <w:r w:rsidRPr="00CC1598">
        <w:instrText>) and yellowness (b</w:instrText>
      </w:r>
      <w:r w:rsidRPr="00CC1598">
        <w:rPr>
          <w:rFonts w:ascii="Cambria Math" w:hAnsi="Cambria Math" w:cs="Cambria Math"/>
        </w:rPr>
        <w:instrText>∗</w:instrText>
      </w:r>
      <w:r w:rsidRPr="00CC1598">
        <w:instrText xml:space="preserve">), respectively. The proposed apparatus allowed for a non-invasive, immediate and direct monitoring of food color before, during and after SC-CO2 pasteurization.","container-title":"Journal of Food Engineering","ISSN":"0260-8774","issue":"1","journalAbbreviation":"Journal of Food Engineering","language":"en","page":"80-85","source":"ScienceDirect","title":"On-line color monitoring of solid foods during supercritical CO2 pasteurization","volume":"110","author":[{"family":"Ferrentino","given":"Giovanna"},{"family":"Balzan","given":"Sara"},{"family":"Spilimbergo","given":"Sara"}],"issued":{"date-parts":[["2012",5,1]]}}}],"schema":"https://github.com/citation-style-language/schema/raw/master/csl-citation.json"} </w:instrText>
      </w:r>
      <w:r w:rsidRPr="00CC1598">
        <w:fldChar w:fldCharType="separate"/>
      </w:r>
      <w:r w:rsidRPr="00CC1598">
        <w:rPr>
          <w:rFonts w:cs="Arial"/>
        </w:rPr>
        <w:t>(Ferrentino et al., 2012</w:t>
      </w:r>
      <w:r w:rsidR="00C0761D" w:rsidRPr="00CC1598">
        <w:rPr>
          <w:rFonts w:cs="Arial"/>
        </w:rPr>
        <w:t>b</w:t>
      </w:r>
      <w:r w:rsidRPr="00CC1598">
        <w:rPr>
          <w:rFonts w:cs="Arial"/>
        </w:rPr>
        <w:t>)</w:t>
      </w:r>
      <w:r w:rsidRPr="00CC1598">
        <w:fldChar w:fldCharType="end"/>
      </w:r>
      <w:r w:rsidRPr="00CC1598">
        <w:t xml:space="preserve"> and pears </w:t>
      </w:r>
      <w:r w:rsidRPr="00CC1598">
        <w:fldChar w:fldCharType="begin"/>
      </w:r>
      <w:r w:rsidRPr="00CC1598">
        <w:instrText xml:space="preserve"> ADDIN ZOTERO_ITEM CSL_CITATION {"citationID":"xsvIcoNw","properties":{"formattedCitation":"(Valverde et al., 2010)","plainCitation":"(Valverde et al., 2010)","noteIndex":0},"citationItems":[{"id":57,"uris":["http://zotero.org/users/6511723/items/PPX93NGX"],"itemData":{"id":57,"type":"article-journal","abstract":"This work explores the use of high pressure carbon dioxide (HPCD) for the inactivation of Saccharomyces cerevisiae in fresh-cut conference pears. This fruit was chosen as an example of a ready to eat and minimally processed food. Assays were carried out with continuous CO2 flow at different pressures (6–30MPa), temperatures (25–55°C), and exposure times (10–90min). Heat treatments at similar temperatures and times were compared to the use of HPCD, wherein it was observed that HPCD was more effective. The total inactivation (5 log10 cycles) of the yeast took place at 55°C with HPCD while it was necessary to reach 70°C when only heat was applied. Required pressures and exposure times were relatively low (</w:instrText>
      </w:r>
      <w:r w:rsidRPr="00CC1598">
        <w:rPr>
          <w:rFonts w:ascii="Cambria Math" w:hAnsi="Cambria Math" w:cs="Cambria Math"/>
        </w:rPr>
        <w:instrText>⩽</w:instrText>
      </w:r>
      <w:r w:rsidRPr="00CC1598">
        <w:instrText xml:space="preserve">6MPa and on the order of minutes) because of the direct contact between the CO2 and the pear. The pH and </w:instrText>
      </w:r>
      <w:r w:rsidRPr="00CC1598">
        <w:rPr>
          <w:rFonts w:cs="Arial"/>
        </w:rPr>
        <w:instrText>°</w:instrText>
      </w:r>
      <w:r w:rsidRPr="00CC1598">
        <w:instrText xml:space="preserve">Brix were not affected by the HPCD treatment; however, the pears lost their texture and became darker due to a decrease in vitamin C and enzymatic browning. Peroxidase activity was only partially reduced. The addition of an antioxidant did not help to prevent darkening. Therefore, HPCD could be a low temperature conservation method that is superior to conventional thermal treatments for the preparation of fruit preserves where a firm texture is not essential.","container-title":"Journal of Food Engineering","ISSN":"0260-8774","issue":"4","journalAbbreviation":"Journal of Food Engineering","language":"en","page":"421-428","source":"ScienceDirect","title":"Inactivation of Saccharomyces cerevisiae in conference pear with high pressure carbon dioxide and effects on pear quality","volume":"98","author":[{"family":"Valverde","given":"M. T."},{"family":"Marín-Iniesta","given":"F."},{"family":"Calvo","given":"L."}],"issued":{"date-parts":[["2010",6,1]]}}}],"schema":"https://github.com/citation-style-language/schema/raw/master/csl-citation.json"} </w:instrText>
      </w:r>
      <w:r w:rsidRPr="00CC1598">
        <w:fldChar w:fldCharType="separate"/>
      </w:r>
      <w:r w:rsidR="0035325B" w:rsidRPr="00CC1598">
        <w:rPr>
          <w:rFonts w:cs="Arial"/>
        </w:rPr>
        <w:t>(Valverde et al., 2010)</w:t>
      </w:r>
      <w:r w:rsidRPr="00CC1598">
        <w:fldChar w:fldCharType="end"/>
      </w:r>
      <w:r w:rsidRPr="00CC1598">
        <w:t xml:space="preserve">, especially influenced by the treatment time.  </w:t>
      </w:r>
      <w:r w:rsidR="007D5EA2" w:rsidRPr="00CC1598">
        <w:t xml:space="preserve">Other studies focused on non-thermal technologies achieved similar </w:t>
      </w:r>
      <w:r w:rsidR="00C82593" w:rsidRPr="00CC1598">
        <w:t>results on the color change of fresh-cut potatoes.</w:t>
      </w:r>
      <w:r w:rsidR="007D5EA2" w:rsidRPr="00CC1598">
        <w:t xml:space="preserve"> </w:t>
      </w:r>
      <w:r w:rsidR="007D5EA2" w:rsidRPr="00CC1598">
        <w:fldChar w:fldCharType="begin"/>
      </w:r>
      <w:r w:rsidR="00315C27" w:rsidRPr="00CC1598">
        <w:instrText xml:space="preserve"> ADDIN ZOTERO_ITEM CSL_CITATION {"citationID":"E7QIXlEr","properties":{"formattedCitation":"(Liu et al., 2022)","plainCitation":"(Liu et al., 2022)","dontUpdate":true,"noteIndex":0},"citationItems":[{"id":711,"uris":["http://zotero.org/users/6511723/items/F6C47MZR"],"itemData":{"id":711,"type":"article-journal","abstract":"We studied the microbial stability and quality of vacuum-packaged ready-to-eat (RTE) potatoes irradiated by different doses of electron beam during storage. Results showed that irradiation effectively reduced the total bacterial count of samples, with a maximum reduction of 7.08 log units by irradiation at 5 kGy. Irradiation at dose ≥7 kGy completely inactivated the microorganisms. Potato color and texture were affected when the irradiation dose was ≥3 and ≥5 kGy, respectively, which may be due to the reduction of a* value and chewiness of samples. An electronic nose could effectively distinguish the odor of the irradiated samples from the non-irradiated ones. Irradiation significantly reduced potato Vc content but it had no effect on the moisture and total protein content. Potato DPPH activities were increased by irradiation at dose ≤5 kGy but decreased when the dose was ≥7 kGy. The FRAP values were reduced in all irradiated samples. Novelty impact statement This work investigated the effect of electron beam irradiation on microbial stability and quality characteristics, including sensory quality, texture, odor, nutritional properties, and antioxidant capacity of vacuum-packaged RTE potatoes. Based on the results, an optimum dose for RTE potatoes decontamination was also suggested. Results would provide the basic data for the wider application of electron beams in RTE vegetable preservation.","container-title":"Journal of Food Processing and Preservation","DOI":"10.1111/jfpp.16829","ISSN":"1745-4549","issue":"10","language":"en","note":"_eprint: https://onlinelibrary.wiley.com/doi/pdf/10.1111/jfpp.16829","page":"e16829","source":"Wiley Online Library","title":"The effect of electron beam irradiation on the microbial stability and quality characteristics of vacuum-packaged ready-to-eat potato","volume":"46","author":[{"family":"Liu","given":"Jikai"},{"family":"Zhao","given":"Shuncheng"},{"family":"Wang","given":"Fei"},{"family":"Long","given":"Tao"},{"family":"Chen","given":"Banglan"},{"family":"Wang","given":"Dan"},{"family":"Gao","given":"Peng"}],"issued":{"date-parts":[["2022"]]}}}],"schema":"https://github.com/citation-style-language/schema/raw/master/csl-citation.json"} </w:instrText>
      </w:r>
      <w:r w:rsidR="007D5EA2" w:rsidRPr="00CC1598">
        <w:fldChar w:fldCharType="separate"/>
      </w:r>
      <w:r w:rsidR="007D5EA2" w:rsidRPr="00CC1598">
        <w:rPr>
          <w:rFonts w:cs="Arial"/>
        </w:rPr>
        <w:t>Liu et al. (2022)</w:t>
      </w:r>
      <w:r w:rsidR="007D5EA2" w:rsidRPr="00CC1598">
        <w:fldChar w:fldCharType="end"/>
      </w:r>
      <w:r w:rsidR="007D5EA2" w:rsidRPr="00CC1598">
        <w:t xml:space="preserve">, for instance, </w:t>
      </w:r>
      <w:r w:rsidR="00C82593" w:rsidRPr="00CC1598">
        <w:t xml:space="preserve">applied electron </w:t>
      </w:r>
      <w:r w:rsidR="007D5EA2" w:rsidRPr="00CC1598">
        <w:t xml:space="preserve">beam irradiation at a maximum dose of 15 </w:t>
      </w:r>
      <w:proofErr w:type="spellStart"/>
      <w:r w:rsidR="007D5EA2" w:rsidRPr="00CC1598">
        <w:t>kGy</w:t>
      </w:r>
      <w:proofErr w:type="spellEnd"/>
      <w:r w:rsidR="00C82593" w:rsidRPr="00CC1598">
        <w:t xml:space="preserve"> to increase the stability of potatoes, </w:t>
      </w:r>
      <w:r w:rsidR="00FD3488" w:rsidRPr="00CC1598">
        <w:t xml:space="preserve">and observed a maximum total color difference of 5.46 </w:t>
      </w:r>
      <w:r w:rsidR="00FD3488" w:rsidRPr="00CC1598">
        <w:rPr>
          <w:rFonts w:cs="Arial"/>
        </w:rPr>
        <w:t>±</w:t>
      </w:r>
      <w:r w:rsidR="00FD3488" w:rsidRPr="00CC1598">
        <w:t xml:space="preserve"> 1.68 which remained stable also during the storage.</w:t>
      </w:r>
    </w:p>
    <w:p w14:paraId="665ACCB1" w14:textId="67171B43" w:rsidR="00EE5C33" w:rsidRPr="00CC1598" w:rsidRDefault="00AC7CD6" w:rsidP="00BD298E">
      <w:pPr>
        <w:pStyle w:val="CETHeading1"/>
      </w:pPr>
      <w:r w:rsidRPr="00CC1598">
        <w:t>Conclusions</w:t>
      </w:r>
    </w:p>
    <w:p w14:paraId="0736E070" w14:textId="0AF546D0" w:rsidR="00684879" w:rsidRPr="00CC1598" w:rsidRDefault="00BB2859" w:rsidP="00706591">
      <w:pPr>
        <w:pStyle w:val="CETBodytext"/>
        <w:rPr>
          <w:rFonts w:cs="Arial"/>
          <w:szCs w:val="18"/>
          <w:shd w:val="clear" w:color="auto" w:fill="FFFFFF"/>
        </w:rPr>
      </w:pPr>
      <w:r w:rsidRPr="00CC1598">
        <w:rPr>
          <w:rFonts w:cs="Arial"/>
          <w:szCs w:val="18"/>
          <w:shd w:val="clear" w:color="auto" w:fill="FFFFFF"/>
        </w:rPr>
        <w:t xml:space="preserve">A </w:t>
      </w:r>
      <w:r w:rsidR="00483D4D" w:rsidRPr="00CC1598">
        <w:rPr>
          <w:rFonts w:cs="Arial"/>
          <w:szCs w:val="18"/>
          <w:shd w:val="clear" w:color="auto" w:fill="FFFFFF"/>
        </w:rPr>
        <w:t>2</w:t>
      </w:r>
      <w:r w:rsidR="00483D4D" w:rsidRPr="00CC1598">
        <w:rPr>
          <w:rFonts w:cs="Arial"/>
          <w:szCs w:val="18"/>
          <w:shd w:val="clear" w:color="auto" w:fill="FFFFFF"/>
          <w:vertAlign w:val="superscript"/>
        </w:rPr>
        <w:t>3</w:t>
      </w:r>
      <w:r w:rsidRPr="00CC1598">
        <w:rPr>
          <w:rFonts w:cs="Arial"/>
          <w:szCs w:val="18"/>
          <w:shd w:val="clear" w:color="auto" w:fill="FFFFFF"/>
        </w:rPr>
        <w:t xml:space="preserve"> factorial design was applied to investigate the effect of a novel scCO</w:t>
      </w:r>
      <w:r w:rsidRPr="00CC1598">
        <w:rPr>
          <w:rFonts w:cs="Arial"/>
          <w:szCs w:val="18"/>
          <w:shd w:val="clear" w:color="auto" w:fill="FFFFFF"/>
          <w:vertAlign w:val="subscript"/>
        </w:rPr>
        <w:t>2</w:t>
      </w:r>
      <w:r w:rsidRPr="00CC1598">
        <w:rPr>
          <w:rFonts w:cs="Arial"/>
          <w:szCs w:val="18"/>
          <w:shd w:val="clear" w:color="auto" w:fill="FFFFFF"/>
        </w:rPr>
        <w:t xml:space="preserve"> method on the microbial load and color of fresh-cut potatoes</w:t>
      </w:r>
      <w:r w:rsidR="00665398" w:rsidRPr="00CC1598">
        <w:rPr>
          <w:rFonts w:cs="Arial"/>
          <w:szCs w:val="18"/>
          <w:shd w:val="clear" w:color="auto" w:fill="FFFFFF"/>
        </w:rPr>
        <w:t xml:space="preserve"> using a small</w:t>
      </w:r>
      <w:r w:rsidR="00315C27" w:rsidRPr="00CC1598">
        <w:rPr>
          <w:rFonts w:cs="Arial"/>
          <w:szCs w:val="18"/>
          <w:shd w:val="clear" w:color="auto" w:fill="FFFFFF"/>
        </w:rPr>
        <w:t>-scale</w:t>
      </w:r>
      <w:r w:rsidR="00665398" w:rsidRPr="00CC1598">
        <w:rPr>
          <w:rFonts w:cs="Arial"/>
          <w:szCs w:val="18"/>
          <w:shd w:val="clear" w:color="auto" w:fill="FFFFFF"/>
        </w:rPr>
        <w:t xml:space="preserve"> plant</w:t>
      </w:r>
      <w:r w:rsidRPr="00CC1598">
        <w:rPr>
          <w:rFonts w:cs="Arial"/>
          <w:szCs w:val="18"/>
          <w:shd w:val="clear" w:color="auto" w:fill="FFFFFF"/>
        </w:rPr>
        <w:t xml:space="preserve">. </w:t>
      </w:r>
      <w:r w:rsidR="004921DA" w:rsidRPr="00CC1598">
        <w:rPr>
          <w:rFonts w:cs="Arial"/>
          <w:szCs w:val="18"/>
          <w:shd w:val="clear" w:color="auto" w:fill="FFFFFF"/>
        </w:rPr>
        <w:t xml:space="preserve">Temperature and time positively influenced the microbial inactivation </w:t>
      </w:r>
      <w:r w:rsidRPr="00CC1598">
        <w:rPr>
          <w:rFonts w:cs="Arial"/>
          <w:szCs w:val="18"/>
          <w:shd w:val="clear" w:color="auto" w:fill="FFFFFF"/>
        </w:rPr>
        <w:t xml:space="preserve">of </w:t>
      </w:r>
      <w:r w:rsidRPr="00CC1598">
        <w:rPr>
          <w:rFonts w:cs="Arial"/>
          <w:i/>
          <w:szCs w:val="18"/>
          <w:shd w:val="clear" w:color="auto" w:fill="FFFFFF"/>
        </w:rPr>
        <w:t xml:space="preserve">E. coli </w:t>
      </w:r>
      <w:r w:rsidRPr="00CC1598">
        <w:rPr>
          <w:rFonts w:cs="Arial"/>
          <w:szCs w:val="18"/>
          <w:shd w:val="clear" w:color="auto" w:fill="FFFFFF"/>
        </w:rPr>
        <w:t>inoculated on the samples surface</w:t>
      </w:r>
      <w:r w:rsidR="004921DA" w:rsidRPr="00CC1598">
        <w:rPr>
          <w:rFonts w:cs="Arial"/>
          <w:szCs w:val="18"/>
          <w:shd w:val="clear" w:color="auto" w:fill="FFFFFF"/>
        </w:rPr>
        <w:t>, while temperature and pressure influenced the color change after the treatment. The results suggest that the method could improve the microbial safety of fresh-cut potatoes from possible contamination of pathogenic bacteria</w:t>
      </w:r>
      <w:r w:rsidR="00B25365" w:rsidRPr="00CC1598">
        <w:rPr>
          <w:rFonts w:cs="Arial"/>
          <w:szCs w:val="18"/>
          <w:shd w:val="clear" w:color="auto" w:fill="FFFFFF"/>
        </w:rPr>
        <w:t xml:space="preserve">. </w:t>
      </w:r>
      <w:r w:rsidR="004921DA" w:rsidRPr="00CC1598">
        <w:rPr>
          <w:rFonts w:cs="Arial"/>
          <w:szCs w:val="18"/>
          <w:shd w:val="clear" w:color="auto" w:fill="FFFFFF"/>
        </w:rPr>
        <w:t xml:space="preserve">However, a deeper investigation should be addressed in order to maximize the performance, for instance by increasing the treatment time or combining the method with other non-thermal technologies, such as the addition of antimicrobial substances. Moreover, </w:t>
      </w:r>
      <w:r w:rsidR="00706591" w:rsidRPr="00CC1598">
        <w:rPr>
          <w:rFonts w:cs="Arial"/>
          <w:szCs w:val="18"/>
          <w:shd w:val="clear" w:color="auto" w:fill="FFFFFF"/>
        </w:rPr>
        <w:t xml:space="preserve">even if </w:t>
      </w:r>
      <w:r w:rsidR="004921DA" w:rsidRPr="00CC1598">
        <w:rPr>
          <w:rFonts w:cs="Arial"/>
          <w:szCs w:val="18"/>
          <w:shd w:val="clear" w:color="auto" w:fill="FFFFFF"/>
        </w:rPr>
        <w:t xml:space="preserve">the </w:t>
      </w:r>
      <w:r w:rsidR="00706591" w:rsidRPr="00CC1598">
        <w:rPr>
          <w:rFonts w:cs="Arial"/>
          <w:szCs w:val="18"/>
          <w:shd w:val="clear" w:color="auto" w:fill="FFFFFF"/>
        </w:rPr>
        <w:t xml:space="preserve">color plays an important role in terms of consumer acceptance, other sensorial attributes, such as texture </w:t>
      </w:r>
      <w:r w:rsidR="004E428F" w:rsidRPr="00CC1598">
        <w:rPr>
          <w:rFonts w:cs="Arial"/>
          <w:szCs w:val="18"/>
          <w:shd w:val="clear" w:color="auto" w:fill="FFFFFF"/>
        </w:rPr>
        <w:t>or taste should</w:t>
      </w:r>
      <w:r w:rsidR="00706591" w:rsidRPr="00CC1598">
        <w:rPr>
          <w:rFonts w:cs="Arial"/>
          <w:szCs w:val="18"/>
          <w:shd w:val="clear" w:color="auto" w:fill="FFFFFF"/>
        </w:rPr>
        <w:t xml:space="preserve"> be considered to determine the process applicability range.</w:t>
      </w:r>
      <w:r w:rsidR="004921DA" w:rsidRPr="00CC1598">
        <w:rPr>
          <w:rFonts w:cs="Arial"/>
          <w:szCs w:val="18"/>
          <w:shd w:val="clear" w:color="auto" w:fill="FFFFFF"/>
        </w:rPr>
        <w:t xml:space="preserve"> Studies on the activities of enzymes </w:t>
      </w:r>
      <w:r w:rsidR="00674B49" w:rsidRPr="00CC1598">
        <w:rPr>
          <w:rFonts w:cs="Arial"/>
          <w:szCs w:val="18"/>
          <w:shd w:val="clear" w:color="auto" w:fill="FFFFFF"/>
        </w:rPr>
        <w:t xml:space="preserve">(i.e. PPO and POD) </w:t>
      </w:r>
      <w:r w:rsidR="004921DA" w:rsidRPr="00CC1598">
        <w:rPr>
          <w:rFonts w:cs="Arial"/>
          <w:szCs w:val="18"/>
          <w:shd w:val="clear" w:color="auto" w:fill="FFFFFF"/>
        </w:rPr>
        <w:t>responsible for the product browning should be also considered.</w:t>
      </w:r>
    </w:p>
    <w:p w14:paraId="561AA360" w14:textId="5DB6EEBD" w:rsidR="00706591" w:rsidRPr="00CC1598" w:rsidRDefault="00706591" w:rsidP="00706591">
      <w:pPr>
        <w:pStyle w:val="CETBodytext"/>
        <w:rPr>
          <w:rFonts w:cs="Arial"/>
          <w:szCs w:val="18"/>
          <w:shd w:val="clear" w:color="auto" w:fill="FFFFFF"/>
        </w:rPr>
      </w:pPr>
      <w:r w:rsidRPr="00CC1598">
        <w:rPr>
          <w:rFonts w:cs="Arial"/>
          <w:szCs w:val="18"/>
          <w:shd w:val="clear" w:color="auto" w:fill="FFFFFF"/>
        </w:rPr>
        <w:t xml:space="preserve">The proposed </w:t>
      </w:r>
      <w:r w:rsidR="00731822" w:rsidRPr="00CC1598">
        <w:rPr>
          <w:rFonts w:cs="Arial"/>
          <w:szCs w:val="18"/>
          <w:shd w:val="clear" w:color="auto" w:fill="FFFFFF"/>
        </w:rPr>
        <w:t xml:space="preserve">technology has the potential to be a useful </w:t>
      </w:r>
      <w:r w:rsidRPr="00CC1598">
        <w:rPr>
          <w:rFonts w:cs="Arial"/>
          <w:szCs w:val="18"/>
          <w:shd w:val="clear" w:color="auto" w:fill="FFFFFF"/>
        </w:rPr>
        <w:t xml:space="preserve">method </w:t>
      </w:r>
      <w:r w:rsidR="00731822" w:rsidRPr="00CC1598">
        <w:rPr>
          <w:rFonts w:cs="Arial"/>
          <w:szCs w:val="18"/>
          <w:shd w:val="clear" w:color="auto" w:fill="FFFFFF"/>
        </w:rPr>
        <w:t>to increase the safety and the shelf life of fresh cut fruits and vegetables</w:t>
      </w:r>
      <w:r w:rsidR="00D65EA1" w:rsidRPr="00CC1598">
        <w:rPr>
          <w:rFonts w:cs="Arial"/>
          <w:szCs w:val="18"/>
          <w:shd w:val="clear" w:color="auto" w:fill="FFFFFF"/>
        </w:rPr>
        <w:t>, avoiding the use of chlorinated solutions and/or expensive aseptic packaging methods.</w:t>
      </w:r>
      <w:r w:rsidR="00731822" w:rsidRPr="00CC1598">
        <w:rPr>
          <w:rFonts w:cs="Arial"/>
          <w:szCs w:val="18"/>
          <w:shd w:val="clear" w:color="auto" w:fill="FFFFFF"/>
        </w:rPr>
        <w:t xml:space="preserve"> </w:t>
      </w:r>
      <w:r w:rsidR="0096696B" w:rsidRPr="00CC1598">
        <w:rPr>
          <w:rFonts w:cs="Arial"/>
          <w:szCs w:val="18"/>
          <w:shd w:val="clear" w:color="auto" w:fill="FFFFFF"/>
        </w:rPr>
        <w:t xml:space="preserve">Moreover, the novel process utilizes pressures at least 10-times lower than the comparable HHP processes, already adopted in the food industry, having in this way the possibility to be less expensive and to be applied to a larger variety of products. Life Cycle Cost analysis should be performed to confirm this hypothesis and compare the process to ones already adopted. </w:t>
      </w:r>
    </w:p>
    <w:p w14:paraId="6BB66E20" w14:textId="6B936685" w:rsidR="00EE5C33" w:rsidRPr="00CC1598" w:rsidRDefault="00EE5C33" w:rsidP="00EE5C33">
      <w:pPr>
        <w:pStyle w:val="CETAcknowledgementstitle"/>
        <w:rPr>
          <w:lang w:val="en-US"/>
        </w:rPr>
      </w:pPr>
      <w:r w:rsidRPr="00CC1598">
        <w:rPr>
          <w:lang w:val="en-US"/>
        </w:rPr>
        <w:t>Acknowledgment</w:t>
      </w:r>
    </w:p>
    <w:p w14:paraId="64F61944" w14:textId="150F565A" w:rsidR="00EE5C33" w:rsidRPr="00CC1598" w:rsidRDefault="00EE5C33" w:rsidP="00EE5C33">
      <w:pPr>
        <w:pStyle w:val="CETBodytext"/>
      </w:pPr>
      <w:r w:rsidRPr="00CC1598">
        <w:t>The authors acknowledge the financial support for this project provided by transnational funding bodies, partners of the H2020 ERA-NETs SUSFOOD2 and CORE Organic Cofunds, under the Joint SUSFOOD2/CORE Organic Call 2019.</w:t>
      </w:r>
    </w:p>
    <w:p w14:paraId="7C8533D3" w14:textId="22A139B8" w:rsidR="00EE5C33" w:rsidRPr="00CC1598" w:rsidRDefault="00EE5C33" w:rsidP="00EE5C33">
      <w:pPr>
        <w:pStyle w:val="CETReference"/>
        <w:rPr>
          <w:lang w:val="it-IT"/>
        </w:rPr>
      </w:pPr>
      <w:r w:rsidRPr="00CC1598">
        <w:rPr>
          <w:lang w:val="it-IT"/>
        </w:rPr>
        <w:t>Reference</w:t>
      </w:r>
    </w:p>
    <w:p w14:paraId="0FE753A9" w14:textId="77777777" w:rsidR="0019655F" w:rsidRPr="00CC1598" w:rsidRDefault="00F21177" w:rsidP="0019655F">
      <w:pPr>
        <w:pStyle w:val="Bibliografia"/>
        <w:rPr>
          <w:rFonts w:cs="Arial"/>
        </w:rPr>
      </w:pPr>
      <w:r w:rsidRPr="00CC1598">
        <w:rPr>
          <w:lang w:val="en-US"/>
        </w:rPr>
        <w:fldChar w:fldCharType="begin"/>
      </w:r>
      <w:r w:rsidR="0035325B" w:rsidRPr="00CC1598">
        <w:rPr>
          <w:lang w:val="it-IT"/>
        </w:rPr>
        <w:instrText xml:space="preserve"> ADDIN ZOTERO_BIBL {"uncited":[],"omitted":[],"custom":[]} CSL_BIBLIOGRAPHY </w:instrText>
      </w:r>
      <w:r w:rsidRPr="00CC1598">
        <w:rPr>
          <w:lang w:val="en-US"/>
        </w:rPr>
        <w:fldChar w:fldCharType="separate"/>
      </w:r>
      <w:r w:rsidR="0019655F" w:rsidRPr="00CC1598">
        <w:rPr>
          <w:rFonts w:cs="Arial"/>
          <w:lang w:val="it-IT"/>
        </w:rPr>
        <w:t xml:space="preserve">Barberi, G., González-Alonso, V., Spilimbergo, S., Barolo, M., Zambon, A., and Facco, P. (2021). </w:t>
      </w:r>
      <w:r w:rsidR="0019655F" w:rsidRPr="00CC1598">
        <w:rPr>
          <w:rFonts w:cs="Arial"/>
        </w:rPr>
        <w:t xml:space="preserve">“Optimization of the Appearance Quality in CO2 Processed Ready-to-Eat Carrots through Image Analysis.” </w:t>
      </w:r>
      <w:r w:rsidR="0019655F" w:rsidRPr="00CC1598">
        <w:rPr>
          <w:rFonts w:cs="Arial"/>
          <w:i/>
          <w:iCs/>
        </w:rPr>
        <w:t>Foods</w:t>
      </w:r>
      <w:r w:rsidR="0019655F" w:rsidRPr="00CC1598">
        <w:rPr>
          <w:rFonts w:cs="Arial"/>
        </w:rPr>
        <w:t>, Multidisciplinary Digital Publishing Institute, 10(12), 2999.</w:t>
      </w:r>
    </w:p>
    <w:p w14:paraId="38813CDB" w14:textId="77777777" w:rsidR="0019655F" w:rsidRPr="00CC1598" w:rsidRDefault="0019655F" w:rsidP="0019655F">
      <w:pPr>
        <w:pStyle w:val="Bibliografia"/>
        <w:rPr>
          <w:rFonts w:cs="Arial"/>
        </w:rPr>
      </w:pPr>
      <w:r w:rsidRPr="00CC1598">
        <w:rPr>
          <w:rFonts w:cs="Arial"/>
        </w:rPr>
        <w:t xml:space="preserve">Callejón, R. M., Rodríguez-Naranjo, M. I., Ubeda, C., Hornedo-Ortega, R., Garcia-Parrilla, M. C., and Troncoso, A. M. (2015). “Reported Foodborne Outbreaks Due to Fresh Produce in the United States and European Union: Trends and Causes.” </w:t>
      </w:r>
      <w:r w:rsidRPr="00CC1598">
        <w:rPr>
          <w:rFonts w:cs="Arial"/>
          <w:i/>
          <w:iCs/>
        </w:rPr>
        <w:t>Foodborne Pathogens and Disease</w:t>
      </w:r>
      <w:r w:rsidRPr="00CC1598">
        <w:rPr>
          <w:rFonts w:cs="Arial"/>
        </w:rPr>
        <w:t>, Mary Ann Liebert, Inc., publishers, 12(1), 32–38.</w:t>
      </w:r>
    </w:p>
    <w:p w14:paraId="51087BD1" w14:textId="77777777" w:rsidR="0019655F" w:rsidRPr="00CC1598" w:rsidRDefault="0019655F" w:rsidP="0019655F">
      <w:pPr>
        <w:pStyle w:val="Bibliografia"/>
        <w:rPr>
          <w:rFonts w:cs="Arial"/>
        </w:rPr>
      </w:pPr>
      <w:r w:rsidRPr="00CC1598">
        <w:rPr>
          <w:rFonts w:cs="Arial"/>
        </w:rPr>
        <w:t xml:space="preserve">Chen, H., Guan, Y., Wang, A., and Zhong, Q. (2022). “Inactivation of Escherichia coli K12 on raw almonds using supercritical carbon dioxide and thyme oil.” </w:t>
      </w:r>
      <w:r w:rsidRPr="00CC1598">
        <w:rPr>
          <w:rFonts w:cs="Arial"/>
          <w:i/>
          <w:iCs/>
        </w:rPr>
        <w:t>Food Microbiology</w:t>
      </w:r>
      <w:r w:rsidRPr="00CC1598">
        <w:rPr>
          <w:rFonts w:cs="Arial"/>
        </w:rPr>
        <w:t>, 103, 103955.</w:t>
      </w:r>
    </w:p>
    <w:p w14:paraId="4D82EE19" w14:textId="77777777" w:rsidR="0019655F" w:rsidRPr="00CC1598" w:rsidRDefault="0019655F" w:rsidP="0019655F">
      <w:pPr>
        <w:pStyle w:val="Bibliografia"/>
        <w:rPr>
          <w:rFonts w:cs="Arial"/>
        </w:rPr>
      </w:pPr>
      <w:r w:rsidRPr="00CC1598">
        <w:rPr>
          <w:rFonts w:cs="Arial"/>
        </w:rPr>
        <w:t xml:space="preserve">Da Silva Felício, M. T., Hald, T., Liebana, E., Allende, A., Hugas, M., Nguyen-The, C., Johannessen, G. S., Niskanen, T., Uyttendaele, M., and McLauchlin, J. (2015). “Risk ranking of pathogens in ready-to-eat </w:t>
      </w:r>
      <w:r w:rsidRPr="00CC1598">
        <w:rPr>
          <w:rFonts w:cs="Arial"/>
        </w:rPr>
        <w:lastRenderedPageBreak/>
        <w:t xml:space="preserve">unprocessed foods of non-animal origin (FoNAO) in the EU: Initial evaluation using outbreak data (2007–2011).” </w:t>
      </w:r>
      <w:r w:rsidRPr="00CC1598">
        <w:rPr>
          <w:rFonts w:cs="Arial"/>
          <w:i/>
          <w:iCs/>
        </w:rPr>
        <w:t>International Journal of Food Microbiology</w:t>
      </w:r>
      <w:r w:rsidRPr="00CC1598">
        <w:rPr>
          <w:rFonts w:cs="Arial"/>
        </w:rPr>
        <w:t>, 195, 9–19.</w:t>
      </w:r>
    </w:p>
    <w:p w14:paraId="32F50183" w14:textId="77777777" w:rsidR="0019655F" w:rsidRPr="00CC1598" w:rsidRDefault="0019655F" w:rsidP="0019655F">
      <w:pPr>
        <w:pStyle w:val="Bibliografia"/>
        <w:rPr>
          <w:rFonts w:cs="Arial"/>
        </w:rPr>
      </w:pPr>
      <w:r w:rsidRPr="00CC1598">
        <w:rPr>
          <w:rFonts w:cs="Arial"/>
        </w:rPr>
        <w:t xml:space="preserve">Ferrentino, G., Balzan, S., and Spilimbergo, S. (2012). “On-line color monitoring of solid foods during supercritical CO2 pasteurization.” </w:t>
      </w:r>
      <w:r w:rsidRPr="00CC1598">
        <w:rPr>
          <w:rFonts w:cs="Arial"/>
          <w:i/>
          <w:iCs/>
        </w:rPr>
        <w:t>Journal of Food Engineering</w:t>
      </w:r>
      <w:r w:rsidRPr="00CC1598">
        <w:rPr>
          <w:rFonts w:cs="Arial"/>
        </w:rPr>
        <w:t>, 110(1), 80–85.</w:t>
      </w:r>
    </w:p>
    <w:p w14:paraId="7C47BC8D" w14:textId="77777777" w:rsidR="0019655F" w:rsidRPr="00CC1598" w:rsidRDefault="0019655F" w:rsidP="0019655F">
      <w:pPr>
        <w:pStyle w:val="Bibliografia"/>
        <w:rPr>
          <w:rFonts w:cs="Arial"/>
        </w:rPr>
      </w:pPr>
      <w:r w:rsidRPr="00CC1598">
        <w:rPr>
          <w:rFonts w:cs="Arial"/>
        </w:rPr>
        <w:t xml:space="preserve">Hu, M., and Gurtler, J. B. (2017). “Selection of Surrogate Bacteria for Use in Food Safety Challenge Studies: A Review.” </w:t>
      </w:r>
      <w:r w:rsidRPr="00CC1598">
        <w:rPr>
          <w:rFonts w:cs="Arial"/>
          <w:i/>
          <w:iCs/>
        </w:rPr>
        <w:t>Journal of Food Protection</w:t>
      </w:r>
      <w:r w:rsidRPr="00CC1598">
        <w:rPr>
          <w:rFonts w:cs="Arial"/>
        </w:rPr>
        <w:t>, 80(9), 1506–1536.</w:t>
      </w:r>
    </w:p>
    <w:p w14:paraId="671975BD" w14:textId="77777777" w:rsidR="0019655F" w:rsidRPr="00CC1598" w:rsidRDefault="0019655F" w:rsidP="0019655F">
      <w:pPr>
        <w:pStyle w:val="Bibliografia"/>
        <w:rPr>
          <w:rFonts w:cs="Arial"/>
        </w:rPr>
      </w:pPr>
      <w:r w:rsidRPr="00CC1598">
        <w:rPr>
          <w:rFonts w:cs="Arial"/>
        </w:rPr>
        <w:t xml:space="preserve">Liu, J., Zhao, S., Wang, F., Long, T., Chen, B., Wang, D., and Gao, P. (2022). “The effect of electron beam irradiation on the microbial stability and quality characteristics of vacuum-packaged ready-to-eat potato.” </w:t>
      </w:r>
      <w:r w:rsidRPr="00CC1598">
        <w:rPr>
          <w:rFonts w:cs="Arial"/>
          <w:i/>
          <w:iCs/>
        </w:rPr>
        <w:t>Journal of Food Processing and Preservation</w:t>
      </w:r>
      <w:r w:rsidRPr="00CC1598">
        <w:rPr>
          <w:rFonts w:cs="Arial"/>
        </w:rPr>
        <w:t>, 46(10), e16829.</w:t>
      </w:r>
    </w:p>
    <w:p w14:paraId="56C6D210" w14:textId="77777777" w:rsidR="0019655F" w:rsidRPr="00CC1598" w:rsidRDefault="0019655F" w:rsidP="0019655F">
      <w:pPr>
        <w:pStyle w:val="Bibliografia"/>
        <w:rPr>
          <w:rFonts w:cs="Arial"/>
        </w:rPr>
      </w:pPr>
      <w:r w:rsidRPr="00CC1598">
        <w:rPr>
          <w:rFonts w:cs="Arial"/>
        </w:rPr>
        <w:t xml:space="preserve">Luu, P., Chhetri, V. S., Janes, M. E., King, J. M., and Adhikari, A. (2020). “Effectiveness of Aqueous Chlorine Dioxide in Minimizing Food Safety Risk Associated with Salmonella, E. coli O157:H7, and Listeria monocytogenes on Sweet Potatoes.” </w:t>
      </w:r>
      <w:r w:rsidRPr="00CC1598">
        <w:rPr>
          <w:rFonts w:cs="Arial"/>
          <w:i/>
          <w:iCs/>
        </w:rPr>
        <w:t>Foods</w:t>
      </w:r>
      <w:r w:rsidRPr="00CC1598">
        <w:rPr>
          <w:rFonts w:cs="Arial"/>
        </w:rPr>
        <w:t>, Multidisciplinary Digital Publishing Institute, 9(9), 1259.</w:t>
      </w:r>
    </w:p>
    <w:p w14:paraId="24759A10" w14:textId="77777777" w:rsidR="0019655F" w:rsidRPr="00CC1598" w:rsidRDefault="0019655F" w:rsidP="0019655F">
      <w:pPr>
        <w:pStyle w:val="Bibliografia"/>
        <w:rPr>
          <w:rFonts w:cs="Arial"/>
        </w:rPr>
      </w:pPr>
      <w:r w:rsidRPr="00CC1598">
        <w:rPr>
          <w:rFonts w:cs="Arial"/>
        </w:rPr>
        <w:t xml:space="preserve">Ma, L., Zhang, M., Bhandari, B., and Gao, Z. (2017). “Recent developments in novel shelf life extension technologies of fresh-cut fruits and vegetables.” </w:t>
      </w:r>
      <w:r w:rsidRPr="00CC1598">
        <w:rPr>
          <w:rFonts w:cs="Arial"/>
          <w:i/>
          <w:iCs/>
        </w:rPr>
        <w:t>Trends in Food Science &amp; Technology</w:t>
      </w:r>
      <w:r w:rsidRPr="00CC1598">
        <w:rPr>
          <w:rFonts w:cs="Arial"/>
        </w:rPr>
        <w:t>, 64, 23–38.</w:t>
      </w:r>
    </w:p>
    <w:p w14:paraId="4EA42104" w14:textId="77777777" w:rsidR="0019655F" w:rsidRPr="00CC1598" w:rsidRDefault="0019655F" w:rsidP="0019655F">
      <w:pPr>
        <w:pStyle w:val="Bibliografia"/>
        <w:rPr>
          <w:rFonts w:cs="Arial"/>
        </w:rPr>
      </w:pPr>
      <w:r w:rsidRPr="00CC1598">
        <w:rPr>
          <w:rFonts w:cs="Arial"/>
        </w:rPr>
        <w:t xml:space="preserve">MacDonald, E., Heier, B. T., Nygård, K., Stalheim, T., Cudjoe, K. S., Skjerdal, T., Wester, A. L., Lindstedt, B.-A., Stavnes, T.-L., and Vold, L. (2012). “Yersinia enterocolitica Outbreak Associated with Ready-to-Eat Salad Mix, Norway, 2011.” </w:t>
      </w:r>
      <w:r w:rsidRPr="00CC1598">
        <w:rPr>
          <w:rFonts w:cs="Arial"/>
          <w:i/>
          <w:iCs/>
        </w:rPr>
        <w:t>Emerging Infectious Diseases</w:t>
      </w:r>
      <w:r w:rsidRPr="00CC1598">
        <w:rPr>
          <w:rFonts w:cs="Arial"/>
        </w:rPr>
        <w:t>, 18(9), 1496–1499.</w:t>
      </w:r>
    </w:p>
    <w:p w14:paraId="0993820E" w14:textId="77777777" w:rsidR="0019655F" w:rsidRPr="00CC1598" w:rsidRDefault="0019655F" w:rsidP="0019655F">
      <w:pPr>
        <w:pStyle w:val="Bibliografia"/>
        <w:rPr>
          <w:rFonts w:cs="Arial"/>
        </w:rPr>
      </w:pPr>
      <w:r w:rsidRPr="00CC1598">
        <w:rPr>
          <w:rFonts w:cs="Arial"/>
        </w:rPr>
        <w:t xml:space="preserve">Marszałek, K., Doesburg, P., Starzonek, S., Szczepańska, J., Woźniak, Ł., Lorenzo, J. M., Skąpska, S., Rzoska, S., and Barba, F. J. (2019). “Comparative effect of supercritical carbon dioxide and high pressure processing on structural changes and activity loss of oxidoreductive enzymes.” </w:t>
      </w:r>
      <w:r w:rsidRPr="00CC1598">
        <w:rPr>
          <w:rFonts w:cs="Arial"/>
          <w:i/>
          <w:iCs/>
        </w:rPr>
        <w:t>Journal of CO2 Utilization</w:t>
      </w:r>
      <w:r w:rsidRPr="00CC1598">
        <w:rPr>
          <w:rFonts w:cs="Arial"/>
        </w:rPr>
        <w:t>, 29, 46–56.</w:t>
      </w:r>
    </w:p>
    <w:p w14:paraId="7AF10044" w14:textId="77777777" w:rsidR="0019655F" w:rsidRPr="00CC1598" w:rsidRDefault="0019655F" w:rsidP="0019655F">
      <w:pPr>
        <w:pStyle w:val="Bibliografia"/>
        <w:rPr>
          <w:rFonts w:cs="Arial"/>
        </w:rPr>
      </w:pPr>
      <w:r w:rsidRPr="00CC1598">
        <w:rPr>
          <w:rFonts w:cs="Arial"/>
        </w:rPr>
        <w:t xml:space="preserve">Montero, D., Bodero, M., Riveros, G., Lapierre, L., Gaggero, A., Vidal, R. M., and Vidal, M. (2015). “Molecular epidemiology and genetic diversity of Listeria monocytogenes isolates from a wide variety of ready-to-eat foods and their relationship to clinical strains from listeriosis outbreaks in Chile.” </w:t>
      </w:r>
      <w:r w:rsidRPr="00CC1598">
        <w:rPr>
          <w:rFonts w:cs="Arial"/>
          <w:i/>
          <w:iCs/>
        </w:rPr>
        <w:t>Frontiers in Microbiology</w:t>
      </w:r>
      <w:r w:rsidRPr="00CC1598">
        <w:rPr>
          <w:rFonts w:cs="Arial"/>
        </w:rPr>
        <w:t>, 6, 384.</w:t>
      </w:r>
    </w:p>
    <w:p w14:paraId="0AA41EDA" w14:textId="77777777" w:rsidR="0019655F" w:rsidRPr="00CC1598" w:rsidRDefault="0019655F" w:rsidP="0019655F">
      <w:pPr>
        <w:pStyle w:val="Bibliografia"/>
        <w:rPr>
          <w:rFonts w:cs="Arial"/>
        </w:rPr>
      </w:pPr>
      <w:r w:rsidRPr="00CC1598">
        <w:rPr>
          <w:rFonts w:cs="Arial"/>
        </w:rPr>
        <w:t xml:space="preserve">Park, E.-J., Gray, P. m., Oh, S.-W., Kronenberg, J., and Kang, D.-H. (2008). “Efficacy of FIT Produce Wash and Chlorine Dioxide on Pathogen Control in Fresh Potatoes.” </w:t>
      </w:r>
      <w:r w:rsidRPr="00CC1598">
        <w:rPr>
          <w:rFonts w:cs="Arial"/>
          <w:i/>
          <w:iCs/>
        </w:rPr>
        <w:t>Journal of Food Science</w:t>
      </w:r>
      <w:r w:rsidRPr="00CC1598">
        <w:rPr>
          <w:rFonts w:cs="Arial"/>
        </w:rPr>
        <w:t>, 73(6), M278–M282.</w:t>
      </w:r>
    </w:p>
    <w:p w14:paraId="55404545" w14:textId="77777777" w:rsidR="0019655F" w:rsidRPr="00CC1598" w:rsidRDefault="0019655F" w:rsidP="0019655F">
      <w:pPr>
        <w:pStyle w:val="Bibliografia"/>
        <w:rPr>
          <w:rFonts w:cs="Arial"/>
        </w:rPr>
      </w:pPr>
      <w:r w:rsidRPr="00CC1598">
        <w:rPr>
          <w:rFonts w:cs="Arial"/>
        </w:rPr>
        <w:t xml:space="preserve">Pathare, P. B., Opara, U. L., and Al-Said, F. A.-J. (2013). “Colour Measurement and Analysis in Fresh and Processed Foods: A Review.” </w:t>
      </w:r>
      <w:r w:rsidRPr="00CC1598">
        <w:rPr>
          <w:rFonts w:cs="Arial"/>
          <w:i/>
          <w:iCs/>
        </w:rPr>
        <w:t>Food and Bioprocess Technology</w:t>
      </w:r>
      <w:r w:rsidRPr="00CC1598">
        <w:rPr>
          <w:rFonts w:cs="Arial"/>
        </w:rPr>
        <w:t>, 6(1), 36–60.</w:t>
      </w:r>
    </w:p>
    <w:p w14:paraId="1DAE4B20" w14:textId="77777777" w:rsidR="0019655F" w:rsidRPr="00CC1598" w:rsidRDefault="0019655F" w:rsidP="0019655F">
      <w:pPr>
        <w:pStyle w:val="Bibliografia"/>
        <w:rPr>
          <w:rFonts w:cs="Arial"/>
        </w:rPr>
      </w:pPr>
      <w:r w:rsidRPr="00CC1598">
        <w:rPr>
          <w:rFonts w:cs="Arial"/>
        </w:rPr>
        <w:t xml:space="preserve">Rashid, M. H., Khan, M. R., Roobab, U., Rajoka, M. S. R., Inam-ur-Raheem, M., Anwar, R., Ahmed, W., Jahan, M., Ijaz, M. R. A., Asghar, M. M., Shabbir, M. A., and Aadil, R. M. (2021). “Enhancing the shelf stability of fresh-cut potatoes via chemical and nonthermal treatments.” </w:t>
      </w:r>
      <w:r w:rsidRPr="00CC1598">
        <w:rPr>
          <w:rFonts w:cs="Arial"/>
          <w:i/>
          <w:iCs/>
        </w:rPr>
        <w:t>Journal of Food Processing and Preservation</w:t>
      </w:r>
      <w:r w:rsidRPr="00CC1598">
        <w:rPr>
          <w:rFonts w:cs="Arial"/>
        </w:rPr>
        <w:t>, 45(6), e15582.</w:t>
      </w:r>
    </w:p>
    <w:p w14:paraId="4284C30C" w14:textId="77777777" w:rsidR="0019655F" w:rsidRPr="00CC1598" w:rsidRDefault="0019655F" w:rsidP="0019655F">
      <w:pPr>
        <w:pStyle w:val="Bibliografia"/>
        <w:rPr>
          <w:rFonts w:cs="Arial"/>
        </w:rPr>
      </w:pPr>
      <w:r w:rsidRPr="00CC1598">
        <w:rPr>
          <w:rFonts w:cs="Arial"/>
        </w:rPr>
        <w:t>Research Nester. (2021). “Ready to Eat Food: Market Demand, Size &amp; Growth Forecast 2023.”</w:t>
      </w:r>
    </w:p>
    <w:p w14:paraId="7A3B7494" w14:textId="77777777" w:rsidR="0019655F" w:rsidRPr="00CC1598" w:rsidRDefault="0019655F" w:rsidP="0019655F">
      <w:pPr>
        <w:pStyle w:val="Bibliografia"/>
        <w:rPr>
          <w:rFonts w:cs="Arial"/>
        </w:rPr>
      </w:pPr>
      <w:r w:rsidRPr="00CC1598">
        <w:rPr>
          <w:rFonts w:cs="Arial"/>
        </w:rPr>
        <w:t xml:space="preserve">Selma, M. V., Beltrán, D., Chacón-Vera, E., and Gil, M. I. (2006). “Effect of Ozone on the Inactivation of Yersinia enterocolitica and the Reduction of Natural Flora on Potatoes.” </w:t>
      </w:r>
      <w:r w:rsidRPr="00CC1598">
        <w:rPr>
          <w:rFonts w:cs="Arial"/>
          <w:i/>
          <w:iCs/>
        </w:rPr>
        <w:t>Journal of Food Protection</w:t>
      </w:r>
      <w:r w:rsidRPr="00CC1598">
        <w:rPr>
          <w:rFonts w:cs="Arial"/>
        </w:rPr>
        <w:t>, 69(10), 2357–2363.</w:t>
      </w:r>
    </w:p>
    <w:p w14:paraId="55F44E12" w14:textId="77777777" w:rsidR="0019655F" w:rsidRPr="00CC1598" w:rsidRDefault="0019655F" w:rsidP="0019655F">
      <w:pPr>
        <w:pStyle w:val="Bibliografia"/>
        <w:rPr>
          <w:rFonts w:cs="Arial"/>
        </w:rPr>
      </w:pPr>
      <w:r w:rsidRPr="00CC1598">
        <w:rPr>
          <w:rFonts w:cs="Arial"/>
        </w:rPr>
        <w:t xml:space="preserve">Spilimbergo, S., Komes, D., Vojvodic, A., Levaj, B., and Ferrentino, G. (2013). “High pressure carbon dioxide pasteurization of fresh-cut carrot.” </w:t>
      </w:r>
      <w:r w:rsidRPr="00CC1598">
        <w:rPr>
          <w:rFonts w:cs="Arial"/>
          <w:i/>
          <w:iCs/>
        </w:rPr>
        <w:t>The Journal of Supercritical Fluids</w:t>
      </w:r>
      <w:r w:rsidRPr="00CC1598">
        <w:rPr>
          <w:rFonts w:cs="Arial"/>
        </w:rPr>
        <w:t>, Special Issue – 10th International Symposium on Supercritical Fluids, 79, 92–100.</w:t>
      </w:r>
    </w:p>
    <w:p w14:paraId="1863EF91" w14:textId="77777777" w:rsidR="0019655F" w:rsidRPr="00CC1598" w:rsidRDefault="0019655F" w:rsidP="0019655F">
      <w:pPr>
        <w:pStyle w:val="Bibliografia"/>
        <w:rPr>
          <w:rFonts w:cs="Arial"/>
        </w:rPr>
      </w:pPr>
      <w:r w:rsidRPr="00CC1598">
        <w:rPr>
          <w:rFonts w:cs="Arial"/>
          <w:lang w:val="it-IT"/>
        </w:rPr>
        <w:t xml:space="preserve">Spilimbergo, S., Zambon, A., Michelino, F., and Polato, S. (2017). </w:t>
      </w:r>
      <w:r w:rsidRPr="00CC1598">
        <w:rPr>
          <w:rFonts w:cs="Arial"/>
        </w:rPr>
        <w:t>“Method for food pasteurization.”</w:t>
      </w:r>
    </w:p>
    <w:p w14:paraId="4CEA5E26" w14:textId="77777777" w:rsidR="0019655F" w:rsidRPr="00CC1598" w:rsidRDefault="0019655F" w:rsidP="0019655F">
      <w:pPr>
        <w:pStyle w:val="Bibliografia"/>
        <w:rPr>
          <w:rFonts w:cs="Arial"/>
        </w:rPr>
      </w:pPr>
      <w:r w:rsidRPr="00CC1598">
        <w:rPr>
          <w:rFonts w:cs="Arial"/>
        </w:rPr>
        <w:t xml:space="preserve">Stephan, R., Althaus, D., Kiefer, S., Lehner, A., Hatz, C., Schmutz, C., Jost, M., Gerber, N., Baumgartner, A., Hächler, H., and Mäusezahl-Feuz, M. (2015). “Foodborne transmission of Listeria monocytogenes via ready-to-eat salad: A nationwide outbreak in Switzerland, 2013–2014.” </w:t>
      </w:r>
      <w:r w:rsidRPr="00CC1598">
        <w:rPr>
          <w:rFonts w:cs="Arial"/>
          <w:i/>
          <w:iCs/>
        </w:rPr>
        <w:t>Food Control</w:t>
      </w:r>
      <w:r w:rsidRPr="00CC1598">
        <w:rPr>
          <w:rFonts w:cs="Arial"/>
        </w:rPr>
        <w:t>, 57, 14–17.</w:t>
      </w:r>
    </w:p>
    <w:p w14:paraId="562AB4CA" w14:textId="77777777" w:rsidR="0019655F" w:rsidRPr="00CC1598" w:rsidRDefault="0019655F" w:rsidP="0019655F">
      <w:pPr>
        <w:pStyle w:val="Bibliografia"/>
        <w:rPr>
          <w:rFonts w:cs="Arial"/>
        </w:rPr>
      </w:pPr>
      <w:r w:rsidRPr="00CC1598">
        <w:rPr>
          <w:rFonts w:cs="Arial"/>
        </w:rPr>
        <w:t xml:space="preserve">Teixeira, A. A. (2014). “Thermal Food Preservation Techniques (Pasteurization, Sterilization, Canning and Blanching).” </w:t>
      </w:r>
      <w:r w:rsidRPr="00CC1598">
        <w:rPr>
          <w:rFonts w:cs="Arial"/>
          <w:i/>
          <w:iCs/>
        </w:rPr>
        <w:t>Conventional and Advanced Food Processing Technologies</w:t>
      </w:r>
      <w:r w:rsidRPr="00CC1598">
        <w:rPr>
          <w:rFonts w:cs="Arial"/>
        </w:rPr>
        <w:t>, John Wiley &amp; Sons, Ltd, 115–128.</w:t>
      </w:r>
    </w:p>
    <w:p w14:paraId="3F66932F" w14:textId="77777777" w:rsidR="0019655F" w:rsidRPr="00CC1598" w:rsidRDefault="0019655F" w:rsidP="0019655F">
      <w:pPr>
        <w:pStyle w:val="Bibliografia"/>
        <w:rPr>
          <w:rFonts w:cs="Arial"/>
        </w:rPr>
      </w:pPr>
      <w:r w:rsidRPr="00CC1598">
        <w:rPr>
          <w:rFonts w:cs="Arial"/>
          <w:lang w:val="it-IT"/>
        </w:rPr>
        <w:t xml:space="preserve">Valverde, M. T., Marín-Iniesta, F., and Calvo, L. (2010). </w:t>
      </w:r>
      <w:r w:rsidRPr="00CC1598">
        <w:rPr>
          <w:rFonts w:cs="Arial"/>
        </w:rPr>
        <w:t xml:space="preserve">“Inactivation of Saccharomyces cerevisiae in conference pear with high pressure carbon dioxide and effects on pear quality.” </w:t>
      </w:r>
      <w:r w:rsidRPr="00CC1598">
        <w:rPr>
          <w:rFonts w:cs="Arial"/>
          <w:i/>
          <w:iCs/>
        </w:rPr>
        <w:t>Journal of Food Engineering</w:t>
      </w:r>
      <w:r w:rsidRPr="00CC1598">
        <w:rPr>
          <w:rFonts w:cs="Arial"/>
        </w:rPr>
        <w:t>, 98(4), 421–428.</w:t>
      </w:r>
    </w:p>
    <w:p w14:paraId="5D2937D5" w14:textId="77777777" w:rsidR="0019655F" w:rsidRPr="00CC1598" w:rsidRDefault="0019655F" w:rsidP="0019655F">
      <w:pPr>
        <w:pStyle w:val="Bibliografia"/>
        <w:rPr>
          <w:rFonts w:cs="Arial"/>
        </w:rPr>
      </w:pPr>
      <w:r w:rsidRPr="00CC1598">
        <w:rPr>
          <w:rFonts w:cs="Arial"/>
        </w:rPr>
        <w:t xml:space="preserve">Vestrheim, D. F., Lange, H., Nygård, K., Borgen, K., Wester, A. L., Kvarme, M. L., and Vold, L. (2016). “Are ready-to-eat salads ready to eat? An outbreak of Salmonella Coeln linked to imported, mixed, pre-washed and bagged salad, Norway, November 2013.” </w:t>
      </w:r>
      <w:r w:rsidRPr="00CC1598">
        <w:rPr>
          <w:rFonts w:cs="Arial"/>
          <w:i/>
          <w:iCs/>
        </w:rPr>
        <w:t>Epidemiology &amp; Infection</w:t>
      </w:r>
      <w:r w:rsidRPr="00CC1598">
        <w:rPr>
          <w:rFonts w:cs="Arial"/>
        </w:rPr>
        <w:t>, Cambridge University Press, 144(8), 1756–1760.</w:t>
      </w:r>
    </w:p>
    <w:p w14:paraId="114FC458" w14:textId="77777777" w:rsidR="0019655F" w:rsidRPr="00CC1598" w:rsidRDefault="0019655F" w:rsidP="0019655F">
      <w:pPr>
        <w:pStyle w:val="Bibliografia"/>
        <w:rPr>
          <w:rFonts w:cs="Arial"/>
        </w:rPr>
      </w:pPr>
      <w:r w:rsidRPr="00CC1598">
        <w:rPr>
          <w:rFonts w:cs="Arial"/>
        </w:rPr>
        <w:t xml:space="preserve">Wu, Z. S., Zhang, M., and Wang, S. (2012). “Effects of high pressure argon treatments on the quality of fresh-cut apples at cold storage.” </w:t>
      </w:r>
      <w:r w:rsidRPr="00CC1598">
        <w:rPr>
          <w:rFonts w:cs="Arial"/>
          <w:i/>
          <w:iCs/>
        </w:rPr>
        <w:t>Food Control</w:t>
      </w:r>
      <w:r w:rsidRPr="00CC1598">
        <w:rPr>
          <w:rFonts w:cs="Arial"/>
        </w:rPr>
        <w:t>, 23(1), 120–127.</w:t>
      </w:r>
    </w:p>
    <w:p w14:paraId="3C2C0EE7" w14:textId="77777777" w:rsidR="0019655F" w:rsidRPr="00CC1598" w:rsidRDefault="0019655F" w:rsidP="0019655F">
      <w:pPr>
        <w:pStyle w:val="Bibliografia"/>
        <w:rPr>
          <w:rFonts w:cs="Arial"/>
        </w:rPr>
      </w:pPr>
      <w:r w:rsidRPr="00CC1598">
        <w:rPr>
          <w:rFonts w:cs="Arial"/>
        </w:rPr>
        <w:t xml:space="preserve">Zambon, A., González-Alonso, V., Lomolino, G., Zulli, R., Rajkovic, A., and Spilimbergo, S. (2022). “Increasing the Safety and Storage of Pre-Packed Fresh-Cut Fruits and Vegetables by Supercritical CO2 Process.” </w:t>
      </w:r>
      <w:r w:rsidRPr="00CC1598">
        <w:rPr>
          <w:rFonts w:cs="Arial"/>
          <w:i/>
          <w:iCs/>
        </w:rPr>
        <w:t>Foods (Basel, Switzerland)</w:t>
      </w:r>
      <w:r w:rsidRPr="00CC1598">
        <w:rPr>
          <w:rFonts w:cs="Arial"/>
        </w:rPr>
        <w:t>, 12(1), 21.</w:t>
      </w:r>
    </w:p>
    <w:p w14:paraId="014490D5" w14:textId="77777777" w:rsidR="0019655F" w:rsidRPr="00CC1598" w:rsidRDefault="0019655F" w:rsidP="0019655F">
      <w:pPr>
        <w:pStyle w:val="Bibliografia"/>
        <w:rPr>
          <w:rFonts w:cs="Arial"/>
        </w:rPr>
      </w:pPr>
      <w:r w:rsidRPr="00CC1598">
        <w:rPr>
          <w:rFonts w:cs="Arial"/>
        </w:rPr>
        <w:t xml:space="preserve">Zhong, Q., Black, D. G., Davidson, P. M., and Golden, D. A. (2008). “Nonthermal Inactivation of Escherichia coli K-12 on Spinach Leaves, Using Dense Phase Carbon Dioxide.” </w:t>
      </w:r>
      <w:r w:rsidRPr="00CC1598">
        <w:rPr>
          <w:rFonts w:cs="Arial"/>
          <w:i/>
          <w:iCs/>
        </w:rPr>
        <w:t>Journal of Food Protection</w:t>
      </w:r>
      <w:r w:rsidRPr="00CC1598">
        <w:rPr>
          <w:rFonts w:cs="Arial"/>
        </w:rPr>
        <w:t>, Allen Press, 71(5), 1015–1017.</w:t>
      </w:r>
    </w:p>
    <w:p w14:paraId="3DFB14E3" w14:textId="3E74F7D9" w:rsidR="00E30D53" w:rsidRDefault="00F21177" w:rsidP="0035325B">
      <w:pPr>
        <w:pStyle w:val="CETReferencetext"/>
      </w:pPr>
      <w:r w:rsidRPr="00CC1598">
        <w:rPr>
          <w:lang w:val="en-US"/>
        </w:rPr>
        <w:fldChar w:fldCharType="end"/>
      </w:r>
    </w:p>
    <w:sectPr w:rsidR="00E30D5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1DB9B" w14:textId="77777777" w:rsidR="00243784" w:rsidRDefault="00243784" w:rsidP="004F5E36">
      <w:r>
        <w:separator/>
      </w:r>
    </w:p>
  </w:endnote>
  <w:endnote w:type="continuationSeparator" w:id="0">
    <w:p w14:paraId="6EE92324" w14:textId="77777777" w:rsidR="00243784" w:rsidRDefault="0024378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241D" w14:textId="77777777" w:rsidR="00243784" w:rsidRDefault="00243784" w:rsidP="004F5E36">
      <w:r>
        <w:separator/>
      </w:r>
    </w:p>
  </w:footnote>
  <w:footnote w:type="continuationSeparator" w:id="0">
    <w:p w14:paraId="3C953B08" w14:textId="77777777" w:rsidR="00243784" w:rsidRDefault="0024378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5510B2"/>
    <w:multiLevelType w:val="hybridMultilevel"/>
    <w:tmpl w:val="D840CE24"/>
    <w:lvl w:ilvl="0" w:tplc="3896624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3DC4566"/>
    <w:multiLevelType w:val="hybridMultilevel"/>
    <w:tmpl w:val="A6824D96"/>
    <w:lvl w:ilvl="0" w:tplc="839451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4F4479"/>
    <w:multiLevelType w:val="hybridMultilevel"/>
    <w:tmpl w:val="0EDC5EE2"/>
    <w:lvl w:ilvl="0" w:tplc="58BA65F0">
      <w:start w:val="1"/>
      <w:numFmt w:val="lowerLetter"/>
      <w:lvlText w:val="(%1)"/>
      <w:lvlJc w:val="left"/>
      <w:pPr>
        <w:ind w:left="1335" w:hanging="360"/>
      </w:pPr>
      <w:rPr>
        <w:rFonts w:hint="default"/>
      </w:rPr>
    </w:lvl>
    <w:lvl w:ilvl="1" w:tplc="04100019" w:tentative="1">
      <w:start w:val="1"/>
      <w:numFmt w:val="lowerLetter"/>
      <w:lvlText w:val="%2."/>
      <w:lvlJc w:val="left"/>
      <w:pPr>
        <w:ind w:left="2055" w:hanging="360"/>
      </w:pPr>
    </w:lvl>
    <w:lvl w:ilvl="2" w:tplc="0410001B" w:tentative="1">
      <w:start w:val="1"/>
      <w:numFmt w:val="lowerRoman"/>
      <w:lvlText w:val="%3."/>
      <w:lvlJc w:val="right"/>
      <w:pPr>
        <w:ind w:left="2775" w:hanging="180"/>
      </w:pPr>
    </w:lvl>
    <w:lvl w:ilvl="3" w:tplc="0410000F" w:tentative="1">
      <w:start w:val="1"/>
      <w:numFmt w:val="decimal"/>
      <w:lvlText w:val="%4."/>
      <w:lvlJc w:val="left"/>
      <w:pPr>
        <w:ind w:left="3495" w:hanging="360"/>
      </w:pPr>
    </w:lvl>
    <w:lvl w:ilvl="4" w:tplc="04100019" w:tentative="1">
      <w:start w:val="1"/>
      <w:numFmt w:val="lowerLetter"/>
      <w:lvlText w:val="%5."/>
      <w:lvlJc w:val="left"/>
      <w:pPr>
        <w:ind w:left="4215" w:hanging="360"/>
      </w:pPr>
    </w:lvl>
    <w:lvl w:ilvl="5" w:tplc="0410001B" w:tentative="1">
      <w:start w:val="1"/>
      <w:numFmt w:val="lowerRoman"/>
      <w:lvlText w:val="%6."/>
      <w:lvlJc w:val="right"/>
      <w:pPr>
        <w:ind w:left="4935" w:hanging="180"/>
      </w:pPr>
    </w:lvl>
    <w:lvl w:ilvl="6" w:tplc="0410000F" w:tentative="1">
      <w:start w:val="1"/>
      <w:numFmt w:val="decimal"/>
      <w:lvlText w:val="%7."/>
      <w:lvlJc w:val="left"/>
      <w:pPr>
        <w:ind w:left="5655" w:hanging="360"/>
      </w:pPr>
    </w:lvl>
    <w:lvl w:ilvl="7" w:tplc="04100019" w:tentative="1">
      <w:start w:val="1"/>
      <w:numFmt w:val="lowerLetter"/>
      <w:lvlText w:val="%8."/>
      <w:lvlJc w:val="left"/>
      <w:pPr>
        <w:ind w:left="6375" w:hanging="360"/>
      </w:pPr>
    </w:lvl>
    <w:lvl w:ilvl="8" w:tplc="0410001B" w:tentative="1">
      <w:start w:val="1"/>
      <w:numFmt w:val="lowerRoman"/>
      <w:lvlText w:val="%9."/>
      <w:lvlJc w:val="right"/>
      <w:pPr>
        <w:ind w:left="7095"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672194A"/>
    <w:multiLevelType w:val="hybridMultilevel"/>
    <w:tmpl w:val="0DD4FD64"/>
    <w:lvl w:ilvl="0" w:tplc="46A82B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000115"/>
    <w:multiLevelType w:val="hybridMultilevel"/>
    <w:tmpl w:val="DCEE494C"/>
    <w:lvl w:ilvl="0" w:tplc="C95ED9B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6"/>
  </w:num>
  <w:num w:numId="14">
    <w:abstractNumId w:val="23"/>
  </w:num>
  <w:num w:numId="15">
    <w:abstractNumId w:val="25"/>
  </w:num>
  <w:num w:numId="16">
    <w:abstractNumId w:val="24"/>
  </w:num>
  <w:num w:numId="17">
    <w:abstractNumId w:val="15"/>
  </w:num>
  <w:num w:numId="18">
    <w:abstractNumId w:val="16"/>
    <w:lvlOverride w:ilvl="0">
      <w:startOverride w:val="1"/>
    </w:lvlOverride>
  </w:num>
  <w:num w:numId="19">
    <w:abstractNumId w:val="21"/>
  </w:num>
  <w:num w:numId="20">
    <w:abstractNumId w:val="19"/>
  </w:num>
  <w:num w:numId="21">
    <w:abstractNumId w:val="18"/>
  </w:num>
  <w:num w:numId="22">
    <w:abstractNumId w:val="17"/>
  </w:num>
  <w:num w:numId="23">
    <w:abstractNumId w:val="10"/>
  </w:num>
  <w:num w:numId="24">
    <w:abstractNumId w:val="14"/>
  </w:num>
  <w:num w:numId="25">
    <w:abstractNumId w:val="20"/>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q0FAEFPFuItAAAA"/>
  </w:docVars>
  <w:rsids>
    <w:rsidRoot w:val="000E414A"/>
    <w:rsid w:val="000027C0"/>
    <w:rsid w:val="000052FB"/>
    <w:rsid w:val="000117CB"/>
    <w:rsid w:val="00016F32"/>
    <w:rsid w:val="0003148D"/>
    <w:rsid w:val="00031C53"/>
    <w:rsid w:val="00031EEC"/>
    <w:rsid w:val="00034FF7"/>
    <w:rsid w:val="00040F7C"/>
    <w:rsid w:val="00051566"/>
    <w:rsid w:val="0005303D"/>
    <w:rsid w:val="00062A9A"/>
    <w:rsid w:val="00065058"/>
    <w:rsid w:val="00072E51"/>
    <w:rsid w:val="0007480E"/>
    <w:rsid w:val="000756B7"/>
    <w:rsid w:val="00086C39"/>
    <w:rsid w:val="0009480D"/>
    <w:rsid w:val="000A03B2"/>
    <w:rsid w:val="000A1AE8"/>
    <w:rsid w:val="000A70D0"/>
    <w:rsid w:val="000B2E88"/>
    <w:rsid w:val="000C5257"/>
    <w:rsid w:val="000D0268"/>
    <w:rsid w:val="000D34BE"/>
    <w:rsid w:val="000E102F"/>
    <w:rsid w:val="000E36F1"/>
    <w:rsid w:val="000E3A73"/>
    <w:rsid w:val="000E414A"/>
    <w:rsid w:val="000E6CAB"/>
    <w:rsid w:val="000E7D87"/>
    <w:rsid w:val="000F093C"/>
    <w:rsid w:val="000F173C"/>
    <w:rsid w:val="000F787B"/>
    <w:rsid w:val="00102286"/>
    <w:rsid w:val="0010634D"/>
    <w:rsid w:val="001109AA"/>
    <w:rsid w:val="00115ADB"/>
    <w:rsid w:val="0012091F"/>
    <w:rsid w:val="00126BC2"/>
    <w:rsid w:val="001308B6"/>
    <w:rsid w:val="0013121F"/>
    <w:rsid w:val="001317BB"/>
    <w:rsid w:val="00131FE6"/>
    <w:rsid w:val="0013263F"/>
    <w:rsid w:val="001331DF"/>
    <w:rsid w:val="00134793"/>
    <w:rsid w:val="00134DE4"/>
    <w:rsid w:val="0014034D"/>
    <w:rsid w:val="00144D16"/>
    <w:rsid w:val="00150E59"/>
    <w:rsid w:val="00152DE3"/>
    <w:rsid w:val="00154946"/>
    <w:rsid w:val="00164CF9"/>
    <w:rsid w:val="001667A6"/>
    <w:rsid w:val="00182A6A"/>
    <w:rsid w:val="001843F3"/>
    <w:rsid w:val="001845DA"/>
    <w:rsid w:val="00184AD6"/>
    <w:rsid w:val="00192AD0"/>
    <w:rsid w:val="0019655F"/>
    <w:rsid w:val="00197A9B"/>
    <w:rsid w:val="001A4AF7"/>
    <w:rsid w:val="001B0349"/>
    <w:rsid w:val="001B1E93"/>
    <w:rsid w:val="001B3A12"/>
    <w:rsid w:val="001B65C1"/>
    <w:rsid w:val="001C684B"/>
    <w:rsid w:val="001C7F7D"/>
    <w:rsid w:val="001D0CFB"/>
    <w:rsid w:val="001D21AF"/>
    <w:rsid w:val="001D53FC"/>
    <w:rsid w:val="001F24E5"/>
    <w:rsid w:val="001F2957"/>
    <w:rsid w:val="001F2B2E"/>
    <w:rsid w:val="001F3BD6"/>
    <w:rsid w:val="001F42A5"/>
    <w:rsid w:val="001F4938"/>
    <w:rsid w:val="001F7B9D"/>
    <w:rsid w:val="002000C5"/>
    <w:rsid w:val="00201C93"/>
    <w:rsid w:val="00207082"/>
    <w:rsid w:val="002224B4"/>
    <w:rsid w:val="00227EA3"/>
    <w:rsid w:val="00243784"/>
    <w:rsid w:val="002447EF"/>
    <w:rsid w:val="00251550"/>
    <w:rsid w:val="00263B05"/>
    <w:rsid w:val="002709A5"/>
    <w:rsid w:val="0027221A"/>
    <w:rsid w:val="00275B61"/>
    <w:rsid w:val="00280FAF"/>
    <w:rsid w:val="00282656"/>
    <w:rsid w:val="0028459E"/>
    <w:rsid w:val="00296B83"/>
    <w:rsid w:val="002B4015"/>
    <w:rsid w:val="002B78CE"/>
    <w:rsid w:val="002B7A00"/>
    <w:rsid w:val="002C2FB6"/>
    <w:rsid w:val="002C6345"/>
    <w:rsid w:val="002D18F1"/>
    <w:rsid w:val="002E5FA7"/>
    <w:rsid w:val="002E6600"/>
    <w:rsid w:val="002F2705"/>
    <w:rsid w:val="002F3309"/>
    <w:rsid w:val="003008CE"/>
    <w:rsid w:val="003009B7"/>
    <w:rsid w:val="00300E56"/>
    <w:rsid w:val="0030469C"/>
    <w:rsid w:val="00315C27"/>
    <w:rsid w:val="00321CA6"/>
    <w:rsid w:val="00322995"/>
    <w:rsid w:val="00323763"/>
    <w:rsid w:val="00331FE8"/>
    <w:rsid w:val="003321C0"/>
    <w:rsid w:val="00334C09"/>
    <w:rsid w:val="0035325B"/>
    <w:rsid w:val="00354885"/>
    <w:rsid w:val="00371DBD"/>
    <w:rsid w:val="003723D4"/>
    <w:rsid w:val="0037264D"/>
    <w:rsid w:val="00373242"/>
    <w:rsid w:val="00381905"/>
    <w:rsid w:val="00384CC8"/>
    <w:rsid w:val="003871FD"/>
    <w:rsid w:val="003A1E30"/>
    <w:rsid w:val="003A2829"/>
    <w:rsid w:val="003A7D1C"/>
    <w:rsid w:val="003B304B"/>
    <w:rsid w:val="003B3146"/>
    <w:rsid w:val="003C040F"/>
    <w:rsid w:val="003C7C4B"/>
    <w:rsid w:val="003E0926"/>
    <w:rsid w:val="003E1F19"/>
    <w:rsid w:val="003E754B"/>
    <w:rsid w:val="003F015E"/>
    <w:rsid w:val="003F5695"/>
    <w:rsid w:val="00400414"/>
    <w:rsid w:val="0040736D"/>
    <w:rsid w:val="0041446B"/>
    <w:rsid w:val="004203E1"/>
    <w:rsid w:val="00423B37"/>
    <w:rsid w:val="00435920"/>
    <w:rsid w:val="0044071E"/>
    <w:rsid w:val="0044329C"/>
    <w:rsid w:val="00443992"/>
    <w:rsid w:val="00444575"/>
    <w:rsid w:val="00453E24"/>
    <w:rsid w:val="0045689D"/>
    <w:rsid w:val="00457456"/>
    <w:rsid w:val="004577FE"/>
    <w:rsid w:val="00457B9C"/>
    <w:rsid w:val="0046164A"/>
    <w:rsid w:val="004628D2"/>
    <w:rsid w:val="00462DCD"/>
    <w:rsid w:val="004648AD"/>
    <w:rsid w:val="004673EB"/>
    <w:rsid w:val="004703A9"/>
    <w:rsid w:val="004760DE"/>
    <w:rsid w:val="004763D7"/>
    <w:rsid w:val="00483D4D"/>
    <w:rsid w:val="004921DA"/>
    <w:rsid w:val="004929DA"/>
    <w:rsid w:val="0049463C"/>
    <w:rsid w:val="004949C7"/>
    <w:rsid w:val="004A004E"/>
    <w:rsid w:val="004A24CF"/>
    <w:rsid w:val="004A284C"/>
    <w:rsid w:val="004A74BF"/>
    <w:rsid w:val="004B28B3"/>
    <w:rsid w:val="004B6304"/>
    <w:rsid w:val="004C3D1D"/>
    <w:rsid w:val="004C7913"/>
    <w:rsid w:val="004D426F"/>
    <w:rsid w:val="004D599D"/>
    <w:rsid w:val="004E006D"/>
    <w:rsid w:val="004E21C8"/>
    <w:rsid w:val="004E428F"/>
    <w:rsid w:val="004E4DD6"/>
    <w:rsid w:val="004E58BC"/>
    <w:rsid w:val="004F5E36"/>
    <w:rsid w:val="005076D7"/>
    <w:rsid w:val="00507B47"/>
    <w:rsid w:val="00507BEF"/>
    <w:rsid w:val="00507CC9"/>
    <w:rsid w:val="005119A5"/>
    <w:rsid w:val="005278B7"/>
    <w:rsid w:val="00532016"/>
    <w:rsid w:val="00532299"/>
    <w:rsid w:val="00532797"/>
    <w:rsid w:val="00532E1E"/>
    <w:rsid w:val="005346C8"/>
    <w:rsid w:val="00543E7D"/>
    <w:rsid w:val="005455F0"/>
    <w:rsid w:val="00547A68"/>
    <w:rsid w:val="005531C9"/>
    <w:rsid w:val="005665C2"/>
    <w:rsid w:val="00566D17"/>
    <w:rsid w:val="00570C43"/>
    <w:rsid w:val="005812BD"/>
    <w:rsid w:val="00592C50"/>
    <w:rsid w:val="005A5D89"/>
    <w:rsid w:val="005B2110"/>
    <w:rsid w:val="005B61E6"/>
    <w:rsid w:val="005B7173"/>
    <w:rsid w:val="005C77E1"/>
    <w:rsid w:val="005D3714"/>
    <w:rsid w:val="005D668A"/>
    <w:rsid w:val="005D6A2F"/>
    <w:rsid w:val="005E1A82"/>
    <w:rsid w:val="005E794C"/>
    <w:rsid w:val="005F0A28"/>
    <w:rsid w:val="005F0E5E"/>
    <w:rsid w:val="005F2416"/>
    <w:rsid w:val="00600535"/>
    <w:rsid w:val="00600778"/>
    <w:rsid w:val="00604911"/>
    <w:rsid w:val="00610CD6"/>
    <w:rsid w:val="006147C3"/>
    <w:rsid w:val="00620DEE"/>
    <w:rsid w:val="00621F92"/>
    <w:rsid w:val="0062280A"/>
    <w:rsid w:val="00625639"/>
    <w:rsid w:val="00626E97"/>
    <w:rsid w:val="00631B33"/>
    <w:rsid w:val="006326F7"/>
    <w:rsid w:val="0064184D"/>
    <w:rsid w:val="006422CC"/>
    <w:rsid w:val="006461BE"/>
    <w:rsid w:val="00647337"/>
    <w:rsid w:val="00660E3E"/>
    <w:rsid w:val="00662E74"/>
    <w:rsid w:val="00665398"/>
    <w:rsid w:val="006663A9"/>
    <w:rsid w:val="006714B1"/>
    <w:rsid w:val="00674B49"/>
    <w:rsid w:val="00675EF5"/>
    <w:rsid w:val="00680C23"/>
    <w:rsid w:val="00681A41"/>
    <w:rsid w:val="00684879"/>
    <w:rsid w:val="00685343"/>
    <w:rsid w:val="00685D15"/>
    <w:rsid w:val="0069182D"/>
    <w:rsid w:val="00693766"/>
    <w:rsid w:val="006951AE"/>
    <w:rsid w:val="006A0D62"/>
    <w:rsid w:val="006A3281"/>
    <w:rsid w:val="006A5726"/>
    <w:rsid w:val="006B0B88"/>
    <w:rsid w:val="006B4888"/>
    <w:rsid w:val="006B5B5E"/>
    <w:rsid w:val="006C2E45"/>
    <w:rsid w:val="006C359C"/>
    <w:rsid w:val="006C5579"/>
    <w:rsid w:val="006D6A87"/>
    <w:rsid w:val="006D6E8B"/>
    <w:rsid w:val="006E737D"/>
    <w:rsid w:val="006F0DD2"/>
    <w:rsid w:val="006F4E09"/>
    <w:rsid w:val="006F5651"/>
    <w:rsid w:val="00702DB8"/>
    <w:rsid w:val="00706591"/>
    <w:rsid w:val="00707817"/>
    <w:rsid w:val="00713973"/>
    <w:rsid w:val="00720A24"/>
    <w:rsid w:val="00731822"/>
    <w:rsid w:val="00732386"/>
    <w:rsid w:val="00732820"/>
    <w:rsid w:val="0073514D"/>
    <w:rsid w:val="00736C50"/>
    <w:rsid w:val="007447F3"/>
    <w:rsid w:val="00746745"/>
    <w:rsid w:val="00746E40"/>
    <w:rsid w:val="0074730E"/>
    <w:rsid w:val="00752E73"/>
    <w:rsid w:val="0075499F"/>
    <w:rsid w:val="00756CF0"/>
    <w:rsid w:val="00756E44"/>
    <w:rsid w:val="00763A96"/>
    <w:rsid w:val="007661C8"/>
    <w:rsid w:val="007668BE"/>
    <w:rsid w:val="0077098D"/>
    <w:rsid w:val="0078585D"/>
    <w:rsid w:val="007931FA"/>
    <w:rsid w:val="00793641"/>
    <w:rsid w:val="007A446E"/>
    <w:rsid w:val="007A4861"/>
    <w:rsid w:val="007A7BBA"/>
    <w:rsid w:val="007B0C50"/>
    <w:rsid w:val="007B48F9"/>
    <w:rsid w:val="007C1A43"/>
    <w:rsid w:val="007C689D"/>
    <w:rsid w:val="007D5EA2"/>
    <w:rsid w:val="007E026C"/>
    <w:rsid w:val="007F7FF1"/>
    <w:rsid w:val="0080013E"/>
    <w:rsid w:val="00813288"/>
    <w:rsid w:val="00814DC6"/>
    <w:rsid w:val="008168FC"/>
    <w:rsid w:val="00830996"/>
    <w:rsid w:val="00830E1F"/>
    <w:rsid w:val="008345F1"/>
    <w:rsid w:val="008516DA"/>
    <w:rsid w:val="00861776"/>
    <w:rsid w:val="00865B07"/>
    <w:rsid w:val="008667EA"/>
    <w:rsid w:val="008704FB"/>
    <w:rsid w:val="0087637F"/>
    <w:rsid w:val="008831FE"/>
    <w:rsid w:val="008927C5"/>
    <w:rsid w:val="00892AD5"/>
    <w:rsid w:val="00892D31"/>
    <w:rsid w:val="008A1512"/>
    <w:rsid w:val="008A2A6C"/>
    <w:rsid w:val="008A318E"/>
    <w:rsid w:val="008D32B9"/>
    <w:rsid w:val="008D433B"/>
    <w:rsid w:val="008E566E"/>
    <w:rsid w:val="008E737E"/>
    <w:rsid w:val="008F4EF6"/>
    <w:rsid w:val="0090161A"/>
    <w:rsid w:val="00901EB6"/>
    <w:rsid w:val="00903504"/>
    <w:rsid w:val="00904C62"/>
    <w:rsid w:val="00905038"/>
    <w:rsid w:val="00912CCC"/>
    <w:rsid w:val="00914388"/>
    <w:rsid w:val="00914E80"/>
    <w:rsid w:val="00920C38"/>
    <w:rsid w:val="00922309"/>
    <w:rsid w:val="00922BA8"/>
    <w:rsid w:val="00924DAC"/>
    <w:rsid w:val="00927058"/>
    <w:rsid w:val="00936152"/>
    <w:rsid w:val="00942750"/>
    <w:rsid w:val="009450CE"/>
    <w:rsid w:val="00945AB6"/>
    <w:rsid w:val="00947179"/>
    <w:rsid w:val="0095032B"/>
    <w:rsid w:val="0095164B"/>
    <w:rsid w:val="009523C6"/>
    <w:rsid w:val="00954090"/>
    <w:rsid w:val="009573E7"/>
    <w:rsid w:val="009613C4"/>
    <w:rsid w:val="00962797"/>
    <w:rsid w:val="00963E05"/>
    <w:rsid w:val="00964A45"/>
    <w:rsid w:val="0096696B"/>
    <w:rsid w:val="00967843"/>
    <w:rsid w:val="00967D54"/>
    <w:rsid w:val="00971028"/>
    <w:rsid w:val="00983167"/>
    <w:rsid w:val="0098615B"/>
    <w:rsid w:val="00993B84"/>
    <w:rsid w:val="00996483"/>
    <w:rsid w:val="00996F5A"/>
    <w:rsid w:val="009B041A"/>
    <w:rsid w:val="009B62E8"/>
    <w:rsid w:val="009C37C3"/>
    <w:rsid w:val="009C7C86"/>
    <w:rsid w:val="009D2FF7"/>
    <w:rsid w:val="009D35BE"/>
    <w:rsid w:val="009E0619"/>
    <w:rsid w:val="009E7884"/>
    <w:rsid w:val="009E788A"/>
    <w:rsid w:val="009E7A64"/>
    <w:rsid w:val="009F0E08"/>
    <w:rsid w:val="009F4A1D"/>
    <w:rsid w:val="00A14438"/>
    <w:rsid w:val="00A1763D"/>
    <w:rsid w:val="00A17C9C"/>
    <w:rsid w:val="00A17CEC"/>
    <w:rsid w:val="00A27EF0"/>
    <w:rsid w:val="00A42361"/>
    <w:rsid w:val="00A50B20"/>
    <w:rsid w:val="00A51390"/>
    <w:rsid w:val="00A60D13"/>
    <w:rsid w:val="00A67A5B"/>
    <w:rsid w:val="00A72745"/>
    <w:rsid w:val="00A76EFC"/>
    <w:rsid w:val="00A91010"/>
    <w:rsid w:val="00A97F29"/>
    <w:rsid w:val="00AA702E"/>
    <w:rsid w:val="00AB0964"/>
    <w:rsid w:val="00AB5011"/>
    <w:rsid w:val="00AB569D"/>
    <w:rsid w:val="00AC2AFC"/>
    <w:rsid w:val="00AC487D"/>
    <w:rsid w:val="00AC729D"/>
    <w:rsid w:val="00AC7368"/>
    <w:rsid w:val="00AC7CD6"/>
    <w:rsid w:val="00AD16B9"/>
    <w:rsid w:val="00AE377D"/>
    <w:rsid w:val="00AF0EBA"/>
    <w:rsid w:val="00AF671E"/>
    <w:rsid w:val="00AF6775"/>
    <w:rsid w:val="00B02C8A"/>
    <w:rsid w:val="00B1642B"/>
    <w:rsid w:val="00B17FBD"/>
    <w:rsid w:val="00B25365"/>
    <w:rsid w:val="00B315A6"/>
    <w:rsid w:val="00B31813"/>
    <w:rsid w:val="00B33365"/>
    <w:rsid w:val="00B43BD9"/>
    <w:rsid w:val="00B50D64"/>
    <w:rsid w:val="00B51239"/>
    <w:rsid w:val="00B518B3"/>
    <w:rsid w:val="00B57B36"/>
    <w:rsid w:val="00B57E6F"/>
    <w:rsid w:val="00B810EF"/>
    <w:rsid w:val="00B86369"/>
    <w:rsid w:val="00B8686D"/>
    <w:rsid w:val="00B93F69"/>
    <w:rsid w:val="00BA624A"/>
    <w:rsid w:val="00BB1DDC"/>
    <w:rsid w:val="00BB2403"/>
    <w:rsid w:val="00BB2859"/>
    <w:rsid w:val="00BC30C9"/>
    <w:rsid w:val="00BD077D"/>
    <w:rsid w:val="00BD298E"/>
    <w:rsid w:val="00BE2EE9"/>
    <w:rsid w:val="00BE3E58"/>
    <w:rsid w:val="00BF456F"/>
    <w:rsid w:val="00BF67AD"/>
    <w:rsid w:val="00C01616"/>
    <w:rsid w:val="00C0162B"/>
    <w:rsid w:val="00C05A9F"/>
    <w:rsid w:val="00C068ED"/>
    <w:rsid w:val="00C0761D"/>
    <w:rsid w:val="00C10C9D"/>
    <w:rsid w:val="00C22E0C"/>
    <w:rsid w:val="00C3274D"/>
    <w:rsid w:val="00C345B1"/>
    <w:rsid w:val="00C40142"/>
    <w:rsid w:val="00C45B87"/>
    <w:rsid w:val="00C52C3C"/>
    <w:rsid w:val="00C53E32"/>
    <w:rsid w:val="00C556DE"/>
    <w:rsid w:val="00C57182"/>
    <w:rsid w:val="00C57863"/>
    <w:rsid w:val="00C655FD"/>
    <w:rsid w:val="00C66162"/>
    <w:rsid w:val="00C745BB"/>
    <w:rsid w:val="00C75407"/>
    <w:rsid w:val="00C82593"/>
    <w:rsid w:val="00C870A8"/>
    <w:rsid w:val="00C94434"/>
    <w:rsid w:val="00CA0AFD"/>
    <w:rsid w:val="00CA0D75"/>
    <w:rsid w:val="00CA1C95"/>
    <w:rsid w:val="00CA2E71"/>
    <w:rsid w:val="00CA5A9C"/>
    <w:rsid w:val="00CB5A9E"/>
    <w:rsid w:val="00CC1598"/>
    <w:rsid w:val="00CC4C20"/>
    <w:rsid w:val="00CD3517"/>
    <w:rsid w:val="00CD5FE2"/>
    <w:rsid w:val="00CD7D0A"/>
    <w:rsid w:val="00CE0822"/>
    <w:rsid w:val="00CE36FA"/>
    <w:rsid w:val="00CE449A"/>
    <w:rsid w:val="00CE5E1C"/>
    <w:rsid w:val="00CE6F83"/>
    <w:rsid w:val="00CE7C68"/>
    <w:rsid w:val="00CF265B"/>
    <w:rsid w:val="00CF6E41"/>
    <w:rsid w:val="00D02B4C"/>
    <w:rsid w:val="00D040C4"/>
    <w:rsid w:val="00D12CF8"/>
    <w:rsid w:val="00D13D00"/>
    <w:rsid w:val="00D145E8"/>
    <w:rsid w:val="00D155BE"/>
    <w:rsid w:val="00D2387D"/>
    <w:rsid w:val="00D35A92"/>
    <w:rsid w:val="00D37F93"/>
    <w:rsid w:val="00D44C4E"/>
    <w:rsid w:val="00D46B7E"/>
    <w:rsid w:val="00D47184"/>
    <w:rsid w:val="00D57C84"/>
    <w:rsid w:val="00D6057D"/>
    <w:rsid w:val="00D65EA1"/>
    <w:rsid w:val="00D67454"/>
    <w:rsid w:val="00D71640"/>
    <w:rsid w:val="00D7251D"/>
    <w:rsid w:val="00D73D76"/>
    <w:rsid w:val="00D836C5"/>
    <w:rsid w:val="00D84576"/>
    <w:rsid w:val="00DA1399"/>
    <w:rsid w:val="00DA24C6"/>
    <w:rsid w:val="00DA4D7B"/>
    <w:rsid w:val="00DB73D9"/>
    <w:rsid w:val="00DD4DB1"/>
    <w:rsid w:val="00DE264A"/>
    <w:rsid w:val="00DF3A5F"/>
    <w:rsid w:val="00DF5072"/>
    <w:rsid w:val="00DF6EB1"/>
    <w:rsid w:val="00DF70AA"/>
    <w:rsid w:val="00E02D18"/>
    <w:rsid w:val="00E03082"/>
    <w:rsid w:val="00E041E7"/>
    <w:rsid w:val="00E1275D"/>
    <w:rsid w:val="00E22503"/>
    <w:rsid w:val="00E23562"/>
    <w:rsid w:val="00E23CA1"/>
    <w:rsid w:val="00E30D53"/>
    <w:rsid w:val="00E32D47"/>
    <w:rsid w:val="00E35F2B"/>
    <w:rsid w:val="00E409A8"/>
    <w:rsid w:val="00E421F9"/>
    <w:rsid w:val="00E45486"/>
    <w:rsid w:val="00E45DBC"/>
    <w:rsid w:val="00E45FF5"/>
    <w:rsid w:val="00E50C12"/>
    <w:rsid w:val="00E65B91"/>
    <w:rsid w:val="00E66658"/>
    <w:rsid w:val="00E71F52"/>
    <w:rsid w:val="00E7209D"/>
    <w:rsid w:val="00E7285F"/>
    <w:rsid w:val="00E72EAD"/>
    <w:rsid w:val="00E77223"/>
    <w:rsid w:val="00E8528B"/>
    <w:rsid w:val="00E85B94"/>
    <w:rsid w:val="00E978D0"/>
    <w:rsid w:val="00EA0C2B"/>
    <w:rsid w:val="00EA0F57"/>
    <w:rsid w:val="00EA4613"/>
    <w:rsid w:val="00EA6F96"/>
    <w:rsid w:val="00EA7F91"/>
    <w:rsid w:val="00EB1523"/>
    <w:rsid w:val="00EB4733"/>
    <w:rsid w:val="00EC0E49"/>
    <w:rsid w:val="00EC101F"/>
    <w:rsid w:val="00EC1D9F"/>
    <w:rsid w:val="00EC246C"/>
    <w:rsid w:val="00EC3707"/>
    <w:rsid w:val="00ED510C"/>
    <w:rsid w:val="00EE0131"/>
    <w:rsid w:val="00EE17B0"/>
    <w:rsid w:val="00EE3E4B"/>
    <w:rsid w:val="00EE5C33"/>
    <w:rsid w:val="00EF06D9"/>
    <w:rsid w:val="00F070FF"/>
    <w:rsid w:val="00F21177"/>
    <w:rsid w:val="00F2738D"/>
    <w:rsid w:val="00F30C64"/>
    <w:rsid w:val="00F32BA2"/>
    <w:rsid w:val="00F32CDB"/>
    <w:rsid w:val="00F37782"/>
    <w:rsid w:val="00F37EF9"/>
    <w:rsid w:val="00F565FE"/>
    <w:rsid w:val="00F63A70"/>
    <w:rsid w:val="00F72B42"/>
    <w:rsid w:val="00F7534E"/>
    <w:rsid w:val="00F84760"/>
    <w:rsid w:val="00F93D32"/>
    <w:rsid w:val="00FA026A"/>
    <w:rsid w:val="00FA16B9"/>
    <w:rsid w:val="00FA1802"/>
    <w:rsid w:val="00FA21D0"/>
    <w:rsid w:val="00FA5F5F"/>
    <w:rsid w:val="00FB2326"/>
    <w:rsid w:val="00FB730C"/>
    <w:rsid w:val="00FC2695"/>
    <w:rsid w:val="00FC3E03"/>
    <w:rsid w:val="00FC3FC1"/>
    <w:rsid w:val="00FD3488"/>
    <w:rsid w:val="00FD490C"/>
    <w:rsid w:val="00FF0BF8"/>
    <w:rsid w:val="00FF4C2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7F7FF1"/>
    <w:rPr>
      <w:color w:val="808080"/>
    </w:rPr>
  </w:style>
  <w:style w:type="paragraph" w:styleId="Revisione">
    <w:name w:val="Revision"/>
    <w:hidden/>
    <w:uiPriority w:val="99"/>
    <w:semiHidden/>
    <w:rsid w:val="004673E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090">
      <w:bodyDiv w:val="1"/>
      <w:marLeft w:val="0"/>
      <w:marRight w:val="0"/>
      <w:marTop w:val="0"/>
      <w:marBottom w:val="0"/>
      <w:divBdr>
        <w:top w:val="none" w:sz="0" w:space="0" w:color="auto"/>
        <w:left w:val="none" w:sz="0" w:space="0" w:color="auto"/>
        <w:bottom w:val="none" w:sz="0" w:space="0" w:color="auto"/>
        <w:right w:val="none" w:sz="0" w:space="0" w:color="auto"/>
      </w:divBdr>
    </w:div>
    <w:div w:id="103351144">
      <w:bodyDiv w:val="1"/>
      <w:marLeft w:val="0"/>
      <w:marRight w:val="0"/>
      <w:marTop w:val="0"/>
      <w:marBottom w:val="0"/>
      <w:divBdr>
        <w:top w:val="none" w:sz="0" w:space="0" w:color="auto"/>
        <w:left w:val="none" w:sz="0" w:space="0" w:color="auto"/>
        <w:bottom w:val="none" w:sz="0" w:space="0" w:color="auto"/>
        <w:right w:val="none" w:sz="0" w:space="0" w:color="auto"/>
      </w:divBdr>
    </w:div>
    <w:div w:id="300351733">
      <w:bodyDiv w:val="1"/>
      <w:marLeft w:val="0"/>
      <w:marRight w:val="0"/>
      <w:marTop w:val="0"/>
      <w:marBottom w:val="0"/>
      <w:divBdr>
        <w:top w:val="none" w:sz="0" w:space="0" w:color="auto"/>
        <w:left w:val="none" w:sz="0" w:space="0" w:color="auto"/>
        <w:bottom w:val="none" w:sz="0" w:space="0" w:color="auto"/>
        <w:right w:val="none" w:sz="0" w:space="0" w:color="auto"/>
      </w:divBdr>
    </w:div>
    <w:div w:id="518665756">
      <w:bodyDiv w:val="1"/>
      <w:marLeft w:val="0"/>
      <w:marRight w:val="0"/>
      <w:marTop w:val="0"/>
      <w:marBottom w:val="0"/>
      <w:divBdr>
        <w:top w:val="none" w:sz="0" w:space="0" w:color="auto"/>
        <w:left w:val="none" w:sz="0" w:space="0" w:color="auto"/>
        <w:bottom w:val="none" w:sz="0" w:space="0" w:color="auto"/>
        <w:right w:val="none" w:sz="0" w:space="0" w:color="auto"/>
      </w:divBdr>
      <w:divsChild>
        <w:div w:id="1416975617">
          <w:marLeft w:val="-115"/>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059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6285">
      <w:bodyDiv w:val="1"/>
      <w:marLeft w:val="0"/>
      <w:marRight w:val="0"/>
      <w:marTop w:val="0"/>
      <w:marBottom w:val="0"/>
      <w:divBdr>
        <w:top w:val="none" w:sz="0" w:space="0" w:color="auto"/>
        <w:left w:val="none" w:sz="0" w:space="0" w:color="auto"/>
        <w:bottom w:val="none" w:sz="0" w:space="0" w:color="auto"/>
        <w:right w:val="none" w:sz="0" w:space="0" w:color="auto"/>
      </w:divBdr>
    </w:div>
    <w:div w:id="987516109">
      <w:bodyDiv w:val="1"/>
      <w:marLeft w:val="0"/>
      <w:marRight w:val="0"/>
      <w:marTop w:val="0"/>
      <w:marBottom w:val="0"/>
      <w:divBdr>
        <w:top w:val="none" w:sz="0" w:space="0" w:color="auto"/>
        <w:left w:val="none" w:sz="0" w:space="0" w:color="auto"/>
        <w:bottom w:val="none" w:sz="0" w:space="0" w:color="auto"/>
        <w:right w:val="none" w:sz="0" w:space="0" w:color="auto"/>
      </w:divBdr>
    </w:div>
    <w:div w:id="1061708657">
      <w:bodyDiv w:val="1"/>
      <w:marLeft w:val="0"/>
      <w:marRight w:val="0"/>
      <w:marTop w:val="0"/>
      <w:marBottom w:val="0"/>
      <w:divBdr>
        <w:top w:val="none" w:sz="0" w:space="0" w:color="auto"/>
        <w:left w:val="none" w:sz="0" w:space="0" w:color="auto"/>
        <w:bottom w:val="none" w:sz="0" w:space="0" w:color="auto"/>
        <w:right w:val="none" w:sz="0" w:space="0" w:color="auto"/>
      </w:divBdr>
    </w:div>
    <w:div w:id="1248686088">
      <w:bodyDiv w:val="1"/>
      <w:marLeft w:val="0"/>
      <w:marRight w:val="0"/>
      <w:marTop w:val="0"/>
      <w:marBottom w:val="0"/>
      <w:divBdr>
        <w:top w:val="none" w:sz="0" w:space="0" w:color="auto"/>
        <w:left w:val="none" w:sz="0" w:space="0" w:color="auto"/>
        <w:bottom w:val="none" w:sz="0" w:space="0" w:color="auto"/>
        <w:right w:val="none" w:sz="0" w:space="0" w:color="auto"/>
      </w:divBdr>
    </w:div>
    <w:div w:id="1333413196">
      <w:bodyDiv w:val="1"/>
      <w:marLeft w:val="0"/>
      <w:marRight w:val="0"/>
      <w:marTop w:val="0"/>
      <w:marBottom w:val="0"/>
      <w:divBdr>
        <w:top w:val="none" w:sz="0" w:space="0" w:color="auto"/>
        <w:left w:val="none" w:sz="0" w:space="0" w:color="auto"/>
        <w:bottom w:val="none" w:sz="0" w:space="0" w:color="auto"/>
        <w:right w:val="none" w:sz="0" w:space="0" w:color="auto"/>
      </w:divBdr>
    </w:div>
    <w:div w:id="140968956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716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EC644D-8328-4C26-9D64-4F0863F7B25D}">
  <we:reference id="wa200001361" version="2.2.1.0" store="it-IT" storeType="OMEX"/>
  <we:alternateReferences>
    <we:reference id="WA200001361" version="2.2.1.0" store="WA2000013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3ED9-6A53-4387-B6B6-EBA17DD0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14141</Words>
  <Characters>80609</Characters>
  <Application>Microsoft Office Word</Application>
  <DocSecurity>0</DocSecurity>
  <Lines>671</Lines>
  <Paragraphs>189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94561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Zulli Riccardo</cp:lastModifiedBy>
  <cp:revision>6</cp:revision>
  <cp:lastPrinted>2015-05-12T18:31:00Z</cp:lastPrinted>
  <dcterms:created xsi:type="dcterms:W3CDTF">2023-03-24T08:44:00Z</dcterms:created>
  <dcterms:modified xsi:type="dcterms:W3CDTF">2023-04-14T07:59:00Z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id="3PVwYPjZ"/&gt;&lt;style id="http://www.zotero.org/styles/humboldt-state-university-environmental-resources-engineering" hasBibliography="1" bibliographyStyleHasBeenSet="1"/&gt;&lt;prefs&gt;&lt;pref name="fieldType</vt:lpwstr>
  </property>
  <property fmtid="{D5CDD505-2E9C-101B-9397-08002B2CF9AE}" pid="3" name="ZOTERO_PREF_2">
    <vt:lpwstr>" value="Field"/&gt;&lt;pref name="storeReferences" value="true"/&gt;&lt;/prefs&gt;&lt;/data&gt;</vt:lpwstr>
  </property>
  <property fmtid="{D5CDD505-2E9C-101B-9397-08002B2CF9AE}" pid="4" name="GrammarlyDocumentId">
    <vt:lpwstr>4cd0a1845ade17f89a1ec55cab57a1ffe0c041d46de3895e6046620375307531</vt:lpwstr>
  </property>
</Properties>
</file>