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A52B96">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A52B96">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A52B96">
        <w:trPr>
          <w:trHeight w:val="68"/>
          <w:jc w:val="center"/>
        </w:trPr>
        <w:tc>
          <w:tcPr>
            <w:tcW w:w="8782" w:type="dxa"/>
            <w:gridSpan w:val="2"/>
          </w:tcPr>
          <w:p w14:paraId="1D8DD3C9" w14:textId="06DCB7F6" w:rsidR="00AA7D26" w:rsidRPr="003A6FC6"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3A6FC6" w:rsidRPr="003A6FC6">
              <w:rPr>
                <w:rFonts w:ascii="Tahoma" w:hAnsi="Tahoma" w:cs="Tahoma"/>
                <w:color w:val="000000"/>
                <w:sz w:val="14"/>
                <w:szCs w:val="14"/>
                <w:shd w:val="clear" w:color="auto" w:fill="FFFFFF"/>
                <w:lang w:val="it-IT"/>
              </w:rPr>
              <w:t>Laura Piazza, M</w:t>
            </w:r>
            <w:r w:rsidR="003A6FC6">
              <w:rPr>
                <w:rFonts w:ascii="Tahoma" w:hAnsi="Tahoma" w:cs="Tahoma"/>
                <w:color w:val="000000"/>
                <w:sz w:val="14"/>
                <w:szCs w:val="14"/>
                <w:shd w:val="clear" w:color="auto" w:fill="FFFFFF"/>
                <w:lang w:val="it-IT"/>
              </w:rPr>
              <w:t xml:space="preserve">auro Moresi, Francesco </w:t>
            </w:r>
            <w:proofErr w:type="spellStart"/>
            <w:r w:rsidR="003A6FC6">
              <w:rPr>
                <w:rFonts w:ascii="Tahoma" w:hAnsi="Tahoma" w:cs="Tahoma"/>
                <w:color w:val="000000"/>
                <w:sz w:val="14"/>
                <w:szCs w:val="14"/>
                <w:shd w:val="clear" w:color="auto" w:fill="FFFFFF"/>
                <w:lang w:val="it-IT"/>
              </w:rPr>
              <w:t>Donsì</w:t>
            </w:r>
            <w:proofErr w:type="spellEnd"/>
          </w:p>
          <w:p w14:paraId="1B0F1814" w14:textId="617BA86D"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E33DD7">
              <w:rPr>
                <w:rFonts w:ascii="Tahoma" w:hAnsi="Tahoma" w:cs="Tahoma"/>
                <w:sz w:val="14"/>
                <w:szCs w:val="14"/>
              </w:rPr>
              <w:t>0</w:t>
            </w:r>
            <w:r w:rsidR="003A6FC6">
              <w:rPr>
                <w:rFonts w:ascii="Tahoma" w:hAnsi="Tahoma" w:cs="Tahoma"/>
                <w:sz w:val="14"/>
                <w:szCs w:val="14"/>
              </w:rPr>
              <w:t>1</w:t>
            </w:r>
            <w:r>
              <w:rPr>
                <w:rFonts w:ascii="Tahoma" w:hAnsi="Tahoma" w:cs="Tahoma"/>
                <w:sz w:val="14"/>
                <w:szCs w:val="14"/>
              </w:rPr>
              <w:t>-</w:t>
            </w:r>
            <w:r w:rsidR="003A6FC6">
              <w:rPr>
                <w:rFonts w:ascii="Tahoma" w:hAnsi="Tahoma" w:cs="Tahoma"/>
                <w:sz w:val="14"/>
                <w:szCs w:val="14"/>
              </w:rPr>
              <w:t>4</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01A998E9" w:rsidR="00E978D0" w:rsidRPr="00B57B36" w:rsidRDefault="00A52B96" w:rsidP="00E978D0">
      <w:pPr>
        <w:pStyle w:val="CETTitle"/>
      </w:pPr>
      <w:r w:rsidRPr="00A52B96">
        <w:t xml:space="preserve">The Systems Engineering </w:t>
      </w:r>
      <w:r>
        <w:t>A</w:t>
      </w:r>
      <w:r w:rsidRPr="00A52B96">
        <w:t xml:space="preserve">pproach as a </w:t>
      </w:r>
      <w:r>
        <w:t>M</w:t>
      </w:r>
      <w:r w:rsidRPr="00A52B96">
        <w:t xml:space="preserve">odelling </w:t>
      </w:r>
      <w:r>
        <w:t>P</w:t>
      </w:r>
      <w:r w:rsidRPr="00A52B96">
        <w:t xml:space="preserve">aradigm of the </w:t>
      </w:r>
      <w:r>
        <w:t>A</w:t>
      </w:r>
      <w:r w:rsidRPr="00A52B96">
        <w:t>gri-</w:t>
      </w:r>
      <w:r>
        <w:t>F</w:t>
      </w:r>
      <w:r w:rsidRPr="00A52B96">
        <w:t xml:space="preserve">ood </w:t>
      </w:r>
      <w:r>
        <w:t>S</w:t>
      </w:r>
      <w:r w:rsidRPr="00A52B96">
        <w:t>upply-</w:t>
      </w:r>
      <w:r>
        <w:t>C</w:t>
      </w:r>
      <w:r w:rsidRPr="00A52B96">
        <w:t>hain</w:t>
      </w:r>
    </w:p>
    <w:p w14:paraId="0488FED2" w14:textId="6C53D0FE" w:rsidR="00B57E6F" w:rsidRPr="00F61976" w:rsidRDefault="00F61976" w:rsidP="00B57E6F">
      <w:pPr>
        <w:pStyle w:val="CETAuthors"/>
        <w:rPr>
          <w:lang w:val="it-IT"/>
        </w:rPr>
      </w:pPr>
      <w:r w:rsidRPr="00F61976">
        <w:rPr>
          <w:lang w:val="it-IT"/>
        </w:rPr>
        <w:t>Maria Teresa Gaudio*</w:t>
      </w:r>
      <w:r w:rsidR="00B57E6F" w:rsidRPr="00F61976">
        <w:rPr>
          <w:lang w:val="it-IT"/>
        </w:rPr>
        <w:t xml:space="preserve">, </w:t>
      </w:r>
      <w:r w:rsidRPr="00F61976">
        <w:rPr>
          <w:lang w:val="it-IT"/>
        </w:rPr>
        <w:t>Sudip Chakraborty</w:t>
      </w:r>
      <w:r w:rsidR="00B57E6F" w:rsidRPr="00F61976">
        <w:rPr>
          <w:lang w:val="it-IT"/>
        </w:rPr>
        <w:t xml:space="preserve">, </w:t>
      </w:r>
      <w:r w:rsidRPr="00F61976">
        <w:rPr>
          <w:lang w:val="it-IT"/>
        </w:rPr>
        <w:t>Stefano Curcio</w:t>
      </w:r>
    </w:p>
    <w:p w14:paraId="6B2D21B3" w14:textId="6E32BD28" w:rsidR="00B57E6F" w:rsidRPr="00B57B36" w:rsidRDefault="00F61976" w:rsidP="00B57E6F">
      <w:pPr>
        <w:pStyle w:val="CETAddress"/>
      </w:pPr>
      <w:r w:rsidRPr="00F61976">
        <w:t>University of Calabria, Laboratory of Transport Phenomena and Biotechnology, Department of DIMES, Cubo-42a, 87036 Rende (CS), Italy</w:t>
      </w:r>
      <w:r w:rsidR="00B57E6F" w:rsidRPr="00B57B36">
        <w:t xml:space="preserve">] </w:t>
      </w:r>
    </w:p>
    <w:p w14:paraId="3E46761C" w14:textId="54FF28D2" w:rsidR="004B3F9B" w:rsidRDefault="00631FB7" w:rsidP="004B3F9B">
      <w:pPr>
        <w:pStyle w:val="CETemail"/>
      </w:pPr>
      <w:r>
        <w:t>*</w:t>
      </w:r>
      <w:hyperlink r:id="rId10" w:history="1">
        <w:r w:rsidRPr="00631FB7">
          <w:rPr>
            <w:rStyle w:val="Collegamentoipertestuale"/>
          </w:rPr>
          <w:t>mariateresa.gaudio@unical.it</w:t>
        </w:r>
      </w:hyperlink>
    </w:p>
    <w:p w14:paraId="397832AF" w14:textId="59867FB8" w:rsidR="002D5480" w:rsidRPr="002D5480" w:rsidRDefault="004B3F9B" w:rsidP="002D5480">
      <w:pPr>
        <w:pStyle w:val="CETemail"/>
        <w:jc w:val="both"/>
        <w:rPr>
          <w:sz w:val="18"/>
        </w:rPr>
      </w:pPr>
      <w:r w:rsidRPr="004B3F9B">
        <w:rPr>
          <w:sz w:val="18"/>
        </w:rPr>
        <w:t xml:space="preserve">The agri-food supply-chain represents a complex System-of-System (SoS), because it crosses different other sectors and involves many different actors. </w:t>
      </w:r>
      <w:r w:rsidR="00046BA9" w:rsidRPr="00046BA9">
        <w:rPr>
          <w:sz w:val="18"/>
        </w:rPr>
        <w:t xml:space="preserve">The System Engineering (SE) approach helps </w:t>
      </w:r>
      <w:r w:rsidR="00EF3E64">
        <w:rPr>
          <w:sz w:val="18"/>
        </w:rPr>
        <w:t xml:space="preserve">to </w:t>
      </w:r>
      <w:r w:rsidR="00046BA9" w:rsidRPr="00046BA9">
        <w:rPr>
          <w:sz w:val="18"/>
        </w:rPr>
        <w:t>identify boundaries as a line of demarcation between the system itself and its greater context, including the operating environment, without neglecting any aspect.</w:t>
      </w:r>
      <w:r w:rsidRPr="004B3F9B">
        <w:rPr>
          <w:sz w:val="18"/>
        </w:rPr>
        <w:t xml:space="preserve"> </w:t>
      </w:r>
      <w:r w:rsidR="00720D0A" w:rsidRPr="00720D0A">
        <w:rPr>
          <w:sz w:val="18"/>
        </w:rPr>
        <w:t>Model-Based System Engineering (MBSE) was used, due to its capacity to realise</w:t>
      </w:r>
      <w:r w:rsidRPr="004B3F9B">
        <w:rPr>
          <w:sz w:val="18"/>
        </w:rPr>
        <w:t xml:space="preserve"> more readable and compact documentation than other models. It uses System Modeling Language (SysML) to construct a structure, the behaviours, the requirements and the constraints of the system. The modelling method developed to design and implement a model is based on one of the main purposes of the agri-food SoS: the need of tracking and tracing useful information to realize a traceable and sustainable system. Agri-food supply-chain SoS was analysed through an iterative procedure model – developed in Papyrus open-source – that has the system requirements as the centre. The requirement diagram is composed of: consumer requirements, business requirements, legislation requirements and environmental requirements. The typical structure of the requirement package in SysML has inherent </w:t>
      </w:r>
      <w:r w:rsidR="00720D0A">
        <w:rPr>
          <w:sz w:val="18"/>
        </w:rPr>
        <w:t xml:space="preserve">the parent-child relationship and </w:t>
      </w:r>
      <w:r w:rsidRPr="004B3F9B">
        <w:rPr>
          <w:sz w:val="18"/>
        </w:rPr>
        <w:t xml:space="preserve">responds in </w:t>
      </w:r>
      <w:r w:rsidR="00D34A5A">
        <w:rPr>
          <w:sz w:val="18"/>
        </w:rPr>
        <w:t>an</w:t>
      </w:r>
      <w:r w:rsidRPr="004B3F9B">
        <w:rPr>
          <w:sz w:val="18"/>
        </w:rPr>
        <w:t xml:space="preserve"> appropriate </w:t>
      </w:r>
      <w:r w:rsidR="00EF3E64" w:rsidRPr="004B3F9B">
        <w:rPr>
          <w:sz w:val="18"/>
        </w:rPr>
        <w:t xml:space="preserve">manner </w:t>
      </w:r>
      <w:r w:rsidRPr="004B3F9B">
        <w:rPr>
          <w:sz w:val="18"/>
        </w:rPr>
        <w:t xml:space="preserve">to the </w:t>
      </w:r>
      <w:r w:rsidR="00EF3E64" w:rsidRPr="004B3F9B">
        <w:rPr>
          <w:sz w:val="18"/>
        </w:rPr>
        <w:t xml:space="preserve">system </w:t>
      </w:r>
      <w:r w:rsidRPr="004B3F9B">
        <w:rPr>
          <w:sz w:val="18"/>
        </w:rPr>
        <w:t xml:space="preserve">traceability. Papyrus can directly validate the designed model, without </w:t>
      </w:r>
      <w:r w:rsidR="00EF3E64">
        <w:rPr>
          <w:sz w:val="18"/>
        </w:rPr>
        <w:t xml:space="preserve">complex </w:t>
      </w:r>
      <w:r w:rsidRPr="004B3F9B">
        <w:rPr>
          <w:sz w:val="18"/>
        </w:rPr>
        <w:t>simulations, especially in the case of a high level of abstraction, which would be missing some implementation parameters necessary for the simulation of the technical phase. This type of validation allowed to check better and faster what has been developed through project simulations</w:t>
      </w:r>
      <w:r w:rsidR="00046BA9">
        <w:rPr>
          <w:sz w:val="18"/>
        </w:rPr>
        <w:t>.</w:t>
      </w:r>
      <w:r w:rsidR="00C75848">
        <w:rPr>
          <w:sz w:val="18"/>
        </w:rPr>
        <w:t xml:space="preserve"> </w:t>
      </w:r>
      <w:r w:rsidR="00E7068D" w:rsidRPr="00E7068D">
        <w:rPr>
          <w:sz w:val="18"/>
        </w:rPr>
        <w:t>This work presents the main results of the SE approach applied to the agri-food supply-chain</w:t>
      </w:r>
      <w:r w:rsidR="00C75848">
        <w:rPr>
          <w:sz w:val="18"/>
        </w:rPr>
        <w:t xml:space="preserve">. It represents </w:t>
      </w:r>
      <w:r w:rsidR="00C75848" w:rsidRPr="00C75848">
        <w:rPr>
          <w:sz w:val="18"/>
        </w:rPr>
        <w:t>a starting point for the</w:t>
      </w:r>
      <w:r w:rsidR="00C97806">
        <w:rPr>
          <w:sz w:val="18"/>
        </w:rPr>
        <w:t xml:space="preserve"> choice of the</w:t>
      </w:r>
      <w:r w:rsidR="00C75848" w:rsidRPr="00C75848">
        <w:rPr>
          <w:sz w:val="18"/>
        </w:rPr>
        <w:t xml:space="preserve"> technical</w:t>
      </w:r>
      <w:r w:rsidR="00C75848">
        <w:rPr>
          <w:sz w:val="18"/>
        </w:rPr>
        <w:t xml:space="preserve"> </w:t>
      </w:r>
      <w:r w:rsidR="00910A19">
        <w:rPr>
          <w:sz w:val="18"/>
        </w:rPr>
        <w:t xml:space="preserve">traceability </w:t>
      </w:r>
      <w:r w:rsidR="00C75848">
        <w:rPr>
          <w:sz w:val="18"/>
        </w:rPr>
        <w:t>solution.</w:t>
      </w:r>
    </w:p>
    <w:p w14:paraId="476B2F2E" w14:textId="2B832496" w:rsidR="00600535" w:rsidRPr="00B57B36" w:rsidRDefault="00600535" w:rsidP="00600535">
      <w:pPr>
        <w:pStyle w:val="CETHeading1"/>
        <w:rPr>
          <w:lang w:val="en-GB"/>
        </w:rPr>
      </w:pPr>
      <w:r w:rsidRPr="00B57B36">
        <w:rPr>
          <w:lang w:val="en-GB"/>
        </w:rPr>
        <w:t>Introduction</w:t>
      </w:r>
    </w:p>
    <w:p w14:paraId="7A55A4F1" w14:textId="53EA6500" w:rsidR="001039C5" w:rsidRPr="001039C5" w:rsidRDefault="001039C5" w:rsidP="001039C5">
      <w:pPr>
        <w:pStyle w:val="Paragrafoelenco"/>
        <w:ind w:left="0"/>
        <w:rPr>
          <w:rFonts w:cs="Arial"/>
          <w:szCs w:val="18"/>
        </w:rPr>
      </w:pPr>
      <w:r w:rsidRPr="001039C5">
        <w:rPr>
          <w:rFonts w:cs="Arial"/>
          <w:szCs w:val="18"/>
        </w:rPr>
        <w:t xml:space="preserve">Since ever, </w:t>
      </w:r>
      <w:r w:rsidR="00EF3E64">
        <w:rPr>
          <w:rFonts w:cs="Arial"/>
          <w:szCs w:val="18"/>
        </w:rPr>
        <w:t xml:space="preserve">the </w:t>
      </w:r>
      <w:r w:rsidRPr="001039C5">
        <w:rPr>
          <w:rFonts w:cs="Arial"/>
          <w:szCs w:val="18"/>
        </w:rPr>
        <w:t>technology was always a significant force in the agri-food supply-chain. From the first ox-drawn to the use of high-yield fertilizers, the inventions changed the agri-food, in particular the agricultural phase. But the agri-food sector does not end with the agricultural phase. It consists of different sectors that interact between them and it could be seen as a SoS, whose system elements are themselves systems; typically, SoS entail large-scale interdisciplinary problems with multiple, heterogeneous, distributed systems. Generally, SoS has the following characteristics: the operational independence of constituent systems, the managerial independence of constituent systems, a geographical distribution, emergent behaviour and evolutionary development processes. In other words, a SoS as the agri-food supply-chain exhibits complex behaviour: the interactions between the parts exhibit self-organization, where local interactions give rise to novel, nonlocal, emergent patterns. Thus, a</w:t>
      </w:r>
      <w:r w:rsidR="00240336">
        <w:rPr>
          <w:rFonts w:cs="Arial"/>
          <w:szCs w:val="18"/>
        </w:rPr>
        <w:t>n</w:t>
      </w:r>
      <w:r w:rsidRPr="001039C5">
        <w:rPr>
          <w:rFonts w:cs="Arial"/>
          <w:szCs w:val="18"/>
        </w:rPr>
        <w:t xml:space="preserve"> holistic approach gave the possibility to always analyse the whole system, using an aspects approach, with an iterative procedure that </w:t>
      </w:r>
      <w:r w:rsidR="00720D0A">
        <w:rPr>
          <w:rFonts w:cs="Arial"/>
          <w:szCs w:val="18"/>
        </w:rPr>
        <w:t>can</w:t>
      </w:r>
      <w:r w:rsidRPr="001039C5">
        <w:rPr>
          <w:rFonts w:cs="Arial"/>
          <w:szCs w:val="18"/>
        </w:rPr>
        <w:t xml:space="preserve"> govern the complexity, which could also lead </w:t>
      </w:r>
      <w:r w:rsidRPr="007F6AF4">
        <w:rPr>
          <w:rFonts w:cs="Arial"/>
          <w:szCs w:val="18"/>
        </w:rPr>
        <w:t>to an improvement of the whole agri-food supply-chain, in terms of sustainability.</w:t>
      </w:r>
      <w:r w:rsidRPr="001039C5">
        <w:rPr>
          <w:rFonts w:cs="Arial"/>
          <w:szCs w:val="18"/>
        </w:rPr>
        <w:t xml:space="preserve"> The boundaries of this agri-food supply-chain SoS are really difficult to identify if someone thinks with a classical systemic approach, because they may be confused with the subset of elements and subsystems that interact with the environment.</w:t>
      </w:r>
    </w:p>
    <w:p w14:paraId="5A5B53A9" w14:textId="44C965C5" w:rsidR="00FC59EC" w:rsidRPr="009479D7" w:rsidRDefault="00720D0A" w:rsidP="007F6AF4">
      <w:pPr>
        <w:pStyle w:val="CETListbullets"/>
        <w:ind w:left="0" w:firstLine="0"/>
        <w:rPr>
          <w:rFonts w:cs="Arial"/>
          <w:szCs w:val="18"/>
        </w:rPr>
      </w:pPr>
      <w:r>
        <w:t>Traditionally modelling a SoS</w:t>
      </w:r>
      <w:r w:rsidR="001039C5" w:rsidRPr="001039C5">
        <w:t xml:space="preserve"> could lead to too extensive documentation, that would be very hard to realize and read. For this reason, </w:t>
      </w:r>
      <w:r w:rsidR="00E7068D">
        <w:t xml:space="preserve">the </w:t>
      </w:r>
      <w:r w:rsidR="001039C5" w:rsidRPr="001039C5">
        <w:t xml:space="preserve">MBSE approach with others is actually in use for SE. MBSE </w:t>
      </w:r>
      <w:r w:rsidR="00D249F1" w:rsidRPr="001039C5">
        <w:t>improve</w:t>
      </w:r>
      <w:r w:rsidR="00D249F1">
        <w:t>s</w:t>
      </w:r>
      <w:r w:rsidR="00D249F1" w:rsidRPr="001039C5">
        <w:t xml:space="preserve"> </w:t>
      </w:r>
      <w:r w:rsidR="001039C5" w:rsidRPr="001039C5">
        <w:t xml:space="preserve">the ability to capture, analyse, share and manage the information associated with different specifics of products, with the </w:t>
      </w:r>
      <w:r w:rsidR="001039C5" w:rsidRPr="001039C5">
        <w:lastRenderedPageBreak/>
        <w:t>following advantages: better communication between involved development parts; an increased ability to manage the system complexity, thanks to the system model visualization from a different point of views and as consequence, to analyse the impact of changes; a better product quality, thanks to a unified model that may be evaluated to different parameters; a better capture to knowledge and consequent reuse of information, thanks to the standard and incorporate abstraction mechanisms inherent to the model-driven approaches and thus, a reduced cycle time and reduced maintenance.</w:t>
      </w:r>
      <w:r w:rsidR="007F6AF4">
        <w:t xml:space="preserve"> </w:t>
      </w:r>
      <w:r w:rsidR="00406D6B">
        <w:rPr>
          <w:rFonts w:cs="Arial"/>
          <w:szCs w:val="18"/>
        </w:rPr>
        <w:t>Currently</w:t>
      </w:r>
      <w:r w:rsidR="00297832" w:rsidRPr="00C31A5B">
        <w:rPr>
          <w:rFonts w:cs="Arial"/>
          <w:szCs w:val="18"/>
        </w:rPr>
        <w:t>, a solution that ensures the traceability of the entire agri-food supply-chain does not exist and studying the system through a system engineering approach provides a possible generic global solution, able to model and update the information coming from the supply-chain.</w:t>
      </w:r>
      <w:r w:rsidR="007F6AF4">
        <w:rPr>
          <w:rFonts w:cs="Arial"/>
          <w:szCs w:val="18"/>
        </w:rPr>
        <w:t xml:space="preserve"> </w:t>
      </w:r>
      <w:r w:rsidR="00297832" w:rsidRPr="00B01B7E">
        <w:t>In the present work, MBSE was applied to analyse and model the entire agri-food supply-chain, in terms of traceability and consequent sustainability of the entire supply-chain.</w:t>
      </w:r>
      <w:r w:rsidR="00297832">
        <w:t xml:space="preserve"> </w:t>
      </w:r>
      <w:r w:rsidR="00297832">
        <w:rPr>
          <w:rFonts w:cs="Arial"/>
          <w:szCs w:val="18"/>
        </w:rPr>
        <w:t xml:space="preserve">A modelling strategy was developed in </w:t>
      </w:r>
      <w:proofErr w:type="spellStart"/>
      <w:r w:rsidR="00297832">
        <w:rPr>
          <w:rFonts w:cs="Arial"/>
          <w:szCs w:val="18"/>
        </w:rPr>
        <w:t>SysML</w:t>
      </w:r>
      <w:proofErr w:type="spellEnd"/>
      <w:r w:rsidR="00297832">
        <w:rPr>
          <w:rFonts w:cs="Arial"/>
          <w:szCs w:val="18"/>
        </w:rPr>
        <w:t xml:space="preserve"> to construct an iterative procedure in Papyrus – an open-source edited by Eclipse – to ensure the traceability of the entire supply-chain. This procedure is mainly based on the requirements of the system, as the SE approach requires. Starting from an analysis of some </w:t>
      </w:r>
      <w:r w:rsidR="00297832" w:rsidRPr="00297832">
        <w:rPr>
          <w:rFonts w:cs="Arial"/>
          <w:szCs w:val="18"/>
        </w:rPr>
        <w:t>specific agri-food supply-chains that characterize Italy and in particular, Calabria</w:t>
      </w:r>
      <w:r w:rsidR="00E73C49">
        <w:rPr>
          <w:rFonts w:cs="Arial"/>
          <w:szCs w:val="18"/>
        </w:rPr>
        <w:t xml:space="preserve"> region</w:t>
      </w:r>
      <w:r w:rsidR="00297832">
        <w:rPr>
          <w:rFonts w:cs="Arial"/>
          <w:szCs w:val="18"/>
        </w:rPr>
        <w:t xml:space="preserve">, </w:t>
      </w:r>
      <w:r w:rsidR="002022C1" w:rsidRPr="00C31A5B">
        <w:rPr>
          <w:rFonts w:cs="Arial"/>
          <w:szCs w:val="18"/>
        </w:rPr>
        <w:t xml:space="preserve">the main actors were identified and </w:t>
      </w:r>
      <w:r w:rsidR="00D249F1">
        <w:rPr>
          <w:rFonts w:cs="Arial"/>
          <w:szCs w:val="18"/>
        </w:rPr>
        <w:t xml:space="preserve">the </w:t>
      </w:r>
      <w:r w:rsidR="002022C1" w:rsidRPr="00C31A5B">
        <w:rPr>
          <w:rFonts w:cs="Arial"/>
          <w:szCs w:val="18"/>
        </w:rPr>
        <w:t>forms were submitted to them for deriving needs and requirements from which to start to structure the resolution model.</w:t>
      </w:r>
      <w:r w:rsidR="00C75848">
        <w:rPr>
          <w:rFonts w:cs="Arial"/>
          <w:szCs w:val="18"/>
        </w:rPr>
        <w:t xml:space="preserve"> </w:t>
      </w:r>
      <w:r w:rsidR="00C505D9">
        <w:rPr>
          <w:rFonts w:cs="Arial"/>
          <w:szCs w:val="18"/>
        </w:rPr>
        <w:t xml:space="preserve">The requirements diagram represents the core of the </w:t>
      </w:r>
      <w:proofErr w:type="spellStart"/>
      <w:r w:rsidR="00C505D9">
        <w:rPr>
          <w:rFonts w:cs="Arial"/>
          <w:szCs w:val="18"/>
        </w:rPr>
        <w:t>SysML</w:t>
      </w:r>
      <w:proofErr w:type="spellEnd"/>
      <w:r w:rsidR="00C505D9">
        <w:rPr>
          <w:rFonts w:cs="Arial"/>
          <w:szCs w:val="18"/>
        </w:rPr>
        <w:t xml:space="preserve"> iterative model, which could update the system and give some indication about the technical solution. The model designed provides an immediate validation and check of it and at the same time, provides some indication about the possible technical solution.</w:t>
      </w:r>
      <w:r w:rsidR="00C505D9" w:rsidRPr="00C505D9">
        <w:rPr>
          <w:rFonts w:cs="Arial"/>
          <w:szCs w:val="18"/>
        </w:rPr>
        <w:t xml:space="preserve"> A more detailed level of abstraction could </w:t>
      </w:r>
      <w:r w:rsidR="007D4B61">
        <w:rPr>
          <w:rFonts w:cs="Arial"/>
          <w:szCs w:val="18"/>
        </w:rPr>
        <w:t xml:space="preserve">subsequently </w:t>
      </w:r>
      <w:r w:rsidR="00C505D9" w:rsidRPr="00C505D9">
        <w:rPr>
          <w:rFonts w:cs="Arial"/>
          <w:szCs w:val="18"/>
        </w:rPr>
        <w:t>provide other values of performance, through the plug-ins of the tool.</w:t>
      </w:r>
    </w:p>
    <w:p w14:paraId="5741900F" w14:textId="70B66511" w:rsidR="00453E24" w:rsidRDefault="007952D8" w:rsidP="00453E24">
      <w:pPr>
        <w:pStyle w:val="CETHeading1"/>
      </w:pPr>
      <w:r>
        <w:t>Agri-Food supply-chain</w:t>
      </w:r>
      <w:r w:rsidR="0098190D">
        <w:t xml:space="preserve"> SoS Analysis</w:t>
      </w:r>
    </w:p>
    <w:p w14:paraId="1A196D03" w14:textId="4970F897" w:rsidR="00902BB6" w:rsidRPr="00106660" w:rsidRDefault="00D976E8" w:rsidP="00F22639">
      <w:pPr>
        <w:pStyle w:val="CETBodytext"/>
        <w:rPr>
          <w:lang w:val="en-GB"/>
        </w:rPr>
      </w:pPr>
      <w:r w:rsidRPr="00D976E8">
        <w:t>The analysis of the agri-food supply-chains to understand what are the similarities and critical points of the entire supply-chain, does not start from the point of view of internal or external logistics</w:t>
      </w:r>
      <w:r w:rsidR="00205EF0">
        <w:t>, but it</w:t>
      </w:r>
      <w:r w:rsidRPr="00D976E8">
        <w:t xml:space="preserve"> refers to the concept of "integrated logistics", able to account for all phases and aspects of a production system to optimize it. Integrated logistics aims to combine the high quality and healthiness of the final product through the traceability of the process, with the highest possible environmental sustainability of the production process, to reduce or eliminate hazardous waste in processes and chemicals.</w:t>
      </w:r>
      <w:r>
        <w:t xml:space="preserve"> </w:t>
      </w:r>
      <w:r w:rsidR="00D343FC" w:rsidRPr="00F22639">
        <w:t xml:space="preserve">The </w:t>
      </w:r>
      <w:r w:rsidRPr="00F22639">
        <w:t>SE approach goes in this direction, recognizing and governing the interactions between different parts and actors of the system, avoiding neglecting some parameters and constraints.</w:t>
      </w:r>
    </w:p>
    <w:p w14:paraId="0636B784" w14:textId="738CFE88" w:rsidR="00453E24" w:rsidRDefault="00D23202" w:rsidP="00453E24">
      <w:pPr>
        <w:pStyle w:val="CETheadingx"/>
      </w:pPr>
      <w:r>
        <w:t xml:space="preserve">Model-Based </w:t>
      </w:r>
      <w:r w:rsidR="00696932">
        <w:t>System</w:t>
      </w:r>
      <w:r>
        <w:t xml:space="preserve"> Engineering</w:t>
      </w:r>
    </w:p>
    <w:p w14:paraId="35D75D6E" w14:textId="61B5E990" w:rsidR="00A426C2" w:rsidRDefault="00205EF0" w:rsidP="00453E24">
      <w:pPr>
        <w:pStyle w:val="CETBodytext"/>
      </w:pPr>
      <w:r>
        <w:t xml:space="preserve">The </w:t>
      </w:r>
      <w:r w:rsidR="00A426C2" w:rsidRPr="00A426C2">
        <w:t xml:space="preserve">MBSE was born in about the 1980s as </w:t>
      </w:r>
      <w:r>
        <w:t xml:space="preserve">a </w:t>
      </w:r>
      <w:r w:rsidR="00A426C2" w:rsidRPr="00A426C2">
        <w:t xml:space="preserve">standard practice in electrical and mechanical design, when mechanical engineering transitioned from the drawing board to increasingly more sophisticated 2-D and 3-D computer-aided design tools. In parallel, </w:t>
      </w:r>
      <w:r>
        <w:t xml:space="preserve">the </w:t>
      </w:r>
      <w:r w:rsidR="00A426C2" w:rsidRPr="00A426C2">
        <w:t xml:space="preserve">electrical engineering transitioned from manual circuit design to automated schematic capture and circuit analysis. </w:t>
      </w:r>
      <w:r w:rsidR="00720D0A">
        <w:t>Computer-aided</w:t>
      </w:r>
      <w:r w:rsidR="00A426C2" w:rsidRPr="00A426C2">
        <w:t xml:space="preserve"> software engineering became </w:t>
      </w:r>
      <w:r>
        <w:t xml:space="preserve">more </w:t>
      </w:r>
      <w:r w:rsidR="00A426C2" w:rsidRPr="00A426C2">
        <w:t xml:space="preserve">popular in those years, using graphic models to represent software abstraction levels, above the specific programming languages. Consequently, the use of </w:t>
      </w:r>
      <w:r w:rsidR="00A426C2">
        <w:t>modelling</w:t>
      </w:r>
      <w:r w:rsidR="00A426C2" w:rsidRPr="00A426C2">
        <w:t xml:space="preserve"> for software development became more widely adopted, in particular with the advent of Unified Modeling Languages (UML) in the</w:t>
      </w:r>
      <w:r w:rsidR="00A426C2">
        <w:t xml:space="preserve"> </w:t>
      </w:r>
      <w:r w:rsidR="00A426C2" w:rsidRPr="00A426C2">
        <w:t xml:space="preserve">1990s </w:t>
      </w:r>
      <w:r w:rsidR="00A426C2">
        <w:fldChar w:fldCharType="begin" w:fldLock="1"/>
      </w:r>
      <w:r w:rsidR="00E7068D">
        <w:instrText>ADDIN CSL_CITATION {"citationItems":[{"id":"ITEM-1","itemData":{"DOI":"10.1016/C2013-0-14457-1","ISBN":"9780128002025","abstract":"A Practical Guide to SysML, Third Edition, fully updated for SysML version 1.4, provides a comprehensive and practical guide for modeling systems with SysML. With their unique perspective as leading contributors to the language, Friedenthal, Moore, and Steiner provide a full description of the language along with a quick reference guide and practical examples to help you use SysML. The book begins with guidance on the most commonly used features to help you get started quickly. Part 1 explains the benefits of a model-based approach, providing an overview of the language and how to apply SysML to model systems. Part 2 includes a comprehensive description of SysML that provides a detailed understanding that can serve as a foundation for modeling with SysML, and as a reference for practitioners. Part 3 includes methods for applying model-based systems engineering using SysML to specify and design systems, and how these methods can help manage complexity. Part 4 deals with topics related to transitioning MBSE practice into your organization, including integration of the system model with other engineering models, and strategies for adoption of MBSE.","author":[{"dropping-particle":"","family":"Friedenthal","given":"Sanford","non-dropping-particle":"","parse-names":false,"suffix":""},{"dropping-particle":"","family":"Moore","given":"Alan","non-dropping-particle":"","parse-names":false,"suffix":""},{"dropping-particle":"","family":"Steiner","given":"Rick","non-dropping-particle":"","parse-names":false,"suffix":""}],"container-title":"A Practical Guide to SysML: The Systems Modeling Language, Third Edition","id":"ITEM-1","issued":{"date-parts":[["2014","1","1"]]},"page":"1-606","publisher":"Elsevier","title":"A Practical Guide to SysML: The Systems Modeling Language, Third Edition","type":"article-journal"},"uris":["http://www.mendeley.com/documents/?uuid=79bfb4be-6276-4f26-9c81-e4972d83a60a"]}],"mendeley":{"formattedCitation":"(Friedenthal et al., 2014)","plainTextFormattedCitation":"(Friedenthal et al., 2014)","previouslyFormattedCitation":"(Friedenthal et al., 2014)"},"properties":{"noteIndex":0},"schema":"https://github.com/citation-style-language/schema/raw/master/csl-citation.json"}</w:instrText>
      </w:r>
      <w:r w:rsidR="00A426C2">
        <w:fldChar w:fldCharType="separate"/>
      </w:r>
      <w:r w:rsidR="00E95CE5" w:rsidRPr="00E95CE5">
        <w:rPr>
          <w:noProof/>
        </w:rPr>
        <w:t>(Friedenthal et al., 2014)</w:t>
      </w:r>
      <w:r w:rsidR="00A426C2">
        <w:fldChar w:fldCharType="end"/>
      </w:r>
      <w:r w:rsidR="00A426C2" w:rsidRPr="00A426C2">
        <w:t xml:space="preserve">. In subsequent years, the ever-increasing capabilities of technology at all levels have led to the adoption of the MBSE by more and more engineering disciplines. Thus, MBSE is considered a practice. The INCOSE System Engineering Vision 2020 of 2007, defined MBSE as “the formalized application modelling to support system requirements, design, analysis, verification, and validation activities beginning in the conceptual design phase and continuing throughout development and later life cycle phases” </w:t>
      </w:r>
      <w:r w:rsidR="00A426C2">
        <w:fldChar w:fldCharType="begin" w:fldLock="1"/>
      </w:r>
      <w:r w:rsidR="00E7068D">
        <w:instrText>ADDIN CSL_CITATION {"citationItems":[{"id":"ITEM-1","itemData":{"id":"ITEM-1","issued":{"date-parts":[["2007"]]},"title":"Technical Operations International Council on Systems Engineering (INCOSE)","type":"article-journal"},"uris":["http://www.mendeley.com/documents/?uuid=eb19cb45-8ca1-378c-9207-11a40838382e"]}],"mendeley":{"formattedCitation":"(&lt;i&gt;Technical Operations International Council on Systems Engineering (INCOSE)&lt;/i&gt;, 2007)","plainTextFormattedCitation":"(Technical Operations International Council on Systems Engineering (INCOSE), 2007)","previouslyFormattedCitation":"(&lt;i&gt;Technical Operations International Council on Systems Engineering (INCOSE)&lt;/i&gt;, 2007)"},"properties":{"noteIndex":0},"schema":"https://github.com/citation-style-language/schema/raw/master/csl-citation.json"}</w:instrText>
      </w:r>
      <w:r w:rsidR="00A426C2">
        <w:fldChar w:fldCharType="separate"/>
      </w:r>
      <w:r w:rsidR="00E95CE5" w:rsidRPr="00E95CE5">
        <w:rPr>
          <w:noProof/>
        </w:rPr>
        <w:t>(</w:t>
      </w:r>
      <w:r w:rsidR="00E95CE5" w:rsidRPr="00E95CE5">
        <w:rPr>
          <w:i/>
          <w:noProof/>
        </w:rPr>
        <w:t>Technical Operations International Council on Systems Engineering (INCOSE)</w:t>
      </w:r>
      <w:r w:rsidR="00E95CE5" w:rsidRPr="00E95CE5">
        <w:rPr>
          <w:noProof/>
        </w:rPr>
        <w:t>, 2007)</w:t>
      </w:r>
      <w:r w:rsidR="00A426C2">
        <w:fldChar w:fldCharType="end"/>
      </w:r>
      <w:r w:rsidR="00A426C2" w:rsidRPr="00A426C2">
        <w:t>.</w:t>
      </w:r>
      <w:r w:rsidR="00A426C2">
        <w:t xml:space="preserve"> </w:t>
      </w:r>
      <w:r w:rsidR="00A426C2" w:rsidRPr="00A426C2">
        <w:t>To realize the practice of MBSE, there are three pillars: modelling languages, modelling methods and modelling tools.</w:t>
      </w:r>
      <w:r w:rsidR="00A426C2">
        <w:t xml:space="preserve"> </w:t>
      </w:r>
      <w:r w:rsidR="00A97C63" w:rsidRPr="00A97C63">
        <w:t>MBSE commonly uses the Systems Modeling Language (</w:t>
      </w:r>
      <w:proofErr w:type="spellStart"/>
      <w:r w:rsidR="00A97C63" w:rsidRPr="00A97C63">
        <w:t>SysML</w:t>
      </w:r>
      <w:proofErr w:type="spellEnd"/>
      <w:r w:rsidR="00A97C63" w:rsidRPr="00A97C63">
        <w:t>)</w:t>
      </w:r>
      <w:r w:rsidR="00A97C63">
        <w:t xml:space="preserve"> </w:t>
      </w:r>
      <w:r w:rsidR="00A97C63">
        <w:fldChar w:fldCharType="begin" w:fldLock="1"/>
      </w:r>
      <w:r w:rsidR="00E7068D">
        <w:instrText>ADDIN CSL_CITATION {"citationItems":[{"id":"ITEM-1","itemData":{"ISBN":"978-0-321-92786-6","abstract":"The Systems Modeling Language (SysML) extends UML with powerful systems engineering capabilities for modeling a wider spectrum of systems and capturing all aspects of a system's design. SysML Distilled is the first clear, concise guide for everyone who wants to start creating effective SysML models. (Drawing on his pioneering experience at Lockheed Martin and NASA, Lenny Delligatti illuminates SysML's core components and provides practical advice to help you create good models and good designs. Delligatti begins with an easy-to-understand overview of Model-Based Systems Engineering (MBSE) and an explanation of how SysML enables effective system specification, analysis, design, optimization, verification, and validation. Next, he shows how to use all nine types of SysML diagrams, even if you have no previous experience with modeling languages. A case study running through the text demonstrates the use of SysML in modeling a complex, real-world sociotechnical system. Modeled after Martin Fowler's classic UML Distilled, Delligatti's indispensable guide quickly teaches you what you need to know to get started and helps you deepen your knowledge incrementally as the need arises. Like SysML itself, the book is method independent and is designed to support whatever processes, procedures, and tools you already use. Coverage Includes Why SysML was created and the business case for using it Quickly putting SysML to practical use What to know before you start a SysML modeling project Essential concepts that apply to all SysML diagrams SysML diagram elements and relationships Diagramming block definitions, internal structures, use cases, activities, interactions, state machines, constraints, requirements, and packages Using allocations to define mappings among elements across a model SysML notation tables, version changes, and sources for more information. Overview of model-based systems engineering -- Overview of the systems modeling language -- Block definition diagrams -- Internal block diagrams -- Use case diagrams -- Activity diagrams -- Sequence diagrams -- State machine diagrams -- Parametric diagrams -- Package diagrams -- Requirement diagrams -- Allocations : cross-cutting relationships -- Appendix a SysML notation desk reference.","author":[{"dropping-particle":"","family":"Delligatti","given":"Lenny.","non-dropping-particle":"","parse-names":false,"suffix":""}],"id":"ITEM-1","issued":{"date-parts":[["2014"]]},"publisher":"Addison-Wesley","title":"SysML distilled : a brief guide to the systems modeling language","type":"article-journal"},"uris":["http://www.mendeley.com/documents/?uuid=3c10fcc1-119c-3151-bcfc-9192ebc9a1dc"]}],"mendeley":{"formattedCitation":"(Delligatti, 2014)","plainTextFormattedCitation":"(Delligatti, 2014)","previouslyFormattedCitation":"(Delligatti, 2014)"},"properties":{"noteIndex":0},"schema":"https://github.com/citation-style-language/schema/raw/master/csl-citation.json"}</w:instrText>
      </w:r>
      <w:r w:rsidR="00A97C63">
        <w:fldChar w:fldCharType="separate"/>
      </w:r>
      <w:r w:rsidR="00E95CE5" w:rsidRPr="00E95CE5">
        <w:rPr>
          <w:noProof/>
        </w:rPr>
        <w:t>(Delligatti, 2014)</w:t>
      </w:r>
      <w:r w:rsidR="00A97C63">
        <w:fldChar w:fldCharType="end"/>
      </w:r>
      <w:r w:rsidR="00A97C63">
        <w:t xml:space="preserve">. </w:t>
      </w:r>
      <w:r w:rsidR="00A97C63" w:rsidRPr="00A97C63">
        <w:t>The modelling method is a roadmap to plan the strategy to design and implement a model.</w:t>
      </w:r>
      <w:r w:rsidR="00A97C63">
        <w:t xml:space="preserve"> </w:t>
      </w:r>
      <w:r w:rsidR="00A97C63" w:rsidRPr="00A97C63">
        <w:t xml:space="preserve">Modelling tools are different. Most of these are commercial-grade and so, not free; only two of these are free modelling tools, offered with an Eclipse Public License (EPL) or with a General Public License (GPL): </w:t>
      </w:r>
      <w:proofErr w:type="spellStart"/>
      <w:r w:rsidR="00A97C63" w:rsidRPr="00A97C63">
        <w:t>Modelio</w:t>
      </w:r>
      <w:proofErr w:type="spellEnd"/>
      <w:r w:rsidR="00A97C63" w:rsidRPr="00A97C63">
        <w:t xml:space="preserve"> and Papyrus. Papyrus</w:t>
      </w:r>
      <w:r w:rsidR="00A97C63">
        <w:t xml:space="preserve"> </w:t>
      </w:r>
      <w:r w:rsidR="00A97C63" w:rsidRPr="00A97C63">
        <w:t xml:space="preserve">will be used for this work, because </w:t>
      </w:r>
      <w:proofErr w:type="spellStart"/>
      <w:r w:rsidR="00A97C63" w:rsidRPr="00A97C63">
        <w:t>Modelio</w:t>
      </w:r>
      <w:proofErr w:type="spellEnd"/>
      <w:r w:rsidR="00A97C63" w:rsidRPr="00A97C63">
        <w:t xml:space="preserve"> does not support </w:t>
      </w:r>
      <w:proofErr w:type="spellStart"/>
      <w:r w:rsidR="00A97C63" w:rsidRPr="00A97C63">
        <w:t>SysML</w:t>
      </w:r>
      <w:proofErr w:type="spellEnd"/>
      <w:r w:rsidR="00A97C63" w:rsidRPr="00A97C63">
        <w:t xml:space="preserve"> in the free version.</w:t>
      </w:r>
      <w:r w:rsidR="00816ADE">
        <w:t xml:space="preserve"> </w:t>
      </w:r>
      <w:r w:rsidR="0038224F" w:rsidRPr="0038224F">
        <w:t>In Papyrus, each model is created using a specific architectural context, even if it is possible to change it later, through the specification of the model details. A model also specifies a subset of the different points of view of its context and also each subset model may be changed later. As the first step, for creating a model there is a need to use a workspace with a specific project. The workspace is located in the file-system or a specific folder set by the user; when the tool starts, a pop-up window appears and the selection of the specific folder with the correspondent project may be opened.</w:t>
      </w:r>
      <w:r w:rsidR="0038224F">
        <w:t xml:space="preserve"> </w:t>
      </w:r>
    </w:p>
    <w:p w14:paraId="6C92743E" w14:textId="77777777" w:rsidR="0038224F" w:rsidRDefault="0038224F" w:rsidP="0038224F">
      <w:pPr>
        <w:pStyle w:val="CETBodytext"/>
      </w:pPr>
      <w:r>
        <w:t xml:space="preserve">The model created is the basis for all diagrams and at the same time, it maintains the consistency between the different diagrams, because it is the collection of different elements and their relationships defined in the different diagrams. In Papyrus, this collection is displayed in the Model Explorer view, where the different diagrams are </w:t>
      </w:r>
      <w:r>
        <w:lastRenderedPageBreak/>
        <w:t xml:space="preserve">shown in their logical place within the model. This visual representation of a system that the different diagrams provide may offer both high-level or low-level insights into the conceptualization and design of a system. </w:t>
      </w:r>
    </w:p>
    <w:p w14:paraId="49A5EFCB" w14:textId="50ED01F5" w:rsidR="00A426C2" w:rsidRDefault="0038224F" w:rsidP="00453E24">
      <w:pPr>
        <w:pStyle w:val="CETBodytext"/>
      </w:pPr>
      <w:r>
        <w:t>To implement correctly a complete model, it is impossible to create a single diagram. For example, if a requirement diagram does not refer to a specific context, through the use of the other diagrams, it means that</w:t>
      </w:r>
      <w:r w:rsidR="006D3383">
        <w:t xml:space="preserve"> </w:t>
      </w:r>
      <w:r>
        <w:t xml:space="preserve">the requirements of whom or what would it satisfy? Therefore, it is necessary to implement other diagrams with a single diagram, to model a complete way a SoS, in each of its aspects. </w:t>
      </w:r>
      <w:r w:rsidR="00E95CE5">
        <w:t>T</w:t>
      </w:r>
      <w:r>
        <w:t xml:space="preserve">o model a SoS completely, at least three diagrams are needed: one between the </w:t>
      </w:r>
      <w:r w:rsidR="00425933">
        <w:t>behavior</w:t>
      </w:r>
      <w:r>
        <w:t xml:space="preserve"> diagrams, the requirement diagram and one between the structure diagrams. Usually, for </w:t>
      </w:r>
      <w:r w:rsidR="00425933">
        <w:t>behavior</w:t>
      </w:r>
      <w:r>
        <w:t xml:space="preserve"> diagrams, the use case diagram is used, because it represents the possible functionality that is performed by the system. A use case diagram is also able to identify the actors that interact with the system, but also with the external of the system, and also the relationships that exist between elements.</w:t>
      </w:r>
      <w:r w:rsidR="00FC1777">
        <w:t xml:space="preserve"> </w:t>
      </w:r>
      <w:r w:rsidR="00D66EE4" w:rsidRPr="00D66EE4">
        <w:t xml:space="preserve">The analysis of the agri-food supply-chain system goes into the direction of the life cycle management, starting from the technical and business point of view, because it is aimed at finding a possible technical solution to </w:t>
      </w:r>
      <w:r w:rsidR="00D66EE4" w:rsidRPr="004B4BF7">
        <w:t>satisfy the S</w:t>
      </w:r>
      <w:r w:rsidR="004B4BF7" w:rsidRPr="004B4BF7">
        <w:t>ystem of Interest (S</w:t>
      </w:r>
      <w:r w:rsidR="00D66EE4" w:rsidRPr="004B4BF7">
        <w:t>OI</w:t>
      </w:r>
      <w:r w:rsidR="004B4BF7" w:rsidRPr="004B4BF7">
        <w:t>)</w:t>
      </w:r>
      <w:r w:rsidR="00D66EE4" w:rsidRPr="004B4BF7">
        <w:t xml:space="preserve"> – that</w:t>
      </w:r>
      <w:r w:rsidR="00D66EE4" w:rsidRPr="00D66EE4">
        <w:t xml:space="preserve"> is a SoS – regarding the aspect of traceability.</w:t>
      </w:r>
      <w:r w:rsidR="00DE5F58">
        <w:t xml:space="preserve"> </w:t>
      </w:r>
    </w:p>
    <w:p w14:paraId="18BAFA6F" w14:textId="0C568462" w:rsidR="00453E24" w:rsidRPr="00B57B36" w:rsidRDefault="00DE5F58" w:rsidP="00453E24">
      <w:pPr>
        <w:pStyle w:val="CETheadingx"/>
      </w:pPr>
      <w:r>
        <w:t>Stakeholders: needs and requirements</w:t>
      </w:r>
    </w:p>
    <w:p w14:paraId="1EE99860" w14:textId="5C1A73C0" w:rsidR="00556D7E" w:rsidRDefault="00DE5F58" w:rsidP="00DE5F58">
      <w:pPr>
        <w:pStyle w:val="CETBodytext"/>
        <w:rPr>
          <w:lang w:val="en-GB"/>
        </w:rPr>
      </w:pPr>
      <w:r w:rsidRPr="00DE5F58">
        <w:rPr>
          <w:lang w:val="en-GB"/>
        </w:rPr>
        <w:t xml:space="preserve">According to the ISO/IEC/IEEE 15288, the technical processes begin to develop </w:t>
      </w:r>
      <w:r w:rsidR="00425933">
        <w:rPr>
          <w:lang w:val="en-GB"/>
        </w:rPr>
        <w:t>based on</w:t>
      </w:r>
      <w:r w:rsidR="00425933" w:rsidRPr="00DE5F58">
        <w:rPr>
          <w:lang w:val="en-GB"/>
        </w:rPr>
        <w:t xml:space="preserve"> </w:t>
      </w:r>
      <w:r w:rsidRPr="00DE5F58">
        <w:rPr>
          <w:lang w:val="en-GB"/>
        </w:rPr>
        <w:t xml:space="preserve">needs and requirements of a system </w:t>
      </w:r>
      <w:r w:rsidR="0039105B">
        <w:rPr>
          <w:lang w:val="en-GB"/>
        </w:rPr>
        <w:fldChar w:fldCharType="begin" w:fldLock="1"/>
      </w:r>
      <w:r w:rsidR="00E7068D">
        <w:rPr>
          <w:lang w:val="en-GB"/>
        </w:rPr>
        <w:instrText>ADDIN CSL_CITATION {"citationItems":[{"id":"ITEM-1","itemData":{"DOI":"10.1002/J.2334-5837.2013.TB03016.X","ISSN":"2334-5837","abstract":"Each of the major systems engineering standards and guides has a different focus, uses slightly different terms for the various needs and requirements artifacts, and reflects a different emphasis on each of the activities from the enterprise level down to the system level. While there is a lack of consistency among documents with the use of terms and artifacts (and all are internally inconsistent to some degree), the differences are not significant and mostly reflect the different emphases on particular levels or specific parts of the overall process. None-the-less, the disparate views result in considerable obscuration of the underlying process which can only be resolved after considerable study and deliberation. Worse, the lack of a common taxonomy in the early part of system/requirements engineering process adds confusion at a very critical time in the definition of the system of interest. This paper reviews the early processes and the needs and requirements artifacts described in the major systems engineering standards and guides. An improved (synthesized) taxonomy is proposed thatclarifies the language used to describe the major processes and artifacts in the early portion of the system life cycle.","author":[{"dropping-particle":"","family":"Ryan","given":"Michael J.","non-dropping-particle":"","parse-names":false,"suffix":""}],"container-title":"INCOSE International Symposium","id":"ITEM-1","issue":"1","issued":{"date-parts":[["2013","6","1"]]},"title":"3.3.1 An Improved Taxonomy for Major Needs and Requirements Artifacts","type":"article-journal"},"uris":["http://www.mendeley.com/documents/?uuid=5664031a-2a69-4cdb-ae86-d4c547da0956"]}],"mendeley":{"formattedCitation":"(Ryan, 2013)","plainTextFormattedCitation":"(Ryan, 2013)","previouslyFormattedCitation":"(Ryan, 2013)"},"properties":{"noteIndex":0},"schema":"https://github.com/citation-style-language/schema/raw/master/csl-citation.json"}</w:instrText>
      </w:r>
      <w:r w:rsidR="0039105B">
        <w:rPr>
          <w:lang w:val="en-GB"/>
        </w:rPr>
        <w:fldChar w:fldCharType="separate"/>
      </w:r>
      <w:r w:rsidR="00E95CE5" w:rsidRPr="00E95CE5">
        <w:rPr>
          <w:noProof/>
          <w:lang w:val="en-GB"/>
        </w:rPr>
        <w:t>(Ryan, 2013)</w:t>
      </w:r>
      <w:r w:rsidR="0039105B">
        <w:rPr>
          <w:lang w:val="en-GB"/>
        </w:rPr>
        <w:fldChar w:fldCharType="end"/>
      </w:r>
      <w:r w:rsidR="0039105B">
        <w:rPr>
          <w:lang w:val="en-GB"/>
        </w:rPr>
        <w:t>.</w:t>
      </w:r>
      <w:r w:rsidR="0069476D">
        <w:rPr>
          <w:lang w:val="en-GB"/>
        </w:rPr>
        <w:t xml:space="preserve"> </w:t>
      </w:r>
      <w:r w:rsidRPr="00DE5F58">
        <w:rPr>
          <w:lang w:val="en-GB"/>
        </w:rPr>
        <w:t xml:space="preserve">A stakeholder of a system is an individual or an organization with an interest in the system. A successful project depends on meeting the needs and requirements of the stakeholders through the system life cycle. Stakeholders are all those who may be influenced or influence the system, generally e.g., users, operators, regulatory bodies, and companies. The identification of the stakeholders carries the identification of needs with it. </w:t>
      </w:r>
      <w:r w:rsidR="00720D0A">
        <w:rPr>
          <w:lang w:val="en-GB"/>
        </w:rPr>
        <w:t>This</w:t>
      </w:r>
      <w:r w:rsidRPr="00DE5F58">
        <w:rPr>
          <w:lang w:val="en-GB"/>
        </w:rPr>
        <w:t xml:space="preserve"> process elicits the stakeholder needs that correspond to new capabilities or opportunities for the system. These needs are analysed and transformed into a set of the stakeholders’ requirements for the working and the effects on the solution and its interaction with the working environments. The stakeholders’ requirements represent the main reference compared to which an operating capability is validated. Thus, the requirements are measurable, unlike the needs.</w:t>
      </w:r>
      <w:r w:rsidR="0069476D">
        <w:rPr>
          <w:lang w:val="en-GB"/>
        </w:rPr>
        <w:t xml:space="preserve"> </w:t>
      </w:r>
      <w:r w:rsidRPr="00DE5F58">
        <w:rPr>
          <w:lang w:val="en-GB"/>
        </w:rPr>
        <w:t>To obtain a good result, all critical points of the SoS must be taken into consideration, starting from the critical interactions between the different parts of the system. From various possible interactions of the system</w:t>
      </w:r>
      <w:r w:rsidR="0069476D">
        <w:rPr>
          <w:lang w:val="en-GB"/>
        </w:rPr>
        <w:t xml:space="preserve"> </w:t>
      </w:r>
      <w:r w:rsidR="0069476D">
        <w:rPr>
          <w:lang w:val="en-GB"/>
        </w:rPr>
        <w:fldChar w:fldCharType="begin" w:fldLock="1"/>
      </w:r>
      <w:r w:rsidR="00E7068D">
        <w:rPr>
          <w:lang w:val="en-GB"/>
        </w:rPr>
        <w:instrText>ADDIN CSL_CITATION {"citationItems":[{"id":"ITEM-1","itemData":{"DOI":"10.1109/ICRE.2003.1232732","ISBN":"0-7695-1980-6","ISSN":"1090-705X","author":[{"dropping-particle":"","family":"Stoewer","given":"Heinz","non-dropping-particle":"","parse-names":false,"suffix":""}],"container-title":"Proceedings. 11th IEEE International Requirements Engineering Conference, 2003.","id":"ITEM-1","issued":{"date-parts":[["2003","9","1"]]},"page":"6-6","publisher":"IEEE Computer Society","title":"Modern Systems Engineering: A Driving Force for Industrial Competitivity!","type":"article-journal"},"uris":["http://www.mendeley.com/documents/?uuid=a1cf4e4b-fef5-3603-a893-97f3a6691d6e"]}],"mendeley":{"formattedCitation":"(Stoewer, 2003)","plainTextFormattedCitation":"(Stoewer, 2003)","previouslyFormattedCitation":"(Stoewer, 2003)"},"properties":{"noteIndex":0},"schema":"https://github.com/citation-style-language/schema/raw/master/csl-citation.json"}</w:instrText>
      </w:r>
      <w:r w:rsidR="0069476D">
        <w:rPr>
          <w:lang w:val="en-GB"/>
        </w:rPr>
        <w:fldChar w:fldCharType="separate"/>
      </w:r>
      <w:r w:rsidR="00E95CE5" w:rsidRPr="00E95CE5">
        <w:rPr>
          <w:noProof/>
          <w:lang w:val="en-GB"/>
        </w:rPr>
        <w:t>(Stoewer, 2003)</w:t>
      </w:r>
      <w:r w:rsidR="0069476D">
        <w:rPr>
          <w:lang w:val="en-GB"/>
        </w:rPr>
        <w:fldChar w:fldCharType="end"/>
      </w:r>
      <w:r w:rsidRPr="00DE5F58">
        <w:rPr>
          <w:lang w:val="en-GB"/>
        </w:rPr>
        <w:t>, the stakeholders’ requirements govern the system development and they are an essential factor to define the scope of the development project.</w:t>
      </w:r>
      <w:r w:rsidR="00B335D6">
        <w:rPr>
          <w:lang w:val="en-GB"/>
        </w:rPr>
        <w:t xml:space="preserve"> </w:t>
      </w:r>
      <w:r w:rsidRPr="00DE5F58">
        <w:rPr>
          <w:lang w:val="en-GB"/>
        </w:rPr>
        <w:t>To elicit the stakeholders’ needs, various techniques can be used e.g., interviews, focus groups, the Delphi method, and soft system methodology; also, the simulation tools may be used to evaluate different mission alternatives. These procedures could give back a partial view of needs and as a consequence, of requirements, if each aspect and interaction is not taken into account.</w:t>
      </w:r>
      <w:r w:rsidR="0069476D">
        <w:rPr>
          <w:lang w:val="en-GB"/>
        </w:rPr>
        <w:t xml:space="preserve"> </w:t>
      </w:r>
      <w:r w:rsidRPr="00DE5F58">
        <w:rPr>
          <w:lang w:val="en-GB"/>
        </w:rPr>
        <w:t>The initialization of the requirements database and the development of the life cycle concepts serve to build a scenario useful as a methodology for planning and decision-making in a complex system and an uncertain environment.</w:t>
      </w:r>
      <w:r w:rsidR="0069476D">
        <w:rPr>
          <w:lang w:val="en-GB"/>
        </w:rPr>
        <w:t xml:space="preserve"> </w:t>
      </w:r>
      <w:r w:rsidR="00556D7E" w:rsidRPr="00556D7E">
        <w:rPr>
          <w:lang w:val="en-GB"/>
        </w:rPr>
        <w:t>Each requirement carries with it a cost and so, it is essential to have a minimum set of requirements in the early project life cycle.</w:t>
      </w:r>
      <w:r w:rsidR="00556D7E">
        <w:rPr>
          <w:lang w:val="en-GB"/>
        </w:rPr>
        <w:t xml:space="preserve"> </w:t>
      </w:r>
      <w:r w:rsidR="00556D7E" w:rsidRPr="00556D7E">
        <w:rPr>
          <w:lang w:val="en-GB"/>
        </w:rPr>
        <w:t>According to the Standard ISO/IEC/IEEE 29148</w:t>
      </w:r>
      <w:r w:rsidR="00720D0A">
        <w:rPr>
          <w:lang w:val="en-GB"/>
        </w:rPr>
        <w:t>,</w:t>
      </w:r>
      <w:r w:rsidR="00556D7E" w:rsidRPr="00556D7E">
        <w:rPr>
          <w:lang w:val="en-GB"/>
        </w:rPr>
        <w:t xml:space="preserve"> the requirements definition is both iterative and recursive: iterative between the main process and others, when other information is available during the analysis; recursive because this process is continuously applied to define the requirements for each system </w:t>
      </w:r>
      <w:r w:rsidR="00FC1777">
        <w:rPr>
          <w:lang w:val="en-GB"/>
        </w:rPr>
        <w:t>element</w:t>
      </w:r>
      <w:r w:rsidR="00556D7E" w:rsidRPr="00556D7E">
        <w:rPr>
          <w:lang w:val="en-GB"/>
        </w:rPr>
        <w:t>.</w:t>
      </w:r>
    </w:p>
    <w:p w14:paraId="03490BE3" w14:textId="450BE7CC" w:rsidR="00337DAF" w:rsidRPr="00337DAF" w:rsidRDefault="00337DAF" w:rsidP="00337DAF">
      <w:pPr>
        <w:pStyle w:val="CETheadingx"/>
      </w:pPr>
      <w:r w:rsidRPr="00337DAF">
        <w:t xml:space="preserve">System Engineering </w:t>
      </w:r>
      <w:r w:rsidR="00720D0A">
        <w:t>Approach</w:t>
      </w:r>
      <w:r w:rsidRPr="00337DAF">
        <w:t xml:space="preserve"> for an Agri-Food Traceability Model</w:t>
      </w:r>
    </w:p>
    <w:p w14:paraId="575FC69F" w14:textId="181E3408" w:rsidR="00A2424D" w:rsidRDefault="00337DAF" w:rsidP="00337DAF">
      <w:pPr>
        <w:pStyle w:val="CETBodytext"/>
        <w:rPr>
          <w:lang w:val="en-GB"/>
        </w:rPr>
      </w:pPr>
      <w:r w:rsidRPr="00D05623">
        <w:rPr>
          <w:lang w:val="en-GB"/>
        </w:rPr>
        <w:t>Due to its complexity, the agri-food supply-chain may be analysed and treated through the system engineering approach.</w:t>
      </w:r>
      <w:r>
        <w:rPr>
          <w:lang w:val="en-GB"/>
        </w:rPr>
        <w:t xml:space="preserve"> </w:t>
      </w:r>
      <w:r w:rsidRPr="0069476D">
        <w:rPr>
          <w:lang w:val="en-GB"/>
        </w:rPr>
        <w:t xml:space="preserve">As shown in Figure </w:t>
      </w:r>
      <w:r w:rsidR="00E95CE5">
        <w:rPr>
          <w:lang w:val="en-GB"/>
        </w:rPr>
        <w:t>1a</w:t>
      </w:r>
      <w:r w:rsidRPr="00D05623">
        <w:rPr>
          <w:lang w:val="en-GB"/>
        </w:rPr>
        <w:t xml:space="preserve">, through three steps, it was possible to lead a formulation of requirements of the entire supply-chain, to develop a model in </w:t>
      </w:r>
      <w:proofErr w:type="spellStart"/>
      <w:r w:rsidRPr="00D05623">
        <w:rPr>
          <w:lang w:val="en-GB"/>
        </w:rPr>
        <w:t>SysML</w:t>
      </w:r>
      <w:proofErr w:type="spellEnd"/>
      <w:r w:rsidRPr="00D05623">
        <w:rPr>
          <w:lang w:val="en-GB"/>
        </w:rPr>
        <w:t>, where the traceability of information is the main objective.</w:t>
      </w:r>
      <w:r>
        <w:rPr>
          <w:lang w:val="en-GB"/>
        </w:rPr>
        <w:t xml:space="preserve"> </w:t>
      </w:r>
      <w:r w:rsidRPr="00D05623">
        <w:rPr>
          <w:lang w:val="en-GB"/>
        </w:rPr>
        <w:t>In this context, the analysis of some typical Calabrian agri-food supply-chain highlighted a market where the small and medium companies represent most of them and where these companies have similar sectors. Therefore, similar stakeholders internal to the companies – farmer, producer, packer and distributor – were identified among the final consumers. The variety and complexity of the SoS lead to the identification of only two major stakeholders: the companies and the final consumers.</w:t>
      </w:r>
      <w:r>
        <w:rPr>
          <w:lang w:val="en-GB"/>
        </w:rPr>
        <w:t xml:space="preserve"> </w:t>
      </w:r>
      <w:r w:rsidRPr="00D05623">
        <w:rPr>
          <w:lang w:val="en-GB"/>
        </w:rPr>
        <w:t>The second step consists of the elicit of the stakeholders’ needs, with the following formalization of the stakeholders’ requirements. This was made through two different questionnaires submitted to companies and final consumers. For companies, a statistically acceptable sample was not reached and thus, the information about companies was used as an indication in the requirements diagram.</w:t>
      </w:r>
      <w:r>
        <w:rPr>
          <w:lang w:val="en-GB"/>
        </w:rPr>
        <w:t xml:space="preserve"> </w:t>
      </w:r>
      <w:r w:rsidRPr="00D05623">
        <w:rPr>
          <w:lang w:val="en-GB"/>
        </w:rPr>
        <w:t>The questionnaires were submitted to the consumers and companies through two different Google Forms. The main significative results of these questionnaires were transformed into the specific requirements which will be inserted in the developed traceability model for the agri-food.</w:t>
      </w:r>
    </w:p>
    <w:p w14:paraId="68CFF3A1" w14:textId="0016E490" w:rsidR="000D2634" w:rsidRDefault="000D2634" w:rsidP="000D2634">
      <w:pPr>
        <w:pStyle w:val="CETBodytext"/>
        <w:rPr>
          <w:rStyle w:val="CETCaptionCarattere"/>
        </w:rPr>
      </w:pPr>
    </w:p>
    <w:p w14:paraId="4E0DA69E" w14:textId="668743DC" w:rsidR="005D1711" w:rsidRDefault="005D1711" w:rsidP="000D2634">
      <w:pPr>
        <w:pStyle w:val="CETBodytext"/>
        <w:rPr>
          <w:rStyle w:val="CETCaptionCarattere"/>
        </w:rPr>
      </w:pPr>
      <w:r>
        <w:rPr>
          <w:rStyle w:val="CETCaptionCarattere"/>
          <w:noProof/>
        </w:rPr>
        <w:lastRenderedPageBreak/>
        <w:drawing>
          <wp:inline distT="0" distB="0" distL="0" distR="0" wp14:anchorId="0A2F439C" wp14:editId="57BCBDB7">
            <wp:extent cx="5588000" cy="2065655"/>
            <wp:effectExtent l="0" t="0" r="0" b="0"/>
            <wp:docPr id="64676273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brightnessContrast contrast="20000"/>
                              </a14:imgEffect>
                            </a14:imgLayer>
                          </a14:imgProps>
                        </a:ext>
                        <a:ext uri="{28A0092B-C50C-407E-A947-70E740481C1C}">
                          <a14:useLocalDpi xmlns:a14="http://schemas.microsoft.com/office/drawing/2010/main" val="0"/>
                        </a:ext>
                      </a:extLst>
                    </a:blip>
                    <a:srcRect l="770" r="2412"/>
                    <a:stretch/>
                  </pic:blipFill>
                  <pic:spPr bwMode="auto">
                    <a:xfrm>
                      <a:off x="0" y="0"/>
                      <a:ext cx="5588476" cy="2065831"/>
                    </a:xfrm>
                    <a:prstGeom prst="rect">
                      <a:avLst/>
                    </a:prstGeom>
                    <a:noFill/>
                    <a:ln>
                      <a:noFill/>
                    </a:ln>
                    <a:extLst>
                      <a:ext uri="{53640926-AAD7-44D8-BBD7-CCE9431645EC}">
                        <a14:shadowObscured xmlns:a14="http://schemas.microsoft.com/office/drawing/2010/main"/>
                      </a:ext>
                    </a:extLst>
                  </pic:spPr>
                </pic:pic>
              </a:graphicData>
            </a:graphic>
          </wp:inline>
        </w:drawing>
      </w:r>
    </w:p>
    <w:p w14:paraId="31ED1A01" w14:textId="092D0ED8" w:rsidR="00E07F75" w:rsidRPr="000D2634" w:rsidRDefault="00E07F75" w:rsidP="000D2634">
      <w:pPr>
        <w:pStyle w:val="CETBodytext"/>
        <w:rPr>
          <w:lang w:val="en-GB"/>
        </w:rPr>
      </w:pPr>
      <w:r w:rsidRPr="00BD077D">
        <w:rPr>
          <w:rStyle w:val="CETCaptionCarattere"/>
        </w:rPr>
        <w:t xml:space="preserve">Figure </w:t>
      </w:r>
      <w:r w:rsidR="00E95CE5">
        <w:rPr>
          <w:rStyle w:val="CETCaptionCarattere"/>
        </w:rPr>
        <w:t>1</w:t>
      </w:r>
      <w:r w:rsidRPr="00BD077D">
        <w:rPr>
          <w:rStyle w:val="CETCaptionCarattere"/>
        </w:rPr>
        <w:t xml:space="preserve">: </w:t>
      </w:r>
      <w:r w:rsidR="000D2634">
        <w:rPr>
          <w:rStyle w:val="CETCaptionCarattere"/>
          <w:i w:val="0"/>
        </w:rPr>
        <w:t xml:space="preserve">(a) </w:t>
      </w:r>
      <w:r w:rsidR="004B4BF7" w:rsidRPr="004B4BF7">
        <w:rPr>
          <w:rStyle w:val="CETCaptionCarattere"/>
        </w:rPr>
        <w:t>The SE approach for the model development of the agri-food supply-chain about the traceability of information</w:t>
      </w:r>
      <w:r w:rsidR="000D2634">
        <w:rPr>
          <w:rStyle w:val="CETCaptionCarattere"/>
          <w:i w:val="0"/>
        </w:rPr>
        <w:t xml:space="preserve">, (b) </w:t>
      </w:r>
      <w:proofErr w:type="spellStart"/>
      <w:r w:rsidR="000D2634" w:rsidRPr="000D2634">
        <w:rPr>
          <w:rStyle w:val="CETCaptionCarattere"/>
        </w:rPr>
        <w:t>AgriFood</w:t>
      </w:r>
      <w:proofErr w:type="spellEnd"/>
      <w:r w:rsidR="000D2634" w:rsidRPr="000D2634">
        <w:rPr>
          <w:rStyle w:val="CETCaptionCarattere"/>
        </w:rPr>
        <w:t xml:space="preserve"> Traceability Model Solution</w:t>
      </w:r>
    </w:p>
    <w:p w14:paraId="677EBFF0" w14:textId="01485747" w:rsidR="00600535" w:rsidRDefault="00FD7A18" w:rsidP="00600535">
      <w:pPr>
        <w:pStyle w:val="CETHeading1"/>
        <w:tabs>
          <w:tab w:val="clear" w:pos="360"/>
          <w:tab w:val="right" w:pos="7100"/>
        </w:tabs>
        <w:jc w:val="both"/>
        <w:rPr>
          <w:lang w:val="en-GB"/>
        </w:rPr>
      </w:pPr>
      <w:r>
        <w:rPr>
          <w:lang w:val="en-GB"/>
        </w:rPr>
        <w:t>Results and Discussion</w:t>
      </w:r>
    </w:p>
    <w:p w14:paraId="40708F80" w14:textId="672C1992" w:rsidR="00B5376A" w:rsidRDefault="00B5376A" w:rsidP="00B5376A">
      <w:pPr>
        <w:pStyle w:val="CETBodytext"/>
        <w:rPr>
          <w:lang w:val="en-GB"/>
        </w:rPr>
      </w:pPr>
      <w:r w:rsidRPr="00B5376A">
        <w:rPr>
          <w:lang w:val="en-GB"/>
        </w:rPr>
        <w:t xml:space="preserve">The Requirement diagram is composed of: consumer requirements, business requirements, legislation requirements and environmental requirements. </w:t>
      </w:r>
      <w:r w:rsidR="00092983">
        <w:rPr>
          <w:lang w:val="en-GB"/>
        </w:rPr>
        <w:t xml:space="preserve">Due </w:t>
      </w:r>
      <w:r w:rsidR="004969B5">
        <w:rPr>
          <w:lang w:val="en-GB"/>
        </w:rPr>
        <w:t xml:space="preserve">to </w:t>
      </w:r>
      <w:r w:rsidR="00092983">
        <w:rPr>
          <w:lang w:val="en-GB"/>
        </w:rPr>
        <w:t xml:space="preserve">the inherent parent-child relationship in the </w:t>
      </w:r>
      <w:r w:rsidRPr="00B5376A">
        <w:rPr>
          <w:lang w:val="en-GB"/>
        </w:rPr>
        <w:t>typical structure of the requirement package in</w:t>
      </w:r>
      <w:r w:rsidR="00092983">
        <w:rPr>
          <w:lang w:val="en-GB"/>
        </w:rPr>
        <w:t xml:space="preserve"> </w:t>
      </w:r>
      <w:proofErr w:type="spellStart"/>
      <w:r w:rsidR="00092983">
        <w:rPr>
          <w:lang w:val="en-GB"/>
        </w:rPr>
        <w:t>SysML</w:t>
      </w:r>
      <w:proofErr w:type="spellEnd"/>
      <w:r w:rsidRPr="00B5376A">
        <w:rPr>
          <w:lang w:val="en-GB"/>
        </w:rPr>
        <w:t xml:space="preserve">, it responds in a manner appropriate to the traceability of a system. In </w:t>
      </w:r>
      <w:r w:rsidR="00720D0A">
        <w:rPr>
          <w:lang w:val="en-GB"/>
        </w:rPr>
        <w:t xml:space="preserve">the </w:t>
      </w:r>
      <w:r w:rsidRPr="00B5376A">
        <w:rPr>
          <w:lang w:val="en-GB"/>
        </w:rPr>
        <w:t xml:space="preserve">Papyrus tool is also possible to draw up the table of requirements automatically (see Figure </w:t>
      </w:r>
      <w:r w:rsidR="00E95CE5">
        <w:rPr>
          <w:lang w:val="en-GB"/>
        </w:rPr>
        <w:t>2</w:t>
      </w:r>
      <w:r w:rsidRPr="00B5376A">
        <w:rPr>
          <w:lang w:val="en-GB"/>
        </w:rPr>
        <w:t>), which consents to better read, as in this case, a complicated and extended system of requirements.</w:t>
      </w:r>
    </w:p>
    <w:p w14:paraId="72439F48" w14:textId="77777777" w:rsidR="000D2634" w:rsidRDefault="00B5376A" w:rsidP="00B5376A">
      <w:pPr>
        <w:pStyle w:val="CETCaption"/>
        <w:rPr>
          <w:rStyle w:val="CETCaptionCarattere"/>
          <w:i/>
        </w:rPr>
      </w:pPr>
      <w:r>
        <w:rPr>
          <w:noProof/>
        </w:rPr>
        <w:drawing>
          <wp:inline distT="0" distB="0" distL="0" distR="0" wp14:anchorId="3CF99630" wp14:editId="7A365BCD">
            <wp:extent cx="4730750" cy="1918719"/>
            <wp:effectExtent l="0" t="0" r="0" b="5080"/>
            <wp:docPr id="179" name="Immagin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30750" cy="1918719"/>
                    </a:xfrm>
                    <a:prstGeom prst="rect">
                      <a:avLst/>
                    </a:prstGeom>
                    <a:noFill/>
                    <a:ln>
                      <a:noFill/>
                    </a:ln>
                  </pic:spPr>
                </pic:pic>
              </a:graphicData>
            </a:graphic>
          </wp:inline>
        </w:drawing>
      </w:r>
      <w:r w:rsidRPr="00B5376A">
        <w:rPr>
          <w:rStyle w:val="CETCaptionCarattere"/>
          <w:i/>
        </w:rPr>
        <w:t xml:space="preserve"> </w:t>
      </w:r>
    </w:p>
    <w:p w14:paraId="7B3BB1E2" w14:textId="4DB7BF4B" w:rsidR="00B5376A" w:rsidRPr="00533322" w:rsidRDefault="00B5376A" w:rsidP="00B5376A">
      <w:pPr>
        <w:pStyle w:val="CETCaption"/>
        <w:rPr>
          <w:rStyle w:val="CETCaptionCarattere"/>
          <w:i/>
        </w:rPr>
      </w:pPr>
      <w:r w:rsidRPr="00BD077D">
        <w:rPr>
          <w:rStyle w:val="CETCaptionCarattere"/>
          <w:i/>
        </w:rPr>
        <w:t xml:space="preserve">Figure </w:t>
      </w:r>
      <w:r w:rsidR="00E95CE5">
        <w:rPr>
          <w:rStyle w:val="CETCaptionCarattere"/>
          <w:i/>
        </w:rPr>
        <w:t>2</w:t>
      </w:r>
      <w:r w:rsidRPr="00BD077D">
        <w:rPr>
          <w:rStyle w:val="CETCaptionCarattere"/>
          <w:i/>
        </w:rPr>
        <w:t xml:space="preserve">: </w:t>
      </w:r>
      <w:r w:rsidRPr="00B5376A">
        <w:rPr>
          <w:rStyle w:val="CETCaptionCarattere"/>
          <w:i/>
        </w:rPr>
        <w:t>Requirements Table for the agri-food traceability system</w:t>
      </w:r>
    </w:p>
    <w:p w14:paraId="0BDA4A7D" w14:textId="5E84F66F" w:rsidR="007026A5" w:rsidRDefault="007026A5" w:rsidP="007026A5">
      <w:pPr>
        <w:pStyle w:val="CETheadingx"/>
      </w:pPr>
      <w:r w:rsidRPr="007026A5">
        <w:t>Consumers’ Needs and Requirements</w:t>
      </w:r>
    </w:p>
    <w:p w14:paraId="564FEB19" w14:textId="770BCEDD" w:rsidR="00C952E4" w:rsidRDefault="00C15769" w:rsidP="007026A5">
      <w:pPr>
        <w:pStyle w:val="CETBodytext"/>
      </w:pPr>
      <w:r w:rsidRPr="00C15769">
        <w:t xml:space="preserve">The questionnaire submitted to the consumers received 160 answers and thus, they may be considered an acceptable sample to elicit needs and then define requirements. The answers are referred to a sample of people of different ages, predominantly residents </w:t>
      </w:r>
      <w:r w:rsidR="00720D0A">
        <w:t>of</w:t>
      </w:r>
      <w:r w:rsidRPr="00C15769">
        <w:t xml:space="preserve"> Calabria and more than half of them are employed with a fixed salary.</w:t>
      </w:r>
      <w:r>
        <w:t xml:space="preserve"> </w:t>
      </w:r>
      <w:r w:rsidR="00BD5AD5" w:rsidRPr="00BD5AD5">
        <w:t xml:space="preserve">People declared to spend a considerable part of their income on food shopping (see Figure </w:t>
      </w:r>
      <w:r w:rsidR="00E95CE5">
        <w:t>3</w:t>
      </w:r>
      <w:r w:rsidR="00CE187A">
        <w:t>a</w:t>
      </w:r>
      <w:r w:rsidR="00BD5AD5" w:rsidRPr="00BD5AD5">
        <w:t>)</w:t>
      </w:r>
      <w:r w:rsidR="002D37B7">
        <w:t>. I</w:t>
      </w:r>
      <w:r w:rsidR="00BD5AD5" w:rsidRPr="00BD5AD5">
        <w:t xml:space="preserve">t is really interesting to understand what are the needs of consumers of agri-food, because their needs could shift the interest of the market. The sample </w:t>
      </w:r>
      <w:r w:rsidR="00FB1FE4">
        <w:t xml:space="preserve">is </w:t>
      </w:r>
      <w:r w:rsidR="00BD5AD5" w:rsidRPr="00BD5AD5">
        <w:t>homogeneous and representative of the Calabrian reality. In the future, it will be interesting to interview more people without a fixed salary, to make the proposed solution even more sustainable from a social point of view.</w:t>
      </w:r>
      <w:r w:rsidR="00BD5AD5">
        <w:t xml:space="preserve"> </w:t>
      </w:r>
    </w:p>
    <w:p w14:paraId="53B702F2" w14:textId="27953C20" w:rsidR="000121F2" w:rsidRDefault="000121F2" w:rsidP="007026A5">
      <w:pPr>
        <w:pStyle w:val="CETBodytext"/>
      </w:pPr>
      <w:r>
        <w:rPr>
          <w:noProof/>
        </w:rPr>
        <w:lastRenderedPageBreak/>
        <w:drawing>
          <wp:inline distT="0" distB="0" distL="0" distR="0" wp14:anchorId="0ED9E1DE" wp14:editId="41A0425B">
            <wp:extent cx="5626735" cy="1711982"/>
            <wp:effectExtent l="0" t="0" r="0" b="2540"/>
            <wp:docPr id="197498263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57910" cy="1721467"/>
                    </a:xfrm>
                    <a:prstGeom prst="rect">
                      <a:avLst/>
                    </a:prstGeom>
                    <a:noFill/>
                  </pic:spPr>
                </pic:pic>
              </a:graphicData>
            </a:graphic>
          </wp:inline>
        </w:drawing>
      </w:r>
    </w:p>
    <w:p w14:paraId="63C8EB73" w14:textId="0AEEB505" w:rsidR="00BD5AD5" w:rsidRDefault="00BD5AD5" w:rsidP="007026A5">
      <w:pPr>
        <w:pStyle w:val="CETBodytext"/>
        <w:rPr>
          <w:rStyle w:val="CETCaptionCarattere"/>
        </w:rPr>
      </w:pPr>
      <w:r w:rsidRPr="0055737F">
        <w:rPr>
          <w:rStyle w:val="CETCaptionCarattere"/>
        </w:rPr>
        <w:t>Figure 4</w:t>
      </w:r>
      <w:r w:rsidR="00CE187A">
        <w:rPr>
          <w:rStyle w:val="CETCaptionCarattere"/>
        </w:rPr>
        <w:t>: (a)</w:t>
      </w:r>
      <w:r w:rsidRPr="0055737F">
        <w:rPr>
          <w:rStyle w:val="CETCaptionCarattere"/>
        </w:rPr>
        <w:t xml:space="preserve"> </w:t>
      </w:r>
      <w:r w:rsidRPr="00BD5AD5">
        <w:rPr>
          <w:rStyle w:val="CETCaptionCarattere"/>
        </w:rPr>
        <w:t>Percentage of monthly income used in food shopping from the reference sample</w:t>
      </w:r>
      <w:r w:rsidR="00CE187A">
        <w:rPr>
          <w:rStyle w:val="CETCaptionCarattere"/>
        </w:rPr>
        <w:t xml:space="preserve">, (b) </w:t>
      </w:r>
      <w:r w:rsidR="00CE187A" w:rsidRPr="0055737F">
        <w:rPr>
          <w:rStyle w:val="CETCaptionCarattere"/>
        </w:rPr>
        <w:t>The most important information on the label for purchasing food</w:t>
      </w:r>
    </w:p>
    <w:p w14:paraId="24903EAC" w14:textId="77777777" w:rsidR="002D37B7" w:rsidRDefault="002D37B7" w:rsidP="00B4164D"/>
    <w:p w14:paraId="11556777" w14:textId="1D32901E" w:rsidR="00B4164D" w:rsidRDefault="00106660" w:rsidP="00B4164D">
      <w:pPr>
        <w:rPr>
          <w:rFonts w:cs="Arial"/>
          <w:szCs w:val="18"/>
        </w:rPr>
      </w:pPr>
      <w:r>
        <w:t xml:space="preserve">Besides the answers </w:t>
      </w:r>
      <w:r w:rsidRPr="0022124B">
        <w:rPr>
          <w:rFonts w:cs="Arial"/>
          <w:szCs w:val="18"/>
        </w:rPr>
        <w:t>about the most important information to report on the label concerning the purchasing of food, all</w:t>
      </w:r>
      <w:r>
        <w:rPr>
          <w:rFonts w:cs="Arial"/>
          <w:szCs w:val="18"/>
        </w:rPr>
        <w:t xml:space="preserve"> consumers’ needs</w:t>
      </w:r>
      <w:r w:rsidRPr="0022124B">
        <w:rPr>
          <w:rFonts w:cs="Arial"/>
          <w:szCs w:val="18"/>
        </w:rPr>
        <w:t xml:space="preserve"> </w:t>
      </w:r>
      <w:r>
        <w:rPr>
          <w:rFonts w:cs="Arial"/>
          <w:szCs w:val="18"/>
        </w:rPr>
        <w:t xml:space="preserve">essentially </w:t>
      </w:r>
      <w:r w:rsidRPr="0022124B">
        <w:rPr>
          <w:rFonts w:cs="Arial"/>
          <w:szCs w:val="18"/>
        </w:rPr>
        <w:t xml:space="preserve">refer to the need for </w:t>
      </w:r>
      <w:r w:rsidRPr="001C5257">
        <w:rPr>
          <w:rFonts w:cs="Arial"/>
          <w:i/>
          <w:iCs/>
          <w:szCs w:val="18"/>
        </w:rPr>
        <w:t>clarity of information</w:t>
      </w:r>
      <w:r w:rsidRPr="0022124B">
        <w:rPr>
          <w:rFonts w:cs="Arial"/>
          <w:szCs w:val="18"/>
        </w:rPr>
        <w:t xml:space="preserve">, </w:t>
      </w:r>
      <w:r w:rsidRPr="001C5257">
        <w:rPr>
          <w:rFonts w:cs="Arial"/>
          <w:i/>
          <w:iCs/>
          <w:szCs w:val="18"/>
        </w:rPr>
        <w:t>safety</w:t>
      </w:r>
      <w:r w:rsidRPr="0022124B">
        <w:rPr>
          <w:rFonts w:cs="Arial"/>
          <w:szCs w:val="18"/>
        </w:rPr>
        <w:t xml:space="preserve"> and </w:t>
      </w:r>
      <w:r w:rsidRPr="001C5257">
        <w:rPr>
          <w:rFonts w:cs="Arial"/>
          <w:i/>
          <w:iCs/>
          <w:szCs w:val="18"/>
        </w:rPr>
        <w:t>quality</w:t>
      </w:r>
      <w:r w:rsidRPr="0022124B">
        <w:rPr>
          <w:rFonts w:cs="Arial"/>
          <w:szCs w:val="18"/>
        </w:rPr>
        <w:t>.</w:t>
      </w:r>
      <w:r w:rsidR="00B4164D">
        <w:rPr>
          <w:rFonts w:cs="Arial"/>
          <w:szCs w:val="18"/>
        </w:rPr>
        <w:t xml:space="preserve"> </w:t>
      </w:r>
      <w:r w:rsidR="00B4164D" w:rsidRPr="0022124B">
        <w:rPr>
          <w:rFonts w:cs="Arial"/>
          <w:szCs w:val="18"/>
        </w:rPr>
        <w:t>From the answers, also given for every single food, there appears to be a real confusion on the part of the consumer, who indicates in the information to be reported, information that is already present, with the addition of a few specific pieces of information on the specific food.</w:t>
      </w:r>
      <w:r w:rsidR="00B4164D">
        <w:rPr>
          <w:rFonts w:cs="Arial"/>
          <w:szCs w:val="18"/>
        </w:rPr>
        <w:t xml:space="preserve"> </w:t>
      </w:r>
      <w:r w:rsidR="00B4164D" w:rsidRPr="00B4164D">
        <w:rPr>
          <w:rFonts w:cs="Arial"/>
          <w:szCs w:val="18"/>
        </w:rPr>
        <w:t xml:space="preserve">Most of the information in </w:t>
      </w:r>
      <w:r w:rsidR="00B4164D" w:rsidRPr="00CE187A">
        <w:rPr>
          <w:rFonts w:cs="Arial"/>
          <w:szCs w:val="18"/>
        </w:rPr>
        <w:t xml:space="preserve">Figure </w:t>
      </w:r>
      <w:r w:rsidR="00CE187A" w:rsidRPr="00CE187A">
        <w:rPr>
          <w:rFonts w:cs="Arial"/>
          <w:szCs w:val="18"/>
        </w:rPr>
        <w:t>4b</w:t>
      </w:r>
      <w:r w:rsidR="00B4164D" w:rsidRPr="00B4164D">
        <w:rPr>
          <w:rFonts w:cs="Arial"/>
          <w:szCs w:val="18"/>
        </w:rPr>
        <w:t xml:space="preserve"> is already part of the mandatory information to be reported according to European Regulation No. 1169/2011. This means once again that the information, although already provided, is not clear to consumers. The clarity of information seems to be the greatest need of consumers.</w:t>
      </w:r>
      <w:r w:rsidR="00B4164D">
        <w:rPr>
          <w:rFonts w:cs="Arial"/>
          <w:szCs w:val="18"/>
        </w:rPr>
        <w:t xml:space="preserve"> </w:t>
      </w:r>
      <w:r w:rsidR="00B4164D" w:rsidRPr="00B4164D">
        <w:rPr>
          <w:rFonts w:cs="Arial"/>
          <w:szCs w:val="18"/>
        </w:rPr>
        <w:t>Being this information already mandatory, they may be easier to acquire;</w:t>
      </w:r>
      <w:r w:rsidR="00B4164D">
        <w:rPr>
          <w:rFonts w:cs="Arial"/>
          <w:szCs w:val="18"/>
        </w:rPr>
        <w:t xml:space="preserve"> </w:t>
      </w:r>
      <w:r w:rsidR="00B4164D" w:rsidRPr="00B4164D">
        <w:rPr>
          <w:rFonts w:cs="Arial"/>
          <w:szCs w:val="18"/>
        </w:rPr>
        <w:t xml:space="preserve">they could be considered quite general for each supply-chain. This information – </w:t>
      </w:r>
      <w:r w:rsidR="00B4164D" w:rsidRPr="00B4164D">
        <w:rPr>
          <w:rFonts w:cs="Arial"/>
          <w:i/>
          <w:iCs/>
          <w:szCs w:val="18"/>
        </w:rPr>
        <w:t>net quantity, expiration date, ingredient list, conservation mode, lot number, nutritional table, origin and provenance, headquarters</w:t>
      </w:r>
      <w:r w:rsidR="00B4164D" w:rsidRPr="00B4164D">
        <w:rPr>
          <w:rFonts w:cs="Arial"/>
          <w:szCs w:val="18"/>
        </w:rPr>
        <w:t xml:space="preserve"> – could be considered as the consumers’ requirements, because they are also measurable through the consumers’ answers and therefore through the identified percentages. Each requirement can meet more than one need. In particular, clarity of information can be linked to net quantity, ingredient list, conservation mode, nutritional table and headquarters; safety can be linked to the expiration date, conservation mode, lot number and origin and provenance; the quality can be linked to net quantity and origin and provenance. Also, from the number of links between needs and requirements, clarity of information results to be the most important need, followed by safety and then quality.</w:t>
      </w:r>
    </w:p>
    <w:p w14:paraId="7382C781" w14:textId="1A4FF064" w:rsidR="00600535" w:rsidRDefault="0055737F" w:rsidP="00FA5F5F">
      <w:pPr>
        <w:pStyle w:val="CETheadingx"/>
      </w:pPr>
      <w:r>
        <w:t>Companies’ Needs and Requirements</w:t>
      </w:r>
    </w:p>
    <w:p w14:paraId="3519ED23" w14:textId="2529FDFA" w:rsidR="00B828FB" w:rsidRDefault="00227773" w:rsidP="00B828FB">
      <w:pPr>
        <w:pStyle w:val="CETBodytext"/>
      </w:pPr>
      <w:r w:rsidRPr="00227773">
        <w:t>The questionnaire was submitted to some local companies through Google Forms</w:t>
      </w:r>
      <w:r w:rsidR="0070432E">
        <w:t>, but</w:t>
      </w:r>
      <w:r w:rsidR="00112D48">
        <w:t xml:space="preserve"> it </w:t>
      </w:r>
      <w:r w:rsidRPr="00227773">
        <w:t>has obtained</w:t>
      </w:r>
      <w:r w:rsidR="0070432E">
        <w:t xml:space="preserve"> only </w:t>
      </w:r>
      <w:r w:rsidR="0070432E" w:rsidRPr="0070432E">
        <w:t>eight</w:t>
      </w:r>
      <w:r w:rsidR="0070432E">
        <w:t xml:space="preserve"> </w:t>
      </w:r>
      <w:r w:rsidRPr="00227773">
        <w:t>answers</w:t>
      </w:r>
      <w:r w:rsidR="0070432E">
        <w:t xml:space="preserve">; therefore, it </w:t>
      </w:r>
      <w:r w:rsidRPr="00227773">
        <w:t xml:space="preserve">cannot be considered as an acceptable statistical sample, but at the same time, </w:t>
      </w:r>
      <w:r w:rsidR="0070432E">
        <w:t xml:space="preserve">the participating companies </w:t>
      </w:r>
      <w:r w:rsidRPr="00227773">
        <w:t>could provide some useful information about this study</w:t>
      </w:r>
      <w:r w:rsidR="0070432E">
        <w:t>, also because they</w:t>
      </w:r>
      <w:r w:rsidR="0070432E" w:rsidRPr="0070432E">
        <w:t xml:space="preserve"> cover </w:t>
      </w:r>
      <w:r w:rsidR="0070432E">
        <w:t xml:space="preserve">all three </w:t>
      </w:r>
      <w:r w:rsidR="0070432E" w:rsidRPr="0070432E">
        <w:t>different stages of the supply-chain</w:t>
      </w:r>
      <w:r w:rsidR="0070432E">
        <w:t xml:space="preserve">. </w:t>
      </w:r>
      <w:r>
        <w:t xml:space="preserve">The most important </w:t>
      </w:r>
      <w:r w:rsidR="00112D48">
        <w:t xml:space="preserve">information </w:t>
      </w:r>
      <w:r>
        <w:t>was used as the companies’ requirements</w:t>
      </w:r>
      <w:r w:rsidR="0069364F">
        <w:t xml:space="preserve"> and it</w:t>
      </w:r>
      <w:r>
        <w:t xml:space="preserve"> </w:t>
      </w:r>
      <w:r w:rsidRPr="00227773">
        <w:t xml:space="preserve">is an indication </w:t>
      </w:r>
      <w:r w:rsidR="00720D0A">
        <w:t>of</w:t>
      </w:r>
      <w:r w:rsidRPr="00227773">
        <w:t xml:space="preserve"> the maximum percentage increase acceptable in the cost of the product considered to improve the company traceability system. </w:t>
      </w:r>
      <w:r w:rsidR="0069364F">
        <w:t>The indicated value</w:t>
      </w:r>
      <w:r w:rsidRPr="00227773">
        <w:t xml:space="preserve"> is considered acceptable from 1% to 5%. </w:t>
      </w:r>
    </w:p>
    <w:p w14:paraId="496C2822" w14:textId="5B39F48F" w:rsidR="00CD7028" w:rsidRDefault="00CD7028" w:rsidP="00CD7028">
      <w:pPr>
        <w:pStyle w:val="CETheadingx"/>
      </w:pPr>
      <w:r>
        <w:t>Other Requirements</w:t>
      </w:r>
    </w:p>
    <w:p w14:paraId="40271CC1" w14:textId="77777777" w:rsidR="002D37B7" w:rsidRDefault="00CD7028" w:rsidP="00CD7028">
      <w:pPr>
        <w:pStyle w:val="CETBodytext"/>
      </w:pPr>
      <w:r>
        <w:t>Other possible requirements can be the requirements dictated by the laws and the environmental needs.</w:t>
      </w:r>
      <w:r w:rsidR="002D37B7">
        <w:t xml:space="preserve"> </w:t>
      </w:r>
    </w:p>
    <w:p w14:paraId="7143639E" w14:textId="4B9F6280" w:rsidR="00CD7028" w:rsidRDefault="00CD7028" w:rsidP="00CD7028">
      <w:pPr>
        <w:pStyle w:val="CETBodytext"/>
      </w:pPr>
      <w:r>
        <w:t xml:space="preserve">The Legislation Requirements are derived from article No.18 of European regulation No. 178/2002 about the standard of the European food legislation. It essentially consists of the declaration of the names of stakeholders and products, the transaction times and dates, and the quantity of products. Other requirements could come from other regulations about the specific product sector. Actually, in Italy, </w:t>
      </w:r>
      <w:r w:rsidR="0069364F">
        <w:t xml:space="preserve">the </w:t>
      </w:r>
      <w:r>
        <w:t>voluntary agreements exist for: fresh and processed meat, milk, fish and fresh fruits and vegetables. The Environmental Requirements can also refer to legislation references, but in this case, general and specific environmental constraints of agri-food that are not included in the legislative ones were considered. In particular, one of the most important hypotheses of this work is zero waste.</w:t>
      </w:r>
    </w:p>
    <w:p w14:paraId="7F228EA2" w14:textId="07E99DDA" w:rsidR="00B067C7" w:rsidRDefault="00B067C7" w:rsidP="00B067C7">
      <w:pPr>
        <w:pStyle w:val="CETheadingx"/>
      </w:pPr>
      <w:proofErr w:type="spellStart"/>
      <w:r>
        <w:t>AgriFood</w:t>
      </w:r>
      <w:proofErr w:type="spellEnd"/>
      <w:r>
        <w:t xml:space="preserve"> Traceability </w:t>
      </w:r>
      <w:proofErr w:type="spellStart"/>
      <w:r>
        <w:t>SysML</w:t>
      </w:r>
      <w:proofErr w:type="spellEnd"/>
      <w:r>
        <w:t xml:space="preserve"> Model Solution</w:t>
      </w:r>
    </w:p>
    <w:p w14:paraId="3B32BB74" w14:textId="22A8B5EF" w:rsidR="006E47A6" w:rsidRDefault="00B067C7" w:rsidP="00CD7028">
      <w:pPr>
        <w:pStyle w:val="CETBodytext"/>
      </w:pPr>
      <w:r>
        <w:t>T</w:t>
      </w:r>
      <w:r w:rsidRPr="00B067C7">
        <w:t>he change of any requirement</w:t>
      </w:r>
      <w:r>
        <w:t xml:space="preserve"> over time</w:t>
      </w:r>
      <w:r w:rsidRPr="00B067C7">
        <w:t xml:space="preserve"> can be an opportunity to better model the system as a whole. Other changes identified when the system takes over a change in the </w:t>
      </w:r>
      <w:r w:rsidR="009A1BAA" w:rsidRPr="00B067C7">
        <w:t>behavior</w:t>
      </w:r>
      <w:r w:rsidRPr="00B067C7">
        <w:t>, that is when there is an unexpected event – e.g., tampering with a product – could be corrected and/or sanctioned almost immediately or in any case faster than now</w:t>
      </w:r>
      <w:r w:rsidR="009C7F2E">
        <w:t xml:space="preserve">. The designed </w:t>
      </w:r>
      <w:proofErr w:type="spellStart"/>
      <w:r w:rsidR="009C7F2E">
        <w:t>SysML</w:t>
      </w:r>
      <w:proofErr w:type="spellEnd"/>
      <w:r w:rsidR="009C7F2E">
        <w:t xml:space="preserve"> modelling strategy in Papyrus</w:t>
      </w:r>
      <w:r w:rsidR="006E47A6">
        <w:t xml:space="preserve"> considered the change of requirements over time, a constraint of the system: As a consequence, a high level of abstraction was considered </w:t>
      </w:r>
      <w:r w:rsidR="00720D0A">
        <w:t>in</w:t>
      </w:r>
      <w:r w:rsidR="006E47A6">
        <w:t xml:space="preserve"> the </w:t>
      </w:r>
      <w:proofErr w:type="spellStart"/>
      <w:r w:rsidR="006E47A6">
        <w:lastRenderedPageBreak/>
        <w:t>SysML</w:t>
      </w:r>
      <w:proofErr w:type="spellEnd"/>
      <w:r w:rsidR="006E47A6">
        <w:t xml:space="preserve"> solution. The model – shown in Figure </w:t>
      </w:r>
      <w:r w:rsidR="00E95CE5">
        <w:t>1b</w:t>
      </w:r>
      <w:r w:rsidR="006E47A6">
        <w:t xml:space="preserve"> – consists of four package diagrams</w:t>
      </w:r>
      <w:r w:rsidR="003E5CEC">
        <w:t>, whose core is the requirement diagram. This last</w:t>
      </w:r>
      <w:r w:rsidR="006E47A6" w:rsidRPr="006E47A6">
        <w:t xml:space="preserve"> will act on the agri-food supply-chain, draw up an activity diagram and it will refine the supply-chain according to all requirements, which can be changed or updated at each time. The activity diagram identified a generic and unified agri-food supply-chain, able to define each phase and each actor of the supply-chain: the production, the processing, the distribution, the waste </w:t>
      </w:r>
      <w:r w:rsidR="00720D0A">
        <w:t>management</w:t>
      </w:r>
      <w:r w:rsidR="006E47A6" w:rsidRPr="006E47A6">
        <w:t>, the farmer, the producer, the packer, the distributor and the final consumer</w:t>
      </w:r>
      <w:r w:rsidR="006E47A6">
        <w:t xml:space="preserve">. </w:t>
      </w:r>
      <w:r w:rsidR="006E47A6" w:rsidRPr="006E47A6">
        <w:t>The test cases package is used to verify the requirements, for each supply-chain, of which new information is available; for example, through the use of other tools, including other specific questionnaires to be submitted to the companies.</w:t>
      </w:r>
      <w:r w:rsidR="003E5CEC">
        <w:t xml:space="preserve"> </w:t>
      </w:r>
      <w:r w:rsidR="006E47A6" w:rsidRPr="006E47A6">
        <w:t>The structure package is a parametric diagram. It expresses the constraints on the solution, starting from the constraints that express the properties of the identified traceability system. The structure consisted of different packages to express different constraints e.g., technical, performance, reliability, availability, power, mass, and cost.</w:t>
      </w:r>
      <w:r w:rsidR="006E47A6">
        <w:t xml:space="preserve"> </w:t>
      </w:r>
      <w:r w:rsidR="006E47A6" w:rsidRPr="006E47A6">
        <w:t>The constraints expressed from the technical solution will satisfy the requirements expressed by the system under consideration.</w:t>
      </w:r>
    </w:p>
    <w:p w14:paraId="2710A509" w14:textId="53CE5938" w:rsidR="002D37B7" w:rsidRPr="00B067C7" w:rsidRDefault="002F75AF" w:rsidP="003E5CEC">
      <w:pPr>
        <w:pStyle w:val="CETBodytext"/>
      </w:pPr>
      <w:r>
        <w:t>T</w:t>
      </w:r>
      <w:r w:rsidRPr="002F75AF">
        <w:t xml:space="preserve">he advantages of this </w:t>
      </w:r>
      <w:proofErr w:type="spellStart"/>
      <w:r w:rsidRPr="002F75AF">
        <w:t>SysML</w:t>
      </w:r>
      <w:proofErr w:type="spellEnd"/>
      <w:r w:rsidRPr="002F75AF">
        <w:t xml:space="preserve"> model also consist of a possible substitution or integration of the technical solution, if it represents an improvement in the traceability solution problem. For this reason, the structure consists of the generic characteristics of a traceability structure: identification, record, data link and report.</w:t>
      </w:r>
      <w:r w:rsidR="003E5CEC">
        <w:t xml:space="preserve"> In the identification block, two property classes were defined: the definition of the logistic units and the lot with the same production process. In this way, the actors and each phase of the supply-chain could be considered, having considered the integrated logistic concept as a starting point. Each logistic unit has multiplicity 1, because it must be unique. The record block consists of the definition and recording of the key information useful for traceability and chosen thanks to the requirements analysis. The choice to extend the information set depends on the specific test case – implemented in a test case diagram – represented by a specific supply-chain and eventual single company. From the test cases diagram the requirements are verified and also eventual update. In this case, the multiplicity value may be 0…*, </w:t>
      </w:r>
      <w:r w:rsidR="00720D0A">
        <w:t>which</w:t>
      </w:r>
      <w:r w:rsidR="003E5CEC">
        <w:t xml:space="preserve"> means that the information could be recorded many times. The update depends on the chosen technical solution. The data link block starts from the necessity to record the link between the products and the logistic units during all supply-chain. Therefore, in this class block, three properties were set and identified: the link between production batches, the link between batches and logistic units, and the link between logistic units. Each property has multiplicity 1, because it must be unique. The report block is based on two attributes: the common language and the shared method. Both these must be realized between all stakeholders of the supply-chain. The report must be readable to all. Both attributes are linked to the need for clarity of information – expressed by consumers and companies - and also from the technical solution.</w:t>
      </w:r>
      <w:r w:rsidR="002D37B7">
        <w:t xml:space="preserve"> </w:t>
      </w:r>
      <w:r w:rsidR="002D37B7" w:rsidRPr="002D37B7">
        <w:t xml:space="preserve">Papyrus can validate directly the designed model, without going into the complicated simulations, especially in the case of a high level of abstraction, which would be missing some implementation parameters necessary for the simulation of the technical phase. This type of validation consists of a better and faster check of what has been developed through project simulations. </w:t>
      </w:r>
      <w:r w:rsidR="00FC1777">
        <w:t>Being</w:t>
      </w:r>
      <w:r w:rsidR="002D37B7" w:rsidRPr="002D37B7">
        <w:t xml:space="preserve"> able to quickly test the </w:t>
      </w:r>
      <w:r w:rsidR="009A1BAA" w:rsidRPr="002D37B7">
        <w:t>behavior</w:t>
      </w:r>
      <w:r w:rsidR="002D37B7" w:rsidRPr="002D37B7">
        <w:t>, one immediately realizes whether there are modelling and/or design errors or not.</w:t>
      </w:r>
    </w:p>
    <w:p w14:paraId="1095F717" w14:textId="77777777" w:rsidR="008469EF" w:rsidRDefault="00600535" w:rsidP="008469EF">
      <w:pPr>
        <w:pStyle w:val="CETHeading1"/>
        <w:rPr>
          <w:lang w:val="en-GB"/>
        </w:rPr>
      </w:pPr>
      <w:r w:rsidRPr="00B57B36">
        <w:rPr>
          <w:lang w:val="en-GB"/>
        </w:rPr>
        <w:t>Conclusions</w:t>
      </w:r>
    </w:p>
    <w:p w14:paraId="38BFE636" w14:textId="5A2ABE9D" w:rsidR="00280FAF" w:rsidRPr="00E377D0" w:rsidRDefault="008469EF" w:rsidP="008469EF">
      <w:pPr>
        <w:pStyle w:val="CETBodytext"/>
        <w:rPr>
          <w:rFonts w:eastAsia="SimSun"/>
        </w:rPr>
        <w:sectPr w:rsidR="00280FAF" w:rsidRPr="00E377D0" w:rsidSect="008469EF">
          <w:type w:val="continuous"/>
          <w:pgSz w:w="11906" w:h="16838" w:code="9"/>
          <w:pgMar w:top="1701" w:right="1418" w:bottom="1701" w:left="1701" w:header="1701" w:footer="0" w:gutter="0"/>
          <w:cols w:space="708"/>
          <w:formProt w:val="0"/>
          <w:titlePg/>
          <w:docGrid w:linePitch="360"/>
        </w:sectPr>
      </w:pPr>
      <w:r w:rsidRPr="008469EF">
        <w:rPr>
          <w:lang w:val="en-GB"/>
        </w:rPr>
        <w:t xml:space="preserve">Papyrus tool consents to make a basic simulation to understand the performance factors for the identified solution. Considering the high level of abstraction, for this </w:t>
      </w:r>
      <w:proofErr w:type="spellStart"/>
      <w:r w:rsidRPr="008469EF">
        <w:rPr>
          <w:lang w:val="en-GB"/>
        </w:rPr>
        <w:t>AgriFood</w:t>
      </w:r>
      <w:proofErr w:type="spellEnd"/>
      <w:r w:rsidRPr="008469EF">
        <w:rPr>
          <w:lang w:val="en-GB"/>
        </w:rPr>
        <w:t xml:space="preserve"> Traceability model, MBSE may help to trace requirements to implementation and verification artefacts in an automated way. </w:t>
      </w:r>
      <w:r w:rsidR="00963F57" w:rsidRPr="00963F57">
        <w:rPr>
          <w:lang w:val="en-GB"/>
        </w:rPr>
        <w:t xml:space="preserve">Requirements represent the core of this </w:t>
      </w:r>
      <w:proofErr w:type="spellStart"/>
      <w:r w:rsidR="00963F57" w:rsidRPr="00963F57">
        <w:rPr>
          <w:lang w:val="en-GB"/>
        </w:rPr>
        <w:t>AgriFood</w:t>
      </w:r>
      <w:proofErr w:type="spellEnd"/>
      <w:r w:rsidR="00963F57" w:rsidRPr="00963F57">
        <w:rPr>
          <w:lang w:val="en-GB"/>
        </w:rPr>
        <w:t xml:space="preserve"> Traceability system and it can be updated at each time, from the specifications of the system under consideration and also, from the technological solution adopted to respond to the needs of the system.</w:t>
      </w:r>
      <w:r w:rsidR="00D359B6">
        <w:rPr>
          <w:lang w:val="en-GB"/>
        </w:rPr>
        <w:t xml:space="preserve"> </w:t>
      </w:r>
      <w:r w:rsidRPr="008469EF">
        <w:rPr>
          <w:lang w:val="en-GB"/>
        </w:rPr>
        <w:t xml:space="preserve">The </w:t>
      </w:r>
      <w:proofErr w:type="spellStart"/>
      <w:r w:rsidRPr="008469EF">
        <w:rPr>
          <w:lang w:val="en-GB"/>
        </w:rPr>
        <w:t>AgriFood</w:t>
      </w:r>
      <w:proofErr w:type="spellEnd"/>
      <w:r w:rsidRPr="008469EF">
        <w:rPr>
          <w:lang w:val="en-GB"/>
        </w:rPr>
        <w:t xml:space="preserve"> Traceability model has been designed at this high abstraction level and thanks to Papyrus its validity has been verified. The validation check phase did not highlight any errors or warnings. Thus, the idea to design a traceability system for the entire agri-food supply-chain, starting from the requirements of the system seems to be correct. Additional performance values of the model will be evaluated after the choice of the technical solution adopted for traceability.</w:t>
      </w:r>
    </w:p>
    <w:p w14:paraId="4F1327F8" w14:textId="77777777" w:rsidR="00600535" w:rsidRPr="00B57B36" w:rsidRDefault="00600535" w:rsidP="00600535">
      <w:pPr>
        <w:pStyle w:val="CETReference"/>
      </w:pPr>
      <w:r w:rsidRPr="00B57B36">
        <w:t>References</w:t>
      </w:r>
    </w:p>
    <w:p w14:paraId="227AB465" w14:textId="77777777" w:rsidR="008469EF" w:rsidRDefault="008469EF" w:rsidP="00E7068D">
      <w:pPr>
        <w:widowControl w:val="0"/>
        <w:autoSpaceDE w:val="0"/>
        <w:autoSpaceDN w:val="0"/>
        <w:adjustRightInd w:val="0"/>
        <w:spacing w:line="240" w:lineRule="auto"/>
        <w:ind w:left="480" w:hanging="480"/>
        <w:sectPr w:rsidR="008469EF" w:rsidSect="008469EF">
          <w:type w:val="continuous"/>
          <w:pgSz w:w="11906" w:h="16838" w:code="9"/>
          <w:pgMar w:top="1701" w:right="1418" w:bottom="1701" w:left="1701" w:header="1701" w:footer="0" w:gutter="0"/>
          <w:cols w:space="708"/>
          <w:formProt w:val="0"/>
          <w:titlePg/>
          <w:docGrid w:linePitch="360"/>
        </w:sectPr>
      </w:pPr>
    </w:p>
    <w:p w14:paraId="3E55BE0C" w14:textId="3C5F8E6A" w:rsidR="00E7068D" w:rsidRPr="00E7068D" w:rsidRDefault="00C238F6" w:rsidP="00E7068D">
      <w:pPr>
        <w:widowControl w:val="0"/>
        <w:autoSpaceDE w:val="0"/>
        <w:autoSpaceDN w:val="0"/>
        <w:adjustRightInd w:val="0"/>
        <w:spacing w:line="240" w:lineRule="auto"/>
        <w:ind w:left="480" w:hanging="480"/>
        <w:rPr>
          <w:rFonts w:cs="Arial"/>
          <w:noProof/>
          <w:szCs w:val="24"/>
        </w:rPr>
      </w:pPr>
      <w:r>
        <w:fldChar w:fldCharType="begin" w:fldLock="1"/>
      </w:r>
      <w:r>
        <w:instrText xml:space="preserve">ADDIN Mendeley Bibliography CSL_BIBLIOGRAPHY </w:instrText>
      </w:r>
      <w:r>
        <w:fldChar w:fldCharType="separate"/>
      </w:r>
      <w:r w:rsidR="00E7068D" w:rsidRPr="00E7068D">
        <w:rPr>
          <w:rFonts w:cs="Arial"/>
          <w:noProof/>
          <w:szCs w:val="24"/>
        </w:rPr>
        <w:t xml:space="preserve">Delligatti, L. (2014). </w:t>
      </w:r>
      <w:r w:rsidR="00E7068D" w:rsidRPr="00E7068D">
        <w:rPr>
          <w:rFonts w:cs="Arial"/>
          <w:i/>
          <w:iCs/>
          <w:noProof/>
          <w:szCs w:val="24"/>
        </w:rPr>
        <w:t>SysML distilled : a brief guide to the systems modeling language</w:t>
      </w:r>
      <w:r w:rsidR="00E7068D" w:rsidRPr="00E7068D">
        <w:rPr>
          <w:rFonts w:cs="Arial"/>
          <w:noProof/>
          <w:szCs w:val="24"/>
        </w:rPr>
        <w:t>.</w:t>
      </w:r>
    </w:p>
    <w:p w14:paraId="7A68B70F" w14:textId="77777777" w:rsidR="00E7068D" w:rsidRPr="00E7068D" w:rsidRDefault="00E7068D" w:rsidP="00E7068D">
      <w:pPr>
        <w:widowControl w:val="0"/>
        <w:autoSpaceDE w:val="0"/>
        <w:autoSpaceDN w:val="0"/>
        <w:adjustRightInd w:val="0"/>
        <w:spacing w:line="240" w:lineRule="auto"/>
        <w:ind w:left="480" w:hanging="480"/>
        <w:rPr>
          <w:rFonts w:cs="Arial"/>
          <w:noProof/>
          <w:szCs w:val="24"/>
        </w:rPr>
      </w:pPr>
      <w:r w:rsidRPr="00E7068D">
        <w:rPr>
          <w:rFonts w:cs="Arial"/>
          <w:noProof/>
          <w:szCs w:val="24"/>
        </w:rPr>
        <w:t xml:space="preserve">Friedenthal, S., Moore, A., &amp; Steiner, R. (2014). A Practical Guide to SysML: The Systems Modeling Language, Third Edition. </w:t>
      </w:r>
      <w:r w:rsidRPr="00E7068D">
        <w:rPr>
          <w:rFonts w:cs="Arial"/>
          <w:i/>
          <w:iCs/>
          <w:noProof/>
          <w:szCs w:val="24"/>
        </w:rPr>
        <w:t>A Practical Guide to SysML: The Systems Modeling Language, Third Edition</w:t>
      </w:r>
      <w:r w:rsidRPr="00E7068D">
        <w:rPr>
          <w:rFonts w:cs="Arial"/>
          <w:noProof/>
          <w:szCs w:val="24"/>
        </w:rPr>
        <w:t>, 1–606. https://doi.org/10.1016/C2013-0-14457-1</w:t>
      </w:r>
    </w:p>
    <w:p w14:paraId="1E43BF73" w14:textId="77777777" w:rsidR="00E7068D" w:rsidRPr="00E7068D" w:rsidRDefault="00E7068D" w:rsidP="00E7068D">
      <w:pPr>
        <w:widowControl w:val="0"/>
        <w:autoSpaceDE w:val="0"/>
        <w:autoSpaceDN w:val="0"/>
        <w:adjustRightInd w:val="0"/>
        <w:spacing w:line="240" w:lineRule="auto"/>
        <w:ind w:left="480" w:hanging="480"/>
        <w:rPr>
          <w:rFonts w:cs="Arial"/>
          <w:noProof/>
          <w:szCs w:val="24"/>
        </w:rPr>
      </w:pPr>
      <w:r w:rsidRPr="00E7068D">
        <w:rPr>
          <w:rFonts w:cs="Arial"/>
          <w:noProof/>
          <w:szCs w:val="24"/>
        </w:rPr>
        <w:t xml:space="preserve">Ryan, M. J. (2013). 3.3.1 An Improved Taxonomy for Major Needs and Requirements Artifacts. </w:t>
      </w:r>
      <w:r w:rsidRPr="00E7068D">
        <w:rPr>
          <w:rFonts w:cs="Arial"/>
          <w:i/>
          <w:iCs/>
          <w:noProof/>
          <w:szCs w:val="24"/>
        </w:rPr>
        <w:t>INCOSE International Symposium</w:t>
      </w:r>
      <w:r w:rsidRPr="00E7068D">
        <w:rPr>
          <w:rFonts w:cs="Arial"/>
          <w:noProof/>
          <w:szCs w:val="24"/>
        </w:rPr>
        <w:t xml:space="preserve">, </w:t>
      </w:r>
      <w:r w:rsidRPr="00E7068D">
        <w:rPr>
          <w:rFonts w:cs="Arial"/>
          <w:i/>
          <w:iCs/>
          <w:noProof/>
          <w:szCs w:val="24"/>
        </w:rPr>
        <w:t>1</w:t>
      </w:r>
      <w:r w:rsidRPr="00E7068D">
        <w:rPr>
          <w:rFonts w:cs="Arial"/>
          <w:noProof/>
          <w:szCs w:val="24"/>
        </w:rPr>
        <w:t>. https://doi.org/10.1002/J.2334-5837.2013.TB03016.X</w:t>
      </w:r>
    </w:p>
    <w:p w14:paraId="28146224" w14:textId="77777777" w:rsidR="00E7068D" w:rsidRPr="00E7068D" w:rsidRDefault="00E7068D" w:rsidP="00E7068D">
      <w:pPr>
        <w:widowControl w:val="0"/>
        <w:autoSpaceDE w:val="0"/>
        <w:autoSpaceDN w:val="0"/>
        <w:adjustRightInd w:val="0"/>
        <w:spacing w:line="240" w:lineRule="auto"/>
        <w:ind w:left="480" w:hanging="480"/>
        <w:rPr>
          <w:rFonts w:cs="Arial"/>
          <w:noProof/>
          <w:szCs w:val="24"/>
        </w:rPr>
      </w:pPr>
      <w:r w:rsidRPr="00E7068D">
        <w:rPr>
          <w:rFonts w:cs="Arial"/>
          <w:noProof/>
          <w:szCs w:val="24"/>
        </w:rPr>
        <w:t xml:space="preserve">Stoewer, H. (2003). Modern Systems Engineering: A Driving Force for Industrial Competitivity! </w:t>
      </w:r>
      <w:r w:rsidRPr="00E7068D">
        <w:rPr>
          <w:rFonts w:cs="Arial"/>
          <w:i/>
          <w:iCs/>
          <w:noProof/>
          <w:szCs w:val="24"/>
        </w:rPr>
        <w:t>Proceedings. 11th IEEE International Requirements Engineering Conference, 2003.</w:t>
      </w:r>
      <w:r w:rsidRPr="00E7068D">
        <w:rPr>
          <w:rFonts w:cs="Arial"/>
          <w:noProof/>
          <w:szCs w:val="24"/>
        </w:rPr>
        <w:t>, 6–6. https://doi.org/10.1109/ICRE.2003.1232732</w:t>
      </w:r>
    </w:p>
    <w:p w14:paraId="59FC948A" w14:textId="68C61BB9" w:rsidR="008F6113" w:rsidRDefault="00E7068D" w:rsidP="0070432E">
      <w:pPr>
        <w:widowControl w:val="0"/>
        <w:autoSpaceDE w:val="0"/>
        <w:autoSpaceDN w:val="0"/>
        <w:adjustRightInd w:val="0"/>
        <w:spacing w:line="240" w:lineRule="auto"/>
        <w:ind w:left="480" w:hanging="480"/>
      </w:pPr>
      <w:r w:rsidRPr="00E7068D">
        <w:rPr>
          <w:rFonts w:cs="Arial"/>
          <w:i/>
          <w:iCs/>
          <w:noProof/>
          <w:szCs w:val="24"/>
        </w:rPr>
        <w:t>Technical Operations International Council on Systems Engineering (INCOSE)</w:t>
      </w:r>
      <w:r w:rsidRPr="00E7068D">
        <w:rPr>
          <w:rFonts w:cs="Arial"/>
          <w:noProof/>
          <w:szCs w:val="24"/>
        </w:rPr>
        <w:t>. (2007).</w:t>
      </w:r>
      <w:r w:rsidR="00C238F6">
        <w:fldChar w:fldCharType="end"/>
      </w:r>
    </w:p>
    <w:sectPr w:rsidR="008F6113"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6799B" w14:textId="77777777" w:rsidR="00544552" w:rsidRDefault="00544552" w:rsidP="004F5E36">
      <w:r>
        <w:separator/>
      </w:r>
    </w:p>
  </w:endnote>
  <w:endnote w:type="continuationSeparator" w:id="0">
    <w:p w14:paraId="6FB6575D" w14:textId="77777777" w:rsidR="00544552" w:rsidRDefault="0054455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AD00D" w14:textId="77777777" w:rsidR="00544552" w:rsidRDefault="00544552" w:rsidP="004F5E36">
      <w:r>
        <w:separator/>
      </w:r>
    </w:p>
  </w:footnote>
  <w:footnote w:type="continuationSeparator" w:id="0">
    <w:p w14:paraId="47E2DB3D" w14:textId="77777777" w:rsidR="00544552" w:rsidRDefault="00544552"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19F3490"/>
    <w:multiLevelType w:val="hybridMultilevel"/>
    <w:tmpl w:val="8EE20CDC"/>
    <w:lvl w:ilvl="0" w:tplc="A132881E">
      <w:numFmt w:val="bullet"/>
      <w:lvlText w:val="-"/>
      <w:lvlJc w:val="left"/>
      <w:pPr>
        <w:ind w:left="720" w:hanging="360"/>
      </w:pPr>
      <w:rPr>
        <w:rFonts w:ascii="inherit" w:eastAsia="Times New Roman" w:hAnsi="inherit"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2364235"/>
    <w:multiLevelType w:val="hybridMultilevel"/>
    <w:tmpl w:val="CD6C4BF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2"/>
  </w:num>
  <w:num w:numId="14" w16cid:durableId="145903400">
    <w:abstractNumId w:val="19"/>
  </w:num>
  <w:num w:numId="15" w16cid:durableId="19162326">
    <w:abstractNumId w:val="21"/>
  </w:num>
  <w:num w:numId="16" w16cid:durableId="1977102699">
    <w:abstractNumId w:val="20"/>
  </w:num>
  <w:num w:numId="17" w16cid:durableId="860774865">
    <w:abstractNumId w:val="11"/>
  </w:num>
  <w:num w:numId="18" w16cid:durableId="313221457">
    <w:abstractNumId w:val="12"/>
    <w:lvlOverride w:ilvl="0">
      <w:startOverride w:val="1"/>
    </w:lvlOverride>
  </w:num>
  <w:num w:numId="19" w16cid:durableId="534971577">
    <w:abstractNumId w:val="17"/>
  </w:num>
  <w:num w:numId="20" w16cid:durableId="1150947773">
    <w:abstractNumId w:val="16"/>
  </w:num>
  <w:num w:numId="21" w16cid:durableId="124660497">
    <w:abstractNumId w:val="14"/>
  </w:num>
  <w:num w:numId="22" w16cid:durableId="2099861471">
    <w:abstractNumId w:val="13"/>
  </w:num>
  <w:num w:numId="23" w16cid:durableId="1987200817">
    <w:abstractNumId w:val="22"/>
  </w:num>
  <w:num w:numId="24" w16cid:durableId="10818754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1A11"/>
    <w:rsid w:val="000121F2"/>
    <w:rsid w:val="0003148D"/>
    <w:rsid w:val="00031EEC"/>
    <w:rsid w:val="00046BA9"/>
    <w:rsid w:val="00051566"/>
    <w:rsid w:val="000562A9"/>
    <w:rsid w:val="00062A9A"/>
    <w:rsid w:val="00065058"/>
    <w:rsid w:val="00065574"/>
    <w:rsid w:val="00086C39"/>
    <w:rsid w:val="00092983"/>
    <w:rsid w:val="000A03B2"/>
    <w:rsid w:val="000D0268"/>
    <w:rsid w:val="000D2634"/>
    <w:rsid w:val="000D34BE"/>
    <w:rsid w:val="000E102F"/>
    <w:rsid w:val="000E36F1"/>
    <w:rsid w:val="000E3A73"/>
    <w:rsid w:val="000E414A"/>
    <w:rsid w:val="000F093C"/>
    <w:rsid w:val="000F1C19"/>
    <w:rsid w:val="000F787B"/>
    <w:rsid w:val="001039C5"/>
    <w:rsid w:val="00106660"/>
    <w:rsid w:val="00112D48"/>
    <w:rsid w:val="0012091F"/>
    <w:rsid w:val="00126BC2"/>
    <w:rsid w:val="001308B6"/>
    <w:rsid w:val="0013121F"/>
    <w:rsid w:val="00131FE6"/>
    <w:rsid w:val="0013263F"/>
    <w:rsid w:val="001331DF"/>
    <w:rsid w:val="00134DE4"/>
    <w:rsid w:val="0014034D"/>
    <w:rsid w:val="00144D16"/>
    <w:rsid w:val="00150E59"/>
    <w:rsid w:val="00151B57"/>
    <w:rsid w:val="00152DE3"/>
    <w:rsid w:val="00164CF9"/>
    <w:rsid w:val="001667A6"/>
    <w:rsid w:val="00184AD6"/>
    <w:rsid w:val="001A4AF7"/>
    <w:rsid w:val="001A715C"/>
    <w:rsid w:val="001B0349"/>
    <w:rsid w:val="001B1E93"/>
    <w:rsid w:val="001B65C1"/>
    <w:rsid w:val="001C5257"/>
    <w:rsid w:val="001C684B"/>
    <w:rsid w:val="001D0CFB"/>
    <w:rsid w:val="001D21AF"/>
    <w:rsid w:val="001D53FC"/>
    <w:rsid w:val="001F42A5"/>
    <w:rsid w:val="001F7B9D"/>
    <w:rsid w:val="00201C93"/>
    <w:rsid w:val="002022C1"/>
    <w:rsid w:val="00205EF0"/>
    <w:rsid w:val="002224B4"/>
    <w:rsid w:val="00227773"/>
    <w:rsid w:val="00240336"/>
    <w:rsid w:val="002447EF"/>
    <w:rsid w:val="00251550"/>
    <w:rsid w:val="00263B05"/>
    <w:rsid w:val="0027221A"/>
    <w:rsid w:val="00275B61"/>
    <w:rsid w:val="00280FAF"/>
    <w:rsid w:val="00282656"/>
    <w:rsid w:val="00296B83"/>
    <w:rsid w:val="00297832"/>
    <w:rsid w:val="002B4015"/>
    <w:rsid w:val="002B78CE"/>
    <w:rsid w:val="002C2FB6"/>
    <w:rsid w:val="002D37B7"/>
    <w:rsid w:val="002D5480"/>
    <w:rsid w:val="002E5FA7"/>
    <w:rsid w:val="002F3309"/>
    <w:rsid w:val="002F75AF"/>
    <w:rsid w:val="003008CE"/>
    <w:rsid w:val="003009B7"/>
    <w:rsid w:val="00300E56"/>
    <w:rsid w:val="0030152C"/>
    <w:rsid w:val="0030469C"/>
    <w:rsid w:val="00320EAE"/>
    <w:rsid w:val="00321CA6"/>
    <w:rsid w:val="00323763"/>
    <w:rsid w:val="00323C5F"/>
    <w:rsid w:val="00334C09"/>
    <w:rsid w:val="00337DAF"/>
    <w:rsid w:val="003723D4"/>
    <w:rsid w:val="00381905"/>
    <w:rsid w:val="0038224F"/>
    <w:rsid w:val="003822FF"/>
    <w:rsid w:val="00384CC8"/>
    <w:rsid w:val="003871FD"/>
    <w:rsid w:val="0039105B"/>
    <w:rsid w:val="003A1E30"/>
    <w:rsid w:val="003A2829"/>
    <w:rsid w:val="003A6FC6"/>
    <w:rsid w:val="003A7D1C"/>
    <w:rsid w:val="003B304B"/>
    <w:rsid w:val="003B3146"/>
    <w:rsid w:val="003E55B2"/>
    <w:rsid w:val="003E5CEC"/>
    <w:rsid w:val="003F015E"/>
    <w:rsid w:val="00400414"/>
    <w:rsid w:val="00406D6B"/>
    <w:rsid w:val="00410582"/>
    <w:rsid w:val="0041446B"/>
    <w:rsid w:val="0042545F"/>
    <w:rsid w:val="00425933"/>
    <w:rsid w:val="0044071E"/>
    <w:rsid w:val="0044329C"/>
    <w:rsid w:val="00453E24"/>
    <w:rsid w:val="00457456"/>
    <w:rsid w:val="004577FE"/>
    <w:rsid w:val="00457B9C"/>
    <w:rsid w:val="0046164A"/>
    <w:rsid w:val="004628D2"/>
    <w:rsid w:val="00462DCD"/>
    <w:rsid w:val="004648AD"/>
    <w:rsid w:val="004703A9"/>
    <w:rsid w:val="004760DE"/>
    <w:rsid w:val="004763D7"/>
    <w:rsid w:val="00483B5E"/>
    <w:rsid w:val="004969B5"/>
    <w:rsid w:val="004A004E"/>
    <w:rsid w:val="004A24CF"/>
    <w:rsid w:val="004B3F9B"/>
    <w:rsid w:val="004B4BF7"/>
    <w:rsid w:val="004C3D1D"/>
    <w:rsid w:val="004C3D84"/>
    <w:rsid w:val="004C7913"/>
    <w:rsid w:val="004E4DD6"/>
    <w:rsid w:val="004F5E36"/>
    <w:rsid w:val="00507B47"/>
    <w:rsid w:val="00507BEF"/>
    <w:rsid w:val="00507CC9"/>
    <w:rsid w:val="005119A5"/>
    <w:rsid w:val="00516AAC"/>
    <w:rsid w:val="00521D52"/>
    <w:rsid w:val="005278B7"/>
    <w:rsid w:val="00532016"/>
    <w:rsid w:val="00533322"/>
    <w:rsid w:val="005346C8"/>
    <w:rsid w:val="00543E7D"/>
    <w:rsid w:val="00544552"/>
    <w:rsid w:val="00547A68"/>
    <w:rsid w:val="005531C9"/>
    <w:rsid w:val="00556D7E"/>
    <w:rsid w:val="0055737F"/>
    <w:rsid w:val="00570C43"/>
    <w:rsid w:val="005B2110"/>
    <w:rsid w:val="005B61E6"/>
    <w:rsid w:val="005B6458"/>
    <w:rsid w:val="005C77E1"/>
    <w:rsid w:val="005D1711"/>
    <w:rsid w:val="005D668A"/>
    <w:rsid w:val="005D6A2F"/>
    <w:rsid w:val="005E1A82"/>
    <w:rsid w:val="005E794C"/>
    <w:rsid w:val="005E7B76"/>
    <w:rsid w:val="005F0A28"/>
    <w:rsid w:val="005F0E5E"/>
    <w:rsid w:val="00600535"/>
    <w:rsid w:val="006107F5"/>
    <w:rsid w:val="00610CD6"/>
    <w:rsid w:val="00620DEE"/>
    <w:rsid w:val="00621F92"/>
    <w:rsid w:val="0062280A"/>
    <w:rsid w:val="00625639"/>
    <w:rsid w:val="00631B33"/>
    <w:rsid w:val="00631FB7"/>
    <w:rsid w:val="0064184D"/>
    <w:rsid w:val="006422CC"/>
    <w:rsid w:val="00660E3E"/>
    <w:rsid w:val="00662E74"/>
    <w:rsid w:val="00667490"/>
    <w:rsid w:val="00680C23"/>
    <w:rsid w:val="0069364F"/>
    <w:rsid w:val="00693766"/>
    <w:rsid w:val="0069476D"/>
    <w:rsid w:val="00696932"/>
    <w:rsid w:val="006A0F12"/>
    <w:rsid w:val="006A17A1"/>
    <w:rsid w:val="006A3281"/>
    <w:rsid w:val="006B4888"/>
    <w:rsid w:val="006C2E45"/>
    <w:rsid w:val="006C359C"/>
    <w:rsid w:val="006C5579"/>
    <w:rsid w:val="006D3383"/>
    <w:rsid w:val="006D6E8B"/>
    <w:rsid w:val="006E47A6"/>
    <w:rsid w:val="006E737D"/>
    <w:rsid w:val="006F5F58"/>
    <w:rsid w:val="007026A5"/>
    <w:rsid w:val="0070432E"/>
    <w:rsid w:val="00707741"/>
    <w:rsid w:val="00712749"/>
    <w:rsid w:val="00713973"/>
    <w:rsid w:val="00720A24"/>
    <w:rsid w:val="00720D0A"/>
    <w:rsid w:val="00732386"/>
    <w:rsid w:val="0073514D"/>
    <w:rsid w:val="007447F3"/>
    <w:rsid w:val="0075499F"/>
    <w:rsid w:val="007550B7"/>
    <w:rsid w:val="007661C8"/>
    <w:rsid w:val="0077098D"/>
    <w:rsid w:val="00792BF0"/>
    <w:rsid w:val="007931FA"/>
    <w:rsid w:val="007952D8"/>
    <w:rsid w:val="007A4861"/>
    <w:rsid w:val="007A7BBA"/>
    <w:rsid w:val="007B0C50"/>
    <w:rsid w:val="007B48F9"/>
    <w:rsid w:val="007C1A43"/>
    <w:rsid w:val="007D0951"/>
    <w:rsid w:val="007D4B61"/>
    <w:rsid w:val="007F6AF4"/>
    <w:rsid w:val="0080013E"/>
    <w:rsid w:val="00813288"/>
    <w:rsid w:val="008168FC"/>
    <w:rsid w:val="00816ADE"/>
    <w:rsid w:val="00830996"/>
    <w:rsid w:val="008345F1"/>
    <w:rsid w:val="00843D24"/>
    <w:rsid w:val="008469EF"/>
    <w:rsid w:val="00856D6B"/>
    <w:rsid w:val="00865B07"/>
    <w:rsid w:val="008667EA"/>
    <w:rsid w:val="0087637F"/>
    <w:rsid w:val="00892AD5"/>
    <w:rsid w:val="008A1512"/>
    <w:rsid w:val="008B7C03"/>
    <w:rsid w:val="008D32B9"/>
    <w:rsid w:val="008D433B"/>
    <w:rsid w:val="008D4A16"/>
    <w:rsid w:val="008E566E"/>
    <w:rsid w:val="008F6113"/>
    <w:rsid w:val="0090161A"/>
    <w:rsid w:val="00901EB6"/>
    <w:rsid w:val="00902BB6"/>
    <w:rsid w:val="00904C62"/>
    <w:rsid w:val="00910A19"/>
    <w:rsid w:val="00922BA8"/>
    <w:rsid w:val="00924DAC"/>
    <w:rsid w:val="00927058"/>
    <w:rsid w:val="00942750"/>
    <w:rsid w:val="009450CE"/>
    <w:rsid w:val="009459BB"/>
    <w:rsid w:val="00947179"/>
    <w:rsid w:val="009479D7"/>
    <w:rsid w:val="0095164B"/>
    <w:rsid w:val="00954090"/>
    <w:rsid w:val="009573E7"/>
    <w:rsid w:val="00963E05"/>
    <w:rsid w:val="00963F57"/>
    <w:rsid w:val="00964A45"/>
    <w:rsid w:val="00965183"/>
    <w:rsid w:val="00967843"/>
    <w:rsid w:val="00967D54"/>
    <w:rsid w:val="00971028"/>
    <w:rsid w:val="0098190D"/>
    <w:rsid w:val="00990042"/>
    <w:rsid w:val="00993B84"/>
    <w:rsid w:val="00996483"/>
    <w:rsid w:val="00996F5A"/>
    <w:rsid w:val="009A1BAA"/>
    <w:rsid w:val="009B041A"/>
    <w:rsid w:val="009C37C3"/>
    <w:rsid w:val="009C7C86"/>
    <w:rsid w:val="009C7F2E"/>
    <w:rsid w:val="009D2FF7"/>
    <w:rsid w:val="009E7884"/>
    <w:rsid w:val="009E788A"/>
    <w:rsid w:val="009F0E08"/>
    <w:rsid w:val="009F2000"/>
    <w:rsid w:val="00A1763D"/>
    <w:rsid w:val="00A17CEC"/>
    <w:rsid w:val="00A2424D"/>
    <w:rsid w:val="00A27EF0"/>
    <w:rsid w:val="00A35289"/>
    <w:rsid w:val="00A42361"/>
    <w:rsid w:val="00A426C2"/>
    <w:rsid w:val="00A508EE"/>
    <w:rsid w:val="00A50B20"/>
    <w:rsid w:val="00A51390"/>
    <w:rsid w:val="00A52B96"/>
    <w:rsid w:val="00A56CF5"/>
    <w:rsid w:val="00A56ECD"/>
    <w:rsid w:val="00A60D13"/>
    <w:rsid w:val="00A7223D"/>
    <w:rsid w:val="00A72745"/>
    <w:rsid w:val="00A76EFC"/>
    <w:rsid w:val="00A87D50"/>
    <w:rsid w:val="00A91010"/>
    <w:rsid w:val="00A97C63"/>
    <w:rsid w:val="00A97F29"/>
    <w:rsid w:val="00AA702E"/>
    <w:rsid w:val="00AA7D26"/>
    <w:rsid w:val="00AB0964"/>
    <w:rsid w:val="00AB5011"/>
    <w:rsid w:val="00AC7368"/>
    <w:rsid w:val="00AD16B9"/>
    <w:rsid w:val="00AE377D"/>
    <w:rsid w:val="00AF0EBA"/>
    <w:rsid w:val="00B01B7E"/>
    <w:rsid w:val="00B02C8A"/>
    <w:rsid w:val="00B067C7"/>
    <w:rsid w:val="00B17FBD"/>
    <w:rsid w:val="00B315A6"/>
    <w:rsid w:val="00B31813"/>
    <w:rsid w:val="00B33365"/>
    <w:rsid w:val="00B335D6"/>
    <w:rsid w:val="00B4164D"/>
    <w:rsid w:val="00B5376A"/>
    <w:rsid w:val="00B57B36"/>
    <w:rsid w:val="00B57E6F"/>
    <w:rsid w:val="00B828FB"/>
    <w:rsid w:val="00B8686D"/>
    <w:rsid w:val="00B93F69"/>
    <w:rsid w:val="00BB1DDC"/>
    <w:rsid w:val="00BB359A"/>
    <w:rsid w:val="00BC30C9"/>
    <w:rsid w:val="00BD077D"/>
    <w:rsid w:val="00BD5AD5"/>
    <w:rsid w:val="00BE3825"/>
    <w:rsid w:val="00BE3E58"/>
    <w:rsid w:val="00BE7BE2"/>
    <w:rsid w:val="00C01616"/>
    <w:rsid w:val="00C0162B"/>
    <w:rsid w:val="00C068ED"/>
    <w:rsid w:val="00C15769"/>
    <w:rsid w:val="00C22E0C"/>
    <w:rsid w:val="00C238F6"/>
    <w:rsid w:val="00C345B1"/>
    <w:rsid w:val="00C36362"/>
    <w:rsid w:val="00C40142"/>
    <w:rsid w:val="00C505D9"/>
    <w:rsid w:val="00C52C3C"/>
    <w:rsid w:val="00C57182"/>
    <w:rsid w:val="00C57863"/>
    <w:rsid w:val="00C62F3D"/>
    <w:rsid w:val="00C640AF"/>
    <w:rsid w:val="00C655FD"/>
    <w:rsid w:val="00C75407"/>
    <w:rsid w:val="00C75848"/>
    <w:rsid w:val="00C870A8"/>
    <w:rsid w:val="00C94434"/>
    <w:rsid w:val="00C952E4"/>
    <w:rsid w:val="00C97806"/>
    <w:rsid w:val="00CA0D4A"/>
    <w:rsid w:val="00CA0D75"/>
    <w:rsid w:val="00CA1C95"/>
    <w:rsid w:val="00CA5A9C"/>
    <w:rsid w:val="00CC4C20"/>
    <w:rsid w:val="00CD3517"/>
    <w:rsid w:val="00CD5FE2"/>
    <w:rsid w:val="00CD7028"/>
    <w:rsid w:val="00CE187A"/>
    <w:rsid w:val="00CE7C68"/>
    <w:rsid w:val="00D02B4C"/>
    <w:rsid w:val="00D040C4"/>
    <w:rsid w:val="00D05623"/>
    <w:rsid w:val="00D20AD1"/>
    <w:rsid w:val="00D2223F"/>
    <w:rsid w:val="00D23202"/>
    <w:rsid w:val="00D249F1"/>
    <w:rsid w:val="00D343FC"/>
    <w:rsid w:val="00D34A5A"/>
    <w:rsid w:val="00D359B6"/>
    <w:rsid w:val="00D46B7E"/>
    <w:rsid w:val="00D57C84"/>
    <w:rsid w:val="00D6057D"/>
    <w:rsid w:val="00D648EC"/>
    <w:rsid w:val="00D66EE4"/>
    <w:rsid w:val="00D71640"/>
    <w:rsid w:val="00D836C5"/>
    <w:rsid w:val="00D84576"/>
    <w:rsid w:val="00D976E8"/>
    <w:rsid w:val="00DA1399"/>
    <w:rsid w:val="00DA24C6"/>
    <w:rsid w:val="00DA4D7B"/>
    <w:rsid w:val="00DD271C"/>
    <w:rsid w:val="00DD2897"/>
    <w:rsid w:val="00DE264A"/>
    <w:rsid w:val="00DE5F58"/>
    <w:rsid w:val="00DF5072"/>
    <w:rsid w:val="00E02D18"/>
    <w:rsid w:val="00E041E7"/>
    <w:rsid w:val="00E07F75"/>
    <w:rsid w:val="00E23CA1"/>
    <w:rsid w:val="00E33DD7"/>
    <w:rsid w:val="00E409A8"/>
    <w:rsid w:val="00E50C12"/>
    <w:rsid w:val="00E65B91"/>
    <w:rsid w:val="00E7068D"/>
    <w:rsid w:val="00E7209D"/>
    <w:rsid w:val="00E72EAD"/>
    <w:rsid w:val="00E73C49"/>
    <w:rsid w:val="00E77223"/>
    <w:rsid w:val="00E8528B"/>
    <w:rsid w:val="00E85B94"/>
    <w:rsid w:val="00E95CE5"/>
    <w:rsid w:val="00E978D0"/>
    <w:rsid w:val="00EA4613"/>
    <w:rsid w:val="00EA7F91"/>
    <w:rsid w:val="00EB1523"/>
    <w:rsid w:val="00EB292A"/>
    <w:rsid w:val="00EC0E49"/>
    <w:rsid w:val="00EC101F"/>
    <w:rsid w:val="00EC1D9F"/>
    <w:rsid w:val="00EE0131"/>
    <w:rsid w:val="00EE175A"/>
    <w:rsid w:val="00EE17B0"/>
    <w:rsid w:val="00EF06D9"/>
    <w:rsid w:val="00EF3E64"/>
    <w:rsid w:val="00F22639"/>
    <w:rsid w:val="00F3049E"/>
    <w:rsid w:val="00F30C64"/>
    <w:rsid w:val="00F32BA2"/>
    <w:rsid w:val="00F32CDB"/>
    <w:rsid w:val="00F46B2D"/>
    <w:rsid w:val="00F565FE"/>
    <w:rsid w:val="00F61976"/>
    <w:rsid w:val="00F63A70"/>
    <w:rsid w:val="00F63D8C"/>
    <w:rsid w:val="00F72171"/>
    <w:rsid w:val="00F7534E"/>
    <w:rsid w:val="00F93EDF"/>
    <w:rsid w:val="00FA1802"/>
    <w:rsid w:val="00FA21D0"/>
    <w:rsid w:val="00FA5F5F"/>
    <w:rsid w:val="00FB1FE4"/>
    <w:rsid w:val="00FB730C"/>
    <w:rsid w:val="00FC1777"/>
    <w:rsid w:val="00FC2695"/>
    <w:rsid w:val="00FC3E03"/>
    <w:rsid w:val="00FC3FC1"/>
    <w:rsid w:val="00FC59EC"/>
    <w:rsid w:val="00FD7A18"/>
    <w:rsid w:val="00FF6DE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Menzionenonrisolta">
    <w:name w:val="Unresolved Mention"/>
    <w:basedOn w:val="Carpredefinitoparagrafo"/>
    <w:uiPriority w:val="99"/>
    <w:semiHidden/>
    <w:unhideWhenUsed/>
    <w:rsid w:val="004B3F9B"/>
    <w:rPr>
      <w:color w:val="605E5C"/>
      <w:shd w:val="clear" w:color="auto" w:fill="E1DFDD"/>
    </w:rPr>
  </w:style>
  <w:style w:type="paragraph" w:styleId="Revisione">
    <w:name w:val="Revision"/>
    <w:hidden/>
    <w:uiPriority w:val="99"/>
    <w:semiHidden/>
    <w:rsid w:val="00EF3E64"/>
    <w:pPr>
      <w:spacing w:after="0" w:line="240" w:lineRule="auto"/>
    </w:pPr>
    <w:rPr>
      <w:rFonts w:ascii="Arial" w:eastAsia="Times New Roman" w:hAnsi="Arial" w:cs="Times New Roman"/>
      <w:sz w:val="18"/>
      <w:szCs w:val="20"/>
      <w:lang w:val="en-GB"/>
    </w:rPr>
  </w:style>
  <w:style w:type="character" w:customStyle="1" w:styleId="y2iqfc">
    <w:name w:val="y2iqfc"/>
    <w:basedOn w:val="Carpredefinitoparagrafo"/>
    <w:rsid w:val="00065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5671">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19427">
      <w:bodyDiv w:val="1"/>
      <w:marLeft w:val="0"/>
      <w:marRight w:val="0"/>
      <w:marTop w:val="0"/>
      <w:marBottom w:val="0"/>
      <w:divBdr>
        <w:top w:val="none" w:sz="0" w:space="0" w:color="auto"/>
        <w:left w:val="none" w:sz="0" w:space="0" w:color="auto"/>
        <w:bottom w:val="none" w:sz="0" w:space="0" w:color="auto"/>
        <w:right w:val="none" w:sz="0" w:space="0" w:color="auto"/>
      </w:divBdr>
    </w:div>
    <w:div w:id="1380470096">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iateresa.gaudio@unical.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6</Pages>
  <Words>5742</Words>
  <Characters>30720</Characters>
  <Application>Microsoft Office Word</Application>
  <DocSecurity>0</DocSecurity>
  <Lines>698</Lines>
  <Paragraphs>560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35902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maria teresa gaudio</cp:lastModifiedBy>
  <cp:revision>13</cp:revision>
  <cp:lastPrinted>2015-05-12T18:31:00Z</cp:lastPrinted>
  <dcterms:created xsi:type="dcterms:W3CDTF">2023-04-30T18:07:00Z</dcterms:created>
  <dcterms:modified xsi:type="dcterms:W3CDTF">2023-05-29T15:17:00Z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f3c2e0591a350d59b2dbf49a39688664770bde0c085484399424b276729774f0</vt:lpwstr>
  </property>
  <property fmtid="{D5CDD505-2E9C-101B-9397-08002B2CF9AE}" pid="5" name="Mendeley Document_1">
    <vt:lpwstr>True</vt:lpwstr>
  </property>
  <property fmtid="{D5CDD505-2E9C-101B-9397-08002B2CF9AE}" pid="6" name="Mendeley Unique User Id_1">
    <vt:lpwstr>92c6a805-9a0a-3454-a9be-82beedef1d79</vt:lpwstr>
  </property>
  <property fmtid="{D5CDD505-2E9C-101B-9397-08002B2CF9AE}" pid="7" name="Mendeley Citation Style_1">
    <vt:lpwstr>http://www.zotero.org/styles/apa</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http://www.zotero.org/styles/chemical-engineering-research-and-design</vt:lpwstr>
  </property>
  <property fmtid="{D5CDD505-2E9C-101B-9397-08002B2CF9AE}" pid="17" name="Mendeley Recent Style Name 4_1">
    <vt:lpwstr>Chemical Engineering Research and Design</vt:lpwstr>
  </property>
  <property fmtid="{D5CDD505-2E9C-101B-9397-08002B2CF9AE}" pid="18" name="Mendeley Recent Style Id 5_1">
    <vt:lpwstr>http://www.zotero.org/styles/environment-systems-and-decisions</vt:lpwstr>
  </property>
  <property fmtid="{D5CDD505-2E9C-101B-9397-08002B2CF9AE}" pid="19" name="Mendeley Recent Style Name 5_1">
    <vt:lpwstr>Environment Systems and Decisions</vt:lpwstr>
  </property>
  <property fmtid="{D5CDD505-2E9C-101B-9397-08002B2CF9AE}" pid="20" name="Mendeley Recent Style Id 6_1">
    <vt:lpwstr>http://www.zotero.org/styles/international-journal-of-food-science-and-technology</vt:lpwstr>
  </property>
  <property fmtid="{D5CDD505-2E9C-101B-9397-08002B2CF9AE}" pid="21" name="Mendeley Recent Style Name 6_1">
    <vt:lpwstr>International Journal of Food Science &amp; Technology</vt:lpwstr>
  </property>
  <property fmtid="{D5CDD505-2E9C-101B-9397-08002B2CF9AE}" pid="22" name="Mendeley Recent Style Id 7_1">
    <vt:lpwstr>http://www.zotero.org/styles/journal-of-food-science-and-technology</vt:lpwstr>
  </property>
  <property fmtid="{D5CDD505-2E9C-101B-9397-08002B2CF9AE}" pid="23" name="Mendeley Recent Style Name 7_1">
    <vt:lpwstr>Journal of Food Science and Technology</vt:lpwstr>
  </property>
  <property fmtid="{D5CDD505-2E9C-101B-9397-08002B2CF9AE}" pid="24" name="Mendeley Recent Style Id 8_1">
    <vt:lpwstr>http://www.zotero.org/styles/processes</vt:lpwstr>
  </property>
  <property fmtid="{D5CDD505-2E9C-101B-9397-08002B2CF9AE}" pid="25" name="Mendeley Recent Style Name 8_1">
    <vt:lpwstr>Processes</vt:lpwstr>
  </property>
  <property fmtid="{D5CDD505-2E9C-101B-9397-08002B2CF9AE}" pid="26" name="Mendeley Recent Style Id 9_1">
    <vt:lpwstr>http://www.zotero.org/styles/university-of-york-apa</vt:lpwstr>
  </property>
  <property fmtid="{D5CDD505-2E9C-101B-9397-08002B2CF9AE}" pid="27" name="Mendeley Recent Style Name 9_1">
    <vt:lpwstr>University of York - APA 6th edition</vt:lpwstr>
  </property>
</Properties>
</file>