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421829" w14:paraId="2A131A54" w14:textId="77777777" w:rsidTr="007B6314">
        <w:trPr>
          <w:trHeight w:val="852"/>
          <w:jc w:val="center"/>
        </w:trPr>
        <w:tc>
          <w:tcPr>
            <w:tcW w:w="6940" w:type="dxa"/>
            <w:vMerge w:val="restart"/>
            <w:tcBorders>
              <w:right w:val="single" w:sz="4" w:space="0" w:color="auto"/>
            </w:tcBorders>
          </w:tcPr>
          <w:p w14:paraId="38C3D2BA" w14:textId="77777777" w:rsidR="000A03B2" w:rsidRPr="00421829" w:rsidRDefault="000A03B2" w:rsidP="0099191A">
            <w:pPr>
              <w:tabs>
                <w:tab w:val="left" w:pos="-108"/>
              </w:tabs>
              <w:spacing w:line="240" w:lineRule="auto"/>
              <w:ind w:left="-108"/>
              <w:jc w:val="left"/>
              <w:rPr>
                <w:rFonts w:cs="Arial"/>
                <w:b/>
                <w:bCs/>
                <w:i/>
                <w:iCs/>
                <w:color w:val="000066"/>
                <w:sz w:val="12"/>
                <w:szCs w:val="12"/>
                <w:lang w:eastAsia="it-IT"/>
              </w:rPr>
            </w:pPr>
            <w:r w:rsidRPr="00421829">
              <w:rPr>
                <w:rFonts w:cs="Arial"/>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421829">
              <w:rPr>
                <w:rFonts w:cs="Arial"/>
                <w:color w:val="241F20"/>
                <w:szCs w:val="18"/>
                <w:lang w:eastAsia="it-IT"/>
              </w:rPr>
              <w:t xml:space="preserve"> </w:t>
            </w:r>
            <w:r w:rsidRPr="00421829">
              <w:rPr>
                <w:rFonts w:cs="Arial"/>
                <w:b/>
                <w:bCs/>
                <w:i/>
                <w:iCs/>
                <w:color w:val="000066"/>
                <w:sz w:val="24"/>
                <w:szCs w:val="24"/>
                <w:lang w:eastAsia="it-IT"/>
              </w:rPr>
              <w:t>CHEMICAL ENGINEERING</w:t>
            </w:r>
            <w:r w:rsidRPr="00421829">
              <w:rPr>
                <w:rFonts w:cs="Arial"/>
                <w:b/>
                <w:bCs/>
                <w:i/>
                <w:iCs/>
                <w:color w:val="0033FF"/>
                <w:sz w:val="24"/>
                <w:szCs w:val="24"/>
                <w:lang w:eastAsia="it-IT"/>
              </w:rPr>
              <w:t xml:space="preserve"> </w:t>
            </w:r>
            <w:r w:rsidRPr="00421829">
              <w:rPr>
                <w:rFonts w:cs="Arial"/>
                <w:b/>
                <w:bCs/>
                <w:i/>
                <w:iCs/>
                <w:color w:val="666666"/>
                <w:sz w:val="24"/>
                <w:szCs w:val="24"/>
                <w:lang w:eastAsia="it-IT"/>
              </w:rPr>
              <w:t>TRANSACTIONS</w:t>
            </w:r>
            <w:r w:rsidRPr="00421829">
              <w:rPr>
                <w:rFonts w:cs="Arial"/>
                <w:color w:val="333333"/>
                <w:sz w:val="24"/>
                <w:szCs w:val="24"/>
                <w:lang w:eastAsia="it-IT"/>
              </w:rPr>
              <w:t xml:space="preserve"> </w:t>
            </w:r>
            <w:r w:rsidRPr="00421829">
              <w:rPr>
                <w:rFonts w:cs="Arial"/>
                <w:b/>
                <w:bCs/>
                <w:i/>
                <w:iCs/>
                <w:color w:val="000066"/>
                <w:sz w:val="27"/>
                <w:szCs w:val="27"/>
                <w:lang w:eastAsia="it-IT"/>
              </w:rPr>
              <w:br/>
            </w:r>
          </w:p>
          <w:p w14:paraId="4B780582" w14:textId="530285EB" w:rsidR="000A03B2" w:rsidRPr="00421829" w:rsidRDefault="00A76EFC" w:rsidP="0099191A">
            <w:pPr>
              <w:tabs>
                <w:tab w:val="left" w:pos="-108"/>
              </w:tabs>
              <w:spacing w:line="240" w:lineRule="auto"/>
              <w:ind w:left="-108"/>
              <w:rPr>
                <w:rFonts w:cs="Arial"/>
                <w:b/>
                <w:bCs/>
                <w:i/>
                <w:iCs/>
                <w:color w:val="000066"/>
                <w:sz w:val="22"/>
                <w:szCs w:val="22"/>
                <w:lang w:eastAsia="it-IT"/>
              </w:rPr>
            </w:pPr>
            <w:r w:rsidRPr="00421829">
              <w:rPr>
                <w:rFonts w:cs="Arial"/>
                <w:b/>
                <w:bCs/>
                <w:i/>
                <w:iCs/>
                <w:color w:val="000066"/>
                <w:sz w:val="22"/>
                <w:szCs w:val="22"/>
                <w:lang w:eastAsia="it-IT"/>
              </w:rPr>
              <w:t xml:space="preserve">VOL. </w:t>
            </w:r>
            <w:r w:rsidR="0030152C" w:rsidRPr="00421829">
              <w:rPr>
                <w:rFonts w:cs="Arial"/>
                <w:b/>
                <w:bCs/>
                <w:i/>
                <w:iCs/>
                <w:color w:val="000066"/>
                <w:sz w:val="22"/>
                <w:szCs w:val="22"/>
                <w:lang w:eastAsia="it-IT"/>
              </w:rPr>
              <w:t xml:space="preserve">   </w:t>
            </w:r>
            <w:r w:rsidR="007B48F9" w:rsidRPr="00421829">
              <w:rPr>
                <w:rFonts w:cs="Arial"/>
                <w:b/>
                <w:bCs/>
                <w:i/>
                <w:iCs/>
                <w:color w:val="000066"/>
                <w:sz w:val="22"/>
                <w:szCs w:val="22"/>
                <w:lang w:eastAsia="it-IT"/>
              </w:rPr>
              <w:t>,</w:t>
            </w:r>
            <w:r w:rsidR="00FA5F5F" w:rsidRPr="00421829">
              <w:rPr>
                <w:rFonts w:cs="Arial"/>
                <w:b/>
                <w:bCs/>
                <w:i/>
                <w:iCs/>
                <w:color w:val="000066"/>
                <w:sz w:val="22"/>
                <w:szCs w:val="22"/>
                <w:lang w:eastAsia="it-IT"/>
              </w:rPr>
              <w:t xml:space="preserve"> </w:t>
            </w:r>
            <w:r w:rsidR="0030152C" w:rsidRPr="00421829">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421829" w:rsidRDefault="000A03B2" w:rsidP="0099191A">
            <w:pPr>
              <w:spacing w:line="240" w:lineRule="auto"/>
              <w:jc w:val="right"/>
              <w:rPr>
                <w:rFonts w:cs="Arial"/>
                <w:sz w:val="14"/>
                <w:szCs w:val="14"/>
              </w:rPr>
            </w:pPr>
            <w:r w:rsidRPr="00421829">
              <w:rPr>
                <w:rFonts w:cs="Arial"/>
                <w:sz w:val="14"/>
                <w:szCs w:val="14"/>
              </w:rPr>
              <w:t>A publication of</w:t>
            </w:r>
          </w:p>
          <w:p w14:paraId="599E5441" w14:textId="77777777" w:rsidR="000A03B2" w:rsidRPr="00421829" w:rsidRDefault="000A03B2" w:rsidP="0099191A">
            <w:pPr>
              <w:spacing w:line="240" w:lineRule="auto"/>
              <w:jc w:val="right"/>
              <w:rPr>
                <w:rFonts w:cs="Arial"/>
              </w:rPr>
            </w:pPr>
            <w:r w:rsidRPr="00421829">
              <w:rPr>
                <w:rFonts w:cs="Arial"/>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421829" w14:paraId="380FA3CD" w14:textId="77777777" w:rsidTr="007B6314">
        <w:trPr>
          <w:trHeight w:val="567"/>
          <w:jc w:val="center"/>
        </w:trPr>
        <w:tc>
          <w:tcPr>
            <w:tcW w:w="6940" w:type="dxa"/>
            <w:vMerge/>
            <w:tcBorders>
              <w:right w:val="single" w:sz="4" w:space="0" w:color="auto"/>
            </w:tcBorders>
          </w:tcPr>
          <w:p w14:paraId="39E5E4C1" w14:textId="77777777" w:rsidR="000A03B2" w:rsidRPr="00421829" w:rsidRDefault="000A03B2" w:rsidP="0099191A">
            <w:pPr>
              <w:tabs>
                <w:tab w:val="left" w:pos="-108"/>
              </w:tabs>
              <w:spacing w:line="240" w:lineRule="auto"/>
              <w:rPr>
                <w:rFonts w:cs="Arial"/>
              </w:rPr>
            </w:pPr>
          </w:p>
        </w:tc>
        <w:tc>
          <w:tcPr>
            <w:tcW w:w="1842" w:type="dxa"/>
            <w:tcBorders>
              <w:left w:val="single" w:sz="4" w:space="0" w:color="auto"/>
              <w:bottom w:val="nil"/>
              <w:right w:val="single" w:sz="4" w:space="0" w:color="auto"/>
            </w:tcBorders>
          </w:tcPr>
          <w:p w14:paraId="43858A98" w14:textId="77777777" w:rsidR="000A03B2" w:rsidRPr="00421829" w:rsidRDefault="000A03B2" w:rsidP="0099191A">
            <w:pPr>
              <w:spacing w:line="240" w:lineRule="auto"/>
              <w:jc w:val="right"/>
              <w:rPr>
                <w:rFonts w:cs="Arial"/>
                <w:sz w:val="14"/>
                <w:szCs w:val="14"/>
              </w:rPr>
            </w:pPr>
            <w:r w:rsidRPr="00421829">
              <w:rPr>
                <w:rFonts w:cs="Arial"/>
                <w:sz w:val="14"/>
                <w:szCs w:val="14"/>
              </w:rPr>
              <w:t>The Italian Association</w:t>
            </w:r>
          </w:p>
          <w:p w14:paraId="7522B1D2" w14:textId="77777777" w:rsidR="000A03B2" w:rsidRPr="00421829" w:rsidRDefault="000A03B2" w:rsidP="0099191A">
            <w:pPr>
              <w:spacing w:line="240" w:lineRule="auto"/>
              <w:jc w:val="right"/>
              <w:rPr>
                <w:rFonts w:cs="Arial"/>
                <w:sz w:val="14"/>
                <w:szCs w:val="14"/>
              </w:rPr>
            </w:pPr>
            <w:r w:rsidRPr="00421829">
              <w:rPr>
                <w:rFonts w:cs="Arial"/>
                <w:sz w:val="14"/>
                <w:szCs w:val="14"/>
              </w:rPr>
              <w:t>of Chemical Engineering</w:t>
            </w:r>
          </w:p>
          <w:p w14:paraId="4F0CC5DE" w14:textId="47FDB2FC" w:rsidR="000A03B2" w:rsidRPr="00421829" w:rsidRDefault="000D0268" w:rsidP="0099191A">
            <w:pPr>
              <w:spacing w:line="240" w:lineRule="auto"/>
              <w:jc w:val="right"/>
              <w:rPr>
                <w:rFonts w:cs="Arial"/>
                <w:sz w:val="13"/>
                <w:szCs w:val="13"/>
              </w:rPr>
            </w:pPr>
            <w:r w:rsidRPr="00421829">
              <w:rPr>
                <w:rFonts w:cs="Arial"/>
                <w:sz w:val="13"/>
                <w:szCs w:val="13"/>
              </w:rPr>
              <w:t>Online at www.cetjournal.it</w:t>
            </w:r>
          </w:p>
        </w:tc>
      </w:tr>
      <w:tr w:rsidR="000A03B2" w:rsidRPr="00421829" w14:paraId="2D1B7169" w14:textId="77777777" w:rsidTr="007B6314">
        <w:trPr>
          <w:trHeight w:val="68"/>
          <w:jc w:val="center"/>
        </w:trPr>
        <w:tc>
          <w:tcPr>
            <w:tcW w:w="8782" w:type="dxa"/>
            <w:gridSpan w:val="2"/>
          </w:tcPr>
          <w:p w14:paraId="1D8DD3C9" w14:textId="06DCB7F6" w:rsidR="00AA7D26" w:rsidRPr="00421829" w:rsidRDefault="00AA7D26" w:rsidP="0099191A">
            <w:pPr>
              <w:spacing w:line="240" w:lineRule="auto"/>
              <w:ind w:left="-107"/>
              <w:outlineLvl w:val="2"/>
              <w:rPr>
                <w:rFonts w:cs="Arial"/>
                <w:bCs/>
                <w:color w:val="000000"/>
                <w:sz w:val="14"/>
                <w:szCs w:val="14"/>
                <w:lang w:val="it-IT" w:eastAsia="it-IT"/>
              </w:rPr>
            </w:pPr>
            <w:r w:rsidRPr="00421829">
              <w:rPr>
                <w:rFonts w:cs="Arial"/>
                <w:iCs/>
                <w:color w:val="333333"/>
                <w:sz w:val="14"/>
                <w:szCs w:val="14"/>
                <w:lang w:val="it-IT" w:eastAsia="it-IT"/>
              </w:rPr>
              <w:t>Guest Editors:</w:t>
            </w:r>
            <w:r w:rsidRPr="00421829">
              <w:rPr>
                <w:rFonts w:cs="Arial"/>
                <w:color w:val="000000"/>
                <w:sz w:val="14"/>
                <w:szCs w:val="14"/>
                <w:shd w:val="clear" w:color="auto" w:fill="FFFFFF"/>
                <w:lang w:val="it-IT"/>
              </w:rPr>
              <w:t xml:space="preserve"> </w:t>
            </w:r>
            <w:r w:rsidR="003A6FC6" w:rsidRPr="00421829">
              <w:rPr>
                <w:rFonts w:cs="Arial"/>
                <w:color w:val="000000"/>
                <w:sz w:val="14"/>
                <w:szCs w:val="14"/>
                <w:shd w:val="clear" w:color="auto" w:fill="FFFFFF"/>
                <w:lang w:val="it-IT"/>
              </w:rPr>
              <w:t>Laura Piazza, Mauro Moresi, Francesco Donsì</w:t>
            </w:r>
          </w:p>
          <w:p w14:paraId="1B0F1814" w14:textId="617BA86D" w:rsidR="000A03B2" w:rsidRPr="00421829" w:rsidRDefault="00AA7D26" w:rsidP="0099191A">
            <w:pPr>
              <w:tabs>
                <w:tab w:val="left" w:pos="-108"/>
              </w:tabs>
              <w:spacing w:line="240" w:lineRule="auto"/>
              <w:ind w:left="-107"/>
              <w:jc w:val="left"/>
              <w:rPr>
                <w:rFonts w:cs="Arial"/>
              </w:rPr>
            </w:pPr>
            <w:r w:rsidRPr="00421829">
              <w:rPr>
                <w:rFonts w:cs="Arial"/>
                <w:iCs/>
                <w:color w:val="333333"/>
                <w:sz w:val="14"/>
                <w:szCs w:val="14"/>
                <w:lang w:eastAsia="it-IT"/>
              </w:rPr>
              <w:t>Copyright © 2023, AIDIC Servizi S.r.l.</w:t>
            </w:r>
            <w:r w:rsidRPr="00421829">
              <w:rPr>
                <w:rFonts w:cs="Arial"/>
                <w:iCs/>
                <w:color w:val="333333"/>
                <w:sz w:val="14"/>
                <w:szCs w:val="14"/>
                <w:lang w:eastAsia="it-IT"/>
              </w:rPr>
              <w:br/>
            </w:r>
            <w:r w:rsidRPr="00421829">
              <w:rPr>
                <w:rFonts w:cs="Arial"/>
                <w:b/>
                <w:iCs/>
                <w:color w:val="000000"/>
                <w:sz w:val="14"/>
                <w:szCs w:val="14"/>
                <w:lang w:eastAsia="it-IT"/>
              </w:rPr>
              <w:t>ISBN</w:t>
            </w:r>
            <w:r w:rsidRPr="00421829">
              <w:rPr>
                <w:rFonts w:cs="Arial"/>
                <w:iCs/>
                <w:color w:val="000000"/>
                <w:sz w:val="14"/>
                <w:szCs w:val="14"/>
                <w:lang w:eastAsia="it-IT"/>
              </w:rPr>
              <w:t xml:space="preserve"> </w:t>
            </w:r>
            <w:r w:rsidR="008B7C03" w:rsidRPr="00421829">
              <w:rPr>
                <w:rFonts w:cs="Arial"/>
                <w:sz w:val="14"/>
                <w:szCs w:val="14"/>
              </w:rPr>
              <w:t>979-12-81206</w:t>
            </w:r>
            <w:r w:rsidRPr="00421829">
              <w:rPr>
                <w:rFonts w:cs="Arial"/>
                <w:sz w:val="14"/>
                <w:szCs w:val="14"/>
              </w:rPr>
              <w:t>-</w:t>
            </w:r>
            <w:r w:rsidR="00E33DD7" w:rsidRPr="00421829">
              <w:rPr>
                <w:rFonts w:cs="Arial"/>
                <w:sz w:val="14"/>
                <w:szCs w:val="14"/>
              </w:rPr>
              <w:t>0</w:t>
            </w:r>
            <w:r w:rsidR="003A6FC6" w:rsidRPr="00421829">
              <w:rPr>
                <w:rFonts w:cs="Arial"/>
                <w:sz w:val="14"/>
                <w:szCs w:val="14"/>
              </w:rPr>
              <w:t>1</w:t>
            </w:r>
            <w:r w:rsidRPr="00421829">
              <w:rPr>
                <w:rFonts w:cs="Arial"/>
                <w:sz w:val="14"/>
                <w:szCs w:val="14"/>
              </w:rPr>
              <w:t>-</w:t>
            </w:r>
            <w:r w:rsidR="003A6FC6" w:rsidRPr="00421829">
              <w:rPr>
                <w:rFonts w:cs="Arial"/>
                <w:sz w:val="14"/>
                <w:szCs w:val="14"/>
              </w:rPr>
              <w:t>4</w:t>
            </w:r>
            <w:r w:rsidRPr="00421829">
              <w:rPr>
                <w:rFonts w:cs="Arial"/>
                <w:iCs/>
                <w:color w:val="333333"/>
                <w:sz w:val="14"/>
                <w:szCs w:val="14"/>
                <w:lang w:eastAsia="it-IT"/>
              </w:rPr>
              <w:t xml:space="preserve">; </w:t>
            </w:r>
            <w:r w:rsidRPr="00421829">
              <w:rPr>
                <w:rFonts w:cs="Arial"/>
                <w:b/>
                <w:iCs/>
                <w:color w:val="333333"/>
                <w:sz w:val="14"/>
                <w:szCs w:val="14"/>
                <w:lang w:eastAsia="it-IT"/>
              </w:rPr>
              <w:t>ISSN</w:t>
            </w:r>
            <w:r w:rsidRPr="00421829">
              <w:rPr>
                <w:rFonts w:cs="Arial"/>
                <w:iCs/>
                <w:color w:val="333333"/>
                <w:sz w:val="14"/>
                <w:szCs w:val="14"/>
                <w:lang w:eastAsia="it-IT"/>
              </w:rPr>
              <w:t xml:space="preserve"> 2283-9216</w:t>
            </w:r>
          </w:p>
        </w:tc>
      </w:tr>
    </w:tbl>
    <w:p w14:paraId="5A680622" w14:textId="77777777" w:rsidR="007B6314" w:rsidRPr="00421829" w:rsidRDefault="007B6314" w:rsidP="0099191A">
      <w:pPr>
        <w:tabs>
          <w:tab w:val="clear" w:pos="7100"/>
        </w:tabs>
        <w:spacing w:before="240" w:after="240" w:line="240" w:lineRule="auto"/>
        <w:jc w:val="center"/>
        <w:rPr>
          <w:rFonts w:cs="Arial"/>
          <w:sz w:val="24"/>
          <w:szCs w:val="24"/>
          <w:lang w:eastAsia="it-IT"/>
        </w:rPr>
      </w:pPr>
      <w:r w:rsidRPr="00421829">
        <w:rPr>
          <w:rFonts w:cs="Arial"/>
          <w:b/>
          <w:bCs/>
          <w:color w:val="000000"/>
          <w:sz w:val="28"/>
          <w:szCs w:val="28"/>
          <w:lang w:eastAsia="it-IT"/>
        </w:rPr>
        <w:t>Real-time Continuous IoT-TT Spectrum as a Predictor of Plant Health and Fruit Quality in 'Soreli' kiwifruit</w:t>
      </w:r>
    </w:p>
    <w:p w14:paraId="519259AD" w14:textId="34A0E663" w:rsidR="007B6314" w:rsidRPr="00421829" w:rsidRDefault="007B6314" w:rsidP="0099191A">
      <w:pPr>
        <w:pStyle w:val="CETAuthors"/>
        <w:spacing w:line="240" w:lineRule="auto"/>
        <w:rPr>
          <w:rFonts w:cs="Arial"/>
          <w:szCs w:val="24"/>
          <w:lang w:val="it-IT" w:eastAsia="it-IT"/>
        </w:rPr>
      </w:pPr>
      <w:r w:rsidRPr="00421829">
        <w:rPr>
          <w:rFonts w:cs="Arial"/>
          <w:lang w:val="it-IT"/>
        </w:rPr>
        <w:t>Micaela Lembo</w:t>
      </w:r>
      <w:r w:rsidR="00AE40AE" w:rsidRPr="00421829">
        <w:rPr>
          <w:rFonts w:cs="Arial"/>
          <w:vertAlign w:val="superscript"/>
          <w:lang w:val="it-IT"/>
        </w:rPr>
        <w:t>*</w:t>
      </w:r>
      <w:r w:rsidR="00B57E6F" w:rsidRPr="00421829">
        <w:rPr>
          <w:rFonts w:cs="Arial"/>
          <w:lang w:val="it-IT"/>
        </w:rPr>
        <w:t xml:space="preserve">, </w:t>
      </w:r>
      <w:r w:rsidRPr="00421829">
        <w:rPr>
          <w:rFonts w:cs="Arial"/>
          <w:lang w:val="it-IT"/>
        </w:rPr>
        <w:t>Shahla Asgharinia</w:t>
      </w:r>
      <w:r w:rsidR="00B57E6F" w:rsidRPr="00421829">
        <w:rPr>
          <w:rFonts w:cs="Arial"/>
          <w:lang w:val="it-IT"/>
        </w:rPr>
        <w:t>,</w:t>
      </w:r>
      <w:r w:rsidRPr="00421829">
        <w:rPr>
          <w:rFonts w:cs="Arial"/>
          <w:lang w:val="it-IT"/>
        </w:rPr>
        <w:t xml:space="preserve"> Vanessa Eramo, Roberto Forniti, Riccardo Valentini, Rinaldo Botondi</w:t>
      </w:r>
      <w:r w:rsidR="00AE40AE" w:rsidRPr="00421829">
        <w:rPr>
          <w:rFonts w:cs="Arial"/>
          <w:lang w:val="it-IT"/>
        </w:rPr>
        <w:t xml:space="preserve"> </w:t>
      </w:r>
    </w:p>
    <w:p w14:paraId="3D72B0B0" w14:textId="3B0394D7" w:rsidR="00B57E6F" w:rsidRPr="00421829" w:rsidRDefault="00BB0F38" w:rsidP="0099191A">
      <w:pPr>
        <w:pStyle w:val="CETAddress"/>
        <w:spacing w:line="240" w:lineRule="auto"/>
        <w:rPr>
          <w:rFonts w:cs="Arial"/>
        </w:rPr>
      </w:pPr>
      <w:r w:rsidRPr="00421829">
        <w:rPr>
          <w:rFonts w:cs="Arial"/>
        </w:rPr>
        <w:t>Department for Innovation in Biological, Agro-food and Forest Systems (DIBAF), Tuscia University, Via San Camillo de Lellis snc 01100 Viterbo (VT), Italy.</w:t>
      </w:r>
    </w:p>
    <w:p w14:paraId="73F1267A" w14:textId="72D4C3DF" w:rsidR="00B57E6F" w:rsidRPr="00421829" w:rsidRDefault="00BB0F38" w:rsidP="0099191A">
      <w:pPr>
        <w:pStyle w:val="CETemail"/>
        <w:spacing w:line="240" w:lineRule="auto"/>
        <w:rPr>
          <w:rFonts w:cs="Arial"/>
        </w:rPr>
      </w:pPr>
      <w:r w:rsidRPr="00421829">
        <w:rPr>
          <w:rFonts w:cs="Arial"/>
        </w:rPr>
        <w:t xml:space="preserve">* Corresponding author: </w:t>
      </w:r>
      <w:hyperlink r:id="rId10" w:history="1">
        <w:r w:rsidR="00A6067D" w:rsidRPr="00421829">
          <w:rPr>
            <w:rStyle w:val="Collegamentoipertestuale"/>
            <w:rFonts w:cs="Arial"/>
          </w:rPr>
          <w:t>micaela.lembo@unitus.it</w:t>
        </w:r>
      </w:hyperlink>
    </w:p>
    <w:p w14:paraId="04856429" w14:textId="76455218" w:rsidR="00A6067D" w:rsidRPr="00B564BB" w:rsidRDefault="00F71694" w:rsidP="0099191A">
      <w:pPr>
        <w:pStyle w:val="CETBodytext"/>
        <w:spacing w:line="240" w:lineRule="auto"/>
        <w:rPr>
          <w:rFonts w:cs="Arial"/>
          <w:lang w:val="en-GB"/>
        </w:rPr>
      </w:pPr>
      <w:r w:rsidRPr="00F71694">
        <w:rPr>
          <w:rFonts w:cs="Arial"/>
          <w:lang w:val="en-GB"/>
        </w:rPr>
        <w:t>The kiwifruit, for which Italy is the second largest producer in the world, is derived from a fruit vine that requires a significant amount of water for proper growth and the production of high-quality fruit. This study aims to investigate the ideal irrigation strategy to ensure an adequate water supply for robust root development, vibrant foliage, and successful fruit production. To achieve this goal, three experimental plots of Soreli kiwifruit vineyards were subjected to different water regimes: full irrigation (100%) and two plots with 80% and 60% irrigation. Each irrigation group was equipped with an Internet of Things (IoT) TT Spectrum, which measured reflected spectrometer data in 12 bands ranging from 450 to 860 nm in real time. Additionally, a soil sensor was used to determine moisture content. Fruit quality analysis, including weight loss, total soluble solid content, flesh color, flesh firmness, titratable acidity, ascorbic acid, total polyphenols, and flavonoids, was conducted to correlate productivity with water availability.</w:t>
      </w:r>
      <w:r>
        <w:rPr>
          <w:rFonts w:cs="Arial"/>
          <w:lang w:val="en-GB"/>
        </w:rPr>
        <w:t xml:space="preserve"> </w:t>
      </w:r>
      <w:r w:rsidRPr="00F71694">
        <w:rPr>
          <w:rFonts w:cs="Arial"/>
          <w:lang w:val="en-GB"/>
        </w:rPr>
        <w:t xml:space="preserve">By analyzing the IoT-TT Spectrum data for each kiwifruit plant, crucial indicators for assessing physiological status, health, and growth were examined. The results indicate that water availability significantly influences </w:t>
      </w:r>
      <w:r>
        <w:rPr>
          <w:rFonts w:cs="Arial"/>
          <w:lang w:val="en-GB"/>
        </w:rPr>
        <w:t xml:space="preserve">vineyards </w:t>
      </w:r>
      <w:r w:rsidRPr="00F71694">
        <w:rPr>
          <w:rFonts w:cs="Arial"/>
          <w:lang w:val="en-GB"/>
        </w:rPr>
        <w:t>health. Maintaining a balance between leaf nitrogen content and photosynthetic capacity, with low AI and higher NDVI and CVI values, was used to determine the optimal irrigation level for each of the three plots. Furthermore, qualitative data obtained from fruits revealed that overwatering or underwatering kiwifruit plants affects yield production and fruit quality. Fruits subjected to full irrigation (100% water) exhibited lower sugar levels compared to those under deficit irrigation (80% and 60%). Overall, this study demonstrates that excessive or limited irrigation regimes negatively impact plant health, as indicated by vegetation indices derived from IoT-TT Spectrum data, as well as fruit</w:t>
      </w:r>
      <w:r>
        <w:rPr>
          <w:rFonts w:cs="Arial"/>
          <w:lang w:val="en-GB"/>
        </w:rPr>
        <w:t xml:space="preserve"> </w:t>
      </w:r>
      <w:r w:rsidR="00ED70E7" w:rsidRPr="00ED70E7">
        <w:rPr>
          <w:rFonts w:cs="Arial"/>
          <w:lang w:val="en-GB"/>
        </w:rPr>
        <w:t>quality.</w:t>
      </w:r>
    </w:p>
    <w:p w14:paraId="476B2F2E" w14:textId="77777777" w:rsidR="00600535" w:rsidRPr="00421829" w:rsidRDefault="00600535" w:rsidP="0099191A">
      <w:pPr>
        <w:pStyle w:val="CETHeading1"/>
        <w:rPr>
          <w:rFonts w:cs="Arial"/>
          <w:lang w:val="en-GB"/>
        </w:rPr>
      </w:pPr>
      <w:r w:rsidRPr="00421829">
        <w:rPr>
          <w:rFonts w:cs="Arial"/>
          <w:lang w:val="en-GB"/>
        </w:rPr>
        <w:t>Introduction</w:t>
      </w:r>
    </w:p>
    <w:p w14:paraId="4AA2B714" w14:textId="4D65F223" w:rsidR="00C43C28" w:rsidRPr="00421829" w:rsidRDefault="00ED70E7" w:rsidP="0099191A">
      <w:pPr>
        <w:pStyle w:val="CETBodytext"/>
        <w:spacing w:line="240" w:lineRule="auto"/>
        <w:rPr>
          <w:rFonts w:cs="Arial"/>
          <w:lang w:val="en-GB"/>
        </w:rPr>
      </w:pPr>
      <w:r w:rsidRPr="00ED70E7">
        <w:rPr>
          <w:rFonts w:cs="Arial"/>
          <w:lang w:val="en-GB"/>
        </w:rPr>
        <w:t>Kiwifruit is appreciated by consumers for its high content of bioactive compounds, which have health-beneficial effects. Consequently, the consumption of fresh kiwifruits is booming (Meena, Nirmal Kumar, et al. 2018). Yellow-fleshed kiwifruit (</w:t>
      </w:r>
      <w:r w:rsidRPr="009B23A3">
        <w:rPr>
          <w:rFonts w:cs="Arial"/>
          <w:i/>
          <w:iCs/>
          <w:lang w:val="en-GB"/>
        </w:rPr>
        <w:t>Actinidia chinensis</w:t>
      </w:r>
      <w:r w:rsidRPr="00ED70E7">
        <w:rPr>
          <w:rFonts w:cs="Arial"/>
          <w:lang w:val="en-GB"/>
        </w:rPr>
        <w:t xml:space="preserve"> 'Soreli'), known for its sweeter flavor, possesses numerous agronomic features, including early ripening, high productivity, and large fruit size with excellent taste and nutritional quality traits (Goffi, Magri, et al. 2020). However, this fruit is not suitable for long-term storage (Goffi, Modesti et al. 2018). The lack of proper maturity harvest indices poses a challenge in postharvest management, and several factors contribute to the deterioration of fresh fruit quality and storage life. Therefore, developing novel techniques to maintain fruit quality and prolong shelf life after harvesting is of utmost importance (Gwanpua, Jabbar et al. 2018).</w:t>
      </w:r>
      <w:r w:rsidR="00305462">
        <w:rPr>
          <w:rFonts w:cs="Arial"/>
          <w:lang w:val="en-GB"/>
        </w:rPr>
        <w:t xml:space="preserve"> </w:t>
      </w:r>
      <w:r w:rsidRPr="00ED70E7">
        <w:rPr>
          <w:rFonts w:cs="Arial"/>
          <w:lang w:val="en-GB"/>
        </w:rPr>
        <w:t>It has been observed that inefficient water use increases the cost of crop production, negatively affects the environment and the final product, and can induce changes in fruit yield and quality (Pinto, Valin et al. 2021). Moreover, reducing wastage benefits farmers, consumers, and society as a whole. In fact, kiwifruit plants have a fleshy, shallow root system that is sensitive to waterlogging stress, resulting in decreased crop yield or even plant death. Approximately 16% of cultivated land worldwide is affected by waterlogging, causing an estimated 20% decrease in yield</w:t>
      </w:r>
      <w:r w:rsidR="00305462">
        <w:rPr>
          <w:rFonts w:cs="Arial"/>
          <w:lang w:val="en-GB"/>
        </w:rPr>
        <w:t xml:space="preserve"> </w:t>
      </w:r>
      <w:r w:rsidRPr="00ED70E7">
        <w:rPr>
          <w:rFonts w:cs="Arial"/>
          <w:lang w:val="en-GB"/>
        </w:rPr>
        <w:t>(Liu et al. 2022).</w:t>
      </w:r>
      <w:r w:rsidR="00305462">
        <w:rPr>
          <w:rFonts w:cs="Arial"/>
          <w:lang w:val="en-GB"/>
        </w:rPr>
        <w:t xml:space="preserve"> </w:t>
      </w:r>
      <w:r w:rsidRPr="00ED70E7">
        <w:rPr>
          <w:rFonts w:cs="Arial"/>
          <w:lang w:val="en-GB"/>
        </w:rPr>
        <w:t>It has been established that a slight lack of water can</w:t>
      </w:r>
      <w:r w:rsidR="00705282">
        <w:rPr>
          <w:rFonts w:cs="Arial"/>
          <w:lang w:val="en-GB"/>
        </w:rPr>
        <w:t xml:space="preserve"> </w:t>
      </w:r>
      <w:r w:rsidRPr="00ED70E7">
        <w:rPr>
          <w:rFonts w:cs="Arial"/>
          <w:lang w:val="en-GB"/>
        </w:rPr>
        <w:t xml:space="preserve">benefit the post-harvest storage characteristics of the fruit (Reid et al. 1996). The technical approach to optimize irrigation programs is based on water moisture content and plant water status (Steduto et al. 2012), </w:t>
      </w:r>
      <w:r w:rsidR="00705282" w:rsidRPr="00705282">
        <w:rPr>
          <w:rFonts w:cs="Arial"/>
          <w:lang w:val="en-GB"/>
        </w:rPr>
        <w:t xml:space="preserve">to check </w:t>
      </w:r>
      <w:r w:rsidRPr="00ED70E7">
        <w:rPr>
          <w:rFonts w:cs="Arial"/>
          <w:lang w:val="en-GB"/>
        </w:rPr>
        <w:t>the plant's health and hydration status.</w:t>
      </w:r>
      <w:r w:rsidR="00305462">
        <w:rPr>
          <w:rFonts w:cs="Arial"/>
          <w:lang w:val="en-GB"/>
        </w:rPr>
        <w:t xml:space="preserve"> </w:t>
      </w:r>
      <w:r w:rsidRPr="00ED70E7">
        <w:rPr>
          <w:rFonts w:cs="Arial"/>
          <w:lang w:val="en-GB"/>
        </w:rPr>
        <w:t>The Internet of Things (IoT) can enhance agricultural and farming industry processes through automation, which involves collecting data using sensors and processing it using controllers (Hari Ram et al. 2015). The current use of smart agricultural systems primarily focuses on water management, crop management, and smart farming, aiming to automate processes by reducing human intervention, costs, power consumption, and water usage</w:t>
      </w:r>
      <w:r>
        <w:rPr>
          <w:rFonts w:cs="Arial"/>
          <w:lang w:val="en-GB"/>
        </w:rPr>
        <w:t xml:space="preserve"> </w:t>
      </w:r>
      <w:r w:rsidR="00470858" w:rsidRPr="00421829">
        <w:rPr>
          <w:rFonts w:cs="Arial"/>
          <w:lang w:val="en-GB"/>
        </w:rPr>
        <w:t>(hari Ram et al. 2015)</w:t>
      </w:r>
      <w:r w:rsidR="00C93739">
        <w:rPr>
          <w:rFonts w:cs="Arial"/>
          <w:lang w:val="en-GB"/>
        </w:rPr>
        <w:t>.</w:t>
      </w:r>
    </w:p>
    <w:p w14:paraId="461C3758" w14:textId="07EC4B20" w:rsidR="00C43C28" w:rsidRPr="00421829" w:rsidRDefault="00C43C28" w:rsidP="0099191A">
      <w:pPr>
        <w:pStyle w:val="CETHeading1"/>
        <w:rPr>
          <w:rFonts w:cs="Arial"/>
          <w:lang w:val="en-GB"/>
        </w:rPr>
      </w:pPr>
      <w:r w:rsidRPr="00421829">
        <w:rPr>
          <w:rFonts w:cs="Arial"/>
        </w:rPr>
        <w:lastRenderedPageBreak/>
        <w:t>Materials and Methods</w:t>
      </w:r>
    </w:p>
    <w:p w14:paraId="60D889F1" w14:textId="753CD550" w:rsidR="00C43C28" w:rsidRPr="001F5F4D" w:rsidRDefault="00600535" w:rsidP="0099191A">
      <w:pPr>
        <w:pStyle w:val="CETheadingx"/>
      </w:pPr>
      <w:r w:rsidRPr="001F5F4D">
        <w:t>E</w:t>
      </w:r>
      <w:r w:rsidR="00C43C28" w:rsidRPr="001F5F4D">
        <w:t>xperimental design</w:t>
      </w:r>
    </w:p>
    <w:p w14:paraId="6437EBC9" w14:textId="0E9A5B1A" w:rsidR="000C4F9E" w:rsidRPr="00421829" w:rsidRDefault="00F36FA0" w:rsidP="0099191A">
      <w:pPr>
        <w:pStyle w:val="CETBodytext"/>
        <w:spacing w:line="240" w:lineRule="auto"/>
        <w:rPr>
          <w:rFonts w:cs="Arial"/>
          <w:lang w:val="en-GB"/>
        </w:rPr>
      </w:pPr>
      <w:r w:rsidRPr="00F36FA0">
        <w:rPr>
          <w:rFonts w:cs="Arial"/>
          <w:lang w:val="en-GB"/>
        </w:rPr>
        <w:t>In the summer of 2022, three experimental plots of "Soreli" kiwifruit vineyards at the "Tre Colli" farm, located in Cisterna Campoleone (Velletri, Rome, Italy), were selected to study the impact of water deficit on plant health and the quality of the final product. Each of the three plots is characterized by the same mineral composition and cultivation practices. They are subjected to distinct irrigation treatments: default drip irrigation at a rate of 50-100 L per day, depending on seasonal and climatic conditions (referred to as 100% or full irrigation), and deficit irrigation at 80% and 60% of the full irrigation approach. Each experimental plot covers an area of approximately 1 ha of soil surface and contains around 700 vines per hectare, with plants spaced 4.0 m apart between rows and 3.0 m apart within rows</w:t>
      </w:r>
      <w:r w:rsidR="0027022D" w:rsidRPr="00421829">
        <w:rPr>
          <w:rFonts w:cs="Arial"/>
          <w:lang w:val="en-GB"/>
        </w:rPr>
        <w:t xml:space="preserve">. </w:t>
      </w:r>
    </w:p>
    <w:p w14:paraId="7DC70C0D" w14:textId="1312DF46" w:rsidR="005F4D21" w:rsidRPr="00991DF1" w:rsidRDefault="00991DF1" w:rsidP="0099191A">
      <w:pPr>
        <w:pStyle w:val="CETheadingx"/>
      </w:pPr>
      <w:r w:rsidRPr="002A7564">
        <w:t>TT</w:t>
      </w:r>
      <w:r>
        <w:t xml:space="preserve"> </w:t>
      </w:r>
      <w:r w:rsidRPr="002A7564">
        <w:t>Spectrum</w:t>
      </w:r>
      <w:r>
        <w:t xml:space="preserve"> and soil sensors</w:t>
      </w:r>
    </w:p>
    <w:p w14:paraId="261EAE19" w14:textId="16C39356" w:rsidR="00E213FC" w:rsidRPr="00CA5A74" w:rsidRDefault="00F36FA0" w:rsidP="0099191A">
      <w:pPr>
        <w:pStyle w:val="Paragrafoelenco"/>
        <w:spacing w:line="240" w:lineRule="auto"/>
        <w:ind w:left="0"/>
        <w:rPr>
          <w:lang w:val="en-AU"/>
        </w:rPr>
      </w:pPr>
      <w:r w:rsidRPr="00F36FA0">
        <w:rPr>
          <w:rFonts w:cs="Arial"/>
        </w:rPr>
        <w:t>To evaluate the effect of different irrigation methods on plants, three low-cost IoT-TT Spectrums and three soil sensors were used from June to September</w:t>
      </w:r>
      <w:r w:rsidR="00705282">
        <w:rPr>
          <w:rFonts w:cs="Arial"/>
        </w:rPr>
        <w:t xml:space="preserve"> 2022</w:t>
      </w:r>
      <w:r w:rsidRPr="00F36FA0">
        <w:rPr>
          <w:rFonts w:cs="Arial"/>
        </w:rPr>
        <w:t>. Each treatment employed these devices to obtain real-time observations of physical and biological parameters of the leaves and soil moisture. The nine spectrophotometers were placed on support poles of kiwifruit plants, projecting onto the foliage in a diagonal orientation. The selection of these devices was based on their field position and similar exposure to natural diurnal light. The IoT-TT Spectrum is specifically designed to measure canopy reflectance radiance across 12 spectral bands, including six in the visible range and six in the near-infrared range (Figure 1). The soil sensors, positioned horizontally at a depth of 30 cm, provide data on soil volumetric water content (Soil VWC %) for each individual tree. These soil sensors were provided by Nature 4.0 S.r.l (Viterbo, VT, Italy). The data collected is saved in the Cloud and can be accessed through portable software such as tablets, PCs, or phones. The soil sensors and spectrometers were used to collect data on soil water availability and vegetation indices</w:t>
      </w:r>
      <w:r w:rsidR="00991DF1" w:rsidRPr="00965B5E">
        <w:rPr>
          <w:lang w:val="en-AU"/>
        </w:rPr>
        <w:t>.</w:t>
      </w:r>
      <w:r w:rsidR="00DB299D">
        <w:rPr>
          <w:rFonts w:cs="Arial"/>
          <w:noProof/>
        </w:rPr>
        <mc:AlternateContent>
          <mc:Choice Requires="wps">
            <w:drawing>
              <wp:anchor distT="0" distB="0" distL="114300" distR="114300" simplePos="0" relativeHeight="251659264" behindDoc="0" locked="0" layoutInCell="1" allowOverlap="1" wp14:anchorId="563B558B" wp14:editId="745742C5">
                <wp:simplePos x="0" y="0"/>
                <wp:positionH relativeFrom="column">
                  <wp:posOffset>207589</wp:posOffset>
                </wp:positionH>
                <wp:positionV relativeFrom="paragraph">
                  <wp:posOffset>264132</wp:posOffset>
                </wp:positionV>
                <wp:extent cx="135172" cy="166977"/>
                <wp:effectExtent l="0" t="0" r="17780" b="24130"/>
                <wp:wrapNone/>
                <wp:docPr id="1660153153" name="Ovale 1"/>
                <wp:cNvGraphicFramePr/>
                <a:graphic xmlns:a="http://schemas.openxmlformats.org/drawingml/2006/main">
                  <a:graphicData uri="http://schemas.microsoft.com/office/word/2010/wordprocessingShape">
                    <wps:wsp>
                      <wps:cNvSpPr/>
                      <wps:spPr>
                        <a:xfrm>
                          <a:off x="0" y="0"/>
                          <a:ext cx="135172" cy="16697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60C0200E" id="Ovale 1" o:spid="_x0000_s1026" style="position:absolute;margin-left:16.35pt;margin-top:20.8pt;width:10.65pt;height:1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" fillcolor="white [3212]" strokecolor="white [3212]" strokeweight="2pt"/>
            </w:pict>
          </mc:Fallback>
        </mc:AlternateContent>
      </w:r>
    </w:p>
    <w:p w14:paraId="1154425C" w14:textId="5B0FECD9" w:rsidR="003B2A19" w:rsidRPr="00421829" w:rsidRDefault="00CA5A74" w:rsidP="0099191A">
      <w:pPr>
        <w:pStyle w:val="CETBodytext"/>
        <w:spacing w:line="240" w:lineRule="auto"/>
        <w:jc w:val="left"/>
        <w:rPr>
          <w:rFonts w:cs="Arial"/>
        </w:rPr>
      </w:pPr>
      <w:r>
        <w:rPr>
          <w:rFonts w:cs="Arial"/>
          <w:noProof/>
        </w:rPr>
        <w:drawing>
          <wp:inline distT="0" distB="0" distL="0" distR="0" wp14:anchorId="05BAE5FC" wp14:editId="32CC9262">
            <wp:extent cx="3302165" cy="2087730"/>
            <wp:effectExtent l="0" t="0" r="0" b="8255"/>
            <wp:docPr id="20545600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1564" cy="2093672"/>
                    </a:xfrm>
                    <a:prstGeom prst="rect">
                      <a:avLst/>
                    </a:prstGeom>
                    <a:noFill/>
                  </pic:spPr>
                </pic:pic>
              </a:graphicData>
            </a:graphic>
          </wp:inline>
        </w:drawing>
      </w:r>
    </w:p>
    <w:p w14:paraId="1867D151" w14:textId="61D5CD31" w:rsidR="00084402" w:rsidRPr="00084402" w:rsidRDefault="00985A6D" w:rsidP="0099191A">
      <w:pPr>
        <w:pStyle w:val="Didascalia"/>
        <w:rPr>
          <w:rFonts w:cs="Arial"/>
          <w:b w:val="0"/>
          <w:bCs w:val="0"/>
          <w:i/>
          <w:color w:val="auto"/>
          <w:szCs w:val="20"/>
        </w:rPr>
      </w:pPr>
      <w:r w:rsidRPr="000B5AFC">
        <w:rPr>
          <w:rFonts w:cs="Arial"/>
          <w:b w:val="0"/>
          <w:bCs w:val="0"/>
          <w:color w:val="auto"/>
        </w:rPr>
        <w:t xml:space="preserve">Figure </w:t>
      </w:r>
      <w:r w:rsidRPr="000B5AFC">
        <w:rPr>
          <w:rFonts w:cs="Arial"/>
          <w:b w:val="0"/>
          <w:bCs w:val="0"/>
          <w:color w:val="auto"/>
        </w:rPr>
        <w:fldChar w:fldCharType="begin"/>
      </w:r>
      <w:r w:rsidRPr="000B5AFC">
        <w:rPr>
          <w:rFonts w:cs="Arial"/>
          <w:b w:val="0"/>
          <w:bCs w:val="0"/>
          <w:color w:val="auto"/>
        </w:rPr>
        <w:instrText xml:space="preserve"> SEQ Figure \* ARABIC </w:instrText>
      </w:r>
      <w:r w:rsidRPr="000B5AFC">
        <w:rPr>
          <w:rFonts w:cs="Arial"/>
          <w:b w:val="0"/>
          <w:bCs w:val="0"/>
          <w:color w:val="auto"/>
        </w:rPr>
        <w:fldChar w:fldCharType="separate"/>
      </w:r>
      <w:r w:rsidRPr="000B5AFC">
        <w:rPr>
          <w:rFonts w:cs="Arial"/>
          <w:b w:val="0"/>
          <w:bCs w:val="0"/>
          <w:noProof/>
          <w:color w:val="auto"/>
        </w:rPr>
        <w:t>1</w:t>
      </w:r>
      <w:r w:rsidRPr="000B5AFC">
        <w:rPr>
          <w:rFonts w:cs="Arial"/>
          <w:b w:val="0"/>
          <w:bCs w:val="0"/>
          <w:color w:val="auto"/>
        </w:rPr>
        <w:fldChar w:fldCharType="end"/>
      </w:r>
      <w:r w:rsidRPr="000B5AFC">
        <w:rPr>
          <w:rFonts w:cs="Arial"/>
          <w:b w:val="0"/>
          <w:bCs w:val="0"/>
          <w:color w:val="auto"/>
        </w:rPr>
        <w:t xml:space="preserve">. </w:t>
      </w:r>
      <w:r w:rsidR="007D341C" w:rsidRPr="000B5AFC">
        <w:rPr>
          <w:rStyle w:val="CETCaptionCarattere"/>
          <w:rFonts w:cs="Arial"/>
          <w:b w:val="0"/>
          <w:bCs w:val="0"/>
          <w:color w:val="auto"/>
        </w:rPr>
        <w:t>a. Schematic of TT-Spectrum measuring light reflectance data in 12 bands, b. Field installation of TT-Spectrum</w:t>
      </w:r>
    </w:p>
    <w:p w14:paraId="340E0786" w14:textId="77777777" w:rsidR="00991DF1" w:rsidRDefault="00991DF1" w:rsidP="0099191A">
      <w:pPr>
        <w:pStyle w:val="CETBodytext"/>
        <w:spacing w:line="240" w:lineRule="auto"/>
        <w:rPr>
          <w:rFonts w:cs="Arial"/>
          <w:lang w:val="en-GB"/>
        </w:rPr>
      </w:pPr>
    </w:p>
    <w:p w14:paraId="24D6D1AF" w14:textId="76EB183E" w:rsidR="00C005E7" w:rsidRPr="002A7564" w:rsidRDefault="002A7564" w:rsidP="0099191A">
      <w:pPr>
        <w:pStyle w:val="CETBodytext"/>
        <w:spacing w:line="240" w:lineRule="auto"/>
        <w:rPr>
          <w:rFonts w:cs="Arial"/>
          <w:b/>
          <w:bCs/>
          <w:sz w:val="20"/>
        </w:rPr>
      </w:pPr>
      <w:r w:rsidRPr="00421829">
        <w:rPr>
          <w:rFonts w:cs="Arial"/>
        </w:rPr>
        <w:t>T</w:t>
      </w:r>
      <w:r w:rsidR="00510672" w:rsidRPr="00607FF6">
        <w:rPr>
          <w:rFonts w:cs="Arial"/>
        </w:rPr>
        <w:t>T</w:t>
      </w:r>
      <w:r w:rsidR="00373631">
        <w:rPr>
          <w:rFonts w:cs="Arial"/>
        </w:rPr>
        <w:t xml:space="preserve"> </w:t>
      </w:r>
      <w:r w:rsidR="004C45FF" w:rsidRPr="00607FF6">
        <w:rPr>
          <w:rFonts w:cs="Arial"/>
        </w:rPr>
        <w:t>Spectrum</w:t>
      </w:r>
      <w:r w:rsidR="00510672" w:rsidRPr="00607FF6">
        <w:rPr>
          <w:rFonts w:cs="Arial"/>
        </w:rPr>
        <w:t xml:space="preserve"> collects light reflectance data in 12 spectral bands, 610+, 680+, 730+, 760+, 810+, 860+ nm, 450*, 500*, 550*, 570*, 600*, 650* (* ±20 nm + ±40 nm). The reported data are digital numbers.</w:t>
      </w:r>
      <w:r w:rsidR="00C005E7" w:rsidRPr="00607FF6">
        <w:rPr>
          <w:rFonts w:cs="Arial"/>
        </w:rPr>
        <w:t xml:space="preserve"> Before converting the raw data to the physical units,</w:t>
      </w:r>
      <w:r w:rsidR="00C005E7">
        <w:rPr>
          <w:rFonts w:cs="Arial"/>
        </w:rPr>
        <w:t xml:space="preserve"> basic quality assurance procedures are applied (i.e., outliers’ removal and basic gap filling). Then the data elaboration </w:t>
      </w:r>
      <w:r w:rsidR="00097190">
        <w:rPr>
          <w:rFonts w:cs="Arial"/>
        </w:rPr>
        <w:t>followed by the conversions from digital numbers to physical units, which</w:t>
      </w:r>
      <w:r w:rsidR="00C005E7">
        <w:rPr>
          <w:rFonts w:cs="Arial"/>
        </w:rPr>
        <w:t xml:space="preserve"> </w:t>
      </w:r>
      <w:r w:rsidR="00097190" w:rsidRPr="00607FF6">
        <w:rPr>
          <w:rFonts w:cs="Arial"/>
        </w:rPr>
        <w:t>are conducted according to the TreeTalkers’ user manual (</w:t>
      </w:r>
      <w:r w:rsidR="00C005E7" w:rsidRPr="00607FF6">
        <w:rPr>
          <w:rFonts w:cs="Arial"/>
        </w:rPr>
        <w:t>User Manual-string type 59 and 49</w:t>
      </w:r>
      <w:r w:rsidR="00097190" w:rsidRPr="00607FF6">
        <w:rPr>
          <w:rFonts w:cs="Arial"/>
        </w:rPr>
        <w:t xml:space="preserve">, </w:t>
      </w:r>
      <w:r w:rsidR="00C005E7" w:rsidRPr="00607FF6">
        <w:rPr>
          <w:rFonts w:cs="Arial"/>
        </w:rPr>
        <w:t>March 2023</w:t>
      </w:r>
      <w:r w:rsidR="00097190" w:rsidRPr="00607FF6">
        <w:rPr>
          <w:rFonts w:cs="Arial"/>
        </w:rPr>
        <w:t xml:space="preserve">). </w:t>
      </w:r>
      <w:r w:rsidR="00495E5D">
        <w:rPr>
          <w:rFonts w:cs="Arial"/>
        </w:rPr>
        <w:t>F</w:t>
      </w:r>
      <w:r w:rsidR="00097190" w:rsidRPr="00607FF6">
        <w:rPr>
          <w:rFonts w:cs="Arial"/>
        </w:rPr>
        <w:t>or further processing</w:t>
      </w:r>
      <w:r w:rsidR="00C005E7" w:rsidRPr="00607FF6">
        <w:rPr>
          <w:rFonts w:cs="Arial"/>
        </w:rPr>
        <w:t xml:space="preserve">, </w:t>
      </w:r>
      <w:r w:rsidR="00D87772">
        <w:rPr>
          <w:rFonts w:cs="Arial"/>
        </w:rPr>
        <w:t>f</w:t>
      </w:r>
      <w:r w:rsidR="00C005E7" w:rsidRPr="00607FF6">
        <w:rPr>
          <w:rFonts w:cs="Arial"/>
        </w:rPr>
        <w:t>our vegetation indices, Normalized Difference Vegetation Index (NDVI)</w:t>
      </w:r>
      <w:r w:rsidR="00050A73">
        <w:rPr>
          <w:rFonts w:cs="Arial"/>
        </w:rPr>
        <w:t xml:space="preserve"> </w:t>
      </w:r>
      <w:r w:rsidR="00050A73" w:rsidRPr="00D44309">
        <w:rPr>
          <w:rFonts w:cs="Arial"/>
        </w:rPr>
        <w:t>(Tucker</w:t>
      </w:r>
      <w:r w:rsidR="00050A73">
        <w:rPr>
          <w:rFonts w:cs="Arial"/>
        </w:rPr>
        <w:t>, 1979)</w:t>
      </w:r>
      <w:r w:rsidR="00C005E7" w:rsidRPr="00607FF6">
        <w:rPr>
          <w:rFonts w:cs="Arial"/>
        </w:rPr>
        <w:t>, Chlorophyll Vegetation Index (CVI)</w:t>
      </w:r>
      <w:r w:rsidR="006C43D7" w:rsidRPr="006C43D7">
        <w:rPr>
          <w:rFonts w:cs="Arial"/>
          <w:lang w:val="en-GB"/>
        </w:rPr>
        <w:t xml:space="preserve"> (Vincini et al. 2008)</w:t>
      </w:r>
      <w:r w:rsidR="00C005E7" w:rsidRPr="00607FF6">
        <w:rPr>
          <w:rFonts w:cs="Arial"/>
        </w:rPr>
        <w:t>, Leaf Nitrogen Balance Index (LNBI)</w:t>
      </w:r>
      <w:r w:rsidR="008664E5" w:rsidRPr="008664E5">
        <w:rPr>
          <w:rFonts w:cs="Arial"/>
        </w:rPr>
        <w:t xml:space="preserve"> </w:t>
      </w:r>
      <w:r w:rsidR="008664E5">
        <w:rPr>
          <w:rFonts w:cs="Arial"/>
        </w:rPr>
        <w:t>(Fan et al. 2022)</w:t>
      </w:r>
      <w:r w:rsidR="00C005E7" w:rsidRPr="00607FF6">
        <w:rPr>
          <w:rFonts w:cs="Arial"/>
        </w:rPr>
        <w:t xml:space="preserve"> and Anthocyanin Index (AI)</w:t>
      </w:r>
      <w:r w:rsidR="006C43D7" w:rsidRPr="006C43D7">
        <w:rPr>
          <w:rFonts w:cs="Arial"/>
        </w:rPr>
        <w:t xml:space="preserve"> </w:t>
      </w:r>
      <w:r w:rsidR="006C43D7" w:rsidRPr="004A0695">
        <w:rPr>
          <w:rFonts w:cs="Arial"/>
        </w:rPr>
        <w:t>(Gitelson et</w:t>
      </w:r>
      <w:r w:rsidR="006C43D7">
        <w:rPr>
          <w:rFonts w:cs="Arial"/>
        </w:rPr>
        <w:t xml:space="preserve"> al. 2001)</w:t>
      </w:r>
      <w:r w:rsidR="00C005E7" w:rsidRPr="00607FF6">
        <w:rPr>
          <w:rFonts w:cs="Arial"/>
        </w:rPr>
        <w:t xml:space="preserve"> are evaluated from TT Spectrum data</w:t>
      </w:r>
      <w:r w:rsidR="00826223">
        <w:rPr>
          <w:rFonts w:cs="Arial"/>
        </w:rPr>
        <w:t>.</w:t>
      </w:r>
    </w:p>
    <w:p w14:paraId="44721BE0" w14:textId="54307D24" w:rsidR="00950A46" w:rsidRDefault="00D97964" w:rsidP="0099191A">
      <w:pPr>
        <w:pStyle w:val="CETBodytext"/>
        <w:spacing w:line="240" w:lineRule="auto"/>
        <w:rPr>
          <w:rFonts w:cs="Arial"/>
        </w:rPr>
      </w:pPr>
      <w:r>
        <w:rPr>
          <w:rFonts w:cs="Arial"/>
        </w:rPr>
        <w:t>T</w:t>
      </w:r>
      <w:r w:rsidR="00950A46" w:rsidRPr="00607FF6">
        <w:rPr>
          <w:rFonts w:cs="Arial"/>
        </w:rPr>
        <w:t>he Normalized Difference Vegetation Index (NDVI) is obtained following the below formula</w:t>
      </w:r>
      <w:r w:rsidR="008A35E7">
        <w:rPr>
          <w:rFonts w:cs="Arial"/>
        </w:rPr>
        <w:t xml:space="preserve"> (1)</w:t>
      </w:r>
      <w:r w:rsidR="00950A46" w:rsidRPr="00607FF6">
        <w:rPr>
          <w:rFonts w:cs="Arial"/>
        </w:rPr>
        <w:t>:</w:t>
      </w:r>
    </w:p>
    <w:tbl>
      <w:tblPr>
        <w:tblW w:w="5000" w:type="pct"/>
        <w:tblLook w:val="04A0" w:firstRow="1" w:lastRow="0" w:firstColumn="1" w:lastColumn="0" w:noHBand="0" w:noVBand="1"/>
      </w:tblPr>
      <w:tblGrid>
        <w:gridCol w:w="7983"/>
        <w:gridCol w:w="804"/>
      </w:tblGrid>
      <w:tr w:rsidR="009F20BD" w:rsidRPr="00421829" w14:paraId="26B37DF5" w14:textId="77777777" w:rsidTr="00CF797D">
        <w:tc>
          <w:tcPr>
            <w:tcW w:w="8188" w:type="dxa"/>
            <w:shd w:val="clear" w:color="auto" w:fill="auto"/>
            <w:vAlign w:val="center"/>
          </w:tcPr>
          <w:p w14:paraId="77B3D75F" w14:textId="6A3D17B0" w:rsidR="009F20BD" w:rsidRPr="00D44309" w:rsidRDefault="009F20BD" w:rsidP="0099191A">
            <w:pPr>
              <w:pStyle w:val="CETEquation"/>
              <w:spacing w:line="240" w:lineRule="auto"/>
              <w:rPr>
                <w:rFonts w:cs="Arial"/>
              </w:rPr>
            </w:pPr>
            <m:oMath>
              <m:r>
                <w:rPr>
                  <w:rFonts w:ascii="Cambria Math" w:hAnsi="Cambria Math" w:cs="Arial"/>
                </w:rPr>
                <m:t xml:space="preserve">NDVI  = </m:t>
              </m:r>
              <m:f>
                <m:fPr>
                  <m:ctrlPr>
                    <w:rPr>
                      <w:rFonts w:ascii="Cambria Math" w:hAnsi="Cambria Math" w:cs="Arial"/>
                      <w:i/>
                    </w:rPr>
                  </m:ctrlPr>
                </m:fPr>
                <m:num>
                  <m:r>
                    <w:rPr>
                      <w:rFonts w:ascii="Cambria Math" w:hAnsi="Cambria Math" w:cs="Arial"/>
                    </w:rPr>
                    <m:t>NIR 810 - RED 650</m:t>
                  </m:r>
                </m:num>
                <m:den>
                  <m:r>
                    <w:rPr>
                      <w:rFonts w:ascii="Cambria Math" w:hAnsi="Cambria Math" w:cs="Arial"/>
                    </w:rPr>
                    <m:t>NIR 810 - RED 650</m:t>
                  </m:r>
                </m:den>
              </m:f>
            </m:oMath>
            <w:r w:rsidRPr="00D44309">
              <w:rPr>
                <w:rFonts w:cs="Arial"/>
              </w:rPr>
              <w:t xml:space="preserve">               </w:t>
            </w:r>
          </w:p>
        </w:tc>
        <w:tc>
          <w:tcPr>
            <w:tcW w:w="815" w:type="dxa"/>
            <w:shd w:val="clear" w:color="auto" w:fill="auto"/>
            <w:vAlign w:val="center"/>
          </w:tcPr>
          <w:p w14:paraId="495A426F" w14:textId="77777777" w:rsidR="009F20BD" w:rsidRPr="00421829" w:rsidRDefault="009F20BD" w:rsidP="0099191A">
            <w:pPr>
              <w:pStyle w:val="CETEquation"/>
              <w:spacing w:line="240" w:lineRule="auto"/>
              <w:jc w:val="right"/>
              <w:rPr>
                <w:rFonts w:cs="Arial"/>
              </w:rPr>
            </w:pPr>
            <w:r w:rsidRPr="00421829">
              <w:rPr>
                <w:rFonts w:cs="Arial"/>
              </w:rPr>
              <w:t>(1)</w:t>
            </w:r>
          </w:p>
        </w:tc>
      </w:tr>
    </w:tbl>
    <w:p w14:paraId="7F9157A0" w14:textId="77777777" w:rsidR="00950A46" w:rsidRPr="00607FF6" w:rsidRDefault="00950A46" w:rsidP="0099191A">
      <w:pPr>
        <w:pStyle w:val="CETBodytext"/>
        <w:spacing w:line="240" w:lineRule="auto"/>
        <w:rPr>
          <w:rFonts w:cs="Arial"/>
        </w:rPr>
      </w:pPr>
      <w:r w:rsidRPr="00607FF6">
        <w:rPr>
          <w:rFonts w:cs="Arial"/>
        </w:rPr>
        <w:t>Where:</w:t>
      </w:r>
    </w:p>
    <w:p w14:paraId="05DB842C" w14:textId="0AC7F025" w:rsidR="00950A46" w:rsidRPr="00607FF6" w:rsidRDefault="00950A46" w:rsidP="0099191A">
      <w:pPr>
        <w:pStyle w:val="CETBodytext"/>
        <w:spacing w:line="240" w:lineRule="auto"/>
        <w:rPr>
          <w:rFonts w:cs="Arial"/>
        </w:rPr>
      </w:pPr>
      <w:r w:rsidRPr="00607FF6">
        <w:rPr>
          <w:rFonts w:cs="Arial"/>
        </w:rPr>
        <w:t>NIR = reflectivity in the near-infrared spectrum (Band 810)</w:t>
      </w:r>
    </w:p>
    <w:p w14:paraId="516A46F4" w14:textId="3B3658E4" w:rsidR="00950A46" w:rsidRPr="00607FF6" w:rsidRDefault="00950A46" w:rsidP="0099191A">
      <w:pPr>
        <w:pStyle w:val="CETBodytext"/>
        <w:spacing w:line="240" w:lineRule="auto"/>
        <w:rPr>
          <w:rFonts w:cs="Arial"/>
        </w:rPr>
      </w:pPr>
      <w:r w:rsidRPr="00607FF6">
        <w:rPr>
          <w:rFonts w:cs="Arial"/>
        </w:rPr>
        <w:t>RED = reflectivity in the red of the spectrum (Band 650)</w:t>
      </w:r>
    </w:p>
    <w:p w14:paraId="254A97F1" w14:textId="77777777" w:rsidR="00950A46" w:rsidRPr="00607FF6" w:rsidRDefault="00950A46" w:rsidP="0099191A">
      <w:pPr>
        <w:pStyle w:val="CETBodytext"/>
        <w:spacing w:line="240" w:lineRule="auto"/>
        <w:rPr>
          <w:rFonts w:cs="Arial"/>
        </w:rPr>
      </w:pPr>
    </w:p>
    <w:p w14:paraId="62B0B0C7" w14:textId="42692D84" w:rsidR="00C005E7" w:rsidRDefault="00950A46" w:rsidP="0099191A">
      <w:pPr>
        <w:pStyle w:val="CETBodytext"/>
        <w:spacing w:line="240" w:lineRule="auto"/>
        <w:rPr>
          <w:rFonts w:cs="Arial"/>
        </w:rPr>
      </w:pPr>
      <w:r w:rsidRPr="00950A46">
        <w:rPr>
          <w:rFonts w:cs="Arial"/>
        </w:rPr>
        <w:t>The</w:t>
      </w:r>
      <w:r w:rsidR="00C005E7" w:rsidRPr="00950A46">
        <w:rPr>
          <w:rFonts w:cs="Arial"/>
        </w:rPr>
        <w:t xml:space="preserve"> Chlorophyll Vegetation Index (CVI)</w:t>
      </w:r>
      <w:r w:rsidRPr="00950A46">
        <w:rPr>
          <w:rFonts w:cs="Arial"/>
        </w:rPr>
        <w:t xml:space="preserve"> is estimated following the below equation</w:t>
      </w:r>
      <w:r w:rsidR="008A35E7">
        <w:rPr>
          <w:rFonts w:cs="Arial"/>
        </w:rPr>
        <w:t xml:space="preserve"> (2)</w:t>
      </w:r>
      <w:r w:rsidRPr="00950A46">
        <w:rPr>
          <w:rFonts w:cs="Arial"/>
        </w:rPr>
        <w:t xml:space="preserve">: </w:t>
      </w:r>
    </w:p>
    <w:tbl>
      <w:tblPr>
        <w:tblW w:w="5000" w:type="pct"/>
        <w:tblLook w:val="04A0" w:firstRow="1" w:lastRow="0" w:firstColumn="1" w:lastColumn="0" w:noHBand="0" w:noVBand="1"/>
      </w:tblPr>
      <w:tblGrid>
        <w:gridCol w:w="7984"/>
        <w:gridCol w:w="803"/>
      </w:tblGrid>
      <w:tr w:rsidR="008A35E7" w:rsidRPr="00421829" w14:paraId="444CFD99" w14:textId="77777777" w:rsidTr="00CF797D">
        <w:tc>
          <w:tcPr>
            <w:tcW w:w="8188" w:type="dxa"/>
            <w:shd w:val="clear" w:color="auto" w:fill="auto"/>
            <w:vAlign w:val="center"/>
          </w:tcPr>
          <w:p w14:paraId="7276DE76" w14:textId="07CBD659" w:rsidR="008A35E7" w:rsidRPr="00632E58" w:rsidRDefault="008A35E7" w:rsidP="0099191A">
            <w:pPr>
              <w:pStyle w:val="CETEquation"/>
              <w:spacing w:line="240" w:lineRule="auto"/>
              <w:rPr>
                <w:rFonts w:cs="Arial"/>
                <w:lang w:val="it-IT"/>
              </w:rPr>
            </w:pPr>
            <m:oMath>
              <m:r>
                <w:rPr>
                  <w:rFonts w:ascii="Cambria Math" w:hAnsi="Cambria Math" w:cs="Arial"/>
                </w:rPr>
                <m:t>CVI</m:t>
              </m:r>
              <m:r>
                <w:rPr>
                  <w:rFonts w:ascii="Cambria Math" w:hAnsi="Cambria Math" w:cs="Arial"/>
                  <w:lang w:val="it-IT"/>
                </w:rPr>
                <m:t xml:space="preserve">  = (NIR 810</m:t>
              </m:r>
              <m:f>
                <m:fPr>
                  <m:ctrlPr>
                    <w:rPr>
                      <w:rFonts w:ascii="Cambria Math" w:hAnsi="Cambria Math" w:cs="Arial"/>
                      <w:i/>
                    </w:rPr>
                  </m:ctrlPr>
                </m:fPr>
                <m:num>
                  <m:r>
                    <w:rPr>
                      <w:rFonts w:ascii="Cambria Math" w:hAnsi="Cambria Math" w:cs="Arial"/>
                    </w:rPr>
                    <m:t>RED</m:t>
                  </m:r>
                  <m:r>
                    <w:rPr>
                      <w:rFonts w:ascii="Cambria Math" w:hAnsi="Cambria Math" w:cs="Arial"/>
                      <w:lang w:val="it-IT"/>
                    </w:rPr>
                    <m:t xml:space="preserve"> 650</m:t>
                  </m:r>
                </m:num>
                <m:den>
                  <m:r>
                    <w:rPr>
                      <w:rFonts w:ascii="Cambria Math" w:hAnsi="Cambria Math" w:cs="Arial"/>
                      <w:lang w:val="it-IT"/>
                    </w:rPr>
                    <m:t xml:space="preserve"> </m:t>
                  </m:r>
                  <m:sSup>
                    <m:sSupPr>
                      <m:ctrlPr>
                        <w:rPr>
                          <w:rFonts w:ascii="Cambria Math" w:hAnsi="Cambria Math" w:cs="Arial"/>
                          <w:i/>
                        </w:rPr>
                      </m:ctrlPr>
                    </m:sSupPr>
                    <m:e>
                      <m:r>
                        <w:rPr>
                          <w:rFonts w:ascii="Cambria Math" w:hAnsi="Cambria Math" w:cs="Arial"/>
                        </w:rPr>
                        <m:t>GREEN</m:t>
                      </m:r>
                      <m:r>
                        <w:rPr>
                          <w:rFonts w:ascii="Cambria Math" w:hAnsi="Cambria Math" w:cs="Arial"/>
                          <w:lang w:val="it-IT"/>
                        </w:rPr>
                        <m:t xml:space="preserve"> 550</m:t>
                      </m:r>
                    </m:e>
                    <m:sup>
                      <m:r>
                        <w:rPr>
                          <w:rFonts w:ascii="Cambria Math" w:hAnsi="Cambria Math" w:cs="Arial"/>
                          <w:lang w:val="it-IT"/>
                        </w:rPr>
                        <m:t>2</m:t>
                      </m:r>
                    </m:sup>
                  </m:sSup>
                </m:den>
              </m:f>
              <m:r>
                <w:rPr>
                  <w:rFonts w:ascii="Cambria Math" w:hAnsi="Cambria Math" w:cs="Arial"/>
                  <w:lang w:val="it-IT"/>
                </w:rPr>
                <m:t>)</m:t>
              </m:r>
            </m:oMath>
            <w:r w:rsidRPr="00632E58">
              <w:rPr>
                <w:rFonts w:cs="Arial"/>
                <w:lang w:val="it-IT"/>
              </w:rPr>
              <w:t xml:space="preserve">               </w:t>
            </w:r>
          </w:p>
        </w:tc>
        <w:tc>
          <w:tcPr>
            <w:tcW w:w="815" w:type="dxa"/>
            <w:shd w:val="clear" w:color="auto" w:fill="auto"/>
            <w:vAlign w:val="center"/>
          </w:tcPr>
          <w:p w14:paraId="554146FB" w14:textId="02FB78BA" w:rsidR="008A35E7" w:rsidRPr="00421829" w:rsidRDefault="008A35E7" w:rsidP="0099191A">
            <w:pPr>
              <w:pStyle w:val="CETEquation"/>
              <w:spacing w:line="240" w:lineRule="auto"/>
              <w:jc w:val="right"/>
              <w:rPr>
                <w:rFonts w:cs="Arial"/>
              </w:rPr>
            </w:pPr>
            <w:r w:rsidRPr="00421829">
              <w:rPr>
                <w:rFonts w:cs="Arial"/>
              </w:rPr>
              <w:t>(</w:t>
            </w:r>
            <w:r>
              <w:rPr>
                <w:rFonts w:cs="Arial"/>
              </w:rPr>
              <w:t>2</w:t>
            </w:r>
            <w:r w:rsidRPr="00421829">
              <w:rPr>
                <w:rFonts w:cs="Arial"/>
              </w:rPr>
              <w:t>)</w:t>
            </w:r>
          </w:p>
        </w:tc>
      </w:tr>
    </w:tbl>
    <w:p w14:paraId="48E285D7" w14:textId="77777777" w:rsidR="00950A46" w:rsidRPr="00607FF6" w:rsidRDefault="00950A46" w:rsidP="0099191A">
      <w:pPr>
        <w:pStyle w:val="CETBodytext"/>
        <w:spacing w:line="240" w:lineRule="auto"/>
        <w:rPr>
          <w:rFonts w:cs="Arial"/>
        </w:rPr>
      </w:pPr>
      <w:r w:rsidRPr="00607FF6">
        <w:rPr>
          <w:rFonts w:cs="Arial"/>
        </w:rPr>
        <w:t>Where:</w:t>
      </w:r>
    </w:p>
    <w:p w14:paraId="35355FB9" w14:textId="77777777" w:rsidR="00950A46" w:rsidRPr="00607FF6" w:rsidRDefault="00950A46" w:rsidP="0099191A">
      <w:pPr>
        <w:pStyle w:val="CETBodytext"/>
        <w:spacing w:line="240" w:lineRule="auto"/>
        <w:rPr>
          <w:rFonts w:cs="Arial"/>
        </w:rPr>
      </w:pPr>
      <w:r w:rsidRPr="00607FF6">
        <w:rPr>
          <w:rFonts w:cs="Arial"/>
        </w:rPr>
        <w:t>NIR = reflectivity in the near-infrared spectrum (Band 810)</w:t>
      </w:r>
    </w:p>
    <w:p w14:paraId="5BA61525" w14:textId="09BD38BD" w:rsidR="00950A46" w:rsidRPr="00607FF6" w:rsidRDefault="00950A46" w:rsidP="0099191A">
      <w:pPr>
        <w:pStyle w:val="CETBodytext"/>
        <w:spacing w:line="240" w:lineRule="auto"/>
        <w:rPr>
          <w:rFonts w:cs="Arial"/>
        </w:rPr>
      </w:pPr>
      <w:r w:rsidRPr="00607FF6">
        <w:rPr>
          <w:rFonts w:cs="Arial"/>
        </w:rPr>
        <w:lastRenderedPageBreak/>
        <w:t>RED = reflectivity in the red of the spectrum (Band 650)</w:t>
      </w:r>
    </w:p>
    <w:p w14:paraId="0A203B88" w14:textId="325F3691" w:rsidR="00950A46" w:rsidRPr="00607FF6" w:rsidRDefault="00950A46" w:rsidP="0099191A">
      <w:pPr>
        <w:pStyle w:val="CETBodytext"/>
        <w:spacing w:line="240" w:lineRule="auto"/>
        <w:rPr>
          <w:rFonts w:cs="Arial"/>
        </w:rPr>
      </w:pPr>
      <w:r w:rsidRPr="00950A46">
        <w:rPr>
          <w:rFonts w:cs="Arial"/>
        </w:rPr>
        <w:t xml:space="preserve">Green= </w:t>
      </w:r>
      <w:r w:rsidRPr="00607FF6">
        <w:rPr>
          <w:rFonts w:cs="Arial"/>
        </w:rPr>
        <w:t>reflectivity in the green of the spectrum (Band 550)</w:t>
      </w:r>
    </w:p>
    <w:p w14:paraId="7C1D1EDB" w14:textId="77777777" w:rsidR="00C005E7" w:rsidRPr="00950A46" w:rsidRDefault="00C005E7" w:rsidP="0099191A">
      <w:pPr>
        <w:pStyle w:val="CETBodytext"/>
        <w:spacing w:line="240" w:lineRule="auto"/>
        <w:rPr>
          <w:rFonts w:cs="Arial"/>
        </w:rPr>
      </w:pPr>
    </w:p>
    <w:p w14:paraId="0435A781" w14:textId="42722116" w:rsidR="00C005E7" w:rsidRDefault="00950A46" w:rsidP="0099191A">
      <w:pPr>
        <w:pStyle w:val="CETBodytext"/>
        <w:spacing w:line="240" w:lineRule="auto"/>
        <w:rPr>
          <w:rFonts w:cs="Arial"/>
        </w:rPr>
      </w:pPr>
      <w:r w:rsidRPr="00950A46">
        <w:rPr>
          <w:rFonts w:cs="Arial"/>
        </w:rPr>
        <w:t>A</w:t>
      </w:r>
      <w:r w:rsidR="00C005E7" w:rsidRPr="00950A46">
        <w:rPr>
          <w:rFonts w:cs="Arial"/>
        </w:rPr>
        <w:t>nthocyanin index (AI) is a vegetation index that has been developed based on the reflectance measurements at 550 nm and 700 nm</w:t>
      </w:r>
      <w:r w:rsidR="008A35E7">
        <w:rPr>
          <w:rFonts w:cs="Arial"/>
        </w:rPr>
        <w:t xml:space="preserve"> (3)</w:t>
      </w:r>
      <w:r w:rsidR="00C005E7" w:rsidRPr="00950A46">
        <w:rPr>
          <w:rFonts w:cs="Arial"/>
        </w:rPr>
        <w:t>:</w:t>
      </w:r>
    </w:p>
    <w:tbl>
      <w:tblPr>
        <w:tblW w:w="5000" w:type="pct"/>
        <w:tblLook w:val="04A0" w:firstRow="1" w:lastRow="0" w:firstColumn="1" w:lastColumn="0" w:noHBand="0" w:noVBand="1"/>
      </w:tblPr>
      <w:tblGrid>
        <w:gridCol w:w="7983"/>
        <w:gridCol w:w="804"/>
      </w:tblGrid>
      <w:tr w:rsidR="008A35E7" w:rsidRPr="00421829" w14:paraId="68CB5969" w14:textId="77777777" w:rsidTr="00CF797D">
        <w:tc>
          <w:tcPr>
            <w:tcW w:w="8188" w:type="dxa"/>
            <w:shd w:val="clear" w:color="auto" w:fill="auto"/>
            <w:vAlign w:val="center"/>
          </w:tcPr>
          <w:p w14:paraId="05653F8A" w14:textId="50BC5D84" w:rsidR="008A35E7" w:rsidRPr="004A0695" w:rsidRDefault="008A35E7" w:rsidP="0099191A">
            <w:pPr>
              <w:pStyle w:val="CETEquation"/>
              <w:spacing w:line="240" w:lineRule="auto"/>
              <w:rPr>
                <w:rFonts w:cs="Arial"/>
              </w:rPr>
            </w:pPr>
            <m:oMath>
              <m:r>
                <w:rPr>
                  <w:rFonts w:ascii="Cambria Math" w:hAnsi="Cambria Math" w:cs="Arial"/>
                </w:rPr>
                <m:t xml:space="preserve">AI  = </m:t>
              </m:r>
              <m:f>
                <m:fPr>
                  <m:ctrlPr>
                    <w:rPr>
                      <w:rFonts w:ascii="Cambria Math" w:hAnsi="Cambria Math" w:cs="Arial"/>
                      <w:i/>
                    </w:rPr>
                  </m:ctrlPr>
                </m:fPr>
                <m:num>
                  <m:r>
                    <m:rPr>
                      <m:sty m:val="p"/>
                    </m:rPr>
                    <w:rPr>
                      <w:rFonts w:ascii="Cambria Math" w:hAnsi="Cambria Math" w:cs="Arial"/>
                    </w:rPr>
                    <m:t>(R550 - R700)</m:t>
                  </m:r>
                </m:num>
                <m:den>
                  <m:r>
                    <m:rPr>
                      <m:sty m:val="p"/>
                    </m:rPr>
                    <w:rPr>
                      <w:rFonts w:ascii="Cambria Math" w:hAnsi="Cambria Math" w:cs="Arial"/>
                    </w:rPr>
                    <m:t>(R550 + R700)</m:t>
                  </m:r>
                </m:den>
              </m:f>
            </m:oMath>
            <w:r w:rsidRPr="004A0695">
              <w:rPr>
                <w:rFonts w:cs="Arial"/>
              </w:rPr>
              <w:t xml:space="preserve">               </w:t>
            </w:r>
          </w:p>
        </w:tc>
        <w:tc>
          <w:tcPr>
            <w:tcW w:w="815" w:type="dxa"/>
            <w:shd w:val="clear" w:color="auto" w:fill="auto"/>
            <w:vAlign w:val="center"/>
          </w:tcPr>
          <w:p w14:paraId="18434C1B" w14:textId="037AC6ED" w:rsidR="008A35E7" w:rsidRPr="00421829" w:rsidRDefault="008A35E7" w:rsidP="0099191A">
            <w:pPr>
              <w:pStyle w:val="CETEquation"/>
              <w:spacing w:line="240" w:lineRule="auto"/>
              <w:jc w:val="right"/>
              <w:rPr>
                <w:rFonts w:cs="Arial"/>
              </w:rPr>
            </w:pPr>
            <w:r w:rsidRPr="00421829">
              <w:rPr>
                <w:rFonts w:cs="Arial"/>
              </w:rPr>
              <w:t>(</w:t>
            </w:r>
            <w:r>
              <w:rPr>
                <w:rFonts w:cs="Arial"/>
              </w:rPr>
              <w:t>3</w:t>
            </w:r>
            <w:r w:rsidRPr="00421829">
              <w:rPr>
                <w:rFonts w:cs="Arial"/>
              </w:rPr>
              <w:t>)</w:t>
            </w:r>
          </w:p>
        </w:tc>
      </w:tr>
    </w:tbl>
    <w:p w14:paraId="3740DB3B" w14:textId="77777777" w:rsidR="00C005E7" w:rsidRPr="00950A46" w:rsidRDefault="00C005E7" w:rsidP="0099191A">
      <w:pPr>
        <w:pStyle w:val="CETBodytext"/>
        <w:spacing w:line="240" w:lineRule="auto"/>
        <w:rPr>
          <w:rFonts w:cs="Arial"/>
        </w:rPr>
      </w:pPr>
      <w:r w:rsidRPr="00950A46">
        <w:rPr>
          <w:rFonts w:cs="Arial"/>
        </w:rPr>
        <w:t>where R550 and R700 are the reflectance values at 550 nm and 700 nm, respectively.</w:t>
      </w:r>
    </w:p>
    <w:p w14:paraId="4E274092" w14:textId="77777777" w:rsidR="00C005E7" w:rsidRPr="00950A46" w:rsidRDefault="00C005E7" w:rsidP="0099191A">
      <w:pPr>
        <w:pStyle w:val="CETBodytext"/>
        <w:spacing w:line="240" w:lineRule="auto"/>
        <w:rPr>
          <w:rFonts w:cs="Arial"/>
        </w:rPr>
      </w:pPr>
    </w:p>
    <w:p w14:paraId="0F7F4F53" w14:textId="77777777" w:rsidR="00C005E7" w:rsidRPr="00950A46" w:rsidRDefault="00C005E7" w:rsidP="0099191A">
      <w:pPr>
        <w:pStyle w:val="CETBodytext"/>
        <w:spacing w:line="240" w:lineRule="auto"/>
        <w:rPr>
          <w:rFonts w:cs="Arial"/>
        </w:rPr>
      </w:pPr>
      <w:r w:rsidRPr="00950A46">
        <w:rPr>
          <w:rFonts w:cs="Arial"/>
        </w:rPr>
        <w:t>The Leaf Nitrogen Balance Index (LNBI) is a vegetation index that is used as an indicator of nitrogen content in leaves. The spectrometer band that is most sensitive to LNBI is typically in the range of 700-800 nm, which is in the red edge part of the spectrum.</w:t>
      </w:r>
    </w:p>
    <w:p w14:paraId="4A922FB3" w14:textId="2608431B" w:rsidR="00C005E7" w:rsidRDefault="00C005E7" w:rsidP="0099191A">
      <w:pPr>
        <w:pStyle w:val="CETBodytext"/>
        <w:spacing w:line="240" w:lineRule="auto"/>
        <w:rPr>
          <w:rFonts w:cs="Arial"/>
        </w:rPr>
      </w:pPr>
      <w:r w:rsidRPr="00950A46">
        <w:rPr>
          <w:rFonts w:cs="Arial"/>
        </w:rPr>
        <w:t xml:space="preserve">The </w:t>
      </w:r>
      <w:r w:rsidR="00950A46" w:rsidRPr="00950A46">
        <w:rPr>
          <w:rFonts w:cs="Arial"/>
        </w:rPr>
        <w:t xml:space="preserve">applied </w:t>
      </w:r>
      <w:r w:rsidRPr="00950A46">
        <w:rPr>
          <w:rFonts w:cs="Arial"/>
        </w:rPr>
        <w:t>formula for LNBI is</w:t>
      </w:r>
      <w:r w:rsidR="00FB2D84">
        <w:rPr>
          <w:rFonts w:cs="Arial"/>
        </w:rPr>
        <w:t xml:space="preserve"> (4)</w:t>
      </w:r>
      <w:r w:rsidRPr="00950A46">
        <w:rPr>
          <w:rFonts w:cs="Arial"/>
        </w:rPr>
        <w:t>:</w:t>
      </w:r>
    </w:p>
    <w:tbl>
      <w:tblPr>
        <w:tblW w:w="5000" w:type="pct"/>
        <w:tblLook w:val="04A0" w:firstRow="1" w:lastRow="0" w:firstColumn="1" w:lastColumn="0" w:noHBand="0" w:noVBand="1"/>
      </w:tblPr>
      <w:tblGrid>
        <w:gridCol w:w="7983"/>
        <w:gridCol w:w="804"/>
      </w:tblGrid>
      <w:tr w:rsidR="00FB2D84" w:rsidRPr="00421829" w14:paraId="71AF989B" w14:textId="77777777" w:rsidTr="00CF797D">
        <w:tc>
          <w:tcPr>
            <w:tcW w:w="8188" w:type="dxa"/>
            <w:shd w:val="clear" w:color="auto" w:fill="auto"/>
            <w:vAlign w:val="center"/>
          </w:tcPr>
          <w:p w14:paraId="6080BCC9" w14:textId="7D313201" w:rsidR="00FB2D84" w:rsidRPr="009F20BD" w:rsidRDefault="00D44309" w:rsidP="0099191A">
            <w:pPr>
              <w:pStyle w:val="CETEquation"/>
              <w:spacing w:line="240" w:lineRule="auto"/>
              <w:rPr>
                <w:rFonts w:cs="Arial"/>
              </w:rPr>
            </w:pPr>
            <m:oMath>
              <m:r>
                <w:rPr>
                  <w:rFonts w:ascii="Cambria Math" w:hAnsi="Cambria Math" w:cs="Arial"/>
                </w:rPr>
                <m:t>LNBI</m:t>
              </m:r>
              <m:r>
                <w:rPr>
                  <w:rFonts w:ascii="Cambria Math" w:hAnsi="Cambria Math" w:cs="Arial"/>
                  <w:lang w:val="en-US"/>
                </w:rPr>
                <m:t xml:space="preserve">  = </m:t>
              </m:r>
              <m:f>
                <m:fPr>
                  <m:ctrlPr>
                    <w:rPr>
                      <w:rFonts w:ascii="Cambria Math" w:hAnsi="Cambria Math" w:cs="Arial"/>
                      <w:i/>
                    </w:rPr>
                  </m:ctrlPr>
                </m:fPr>
                <m:num>
                  <m:r>
                    <m:rPr>
                      <m:sty m:val="p"/>
                    </m:rPr>
                    <w:rPr>
                      <w:rFonts w:ascii="Cambria Math" w:hAnsi="Cambria Math" w:cs="Arial"/>
                    </w:rPr>
                    <m:t>(R750 - R705)</m:t>
                  </m:r>
                </m:num>
                <m:den>
                  <m:r>
                    <m:rPr>
                      <m:sty m:val="p"/>
                    </m:rPr>
                    <w:rPr>
                      <w:rFonts w:ascii="Cambria Math" w:hAnsi="Cambria Math" w:cs="Arial"/>
                    </w:rPr>
                    <m:t>(R750 + R705)</m:t>
                  </m:r>
                </m:den>
              </m:f>
            </m:oMath>
            <w:r w:rsidR="00FB2D84" w:rsidRPr="009F20BD">
              <w:rPr>
                <w:rFonts w:cs="Arial"/>
              </w:rPr>
              <w:t xml:space="preserve">               </w:t>
            </w:r>
          </w:p>
        </w:tc>
        <w:tc>
          <w:tcPr>
            <w:tcW w:w="815" w:type="dxa"/>
            <w:shd w:val="clear" w:color="auto" w:fill="auto"/>
            <w:vAlign w:val="center"/>
          </w:tcPr>
          <w:p w14:paraId="45D75A4A" w14:textId="21C30DF7" w:rsidR="00FB2D84" w:rsidRPr="00421829" w:rsidRDefault="00FB2D84" w:rsidP="0099191A">
            <w:pPr>
              <w:pStyle w:val="CETEquation"/>
              <w:spacing w:line="240" w:lineRule="auto"/>
              <w:jc w:val="right"/>
              <w:rPr>
                <w:rFonts w:cs="Arial"/>
              </w:rPr>
            </w:pPr>
            <w:r w:rsidRPr="00421829">
              <w:rPr>
                <w:rFonts w:cs="Arial"/>
              </w:rPr>
              <w:t>(</w:t>
            </w:r>
            <w:r>
              <w:rPr>
                <w:rFonts w:cs="Arial"/>
              </w:rPr>
              <w:t>4</w:t>
            </w:r>
            <w:r w:rsidRPr="00421829">
              <w:rPr>
                <w:rFonts w:cs="Arial"/>
              </w:rPr>
              <w:t>)</w:t>
            </w:r>
          </w:p>
        </w:tc>
      </w:tr>
    </w:tbl>
    <w:p w14:paraId="0E5587E2" w14:textId="6D187997" w:rsidR="005C767F" w:rsidRPr="005C767F" w:rsidRDefault="00C005E7" w:rsidP="0099191A">
      <w:pPr>
        <w:pStyle w:val="CETBodytext"/>
        <w:spacing w:line="240" w:lineRule="auto"/>
        <w:rPr>
          <w:rFonts w:cs="Arial"/>
        </w:rPr>
      </w:pPr>
      <w:r w:rsidRPr="00950A46">
        <w:rPr>
          <w:rFonts w:cs="Arial"/>
        </w:rPr>
        <w:t>where R705 and R750 are the reflectance values at 705 nm and 750 nm, respectively.</w:t>
      </w:r>
    </w:p>
    <w:p w14:paraId="34DCC35C" w14:textId="2556D277" w:rsidR="00C43C28" w:rsidRPr="00421829" w:rsidRDefault="00BA09AF" w:rsidP="0099191A">
      <w:pPr>
        <w:pStyle w:val="CETheadingx"/>
      </w:pPr>
      <w:bookmarkStart w:id="0" w:name="_Hlk137202334"/>
      <w:r>
        <w:t>K</w:t>
      </w:r>
      <w:r w:rsidR="00C43C28" w:rsidRPr="00421829">
        <w:t>iwi fruit storage conditions</w:t>
      </w:r>
    </w:p>
    <w:bookmarkEnd w:id="0"/>
    <w:p w14:paraId="2C287D8D" w14:textId="58F30B72" w:rsidR="00817476" w:rsidRPr="00421829" w:rsidRDefault="00F36FA0" w:rsidP="0099191A">
      <w:pPr>
        <w:pStyle w:val="CETBodytext"/>
        <w:spacing w:line="240" w:lineRule="auto"/>
        <w:rPr>
          <w:rFonts w:cs="Arial"/>
        </w:rPr>
      </w:pPr>
      <w:r w:rsidRPr="00F36FA0">
        <w:rPr>
          <w:rFonts w:cs="Arial"/>
          <w:lang w:val="en-GB"/>
        </w:rPr>
        <w:t xml:space="preserve">Soreli kiwi fruits were collected in September 2022 with a °Brix value of 6.8-7.4, ensuring uniform size, appearance, and the absence of defects and disease. These fruits were packed in single-layer trays and promptly transported to the Postharvest Laboratory of DIBAF (University of Tuscia, Viterbo, Italy). </w:t>
      </w:r>
      <w:r w:rsidR="009B23A3" w:rsidRPr="009B23A3">
        <w:rPr>
          <w:rFonts w:cs="Arial"/>
          <w:lang w:val="en-GB"/>
        </w:rPr>
        <w:t xml:space="preserve">The kiwifruits were stored at room temperature for 24 hours and then cooled to 1 ± 0.5 ◦C with a </w:t>
      </w:r>
      <w:r w:rsidR="007E0445">
        <w:rPr>
          <w:rFonts w:cs="Arial"/>
          <w:lang w:val="en-GB"/>
        </w:rPr>
        <w:t>R</w:t>
      </w:r>
      <w:r w:rsidR="009B23A3" w:rsidRPr="009B23A3">
        <w:rPr>
          <w:rFonts w:cs="Arial"/>
          <w:lang w:val="en-GB"/>
        </w:rPr>
        <w:t xml:space="preserve">elative </w:t>
      </w:r>
      <w:r w:rsidR="007E0445">
        <w:rPr>
          <w:rFonts w:cs="Arial"/>
          <w:lang w:val="en-GB"/>
        </w:rPr>
        <w:t>H</w:t>
      </w:r>
      <w:r w:rsidR="009B23A3" w:rsidRPr="009B23A3">
        <w:rPr>
          <w:rFonts w:cs="Arial"/>
          <w:lang w:val="en-GB"/>
        </w:rPr>
        <w:t>umidity (RH) of 85 ± 5% in a normal atmosphere, utilizing an ethylene absorber</w:t>
      </w:r>
      <w:r w:rsidRPr="00F36FA0">
        <w:rPr>
          <w:rFonts w:cs="Arial"/>
          <w:lang w:val="en-GB"/>
        </w:rPr>
        <w:t>. All analyses were performed at harvest time and every 15 days of cold storage, including 0, 15, 30, 45, 60, and 75 days.</w:t>
      </w:r>
    </w:p>
    <w:p w14:paraId="015B3033" w14:textId="2321573C" w:rsidR="00D71A7B" w:rsidRPr="00421829" w:rsidRDefault="008674A5" w:rsidP="0099191A">
      <w:pPr>
        <w:pStyle w:val="CETheadingx"/>
      </w:pPr>
      <w:r w:rsidRPr="00421829">
        <w:t>Physical-</w:t>
      </w:r>
      <w:r w:rsidR="00D71A7B" w:rsidRPr="00421829">
        <w:t>Chemical Parameters</w:t>
      </w:r>
    </w:p>
    <w:p w14:paraId="5008C4A7" w14:textId="49BCE4FB" w:rsidR="00B77C23" w:rsidRPr="00421829" w:rsidRDefault="00F36FA0" w:rsidP="0099191A">
      <w:pPr>
        <w:pStyle w:val="CETBodytext"/>
        <w:spacing w:line="240" w:lineRule="auto"/>
        <w:rPr>
          <w:rFonts w:cs="Arial"/>
          <w:lang w:val="en-GB"/>
        </w:rPr>
      </w:pPr>
      <w:r w:rsidRPr="00F36FA0">
        <w:rPr>
          <w:rFonts w:cs="Arial"/>
          <w:lang w:val="en-GB"/>
        </w:rPr>
        <w:t xml:space="preserve">At harvest (0 d) and before storage, the same 20 kiwifruits were weighed using a digital balance (Adam Equipment Co., Ltd., Milton Keynes, UK) at each sampling time to monitor weight loss during cold storage. The total soluble solid content (SCC) of the fresh kiwifruit juice was measured using a digital refractometer (ATAGO, Palette PR-32, Tokyo, Japan) and expressed as °Brix (%). Flesh colour was evaluated on peeled fruits using a Minolta colorimeter (Minolta C2500; Konica Minolta, Ramsey, NY, USA) to assess the chromaticity values L* (Lightness), a* (green to red), and b* (blue to yellow). Chroma (C*) values were calculated as reported by McGuire (1992). Flesh firmness was assessed in two ways: firstly, with a destructive method by removing a 1 mm thick disc of skin from the equatorial section of each fruit and using a digital penetrometer (Mod. 53205; TR Turoni snc, Forlì, Italy). The results were expressed as </w:t>
      </w:r>
      <w:r w:rsidR="00F90FEA">
        <w:rPr>
          <w:rFonts w:cs="Arial"/>
          <w:lang w:val="en-GB"/>
        </w:rPr>
        <w:t>N</w:t>
      </w:r>
      <w:r w:rsidRPr="00F36FA0">
        <w:rPr>
          <w:rFonts w:cs="Arial"/>
          <w:lang w:val="en-GB"/>
        </w:rPr>
        <w:t xml:space="preserve"> m</w:t>
      </w:r>
      <w:r w:rsidRPr="00F90FEA">
        <w:rPr>
          <w:rFonts w:cs="Arial"/>
          <w:vertAlign w:val="superscript"/>
          <w:lang w:val="en-GB"/>
        </w:rPr>
        <w:t>−2</w:t>
      </w:r>
      <w:r w:rsidRPr="00F36FA0">
        <w:rPr>
          <w:rFonts w:cs="Arial"/>
          <w:lang w:val="en-GB"/>
        </w:rPr>
        <w:t>. Secondly, a non-destructive method was employed using an Instron Universal Tasting Machine (Mod. 4301 Instron Inc., Canton, MS, USA). The fruits (20) were compressed at a speed of 25</w:t>
      </w:r>
      <w:r w:rsidR="00FA3FA3">
        <w:rPr>
          <w:rFonts w:cs="Arial"/>
          <w:lang w:val="en-GB"/>
        </w:rPr>
        <w:t xml:space="preserve"> </w:t>
      </w:r>
      <w:r w:rsidRPr="00F36FA0">
        <w:rPr>
          <w:rFonts w:cs="Arial"/>
          <w:lang w:val="en-GB"/>
        </w:rPr>
        <w:t>mm min</w:t>
      </w:r>
      <w:r w:rsidRPr="00FA3FA3">
        <w:rPr>
          <w:rFonts w:cs="Arial"/>
          <w:vertAlign w:val="superscript"/>
          <w:lang w:val="en-GB"/>
        </w:rPr>
        <w:t>-1</w:t>
      </w:r>
      <w:r w:rsidRPr="00F36FA0">
        <w:rPr>
          <w:rFonts w:cs="Arial"/>
          <w:lang w:val="en-GB"/>
        </w:rPr>
        <w:t xml:space="preserve"> and a load deformation of 5 N. The same twenty fruits were used at each sampling time and were numbered beforehand to ensure the analysis was performed on the same fruits throughout the entire duration of the test. The fruits were rewarmed to ambient temperature before conducting the Instron test and were then returned to the cold rooms afterward. Flesh hardness was expressed in N m</w:t>
      </w:r>
      <w:r w:rsidRPr="00FA3FA3">
        <w:rPr>
          <w:rFonts w:cs="Arial"/>
          <w:vertAlign w:val="superscript"/>
          <w:lang w:val="en-GB"/>
        </w:rPr>
        <w:t>-</w:t>
      </w:r>
      <w:r w:rsidR="00FA3FA3">
        <w:rPr>
          <w:rFonts w:cs="Arial"/>
          <w:vertAlign w:val="superscript"/>
          <w:lang w:val="en-GB"/>
        </w:rPr>
        <w:t>2</w:t>
      </w:r>
      <w:r w:rsidRPr="00F36FA0">
        <w:rPr>
          <w:rFonts w:cs="Arial"/>
          <w:lang w:val="en-GB"/>
        </w:rPr>
        <w:t>. The titratable acidity (TA) was measured in triplicate on the flesh juice obtained from five fruits following the protocol of Grasso et al. (2022).</w:t>
      </w:r>
    </w:p>
    <w:p w14:paraId="249E5B0B" w14:textId="76271776" w:rsidR="00B77C23" w:rsidRPr="00B77C23" w:rsidRDefault="00D71A7B" w:rsidP="0099191A">
      <w:pPr>
        <w:pStyle w:val="CETheadingx"/>
      </w:pPr>
      <w:r w:rsidRPr="00421829">
        <w:t>Bioactive Compounds Content</w:t>
      </w:r>
    </w:p>
    <w:p w14:paraId="40919B51" w14:textId="47AC5A80" w:rsidR="00F36FA0" w:rsidRPr="00F36FA0" w:rsidRDefault="00F36FA0" w:rsidP="0099191A">
      <w:pPr>
        <w:pStyle w:val="CETBodytext"/>
        <w:spacing w:line="240" w:lineRule="auto"/>
        <w:rPr>
          <w:rFonts w:cs="Arial"/>
          <w:lang w:val="en-GB"/>
        </w:rPr>
      </w:pPr>
      <w:r w:rsidRPr="00F36FA0">
        <w:rPr>
          <w:rFonts w:cs="Arial"/>
          <w:lang w:val="en-GB"/>
        </w:rPr>
        <w:t>Total phenols (TP), expressed as milligrams of gallic acid equivalent per 100 g FW, and flavonoids (TF), expressed as milligrams of catechin equivalent per 100 g FW, were analyzed following the protocol of Grasso et al. (2022).</w:t>
      </w:r>
    </w:p>
    <w:p w14:paraId="2D003E1B" w14:textId="77777777" w:rsidR="00F36FA0" w:rsidRPr="00F36FA0" w:rsidRDefault="00F36FA0" w:rsidP="0099191A">
      <w:pPr>
        <w:pStyle w:val="CETBodytext"/>
        <w:spacing w:line="240" w:lineRule="auto"/>
        <w:rPr>
          <w:rFonts w:cs="Arial"/>
          <w:lang w:val="en-GB"/>
        </w:rPr>
      </w:pPr>
      <w:r w:rsidRPr="00F36FA0">
        <w:rPr>
          <w:rFonts w:cs="Arial"/>
          <w:lang w:val="en-GB"/>
        </w:rPr>
        <w:t>The content of ascorbic acid (AA) was assessed according to Grasso et al. (2022), and it was expressed as milligrams of AA per 100 g FW.</w:t>
      </w:r>
    </w:p>
    <w:p w14:paraId="7D5B56D0" w14:textId="77777777" w:rsidR="00F36FA0" w:rsidRPr="00F36FA0" w:rsidRDefault="00F36FA0" w:rsidP="0099191A">
      <w:pPr>
        <w:pStyle w:val="CETBodytext"/>
        <w:spacing w:line="240" w:lineRule="auto"/>
        <w:rPr>
          <w:rFonts w:cs="Arial"/>
          <w:lang w:val="en-GB"/>
        </w:rPr>
      </w:pPr>
      <w:r w:rsidRPr="00F36FA0">
        <w:rPr>
          <w:rFonts w:cs="Arial"/>
          <w:lang w:val="en-GB"/>
        </w:rPr>
        <w:t xml:space="preserve">Chlorophyll a, chlorophyll b, and </w:t>
      </w:r>
      <w:r w:rsidRPr="00F36FA0">
        <w:rPr>
          <w:rFonts w:cs="Arial"/>
          <w:lang w:val="it-IT"/>
        </w:rPr>
        <w:t>β</w:t>
      </w:r>
      <w:r w:rsidRPr="00F36FA0">
        <w:rPr>
          <w:rFonts w:cs="Arial"/>
          <w:lang w:val="en-GB"/>
        </w:rPr>
        <w:t>-Carotene in the sample were analyzed as described by Goffi et al. (2017). Pigments were extracted using acetone-hexane (v:v 4:6), and the optical density of the supernatant was measured at 663 nm, 645 nm, 505 nm, and 453 nm using a spectrophotometer (Perkin Elmer Instruments Ltd., Seer Green, Beaconsfield, U.K).</w:t>
      </w:r>
    </w:p>
    <w:p w14:paraId="01F8A198" w14:textId="0D9B38B0" w:rsidR="005A5532" w:rsidRPr="00421829" w:rsidRDefault="00F36FA0" w:rsidP="0099191A">
      <w:pPr>
        <w:pStyle w:val="CETBodytext"/>
        <w:spacing w:line="240" w:lineRule="auto"/>
        <w:rPr>
          <w:rFonts w:cs="Arial"/>
          <w:lang w:val="en-GB"/>
        </w:rPr>
      </w:pPr>
      <w:r w:rsidRPr="00F36FA0">
        <w:rPr>
          <w:rFonts w:cs="Arial"/>
          <w:lang w:val="en-GB"/>
        </w:rPr>
        <w:t>All the analyses were performed in triplicate.</w:t>
      </w:r>
    </w:p>
    <w:p w14:paraId="072292C1" w14:textId="6A2A54C6" w:rsidR="00D71A7B" w:rsidRPr="00421829" w:rsidRDefault="00D71A7B" w:rsidP="0099191A">
      <w:pPr>
        <w:pStyle w:val="CETheadingx"/>
      </w:pPr>
      <w:r w:rsidRPr="00421829">
        <w:t>Statistical Analyses</w:t>
      </w:r>
    </w:p>
    <w:p w14:paraId="3693E2F7" w14:textId="1AD6C58A" w:rsidR="00D71A7B" w:rsidRPr="00421829" w:rsidRDefault="00651089" w:rsidP="0099191A">
      <w:pPr>
        <w:pStyle w:val="CETBodytext"/>
        <w:spacing w:line="240" w:lineRule="auto"/>
        <w:rPr>
          <w:rFonts w:cs="Arial"/>
        </w:rPr>
      </w:pPr>
      <w:r w:rsidRPr="00421829">
        <w:rPr>
          <w:rFonts w:cs="Arial"/>
          <w:lang w:val="en-GB"/>
        </w:rPr>
        <w:t xml:space="preserve">All results are expressed as the means ± standard deviation (SD). Statistical significances between different maturity stages of the fruit of different orchards and storage time were </w:t>
      </w:r>
      <w:r w:rsidR="00DA0705" w:rsidRPr="00421829">
        <w:rPr>
          <w:rFonts w:cs="Arial"/>
          <w:lang w:val="en-GB"/>
        </w:rPr>
        <w:t>analysed</w:t>
      </w:r>
      <w:r w:rsidRPr="00421829">
        <w:rPr>
          <w:rFonts w:cs="Arial"/>
          <w:lang w:val="en-GB"/>
        </w:rPr>
        <w:t xml:space="preserve"> by two-way analysis of variance (ANOVA), and Tukey’s test at 5% level was calculated to compare differences between means. </w:t>
      </w:r>
      <w:r w:rsidR="0008655D" w:rsidRPr="0008655D">
        <w:rPr>
          <w:rFonts w:cs="Arial"/>
          <w:lang w:val="en-GB"/>
        </w:rPr>
        <w:t>Differences were deemed significant at a p-value of &lt; 0.05 and are denoted by distinct letters</w:t>
      </w:r>
      <w:r w:rsidRPr="00421829">
        <w:rPr>
          <w:rFonts w:cs="Arial"/>
          <w:lang w:val="en-GB"/>
        </w:rPr>
        <w:t>.</w:t>
      </w:r>
    </w:p>
    <w:p w14:paraId="56AE8BF0" w14:textId="6E029253" w:rsidR="00C73D56" w:rsidRPr="00421829" w:rsidRDefault="00C73D56" w:rsidP="0099191A">
      <w:pPr>
        <w:pStyle w:val="CETHeading1"/>
        <w:rPr>
          <w:rFonts w:cs="Arial"/>
          <w:lang w:val="en-GB"/>
        </w:rPr>
      </w:pPr>
      <w:r w:rsidRPr="00421829">
        <w:rPr>
          <w:rFonts w:cs="Arial"/>
          <w:lang w:val="en-GB"/>
        </w:rPr>
        <w:lastRenderedPageBreak/>
        <w:t>Results</w:t>
      </w:r>
      <w:r w:rsidR="00620136">
        <w:rPr>
          <w:rFonts w:cs="Arial"/>
          <w:lang w:val="en-GB"/>
        </w:rPr>
        <w:t xml:space="preserve"> and Discussion</w:t>
      </w:r>
    </w:p>
    <w:p w14:paraId="3DCD2195" w14:textId="2DA9A0F1" w:rsidR="0084141A" w:rsidRDefault="00B53A68" w:rsidP="0099191A">
      <w:pPr>
        <w:spacing w:line="240" w:lineRule="auto"/>
        <w:rPr>
          <w:rFonts w:cs="Arial"/>
          <w:b/>
          <w:lang w:val="en-US"/>
        </w:rPr>
      </w:pPr>
      <w:r>
        <w:rPr>
          <w:rFonts w:cs="Arial"/>
          <w:b/>
          <w:lang w:val="en-US"/>
        </w:rPr>
        <w:t xml:space="preserve">3.1 </w:t>
      </w:r>
      <w:r w:rsidR="00A72E29" w:rsidRPr="00A72E29">
        <w:rPr>
          <w:rFonts w:cs="Arial"/>
          <w:b/>
          <w:lang w:val="en-US"/>
        </w:rPr>
        <w:t>Effects of Overwatering or Underwatering on Kiwifruit Plants</w:t>
      </w:r>
    </w:p>
    <w:p w14:paraId="69A2B61E" w14:textId="32BE67D0" w:rsidR="005B00C8" w:rsidRPr="00863A37" w:rsidRDefault="001F267D" w:rsidP="0099191A">
      <w:pPr>
        <w:spacing w:line="240" w:lineRule="auto"/>
        <w:rPr>
          <w:lang w:val="en-AU"/>
        </w:rPr>
      </w:pPr>
      <w:r>
        <w:rPr>
          <w:lang w:val="en-AU"/>
        </w:rPr>
        <w:t>S</w:t>
      </w:r>
      <w:r w:rsidR="005B00C8" w:rsidRPr="005B00C8">
        <w:rPr>
          <w:lang w:val="en-AU"/>
        </w:rPr>
        <w:t>oil sensors and spectrometer</w:t>
      </w:r>
      <w:r>
        <w:rPr>
          <w:lang w:val="en-AU"/>
        </w:rPr>
        <w:t>s</w:t>
      </w:r>
      <w:r w:rsidR="005B00C8" w:rsidRPr="005B00C8">
        <w:rPr>
          <w:lang w:val="en-AU"/>
        </w:rPr>
        <w:t xml:space="preserve"> </w:t>
      </w:r>
      <w:r>
        <w:rPr>
          <w:lang w:val="en-AU"/>
        </w:rPr>
        <w:t xml:space="preserve">were utilized </w:t>
      </w:r>
      <w:r w:rsidR="005B00C8" w:rsidRPr="005B00C8">
        <w:rPr>
          <w:lang w:val="en-AU"/>
        </w:rPr>
        <w:t>to collect data on soil water availability and vegetation indices</w:t>
      </w:r>
      <w:r w:rsidR="00A85CAC">
        <w:rPr>
          <w:lang w:val="en-AU"/>
        </w:rPr>
        <w:t xml:space="preserve"> </w:t>
      </w:r>
      <w:r w:rsidR="00A85CAC" w:rsidRPr="00A85CAC">
        <w:rPr>
          <w:lang w:val="en-AU"/>
        </w:rPr>
        <w:t>during the days of the year</w:t>
      </w:r>
      <w:r w:rsidR="00EC224D">
        <w:rPr>
          <w:lang w:val="en-AU"/>
        </w:rPr>
        <w:t xml:space="preserve"> 2022</w:t>
      </w:r>
      <w:r w:rsidR="005B00C8" w:rsidRPr="005B00C8">
        <w:rPr>
          <w:lang w:val="en-AU"/>
        </w:rPr>
        <w:t>. We then correlated these two factors for each individual plant to better understand the relationship between soil moisture and plant health. By examining these correlations, we can gain insights into the optimal soil moisture conditions for promoting growth and overall plant health in the ecosystem</w:t>
      </w:r>
      <w:r w:rsidR="005B00C8">
        <w:rPr>
          <w:lang w:val="en-AU"/>
        </w:rPr>
        <w:t>.</w:t>
      </w:r>
      <w:r w:rsidR="00C95B9B">
        <w:rPr>
          <w:lang w:val="en-AU"/>
        </w:rPr>
        <w:t xml:space="preserve"> </w:t>
      </w:r>
      <w:r w:rsidR="00863A37" w:rsidRPr="00863A37">
        <w:rPr>
          <w:lang w:val="en-AU"/>
        </w:rPr>
        <w:t xml:space="preserve">Adequate soil moisture is crucial for optimal nutrient uptake and root development in trees, but overwatering or underwatering can be detrimental. Therefore, we collected soil volumetric water content (Soil VWC %) data for each individual tree </w:t>
      </w:r>
      <w:r w:rsidR="00863A37">
        <w:t>(Figure 2)</w:t>
      </w:r>
      <w:r w:rsidR="00863A37" w:rsidRPr="00863A37">
        <w:rPr>
          <w:lang w:val="en-AU"/>
        </w:rPr>
        <w:t>.</w:t>
      </w:r>
    </w:p>
    <w:p w14:paraId="1FD992E8" w14:textId="28A90B3F" w:rsidR="00502D5F" w:rsidRDefault="00C95B9B" w:rsidP="0099191A">
      <w:pPr>
        <w:pStyle w:val="CETBodytext"/>
        <w:spacing w:line="240" w:lineRule="auto"/>
        <w:jc w:val="left"/>
        <w:rPr>
          <w:noProof/>
          <w:lang w:val="en-GB"/>
        </w:rPr>
      </w:pPr>
      <w:r>
        <w:rPr>
          <w:noProof/>
          <w:lang w:val="en-GB"/>
        </w:rPr>
        <w:drawing>
          <wp:inline distT="0" distB="0" distL="0" distR="0" wp14:anchorId="78213531" wp14:editId="6C2DD160">
            <wp:extent cx="3593990" cy="1661408"/>
            <wp:effectExtent l="0" t="0" r="6985" b="0"/>
            <wp:docPr id="133968139"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8139" name="Immagine 1" descr="Immagine che contiene testo, diagramma, linea, Diagramma&#10;&#10;Descrizione generata automaticamente"/>
                    <pic:cNvPicPr/>
                  </pic:nvPicPr>
                  <pic:blipFill>
                    <a:blip r:embed="rId12"/>
                    <a:stretch>
                      <a:fillRect/>
                    </a:stretch>
                  </pic:blipFill>
                  <pic:spPr>
                    <a:xfrm>
                      <a:off x="0" y="0"/>
                      <a:ext cx="3704067" cy="1712294"/>
                    </a:xfrm>
                    <a:prstGeom prst="rect">
                      <a:avLst/>
                    </a:prstGeom>
                  </pic:spPr>
                </pic:pic>
              </a:graphicData>
            </a:graphic>
          </wp:inline>
        </w:drawing>
      </w:r>
    </w:p>
    <w:p w14:paraId="4A2F8F95" w14:textId="6D28DA48" w:rsidR="00F118E3" w:rsidRPr="00880112" w:rsidRDefault="00B24F77" w:rsidP="0099191A">
      <w:pPr>
        <w:pStyle w:val="Didascalia"/>
        <w:jc w:val="left"/>
        <w:rPr>
          <w:b w:val="0"/>
          <w:bCs w:val="0"/>
          <w:color w:val="auto"/>
        </w:rPr>
      </w:pPr>
      <w:r w:rsidRPr="00880112">
        <w:rPr>
          <w:b w:val="0"/>
          <w:bCs w:val="0"/>
          <w:color w:val="auto"/>
        </w:rPr>
        <w:t xml:space="preserve">Figure </w:t>
      </w:r>
      <w:r w:rsidRPr="00880112">
        <w:rPr>
          <w:b w:val="0"/>
          <w:bCs w:val="0"/>
          <w:color w:val="auto"/>
        </w:rPr>
        <w:fldChar w:fldCharType="begin"/>
      </w:r>
      <w:r w:rsidRPr="00880112">
        <w:rPr>
          <w:b w:val="0"/>
          <w:bCs w:val="0"/>
          <w:color w:val="auto"/>
        </w:rPr>
        <w:instrText xml:space="preserve"> SEQ Figure \* ARABIC </w:instrText>
      </w:r>
      <w:r w:rsidRPr="00880112">
        <w:rPr>
          <w:b w:val="0"/>
          <w:bCs w:val="0"/>
          <w:color w:val="auto"/>
        </w:rPr>
        <w:fldChar w:fldCharType="separate"/>
      </w:r>
      <w:r w:rsidR="00985A6D" w:rsidRPr="00880112">
        <w:rPr>
          <w:b w:val="0"/>
          <w:bCs w:val="0"/>
          <w:noProof/>
          <w:color w:val="auto"/>
        </w:rPr>
        <w:t>2</w:t>
      </w:r>
      <w:r w:rsidRPr="00880112">
        <w:rPr>
          <w:b w:val="0"/>
          <w:bCs w:val="0"/>
          <w:color w:val="auto"/>
        </w:rPr>
        <w:fldChar w:fldCharType="end"/>
      </w:r>
      <w:r w:rsidRPr="00880112">
        <w:rPr>
          <w:b w:val="0"/>
          <w:bCs w:val="0"/>
          <w:color w:val="auto"/>
        </w:rPr>
        <w:t xml:space="preserve">. </w:t>
      </w:r>
      <w:r w:rsidRPr="00880112">
        <w:rPr>
          <w:b w:val="0"/>
          <w:bCs w:val="0"/>
          <w:i/>
          <w:iCs/>
          <w:color w:val="auto"/>
        </w:rPr>
        <w:t xml:space="preserve">For each individual tree, the soil volumetric water content (Soil VWC %) data were collected using soil sensors placed at a depth of 30 cm. </w:t>
      </w:r>
      <w:r w:rsidR="00975291">
        <w:rPr>
          <w:b w:val="0"/>
          <w:bCs w:val="0"/>
          <w:i/>
          <w:iCs/>
          <w:color w:val="auto"/>
        </w:rPr>
        <w:t xml:space="preserve">(The </w:t>
      </w:r>
      <w:r w:rsidR="00C95B9B" w:rsidRPr="00C95B9B">
        <w:rPr>
          <w:b w:val="0"/>
          <w:bCs w:val="0"/>
          <w:i/>
          <w:iCs/>
          <w:color w:val="auto"/>
          <w:lang w:val="en-AU"/>
        </w:rPr>
        <w:t xml:space="preserve">data for </w:t>
      </w:r>
      <w:r w:rsidR="00975291" w:rsidRPr="00975291">
        <w:rPr>
          <w:b w:val="0"/>
          <w:bCs w:val="0"/>
          <w:i/>
          <w:iCs/>
          <w:color w:val="auto"/>
          <w:lang w:val="en-AU"/>
        </w:rPr>
        <w:t>the sensor TT6226007 is missing</w:t>
      </w:r>
      <w:r w:rsidR="00975291">
        <w:rPr>
          <w:b w:val="0"/>
          <w:bCs w:val="0"/>
          <w:i/>
          <w:iCs/>
          <w:color w:val="auto"/>
          <w:lang w:val="en-AU"/>
        </w:rPr>
        <w:t>)</w:t>
      </w:r>
    </w:p>
    <w:p w14:paraId="736227BF" w14:textId="7C725B90" w:rsidR="00B24F77" w:rsidRDefault="00B24F77" w:rsidP="0099191A">
      <w:pPr>
        <w:pStyle w:val="Didascalia"/>
        <w:jc w:val="center"/>
        <w:rPr>
          <w:b w:val="0"/>
          <w:bCs w:val="0"/>
          <w:sz w:val="16"/>
          <w:szCs w:val="16"/>
        </w:rPr>
      </w:pPr>
      <w:r>
        <w:rPr>
          <w:b w:val="0"/>
          <w:bCs w:val="0"/>
          <w:sz w:val="16"/>
          <w:szCs w:val="16"/>
        </w:rPr>
        <w:t xml:space="preserve"> </w:t>
      </w:r>
    </w:p>
    <w:p w14:paraId="4B3726F9" w14:textId="54A3CE57" w:rsidR="005B00C8" w:rsidRPr="00B24F77" w:rsidRDefault="005B00C8" w:rsidP="0099191A">
      <w:pPr>
        <w:spacing w:line="240" w:lineRule="auto"/>
      </w:pPr>
      <w:r w:rsidRPr="00A72FC8">
        <w:rPr>
          <w:lang w:val="en-AU"/>
        </w:rPr>
        <w:t xml:space="preserve">In Figure </w:t>
      </w:r>
      <w:r>
        <w:rPr>
          <w:lang w:val="en-AU"/>
        </w:rPr>
        <w:t>3</w:t>
      </w:r>
      <w:r w:rsidRPr="00A72FC8">
        <w:rPr>
          <w:lang w:val="en-AU"/>
        </w:rPr>
        <w:t>, we present the TT-Spectrum output for the main vegetation indices (NDVI, CVI, LNBI, and AI) for each individual, based on the reflectance data from various reported bands</w:t>
      </w:r>
      <w:r>
        <w:rPr>
          <w:lang w:val="en-AU"/>
        </w:rPr>
        <w:t xml:space="preserve"> (450 to 860 nm)</w:t>
      </w:r>
      <w:r w:rsidRPr="00A72FC8">
        <w:rPr>
          <w:lang w:val="en-AU"/>
        </w:rPr>
        <w:t xml:space="preserve">. </w:t>
      </w:r>
      <w:r>
        <w:t>The</w:t>
      </w:r>
      <w:r w:rsidRPr="00863A37">
        <w:t xml:space="preserve"> results demonstrate that different levels of soil moisture availability for kiwifruit plants </w:t>
      </w:r>
      <w:r>
        <w:t xml:space="preserve">(Figure 2) </w:t>
      </w:r>
      <w:r w:rsidRPr="00863A37">
        <w:t>lead to distinct ecophysiological responses</w:t>
      </w:r>
      <w:r>
        <w:t xml:space="preserve"> (Figure 3)</w:t>
      </w:r>
      <w:r w:rsidRPr="00863A37">
        <w:t xml:space="preserve">. The </w:t>
      </w:r>
      <w:r w:rsidR="00A71AC6">
        <w:t>analysed</w:t>
      </w:r>
      <w:r>
        <w:t xml:space="preserve"> </w:t>
      </w:r>
      <w:r w:rsidRPr="00863A37">
        <w:t xml:space="preserve">vegetation indices (NDVI, CVI, LNBI, and AI) </w:t>
      </w:r>
      <w:r>
        <w:t>based on TT</w:t>
      </w:r>
      <w:r w:rsidR="00A71AC6">
        <w:t xml:space="preserve"> </w:t>
      </w:r>
      <w:r>
        <w:t xml:space="preserve">Spectrum data </w:t>
      </w:r>
      <w:r w:rsidRPr="00863A37">
        <w:t xml:space="preserve">provide valuable insights into the ecophysiological responses of kiwifruit plants to different soil moisture levels. </w:t>
      </w:r>
      <w:r w:rsidR="00EE537E" w:rsidRPr="00E33087">
        <w:rPr>
          <w:lang w:val="en-AU"/>
        </w:rPr>
        <w:t xml:space="preserve">The soil moisture data revealed that each individual plant received different levels of water availability, resulting in varying health, growth, and productivity conditions. For example, Tree </w:t>
      </w:r>
      <w:r w:rsidR="00EE537E">
        <w:rPr>
          <w:lang w:val="en-AU"/>
        </w:rPr>
        <w:t>7622600</w:t>
      </w:r>
      <w:r w:rsidR="00EE537E" w:rsidRPr="00E33087">
        <w:rPr>
          <w:lang w:val="en-AU"/>
        </w:rPr>
        <w:t>5 received lower irrigation during the early season and maximum water availability during the dry period, which resulted in a very high NDVI and CVI, lower AI, and a balanced leaf nitrogen level</w:t>
      </w:r>
      <w:r w:rsidR="00EE537E">
        <w:rPr>
          <w:lang w:val="en-AU"/>
        </w:rPr>
        <w:t xml:space="preserve"> (Figures 2 and 3)</w:t>
      </w:r>
      <w:r w:rsidR="00EE537E" w:rsidRPr="00E33087">
        <w:rPr>
          <w:lang w:val="en-AU"/>
        </w:rPr>
        <w:t>.</w:t>
      </w:r>
      <w:r w:rsidR="00EE537E" w:rsidRPr="00985A6D">
        <w:t xml:space="preserve"> </w:t>
      </w:r>
      <w:r w:rsidR="00EE537E" w:rsidRPr="00985A6D">
        <w:rPr>
          <w:lang w:val="en-AU"/>
        </w:rPr>
        <w:t xml:space="preserve">In contrast, Tree </w:t>
      </w:r>
      <w:r w:rsidR="00EE537E">
        <w:rPr>
          <w:lang w:val="en-AU"/>
        </w:rPr>
        <w:t>7622600</w:t>
      </w:r>
      <w:r w:rsidR="00EE537E" w:rsidRPr="00985A6D">
        <w:rPr>
          <w:lang w:val="en-AU"/>
        </w:rPr>
        <w:t>0 received full irrigation during the early season</w:t>
      </w:r>
      <w:r w:rsidR="00EE537E">
        <w:rPr>
          <w:lang w:val="en-AU"/>
        </w:rPr>
        <w:t>,</w:t>
      </w:r>
      <w:r w:rsidR="00EE537E" w:rsidRPr="00985A6D">
        <w:rPr>
          <w:lang w:val="en-AU"/>
        </w:rPr>
        <w:t xml:space="preserve"> and underwatering during the dry period did not show high foliage health based on the results of the aforementioned indexes</w:t>
      </w:r>
      <w:r w:rsidR="00EE537E">
        <w:rPr>
          <w:lang w:val="en-AU"/>
        </w:rPr>
        <w:t xml:space="preserve"> (Figures 2 and 3).</w:t>
      </w:r>
    </w:p>
    <w:p w14:paraId="32A2D8C0" w14:textId="39815214" w:rsidR="00962314" w:rsidRDefault="00D44ED5" w:rsidP="0099191A">
      <w:pPr>
        <w:pStyle w:val="Didascalia"/>
        <w:jc w:val="left"/>
      </w:pPr>
      <w:r>
        <w:rPr>
          <w:noProof/>
        </w:rPr>
        <w:drawing>
          <wp:inline distT="0" distB="0" distL="0" distR="0" wp14:anchorId="3136A2CE" wp14:editId="40D69310">
            <wp:extent cx="3058371" cy="3331596"/>
            <wp:effectExtent l="0" t="0" r="8890" b="2540"/>
            <wp:docPr id="245322216" name="Immagine 2"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22216" name="Immagine 2" descr="Immagine che contiene testo, linea, diagramma, Diagramma&#10;&#10;Descrizione generata automaticamente"/>
                    <pic:cNvPicPr/>
                  </pic:nvPicPr>
                  <pic:blipFill>
                    <a:blip r:embed="rId13"/>
                    <a:stretch>
                      <a:fillRect/>
                    </a:stretch>
                  </pic:blipFill>
                  <pic:spPr>
                    <a:xfrm>
                      <a:off x="0" y="0"/>
                      <a:ext cx="3081507" cy="3356799"/>
                    </a:xfrm>
                    <a:prstGeom prst="rect">
                      <a:avLst/>
                    </a:prstGeom>
                  </pic:spPr>
                </pic:pic>
              </a:graphicData>
            </a:graphic>
          </wp:inline>
        </w:drawing>
      </w:r>
    </w:p>
    <w:p w14:paraId="2AC1B816" w14:textId="66B79515" w:rsidR="00A00040" w:rsidRPr="00880112" w:rsidRDefault="0059663C" w:rsidP="0099191A">
      <w:pPr>
        <w:pStyle w:val="Didascalia"/>
        <w:jc w:val="left"/>
        <w:rPr>
          <w:b w:val="0"/>
          <w:bCs w:val="0"/>
          <w:i/>
          <w:iCs/>
          <w:color w:val="auto"/>
        </w:rPr>
      </w:pPr>
      <w:r w:rsidRPr="00880112">
        <w:rPr>
          <w:b w:val="0"/>
          <w:bCs w:val="0"/>
          <w:color w:val="auto"/>
        </w:rPr>
        <w:t xml:space="preserve">Figure </w:t>
      </w:r>
      <w:r w:rsidRPr="00880112">
        <w:rPr>
          <w:b w:val="0"/>
          <w:bCs w:val="0"/>
          <w:color w:val="auto"/>
        </w:rPr>
        <w:fldChar w:fldCharType="begin"/>
      </w:r>
      <w:r w:rsidRPr="00880112">
        <w:rPr>
          <w:b w:val="0"/>
          <w:bCs w:val="0"/>
          <w:color w:val="auto"/>
        </w:rPr>
        <w:instrText xml:space="preserve"> SEQ Figure \* ARABIC </w:instrText>
      </w:r>
      <w:r w:rsidRPr="00880112">
        <w:rPr>
          <w:b w:val="0"/>
          <w:bCs w:val="0"/>
          <w:color w:val="auto"/>
        </w:rPr>
        <w:fldChar w:fldCharType="separate"/>
      </w:r>
      <w:r w:rsidR="00985A6D" w:rsidRPr="00880112">
        <w:rPr>
          <w:b w:val="0"/>
          <w:bCs w:val="0"/>
          <w:noProof/>
          <w:color w:val="auto"/>
        </w:rPr>
        <w:t>3</w:t>
      </w:r>
      <w:r w:rsidRPr="00880112">
        <w:rPr>
          <w:b w:val="0"/>
          <w:bCs w:val="0"/>
          <w:color w:val="auto"/>
        </w:rPr>
        <w:fldChar w:fldCharType="end"/>
      </w:r>
      <w:r w:rsidRPr="00880112">
        <w:rPr>
          <w:b w:val="0"/>
          <w:bCs w:val="0"/>
          <w:color w:val="auto"/>
        </w:rPr>
        <w:t xml:space="preserve">. </w:t>
      </w:r>
      <w:r w:rsidR="00A72E29" w:rsidRPr="00880112">
        <w:rPr>
          <w:b w:val="0"/>
          <w:bCs w:val="0"/>
          <w:i/>
          <w:iCs/>
          <w:color w:val="auto"/>
        </w:rPr>
        <w:t>The</w:t>
      </w:r>
      <w:r w:rsidR="006D32C7" w:rsidRPr="00880112">
        <w:rPr>
          <w:b w:val="0"/>
          <w:bCs w:val="0"/>
          <w:i/>
          <w:iCs/>
          <w:color w:val="auto"/>
        </w:rPr>
        <w:t xml:space="preserve"> TT-Spectrum output for the main vegetation indices (NDVI, CVI, LNBI, and AI) for each individual, using reflectance data from different reported bands</w:t>
      </w:r>
    </w:p>
    <w:p w14:paraId="7382C781" w14:textId="2C7F2C73" w:rsidR="00600535" w:rsidRDefault="00AA5E8B" w:rsidP="0099191A">
      <w:pPr>
        <w:pStyle w:val="CETheadingx"/>
        <w:numPr>
          <w:ilvl w:val="2"/>
          <w:numId w:val="27"/>
        </w:numPr>
      </w:pPr>
      <w:r w:rsidRPr="00AA5E8B">
        <w:lastRenderedPageBreak/>
        <w:t xml:space="preserve">Effects of water </w:t>
      </w:r>
      <w:r w:rsidR="00575C78">
        <w:t>deficit</w:t>
      </w:r>
      <w:r w:rsidR="00164537">
        <w:t xml:space="preserve"> </w:t>
      </w:r>
      <w:r w:rsidRPr="00AA5E8B">
        <w:t>on</w:t>
      </w:r>
      <w:r>
        <w:t xml:space="preserve"> Soreli kiwifruit</w:t>
      </w:r>
      <w:r w:rsidR="00737164">
        <w:t xml:space="preserve"> </w:t>
      </w:r>
      <w:r w:rsidR="00737164" w:rsidRPr="00737164">
        <w:t>Chemical</w:t>
      </w:r>
      <w:r w:rsidR="008F4609">
        <w:t>-</w:t>
      </w:r>
      <w:r w:rsidR="00737164" w:rsidRPr="00737164">
        <w:t>Physical Parameters</w:t>
      </w:r>
      <w:r w:rsidR="008F4609">
        <w:t xml:space="preserve"> and Bioactive Compounds</w:t>
      </w:r>
    </w:p>
    <w:p w14:paraId="0E07C129" w14:textId="008481B0" w:rsidR="00AD6354" w:rsidRDefault="00F36FA0" w:rsidP="0099191A">
      <w:pPr>
        <w:pStyle w:val="CETBodytext"/>
        <w:spacing w:line="240" w:lineRule="auto"/>
        <w:rPr>
          <w:lang w:val="en-GB"/>
        </w:rPr>
      </w:pPr>
      <w:r w:rsidRPr="00F36FA0">
        <w:rPr>
          <w:lang w:val="en-GB"/>
        </w:rPr>
        <w:t>SSC of stored fruits showed a notable increase over time across all treatments (Table 1), while the percentage of weight loss in fruits increased over time. No significant differences were observed between the various irrigation treatments, as previously demonstrated in the work of Grasso et al. (2022). However, fruits subjected to full irrigation (100% water) exhibited lower sugar levels compared to those under deficit irrigation. There were no significant differences in Brix° values for the samples with 60% and 80% water irrigation.</w:t>
      </w:r>
      <w:r w:rsidR="003D4771">
        <w:rPr>
          <w:lang w:val="en-GB"/>
        </w:rPr>
        <w:t xml:space="preserve"> </w:t>
      </w:r>
      <w:r w:rsidRPr="00F36FA0">
        <w:rPr>
          <w:lang w:val="en-GB"/>
        </w:rPr>
        <w:t>The firmness, measured by both destructive and non-destructive methods, progressively decreased for all harvested fruits during cold storage under all irrigation conditions. Throughout the storage period, all samples consistently showed a softening tendency, indicating a uniform trend overall. Concerning the color parameters, L*, a*, and b* values at harvest (0 d) were highest in fruits irrigated with 100% water compared to fruits irrigated with 80% and 60% water. However, the results revealed a decreasing and homogeneous trend until the end of the study, with no significant differences between the different irrigation levels. The chromaticity coordinate a* consistently exhibited negative values that remained nearly constant throughout the storage time for all harvested fruits.</w:t>
      </w:r>
      <w:r w:rsidR="003D4771">
        <w:rPr>
          <w:lang w:val="en-GB"/>
        </w:rPr>
        <w:t xml:space="preserve"> </w:t>
      </w:r>
      <w:r w:rsidRPr="00F36FA0">
        <w:rPr>
          <w:lang w:val="en-GB"/>
        </w:rPr>
        <w:t>Titratable acidity values did not differ among the different fruit samples during cold storage (Table 1).</w:t>
      </w:r>
    </w:p>
    <w:p w14:paraId="6A5167CF" w14:textId="47EBF1DD" w:rsidR="00600535" w:rsidRPr="00421829" w:rsidRDefault="00600535" w:rsidP="0099191A">
      <w:pPr>
        <w:pStyle w:val="CETTabletitle"/>
        <w:spacing w:after="0" w:line="240" w:lineRule="auto"/>
        <w:rPr>
          <w:rFonts w:cs="Arial"/>
        </w:rPr>
      </w:pPr>
      <w:r w:rsidRPr="00421829">
        <w:rPr>
          <w:rFonts w:cs="Arial"/>
        </w:rPr>
        <w:t xml:space="preserve">Table 1: </w:t>
      </w:r>
      <w:r w:rsidR="008F0EE5" w:rsidRPr="008F0EE5">
        <w:rPr>
          <w:rFonts w:cs="Arial"/>
        </w:rPr>
        <w:t xml:space="preserve">Physio-chemical parameters in fruits harvested </w:t>
      </w:r>
      <w:r w:rsidR="002774CD">
        <w:rPr>
          <w:rFonts w:cs="Arial"/>
        </w:rPr>
        <w:t xml:space="preserve">analysed </w:t>
      </w:r>
      <w:r w:rsidR="008F0EE5">
        <w:rPr>
          <w:rFonts w:cs="Arial"/>
        </w:rPr>
        <w:t xml:space="preserve">at </w:t>
      </w:r>
      <w:r w:rsidR="008F0EE5" w:rsidRPr="008F0EE5">
        <w:rPr>
          <w:rFonts w:cs="Arial"/>
        </w:rPr>
        <w:t>0 days</w:t>
      </w:r>
      <w:r w:rsidR="008F0EE5">
        <w:rPr>
          <w:rFonts w:cs="Arial"/>
        </w:rPr>
        <w:t>,</w:t>
      </w:r>
      <w:r w:rsidR="008F0EE5" w:rsidRPr="008F0EE5">
        <w:rPr>
          <w:rFonts w:cs="Arial"/>
        </w:rPr>
        <w:t xml:space="preserve"> 15 days, 30 days, 45 days, 60 days</w:t>
      </w:r>
      <w:r w:rsidR="008F0EE5">
        <w:rPr>
          <w:rFonts w:cs="Arial"/>
        </w:rPr>
        <w:t xml:space="preserve"> and</w:t>
      </w:r>
      <w:r w:rsidR="008F0EE5" w:rsidRPr="008F0EE5">
        <w:rPr>
          <w:rFonts w:cs="Arial"/>
        </w:rPr>
        <w:t xml:space="preserve"> 75 days cold storage at 1 </w:t>
      </w:r>
      <w:r w:rsidR="008F0EE5">
        <w:rPr>
          <w:rFonts w:cs="Arial"/>
        </w:rPr>
        <w:t>°</w:t>
      </w:r>
      <w:r w:rsidR="008F0EE5" w:rsidRPr="008F0EE5">
        <w:rPr>
          <w:rFonts w:cs="Arial"/>
        </w:rPr>
        <w:t>C. Three technical replicates were realized for each biological sample.</w:t>
      </w:r>
      <w:r w:rsidR="00D73B0A" w:rsidRPr="00D73B0A">
        <w:rPr>
          <w:rFonts w:cs="Arial"/>
        </w:rPr>
        <w:t xml:space="preserve"> </w:t>
      </w:r>
    </w:p>
    <w:tbl>
      <w:tblPr>
        <w:tblW w:w="880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000"/>
        <w:gridCol w:w="911"/>
        <w:gridCol w:w="976"/>
        <w:gridCol w:w="980"/>
        <w:gridCol w:w="994"/>
        <w:gridCol w:w="987"/>
        <w:gridCol w:w="987"/>
        <w:gridCol w:w="972"/>
      </w:tblGrid>
      <w:tr w:rsidR="00A953BE" w:rsidRPr="00421829" w14:paraId="4B29AA51" w14:textId="00F66477" w:rsidTr="00AD6354">
        <w:tc>
          <w:tcPr>
            <w:tcW w:w="2000" w:type="dxa"/>
            <w:tcBorders>
              <w:top w:val="single" w:sz="12" w:space="0" w:color="008000"/>
              <w:bottom w:val="single" w:sz="6" w:space="0" w:color="008000"/>
            </w:tcBorders>
            <w:shd w:val="clear" w:color="auto" w:fill="FFFFFF"/>
          </w:tcPr>
          <w:p w14:paraId="500859EC" w14:textId="5F1BA03A" w:rsidR="00A953BE" w:rsidRPr="00421829" w:rsidRDefault="00A953BE" w:rsidP="0099191A">
            <w:pPr>
              <w:pStyle w:val="CETBodytext"/>
              <w:spacing w:line="240" w:lineRule="auto"/>
              <w:rPr>
                <w:rFonts w:cs="Arial"/>
                <w:lang w:val="en-GB"/>
              </w:rPr>
            </w:pPr>
            <w:r>
              <w:rPr>
                <w:rFonts w:cs="Arial"/>
                <w:lang w:val="en-GB"/>
              </w:rPr>
              <w:t>Parameter</w:t>
            </w:r>
            <w:r w:rsidRPr="00421829">
              <w:rPr>
                <w:rFonts w:cs="Arial"/>
                <w:lang w:val="en-GB"/>
              </w:rPr>
              <w:t xml:space="preserve"> </w:t>
            </w:r>
          </w:p>
        </w:tc>
        <w:tc>
          <w:tcPr>
            <w:tcW w:w="911" w:type="dxa"/>
            <w:tcBorders>
              <w:top w:val="single" w:sz="12" w:space="0" w:color="008000"/>
              <w:bottom w:val="single" w:sz="6" w:space="0" w:color="008000"/>
            </w:tcBorders>
            <w:shd w:val="clear" w:color="auto" w:fill="FFFFFF"/>
          </w:tcPr>
          <w:p w14:paraId="6B6E97E3" w14:textId="120A70B6" w:rsidR="00A953BE" w:rsidRPr="00421829" w:rsidRDefault="00A953BE" w:rsidP="0099191A">
            <w:pPr>
              <w:pStyle w:val="CETBodytext"/>
              <w:spacing w:line="240" w:lineRule="auto"/>
              <w:rPr>
                <w:rFonts w:cs="Arial"/>
                <w:lang w:val="en-GB"/>
              </w:rPr>
            </w:pPr>
            <w:r>
              <w:rPr>
                <w:rFonts w:cs="Arial"/>
                <w:lang w:val="en-GB"/>
              </w:rPr>
              <w:t>Treatments</w:t>
            </w:r>
          </w:p>
        </w:tc>
        <w:tc>
          <w:tcPr>
            <w:tcW w:w="976" w:type="dxa"/>
            <w:tcBorders>
              <w:top w:val="single" w:sz="12" w:space="0" w:color="008000"/>
              <w:bottom w:val="single" w:sz="6" w:space="0" w:color="008000"/>
            </w:tcBorders>
            <w:shd w:val="clear" w:color="auto" w:fill="FFFFFF"/>
          </w:tcPr>
          <w:p w14:paraId="0CC5C18D" w14:textId="056C98FE" w:rsidR="00A953BE" w:rsidRPr="00421829" w:rsidRDefault="00EA418C" w:rsidP="0099191A">
            <w:pPr>
              <w:pStyle w:val="CETBodytext"/>
              <w:spacing w:line="240" w:lineRule="auto"/>
              <w:rPr>
                <w:rFonts w:cs="Arial"/>
                <w:lang w:val="en-GB"/>
              </w:rPr>
            </w:pPr>
            <w:r>
              <w:rPr>
                <w:rFonts w:cs="Arial"/>
                <w:lang w:val="en-GB"/>
              </w:rPr>
              <w:t xml:space="preserve">  </w:t>
            </w:r>
            <w:r w:rsidR="00A953BE">
              <w:rPr>
                <w:rFonts w:cs="Arial"/>
                <w:lang w:val="en-GB"/>
              </w:rPr>
              <w:t>0 d</w:t>
            </w:r>
          </w:p>
        </w:tc>
        <w:tc>
          <w:tcPr>
            <w:tcW w:w="980" w:type="dxa"/>
            <w:tcBorders>
              <w:top w:val="single" w:sz="12" w:space="0" w:color="008000"/>
              <w:bottom w:val="single" w:sz="6" w:space="0" w:color="008000"/>
            </w:tcBorders>
            <w:shd w:val="clear" w:color="auto" w:fill="FFFFFF"/>
          </w:tcPr>
          <w:p w14:paraId="199EE8DC" w14:textId="17426C42" w:rsidR="00A953BE" w:rsidRPr="00421829" w:rsidRDefault="00A953BE" w:rsidP="0099191A">
            <w:pPr>
              <w:pStyle w:val="CETBodytext"/>
              <w:spacing w:line="240" w:lineRule="auto"/>
              <w:ind w:right="-1"/>
              <w:rPr>
                <w:rFonts w:cs="Arial"/>
                <w:szCs w:val="18"/>
                <w:lang w:val="en-GB"/>
              </w:rPr>
            </w:pPr>
            <w:r>
              <w:rPr>
                <w:rFonts w:cs="Arial"/>
                <w:szCs w:val="18"/>
                <w:lang w:val="en-GB"/>
              </w:rPr>
              <w:t>15 d</w:t>
            </w:r>
          </w:p>
        </w:tc>
        <w:tc>
          <w:tcPr>
            <w:tcW w:w="994" w:type="dxa"/>
            <w:tcBorders>
              <w:top w:val="single" w:sz="12" w:space="0" w:color="008000"/>
              <w:bottom w:val="single" w:sz="6" w:space="0" w:color="008000"/>
            </w:tcBorders>
            <w:shd w:val="clear" w:color="auto" w:fill="FFFFFF"/>
          </w:tcPr>
          <w:p w14:paraId="005800F7" w14:textId="04932D76" w:rsidR="00A953BE" w:rsidRPr="00421829" w:rsidRDefault="00A953BE" w:rsidP="0099191A">
            <w:pPr>
              <w:pStyle w:val="CETBodytext"/>
              <w:spacing w:line="240" w:lineRule="auto"/>
              <w:ind w:right="-1"/>
              <w:rPr>
                <w:rFonts w:cs="Arial"/>
                <w:szCs w:val="18"/>
                <w:lang w:val="en-GB"/>
              </w:rPr>
            </w:pPr>
            <w:r>
              <w:rPr>
                <w:rFonts w:cs="Arial"/>
                <w:szCs w:val="18"/>
                <w:lang w:val="en-GB"/>
              </w:rPr>
              <w:t>30 d</w:t>
            </w:r>
          </w:p>
        </w:tc>
        <w:tc>
          <w:tcPr>
            <w:tcW w:w="987" w:type="dxa"/>
            <w:tcBorders>
              <w:top w:val="single" w:sz="12" w:space="0" w:color="008000"/>
              <w:bottom w:val="single" w:sz="6" w:space="0" w:color="008000"/>
            </w:tcBorders>
            <w:shd w:val="clear" w:color="auto" w:fill="FFFFFF"/>
          </w:tcPr>
          <w:p w14:paraId="164B8E63" w14:textId="48C5FBC4" w:rsidR="00A953BE" w:rsidRPr="00421829" w:rsidRDefault="00A953BE" w:rsidP="0099191A">
            <w:pPr>
              <w:pStyle w:val="CETBodytext"/>
              <w:spacing w:line="240" w:lineRule="auto"/>
              <w:ind w:right="-1"/>
              <w:rPr>
                <w:rFonts w:cs="Arial"/>
                <w:szCs w:val="18"/>
                <w:lang w:val="en-GB"/>
              </w:rPr>
            </w:pPr>
            <w:r>
              <w:rPr>
                <w:rFonts w:cs="Arial"/>
                <w:szCs w:val="18"/>
                <w:lang w:val="en-GB"/>
              </w:rPr>
              <w:t>45 d</w:t>
            </w:r>
          </w:p>
        </w:tc>
        <w:tc>
          <w:tcPr>
            <w:tcW w:w="987" w:type="dxa"/>
            <w:tcBorders>
              <w:top w:val="single" w:sz="12" w:space="0" w:color="008000"/>
              <w:bottom w:val="single" w:sz="6" w:space="0" w:color="008000"/>
            </w:tcBorders>
            <w:shd w:val="clear" w:color="auto" w:fill="FFFFFF"/>
          </w:tcPr>
          <w:p w14:paraId="5D6FD326" w14:textId="47155ABF" w:rsidR="00A953BE" w:rsidRPr="00421829" w:rsidRDefault="00A953BE" w:rsidP="0099191A">
            <w:pPr>
              <w:pStyle w:val="CETBodytext"/>
              <w:spacing w:line="240" w:lineRule="auto"/>
              <w:ind w:right="-1"/>
              <w:rPr>
                <w:rFonts w:cs="Arial"/>
                <w:szCs w:val="18"/>
                <w:lang w:val="en-GB"/>
              </w:rPr>
            </w:pPr>
            <w:r>
              <w:rPr>
                <w:rFonts w:cs="Arial"/>
                <w:szCs w:val="18"/>
                <w:lang w:val="en-GB"/>
              </w:rPr>
              <w:t>60 d</w:t>
            </w:r>
          </w:p>
        </w:tc>
        <w:tc>
          <w:tcPr>
            <w:tcW w:w="972" w:type="dxa"/>
            <w:tcBorders>
              <w:top w:val="single" w:sz="12" w:space="0" w:color="008000"/>
              <w:bottom w:val="single" w:sz="6" w:space="0" w:color="008000"/>
            </w:tcBorders>
            <w:shd w:val="clear" w:color="auto" w:fill="FFFFFF"/>
          </w:tcPr>
          <w:p w14:paraId="0778D1FF" w14:textId="1C5793F7" w:rsidR="00A953BE" w:rsidRDefault="00A953BE" w:rsidP="0099191A">
            <w:pPr>
              <w:pStyle w:val="CETBodytext"/>
              <w:spacing w:line="240" w:lineRule="auto"/>
              <w:ind w:right="-1"/>
              <w:rPr>
                <w:rFonts w:cs="Arial"/>
                <w:szCs w:val="18"/>
                <w:lang w:val="en-GB"/>
              </w:rPr>
            </w:pPr>
            <w:r>
              <w:rPr>
                <w:rFonts w:cs="Arial"/>
                <w:szCs w:val="18"/>
                <w:lang w:val="en-GB"/>
              </w:rPr>
              <w:t>75 d</w:t>
            </w:r>
          </w:p>
        </w:tc>
      </w:tr>
      <w:tr w:rsidR="00A953BE" w:rsidRPr="00421829" w14:paraId="18FA68DB" w14:textId="411CCFEC" w:rsidTr="00AD6354">
        <w:tc>
          <w:tcPr>
            <w:tcW w:w="2000" w:type="dxa"/>
            <w:shd w:val="clear" w:color="auto" w:fill="FFFFFF"/>
          </w:tcPr>
          <w:p w14:paraId="1877D42D" w14:textId="2F3EC8F2" w:rsidR="00A953BE" w:rsidRPr="00421829" w:rsidRDefault="004E0DD2" w:rsidP="0099191A">
            <w:pPr>
              <w:pStyle w:val="CETBodytext"/>
              <w:spacing w:line="240" w:lineRule="auto"/>
              <w:rPr>
                <w:rFonts w:cs="Arial"/>
                <w:lang w:val="en-GB"/>
              </w:rPr>
            </w:pPr>
            <w:r>
              <w:t>SSC</w:t>
            </w:r>
            <w:r w:rsidR="006267DC">
              <w:t xml:space="preserve"> </w:t>
            </w:r>
            <w:r>
              <w:t>(◦Brix)</w:t>
            </w:r>
          </w:p>
        </w:tc>
        <w:tc>
          <w:tcPr>
            <w:tcW w:w="911" w:type="dxa"/>
            <w:shd w:val="clear" w:color="auto" w:fill="FFFFFF"/>
          </w:tcPr>
          <w:p w14:paraId="48136FAE" w14:textId="4973FA56" w:rsidR="00A953BE" w:rsidRPr="00421829" w:rsidRDefault="004E0DD2" w:rsidP="0099191A">
            <w:pPr>
              <w:pStyle w:val="CETBodytext"/>
              <w:spacing w:line="240" w:lineRule="auto"/>
              <w:rPr>
                <w:rFonts w:cs="Arial"/>
                <w:lang w:val="en-GB"/>
              </w:rPr>
            </w:pPr>
            <w:r>
              <w:rPr>
                <w:rFonts w:cs="Arial"/>
                <w:lang w:val="en-GB"/>
              </w:rPr>
              <w:t xml:space="preserve">100% </w:t>
            </w:r>
          </w:p>
        </w:tc>
        <w:tc>
          <w:tcPr>
            <w:tcW w:w="976" w:type="dxa"/>
            <w:shd w:val="clear" w:color="auto" w:fill="FFFFFF"/>
          </w:tcPr>
          <w:p w14:paraId="2CB03BEE" w14:textId="59CA12B3" w:rsidR="00A953BE" w:rsidRPr="00421829" w:rsidRDefault="004E0DD2" w:rsidP="0099191A">
            <w:pPr>
              <w:pStyle w:val="CETBodytext"/>
              <w:spacing w:line="240" w:lineRule="auto"/>
              <w:rPr>
                <w:rFonts w:cs="Arial"/>
                <w:lang w:val="en-GB"/>
              </w:rPr>
            </w:pPr>
            <w:r>
              <w:rPr>
                <w:rFonts w:cs="Arial"/>
                <w:lang w:val="en-GB"/>
              </w:rPr>
              <w:t>8,72</w:t>
            </w:r>
            <w:r w:rsidR="00CD6704">
              <w:rPr>
                <w:rFonts w:cs="Arial"/>
                <w:lang w:val="en-GB"/>
              </w:rPr>
              <w:t xml:space="preserve"> </w:t>
            </w:r>
            <w:r w:rsidR="00CD6704" w:rsidRPr="00CD6704">
              <w:rPr>
                <w:rFonts w:cs="Arial"/>
                <w:lang w:val="en-GB"/>
              </w:rPr>
              <w:t>(iA)</w:t>
            </w:r>
          </w:p>
        </w:tc>
        <w:tc>
          <w:tcPr>
            <w:tcW w:w="980" w:type="dxa"/>
            <w:shd w:val="clear" w:color="auto" w:fill="FFFFFF"/>
          </w:tcPr>
          <w:p w14:paraId="7FF7EB81" w14:textId="6E428170" w:rsidR="00A953BE" w:rsidRPr="00421829" w:rsidRDefault="004E0DD2" w:rsidP="0099191A">
            <w:pPr>
              <w:pStyle w:val="CETBodytext"/>
              <w:spacing w:line="240" w:lineRule="auto"/>
              <w:ind w:right="-1"/>
              <w:rPr>
                <w:rFonts w:cs="Arial"/>
                <w:szCs w:val="18"/>
                <w:lang w:val="en-GB"/>
              </w:rPr>
            </w:pPr>
            <w:r>
              <w:rPr>
                <w:rFonts w:cs="Arial"/>
                <w:szCs w:val="18"/>
                <w:lang w:val="en-GB"/>
              </w:rPr>
              <w:t>11,32</w:t>
            </w:r>
            <w:r w:rsidR="00CD6704">
              <w:rPr>
                <w:rFonts w:cs="Arial"/>
                <w:szCs w:val="18"/>
                <w:lang w:val="en-GB"/>
              </w:rPr>
              <w:t xml:space="preserve"> </w:t>
            </w:r>
            <w:r w:rsidR="00CD6704" w:rsidRPr="00CD6704">
              <w:rPr>
                <w:rFonts w:cs="Arial"/>
                <w:color w:val="000000"/>
                <w:szCs w:val="18"/>
                <w:lang w:val="it-IT" w:eastAsia="it-IT"/>
              </w:rPr>
              <w:t>(ghA)</w:t>
            </w:r>
          </w:p>
        </w:tc>
        <w:tc>
          <w:tcPr>
            <w:tcW w:w="994" w:type="dxa"/>
            <w:shd w:val="clear" w:color="auto" w:fill="FFFFFF"/>
          </w:tcPr>
          <w:p w14:paraId="6512B018" w14:textId="47CFB0F0"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12,21</w:t>
            </w:r>
            <w:r w:rsidR="00CD6704">
              <w:rPr>
                <w:rFonts w:cs="Arial"/>
                <w:szCs w:val="18"/>
                <w:lang w:val="en-GB"/>
              </w:rPr>
              <w:t xml:space="preserve"> </w:t>
            </w:r>
            <w:r w:rsidR="00CD6704" w:rsidRPr="00CD6704">
              <w:rPr>
                <w:rFonts w:cs="Arial"/>
                <w:color w:val="000000"/>
                <w:szCs w:val="18"/>
                <w:lang w:val="it-IT" w:eastAsia="it-IT"/>
              </w:rPr>
              <w:t>(fgB)</w:t>
            </w:r>
          </w:p>
        </w:tc>
        <w:tc>
          <w:tcPr>
            <w:tcW w:w="987" w:type="dxa"/>
            <w:shd w:val="clear" w:color="auto" w:fill="FFFFFF"/>
          </w:tcPr>
          <w:p w14:paraId="44B14E54" w14:textId="14558076"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12,64</w:t>
            </w:r>
            <w:r w:rsidR="00CD6704">
              <w:rPr>
                <w:rFonts w:cs="Arial"/>
                <w:szCs w:val="18"/>
                <w:lang w:val="en-GB"/>
              </w:rPr>
              <w:t xml:space="preserve"> </w:t>
            </w:r>
            <w:r w:rsidR="00CD6704" w:rsidRPr="00CD6704">
              <w:rPr>
                <w:rFonts w:cs="Arial"/>
                <w:color w:val="000000"/>
                <w:szCs w:val="18"/>
                <w:lang w:val="it-IT" w:eastAsia="it-IT"/>
              </w:rPr>
              <w:t>(efB)</w:t>
            </w:r>
          </w:p>
        </w:tc>
        <w:tc>
          <w:tcPr>
            <w:tcW w:w="987" w:type="dxa"/>
            <w:shd w:val="clear" w:color="auto" w:fill="FFFFFF"/>
          </w:tcPr>
          <w:p w14:paraId="0B45880A" w14:textId="21647FD1"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14,18</w:t>
            </w:r>
            <w:r w:rsidR="00CD6704">
              <w:rPr>
                <w:rFonts w:cs="Arial"/>
                <w:szCs w:val="18"/>
                <w:lang w:val="en-GB"/>
              </w:rPr>
              <w:t xml:space="preserve"> </w:t>
            </w:r>
            <w:r w:rsidR="00CD6704" w:rsidRPr="00CD6704">
              <w:rPr>
                <w:rFonts w:cs="Arial"/>
                <w:color w:val="000000"/>
                <w:szCs w:val="18"/>
                <w:lang w:val="it-IT" w:eastAsia="it-IT"/>
              </w:rPr>
              <w:t>(bcB)</w:t>
            </w:r>
          </w:p>
        </w:tc>
        <w:tc>
          <w:tcPr>
            <w:tcW w:w="972" w:type="dxa"/>
            <w:shd w:val="clear" w:color="auto" w:fill="FFFFFF"/>
          </w:tcPr>
          <w:p w14:paraId="09615D21" w14:textId="225E2E6B"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14,</w:t>
            </w:r>
            <w:r w:rsidR="004A40E4">
              <w:rPr>
                <w:rFonts w:cs="Arial"/>
                <w:szCs w:val="18"/>
                <w:lang w:val="en-GB"/>
              </w:rPr>
              <w:t>3</w:t>
            </w:r>
            <w:r w:rsidRPr="004E0DD2">
              <w:rPr>
                <w:rFonts w:cs="Arial"/>
                <w:szCs w:val="18"/>
                <w:lang w:val="en-GB"/>
              </w:rPr>
              <w:t>4</w:t>
            </w:r>
            <w:r w:rsidR="00CD6704">
              <w:rPr>
                <w:rFonts w:cs="Arial"/>
                <w:szCs w:val="18"/>
                <w:lang w:val="en-GB"/>
              </w:rPr>
              <w:t xml:space="preserve"> </w:t>
            </w:r>
            <w:r w:rsidR="00CD6704" w:rsidRPr="00CD6704">
              <w:rPr>
                <w:rFonts w:cs="Arial"/>
                <w:color w:val="000000"/>
                <w:szCs w:val="18"/>
                <w:lang w:val="it-IT" w:eastAsia="it-IT"/>
              </w:rPr>
              <w:t>(ab</w:t>
            </w:r>
            <w:r w:rsidR="004A40E4">
              <w:rPr>
                <w:rFonts w:cs="Arial"/>
                <w:color w:val="000000"/>
                <w:szCs w:val="18"/>
                <w:lang w:val="it-IT" w:eastAsia="it-IT"/>
              </w:rPr>
              <w:t>B</w:t>
            </w:r>
            <w:r w:rsidR="00CD6704" w:rsidRPr="00CD6704">
              <w:rPr>
                <w:rFonts w:cs="Arial"/>
                <w:color w:val="000000"/>
                <w:szCs w:val="18"/>
                <w:lang w:val="it-IT" w:eastAsia="it-IT"/>
              </w:rPr>
              <w:t>)</w:t>
            </w:r>
          </w:p>
        </w:tc>
      </w:tr>
      <w:tr w:rsidR="00A953BE" w:rsidRPr="00421829" w14:paraId="1777C522" w14:textId="773E623F" w:rsidTr="00AD6354">
        <w:tc>
          <w:tcPr>
            <w:tcW w:w="2000" w:type="dxa"/>
            <w:shd w:val="clear" w:color="auto" w:fill="FFFFFF"/>
          </w:tcPr>
          <w:p w14:paraId="59954EC2" w14:textId="77777777" w:rsidR="00A953BE" w:rsidRPr="00421829" w:rsidRDefault="00A953BE" w:rsidP="0099191A">
            <w:pPr>
              <w:pStyle w:val="CETBodytext"/>
              <w:spacing w:line="240" w:lineRule="auto"/>
              <w:ind w:right="-1"/>
              <w:rPr>
                <w:rFonts w:cs="Arial"/>
                <w:szCs w:val="18"/>
                <w:lang w:val="en-GB"/>
              </w:rPr>
            </w:pPr>
          </w:p>
        </w:tc>
        <w:tc>
          <w:tcPr>
            <w:tcW w:w="911" w:type="dxa"/>
            <w:shd w:val="clear" w:color="auto" w:fill="FFFFFF"/>
          </w:tcPr>
          <w:p w14:paraId="4FFB40F7" w14:textId="4DD81E6F" w:rsidR="00A953BE" w:rsidRPr="00421829" w:rsidRDefault="004E0DD2" w:rsidP="0099191A">
            <w:pPr>
              <w:pStyle w:val="CETBodytext"/>
              <w:spacing w:line="240" w:lineRule="auto"/>
              <w:ind w:right="-1"/>
              <w:rPr>
                <w:rFonts w:cs="Arial"/>
                <w:szCs w:val="18"/>
                <w:lang w:val="en-GB"/>
              </w:rPr>
            </w:pPr>
            <w:r>
              <w:rPr>
                <w:rFonts w:cs="Arial"/>
                <w:szCs w:val="18"/>
                <w:lang w:val="en-GB"/>
              </w:rPr>
              <w:t>80%</w:t>
            </w:r>
          </w:p>
        </w:tc>
        <w:tc>
          <w:tcPr>
            <w:tcW w:w="976" w:type="dxa"/>
            <w:shd w:val="clear" w:color="auto" w:fill="FFFFFF"/>
          </w:tcPr>
          <w:p w14:paraId="74F8316C" w14:textId="13AB5ECE"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9,16</w:t>
            </w:r>
            <w:r w:rsidR="00CD6704">
              <w:rPr>
                <w:rFonts w:cs="Arial"/>
                <w:szCs w:val="18"/>
                <w:lang w:val="en-GB"/>
              </w:rPr>
              <w:t xml:space="preserve"> </w:t>
            </w:r>
            <w:r w:rsidR="00CD6704" w:rsidRPr="00CD6704">
              <w:rPr>
                <w:rFonts w:cs="Arial"/>
                <w:color w:val="000000"/>
                <w:szCs w:val="18"/>
                <w:lang w:val="it-IT" w:eastAsia="it-IT"/>
              </w:rPr>
              <w:t>(iA)</w:t>
            </w:r>
          </w:p>
        </w:tc>
        <w:tc>
          <w:tcPr>
            <w:tcW w:w="980" w:type="dxa"/>
            <w:shd w:val="clear" w:color="auto" w:fill="FFFFFF"/>
          </w:tcPr>
          <w:p w14:paraId="708CF970" w14:textId="60DBB582" w:rsidR="00A953BE" w:rsidRPr="00421829" w:rsidRDefault="004E0DD2" w:rsidP="0099191A">
            <w:pPr>
              <w:pStyle w:val="CETBodytext"/>
              <w:spacing w:line="240" w:lineRule="auto"/>
              <w:ind w:right="-1"/>
              <w:rPr>
                <w:rFonts w:cs="Arial"/>
                <w:szCs w:val="18"/>
                <w:lang w:val="en-GB"/>
              </w:rPr>
            </w:pPr>
            <w:r w:rsidRPr="004E0DD2">
              <w:rPr>
                <w:rFonts w:cs="Arial"/>
                <w:szCs w:val="18"/>
                <w:lang w:val="it-IT"/>
              </w:rPr>
              <w:t>11,44</w:t>
            </w:r>
            <w:r w:rsidR="00CD6704">
              <w:rPr>
                <w:rFonts w:cs="Arial"/>
                <w:szCs w:val="18"/>
                <w:lang w:val="it-IT"/>
              </w:rPr>
              <w:t xml:space="preserve"> </w:t>
            </w:r>
            <w:r w:rsidR="00CD6704" w:rsidRPr="00CD6704">
              <w:rPr>
                <w:rFonts w:cs="Arial"/>
                <w:color w:val="000000"/>
                <w:szCs w:val="18"/>
                <w:lang w:val="it-IT" w:eastAsia="it-IT"/>
              </w:rPr>
              <w:t>(ghA)</w:t>
            </w:r>
          </w:p>
        </w:tc>
        <w:tc>
          <w:tcPr>
            <w:tcW w:w="994" w:type="dxa"/>
            <w:shd w:val="clear" w:color="auto" w:fill="FFFFFF"/>
          </w:tcPr>
          <w:p w14:paraId="6B4A2B9B" w14:textId="5261820F"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13,3</w:t>
            </w:r>
            <w:r w:rsidR="00CD6704">
              <w:rPr>
                <w:rFonts w:cs="Arial"/>
                <w:szCs w:val="18"/>
                <w:lang w:val="en-GB"/>
              </w:rPr>
              <w:t xml:space="preserve"> </w:t>
            </w:r>
            <w:r w:rsidR="00CD6704" w:rsidRPr="00CD6704">
              <w:rPr>
                <w:rFonts w:cs="Arial"/>
                <w:color w:val="000000"/>
                <w:szCs w:val="18"/>
                <w:lang w:val="it-IT" w:eastAsia="it-IT"/>
              </w:rPr>
              <w:t>(cdeA)</w:t>
            </w:r>
          </w:p>
        </w:tc>
        <w:tc>
          <w:tcPr>
            <w:tcW w:w="987" w:type="dxa"/>
            <w:shd w:val="clear" w:color="auto" w:fill="FFFFFF"/>
          </w:tcPr>
          <w:p w14:paraId="4099702E" w14:textId="5579FE45"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13,47</w:t>
            </w:r>
            <w:r w:rsidR="00CD6704">
              <w:rPr>
                <w:rFonts w:cs="Arial"/>
                <w:szCs w:val="18"/>
                <w:lang w:val="en-GB"/>
              </w:rPr>
              <w:t xml:space="preserve"> </w:t>
            </w:r>
            <w:r w:rsidR="00CD6704" w:rsidRPr="00CD6704">
              <w:rPr>
                <w:rFonts w:cs="Arial"/>
                <w:color w:val="000000"/>
                <w:szCs w:val="18"/>
                <w:lang w:val="it-IT" w:eastAsia="it-IT"/>
              </w:rPr>
              <w:t>(cdA)</w:t>
            </w:r>
          </w:p>
        </w:tc>
        <w:tc>
          <w:tcPr>
            <w:tcW w:w="987" w:type="dxa"/>
            <w:shd w:val="clear" w:color="auto" w:fill="FFFFFF"/>
          </w:tcPr>
          <w:p w14:paraId="301F061D" w14:textId="5D5FFFDD"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14,95</w:t>
            </w:r>
            <w:r w:rsidR="00CD6704">
              <w:rPr>
                <w:rFonts w:cs="Arial"/>
                <w:szCs w:val="18"/>
                <w:lang w:val="en-GB"/>
              </w:rPr>
              <w:t xml:space="preserve"> </w:t>
            </w:r>
            <w:r w:rsidR="00CD6704" w:rsidRPr="00CD6704">
              <w:rPr>
                <w:rFonts w:cs="Arial"/>
                <w:color w:val="000000"/>
                <w:szCs w:val="18"/>
                <w:lang w:val="it-IT" w:eastAsia="it-IT"/>
              </w:rPr>
              <w:t>(abA)</w:t>
            </w:r>
          </w:p>
        </w:tc>
        <w:tc>
          <w:tcPr>
            <w:tcW w:w="972" w:type="dxa"/>
            <w:shd w:val="clear" w:color="auto" w:fill="FFFFFF"/>
          </w:tcPr>
          <w:p w14:paraId="2F4C11FC" w14:textId="10D0BA99"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14,8</w:t>
            </w:r>
            <w:r w:rsidR="00425E04">
              <w:rPr>
                <w:rFonts w:cs="Arial"/>
                <w:szCs w:val="18"/>
                <w:lang w:val="en-GB"/>
              </w:rPr>
              <w:t>0</w:t>
            </w:r>
            <w:r w:rsidR="00CD6704">
              <w:rPr>
                <w:rFonts w:cs="Arial"/>
                <w:szCs w:val="18"/>
                <w:lang w:val="en-GB"/>
              </w:rPr>
              <w:t xml:space="preserve"> </w:t>
            </w:r>
            <w:r w:rsidR="00CD6704" w:rsidRPr="00CD6704">
              <w:rPr>
                <w:rFonts w:cs="Arial"/>
                <w:color w:val="000000"/>
                <w:szCs w:val="18"/>
                <w:lang w:val="it-IT" w:eastAsia="it-IT"/>
              </w:rPr>
              <w:t>(abA)</w:t>
            </w:r>
          </w:p>
        </w:tc>
      </w:tr>
      <w:tr w:rsidR="00A953BE" w:rsidRPr="00421829" w14:paraId="143936EC" w14:textId="145AB735" w:rsidTr="00AD6354">
        <w:tc>
          <w:tcPr>
            <w:tcW w:w="2000" w:type="dxa"/>
            <w:shd w:val="clear" w:color="auto" w:fill="FFFFFF"/>
          </w:tcPr>
          <w:p w14:paraId="0BF95C9B" w14:textId="77777777" w:rsidR="00A953BE" w:rsidRPr="00421829" w:rsidRDefault="00A953BE" w:rsidP="0099191A">
            <w:pPr>
              <w:pStyle w:val="CETBodytext"/>
              <w:spacing w:line="240" w:lineRule="auto"/>
              <w:ind w:right="-1"/>
              <w:rPr>
                <w:rFonts w:cs="Arial"/>
                <w:szCs w:val="18"/>
                <w:lang w:val="en-GB"/>
              </w:rPr>
            </w:pPr>
          </w:p>
        </w:tc>
        <w:tc>
          <w:tcPr>
            <w:tcW w:w="911" w:type="dxa"/>
            <w:shd w:val="clear" w:color="auto" w:fill="FFFFFF"/>
          </w:tcPr>
          <w:p w14:paraId="78626060" w14:textId="70B5A056" w:rsidR="00A953BE" w:rsidRPr="00421829" w:rsidRDefault="004E0DD2" w:rsidP="0099191A">
            <w:pPr>
              <w:pStyle w:val="CETBodytext"/>
              <w:spacing w:line="240" w:lineRule="auto"/>
              <w:ind w:right="-1"/>
              <w:rPr>
                <w:rFonts w:cs="Arial"/>
                <w:szCs w:val="18"/>
                <w:lang w:val="en-GB"/>
              </w:rPr>
            </w:pPr>
            <w:r>
              <w:rPr>
                <w:rFonts w:cs="Arial"/>
                <w:szCs w:val="18"/>
                <w:lang w:val="en-GB"/>
              </w:rPr>
              <w:t>60%</w:t>
            </w:r>
          </w:p>
        </w:tc>
        <w:tc>
          <w:tcPr>
            <w:tcW w:w="976" w:type="dxa"/>
            <w:shd w:val="clear" w:color="auto" w:fill="FFFFFF"/>
          </w:tcPr>
          <w:p w14:paraId="71183A4F" w14:textId="2081767D"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9,15</w:t>
            </w:r>
            <w:r w:rsidR="00CD6704">
              <w:rPr>
                <w:rFonts w:cs="Arial"/>
                <w:szCs w:val="18"/>
                <w:lang w:val="en-GB"/>
              </w:rPr>
              <w:t xml:space="preserve"> </w:t>
            </w:r>
            <w:r w:rsidR="00CD6704" w:rsidRPr="00CD6704">
              <w:rPr>
                <w:rFonts w:cs="Arial"/>
                <w:color w:val="000000"/>
                <w:szCs w:val="18"/>
                <w:lang w:val="it-IT" w:eastAsia="it-IT"/>
              </w:rPr>
              <w:t>(iA)</w:t>
            </w:r>
          </w:p>
        </w:tc>
        <w:tc>
          <w:tcPr>
            <w:tcW w:w="980" w:type="dxa"/>
            <w:shd w:val="clear" w:color="auto" w:fill="FFFFFF"/>
          </w:tcPr>
          <w:p w14:paraId="4981D738" w14:textId="21DB7A92"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11,08</w:t>
            </w:r>
            <w:r w:rsidR="00CD6704">
              <w:rPr>
                <w:rFonts w:cs="Arial"/>
                <w:szCs w:val="18"/>
                <w:lang w:val="en-GB"/>
              </w:rPr>
              <w:t xml:space="preserve"> </w:t>
            </w:r>
            <w:r w:rsidR="00CD6704" w:rsidRPr="00CD6704">
              <w:rPr>
                <w:rFonts w:cs="Arial"/>
                <w:color w:val="000000"/>
                <w:szCs w:val="18"/>
                <w:lang w:val="it-IT" w:eastAsia="it-IT"/>
              </w:rPr>
              <w:t>(hA)</w:t>
            </w:r>
          </w:p>
        </w:tc>
        <w:tc>
          <w:tcPr>
            <w:tcW w:w="994" w:type="dxa"/>
            <w:shd w:val="clear" w:color="auto" w:fill="FFFFFF"/>
          </w:tcPr>
          <w:p w14:paraId="152A5630" w14:textId="5CFA8E5A"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13,18</w:t>
            </w:r>
            <w:r w:rsidR="00CD6704">
              <w:rPr>
                <w:rFonts w:cs="Arial"/>
                <w:szCs w:val="18"/>
                <w:lang w:val="en-GB"/>
              </w:rPr>
              <w:t xml:space="preserve"> </w:t>
            </w:r>
            <w:r w:rsidR="00CD6704" w:rsidRPr="00CD6704">
              <w:rPr>
                <w:rFonts w:cs="Arial"/>
                <w:color w:val="000000"/>
                <w:szCs w:val="18"/>
                <w:lang w:val="it-IT" w:eastAsia="it-IT"/>
              </w:rPr>
              <w:t>(defA)</w:t>
            </w:r>
          </w:p>
        </w:tc>
        <w:tc>
          <w:tcPr>
            <w:tcW w:w="987" w:type="dxa"/>
            <w:shd w:val="clear" w:color="auto" w:fill="FFFFFF"/>
          </w:tcPr>
          <w:p w14:paraId="70969E4A" w14:textId="2AF43B13"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13,65</w:t>
            </w:r>
            <w:r w:rsidR="00CD6704">
              <w:rPr>
                <w:rFonts w:cs="Arial"/>
                <w:szCs w:val="18"/>
                <w:lang w:val="en-GB"/>
              </w:rPr>
              <w:t xml:space="preserve"> </w:t>
            </w:r>
            <w:r w:rsidR="00CD6704" w:rsidRPr="00CD6704">
              <w:rPr>
                <w:rFonts w:cs="Arial"/>
                <w:color w:val="000000"/>
                <w:szCs w:val="18"/>
                <w:lang w:val="it-IT" w:eastAsia="it-IT"/>
              </w:rPr>
              <w:t>(cdA)</w:t>
            </w:r>
          </w:p>
        </w:tc>
        <w:tc>
          <w:tcPr>
            <w:tcW w:w="987" w:type="dxa"/>
            <w:shd w:val="clear" w:color="auto" w:fill="FFFFFF"/>
          </w:tcPr>
          <w:p w14:paraId="278774F0" w14:textId="32932E7E"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15,1</w:t>
            </w:r>
            <w:r w:rsidR="00425E04">
              <w:rPr>
                <w:rFonts w:cs="Arial"/>
                <w:szCs w:val="18"/>
                <w:lang w:val="en-GB"/>
              </w:rPr>
              <w:t>0</w:t>
            </w:r>
            <w:r w:rsidR="00CD6704">
              <w:rPr>
                <w:rFonts w:cs="Arial"/>
                <w:szCs w:val="18"/>
                <w:lang w:val="en-GB"/>
              </w:rPr>
              <w:t xml:space="preserve"> </w:t>
            </w:r>
            <w:r w:rsidR="00CD6704" w:rsidRPr="00CD6704">
              <w:rPr>
                <w:rFonts w:cs="Arial"/>
                <w:color w:val="000000"/>
                <w:szCs w:val="18"/>
                <w:lang w:val="it-IT" w:eastAsia="it-IT"/>
              </w:rPr>
              <w:t>(abA)</w:t>
            </w:r>
          </w:p>
        </w:tc>
        <w:tc>
          <w:tcPr>
            <w:tcW w:w="972" w:type="dxa"/>
            <w:shd w:val="clear" w:color="auto" w:fill="FFFFFF"/>
          </w:tcPr>
          <w:p w14:paraId="77332ABE" w14:textId="1DD38488" w:rsidR="00A953BE" w:rsidRPr="00421829" w:rsidRDefault="004E0DD2" w:rsidP="0099191A">
            <w:pPr>
              <w:pStyle w:val="CETBodytext"/>
              <w:spacing w:line="240" w:lineRule="auto"/>
              <w:ind w:right="-1"/>
              <w:rPr>
                <w:rFonts w:cs="Arial"/>
                <w:szCs w:val="18"/>
                <w:lang w:val="en-GB"/>
              </w:rPr>
            </w:pPr>
            <w:r w:rsidRPr="004E0DD2">
              <w:rPr>
                <w:rFonts w:cs="Arial"/>
                <w:szCs w:val="18"/>
                <w:lang w:val="en-GB"/>
              </w:rPr>
              <w:t>15,31</w:t>
            </w:r>
            <w:r w:rsidR="00CD6704">
              <w:rPr>
                <w:rFonts w:cs="Arial"/>
                <w:szCs w:val="18"/>
                <w:lang w:val="en-GB"/>
              </w:rPr>
              <w:t xml:space="preserve"> </w:t>
            </w:r>
            <w:r w:rsidR="00CD6704" w:rsidRPr="00CD6704">
              <w:rPr>
                <w:rFonts w:cs="Arial"/>
                <w:color w:val="000000"/>
                <w:szCs w:val="18"/>
                <w:lang w:val="it-IT" w:eastAsia="it-IT"/>
              </w:rPr>
              <w:t>(aA)</w:t>
            </w:r>
          </w:p>
        </w:tc>
      </w:tr>
      <w:tr w:rsidR="00163059" w:rsidRPr="00421829" w14:paraId="4A413215" w14:textId="77777777" w:rsidTr="00AD6354">
        <w:tc>
          <w:tcPr>
            <w:tcW w:w="2000" w:type="dxa"/>
            <w:shd w:val="clear" w:color="auto" w:fill="FFFFFF"/>
          </w:tcPr>
          <w:p w14:paraId="724935B4" w14:textId="2A197F8B" w:rsidR="00163059" w:rsidRPr="00421829" w:rsidRDefault="00163059" w:rsidP="0099191A">
            <w:pPr>
              <w:pStyle w:val="CETBodytext"/>
              <w:spacing w:line="240" w:lineRule="auto"/>
              <w:ind w:right="-1"/>
              <w:rPr>
                <w:rFonts w:cs="Arial"/>
                <w:szCs w:val="18"/>
                <w:lang w:val="en-GB"/>
              </w:rPr>
            </w:pPr>
            <w:r w:rsidRPr="0042688E">
              <w:rPr>
                <w:rFonts w:cs="Arial"/>
                <w:szCs w:val="18"/>
                <w:lang w:val="en-GB"/>
              </w:rPr>
              <w:t>FFP</w:t>
            </w:r>
            <w:r w:rsidR="006267DC">
              <w:rPr>
                <w:rFonts w:cs="Arial"/>
                <w:szCs w:val="18"/>
                <w:lang w:val="en-GB"/>
              </w:rPr>
              <w:t xml:space="preserve"> </w:t>
            </w:r>
            <w:r w:rsidRPr="0042688E">
              <w:rPr>
                <w:rFonts w:cs="Arial"/>
                <w:szCs w:val="18"/>
                <w:lang w:val="en-GB"/>
              </w:rPr>
              <w:t>(kg cm</w:t>
            </w:r>
            <w:r w:rsidRPr="0042688E">
              <w:rPr>
                <w:rFonts w:cs="Arial"/>
                <w:szCs w:val="18"/>
                <w:vertAlign w:val="superscript"/>
                <w:lang w:val="en-GB"/>
              </w:rPr>
              <w:t>−2</w:t>
            </w:r>
            <w:r w:rsidRPr="0042688E">
              <w:rPr>
                <w:rFonts w:cs="Arial"/>
                <w:szCs w:val="18"/>
                <w:lang w:val="en-GB"/>
              </w:rPr>
              <w:t>)</w:t>
            </w:r>
          </w:p>
        </w:tc>
        <w:tc>
          <w:tcPr>
            <w:tcW w:w="911" w:type="dxa"/>
            <w:shd w:val="clear" w:color="auto" w:fill="FFFFFF"/>
          </w:tcPr>
          <w:p w14:paraId="7D9E31BF" w14:textId="425EC313" w:rsidR="00163059" w:rsidRDefault="00163059" w:rsidP="0099191A">
            <w:pPr>
              <w:pStyle w:val="CETBodytext"/>
              <w:spacing w:line="240" w:lineRule="auto"/>
              <w:ind w:right="-1"/>
              <w:rPr>
                <w:rFonts w:cs="Arial"/>
                <w:szCs w:val="18"/>
                <w:lang w:val="en-GB"/>
              </w:rPr>
            </w:pPr>
            <w:r>
              <w:rPr>
                <w:rFonts w:cs="Arial"/>
                <w:lang w:val="en-GB"/>
              </w:rPr>
              <w:t xml:space="preserve">100% </w:t>
            </w:r>
          </w:p>
        </w:tc>
        <w:tc>
          <w:tcPr>
            <w:tcW w:w="976" w:type="dxa"/>
            <w:shd w:val="clear" w:color="auto" w:fill="FFFFFF"/>
          </w:tcPr>
          <w:p w14:paraId="38E77A3A" w14:textId="0BD76988"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7,61</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aA</w:t>
            </w:r>
            <w:r w:rsidR="00EC68CC">
              <w:rPr>
                <w:rFonts w:cs="Arial"/>
                <w:color w:val="000000"/>
                <w:szCs w:val="18"/>
              </w:rPr>
              <w:t>)</w:t>
            </w:r>
          </w:p>
        </w:tc>
        <w:tc>
          <w:tcPr>
            <w:tcW w:w="980" w:type="dxa"/>
            <w:shd w:val="clear" w:color="auto" w:fill="FFFFFF"/>
          </w:tcPr>
          <w:p w14:paraId="2348D711" w14:textId="472134EF"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5,78</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bcA</w:t>
            </w:r>
            <w:r w:rsidR="00EC68CC">
              <w:rPr>
                <w:rFonts w:cs="Arial"/>
                <w:color w:val="000000"/>
                <w:szCs w:val="18"/>
              </w:rPr>
              <w:t>)</w:t>
            </w:r>
          </w:p>
        </w:tc>
        <w:tc>
          <w:tcPr>
            <w:tcW w:w="994" w:type="dxa"/>
            <w:shd w:val="clear" w:color="auto" w:fill="FFFFFF"/>
          </w:tcPr>
          <w:p w14:paraId="3C6F7268" w14:textId="1BBB8F29"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4,96</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cdA</w:t>
            </w:r>
            <w:r w:rsidR="00EC68CC">
              <w:rPr>
                <w:rFonts w:cs="Arial"/>
                <w:color w:val="000000"/>
                <w:szCs w:val="18"/>
              </w:rPr>
              <w:t>)</w:t>
            </w:r>
          </w:p>
        </w:tc>
        <w:tc>
          <w:tcPr>
            <w:tcW w:w="987" w:type="dxa"/>
            <w:shd w:val="clear" w:color="auto" w:fill="FFFFFF"/>
          </w:tcPr>
          <w:p w14:paraId="1A84C159" w14:textId="3BAD3E70"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3,51</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deA</w:t>
            </w:r>
            <w:r w:rsidR="00EC68CC">
              <w:rPr>
                <w:rFonts w:cs="Arial"/>
                <w:color w:val="000000"/>
                <w:szCs w:val="18"/>
              </w:rPr>
              <w:t>)</w:t>
            </w:r>
          </w:p>
        </w:tc>
        <w:tc>
          <w:tcPr>
            <w:tcW w:w="987" w:type="dxa"/>
            <w:shd w:val="clear" w:color="auto" w:fill="FFFFFF"/>
          </w:tcPr>
          <w:p w14:paraId="71FA2455" w14:textId="5C85E5A6"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1,97</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fghA</w:t>
            </w:r>
            <w:r w:rsidR="00EC68CC">
              <w:rPr>
                <w:rFonts w:cs="Arial"/>
                <w:color w:val="000000"/>
                <w:szCs w:val="18"/>
              </w:rPr>
              <w:t>)</w:t>
            </w:r>
          </w:p>
        </w:tc>
        <w:tc>
          <w:tcPr>
            <w:tcW w:w="972" w:type="dxa"/>
            <w:shd w:val="clear" w:color="auto" w:fill="FFFFFF"/>
          </w:tcPr>
          <w:p w14:paraId="2450C924" w14:textId="76211F1D"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0,706</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hA</w:t>
            </w:r>
            <w:r w:rsidR="00EC68CC">
              <w:rPr>
                <w:rFonts w:cs="Arial"/>
                <w:color w:val="000000"/>
                <w:szCs w:val="18"/>
              </w:rPr>
              <w:t>)</w:t>
            </w:r>
          </w:p>
        </w:tc>
      </w:tr>
      <w:tr w:rsidR="00163059" w:rsidRPr="00421829" w14:paraId="304AFA1E" w14:textId="77777777" w:rsidTr="00AD6354">
        <w:tc>
          <w:tcPr>
            <w:tcW w:w="2000" w:type="dxa"/>
            <w:shd w:val="clear" w:color="auto" w:fill="FFFFFF"/>
          </w:tcPr>
          <w:p w14:paraId="0850ED47" w14:textId="77777777" w:rsidR="00163059" w:rsidRPr="00421829" w:rsidRDefault="00163059" w:rsidP="0099191A">
            <w:pPr>
              <w:pStyle w:val="CETBodytext"/>
              <w:spacing w:line="240" w:lineRule="auto"/>
              <w:ind w:right="-1"/>
              <w:rPr>
                <w:rFonts w:cs="Arial"/>
                <w:szCs w:val="18"/>
                <w:lang w:val="en-GB"/>
              </w:rPr>
            </w:pPr>
          </w:p>
        </w:tc>
        <w:tc>
          <w:tcPr>
            <w:tcW w:w="911" w:type="dxa"/>
            <w:shd w:val="clear" w:color="auto" w:fill="FFFFFF"/>
          </w:tcPr>
          <w:p w14:paraId="23AB77C3" w14:textId="486E75CF" w:rsidR="00163059" w:rsidRDefault="00163059" w:rsidP="0099191A">
            <w:pPr>
              <w:pStyle w:val="CETBodytext"/>
              <w:spacing w:line="240" w:lineRule="auto"/>
              <w:ind w:right="-1"/>
              <w:rPr>
                <w:rFonts w:cs="Arial"/>
                <w:szCs w:val="18"/>
                <w:lang w:val="en-GB"/>
              </w:rPr>
            </w:pPr>
            <w:r>
              <w:rPr>
                <w:rFonts w:cs="Arial"/>
                <w:szCs w:val="18"/>
                <w:lang w:val="en-GB"/>
              </w:rPr>
              <w:t>80%</w:t>
            </w:r>
          </w:p>
        </w:tc>
        <w:tc>
          <w:tcPr>
            <w:tcW w:w="976" w:type="dxa"/>
            <w:shd w:val="clear" w:color="auto" w:fill="FFFFFF"/>
          </w:tcPr>
          <w:p w14:paraId="041E4BCF" w14:textId="09C610CE"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7,65</w:t>
            </w:r>
            <w:r>
              <w:rPr>
                <w:rFonts w:cs="Arial"/>
                <w:color w:val="000000"/>
                <w:szCs w:val="18"/>
                <w:lang w:val="it-IT" w:eastAsia="it-IT"/>
              </w:rPr>
              <w:t>6</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abA</w:t>
            </w:r>
            <w:r w:rsidR="00EC68CC">
              <w:rPr>
                <w:rFonts w:cs="Arial"/>
                <w:color w:val="000000"/>
                <w:szCs w:val="18"/>
              </w:rPr>
              <w:t>)</w:t>
            </w:r>
          </w:p>
        </w:tc>
        <w:tc>
          <w:tcPr>
            <w:tcW w:w="980" w:type="dxa"/>
            <w:shd w:val="clear" w:color="auto" w:fill="FFFFFF"/>
          </w:tcPr>
          <w:p w14:paraId="194F011E" w14:textId="1B59D005"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5,75</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bcA</w:t>
            </w:r>
            <w:r w:rsidR="00EC68CC">
              <w:rPr>
                <w:rFonts w:cs="Arial"/>
                <w:color w:val="000000"/>
                <w:szCs w:val="18"/>
              </w:rPr>
              <w:t>)</w:t>
            </w:r>
          </w:p>
        </w:tc>
        <w:tc>
          <w:tcPr>
            <w:tcW w:w="994" w:type="dxa"/>
            <w:shd w:val="clear" w:color="auto" w:fill="FFFFFF"/>
          </w:tcPr>
          <w:p w14:paraId="06EAA93A" w14:textId="056FE573"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4,36</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cdeA</w:t>
            </w:r>
            <w:r w:rsidR="00EC68CC">
              <w:rPr>
                <w:rFonts w:cs="Arial"/>
                <w:color w:val="000000"/>
                <w:szCs w:val="18"/>
              </w:rPr>
              <w:t>)</w:t>
            </w:r>
          </w:p>
        </w:tc>
        <w:tc>
          <w:tcPr>
            <w:tcW w:w="987" w:type="dxa"/>
            <w:shd w:val="clear" w:color="auto" w:fill="FFFFFF"/>
          </w:tcPr>
          <w:p w14:paraId="736ADAED" w14:textId="358B4A46"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3,4</w:t>
            </w:r>
            <w:r>
              <w:rPr>
                <w:rFonts w:cs="Arial"/>
                <w:color w:val="000000"/>
                <w:szCs w:val="18"/>
                <w:lang w:val="it-IT" w:eastAsia="it-IT"/>
              </w:rPr>
              <w:t>1</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efgA</w:t>
            </w:r>
            <w:r w:rsidR="00EC68CC">
              <w:rPr>
                <w:rFonts w:cs="Arial"/>
                <w:color w:val="000000"/>
                <w:szCs w:val="18"/>
              </w:rPr>
              <w:t>)</w:t>
            </w:r>
          </w:p>
        </w:tc>
        <w:tc>
          <w:tcPr>
            <w:tcW w:w="987" w:type="dxa"/>
            <w:shd w:val="clear" w:color="auto" w:fill="FFFFFF"/>
          </w:tcPr>
          <w:p w14:paraId="655DB387" w14:textId="4A669599"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1,</w:t>
            </w:r>
            <w:r>
              <w:rPr>
                <w:rFonts w:cs="Arial"/>
                <w:color w:val="000000"/>
                <w:szCs w:val="18"/>
                <w:lang w:val="it-IT" w:eastAsia="it-IT"/>
              </w:rPr>
              <w:t>80</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hA</w:t>
            </w:r>
            <w:r w:rsidR="00EC68CC">
              <w:rPr>
                <w:rFonts w:cs="Arial"/>
                <w:color w:val="000000"/>
                <w:szCs w:val="18"/>
              </w:rPr>
              <w:t>)</w:t>
            </w:r>
          </w:p>
        </w:tc>
        <w:tc>
          <w:tcPr>
            <w:tcW w:w="972" w:type="dxa"/>
            <w:shd w:val="clear" w:color="auto" w:fill="FFFFFF"/>
          </w:tcPr>
          <w:p w14:paraId="56BD1E94" w14:textId="4AA6A552"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0,9</w:t>
            </w:r>
            <w:r>
              <w:rPr>
                <w:rFonts w:cs="Arial"/>
                <w:color w:val="000000"/>
                <w:szCs w:val="18"/>
                <w:lang w:val="it-IT" w:eastAsia="it-IT"/>
              </w:rPr>
              <w:t>5</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hA</w:t>
            </w:r>
            <w:r w:rsidR="00EC68CC">
              <w:rPr>
                <w:rFonts w:cs="Arial"/>
                <w:color w:val="000000"/>
                <w:szCs w:val="18"/>
              </w:rPr>
              <w:t>)</w:t>
            </w:r>
          </w:p>
        </w:tc>
      </w:tr>
      <w:tr w:rsidR="00163059" w:rsidRPr="00421829" w14:paraId="587E110F" w14:textId="77777777" w:rsidTr="00AD6354">
        <w:tc>
          <w:tcPr>
            <w:tcW w:w="2000" w:type="dxa"/>
            <w:shd w:val="clear" w:color="auto" w:fill="FFFFFF"/>
          </w:tcPr>
          <w:p w14:paraId="1113C4C2" w14:textId="77777777" w:rsidR="00163059" w:rsidRPr="00421829" w:rsidRDefault="00163059" w:rsidP="0099191A">
            <w:pPr>
              <w:pStyle w:val="CETBodytext"/>
              <w:spacing w:line="240" w:lineRule="auto"/>
              <w:ind w:right="-1"/>
              <w:rPr>
                <w:rFonts w:cs="Arial"/>
                <w:szCs w:val="18"/>
                <w:lang w:val="en-GB"/>
              </w:rPr>
            </w:pPr>
          </w:p>
        </w:tc>
        <w:tc>
          <w:tcPr>
            <w:tcW w:w="911" w:type="dxa"/>
            <w:shd w:val="clear" w:color="auto" w:fill="FFFFFF"/>
          </w:tcPr>
          <w:p w14:paraId="3E6FF070" w14:textId="50AA7218" w:rsidR="00163059" w:rsidRDefault="00163059" w:rsidP="0099191A">
            <w:pPr>
              <w:pStyle w:val="CETBodytext"/>
              <w:spacing w:line="240" w:lineRule="auto"/>
              <w:ind w:right="-1"/>
              <w:rPr>
                <w:rFonts w:cs="Arial"/>
                <w:szCs w:val="18"/>
                <w:lang w:val="en-GB"/>
              </w:rPr>
            </w:pPr>
            <w:r>
              <w:rPr>
                <w:rFonts w:cs="Arial"/>
                <w:szCs w:val="18"/>
                <w:lang w:val="en-GB"/>
              </w:rPr>
              <w:t>60%</w:t>
            </w:r>
          </w:p>
        </w:tc>
        <w:tc>
          <w:tcPr>
            <w:tcW w:w="976" w:type="dxa"/>
            <w:shd w:val="clear" w:color="auto" w:fill="FFFFFF"/>
          </w:tcPr>
          <w:p w14:paraId="6767C7BC" w14:textId="47CBCA28"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6,8</w:t>
            </w:r>
            <w:r>
              <w:rPr>
                <w:rFonts w:cs="Arial"/>
                <w:color w:val="000000"/>
                <w:szCs w:val="18"/>
                <w:lang w:val="it-IT" w:eastAsia="it-IT"/>
              </w:rPr>
              <w:t>3</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aA</w:t>
            </w:r>
            <w:r w:rsidR="00EC68CC">
              <w:rPr>
                <w:rFonts w:cs="Arial"/>
                <w:color w:val="000000"/>
                <w:szCs w:val="18"/>
              </w:rPr>
              <w:t>)</w:t>
            </w:r>
          </w:p>
        </w:tc>
        <w:tc>
          <w:tcPr>
            <w:tcW w:w="980" w:type="dxa"/>
            <w:shd w:val="clear" w:color="auto" w:fill="FFFFFF"/>
          </w:tcPr>
          <w:p w14:paraId="13666957" w14:textId="0E16CA41"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5,80</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bcA</w:t>
            </w:r>
            <w:r w:rsidR="00EC68CC">
              <w:rPr>
                <w:rFonts w:cs="Arial"/>
                <w:color w:val="000000"/>
                <w:szCs w:val="18"/>
              </w:rPr>
              <w:t>)</w:t>
            </w:r>
          </w:p>
        </w:tc>
        <w:tc>
          <w:tcPr>
            <w:tcW w:w="994" w:type="dxa"/>
            <w:shd w:val="clear" w:color="auto" w:fill="FFFFFF"/>
          </w:tcPr>
          <w:p w14:paraId="5AE3F39D" w14:textId="30C2202E"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4,4</w:t>
            </w:r>
            <w:r>
              <w:rPr>
                <w:rFonts w:cs="Arial"/>
                <w:color w:val="000000"/>
                <w:szCs w:val="18"/>
                <w:lang w:val="it-IT" w:eastAsia="it-IT"/>
              </w:rPr>
              <w:t>0</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cdeA</w:t>
            </w:r>
            <w:r w:rsidR="00EC68CC">
              <w:rPr>
                <w:rFonts w:cs="Arial"/>
                <w:color w:val="000000"/>
                <w:szCs w:val="18"/>
              </w:rPr>
              <w:t>)</w:t>
            </w:r>
          </w:p>
        </w:tc>
        <w:tc>
          <w:tcPr>
            <w:tcW w:w="987" w:type="dxa"/>
            <w:shd w:val="clear" w:color="auto" w:fill="FFFFFF"/>
          </w:tcPr>
          <w:p w14:paraId="7605B309" w14:textId="43C9F365"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3,2</w:t>
            </w:r>
            <w:r>
              <w:rPr>
                <w:rFonts w:cs="Arial"/>
                <w:color w:val="000000"/>
                <w:szCs w:val="18"/>
                <w:lang w:val="it-IT" w:eastAsia="it-IT"/>
              </w:rPr>
              <w:t>7</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efA</w:t>
            </w:r>
            <w:r w:rsidR="00EC68CC">
              <w:rPr>
                <w:rFonts w:cs="Arial"/>
                <w:color w:val="000000"/>
                <w:szCs w:val="18"/>
              </w:rPr>
              <w:t>)</w:t>
            </w:r>
          </w:p>
        </w:tc>
        <w:tc>
          <w:tcPr>
            <w:tcW w:w="987" w:type="dxa"/>
            <w:shd w:val="clear" w:color="auto" w:fill="FFFFFF"/>
          </w:tcPr>
          <w:p w14:paraId="53B25AC7" w14:textId="1744EDE1"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1,</w:t>
            </w:r>
            <w:r>
              <w:rPr>
                <w:rFonts w:cs="Arial"/>
                <w:color w:val="000000"/>
                <w:szCs w:val="18"/>
                <w:lang w:val="it-IT" w:eastAsia="it-IT"/>
              </w:rPr>
              <w:t>60</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ghA</w:t>
            </w:r>
            <w:r w:rsidR="00EC68CC">
              <w:rPr>
                <w:rFonts w:cs="Arial"/>
                <w:color w:val="000000"/>
                <w:szCs w:val="18"/>
              </w:rPr>
              <w:t>)</w:t>
            </w:r>
          </w:p>
        </w:tc>
        <w:tc>
          <w:tcPr>
            <w:tcW w:w="972" w:type="dxa"/>
            <w:shd w:val="clear" w:color="auto" w:fill="FFFFFF"/>
          </w:tcPr>
          <w:p w14:paraId="7C515D87" w14:textId="786B624A" w:rsidR="00163059" w:rsidRPr="004E0DD2" w:rsidRDefault="00425E04" w:rsidP="0099191A">
            <w:pPr>
              <w:pStyle w:val="CETBodytext"/>
              <w:spacing w:line="240" w:lineRule="auto"/>
              <w:ind w:right="-1"/>
              <w:rPr>
                <w:rFonts w:cs="Arial"/>
                <w:szCs w:val="18"/>
                <w:lang w:val="en-GB"/>
              </w:rPr>
            </w:pPr>
            <w:r w:rsidRPr="00425E04">
              <w:rPr>
                <w:rFonts w:cs="Arial"/>
                <w:color w:val="000000"/>
                <w:szCs w:val="18"/>
                <w:lang w:val="it-IT" w:eastAsia="it-IT"/>
              </w:rPr>
              <w:t>0,81</w:t>
            </w:r>
            <w:r w:rsidR="00EC68CC" w:rsidRPr="00EC68CC">
              <w:rPr>
                <w:rFonts w:cs="Arial"/>
                <w:color w:val="000000"/>
                <w:szCs w:val="18"/>
              </w:rPr>
              <w:t xml:space="preserve"> </w:t>
            </w:r>
            <w:r w:rsidR="00EC68CC">
              <w:rPr>
                <w:rFonts w:cs="Arial"/>
                <w:color w:val="000000"/>
                <w:szCs w:val="18"/>
              </w:rPr>
              <w:t>(</w:t>
            </w:r>
            <w:r w:rsidR="00EC68CC" w:rsidRPr="00EC68CC">
              <w:rPr>
                <w:rFonts w:cs="Arial"/>
                <w:color w:val="000000"/>
                <w:szCs w:val="18"/>
              </w:rPr>
              <w:t>hA</w:t>
            </w:r>
            <w:r w:rsidR="00EC68CC">
              <w:rPr>
                <w:rFonts w:cs="Arial"/>
                <w:color w:val="000000"/>
                <w:szCs w:val="18"/>
              </w:rPr>
              <w:t>)</w:t>
            </w:r>
          </w:p>
        </w:tc>
      </w:tr>
      <w:tr w:rsidR="00AD6354" w:rsidRPr="00421829" w14:paraId="3B40C26A" w14:textId="77777777" w:rsidTr="003F6CB5">
        <w:trPr>
          <w:trHeight w:val="701"/>
        </w:trPr>
        <w:tc>
          <w:tcPr>
            <w:tcW w:w="2000" w:type="dxa"/>
            <w:shd w:val="clear" w:color="auto" w:fill="FFFFFF"/>
          </w:tcPr>
          <w:p w14:paraId="7CB05D4C" w14:textId="77777777" w:rsidR="00AD6354" w:rsidRDefault="00AD6354" w:rsidP="0099191A">
            <w:pPr>
              <w:pStyle w:val="CETBodytext"/>
              <w:spacing w:line="240" w:lineRule="auto"/>
              <w:ind w:right="-1"/>
              <w:rPr>
                <w:rFonts w:cs="Arial"/>
                <w:szCs w:val="18"/>
                <w:lang w:val="en-GB"/>
              </w:rPr>
            </w:pPr>
            <w:r w:rsidRPr="00AD6354">
              <w:rPr>
                <w:rFonts w:cs="Arial"/>
                <w:szCs w:val="18"/>
                <w:lang w:val="en-GB"/>
              </w:rPr>
              <w:t>TA (mg citric</w:t>
            </w:r>
          </w:p>
          <w:p w14:paraId="317F815E" w14:textId="3AA4A349" w:rsidR="00AD6354" w:rsidRPr="00421829" w:rsidRDefault="00AD6354" w:rsidP="0099191A">
            <w:pPr>
              <w:pStyle w:val="CETBodytext"/>
              <w:spacing w:line="240" w:lineRule="auto"/>
              <w:ind w:right="-1"/>
              <w:rPr>
                <w:rFonts w:cs="Arial"/>
                <w:szCs w:val="18"/>
                <w:lang w:val="en-GB"/>
              </w:rPr>
            </w:pPr>
            <w:r w:rsidRPr="00AD6354">
              <w:rPr>
                <w:rFonts w:cs="Arial"/>
                <w:szCs w:val="18"/>
                <w:lang w:val="en-GB"/>
              </w:rPr>
              <w:t>acid/100g FW)</w:t>
            </w:r>
          </w:p>
        </w:tc>
        <w:tc>
          <w:tcPr>
            <w:tcW w:w="911" w:type="dxa"/>
            <w:shd w:val="clear" w:color="auto" w:fill="FFFFFF"/>
          </w:tcPr>
          <w:p w14:paraId="2AC6453B" w14:textId="77777777" w:rsidR="00AD6354" w:rsidRDefault="00AD6354" w:rsidP="0099191A">
            <w:pPr>
              <w:pStyle w:val="CETBodytext"/>
              <w:spacing w:line="240" w:lineRule="auto"/>
              <w:ind w:right="-1"/>
              <w:rPr>
                <w:rFonts w:cs="Arial"/>
                <w:szCs w:val="18"/>
                <w:lang w:val="en-GB"/>
              </w:rPr>
            </w:pPr>
            <w:r>
              <w:rPr>
                <w:rFonts w:cs="Arial"/>
                <w:lang w:val="en-GB"/>
              </w:rPr>
              <w:t xml:space="preserve">100% </w:t>
            </w:r>
          </w:p>
          <w:p w14:paraId="135AA055" w14:textId="77777777" w:rsidR="00AD6354" w:rsidRDefault="00AD6354" w:rsidP="0099191A">
            <w:pPr>
              <w:pStyle w:val="CETBodytext"/>
              <w:spacing w:line="240" w:lineRule="auto"/>
              <w:ind w:right="-1"/>
              <w:rPr>
                <w:rFonts w:cs="Arial"/>
                <w:lang w:val="en-GB"/>
              </w:rPr>
            </w:pPr>
            <w:r>
              <w:rPr>
                <w:rFonts w:cs="Arial"/>
                <w:szCs w:val="18"/>
                <w:lang w:val="en-GB"/>
              </w:rPr>
              <w:t>80%</w:t>
            </w:r>
          </w:p>
          <w:p w14:paraId="0392B2D8" w14:textId="16C5A3B0" w:rsidR="00AD6354" w:rsidRDefault="00AD6354" w:rsidP="0099191A">
            <w:pPr>
              <w:pStyle w:val="CETBodytext"/>
              <w:spacing w:line="240" w:lineRule="auto"/>
              <w:ind w:right="-1"/>
              <w:rPr>
                <w:rFonts w:cs="Arial"/>
                <w:szCs w:val="18"/>
                <w:lang w:val="en-GB"/>
              </w:rPr>
            </w:pPr>
            <w:r>
              <w:rPr>
                <w:rFonts w:cs="Arial"/>
                <w:szCs w:val="18"/>
                <w:lang w:val="en-GB"/>
              </w:rPr>
              <w:t>60%</w:t>
            </w:r>
          </w:p>
        </w:tc>
        <w:tc>
          <w:tcPr>
            <w:tcW w:w="976" w:type="dxa"/>
            <w:shd w:val="clear" w:color="auto" w:fill="FFFFFF"/>
          </w:tcPr>
          <w:p w14:paraId="0B658B64" w14:textId="7322D771" w:rsidR="00AD6354" w:rsidRDefault="00AD6354" w:rsidP="0099191A">
            <w:pPr>
              <w:pStyle w:val="CETBodytext"/>
              <w:spacing w:line="240" w:lineRule="auto"/>
              <w:ind w:right="-1"/>
              <w:rPr>
                <w:rFonts w:cs="Arial"/>
                <w:szCs w:val="18"/>
                <w:lang w:val="en-GB"/>
              </w:rPr>
            </w:pPr>
            <w:r w:rsidRPr="00AD6354">
              <w:rPr>
                <w:rFonts w:cs="Arial"/>
                <w:color w:val="000000"/>
                <w:szCs w:val="18"/>
                <w:lang w:val="it-IT" w:eastAsia="it-IT"/>
              </w:rPr>
              <w:t>4</w:t>
            </w:r>
            <w:r w:rsidR="009B42D7">
              <w:rPr>
                <w:rFonts w:cs="Arial"/>
                <w:color w:val="000000"/>
                <w:szCs w:val="18"/>
                <w:lang w:val="it-IT" w:eastAsia="it-IT"/>
              </w:rPr>
              <w:t>,00 (abA)</w:t>
            </w:r>
          </w:p>
          <w:p w14:paraId="2F8A86A3" w14:textId="385D5205" w:rsidR="00AD6354" w:rsidRDefault="00AD6354" w:rsidP="0099191A">
            <w:pPr>
              <w:pStyle w:val="CETBodytext"/>
              <w:spacing w:line="240" w:lineRule="auto"/>
              <w:ind w:right="-1"/>
              <w:rPr>
                <w:rFonts w:cs="Arial"/>
                <w:color w:val="000000"/>
                <w:szCs w:val="18"/>
                <w:lang w:val="it-IT" w:eastAsia="it-IT"/>
              </w:rPr>
            </w:pPr>
            <w:r w:rsidRPr="00AD6354">
              <w:rPr>
                <w:rFonts w:cs="Arial"/>
                <w:color w:val="000000"/>
                <w:szCs w:val="18"/>
                <w:lang w:val="it-IT" w:eastAsia="it-IT"/>
              </w:rPr>
              <w:t>3,85</w:t>
            </w:r>
            <w:r w:rsidR="009B42D7">
              <w:rPr>
                <w:rFonts w:cs="Arial"/>
                <w:color w:val="000000"/>
                <w:szCs w:val="18"/>
                <w:lang w:val="it-IT" w:eastAsia="it-IT"/>
              </w:rPr>
              <w:t xml:space="preserve"> (abA)</w:t>
            </w:r>
          </w:p>
          <w:p w14:paraId="366EA046" w14:textId="34F88857" w:rsidR="00AD6354" w:rsidRDefault="00AD6354" w:rsidP="0099191A">
            <w:pPr>
              <w:pStyle w:val="CETBodytext"/>
              <w:spacing w:line="240" w:lineRule="auto"/>
              <w:ind w:right="-1"/>
              <w:rPr>
                <w:rFonts w:cs="Arial"/>
                <w:szCs w:val="18"/>
                <w:lang w:val="en-GB"/>
              </w:rPr>
            </w:pPr>
            <w:r w:rsidRPr="00AD6354">
              <w:rPr>
                <w:rFonts w:cs="Arial"/>
                <w:color w:val="000000"/>
                <w:szCs w:val="18"/>
                <w:lang w:val="it-IT" w:eastAsia="it-IT"/>
              </w:rPr>
              <w:t>4,35</w:t>
            </w:r>
            <w:r w:rsidR="009B42D7">
              <w:rPr>
                <w:rFonts w:cs="Arial"/>
                <w:color w:val="000000"/>
                <w:szCs w:val="18"/>
                <w:lang w:val="it-IT" w:eastAsia="it-IT"/>
              </w:rPr>
              <w:t xml:space="preserve"> (abA)</w:t>
            </w:r>
          </w:p>
          <w:p w14:paraId="2DE3BBB9" w14:textId="51A12EBA" w:rsidR="00AD6354" w:rsidRPr="004E0DD2" w:rsidRDefault="00AD6354" w:rsidP="0099191A">
            <w:pPr>
              <w:pStyle w:val="CETBodytext"/>
              <w:spacing w:line="240" w:lineRule="auto"/>
              <w:ind w:right="-1"/>
              <w:rPr>
                <w:rFonts w:cs="Arial"/>
                <w:szCs w:val="18"/>
                <w:lang w:val="en-GB"/>
              </w:rPr>
            </w:pPr>
          </w:p>
        </w:tc>
        <w:tc>
          <w:tcPr>
            <w:tcW w:w="980" w:type="dxa"/>
            <w:shd w:val="clear" w:color="auto" w:fill="FFFFFF"/>
          </w:tcPr>
          <w:p w14:paraId="378C1E99" w14:textId="6903A6C0" w:rsidR="00AD6354" w:rsidRDefault="00AD6354" w:rsidP="0099191A">
            <w:pPr>
              <w:pStyle w:val="CETBodytext"/>
              <w:spacing w:line="240" w:lineRule="auto"/>
              <w:ind w:right="-1"/>
              <w:rPr>
                <w:rFonts w:cs="Arial"/>
                <w:color w:val="000000"/>
                <w:szCs w:val="18"/>
                <w:lang w:val="it-IT" w:eastAsia="it-IT"/>
              </w:rPr>
            </w:pPr>
            <w:r w:rsidRPr="00AD6354">
              <w:rPr>
                <w:rFonts w:cs="Arial"/>
                <w:color w:val="000000"/>
                <w:szCs w:val="18"/>
                <w:lang w:val="it-IT" w:eastAsia="it-IT"/>
              </w:rPr>
              <w:t>4,6</w:t>
            </w:r>
            <w:r w:rsidR="009B42D7">
              <w:rPr>
                <w:rFonts w:cs="Arial"/>
                <w:color w:val="000000"/>
                <w:szCs w:val="18"/>
                <w:lang w:val="it-IT" w:eastAsia="it-IT"/>
              </w:rPr>
              <w:t>0 (abA)</w:t>
            </w:r>
          </w:p>
          <w:p w14:paraId="1048A445" w14:textId="13CF7BF4" w:rsidR="00AD6354" w:rsidRDefault="00AD6354" w:rsidP="0099191A">
            <w:pPr>
              <w:pStyle w:val="CETBodytext"/>
              <w:spacing w:line="240" w:lineRule="auto"/>
              <w:ind w:right="-1"/>
              <w:rPr>
                <w:rFonts w:cs="Arial"/>
                <w:color w:val="000000"/>
                <w:szCs w:val="18"/>
                <w:lang w:val="it-IT" w:eastAsia="it-IT"/>
              </w:rPr>
            </w:pPr>
            <w:r w:rsidRPr="00AD6354">
              <w:rPr>
                <w:rFonts w:cs="Arial"/>
                <w:color w:val="000000"/>
                <w:szCs w:val="18"/>
                <w:lang w:val="it-IT" w:eastAsia="it-IT"/>
              </w:rPr>
              <w:t>3,4</w:t>
            </w:r>
            <w:r w:rsidR="009B42D7">
              <w:rPr>
                <w:rFonts w:cs="Arial"/>
                <w:color w:val="000000"/>
                <w:szCs w:val="18"/>
                <w:lang w:val="it-IT" w:eastAsia="it-IT"/>
              </w:rPr>
              <w:t>0 (bB)</w:t>
            </w:r>
          </w:p>
          <w:p w14:paraId="14A564FA" w14:textId="3351DA05" w:rsidR="00AD6354" w:rsidRPr="004E0DD2" w:rsidRDefault="00AD6354" w:rsidP="0099191A">
            <w:pPr>
              <w:pStyle w:val="CETBodytext"/>
              <w:spacing w:line="240" w:lineRule="auto"/>
              <w:ind w:right="-1"/>
              <w:rPr>
                <w:rFonts w:cs="Arial"/>
                <w:szCs w:val="18"/>
                <w:lang w:val="en-GB"/>
              </w:rPr>
            </w:pPr>
            <w:r w:rsidRPr="00AD6354">
              <w:rPr>
                <w:rFonts w:cs="Arial"/>
                <w:color w:val="000000"/>
                <w:szCs w:val="18"/>
                <w:lang w:val="it-IT" w:eastAsia="it-IT"/>
              </w:rPr>
              <w:t>3,9</w:t>
            </w:r>
            <w:r w:rsidR="009B42D7">
              <w:rPr>
                <w:rFonts w:cs="Arial"/>
                <w:color w:val="000000"/>
                <w:szCs w:val="18"/>
                <w:lang w:val="it-IT" w:eastAsia="it-IT"/>
              </w:rPr>
              <w:t>0 (bB)</w:t>
            </w:r>
          </w:p>
        </w:tc>
        <w:tc>
          <w:tcPr>
            <w:tcW w:w="994" w:type="dxa"/>
            <w:shd w:val="clear" w:color="auto" w:fill="FFFFFF"/>
          </w:tcPr>
          <w:p w14:paraId="4E42AD52" w14:textId="6EA42936" w:rsidR="00AD6354" w:rsidRDefault="00AD6354" w:rsidP="0099191A">
            <w:pPr>
              <w:pStyle w:val="CETBodytext"/>
              <w:spacing w:line="240" w:lineRule="auto"/>
              <w:ind w:right="-1"/>
              <w:rPr>
                <w:rFonts w:cs="Arial"/>
                <w:color w:val="000000"/>
                <w:szCs w:val="18"/>
                <w:lang w:val="it-IT" w:eastAsia="it-IT"/>
              </w:rPr>
            </w:pPr>
            <w:r w:rsidRPr="00AD6354">
              <w:rPr>
                <w:rFonts w:cs="Arial"/>
                <w:color w:val="000000"/>
                <w:szCs w:val="18"/>
                <w:lang w:val="it-IT" w:eastAsia="it-IT"/>
              </w:rPr>
              <w:t>3,3</w:t>
            </w:r>
            <w:r w:rsidR="009B42D7">
              <w:rPr>
                <w:rFonts w:cs="Arial"/>
                <w:color w:val="000000"/>
                <w:szCs w:val="18"/>
                <w:lang w:val="it-IT" w:eastAsia="it-IT"/>
              </w:rPr>
              <w:t>0 (bB)</w:t>
            </w:r>
          </w:p>
          <w:p w14:paraId="2CB44286" w14:textId="3ACD9F5E" w:rsidR="00AD6354" w:rsidRDefault="00AD6354" w:rsidP="0099191A">
            <w:pPr>
              <w:pStyle w:val="CETBodytext"/>
              <w:spacing w:line="240" w:lineRule="auto"/>
              <w:ind w:right="-1"/>
              <w:rPr>
                <w:rFonts w:cs="Arial"/>
                <w:color w:val="000000"/>
                <w:szCs w:val="18"/>
                <w:lang w:val="it-IT" w:eastAsia="it-IT"/>
              </w:rPr>
            </w:pPr>
            <w:r w:rsidRPr="00AD6354">
              <w:rPr>
                <w:rFonts w:cs="Arial"/>
                <w:color w:val="000000"/>
                <w:szCs w:val="18"/>
                <w:lang w:val="it-IT" w:eastAsia="it-IT"/>
              </w:rPr>
              <w:t>4,3</w:t>
            </w:r>
            <w:r w:rsidR="009B42D7">
              <w:rPr>
                <w:rFonts w:cs="Arial"/>
                <w:color w:val="000000"/>
                <w:szCs w:val="18"/>
                <w:lang w:val="it-IT" w:eastAsia="it-IT"/>
              </w:rPr>
              <w:t>0 (abAB)</w:t>
            </w:r>
          </w:p>
          <w:p w14:paraId="281F8A36" w14:textId="3D32585B" w:rsidR="00AD6354" w:rsidRPr="004E0DD2" w:rsidRDefault="00AD6354" w:rsidP="0099191A">
            <w:pPr>
              <w:pStyle w:val="CETBodytext"/>
              <w:spacing w:line="240" w:lineRule="auto"/>
              <w:ind w:right="-1"/>
              <w:rPr>
                <w:rFonts w:cs="Arial"/>
                <w:szCs w:val="18"/>
                <w:lang w:val="en-GB"/>
              </w:rPr>
            </w:pPr>
            <w:r w:rsidRPr="00AD6354">
              <w:rPr>
                <w:rFonts w:cs="Arial"/>
                <w:color w:val="000000"/>
                <w:szCs w:val="18"/>
                <w:lang w:val="it-IT" w:eastAsia="it-IT"/>
              </w:rPr>
              <w:t>4</w:t>
            </w:r>
            <w:r w:rsidR="009B42D7">
              <w:rPr>
                <w:rFonts w:cs="Arial"/>
                <w:color w:val="000000"/>
                <w:szCs w:val="18"/>
                <w:lang w:val="it-IT" w:eastAsia="it-IT"/>
              </w:rPr>
              <w:t>,00 (abA)</w:t>
            </w:r>
          </w:p>
        </w:tc>
        <w:tc>
          <w:tcPr>
            <w:tcW w:w="987" w:type="dxa"/>
            <w:shd w:val="clear" w:color="auto" w:fill="FFFFFF"/>
          </w:tcPr>
          <w:p w14:paraId="6D7FFEAD" w14:textId="453EC496" w:rsidR="00AD6354" w:rsidRDefault="00AD6354" w:rsidP="0099191A">
            <w:pPr>
              <w:pStyle w:val="CETBodytext"/>
              <w:spacing w:line="240" w:lineRule="auto"/>
              <w:ind w:right="-1"/>
              <w:rPr>
                <w:rFonts w:cs="Arial"/>
                <w:color w:val="000000"/>
                <w:szCs w:val="18"/>
                <w:lang w:val="it-IT" w:eastAsia="it-IT"/>
              </w:rPr>
            </w:pPr>
            <w:r w:rsidRPr="00AD6354">
              <w:rPr>
                <w:rFonts w:cs="Arial"/>
                <w:color w:val="000000"/>
                <w:szCs w:val="18"/>
                <w:lang w:val="it-IT" w:eastAsia="it-IT"/>
              </w:rPr>
              <w:t>4,15</w:t>
            </w:r>
            <w:r w:rsidR="009B42D7">
              <w:rPr>
                <w:rFonts w:cs="Arial"/>
                <w:color w:val="000000"/>
                <w:szCs w:val="18"/>
                <w:lang w:val="it-IT" w:eastAsia="it-IT"/>
              </w:rPr>
              <w:t xml:space="preserve"> (abA)</w:t>
            </w:r>
          </w:p>
          <w:p w14:paraId="19B48FD5" w14:textId="4B496EA8" w:rsidR="00AD6354" w:rsidRDefault="00AD6354" w:rsidP="0099191A">
            <w:pPr>
              <w:pStyle w:val="CETBodytext"/>
              <w:spacing w:line="240" w:lineRule="auto"/>
              <w:ind w:right="-1"/>
              <w:rPr>
                <w:rFonts w:cs="Arial"/>
                <w:color w:val="000000"/>
                <w:szCs w:val="18"/>
                <w:lang w:val="it-IT" w:eastAsia="it-IT"/>
              </w:rPr>
            </w:pPr>
            <w:r w:rsidRPr="00AD6354">
              <w:rPr>
                <w:rFonts w:cs="Arial"/>
                <w:color w:val="000000"/>
                <w:szCs w:val="18"/>
                <w:lang w:val="it-IT" w:eastAsia="it-IT"/>
              </w:rPr>
              <w:t>4,55</w:t>
            </w:r>
            <w:r w:rsidR="009B42D7">
              <w:rPr>
                <w:rFonts w:cs="Arial"/>
                <w:color w:val="000000"/>
                <w:szCs w:val="18"/>
                <w:lang w:val="it-IT" w:eastAsia="it-IT"/>
              </w:rPr>
              <w:t xml:space="preserve"> (abA)</w:t>
            </w:r>
          </w:p>
          <w:p w14:paraId="5D0606B8" w14:textId="7743BE38" w:rsidR="00AD6354" w:rsidRPr="004E0DD2" w:rsidRDefault="00AD6354" w:rsidP="0099191A">
            <w:pPr>
              <w:pStyle w:val="CETBodytext"/>
              <w:spacing w:line="240" w:lineRule="auto"/>
              <w:ind w:right="-1"/>
              <w:rPr>
                <w:rFonts w:cs="Arial"/>
                <w:szCs w:val="18"/>
                <w:lang w:val="en-GB"/>
              </w:rPr>
            </w:pPr>
            <w:r w:rsidRPr="00AD6354">
              <w:rPr>
                <w:rFonts w:cs="Arial"/>
                <w:color w:val="000000"/>
                <w:szCs w:val="18"/>
                <w:lang w:val="it-IT" w:eastAsia="it-IT"/>
              </w:rPr>
              <w:t>4,4</w:t>
            </w:r>
            <w:r w:rsidR="009B42D7">
              <w:rPr>
                <w:rFonts w:cs="Arial"/>
                <w:color w:val="000000"/>
                <w:szCs w:val="18"/>
                <w:lang w:val="it-IT" w:eastAsia="it-IT"/>
              </w:rPr>
              <w:t xml:space="preserve"> (abA)</w:t>
            </w:r>
          </w:p>
        </w:tc>
        <w:tc>
          <w:tcPr>
            <w:tcW w:w="987" w:type="dxa"/>
            <w:shd w:val="clear" w:color="auto" w:fill="FFFFFF"/>
          </w:tcPr>
          <w:p w14:paraId="7F73CD78" w14:textId="711A5556" w:rsidR="00AD6354" w:rsidRDefault="00AD6354" w:rsidP="0099191A">
            <w:pPr>
              <w:pStyle w:val="CETBodytext"/>
              <w:spacing w:line="240" w:lineRule="auto"/>
              <w:ind w:right="-1"/>
              <w:rPr>
                <w:rFonts w:cs="Arial"/>
                <w:color w:val="000000"/>
                <w:szCs w:val="18"/>
                <w:lang w:val="it-IT" w:eastAsia="it-IT"/>
              </w:rPr>
            </w:pPr>
            <w:r w:rsidRPr="00AD6354">
              <w:rPr>
                <w:rFonts w:cs="Arial"/>
                <w:color w:val="000000"/>
                <w:szCs w:val="18"/>
                <w:lang w:val="it-IT" w:eastAsia="it-IT"/>
              </w:rPr>
              <w:t>4,1</w:t>
            </w:r>
            <w:r w:rsidR="009B42D7">
              <w:rPr>
                <w:rFonts w:cs="Arial"/>
                <w:color w:val="000000"/>
                <w:szCs w:val="18"/>
                <w:lang w:val="it-IT" w:eastAsia="it-IT"/>
              </w:rPr>
              <w:t>0 (abA)</w:t>
            </w:r>
          </w:p>
          <w:p w14:paraId="3F67D31F" w14:textId="7C3D69D9" w:rsidR="00AD6354" w:rsidRDefault="00AD6354" w:rsidP="0099191A">
            <w:pPr>
              <w:pStyle w:val="CETBodytext"/>
              <w:spacing w:line="240" w:lineRule="auto"/>
              <w:ind w:right="-1"/>
              <w:rPr>
                <w:rFonts w:cs="Arial"/>
                <w:color w:val="000000"/>
                <w:szCs w:val="18"/>
                <w:lang w:val="it-IT" w:eastAsia="it-IT"/>
              </w:rPr>
            </w:pPr>
            <w:r w:rsidRPr="00AD6354">
              <w:rPr>
                <w:rFonts w:cs="Arial"/>
                <w:color w:val="000000"/>
                <w:szCs w:val="18"/>
                <w:lang w:val="it-IT" w:eastAsia="it-IT"/>
              </w:rPr>
              <w:t>3,45</w:t>
            </w:r>
            <w:r w:rsidR="009B42D7">
              <w:rPr>
                <w:rFonts w:cs="Arial"/>
                <w:color w:val="000000"/>
                <w:szCs w:val="18"/>
                <w:lang w:val="it-IT" w:eastAsia="it-IT"/>
              </w:rPr>
              <w:t xml:space="preserve"> (abA)</w:t>
            </w:r>
          </w:p>
          <w:p w14:paraId="4B3C9729" w14:textId="71A9A291" w:rsidR="00AD6354" w:rsidRPr="004E0DD2" w:rsidRDefault="00AD6354" w:rsidP="0099191A">
            <w:pPr>
              <w:pStyle w:val="CETBodytext"/>
              <w:spacing w:line="240" w:lineRule="auto"/>
              <w:ind w:right="-1"/>
              <w:rPr>
                <w:rFonts w:cs="Arial"/>
                <w:szCs w:val="18"/>
                <w:lang w:val="en-GB"/>
              </w:rPr>
            </w:pPr>
            <w:r w:rsidRPr="00AD6354">
              <w:rPr>
                <w:rFonts w:cs="Arial"/>
                <w:color w:val="000000"/>
                <w:szCs w:val="18"/>
                <w:lang w:val="it-IT" w:eastAsia="it-IT"/>
              </w:rPr>
              <w:t>3,75</w:t>
            </w:r>
            <w:r w:rsidR="009B42D7">
              <w:rPr>
                <w:rFonts w:cs="Arial"/>
                <w:color w:val="000000"/>
                <w:szCs w:val="18"/>
                <w:lang w:val="it-IT" w:eastAsia="it-IT"/>
              </w:rPr>
              <w:t xml:space="preserve"> (bA)</w:t>
            </w:r>
          </w:p>
        </w:tc>
        <w:tc>
          <w:tcPr>
            <w:tcW w:w="972" w:type="dxa"/>
            <w:shd w:val="clear" w:color="auto" w:fill="FFFFFF"/>
          </w:tcPr>
          <w:p w14:paraId="449E400F" w14:textId="495230CE" w:rsidR="00AD6354" w:rsidRDefault="00AD6354" w:rsidP="0099191A">
            <w:pPr>
              <w:pStyle w:val="CETBodytext"/>
              <w:spacing w:line="240" w:lineRule="auto"/>
              <w:ind w:right="-1"/>
              <w:rPr>
                <w:rFonts w:cs="Arial"/>
                <w:color w:val="000000"/>
                <w:szCs w:val="18"/>
                <w:lang w:val="it-IT" w:eastAsia="it-IT"/>
              </w:rPr>
            </w:pPr>
            <w:r w:rsidRPr="00AD6354">
              <w:rPr>
                <w:rFonts w:cs="Arial"/>
                <w:color w:val="000000"/>
                <w:szCs w:val="18"/>
                <w:lang w:val="it-IT" w:eastAsia="it-IT"/>
              </w:rPr>
              <w:t>4,45</w:t>
            </w:r>
            <w:r w:rsidR="009B42D7">
              <w:rPr>
                <w:rFonts w:cs="Arial"/>
                <w:color w:val="000000"/>
                <w:szCs w:val="18"/>
                <w:lang w:val="it-IT" w:eastAsia="it-IT"/>
              </w:rPr>
              <w:t xml:space="preserve"> (abA)</w:t>
            </w:r>
          </w:p>
          <w:p w14:paraId="0E5F165F" w14:textId="6B874189" w:rsidR="00AD6354" w:rsidRDefault="00AD6354" w:rsidP="0099191A">
            <w:pPr>
              <w:pStyle w:val="CETBodytext"/>
              <w:spacing w:line="240" w:lineRule="auto"/>
              <w:ind w:right="-1"/>
              <w:rPr>
                <w:rFonts w:cs="Arial"/>
                <w:color w:val="000000"/>
                <w:szCs w:val="18"/>
                <w:lang w:val="it-IT" w:eastAsia="it-IT"/>
              </w:rPr>
            </w:pPr>
            <w:r w:rsidRPr="00AD6354">
              <w:rPr>
                <w:rFonts w:cs="Arial"/>
                <w:color w:val="000000"/>
                <w:szCs w:val="18"/>
                <w:lang w:val="it-IT" w:eastAsia="it-IT"/>
              </w:rPr>
              <w:t>4,45</w:t>
            </w:r>
            <w:r w:rsidR="009B42D7">
              <w:rPr>
                <w:rFonts w:cs="Arial"/>
                <w:color w:val="000000"/>
                <w:szCs w:val="18"/>
                <w:lang w:val="it-IT" w:eastAsia="it-IT"/>
              </w:rPr>
              <w:t xml:space="preserve"> (abA)</w:t>
            </w:r>
          </w:p>
          <w:p w14:paraId="6E7FE352" w14:textId="228430CD" w:rsidR="00AD6354" w:rsidRPr="004E0DD2" w:rsidRDefault="00AD6354" w:rsidP="0099191A">
            <w:pPr>
              <w:pStyle w:val="CETBodytext"/>
              <w:spacing w:line="240" w:lineRule="auto"/>
              <w:ind w:right="-1"/>
              <w:rPr>
                <w:rFonts w:cs="Arial"/>
                <w:szCs w:val="18"/>
                <w:lang w:val="en-GB"/>
              </w:rPr>
            </w:pPr>
            <w:r w:rsidRPr="00AD6354">
              <w:rPr>
                <w:rFonts w:cs="Arial"/>
                <w:color w:val="000000"/>
                <w:szCs w:val="18"/>
                <w:lang w:val="it-IT" w:eastAsia="it-IT"/>
              </w:rPr>
              <w:t>5,4</w:t>
            </w:r>
            <w:r w:rsidR="009B42D7">
              <w:rPr>
                <w:rFonts w:cs="Arial"/>
                <w:color w:val="000000"/>
                <w:szCs w:val="18"/>
                <w:lang w:val="it-IT" w:eastAsia="it-IT"/>
              </w:rPr>
              <w:t xml:space="preserve"> (aA)</w:t>
            </w:r>
          </w:p>
        </w:tc>
      </w:tr>
    </w:tbl>
    <w:p w14:paraId="50FA6757" w14:textId="20A50F8E" w:rsidR="00D73B0A" w:rsidRDefault="00D269A4" w:rsidP="0099191A">
      <w:pPr>
        <w:pStyle w:val="CETBodytext"/>
        <w:spacing w:line="240" w:lineRule="auto"/>
        <w:rPr>
          <w:rFonts w:cs="Arial"/>
          <w:i/>
          <w:lang w:val="en-GB"/>
        </w:rPr>
      </w:pPr>
      <w:bookmarkStart w:id="1" w:name="_Hlk132923956"/>
      <w:r w:rsidRPr="00D269A4">
        <w:rPr>
          <w:rFonts w:cs="Arial"/>
          <w:i/>
          <w:lang w:val="en-GB"/>
        </w:rPr>
        <w:t xml:space="preserve">Capital letters indicate comparisons between the maturity stages of fruits subjected to different treatments at each specific time. </w:t>
      </w:r>
      <w:r w:rsidR="00796B7C" w:rsidRPr="00D73B0A">
        <w:rPr>
          <w:rFonts w:cs="Arial"/>
          <w:i/>
          <w:lang w:val="en-GB"/>
        </w:rPr>
        <w:t xml:space="preserve">Small letters reflect comparisons between different storage times for each sample fruit of the same </w:t>
      </w:r>
      <w:r w:rsidR="00356D6F">
        <w:rPr>
          <w:rFonts w:cs="Arial"/>
          <w:i/>
          <w:lang w:val="en-GB"/>
        </w:rPr>
        <w:t>treatment</w:t>
      </w:r>
      <w:r w:rsidR="00796B7C" w:rsidRPr="00D73B0A">
        <w:rPr>
          <w:rFonts w:cs="Arial"/>
          <w:i/>
          <w:lang w:val="en-GB"/>
        </w:rPr>
        <w:t xml:space="preserve">. </w:t>
      </w:r>
      <w:bookmarkEnd w:id="1"/>
      <w:r w:rsidRPr="00D269A4">
        <w:rPr>
          <w:rFonts w:cs="Arial"/>
          <w:i/>
          <w:lang w:val="en-GB"/>
        </w:rPr>
        <w:t>According to the Tukey test (p &lt; 0.05), there are no significant differences between means that share the same letter within the same column or row.</w:t>
      </w:r>
    </w:p>
    <w:p w14:paraId="19B9BF51" w14:textId="77777777" w:rsidR="008F4609" w:rsidRDefault="008F4609" w:rsidP="0099191A">
      <w:pPr>
        <w:pStyle w:val="CETBodytext"/>
        <w:spacing w:line="240" w:lineRule="auto"/>
        <w:rPr>
          <w:lang w:val="en-GB"/>
        </w:rPr>
      </w:pPr>
    </w:p>
    <w:p w14:paraId="01347F70" w14:textId="34702DF8" w:rsidR="008F4609" w:rsidRPr="00B927EA" w:rsidRDefault="00F36FA0" w:rsidP="0099191A">
      <w:pPr>
        <w:pStyle w:val="CETBodytext"/>
        <w:spacing w:line="240" w:lineRule="auto"/>
        <w:rPr>
          <w:lang w:val="en-GB"/>
        </w:rPr>
      </w:pPr>
      <w:r w:rsidRPr="00F36FA0">
        <w:rPr>
          <w:lang w:val="en-GB"/>
        </w:rPr>
        <w:t>Analyzing the content of bioactive compounds, such as ascorbic acid (AA), carotenoids (CAR), chlorophyll a (Cl a), chlorophyll b (Cl b), flavonoids (FLAV), and polyphenols (POL), in fruits harvested and analyzed at 0 days, 15 days, 30 days, 45 days, 60 days, and 75 days of cold storage at 1 °C, the data provide evidence that a reduction in water does not negatively influence the bioactive compounds of yellow fruits. This observation aligns with another experiment conducted by Nora et al. (2012). However, the change in content remains consistent across all irrigation methods. The changes in bioactive compound during the ripening of kiwifruits do not appear to differ significantly between the various irrigation techniques</w:t>
      </w:r>
      <w:r w:rsidR="00B927EA">
        <w:rPr>
          <w:lang w:val="en-GB"/>
        </w:rPr>
        <w:t>.</w:t>
      </w:r>
    </w:p>
    <w:p w14:paraId="3B9866D4" w14:textId="77777777" w:rsidR="008D3755" w:rsidRPr="00421829" w:rsidRDefault="008D3755" w:rsidP="0099191A">
      <w:pPr>
        <w:pStyle w:val="CETHeading1"/>
        <w:rPr>
          <w:rFonts w:cs="Arial"/>
          <w:lang w:val="en-GB"/>
        </w:rPr>
      </w:pPr>
      <w:r w:rsidRPr="00421829">
        <w:rPr>
          <w:rFonts w:cs="Arial"/>
          <w:lang w:val="en-GB"/>
        </w:rPr>
        <w:t>Conclusions</w:t>
      </w:r>
    </w:p>
    <w:p w14:paraId="07A6D20F" w14:textId="44CE6AAE" w:rsidR="00280FAF" w:rsidRPr="003F6CB5" w:rsidRDefault="003F6CB5" w:rsidP="0099191A">
      <w:pPr>
        <w:pStyle w:val="CETBodytext"/>
        <w:spacing w:line="240" w:lineRule="auto"/>
        <w:rPr>
          <w:lang w:val="en-GB"/>
        </w:rPr>
        <w:sectPr w:rsidR="00280FAF" w:rsidRPr="003F6CB5" w:rsidSect="007D0951">
          <w:type w:val="continuous"/>
          <w:pgSz w:w="11906" w:h="16838" w:code="9"/>
          <w:pgMar w:top="1701" w:right="1418" w:bottom="1701" w:left="1701" w:header="1701" w:footer="0" w:gutter="0"/>
          <w:cols w:space="708"/>
          <w:formProt w:val="0"/>
          <w:titlePg/>
          <w:docGrid w:linePitch="360"/>
        </w:sectPr>
      </w:pPr>
      <w:r w:rsidRPr="00D9747E">
        <w:rPr>
          <w:lang w:val="en-GB"/>
        </w:rPr>
        <w:t xml:space="preserve">In </w:t>
      </w:r>
      <w:r w:rsidR="00E224E6" w:rsidRPr="00E224E6">
        <w:rPr>
          <w:lang w:val="en-GB"/>
        </w:rPr>
        <w:t>conclusion, this study highlights the significant impact of soil moisture availability on the ecophysiological responses of kiwifruit plants. The study demonstrates that excessive irrigation may not always be beneficial for plant performance, as evidenced by the combination of vegetation spectral indices and fruit quality. In fact, by utilizing soil sensors and a spectrometer, we were able to correlate soil moisture data with vegetation indices, revealing the influence of varying water availability on plant health, growth, and productivity. It was observed that the CVI and LNBI values for leaves were higher in deficit irrigation, particularly at 80% water availability, compared to full irrigation. For the fruit, the soluble solids content was higher in deficit irrigation than in 100% irrigation, enhancing the desirable quality of the fruit that is appreciated by consumers and is further accentuated when irrigation water is reduced. In terms of all the analyzed characteristics, including bioactive components and chemical and physical parameters of the fruit, no significant differences were found between the different irrigation conditions. This suggests that by reducing irrigation water, companies can achieve economic savings and reduce water waste while still obtaining high-quality final products.</w:t>
      </w:r>
      <w:r w:rsidR="00294161">
        <w:rPr>
          <w:lang w:val="en-GB"/>
        </w:rPr>
        <w:t xml:space="preserve"> </w:t>
      </w:r>
      <w:r w:rsidR="00294161" w:rsidRPr="00294161">
        <w:rPr>
          <w:lang w:val="en-GB"/>
        </w:rPr>
        <w:t>Based on the conducted study, it has been determined that employing 80% deficit irrigation yields superior results in terms of fruit quality and overall plant health.</w:t>
      </w:r>
      <w:r w:rsidR="00E224E6" w:rsidRPr="00294161">
        <w:rPr>
          <w:lang w:val="en-GB"/>
        </w:rPr>
        <w:t xml:space="preserve"> </w:t>
      </w:r>
      <w:r w:rsidR="00E224E6" w:rsidRPr="00E224E6">
        <w:rPr>
          <w:lang w:val="en-GB"/>
        </w:rPr>
        <w:t>This could be a significant economic advantage for fruit and vegetable companies, as they can utilize IoT sensors to monitor the plant's condition and intervene as necessary. These insights can help inform targeted irrigation management practices, optimize water use, and promote sustainable growth in kiwifruit ecosystems. The study also emphasizes the importance of maintaining adequate soil moisture levels, especially during dry periods, to ensure optimal nutrient uptake, root development, and overall plant</w:t>
      </w:r>
      <w:r w:rsidR="00D37C47" w:rsidRPr="00D9747E">
        <w:rPr>
          <w:lang w:val="en-GB"/>
        </w:rPr>
        <w:t xml:space="preserve"> health.</w:t>
      </w:r>
      <w:r w:rsidR="00D9747E" w:rsidRPr="00D9747E">
        <w:rPr>
          <w:lang w:val="en-GB"/>
        </w:rPr>
        <w:t xml:space="preserve"> </w:t>
      </w:r>
    </w:p>
    <w:p w14:paraId="4FB62F2A" w14:textId="77777777" w:rsidR="00C24884" w:rsidRDefault="00C24884" w:rsidP="0099191A">
      <w:pPr>
        <w:pStyle w:val="CETAcknowledgementstitle"/>
        <w:spacing w:line="240" w:lineRule="auto"/>
        <w:rPr>
          <w:rFonts w:cs="Arial"/>
        </w:rPr>
      </w:pPr>
    </w:p>
    <w:p w14:paraId="459D05E6" w14:textId="5F8D6DB2" w:rsidR="00600535" w:rsidRPr="00421829" w:rsidRDefault="00600535" w:rsidP="0099191A">
      <w:pPr>
        <w:pStyle w:val="CETAcknowledgementstitle"/>
        <w:spacing w:line="240" w:lineRule="auto"/>
        <w:rPr>
          <w:rFonts w:cs="Arial"/>
        </w:rPr>
      </w:pPr>
      <w:r w:rsidRPr="00421829">
        <w:rPr>
          <w:rFonts w:cs="Arial"/>
        </w:rPr>
        <w:lastRenderedPageBreak/>
        <w:t>Acknowledgments</w:t>
      </w:r>
    </w:p>
    <w:p w14:paraId="33F8138F" w14:textId="48B48092" w:rsidR="00600535" w:rsidRDefault="005020A2" w:rsidP="0099191A">
      <w:pPr>
        <w:pStyle w:val="CETBodytext"/>
        <w:spacing w:line="240" w:lineRule="auto"/>
        <w:rPr>
          <w:rFonts w:cs="Arial"/>
          <w:lang w:val="en-GB"/>
        </w:rPr>
      </w:pPr>
      <w:r w:rsidRPr="005020A2">
        <w:rPr>
          <w:rFonts w:cs="Arial"/>
          <w:lang w:val="en-GB"/>
        </w:rPr>
        <w:t xml:space="preserve">Special thanks to the company ’Tre Colli Srl’ </w:t>
      </w:r>
      <w:r w:rsidR="00706363">
        <w:rPr>
          <w:rFonts w:cs="Arial"/>
          <w:lang w:val="en-GB"/>
        </w:rPr>
        <w:t xml:space="preserve">and </w:t>
      </w:r>
      <w:r w:rsidR="00706363" w:rsidRPr="005020A2">
        <w:rPr>
          <w:rFonts w:cs="Arial"/>
          <w:lang w:val="en-GB"/>
        </w:rPr>
        <w:t>’</w:t>
      </w:r>
      <w:r w:rsidR="00706363">
        <w:rPr>
          <w:rFonts w:cs="Arial"/>
          <w:lang w:val="en-GB"/>
        </w:rPr>
        <w:t>Nature4.0</w:t>
      </w:r>
      <w:r w:rsidR="00706363" w:rsidRPr="005020A2">
        <w:rPr>
          <w:rFonts w:cs="Arial"/>
          <w:lang w:val="en-GB"/>
        </w:rPr>
        <w:t>’</w:t>
      </w:r>
      <w:r w:rsidR="00706363">
        <w:rPr>
          <w:rFonts w:cs="Arial"/>
          <w:lang w:val="en-GB"/>
        </w:rPr>
        <w:t xml:space="preserve"> </w:t>
      </w:r>
      <w:r w:rsidRPr="005020A2">
        <w:rPr>
          <w:rFonts w:cs="Arial"/>
          <w:lang w:val="en-GB"/>
        </w:rPr>
        <w:t>for their technical and logistical support in this research.</w:t>
      </w:r>
    </w:p>
    <w:p w14:paraId="4F1327F8" w14:textId="77777777" w:rsidR="00600535" w:rsidRPr="007E0445" w:rsidRDefault="00600535" w:rsidP="0099191A">
      <w:pPr>
        <w:pStyle w:val="CETReference"/>
        <w:rPr>
          <w:rFonts w:cs="Arial"/>
        </w:rPr>
      </w:pPr>
      <w:r w:rsidRPr="007E0445">
        <w:rPr>
          <w:rFonts w:cs="Arial"/>
        </w:rPr>
        <w:t>References</w:t>
      </w:r>
    </w:p>
    <w:p w14:paraId="77BD4C44" w14:textId="3145D872" w:rsidR="00294161" w:rsidRDefault="00294161" w:rsidP="00C24884">
      <w:pPr>
        <w:pStyle w:val="CETReferencetext"/>
        <w:spacing w:line="240" w:lineRule="auto"/>
        <w:rPr>
          <w:rFonts w:cs="Arial"/>
        </w:rPr>
      </w:pPr>
      <w:r w:rsidRPr="00294161">
        <w:rPr>
          <w:rFonts w:cs="Arial"/>
        </w:rPr>
        <w:t xml:space="preserve">Fan, K.L. </w:t>
      </w:r>
      <w:r w:rsidRPr="00294161">
        <w:rPr>
          <w:rFonts w:cs="Arial"/>
          <w:i/>
          <w:iCs/>
        </w:rPr>
        <w:t>et al.</w:t>
      </w:r>
      <w:r w:rsidRPr="00294161">
        <w:rPr>
          <w:rFonts w:cs="Arial"/>
        </w:rPr>
        <w:t xml:space="preserve"> (2022) “Nitrogen Balance Index Prediction of Winter Wheat by Canopy Hyperspectral Transformation and Machine Learning,” </w:t>
      </w:r>
      <w:r w:rsidRPr="00294161">
        <w:rPr>
          <w:rFonts w:cs="Arial"/>
          <w:i/>
          <w:iCs/>
        </w:rPr>
        <w:t>Remote Sensing</w:t>
      </w:r>
      <w:r w:rsidRPr="00294161">
        <w:rPr>
          <w:rFonts w:cs="Arial"/>
        </w:rPr>
        <w:t>, 14(14), p. 3504. Available at: https://doi.org/10.3390/rs14143504.</w:t>
      </w:r>
    </w:p>
    <w:p w14:paraId="2762CF61" w14:textId="77777777" w:rsidR="00294161" w:rsidRPr="00294161" w:rsidRDefault="00294161" w:rsidP="0099191A">
      <w:pPr>
        <w:pStyle w:val="CETReferencetext"/>
        <w:spacing w:line="240" w:lineRule="auto"/>
        <w:rPr>
          <w:rFonts w:cs="Arial"/>
        </w:rPr>
      </w:pPr>
      <w:r w:rsidRPr="00294161">
        <w:rPr>
          <w:rFonts w:cs="Arial"/>
        </w:rPr>
        <w:t xml:space="preserve">Gitelson, A.A., Merzlyak, M.N. and Chivkunova, O.B. (2001) “Optical Properties and Nondestructive Estimation of Anthocyanin Content in Plant Leaves¶,” </w:t>
      </w:r>
      <w:r w:rsidRPr="00294161">
        <w:rPr>
          <w:rFonts w:cs="Arial"/>
          <w:i/>
          <w:iCs/>
        </w:rPr>
        <w:t>Photochemistry and Photobiology</w:t>
      </w:r>
      <w:r w:rsidRPr="00294161">
        <w:rPr>
          <w:rFonts w:cs="Arial"/>
        </w:rPr>
        <w:t>, 74(1), p. 38. Available at: https://doi.org/10.1562/0031-8655(2001)074.</w:t>
      </w:r>
    </w:p>
    <w:p w14:paraId="4C8189F2" w14:textId="77777777" w:rsidR="00294161" w:rsidRPr="00294161" w:rsidRDefault="00294161" w:rsidP="0099191A">
      <w:pPr>
        <w:pStyle w:val="CETReferencetext"/>
        <w:spacing w:line="240" w:lineRule="auto"/>
        <w:rPr>
          <w:rFonts w:cs="Arial"/>
        </w:rPr>
      </w:pPr>
      <w:r w:rsidRPr="00294161">
        <w:rPr>
          <w:rFonts w:cs="Arial"/>
        </w:rPr>
        <w:t xml:space="preserve">Goffi, V. </w:t>
      </w:r>
      <w:r w:rsidRPr="00294161">
        <w:rPr>
          <w:rFonts w:cs="Arial"/>
          <w:i/>
          <w:iCs/>
        </w:rPr>
        <w:t>et al.</w:t>
      </w:r>
      <w:r w:rsidRPr="00294161">
        <w:rPr>
          <w:rFonts w:cs="Arial"/>
        </w:rPr>
        <w:t xml:space="preserve"> (2020) “Response of antioxidant system to postharvest ozone treatment in ‘Soreli’ kiwifruit,” </w:t>
      </w:r>
      <w:r w:rsidRPr="00294161">
        <w:rPr>
          <w:rFonts w:cs="Arial"/>
          <w:i/>
          <w:iCs/>
        </w:rPr>
        <w:t>Journal of the Science of Food and Agriculture</w:t>
      </w:r>
      <w:r w:rsidRPr="00294161">
        <w:rPr>
          <w:rFonts w:cs="Arial"/>
        </w:rPr>
        <w:t>, 100(3), pp. 961–968. Available at: https://doi.org/10.1002/jsfa.10055.</w:t>
      </w:r>
    </w:p>
    <w:p w14:paraId="53B8258D" w14:textId="77777777" w:rsidR="0029432A" w:rsidRDefault="0029432A" w:rsidP="0099191A">
      <w:pPr>
        <w:pStyle w:val="CETReferencetext"/>
        <w:spacing w:line="240" w:lineRule="auto"/>
        <w:rPr>
          <w:rFonts w:cs="Arial"/>
        </w:rPr>
      </w:pPr>
      <w:r w:rsidRPr="0029432A">
        <w:rPr>
          <w:rFonts w:cs="Arial"/>
          <w:lang w:val="it-IT"/>
        </w:rPr>
        <w:t xml:space="preserve">Goffi, V., Modesti, M., Forniti, R. and Botondi, R. (2018). </w:t>
      </w:r>
      <w:r w:rsidRPr="0029432A">
        <w:rPr>
          <w:rFonts w:cs="Arial"/>
        </w:rPr>
        <w:t>Quality of green (Actinidia chinensis var. deliciosa ““Hayward””) and yellow (A. chinensis var. chinensis[A1] [A2]  ‘Soreli’) kiwifruit during cold storage at 0°C in normal atmosphere and with gaseous ozone. Acta Hortic. 1218, 473-480 10.17660/ActaHortic.2018.1218.65</w:t>
      </w:r>
    </w:p>
    <w:p w14:paraId="15002AED" w14:textId="47FD1915" w:rsidR="00294161" w:rsidRPr="00294161" w:rsidRDefault="00294161" w:rsidP="0099191A">
      <w:pPr>
        <w:pStyle w:val="CETReferencetext"/>
        <w:spacing w:line="240" w:lineRule="auto"/>
        <w:rPr>
          <w:rFonts w:cs="Arial"/>
        </w:rPr>
      </w:pPr>
      <w:r w:rsidRPr="00294161">
        <w:rPr>
          <w:rFonts w:cs="Arial"/>
        </w:rPr>
        <w:t xml:space="preserve">Grasso, C., Forniti, R. and Botondi, R. (2022) “Post-Harvest Quality Evaluation of ‘Soreli’ Kiwifruit at Two Ripening °Brix Values from Vineyards of Different Age Under Hail Nets,” </w:t>
      </w:r>
      <w:r w:rsidRPr="00294161">
        <w:rPr>
          <w:rFonts w:cs="Arial"/>
          <w:i/>
          <w:iCs/>
        </w:rPr>
        <w:t>Foods</w:t>
      </w:r>
      <w:r w:rsidRPr="00294161">
        <w:rPr>
          <w:rFonts w:cs="Arial"/>
        </w:rPr>
        <w:t>, 11(3), p. 431. Available at: https://doi.org/10.3390/foods11030431.</w:t>
      </w:r>
    </w:p>
    <w:p w14:paraId="70F8F897" w14:textId="77777777" w:rsidR="00294161" w:rsidRPr="00294161" w:rsidRDefault="00294161" w:rsidP="0099191A">
      <w:pPr>
        <w:pStyle w:val="CETReferencetext"/>
        <w:spacing w:line="240" w:lineRule="auto"/>
        <w:rPr>
          <w:rFonts w:cs="Arial"/>
        </w:rPr>
      </w:pPr>
      <w:r w:rsidRPr="00705282">
        <w:rPr>
          <w:rFonts w:cs="Arial"/>
        </w:rPr>
        <w:t xml:space="preserve">Gwanpua, S.G. </w:t>
      </w:r>
      <w:r w:rsidRPr="00705282">
        <w:rPr>
          <w:rFonts w:cs="Arial"/>
          <w:i/>
          <w:iCs/>
        </w:rPr>
        <w:t>et al.</w:t>
      </w:r>
      <w:r w:rsidRPr="00705282">
        <w:rPr>
          <w:rFonts w:cs="Arial"/>
        </w:rPr>
        <w:t xml:space="preserve"> </w:t>
      </w:r>
      <w:r w:rsidRPr="00294161">
        <w:rPr>
          <w:rFonts w:cs="Arial"/>
        </w:rPr>
        <w:t xml:space="preserve">(2018) “Investigating the potential of dual temperature storage as a postharvest management practice to mitigate chilling injury in kiwifruit,” </w:t>
      </w:r>
      <w:r w:rsidRPr="00294161">
        <w:rPr>
          <w:rFonts w:cs="Arial"/>
          <w:i/>
          <w:iCs/>
        </w:rPr>
        <w:t>International Journal of Refrigeration-revue Internationale Du Froid</w:t>
      </w:r>
      <w:r w:rsidRPr="00294161">
        <w:rPr>
          <w:rFonts w:cs="Arial"/>
        </w:rPr>
        <w:t>, 86, pp. 62–72. Available at: https://doi.org/10.1016/j.ijrefrig.2017.12.004.</w:t>
      </w:r>
    </w:p>
    <w:p w14:paraId="1C9CC90E" w14:textId="77777777" w:rsidR="00294161" w:rsidRPr="00294161" w:rsidRDefault="00294161" w:rsidP="0099191A">
      <w:pPr>
        <w:pStyle w:val="CETReferencetext"/>
        <w:spacing w:line="240" w:lineRule="auto"/>
        <w:rPr>
          <w:rFonts w:cs="Arial"/>
        </w:rPr>
      </w:pPr>
      <w:r w:rsidRPr="00294161">
        <w:rPr>
          <w:rFonts w:cs="Arial"/>
        </w:rPr>
        <w:t xml:space="preserve">Ram, V.V.H. </w:t>
      </w:r>
      <w:r w:rsidRPr="00294161">
        <w:rPr>
          <w:rFonts w:cs="Arial"/>
          <w:i/>
          <w:iCs/>
        </w:rPr>
        <w:t>et al.</w:t>
      </w:r>
      <w:r w:rsidRPr="00294161">
        <w:rPr>
          <w:rFonts w:cs="Arial"/>
        </w:rPr>
        <w:t xml:space="preserve"> (2015) </w:t>
      </w:r>
      <w:r w:rsidRPr="00294161">
        <w:rPr>
          <w:rFonts w:cs="Arial"/>
          <w:i/>
          <w:iCs/>
        </w:rPr>
        <w:t>Regulation of water in agriculture field using Internet Of Things</w:t>
      </w:r>
      <w:r w:rsidRPr="00294161">
        <w:rPr>
          <w:rFonts w:cs="Arial"/>
        </w:rPr>
        <w:t>. Available at: https://doi.org/10.1109/tiar.2015.7358541.</w:t>
      </w:r>
    </w:p>
    <w:p w14:paraId="6D866F3D" w14:textId="77777777" w:rsidR="00294161" w:rsidRPr="00294161" w:rsidRDefault="00294161" w:rsidP="0099191A">
      <w:pPr>
        <w:pStyle w:val="CETReferencetext"/>
        <w:spacing w:line="240" w:lineRule="auto"/>
        <w:rPr>
          <w:rFonts w:cs="Arial"/>
        </w:rPr>
      </w:pPr>
      <w:r w:rsidRPr="00294161">
        <w:rPr>
          <w:rFonts w:cs="Arial"/>
        </w:rPr>
        <w:t xml:space="preserve">Liu, Jiao </w:t>
      </w:r>
      <w:r w:rsidRPr="00294161">
        <w:rPr>
          <w:rFonts w:cs="Arial"/>
          <w:i/>
          <w:iCs/>
        </w:rPr>
        <w:t>et al.</w:t>
      </w:r>
      <w:r w:rsidRPr="00294161">
        <w:rPr>
          <w:rFonts w:cs="Arial"/>
        </w:rPr>
        <w:t xml:space="preserve"> (2022) “Transcription factors AcERF74/75 respond to waterlogging stress and trigger alcoholic fermentation-related genes in kiwifruit,” </w:t>
      </w:r>
      <w:r w:rsidRPr="00294161">
        <w:rPr>
          <w:rFonts w:cs="Arial"/>
          <w:i/>
          <w:iCs/>
        </w:rPr>
        <w:t>Plant Science</w:t>
      </w:r>
      <w:r w:rsidRPr="00294161">
        <w:rPr>
          <w:rFonts w:cs="Arial"/>
        </w:rPr>
        <w:t>, 314, p. 111115. Available at: https://doi.org/10.1016/j.plantsci.2021.111115.</w:t>
      </w:r>
    </w:p>
    <w:p w14:paraId="5321B7F6" w14:textId="77777777" w:rsidR="00294161" w:rsidRPr="00294161" w:rsidRDefault="00294161" w:rsidP="0099191A">
      <w:pPr>
        <w:pStyle w:val="CETReferencetext"/>
        <w:spacing w:line="240" w:lineRule="auto"/>
        <w:rPr>
          <w:rFonts w:cs="Arial"/>
        </w:rPr>
      </w:pPr>
      <w:r w:rsidRPr="00294161">
        <w:rPr>
          <w:rFonts w:cs="Arial"/>
        </w:rPr>
        <w:t xml:space="preserve">McGuire, R.R. (1992) “Reporting of Objective Color Measurements,” </w:t>
      </w:r>
      <w:r w:rsidRPr="00294161">
        <w:rPr>
          <w:rFonts w:cs="Arial"/>
          <w:i/>
          <w:iCs/>
        </w:rPr>
        <w:t>Hortscience</w:t>
      </w:r>
      <w:r w:rsidRPr="00294161">
        <w:rPr>
          <w:rFonts w:cs="Arial"/>
        </w:rPr>
        <w:t>, 27(12), pp. 1254–1255. Available at: https://doi.org/10.21273/hortsci.27.12.1254.</w:t>
      </w:r>
    </w:p>
    <w:p w14:paraId="39290C0F" w14:textId="77777777" w:rsidR="00717BE5" w:rsidRPr="00717BE5" w:rsidRDefault="00717BE5" w:rsidP="0099191A">
      <w:pPr>
        <w:pStyle w:val="CETReferencetext"/>
        <w:spacing w:line="240" w:lineRule="auto"/>
        <w:rPr>
          <w:rFonts w:cs="Arial"/>
        </w:rPr>
      </w:pPr>
      <w:r w:rsidRPr="00717BE5">
        <w:rPr>
          <w:rFonts w:cs="Arial"/>
          <w:i/>
          <w:iCs/>
        </w:rPr>
        <w:t>Postharvest Biology and Technology of Temperate Fruits</w:t>
      </w:r>
      <w:r w:rsidRPr="00717BE5">
        <w:rPr>
          <w:rFonts w:cs="Arial"/>
        </w:rPr>
        <w:t xml:space="preserve"> (2018) </w:t>
      </w:r>
      <w:r w:rsidRPr="00717BE5">
        <w:rPr>
          <w:rFonts w:cs="Arial"/>
          <w:i/>
          <w:iCs/>
        </w:rPr>
        <w:t>Springer eBooks</w:t>
      </w:r>
      <w:r w:rsidRPr="00717BE5">
        <w:rPr>
          <w:rFonts w:cs="Arial"/>
        </w:rPr>
        <w:t>. Available at: https://doi.org/10.1007/978-3-319-76843-4.</w:t>
      </w:r>
    </w:p>
    <w:p w14:paraId="2FE686DD" w14:textId="77777777" w:rsidR="00717BE5" w:rsidRPr="00717BE5" w:rsidRDefault="00717BE5" w:rsidP="0099191A">
      <w:pPr>
        <w:pStyle w:val="CETReferencetext"/>
        <w:spacing w:line="240" w:lineRule="auto"/>
        <w:rPr>
          <w:rFonts w:cs="Arial"/>
        </w:rPr>
      </w:pPr>
      <w:r w:rsidRPr="00717BE5">
        <w:rPr>
          <w:rFonts w:cs="Arial"/>
        </w:rPr>
        <w:t xml:space="preserve">Nora, L. </w:t>
      </w:r>
      <w:r w:rsidRPr="00717BE5">
        <w:rPr>
          <w:rFonts w:cs="Arial"/>
          <w:i/>
          <w:iCs/>
        </w:rPr>
        <w:t>et al.</w:t>
      </w:r>
      <w:r w:rsidRPr="00717BE5">
        <w:rPr>
          <w:rFonts w:cs="Arial"/>
        </w:rPr>
        <w:t xml:space="preserve"> (2012) “Controlled Water Stress to Improve Fruit and Vegetable Postharvest Quality,” in </w:t>
      </w:r>
      <w:r w:rsidRPr="00717BE5">
        <w:rPr>
          <w:rFonts w:cs="Arial"/>
          <w:i/>
          <w:iCs/>
        </w:rPr>
        <w:t>InTech eBooks</w:t>
      </w:r>
      <w:r w:rsidRPr="00717BE5">
        <w:rPr>
          <w:rFonts w:cs="Arial"/>
        </w:rPr>
        <w:t>. Available at: https://doi.org/10.5772/30182.</w:t>
      </w:r>
    </w:p>
    <w:p w14:paraId="6BFB9207" w14:textId="2267D911" w:rsidR="00236641" w:rsidRDefault="00236641" w:rsidP="0099191A">
      <w:pPr>
        <w:pStyle w:val="CETReferencetext"/>
        <w:spacing w:line="240" w:lineRule="auto"/>
        <w:rPr>
          <w:rFonts w:cs="Arial"/>
        </w:rPr>
      </w:pPr>
      <w:r w:rsidRPr="00236641">
        <w:rPr>
          <w:rFonts w:cs="Arial"/>
        </w:rPr>
        <w:t>Pinto, R</w:t>
      </w:r>
      <w:r w:rsidR="00717BE5">
        <w:rPr>
          <w:rFonts w:cs="Arial"/>
        </w:rPr>
        <w:t>.</w:t>
      </w:r>
      <w:r w:rsidRPr="00236641">
        <w:rPr>
          <w:rFonts w:cs="Arial"/>
        </w:rPr>
        <w:t xml:space="preserve"> </w:t>
      </w:r>
      <w:r w:rsidRPr="00717BE5">
        <w:rPr>
          <w:rFonts w:cs="Arial"/>
          <w:i/>
          <w:iCs/>
        </w:rPr>
        <w:t>et al.</w:t>
      </w:r>
      <w:r w:rsidR="00717BE5" w:rsidRPr="00717BE5">
        <w:rPr>
          <w:rFonts w:cs="Arial"/>
        </w:rPr>
        <w:t xml:space="preserve"> </w:t>
      </w:r>
      <w:r w:rsidR="00717BE5" w:rsidRPr="00236641">
        <w:rPr>
          <w:rFonts w:cs="Arial"/>
        </w:rPr>
        <w:t>(2021)</w:t>
      </w:r>
      <w:r w:rsidRPr="00236641">
        <w:rPr>
          <w:rFonts w:cs="Arial"/>
        </w:rPr>
        <w:t xml:space="preserve"> "Influence of Irrigation and Nitrogen Fertilization on Kiwifruit Production." Agricultural Engineering AgEng2021: 707.</w:t>
      </w:r>
    </w:p>
    <w:p w14:paraId="43F11288" w14:textId="77777777" w:rsidR="005C6A31" w:rsidRPr="005C6A31" w:rsidRDefault="005C6A31" w:rsidP="0099191A">
      <w:pPr>
        <w:pStyle w:val="CETReferencetext"/>
        <w:spacing w:line="240" w:lineRule="auto"/>
        <w:rPr>
          <w:rFonts w:cs="Arial"/>
        </w:rPr>
      </w:pPr>
      <w:r w:rsidRPr="005C6A31">
        <w:rPr>
          <w:rFonts w:cs="Arial"/>
        </w:rPr>
        <w:t xml:space="preserve">Reid, J.S. </w:t>
      </w:r>
      <w:r w:rsidRPr="005C6A31">
        <w:rPr>
          <w:rFonts w:cs="Arial"/>
          <w:i/>
          <w:iCs/>
        </w:rPr>
        <w:t>et al.</w:t>
      </w:r>
      <w:r w:rsidRPr="005C6A31">
        <w:rPr>
          <w:rFonts w:cs="Arial"/>
        </w:rPr>
        <w:t xml:space="preserve"> (1996) “Improvement in kiwifruit storage life caused by withholding early</w:t>
      </w:r>
      <w:r w:rsidRPr="005C6A31">
        <w:rPr>
          <w:rFonts w:ascii="Cambria Math" w:hAnsi="Cambria Math" w:cs="Cambria Math"/>
        </w:rPr>
        <w:t>‐</w:t>
      </w:r>
      <w:r w:rsidRPr="005C6A31">
        <w:rPr>
          <w:rFonts w:cs="Arial"/>
        </w:rPr>
        <w:t xml:space="preserve">season irrigation,” </w:t>
      </w:r>
      <w:r w:rsidRPr="005C6A31">
        <w:rPr>
          <w:rFonts w:cs="Arial"/>
          <w:i/>
          <w:iCs/>
        </w:rPr>
        <w:t>New Zealand Journal of Crop and Horticultural Science</w:t>
      </w:r>
      <w:r w:rsidRPr="005C6A31">
        <w:rPr>
          <w:rFonts w:cs="Arial"/>
        </w:rPr>
        <w:t>, 24(1), pp. 21–28. Available at: https://doi.org/10.1080/01140671.1996.9513931.</w:t>
      </w:r>
    </w:p>
    <w:p w14:paraId="7A6C8BFC" w14:textId="77777777" w:rsidR="005C6A31" w:rsidRPr="005C6A31" w:rsidRDefault="005C6A31" w:rsidP="0099191A">
      <w:pPr>
        <w:pStyle w:val="CETReferencetext"/>
        <w:spacing w:line="240" w:lineRule="auto"/>
        <w:rPr>
          <w:rFonts w:cs="Arial"/>
        </w:rPr>
      </w:pPr>
      <w:r w:rsidRPr="005C6A31">
        <w:rPr>
          <w:rFonts w:cs="Arial"/>
        </w:rPr>
        <w:t xml:space="preserve">Tucker, C.J. (1979) “Red and photographic infrared linear combinations for monitoring vegetation,” </w:t>
      </w:r>
      <w:r w:rsidRPr="005C6A31">
        <w:rPr>
          <w:rFonts w:cs="Arial"/>
          <w:i/>
          <w:iCs/>
        </w:rPr>
        <w:t>Remote Sensing of Environment</w:t>
      </w:r>
      <w:r w:rsidRPr="005C6A31">
        <w:rPr>
          <w:rFonts w:cs="Arial"/>
        </w:rPr>
        <w:t>, 8(2), pp. 127–150. Available at: https://doi.org/10.1016/0034-4257(79)90013-0.</w:t>
      </w:r>
    </w:p>
    <w:p w14:paraId="1A08F172" w14:textId="77777777" w:rsidR="005C6A31" w:rsidRPr="005C6A31" w:rsidRDefault="005C6A31" w:rsidP="0099191A">
      <w:pPr>
        <w:pStyle w:val="CETReferencetext"/>
        <w:spacing w:line="240" w:lineRule="auto"/>
        <w:rPr>
          <w:rFonts w:cs="Arial"/>
          <w:lang w:val="it-IT"/>
        </w:rPr>
      </w:pPr>
      <w:r w:rsidRPr="005C6A31">
        <w:rPr>
          <w:rFonts w:cs="Arial"/>
        </w:rPr>
        <w:t xml:space="preserve">Vincini, M., Frazzi, E. and D’Alessio, P. (2008) “A broad-band leaf chlorophyll vegetation index at the canopy scale,” </w:t>
      </w:r>
      <w:r w:rsidRPr="005C6A31">
        <w:rPr>
          <w:rFonts w:cs="Arial"/>
          <w:i/>
          <w:iCs/>
        </w:rPr>
        <w:t>Precision Agriculture</w:t>
      </w:r>
      <w:r w:rsidRPr="005C6A31">
        <w:rPr>
          <w:rFonts w:cs="Arial"/>
        </w:rPr>
        <w:t xml:space="preserve">, 9(5), pp. 303–319. </w:t>
      </w:r>
      <w:r w:rsidRPr="005C6A31">
        <w:rPr>
          <w:rFonts w:cs="Arial"/>
          <w:lang w:val="it-IT"/>
        </w:rPr>
        <w:t>Available at: https://doi.org/10.1007/s11119-008-9075-z.</w:t>
      </w:r>
    </w:p>
    <w:p w14:paraId="0947FDBC" w14:textId="23B60C77" w:rsidR="00A868A5" w:rsidRPr="00280A49" w:rsidRDefault="00A868A5" w:rsidP="0099191A">
      <w:pPr>
        <w:pStyle w:val="CETReferencetext"/>
        <w:spacing w:line="240" w:lineRule="auto"/>
        <w:ind w:left="0" w:firstLine="0"/>
        <w:rPr>
          <w:rFonts w:cs="Arial"/>
        </w:rPr>
      </w:pPr>
    </w:p>
    <w:sectPr w:rsidR="00A868A5" w:rsidRPr="00280A49"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F29BE" w14:textId="77777777" w:rsidR="00C35568" w:rsidRDefault="00C35568" w:rsidP="004F5E36">
      <w:r>
        <w:separator/>
      </w:r>
    </w:p>
  </w:endnote>
  <w:endnote w:type="continuationSeparator" w:id="0">
    <w:p w14:paraId="05E5187C" w14:textId="77777777" w:rsidR="00C35568" w:rsidRDefault="00C3556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ED31F" w14:textId="77777777" w:rsidR="00C35568" w:rsidRDefault="00C35568" w:rsidP="004F5E36">
      <w:r>
        <w:separator/>
      </w:r>
    </w:p>
  </w:footnote>
  <w:footnote w:type="continuationSeparator" w:id="0">
    <w:p w14:paraId="1390F0F2" w14:textId="77777777" w:rsidR="00C35568" w:rsidRDefault="00C3556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4624EE3"/>
    <w:multiLevelType w:val="hybridMultilevel"/>
    <w:tmpl w:val="3A507C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DAE7BC2"/>
    <w:multiLevelType w:val="multilevel"/>
    <w:tmpl w:val="143ED8E2"/>
    <w:lvl w:ilvl="0">
      <w:start w:val="1"/>
      <w:numFmt w:val="bullet"/>
      <w:lvlText w:val="●"/>
      <w:lvlJc w:val="left"/>
      <w:pPr>
        <w:ind w:left="-981" w:hanging="360"/>
      </w:pPr>
      <w:rPr>
        <w:rFonts w:ascii="Noto Sans Symbols" w:eastAsia="Noto Sans Symbols" w:hAnsi="Noto Sans Symbols" w:cs="Noto Sans Symbols"/>
      </w:rPr>
    </w:lvl>
    <w:lvl w:ilvl="1">
      <w:start w:val="1"/>
      <w:numFmt w:val="bullet"/>
      <w:lvlText w:val="o"/>
      <w:lvlJc w:val="left"/>
      <w:pPr>
        <w:ind w:left="-261" w:hanging="360"/>
      </w:pPr>
      <w:rPr>
        <w:rFonts w:ascii="Courier New" w:eastAsia="Courier New" w:hAnsi="Courier New" w:cs="Courier New"/>
      </w:rPr>
    </w:lvl>
    <w:lvl w:ilvl="2">
      <w:start w:val="1"/>
      <w:numFmt w:val="bullet"/>
      <w:lvlText w:val="▪"/>
      <w:lvlJc w:val="left"/>
      <w:pPr>
        <w:ind w:left="459" w:hanging="360"/>
      </w:pPr>
      <w:rPr>
        <w:rFonts w:ascii="Noto Sans Symbols" w:eastAsia="Noto Sans Symbols" w:hAnsi="Noto Sans Symbols" w:cs="Noto Sans Symbols"/>
      </w:rPr>
    </w:lvl>
    <w:lvl w:ilvl="3">
      <w:start w:val="1"/>
      <w:numFmt w:val="bullet"/>
      <w:lvlText w:val="●"/>
      <w:lvlJc w:val="left"/>
      <w:pPr>
        <w:ind w:left="1179" w:hanging="360"/>
      </w:pPr>
      <w:rPr>
        <w:rFonts w:ascii="Noto Sans Symbols" w:eastAsia="Noto Sans Symbols" w:hAnsi="Noto Sans Symbols" w:cs="Noto Sans Symbols"/>
      </w:rPr>
    </w:lvl>
    <w:lvl w:ilvl="4">
      <w:start w:val="1"/>
      <w:numFmt w:val="bullet"/>
      <w:lvlText w:val="o"/>
      <w:lvlJc w:val="left"/>
      <w:pPr>
        <w:ind w:left="1899" w:hanging="360"/>
      </w:pPr>
      <w:rPr>
        <w:rFonts w:ascii="Courier New" w:eastAsia="Courier New" w:hAnsi="Courier New" w:cs="Courier New"/>
      </w:rPr>
    </w:lvl>
    <w:lvl w:ilvl="5">
      <w:start w:val="1"/>
      <w:numFmt w:val="bullet"/>
      <w:lvlText w:val="▪"/>
      <w:lvlJc w:val="left"/>
      <w:pPr>
        <w:ind w:left="2619" w:hanging="360"/>
      </w:pPr>
      <w:rPr>
        <w:rFonts w:ascii="Noto Sans Symbols" w:eastAsia="Noto Sans Symbols" w:hAnsi="Noto Sans Symbols" w:cs="Noto Sans Symbols"/>
      </w:rPr>
    </w:lvl>
    <w:lvl w:ilvl="6">
      <w:start w:val="1"/>
      <w:numFmt w:val="bullet"/>
      <w:lvlText w:val="●"/>
      <w:lvlJc w:val="left"/>
      <w:pPr>
        <w:ind w:left="3339" w:hanging="360"/>
      </w:pPr>
      <w:rPr>
        <w:rFonts w:ascii="Noto Sans Symbols" w:eastAsia="Noto Sans Symbols" w:hAnsi="Noto Sans Symbols" w:cs="Noto Sans Symbols"/>
      </w:rPr>
    </w:lvl>
    <w:lvl w:ilvl="7">
      <w:start w:val="1"/>
      <w:numFmt w:val="bullet"/>
      <w:lvlText w:val="o"/>
      <w:lvlJc w:val="left"/>
      <w:pPr>
        <w:ind w:left="4059" w:hanging="360"/>
      </w:pPr>
      <w:rPr>
        <w:rFonts w:ascii="Courier New" w:eastAsia="Courier New" w:hAnsi="Courier New" w:cs="Courier New"/>
      </w:rPr>
    </w:lvl>
    <w:lvl w:ilvl="8">
      <w:start w:val="1"/>
      <w:numFmt w:val="bullet"/>
      <w:lvlText w:val="▪"/>
      <w:lvlJc w:val="left"/>
      <w:pPr>
        <w:ind w:left="4779" w:hanging="360"/>
      </w:pPr>
      <w:rPr>
        <w:rFonts w:ascii="Noto Sans Symbols" w:eastAsia="Noto Sans Symbols" w:hAnsi="Noto Sans Symbols" w:cs="Noto Sans Symbols"/>
      </w:rPr>
    </w:lvl>
  </w:abstractNum>
  <w:abstractNum w:abstractNumId="12" w15:restartNumberingAfterBreak="0">
    <w:nsid w:val="2438217E"/>
    <w:multiLevelType w:val="multilevel"/>
    <w:tmpl w:val="61D229B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4ED59DC"/>
    <w:multiLevelType w:val="hybridMultilevel"/>
    <w:tmpl w:val="4418AA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C57821"/>
    <w:multiLevelType w:val="multilevel"/>
    <w:tmpl w:val="AA7E106A"/>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0"/>
  </w:num>
  <w:num w:numId="13" w16cid:durableId="695733619">
    <w:abstractNumId w:val="15"/>
  </w:num>
  <w:num w:numId="14" w16cid:durableId="145903400">
    <w:abstractNumId w:val="22"/>
  </w:num>
  <w:num w:numId="15" w16cid:durableId="19162326">
    <w:abstractNumId w:val="24"/>
  </w:num>
  <w:num w:numId="16" w16cid:durableId="1977102699">
    <w:abstractNumId w:val="23"/>
  </w:num>
  <w:num w:numId="17" w16cid:durableId="860774865">
    <w:abstractNumId w:val="14"/>
  </w:num>
  <w:num w:numId="18" w16cid:durableId="313221457">
    <w:abstractNumId w:val="15"/>
    <w:lvlOverride w:ilvl="0">
      <w:startOverride w:val="1"/>
    </w:lvlOverride>
  </w:num>
  <w:num w:numId="19" w16cid:durableId="534971577">
    <w:abstractNumId w:val="19"/>
  </w:num>
  <w:num w:numId="20" w16cid:durableId="1150947773">
    <w:abstractNumId w:val="18"/>
  </w:num>
  <w:num w:numId="21" w16cid:durableId="124660497">
    <w:abstractNumId w:val="17"/>
  </w:num>
  <w:num w:numId="22" w16cid:durableId="2099861471">
    <w:abstractNumId w:val="16"/>
  </w:num>
  <w:num w:numId="23" w16cid:durableId="607665255">
    <w:abstractNumId w:val="10"/>
  </w:num>
  <w:num w:numId="24" w16cid:durableId="1032148777">
    <w:abstractNumId w:val="21"/>
  </w:num>
  <w:num w:numId="25" w16cid:durableId="283467564">
    <w:abstractNumId w:val="11"/>
  </w:num>
  <w:num w:numId="26" w16cid:durableId="1755973473">
    <w:abstractNumId w:val="13"/>
  </w:num>
  <w:num w:numId="27" w16cid:durableId="757336853">
    <w:abstractNumId w:val="12"/>
    <w:lvlOverride w:ilvl="0">
      <w:startOverride w:val="1"/>
    </w:lvlOverride>
    <w:lvlOverride w:ilvl="1">
      <w:startOverride w:val="3"/>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51C"/>
    <w:rsid w:val="00011349"/>
    <w:rsid w:val="000117CB"/>
    <w:rsid w:val="0003148D"/>
    <w:rsid w:val="00031EEC"/>
    <w:rsid w:val="000327BD"/>
    <w:rsid w:val="00036DE9"/>
    <w:rsid w:val="00050A73"/>
    <w:rsid w:val="00051566"/>
    <w:rsid w:val="00052AC4"/>
    <w:rsid w:val="000562A9"/>
    <w:rsid w:val="00062A9A"/>
    <w:rsid w:val="00064E39"/>
    <w:rsid w:val="00065058"/>
    <w:rsid w:val="000654E2"/>
    <w:rsid w:val="00071390"/>
    <w:rsid w:val="00071CFF"/>
    <w:rsid w:val="00074C5D"/>
    <w:rsid w:val="000763B6"/>
    <w:rsid w:val="00080489"/>
    <w:rsid w:val="00084402"/>
    <w:rsid w:val="000854CD"/>
    <w:rsid w:val="0008655D"/>
    <w:rsid w:val="00086C39"/>
    <w:rsid w:val="000873F6"/>
    <w:rsid w:val="00097190"/>
    <w:rsid w:val="000A03B2"/>
    <w:rsid w:val="000A1ED2"/>
    <w:rsid w:val="000B5AFC"/>
    <w:rsid w:val="000C35BC"/>
    <w:rsid w:val="000C4F9E"/>
    <w:rsid w:val="000C72C8"/>
    <w:rsid w:val="000D0268"/>
    <w:rsid w:val="000D274B"/>
    <w:rsid w:val="000D34BE"/>
    <w:rsid w:val="000E102F"/>
    <w:rsid w:val="000E36F1"/>
    <w:rsid w:val="000E3A73"/>
    <w:rsid w:val="000E414A"/>
    <w:rsid w:val="000F093C"/>
    <w:rsid w:val="000F787B"/>
    <w:rsid w:val="0010217F"/>
    <w:rsid w:val="00105266"/>
    <w:rsid w:val="001062E8"/>
    <w:rsid w:val="0012091F"/>
    <w:rsid w:val="00123725"/>
    <w:rsid w:val="00126BC2"/>
    <w:rsid w:val="001308B6"/>
    <w:rsid w:val="0013121F"/>
    <w:rsid w:val="00131FE6"/>
    <w:rsid w:val="0013263F"/>
    <w:rsid w:val="001331DF"/>
    <w:rsid w:val="00133A66"/>
    <w:rsid w:val="00134DE4"/>
    <w:rsid w:val="0013543A"/>
    <w:rsid w:val="00135D92"/>
    <w:rsid w:val="00136A0D"/>
    <w:rsid w:val="00136A5D"/>
    <w:rsid w:val="0014034D"/>
    <w:rsid w:val="00144D16"/>
    <w:rsid w:val="00150E59"/>
    <w:rsid w:val="00151334"/>
    <w:rsid w:val="00152DE3"/>
    <w:rsid w:val="00154E24"/>
    <w:rsid w:val="001607CF"/>
    <w:rsid w:val="00163059"/>
    <w:rsid w:val="00164537"/>
    <w:rsid w:val="00164CF9"/>
    <w:rsid w:val="001667A6"/>
    <w:rsid w:val="0017509F"/>
    <w:rsid w:val="0017759B"/>
    <w:rsid w:val="001807BC"/>
    <w:rsid w:val="00184AD6"/>
    <w:rsid w:val="00187557"/>
    <w:rsid w:val="00194929"/>
    <w:rsid w:val="001A0AF2"/>
    <w:rsid w:val="001A4AF7"/>
    <w:rsid w:val="001A4ED0"/>
    <w:rsid w:val="001B0349"/>
    <w:rsid w:val="001B0A9A"/>
    <w:rsid w:val="001B1E93"/>
    <w:rsid w:val="001B2349"/>
    <w:rsid w:val="001B65C1"/>
    <w:rsid w:val="001C44A7"/>
    <w:rsid w:val="001C684B"/>
    <w:rsid w:val="001C7C1A"/>
    <w:rsid w:val="001D0CFB"/>
    <w:rsid w:val="001D21AF"/>
    <w:rsid w:val="001D53FC"/>
    <w:rsid w:val="001D5C37"/>
    <w:rsid w:val="001E3CCF"/>
    <w:rsid w:val="001E5B19"/>
    <w:rsid w:val="001F267D"/>
    <w:rsid w:val="001F3EDF"/>
    <w:rsid w:val="001F42A5"/>
    <w:rsid w:val="001F5F4D"/>
    <w:rsid w:val="001F7B9D"/>
    <w:rsid w:val="00201C93"/>
    <w:rsid w:val="00212707"/>
    <w:rsid w:val="00217EA5"/>
    <w:rsid w:val="00220D03"/>
    <w:rsid w:val="002224B4"/>
    <w:rsid w:val="00222ED2"/>
    <w:rsid w:val="00236641"/>
    <w:rsid w:val="0024140E"/>
    <w:rsid w:val="002447EF"/>
    <w:rsid w:val="00245172"/>
    <w:rsid w:val="00245557"/>
    <w:rsid w:val="00246245"/>
    <w:rsid w:val="00246C96"/>
    <w:rsid w:val="00251550"/>
    <w:rsid w:val="00262CBB"/>
    <w:rsid w:val="0026376D"/>
    <w:rsid w:val="00263B05"/>
    <w:rsid w:val="00263F97"/>
    <w:rsid w:val="0026546D"/>
    <w:rsid w:val="0027022D"/>
    <w:rsid w:val="0027221A"/>
    <w:rsid w:val="0027508B"/>
    <w:rsid w:val="00275B61"/>
    <w:rsid w:val="00276EC8"/>
    <w:rsid w:val="002774CD"/>
    <w:rsid w:val="00280A49"/>
    <w:rsid w:val="00280FAF"/>
    <w:rsid w:val="00282656"/>
    <w:rsid w:val="00294161"/>
    <w:rsid w:val="0029432A"/>
    <w:rsid w:val="002969C1"/>
    <w:rsid w:val="00296B83"/>
    <w:rsid w:val="002A1D2A"/>
    <w:rsid w:val="002A7564"/>
    <w:rsid w:val="002B0DDB"/>
    <w:rsid w:val="002B4015"/>
    <w:rsid w:val="002B60F1"/>
    <w:rsid w:val="002B6B04"/>
    <w:rsid w:val="002B7763"/>
    <w:rsid w:val="002B78CE"/>
    <w:rsid w:val="002C2DD0"/>
    <w:rsid w:val="002C2FB6"/>
    <w:rsid w:val="002C553E"/>
    <w:rsid w:val="002D1537"/>
    <w:rsid w:val="002E119B"/>
    <w:rsid w:val="002E5FA7"/>
    <w:rsid w:val="002F1F17"/>
    <w:rsid w:val="002F3309"/>
    <w:rsid w:val="003003B3"/>
    <w:rsid w:val="003008CE"/>
    <w:rsid w:val="003009B7"/>
    <w:rsid w:val="00300E56"/>
    <w:rsid w:val="0030152C"/>
    <w:rsid w:val="0030469C"/>
    <w:rsid w:val="00305462"/>
    <w:rsid w:val="00313523"/>
    <w:rsid w:val="00321CA6"/>
    <w:rsid w:val="00323763"/>
    <w:rsid w:val="00323C5F"/>
    <w:rsid w:val="00330132"/>
    <w:rsid w:val="00333550"/>
    <w:rsid w:val="00334C09"/>
    <w:rsid w:val="0033725B"/>
    <w:rsid w:val="00342EF2"/>
    <w:rsid w:val="00351FAC"/>
    <w:rsid w:val="00356D6F"/>
    <w:rsid w:val="00362509"/>
    <w:rsid w:val="003723D4"/>
    <w:rsid w:val="00373631"/>
    <w:rsid w:val="00373B52"/>
    <w:rsid w:val="003805E2"/>
    <w:rsid w:val="00381905"/>
    <w:rsid w:val="00384CC8"/>
    <w:rsid w:val="003871FD"/>
    <w:rsid w:val="0039184C"/>
    <w:rsid w:val="0039199B"/>
    <w:rsid w:val="003A1E30"/>
    <w:rsid w:val="003A2829"/>
    <w:rsid w:val="003A6FC6"/>
    <w:rsid w:val="003A7D1C"/>
    <w:rsid w:val="003B2A19"/>
    <w:rsid w:val="003B304B"/>
    <w:rsid w:val="003B3146"/>
    <w:rsid w:val="003C08CB"/>
    <w:rsid w:val="003C18E3"/>
    <w:rsid w:val="003C562D"/>
    <w:rsid w:val="003D0BD5"/>
    <w:rsid w:val="003D1C53"/>
    <w:rsid w:val="003D3FE0"/>
    <w:rsid w:val="003D4771"/>
    <w:rsid w:val="003E3CBB"/>
    <w:rsid w:val="003E5561"/>
    <w:rsid w:val="003F015E"/>
    <w:rsid w:val="003F6CB5"/>
    <w:rsid w:val="00400414"/>
    <w:rsid w:val="00402E76"/>
    <w:rsid w:val="00410AC5"/>
    <w:rsid w:val="004135B5"/>
    <w:rsid w:val="0041446B"/>
    <w:rsid w:val="00420047"/>
    <w:rsid w:val="00421829"/>
    <w:rsid w:val="00425E04"/>
    <w:rsid w:val="0042688E"/>
    <w:rsid w:val="0044071E"/>
    <w:rsid w:val="0044329C"/>
    <w:rsid w:val="00446C61"/>
    <w:rsid w:val="00451AED"/>
    <w:rsid w:val="00453E24"/>
    <w:rsid w:val="00456A52"/>
    <w:rsid w:val="00457456"/>
    <w:rsid w:val="004577FE"/>
    <w:rsid w:val="00457B9C"/>
    <w:rsid w:val="0046164A"/>
    <w:rsid w:val="004628D2"/>
    <w:rsid w:val="00462DCD"/>
    <w:rsid w:val="004648AD"/>
    <w:rsid w:val="00464905"/>
    <w:rsid w:val="004703A9"/>
    <w:rsid w:val="00470858"/>
    <w:rsid w:val="00470B1C"/>
    <w:rsid w:val="004760DE"/>
    <w:rsid w:val="004763D7"/>
    <w:rsid w:val="00486F43"/>
    <w:rsid w:val="0049081E"/>
    <w:rsid w:val="00495E5D"/>
    <w:rsid w:val="004A004E"/>
    <w:rsid w:val="004A0695"/>
    <w:rsid w:val="004A24CF"/>
    <w:rsid w:val="004A3462"/>
    <w:rsid w:val="004A40E4"/>
    <w:rsid w:val="004B4F9A"/>
    <w:rsid w:val="004C3D1D"/>
    <w:rsid w:val="004C3D84"/>
    <w:rsid w:val="004C45FF"/>
    <w:rsid w:val="004C50AA"/>
    <w:rsid w:val="004C6C15"/>
    <w:rsid w:val="004C7913"/>
    <w:rsid w:val="004D3968"/>
    <w:rsid w:val="004D5864"/>
    <w:rsid w:val="004D5D38"/>
    <w:rsid w:val="004E0DD2"/>
    <w:rsid w:val="004E4DD6"/>
    <w:rsid w:val="004F26F8"/>
    <w:rsid w:val="004F59A0"/>
    <w:rsid w:val="004F5E36"/>
    <w:rsid w:val="005020A2"/>
    <w:rsid w:val="00502B60"/>
    <w:rsid w:val="00502D5F"/>
    <w:rsid w:val="00503B94"/>
    <w:rsid w:val="00505FB8"/>
    <w:rsid w:val="00507B47"/>
    <w:rsid w:val="00507BEF"/>
    <w:rsid w:val="00507CC9"/>
    <w:rsid w:val="00510672"/>
    <w:rsid w:val="005107CE"/>
    <w:rsid w:val="0051101C"/>
    <w:rsid w:val="005119A5"/>
    <w:rsid w:val="00516AAC"/>
    <w:rsid w:val="00522E2E"/>
    <w:rsid w:val="00522E73"/>
    <w:rsid w:val="00524D04"/>
    <w:rsid w:val="0052725F"/>
    <w:rsid w:val="005278B7"/>
    <w:rsid w:val="00532016"/>
    <w:rsid w:val="0053450B"/>
    <w:rsid w:val="005346C8"/>
    <w:rsid w:val="00543E7D"/>
    <w:rsid w:val="0054584E"/>
    <w:rsid w:val="00547A68"/>
    <w:rsid w:val="0055168A"/>
    <w:rsid w:val="005531C9"/>
    <w:rsid w:val="00564EE6"/>
    <w:rsid w:val="00570106"/>
    <w:rsid w:val="00570C43"/>
    <w:rsid w:val="00575C78"/>
    <w:rsid w:val="00587747"/>
    <w:rsid w:val="00591CFB"/>
    <w:rsid w:val="0059663C"/>
    <w:rsid w:val="00596981"/>
    <w:rsid w:val="00596C5A"/>
    <w:rsid w:val="005A5532"/>
    <w:rsid w:val="005A763C"/>
    <w:rsid w:val="005B00C8"/>
    <w:rsid w:val="005B2110"/>
    <w:rsid w:val="005B61E6"/>
    <w:rsid w:val="005C4FE1"/>
    <w:rsid w:val="005C6A31"/>
    <w:rsid w:val="005C767F"/>
    <w:rsid w:val="005C77E1"/>
    <w:rsid w:val="005D0ED8"/>
    <w:rsid w:val="005D2D92"/>
    <w:rsid w:val="005D668A"/>
    <w:rsid w:val="005D6A2F"/>
    <w:rsid w:val="005E1A82"/>
    <w:rsid w:val="005E7748"/>
    <w:rsid w:val="005E794C"/>
    <w:rsid w:val="005F0A28"/>
    <w:rsid w:val="005F0E5E"/>
    <w:rsid w:val="005F4D21"/>
    <w:rsid w:val="005F6312"/>
    <w:rsid w:val="005F6F7D"/>
    <w:rsid w:val="00600535"/>
    <w:rsid w:val="00607786"/>
    <w:rsid w:val="00607FF6"/>
    <w:rsid w:val="00610CD6"/>
    <w:rsid w:val="00620136"/>
    <w:rsid w:val="00620DEE"/>
    <w:rsid w:val="00621F92"/>
    <w:rsid w:val="0062280A"/>
    <w:rsid w:val="00625639"/>
    <w:rsid w:val="006267DC"/>
    <w:rsid w:val="0062753C"/>
    <w:rsid w:val="00630BF7"/>
    <w:rsid w:val="00631B33"/>
    <w:rsid w:val="00632E58"/>
    <w:rsid w:val="0064184D"/>
    <w:rsid w:val="006422CC"/>
    <w:rsid w:val="00651089"/>
    <w:rsid w:val="00660E3E"/>
    <w:rsid w:val="00662E74"/>
    <w:rsid w:val="00674B0C"/>
    <w:rsid w:val="00677456"/>
    <w:rsid w:val="00680C23"/>
    <w:rsid w:val="00683029"/>
    <w:rsid w:val="006836D2"/>
    <w:rsid w:val="00683EED"/>
    <w:rsid w:val="0068474A"/>
    <w:rsid w:val="006856F2"/>
    <w:rsid w:val="00693766"/>
    <w:rsid w:val="00697576"/>
    <w:rsid w:val="006A1A82"/>
    <w:rsid w:val="006A3281"/>
    <w:rsid w:val="006B4888"/>
    <w:rsid w:val="006C2518"/>
    <w:rsid w:val="006C2E45"/>
    <w:rsid w:val="006C359C"/>
    <w:rsid w:val="006C43D7"/>
    <w:rsid w:val="006C5579"/>
    <w:rsid w:val="006D0155"/>
    <w:rsid w:val="006D32C7"/>
    <w:rsid w:val="006D6CC7"/>
    <w:rsid w:val="006D6E8B"/>
    <w:rsid w:val="006D7232"/>
    <w:rsid w:val="006E737D"/>
    <w:rsid w:val="006F2B0F"/>
    <w:rsid w:val="007036B2"/>
    <w:rsid w:val="00705282"/>
    <w:rsid w:val="0070577E"/>
    <w:rsid w:val="00706363"/>
    <w:rsid w:val="0071122A"/>
    <w:rsid w:val="00712A2A"/>
    <w:rsid w:val="0071338F"/>
    <w:rsid w:val="00713973"/>
    <w:rsid w:val="007177FE"/>
    <w:rsid w:val="00717BE5"/>
    <w:rsid w:val="00720A24"/>
    <w:rsid w:val="00726EF6"/>
    <w:rsid w:val="00730C5D"/>
    <w:rsid w:val="00732386"/>
    <w:rsid w:val="0073514D"/>
    <w:rsid w:val="00737164"/>
    <w:rsid w:val="007447F3"/>
    <w:rsid w:val="00745C2B"/>
    <w:rsid w:val="00747EE9"/>
    <w:rsid w:val="0075137B"/>
    <w:rsid w:val="0075499F"/>
    <w:rsid w:val="007661C8"/>
    <w:rsid w:val="00766331"/>
    <w:rsid w:val="0077098D"/>
    <w:rsid w:val="007746C7"/>
    <w:rsid w:val="00775F25"/>
    <w:rsid w:val="0077799C"/>
    <w:rsid w:val="007878E5"/>
    <w:rsid w:val="007931FA"/>
    <w:rsid w:val="00796B7C"/>
    <w:rsid w:val="007A4861"/>
    <w:rsid w:val="007A7BBA"/>
    <w:rsid w:val="007B0C50"/>
    <w:rsid w:val="007B48F9"/>
    <w:rsid w:val="007B6314"/>
    <w:rsid w:val="007C1A43"/>
    <w:rsid w:val="007C652F"/>
    <w:rsid w:val="007D0951"/>
    <w:rsid w:val="007D341C"/>
    <w:rsid w:val="007E0445"/>
    <w:rsid w:val="007E2879"/>
    <w:rsid w:val="0080013E"/>
    <w:rsid w:val="00803424"/>
    <w:rsid w:val="0080472A"/>
    <w:rsid w:val="00813288"/>
    <w:rsid w:val="008139D1"/>
    <w:rsid w:val="00814074"/>
    <w:rsid w:val="008168FC"/>
    <w:rsid w:val="00817476"/>
    <w:rsid w:val="00823FDE"/>
    <w:rsid w:val="00826223"/>
    <w:rsid w:val="00830996"/>
    <w:rsid w:val="008345F1"/>
    <w:rsid w:val="0084061A"/>
    <w:rsid w:val="0084141A"/>
    <w:rsid w:val="00845206"/>
    <w:rsid w:val="00846AB1"/>
    <w:rsid w:val="00851D2A"/>
    <w:rsid w:val="00862122"/>
    <w:rsid w:val="00863A37"/>
    <w:rsid w:val="00865B07"/>
    <w:rsid w:val="008664E5"/>
    <w:rsid w:val="008667EA"/>
    <w:rsid w:val="008674A5"/>
    <w:rsid w:val="0087637F"/>
    <w:rsid w:val="00880112"/>
    <w:rsid w:val="008848B2"/>
    <w:rsid w:val="00891865"/>
    <w:rsid w:val="00892AD5"/>
    <w:rsid w:val="008A1512"/>
    <w:rsid w:val="008A27A4"/>
    <w:rsid w:val="008A2F2E"/>
    <w:rsid w:val="008A35E7"/>
    <w:rsid w:val="008A3E9F"/>
    <w:rsid w:val="008B5CE2"/>
    <w:rsid w:val="008B7C03"/>
    <w:rsid w:val="008C0AA0"/>
    <w:rsid w:val="008C43F0"/>
    <w:rsid w:val="008D32B9"/>
    <w:rsid w:val="008D3755"/>
    <w:rsid w:val="008D433B"/>
    <w:rsid w:val="008D4A16"/>
    <w:rsid w:val="008D51A6"/>
    <w:rsid w:val="008D51B6"/>
    <w:rsid w:val="008E1687"/>
    <w:rsid w:val="008E4374"/>
    <w:rsid w:val="008E566E"/>
    <w:rsid w:val="008E783A"/>
    <w:rsid w:val="008F0EE5"/>
    <w:rsid w:val="008F4609"/>
    <w:rsid w:val="0090161A"/>
    <w:rsid w:val="00901EB6"/>
    <w:rsid w:val="00904C62"/>
    <w:rsid w:val="00920570"/>
    <w:rsid w:val="00922BA8"/>
    <w:rsid w:val="00924DAC"/>
    <w:rsid w:val="00927058"/>
    <w:rsid w:val="00935CF5"/>
    <w:rsid w:val="00940D76"/>
    <w:rsid w:val="009417E4"/>
    <w:rsid w:val="009422B6"/>
    <w:rsid w:val="00942750"/>
    <w:rsid w:val="009450CE"/>
    <w:rsid w:val="009459BB"/>
    <w:rsid w:val="00945DBE"/>
    <w:rsid w:val="00947179"/>
    <w:rsid w:val="00950A46"/>
    <w:rsid w:val="0095164B"/>
    <w:rsid w:val="00951970"/>
    <w:rsid w:val="00954090"/>
    <w:rsid w:val="009565E3"/>
    <w:rsid w:val="009573E7"/>
    <w:rsid w:val="00962314"/>
    <w:rsid w:val="00963E05"/>
    <w:rsid w:val="009643A4"/>
    <w:rsid w:val="00964A45"/>
    <w:rsid w:val="00965B5E"/>
    <w:rsid w:val="00967843"/>
    <w:rsid w:val="00967D54"/>
    <w:rsid w:val="00971028"/>
    <w:rsid w:val="00975291"/>
    <w:rsid w:val="00985A6D"/>
    <w:rsid w:val="0099191A"/>
    <w:rsid w:val="00991DF1"/>
    <w:rsid w:val="00993B84"/>
    <w:rsid w:val="00996483"/>
    <w:rsid w:val="00996F5A"/>
    <w:rsid w:val="009B041A"/>
    <w:rsid w:val="009B0DEB"/>
    <w:rsid w:val="009B23A3"/>
    <w:rsid w:val="009B42D7"/>
    <w:rsid w:val="009C01B3"/>
    <w:rsid w:val="009C37C3"/>
    <w:rsid w:val="009C6D16"/>
    <w:rsid w:val="009C7101"/>
    <w:rsid w:val="009C7C86"/>
    <w:rsid w:val="009D1566"/>
    <w:rsid w:val="009D2FF7"/>
    <w:rsid w:val="009D57AC"/>
    <w:rsid w:val="009E12DE"/>
    <w:rsid w:val="009E1551"/>
    <w:rsid w:val="009E62A0"/>
    <w:rsid w:val="009E7884"/>
    <w:rsid w:val="009E788A"/>
    <w:rsid w:val="009F0D9B"/>
    <w:rsid w:val="009F0E08"/>
    <w:rsid w:val="009F20BD"/>
    <w:rsid w:val="009F4679"/>
    <w:rsid w:val="009F4D6C"/>
    <w:rsid w:val="009F5B73"/>
    <w:rsid w:val="009F6751"/>
    <w:rsid w:val="009F7DED"/>
    <w:rsid w:val="00A00040"/>
    <w:rsid w:val="00A008D1"/>
    <w:rsid w:val="00A06CA1"/>
    <w:rsid w:val="00A13FAD"/>
    <w:rsid w:val="00A16031"/>
    <w:rsid w:val="00A1763D"/>
    <w:rsid w:val="00A17CEC"/>
    <w:rsid w:val="00A27EF0"/>
    <w:rsid w:val="00A307CB"/>
    <w:rsid w:val="00A33E3E"/>
    <w:rsid w:val="00A35A0B"/>
    <w:rsid w:val="00A37BA5"/>
    <w:rsid w:val="00A40FDE"/>
    <w:rsid w:val="00A42361"/>
    <w:rsid w:val="00A424A3"/>
    <w:rsid w:val="00A50B20"/>
    <w:rsid w:val="00A51390"/>
    <w:rsid w:val="00A5405C"/>
    <w:rsid w:val="00A6067D"/>
    <w:rsid w:val="00A60D13"/>
    <w:rsid w:val="00A71AC6"/>
    <w:rsid w:val="00A7223D"/>
    <w:rsid w:val="00A72745"/>
    <w:rsid w:val="00A72E29"/>
    <w:rsid w:val="00A72FC8"/>
    <w:rsid w:val="00A76EFC"/>
    <w:rsid w:val="00A80D57"/>
    <w:rsid w:val="00A85CAC"/>
    <w:rsid w:val="00A868A5"/>
    <w:rsid w:val="00A87D50"/>
    <w:rsid w:val="00A91010"/>
    <w:rsid w:val="00A923EF"/>
    <w:rsid w:val="00A953BE"/>
    <w:rsid w:val="00A97F29"/>
    <w:rsid w:val="00AA5E8B"/>
    <w:rsid w:val="00AA702E"/>
    <w:rsid w:val="00AA7D26"/>
    <w:rsid w:val="00AB02C7"/>
    <w:rsid w:val="00AB08D0"/>
    <w:rsid w:val="00AB0964"/>
    <w:rsid w:val="00AB5011"/>
    <w:rsid w:val="00AB71DB"/>
    <w:rsid w:val="00AC14B4"/>
    <w:rsid w:val="00AC7368"/>
    <w:rsid w:val="00AD097F"/>
    <w:rsid w:val="00AD16B9"/>
    <w:rsid w:val="00AD5226"/>
    <w:rsid w:val="00AD6354"/>
    <w:rsid w:val="00AE377D"/>
    <w:rsid w:val="00AE40AE"/>
    <w:rsid w:val="00AE7034"/>
    <w:rsid w:val="00AF0EBA"/>
    <w:rsid w:val="00B02C8A"/>
    <w:rsid w:val="00B0455C"/>
    <w:rsid w:val="00B17FBD"/>
    <w:rsid w:val="00B24F77"/>
    <w:rsid w:val="00B315A6"/>
    <w:rsid w:val="00B31813"/>
    <w:rsid w:val="00B33365"/>
    <w:rsid w:val="00B42086"/>
    <w:rsid w:val="00B42BC9"/>
    <w:rsid w:val="00B53A68"/>
    <w:rsid w:val="00B53E24"/>
    <w:rsid w:val="00B564BB"/>
    <w:rsid w:val="00B566C4"/>
    <w:rsid w:val="00B573BE"/>
    <w:rsid w:val="00B57B36"/>
    <w:rsid w:val="00B57E6F"/>
    <w:rsid w:val="00B6513D"/>
    <w:rsid w:val="00B7664B"/>
    <w:rsid w:val="00B76E78"/>
    <w:rsid w:val="00B77C23"/>
    <w:rsid w:val="00B85AD8"/>
    <w:rsid w:val="00B8686D"/>
    <w:rsid w:val="00B927EA"/>
    <w:rsid w:val="00B93F69"/>
    <w:rsid w:val="00B94DF7"/>
    <w:rsid w:val="00BA09AF"/>
    <w:rsid w:val="00BA4CD1"/>
    <w:rsid w:val="00BA7874"/>
    <w:rsid w:val="00BB0F38"/>
    <w:rsid w:val="00BB1DDC"/>
    <w:rsid w:val="00BC30C9"/>
    <w:rsid w:val="00BC66FA"/>
    <w:rsid w:val="00BC7AF4"/>
    <w:rsid w:val="00BD077D"/>
    <w:rsid w:val="00BD3D5F"/>
    <w:rsid w:val="00BD7AA9"/>
    <w:rsid w:val="00BE05D7"/>
    <w:rsid w:val="00BE373C"/>
    <w:rsid w:val="00BE3E58"/>
    <w:rsid w:val="00BF4AC7"/>
    <w:rsid w:val="00BF6BEE"/>
    <w:rsid w:val="00BF741F"/>
    <w:rsid w:val="00C005E7"/>
    <w:rsid w:val="00C01616"/>
    <w:rsid w:val="00C0162B"/>
    <w:rsid w:val="00C068ED"/>
    <w:rsid w:val="00C106E1"/>
    <w:rsid w:val="00C13C1C"/>
    <w:rsid w:val="00C2143D"/>
    <w:rsid w:val="00C22933"/>
    <w:rsid w:val="00C22E0C"/>
    <w:rsid w:val="00C24884"/>
    <w:rsid w:val="00C33D49"/>
    <w:rsid w:val="00C345B1"/>
    <w:rsid w:val="00C35568"/>
    <w:rsid w:val="00C36115"/>
    <w:rsid w:val="00C40142"/>
    <w:rsid w:val="00C43C28"/>
    <w:rsid w:val="00C52C3C"/>
    <w:rsid w:val="00C57182"/>
    <w:rsid w:val="00C57184"/>
    <w:rsid w:val="00C57863"/>
    <w:rsid w:val="00C640AF"/>
    <w:rsid w:val="00C655FD"/>
    <w:rsid w:val="00C73D56"/>
    <w:rsid w:val="00C75407"/>
    <w:rsid w:val="00C870A8"/>
    <w:rsid w:val="00C8722F"/>
    <w:rsid w:val="00C8740B"/>
    <w:rsid w:val="00C91234"/>
    <w:rsid w:val="00C93739"/>
    <w:rsid w:val="00C94434"/>
    <w:rsid w:val="00C95B9B"/>
    <w:rsid w:val="00CA0D4A"/>
    <w:rsid w:val="00CA0D75"/>
    <w:rsid w:val="00CA1C95"/>
    <w:rsid w:val="00CA3701"/>
    <w:rsid w:val="00CA5A74"/>
    <w:rsid w:val="00CA5A9C"/>
    <w:rsid w:val="00CB221B"/>
    <w:rsid w:val="00CB27C3"/>
    <w:rsid w:val="00CC42B3"/>
    <w:rsid w:val="00CC4C20"/>
    <w:rsid w:val="00CD3517"/>
    <w:rsid w:val="00CD5FE2"/>
    <w:rsid w:val="00CD6704"/>
    <w:rsid w:val="00CE7C68"/>
    <w:rsid w:val="00D01587"/>
    <w:rsid w:val="00D02B4C"/>
    <w:rsid w:val="00D040C4"/>
    <w:rsid w:val="00D07A6B"/>
    <w:rsid w:val="00D110DE"/>
    <w:rsid w:val="00D20AD1"/>
    <w:rsid w:val="00D22250"/>
    <w:rsid w:val="00D247C6"/>
    <w:rsid w:val="00D2493D"/>
    <w:rsid w:val="00D269A4"/>
    <w:rsid w:val="00D27FB0"/>
    <w:rsid w:val="00D37C47"/>
    <w:rsid w:val="00D44309"/>
    <w:rsid w:val="00D44ED5"/>
    <w:rsid w:val="00D46B7E"/>
    <w:rsid w:val="00D52F18"/>
    <w:rsid w:val="00D56B7A"/>
    <w:rsid w:val="00D5758A"/>
    <w:rsid w:val="00D57B1C"/>
    <w:rsid w:val="00D57C84"/>
    <w:rsid w:val="00D6057D"/>
    <w:rsid w:val="00D64155"/>
    <w:rsid w:val="00D648EC"/>
    <w:rsid w:val="00D659F0"/>
    <w:rsid w:val="00D66608"/>
    <w:rsid w:val="00D71640"/>
    <w:rsid w:val="00D71A7B"/>
    <w:rsid w:val="00D71E73"/>
    <w:rsid w:val="00D73B0A"/>
    <w:rsid w:val="00D83090"/>
    <w:rsid w:val="00D836C5"/>
    <w:rsid w:val="00D84576"/>
    <w:rsid w:val="00D8534D"/>
    <w:rsid w:val="00D87772"/>
    <w:rsid w:val="00D9747E"/>
    <w:rsid w:val="00D97964"/>
    <w:rsid w:val="00DA0705"/>
    <w:rsid w:val="00DA1399"/>
    <w:rsid w:val="00DA1DC3"/>
    <w:rsid w:val="00DA24C6"/>
    <w:rsid w:val="00DA4D7B"/>
    <w:rsid w:val="00DA6220"/>
    <w:rsid w:val="00DB299D"/>
    <w:rsid w:val="00DB661C"/>
    <w:rsid w:val="00DD271C"/>
    <w:rsid w:val="00DE264A"/>
    <w:rsid w:val="00DE7EA4"/>
    <w:rsid w:val="00DF0A0D"/>
    <w:rsid w:val="00DF1C31"/>
    <w:rsid w:val="00DF5072"/>
    <w:rsid w:val="00E01D93"/>
    <w:rsid w:val="00E02D18"/>
    <w:rsid w:val="00E041BD"/>
    <w:rsid w:val="00E041E7"/>
    <w:rsid w:val="00E11107"/>
    <w:rsid w:val="00E11D64"/>
    <w:rsid w:val="00E1477F"/>
    <w:rsid w:val="00E20FBB"/>
    <w:rsid w:val="00E213FC"/>
    <w:rsid w:val="00E224E6"/>
    <w:rsid w:val="00E23CA1"/>
    <w:rsid w:val="00E26136"/>
    <w:rsid w:val="00E27483"/>
    <w:rsid w:val="00E31A4F"/>
    <w:rsid w:val="00E31B2F"/>
    <w:rsid w:val="00E33087"/>
    <w:rsid w:val="00E33D27"/>
    <w:rsid w:val="00E33DD7"/>
    <w:rsid w:val="00E371DD"/>
    <w:rsid w:val="00E409A8"/>
    <w:rsid w:val="00E50C12"/>
    <w:rsid w:val="00E61EF5"/>
    <w:rsid w:val="00E62EB5"/>
    <w:rsid w:val="00E65B91"/>
    <w:rsid w:val="00E7209D"/>
    <w:rsid w:val="00E724AB"/>
    <w:rsid w:val="00E72EAD"/>
    <w:rsid w:val="00E77223"/>
    <w:rsid w:val="00E83717"/>
    <w:rsid w:val="00E8528B"/>
    <w:rsid w:val="00E8561A"/>
    <w:rsid w:val="00E85B94"/>
    <w:rsid w:val="00E85D84"/>
    <w:rsid w:val="00E922BF"/>
    <w:rsid w:val="00E978D0"/>
    <w:rsid w:val="00EA306D"/>
    <w:rsid w:val="00EA418C"/>
    <w:rsid w:val="00EA4613"/>
    <w:rsid w:val="00EA7F91"/>
    <w:rsid w:val="00EB1523"/>
    <w:rsid w:val="00EC0E49"/>
    <w:rsid w:val="00EC101F"/>
    <w:rsid w:val="00EC1C44"/>
    <w:rsid w:val="00EC1D9F"/>
    <w:rsid w:val="00EC224D"/>
    <w:rsid w:val="00EC68CC"/>
    <w:rsid w:val="00EC7D07"/>
    <w:rsid w:val="00ED06E8"/>
    <w:rsid w:val="00ED70E7"/>
    <w:rsid w:val="00EE0131"/>
    <w:rsid w:val="00EE17B0"/>
    <w:rsid w:val="00EE3FCA"/>
    <w:rsid w:val="00EE537E"/>
    <w:rsid w:val="00EF06D9"/>
    <w:rsid w:val="00F01320"/>
    <w:rsid w:val="00F07E75"/>
    <w:rsid w:val="00F118E3"/>
    <w:rsid w:val="00F12A93"/>
    <w:rsid w:val="00F20CB8"/>
    <w:rsid w:val="00F21ECE"/>
    <w:rsid w:val="00F2383A"/>
    <w:rsid w:val="00F23C03"/>
    <w:rsid w:val="00F3049E"/>
    <w:rsid w:val="00F30C64"/>
    <w:rsid w:val="00F32BA2"/>
    <w:rsid w:val="00F32CDB"/>
    <w:rsid w:val="00F36FA0"/>
    <w:rsid w:val="00F44A25"/>
    <w:rsid w:val="00F565FE"/>
    <w:rsid w:val="00F63A70"/>
    <w:rsid w:val="00F63D8C"/>
    <w:rsid w:val="00F64C09"/>
    <w:rsid w:val="00F71694"/>
    <w:rsid w:val="00F7534E"/>
    <w:rsid w:val="00F90FEA"/>
    <w:rsid w:val="00F92479"/>
    <w:rsid w:val="00F93EDF"/>
    <w:rsid w:val="00F96080"/>
    <w:rsid w:val="00F96D8B"/>
    <w:rsid w:val="00F96F36"/>
    <w:rsid w:val="00FA0573"/>
    <w:rsid w:val="00FA1802"/>
    <w:rsid w:val="00FA21D0"/>
    <w:rsid w:val="00FA3FA3"/>
    <w:rsid w:val="00FA5F5F"/>
    <w:rsid w:val="00FA748D"/>
    <w:rsid w:val="00FB15EB"/>
    <w:rsid w:val="00FB2D84"/>
    <w:rsid w:val="00FB730C"/>
    <w:rsid w:val="00FC0EF4"/>
    <w:rsid w:val="00FC2695"/>
    <w:rsid w:val="00FC39B6"/>
    <w:rsid w:val="00FC3E03"/>
    <w:rsid w:val="00FC3FC1"/>
    <w:rsid w:val="00FD4ACD"/>
    <w:rsid w:val="00FE3909"/>
    <w:rsid w:val="00FE3DD6"/>
    <w:rsid w:val="00FE647B"/>
    <w:rsid w:val="00FF3A8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75C78"/>
    <w:pPr>
      <w:keepNext/>
      <w:numPr>
        <w:ilvl w:val="2"/>
        <w:numId w:val="1"/>
      </w:numPr>
      <w:suppressAutoHyphens/>
      <w:spacing w:before="120" w:after="120" w:line="240" w:lineRule="auto"/>
    </w:pPr>
    <w:rPr>
      <w:rFonts w:ascii="Arial" w:eastAsia="Times New Roman" w:hAnsi="Arial" w:cs="Arial"/>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75C78"/>
    <w:rPr>
      <w:rFonts w:ascii="Arial" w:eastAsia="Times New Roman" w:hAnsi="Arial" w:cs="Arial"/>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styleId="Menzionenonrisolta">
    <w:name w:val="Unresolved Mention"/>
    <w:basedOn w:val="Carpredefinitoparagrafo"/>
    <w:uiPriority w:val="99"/>
    <w:semiHidden/>
    <w:unhideWhenUsed/>
    <w:rsid w:val="00A6067D"/>
    <w:rPr>
      <w:color w:val="605E5C"/>
      <w:shd w:val="clear" w:color="auto" w:fill="E1DFDD"/>
    </w:rPr>
  </w:style>
  <w:style w:type="character" w:styleId="Testosegnaposto">
    <w:name w:val="Placeholder Text"/>
    <w:basedOn w:val="Carpredefinitoparagrafo"/>
    <w:uiPriority w:val="99"/>
    <w:semiHidden/>
    <w:rsid w:val="005F4D21"/>
    <w:rPr>
      <w:color w:val="808080"/>
    </w:rPr>
  </w:style>
  <w:style w:type="paragraph" w:styleId="Revisione">
    <w:name w:val="Revision"/>
    <w:hidden/>
    <w:uiPriority w:val="99"/>
    <w:semiHidden/>
    <w:rsid w:val="00E27483"/>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9736">
      <w:bodyDiv w:val="1"/>
      <w:marLeft w:val="0"/>
      <w:marRight w:val="0"/>
      <w:marTop w:val="0"/>
      <w:marBottom w:val="0"/>
      <w:divBdr>
        <w:top w:val="none" w:sz="0" w:space="0" w:color="auto"/>
        <w:left w:val="none" w:sz="0" w:space="0" w:color="auto"/>
        <w:bottom w:val="none" w:sz="0" w:space="0" w:color="auto"/>
        <w:right w:val="none" w:sz="0" w:space="0" w:color="auto"/>
      </w:divBdr>
    </w:div>
    <w:div w:id="90011615">
      <w:bodyDiv w:val="1"/>
      <w:marLeft w:val="0"/>
      <w:marRight w:val="0"/>
      <w:marTop w:val="0"/>
      <w:marBottom w:val="0"/>
      <w:divBdr>
        <w:top w:val="none" w:sz="0" w:space="0" w:color="auto"/>
        <w:left w:val="none" w:sz="0" w:space="0" w:color="auto"/>
        <w:bottom w:val="none" w:sz="0" w:space="0" w:color="auto"/>
        <w:right w:val="none" w:sz="0" w:space="0" w:color="auto"/>
      </w:divBdr>
    </w:div>
    <w:div w:id="112480580">
      <w:bodyDiv w:val="1"/>
      <w:marLeft w:val="0"/>
      <w:marRight w:val="0"/>
      <w:marTop w:val="0"/>
      <w:marBottom w:val="0"/>
      <w:divBdr>
        <w:top w:val="none" w:sz="0" w:space="0" w:color="auto"/>
        <w:left w:val="none" w:sz="0" w:space="0" w:color="auto"/>
        <w:bottom w:val="none" w:sz="0" w:space="0" w:color="auto"/>
        <w:right w:val="none" w:sz="0" w:space="0" w:color="auto"/>
      </w:divBdr>
    </w:div>
    <w:div w:id="114103847">
      <w:bodyDiv w:val="1"/>
      <w:marLeft w:val="0"/>
      <w:marRight w:val="0"/>
      <w:marTop w:val="0"/>
      <w:marBottom w:val="0"/>
      <w:divBdr>
        <w:top w:val="none" w:sz="0" w:space="0" w:color="auto"/>
        <w:left w:val="none" w:sz="0" w:space="0" w:color="auto"/>
        <w:bottom w:val="none" w:sz="0" w:space="0" w:color="auto"/>
        <w:right w:val="none" w:sz="0" w:space="0" w:color="auto"/>
      </w:divBdr>
    </w:div>
    <w:div w:id="143199816">
      <w:bodyDiv w:val="1"/>
      <w:marLeft w:val="0"/>
      <w:marRight w:val="0"/>
      <w:marTop w:val="0"/>
      <w:marBottom w:val="0"/>
      <w:divBdr>
        <w:top w:val="none" w:sz="0" w:space="0" w:color="auto"/>
        <w:left w:val="none" w:sz="0" w:space="0" w:color="auto"/>
        <w:bottom w:val="none" w:sz="0" w:space="0" w:color="auto"/>
        <w:right w:val="none" w:sz="0" w:space="0" w:color="auto"/>
      </w:divBdr>
    </w:div>
    <w:div w:id="146557214">
      <w:bodyDiv w:val="1"/>
      <w:marLeft w:val="0"/>
      <w:marRight w:val="0"/>
      <w:marTop w:val="0"/>
      <w:marBottom w:val="0"/>
      <w:divBdr>
        <w:top w:val="none" w:sz="0" w:space="0" w:color="auto"/>
        <w:left w:val="none" w:sz="0" w:space="0" w:color="auto"/>
        <w:bottom w:val="none" w:sz="0" w:space="0" w:color="auto"/>
        <w:right w:val="none" w:sz="0" w:space="0" w:color="auto"/>
      </w:divBdr>
      <w:divsChild>
        <w:div w:id="1415325559">
          <w:marLeft w:val="0"/>
          <w:marRight w:val="0"/>
          <w:marTop w:val="0"/>
          <w:marBottom w:val="0"/>
          <w:divBdr>
            <w:top w:val="none" w:sz="0" w:space="0" w:color="auto"/>
            <w:left w:val="none" w:sz="0" w:space="0" w:color="auto"/>
            <w:bottom w:val="none" w:sz="0" w:space="0" w:color="auto"/>
            <w:right w:val="none" w:sz="0" w:space="0" w:color="auto"/>
          </w:divBdr>
          <w:divsChild>
            <w:div w:id="2132740482">
              <w:marLeft w:val="0"/>
              <w:marRight w:val="0"/>
              <w:marTop w:val="0"/>
              <w:marBottom w:val="0"/>
              <w:divBdr>
                <w:top w:val="none" w:sz="0" w:space="0" w:color="auto"/>
                <w:left w:val="none" w:sz="0" w:space="0" w:color="auto"/>
                <w:bottom w:val="none" w:sz="0" w:space="0" w:color="auto"/>
                <w:right w:val="none" w:sz="0" w:space="0" w:color="auto"/>
              </w:divBdr>
              <w:divsChild>
                <w:div w:id="1529904724">
                  <w:marLeft w:val="0"/>
                  <w:marRight w:val="0"/>
                  <w:marTop w:val="0"/>
                  <w:marBottom w:val="0"/>
                  <w:divBdr>
                    <w:top w:val="none" w:sz="0" w:space="0" w:color="auto"/>
                    <w:left w:val="none" w:sz="0" w:space="0" w:color="auto"/>
                    <w:bottom w:val="none" w:sz="0" w:space="0" w:color="auto"/>
                    <w:right w:val="none" w:sz="0" w:space="0" w:color="auto"/>
                  </w:divBdr>
                  <w:divsChild>
                    <w:div w:id="477846320">
                      <w:marLeft w:val="0"/>
                      <w:marRight w:val="0"/>
                      <w:marTop w:val="0"/>
                      <w:marBottom w:val="0"/>
                      <w:divBdr>
                        <w:top w:val="none" w:sz="0" w:space="0" w:color="auto"/>
                        <w:left w:val="none" w:sz="0" w:space="0" w:color="auto"/>
                        <w:bottom w:val="none" w:sz="0" w:space="0" w:color="auto"/>
                        <w:right w:val="none" w:sz="0" w:space="0" w:color="auto"/>
                      </w:divBdr>
                      <w:divsChild>
                        <w:div w:id="2010912627">
                          <w:marLeft w:val="0"/>
                          <w:marRight w:val="0"/>
                          <w:marTop w:val="0"/>
                          <w:marBottom w:val="0"/>
                          <w:divBdr>
                            <w:top w:val="none" w:sz="0" w:space="0" w:color="auto"/>
                            <w:left w:val="none" w:sz="0" w:space="0" w:color="auto"/>
                            <w:bottom w:val="none" w:sz="0" w:space="0" w:color="auto"/>
                            <w:right w:val="none" w:sz="0" w:space="0" w:color="auto"/>
                          </w:divBdr>
                          <w:divsChild>
                            <w:div w:id="703795861">
                              <w:marLeft w:val="0"/>
                              <w:marRight w:val="0"/>
                              <w:marTop w:val="0"/>
                              <w:marBottom w:val="0"/>
                              <w:divBdr>
                                <w:top w:val="none" w:sz="0" w:space="0" w:color="auto"/>
                                <w:left w:val="none" w:sz="0" w:space="0" w:color="auto"/>
                                <w:bottom w:val="none" w:sz="0" w:space="0" w:color="auto"/>
                                <w:right w:val="none" w:sz="0" w:space="0" w:color="auto"/>
                              </w:divBdr>
                              <w:divsChild>
                                <w:div w:id="739059098">
                                  <w:marLeft w:val="0"/>
                                  <w:marRight w:val="0"/>
                                  <w:marTop w:val="0"/>
                                  <w:marBottom w:val="0"/>
                                  <w:divBdr>
                                    <w:top w:val="none" w:sz="0" w:space="0" w:color="auto"/>
                                    <w:left w:val="none" w:sz="0" w:space="0" w:color="auto"/>
                                    <w:bottom w:val="none" w:sz="0" w:space="0" w:color="auto"/>
                                    <w:right w:val="none" w:sz="0" w:space="0" w:color="auto"/>
                                  </w:divBdr>
                                  <w:divsChild>
                                    <w:div w:id="1998922365">
                                      <w:marLeft w:val="0"/>
                                      <w:marRight w:val="0"/>
                                      <w:marTop w:val="0"/>
                                      <w:marBottom w:val="0"/>
                                      <w:divBdr>
                                        <w:top w:val="none" w:sz="0" w:space="0" w:color="auto"/>
                                        <w:left w:val="none" w:sz="0" w:space="0" w:color="auto"/>
                                        <w:bottom w:val="none" w:sz="0" w:space="0" w:color="auto"/>
                                        <w:right w:val="none" w:sz="0" w:space="0" w:color="auto"/>
                                      </w:divBdr>
                                      <w:divsChild>
                                        <w:div w:id="1341159679">
                                          <w:marLeft w:val="0"/>
                                          <w:marRight w:val="0"/>
                                          <w:marTop w:val="0"/>
                                          <w:marBottom w:val="0"/>
                                          <w:divBdr>
                                            <w:top w:val="none" w:sz="0" w:space="0" w:color="auto"/>
                                            <w:left w:val="none" w:sz="0" w:space="0" w:color="auto"/>
                                            <w:bottom w:val="none" w:sz="0" w:space="0" w:color="auto"/>
                                            <w:right w:val="none" w:sz="0" w:space="0" w:color="auto"/>
                                          </w:divBdr>
                                          <w:divsChild>
                                            <w:div w:id="1142505125">
                                              <w:marLeft w:val="0"/>
                                              <w:marRight w:val="0"/>
                                              <w:marTop w:val="0"/>
                                              <w:marBottom w:val="0"/>
                                              <w:divBdr>
                                                <w:top w:val="none" w:sz="0" w:space="0" w:color="auto"/>
                                                <w:left w:val="none" w:sz="0" w:space="0" w:color="auto"/>
                                                <w:bottom w:val="none" w:sz="0" w:space="0" w:color="auto"/>
                                                <w:right w:val="none" w:sz="0" w:space="0" w:color="auto"/>
                                              </w:divBdr>
                                              <w:divsChild>
                                                <w:div w:id="337461895">
                                                  <w:marLeft w:val="0"/>
                                                  <w:marRight w:val="0"/>
                                                  <w:marTop w:val="0"/>
                                                  <w:marBottom w:val="0"/>
                                                  <w:divBdr>
                                                    <w:top w:val="none" w:sz="0" w:space="0" w:color="auto"/>
                                                    <w:left w:val="none" w:sz="0" w:space="0" w:color="auto"/>
                                                    <w:bottom w:val="none" w:sz="0" w:space="0" w:color="auto"/>
                                                    <w:right w:val="none" w:sz="0" w:space="0" w:color="auto"/>
                                                  </w:divBdr>
                                                  <w:divsChild>
                                                    <w:div w:id="1786463748">
                                                      <w:marLeft w:val="0"/>
                                                      <w:marRight w:val="0"/>
                                                      <w:marTop w:val="0"/>
                                                      <w:marBottom w:val="0"/>
                                                      <w:divBdr>
                                                        <w:top w:val="none" w:sz="0" w:space="0" w:color="auto"/>
                                                        <w:left w:val="none" w:sz="0" w:space="0" w:color="auto"/>
                                                        <w:bottom w:val="none" w:sz="0" w:space="0" w:color="auto"/>
                                                        <w:right w:val="none" w:sz="0" w:space="0" w:color="auto"/>
                                                      </w:divBdr>
                                                      <w:divsChild>
                                                        <w:div w:id="1762798504">
                                                          <w:marLeft w:val="0"/>
                                                          <w:marRight w:val="0"/>
                                                          <w:marTop w:val="0"/>
                                                          <w:marBottom w:val="0"/>
                                                          <w:divBdr>
                                                            <w:top w:val="none" w:sz="0" w:space="0" w:color="auto"/>
                                                            <w:left w:val="none" w:sz="0" w:space="0" w:color="auto"/>
                                                            <w:bottom w:val="none" w:sz="0" w:space="0" w:color="auto"/>
                                                            <w:right w:val="none" w:sz="0" w:space="0" w:color="auto"/>
                                                          </w:divBdr>
                                                          <w:divsChild>
                                                            <w:div w:id="8848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579538">
      <w:bodyDiv w:val="1"/>
      <w:marLeft w:val="0"/>
      <w:marRight w:val="0"/>
      <w:marTop w:val="0"/>
      <w:marBottom w:val="0"/>
      <w:divBdr>
        <w:top w:val="none" w:sz="0" w:space="0" w:color="auto"/>
        <w:left w:val="none" w:sz="0" w:space="0" w:color="auto"/>
        <w:bottom w:val="none" w:sz="0" w:space="0" w:color="auto"/>
        <w:right w:val="none" w:sz="0" w:space="0" w:color="auto"/>
      </w:divBdr>
    </w:div>
    <w:div w:id="169217048">
      <w:bodyDiv w:val="1"/>
      <w:marLeft w:val="0"/>
      <w:marRight w:val="0"/>
      <w:marTop w:val="0"/>
      <w:marBottom w:val="0"/>
      <w:divBdr>
        <w:top w:val="none" w:sz="0" w:space="0" w:color="auto"/>
        <w:left w:val="none" w:sz="0" w:space="0" w:color="auto"/>
        <w:bottom w:val="none" w:sz="0" w:space="0" w:color="auto"/>
        <w:right w:val="none" w:sz="0" w:space="0" w:color="auto"/>
      </w:divBdr>
    </w:div>
    <w:div w:id="221410114">
      <w:bodyDiv w:val="1"/>
      <w:marLeft w:val="0"/>
      <w:marRight w:val="0"/>
      <w:marTop w:val="0"/>
      <w:marBottom w:val="0"/>
      <w:divBdr>
        <w:top w:val="none" w:sz="0" w:space="0" w:color="auto"/>
        <w:left w:val="none" w:sz="0" w:space="0" w:color="auto"/>
        <w:bottom w:val="none" w:sz="0" w:space="0" w:color="auto"/>
        <w:right w:val="none" w:sz="0" w:space="0" w:color="auto"/>
      </w:divBdr>
    </w:div>
    <w:div w:id="241985407">
      <w:bodyDiv w:val="1"/>
      <w:marLeft w:val="0"/>
      <w:marRight w:val="0"/>
      <w:marTop w:val="0"/>
      <w:marBottom w:val="0"/>
      <w:divBdr>
        <w:top w:val="none" w:sz="0" w:space="0" w:color="auto"/>
        <w:left w:val="none" w:sz="0" w:space="0" w:color="auto"/>
        <w:bottom w:val="none" w:sz="0" w:space="0" w:color="auto"/>
        <w:right w:val="none" w:sz="0" w:space="0" w:color="auto"/>
      </w:divBdr>
    </w:div>
    <w:div w:id="388650630">
      <w:bodyDiv w:val="1"/>
      <w:marLeft w:val="0"/>
      <w:marRight w:val="0"/>
      <w:marTop w:val="0"/>
      <w:marBottom w:val="0"/>
      <w:divBdr>
        <w:top w:val="none" w:sz="0" w:space="0" w:color="auto"/>
        <w:left w:val="none" w:sz="0" w:space="0" w:color="auto"/>
        <w:bottom w:val="none" w:sz="0" w:space="0" w:color="auto"/>
        <w:right w:val="none" w:sz="0" w:space="0" w:color="auto"/>
      </w:divBdr>
    </w:div>
    <w:div w:id="412895834">
      <w:bodyDiv w:val="1"/>
      <w:marLeft w:val="0"/>
      <w:marRight w:val="0"/>
      <w:marTop w:val="0"/>
      <w:marBottom w:val="0"/>
      <w:divBdr>
        <w:top w:val="none" w:sz="0" w:space="0" w:color="auto"/>
        <w:left w:val="none" w:sz="0" w:space="0" w:color="auto"/>
        <w:bottom w:val="none" w:sz="0" w:space="0" w:color="auto"/>
        <w:right w:val="none" w:sz="0" w:space="0" w:color="auto"/>
      </w:divBdr>
    </w:div>
    <w:div w:id="465010016">
      <w:bodyDiv w:val="1"/>
      <w:marLeft w:val="0"/>
      <w:marRight w:val="0"/>
      <w:marTop w:val="0"/>
      <w:marBottom w:val="0"/>
      <w:divBdr>
        <w:top w:val="none" w:sz="0" w:space="0" w:color="auto"/>
        <w:left w:val="none" w:sz="0" w:space="0" w:color="auto"/>
        <w:bottom w:val="none" w:sz="0" w:space="0" w:color="auto"/>
        <w:right w:val="none" w:sz="0" w:space="0" w:color="auto"/>
      </w:divBdr>
    </w:div>
    <w:div w:id="535771899">
      <w:bodyDiv w:val="1"/>
      <w:marLeft w:val="0"/>
      <w:marRight w:val="0"/>
      <w:marTop w:val="0"/>
      <w:marBottom w:val="0"/>
      <w:divBdr>
        <w:top w:val="none" w:sz="0" w:space="0" w:color="auto"/>
        <w:left w:val="none" w:sz="0" w:space="0" w:color="auto"/>
        <w:bottom w:val="none" w:sz="0" w:space="0" w:color="auto"/>
        <w:right w:val="none" w:sz="0" w:space="0" w:color="auto"/>
      </w:divBdr>
    </w:div>
    <w:div w:id="558134436">
      <w:bodyDiv w:val="1"/>
      <w:marLeft w:val="0"/>
      <w:marRight w:val="0"/>
      <w:marTop w:val="0"/>
      <w:marBottom w:val="0"/>
      <w:divBdr>
        <w:top w:val="none" w:sz="0" w:space="0" w:color="auto"/>
        <w:left w:val="none" w:sz="0" w:space="0" w:color="auto"/>
        <w:bottom w:val="none" w:sz="0" w:space="0" w:color="auto"/>
        <w:right w:val="none" w:sz="0" w:space="0" w:color="auto"/>
      </w:divBdr>
    </w:div>
    <w:div w:id="560823556">
      <w:bodyDiv w:val="1"/>
      <w:marLeft w:val="0"/>
      <w:marRight w:val="0"/>
      <w:marTop w:val="0"/>
      <w:marBottom w:val="0"/>
      <w:divBdr>
        <w:top w:val="none" w:sz="0" w:space="0" w:color="auto"/>
        <w:left w:val="none" w:sz="0" w:space="0" w:color="auto"/>
        <w:bottom w:val="none" w:sz="0" w:space="0" w:color="auto"/>
        <w:right w:val="none" w:sz="0" w:space="0" w:color="auto"/>
      </w:divBdr>
    </w:div>
    <w:div w:id="575627212">
      <w:bodyDiv w:val="1"/>
      <w:marLeft w:val="0"/>
      <w:marRight w:val="0"/>
      <w:marTop w:val="0"/>
      <w:marBottom w:val="0"/>
      <w:divBdr>
        <w:top w:val="none" w:sz="0" w:space="0" w:color="auto"/>
        <w:left w:val="none" w:sz="0" w:space="0" w:color="auto"/>
        <w:bottom w:val="none" w:sz="0" w:space="0" w:color="auto"/>
        <w:right w:val="none" w:sz="0" w:space="0" w:color="auto"/>
      </w:divBdr>
    </w:div>
    <w:div w:id="612203956">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708454917">
      <w:bodyDiv w:val="1"/>
      <w:marLeft w:val="0"/>
      <w:marRight w:val="0"/>
      <w:marTop w:val="0"/>
      <w:marBottom w:val="0"/>
      <w:divBdr>
        <w:top w:val="none" w:sz="0" w:space="0" w:color="auto"/>
        <w:left w:val="none" w:sz="0" w:space="0" w:color="auto"/>
        <w:bottom w:val="none" w:sz="0" w:space="0" w:color="auto"/>
        <w:right w:val="none" w:sz="0" w:space="0" w:color="auto"/>
      </w:divBdr>
    </w:div>
    <w:div w:id="74438196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4132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0187033">
      <w:bodyDiv w:val="1"/>
      <w:marLeft w:val="0"/>
      <w:marRight w:val="0"/>
      <w:marTop w:val="0"/>
      <w:marBottom w:val="0"/>
      <w:divBdr>
        <w:top w:val="none" w:sz="0" w:space="0" w:color="auto"/>
        <w:left w:val="none" w:sz="0" w:space="0" w:color="auto"/>
        <w:bottom w:val="none" w:sz="0" w:space="0" w:color="auto"/>
        <w:right w:val="none" w:sz="0" w:space="0" w:color="auto"/>
      </w:divBdr>
    </w:div>
    <w:div w:id="890967465">
      <w:bodyDiv w:val="1"/>
      <w:marLeft w:val="0"/>
      <w:marRight w:val="0"/>
      <w:marTop w:val="0"/>
      <w:marBottom w:val="0"/>
      <w:divBdr>
        <w:top w:val="none" w:sz="0" w:space="0" w:color="auto"/>
        <w:left w:val="none" w:sz="0" w:space="0" w:color="auto"/>
        <w:bottom w:val="none" w:sz="0" w:space="0" w:color="auto"/>
        <w:right w:val="none" w:sz="0" w:space="0" w:color="auto"/>
      </w:divBdr>
    </w:div>
    <w:div w:id="902982127">
      <w:bodyDiv w:val="1"/>
      <w:marLeft w:val="0"/>
      <w:marRight w:val="0"/>
      <w:marTop w:val="0"/>
      <w:marBottom w:val="0"/>
      <w:divBdr>
        <w:top w:val="none" w:sz="0" w:space="0" w:color="auto"/>
        <w:left w:val="none" w:sz="0" w:space="0" w:color="auto"/>
        <w:bottom w:val="none" w:sz="0" w:space="0" w:color="auto"/>
        <w:right w:val="none" w:sz="0" w:space="0" w:color="auto"/>
      </w:divBdr>
    </w:div>
    <w:div w:id="915552256">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1670">
      <w:bodyDiv w:val="1"/>
      <w:marLeft w:val="0"/>
      <w:marRight w:val="0"/>
      <w:marTop w:val="0"/>
      <w:marBottom w:val="0"/>
      <w:divBdr>
        <w:top w:val="none" w:sz="0" w:space="0" w:color="auto"/>
        <w:left w:val="none" w:sz="0" w:space="0" w:color="auto"/>
        <w:bottom w:val="none" w:sz="0" w:space="0" w:color="auto"/>
        <w:right w:val="none" w:sz="0" w:space="0" w:color="auto"/>
      </w:divBdr>
    </w:div>
    <w:div w:id="1048650094">
      <w:bodyDiv w:val="1"/>
      <w:marLeft w:val="0"/>
      <w:marRight w:val="0"/>
      <w:marTop w:val="0"/>
      <w:marBottom w:val="0"/>
      <w:divBdr>
        <w:top w:val="none" w:sz="0" w:space="0" w:color="auto"/>
        <w:left w:val="none" w:sz="0" w:space="0" w:color="auto"/>
        <w:bottom w:val="none" w:sz="0" w:space="0" w:color="auto"/>
        <w:right w:val="none" w:sz="0" w:space="0" w:color="auto"/>
      </w:divBdr>
    </w:div>
    <w:div w:id="1070078620">
      <w:bodyDiv w:val="1"/>
      <w:marLeft w:val="0"/>
      <w:marRight w:val="0"/>
      <w:marTop w:val="0"/>
      <w:marBottom w:val="0"/>
      <w:divBdr>
        <w:top w:val="none" w:sz="0" w:space="0" w:color="auto"/>
        <w:left w:val="none" w:sz="0" w:space="0" w:color="auto"/>
        <w:bottom w:val="none" w:sz="0" w:space="0" w:color="auto"/>
        <w:right w:val="none" w:sz="0" w:space="0" w:color="auto"/>
      </w:divBdr>
    </w:div>
    <w:div w:id="1076586902">
      <w:bodyDiv w:val="1"/>
      <w:marLeft w:val="0"/>
      <w:marRight w:val="0"/>
      <w:marTop w:val="0"/>
      <w:marBottom w:val="0"/>
      <w:divBdr>
        <w:top w:val="none" w:sz="0" w:space="0" w:color="auto"/>
        <w:left w:val="none" w:sz="0" w:space="0" w:color="auto"/>
        <w:bottom w:val="none" w:sz="0" w:space="0" w:color="auto"/>
        <w:right w:val="none" w:sz="0" w:space="0" w:color="auto"/>
      </w:divBdr>
    </w:div>
    <w:div w:id="1078676987">
      <w:bodyDiv w:val="1"/>
      <w:marLeft w:val="0"/>
      <w:marRight w:val="0"/>
      <w:marTop w:val="0"/>
      <w:marBottom w:val="0"/>
      <w:divBdr>
        <w:top w:val="none" w:sz="0" w:space="0" w:color="auto"/>
        <w:left w:val="none" w:sz="0" w:space="0" w:color="auto"/>
        <w:bottom w:val="none" w:sz="0" w:space="0" w:color="auto"/>
        <w:right w:val="none" w:sz="0" w:space="0" w:color="auto"/>
      </w:divBdr>
    </w:div>
    <w:div w:id="1144736104">
      <w:bodyDiv w:val="1"/>
      <w:marLeft w:val="0"/>
      <w:marRight w:val="0"/>
      <w:marTop w:val="0"/>
      <w:marBottom w:val="0"/>
      <w:divBdr>
        <w:top w:val="none" w:sz="0" w:space="0" w:color="auto"/>
        <w:left w:val="none" w:sz="0" w:space="0" w:color="auto"/>
        <w:bottom w:val="none" w:sz="0" w:space="0" w:color="auto"/>
        <w:right w:val="none" w:sz="0" w:space="0" w:color="auto"/>
      </w:divBdr>
    </w:div>
    <w:div w:id="138695535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4685929">
      <w:bodyDiv w:val="1"/>
      <w:marLeft w:val="0"/>
      <w:marRight w:val="0"/>
      <w:marTop w:val="0"/>
      <w:marBottom w:val="0"/>
      <w:divBdr>
        <w:top w:val="none" w:sz="0" w:space="0" w:color="auto"/>
        <w:left w:val="none" w:sz="0" w:space="0" w:color="auto"/>
        <w:bottom w:val="none" w:sz="0" w:space="0" w:color="auto"/>
        <w:right w:val="none" w:sz="0" w:space="0" w:color="auto"/>
      </w:divBdr>
    </w:div>
    <w:div w:id="155708456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0375">
      <w:bodyDiv w:val="1"/>
      <w:marLeft w:val="0"/>
      <w:marRight w:val="0"/>
      <w:marTop w:val="0"/>
      <w:marBottom w:val="0"/>
      <w:divBdr>
        <w:top w:val="none" w:sz="0" w:space="0" w:color="auto"/>
        <w:left w:val="none" w:sz="0" w:space="0" w:color="auto"/>
        <w:bottom w:val="none" w:sz="0" w:space="0" w:color="auto"/>
        <w:right w:val="none" w:sz="0" w:space="0" w:color="auto"/>
      </w:divBdr>
    </w:div>
    <w:div w:id="1845779739">
      <w:bodyDiv w:val="1"/>
      <w:marLeft w:val="0"/>
      <w:marRight w:val="0"/>
      <w:marTop w:val="0"/>
      <w:marBottom w:val="0"/>
      <w:divBdr>
        <w:top w:val="none" w:sz="0" w:space="0" w:color="auto"/>
        <w:left w:val="none" w:sz="0" w:space="0" w:color="auto"/>
        <w:bottom w:val="none" w:sz="0" w:space="0" w:color="auto"/>
        <w:right w:val="none" w:sz="0" w:space="0" w:color="auto"/>
      </w:divBdr>
    </w:div>
    <w:div w:id="1855147621">
      <w:bodyDiv w:val="1"/>
      <w:marLeft w:val="0"/>
      <w:marRight w:val="0"/>
      <w:marTop w:val="0"/>
      <w:marBottom w:val="0"/>
      <w:divBdr>
        <w:top w:val="none" w:sz="0" w:space="0" w:color="auto"/>
        <w:left w:val="none" w:sz="0" w:space="0" w:color="auto"/>
        <w:bottom w:val="none" w:sz="0" w:space="0" w:color="auto"/>
        <w:right w:val="none" w:sz="0" w:space="0" w:color="auto"/>
      </w:divBdr>
    </w:div>
    <w:div w:id="1988438197">
      <w:bodyDiv w:val="1"/>
      <w:marLeft w:val="0"/>
      <w:marRight w:val="0"/>
      <w:marTop w:val="0"/>
      <w:marBottom w:val="0"/>
      <w:divBdr>
        <w:top w:val="none" w:sz="0" w:space="0" w:color="auto"/>
        <w:left w:val="none" w:sz="0" w:space="0" w:color="auto"/>
        <w:bottom w:val="none" w:sz="0" w:space="0" w:color="auto"/>
        <w:right w:val="none" w:sz="0" w:space="0" w:color="auto"/>
      </w:divBdr>
    </w:div>
    <w:div w:id="2127695893">
      <w:bodyDiv w:val="1"/>
      <w:marLeft w:val="0"/>
      <w:marRight w:val="0"/>
      <w:marTop w:val="0"/>
      <w:marBottom w:val="0"/>
      <w:divBdr>
        <w:top w:val="none" w:sz="0" w:space="0" w:color="auto"/>
        <w:left w:val="none" w:sz="0" w:space="0" w:color="auto"/>
        <w:bottom w:val="none" w:sz="0" w:space="0" w:color="auto"/>
        <w:right w:val="none" w:sz="0" w:space="0" w:color="auto"/>
      </w:divBdr>
      <w:divsChild>
        <w:div w:id="129514667">
          <w:marLeft w:val="0"/>
          <w:marRight w:val="0"/>
          <w:marTop w:val="0"/>
          <w:marBottom w:val="120"/>
          <w:divBdr>
            <w:top w:val="none" w:sz="0" w:space="0" w:color="auto"/>
            <w:left w:val="none" w:sz="0" w:space="0" w:color="auto"/>
            <w:bottom w:val="none" w:sz="0" w:space="0" w:color="auto"/>
            <w:right w:val="none" w:sz="0" w:space="0" w:color="auto"/>
          </w:divBdr>
          <w:divsChild>
            <w:div w:id="492794151">
              <w:marLeft w:val="0"/>
              <w:marRight w:val="0"/>
              <w:marTop w:val="0"/>
              <w:marBottom w:val="0"/>
              <w:divBdr>
                <w:top w:val="none" w:sz="0" w:space="0" w:color="auto"/>
                <w:left w:val="none" w:sz="0" w:space="0" w:color="auto"/>
                <w:bottom w:val="none" w:sz="0" w:space="0" w:color="auto"/>
                <w:right w:val="none" w:sz="0" w:space="0" w:color="auto"/>
              </w:divBdr>
              <w:divsChild>
                <w:div w:id="2105615320">
                  <w:marLeft w:val="0"/>
                  <w:marRight w:val="0"/>
                  <w:marTop w:val="0"/>
                  <w:marBottom w:val="0"/>
                  <w:divBdr>
                    <w:top w:val="none" w:sz="0" w:space="0" w:color="auto"/>
                    <w:left w:val="none" w:sz="0" w:space="0" w:color="auto"/>
                    <w:bottom w:val="none" w:sz="0" w:space="0" w:color="auto"/>
                    <w:right w:val="none" w:sz="0" w:space="0" w:color="auto"/>
                  </w:divBdr>
                  <w:divsChild>
                    <w:div w:id="8467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71BCD6-FE60-4A3B-A13C-770AAB510DD5}">
  <we:reference id="wa104382081" version="1.46.0.0" store="it-IT" storeType="OMEX"/>
  <we:alternateReferences>
    <we:reference id="WA104382081" version="1.46.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6</Pages>
  <Words>3667</Words>
  <Characters>20904</Characters>
  <Application>Microsoft Office Word</Application>
  <DocSecurity>0</DocSecurity>
  <Lines>174</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Micaela Lembo</cp:lastModifiedBy>
  <cp:revision>60</cp:revision>
  <cp:lastPrinted>2015-05-12T18:31:00Z</cp:lastPrinted>
  <dcterms:created xsi:type="dcterms:W3CDTF">2023-05-04T16:06:00Z</dcterms:created>
  <dcterms:modified xsi:type="dcterms:W3CDTF">2023-06-26T11:11:00Z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697fd39efa3654c139ee670b4827f6994d44e4eec1a0ad88fba628f7e54b066a</vt:lpwstr>
  </property>
</Properties>
</file>