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A97B71">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lang w:eastAsia="it-IT"/>
              </w:rPr>
            </w:pPr>
            <w:r w:rsidRPr="00B57B36">
              <w:rPr>
                <w:rFonts w:cs="Arial"/>
                <w:b/>
                <w:bCs/>
                <w:i/>
                <w:iCs/>
                <w:color w:val="000066"/>
                <w:lang w:eastAsia="it-IT"/>
              </w:rPr>
              <w:t xml:space="preserve">VOL. </w:t>
            </w:r>
            <w:r w:rsidR="0030152C">
              <w:rPr>
                <w:rFonts w:cs="Arial"/>
                <w:b/>
                <w:bCs/>
                <w:i/>
                <w:iCs/>
                <w:color w:val="000066"/>
                <w:lang w:eastAsia="it-IT"/>
              </w:rPr>
              <w:t xml:space="preserve">   </w:t>
            </w:r>
            <w:r w:rsidR="007B48F9">
              <w:rPr>
                <w:rFonts w:cs="Arial"/>
                <w:b/>
                <w:bCs/>
                <w:i/>
                <w:iCs/>
                <w:color w:val="000066"/>
                <w:lang w:eastAsia="it-IT"/>
              </w:rPr>
              <w:t>,</w:t>
            </w:r>
            <w:r w:rsidR="00FA5F5F">
              <w:rPr>
                <w:rFonts w:cs="Arial"/>
                <w:b/>
                <w:bCs/>
                <w:i/>
                <w:iCs/>
                <w:color w:val="000066"/>
                <w:lang w:eastAsia="it-IT"/>
              </w:rPr>
              <w:t xml:space="preserve"> </w:t>
            </w:r>
            <w:r w:rsidR="0030152C">
              <w:rPr>
                <w:rFonts w:cs="Arial"/>
                <w:b/>
                <w:bCs/>
                <w:i/>
                <w:iCs/>
                <w:color w:val="000066"/>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7B418C" w14:paraId="380FA3CD" w14:textId="77777777" w:rsidTr="00A97B71">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50798A" w:rsidRDefault="000A03B2" w:rsidP="00CD5FE2">
            <w:pPr>
              <w:spacing w:line="140" w:lineRule="atLeast"/>
              <w:jc w:val="right"/>
              <w:rPr>
                <w:rFonts w:cs="Arial"/>
                <w:sz w:val="14"/>
                <w:szCs w:val="14"/>
                <w:lang w:val="en-US"/>
              </w:rPr>
            </w:pPr>
            <w:r w:rsidRPr="0050798A">
              <w:rPr>
                <w:rFonts w:cs="Arial"/>
                <w:sz w:val="14"/>
                <w:szCs w:val="14"/>
                <w:lang w:val="en-US"/>
              </w:rPr>
              <w:t>The Italian Association</w:t>
            </w:r>
          </w:p>
          <w:p w14:paraId="7522B1D2" w14:textId="77777777" w:rsidR="000A03B2" w:rsidRPr="0050798A" w:rsidRDefault="000A03B2" w:rsidP="00CD5FE2">
            <w:pPr>
              <w:spacing w:line="140" w:lineRule="atLeast"/>
              <w:jc w:val="right"/>
              <w:rPr>
                <w:rFonts w:cs="Arial"/>
                <w:sz w:val="14"/>
                <w:szCs w:val="14"/>
                <w:lang w:val="en-US"/>
              </w:rPr>
            </w:pPr>
            <w:r w:rsidRPr="0050798A">
              <w:rPr>
                <w:rFonts w:cs="Arial"/>
                <w:sz w:val="14"/>
                <w:szCs w:val="14"/>
                <w:lang w:val="en-US"/>
              </w:rPr>
              <w:t>of Chemical Engineering</w:t>
            </w:r>
          </w:p>
          <w:p w14:paraId="4F0CC5DE" w14:textId="47FDB2FC" w:rsidR="000A03B2" w:rsidRPr="0050798A" w:rsidRDefault="000D0268" w:rsidP="00CD5FE2">
            <w:pPr>
              <w:spacing w:line="140" w:lineRule="atLeast"/>
              <w:jc w:val="right"/>
              <w:rPr>
                <w:rFonts w:cs="Arial"/>
                <w:sz w:val="13"/>
                <w:szCs w:val="13"/>
                <w:lang w:val="en-US"/>
              </w:rPr>
            </w:pPr>
            <w:r w:rsidRPr="0050798A">
              <w:rPr>
                <w:rFonts w:cs="Arial"/>
                <w:sz w:val="13"/>
                <w:szCs w:val="13"/>
                <w:lang w:val="en-US"/>
              </w:rPr>
              <w:t>Online at www.cetjournal.it</w:t>
            </w:r>
          </w:p>
        </w:tc>
      </w:tr>
      <w:tr w:rsidR="000A03B2" w:rsidRPr="007B418C" w14:paraId="2D1B7169" w14:textId="77777777" w:rsidTr="00A97B71">
        <w:trPr>
          <w:trHeight w:val="68"/>
          <w:jc w:val="center"/>
        </w:trPr>
        <w:tc>
          <w:tcPr>
            <w:tcW w:w="8782" w:type="dxa"/>
            <w:gridSpan w:val="2"/>
          </w:tcPr>
          <w:p w14:paraId="1D8DD3C9" w14:textId="06DCB7F6" w:rsidR="00AA7D26" w:rsidRPr="003A6FC6" w:rsidRDefault="00AA7D26" w:rsidP="00AA7D26">
            <w:pPr>
              <w:ind w:left="-107"/>
              <w:outlineLvl w:val="2"/>
              <w:rPr>
                <w:rFonts w:ascii="Tahoma" w:hAnsi="Tahoma" w:cs="Tahoma"/>
                <w:bCs/>
                <w:color w:val="000000"/>
                <w:sz w:val="14"/>
                <w:szCs w:val="14"/>
                <w:lang w:eastAsia="it-IT"/>
              </w:rPr>
            </w:pPr>
            <w:r w:rsidRPr="003A6FC6">
              <w:rPr>
                <w:rFonts w:ascii="Tahoma" w:hAnsi="Tahoma" w:cs="Tahoma"/>
                <w:iCs/>
                <w:color w:val="333333"/>
                <w:sz w:val="14"/>
                <w:szCs w:val="14"/>
                <w:lang w:eastAsia="it-IT"/>
              </w:rPr>
              <w:t>Guest Editors:</w:t>
            </w:r>
            <w:r w:rsidRPr="003A6FC6">
              <w:rPr>
                <w:rFonts w:ascii="Tahoma" w:hAnsi="Tahoma" w:cs="Tahoma"/>
                <w:color w:val="000000"/>
                <w:sz w:val="14"/>
                <w:szCs w:val="14"/>
                <w:shd w:val="clear" w:color="auto" w:fill="FFFFFF"/>
              </w:rPr>
              <w:t xml:space="preserve"> </w:t>
            </w:r>
            <w:r w:rsidR="003A6FC6" w:rsidRPr="003A6FC6">
              <w:rPr>
                <w:rFonts w:ascii="Tahoma" w:hAnsi="Tahoma" w:cs="Tahoma"/>
                <w:color w:val="000000"/>
                <w:sz w:val="14"/>
                <w:szCs w:val="14"/>
                <w:shd w:val="clear" w:color="auto" w:fill="FFFFFF"/>
              </w:rPr>
              <w:t>Laura Piazza, M</w:t>
            </w:r>
            <w:r w:rsidR="003A6FC6">
              <w:rPr>
                <w:rFonts w:ascii="Tahoma" w:hAnsi="Tahoma" w:cs="Tahoma"/>
                <w:color w:val="000000"/>
                <w:sz w:val="14"/>
                <w:szCs w:val="14"/>
                <w:shd w:val="clear" w:color="auto" w:fill="FFFFFF"/>
              </w:rPr>
              <w:t>auro Moresi, Francesco Donsì</w:t>
            </w:r>
          </w:p>
          <w:p w14:paraId="1B0F1814" w14:textId="617BA86D" w:rsidR="000A03B2" w:rsidRPr="0050798A" w:rsidRDefault="00AA7D26" w:rsidP="00AA7D26">
            <w:pPr>
              <w:tabs>
                <w:tab w:val="left" w:pos="-108"/>
              </w:tabs>
              <w:spacing w:line="140" w:lineRule="atLeast"/>
              <w:ind w:left="-107"/>
              <w:jc w:val="left"/>
              <w:rPr>
                <w:lang w:val="en-US"/>
              </w:rPr>
            </w:pPr>
            <w:r w:rsidRPr="0050798A">
              <w:rPr>
                <w:rFonts w:ascii="Tahoma" w:hAnsi="Tahoma" w:cs="Tahoma"/>
                <w:iCs/>
                <w:color w:val="333333"/>
                <w:sz w:val="14"/>
                <w:szCs w:val="14"/>
                <w:lang w:val="en-US" w:eastAsia="it-IT"/>
              </w:rPr>
              <w:t>Copyright © 2023, AIDIC Servizi S.r.l.</w:t>
            </w:r>
            <w:r w:rsidRPr="0050798A">
              <w:rPr>
                <w:rFonts w:ascii="Tahoma" w:hAnsi="Tahoma" w:cs="Tahoma"/>
                <w:iCs/>
                <w:color w:val="333333"/>
                <w:sz w:val="14"/>
                <w:szCs w:val="14"/>
                <w:lang w:val="en-US" w:eastAsia="it-IT"/>
              </w:rPr>
              <w:br/>
            </w:r>
            <w:r w:rsidRPr="0050798A">
              <w:rPr>
                <w:rFonts w:ascii="Tahoma" w:hAnsi="Tahoma" w:cs="Tahoma"/>
                <w:b/>
                <w:iCs/>
                <w:color w:val="000000"/>
                <w:sz w:val="14"/>
                <w:szCs w:val="14"/>
                <w:lang w:val="en-US" w:eastAsia="it-IT"/>
              </w:rPr>
              <w:t>ISBN</w:t>
            </w:r>
            <w:r w:rsidRPr="0050798A">
              <w:rPr>
                <w:rFonts w:ascii="Tahoma" w:hAnsi="Tahoma" w:cs="Tahoma"/>
                <w:iCs/>
                <w:color w:val="000000"/>
                <w:sz w:val="14"/>
                <w:szCs w:val="14"/>
                <w:lang w:val="en-US" w:eastAsia="it-IT"/>
              </w:rPr>
              <w:t xml:space="preserve"> </w:t>
            </w:r>
            <w:r w:rsidR="008B7C03" w:rsidRPr="0050798A">
              <w:rPr>
                <w:rFonts w:ascii="Tahoma" w:hAnsi="Tahoma" w:cs="Tahoma"/>
                <w:sz w:val="14"/>
                <w:szCs w:val="14"/>
                <w:lang w:val="en-US"/>
              </w:rPr>
              <w:t>979-12-81206</w:t>
            </w:r>
            <w:r w:rsidRPr="0050798A">
              <w:rPr>
                <w:rFonts w:ascii="Tahoma" w:hAnsi="Tahoma" w:cs="Tahoma"/>
                <w:sz w:val="14"/>
                <w:szCs w:val="14"/>
                <w:lang w:val="en-US"/>
              </w:rPr>
              <w:t>-</w:t>
            </w:r>
            <w:r w:rsidR="00E33DD7" w:rsidRPr="0050798A">
              <w:rPr>
                <w:rFonts w:ascii="Tahoma" w:hAnsi="Tahoma" w:cs="Tahoma"/>
                <w:sz w:val="14"/>
                <w:szCs w:val="14"/>
                <w:lang w:val="en-US"/>
              </w:rPr>
              <w:t>0</w:t>
            </w:r>
            <w:r w:rsidR="003A6FC6" w:rsidRPr="0050798A">
              <w:rPr>
                <w:rFonts w:ascii="Tahoma" w:hAnsi="Tahoma" w:cs="Tahoma"/>
                <w:sz w:val="14"/>
                <w:szCs w:val="14"/>
                <w:lang w:val="en-US"/>
              </w:rPr>
              <w:t>1</w:t>
            </w:r>
            <w:r w:rsidRPr="0050798A">
              <w:rPr>
                <w:rFonts w:ascii="Tahoma" w:hAnsi="Tahoma" w:cs="Tahoma"/>
                <w:sz w:val="14"/>
                <w:szCs w:val="14"/>
                <w:lang w:val="en-US"/>
              </w:rPr>
              <w:t>-</w:t>
            </w:r>
            <w:r w:rsidR="003A6FC6" w:rsidRPr="0050798A">
              <w:rPr>
                <w:rFonts w:ascii="Tahoma" w:hAnsi="Tahoma" w:cs="Tahoma"/>
                <w:sz w:val="14"/>
                <w:szCs w:val="14"/>
                <w:lang w:val="en-US"/>
              </w:rPr>
              <w:t>4</w:t>
            </w:r>
            <w:r w:rsidRPr="0050798A">
              <w:rPr>
                <w:rFonts w:ascii="Tahoma" w:hAnsi="Tahoma" w:cs="Tahoma"/>
                <w:iCs/>
                <w:color w:val="333333"/>
                <w:sz w:val="14"/>
                <w:szCs w:val="14"/>
                <w:lang w:val="en-US" w:eastAsia="it-IT"/>
              </w:rPr>
              <w:t xml:space="preserve">; </w:t>
            </w:r>
            <w:r w:rsidRPr="0050798A">
              <w:rPr>
                <w:rFonts w:ascii="Tahoma" w:hAnsi="Tahoma" w:cs="Tahoma"/>
                <w:b/>
                <w:iCs/>
                <w:color w:val="333333"/>
                <w:sz w:val="14"/>
                <w:szCs w:val="14"/>
                <w:lang w:val="en-US" w:eastAsia="it-IT"/>
              </w:rPr>
              <w:t>ISSN</w:t>
            </w:r>
            <w:r w:rsidRPr="0050798A">
              <w:rPr>
                <w:rFonts w:ascii="Tahoma" w:hAnsi="Tahoma" w:cs="Tahoma"/>
                <w:iCs/>
                <w:color w:val="333333"/>
                <w:sz w:val="14"/>
                <w:szCs w:val="14"/>
                <w:lang w:val="en-US" w:eastAsia="it-IT"/>
              </w:rPr>
              <w:t xml:space="preserve"> 2283-9216</w:t>
            </w:r>
          </w:p>
        </w:tc>
      </w:tr>
    </w:tbl>
    <w:p w14:paraId="30676267" w14:textId="77777777" w:rsidR="00A6769E" w:rsidRDefault="00A86F2F" w:rsidP="00936A84">
      <w:pPr>
        <w:pStyle w:val="CETTitle"/>
        <w:spacing w:after="0"/>
      </w:pPr>
      <w:r>
        <w:t>Application of ultrasonic intensification t</w:t>
      </w:r>
      <w:r w:rsidRPr="00A86F2F">
        <w:t xml:space="preserve">echnology </w:t>
      </w:r>
    </w:p>
    <w:p w14:paraId="5387EBF5" w14:textId="77777777" w:rsidR="00A6769E" w:rsidRDefault="00A86F2F" w:rsidP="00A6769E">
      <w:pPr>
        <w:pStyle w:val="CETTitle"/>
        <w:spacing w:before="0" w:after="0"/>
      </w:pPr>
      <w:r w:rsidRPr="00A86F2F">
        <w:t>in</w:t>
      </w:r>
      <w:r>
        <w:t xml:space="preserve"> the extraction of bio-actives </w:t>
      </w:r>
      <w:r w:rsidRPr="00A86F2F">
        <w:t xml:space="preserve">from </w:t>
      </w:r>
    </w:p>
    <w:p w14:paraId="353FA7D2" w14:textId="319C4821" w:rsidR="00936A84" w:rsidRPr="00936A84" w:rsidRDefault="00A86F2F" w:rsidP="00A6769E">
      <w:pPr>
        <w:pStyle w:val="CETTitle"/>
        <w:spacing w:before="0" w:after="0"/>
      </w:pPr>
      <w:r w:rsidRPr="00A86F2F">
        <w:t>spent coffee grounds and spent tea leaves</w:t>
      </w:r>
    </w:p>
    <w:p w14:paraId="76FEEA02" w14:textId="63E643AC" w:rsidR="00A97B71" w:rsidRPr="00A86F2F" w:rsidRDefault="00A97B71" w:rsidP="00A97B71">
      <w:pPr>
        <w:pStyle w:val="CETAuthors"/>
        <w:rPr>
          <w:lang w:val="it-IT"/>
        </w:rPr>
      </w:pPr>
      <w:r w:rsidRPr="00947BBE">
        <w:rPr>
          <w:lang w:val="it-IT"/>
        </w:rPr>
        <w:t>Francesca Girotto</w:t>
      </w:r>
      <w:r w:rsidR="00D74ACA">
        <w:rPr>
          <w:vertAlign w:val="superscript"/>
          <w:lang w:val="it-IT"/>
        </w:rPr>
        <w:t>a</w:t>
      </w:r>
      <w:r w:rsidRPr="00947BBE">
        <w:rPr>
          <w:lang w:val="it-IT"/>
        </w:rPr>
        <w:t xml:space="preserve">, </w:t>
      </w:r>
      <w:r w:rsidR="00A86F2F">
        <w:rPr>
          <w:lang w:val="it-IT"/>
        </w:rPr>
        <w:t>Laura Piazza</w:t>
      </w:r>
      <w:r w:rsidR="00A86F2F">
        <w:rPr>
          <w:vertAlign w:val="superscript"/>
          <w:lang w:val="it-IT"/>
        </w:rPr>
        <w:t>a</w:t>
      </w:r>
      <w:r w:rsidR="00D74ACA">
        <w:rPr>
          <w:vertAlign w:val="superscript"/>
          <w:lang w:val="it-IT"/>
        </w:rPr>
        <w:t>,*</w:t>
      </w:r>
      <w:r w:rsidRPr="00947BBE">
        <w:rPr>
          <w:lang w:val="it-IT"/>
        </w:rPr>
        <w:t>, Simona Ratti</w:t>
      </w:r>
      <w:r w:rsidRPr="00947BBE">
        <w:rPr>
          <w:vertAlign w:val="superscript"/>
          <w:lang w:val="it-IT"/>
        </w:rPr>
        <w:t>b</w:t>
      </w:r>
      <w:r w:rsidR="00A86F2F">
        <w:rPr>
          <w:lang w:val="it-IT"/>
        </w:rPr>
        <w:t xml:space="preserve">, </w:t>
      </w:r>
      <w:r w:rsidR="00A86F2F" w:rsidRPr="00947BBE">
        <w:rPr>
          <w:lang w:val="it-IT"/>
        </w:rPr>
        <w:t>Gabriella Giovanelli</w:t>
      </w:r>
      <w:r w:rsidR="00A86F2F" w:rsidRPr="00947BBE">
        <w:rPr>
          <w:vertAlign w:val="superscript"/>
          <w:lang w:val="it-IT"/>
        </w:rPr>
        <w:t>b</w:t>
      </w:r>
    </w:p>
    <w:p w14:paraId="2C6449E9" w14:textId="6954718C" w:rsidR="00A97B71" w:rsidRPr="00947BBE" w:rsidRDefault="00A97B71" w:rsidP="00A97B71">
      <w:pPr>
        <w:pStyle w:val="CETAddress"/>
        <w:rPr>
          <w:lang w:val="it-IT"/>
        </w:rPr>
      </w:pPr>
      <w:r w:rsidRPr="00947BBE">
        <w:rPr>
          <w:vertAlign w:val="superscript"/>
          <w:lang w:val="it-IT"/>
        </w:rPr>
        <w:t>a</w:t>
      </w:r>
      <w:r w:rsidRPr="00947BBE">
        <w:rPr>
          <w:lang w:val="it-IT"/>
        </w:rPr>
        <w:t xml:space="preserve"> Università degli Studi di Milano, Department of Environmental Science and Policy - Via </w:t>
      </w:r>
      <w:r w:rsidR="00A6769E">
        <w:rPr>
          <w:lang w:val="it-IT"/>
        </w:rPr>
        <w:t>Mangialli 25</w:t>
      </w:r>
      <w:r w:rsidRPr="00947BBE">
        <w:rPr>
          <w:lang w:val="it-IT"/>
        </w:rPr>
        <w:t xml:space="preserve">, 20133, Milano, Italy </w:t>
      </w:r>
    </w:p>
    <w:p w14:paraId="1E743ACD" w14:textId="77777777" w:rsidR="00A97B71" w:rsidRPr="00947BBE" w:rsidRDefault="00A97B71" w:rsidP="00A97B71">
      <w:pPr>
        <w:pStyle w:val="CETAddress"/>
        <w:rPr>
          <w:lang w:val="it-IT"/>
        </w:rPr>
      </w:pPr>
      <w:r w:rsidRPr="00947BBE">
        <w:rPr>
          <w:vertAlign w:val="superscript"/>
          <w:lang w:val="it-IT"/>
        </w:rPr>
        <w:t>b</w:t>
      </w:r>
      <w:r w:rsidRPr="00947BBE">
        <w:rPr>
          <w:lang w:val="it-IT"/>
        </w:rPr>
        <w:t xml:space="preserve"> Università degli Studi di Milano, Department of Food, Environmental and Nutritional Sciences - Via Celoria 2, 20133, Milano, Italy</w:t>
      </w:r>
    </w:p>
    <w:p w14:paraId="6C008510" w14:textId="7F5875A5" w:rsidR="00A97B71" w:rsidRPr="00615FB6" w:rsidRDefault="00A97B71" w:rsidP="00A97B71">
      <w:pPr>
        <w:pStyle w:val="CETemail"/>
        <w:rPr>
          <w:lang w:val="it-IT"/>
        </w:rPr>
      </w:pPr>
      <w:r w:rsidRPr="00615FB6">
        <w:rPr>
          <w:lang w:val="it-IT"/>
        </w:rPr>
        <w:t xml:space="preserve">* </w:t>
      </w:r>
      <w:r w:rsidR="00A86F2F" w:rsidRPr="00615FB6">
        <w:rPr>
          <w:lang w:val="it-IT"/>
        </w:rPr>
        <w:t>laura.piazza</w:t>
      </w:r>
      <w:r w:rsidRPr="00615FB6">
        <w:rPr>
          <w:lang w:val="it-IT"/>
        </w:rPr>
        <w:t>@unimi.it</w:t>
      </w:r>
    </w:p>
    <w:p w14:paraId="22A2235B" w14:textId="41EB1AE5" w:rsidR="00A97B71" w:rsidRPr="00947BBE" w:rsidRDefault="00A97B71" w:rsidP="00A97B71">
      <w:pPr>
        <w:pStyle w:val="CETBodytext"/>
        <w:rPr>
          <w:lang w:val="en-GB"/>
        </w:rPr>
      </w:pPr>
      <w:r w:rsidRPr="00947BBE">
        <w:rPr>
          <w:lang w:val="en-GB"/>
        </w:rPr>
        <w:t>Spent coffee grounds (SCG) and spent tea leaves (STL) are leftovers of the two most diffused beverages all over the wo</w:t>
      </w:r>
      <w:r w:rsidR="007B16CD">
        <w:rPr>
          <w:lang w:val="en-GB"/>
        </w:rPr>
        <w:t>rld, coffee and tea</w:t>
      </w:r>
      <w:r w:rsidRPr="00947BBE">
        <w:rPr>
          <w:lang w:val="en-GB"/>
        </w:rPr>
        <w:t xml:space="preserve">. Functional </w:t>
      </w:r>
      <w:r w:rsidR="0091252A">
        <w:rPr>
          <w:lang w:val="en-GB"/>
        </w:rPr>
        <w:t>component</w:t>
      </w:r>
      <w:r w:rsidR="0091252A" w:rsidRPr="00947BBE">
        <w:rPr>
          <w:lang w:val="en-GB"/>
        </w:rPr>
        <w:t xml:space="preserve">s </w:t>
      </w:r>
      <w:r w:rsidR="0006294E">
        <w:rPr>
          <w:lang w:val="en-GB"/>
        </w:rPr>
        <w:t xml:space="preserve">commonly found within </w:t>
      </w:r>
      <w:r w:rsidRPr="00947BBE">
        <w:rPr>
          <w:lang w:val="en-GB"/>
        </w:rPr>
        <w:t xml:space="preserve">raw materials, </w:t>
      </w:r>
      <w:r w:rsidR="0091252A">
        <w:rPr>
          <w:lang w:val="en-GB"/>
        </w:rPr>
        <w:t>i.e.</w:t>
      </w:r>
      <w:r w:rsidRPr="00947BBE">
        <w:rPr>
          <w:lang w:val="en-GB"/>
        </w:rPr>
        <w:t xml:space="preserve"> caffeine and phenolic compounds suc</w:t>
      </w:r>
      <w:r w:rsidR="001A3CD4">
        <w:rPr>
          <w:lang w:val="en-GB"/>
        </w:rPr>
        <w:t>h as chlorogenic acid, gallic acid</w:t>
      </w:r>
      <w:r w:rsidRPr="00947BBE">
        <w:rPr>
          <w:lang w:val="en-GB"/>
        </w:rPr>
        <w:t xml:space="preserve">, and catechin derivatives, are not fully extracted from coffee grounds and tea leaves during beverage preparation. Therefore, SCG and STL can be regarded as a source of </w:t>
      </w:r>
      <w:r w:rsidR="0006294E">
        <w:rPr>
          <w:lang w:val="en-GB"/>
        </w:rPr>
        <w:t>bioactives</w:t>
      </w:r>
      <w:r w:rsidR="007B16CD">
        <w:rPr>
          <w:lang w:val="en-GB"/>
        </w:rPr>
        <w:t xml:space="preserve"> to be valorised in the formulation of various functional foods and beverages</w:t>
      </w:r>
      <w:r w:rsidRPr="00947BBE">
        <w:rPr>
          <w:lang w:val="en-GB"/>
        </w:rPr>
        <w:t>.</w:t>
      </w:r>
    </w:p>
    <w:p w14:paraId="21CBE766" w14:textId="6497E31B" w:rsidR="007B16CD" w:rsidRDefault="00A97B71" w:rsidP="0091252A">
      <w:pPr>
        <w:pStyle w:val="CETBodytext"/>
        <w:rPr>
          <w:lang w:val="en-GB"/>
        </w:rPr>
      </w:pPr>
      <w:r w:rsidRPr="00947BBE">
        <w:rPr>
          <w:lang w:val="en-GB"/>
        </w:rPr>
        <w:t xml:space="preserve">In the present study, ultrasound-assisted extraction </w:t>
      </w:r>
      <w:r w:rsidR="00F052ED">
        <w:rPr>
          <w:lang w:val="en-GB"/>
        </w:rPr>
        <w:t xml:space="preserve">(UAE) </w:t>
      </w:r>
      <w:r w:rsidRPr="00947BBE">
        <w:rPr>
          <w:lang w:val="en-GB"/>
        </w:rPr>
        <w:t xml:space="preserve">and conventional solvent extraction aimed at the recovery of </w:t>
      </w:r>
      <w:r w:rsidR="0006294E" w:rsidRPr="00947BBE">
        <w:rPr>
          <w:lang w:val="en-GB"/>
        </w:rPr>
        <w:t>natural antioxidants</w:t>
      </w:r>
      <w:r w:rsidR="0006294E">
        <w:rPr>
          <w:lang w:val="en-GB"/>
        </w:rPr>
        <w:t xml:space="preserve"> </w:t>
      </w:r>
      <w:r w:rsidRPr="00947BBE">
        <w:rPr>
          <w:lang w:val="en-GB"/>
        </w:rPr>
        <w:t xml:space="preserve">and caffeine from SCG and STL were compared. In particular, ethanol 60% (v/v) and boiling water were used as solvent media and the effects of two different </w:t>
      </w:r>
      <w:r w:rsidR="00F052ED">
        <w:rPr>
          <w:lang w:val="en-GB"/>
        </w:rPr>
        <w:t>ultrasound (</w:t>
      </w:r>
      <w:r w:rsidRPr="00947BBE">
        <w:rPr>
          <w:lang w:val="en-GB"/>
        </w:rPr>
        <w:t>US</w:t>
      </w:r>
      <w:r w:rsidR="00F052ED">
        <w:rPr>
          <w:lang w:val="en-GB"/>
        </w:rPr>
        <w:t>) waves</w:t>
      </w:r>
      <w:r w:rsidRPr="00947BBE">
        <w:rPr>
          <w:lang w:val="en-GB"/>
        </w:rPr>
        <w:t xml:space="preserve"> amplitudes (80 and 152 µm) and treatment time (5 and 10 min) were </w:t>
      </w:r>
      <w:r w:rsidR="0050798A">
        <w:rPr>
          <w:lang w:val="en-GB"/>
        </w:rPr>
        <w:t>investigat</w:t>
      </w:r>
      <w:r w:rsidRPr="00947BBE">
        <w:rPr>
          <w:lang w:val="en-GB"/>
        </w:rPr>
        <w:t>ed.</w:t>
      </w:r>
      <w:r w:rsidR="00814ECF" w:rsidRPr="00814ECF">
        <w:rPr>
          <w:lang w:val="en-GB"/>
        </w:rPr>
        <w:t xml:space="preserve"> </w:t>
      </w:r>
      <w:r w:rsidR="00814ECF" w:rsidRPr="00947BBE">
        <w:rPr>
          <w:lang w:val="en-GB"/>
        </w:rPr>
        <w:t xml:space="preserve">This study closes a literature gap on </w:t>
      </w:r>
      <w:r w:rsidR="00814ECF">
        <w:rPr>
          <w:lang w:val="en-GB"/>
        </w:rPr>
        <w:t>UAE</w:t>
      </w:r>
      <w:r w:rsidR="00814ECF" w:rsidRPr="00947BBE">
        <w:rPr>
          <w:lang w:val="en-GB"/>
        </w:rPr>
        <w:t xml:space="preserve"> </w:t>
      </w:r>
      <w:r w:rsidR="004F7701">
        <w:rPr>
          <w:lang w:val="en-GB"/>
        </w:rPr>
        <w:t>from</w:t>
      </w:r>
      <w:r w:rsidR="00814ECF">
        <w:rPr>
          <w:lang w:val="en-GB"/>
        </w:rPr>
        <w:t xml:space="preserve"> SCG and STL using</w:t>
      </w:r>
      <w:r w:rsidR="00814ECF" w:rsidRPr="00947BBE">
        <w:rPr>
          <w:lang w:val="en-GB"/>
        </w:rPr>
        <w:t xml:space="preserve"> GRAS (Generally Recognized as Safe) solvents, in particular with </w:t>
      </w:r>
      <w:r w:rsidR="00814ECF">
        <w:rPr>
          <w:lang w:val="en-GB"/>
        </w:rPr>
        <w:t>water</w:t>
      </w:r>
      <w:r w:rsidR="00814ECF" w:rsidRPr="00947BBE">
        <w:rPr>
          <w:lang w:val="en-GB"/>
        </w:rPr>
        <w:t>.</w:t>
      </w:r>
    </w:p>
    <w:p w14:paraId="60B1C648" w14:textId="7694469B" w:rsidR="0091252A" w:rsidRPr="00947BBE" w:rsidRDefault="00A97B71" w:rsidP="0091252A">
      <w:pPr>
        <w:pStyle w:val="CETBodytext"/>
        <w:rPr>
          <w:lang w:val="en-GB"/>
        </w:rPr>
      </w:pPr>
      <w:r w:rsidRPr="00947BBE">
        <w:rPr>
          <w:lang w:val="en-GB"/>
        </w:rPr>
        <w:t xml:space="preserve">US had an evident positive effect on the recovery of natural antioxidants when the solvent media was </w:t>
      </w:r>
      <w:r w:rsidR="00A90BB0">
        <w:rPr>
          <w:lang w:val="en-GB"/>
        </w:rPr>
        <w:t>aqueous</w:t>
      </w:r>
      <w:r w:rsidR="00755238">
        <w:rPr>
          <w:lang w:val="en-GB"/>
        </w:rPr>
        <w:t xml:space="preserve"> </w:t>
      </w:r>
      <w:r w:rsidRPr="00947BBE">
        <w:rPr>
          <w:lang w:val="en-GB"/>
        </w:rPr>
        <w:t>ethanol. In particular, applying the US treatment at 152 µm for 10 min, the total phenolic compounds content of SCG (24.01 ±0.01 mg</w:t>
      </w:r>
      <w:r w:rsidR="009D2DDA" w:rsidRPr="009D2DDA">
        <w:rPr>
          <w:lang w:val="en-GB"/>
        </w:rPr>
        <w:t>GAE</w:t>
      </w:r>
      <w:r w:rsidRPr="00947BBE">
        <w:rPr>
          <w:lang w:val="en-GB"/>
        </w:rPr>
        <w:t>/g</w:t>
      </w:r>
      <w:r w:rsidR="00C56182">
        <w:rPr>
          <w:vertAlign w:val="subscript"/>
          <w:lang w:val="en-GB"/>
        </w:rPr>
        <w:t>TS</w:t>
      </w:r>
      <w:r w:rsidRPr="00947BBE">
        <w:rPr>
          <w:lang w:val="en-GB"/>
        </w:rPr>
        <w:t>) and STL (243.67 ±12.36 mg</w:t>
      </w:r>
      <w:r w:rsidRPr="009D2DDA">
        <w:rPr>
          <w:lang w:val="en-GB"/>
        </w:rPr>
        <w:t>GAE</w:t>
      </w:r>
      <w:r w:rsidRPr="00947BBE">
        <w:rPr>
          <w:lang w:val="en-GB"/>
        </w:rPr>
        <w:t>/g</w:t>
      </w:r>
      <w:r w:rsidR="00C56182">
        <w:rPr>
          <w:vertAlign w:val="subscript"/>
          <w:lang w:val="en-GB"/>
        </w:rPr>
        <w:t>TS</w:t>
      </w:r>
      <w:r w:rsidRPr="00947BBE">
        <w:rPr>
          <w:lang w:val="en-GB"/>
        </w:rPr>
        <w:t>) extracts doubled and quadrupled, respectively.</w:t>
      </w:r>
      <w:r w:rsidR="006512CF">
        <w:rPr>
          <w:lang w:val="en-GB"/>
        </w:rPr>
        <w:t xml:space="preserve"> </w:t>
      </w:r>
      <w:r w:rsidR="0084285C">
        <w:rPr>
          <w:lang w:val="en-GB"/>
        </w:rPr>
        <w:t xml:space="preserve">Likewise, caffeine recovery significantly increased after sonication up to </w:t>
      </w:r>
      <w:r w:rsidR="0084285C">
        <w:rPr>
          <w:rFonts w:cs="Arial"/>
          <w:lang w:val="en-GB"/>
        </w:rPr>
        <w:t xml:space="preserve">2.19 </w:t>
      </w:r>
      <w:r w:rsidR="0084285C" w:rsidRPr="007A31CF">
        <w:rPr>
          <w:rFonts w:cs="Arial"/>
          <w:lang w:val="en-GB"/>
        </w:rPr>
        <w:t>±</w:t>
      </w:r>
      <w:r w:rsidR="0084285C">
        <w:rPr>
          <w:rFonts w:cs="Arial"/>
          <w:lang w:val="en-GB"/>
        </w:rPr>
        <w:t xml:space="preserve">0.02 </w:t>
      </w:r>
      <w:r w:rsidR="0084285C">
        <w:rPr>
          <w:lang w:val="en-GB"/>
        </w:rPr>
        <w:t>mg</w:t>
      </w:r>
      <w:r w:rsidR="0084285C" w:rsidRPr="00947BBE">
        <w:rPr>
          <w:lang w:val="en-GB"/>
        </w:rPr>
        <w:t>/g</w:t>
      </w:r>
      <w:r w:rsidR="0084285C">
        <w:rPr>
          <w:vertAlign w:val="subscript"/>
          <w:lang w:val="en-GB"/>
        </w:rPr>
        <w:t>TS</w:t>
      </w:r>
      <w:r w:rsidR="009A32CF">
        <w:rPr>
          <w:lang w:val="en-GB"/>
        </w:rPr>
        <w:t xml:space="preserve"> from SCG</w:t>
      </w:r>
      <w:r w:rsidR="0084285C">
        <w:rPr>
          <w:lang w:val="en-GB"/>
        </w:rPr>
        <w:t xml:space="preserve"> and up to </w:t>
      </w:r>
      <w:r w:rsidR="00144195">
        <w:rPr>
          <w:rFonts w:cs="Arial"/>
          <w:lang w:val="en-GB"/>
        </w:rPr>
        <w:t xml:space="preserve">12.74 </w:t>
      </w:r>
      <w:r w:rsidR="00144195" w:rsidRPr="007A31CF">
        <w:rPr>
          <w:rFonts w:cs="Arial"/>
          <w:lang w:val="en-GB"/>
        </w:rPr>
        <w:t>±</w:t>
      </w:r>
      <w:r w:rsidR="00144195">
        <w:rPr>
          <w:rFonts w:cs="Arial"/>
          <w:lang w:val="en-GB"/>
        </w:rPr>
        <w:t xml:space="preserve">0.36 </w:t>
      </w:r>
      <w:r w:rsidR="00144195">
        <w:rPr>
          <w:lang w:val="en-GB"/>
        </w:rPr>
        <w:t>mg</w:t>
      </w:r>
      <w:r w:rsidR="00144195" w:rsidRPr="00947BBE">
        <w:rPr>
          <w:lang w:val="en-GB"/>
        </w:rPr>
        <w:t>/g</w:t>
      </w:r>
      <w:r w:rsidR="00144195">
        <w:rPr>
          <w:vertAlign w:val="subscript"/>
          <w:lang w:val="en-GB"/>
        </w:rPr>
        <w:t>TS</w:t>
      </w:r>
      <w:r w:rsidR="00144195">
        <w:rPr>
          <w:lang w:val="en-GB"/>
        </w:rPr>
        <w:t xml:space="preserve"> </w:t>
      </w:r>
      <w:r w:rsidR="00C77F17">
        <w:rPr>
          <w:lang w:val="en-GB"/>
        </w:rPr>
        <w:t>from STL</w:t>
      </w:r>
      <w:r w:rsidR="0084285C">
        <w:rPr>
          <w:lang w:val="en-GB"/>
        </w:rPr>
        <w:t xml:space="preserve">. </w:t>
      </w:r>
    </w:p>
    <w:p w14:paraId="68143B38" w14:textId="423A07EF" w:rsidR="00A97B71" w:rsidRPr="00947BBE" w:rsidRDefault="00A97B71" w:rsidP="00A97B71">
      <w:pPr>
        <w:pStyle w:val="CETBodytext"/>
        <w:rPr>
          <w:lang w:val="en-GB"/>
        </w:rPr>
      </w:pPr>
    </w:p>
    <w:p w14:paraId="6B30C54F" w14:textId="77777777" w:rsidR="00A97B71" w:rsidRPr="00947BBE" w:rsidRDefault="00A97B71" w:rsidP="00A97B71">
      <w:pPr>
        <w:pStyle w:val="CETHeading1"/>
        <w:rPr>
          <w:lang w:val="en-GB"/>
        </w:rPr>
      </w:pPr>
      <w:r w:rsidRPr="00947BBE">
        <w:rPr>
          <w:lang w:val="en-GB"/>
        </w:rPr>
        <w:t>Introduction</w:t>
      </w:r>
    </w:p>
    <w:p w14:paraId="35A45E7F" w14:textId="6381AC9D" w:rsidR="00A90BB0" w:rsidRDefault="00A90BB0" w:rsidP="00A90BB0">
      <w:pPr>
        <w:pStyle w:val="CETBodytext"/>
        <w:rPr>
          <w:lang w:val="en-GB"/>
        </w:rPr>
      </w:pPr>
      <w:r w:rsidRPr="00632B52">
        <w:t xml:space="preserve">Embracing the personalized nutrition approach, food industries have been </w:t>
      </w:r>
      <w:r w:rsidR="00134B2D">
        <w:t>formulating</w:t>
      </w:r>
      <w:r w:rsidRPr="00632B52">
        <w:t xml:space="preserve"> </w:t>
      </w:r>
      <w:r w:rsidRPr="00632B52">
        <w:rPr>
          <w:lang w:val="en-GB"/>
        </w:rPr>
        <w:t xml:space="preserve">functional foods </w:t>
      </w:r>
      <w:r w:rsidR="00134B2D">
        <w:rPr>
          <w:lang w:val="en-GB"/>
        </w:rPr>
        <w:t>with the</w:t>
      </w:r>
      <w:r w:rsidRPr="00632B52">
        <w:rPr>
          <w:lang w:val="en-GB"/>
        </w:rPr>
        <w:t xml:space="preserve"> promise </w:t>
      </w:r>
      <w:r w:rsidR="00134B2D">
        <w:rPr>
          <w:lang w:val="en-GB"/>
        </w:rPr>
        <w:t xml:space="preserve">to promote </w:t>
      </w:r>
      <w:r w:rsidRPr="00632B52">
        <w:rPr>
          <w:lang w:val="en-GB"/>
        </w:rPr>
        <w:t xml:space="preserve">a reduction in the level of risk factors for chronic disease, </w:t>
      </w:r>
      <w:r w:rsidR="00134B2D">
        <w:rPr>
          <w:lang w:val="en-GB"/>
        </w:rPr>
        <w:t xml:space="preserve">to </w:t>
      </w:r>
      <w:r w:rsidRPr="00632B52">
        <w:rPr>
          <w:lang w:val="en-GB"/>
        </w:rPr>
        <w:t xml:space="preserve">support dietary needs for people under special diets for medical conditions and </w:t>
      </w:r>
      <w:r w:rsidR="00134B2D">
        <w:rPr>
          <w:lang w:val="en-GB"/>
        </w:rPr>
        <w:t xml:space="preserve">to </w:t>
      </w:r>
      <w:r w:rsidRPr="00632B52">
        <w:rPr>
          <w:lang w:val="en-GB"/>
        </w:rPr>
        <w:t>deliver key nutrients to athletes and sportspeople. Indeed, functional foods market value is expected to expand at a compound annual growth rate of 8.5% from 2022 to 2030</w:t>
      </w:r>
      <w:r>
        <w:rPr>
          <w:lang w:val="en-GB"/>
        </w:rPr>
        <w:t xml:space="preserve"> </w:t>
      </w:r>
      <w:r w:rsidRPr="00AA75BE">
        <w:rPr>
          <w:lang w:val="en-GB"/>
        </w:rPr>
        <w:t>(GVR, 2023)</w:t>
      </w:r>
      <w:r w:rsidRPr="00632B52">
        <w:rPr>
          <w:lang w:val="en-GB"/>
        </w:rPr>
        <w:t xml:space="preserve">, therefore, the first and foremost activity is mining bioactive ingredients to be added in the formulation of many different foods and drinks. </w:t>
      </w:r>
    </w:p>
    <w:p w14:paraId="5E4BBE06" w14:textId="6CAA56CD" w:rsidR="00A90BB0" w:rsidRDefault="00A90BB0" w:rsidP="00A90BB0">
      <w:pPr>
        <w:pStyle w:val="CETBodytext"/>
        <w:rPr>
          <w:lang w:val="en-GB"/>
        </w:rPr>
      </w:pPr>
      <w:r w:rsidRPr="00632B52">
        <w:rPr>
          <w:lang w:val="en-GB"/>
        </w:rPr>
        <w:t xml:space="preserve">Food by-products are attracting enormous attention amongst researchers as potential raw materials for the manufacturing of value-added compounds with high functionality and/or bioactivity. Valorisation and upcycling of food by-products or waste </w:t>
      </w:r>
      <w:r w:rsidR="00C77F17" w:rsidRPr="00632B52">
        <w:rPr>
          <w:lang w:val="en-GB"/>
        </w:rPr>
        <w:t xml:space="preserve">discarded along the food chain </w:t>
      </w:r>
      <w:r w:rsidRPr="00632B52">
        <w:rPr>
          <w:lang w:val="en-GB"/>
        </w:rPr>
        <w:t xml:space="preserve">is a practice perfectly aligned with the Circular Economy principles and with the SDGs. </w:t>
      </w:r>
      <w:r>
        <w:rPr>
          <w:lang w:val="en-GB"/>
        </w:rPr>
        <w:t>However, depending on the investigated substrate, the</w:t>
      </w:r>
      <w:r w:rsidRPr="00632B52">
        <w:rPr>
          <w:lang w:val="en-GB"/>
        </w:rPr>
        <w:t xml:space="preserve"> extraction of high added-value compounds </w:t>
      </w:r>
      <w:r>
        <w:rPr>
          <w:lang w:val="en-GB"/>
        </w:rPr>
        <w:t>may face</w:t>
      </w:r>
      <w:r w:rsidRPr="00632B52">
        <w:rPr>
          <w:lang w:val="en-GB"/>
        </w:rPr>
        <w:t xml:space="preserve"> some technical issues such as the incomplete release of intracellular content from solid matrixes. Environmentally friendly techniques coupling the use of green solvents with technologies such as ultrasounds (US) are being investigated to reduce the mass transfer resistances of target solutes and solvents through the cell envelop (i.e. membrane, wall)</w:t>
      </w:r>
      <w:r w:rsidR="00C77F17">
        <w:rPr>
          <w:lang w:val="en-GB"/>
        </w:rPr>
        <w:t xml:space="preserve"> (Carpentieri et al., 2022).</w:t>
      </w:r>
    </w:p>
    <w:p w14:paraId="67194F1B" w14:textId="5F7CC173" w:rsidR="00FF13FC" w:rsidRPr="00947BBE" w:rsidRDefault="00062004" w:rsidP="00FF13FC">
      <w:pPr>
        <w:pStyle w:val="CETBodytext"/>
        <w:rPr>
          <w:lang w:val="en-GB"/>
        </w:rPr>
      </w:pPr>
      <w:r>
        <w:rPr>
          <w:lang w:val="en-GB"/>
        </w:rPr>
        <w:t>Tea and coffee are</w:t>
      </w:r>
      <w:r w:rsidR="00A90BB0" w:rsidRPr="00487BEC">
        <w:rPr>
          <w:lang w:val="en-GB"/>
        </w:rPr>
        <w:t xml:space="preserve"> the most-consumed beverages worldwide with</w:t>
      </w:r>
      <w:r>
        <w:rPr>
          <w:lang w:val="en-GB"/>
        </w:rPr>
        <w:t xml:space="preserve"> associated huge amounts of residual</w:t>
      </w:r>
      <w:r w:rsidR="00A90BB0" w:rsidRPr="00487BEC">
        <w:rPr>
          <w:lang w:val="en-GB"/>
        </w:rPr>
        <w:t xml:space="preserve"> waste substrates. Since functional ingre</w:t>
      </w:r>
      <w:r>
        <w:rPr>
          <w:lang w:val="en-GB"/>
        </w:rPr>
        <w:t>dients commonly found within</w:t>
      </w:r>
      <w:r w:rsidR="00A90BB0" w:rsidRPr="00487BEC">
        <w:rPr>
          <w:lang w:val="en-GB"/>
        </w:rPr>
        <w:t xml:space="preserve"> raw materials</w:t>
      </w:r>
      <w:r>
        <w:rPr>
          <w:lang w:val="en-GB"/>
        </w:rPr>
        <w:t xml:space="preserve"> (tea leaves and coffee grounds)</w:t>
      </w:r>
      <w:r w:rsidR="00A90BB0" w:rsidRPr="00487BEC">
        <w:rPr>
          <w:lang w:val="en-GB"/>
        </w:rPr>
        <w:t xml:space="preserve">, namely, caffeine and phenolic compounds such as chlorogenic acid (CGA), gallic acid (GA), and catechin </w:t>
      </w:r>
      <w:r w:rsidR="00A90BB0" w:rsidRPr="00487BEC">
        <w:rPr>
          <w:lang w:val="en-GB"/>
        </w:rPr>
        <w:lastRenderedPageBreak/>
        <w:t>derivatives, are not fully extracted during beverage preparation, the</w:t>
      </w:r>
      <w:r w:rsidR="00A90BB0">
        <w:rPr>
          <w:lang w:val="en-GB"/>
        </w:rPr>
        <w:t>ir</w:t>
      </w:r>
      <w:r w:rsidR="00A90BB0" w:rsidRPr="00487BEC">
        <w:rPr>
          <w:lang w:val="en-GB"/>
        </w:rPr>
        <w:t xml:space="preserve"> solid vegetal residues can be regarded as a precious source of bioactives.</w:t>
      </w:r>
      <w:r w:rsidR="003E7EA3">
        <w:rPr>
          <w:lang w:val="en-GB"/>
        </w:rPr>
        <w:t xml:space="preserve"> </w:t>
      </w:r>
      <w:r w:rsidR="00FF13FC" w:rsidRPr="00947BBE">
        <w:rPr>
          <w:lang w:val="en-GB"/>
        </w:rPr>
        <w:t>Conventional extraction process</w:t>
      </w:r>
      <w:r w:rsidR="00FF13FC">
        <w:rPr>
          <w:lang w:val="en-GB"/>
        </w:rPr>
        <w:t>es</w:t>
      </w:r>
      <w:r w:rsidR="00FF13FC" w:rsidRPr="00947BBE">
        <w:rPr>
          <w:lang w:val="en-GB"/>
        </w:rPr>
        <w:t xml:space="preserve"> using solvents have been already largely applied on </w:t>
      </w:r>
      <w:r w:rsidR="00FF13FC" w:rsidRPr="00487BEC">
        <w:rPr>
          <w:lang w:val="en-GB"/>
        </w:rPr>
        <w:t xml:space="preserve">spent coffee grounds </w:t>
      </w:r>
      <w:r w:rsidR="00FF13FC">
        <w:rPr>
          <w:lang w:val="en-GB"/>
        </w:rPr>
        <w:t xml:space="preserve">(SCG) </w:t>
      </w:r>
      <w:r w:rsidR="00FF13FC" w:rsidRPr="00487BEC">
        <w:rPr>
          <w:lang w:val="en-GB"/>
        </w:rPr>
        <w:t>and spent tea leaves</w:t>
      </w:r>
      <w:r w:rsidR="00FF13FC">
        <w:rPr>
          <w:lang w:val="en-GB"/>
        </w:rPr>
        <w:t xml:space="preserve"> (STL)</w:t>
      </w:r>
      <w:r w:rsidR="00FF13FC" w:rsidRPr="00947BBE">
        <w:rPr>
          <w:lang w:val="en-GB"/>
        </w:rPr>
        <w:t xml:space="preserve"> (Vandeponseele et al., 2021; Nadiah and Uthumporn, 2015). Since SCG are of lignocellulosic nature while hemicellulose and cellulose are the main components of STL, US appear to be efficient in assisting the extraction process. Indeed, the collapse of cavitation bubbles during sonication implies the release of large amounts of energy that destroys the cell walls of the </w:t>
      </w:r>
      <w:r w:rsidR="00FF13FC">
        <w:rPr>
          <w:lang w:val="en-GB"/>
        </w:rPr>
        <w:t>vegetal</w:t>
      </w:r>
      <w:r w:rsidR="00FF13FC" w:rsidRPr="00947BBE">
        <w:rPr>
          <w:lang w:val="en-GB"/>
        </w:rPr>
        <w:t xml:space="preserve"> matrix aiding the cell content discharge into the medium</w:t>
      </w:r>
      <w:r w:rsidR="00FF13FC" w:rsidRPr="00947BBE">
        <w:t xml:space="preserve"> (Guglielmetti et al., 2017).</w:t>
      </w:r>
      <w:r w:rsidR="00FF13FC">
        <w:t xml:space="preserve"> </w:t>
      </w:r>
      <w:r w:rsidR="00FF13FC" w:rsidRPr="00947BBE">
        <w:rPr>
          <w:lang w:val="en-GB"/>
        </w:rPr>
        <w:t xml:space="preserve">US were successfully tested </w:t>
      </w:r>
      <w:r w:rsidR="00FF13FC">
        <w:rPr>
          <w:lang w:val="en-GB"/>
        </w:rPr>
        <w:t>for</w:t>
      </w:r>
      <w:r w:rsidR="00FF13FC" w:rsidRPr="00947BBE">
        <w:rPr>
          <w:lang w:val="en-GB"/>
        </w:rPr>
        <w:t xml:space="preserve"> the</w:t>
      </w:r>
      <w:r w:rsidR="00FF13FC">
        <w:rPr>
          <w:lang w:val="en-GB"/>
        </w:rPr>
        <w:t xml:space="preserve"> extraction</w:t>
      </w:r>
      <w:r w:rsidR="00FF13FC" w:rsidRPr="00947BBE">
        <w:rPr>
          <w:lang w:val="en-GB"/>
        </w:rPr>
        <w:t xml:space="preserve"> </w:t>
      </w:r>
      <w:r w:rsidR="00FF13FC">
        <w:rPr>
          <w:lang w:val="en-GB"/>
        </w:rPr>
        <w:t>intensification</w:t>
      </w:r>
      <w:r w:rsidR="00FF13FC" w:rsidRPr="00947BBE">
        <w:rPr>
          <w:lang w:val="en-GB"/>
        </w:rPr>
        <w:t xml:space="preserve"> of catechins, caffeine and other antioxidant compounds from tea leaves (Gu et al., 2007)</w:t>
      </w:r>
      <w:r w:rsidR="00FF13FC">
        <w:rPr>
          <w:lang w:val="en-GB"/>
        </w:rPr>
        <w:t xml:space="preserve"> and</w:t>
      </w:r>
      <w:r w:rsidR="00FF13FC" w:rsidRPr="00947BBE">
        <w:rPr>
          <w:lang w:val="en-GB"/>
        </w:rPr>
        <w:t xml:space="preserve"> coffee beans (Menzio et al., 202</w:t>
      </w:r>
      <w:r w:rsidR="00FF13FC">
        <w:rPr>
          <w:lang w:val="en-GB"/>
        </w:rPr>
        <w:t>0</w:t>
      </w:r>
      <w:r w:rsidR="00FF13FC" w:rsidRPr="00947BBE">
        <w:rPr>
          <w:lang w:val="en-GB"/>
        </w:rPr>
        <w:t xml:space="preserve">). A recent study proved also their good potential </w:t>
      </w:r>
      <w:r w:rsidR="00FF13FC">
        <w:rPr>
          <w:lang w:val="en-GB"/>
        </w:rPr>
        <w:t>in</w:t>
      </w:r>
      <w:r w:rsidR="00FF13FC" w:rsidRPr="00947BBE">
        <w:rPr>
          <w:lang w:val="en-GB"/>
        </w:rPr>
        <w:t xml:space="preserve"> improving the recovery of phenolic compounds from SCG using methanol as a solvent (Okur et al., 2021). However, to the best of the Authors’ knowledge, there are no literature data </w:t>
      </w:r>
      <w:r w:rsidR="00FF13FC">
        <w:rPr>
          <w:lang w:val="en-GB"/>
        </w:rPr>
        <w:t>concerni</w:t>
      </w:r>
      <w:r w:rsidR="00FF13FC" w:rsidRPr="00947BBE">
        <w:rPr>
          <w:lang w:val="en-GB"/>
        </w:rPr>
        <w:t>ng US applic</w:t>
      </w:r>
      <w:r w:rsidR="00FF13FC">
        <w:rPr>
          <w:lang w:val="en-GB"/>
        </w:rPr>
        <w:t xml:space="preserve">ation on STL and SCG using GRAS </w:t>
      </w:r>
      <w:r w:rsidR="00FF13FC" w:rsidRPr="00947BBE">
        <w:rPr>
          <w:lang w:val="en-GB"/>
        </w:rPr>
        <w:t>(Generally Recognized as Safe) solvents.</w:t>
      </w:r>
    </w:p>
    <w:p w14:paraId="448A6A92" w14:textId="685CBCA5" w:rsidR="00A97B71" w:rsidRPr="00947BBE" w:rsidRDefault="00A90BB0" w:rsidP="00A97B71">
      <w:pPr>
        <w:pStyle w:val="CETBodytext"/>
        <w:rPr>
          <w:lang w:val="en-GB"/>
        </w:rPr>
      </w:pPr>
      <w:r w:rsidRPr="00947BBE">
        <w:rPr>
          <w:lang w:val="en-GB"/>
        </w:rPr>
        <w:t xml:space="preserve">Therefore, the purpose of this work is to </w:t>
      </w:r>
      <w:r>
        <w:rPr>
          <w:lang w:val="en-GB"/>
        </w:rPr>
        <w:t>evaluate</w:t>
      </w:r>
      <w:r w:rsidRPr="00947BBE">
        <w:rPr>
          <w:lang w:val="en-GB"/>
        </w:rPr>
        <w:t xml:space="preserve"> the effects of US at two different amplitudes</w:t>
      </w:r>
      <w:r w:rsidR="00FF13FC">
        <w:rPr>
          <w:lang w:val="en-GB"/>
        </w:rPr>
        <w:t xml:space="preserve"> (80 and 152 µm)</w:t>
      </w:r>
      <w:r w:rsidRPr="00947BBE">
        <w:rPr>
          <w:lang w:val="en-GB"/>
        </w:rPr>
        <w:t xml:space="preserve"> and treatment duration </w:t>
      </w:r>
      <w:r w:rsidR="00FF13FC" w:rsidRPr="00AA75BE">
        <w:rPr>
          <w:lang w:val="en-GB"/>
        </w:rPr>
        <w:t xml:space="preserve">(5 and 10 min) </w:t>
      </w:r>
      <w:r w:rsidR="00FF13FC">
        <w:rPr>
          <w:lang w:val="en-GB"/>
        </w:rPr>
        <w:t xml:space="preserve">on </w:t>
      </w:r>
      <w:r>
        <w:rPr>
          <w:lang w:val="en-GB"/>
        </w:rPr>
        <w:t>c</w:t>
      </w:r>
      <w:r w:rsidRPr="00947BBE">
        <w:rPr>
          <w:lang w:val="en-GB"/>
        </w:rPr>
        <w:t xml:space="preserve">onventional solid-liquid extraction </w:t>
      </w:r>
      <w:r>
        <w:rPr>
          <w:lang w:val="en-GB"/>
        </w:rPr>
        <w:t>using two GRAS solvents</w:t>
      </w:r>
      <w:r w:rsidRPr="00947BBE">
        <w:rPr>
          <w:lang w:val="en-GB"/>
        </w:rPr>
        <w:t>, namely hot water (100 ºC) and ethanol</w:t>
      </w:r>
      <w:r>
        <w:rPr>
          <w:lang w:val="en-GB"/>
        </w:rPr>
        <w:t>:water</w:t>
      </w:r>
      <w:r w:rsidRPr="00947BBE">
        <w:rPr>
          <w:lang w:val="en-GB"/>
        </w:rPr>
        <w:t xml:space="preserve"> (60</w:t>
      </w:r>
      <w:r>
        <w:rPr>
          <w:lang w:val="en-GB"/>
        </w:rPr>
        <w:t>:40</w:t>
      </w:r>
      <w:r w:rsidRPr="00947BBE">
        <w:rPr>
          <w:lang w:val="en-GB"/>
        </w:rPr>
        <w:t xml:space="preserve"> v/v). </w:t>
      </w:r>
      <w:r>
        <w:rPr>
          <w:lang w:val="en-GB"/>
        </w:rPr>
        <w:t>T</w:t>
      </w:r>
      <w:r w:rsidRPr="00947BBE">
        <w:rPr>
          <w:lang w:val="en-GB"/>
        </w:rPr>
        <w:t xml:space="preserve">otal phenolic content and antioxidant activity of SCG and STL extracts were </w:t>
      </w:r>
      <w:r>
        <w:rPr>
          <w:lang w:val="en-GB"/>
        </w:rPr>
        <w:t>measure</w:t>
      </w:r>
      <w:r w:rsidRPr="00947BBE">
        <w:rPr>
          <w:lang w:val="en-GB"/>
        </w:rPr>
        <w:t xml:space="preserve">d and the </w:t>
      </w:r>
      <w:r>
        <w:rPr>
          <w:lang w:val="en-GB"/>
        </w:rPr>
        <w:t>concentrations</w:t>
      </w:r>
      <w:r w:rsidRPr="00947BBE">
        <w:rPr>
          <w:lang w:val="en-GB"/>
        </w:rPr>
        <w:t xml:space="preserve"> of caffeine, chlorogenic acid, gallic acid and</w:t>
      </w:r>
      <w:r w:rsidR="003E7EA3" w:rsidRPr="003E7EA3">
        <w:t xml:space="preserve"> </w:t>
      </w:r>
      <w:r w:rsidR="003E7EA3" w:rsidRPr="003E7EA3">
        <w:rPr>
          <w:lang w:val="en-GB"/>
        </w:rPr>
        <w:t>e</w:t>
      </w:r>
      <w:r w:rsidR="00134B2D">
        <w:rPr>
          <w:lang w:val="en-GB"/>
        </w:rPr>
        <w:t xml:space="preserve">pigallocatechin gallate (EGCG), </w:t>
      </w:r>
      <w:r w:rsidR="003E7EA3" w:rsidRPr="003E7EA3">
        <w:rPr>
          <w:lang w:val="en-GB"/>
        </w:rPr>
        <w:t xml:space="preserve">the most abundant </w:t>
      </w:r>
      <w:r w:rsidR="003E7EA3">
        <w:rPr>
          <w:lang w:val="en-GB"/>
        </w:rPr>
        <w:t>catechin in tea,</w:t>
      </w:r>
      <w:r w:rsidRPr="00947BBE">
        <w:rPr>
          <w:lang w:val="en-GB"/>
        </w:rPr>
        <w:t xml:space="preserve"> were analysed </w:t>
      </w:r>
      <w:r>
        <w:rPr>
          <w:lang w:val="en-GB"/>
        </w:rPr>
        <w:t>by</w:t>
      </w:r>
      <w:r w:rsidRPr="00947BBE">
        <w:rPr>
          <w:lang w:val="en-GB"/>
        </w:rPr>
        <w:t xml:space="preserve"> HPLC.</w:t>
      </w:r>
    </w:p>
    <w:p w14:paraId="0881F83D" w14:textId="77777777" w:rsidR="00A97B71" w:rsidRPr="00947BBE" w:rsidRDefault="00A97B71" w:rsidP="00A97B71">
      <w:pPr>
        <w:pStyle w:val="CETHeading1"/>
        <w:tabs>
          <w:tab w:val="clear" w:pos="360"/>
          <w:tab w:val="right" w:pos="7100"/>
        </w:tabs>
        <w:jc w:val="both"/>
        <w:rPr>
          <w:lang w:val="en-GB"/>
        </w:rPr>
      </w:pPr>
      <w:r w:rsidRPr="00947BBE">
        <w:rPr>
          <w:lang w:val="en-GB"/>
        </w:rPr>
        <w:t>Materials and methods</w:t>
      </w:r>
    </w:p>
    <w:p w14:paraId="57EBCB5D" w14:textId="04C48601" w:rsidR="00A97B71" w:rsidRPr="00947BBE" w:rsidRDefault="00A97B71" w:rsidP="00A97B71">
      <w:pPr>
        <w:pStyle w:val="CETBodytext"/>
        <w:rPr>
          <w:lang w:val="en-GB"/>
        </w:rPr>
      </w:pPr>
      <w:r w:rsidRPr="00947BBE">
        <w:rPr>
          <w:lang w:val="en-GB"/>
        </w:rPr>
        <w:t xml:space="preserve">SCG and STL were collected from a </w:t>
      </w:r>
      <w:r w:rsidR="00C111F4">
        <w:rPr>
          <w:lang w:val="en-GB"/>
        </w:rPr>
        <w:t xml:space="preserve">local cafeteria and a local </w:t>
      </w:r>
      <w:r w:rsidRPr="00947BBE">
        <w:rPr>
          <w:lang w:val="en-GB"/>
        </w:rPr>
        <w:t>tea shop nearby the University of Milano</w:t>
      </w:r>
      <w:r w:rsidR="007D6543">
        <w:rPr>
          <w:lang w:val="en-GB"/>
        </w:rPr>
        <w:t>, they</w:t>
      </w:r>
      <w:r w:rsidRPr="00947BBE">
        <w:rPr>
          <w:lang w:val="en-GB"/>
        </w:rPr>
        <w:t xml:space="preserve"> were vacuum-</w:t>
      </w:r>
      <w:r w:rsidRPr="00D74ACA">
        <w:rPr>
          <w:lang w:val="en-GB"/>
        </w:rPr>
        <w:t xml:space="preserve">dried </w:t>
      </w:r>
      <w:r w:rsidR="00F1321E" w:rsidRPr="00D74ACA">
        <w:rPr>
          <w:lang w:val="en-GB"/>
        </w:rPr>
        <w:t>(</w:t>
      </w:r>
      <w:r w:rsidR="00D74ACA" w:rsidRPr="00D74ACA">
        <w:rPr>
          <w:lang w:val="en-GB"/>
        </w:rPr>
        <w:t>-100 mbar</w:t>
      </w:r>
      <w:r w:rsidR="00F1321E" w:rsidRPr="00D74ACA">
        <w:rPr>
          <w:lang w:val="en-GB"/>
        </w:rPr>
        <w:t xml:space="preserve">) </w:t>
      </w:r>
      <w:r w:rsidRPr="00D74ACA">
        <w:rPr>
          <w:lang w:val="en-GB"/>
        </w:rPr>
        <w:t xml:space="preserve">for </w:t>
      </w:r>
      <w:r w:rsidRPr="00947BBE">
        <w:rPr>
          <w:lang w:val="en-GB"/>
        </w:rPr>
        <w:t>24 h at 60 °C, vacuum-packed in plastic bags and stored at 4 °C until further analysis.</w:t>
      </w:r>
      <w:r w:rsidR="00A90BB0">
        <w:rPr>
          <w:lang w:val="en-GB"/>
        </w:rPr>
        <w:t xml:space="preserve"> </w:t>
      </w:r>
      <w:r w:rsidR="00FB533B">
        <w:rPr>
          <w:lang w:val="en-GB"/>
        </w:rPr>
        <w:t>Analytical standards</w:t>
      </w:r>
      <w:r w:rsidR="00FB533B" w:rsidRPr="00947BBE">
        <w:rPr>
          <w:lang w:val="en-GB"/>
        </w:rPr>
        <w:t xml:space="preserve"> </w:t>
      </w:r>
      <w:r w:rsidR="00FB533B">
        <w:rPr>
          <w:lang w:val="en-GB"/>
        </w:rPr>
        <w:t xml:space="preserve">and reagents were </w:t>
      </w:r>
      <w:r w:rsidR="00FB533B" w:rsidRPr="00947BBE">
        <w:rPr>
          <w:lang w:val="en-GB"/>
        </w:rPr>
        <w:t xml:space="preserve">purchased from </w:t>
      </w:r>
      <w:r w:rsidR="00FB533B" w:rsidRPr="00D74ACA">
        <w:rPr>
          <w:lang w:val="en-GB"/>
        </w:rPr>
        <w:t>Merck (Italy).</w:t>
      </w:r>
    </w:p>
    <w:p w14:paraId="0BE58E79" w14:textId="020733CA" w:rsidR="00A97B71" w:rsidRPr="00947BBE" w:rsidRDefault="00A97B71" w:rsidP="00A97B71">
      <w:pPr>
        <w:pStyle w:val="CETBodytext"/>
        <w:rPr>
          <w:lang w:val="en-GB"/>
        </w:rPr>
      </w:pPr>
      <w:r w:rsidRPr="00947BBE">
        <w:rPr>
          <w:lang w:val="en-GB"/>
        </w:rPr>
        <w:t>Determination of total solids</w:t>
      </w:r>
      <w:r w:rsidR="00C56182">
        <w:rPr>
          <w:lang w:val="en-GB"/>
        </w:rPr>
        <w:t xml:space="preserve"> (TS)</w:t>
      </w:r>
      <w:r w:rsidR="00842DF1">
        <w:rPr>
          <w:lang w:val="en-GB"/>
        </w:rPr>
        <w:t xml:space="preserve"> and</w:t>
      </w:r>
      <w:r w:rsidRPr="00947BBE">
        <w:rPr>
          <w:lang w:val="en-GB"/>
        </w:rPr>
        <w:t xml:space="preserve"> ashes on dried SCG and STL was performed according to the m</w:t>
      </w:r>
      <w:r w:rsidR="00D22011">
        <w:rPr>
          <w:lang w:val="en-GB"/>
        </w:rPr>
        <w:t>ethods described by AOAC (2000).</w:t>
      </w:r>
    </w:p>
    <w:p w14:paraId="009769B7" w14:textId="77777777" w:rsidR="00A97B71" w:rsidRPr="00947BBE" w:rsidRDefault="00A97B71" w:rsidP="00273771">
      <w:pPr>
        <w:pStyle w:val="CETheadingx"/>
        <w:rPr>
          <w:color w:val="auto"/>
        </w:rPr>
      </w:pPr>
      <w:r w:rsidRPr="00947BBE">
        <w:rPr>
          <w:color w:val="auto"/>
        </w:rPr>
        <w:t>Extraction procedure</w:t>
      </w:r>
    </w:p>
    <w:p w14:paraId="7BD5EBA0" w14:textId="7F407618" w:rsidR="00F1321E" w:rsidRPr="00A55737" w:rsidRDefault="00A97B71" w:rsidP="00B3307E">
      <w:pPr>
        <w:pStyle w:val="CETBodytext"/>
        <w:rPr>
          <w:rFonts w:cs="Arial"/>
          <w:lang w:val="en-GB"/>
        </w:rPr>
      </w:pPr>
      <w:r w:rsidRPr="00947BBE">
        <w:rPr>
          <w:lang w:val="en-GB"/>
        </w:rPr>
        <w:t>Extracts were obtained</w:t>
      </w:r>
      <w:r w:rsidR="00E3163A">
        <w:rPr>
          <w:lang w:val="en-GB"/>
        </w:rPr>
        <w:t xml:space="preserve"> by</w:t>
      </w:r>
      <w:r w:rsidRPr="00947BBE">
        <w:rPr>
          <w:lang w:val="en-GB"/>
        </w:rPr>
        <w:t xml:space="preserve"> comparing two different solvents</w:t>
      </w:r>
      <w:r w:rsidR="001338C4">
        <w:rPr>
          <w:lang w:val="en-GB"/>
        </w:rPr>
        <w:t>, namely</w:t>
      </w:r>
      <w:r w:rsidRPr="00947BBE">
        <w:rPr>
          <w:lang w:val="en-GB"/>
        </w:rPr>
        <w:t xml:space="preserve"> </w:t>
      </w:r>
      <w:r w:rsidR="00F1321E">
        <w:rPr>
          <w:lang w:val="en-GB"/>
        </w:rPr>
        <w:t>ethanol:water</w:t>
      </w:r>
      <w:r w:rsidRPr="00947BBE">
        <w:rPr>
          <w:lang w:val="en-GB"/>
        </w:rPr>
        <w:t xml:space="preserve"> (60</w:t>
      </w:r>
      <w:r w:rsidR="00F1321E">
        <w:rPr>
          <w:lang w:val="en-GB"/>
        </w:rPr>
        <w:t xml:space="preserve">:40 </w:t>
      </w:r>
      <w:r w:rsidRPr="00947BBE">
        <w:rPr>
          <w:lang w:val="en-GB"/>
        </w:rPr>
        <w:t>v/v) and boiling water</w:t>
      </w:r>
      <w:r w:rsidR="0082581F">
        <w:rPr>
          <w:lang w:val="en-GB"/>
        </w:rPr>
        <w:t xml:space="preserve"> (</w:t>
      </w:r>
      <w:r w:rsidR="0082581F" w:rsidRPr="0082581F">
        <w:t>Ballesteros</w:t>
      </w:r>
      <w:r w:rsidR="0082581F">
        <w:t xml:space="preserve"> et al., 2014</w:t>
      </w:r>
      <w:r w:rsidR="0082581F">
        <w:rPr>
          <w:lang w:val="en-GB"/>
        </w:rPr>
        <w:t>)</w:t>
      </w:r>
      <w:r w:rsidRPr="00947BBE">
        <w:rPr>
          <w:lang w:val="en-GB"/>
        </w:rPr>
        <w:t xml:space="preserve">. A substrate to solvent ratio of 1:15 (w/v) was </w:t>
      </w:r>
      <w:r w:rsidR="001338C4">
        <w:rPr>
          <w:lang w:val="en-GB"/>
        </w:rPr>
        <w:t>fixe</w:t>
      </w:r>
      <w:r w:rsidRPr="00947BBE">
        <w:rPr>
          <w:lang w:val="en-GB"/>
        </w:rPr>
        <w:t xml:space="preserve">d and the extraction time was set at 30 min under magnetic stirring (Nadiah and Uthumporn, 2015; Guglielmetti et al., 2017). </w:t>
      </w:r>
      <w:r w:rsidR="00F1321E" w:rsidRPr="00947BBE">
        <w:rPr>
          <w:lang w:val="en-GB"/>
        </w:rPr>
        <w:t xml:space="preserve">UAE was </w:t>
      </w:r>
      <w:r w:rsidR="00E976EF">
        <w:rPr>
          <w:lang w:val="en-GB"/>
        </w:rPr>
        <w:t>implemented</w:t>
      </w:r>
      <w:r w:rsidR="00F1321E" w:rsidRPr="00947BBE">
        <w:rPr>
          <w:lang w:val="en-GB"/>
        </w:rPr>
        <w:t xml:space="preserve"> using a sonicator (Fisherbrand, FB505EUK-220, USA</w:t>
      </w:r>
      <w:r w:rsidR="005B1D4F">
        <w:rPr>
          <w:lang w:val="en-GB"/>
        </w:rPr>
        <w:t xml:space="preserve">) working at a 20 kHz frequency. Treatments were carried out </w:t>
      </w:r>
      <w:r w:rsidR="00F1321E" w:rsidRPr="00947BBE">
        <w:rPr>
          <w:lang w:val="en-GB"/>
        </w:rPr>
        <w:t>at 80 μm and 152 μm amplitude</w:t>
      </w:r>
      <w:r w:rsidR="005B1D4F">
        <w:rPr>
          <w:lang w:val="en-GB"/>
        </w:rPr>
        <w:t>s based on the Authors’ previous studies</w:t>
      </w:r>
      <w:r w:rsidR="0082581F">
        <w:rPr>
          <w:lang w:val="en-GB"/>
        </w:rPr>
        <w:t xml:space="preserve">. SCG and STL were </w:t>
      </w:r>
      <w:r w:rsidR="005B1D4F">
        <w:rPr>
          <w:lang w:val="en-GB"/>
        </w:rPr>
        <w:t>sonicated</w:t>
      </w:r>
      <w:r w:rsidR="0082581F">
        <w:rPr>
          <w:lang w:val="en-GB"/>
        </w:rPr>
        <w:t xml:space="preserve"> for 5 and 10 min</w:t>
      </w:r>
      <w:r w:rsidR="005B1D4F">
        <w:rPr>
          <w:lang w:val="en-GB"/>
        </w:rPr>
        <w:t xml:space="preserve"> and subsequently stirred for additional 25 or 20 min, respectively</w:t>
      </w:r>
      <w:r w:rsidR="002A6DD2">
        <w:rPr>
          <w:lang w:val="en-GB"/>
        </w:rPr>
        <w:t>, to complete the solvent extraction</w:t>
      </w:r>
      <w:r w:rsidR="00F1321E" w:rsidRPr="00947BBE">
        <w:rPr>
          <w:lang w:val="en-GB"/>
        </w:rPr>
        <w:t xml:space="preserve">. </w:t>
      </w:r>
      <w:r w:rsidR="00F1321E" w:rsidRPr="00A55737">
        <w:rPr>
          <w:lang w:val="en-GB"/>
        </w:rPr>
        <w:t xml:space="preserve">The applied specific US energy </w:t>
      </w:r>
      <w:r w:rsidR="00A656E9">
        <w:rPr>
          <w:lang w:val="en-GB"/>
        </w:rPr>
        <w:t>(E</w:t>
      </w:r>
      <w:r w:rsidR="00A656E9" w:rsidRPr="00A656E9">
        <w:rPr>
          <w:vertAlign w:val="subscript"/>
          <w:lang w:val="en-GB"/>
        </w:rPr>
        <w:t>i</w:t>
      </w:r>
      <w:r w:rsidR="00A656E9">
        <w:rPr>
          <w:lang w:val="en-GB"/>
        </w:rPr>
        <w:t xml:space="preserve">) </w:t>
      </w:r>
      <w:r w:rsidR="00F1321E">
        <w:rPr>
          <w:lang w:val="en-GB"/>
        </w:rPr>
        <w:t xml:space="preserve">was calculated based on Eq(1). </w:t>
      </w:r>
    </w:p>
    <w:p w14:paraId="684669DA" w14:textId="4FEDE120" w:rsidR="00A55737" w:rsidRDefault="007B418C" w:rsidP="0082581F">
      <w:pPr>
        <w:pStyle w:val="CETBodytext"/>
        <w:spacing w:before="240" w:after="240"/>
        <w:rPr>
          <w:rFonts w:cs="Arial"/>
          <w:szCs w:val="24"/>
          <w:lang w:eastAsia="it-IT"/>
        </w:rPr>
      </w:pPr>
      <m:oMath>
        <m:sSub>
          <m:sSubPr>
            <m:ctrlPr>
              <w:rPr>
                <w:rFonts w:ascii="Cambria Math" w:hAnsi="Cambria Math" w:cs="Arial"/>
                <w:i/>
                <w:szCs w:val="24"/>
                <w:lang w:eastAsia="it-IT"/>
              </w:rPr>
            </m:ctrlPr>
          </m:sSubPr>
          <m:e>
            <m:r>
              <w:rPr>
                <w:rFonts w:ascii="Cambria Math" w:hAnsi="Cambria Math" w:cs="Arial"/>
                <w:szCs w:val="24"/>
                <w:lang w:eastAsia="it-IT"/>
              </w:rPr>
              <m:t>E</m:t>
            </m:r>
          </m:e>
          <m:sub>
            <m:r>
              <w:rPr>
                <w:rFonts w:ascii="Cambria Math" w:hAnsi="Cambria Math" w:cs="Arial"/>
                <w:szCs w:val="24"/>
                <w:lang w:eastAsia="it-IT"/>
              </w:rPr>
              <m:t>i</m:t>
            </m:r>
          </m:sub>
        </m:sSub>
        <m:d>
          <m:dPr>
            <m:ctrlPr>
              <w:rPr>
                <w:rFonts w:ascii="Cambria Math" w:hAnsi="Cambria Math" w:cs="Arial"/>
                <w:i/>
                <w:szCs w:val="24"/>
                <w:lang w:eastAsia="it-IT"/>
              </w:rPr>
            </m:ctrlPr>
          </m:dPr>
          <m:e>
            <m:f>
              <m:fPr>
                <m:ctrlPr>
                  <w:rPr>
                    <w:rFonts w:ascii="Cambria Math" w:hAnsi="Cambria Math" w:cs="Arial"/>
                    <w:i/>
                    <w:szCs w:val="24"/>
                    <w:lang w:eastAsia="it-IT"/>
                  </w:rPr>
                </m:ctrlPr>
              </m:fPr>
              <m:num>
                <m:r>
                  <w:rPr>
                    <w:rFonts w:ascii="Cambria Math" w:hAnsi="Cambria Math" w:cs="Arial"/>
                    <w:szCs w:val="24"/>
                    <w:lang w:eastAsia="it-IT"/>
                  </w:rPr>
                  <m:t>MJ</m:t>
                </m:r>
              </m:num>
              <m:den>
                <m:r>
                  <w:rPr>
                    <w:rFonts w:ascii="Cambria Math" w:hAnsi="Cambria Math" w:cs="Arial"/>
                    <w:szCs w:val="24"/>
                    <w:lang w:eastAsia="it-IT"/>
                  </w:rPr>
                  <m:t>kgTS</m:t>
                </m:r>
              </m:den>
            </m:f>
          </m:e>
        </m:d>
        <m:r>
          <w:rPr>
            <w:rFonts w:ascii="Cambria Math" w:hAnsi="Cambria Math" w:cs="Arial"/>
            <w:szCs w:val="24"/>
            <w:lang w:eastAsia="it-IT"/>
          </w:rPr>
          <m:t>=</m:t>
        </m:r>
        <m:d>
          <m:dPr>
            <m:begChr m:val="["/>
            <m:endChr m:val="]"/>
            <m:ctrlPr>
              <w:rPr>
                <w:rFonts w:ascii="Cambria Math" w:hAnsi="Cambria Math" w:cs="Arial"/>
                <w:i/>
                <w:szCs w:val="24"/>
                <w:lang w:eastAsia="it-IT"/>
              </w:rPr>
            </m:ctrlPr>
          </m:dPr>
          <m:e>
            <m:f>
              <m:fPr>
                <m:ctrlPr>
                  <w:rPr>
                    <w:rFonts w:ascii="Cambria Math" w:hAnsi="Cambria Math" w:cs="Arial"/>
                    <w:szCs w:val="24"/>
                    <w:lang w:eastAsia="it-IT"/>
                  </w:rPr>
                </m:ctrlPr>
              </m:fPr>
              <m:num>
                <m:r>
                  <w:rPr>
                    <w:rFonts w:ascii="Cambria Math" w:hAnsi="Cambria Math" w:cs="Arial"/>
                    <w:szCs w:val="24"/>
                    <w:lang w:eastAsia="it-IT"/>
                  </w:rPr>
                  <m:t xml:space="preserve"> Power</m:t>
                </m:r>
                <m:d>
                  <m:dPr>
                    <m:ctrlPr>
                      <w:rPr>
                        <w:rFonts w:ascii="Cambria Math" w:hAnsi="Cambria Math" w:cs="Arial"/>
                        <w:i/>
                        <w:szCs w:val="24"/>
                        <w:lang w:eastAsia="it-IT"/>
                      </w:rPr>
                    </m:ctrlPr>
                  </m:dPr>
                  <m:e>
                    <m:r>
                      <w:rPr>
                        <w:rFonts w:ascii="Cambria Math" w:hAnsi="Cambria Math" w:cs="Arial"/>
                        <w:szCs w:val="24"/>
                        <w:lang w:eastAsia="it-IT"/>
                      </w:rPr>
                      <m:t>W</m:t>
                    </m:r>
                  </m:e>
                </m:d>
                <m:r>
                  <w:rPr>
                    <w:rFonts w:ascii="Cambria Math" w:hAnsi="Cambria Math" w:cs="Arial"/>
                    <w:szCs w:val="24"/>
                    <w:lang w:eastAsia="it-IT"/>
                  </w:rPr>
                  <m:t xml:space="preserve"> * time </m:t>
                </m:r>
                <m:d>
                  <m:dPr>
                    <m:ctrlPr>
                      <w:rPr>
                        <w:rFonts w:ascii="Cambria Math" w:hAnsi="Cambria Math" w:cs="Arial"/>
                        <w:i/>
                        <w:szCs w:val="24"/>
                        <w:lang w:eastAsia="it-IT"/>
                      </w:rPr>
                    </m:ctrlPr>
                  </m:dPr>
                  <m:e>
                    <m:r>
                      <m:rPr>
                        <m:sty m:val="p"/>
                      </m:rPr>
                      <w:rPr>
                        <w:rFonts w:ascii="Cambria Math" w:hAnsi="Cambria Math" w:cs="Arial"/>
                        <w:szCs w:val="24"/>
                        <w:lang w:eastAsia="it-IT"/>
                      </w:rPr>
                      <m:t>sec</m:t>
                    </m:r>
                    <m:ctrlPr>
                      <w:rPr>
                        <w:rFonts w:ascii="Cambria Math" w:hAnsi="Cambria Math" w:cs="Arial"/>
                        <w:szCs w:val="24"/>
                        <w:lang w:eastAsia="it-IT"/>
                      </w:rPr>
                    </m:ctrlPr>
                  </m:e>
                </m:d>
              </m:num>
              <m:den>
                <m:r>
                  <w:rPr>
                    <w:rFonts w:ascii="Cambria Math" w:hAnsi="Cambria Math" w:cs="Arial"/>
                    <w:szCs w:val="24"/>
                    <w:lang w:eastAsia="it-IT"/>
                  </w:rPr>
                  <m:t>sample weight</m:t>
                </m:r>
                <m:r>
                  <m:rPr>
                    <m:sty m:val="p"/>
                  </m:rPr>
                  <w:rPr>
                    <w:rFonts w:ascii="Cambria Math" w:hAnsi="Cambria Math" w:cs="Arial"/>
                    <w:szCs w:val="24"/>
                    <w:lang w:eastAsia="it-IT"/>
                  </w:rPr>
                  <m:t xml:space="preserve"> </m:t>
                </m:r>
                <m:d>
                  <m:dPr>
                    <m:ctrlPr>
                      <w:rPr>
                        <w:rFonts w:ascii="Cambria Math" w:hAnsi="Cambria Math" w:cs="Arial"/>
                        <w:szCs w:val="24"/>
                        <w:lang w:eastAsia="it-IT"/>
                      </w:rPr>
                    </m:ctrlPr>
                  </m:dPr>
                  <m:e>
                    <m:r>
                      <m:rPr>
                        <m:sty m:val="p"/>
                      </m:rPr>
                      <w:rPr>
                        <w:rFonts w:ascii="Cambria Math" w:hAnsi="Cambria Math" w:cs="Arial"/>
                        <w:szCs w:val="24"/>
                        <w:lang w:eastAsia="it-IT"/>
                      </w:rPr>
                      <m:t>gTS</m:t>
                    </m:r>
                  </m:e>
                </m:d>
              </m:den>
            </m:f>
          </m:e>
        </m:d>
        <m:r>
          <w:rPr>
            <w:rFonts w:ascii="Cambria Math" w:hAnsi="Cambria Math" w:cs="Arial"/>
            <w:szCs w:val="24"/>
            <w:lang w:eastAsia="it-IT"/>
          </w:rPr>
          <m:t>/</m:t>
        </m:r>
        <m:sSup>
          <m:sSupPr>
            <m:ctrlPr>
              <w:rPr>
                <w:rFonts w:ascii="Cambria Math" w:hAnsi="Cambria Math" w:cs="Arial"/>
                <w:szCs w:val="24"/>
                <w:lang w:eastAsia="it-IT"/>
              </w:rPr>
            </m:ctrlPr>
          </m:sSupPr>
          <m:e>
            <m:r>
              <w:rPr>
                <w:rFonts w:ascii="Cambria Math" w:hAnsi="Cambria Math" w:cs="Arial"/>
                <w:szCs w:val="24"/>
                <w:lang w:eastAsia="it-IT"/>
              </w:rPr>
              <m:t>10</m:t>
            </m:r>
          </m:e>
          <m:sup>
            <m:r>
              <w:rPr>
                <w:rFonts w:ascii="Cambria Math" w:hAnsi="Cambria Math" w:cs="Arial"/>
                <w:szCs w:val="24"/>
                <w:lang w:eastAsia="it-IT"/>
              </w:rPr>
              <m:t>3</m:t>
            </m:r>
          </m:sup>
        </m:sSup>
      </m:oMath>
      <w:r w:rsidR="00614796">
        <w:rPr>
          <w:rFonts w:cs="Arial"/>
          <w:szCs w:val="24"/>
          <w:lang w:eastAsia="it-IT"/>
        </w:rPr>
        <w:t xml:space="preserve">                                                                                                                    (1)</w:t>
      </w:r>
    </w:p>
    <w:p w14:paraId="03C292CB" w14:textId="28A24153" w:rsidR="00F1321E" w:rsidRPr="00961526" w:rsidRDefault="00F1321E" w:rsidP="00F1321E">
      <w:pPr>
        <w:pStyle w:val="CETBodytext"/>
        <w:rPr>
          <w:rFonts w:cs="Arial"/>
          <w:lang w:val="en-GB"/>
        </w:rPr>
      </w:pPr>
      <w:r w:rsidRPr="00947BBE">
        <w:rPr>
          <w:lang w:val="en-GB"/>
        </w:rPr>
        <w:t>Samples were then centrifuged (LISA - AFI, GTB Castle Limited, France) at 11,000 rpm</w:t>
      </w:r>
      <w:r>
        <w:rPr>
          <w:lang w:val="en-GB"/>
        </w:rPr>
        <w:t xml:space="preserve"> </w:t>
      </w:r>
      <w:r w:rsidRPr="00947BBE">
        <w:rPr>
          <w:lang w:val="en-GB"/>
        </w:rPr>
        <w:t>for 10 min, supernatants were filtered (0.45 μm, Millipore - Merck) and immediately stored at -18 °C under dark till analysis.</w:t>
      </w:r>
      <w:r w:rsidR="00842DF1">
        <w:rPr>
          <w:lang w:val="en-GB"/>
        </w:rPr>
        <w:t xml:space="preserve"> Sample preparation and relevant codes are listed</w:t>
      </w:r>
      <w:r w:rsidR="00842DF1" w:rsidRPr="00A55737">
        <w:rPr>
          <w:rFonts w:cs="Arial"/>
          <w:lang w:val="en-GB"/>
        </w:rPr>
        <w:t xml:space="preserve"> in Table 1.</w:t>
      </w:r>
      <w:r w:rsidR="00842DF1">
        <w:rPr>
          <w:rFonts w:cs="Arial"/>
          <w:lang w:val="en-GB"/>
        </w:rPr>
        <w:t xml:space="preserve"> </w:t>
      </w:r>
    </w:p>
    <w:p w14:paraId="586E0BBB" w14:textId="77777777" w:rsidR="00A97B71" w:rsidRPr="00947BBE" w:rsidRDefault="00A97B71" w:rsidP="00273771">
      <w:pPr>
        <w:pStyle w:val="CETheadingx"/>
        <w:rPr>
          <w:color w:val="auto"/>
        </w:rPr>
      </w:pPr>
      <w:r w:rsidRPr="00947BBE">
        <w:rPr>
          <w:color w:val="auto"/>
        </w:rPr>
        <w:t>Characterization of SCG and STL extracts</w:t>
      </w:r>
    </w:p>
    <w:p w14:paraId="10C4E764" w14:textId="2B1F903A" w:rsidR="00A97B71" w:rsidRPr="00947BBE" w:rsidRDefault="009707B6" w:rsidP="009707B6">
      <w:pPr>
        <w:pStyle w:val="CETBodytext"/>
        <w:ind w:left="708"/>
        <w:rPr>
          <w:lang w:val="en-GB"/>
        </w:rPr>
      </w:pPr>
      <w:r>
        <w:rPr>
          <w:lang w:val="en-GB"/>
        </w:rPr>
        <w:t>Total phenolic c</w:t>
      </w:r>
      <w:r w:rsidR="00A97B71" w:rsidRPr="00947BBE">
        <w:rPr>
          <w:lang w:val="en-GB"/>
        </w:rPr>
        <w:t>ontent (TPC)</w:t>
      </w:r>
      <w:r>
        <w:rPr>
          <w:lang w:val="en-GB"/>
        </w:rPr>
        <w:t xml:space="preserve"> and a</w:t>
      </w:r>
      <w:r w:rsidRPr="00947BBE">
        <w:rPr>
          <w:lang w:val="en-GB"/>
        </w:rPr>
        <w:t>ntioxidant activity</w:t>
      </w:r>
    </w:p>
    <w:p w14:paraId="763B35C2" w14:textId="72F2CCBB" w:rsidR="00A97B71" w:rsidRPr="00947BBE" w:rsidRDefault="00A97B71" w:rsidP="009707B6">
      <w:pPr>
        <w:pStyle w:val="CETBodytext"/>
        <w:rPr>
          <w:lang w:val="en-GB"/>
        </w:rPr>
      </w:pPr>
      <w:r w:rsidRPr="00947BBE">
        <w:rPr>
          <w:lang w:val="en-GB"/>
        </w:rPr>
        <w:t xml:space="preserve">The Folin-Ciocalteu assay was performed to </w:t>
      </w:r>
      <w:r w:rsidR="007D287A">
        <w:rPr>
          <w:lang w:val="en-GB"/>
        </w:rPr>
        <w:t>determine</w:t>
      </w:r>
      <w:r w:rsidRPr="00947BBE">
        <w:rPr>
          <w:lang w:val="en-GB"/>
        </w:rPr>
        <w:t xml:space="preserve"> the TPC of </w:t>
      </w:r>
      <w:r w:rsidR="001338C4">
        <w:rPr>
          <w:lang w:val="en-GB"/>
        </w:rPr>
        <w:t>the extract</w:t>
      </w:r>
      <w:r w:rsidRPr="00947BBE">
        <w:rPr>
          <w:lang w:val="en-GB"/>
        </w:rPr>
        <w:t>s</w:t>
      </w:r>
      <w:r w:rsidR="00EB63EC">
        <w:rPr>
          <w:lang w:val="en-GB"/>
        </w:rPr>
        <w:t xml:space="preserve"> </w:t>
      </w:r>
      <w:r w:rsidR="00FE4D5E">
        <w:t>following</w:t>
      </w:r>
      <w:r w:rsidR="00EB63EC">
        <w:t xml:space="preserve"> the method reported by</w:t>
      </w:r>
      <w:r w:rsidR="00EB63EC">
        <w:rPr>
          <w:lang w:val="en-GB"/>
        </w:rPr>
        <w:t xml:space="preserve"> Buratti et al. (</w:t>
      </w:r>
      <w:r w:rsidR="00A2217F">
        <w:rPr>
          <w:lang w:val="en-GB"/>
        </w:rPr>
        <w:t>2017</w:t>
      </w:r>
      <w:r w:rsidR="00EB63EC">
        <w:rPr>
          <w:lang w:val="en-GB"/>
        </w:rPr>
        <w:t>)</w:t>
      </w:r>
      <w:r w:rsidRPr="00947BBE">
        <w:rPr>
          <w:lang w:val="en-GB"/>
        </w:rPr>
        <w:t xml:space="preserve">. TPC was expressed as gallic acid equivalents (GAE) by a calibration curve built with </w:t>
      </w:r>
      <w:r w:rsidR="00D22011">
        <w:rPr>
          <w:lang w:val="en-GB"/>
        </w:rPr>
        <w:t>the</w:t>
      </w:r>
      <w:r w:rsidRPr="00947BBE">
        <w:rPr>
          <w:lang w:val="en-GB"/>
        </w:rPr>
        <w:t xml:space="preserve"> pure standard of gallic acid.</w:t>
      </w:r>
    </w:p>
    <w:p w14:paraId="0184653D" w14:textId="4DDD040E" w:rsidR="00A97B71" w:rsidRPr="00947BBE" w:rsidRDefault="00A97B71" w:rsidP="00A97B71">
      <w:pPr>
        <w:pStyle w:val="CETBodytext"/>
        <w:rPr>
          <w:lang w:val="en-GB"/>
        </w:rPr>
      </w:pPr>
      <w:r w:rsidRPr="00947BBE">
        <w:rPr>
          <w:lang w:val="en-GB"/>
        </w:rPr>
        <w:t xml:space="preserve">The antioxidant activity was evaluated through </w:t>
      </w:r>
      <w:r w:rsidR="001A31AB">
        <w:rPr>
          <w:lang w:val="en-GB"/>
        </w:rPr>
        <w:t xml:space="preserve">the DPPH assay as previously reported (Prieto et al., 2011). </w:t>
      </w:r>
      <w:r w:rsidRPr="00947BBE">
        <w:rPr>
          <w:lang w:val="en-GB"/>
        </w:rPr>
        <w:t xml:space="preserve">Data were converted into Trolox equivalents (TE) using a calibration curve built with Trolox </w:t>
      </w:r>
      <w:r w:rsidR="00D22011">
        <w:rPr>
          <w:lang w:val="en-GB"/>
        </w:rPr>
        <w:t>reagent</w:t>
      </w:r>
      <w:r w:rsidRPr="00947BBE">
        <w:rPr>
          <w:lang w:val="en-GB"/>
        </w:rPr>
        <w:t xml:space="preserve">. </w:t>
      </w:r>
    </w:p>
    <w:p w14:paraId="4F2C8C02" w14:textId="77777777" w:rsidR="00A97B71" w:rsidRPr="00947BBE" w:rsidRDefault="00A97B71" w:rsidP="00A97B71">
      <w:pPr>
        <w:pStyle w:val="CETBodytext"/>
        <w:rPr>
          <w:lang w:val="en-GB"/>
        </w:rPr>
      </w:pPr>
      <w:r w:rsidRPr="00947BBE">
        <w:rPr>
          <w:lang w:val="en-GB"/>
        </w:rPr>
        <w:t>Folin-Ciocalteu and DPPH assays were performed in triplicate.</w:t>
      </w:r>
    </w:p>
    <w:p w14:paraId="7B040111" w14:textId="0786F8D1" w:rsidR="00A97B71" w:rsidRPr="00947BBE" w:rsidRDefault="00A97B71" w:rsidP="00A97B71">
      <w:pPr>
        <w:pStyle w:val="CETBodytext"/>
        <w:ind w:left="708"/>
        <w:rPr>
          <w:lang w:val="en-GB"/>
        </w:rPr>
      </w:pPr>
      <w:r w:rsidRPr="00947BBE">
        <w:rPr>
          <w:lang w:val="en-GB"/>
        </w:rPr>
        <w:t>High-Performance Liquid Chromatography (HPLC)</w:t>
      </w:r>
    </w:p>
    <w:p w14:paraId="05462433" w14:textId="5957BF01" w:rsidR="00A97B71" w:rsidRPr="00947BBE" w:rsidRDefault="00A97B71" w:rsidP="00707837">
      <w:pPr>
        <w:pStyle w:val="CETBodytext"/>
        <w:rPr>
          <w:lang w:val="en-GB"/>
        </w:rPr>
      </w:pPr>
      <w:r w:rsidRPr="00947BBE">
        <w:rPr>
          <w:lang w:val="en-GB"/>
        </w:rPr>
        <w:t xml:space="preserve">Chromatographic analysis was carried out with a </w:t>
      </w:r>
      <w:r w:rsidR="009707B6">
        <w:rPr>
          <w:lang w:val="en-GB"/>
        </w:rPr>
        <w:t>Hitachi Elite LaChrom HPLC</w:t>
      </w:r>
      <w:r w:rsidR="0056199B">
        <w:rPr>
          <w:lang w:val="en-GB"/>
        </w:rPr>
        <w:t xml:space="preserve">. </w:t>
      </w:r>
      <w:r w:rsidR="0056199B" w:rsidRPr="0056199B">
        <w:rPr>
          <w:lang w:val="en-GB"/>
        </w:rPr>
        <w:t>Data acquisition</w:t>
      </w:r>
      <w:r w:rsidR="0056199B">
        <w:rPr>
          <w:lang w:val="en-GB"/>
        </w:rPr>
        <w:t xml:space="preserve"> </w:t>
      </w:r>
      <w:r w:rsidR="0056199B" w:rsidRPr="0056199B">
        <w:rPr>
          <w:lang w:val="en-GB"/>
        </w:rPr>
        <w:t xml:space="preserve">was performed </w:t>
      </w:r>
      <w:r w:rsidR="0056199B" w:rsidRPr="00C53C35">
        <w:rPr>
          <w:lang w:val="en-GB"/>
        </w:rPr>
        <w:t xml:space="preserve">with </w:t>
      </w:r>
      <w:r w:rsidR="00C53C35" w:rsidRPr="00C53C35">
        <w:rPr>
          <w:lang w:val="en-GB"/>
        </w:rPr>
        <w:t>EZ</w:t>
      </w:r>
      <w:r w:rsidR="0056199B" w:rsidRPr="00C53C35">
        <w:rPr>
          <w:lang w:val="en-GB"/>
        </w:rPr>
        <w:t>Chrom Elite v</w:t>
      </w:r>
      <w:r w:rsidR="00C53C35" w:rsidRPr="00C53C35">
        <w:rPr>
          <w:lang w:val="en-GB"/>
        </w:rPr>
        <w:t>.</w:t>
      </w:r>
      <w:r w:rsidR="0056199B" w:rsidRPr="00C53C35">
        <w:rPr>
          <w:lang w:val="en-GB"/>
        </w:rPr>
        <w:t xml:space="preserve"> 3.</w:t>
      </w:r>
      <w:r w:rsidR="00C53C35" w:rsidRPr="00C53C35">
        <w:rPr>
          <w:lang w:val="en-GB"/>
        </w:rPr>
        <w:t>2.1</w:t>
      </w:r>
      <w:r w:rsidR="0056199B" w:rsidRPr="00C53C35">
        <w:rPr>
          <w:lang w:val="en-GB"/>
        </w:rPr>
        <w:t xml:space="preserve"> software</w:t>
      </w:r>
      <w:r w:rsidR="0056199B" w:rsidRPr="0056199B">
        <w:rPr>
          <w:lang w:val="en-GB"/>
        </w:rPr>
        <w:t xml:space="preserve">. </w:t>
      </w:r>
      <w:r w:rsidRPr="00947BBE">
        <w:rPr>
          <w:lang w:val="en-GB"/>
        </w:rPr>
        <w:t>Each extract was properly diluted with ultrapure water.</w:t>
      </w:r>
      <w:r w:rsidR="00874854">
        <w:rPr>
          <w:lang w:val="en-GB"/>
        </w:rPr>
        <w:t xml:space="preserve"> </w:t>
      </w:r>
      <w:r w:rsidR="0056199B">
        <w:rPr>
          <w:lang w:val="en-GB"/>
        </w:rPr>
        <w:t xml:space="preserve">The method used a </w:t>
      </w:r>
      <w:r w:rsidR="0056199B" w:rsidRPr="00707837">
        <w:rPr>
          <w:lang w:val="en-GB"/>
        </w:rPr>
        <w:t>Spherisorb ODS2</w:t>
      </w:r>
      <w:r w:rsidR="0056199B" w:rsidRPr="00947BBE">
        <w:rPr>
          <w:lang w:val="en-GB"/>
        </w:rPr>
        <w:t xml:space="preserve">-C18 (5 µm, 4.6 mm × </w:t>
      </w:r>
      <w:r w:rsidR="0056199B">
        <w:rPr>
          <w:lang w:val="en-GB"/>
        </w:rPr>
        <w:t>2</w:t>
      </w:r>
      <w:r w:rsidR="0056199B" w:rsidRPr="00947BBE">
        <w:rPr>
          <w:lang w:val="en-GB"/>
        </w:rPr>
        <w:t xml:space="preserve">50 mm) </w:t>
      </w:r>
      <w:r w:rsidR="0056199B" w:rsidRPr="00E24688">
        <w:rPr>
          <w:lang w:val="en-GB"/>
        </w:rPr>
        <w:t>column</w:t>
      </w:r>
      <w:r w:rsidR="00430515" w:rsidRPr="00E24688">
        <w:rPr>
          <w:lang w:val="en-GB"/>
        </w:rPr>
        <w:t xml:space="preserve"> eluted</w:t>
      </w:r>
      <w:r w:rsidR="00430515">
        <w:rPr>
          <w:lang w:val="en-GB"/>
        </w:rPr>
        <w:t xml:space="preserve"> with a binary gradient </w:t>
      </w:r>
      <w:r w:rsidR="00FF655B">
        <w:rPr>
          <w:lang w:val="en-GB"/>
        </w:rPr>
        <w:t xml:space="preserve">composed of </w:t>
      </w:r>
      <w:r w:rsidR="00707837" w:rsidRPr="00707837">
        <w:rPr>
          <w:lang w:val="en-GB"/>
        </w:rPr>
        <w:t xml:space="preserve">5% acetic acid </w:t>
      </w:r>
      <w:r w:rsidR="00707837">
        <w:rPr>
          <w:lang w:val="en-GB"/>
        </w:rPr>
        <w:t xml:space="preserve">in water </w:t>
      </w:r>
      <w:r w:rsidR="00707837" w:rsidRPr="00707837">
        <w:rPr>
          <w:lang w:val="en-GB"/>
        </w:rPr>
        <w:t>(</w:t>
      </w:r>
      <w:r w:rsidR="00707837">
        <w:rPr>
          <w:lang w:val="en-GB"/>
        </w:rPr>
        <w:t>eluen</w:t>
      </w:r>
      <w:r w:rsidR="00707837" w:rsidRPr="00707837">
        <w:rPr>
          <w:lang w:val="en-GB"/>
        </w:rPr>
        <w:t>t</w:t>
      </w:r>
      <w:r w:rsidR="00707837">
        <w:rPr>
          <w:lang w:val="en-GB"/>
        </w:rPr>
        <w:t xml:space="preserve"> </w:t>
      </w:r>
      <w:r w:rsidR="00707837" w:rsidRPr="00707837">
        <w:rPr>
          <w:lang w:val="en-GB"/>
        </w:rPr>
        <w:t>A) and acetonitrile (</w:t>
      </w:r>
      <w:r w:rsidR="00707837">
        <w:rPr>
          <w:lang w:val="en-GB"/>
        </w:rPr>
        <w:t>eluent</w:t>
      </w:r>
      <w:r w:rsidR="00707837" w:rsidRPr="00707837">
        <w:rPr>
          <w:lang w:val="en-GB"/>
        </w:rPr>
        <w:t xml:space="preserve"> B).</w:t>
      </w:r>
      <w:r w:rsidR="00707837">
        <w:rPr>
          <w:lang w:val="en-GB"/>
        </w:rPr>
        <w:t xml:space="preserve"> </w:t>
      </w:r>
      <w:r w:rsidR="00664AB4">
        <w:rPr>
          <w:lang w:val="en-GB"/>
        </w:rPr>
        <w:t xml:space="preserve">SCG extracts </w:t>
      </w:r>
      <w:r w:rsidR="00FE4D5E">
        <w:rPr>
          <w:lang w:val="en-GB"/>
        </w:rPr>
        <w:t>were analysed according to Vignoli et al. (2011).</w:t>
      </w:r>
      <w:r w:rsidR="00664AB4">
        <w:rPr>
          <w:lang w:val="en-GB"/>
        </w:rPr>
        <w:t xml:space="preserve"> </w:t>
      </w:r>
      <w:r w:rsidR="00361108" w:rsidRPr="00664AB4">
        <w:rPr>
          <w:lang w:val="en-GB"/>
        </w:rPr>
        <w:t>In</w:t>
      </w:r>
      <w:r w:rsidR="00361108" w:rsidRPr="00947BBE">
        <w:rPr>
          <w:lang w:val="en-GB"/>
        </w:rPr>
        <w:t xml:space="preserve"> SCG extracts, chlorogenic acid was detected at 320 nm and caffeine was detected at 272 nm</w:t>
      </w:r>
      <w:r w:rsidR="00361108" w:rsidRPr="00D22011">
        <w:rPr>
          <w:lang w:val="en-GB"/>
        </w:rPr>
        <w:t>.</w:t>
      </w:r>
      <w:r w:rsidR="00361108">
        <w:rPr>
          <w:lang w:val="en-GB"/>
        </w:rPr>
        <w:t xml:space="preserve"> </w:t>
      </w:r>
      <w:r w:rsidR="00664AB4">
        <w:rPr>
          <w:lang w:val="en-GB"/>
        </w:rPr>
        <w:t xml:space="preserve">For STL extracts, </w:t>
      </w:r>
      <w:r w:rsidR="003C2EF0">
        <w:rPr>
          <w:lang w:val="en-GB"/>
        </w:rPr>
        <w:t xml:space="preserve">the elution gradient was modified as follows: from 0 to 15% eluent B in </w:t>
      </w:r>
      <w:r w:rsidR="00361108">
        <w:rPr>
          <w:lang w:val="en-GB"/>
        </w:rPr>
        <w:t>35</w:t>
      </w:r>
      <w:r w:rsidR="003C2EF0">
        <w:rPr>
          <w:lang w:val="en-GB"/>
        </w:rPr>
        <w:t xml:space="preserve"> </w:t>
      </w:r>
      <w:r w:rsidR="00FE4D5E">
        <w:rPr>
          <w:lang w:val="en-GB"/>
        </w:rPr>
        <w:t>m</w:t>
      </w:r>
      <w:r w:rsidR="003C2EF0">
        <w:rPr>
          <w:lang w:val="en-GB"/>
        </w:rPr>
        <w:t xml:space="preserve">in, then up to 30% in </w:t>
      </w:r>
      <w:r w:rsidR="00361108">
        <w:rPr>
          <w:lang w:val="en-GB"/>
        </w:rPr>
        <w:t>additional 5</w:t>
      </w:r>
      <w:r w:rsidR="003C2EF0">
        <w:rPr>
          <w:lang w:val="en-GB"/>
        </w:rPr>
        <w:t xml:space="preserve"> min, </w:t>
      </w:r>
      <w:r w:rsidR="00FE4D5E">
        <w:rPr>
          <w:lang w:val="en-GB"/>
        </w:rPr>
        <w:t>followed by re-equilibration to</w:t>
      </w:r>
      <w:r w:rsidR="00361108">
        <w:rPr>
          <w:lang w:val="en-GB"/>
        </w:rPr>
        <w:t xml:space="preserve"> 100% </w:t>
      </w:r>
      <w:r w:rsidR="00FE4D5E">
        <w:rPr>
          <w:lang w:val="en-GB"/>
        </w:rPr>
        <w:t xml:space="preserve">eluent </w:t>
      </w:r>
      <w:r w:rsidR="00361108">
        <w:rPr>
          <w:lang w:val="en-GB"/>
        </w:rPr>
        <w:t>A</w:t>
      </w:r>
      <w:r w:rsidR="00664AB4">
        <w:rPr>
          <w:lang w:val="en-GB"/>
        </w:rPr>
        <w:t xml:space="preserve">; flow rate </w:t>
      </w:r>
      <w:r w:rsidR="00361108">
        <w:rPr>
          <w:lang w:val="en-GB"/>
        </w:rPr>
        <w:t>was</w:t>
      </w:r>
      <w:r w:rsidR="00664AB4" w:rsidRPr="00327618">
        <w:rPr>
          <w:lang w:val="en-GB"/>
        </w:rPr>
        <w:t xml:space="preserve"> </w:t>
      </w:r>
      <w:r w:rsidR="00664AB4">
        <w:rPr>
          <w:lang w:val="en-GB"/>
        </w:rPr>
        <w:t>0.7 mL</w:t>
      </w:r>
      <w:r w:rsidR="00664AB4" w:rsidRPr="00327618">
        <w:rPr>
          <w:lang w:val="en-GB"/>
        </w:rPr>
        <w:t>/min</w:t>
      </w:r>
      <w:r w:rsidR="00361108">
        <w:rPr>
          <w:lang w:val="en-GB"/>
        </w:rPr>
        <w:t xml:space="preserve"> and </w:t>
      </w:r>
      <w:r w:rsidR="00FE4D5E">
        <w:rPr>
          <w:lang w:val="en-GB"/>
        </w:rPr>
        <w:t>injection</w:t>
      </w:r>
      <w:r w:rsidR="00361108">
        <w:rPr>
          <w:lang w:val="en-GB"/>
        </w:rPr>
        <w:t xml:space="preserve"> volume </w:t>
      </w:r>
      <w:r w:rsidR="00361108">
        <w:rPr>
          <w:lang w:val="en-GB"/>
        </w:rPr>
        <w:lastRenderedPageBreak/>
        <w:t xml:space="preserve">was </w:t>
      </w:r>
      <w:r w:rsidR="00FE4D5E" w:rsidRPr="00947BBE">
        <w:rPr>
          <w:lang w:val="en-GB"/>
        </w:rPr>
        <w:t>20 μL</w:t>
      </w:r>
      <w:r w:rsidR="00FE4D5E">
        <w:rPr>
          <w:lang w:val="en-GB"/>
        </w:rPr>
        <w:t>.</w:t>
      </w:r>
      <w:r w:rsidRPr="00664AB4">
        <w:rPr>
          <w:lang w:val="en-GB"/>
        </w:rPr>
        <w:t xml:space="preserve"> </w:t>
      </w:r>
      <w:r w:rsidRPr="00D22011">
        <w:rPr>
          <w:lang w:val="en-GB"/>
        </w:rPr>
        <w:t xml:space="preserve">In STL extracts, </w:t>
      </w:r>
      <w:r w:rsidR="00D22011" w:rsidRPr="00D22011">
        <w:rPr>
          <w:lang w:val="en-GB"/>
        </w:rPr>
        <w:t>gallic acid,</w:t>
      </w:r>
      <w:r w:rsidRPr="00D22011">
        <w:rPr>
          <w:lang w:val="en-GB"/>
        </w:rPr>
        <w:t xml:space="preserve"> EGCG </w:t>
      </w:r>
      <w:r w:rsidR="00D22011" w:rsidRPr="00D22011">
        <w:rPr>
          <w:lang w:val="en-GB"/>
        </w:rPr>
        <w:t>and caffeine</w:t>
      </w:r>
      <w:r w:rsidR="007D287A">
        <w:rPr>
          <w:color w:val="FF0000"/>
          <w:lang w:val="en-GB"/>
        </w:rPr>
        <w:t xml:space="preserve"> </w:t>
      </w:r>
      <w:r w:rsidRPr="00D22011">
        <w:rPr>
          <w:lang w:val="en-GB"/>
        </w:rPr>
        <w:t>were detected at 280 nm.</w:t>
      </w:r>
      <w:r w:rsidRPr="00947BBE">
        <w:rPr>
          <w:lang w:val="en-GB"/>
        </w:rPr>
        <w:t xml:space="preserve"> </w:t>
      </w:r>
      <w:r w:rsidR="00361108">
        <w:rPr>
          <w:lang w:val="en-GB"/>
        </w:rPr>
        <w:t>Identification and q</w:t>
      </w:r>
      <w:r w:rsidR="00AE3F9A" w:rsidRPr="00947BBE">
        <w:rPr>
          <w:lang w:val="en-GB"/>
        </w:rPr>
        <w:t xml:space="preserve">uantification of </w:t>
      </w:r>
      <w:r w:rsidR="00AE3F9A">
        <w:rPr>
          <w:lang w:val="en-GB"/>
        </w:rPr>
        <w:t xml:space="preserve">selected </w:t>
      </w:r>
      <w:r w:rsidR="00AE3F9A" w:rsidRPr="00947BBE">
        <w:rPr>
          <w:lang w:val="en-GB"/>
        </w:rPr>
        <w:t>compounds was obtained by calibration curves built with pure standards.</w:t>
      </w:r>
    </w:p>
    <w:p w14:paraId="6EE77584" w14:textId="77777777" w:rsidR="00A97B71" w:rsidRPr="00947BBE" w:rsidRDefault="00A97B71" w:rsidP="00A97B71">
      <w:pPr>
        <w:pStyle w:val="CETBodytext"/>
        <w:rPr>
          <w:lang w:val="en-GB"/>
        </w:rPr>
      </w:pPr>
      <w:r w:rsidRPr="00947BBE">
        <w:rPr>
          <w:lang w:val="en-GB"/>
        </w:rPr>
        <w:t>HPLC analyses were performed in duplicate.</w:t>
      </w:r>
    </w:p>
    <w:p w14:paraId="4094439C" w14:textId="00C09367" w:rsidR="00A97B71" w:rsidRPr="00947BBE" w:rsidRDefault="00273771" w:rsidP="00A97B71">
      <w:pPr>
        <w:pStyle w:val="CETheadingx"/>
        <w:rPr>
          <w:color w:val="auto"/>
        </w:rPr>
      </w:pPr>
      <w:r w:rsidRPr="00947BBE">
        <w:rPr>
          <w:color w:val="auto"/>
        </w:rPr>
        <w:t>Statistical analysis</w:t>
      </w:r>
    </w:p>
    <w:p w14:paraId="48FE4351" w14:textId="5EE653E0" w:rsidR="00273771" w:rsidRDefault="00273771" w:rsidP="00A97B71">
      <w:pPr>
        <w:pStyle w:val="CETBodytext"/>
        <w:rPr>
          <w:lang w:val="en-GB"/>
        </w:rPr>
      </w:pPr>
      <w:r w:rsidRPr="00947BBE">
        <w:rPr>
          <w:lang w:val="en-GB"/>
        </w:rPr>
        <w:t xml:space="preserve">JMP 5.0 software (SAS Institute Cary NC, USA) </w:t>
      </w:r>
      <w:r w:rsidR="00AE3F9A">
        <w:rPr>
          <w:lang w:val="en-GB"/>
        </w:rPr>
        <w:t>was</w:t>
      </w:r>
      <w:r w:rsidRPr="00947BBE">
        <w:rPr>
          <w:lang w:val="en-GB"/>
        </w:rPr>
        <w:t xml:space="preserve"> used for statistical analysis by one-way analysis of variance (ANOVA) with Tukey-Kramer HSD with the level of significance set up at </w:t>
      </w:r>
      <w:r w:rsidRPr="00947BBE">
        <w:rPr>
          <w:i/>
          <w:lang w:val="en-GB"/>
        </w:rPr>
        <w:t>p</w:t>
      </w:r>
      <w:r w:rsidR="00B42AB0">
        <w:rPr>
          <w:lang w:val="en-GB"/>
        </w:rPr>
        <w:t xml:space="preserve"> ≤ 0.05 value</w:t>
      </w:r>
      <w:r w:rsidRPr="00947BBE">
        <w:rPr>
          <w:lang w:val="en-GB"/>
        </w:rPr>
        <w:t>.</w:t>
      </w:r>
    </w:p>
    <w:p w14:paraId="5E6FE5EC" w14:textId="77777777" w:rsidR="00220245" w:rsidRPr="00947BBE" w:rsidRDefault="00220245" w:rsidP="00220245">
      <w:pPr>
        <w:pStyle w:val="CETTabletitle"/>
      </w:pPr>
      <w:r w:rsidRPr="00947BBE">
        <w:t xml:space="preserve">Table 1: Extracts preparation from SCG and STL using ethanol </w:t>
      </w:r>
      <w:r>
        <w:t>or</w:t>
      </w:r>
      <w:r w:rsidRPr="00947BBE">
        <w:t xml:space="preserve"> water with and without US treatment.</w:t>
      </w:r>
    </w:p>
    <w:tbl>
      <w:tblPr>
        <w:tblpPr w:leftFromText="141" w:rightFromText="141" w:vertAnchor="text" w:tblpY="1"/>
        <w:tblOverlap w:val="neve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644"/>
        <w:gridCol w:w="1644"/>
        <w:gridCol w:w="1645"/>
        <w:gridCol w:w="1644"/>
        <w:gridCol w:w="1645"/>
      </w:tblGrid>
      <w:tr w:rsidR="00220245" w:rsidRPr="00947BBE" w14:paraId="7ABB15E6" w14:textId="77777777" w:rsidTr="00144713">
        <w:tc>
          <w:tcPr>
            <w:tcW w:w="1644" w:type="dxa"/>
            <w:tcBorders>
              <w:top w:val="single" w:sz="12" w:space="0" w:color="008000"/>
              <w:bottom w:val="single" w:sz="6" w:space="0" w:color="008000"/>
            </w:tcBorders>
            <w:shd w:val="clear" w:color="auto" w:fill="FFFFFF"/>
          </w:tcPr>
          <w:p w14:paraId="05D46954" w14:textId="77777777" w:rsidR="00220245" w:rsidRPr="00947BBE" w:rsidRDefault="00220245" w:rsidP="00144713">
            <w:pPr>
              <w:pStyle w:val="CETBodytext"/>
              <w:rPr>
                <w:lang w:val="en-GB"/>
              </w:rPr>
            </w:pPr>
            <w:r w:rsidRPr="00947BBE">
              <w:rPr>
                <w:lang w:val="en-GB"/>
              </w:rPr>
              <w:t xml:space="preserve">By-product type </w:t>
            </w:r>
          </w:p>
        </w:tc>
        <w:tc>
          <w:tcPr>
            <w:tcW w:w="1644" w:type="dxa"/>
            <w:tcBorders>
              <w:top w:val="single" w:sz="12" w:space="0" w:color="008000"/>
              <w:bottom w:val="single" w:sz="6" w:space="0" w:color="008000"/>
            </w:tcBorders>
            <w:shd w:val="clear" w:color="auto" w:fill="FFFFFF"/>
          </w:tcPr>
          <w:p w14:paraId="40D95FC8" w14:textId="77777777" w:rsidR="00220245" w:rsidRPr="00947BBE" w:rsidRDefault="00220245" w:rsidP="00144713">
            <w:pPr>
              <w:pStyle w:val="CETBodytext"/>
              <w:rPr>
                <w:lang w:val="en-GB"/>
              </w:rPr>
            </w:pPr>
            <w:r w:rsidRPr="00947BBE">
              <w:rPr>
                <w:lang w:val="en-GB"/>
              </w:rPr>
              <w:t>Sample name</w:t>
            </w:r>
          </w:p>
        </w:tc>
        <w:tc>
          <w:tcPr>
            <w:tcW w:w="1645" w:type="dxa"/>
            <w:tcBorders>
              <w:top w:val="single" w:sz="12" w:space="0" w:color="008000"/>
              <w:bottom w:val="single" w:sz="6" w:space="0" w:color="008000"/>
            </w:tcBorders>
            <w:shd w:val="clear" w:color="auto" w:fill="FFFFFF"/>
          </w:tcPr>
          <w:p w14:paraId="6E3C5232" w14:textId="77777777" w:rsidR="00220245" w:rsidRPr="00947BBE" w:rsidRDefault="00220245" w:rsidP="00144713">
            <w:pPr>
              <w:pStyle w:val="CETBodytext"/>
              <w:rPr>
                <w:lang w:val="en-GB"/>
              </w:rPr>
            </w:pPr>
            <w:r w:rsidRPr="00947BBE">
              <w:rPr>
                <w:lang w:val="en-GB"/>
              </w:rPr>
              <w:t>Solvent</w:t>
            </w:r>
          </w:p>
        </w:tc>
        <w:tc>
          <w:tcPr>
            <w:tcW w:w="1644" w:type="dxa"/>
            <w:tcBorders>
              <w:top w:val="single" w:sz="12" w:space="0" w:color="008000"/>
              <w:bottom w:val="single" w:sz="6" w:space="0" w:color="008000"/>
            </w:tcBorders>
            <w:shd w:val="clear" w:color="auto" w:fill="FFFFFF"/>
          </w:tcPr>
          <w:p w14:paraId="1B2A4080" w14:textId="77777777" w:rsidR="00220245" w:rsidRPr="00947BBE" w:rsidRDefault="00220245" w:rsidP="00144713">
            <w:pPr>
              <w:pStyle w:val="CETBodytext"/>
              <w:rPr>
                <w:lang w:val="en-GB"/>
              </w:rPr>
            </w:pPr>
            <w:r w:rsidRPr="00947BBE">
              <w:rPr>
                <w:lang w:val="en-GB"/>
              </w:rPr>
              <w:t>US amplitude (μm)</w:t>
            </w:r>
          </w:p>
        </w:tc>
        <w:tc>
          <w:tcPr>
            <w:tcW w:w="1645" w:type="dxa"/>
            <w:tcBorders>
              <w:top w:val="single" w:sz="12" w:space="0" w:color="008000"/>
              <w:bottom w:val="single" w:sz="6" w:space="0" w:color="008000"/>
            </w:tcBorders>
            <w:shd w:val="clear" w:color="auto" w:fill="FFFFFF"/>
          </w:tcPr>
          <w:p w14:paraId="3EF93D8D" w14:textId="77777777" w:rsidR="00220245" w:rsidRPr="00947BBE" w:rsidRDefault="00220245" w:rsidP="00144713">
            <w:pPr>
              <w:pStyle w:val="CETBodytext"/>
              <w:ind w:right="-1"/>
              <w:rPr>
                <w:rFonts w:cs="Arial"/>
                <w:szCs w:val="18"/>
                <w:lang w:val="en-GB"/>
              </w:rPr>
            </w:pPr>
            <w:r w:rsidRPr="00947BBE">
              <w:rPr>
                <w:lang w:val="en-GB"/>
              </w:rPr>
              <w:t>US duration (min)</w:t>
            </w:r>
          </w:p>
        </w:tc>
      </w:tr>
      <w:tr w:rsidR="00220245" w:rsidRPr="00947BBE" w14:paraId="5D51D830" w14:textId="77777777" w:rsidTr="00144713">
        <w:tc>
          <w:tcPr>
            <w:tcW w:w="1644" w:type="dxa"/>
            <w:shd w:val="clear" w:color="auto" w:fill="FFFFFF"/>
          </w:tcPr>
          <w:p w14:paraId="764403ED" w14:textId="77777777" w:rsidR="00220245" w:rsidRPr="00947BBE" w:rsidRDefault="00220245" w:rsidP="00144713">
            <w:pPr>
              <w:pStyle w:val="CETBodytext"/>
              <w:rPr>
                <w:lang w:val="en-GB"/>
              </w:rPr>
            </w:pPr>
            <w:r w:rsidRPr="00947BBE">
              <w:rPr>
                <w:lang w:val="en-GB"/>
              </w:rPr>
              <w:t>SCG</w:t>
            </w:r>
          </w:p>
        </w:tc>
        <w:tc>
          <w:tcPr>
            <w:tcW w:w="1644" w:type="dxa"/>
            <w:shd w:val="clear" w:color="auto" w:fill="FFFFFF"/>
          </w:tcPr>
          <w:p w14:paraId="2A57802D" w14:textId="77777777" w:rsidR="00220245" w:rsidRPr="00947BBE" w:rsidRDefault="00220245" w:rsidP="00144713">
            <w:pPr>
              <w:pStyle w:val="CETBodytext"/>
              <w:rPr>
                <w:lang w:val="en-GB"/>
              </w:rPr>
            </w:pPr>
            <w:r w:rsidRPr="00947BBE">
              <w:rPr>
                <w:lang w:val="en-GB"/>
              </w:rPr>
              <w:t>C-e</w:t>
            </w:r>
          </w:p>
        </w:tc>
        <w:tc>
          <w:tcPr>
            <w:tcW w:w="1645" w:type="dxa"/>
            <w:shd w:val="clear" w:color="auto" w:fill="FFFFFF"/>
          </w:tcPr>
          <w:p w14:paraId="79DD1988" w14:textId="77777777" w:rsidR="00220245" w:rsidRPr="00947BBE" w:rsidRDefault="00220245" w:rsidP="00144713">
            <w:pPr>
              <w:pStyle w:val="CETBodytext"/>
              <w:rPr>
                <w:lang w:val="en-GB"/>
              </w:rPr>
            </w:pPr>
            <w:r w:rsidRPr="00947BBE">
              <w:rPr>
                <w:lang w:val="en-GB"/>
              </w:rPr>
              <w:t>ethanol (60%)</w:t>
            </w:r>
          </w:p>
        </w:tc>
        <w:tc>
          <w:tcPr>
            <w:tcW w:w="1644" w:type="dxa"/>
            <w:shd w:val="clear" w:color="auto" w:fill="FFFFFF"/>
          </w:tcPr>
          <w:p w14:paraId="322978C8" w14:textId="77777777" w:rsidR="00220245" w:rsidRPr="00947BBE" w:rsidRDefault="00220245" w:rsidP="00144713">
            <w:pPr>
              <w:pStyle w:val="CETBodytext"/>
              <w:rPr>
                <w:lang w:val="en-GB"/>
              </w:rPr>
            </w:pPr>
            <w:r w:rsidRPr="00947BBE">
              <w:rPr>
                <w:lang w:val="en-GB"/>
              </w:rPr>
              <w:t>/</w:t>
            </w:r>
          </w:p>
        </w:tc>
        <w:tc>
          <w:tcPr>
            <w:tcW w:w="1645" w:type="dxa"/>
            <w:shd w:val="clear" w:color="auto" w:fill="FFFFFF"/>
          </w:tcPr>
          <w:p w14:paraId="7C0B6C97" w14:textId="77777777" w:rsidR="00220245" w:rsidRPr="00947BBE" w:rsidRDefault="00220245" w:rsidP="00144713">
            <w:pPr>
              <w:pStyle w:val="CETBodytext"/>
              <w:ind w:right="-1"/>
              <w:rPr>
                <w:rFonts w:cs="Arial"/>
                <w:szCs w:val="18"/>
                <w:lang w:val="en-GB"/>
              </w:rPr>
            </w:pPr>
            <w:r w:rsidRPr="00947BBE">
              <w:rPr>
                <w:rFonts w:cs="Arial"/>
                <w:szCs w:val="18"/>
                <w:lang w:val="en-GB"/>
              </w:rPr>
              <w:t>/</w:t>
            </w:r>
          </w:p>
        </w:tc>
      </w:tr>
      <w:tr w:rsidR="00220245" w:rsidRPr="00947BBE" w14:paraId="69C08A7B" w14:textId="77777777" w:rsidTr="00144713">
        <w:tc>
          <w:tcPr>
            <w:tcW w:w="1644" w:type="dxa"/>
            <w:shd w:val="clear" w:color="auto" w:fill="FFFFFF"/>
          </w:tcPr>
          <w:p w14:paraId="27DF82AE" w14:textId="77777777" w:rsidR="00220245" w:rsidRPr="00947BBE" w:rsidRDefault="00220245" w:rsidP="00144713">
            <w:pPr>
              <w:pStyle w:val="CETBodytext"/>
              <w:rPr>
                <w:lang w:val="en-GB"/>
              </w:rPr>
            </w:pPr>
          </w:p>
        </w:tc>
        <w:tc>
          <w:tcPr>
            <w:tcW w:w="1644" w:type="dxa"/>
            <w:shd w:val="clear" w:color="auto" w:fill="FFFFFF"/>
          </w:tcPr>
          <w:p w14:paraId="44A50D80" w14:textId="77777777" w:rsidR="00220245" w:rsidRPr="00947BBE" w:rsidRDefault="00220245" w:rsidP="00144713">
            <w:pPr>
              <w:pStyle w:val="CETBodytext"/>
              <w:rPr>
                <w:lang w:val="en-GB"/>
              </w:rPr>
            </w:pPr>
            <w:r w:rsidRPr="00947BBE">
              <w:rPr>
                <w:lang w:val="en-GB"/>
              </w:rPr>
              <w:t>C-e-80-5</w:t>
            </w:r>
          </w:p>
        </w:tc>
        <w:tc>
          <w:tcPr>
            <w:tcW w:w="1645" w:type="dxa"/>
            <w:shd w:val="clear" w:color="auto" w:fill="FFFFFF"/>
          </w:tcPr>
          <w:p w14:paraId="0B03BB80" w14:textId="77777777" w:rsidR="00220245" w:rsidRPr="00947BBE" w:rsidRDefault="00220245" w:rsidP="00144713">
            <w:pPr>
              <w:pStyle w:val="CETBodytext"/>
              <w:rPr>
                <w:lang w:val="en-GB"/>
              </w:rPr>
            </w:pPr>
            <w:r w:rsidRPr="00947BBE">
              <w:rPr>
                <w:lang w:val="en-GB"/>
              </w:rPr>
              <w:t>ethanol (60%)</w:t>
            </w:r>
          </w:p>
        </w:tc>
        <w:tc>
          <w:tcPr>
            <w:tcW w:w="1644" w:type="dxa"/>
            <w:shd w:val="clear" w:color="auto" w:fill="FFFFFF"/>
          </w:tcPr>
          <w:p w14:paraId="293CC25E" w14:textId="77777777" w:rsidR="00220245" w:rsidRPr="00947BBE" w:rsidRDefault="00220245" w:rsidP="00144713">
            <w:pPr>
              <w:pStyle w:val="CETBodytext"/>
              <w:rPr>
                <w:lang w:val="en-GB"/>
              </w:rPr>
            </w:pPr>
            <w:r w:rsidRPr="00947BBE">
              <w:rPr>
                <w:lang w:val="en-GB"/>
              </w:rPr>
              <w:t>80</w:t>
            </w:r>
          </w:p>
        </w:tc>
        <w:tc>
          <w:tcPr>
            <w:tcW w:w="1645" w:type="dxa"/>
            <w:shd w:val="clear" w:color="auto" w:fill="FFFFFF"/>
          </w:tcPr>
          <w:p w14:paraId="1AF951B7" w14:textId="77777777" w:rsidR="00220245" w:rsidRPr="00947BBE" w:rsidRDefault="00220245" w:rsidP="00144713">
            <w:pPr>
              <w:pStyle w:val="CETBodytext"/>
              <w:ind w:right="-1"/>
              <w:rPr>
                <w:rFonts w:cs="Arial"/>
                <w:szCs w:val="18"/>
                <w:lang w:val="en-GB"/>
              </w:rPr>
            </w:pPr>
            <w:r w:rsidRPr="00947BBE">
              <w:rPr>
                <w:rFonts w:cs="Arial"/>
                <w:szCs w:val="18"/>
                <w:lang w:val="en-GB"/>
              </w:rPr>
              <w:t>5</w:t>
            </w:r>
          </w:p>
        </w:tc>
      </w:tr>
      <w:tr w:rsidR="00220245" w:rsidRPr="00947BBE" w14:paraId="0BC41714" w14:textId="77777777" w:rsidTr="00144713">
        <w:tc>
          <w:tcPr>
            <w:tcW w:w="1644" w:type="dxa"/>
            <w:shd w:val="clear" w:color="auto" w:fill="FFFFFF"/>
          </w:tcPr>
          <w:p w14:paraId="1A8D88F2" w14:textId="77777777" w:rsidR="00220245" w:rsidRPr="00947BBE" w:rsidRDefault="00220245" w:rsidP="00144713">
            <w:pPr>
              <w:pStyle w:val="CETBodytext"/>
              <w:rPr>
                <w:lang w:val="en-GB"/>
              </w:rPr>
            </w:pPr>
          </w:p>
        </w:tc>
        <w:tc>
          <w:tcPr>
            <w:tcW w:w="1644" w:type="dxa"/>
            <w:shd w:val="clear" w:color="auto" w:fill="FFFFFF"/>
          </w:tcPr>
          <w:p w14:paraId="42CB73D8" w14:textId="77777777" w:rsidR="00220245" w:rsidRPr="00947BBE" w:rsidRDefault="00220245" w:rsidP="00144713">
            <w:pPr>
              <w:pStyle w:val="CETBodytext"/>
              <w:rPr>
                <w:lang w:val="en-GB"/>
              </w:rPr>
            </w:pPr>
            <w:r w:rsidRPr="00947BBE">
              <w:rPr>
                <w:lang w:val="en-GB"/>
              </w:rPr>
              <w:t>C-e-80-10</w:t>
            </w:r>
          </w:p>
        </w:tc>
        <w:tc>
          <w:tcPr>
            <w:tcW w:w="1645" w:type="dxa"/>
            <w:shd w:val="clear" w:color="auto" w:fill="FFFFFF"/>
          </w:tcPr>
          <w:p w14:paraId="12280DB2" w14:textId="77777777" w:rsidR="00220245" w:rsidRPr="00947BBE" w:rsidRDefault="00220245" w:rsidP="00144713">
            <w:pPr>
              <w:pStyle w:val="CETBodytext"/>
              <w:rPr>
                <w:lang w:val="en-GB"/>
              </w:rPr>
            </w:pPr>
            <w:r w:rsidRPr="00947BBE">
              <w:rPr>
                <w:lang w:val="en-GB"/>
              </w:rPr>
              <w:t>ethanol (60%)</w:t>
            </w:r>
          </w:p>
        </w:tc>
        <w:tc>
          <w:tcPr>
            <w:tcW w:w="1644" w:type="dxa"/>
            <w:shd w:val="clear" w:color="auto" w:fill="FFFFFF"/>
          </w:tcPr>
          <w:p w14:paraId="25A2328B" w14:textId="77777777" w:rsidR="00220245" w:rsidRPr="00947BBE" w:rsidRDefault="00220245" w:rsidP="00144713">
            <w:pPr>
              <w:pStyle w:val="CETBodytext"/>
              <w:rPr>
                <w:lang w:val="en-GB"/>
              </w:rPr>
            </w:pPr>
            <w:r w:rsidRPr="00947BBE">
              <w:rPr>
                <w:lang w:val="en-GB"/>
              </w:rPr>
              <w:t>80</w:t>
            </w:r>
          </w:p>
        </w:tc>
        <w:tc>
          <w:tcPr>
            <w:tcW w:w="1645" w:type="dxa"/>
            <w:shd w:val="clear" w:color="auto" w:fill="FFFFFF"/>
          </w:tcPr>
          <w:p w14:paraId="5A79BFE8" w14:textId="77777777" w:rsidR="00220245" w:rsidRPr="00947BBE" w:rsidRDefault="00220245" w:rsidP="00144713">
            <w:pPr>
              <w:pStyle w:val="CETBodytext"/>
              <w:ind w:right="-1"/>
              <w:rPr>
                <w:rFonts w:cs="Arial"/>
                <w:szCs w:val="18"/>
                <w:lang w:val="en-GB"/>
              </w:rPr>
            </w:pPr>
            <w:r w:rsidRPr="00947BBE">
              <w:rPr>
                <w:rFonts w:cs="Arial"/>
                <w:szCs w:val="18"/>
                <w:lang w:val="en-GB"/>
              </w:rPr>
              <w:t>10</w:t>
            </w:r>
          </w:p>
        </w:tc>
      </w:tr>
      <w:tr w:rsidR="00220245" w:rsidRPr="00947BBE" w14:paraId="2F9A4BD4" w14:textId="77777777" w:rsidTr="00144713">
        <w:tc>
          <w:tcPr>
            <w:tcW w:w="1644" w:type="dxa"/>
            <w:shd w:val="clear" w:color="auto" w:fill="FFFFFF"/>
          </w:tcPr>
          <w:p w14:paraId="7CB60E0A" w14:textId="77777777" w:rsidR="00220245" w:rsidRPr="00947BBE" w:rsidRDefault="00220245" w:rsidP="00144713">
            <w:pPr>
              <w:pStyle w:val="CETBodytext"/>
              <w:rPr>
                <w:lang w:val="en-GB"/>
              </w:rPr>
            </w:pPr>
          </w:p>
        </w:tc>
        <w:tc>
          <w:tcPr>
            <w:tcW w:w="1644" w:type="dxa"/>
            <w:shd w:val="clear" w:color="auto" w:fill="FFFFFF"/>
          </w:tcPr>
          <w:p w14:paraId="6F45832D" w14:textId="77777777" w:rsidR="00220245" w:rsidRPr="00947BBE" w:rsidRDefault="00220245" w:rsidP="00144713">
            <w:pPr>
              <w:pStyle w:val="CETBodytext"/>
              <w:rPr>
                <w:lang w:val="en-GB"/>
              </w:rPr>
            </w:pPr>
            <w:r w:rsidRPr="00947BBE">
              <w:rPr>
                <w:lang w:val="en-GB"/>
              </w:rPr>
              <w:t>C-e-152-5</w:t>
            </w:r>
          </w:p>
        </w:tc>
        <w:tc>
          <w:tcPr>
            <w:tcW w:w="1645" w:type="dxa"/>
            <w:shd w:val="clear" w:color="auto" w:fill="FFFFFF"/>
          </w:tcPr>
          <w:p w14:paraId="58C644C4" w14:textId="77777777" w:rsidR="00220245" w:rsidRPr="00947BBE" w:rsidRDefault="00220245" w:rsidP="00144713">
            <w:pPr>
              <w:pStyle w:val="CETBodytext"/>
              <w:rPr>
                <w:lang w:val="en-GB"/>
              </w:rPr>
            </w:pPr>
            <w:r w:rsidRPr="00947BBE">
              <w:rPr>
                <w:lang w:val="en-GB"/>
              </w:rPr>
              <w:t>ethanol (60%)</w:t>
            </w:r>
          </w:p>
        </w:tc>
        <w:tc>
          <w:tcPr>
            <w:tcW w:w="1644" w:type="dxa"/>
            <w:shd w:val="clear" w:color="auto" w:fill="FFFFFF"/>
          </w:tcPr>
          <w:p w14:paraId="4948F0F0" w14:textId="77777777" w:rsidR="00220245" w:rsidRPr="00947BBE" w:rsidRDefault="00220245" w:rsidP="00144713">
            <w:pPr>
              <w:pStyle w:val="CETBodytext"/>
              <w:rPr>
                <w:lang w:val="en-GB"/>
              </w:rPr>
            </w:pPr>
            <w:r w:rsidRPr="00947BBE">
              <w:rPr>
                <w:lang w:val="en-GB"/>
              </w:rPr>
              <w:t>152</w:t>
            </w:r>
          </w:p>
        </w:tc>
        <w:tc>
          <w:tcPr>
            <w:tcW w:w="1645" w:type="dxa"/>
            <w:shd w:val="clear" w:color="auto" w:fill="FFFFFF"/>
          </w:tcPr>
          <w:p w14:paraId="0E5009F2" w14:textId="77777777" w:rsidR="00220245" w:rsidRPr="00947BBE" w:rsidRDefault="00220245" w:rsidP="00144713">
            <w:pPr>
              <w:pStyle w:val="CETBodytext"/>
              <w:ind w:right="-1"/>
              <w:rPr>
                <w:rFonts w:cs="Arial"/>
                <w:szCs w:val="18"/>
                <w:lang w:val="en-GB"/>
              </w:rPr>
            </w:pPr>
            <w:r w:rsidRPr="00947BBE">
              <w:rPr>
                <w:rFonts w:cs="Arial"/>
                <w:szCs w:val="18"/>
                <w:lang w:val="en-GB"/>
              </w:rPr>
              <w:t>5</w:t>
            </w:r>
          </w:p>
        </w:tc>
      </w:tr>
      <w:tr w:rsidR="00220245" w:rsidRPr="00947BBE" w14:paraId="3D9ACDD4" w14:textId="77777777" w:rsidTr="00144713">
        <w:tc>
          <w:tcPr>
            <w:tcW w:w="1644" w:type="dxa"/>
            <w:shd w:val="clear" w:color="auto" w:fill="FFFFFF"/>
          </w:tcPr>
          <w:p w14:paraId="4D5BBF5C" w14:textId="77777777" w:rsidR="00220245" w:rsidRPr="00947BBE" w:rsidRDefault="00220245" w:rsidP="00144713">
            <w:pPr>
              <w:pStyle w:val="CETBodytext"/>
              <w:rPr>
                <w:lang w:val="en-GB"/>
              </w:rPr>
            </w:pPr>
          </w:p>
        </w:tc>
        <w:tc>
          <w:tcPr>
            <w:tcW w:w="1644" w:type="dxa"/>
            <w:shd w:val="clear" w:color="auto" w:fill="FFFFFF"/>
          </w:tcPr>
          <w:p w14:paraId="53C900DD" w14:textId="77777777" w:rsidR="00220245" w:rsidRPr="00947BBE" w:rsidRDefault="00220245" w:rsidP="00144713">
            <w:pPr>
              <w:pStyle w:val="CETBodytext"/>
              <w:rPr>
                <w:lang w:val="en-GB"/>
              </w:rPr>
            </w:pPr>
            <w:r w:rsidRPr="00947BBE">
              <w:rPr>
                <w:lang w:val="en-GB"/>
              </w:rPr>
              <w:t>C-e-152-10</w:t>
            </w:r>
          </w:p>
        </w:tc>
        <w:tc>
          <w:tcPr>
            <w:tcW w:w="1645" w:type="dxa"/>
            <w:shd w:val="clear" w:color="auto" w:fill="FFFFFF"/>
          </w:tcPr>
          <w:p w14:paraId="61331352" w14:textId="77777777" w:rsidR="00220245" w:rsidRPr="00947BBE" w:rsidRDefault="00220245" w:rsidP="00144713">
            <w:pPr>
              <w:pStyle w:val="CETBodytext"/>
              <w:rPr>
                <w:lang w:val="en-GB"/>
              </w:rPr>
            </w:pPr>
            <w:r w:rsidRPr="00947BBE">
              <w:rPr>
                <w:lang w:val="en-GB"/>
              </w:rPr>
              <w:t>ethanol (60%)</w:t>
            </w:r>
          </w:p>
        </w:tc>
        <w:tc>
          <w:tcPr>
            <w:tcW w:w="1644" w:type="dxa"/>
            <w:shd w:val="clear" w:color="auto" w:fill="FFFFFF"/>
          </w:tcPr>
          <w:p w14:paraId="7F792659" w14:textId="77777777" w:rsidR="00220245" w:rsidRPr="00947BBE" w:rsidRDefault="00220245" w:rsidP="00144713">
            <w:pPr>
              <w:pStyle w:val="CETBodytext"/>
              <w:rPr>
                <w:lang w:val="en-GB"/>
              </w:rPr>
            </w:pPr>
            <w:r w:rsidRPr="00947BBE">
              <w:rPr>
                <w:lang w:val="en-GB"/>
              </w:rPr>
              <w:t>152</w:t>
            </w:r>
          </w:p>
        </w:tc>
        <w:tc>
          <w:tcPr>
            <w:tcW w:w="1645" w:type="dxa"/>
            <w:shd w:val="clear" w:color="auto" w:fill="FFFFFF"/>
          </w:tcPr>
          <w:p w14:paraId="65C1244F" w14:textId="77777777" w:rsidR="00220245" w:rsidRPr="00947BBE" w:rsidRDefault="00220245" w:rsidP="00144713">
            <w:pPr>
              <w:pStyle w:val="CETBodytext"/>
              <w:ind w:right="-1"/>
              <w:rPr>
                <w:rFonts w:cs="Arial"/>
                <w:szCs w:val="18"/>
                <w:lang w:val="en-GB"/>
              </w:rPr>
            </w:pPr>
            <w:r w:rsidRPr="00947BBE">
              <w:rPr>
                <w:rFonts w:cs="Arial"/>
                <w:szCs w:val="18"/>
                <w:lang w:val="en-GB"/>
              </w:rPr>
              <w:t>10</w:t>
            </w:r>
          </w:p>
        </w:tc>
      </w:tr>
      <w:tr w:rsidR="00220245" w:rsidRPr="00947BBE" w14:paraId="24ABD415" w14:textId="77777777" w:rsidTr="00144713">
        <w:tc>
          <w:tcPr>
            <w:tcW w:w="1644" w:type="dxa"/>
            <w:shd w:val="clear" w:color="auto" w:fill="FFFFFF"/>
          </w:tcPr>
          <w:p w14:paraId="76D723C4" w14:textId="77777777" w:rsidR="00220245" w:rsidRPr="00947BBE" w:rsidRDefault="00220245" w:rsidP="00144713">
            <w:pPr>
              <w:pStyle w:val="CETBodytext"/>
              <w:rPr>
                <w:lang w:val="en-GB"/>
              </w:rPr>
            </w:pPr>
          </w:p>
        </w:tc>
        <w:tc>
          <w:tcPr>
            <w:tcW w:w="1644" w:type="dxa"/>
            <w:shd w:val="clear" w:color="auto" w:fill="FFFFFF"/>
          </w:tcPr>
          <w:p w14:paraId="368409AB" w14:textId="77777777" w:rsidR="00220245" w:rsidRPr="00947BBE" w:rsidRDefault="00220245" w:rsidP="00144713">
            <w:pPr>
              <w:pStyle w:val="CETBodytext"/>
              <w:rPr>
                <w:lang w:val="en-GB"/>
              </w:rPr>
            </w:pPr>
            <w:r w:rsidRPr="00947BBE">
              <w:rPr>
                <w:lang w:val="en-GB"/>
              </w:rPr>
              <w:t>C-w</w:t>
            </w:r>
          </w:p>
        </w:tc>
        <w:tc>
          <w:tcPr>
            <w:tcW w:w="1645" w:type="dxa"/>
            <w:shd w:val="clear" w:color="auto" w:fill="FFFFFF"/>
          </w:tcPr>
          <w:p w14:paraId="0273BB84" w14:textId="77777777" w:rsidR="00220245" w:rsidRPr="00947BBE" w:rsidRDefault="00220245" w:rsidP="00144713">
            <w:pPr>
              <w:pStyle w:val="CETBodytext"/>
              <w:rPr>
                <w:lang w:val="en-GB"/>
              </w:rPr>
            </w:pPr>
            <w:r w:rsidRPr="00947BBE">
              <w:rPr>
                <w:lang w:val="en-GB"/>
              </w:rPr>
              <w:t>water</w:t>
            </w:r>
          </w:p>
        </w:tc>
        <w:tc>
          <w:tcPr>
            <w:tcW w:w="1644" w:type="dxa"/>
            <w:shd w:val="clear" w:color="auto" w:fill="FFFFFF"/>
          </w:tcPr>
          <w:p w14:paraId="2CED7AFD" w14:textId="77777777" w:rsidR="00220245" w:rsidRPr="00947BBE" w:rsidRDefault="00220245" w:rsidP="00144713">
            <w:pPr>
              <w:pStyle w:val="CETBodytext"/>
              <w:rPr>
                <w:lang w:val="en-GB"/>
              </w:rPr>
            </w:pPr>
            <w:r w:rsidRPr="00947BBE">
              <w:rPr>
                <w:lang w:val="en-GB"/>
              </w:rPr>
              <w:t>/</w:t>
            </w:r>
          </w:p>
        </w:tc>
        <w:tc>
          <w:tcPr>
            <w:tcW w:w="1645" w:type="dxa"/>
            <w:shd w:val="clear" w:color="auto" w:fill="FFFFFF"/>
          </w:tcPr>
          <w:p w14:paraId="2D94130E" w14:textId="77777777" w:rsidR="00220245" w:rsidRPr="00947BBE" w:rsidRDefault="00220245" w:rsidP="00144713">
            <w:pPr>
              <w:pStyle w:val="CETBodytext"/>
              <w:ind w:right="-1"/>
              <w:rPr>
                <w:rFonts w:cs="Arial"/>
                <w:szCs w:val="18"/>
                <w:lang w:val="en-GB"/>
              </w:rPr>
            </w:pPr>
            <w:r w:rsidRPr="00947BBE">
              <w:rPr>
                <w:rFonts w:cs="Arial"/>
                <w:szCs w:val="18"/>
                <w:lang w:val="en-GB"/>
              </w:rPr>
              <w:t>/</w:t>
            </w:r>
          </w:p>
        </w:tc>
      </w:tr>
      <w:tr w:rsidR="00220245" w:rsidRPr="00947BBE" w14:paraId="78C6A48B" w14:textId="77777777" w:rsidTr="00144713">
        <w:tc>
          <w:tcPr>
            <w:tcW w:w="1644" w:type="dxa"/>
            <w:shd w:val="clear" w:color="auto" w:fill="FFFFFF"/>
          </w:tcPr>
          <w:p w14:paraId="6EF3F4DB" w14:textId="77777777" w:rsidR="00220245" w:rsidRPr="00947BBE" w:rsidRDefault="00220245" w:rsidP="00144713">
            <w:pPr>
              <w:pStyle w:val="CETBodytext"/>
              <w:rPr>
                <w:lang w:val="en-GB"/>
              </w:rPr>
            </w:pPr>
          </w:p>
        </w:tc>
        <w:tc>
          <w:tcPr>
            <w:tcW w:w="1644" w:type="dxa"/>
            <w:shd w:val="clear" w:color="auto" w:fill="FFFFFF"/>
          </w:tcPr>
          <w:p w14:paraId="20055D7D" w14:textId="77777777" w:rsidR="00220245" w:rsidRPr="00947BBE" w:rsidRDefault="00220245" w:rsidP="00144713">
            <w:pPr>
              <w:pStyle w:val="CETBodytext"/>
              <w:rPr>
                <w:lang w:val="en-GB"/>
              </w:rPr>
            </w:pPr>
            <w:r w:rsidRPr="00947BBE">
              <w:rPr>
                <w:lang w:val="en-GB"/>
              </w:rPr>
              <w:t>C-w-80-5</w:t>
            </w:r>
          </w:p>
        </w:tc>
        <w:tc>
          <w:tcPr>
            <w:tcW w:w="1645" w:type="dxa"/>
            <w:shd w:val="clear" w:color="auto" w:fill="FFFFFF"/>
          </w:tcPr>
          <w:p w14:paraId="08E0357E" w14:textId="77777777" w:rsidR="00220245" w:rsidRPr="00947BBE" w:rsidRDefault="00220245" w:rsidP="00144713">
            <w:pPr>
              <w:pStyle w:val="CETBodytext"/>
              <w:rPr>
                <w:lang w:val="en-GB"/>
              </w:rPr>
            </w:pPr>
            <w:r w:rsidRPr="00947BBE">
              <w:rPr>
                <w:lang w:val="en-GB"/>
              </w:rPr>
              <w:t xml:space="preserve">water </w:t>
            </w:r>
          </w:p>
        </w:tc>
        <w:tc>
          <w:tcPr>
            <w:tcW w:w="1644" w:type="dxa"/>
            <w:shd w:val="clear" w:color="auto" w:fill="FFFFFF"/>
          </w:tcPr>
          <w:p w14:paraId="1C70D547" w14:textId="77777777" w:rsidR="00220245" w:rsidRPr="00947BBE" w:rsidRDefault="00220245" w:rsidP="00144713">
            <w:pPr>
              <w:pStyle w:val="CETBodytext"/>
              <w:rPr>
                <w:lang w:val="en-GB"/>
              </w:rPr>
            </w:pPr>
            <w:r w:rsidRPr="00947BBE">
              <w:rPr>
                <w:lang w:val="en-GB"/>
              </w:rPr>
              <w:t>80</w:t>
            </w:r>
          </w:p>
        </w:tc>
        <w:tc>
          <w:tcPr>
            <w:tcW w:w="1645" w:type="dxa"/>
            <w:shd w:val="clear" w:color="auto" w:fill="FFFFFF"/>
          </w:tcPr>
          <w:p w14:paraId="2FB2C89B" w14:textId="77777777" w:rsidR="00220245" w:rsidRPr="00947BBE" w:rsidRDefault="00220245" w:rsidP="00144713">
            <w:pPr>
              <w:pStyle w:val="CETBodytext"/>
              <w:ind w:right="-1"/>
              <w:rPr>
                <w:rFonts w:cs="Arial"/>
                <w:szCs w:val="18"/>
                <w:lang w:val="en-GB"/>
              </w:rPr>
            </w:pPr>
            <w:r w:rsidRPr="00947BBE">
              <w:rPr>
                <w:rFonts w:cs="Arial"/>
                <w:szCs w:val="18"/>
                <w:lang w:val="en-GB"/>
              </w:rPr>
              <w:t>5</w:t>
            </w:r>
          </w:p>
        </w:tc>
      </w:tr>
      <w:tr w:rsidR="00220245" w:rsidRPr="00947BBE" w14:paraId="0F3CFEE1" w14:textId="77777777" w:rsidTr="00144713">
        <w:tc>
          <w:tcPr>
            <w:tcW w:w="1644" w:type="dxa"/>
            <w:shd w:val="clear" w:color="auto" w:fill="FFFFFF"/>
          </w:tcPr>
          <w:p w14:paraId="77A35836" w14:textId="77777777" w:rsidR="00220245" w:rsidRPr="00947BBE" w:rsidRDefault="00220245" w:rsidP="00144713">
            <w:pPr>
              <w:pStyle w:val="CETBodytext"/>
              <w:rPr>
                <w:lang w:val="en-GB"/>
              </w:rPr>
            </w:pPr>
          </w:p>
        </w:tc>
        <w:tc>
          <w:tcPr>
            <w:tcW w:w="1644" w:type="dxa"/>
            <w:shd w:val="clear" w:color="auto" w:fill="FFFFFF"/>
          </w:tcPr>
          <w:p w14:paraId="507C093A" w14:textId="77777777" w:rsidR="00220245" w:rsidRPr="00947BBE" w:rsidRDefault="00220245" w:rsidP="00144713">
            <w:pPr>
              <w:pStyle w:val="CETBodytext"/>
              <w:rPr>
                <w:lang w:val="en-GB"/>
              </w:rPr>
            </w:pPr>
            <w:r w:rsidRPr="00947BBE">
              <w:rPr>
                <w:lang w:val="en-GB"/>
              </w:rPr>
              <w:t>C-w-80-10</w:t>
            </w:r>
          </w:p>
        </w:tc>
        <w:tc>
          <w:tcPr>
            <w:tcW w:w="1645" w:type="dxa"/>
            <w:shd w:val="clear" w:color="auto" w:fill="FFFFFF"/>
          </w:tcPr>
          <w:p w14:paraId="417AC86B" w14:textId="77777777" w:rsidR="00220245" w:rsidRPr="00947BBE" w:rsidRDefault="00220245" w:rsidP="00144713">
            <w:pPr>
              <w:pStyle w:val="CETBodytext"/>
              <w:rPr>
                <w:lang w:val="en-GB"/>
              </w:rPr>
            </w:pPr>
            <w:r w:rsidRPr="00947BBE">
              <w:rPr>
                <w:lang w:val="en-GB"/>
              </w:rPr>
              <w:t>water</w:t>
            </w:r>
          </w:p>
        </w:tc>
        <w:tc>
          <w:tcPr>
            <w:tcW w:w="1644" w:type="dxa"/>
            <w:shd w:val="clear" w:color="auto" w:fill="FFFFFF"/>
          </w:tcPr>
          <w:p w14:paraId="1E677C40" w14:textId="77777777" w:rsidR="00220245" w:rsidRPr="00947BBE" w:rsidRDefault="00220245" w:rsidP="00144713">
            <w:pPr>
              <w:pStyle w:val="CETBodytext"/>
              <w:rPr>
                <w:lang w:val="en-GB"/>
              </w:rPr>
            </w:pPr>
            <w:r w:rsidRPr="00947BBE">
              <w:rPr>
                <w:lang w:val="en-GB"/>
              </w:rPr>
              <w:t>80</w:t>
            </w:r>
          </w:p>
        </w:tc>
        <w:tc>
          <w:tcPr>
            <w:tcW w:w="1645" w:type="dxa"/>
            <w:shd w:val="clear" w:color="auto" w:fill="FFFFFF"/>
          </w:tcPr>
          <w:p w14:paraId="031672C1" w14:textId="77777777" w:rsidR="00220245" w:rsidRPr="00947BBE" w:rsidRDefault="00220245" w:rsidP="00144713">
            <w:pPr>
              <w:pStyle w:val="CETBodytext"/>
              <w:ind w:right="-1"/>
              <w:rPr>
                <w:rFonts w:cs="Arial"/>
                <w:szCs w:val="18"/>
                <w:lang w:val="en-GB"/>
              </w:rPr>
            </w:pPr>
            <w:r w:rsidRPr="00947BBE">
              <w:rPr>
                <w:rFonts w:cs="Arial"/>
                <w:szCs w:val="18"/>
                <w:lang w:val="en-GB"/>
              </w:rPr>
              <w:t>10</w:t>
            </w:r>
          </w:p>
        </w:tc>
      </w:tr>
      <w:tr w:rsidR="00220245" w:rsidRPr="00947BBE" w14:paraId="4254780F" w14:textId="77777777" w:rsidTr="00144713">
        <w:tc>
          <w:tcPr>
            <w:tcW w:w="1644" w:type="dxa"/>
            <w:shd w:val="clear" w:color="auto" w:fill="FFFFFF"/>
          </w:tcPr>
          <w:p w14:paraId="320AAA06" w14:textId="77777777" w:rsidR="00220245" w:rsidRPr="00947BBE" w:rsidRDefault="00220245" w:rsidP="00144713">
            <w:pPr>
              <w:pStyle w:val="CETBodytext"/>
              <w:rPr>
                <w:lang w:val="en-GB"/>
              </w:rPr>
            </w:pPr>
          </w:p>
        </w:tc>
        <w:tc>
          <w:tcPr>
            <w:tcW w:w="1644" w:type="dxa"/>
            <w:shd w:val="clear" w:color="auto" w:fill="FFFFFF"/>
          </w:tcPr>
          <w:p w14:paraId="5E298012" w14:textId="77777777" w:rsidR="00220245" w:rsidRPr="00947BBE" w:rsidRDefault="00220245" w:rsidP="00144713">
            <w:pPr>
              <w:pStyle w:val="CETBodytext"/>
              <w:rPr>
                <w:lang w:val="en-GB"/>
              </w:rPr>
            </w:pPr>
            <w:r w:rsidRPr="00947BBE">
              <w:rPr>
                <w:lang w:val="en-GB"/>
              </w:rPr>
              <w:t>C-w-152-5</w:t>
            </w:r>
          </w:p>
        </w:tc>
        <w:tc>
          <w:tcPr>
            <w:tcW w:w="1645" w:type="dxa"/>
            <w:shd w:val="clear" w:color="auto" w:fill="FFFFFF"/>
          </w:tcPr>
          <w:p w14:paraId="79230ED9" w14:textId="77777777" w:rsidR="00220245" w:rsidRPr="00947BBE" w:rsidRDefault="00220245" w:rsidP="00144713">
            <w:pPr>
              <w:pStyle w:val="CETBodytext"/>
              <w:rPr>
                <w:lang w:val="en-GB"/>
              </w:rPr>
            </w:pPr>
            <w:r w:rsidRPr="00947BBE">
              <w:rPr>
                <w:lang w:val="en-GB"/>
              </w:rPr>
              <w:t>water</w:t>
            </w:r>
          </w:p>
        </w:tc>
        <w:tc>
          <w:tcPr>
            <w:tcW w:w="1644" w:type="dxa"/>
            <w:shd w:val="clear" w:color="auto" w:fill="FFFFFF"/>
          </w:tcPr>
          <w:p w14:paraId="50FD92A4" w14:textId="77777777" w:rsidR="00220245" w:rsidRPr="00947BBE" w:rsidRDefault="00220245" w:rsidP="00144713">
            <w:pPr>
              <w:pStyle w:val="CETBodytext"/>
              <w:rPr>
                <w:lang w:val="en-GB"/>
              </w:rPr>
            </w:pPr>
            <w:r w:rsidRPr="00947BBE">
              <w:rPr>
                <w:lang w:val="en-GB"/>
              </w:rPr>
              <w:t>152</w:t>
            </w:r>
          </w:p>
        </w:tc>
        <w:tc>
          <w:tcPr>
            <w:tcW w:w="1645" w:type="dxa"/>
            <w:shd w:val="clear" w:color="auto" w:fill="FFFFFF"/>
          </w:tcPr>
          <w:p w14:paraId="2AEF8881" w14:textId="77777777" w:rsidR="00220245" w:rsidRPr="00947BBE" w:rsidRDefault="00220245" w:rsidP="00144713">
            <w:pPr>
              <w:pStyle w:val="CETBodytext"/>
              <w:ind w:right="-1"/>
              <w:rPr>
                <w:rFonts w:cs="Arial"/>
                <w:szCs w:val="18"/>
                <w:lang w:val="en-GB"/>
              </w:rPr>
            </w:pPr>
            <w:r w:rsidRPr="00947BBE">
              <w:rPr>
                <w:rFonts w:cs="Arial"/>
                <w:szCs w:val="18"/>
                <w:lang w:val="en-GB"/>
              </w:rPr>
              <w:t>5</w:t>
            </w:r>
          </w:p>
        </w:tc>
      </w:tr>
      <w:tr w:rsidR="00220245" w:rsidRPr="00947BBE" w14:paraId="77E500A6" w14:textId="77777777" w:rsidTr="00144713">
        <w:tc>
          <w:tcPr>
            <w:tcW w:w="1644" w:type="dxa"/>
            <w:shd w:val="clear" w:color="auto" w:fill="FFFFFF"/>
          </w:tcPr>
          <w:p w14:paraId="3D8E9DF5" w14:textId="77777777" w:rsidR="00220245" w:rsidRPr="00947BBE" w:rsidRDefault="00220245" w:rsidP="00144713">
            <w:pPr>
              <w:pStyle w:val="CETBodytext"/>
              <w:ind w:right="-1"/>
              <w:rPr>
                <w:rFonts w:cs="Arial"/>
                <w:szCs w:val="18"/>
                <w:lang w:val="en-GB"/>
              </w:rPr>
            </w:pPr>
          </w:p>
        </w:tc>
        <w:tc>
          <w:tcPr>
            <w:tcW w:w="1644" w:type="dxa"/>
            <w:shd w:val="clear" w:color="auto" w:fill="FFFFFF"/>
          </w:tcPr>
          <w:p w14:paraId="234E96EC" w14:textId="77777777" w:rsidR="00220245" w:rsidRPr="00947BBE" w:rsidRDefault="00220245" w:rsidP="00144713">
            <w:pPr>
              <w:pStyle w:val="CETBodytext"/>
              <w:ind w:right="-1"/>
              <w:rPr>
                <w:rFonts w:cs="Arial"/>
                <w:szCs w:val="18"/>
                <w:lang w:val="en-GB"/>
              </w:rPr>
            </w:pPr>
            <w:r w:rsidRPr="00947BBE">
              <w:rPr>
                <w:lang w:val="en-GB"/>
              </w:rPr>
              <w:t>C-w-152-10</w:t>
            </w:r>
          </w:p>
        </w:tc>
        <w:tc>
          <w:tcPr>
            <w:tcW w:w="1645" w:type="dxa"/>
            <w:shd w:val="clear" w:color="auto" w:fill="FFFFFF"/>
          </w:tcPr>
          <w:p w14:paraId="1900AA30" w14:textId="77777777" w:rsidR="00220245" w:rsidRPr="00947BBE" w:rsidRDefault="00220245" w:rsidP="00144713">
            <w:pPr>
              <w:pStyle w:val="CETBodytext"/>
              <w:ind w:right="-1"/>
              <w:rPr>
                <w:rFonts w:cs="Arial"/>
                <w:szCs w:val="18"/>
                <w:lang w:val="en-GB"/>
              </w:rPr>
            </w:pPr>
            <w:r w:rsidRPr="00947BBE">
              <w:rPr>
                <w:rFonts w:cs="Arial"/>
                <w:szCs w:val="18"/>
                <w:lang w:val="en-GB"/>
              </w:rPr>
              <w:t>water</w:t>
            </w:r>
          </w:p>
        </w:tc>
        <w:tc>
          <w:tcPr>
            <w:tcW w:w="1644" w:type="dxa"/>
            <w:shd w:val="clear" w:color="auto" w:fill="FFFFFF"/>
          </w:tcPr>
          <w:p w14:paraId="498DADBB" w14:textId="77777777" w:rsidR="00220245" w:rsidRPr="00947BBE" w:rsidRDefault="00220245" w:rsidP="00144713">
            <w:pPr>
              <w:pStyle w:val="CETBodytext"/>
              <w:ind w:right="-1"/>
              <w:rPr>
                <w:rFonts w:cs="Arial"/>
                <w:szCs w:val="18"/>
                <w:lang w:val="en-GB"/>
              </w:rPr>
            </w:pPr>
            <w:r w:rsidRPr="00947BBE">
              <w:rPr>
                <w:lang w:val="en-GB"/>
              </w:rPr>
              <w:t>152</w:t>
            </w:r>
          </w:p>
        </w:tc>
        <w:tc>
          <w:tcPr>
            <w:tcW w:w="1645" w:type="dxa"/>
            <w:shd w:val="clear" w:color="auto" w:fill="FFFFFF"/>
          </w:tcPr>
          <w:p w14:paraId="5B4EC4E9" w14:textId="77777777" w:rsidR="00220245" w:rsidRPr="00947BBE" w:rsidRDefault="00220245" w:rsidP="00144713">
            <w:pPr>
              <w:pStyle w:val="CETBodytext"/>
              <w:ind w:right="-1"/>
              <w:rPr>
                <w:rFonts w:cs="Arial"/>
                <w:szCs w:val="18"/>
                <w:lang w:val="en-GB"/>
              </w:rPr>
            </w:pPr>
            <w:r w:rsidRPr="00947BBE">
              <w:rPr>
                <w:rFonts w:cs="Arial"/>
                <w:szCs w:val="18"/>
                <w:lang w:val="en-GB"/>
              </w:rPr>
              <w:t>10</w:t>
            </w:r>
          </w:p>
        </w:tc>
      </w:tr>
      <w:tr w:rsidR="00220245" w:rsidRPr="00947BBE" w14:paraId="41F6B48F" w14:textId="77777777" w:rsidTr="00144713">
        <w:tc>
          <w:tcPr>
            <w:tcW w:w="1644" w:type="dxa"/>
            <w:shd w:val="clear" w:color="auto" w:fill="FFFFFF"/>
          </w:tcPr>
          <w:p w14:paraId="2756D0A0" w14:textId="77777777" w:rsidR="00220245" w:rsidRPr="00947BBE" w:rsidRDefault="00220245" w:rsidP="00144713">
            <w:pPr>
              <w:pStyle w:val="CETBodytext"/>
              <w:ind w:right="-1"/>
              <w:rPr>
                <w:rFonts w:cs="Arial"/>
                <w:szCs w:val="18"/>
                <w:lang w:val="en-GB"/>
              </w:rPr>
            </w:pPr>
            <w:r w:rsidRPr="00947BBE">
              <w:rPr>
                <w:rFonts w:cs="Arial"/>
                <w:szCs w:val="18"/>
                <w:lang w:val="en-GB"/>
              </w:rPr>
              <w:t>STL</w:t>
            </w:r>
          </w:p>
        </w:tc>
        <w:tc>
          <w:tcPr>
            <w:tcW w:w="1644" w:type="dxa"/>
            <w:shd w:val="clear" w:color="auto" w:fill="FFFFFF"/>
          </w:tcPr>
          <w:p w14:paraId="488E4864" w14:textId="77777777" w:rsidR="00220245" w:rsidRPr="00947BBE" w:rsidRDefault="00220245" w:rsidP="00144713">
            <w:pPr>
              <w:pStyle w:val="CETBodytext"/>
              <w:ind w:right="-1"/>
              <w:rPr>
                <w:lang w:val="en-GB"/>
              </w:rPr>
            </w:pPr>
            <w:r w:rsidRPr="00947BBE">
              <w:rPr>
                <w:lang w:val="en-GB"/>
              </w:rPr>
              <w:t>T-e</w:t>
            </w:r>
          </w:p>
        </w:tc>
        <w:tc>
          <w:tcPr>
            <w:tcW w:w="1645" w:type="dxa"/>
            <w:shd w:val="clear" w:color="auto" w:fill="FFFFFF"/>
          </w:tcPr>
          <w:p w14:paraId="157BFBFF" w14:textId="77777777" w:rsidR="00220245" w:rsidRPr="00947BBE" w:rsidRDefault="00220245" w:rsidP="00144713">
            <w:pPr>
              <w:pStyle w:val="CETBodytext"/>
              <w:ind w:right="-1"/>
              <w:rPr>
                <w:rFonts w:cs="Arial"/>
                <w:szCs w:val="18"/>
                <w:lang w:val="en-GB"/>
              </w:rPr>
            </w:pPr>
            <w:r w:rsidRPr="00947BBE">
              <w:rPr>
                <w:lang w:val="en-GB"/>
              </w:rPr>
              <w:t>ethanol (60%)</w:t>
            </w:r>
          </w:p>
        </w:tc>
        <w:tc>
          <w:tcPr>
            <w:tcW w:w="1644" w:type="dxa"/>
            <w:shd w:val="clear" w:color="auto" w:fill="FFFFFF"/>
          </w:tcPr>
          <w:p w14:paraId="507F2D0B" w14:textId="77777777" w:rsidR="00220245" w:rsidRPr="00947BBE" w:rsidRDefault="00220245" w:rsidP="00144713">
            <w:pPr>
              <w:pStyle w:val="CETBodytext"/>
              <w:ind w:right="-1"/>
              <w:rPr>
                <w:rFonts w:cs="Arial"/>
                <w:szCs w:val="18"/>
                <w:lang w:val="en-GB"/>
              </w:rPr>
            </w:pPr>
            <w:r w:rsidRPr="00947BBE">
              <w:rPr>
                <w:lang w:val="en-GB"/>
              </w:rPr>
              <w:t>/</w:t>
            </w:r>
          </w:p>
        </w:tc>
        <w:tc>
          <w:tcPr>
            <w:tcW w:w="1645" w:type="dxa"/>
            <w:shd w:val="clear" w:color="auto" w:fill="FFFFFF"/>
          </w:tcPr>
          <w:p w14:paraId="39EFDCCF" w14:textId="77777777" w:rsidR="00220245" w:rsidRPr="00947BBE" w:rsidRDefault="00220245" w:rsidP="00144713">
            <w:pPr>
              <w:pStyle w:val="CETBodytext"/>
              <w:ind w:right="-1"/>
              <w:rPr>
                <w:rFonts w:cs="Arial"/>
                <w:szCs w:val="18"/>
                <w:lang w:val="en-GB"/>
              </w:rPr>
            </w:pPr>
            <w:r w:rsidRPr="00947BBE">
              <w:rPr>
                <w:rFonts w:cs="Arial"/>
                <w:szCs w:val="18"/>
                <w:lang w:val="en-GB"/>
              </w:rPr>
              <w:t>/</w:t>
            </w:r>
          </w:p>
        </w:tc>
      </w:tr>
      <w:tr w:rsidR="00220245" w:rsidRPr="00947BBE" w14:paraId="59C5CDE2" w14:textId="77777777" w:rsidTr="00144713">
        <w:tc>
          <w:tcPr>
            <w:tcW w:w="1644" w:type="dxa"/>
            <w:shd w:val="clear" w:color="auto" w:fill="FFFFFF"/>
          </w:tcPr>
          <w:p w14:paraId="3079B71B" w14:textId="77777777" w:rsidR="00220245" w:rsidRPr="00947BBE" w:rsidRDefault="00220245" w:rsidP="00144713">
            <w:pPr>
              <w:pStyle w:val="CETBodytext"/>
              <w:ind w:right="-1"/>
              <w:rPr>
                <w:rFonts w:cs="Arial"/>
                <w:szCs w:val="18"/>
                <w:lang w:val="en-GB"/>
              </w:rPr>
            </w:pPr>
          </w:p>
        </w:tc>
        <w:tc>
          <w:tcPr>
            <w:tcW w:w="1644" w:type="dxa"/>
            <w:shd w:val="clear" w:color="auto" w:fill="FFFFFF"/>
          </w:tcPr>
          <w:p w14:paraId="48724287" w14:textId="77777777" w:rsidR="00220245" w:rsidRPr="00947BBE" w:rsidRDefault="00220245" w:rsidP="00144713">
            <w:pPr>
              <w:pStyle w:val="CETBodytext"/>
              <w:ind w:right="-1"/>
              <w:rPr>
                <w:lang w:val="en-GB"/>
              </w:rPr>
            </w:pPr>
            <w:r w:rsidRPr="00947BBE">
              <w:rPr>
                <w:lang w:val="en-GB"/>
              </w:rPr>
              <w:t>T-e-80-5</w:t>
            </w:r>
          </w:p>
        </w:tc>
        <w:tc>
          <w:tcPr>
            <w:tcW w:w="1645" w:type="dxa"/>
            <w:shd w:val="clear" w:color="auto" w:fill="FFFFFF"/>
          </w:tcPr>
          <w:p w14:paraId="626F05F7" w14:textId="77777777" w:rsidR="00220245" w:rsidRPr="00947BBE" w:rsidRDefault="00220245" w:rsidP="00144713">
            <w:pPr>
              <w:pStyle w:val="CETBodytext"/>
              <w:ind w:right="-1"/>
              <w:rPr>
                <w:rFonts w:cs="Arial"/>
                <w:szCs w:val="18"/>
                <w:lang w:val="en-GB"/>
              </w:rPr>
            </w:pPr>
            <w:r w:rsidRPr="00947BBE">
              <w:rPr>
                <w:lang w:val="en-GB"/>
              </w:rPr>
              <w:t>ethanol (60%)</w:t>
            </w:r>
          </w:p>
        </w:tc>
        <w:tc>
          <w:tcPr>
            <w:tcW w:w="1644" w:type="dxa"/>
            <w:shd w:val="clear" w:color="auto" w:fill="FFFFFF"/>
          </w:tcPr>
          <w:p w14:paraId="5844B529" w14:textId="77777777" w:rsidR="00220245" w:rsidRPr="00947BBE" w:rsidRDefault="00220245" w:rsidP="00144713">
            <w:pPr>
              <w:pStyle w:val="CETBodytext"/>
              <w:ind w:right="-1"/>
              <w:rPr>
                <w:rFonts w:cs="Arial"/>
                <w:szCs w:val="18"/>
                <w:lang w:val="en-GB"/>
              </w:rPr>
            </w:pPr>
            <w:r w:rsidRPr="00947BBE">
              <w:rPr>
                <w:lang w:val="en-GB"/>
              </w:rPr>
              <w:t>80</w:t>
            </w:r>
          </w:p>
        </w:tc>
        <w:tc>
          <w:tcPr>
            <w:tcW w:w="1645" w:type="dxa"/>
            <w:shd w:val="clear" w:color="auto" w:fill="FFFFFF"/>
          </w:tcPr>
          <w:p w14:paraId="5EE6DD54" w14:textId="77777777" w:rsidR="00220245" w:rsidRPr="00947BBE" w:rsidRDefault="00220245" w:rsidP="00144713">
            <w:pPr>
              <w:pStyle w:val="CETBodytext"/>
              <w:ind w:right="-1"/>
              <w:rPr>
                <w:rFonts w:cs="Arial"/>
                <w:szCs w:val="18"/>
                <w:lang w:val="en-GB"/>
              </w:rPr>
            </w:pPr>
            <w:r w:rsidRPr="00947BBE">
              <w:rPr>
                <w:rFonts w:cs="Arial"/>
                <w:szCs w:val="18"/>
                <w:lang w:val="en-GB"/>
              </w:rPr>
              <w:t>5</w:t>
            </w:r>
          </w:p>
        </w:tc>
      </w:tr>
      <w:tr w:rsidR="00220245" w:rsidRPr="00947BBE" w14:paraId="2338BC75" w14:textId="77777777" w:rsidTr="00144713">
        <w:tc>
          <w:tcPr>
            <w:tcW w:w="1644" w:type="dxa"/>
            <w:shd w:val="clear" w:color="auto" w:fill="FFFFFF"/>
          </w:tcPr>
          <w:p w14:paraId="1478464C" w14:textId="77777777" w:rsidR="00220245" w:rsidRPr="00947BBE" w:rsidRDefault="00220245" w:rsidP="00144713">
            <w:pPr>
              <w:pStyle w:val="CETBodytext"/>
              <w:ind w:right="-1"/>
              <w:rPr>
                <w:rFonts w:cs="Arial"/>
                <w:szCs w:val="18"/>
                <w:lang w:val="en-GB"/>
              </w:rPr>
            </w:pPr>
          </w:p>
        </w:tc>
        <w:tc>
          <w:tcPr>
            <w:tcW w:w="1644" w:type="dxa"/>
            <w:shd w:val="clear" w:color="auto" w:fill="FFFFFF"/>
          </w:tcPr>
          <w:p w14:paraId="652D9A5D" w14:textId="77777777" w:rsidR="00220245" w:rsidRPr="00947BBE" w:rsidRDefault="00220245" w:rsidP="00144713">
            <w:pPr>
              <w:pStyle w:val="CETBodytext"/>
              <w:ind w:right="-1"/>
              <w:rPr>
                <w:lang w:val="en-GB"/>
              </w:rPr>
            </w:pPr>
            <w:r w:rsidRPr="00947BBE">
              <w:rPr>
                <w:lang w:val="en-GB"/>
              </w:rPr>
              <w:t>T-e-80-10</w:t>
            </w:r>
          </w:p>
        </w:tc>
        <w:tc>
          <w:tcPr>
            <w:tcW w:w="1645" w:type="dxa"/>
            <w:shd w:val="clear" w:color="auto" w:fill="FFFFFF"/>
          </w:tcPr>
          <w:p w14:paraId="2187C9F0" w14:textId="77777777" w:rsidR="00220245" w:rsidRPr="00947BBE" w:rsidRDefault="00220245" w:rsidP="00144713">
            <w:pPr>
              <w:pStyle w:val="CETBodytext"/>
              <w:ind w:right="-1"/>
              <w:rPr>
                <w:rFonts w:cs="Arial"/>
                <w:szCs w:val="18"/>
                <w:lang w:val="en-GB"/>
              </w:rPr>
            </w:pPr>
            <w:r w:rsidRPr="00947BBE">
              <w:rPr>
                <w:lang w:val="en-GB"/>
              </w:rPr>
              <w:t>ethanol (60%)</w:t>
            </w:r>
          </w:p>
        </w:tc>
        <w:tc>
          <w:tcPr>
            <w:tcW w:w="1644" w:type="dxa"/>
            <w:shd w:val="clear" w:color="auto" w:fill="FFFFFF"/>
          </w:tcPr>
          <w:p w14:paraId="715AC218" w14:textId="77777777" w:rsidR="00220245" w:rsidRPr="00947BBE" w:rsidRDefault="00220245" w:rsidP="00144713">
            <w:pPr>
              <w:pStyle w:val="CETBodytext"/>
              <w:ind w:right="-1"/>
              <w:rPr>
                <w:rFonts w:cs="Arial"/>
                <w:szCs w:val="18"/>
                <w:lang w:val="en-GB"/>
              </w:rPr>
            </w:pPr>
            <w:r w:rsidRPr="00947BBE">
              <w:rPr>
                <w:lang w:val="en-GB"/>
              </w:rPr>
              <w:t>80</w:t>
            </w:r>
          </w:p>
        </w:tc>
        <w:tc>
          <w:tcPr>
            <w:tcW w:w="1645" w:type="dxa"/>
            <w:shd w:val="clear" w:color="auto" w:fill="FFFFFF"/>
          </w:tcPr>
          <w:p w14:paraId="41D4FE9E" w14:textId="77777777" w:rsidR="00220245" w:rsidRPr="00947BBE" w:rsidRDefault="00220245" w:rsidP="00144713">
            <w:pPr>
              <w:pStyle w:val="CETBodytext"/>
              <w:ind w:right="-1"/>
              <w:rPr>
                <w:rFonts w:cs="Arial"/>
                <w:szCs w:val="18"/>
                <w:lang w:val="en-GB"/>
              </w:rPr>
            </w:pPr>
            <w:r w:rsidRPr="00947BBE">
              <w:rPr>
                <w:rFonts w:cs="Arial"/>
                <w:szCs w:val="18"/>
                <w:lang w:val="en-GB"/>
              </w:rPr>
              <w:t>10</w:t>
            </w:r>
          </w:p>
        </w:tc>
      </w:tr>
      <w:tr w:rsidR="00220245" w:rsidRPr="00947BBE" w14:paraId="4DA980C1" w14:textId="77777777" w:rsidTr="00144713">
        <w:tc>
          <w:tcPr>
            <w:tcW w:w="1644" w:type="dxa"/>
            <w:shd w:val="clear" w:color="auto" w:fill="FFFFFF"/>
          </w:tcPr>
          <w:p w14:paraId="52A28BCD" w14:textId="77777777" w:rsidR="00220245" w:rsidRPr="00947BBE" w:rsidRDefault="00220245" w:rsidP="00144713">
            <w:pPr>
              <w:pStyle w:val="CETBodytext"/>
              <w:ind w:right="-1"/>
              <w:rPr>
                <w:rFonts w:cs="Arial"/>
                <w:szCs w:val="18"/>
                <w:lang w:val="en-GB"/>
              </w:rPr>
            </w:pPr>
          </w:p>
        </w:tc>
        <w:tc>
          <w:tcPr>
            <w:tcW w:w="1644" w:type="dxa"/>
            <w:shd w:val="clear" w:color="auto" w:fill="FFFFFF"/>
          </w:tcPr>
          <w:p w14:paraId="40DA1343" w14:textId="77777777" w:rsidR="00220245" w:rsidRPr="00947BBE" w:rsidRDefault="00220245" w:rsidP="00144713">
            <w:pPr>
              <w:pStyle w:val="CETBodytext"/>
              <w:ind w:right="-1"/>
              <w:rPr>
                <w:lang w:val="en-GB"/>
              </w:rPr>
            </w:pPr>
            <w:r w:rsidRPr="00947BBE">
              <w:rPr>
                <w:lang w:val="en-GB"/>
              </w:rPr>
              <w:t>T-e-152-5</w:t>
            </w:r>
          </w:p>
        </w:tc>
        <w:tc>
          <w:tcPr>
            <w:tcW w:w="1645" w:type="dxa"/>
            <w:shd w:val="clear" w:color="auto" w:fill="FFFFFF"/>
          </w:tcPr>
          <w:p w14:paraId="0921B860" w14:textId="77777777" w:rsidR="00220245" w:rsidRPr="00947BBE" w:rsidRDefault="00220245" w:rsidP="00144713">
            <w:pPr>
              <w:pStyle w:val="CETBodytext"/>
              <w:ind w:right="-1"/>
              <w:rPr>
                <w:rFonts w:cs="Arial"/>
                <w:szCs w:val="18"/>
                <w:lang w:val="en-GB"/>
              </w:rPr>
            </w:pPr>
            <w:r w:rsidRPr="00947BBE">
              <w:rPr>
                <w:lang w:val="en-GB"/>
              </w:rPr>
              <w:t>ethanol (60%)</w:t>
            </w:r>
          </w:p>
        </w:tc>
        <w:tc>
          <w:tcPr>
            <w:tcW w:w="1644" w:type="dxa"/>
            <w:shd w:val="clear" w:color="auto" w:fill="FFFFFF"/>
          </w:tcPr>
          <w:p w14:paraId="6DAAF5D7" w14:textId="77777777" w:rsidR="00220245" w:rsidRPr="00947BBE" w:rsidRDefault="00220245" w:rsidP="00144713">
            <w:pPr>
              <w:pStyle w:val="CETBodytext"/>
              <w:ind w:right="-1"/>
              <w:rPr>
                <w:rFonts w:cs="Arial"/>
                <w:szCs w:val="18"/>
                <w:lang w:val="en-GB"/>
              </w:rPr>
            </w:pPr>
            <w:r w:rsidRPr="00947BBE">
              <w:rPr>
                <w:lang w:val="en-GB"/>
              </w:rPr>
              <w:t>152</w:t>
            </w:r>
          </w:p>
        </w:tc>
        <w:tc>
          <w:tcPr>
            <w:tcW w:w="1645" w:type="dxa"/>
            <w:shd w:val="clear" w:color="auto" w:fill="FFFFFF"/>
          </w:tcPr>
          <w:p w14:paraId="52A6376F" w14:textId="77777777" w:rsidR="00220245" w:rsidRPr="00947BBE" w:rsidRDefault="00220245" w:rsidP="00144713">
            <w:pPr>
              <w:pStyle w:val="CETBodytext"/>
              <w:ind w:right="-1"/>
              <w:rPr>
                <w:rFonts w:cs="Arial"/>
                <w:szCs w:val="18"/>
                <w:lang w:val="en-GB"/>
              </w:rPr>
            </w:pPr>
            <w:r w:rsidRPr="00947BBE">
              <w:rPr>
                <w:rFonts w:cs="Arial"/>
                <w:szCs w:val="18"/>
                <w:lang w:val="en-GB"/>
              </w:rPr>
              <w:t>5</w:t>
            </w:r>
          </w:p>
        </w:tc>
      </w:tr>
      <w:tr w:rsidR="00220245" w:rsidRPr="00947BBE" w14:paraId="60B02F65" w14:textId="77777777" w:rsidTr="00144713">
        <w:tc>
          <w:tcPr>
            <w:tcW w:w="1644" w:type="dxa"/>
            <w:shd w:val="clear" w:color="auto" w:fill="FFFFFF"/>
          </w:tcPr>
          <w:p w14:paraId="7ABD475F" w14:textId="77777777" w:rsidR="00220245" w:rsidRPr="00947BBE" w:rsidRDefault="00220245" w:rsidP="00144713">
            <w:pPr>
              <w:pStyle w:val="CETBodytext"/>
              <w:ind w:right="-1"/>
              <w:rPr>
                <w:rFonts w:cs="Arial"/>
                <w:szCs w:val="18"/>
                <w:lang w:val="en-GB"/>
              </w:rPr>
            </w:pPr>
          </w:p>
        </w:tc>
        <w:tc>
          <w:tcPr>
            <w:tcW w:w="1644" w:type="dxa"/>
            <w:shd w:val="clear" w:color="auto" w:fill="FFFFFF"/>
          </w:tcPr>
          <w:p w14:paraId="4A6810DB" w14:textId="77777777" w:rsidR="00220245" w:rsidRPr="00947BBE" w:rsidRDefault="00220245" w:rsidP="00144713">
            <w:pPr>
              <w:pStyle w:val="CETBodytext"/>
              <w:ind w:right="-1"/>
              <w:rPr>
                <w:lang w:val="en-GB"/>
              </w:rPr>
            </w:pPr>
            <w:r w:rsidRPr="00947BBE">
              <w:rPr>
                <w:lang w:val="en-GB"/>
              </w:rPr>
              <w:t>T-e-152-10</w:t>
            </w:r>
          </w:p>
        </w:tc>
        <w:tc>
          <w:tcPr>
            <w:tcW w:w="1645" w:type="dxa"/>
            <w:shd w:val="clear" w:color="auto" w:fill="FFFFFF"/>
          </w:tcPr>
          <w:p w14:paraId="155B7974" w14:textId="77777777" w:rsidR="00220245" w:rsidRPr="00947BBE" w:rsidRDefault="00220245" w:rsidP="00144713">
            <w:pPr>
              <w:pStyle w:val="CETBodytext"/>
              <w:ind w:right="-1"/>
              <w:rPr>
                <w:rFonts w:cs="Arial"/>
                <w:szCs w:val="18"/>
                <w:lang w:val="en-GB"/>
              </w:rPr>
            </w:pPr>
            <w:r w:rsidRPr="00947BBE">
              <w:rPr>
                <w:lang w:val="en-GB"/>
              </w:rPr>
              <w:t>ethanol (60%)</w:t>
            </w:r>
          </w:p>
        </w:tc>
        <w:tc>
          <w:tcPr>
            <w:tcW w:w="1644" w:type="dxa"/>
            <w:shd w:val="clear" w:color="auto" w:fill="FFFFFF"/>
          </w:tcPr>
          <w:p w14:paraId="714F0D16" w14:textId="77777777" w:rsidR="00220245" w:rsidRPr="00947BBE" w:rsidRDefault="00220245" w:rsidP="00144713">
            <w:pPr>
              <w:pStyle w:val="CETBodytext"/>
              <w:ind w:right="-1"/>
              <w:rPr>
                <w:rFonts w:cs="Arial"/>
                <w:szCs w:val="18"/>
                <w:lang w:val="en-GB"/>
              </w:rPr>
            </w:pPr>
            <w:r w:rsidRPr="00947BBE">
              <w:rPr>
                <w:lang w:val="en-GB"/>
              </w:rPr>
              <w:t>152</w:t>
            </w:r>
          </w:p>
        </w:tc>
        <w:tc>
          <w:tcPr>
            <w:tcW w:w="1645" w:type="dxa"/>
            <w:shd w:val="clear" w:color="auto" w:fill="FFFFFF"/>
          </w:tcPr>
          <w:p w14:paraId="00B5FCCF" w14:textId="77777777" w:rsidR="00220245" w:rsidRPr="00947BBE" w:rsidRDefault="00220245" w:rsidP="00144713">
            <w:pPr>
              <w:pStyle w:val="CETBodytext"/>
              <w:ind w:right="-1"/>
              <w:rPr>
                <w:rFonts w:cs="Arial"/>
                <w:szCs w:val="18"/>
                <w:lang w:val="en-GB"/>
              </w:rPr>
            </w:pPr>
            <w:r w:rsidRPr="00947BBE">
              <w:rPr>
                <w:rFonts w:cs="Arial"/>
                <w:szCs w:val="18"/>
                <w:lang w:val="en-GB"/>
              </w:rPr>
              <w:t>10</w:t>
            </w:r>
          </w:p>
        </w:tc>
      </w:tr>
      <w:tr w:rsidR="00220245" w:rsidRPr="00947BBE" w14:paraId="49D2D8BB" w14:textId="77777777" w:rsidTr="00144713">
        <w:tc>
          <w:tcPr>
            <w:tcW w:w="1644" w:type="dxa"/>
            <w:shd w:val="clear" w:color="auto" w:fill="FFFFFF"/>
          </w:tcPr>
          <w:p w14:paraId="6217173F" w14:textId="77777777" w:rsidR="00220245" w:rsidRPr="00947BBE" w:rsidRDefault="00220245" w:rsidP="00144713">
            <w:pPr>
              <w:pStyle w:val="CETBodytext"/>
              <w:ind w:right="-1"/>
              <w:rPr>
                <w:rFonts w:cs="Arial"/>
                <w:szCs w:val="18"/>
                <w:lang w:val="en-GB"/>
              </w:rPr>
            </w:pPr>
          </w:p>
        </w:tc>
        <w:tc>
          <w:tcPr>
            <w:tcW w:w="1644" w:type="dxa"/>
            <w:shd w:val="clear" w:color="auto" w:fill="FFFFFF"/>
          </w:tcPr>
          <w:p w14:paraId="2AE3C439" w14:textId="77777777" w:rsidR="00220245" w:rsidRPr="00947BBE" w:rsidRDefault="00220245" w:rsidP="00144713">
            <w:pPr>
              <w:pStyle w:val="CETBodytext"/>
              <w:ind w:right="-1"/>
              <w:rPr>
                <w:lang w:val="en-GB"/>
              </w:rPr>
            </w:pPr>
            <w:r w:rsidRPr="00947BBE">
              <w:rPr>
                <w:lang w:val="en-GB"/>
              </w:rPr>
              <w:t>T-w</w:t>
            </w:r>
          </w:p>
        </w:tc>
        <w:tc>
          <w:tcPr>
            <w:tcW w:w="1645" w:type="dxa"/>
            <w:shd w:val="clear" w:color="auto" w:fill="FFFFFF"/>
          </w:tcPr>
          <w:p w14:paraId="7EEB8D9A" w14:textId="77777777" w:rsidR="00220245" w:rsidRPr="00947BBE" w:rsidRDefault="00220245" w:rsidP="00144713">
            <w:pPr>
              <w:pStyle w:val="CETBodytext"/>
              <w:ind w:right="-1"/>
              <w:rPr>
                <w:rFonts w:cs="Arial"/>
                <w:szCs w:val="18"/>
                <w:lang w:val="en-GB"/>
              </w:rPr>
            </w:pPr>
            <w:r w:rsidRPr="00947BBE">
              <w:rPr>
                <w:lang w:val="en-GB"/>
              </w:rPr>
              <w:t>water</w:t>
            </w:r>
          </w:p>
        </w:tc>
        <w:tc>
          <w:tcPr>
            <w:tcW w:w="1644" w:type="dxa"/>
            <w:shd w:val="clear" w:color="auto" w:fill="FFFFFF"/>
          </w:tcPr>
          <w:p w14:paraId="2DA4576A" w14:textId="77777777" w:rsidR="00220245" w:rsidRPr="00947BBE" w:rsidRDefault="00220245" w:rsidP="00144713">
            <w:pPr>
              <w:pStyle w:val="CETBodytext"/>
              <w:ind w:right="-1"/>
              <w:rPr>
                <w:rFonts w:cs="Arial"/>
                <w:szCs w:val="18"/>
                <w:lang w:val="en-GB"/>
              </w:rPr>
            </w:pPr>
            <w:r w:rsidRPr="00947BBE">
              <w:rPr>
                <w:lang w:val="en-GB"/>
              </w:rPr>
              <w:t>/</w:t>
            </w:r>
          </w:p>
        </w:tc>
        <w:tc>
          <w:tcPr>
            <w:tcW w:w="1645" w:type="dxa"/>
            <w:shd w:val="clear" w:color="auto" w:fill="FFFFFF"/>
          </w:tcPr>
          <w:p w14:paraId="14BA4AC3" w14:textId="77777777" w:rsidR="00220245" w:rsidRPr="00947BBE" w:rsidRDefault="00220245" w:rsidP="00144713">
            <w:pPr>
              <w:pStyle w:val="CETBodytext"/>
              <w:ind w:right="-1"/>
              <w:rPr>
                <w:rFonts w:cs="Arial"/>
                <w:szCs w:val="18"/>
                <w:lang w:val="en-GB"/>
              </w:rPr>
            </w:pPr>
            <w:r w:rsidRPr="00947BBE">
              <w:rPr>
                <w:rFonts w:cs="Arial"/>
                <w:szCs w:val="18"/>
                <w:lang w:val="en-GB"/>
              </w:rPr>
              <w:t>/</w:t>
            </w:r>
          </w:p>
        </w:tc>
      </w:tr>
      <w:tr w:rsidR="00220245" w:rsidRPr="00947BBE" w14:paraId="396453A0" w14:textId="77777777" w:rsidTr="00144713">
        <w:tc>
          <w:tcPr>
            <w:tcW w:w="1644" w:type="dxa"/>
            <w:shd w:val="clear" w:color="auto" w:fill="FFFFFF"/>
          </w:tcPr>
          <w:p w14:paraId="38D1591F" w14:textId="77777777" w:rsidR="00220245" w:rsidRPr="00947BBE" w:rsidRDefault="00220245" w:rsidP="00144713">
            <w:pPr>
              <w:pStyle w:val="CETBodytext"/>
              <w:ind w:right="-1"/>
              <w:rPr>
                <w:rFonts w:cs="Arial"/>
                <w:szCs w:val="18"/>
                <w:lang w:val="en-GB"/>
              </w:rPr>
            </w:pPr>
          </w:p>
        </w:tc>
        <w:tc>
          <w:tcPr>
            <w:tcW w:w="1644" w:type="dxa"/>
            <w:shd w:val="clear" w:color="auto" w:fill="FFFFFF"/>
          </w:tcPr>
          <w:p w14:paraId="5254D646" w14:textId="77777777" w:rsidR="00220245" w:rsidRPr="00947BBE" w:rsidRDefault="00220245" w:rsidP="00144713">
            <w:pPr>
              <w:pStyle w:val="CETBodytext"/>
              <w:ind w:right="-1"/>
              <w:rPr>
                <w:lang w:val="en-GB"/>
              </w:rPr>
            </w:pPr>
            <w:r w:rsidRPr="00947BBE">
              <w:rPr>
                <w:lang w:val="en-GB"/>
              </w:rPr>
              <w:t>T-w-80-5</w:t>
            </w:r>
          </w:p>
        </w:tc>
        <w:tc>
          <w:tcPr>
            <w:tcW w:w="1645" w:type="dxa"/>
            <w:shd w:val="clear" w:color="auto" w:fill="FFFFFF"/>
          </w:tcPr>
          <w:p w14:paraId="1BAD175F" w14:textId="77777777" w:rsidR="00220245" w:rsidRPr="00947BBE" w:rsidRDefault="00220245" w:rsidP="00144713">
            <w:pPr>
              <w:pStyle w:val="CETBodytext"/>
              <w:ind w:right="-1"/>
              <w:rPr>
                <w:rFonts w:cs="Arial"/>
                <w:szCs w:val="18"/>
                <w:lang w:val="en-GB"/>
              </w:rPr>
            </w:pPr>
            <w:r w:rsidRPr="00947BBE">
              <w:rPr>
                <w:lang w:val="en-GB"/>
              </w:rPr>
              <w:t xml:space="preserve">water </w:t>
            </w:r>
          </w:p>
        </w:tc>
        <w:tc>
          <w:tcPr>
            <w:tcW w:w="1644" w:type="dxa"/>
            <w:shd w:val="clear" w:color="auto" w:fill="FFFFFF"/>
          </w:tcPr>
          <w:p w14:paraId="5A66461E" w14:textId="77777777" w:rsidR="00220245" w:rsidRPr="00947BBE" w:rsidRDefault="00220245" w:rsidP="00144713">
            <w:pPr>
              <w:pStyle w:val="CETBodytext"/>
              <w:ind w:right="-1"/>
              <w:rPr>
                <w:rFonts w:cs="Arial"/>
                <w:szCs w:val="18"/>
                <w:lang w:val="en-GB"/>
              </w:rPr>
            </w:pPr>
            <w:r w:rsidRPr="00947BBE">
              <w:rPr>
                <w:lang w:val="en-GB"/>
              </w:rPr>
              <w:t>80</w:t>
            </w:r>
          </w:p>
        </w:tc>
        <w:tc>
          <w:tcPr>
            <w:tcW w:w="1645" w:type="dxa"/>
            <w:shd w:val="clear" w:color="auto" w:fill="FFFFFF"/>
          </w:tcPr>
          <w:p w14:paraId="209CC5FE" w14:textId="77777777" w:rsidR="00220245" w:rsidRPr="00947BBE" w:rsidRDefault="00220245" w:rsidP="00144713">
            <w:pPr>
              <w:pStyle w:val="CETBodytext"/>
              <w:ind w:right="-1"/>
              <w:rPr>
                <w:rFonts w:cs="Arial"/>
                <w:szCs w:val="18"/>
                <w:lang w:val="en-GB"/>
              </w:rPr>
            </w:pPr>
            <w:r w:rsidRPr="00947BBE">
              <w:rPr>
                <w:rFonts w:cs="Arial"/>
                <w:szCs w:val="18"/>
                <w:lang w:val="en-GB"/>
              </w:rPr>
              <w:t>5</w:t>
            </w:r>
          </w:p>
        </w:tc>
      </w:tr>
      <w:tr w:rsidR="00220245" w:rsidRPr="00947BBE" w14:paraId="0B4A84F6" w14:textId="77777777" w:rsidTr="00144713">
        <w:tc>
          <w:tcPr>
            <w:tcW w:w="1644" w:type="dxa"/>
            <w:shd w:val="clear" w:color="auto" w:fill="FFFFFF"/>
          </w:tcPr>
          <w:p w14:paraId="58E8FD5C" w14:textId="77777777" w:rsidR="00220245" w:rsidRPr="00947BBE" w:rsidRDefault="00220245" w:rsidP="00144713">
            <w:pPr>
              <w:pStyle w:val="CETBodytext"/>
              <w:ind w:right="-1"/>
              <w:rPr>
                <w:rFonts w:cs="Arial"/>
                <w:szCs w:val="18"/>
                <w:lang w:val="en-GB"/>
              </w:rPr>
            </w:pPr>
          </w:p>
        </w:tc>
        <w:tc>
          <w:tcPr>
            <w:tcW w:w="1644" w:type="dxa"/>
            <w:shd w:val="clear" w:color="auto" w:fill="FFFFFF"/>
          </w:tcPr>
          <w:p w14:paraId="7D4CA343" w14:textId="77777777" w:rsidR="00220245" w:rsidRPr="00947BBE" w:rsidRDefault="00220245" w:rsidP="00144713">
            <w:pPr>
              <w:pStyle w:val="CETBodytext"/>
              <w:ind w:right="-1"/>
              <w:rPr>
                <w:lang w:val="en-GB"/>
              </w:rPr>
            </w:pPr>
            <w:r w:rsidRPr="00947BBE">
              <w:rPr>
                <w:lang w:val="en-GB"/>
              </w:rPr>
              <w:t>T-w-80-10</w:t>
            </w:r>
          </w:p>
        </w:tc>
        <w:tc>
          <w:tcPr>
            <w:tcW w:w="1645" w:type="dxa"/>
            <w:shd w:val="clear" w:color="auto" w:fill="FFFFFF"/>
          </w:tcPr>
          <w:p w14:paraId="00203050" w14:textId="77777777" w:rsidR="00220245" w:rsidRPr="00947BBE" w:rsidRDefault="00220245" w:rsidP="00144713">
            <w:pPr>
              <w:pStyle w:val="CETBodytext"/>
              <w:ind w:right="-1"/>
              <w:rPr>
                <w:rFonts w:cs="Arial"/>
                <w:szCs w:val="18"/>
                <w:lang w:val="en-GB"/>
              </w:rPr>
            </w:pPr>
            <w:r w:rsidRPr="00947BBE">
              <w:rPr>
                <w:lang w:val="en-GB"/>
              </w:rPr>
              <w:t>water</w:t>
            </w:r>
          </w:p>
        </w:tc>
        <w:tc>
          <w:tcPr>
            <w:tcW w:w="1644" w:type="dxa"/>
            <w:shd w:val="clear" w:color="auto" w:fill="FFFFFF"/>
          </w:tcPr>
          <w:p w14:paraId="6DEA20FC" w14:textId="77777777" w:rsidR="00220245" w:rsidRPr="00947BBE" w:rsidRDefault="00220245" w:rsidP="00144713">
            <w:pPr>
              <w:pStyle w:val="CETBodytext"/>
              <w:ind w:right="-1"/>
              <w:rPr>
                <w:rFonts w:cs="Arial"/>
                <w:szCs w:val="18"/>
                <w:lang w:val="en-GB"/>
              </w:rPr>
            </w:pPr>
            <w:r w:rsidRPr="00947BBE">
              <w:rPr>
                <w:lang w:val="en-GB"/>
              </w:rPr>
              <w:t>80</w:t>
            </w:r>
          </w:p>
        </w:tc>
        <w:tc>
          <w:tcPr>
            <w:tcW w:w="1645" w:type="dxa"/>
            <w:shd w:val="clear" w:color="auto" w:fill="FFFFFF"/>
          </w:tcPr>
          <w:p w14:paraId="4A005F08" w14:textId="77777777" w:rsidR="00220245" w:rsidRPr="00947BBE" w:rsidRDefault="00220245" w:rsidP="00144713">
            <w:pPr>
              <w:pStyle w:val="CETBodytext"/>
              <w:ind w:right="-1"/>
              <w:rPr>
                <w:rFonts w:cs="Arial"/>
                <w:szCs w:val="18"/>
                <w:lang w:val="en-GB"/>
              </w:rPr>
            </w:pPr>
            <w:r w:rsidRPr="00947BBE">
              <w:rPr>
                <w:rFonts w:cs="Arial"/>
                <w:szCs w:val="18"/>
                <w:lang w:val="en-GB"/>
              </w:rPr>
              <w:t>10</w:t>
            </w:r>
          </w:p>
        </w:tc>
      </w:tr>
      <w:tr w:rsidR="00220245" w:rsidRPr="00947BBE" w14:paraId="01752BA9" w14:textId="77777777" w:rsidTr="00144713">
        <w:tc>
          <w:tcPr>
            <w:tcW w:w="1644" w:type="dxa"/>
            <w:shd w:val="clear" w:color="auto" w:fill="FFFFFF"/>
          </w:tcPr>
          <w:p w14:paraId="44DB76AE" w14:textId="77777777" w:rsidR="00220245" w:rsidRPr="00947BBE" w:rsidRDefault="00220245" w:rsidP="00144713">
            <w:pPr>
              <w:pStyle w:val="CETBodytext"/>
              <w:ind w:right="-1"/>
              <w:rPr>
                <w:rFonts w:cs="Arial"/>
                <w:szCs w:val="18"/>
                <w:lang w:val="en-GB"/>
              </w:rPr>
            </w:pPr>
          </w:p>
        </w:tc>
        <w:tc>
          <w:tcPr>
            <w:tcW w:w="1644" w:type="dxa"/>
            <w:shd w:val="clear" w:color="auto" w:fill="FFFFFF"/>
          </w:tcPr>
          <w:p w14:paraId="3264DC96" w14:textId="77777777" w:rsidR="00220245" w:rsidRPr="00947BBE" w:rsidRDefault="00220245" w:rsidP="00144713">
            <w:pPr>
              <w:pStyle w:val="CETBodytext"/>
              <w:ind w:right="-1"/>
              <w:rPr>
                <w:lang w:val="en-GB"/>
              </w:rPr>
            </w:pPr>
            <w:r w:rsidRPr="00947BBE">
              <w:rPr>
                <w:lang w:val="en-GB"/>
              </w:rPr>
              <w:t>T-w-152-5</w:t>
            </w:r>
          </w:p>
        </w:tc>
        <w:tc>
          <w:tcPr>
            <w:tcW w:w="1645" w:type="dxa"/>
            <w:shd w:val="clear" w:color="auto" w:fill="FFFFFF"/>
          </w:tcPr>
          <w:p w14:paraId="626F2521" w14:textId="77777777" w:rsidR="00220245" w:rsidRPr="00947BBE" w:rsidRDefault="00220245" w:rsidP="00144713">
            <w:pPr>
              <w:pStyle w:val="CETBodytext"/>
              <w:ind w:right="-1"/>
              <w:rPr>
                <w:rFonts w:cs="Arial"/>
                <w:szCs w:val="18"/>
                <w:lang w:val="en-GB"/>
              </w:rPr>
            </w:pPr>
            <w:r w:rsidRPr="00947BBE">
              <w:rPr>
                <w:lang w:val="en-GB"/>
              </w:rPr>
              <w:t>water</w:t>
            </w:r>
          </w:p>
        </w:tc>
        <w:tc>
          <w:tcPr>
            <w:tcW w:w="1644" w:type="dxa"/>
            <w:shd w:val="clear" w:color="auto" w:fill="FFFFFF"/>
          </w:tcPr>
          <w:p w14:paraId="5CF05D7F" w14:textId="77777777" w:rsidR="00220245" w:rsidRPr="00947BBE" w:rsidRDefault="00220245" w:rsidP="00144713">
            <w:pPr>
              <w:pStyle w:val="CETBodytext"/>
              <w:ind w:right="-1"/>
              <w:rPr>
                <w:rFonts w:cs="Arial"/>
                <w:szCs w:val="18"/>
                <w:lang w:val="en-GB"/>
              </w:rPr>
            </w:pPr>
            <w:r w:rsidRPr="00947BBE">
              <w:rPr>
                <w:lang w:val="en-GB"/>
              </w:rPr>
              <w:t>152</w:t>
            </w:r>
          </w:p>
        </w:tc>
        <w:tc>
          <w:tcPr>
            <w:tcW w:w="1645" w:type="dxa"/>
            <w:shd w:val="clear" w:color="auto" w:fill="FFFFFF"/>
          </w:tcPr>
          <w:p w14:paraId="0C3FAA4E" w14:textId="77777777" w:rsidR="00220245" w:rsidRPr="00947BBE" w:rsidRDefault="00220245" w:rsidP="00144713">
            <w:pPr>
              <w:pStyle w:val="CETBodytext"/>
              <w:ind w:right="-1"/>
              <w:rPr>
                <w:rFonts w:cs="Arial"/>
                <w:szCs w:val="18"/>
                <w:lang w:val="en-GB"/>
              </w:rPr>
            </w:pPr>
            <w:r w:rsidRPr="00947BBE">
              <w:rPr>
                <w:rFonts w:cs="Arial"/>
                <w:szCs w:val="18"/>
                <w:lang w:val="en-GB"/>
              </w:rPr>
              <w:t>5</w:t>
            </w:r>
          </w:p>
        </w:tc>
      </w:tr>
      <w:tr w:rsidR="00220245" w:rsidRPr="00947BBE" w14:paraId="677E27C8" w14:textId="77777777" w:rsidTr="00144713">
        <w:tc>
          <w:tcPr>
            <w:tcW w:w="1644" w:type="dxa"/>
            <w:shd w:val="clear" w:color="auto" w:fill="FFFFFF"/>
          </w:tcPr>
          <w:p w14:paraId="0718A427" w14:textId="77777777" w:rsidR="00220245" w:rsidRPr="00947BBE" w:rsidRDefault="00220245" w:rsidP="00144713">
            <w:pPr>
              <w:pStyle w:val="CETBodytext"/>
              <w:ind w:right="-1"/>
              <w:rPr>
                <w:rFonts w:cs="Arial"/>
                <w:szCs w:val="18"/>
                <w:lang w:val="en-GB"/>
              </w:rPr>
            </w:pPr>
          </w:p>
        </w:tc>
        <w:tc>
          <w:tcPr>
            <w:tcW w:w="1644" w:type="dxa"/>
            <w:shd w:val="clear" w:color="auto" w:fill="FFFFFF"/>
          </w:tcPr>
          <w:p w14:paraId="575E10A8" w14:textId="77777777" w:rsidR="00220245" w:rsidRPr="00947BBE" w:rsidRDefault="00220245" w:rsidP="00144713">
            <w:pPr>
              <w:pStyle w:val="CETBodytext"/>
              <w:ind w:right="-1"/>
              <w:rPr>
                <w:lang w:val="en-GB"/>
              </w:rPr>
            </w:pPr>
            <w:r w:rsidRPr="00947BBE">
              <w:rPr>
                <w:lang w:val="en-GB"/>
              </w:rPr>
              <w:t>T-w-152-10</w:t>
            </w:r>
          </w:p>
        </w:tc>
        <w:tc>
          <w:tcPr>
            <w:tcW w:w="1645" w:type="dxa"/>
            <w:shd w:val="clear" w:color="auto" w:fill="FFFFFF"/>
          </w:tcPr>
          <w:p w14:paraId="4EB1F3FB" w14:textId="77777777" w:rsidR="00220245" w:rsidRPr="00947BBE" w:rsidRDefault="00220245" w:rsidP="00144713">
            <w:pPr>
              <w:pStyle w:val="CETBodytext"/>
              <w:ind w:right="-1"/>
              <w:rPr>
                <w:rFonts w:cs="Arial"/>
                <w:szCs w:val="18"/>
                <w:lang w:val="en-GB"/>
              </w:rPr>
            </w:pPr>
            <w:r w:rsidRPr="00947BBE">
              <w:rPr>
                <w:rFonts w:cs="Arial"/>
                <w:szCs w:val="18"/>
                <w:lang w:val="en-GB"/>
              </w:rPr>
              <w:t>water</w:t>
            </w:r>
          </w:p>
        </w:tc>
        <w:tc>
          <w:tcPr>
            <w:tcW w:w="1644" w:type="dxa"/>
            <w:shd w:val="clear" w:color="auto" w:fill="FFFFFF"/>
          </w:tcPr>
          <w:p w14:paraId="1BE9B868" w14:textId="77777777" w:rsidR="00220245" w:rsidRPr="00947BBE" w:rsidRDefault="00220245" w:rsidP="00144713">
            <w:pPr>
              <w:pStyle w:val="CETBodytext"/>
              <w:ind w:right="-1"/>
              <w:rPr>
                <w:rFonts w:cs="Arial"/>
                <w:szCs w:val="18"/>
                <w:lang w:val="en-GB"/>
              </w:rPr>
            </w:pPr>
            <w:r w:rsidRPr="00947BBE">
              <w:rPr>
                <w:lang w:val="en-GB"/>
              </w:rPr>
              <w:t>152</w:t>
            </w:r>
          </w:p>
        </w:tc>
        <w:tc>
          <w:tcPr>
            <w:tcW w:w="1645" w:type="dxa"/>
            <w:shd w:val="clear" w:color="auto" w:fill="FFFFFF"/>
          </w:tcPr>
          <w:p w14:paraId="7054278C" w14:textId="77777777" w:rsidR="00220245" w:rsidRPr="00947BBE" w:rsidRDefault="00220245" w:rsidP="00144713">
            <w:pPr>
              <w:pStyle w:val="CETBodytext"/>
              <w:ind w:right="-1"/>
              <w:rPr>
                <w:rFonts w:cs="Arial"/>
                <w:szCs w:val="18"/>
                <w:lang w:val="en-GB"/>
              </w:rPr>
            </w:pPr>
            <w:r w:rsidRPr="00947BBE">
              <w:rPr>
                <w:rFonts w:cs="Arial"/>
                <w:szCs w:val="18"/>
                <w:lang w:val="en-GB"/>
              </w:rPr>
              <w:t>10</w:t>
            </w:r>
          </w:p>
        </w:tc>
      </w:tr>
    </w:tbl>
    <w:p w14:paraId="6DC922A8" w14:textId="77777777" w:rsidR="00220245" w:rsidRPr="00947BBE" w:rsidRDefault="00220245" w:rsidP="00220245">
      <w:pPr>
        <w:pStyle w:val="CETBodytext"/>
        <w:rPr>
          <w:lang w:val="en-GB"/>
        </w:rPr>
      </w:pPr>
    </w:p>
    <w:p w14:paraId="584382A9" w14:textId="77777777" w:rsidR="00220245" w:rsidRPr="00947BBE" w:rsidRDefault="00220245" w:rsidP="00220245">
      <w:pPr>
        <w:pStyle w:val="CETBodytext"/>
        <w:rPr>
          <w:lang w:val="en-GB"/>
        </w:rPr>
      </w:pPr>
    </w:p>
    <w:p w14:paraId="30F88282" w14:textId="77777777" w:rsidR="00220245" w:rsidRPr="00947BBE" w:rsidRDefault="00220245" w:rsidP="00220245">
      <w:pPr>
        <w:pStyle w:val="CETBodytext"/>
        <w:rPr>
          <w:lang w:val="en-GB"/>
        </w:rPr>
      </w:pPr>
    </w:p>
    <w:p w14:paraId="452CB02F" w14:textId="77777777" w:rsidR="00220245" w:rsidRDefault="00220245" w:rsidP="00A97B71">
      <w:pPr>
        <w:pStyle w:val="CETBodytext"/>
        <w:rPr>
          <w:lang w:val="en-GB"/>
        </w:rPr>
      </w:pPr>
    </w:p>
    <w:p w14:paraId="723E1BF1" w14:textId="19EC2B62" w:rsidR="00947BBE" w:rsidRPr="00947BBE" w:rsidRDefault="00947BBE" w:rsidP="00947BBE">
      <w:pPr>
        <w:pStyle w:val="CETHeading1"/>
        <w:tabs>
          <w:tab w:val="clear" w:pos="360"/>
          <w:tab w:val="right" w:pos="7100"/>
        </w:tabs>
        <w:jc w:val="both"/>
        <w:rPr>
          <w:lang w:val="en-GB"/>
        </w:rPr>
      </w:pPr>
      <w:r>
        <w:rPr>
          <w:lang w:val="en-GB"/>
        </w:rPr>
        <w:t>Results and discussion</w:t>
      </w:r>
    </w:p>
    <w:p w14:paraId="531E26B9" w14:textId="40641142" w:rsidR="007D6543" w:rsidRPr="00AA75BE" w:rsidRDefault="007D6543" w:rsidP="007D6543">
      <w:pPr>
        <w:pStyle w:val="CETBodytext"/>
        <w:rPr>
          <w:lang w:val="en-GB"/>
        </w:rPr>
      </w:pPr>
      <w:r>
        <w:rPr>
          <w:lang w:val="en-GB"/>
        </w:rPr>
        <w:t>C</w:t>
      </w:r>
      <w:r w:rsidRPr="00AA75BE">
        <w:rPr>
          <w:lang w:val="en-GB"/>
        </w:rPr>
        <w:t xml:space="preserve">offee beans and tea leaves contain several classes of health-related chemicals that do not completely leach out during brewing. </w:t>
      </w:r>
      <w:r w:rsidR="003E7EA3" w:rsidRPr="00AA75BE">
        <w:rPr>
          <w:lang w:val="en-GB"/>
        </w:rPr>
        <w:t xml:space="preserve">Hence, SCG and STL represent </w:t>
      </w:r>
      <w:r w:rsidR="00BB442B">
        <w:rPr>
          <w:lang w:val="en-GB"/>
        </w:rPr>
        <w:t xml:space="preserve">an opportunity for functional food and beverage industries as </w:t>
      </w:r>
      <w:r w:rsidR="003E7EA3" w:rsidRPr="00AA75BE">
        <w:rPr>
          <w:lang w:val="en-GB"/>
        </w:rPr>
        <w:t xml:space="preserve">a relevant feedstock </w:t>
      </w:r>
      <w:r w:rsidR="00125620">
        <w:rPr>
          <w:lang w:val="en-GB"/>
        </w:rPr>
        <w:t>of</w:t>
      </w:r>
      <w:r w:rsidR="003E7EA3" w:rsidRPr="00AA75BE">
        <w:rPr>
          <w:lang w:val="en-GB"/>
        </w:rPr>
        <w:t xml:space="preserve"> </w:t>
      </w:r>
      <w:r w:rsidR="003E7EA3">
        <w:rPr>
          <w:lang w:val="en-GB"/>
        </w:rPr>
        <w:t>bioactives</w:t>
      </w:r>
      <w:r w:rsidR="003E7EA3" w:rsidRPr="00AA75BE">
        <w:rPr>
          <w:lang w:val="en-GB"/>
        </w:rPr>
        <w:t xml:space="preserve">. </w:t>
      </w:r>
      <w:r w:rsidR="002332A5">
        <w:rPr>
          <w:lang w:val="en-GB"/>
        </w:rPr>
        <w:t xml:space="preserve">Intensification effects </w:t>
      </w:r>
      <w:r w:rsidR="00FF13FC" w:rsidRPr="00487BEC">
        <w:rPr>
          <w:lang w:val="en-GB"/>
        </w:rPr>
        <w:t>of US technology on</w:t>
      </w:r>
      <w:r w:rsidR="00FF13FC">
        <w:rPr>
          <w:lang w:val="en-GB"/>
        </w:rPr>
        <w:t xml:space="preserve"> the leach</w:t>
      </w:r>
      <w:r w:rsidR="00FF13FC" w:rsidRPr="00487BEC">
        <w:rPr>
          <w:lang w:val="en-GB"/>
        </w:rPr>
        <w:t xml:space="preserve"> out of caffeine and antioxidant compounds from</w:t>
      </w:r>
      <w:r w:rsidR="00FF13FC">
        <w:rPr>
          <w:lang w:val="en-GB"/>
        </w:rPr>
        <w:t xml:space="preserve"> SCG and STL</w:t>
      </w:r>
      <w:r w:rsidR="00FF13FC" w:rsidRPr="00AA75BE">
        <w:rPr>
          <w:lang w:val="en-GB"/>
        </w:rPr>
        <w:t xml:space="preserve"> using both aqueous ethanol and water as GRAS</w:t>
      </w:r>
      <w:r w:rsidR="00FF13FC">
        <w:rPr>
          <w:lang w:val="en-GB"/>
        </w:rPr>
        <w:t xml:space="preserve"> </w:t>
      </w:r>
      <w:r w:rsidR="00FF13FC" w:rsidRPr="00AA75BE">
        <w:rPr>
          <w:lang w:val="en-GB"/>
        </w:rPr>
        <w:t>solvents</w:t>
      </w:r>
      <w:r w:rsidR="002332A5">
        <w:rPr>
          <w:lang w:val="en-GB"/>
        </w:rPr>
        <w:t xml:space="preserve"> were</w:t>
      </w:r>
      <w:r w:rsidR="00FF13FC">
        <w:rPr>
          <w:lang w:val="en-GB"/>
        </w:rPr>
        <w:t xml:space="preserve"> investigated</w:t>
      </w:r>
      <w:r w:rsidR="00FF13FC" w:rsidRPr="00AA75BE">
        <w:rPr>
          <w:lang w:val="en-GB"/>
        </w:rPr>
        <w:t>.</w:t>
      </w:r>
    </w:p>
    <w:p w14:paraId="28EBE3E9" w14:textId="3FA9B5D7" w:rsidR="00B3307E" w:rsidRDefault="00B3307E" w:rsidP="00F12B79">
      <w:pPr>
        <w:pStyle w:val="CETBodytext"/>
        <w:rPr>
          <w:lang w:val="en-GB"/>
        </w:rPr>
      </w:pPr>
      <w:r w:rsidRPr="00FB533B">
        <w:rPr>
          <w:lang w:val="en-GB"/>
        </w:rPr>
        <w:t>Field-collected</w:t>
      </w:r>
      <w:r>
        <w:rPr>
          <w:lang w:val="en-GB"/>
        </w:rPr>
        <w:t xml:space="preserve"> samples of </w:t>
      </w:r>
      <w:r w:rsidR="006C6B8A">
        <w:rPr>
          <w:lang w:val="en-GB"/>
        </w:rPr>
        <w:t>SCG and STL</w:t>
      </w:r>
      <w:r>
        <w:rPr>
          <w:lang w:val="en-GB"/>
        </w:rPr>
        <w:t xml:space="preserve"> contained </w:t>
      </w:r>
      <w:r w:rsidRPr="000B2A43">
        <w:rPr>
          <w:rFonts w:eastAsiaTheme="minorHAnsi" w:cs="Arial"/>
          <w:szCs w:val="18"/>
        </w:rPr>
        <w:t>98.49 ±0.06 %</w:t>
      </w:r>
      <w:r>
        <w:rPr>
          <w:rFonts w:eastAsiaTheme="minorHAnsi" w:cs="Arial"/>
          <w:szCs w:val="18"/>
          <w:vertAlign w:val="subscript"/>
        </w:rPr>
        <w:t xml:space="preserve"> </w:t>
      </w:r>
      <w:r w:rsidR="00FF655B">
        <w:rPr>
          <w:rFonts w:eastAsiaTheme="minorHAnsi" w:cs="Arial"/>
          <w:szCs w:val="18"/>
        </w:rPr>
        <w:t xml:space="preserve">total solids </w:t>
      </w:r>
      <w:r>
        <w:rPr>
          <w:rFonts w:eastAsiaTheme="minorHAnsi" w:cs="Arial"/>
          <w:szCs w:val="18"/>
        </w:rPr>
        <w:t xml:space="preserve">and </w:t>
      </w:r>
      <w:r w:rsidR="006C6B8A">
        <w:rPr>
          <w:rFonts w:eastAsiaTheme="minorHAnsi" w:cs="Arial"/>
          <w:szCs w:val="18"/>
        </w:rPr>
        <w:t>1.55 ±0.08 %</w:t>
      </w:r>
      <w:r w:rsidR="00FF655B">
        <w:rPr>
          <w:rFonts w:eastAsiaTheme="minorHAnsi" w:cs="Arial"/>
          <w:szCs w:val="18"/>
        </w:rPr>
        <w:t xml:space="preserve"> </w:t>
      </w:r>
      <w:r w:rsidR="006C6B8A" w:rsidRPr="00FB533B">
        <w:rPr>
          <w:rFonts w:eastAsiaTheme="minorHAnsi" w:cs="Arial"/>
          <w:szCs w:val="18"/>
        </w:rPr>
        <w:t>ashes</w:t>
      </w:r>
      <w:r>
        <w:rPr>
          <w:rFonts w:eastAsiaTheme="minorHAnsi" w:cs="Arial"/>
          <w:szCs w:val="18"/>
        </w:rPr>
        <w:t xml:space="preserve"> and </w:t>
      </w:r>
      <w:r w:rsidRPr="000B2A43">
        <w:rPr>
          <w:rFonts w:eastAsiaTheme="minorHAnsi" w:cs="Arial"/>
          <w:szCs w:val="18"/>
        </w:rPr>
        <w:t>96.29 ±0.07 %</w:t>
      </w:r>
      <w:r>
        <w:rPr>
          <w:rFonts w:eastAsiaTheme="minorHAnsi" w:cs="Arial"/>
          <w:szCs w:val="18"/>
        </w:rPr>
        <w:t xml:space="preserve"> </w:t>
      </w:r>
      <w:r w:rsidR="00FF655B">
        <w:rPr>
          <w:rFonts w:eastAsiaTheme="minorHAnsi" w:cs="Arial"/>
          <w:szCs w:val="18"/>
        </w:rPr>
        <w:t xml:space="preserve">total solids </w:t>
      </w:r>
      <w:r>
        <w:rPr>
          <w:rFonts w:eastAsiaTheme="minorHAnsi" w:cs="Arial"/>
          <w:szCs w:val="18"/>
        </w:rPr>
        <w:t xml:space="preserve">and </w:t>
      </w:r>
      <w:r w:rsidR="00606E60">
        <w:rPr>
          <w:rFonts w:eastAsiaTheme="minorHAnsi" w:cs="Arial"/>
          <w:szCs w:val="18"/>
        </w:rPr>
        <w:t>3.90</w:t>
      </w:r>
      <w:r w:rsidR="00A86F2F">
        <w:rPr>
          <w:rFonts w:eastAsiaTheme="minorHAnsi" w:cs="Arial"/>
          <w:szCs w:val="18"/>
        </w:rPr>
        <w:t xml:space="preserve"> ±0.</w:t>
      </w:r>
      <w:r w:rsidR="00606E60">
        <w:rPr>
          <w:rFonts w:eastAsiaTheme="minorHAnsi" w:cs="Arial"/>
          <w:szCs w:val="18"/>
        </w:rPr>
        <w:t>0</w:t>
      </w:r>
      <w:r w:rsidR="00A86F2F">
        <w:rPr>
          <w:rFonts w:eastAsiaTheme="minorHAnsi" w:cs="Arial"/>
          <w:szCs w:val="18"/>
        </w:rPr>
        <w:t xml:space="preserve">1 </w:t>
      </w:r>
      <w:r w:rsidR="006C6B8A">
        <w:rPr>
          <w:rFonts w:eastAsiaTheme="minorHAnsi" w:cs="Arial"/>
          <w:szCs w:val="18"/>
        </w:rPr>
        <w:t>%</w:t>
      </w:r>
      <w:r w:rsidR="00FF655B">
        <w:rPr>
          <w:rFonts w:eastAsiaTheme="minorHAnsi" w:cs="Arial"/>
          <w:szCs w:val="18"/>
        </w:rPr>
        <w:t xml:space="preserve"> </w:t>
      </w:r>
      <w:r w:rsidR="00FF655B" w:rsidRPr="00857C54">
        <w:rPr>
          <w:rFonts w:eastAsiaTheme="minorHAnsi" w:cs="Arial"/>
          <w:szCs w:val="18"/>
        </w:rPr>
        <w:t>ashe</w:t>
      </w:r>
      <w:r w:rsidR="00FF655B">
        <w:rPr>
          <w:rFonts w:eastAsiaTheme="minorHAnsi" w:cs="Arial"/>
          <w:szCs w:val="18"/>
        </w:rPr>
        <w:t>s</w:t>
      </w:r>
      <w:r>
        <w:rPr>
          <w:rFonts w:eastAsiaTheme="minorHAnsi" w:cs="Arial"/>
          <w:szCs w:val="18"/>
        </w:rPr>
        <w:t>, respectively.</w:t>
      </w:r>
      <w:r>
        <w:rPr>
          <w:lang w:val="en-GB"/>
        </w:rPr>
        <w:t xml:space="preserve"> </w:t>
      </w:r>
      <w:r w:rsidR="00E976EF">
        <w:rPr>
          <w:lang w:val="en-GB"/>
        </w:rPr>
        <w:t xml:space="preserve">Amounts of </w:t>
      </w:r>
      <w:r w:rsidR="00E976EF" w:rsidRPr="00481C50">
        <w:rPr>
          <w:lang w:val="en-GB"/>
        </w:rPr>
        <w:t>TPC</w:t>
      </w:r>
      <w:r w:rsidR="00E976EF">
        <w:rPr>
          <w:lang w:val="en-GB"/>
        </w:rPr>
        <w:t xml:space="preserve">, antioxidant activity, caffeine and individual phenolics as determined by HPLC in the extracts of SCG and STL obtained through UAE at 80 and 152 </w:t>
      </w:r>
      <w:r w:rsidR="00E976EF" w:rsidRPr="00481C50">
        <w:rPr>
          <w:lang w:val="en-GB"/>
        </w:rPr>
        <w:t>μm</w:t>
      </w:r>
      <w:r w:rsidR="00E976EF">
        <w:rPr>
          <w:lang w:val="en-GB"/>
        </w:rPr>
        <w:t xml:space="preserve"> for 5 and 10 min </w:t>
      </w:r>
      <w:r w:rsidR="00E976EF" w:rsidRPr="00481C50">
        <w:rPr>
          <w:lang w:val="en-GB"/>
        </w:rPr>
        <w:t xml:space="preserve">are reported in </w:t>
      </w:r>
      <w:r w:rsidR="00E976EF" w:rsidRPr="002F6A0F">
        <w:rPr>
          <w:lang w:val="en-GB"/>
        </w:rPr>
        <w:t>Tables 2 and 3.</w:t>
      </w:r>
    </w:p>
    <w:p w14:paraId="1D867E78" w14:textId="60D9EBFF" w:rsidR="00E61DA5" w:rsidRPr="00E61DA5" w:rsidRDefault="00F12B79" w:rsidP="00A97B71">
      <w:pPr>
        <w:pStyle w:val="CETBodytext"/>
        <w:rPr>
          <w:lang w:val="en-GB"/>
        </w:rPr>
      </w:pPr>
      <w:r w:rsidRPr="00F12B79">
        <w:rPr>
          <w:lang w:val="en-GB"/>
        </w:rPr>
        <w:t xml:space="preserve">The analysis and interpretation of the </w:t>
      </w:r>
      <w:r w:rsidR="00FF655B">
        <w:rPr>
          <w:lang w:val="en-GB"/>
        </w:rPr>
        <w:t>analytical</w:t>
      </w:r>
      <w:r w:rsidRPr="00F12B79">
        <w:rPr>
          <w:lang w:val="en-GB"/>
        </w:rPr>
        <w:t xml:space="preserve"> data collected during the present study enables to assert that</w:t>
      </w:r>
      <w:r w:rsidR="000F0C01">
        <w:rPr>
          <w:lang w:val="en-GB"/>
        </w:rPr>
        <w:t>, even when using GRAS solvents (including water),</w:t>
      </w:r>
      <w:r w:rsidRPr="00F12B79">
        <w:rPr>
          <w:lang w:val="en-GB"/>
        </w:rPr>
        <w:t xml:space="preserve"> US acoustic waves can significantly intensify the extraction yield of </w:t>
      </w:r>
      <w:r w:rsidR="00A656E9">
        <w:rPr>
          <w:lang w:val="en-GB"/>
        </w:rPr>
        <w:t xml:space="preserve">caffeine and </w:t>
      </w:r>
      <w:r w:rsidRPr="00F12B79">
        <w:rPr>
          <w:lang w:val="en-GB"/>
        </w:rPr>
        <w:t>antioxidant compounds from the treated vegetal matrixes.</w:t>
      </w:r>
    </w:p>
    <w:p w14:paraId="5D8E59F1" w14:textId="16476A06" w:rsidR="004F05BA" w:rsidRDefault="009A0AC3" w:rsidP="00EA368D">
      <w:pPr>
        <w:pStyle w:val="CETBodytext"/>
      </w:pPr>
      <w:r w:rsidRPr="009A0AC3">
        <w:t xml:space="preserve">Solvent type, in accordance </w:t>
      </w:r>
      <w:r w:rsidR="00156033">
        <w:t>with</w:t>
      </w:r>
      <w:r w:rsidRPr="009A0AC3">
        <w:t xml:space="preserve"> its </w:t>
      </w:r>
      <w:r>
        <w:t>physical and chemical properties, plays an important role in the extraction process affecting the amount of substance</w:t>
      </w:r>
      <w:r w:rsidR="00D22011">
        <w:t>s</w:t>
      </w:r>
      <w:r>
        <w:t xml:space="preserve"> eluted from the solid matrix. </w:t>
      </w:r>
      <w:r w:rsidR="004F05BA" w:rsidRPr="004F05BA">
        <w:rPr>
          <w:rFonts w:cs="Arial"/>
          <w:szCs w:val="18"/>
          <w:lang w:val="en-GB"/>
        </w:rPr>
        <w:t xml:space="preserve">Cavitational energy is also influenced by the characteristics (viscosity, surface tension and vapour pressure) of the fluid which transmits the energy to the treated substrate (Miano et al., 2021). </w:t>
      </w:r>
      <w:r w:rsidRPr="004F05BA">
        <w:t>Water can be a more effective solvent</w:t>
      </w:r>
      <w:r>
        <w:t xml:space="preserve"> than ethanol due to </w:t>
      </w:r>
      <w:r w:rsidR="004F05BA">
        <w:t xml:space="preserve">its higher polarity coefficient which </w:t>
      </w:r>
      <w:r w:rsidR="004F05BA" w:rsidRPr="00700DDA">
        <w:rPr>
          <w:lang w:val="en-GB"/>
        </w:rPr>
        <w:t>favour</w:t>
      </w:r>
      <w:r w:rsidR="00413667">
        <w:rPr>
          <w:lang w:val="en-GB"/>
        </w:rPr>
        <w:t>s</w:t>
      </w:r>
      <w:r w:rsidR="004F05BA" w:rsidRPr="00700DDA">
        <w:rPr>
          <w:lang w:val="en-GB"/>
        </w:rPr>
        <w:t xml:space="preserve"> phenolic</w:t>
      </w:r>
      <w:r w:rsidR="004F05BA">
        <w:t xml:space="preserve"> solubility (</w:t>
      </w:r>
      <w:r w:rsidR="004F05BA" w:rsidRPr="004F05BA">
        <w:rPr>
          <w:rFonts w:cs="Arial"/>
          <w:szCs w:val="18"/>
          <w:lang w:val="en-GB"/>
        </w:rPr>
        <w:t>Miano et al., 2021</w:t>
      </w:r>
      <w:r w:rsidR="004F05BA">
        <w:rPr>
          <w:rFonts w:cs="Arial"/>
          <w:szCs w:val="18"/>
          <w:lang w:val="en-GB"/>
        </w:rPr>
        <w:t xml:space="preserve">; </w:t>
      </w:r>
      <w:r w:rsidR="004F05BA" w:rsidRPr="004F05BA">
        <w:rPr>
          <w:rFonts w:cs="Arial"/>
          <w:szCs w:val="18"/>
          <w:lang w:val="en-GB"/>
        </w:rPr>
        <w:t>Nadiah and Uthumporn, 2015</w:t>
      </w:r>
      <w:r w:rsidR="004F05BA">
        <w:t>). H</w:t>
      </w:r>
      <w:r>
        <w:t xml:space="preserve">owever, ethanol </w:t>
      </w:r>
      <w:r w:rsidR="004F05BA">
        <w:t xml:space="preserve">exhibits a lower density and higher diffusivity </w:t>
      </w:r>
      <w:r w:rsidR="00EA368D" w:rsidRPr="004F05BA">
        <w:t xml:space="preserve">that allows </w:t>
      </w:r>
      <w:r w:rsidR="004F05BA" w:rsidRPr="004F05BA">
        <w:t>it</w:t>
      </w:r>
      <w:r w:rsidR="00EA368D" w:rsidRPr="004F05BA">
        <w:t xml:space="preserve"> to easily diffuse into the pores of the plant materials to leach out the bioactive constituents </w:t>
      </w:r>
      <w:r w:rsidR="004F05BA" w:rsidRPr="004F05BA">
        <w:t>(Nadiah and Uthumporn, 2015)</w:t>
      </w:r>
      <w:r w:rsidR="00EA368D" w:rsidRPr="004F05BA">
        <w:t>. As a result,</w:t>
      </w:r>
      <w:r w:rsidR="008C0F59">
        <w:t xml:space="preserve"> the coupled effect of US (which increase the solid matrix porosity) </w:t>
      </w:r>
      <w:r w:rsidR="004F05BA" w:rsidRPr="004F05BA">
        <w:t xml:space="preserve">and ethanol can lead to higher </w:t>
      </w:r>
      <w:r w:rsidR="004F05BA">
        <w:t xml:space="preserve">antioxidants </w:t>
      </w:r>
      <w:r w:rsidR="004F05BA" w:rsidRPr="004F05BA">
        <w:t xml:space="preserve">extraction </w:t>
      </w:r>
      <w:r w:rsidR="00413667">
        <w:t>yield</w:t>
      </w:r>
      <w:r w:rsidR="004F05BA" w:rsidRPr="004F05BA">
        <w:t>.</w:t>
      </w:r>
    </w:p>
    <w:p w14:paraId="292C076D" w14:textId="77777777" w:rsidR="00220245" w:rsidRPr="006852D3" w:rsidRDefault="00220245" w:rsidP="00220245">
      <w:pPr>
        <w:pStyle w:val="CETTabletitle"/>
        <w:jc w:val="both"/>
      </w:pPr>
      <w:r w:rsidRPr="002F6A0F">
        <w:lastRenderedPageBreak/>
        <w:t>Table 2: SCG</w:t>
      </w:r>
      <w:r>
        <w:t xml:space="preserve"> </w:t>
      </w:r>
      <w:r w:rsidRPr="006852D3">
        <w:t xml:space="preserve">extracts characterization in terms of </w:t>
      </w:r>
      <w:r>
        <w:t>total phenolic content, antioxidant activity,</w:t>
      </w:r>
      <w:r w:rsidRPr="006852D3">
        <w:t xml:space="preserve"> </w:t>
      </w:r>
      <w:r>
        <w:t>c</w:t>
      </w:r>
      <w:r w:rsidRPr="006852D3">
        <w:t xml:space="preserve">affeine and </w:t>
      </w:r>
      <w:r>
        <w:t>chlorogenic acid</w:t>
      </w:r>
      <w:r w:rsidRPr="006852D3">
        <w:t xml:space="preserve"> </w:t>
      </w:r>
      <w:r>
        <w:t xml:space="preserve">(mean value </w:t>
      </w:r>
      <w:r>
        <w:rPr>
          <w:rFonts w:cs="Arial"/>
        </w:rPr>
        <w:t>±</w:t>
      </w:r>
      <w:r>
        <w:t xml:space="preserve"> standard deviation)</w:t>
      </w:r>
      <w:r w:rsidRPr="006852D3">
        <w:t xml:space="preserve">. </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60"/>
        <w:gridCol w:w="1559"/>
        <w:gridCol w:w="1984"/>
        <w:gridCol w:w="1560"/>
        <w:gridCol w:w="2126"/>
      </w:tblGrid>
      <w:tr w:rsidR="00220245" w:rsidRPr="00103E44" w14:paraId="0D5CA435" w14:textId="77777777" w:rsidTr="005C1A51">
        <w:tc>
          <w:tcPr>
            <w:tcW w:w="1560" w:type="dxa"/>
            <w:tcBorders>
              <w:top w:val="single" w:sz="12" w:space="0" w:color="008000"/>
              <w:bottom w:val="single" w:sz="6" w:space="0" w:color="008000"/>
            </w:tcBorders>
            <w:shd w:val="clear" w:color="auto" w:fill="FFFFFF"/>
            <w:vAlign w:val="center"/>
          </w:tcPr>
          <w:p w14:paraId="192599FF" w14:textId="77777777" w:rsidR="00220245" w:rsidRPr="00947BBE" w:rsidRDefault="00220245" w:rsidP="005C1A51">
            <w:pPr>
              <w:pStyle w:val="CETBodytext"/>
              <w:jc w:val="left"/>
              <w:rPr>
                <w:color w:val="365F91" w:themeColor="accent1" w:themeShade="BF"/>
                <w:lang w:val="en-GB"/>
              </w:rPr>
            </w:pPr>
            <w:r>
              <w:rPr>
                <w:lang w:val="en-GB"/>
              </w:rPr>
              <w:t>Sample</w:t>
            </w:r>
          </w:p>
        </w:tc>
        <w:tc>
          <w:tcPr>
            <w:tcW w:w="1559" w:type="dxa"/>
            <w:tcBorders>
              <w:top w:val="single" w:sz="12" w:space="0" w:color="008000"/>
              <w:bottom w:val="single" w:sz="6" w:space="0" w:color="008000"/>
            </w:tcBorders>
            <w:shd w:val="clear" w:color="auto" w:fill="FFFFFF"/>
            <w:vAlign w:val="center"/>
          </w:tcPr>
          <w:p w14:paraId="5291845B" w14:textId="77777777" w:rsidR="00220245" w:rsidRPr="00FB533B" w:rsidRDefault="00220245" w:rsidP="005C1A51">
            <w:pPr>
              <w:pStyle w:val="CETBodytext"/>
              <w:jc w:val="left"/>
              <w:rPr>
                <w:lang w:val="en-GB"/>
              </w:rPr>
            </w:pPr>
            <w:r>
              <w:rPr>
                <w:lang w:val="en-GB"/>
              </w:rPr>
              <w:t>TPC (</w:t>
            </w:r>
            <w:r w:rsidRPr="00947BBE">
              <w:rPr>
                <w:lang w:val="en-GB"/>
              </w:rPr>
              <w:t>mg</w:t>
            </w:r>
            <w:r w:rsidRPr="009D2DDA">
              <w:rPr>
                <w:lang w:val="en-GB"/>
              </w:rPr>
              <w:t>GAE</w:t>
            </w:r>
            <w:r w:rsidRPr="00947BBE">
              <w:rPr>
                <w:lang w:val="en-GB"/>
              </w:rPr>
              <w:t>/g</w:t>
            </w:r>
            <w:r>
              <w:rPr>
                <w:vertAlign w:val="subscript"/>
                <w:lang w:val="en-GB"/>
              </w:rPr>
              <w:t>TS</w:t>
            </w:r>
            <w:r>
              <w:rPr>
                <w:lang w:val="en-GB"/>
              </w:rPr>
              <w:t>)</w:t>
            </w:r>
          </w:p>
        </w:tc>
        <w:tc>
          <w:tcPr>
            <w:tcW w:w="1984" w:type="dxa"/>
            <w:tcBorders>
              <w:top w:val="single" w:sz="12" w:space="0" w:color="008000"/>
              <w:bottom w:val="single" w:sz="6" w:space="0" w:color="008000"/>
            </w:tcBorders>
            <w:shd w:val="clear" w:color="auto" w:fill="FFFFFF"/>
            <w:vAlign w:val="center"/>
          </w:tcPr>
          <w:p w14:paraId="338F8428" w14:textId="77777777" w:rsidR="00220245" w:rsidRPr="00103E44" w:rsidRDefault="00220245" w:rsidP="005C1A51">
            <w:pPr>
              <w:pStyle w:val="CETBodytext"/>
              <w:jc w:val="left"/>
              <w:rPr>
                <w:color w:val="365F91" w:themeColor="accent1" w:themeShade="BF"/>
                <w:lang w:val="en-GB"/>
              </w:rPr>
            </w:pPr>
            <w:r>
              <w:rPr>
                <w:rFonts w:cs="Arial"/>
              </w:rPr>
              <w:t>antiox act. (µ</w:t>
            </w:r>
            <w:r>
              <w:t>mol</w:t>
            </w:r>
            <w:r w:rsidRPr="009D2DDA">
              <w:t>T</w:t>
            </w:r>
            <w:r w:rsidRPr="009D2DDA">
              <w:rPr>
                <w:lang w:val="en-GB"/>
              </w:rPr>
              <w:t>E</w:t>
            </w:r>
            <w:r w:rsidRPr="00947BBE">
              <w:rPr>
                <w:lang w:val="en-GB"/>
              </w:rPr>
              <w:t>/g</w:t>
            </w:r>
            <w:r>
              <w:rPr>
                <w:vertAlign w:val="subscript"/>
                <w:lang w:val="en-GB"/>
              </w:rPr>
              <w:t>TS</w:t>
            </w:r>
            <w:r>
              <w:rPr>
                <w:lang w:val="en-GB"/>
              </w:rPr>
              <w:t>)</w:t>
            </w:r>
          </w:p>
        </w:tc>
        <w:tc>
          <w:tcPr>
            <w:tcW w:w="1560" w:type="dxa"/>
            <w:tcBorders>
              <w:top w:val="single" w:sz="12" w:space="0" w:color="008000"/>
              <w:bottom w:val="single" w:sz="6" w:space="0" w:color="008000"/>
            </w:tcBorders>
            <w:shd w:val="clear" w:color="auto" w:fill="FFFFFF"/>
            <w:vAlign w:val="center"/>
          </w:tcPr>
          <w:p w14:paraId="23CDB7FE" w14:textId="77777777" w:rsidR="00220245" w:rsidRPr="00F273F8" w:rsidRDefault="00220245" w:rsidP="005C1A51">
            <w:pPr>
              <w:pStyle w:val="CETBodytext"/>
              <w:jc w:val="left"/>
              <w:rPr>
                <w:lang w:val="en-GB"/>
              </w:rPr>
            </w:pPr>
            <w:r w:rsidRPr="00F273F8">
              <w:rPr>
                <w:lang w:val="en-GB"/>
              </w:rPr>
              <w:t>caffeine (mg/g</w:t>
            </w:r>
            <w:r w:rsidRPr="00F273F8">
              <w:rPr>
                <w:vertAlign w:val="subscript"/>
                <w:lang w:val="en-GB"/>
              </w:rPr>
              <w:t>TS</w:t>
            </w:r>
            <w:r w:rsidRPr="00F273F8">
              <w:rPr>
                <w:lang w:val="en-GB"/>
              </w:rPr>
              <w:t>)</w:t>
            </w:r>
          </w:p>
        </w:tc>
        <w:tc>
          <w:tcPr>
            <w:tcW w:w="2126" w:type="dxa"/>
            <w:tcBorders>
              <w:top w:val="single" w:sz="12" w:space="0" w:color="008000"/>
              <w:bottom w:val="single" w:sz="6" w:space="0" w:color="008000"/>
            </w:tcBorders>
            <w:shd w:val="clear" w:color="auto" w:fill="FFFFFF"/>
            <w:vAlign w:val="center"/>
          </w:tcPr>
          <w:p w14:paraId="26184D5D" w14:textId="77777777" w:rsidR="00220245" w:rsidRPr="00F273F8" w:rsidRDefault="00220245" w:rsidP="005C1A51">
            <w:pPr>
              <w:pStyle w:val="CETBodytext"/>
              <w:ind w:right="-1"/>
              <w:jc w:val="left"/>
              <w:rPr>
                <w:rFonts w:cs="Arial"/>
                <w:szCs w:val="18"/>
                <w:lang w:val="en-GB"/>
              </w:rPr>
            </w:pPr>
            <w:r w:rsidRPr="00F273F8">
              <w:rPr>
                <w:rFonts w:cs="Arial"/>
                <w:szCs w:val="18"/>
                <w:lang w:val="en-GB"/>
              </w:rPr>
              <w:t xml:space="preserve">chlorogenic acid </w:t>
            </w:r>
            <w:r w:rsidRPr="00F273F8">
              <w:rPr>
                <w:lang w:val="en-GB"/>
              </w:rPr>
              <w:t>(mg/g</w:t>
            </w:r>
            <w:r w:rsidRPr="00F273F8">
              <w:rPr>
                <w:vertAlign w:val="subscript"/>
                <w:lang w:val="en-GB"/>
              </w:rPr>
              <w:t>TS</w:t>
            </w:r>
            <w:r w:rsidRPr="00F273F8">
              <w:rPr>
                <w:lang w:val="en-GB"/>
              </w:rPr>
              <w:t>)</w:t>
            </w:r>
          </w:p>
        </w:tc>
      </w:tr>
      <w:tr w:rsidR="00220245" w:rsidRPr="00103E44" w14:paraId="423B4B29" w14:textId="77777777" w:rsidTr="005C1A51">
        <w:tc>
          <w:tcPr>
            <w:tcW w:w="1560" w:type="dxa"/>
            <w:shd w:val="clear" w:color="auto" w:fill="FFFFFF"/>
          </w:tcPr>
          <w:p w14:paraId="36143A4E" w14:textId="77777777" w:rsidR="00220245" w:rsidRPr="00947BBE" w:rsidRDefault="00220245" w:rsidP="005C1A51">
            <w:pPr>
              <w:pStyle w:val="CETBodytext"/>
              <w:rPr>
                <w:color w:val="365F91" w:themeColor="accent1" w:themeShade="BF"/>
                <w:lang w:val="en-GB"/>
              </w:rPr>
            </w:pPr>
            <w:r w:rsidRPr="00947BBE">
              <w:rPr>
                <w:lang w:val="en-GB"/>
              </w:rPr>
              <w:t>C-e</w:t>
            </w:r>
          </w:p>
        </w:tc>
        <w:tc>
          <w:tcPr>
            <w:tcW w:w="1559" w:type="dxa"/>
            <w:shd w:val="clear" w:color="auto" w:fill="FFFFFF"/>
          </w:tcPr>
          <w:p w14:paraId="410D8CE4" w14:textId="77777777" w:rsidR="00220245" w:rsidRPr="00A97BCB" w:rsidRDefault="00220245" w:rsidP="005C1A51">
            <w:pPr>
              <w:pStyle w:val="CETBodytext"/>
              <w:rPr>
                <w:lang w:val="en-GB"/>
              </w:rPr>
            </w:pPr>
            <w:r w:rsidRPr="00A97BCB">
              <w:rPr>
                <w:lang w:val="en-GB"/>
              </w:rPr>
              <w:t>11</w:t>
            </w:r>
            <w:r>
              <w:rPr>
                <w:lang w:val="en-GB"/>
              </w:rPr>
              <w:t xml:space="preserve">.42 </w:t>
            </w:r>
            <w:r>
              <w:rPr>
                <w:rFonts w:cs="Arial"/>
                <w:lang w:val="en-GB"/>
              </w:rPr>
              <w:t xml:space="preserve">±0.14 </w:t>
            </w:r>
            <w:r w:rsidRPr="006C7B81">
              <w:rPr>
                <w:rFonts w:cs="Arial"/>
                <w:vertAlign w:val="superscript"/>
                <w:lang w:val="en-GB"/>
              </w:rPr>
              <w:t>g</w:t>
            </w:r>
          </w:p>
        </w:tc>
        <w:tc>
          <w:tcPr>
            <w:tcW w:w="1984" w:type="dxa"/>
            <w:shd w:val="clear" w:color="auto" w:fill="FFFFFF"/>
          </w:tcPr>
          <w:p w14:paraId="3FE2D667" w14:textId="77777777" w:rsidR="00220245" w:rsidRPr="00A97BCB" w:rsidRDefault="00220245" w:rsidP="005C1A51">
            <w:pPr>
              <w:pStyle w:val="CETBodytext"/>
              <w:rPr>
                <w:lang w:val="en-GB"/>
              </w:rPr>
            </w:pPr>
            <w:r>
              <w:rPr>
                <w:rFonts w:cs="Arial"/>
                <w:lang w:val="en-GB"/>
              </w:rPr>
              <w:t xml:space="preserve">55.02 </w:t>
            </w:r>
            <w:r w:rsidRPr="00C04A81">
              <w:rPr>
                <w:rFonts w:cs="Arial"/>
                <w:lang w:val="en-GB"/>
              </w:rPr>
              <w:t>±</w:t>
            </w:r>
            <w:r>
              <w:rPr>
                <w:rFonts w:cs="Arial"/>
                <w:lang w:val="en-GB"/>
              </w:rPr>
              <w:t xml:space="preserve">2.34 </w:t>
            </w:r>
            <w:r w:rsidRPr="007769AB">
              <w:rPr>
                <w:rFonts w:cs="Arial"/>
                <w:vertAlign w:val="superscript"/>
                <w:lang w:val="en-GB"/>
              </w:rPr>
              <w:t>c</w:t>
            </w:r>
          </w:p>
        </w:tc>
        <w:tc>
          <w:tcPr>
            <w:tcW w:w="1560" w:type="dxa"/>
            <w:shd w:val="clear" w:color="auto" w:fill="FFFFFF"/>
          </w:tcPr>
          <w:p w14:paraId="7C480382" w14:textId="77777777" w:rsidR="00220245" w:rsidRPr="006852D3" w:rsidRDefault="00220245" w:rsidP="005C1A51">
            <w:pPr>
              <w:pStyle w:val="CETBodytext"/>
              <w:rPr>
                <w:lang w:val="en-GB"/>
              </w:rPr>
            </w:pPr>
            <w:r>
              <w:rPr>
                <w:rFonts w:cs="Arial"/>
                <w:lang w:val="en-GB"/>
              </w:rPr>
              <w:t xml:space="preserve">1.50 </w:t>
            </w:r>
            <w:r w:rsidRPr="00C04A81">
              <w:rPr>
                <w:rFonts w:cs="Arial"/>
                <w:lang w:val="en-GB"/>
              </w:rPr>
              <w:t>±</w:t>
            </w:r>
            <w:r>
              <w:rPr>
                <w:rFonts w:cs="Arial"/>
                <w:lang w:val="en-GB"/>
              </w:rPr>
              <w:t xml:space="preserve">0.01 </w:t>
            </w:r>
            <w:r w:rsidRPr="00CD61B4">
              <w:rPr>
                <w:rFonts w:cs="Arial"/>
                <w:vertAlign w:val="superscript"/>
                <w:lang w:val="en-GB"/>
              </w:rPr>
              <w:t>f</w:t>
            </w:r>
          </w:p>
        </w:tc>
        <w:tc>
          <w:tcPr>
            <w:tcW w:w="2126" w:type="dxa"/>
            <w:shd w:val="clear" w:color="auto" w:fill="FFFFFF"/>
          </w:tcPr>
          <w:p w14:paraId="71BB871D" w14:textId="77777777" w:rsidR="00220245" w:rsidRPr="00A97BCB" w:rsidRDefault="00220245" w:rsidP="005C1A51">
            <w:pPr>
              <w:pStyle w:val="CETBodytext"/>
              <w:ind w:right="-1"/>
              <w:rPr>
                <w:lang w:val="en-GB"/>
              </w:rPr>
            </w:pPr>
            <w:r>
              <w:rPr>
                <w:rFonts w:cs="Arial"/>
                <w:lang w:val="en-GB"/>
              </w:rPr>
              <w:t xml:space="preserve">0.46 </w:t>
            </w:r>
            <w:r w:rsidRPr="00C04A81">
              <w:rPr>
                <w:rFonts w:cs="Arial"/>
                <w:lang w:val="en-GB"/>
              </w:rPr>
              <w:t>±</w:t>
            </w:r>
            <w:r>
              <w:rPr>
                <w:rFonts w:cs="Arial"/>
                <w:lang w:val="en-GB"/>
              </w:rPr>
              <w:t xml:space="preserve">0.02 </w:t>
            </w:r>
            <w:r>
              <w:rPr>
                <w:rFonts w:cs="Arial"/>
                <w:vertAlign w:val="superscript"/>
                <w:lang w:val="en-GB"/>
              </w:rPr>
              <w:t>f</w:t>
            </w:r>
          </w:p>
        </w:tc>
      </w:tr>
      <w:tr w:rsidR="00220245" w:rsidRPr="00947BBE" w14:paraId="5C89703E" w14:textId="77777777" w:rsidTr="005C1A51">
        <w:tc>
          <w:tcPr>
            <w:tcW w:w="1560" w:type="dxa"/>
            <w:shd w:val="clear" w:color="auto" w:fill="FFFFFF"/>
          </w:tcPr>
          <w:p w14:paraId="77BF45D3" w14:textId="77777777" w:rsidR="00220245" w:rsidRPr="00947BBE" w:rsidRDefault="00220245" w:rsidP="005C1A51">
            <w:pPr>
              <w:pStyle w:val="CETBodytext"/>
              <w:rPr>
                <w:color w:val="365F91" w:themeColor="accent1" w:themeShade="BF"/>
                <w:lang w:val="en-GB"/>
              </w:rPr>
            </w:pPr>
            <w:r w:rsidRPr="00947BBE">
              <w:rPr>
                <w:lang w:val="en-GB"/>
              </w:rPr>
              <w:t>C-e-80-5</w:t>
            </w:r>
          </w:p>
        </w:tc>
        <w:tc>
          <w:tcPr>
            <w:tcW w:w="1559" w:type="dxa"/>
            <w:shd w:val="clear" w:color="auto" w:fill="FFFFFF"/>
          </w:tcPr>
          <w:p w14:paraId="7FE698FF" w14:textId="77777777" w:rsidR="00220245" w:rsidRPr="00A97BCB" w:rsidRDefault="00220245" w:rsidP="005C1A51">
            <w:pPr>
              <w:pStyle w:val="CETBodytext"/>
              <w:rPr>
                <w:lang w:val="en-GB"/>
              </w:rPr>
            </w:pPr>
            <w:r>
              <w:rPr>
                <w:rFonts w:cs="Arial"/>
                <w:lang w:val="en-GB"/>
              </w:rPr>
              <w:t xml:space="preserve">16.14 </w:t>
            </w:r>
            <w:r w:rsidRPr="007A31CF">
              <w:rPr>
                <w:rFonts w:cs="Arial"/>
                <w:lang w:val="en-GB"/>
              </w:rPr>
              <w:t>±</w:t>
            </w:r>
            <w:r>
              <w:rPr>
                <w:rFonts w:cs="Arial"/>
                <w:lang w:val="en-GB"/>
              </w:rPr>
              <w:t xml:space="preserve">0.07 </w:t>
            </w:r>
            <w:r w:rsidRPr="006C7B81">
              <w:rPr>
                <w:rFonts w:cs="Arial"/>
                <w:vertAlign w:val="superscript"/>
                <w:lang w:val="en-GB"/>
              </w:rPr>
              <w:t>c</w:t>
            </w:r>
          </w:p>
        </w:tc>
        <w:tc>
          <w:tcPr>
            <w:tcW w:w="1984" w:type="dxa"/>
            <w:shd w:val="clear" w:color="auto" w:fill="FFFFFF"/>
          </w:tcPr>
          <w:p w14:paraId="4C887DD3" w14:textId="77777777" w:rsidR="00220245" w:rsidRPr="00A97BCB" w:rsidRDefault="00220245" w:rsidP="005C1A51">
            <w:pPr>
              <w:pStyle w:val="CETBodytext"/>
              <w:rPr>
                <w:lang w:val="en-GB"/>
              </w:rPr>
            </w:pPr>
            <w:r>
              <w:rPr>
                <w:rFonts w:cs="Arial"/>
                <w:lang w:val="en-GB"/>
              </w:rPr>
              <w:t xml:space="preserve">54.01 </w:t>
            </w:r>
            <w:r w:rsidRPr="007A31CF">
              <w:rPr>
                <w:rFonts w:cs="Arial"/>
                <w:lang w:val="en-GB"/>
              </w:rPr>
              <w:t>±</w:t>
            </w:r>
            <w:r>
              <w:rPr>
                <w:rFonts w:cs="Arial"/>
                <w:lang w:val="en-GB"/>
              </w:rPr>
              <w:t xml:space="preserve">0.57 </w:t>
            </w:r>
            <w:r w:rsidRPr="007769AB">
              <w:rPr>
                <w:rFonts w:cs="Arial"/>
                <w:vertAlign w:val="superscript"/>
                <w:lang w:val="en-GB"/>
              </w:rPr>
              <w:t>c</w:t>
            </w:r>
          </w:p>
        </w:tc>
        <w:tc>
          <w:tcPr>
            <w:tcW w:w="1560" w:type="dxa"/>
            <w:shd w:val="clear" w:color="auto" w:fill="FFFFFF"/>
          </w:tcPr>
          <w:p w14:paraId="2B4FE5FD" w14:textId="77777777" w:rsidR="00220245" w:rsidRPr="006852D3" w:rsidRDefault="00220245" w:rsidP="005C1A51">
            <w:pPr>
              <w:pStyle w:val="CETBodytext"/>
              <w:rPr>
                <w:lang w:val="en-GB"/>
              </w:rPr>
            </w:pPr>
            <w:r>
              <w:rPr>
                <w:rFonts w:cs="Arial"/>
                <w:lang w:val="en-GB"/>
              </w:rPr>
              <w:t xml:space="preserve">1.70 </w:t>
            </w:r>
            <w:r w:rsidRPr="007A31CF">
              <w:rPr>
                <w:rFonts w:cs="Arial"/>
                <w:lang w:val="en-GB"/>
              </w:rPr>
              <w:t>±</w:t>
            </w:r>
            <w:r>
              <w:rPr>
                <w:rFonts w:cs="Arial"/>
                <w:lang w:val="en-GB"/>
              </w:rPr>
              <w:t xml:space="preserve">0.01 </w:t>
            </w:r>
            <w:r w:rsidRPr="00CD61B4">
              <w:rPr>
                <w:rFonts w:cs="Arial"/>
                <w:vertAlign w:val="superscript"/>
                <w:lang w:val="en-GB"/>
              </w:rPr>
              <w:t>d</w:t>
            </w:r>
          </w:p>
        </w:tc>
        <w:tc>
          <w:tcPr>
            <w:tcW w:w="2126" w:type="dxa"/>
            <w:shd w:val="clear" w:color="auto" w:fill="FFFFFF"/>
          </w:tcPr>
          <w:p w14:paraId="3336E8B0" w14:textId="77777777" w:rsidR="00220245" w:rsidRPr="00A97BCB" w:rsidRDefault="00220245" w:rsidP="005C1A51">
            <w:pPr>
              <w:pStyle w:val="CETBodytext"/>
              <w:ind w:right="-1"/>
              <w:rPr>
                <w:lang w:val="en-GB"/>
              </w:rPr>
            </w:pPr>
            <w:r>
              <w:rPr>
                <w:rFonts w:cs="Arial"/>
                <w:lang w:val="en-GB"/>
              </w:rPr>
              <w:t xml:space="preserve">0.60 </w:t>
            </w:r>
            <w:r w:rsidRPr="007A31CF">
              <w:rPr>
                <w:rFonts w:cs="Arial"/>
                <w:lang w:val="en-GB"/>
              </w:rPr>
              <w:t>±</w:t>
            </w:r>
            <w:r>
              <w:rPr>
                <w:rFonts w:cs="Arial"/>
                <w:lang w:val="en-GB"/>
              </w:rPr>
              <w:t xml:space="preserve">0.00 </w:t>
            </w:r>
            <w:r>
              <w:rPr>
                <w:rFonts w:cs="Arial"/>
                <w:vertAlign w:val="superscript"/>
                <w:lang w:val="en-GB"/>
              </w:rPr>
              <w:t>de</w:t>
            </w:r>
          </w:p>
        </w:tc>
      </w:tr>
      <w:tr w:rsidR="00220245" w:rsidRPr="00947BBE" w14:paraId="4AAA9451" w14:textId="77777777" w:rsidTr="005C1A51">
        <w:tc>
          <w:tcPr>
            <w:tcW w:w="1560" w:type="dxa"/>
            <w:shd w:val="clear" w:color="auto" w:fill="FFFFFF"/>
          </w:tcPr>
          <w:p w14:paraId="1FA3DF3B" w14:textId="77777777" w:rsidR="00220245" w:rsidRPr="00947BBE" w:rsidRDefault="00220245" w:rsidP="005C1A51">
            <w:pPr>
              <w:pStyle w:val="CETBodytext"/>
              <w:rPr>
                <w:color w:val="365F91" w:themeColor="accent1" w:themeShade="BF"/>
                <w:lang w:val="en-GB"/>
              </w:rPr>
            </w:pPr>
            <w:r w:rsidRPr="00947BBE">
              <w:rPr>
                <w:lang w:val="en-GB"/>
              </w:rPr>
              <w:t>C-e-80-10</w:t>
            </w:r>
          </w:p>
        </w:tc>
        <w:tc>
          <w:tcPr>
            <w:tcW w:w="1559" w:type="dxa"/>
            <w:shd w:val="clear" w:color="auto" w:fill="FFFFFF"/>
          </w:tcPr>
          <w:p w14:paraId="6CB792B4" w14:textId="77777777" w:rsidR="00220245" w:rsidRPr="00A97BCB" w:rsidRDefault="00220245" w:rsidP="005C1A51">
            <w:pPr>
              <w:pStyle w:val="CETBodytext"/>
              <w:rPr>
                <w:lang w:val="en-GB"/>
              </w:rPr>
            </w:pPr>
            <w:r>
              <w:rPr>
                <w:rFonts w:cs="Arial"/>
                <w:lang w:val="en-GB"/>
              </w:rPr>
              <w:t xml:space="preserve">17.58 </w:t>
            </w:r>
            <w:r w:rsidRPr="007A31CF">
              <w:rPr>
                <w:rFonts w:cs="Arial"/>
                <w:lang w:val="en-GB"/>
              </w:rPr>
              <w:t>±</w:t>
            </w:r>
            <w:r>
              <w:rPr>
                <w:rFonts w:cs="Arial"/>
                <w:lang w:val="en-GB"/>
              </w:rPr>
              <w:t xml:space="preserve">0.03 </w:t>
            </w:r>
            <w:r w:rsidRPr="006C7B81">
              <w:rPr>
                <w:rFonts w:cs="Arial"/>
                <w:vertAlign w:val="superscript"/>
                <w:lang w:val="en-GB"/>
              </w:rPr>
              <w:t>b</w:t>
            </w:r>
          </w:p>
        </w:tc>
        <w:tc>
          <w:tcPr>
            <w:tcW w:w="1984" w:type="dxa"/>
            <w:shd w:val="clear" w:color="auto" w:fill="FFFFFF"/>
          </w:tcPr>
          <w:p w14:paraId="5983ED0A" w14:textId="77777777" w:rsidR="00220245" w:rsidRPr="00A97BCB" w:rsidRDefault="00220245" w:rsidP="005C1A51">
            <w:pPr>
              <w:pStyle w:val="CETBodytext"/>
              <w:rPr>
                <w:lang w:val="en-GB"/>
              </w:rPr>
            </w:pPr>
            <w:r>
              <w:rPr>
                <w:rFonts w:cs="Arial"/>
                <w:lang w:val="en-GB"/>
              </w:rPr>
              <w:t xml:space="preserve">71.58 </w:t>
            </w:r>
            <w:r w:rsidRPr="007A31CF">
              <w:rPr>
                <w:rFonts w:cs="Arial"/>
                <w:lang w:val="en-GB"/>
              </w:rPr>
              <w:t>±</w:t>
            </w:r>
            <w:r>
              <w:rPr>
                <w:rFonts w:cs="Arial"/>
                <w:lang w:val="en-GB"/>
              </w:rPr>
              <w:t xml:space="preserve">2.95 </w:t>
            </w:r>
            <w:r w:rsidRPr="007769AB">
              <w:rPr>
                <w:rFonts w:cs="Arial"/>
                <w:vertAlign w:val="superscript"/>
                <w:lang w:val="en-GB"/>
              </w:rPr>
              <w:t>b</w:t>
            </w:r>
          </w:p>
        </w:tc>
        <w:tc>
          <w:tcPr>
            <w:tcW w:w="1560" w:type="dxa"/>
            <w:shd w:val="clear" w:color="auto" w:fill="FFFFFF"/>
          </w:tcPr>
          <w:p w14:paraId="352976F8" w14:textId="77777777" w:rsidR="00220245" w:rsidRPr="006852D3" w:rsidRDefault="00220245" w:rsidP="005C1A51">
            <w:pPr>
              <w:pStyle w:val="CETBodytext"/>
              <w:rPr>
                <w:lang w:val="en-GB"/>
              </w:rPr>
            </w:pPr>
            <w:r>
              <w:rPr>
                <w:rFonts w:cs="Arial"/>
                <w:lang w:val="en-GB"/>
              </w:rPr>
              <w:t xml:space="preserve">1.86 </w:t>
            </w:r>
            <w:r w:rsidRPr="007A31CF">
              <w:rPr>
                <w:rFonts w:cs="Arial"/>
                <w:lang w:val="en-GB"/>
              </w:rPr>
              <w:t>±</w:t>
            </w:r>
            <w:r>
              <w:rPr>
                <w:rFonts w:cs="Arial"/>
                <w:lang w:val="en-GB"/>
              </w:rPr>
              <w:t xml:space="preserve">0.02 </w:t>
            </w:r>
            <w:r w:rsidRPr="00CD61B4">
              <w:rPr>
                <w:rFonts w:cs="Arial"/>
                <w:vertAlign w:val="superscript"/>
                <w:lang w:val="en-GB"/>
              </w:rPr>
              <w:t>b</w:t>
            </w:r>
          </w:p>
        </w:tc>
        <w:tc>
          <w:tcPr>
            <w:tcW w:w="2126" w:type="dxa"/>
            <w:shd w:val="clear" w:color="auto" w:fill="FFFFFF"/>
          </w:tcPr>
          <w:p w14:paraId="12C5D5DF" w14:textId="77777777" w:rsidR="00220245" w:rsidRPr="00A97BCB" w:rsidRDefault="00220245" w:rsidP="005C1A51">
            <w:pPr>
              <w:pStyle w:val="CETBodytext"/>
              <w:ind w:right="-1"/>
              <w:rPr>
                <w:lang w:val="en-GB"/>
              </w:rPr>
            </w:pPr>
            <w:r>
              <w:rPr>
                <w:rFonts w:cs="Arial"/>
                <w:lang w:val="en-GB"/>
              </w:rPr>
              <w:t xml:space="preserve">0.62 </w:t>
            </w:r>
            <w:r w:rsidRPr="007A31CF">
              <w:rPr>
                <w:rFonts w:cs="Arial"/>
                <w:lang w:val="en-GB"/>
              </w:rPr>
              <w:t>±</w:t>
            </w:r>
            <w:r>
              <w:rPr>
                <w:rFonts w:cs="Arial"/>
                <w:lang w:val="en-GB"/>
              </w:rPr>
              <w:t xml:space="preserve">0.01 </w:t>
            </w:r>
            <w:r>
              <w:rPr>
                <w:rFonts w:cs="Arial"/>
                <w:vertAlign w:val="superscript"/>
                <w:lang w:val="en-GB"/>
              </w:rPr>
              <w:t>cd</w:t>
            </w:r>
          </w:p>
        </w:tc>
      </w:tr>
      <w:tr w:rsidR="00220245" w:rsidRPr="00947BBE" w14:paraId="7E88B663" w14:textId="77777777" w:rsidTr="005C1A51">
        <w:tc>
          <w:tcPr>
            <w:tcW w:w="1560" w:type="dxa"/>
            <w:shd w:val="clear" w:color="auto" w:fill="FFFFFF"/>
          </w:tcPr>
          <w:p w14:paraId="0D08CC22" w14:textId="77777777" w:rsidR="00220245" w:rsidRPr="00947BBE" w:rsidRDefault="00220245" w:rsidP="005C1A51">
            <w:pPr>
              <w:pStyle w:val="CETBodytext"/>
              <w:rPr>
                <w:color w:val="365F91" w:themeColor="accent1" w:themeShade="BF"/>
                <w:lang w:val="en-GB"/>
              </w:rPr>
            </w:pPr>
            <w:r w:rsidRPr="00947BBE">
              <w:rPr>
                <w:lang w:val="en-GB"/>
              </w:rPr>
              <w:t>C-e-152-5</w:t>
            </w:r>
          </w:p>
        </w:tc>
        <w:tc>
          <w:tcPr>
            <w:tcW w:w="1559" w:type="dxa"/>
            <w:shd w:val="clear" w:color="auto" w:fill="FFFFFF"/>
          </w:tcPr>
          <w:p w14:paraId="258BECA0" w14:textId="77777777" w:rsidR="00220245" w:rsidRPr="00A97BCB" w:rsidRDefault="00220245" w:rsidP="005C1A51">
            <w:pPr>
              <w:pStyle w:val="CETBodytext"/>
              <w:rPr>
                <w:lang w:val="en-GB"/>
              </w:rPr>
            </w:pPr>
            <w:r>
              <w:rPr>
                <w:rFonts w:cs="Arial"/>
                <w:lang w:val="en-GB"/>
              </w:rPr>
              <w:t xml:space="preserve">16.31 </w:t>
            </w:r>
            <w:r w:rsidRPr="007A31CF">
              <w:rPr>
                <w:rFonts w:cs="Arial"/>
                <w:lang w:val="en-GB"/>
              </w:rPr>
              <w:t>±</w:t>
            </w:r>
            <w:r>
              <w:rPr>
                <w:rFonts w:cs="Arial"/>
                <w:lang w:val="en-GB"/>
              </w:rPr>
              <w:t xml:space="preserve">0.04 </w:t>
            </w:r>
            <w:r w:rsidRPr="006C7B81">
              <w:rPr>
                <w:rFonts w:cs="Arial"/>
                <w:vertAlign w:val="superscript"/>
                <w:lang w:val="en-GB"/>
              </w:rPr>
              <w:t>c</w:t>
            </w:r>
          </w:p>
        </w:tc>
        <w:tc>
          <w:tcPr>
            <w:tcW w:w="1984" w:type="dxa"/>
            <w:shd w:val="clear" w:color="auto" w:fill="FFFFFF"/>
          </w:tcPr>
          <w:p w14:paraId="0401796A" w14:textId="77777777" w:rsidR="00220245" w:rsidRPr="00A97BCB" w:rsidRDefault="00220245" w:rsidP="005C1A51">
            <w:pPr>
              <w:pStyle w:val="CETBodytext"/>
              <w:rPr>
                <w:lang w:val="en-GB"/>
              </w:rPr>
            </w:pPr>
            <w:r>
              <w:rPr>
                <w:rFonts w:cs="Arial"/>
                <w:lang w:val="en-GB"/>
              </w:rPr>
              <w:t xml:space="preserve">78.47 </w:t>
            </w:r>
            <w:r w:rsidRPr="007A31CF">
              <w:rPr>
                <w:rFonts w:cs="Arial"/>
                <w:lang w:val="en-GB"/>
              </w:rPr>
              <w:t>±</w:t>
            </w:r>
            <w:r>
              <w:rPr>
                <w:rFonts w:cs="Arial"/>
                <w:lang w:val="en-GB"/>
              </w:rPr>
              <w:t xml:space="preserve">3.52 </w:t>
            </w:r>
            <w:r w:rsidRPr="007769AB">
              <w:rPr>
                <w:rFonts w:cs="Arial"/>
                <w:vertAlign w:val="superscript"/>
                <w:lang w:val="en-GB"/>
              </w:rPr>
              <w:t>b</w:t>
            </w:r>
            <w:r>
              <w:rPr>
                <w:rFonts w:cs="Arial"/>
                <w:lang w:val="en-GB"/>
              </w:rPr>
              <w:t xml:space="preserve"> </w:t>
            </w:r>
          </w:p>
        </w:tc>
        <w:tc>
          <w:tcPr>
            <w:tcW w:w="1560" w:type="dxa"/>
            <w:shd w:val="clear" w:color="auto" w:fill="FFFFFF"/>
          </w:tcPr>
          <w:p w14:paraId="479B8F54" w14:textId="77777777" w:rsidR="00220245" w:rsidRPr="006852D3" w:rsidRDefault="00220245" w:rsidP="005C1A51">
            <w:pPr>
              <w:pStyle w:val="CETBodytext"/>
              <w:rPr>
                <w:lang w:val="en-GB"/>
              </w:rPr>
            </w:pPr>
            <w:r>
              <w:rPr>
                <w:rFonts w:cs="Arial"/>
                <w:lang w:val="en-GB"/>
              </w:rPr>
              <w:t xml:space="preserve">1.41 </w:t>
            </w:r>
            <w:r w:rsidRPr="007A31CF">
              <w:rPr>
                <w:rFonts w:cs="Arial"/>
                <w:lang w:val="en-GB"/>
              </w:rPr>
              <w:t>±</w:t>
            </w:r>
            <w:r>
              <w:rPr>
                <w:rFonts w:cs="Arial"/>
                <w:lang w:val="en-GB"/>
              </w:rPr>
              <w:t xml:space="preserve">0.00 </w:t>
            </w:r>
            <w:r w:rsidRPr="00CD61B4">
              <w:rPr>
                <w:rFonts w:cs="Arial"/>
                <w:vertAlign w:val="superscript"/>
                <w:lang w:val="en-GB"/>
              </w:rPr>
              <w:t>g</w:t>
            </w:r>
          </w:p>
        </w:tc>
        <w:tc>
          <w:tcPr>
            <w:tcW w:w="2126" w:type="dxa"/>
            <w:shd w:val="clear" w:color="auto" w:fill="FFFFFF"/>
          </w:tcPr>
          <w:p w14:paraId="35D66FB8" w14:textId="77777777" w:rsidR="00220245" w:rsidRPr="00A97BCB" w:rsidRDefault="00220245" w:rsidP="005C1A51">
            <w:pPr>
              <w:pStyle w:val="CETBodytext"/>
              <w:ind w:right="-1"/>
              <w:rPr>
                <w:lang w:val="en-GB"/>
              </w:rPr>
            </w:pPr>
            <w:r>
              <w:rPr>
                <w:rFonts w:cs="Arial"/>
                <w:lang w:val="en-GB"/>
              </w:rPr>
              <w:t xml:space="preserve">0.55 </w:t>
            </w:r>
            <w:r w:rsidRPr="007A31CF">
              <w:rPr>
                <w:rFonts w:cs="Arial"/>
                <w:lang w:val="en-GB"/>
              </w:rPr>
              <w:t>±</w:t>
            </w:r>
            <w:r>
              <w:rPr>
                <w:rFonts w:cs="Arial"/>
                <w:lang w:val="en-GB"/>
              </w:rPr>
              <w:t xml:space="preserve">0.02 </w:t>
            </w:r>
            <w:r>
              <w:rPr>
                <w:rFonts w:cs="Arial"/>
                <w:vertAlign w:val="superscript"/>
                <w:lang w:val="en-GB"/>
              </w:rPr>
              <w:t>e</w:t>
            </w:r>
          </w:p>
        </w:tc>
      </w:tr>
      <w:tr w:rsidR="00220245" w:rsidRPr="00947BBE" w14:paraId="1C0B8BEC" w14:textId="77777777" w:rsidTr="005C1A51">
        <w:tc>
          <w:tcPr>
            <w:tcW w:w="1560" w:type="dxa"/>
            <w:shd w:val="clear" w:color="auto" w:fill="FFFFFF"/>
          </w:tcPr>
          <w:p w14:paraId="5DC9FE48" w14:textId="77777777" w:rsidR="00220245" w:rsidRPr="00947BBE" w:rsidRDefault="00220245" w:rsidP="005C1A51">
            <w:pPr>
              <w:pStyle w:val="CETBodytext"/>
              <w:rPr>
                <w:color w:val="365F91" w:themeColor="accent1" w:themeShade="BF"/>
                <w:lang w:val="en-GB"/>
              </w:rPr>
            </w:pPr>
            <w:r w:rsidRPr="00947BBE">
              <w:rPr>
                <w:lang w:val="en-GB"/>
              </w:rPr>
              <w:t>C-e-152-10</w:t>
            </w:r>
          </w:p>
        </w:tc>
        <w:tc>
          <w:tcPr>
            <w:tcW w:w="1559" w:type="dxa"/>
            <w:shd w:val="clear" w:color="auto" w:fill="FFFFFF"/>
          </w:tcPr>
          <w:p w14:paraId="292CF5FC" w14:textId="77777777" w:rsidR="00220245" w:rsidRPr="00A97BCB" w:rsidRDefault="00220245" w:rsidP="005C1A51">
            <w:pPr>
              <w:pStyle w:val="CETBodytext"/>
              <w:rPr>
                <w:lang w:val="en-GB"/>
              </w:rPr>
            </w:pPr>
            <w:r>
              <w:rPr>
                <w:rFonts w:cs="Arial"/>
                <w:lang w:val="en-GB"/>
              </w:rPr>
              <w:t xml:space="preserve">24.01 </w:t>
            </w:r>
            <w:r w:rsidRPr="007A31CF">
              <w:rPr>
                <w:rFonts w:cs="Arial"/>
                <w:lang w:val="en-GB"/>
              </w:rPr>
              <w:t>±</w:t>
            </w:r>
            <w:r>
              <w:rPr>
                <w:rFonts w:cs="Arial"/>
                <w:lang w:val="en-GB"/>
              </w:rPr>
              <w:t xml:space="preserve">0.01 </w:t>
            </w:r>
            <w:r w:rsidRPr="006C7B81">
              <w:rPr>
                <w:rFonts w:cs="Arial"/>
                <w:vertAlign w:val="superscript"/>
                <w:lang w:val="en-GB"/>
              </w:rPr>
              <w:t>a</w:t>
            </w:r>
          </w:p>
        </w:tc>
        <w:tc>
          <w:tcPr>
            <w:tcW w:w="1984" w:type="dxa"/>
            <w:shd w:val="clear" w:color="auto" w:fill="FFFFFF"/>
          </w:tcPr>
          <w:p w14:paraId="3CE5989E" w14:textId="77777777" w:rsidR="00220245" w:rsidRPr="00A97BCB" w:rsidRDefault="00220245" w:rsidP="005C1A51">
            <w:pPr>
              <w:pStyle w:val="CETBodytext"/>
              <w:rPr>
                <w:lang w:val="en-GB"/>
              </w:rPr>
            </w:pPr>
            <w:r>
              <w:rPr>
                <w:rFonts w:cs="Arial"/>
                <w:lang w:val="en-GB"/>
              </w:rPr>
              <w:t xml:space="preserve">102.94 </w:t>
            </w:r>
            <w:r w:rsidRPr="007A31CF">
              <w:rPr>
                <w:rFonts w:cs="Arial"/>
                <w:lang w:val="en-GB"/>
              </w:rPr>
              <w:t>±</w:t>
            </w:r>
            <w:r>
              <w:rPr>
                <w:rFonts w:cs="Arial"/>
                <w:lang w:val="en-GB"/>
              </w:rPr>
              <w:t xml:space="preserve">0.75 </w:t>
            </w:r>
            <w:r w:rsidRPr="007769AB">
              <w:rPr>
                <w:rFonts w:cs="Arial"/>
                <w:vertAlign w:val="superscript"/>
                <w:lang w:val="en-GB"/>
              </w:rPr>
              <w:t>a</w:t>
            </w:r>
          </w:p>
        </w:tc>
        <w:tc>
          <w:tcPr>
            <w:tcW w:w="1560" w:type="dxa"/>
            <w:shd w:val="clear" w:color="auto" w:fill="FFFFFF"/>
          </w:tcPr>
          <w:p w14:paraId="4F1CB798" w14:textId="77777777" w:rsidR="00220245" w:rsidRPr="006852D3" w:rsidRDefault="00220245" w:rsidP="005C1A51">
            <w:pPr>
              <w:pStyle w:val="CETBodytext"/>
              <w:rPr>
                <w:lang w:val="en-GB"/>
              </w:rPr>
            </w:pPr>
            <w:r>
              <w:rPr>
                <w:rFonts w:cs="Arial"/>
                <w:lang w:val="en-GB"/>
              </w:rPr>
              <w:t xml:space="preserve">2.19 </w:t>
            </w:r>
            <w:r w:rsidRPr="007A31CF">
              <w:rPr>
                <w:rFonts w:cs="Arial"/>
                <w:lang w:val="en-GB"/>
              </w:rPr>
              <w:t>±</w:t>
            </w:r>
            <w:r>
              <w:rPr>
                <w:rFonts w:cs="Arial"/>
                <w:lang w:val="en-GB"/>
              </w:rPr>
              <w:t xml:space="preserve">0.02 </w:t>
            </w:r>
            <w:r w:rsidRPr="00CD61B4">
              <w:rPr>
                <w:rFonts w:cs="Arial"/>
                <w:vertAlign w:val="superscript"/>
                <w:lang w:val="en-GB"/>
              </w:rPr>
              <w:t>a</w:t>
            </w:r>
          </w:p>
        </w:tc>
        <w:tc>
          <w:tcPr>
            <w:tcW w:w="2126" w:type="dxa"/>
            <w:shd w:val="clear" w:color="auto" w:fill="FFFFFF"/>
          </w:tcPr>
          <w:p w14:paraId="1BBC2607" w14:textId="77777777" w:rsidR="00220245" w:rsidRPr="00A97BCB" w:rsidRDefault="00220245" w:rsidP="005C1A51">
            <w:pPr>
              <w:pStyle w:val="CETBodytext"/>
              <w:ind w:right="-1"/>
              <w:rPr>
                <w:lang w:val="en-GB"/>
              </w:rPr>
            </w:pPr>
            <w:r>
              <w:rPr>
                <w:rFonts w:cs="Arial"/>
                <w:lang w:val="en-GB"/>
              </w:rPr>
              <w:t xml:space="preserve">0.80 </w:t>
            </w:r>
            <w:r w:rsidRPr="007A31CF">
              <w:rPr>
                <w:rFonts w:cs="Arial"/>
                <w:lang w:val="en-GB"/>
              </w:rPr>
              <w:t>±</w:t>
            </w:r>
            <w:r>
              <w:rPr>
                <w:rFonts w:cs="Arial"/>
                <w:lang w:val="en-GB"/>
              </w:rPr>
              <w:t xml:space="preserve">0.00 </w:t>
            </w:r>
            <w:r>
              <w:rPr>
                <w:rFonts w:cs="Arial"/>
                <w:vertAlign w:val="superscript"/>
                <w:lang w:val="en-GB"/>
              </w:rPr>
              <w:t>a</w:t>
            </w:r>
          </w:p>
        </w:tc>
      </w:tr>
      <w:tr w:rsidR="00220245" w:rsidRPr="00947BBE" w14:paraId="591CEED7" w14:textId="77777777" w:rsidTr="005C1A51">
        <w:tc>
          <w:tcPr>
            <w:tcW w:w="1560" w:type="dxa"/>
            <w:shd w:val="clear" w:color="auto" w:fill="FFFFFF"/>
          </w:tcPr>
          <w:p w14:paraId="0203AB1D" w14:textId="77777777" w:rsidR="00220245" w:rsidRPr="00947BBE" w:rsidRDefault="00220245" w:rsidP="005C1A51">
            <w:pPr>
              <w:pStyle w:val="CETBodytext"/>
              <w:rPr>
                <w:color w:val="365F91" w:themeColor="accent1" w:themeShade="BF"/>
                <w:lang w:val="en-GB"/>
              </w:rPr>
            </w:pPr>
            <w:r w:rsidRPr="00947BBE">
              <w:rPr>
                <w:lang w:val="en-GB"/>
              </w:rPr>
              <w:t>C-w</w:t>
            </w:r>
          </w:p>
        </w:tc>
        <w:tc>
          <w:tcPr>
            <w:tcW w:w="1559" w:type="dxa"/>
            <w:shd w:val="clear" w:color="auto" w:fill="FFFFFF"/>
          </w:tcPr>
          <w:p w14:paraId="61C82ADC" w14:textId="77777777" w:rsidR="00220245" w:rsidRPr="00A97BCB" w:rsidRDefault="00220245" w:rsidP="005C1A51">
            <w:pPr>
              <w:pStyle w:val="CETBodytext"/>
              <w:rPr>
                <w:lang w:val="en-GB"/>
              </w:rPr>
            </w:pPr>
            <w:r>
              <w:rPr>
                <w:rFonts w:cs="Arial"/>
                <w:lang w:val="en-GB"/>
              </w:rPr>
              <w:t xml:space="preserve">12.59 </w:t>
            </w:r>
            <w:r w:rsidRPr="007A31CF">
              <w:rPr>
                <w:rFonts w:cs="Arial"/>
                <w:lang w:val="en-GB"/>
              </w:rPr>
              <w:t>±</w:t>
            </w:r>
            <w:r>
              <w:rPr>
                <w:rFonts w:cs="Arial"/>
                <w:lang w:val="en-GB"/>
              </w:rPr>
              <w:t xml:space="preserve">0.17 </w:t>
            </w:r>
            <w:r w:rsidRPr="006C7B81">
              <w:rPr>
                <w:rFonts w:cs="Arial"/>
                <w:vertAlign w:val="superscript"/>
                <w:lang w:val="en-GB"/>
              </w:rPr>
              <w:t>f</w:t>
            </w:r>
          </w:p>
        </w:tc>
        <w:tc>
          <w:tcPr>
            <w:tcW w:w="1984" w:type="dxa"/>
            <w:shd w:val="clear" w:color="auto" w:fill="FFFFFF"/>
          </w:tcPr>
          <w:p w14:paraId="57212406" w14:textId="77777777" w:rsidR="00220245" w:rsidRPr="00A97BCB" w:rsidRDefault="00220245" w:rsidP="005C1A51">
            <w:pPr>
              <w:pStyle w:val="CETBodytext"/>
              <w:rPr>
                <w:lang w:val="en-GB"/>
              </w:rPr>
            </w:pPr>
            <w:r>
              <w:rPr>
                <w:rFonts w:cs="Arial"/>
                <w:lang w:val="en-GB"/>
              </w:rPr>
              <w:t xml:space="preserve">51.30 </w:t>
            </w:r>
            <w:r w:rsidRPr="007A31CF">
              <w:rPr>
                <w:rFonts w:cs="Arial"/>
                <w:lang w:val="en-GB"/>
              </w:rPr>
              <w:t>±</w:t>
            </w:r>
            <w:r>
              <w:rPr>
                <w:rFonts w:cs="Arial"/>
                <w:lang w:val="en-GB"/>
              </w:rPr>
              <w:t xml:space="preserve">4.59 </w:t>
            </w:r>
            <w:r w:rsidRPr="007769AB">
              <w:rPr>
                <w:rFonts w:cs="Arial"/>
                <w:vertAlign w:val="superscript"/>
                <w:lang w:val="en-GB"/>
              </w:rPr>
              <w:t>cd</w:t>
            </w:r>
          </w:p>
        </w:tc>
        <w:tc>
          <w:tcPr>
            <w:tcW w:w="1560" w:type="dxa"/>
            <w:shd w:val="clear" w:color="auto" w:fill="FFFFFF"/>
          </w:tcPr>
          <w:p w14:paraId="2D6FCC74" w14:textId="77777777" w:rsidR="00220245" w:rsidRPr="006852D3" w:rsidRDefault="00220245" w:rsidP="005C1A51">
            <w:pPr>
              <w:pStyle w:val="CETBodytext"/>
              <w:rPr>
                <w:lang w:val="en-GB"/>
              </w:rPr>
            </w:pPr>
            <w:r>
              <w:rPr>
                <w:rFonts w:cs="Arial"/>
                <w:lang w:val="en-GB"/>
              </w:rPr>
              <w:t xml:space="preserve">1.57 </w:t>
            </w:r>
            <w:r w:rsidRPr="007A31CF">
              <w:rPr>
                <w:rFonts w:cs="Arial"/>
                <w:lang w:val="en-GB"/>
              </w:rPr>
              <w:t>±</w:t>
            </w:r>
            <w:r>
              <w:rPr>
                <w:rFonts w:cs="Arial"/>
                <w:lang w:val="en-GB"/>
              </w:rPr>
              <w:t xml:space="preserve">0.02 </w:t>
            </w:r>
            <w:r w:rsidRPr="00CD61B4">
              <w:rPr>
                <w:rFonts w:cs="Arial"/>
                <w:vertAlign w:val="superscript"/>
                <w:lang w:val="en-GB"/>
              </w:rPr>
              <w:t>e</w:t>
            </w:r>
          </w:p>
        </w:tc>
        <w:tc>
          <w:tcPr>
            <w:tcW w:w="2126" w:type="dxa"/>
            <w:shd w:val="clear" w:color="auto" w:fill="FFFFFF"/>
          </w:tcPr>
          <w:p w14:paraId="3503428D" w14:textId="77777777" w:rsidR="00220245" w:rsidRPr="00A97BCB" w:rsidRDefault="00220245" w:rsidP="005C1A51">
            <w:pPr>
              <w:pStyle w:val="CETBodytext"/>
              <w:ind w:right="-1"/>
              <w:rPr>
                <w:lang w:val="en-GB"/>
              </w:rPr>
            </w:pPr>
            <w:r>
              <w:rPr>
                <w:rFonts w:cs="Arial"/>
                <w:lang w:val="en-GB"/>
              </w:rPr>
              <w:t xml:space="preserve">0.62 </w:t>
            </w:r>
            <w:r w:rsidRPr="007A31CF">
              <w:rPr>
                <w:rFonts w:cs="Arial"/>
                <w:lang w:val="en-GB"/>
              </w:rPr>
              <w:t>±</w:t>
            </w:r>
            <w:r>
              <w:rPr>
                <w:rFonts w:cs="Arial"/>
                <w:lang w:val="en-GB"/>
              </w:rPr>
              <w:t xml:space="preserve">0.01 </w:t>
            </w:r>
            <w:r>
              <w:rPr>
                <w:rFonts w:cs="Arial"/>
                <w:vertAlign w:val="superscript"/>
                <w:lang w:val="en-GB"/>
              </w:rPr>
              <w:t>cd</w:t>
            </w:r>
          </w:p>
        </w:tc>
      </w:tr>
      <w:tr w:rsidR="00220245" w:rsidRPr="00947BBE" w14:paraId="1059A9FE" w14:textId="77777777" w:rsidTr="005C1A51">
        <w:tc>
          <w:tcPr>
            <w:tcW w:w="1560" w:type="dxa"/>
            <w:shd w:val="clear" w:color="auto" w:fill="FFFFFF"/>
          </w:tcPr>
          <w:p w14:paraId="4603A338" w14:textId="77777777" w:rsidR="00220245" w:rsidRPr="00947BBE" w:rsidRDefault="00220245" w:rsidP="005C1A51">
            <w:pPr>
              <w:pStyle w:val="CETBodytext"/>
              <w:rPr>
                <w:color w:val="365F91" w:themeColor="accent1" w:themeShade="BF"/>
                <w:lang w:val="en-GB"/>
              </w:rPr>
            </w:pPr>
            <w:r w:rsidRPr="00947BBE">
              <w:rPr>
                <w:lang w:val="en-GB"/>
              </w:rPr>
              <w:t>C-w-80-5</w:t>
            </w:r>
          </w:p>
        </w:tc>
        <w:tc>
          <w:tcPr>
            <w:tcW w:w="1559" w:type="dxa"/>
            <w:shd w:val="clear" w:color="auto" w:fill="FFFFFF"/>
          </w:tcPr>
          <w:p w14:paraId="14997184" w14:textId="77777777" w:rsidR="00220245" w:rsidRPr="00A97BCB" w:rsidRDefault="00220245" w:rsidP="005C1A51">
            <w:pPr>
              <w:pStyle w:val="CETBodytext"/>
              <w:rPr>
                <w:lang w:val="en-GB"/>
              </w:rPr>
            </w:pPr>
            <w:r>
              <w:rPr>
                <w:rFonts w:cs="Arial"/>
                <w:lang w:val="en-GB"/>
              </w:rPr>
              <w:t xml:space="preserve">13.04 </w:t>
            </w:r>
            <w:r w:rsidRPr="007A31CF">
              <w:rPr>
                <w:rFonts w:cs="Arial"/>
                <w:lang w:val="en-GB"/>
              </w:rPr>
              <w:t>±</w:t>
            </w:r>
            <w:r>
              <w:rPr>
                <w:rFonts w:cs="Arial"/>
                <w:lang w:val="en-GB"/>
              </w:rPr>
              <w:t xml:space="preserve">0.19 </w:t>
            </w:r>
            <w:r w:rsidRPr="006C7B81">
              <w:rPr>
                <w:rFonts w:cs="Arial"/>
                <w:vertAlign w:val="superscript"/>
                <w:lang w:val="en-GB"/>
              </w:rPr>
              <w:t>ef</w:t>
            </w:r>
          </w:p>
        </w:tc>
        <w:tc>
          <w:tcPr>
            <w:tcW w:w="1984" w:type="dxa"/>
            <w:shd w:val="clear" w:color="auto" w:fill="FFFFFF"/>
          </w:tcPr>
          <w:p w14:paraId="5DA48415" w14:textId="77777777" w:rsidR="00220245" w:rsidRPr="00A97BCB" w:rsidRDefault="00220245" w:rsidP="005C1A51">
            <w:pPr>
              <w:pStyle w:val="CETBodytext"/>
              <w:rPr>
                <w:lang w:val="en-GB"/>
              </w:rPr>
            </w:pPr>
            <w:r>
              <w:rPr>
                <w:rFonts w:cs="Arial"/>
                <w:lang w:val="en-GB"/>
              </w:rPr>
              <w:t xml:space="preserve">51.77 </w:t>
            </w:r>
            <w:r w:rsidRPr="007A31CF">
              <w:rPr>
                <w:rFonts w:cs="Arial"/>
                <w:lang w:val="en-GB"/>
              </w:rPr>
              <w:t>±</w:t>
            </w:r>
            <w:r>
              <w:rPr>
                <w:rFonts w:cs="Arial"/>
                <w:lang w:val="en-GB"/>
              </w:rPr>
              <w:t xml:space="preserve">2.91 </w:t>
            </w:r>
            <w:r w:rsidRPr="007769AB">
              <w:rPr>
                <w:rFonts w:cs="Arial"/>
                <w:vertAlign w:val="superscript"/>
                <w:lang w:val="en-GB"/>
              </w:rPr>
              <w:t>cd</w:t>
            </w:r>
          </w:p>
        </w:tc>
        <w:tc>
          <w:tcPr>
            <w:tcW w:w="1560" w:type="dxa"/>
            <w:shd w:val="clear" w:color="auto" w:fill="FFFFFF"/>
          </w:tcPr>
          <w:p w14:paraId="0B6BFD23" w14:textId="77777777" w:rsidR="00220245" w:rsidRPr="00A97BCB" w:rsidRDefault="00220245" w:rsidP="005C1A51">
            <w:pPr>
              <w:pStyle w:val="CETBodytext"/>
              <w:rPr>
                <w:lang w:val="en-GB"/>
              </w:rPr>
            </w:pPr>
            <w:r>
              <w:rPr>
                <w:rFonts w:cs="Arial"/>
                <w:lang w:val="en-GB"/>
              </w:rPr>
              <w:t xml:space="preserve">1.69 </w:t>
            </w:r>
            <w:r w:rsidRPr="007A31CF">
              <w:rPr>
                <w:rFonts w:cs="Arial"/>
                <w:lang w:val="en-GB"/>
              </w:rPr>
              <w:t>±</w:t>
            </w:r>
            <w:r>
              <w:rPr>
                <w:rFonts w:cs="Arial"/>
                <w:lang w:val="en-GB"/>
              </w:rPr>
              <w:t xml:space="preserve">0.01 </w:t>
            </w:r>
            <w:r w:rsidRPr="00CD61B4">
              <w:rPr>
                <w:rFonts w:cs="Arial"/>
                <w:vertAlign w:val="superscript"/>
                <w:lang w:val="en-GB"/>
              </w:rPr>
              <w:t>d</w:t>
            </w:r>
          </w:p>
        </w:tc>
        <w:tc>
          <w:tcPr>
            <w:tcW w:w="2126" w:type="dxa"/>
            <w:shd w:val="clear" w:color="auto" w:fill="FFFFFF"/>
          </w:tcPr>
          <w:p w14:paraId="48DAE395" w14:textId="77777777" w:rsidR="00220245" w:rsidRPr="00A97BCB" w:rsidRDefault="00220245" w:rsidP="005C1A51">
            <w:pPr>
              <w:pStyle w:val="CETBodytext"/>
              <w:ind w:right="-1"/>
              <w:rPr>
                <w:lang w:val="en-GB"/>
              </w:rPr>
            </w:pPr>
            <w:r>
              <w:rPr>
                <w:rFonts w:cs="Arial"/>
                <w:lang w:val="en-GB"/>
              </w:rPr>
              <w:t xml:space="preserve">0.66 </w:t>
            </w:r>
            <w:r w:rsidRPr="007A31CF">
              <w:rPr>
                <w:rFonts w:cs="Arial"/>
                <w:lang w:val="en-GB"/>
              </w:rPr>
              <w:t>±</w:t>
            </w:r>
            <w:r>
              <w:rPr>
                <w:rFonts w:cs="Arial"/>
                <w:lang w:val="en-GB"/>
              </w:rPr>
              <w:t xml:space="preserve">0.01 </w:t>
            </w:r>
            <w:r>
              <w:rPr>
                <w:rFonts w:cs="Arial"/>
                <w:vertAlign w:val="superscript"/>
                <w:lang w:val="en-GB"/>
              </w:rPr>
              <w:t>bc</w:t>
            </w:r>
          </w:p>
        </w:tc>
      </w:tr>
      <w:tr w:rsidR="00220245" w:rsidRPr="00947BBE" w14:paraId="25E3EED1" w14:textId="77777777" w:rsidTr="005C1A51">
        <w:tc>
          <w:tcPr>
            <w:tcW w:w="1560" w:type="dxa"/>
            <w:shd w:val="clear" w:color="auto" w:fill="FFFFFF"/>
          </w:tcPr>
          <w:p w14:paraId="5ADB2719" w14:textId="77777777" w:rsidR="00220245" w:rsidRPr="00947BBE" w:rsidRDefault="00220245" w:rsidP="005C1A51">
            <w:pPr>
              <w:pStyle w:val="CETBodytext"/>
              <w:rPr>
                <w:color w:val="365F91" w:themeColor="accent1" w:themeShade="BF"/>
                <w:lang w:val="en-GB"/>
              </w:rPr>
            </w:pPr>
            <w:r w:rsidRPr="00947BBE">
              <w:rPr>
                <w:lang w:val="en-GB"/>
              </w:rPr>
              <w:t>C-w-80-10</w:t>
            </w:r>
          </w:p>
        </w:tc>
        <w:tc>
          <w:tcPr>
            <w:tcW w:w="1559" w:type="dxa"/>
            <w:shd w:val="clear" w:color="auto" w:fill="FFFFFF"/>
          </w:tcPr>
          <w:p w14:paraId="2477E245" w14:textId="77777777" w:rsidR="00220245" w:rsidRPr="00A97BCB" w:rsidRDefault="00220245" w:rsidP="005C1A51">
            <w:pPr>
              <w:pStyle w:val="CETBodytext"/>
              <w:rPr>
                <w:lang w:val="en-GB"/>
              </w:rPr>
            </w:pPr>
            <w:r>
              <w:rPr>
                <w:rFonts w:cs="Arial"/>
                <w:lang w:val="en-GB"/>
              </w:rPr>
              <w:t xml:space="preserve">13.16 </w:t>
            </w:r>
            <w:r w:rsidRPr="007A31CF">
              <w:rPr>
                <w:rFonts w:cs="Arial"/>
                <w:lang w:val="en-GB"/>
              </w:rPr>
              <w:t>±</w:t>
            </w:r>
            <w:r>
              <w:rPr>
                <w:rFonts w:cs="Arial"/>
                <w:lang w:val="en-GB"/>
              </w:rPr>
              <w:t xml:space="preserve">0.23 </w:t>
            </w:r>
            <w:r w:rsidRPr="006C7B81">
              <w:rPr>
                <w:rFonts w:cs="Arial"/>
                <w:vertAlign w:val="superscript"/>
                <w:lang w:val="en-GB"/>
              </w:rPr>
              <w:t>e</w:t>
            </w:r>
          </w:p>
        </w:tc>
        <w:tc>
          <w:tcPr>
            <w:tcW w:w="1984" w:type="dxa"/>
            <w:shd w:val="clear" w:color="auto" w:fill="FFFFFF"/>
          </w:tcPr>
          <w:p w14:paraId="26303208" w14:textId="77777777" w:rsidR="00220245" w:rsidRPr="00A97BCB" w:rsidRDefault="00220245" w:rsidP="005C1A51">
            <w:pPr>
              <w:pStyle w:val="CETBodytext"/>
              <w:rPr>
                <w:lang w:val="en-GB"/>
              </w:rPr>
            </w:pPr>
            <w:r>
              <w:rPr>
                <w:rFonts w:cs="Arial"/>
                <w:lang w:val="en-GB"/>
              </w:rPr>
              <w:t xml:space="preserve">54.02 </w:t>
            </w:r>
            <w:r w:rsidRPr="007A31CF">
              <w:rPr>
                <w:rFonts w:cs="Arial"/>
                <w:lang w:val="en-GB"/>
              </w:rPr>
              <w:t>±</w:t>
            </w:r>
            <w:r>
              <w:rPr>
                <w:rFonts w:cs="Arial"/>
                <w:lang w:val="en-GB"/>
              </w:rPr>
              <w:t xml:space="preserve">0.76 </w:t>
            </w:r>
            <w:r w:rsidRPr="007769AB">
              <w:rPr>
                <w:rFonts w:cs="Arial"/>
                <w:vertAlign w:val="superscript"/>
                <w:lang w:val="en-GB"/>
              </w:rPr>
              <w:t>c</w:t>
            </w:r>
          </w:p>
        </w:tc>
        <w:tc>
          <w:tcPr>
            <w:tcW w:w="1560" w:type="dxa"/>
            <w:shd w:val="clear" w:color="auto" w:fill="FFFFFF"/>
          </w:tcPr>
          <w:p w14:paraId="21FC22E4" w14:textId="77777777" w:rsidR="00220245" w:rsidRPr="00A97BCB" w:rsidRDefault="00220245" w:rsidP="005C1A51">
            <w:pPr>
              <w:pStyle w:val="CETBodytext"/>
              <w:rPr>
                <w:lang w:val="en-GB"/>
              </w:rPr>
            </w:pPr>
            <w:r>
              <w:rPr>
                <w:rFonts w:cs="Arial"/>
                <w:lang w:val="en-GB"/>
              </w:rPr>
              <w:t xml:space="preserve">1.61 </w:t>
            </w:r>
            <w:r w:rsidRPr="007A31CF">
              <w:rPr>
                <w:rFonts w:cs="Arial"/>
                <w:lang w:val="en-GB"/>
              </w:rPr>
              <w:t>±</w:t>
            </w:r>
            <w:r>
              <w:rPr>
                <w:rFonts w:cs="Arial"/>
                <w:lang w:val="en-GB"/>
              </w:rPr>
              <w:t xml:space="preserve">0.02 </w:t>
            </w:r>
            <w:r w:rsidRPr="00CD61B4">
              <w:rPr>
                <w:rFonts w:cs="Arial"/>
                <w:vertAlign w:val="superscript"/>
                <w:lang w:val="en-GB"/>
              </w:rPr>
              <w:t>e</w:t>
            </w:r>
          </w:p>
        </w:tc>
        <w:tc>
          <w:tcPr>
            <w:tcW w:w="2126" w:type="dxa"/>
            <w:shd w:val="clear" w:color="auto" w:fill="FFFFFF"/>
          </w:tcPr>
          <w:p w14:paraId="60D35154" w14:textId="77777777" w:rsidR="00220245" w:rsidRPr="00A97BCB" w:rsidRDefault="00220245" w:rsidP="005C1A51">
            <w:pPr>
              <w:pStyle w:val="CETBodytext"/>
              <w:ind w:right="-1"/>
              <w:rPr>
                <w:lang w:val="en-GB"/>
              </w:rPr>
            </w:pPr>
            <w:r>
              <w:rPr>
                <w:rFonts w:cs="Arial"/>
                <w:lang w:val="en-GB"/>
              </w:rPr>
              <w:t xml:space="preserve">0.61 </w:t>
            </w:r>
            <w:r w:rsidRPr="007A31CF">
              <w:rPr>
                <w:rFonts w:cs="Arial"/>
                <w:lang w:val="en-GB"/>
              </w:rPr>
              <w:t>±</w:t>
            </w:r>
            <w:r>
              <w:rPr>
                <w:rFonts w:cs="Arial"/>
                <w:lang w:val="en-GB"/>
              </w:rPr>
              <w:t xml:space="preserve">0.01 </w:t>
            </w:r>
            <w:r w:rsidRPr="003F298E">
              <w:rPr>
                <w:rFonts w:cs="Arial"/>
                <w:vertAlign w:val="superscript"/>
                <w:lang w:val="en-GB"/>
              </w:rPr>
              <w:t>c</w:t>
            </w:r>
            <w:r>
              <w:rPr>
                <w:rFonts w:cs="Arial"/>
                <w:vertAlign w:val="superscript"/>
                <w:lang w:val="en-GB"/>
              </w:rPr>
              <w:t>d</w:t>
            </w:r>
          </w:p>
        </w:tc>
      </w:tr>
      <w:tr w:rsidR="00220245" w:rsidRPr="00947BBE" w14:paraId="0D177A20" w14:textId="77777777" w:rsidTr="005C1A51">
        <w:tc>
          <w:tcPr>
            <w:tcW w:w="1560" w:type="dxa"/>
            <w:shd w:val="clear" w:color="auto" w:fill="FFFFFF"/>
          </w:tcPr>
          <w:p w14:paraId="344D7F99" w14:textId="77777777" w:rsidR="00220245" w:rsidRPr="00947BBE" w:rsidRDefault="00220245" w:rsidP="005C1A51">
            <w:pPr>
              <w:pStyle w:val="CETBodytext"/>
              <w:rPr>
                <w:color w:val="365F91" w:themeColor="accent1" w:themeShade="BF"/>
                <w:lang w:val="en-GB"/>
              </w:rPr>
            </w:pPr>
            <w:r w:rsidRPr="00947BBE">
              <w:rPr>
                <w:lang w:val="en-GB"/>
              </w:rPr>
              <w:t>C-w-152-5</w:t>
            </w:r>
          </w:p>
        </w:tc>
        <w:tc>
          <w:tcPr>
            <w:tcW w:w="1559" w:type="dxa"/>
            <w:shd w:val="clear" w:color="auto" w:fill="FFFFFF"/>
          </w:tcPr>
          <w:p w14:paraId="1C24E8DA" w14:textId="77777777" w:rsidR="00220245" w:rsidRPr="00A97BCB" w:rsidRDefault="00220245" w:rsidP="005C1A51">
            <w:pPr>
              <w:pStyle w:val="CETBodytext"/>
              <w:rPr>
                <w:lang w:val="en-GB"/>
              </w:rPr>
            </w:pPr>
            <w:r>
              <w:rPr>
                <w:rFonts w:cs="Arial"/>
                <w:lang w:val="en-GB"/>
              </w:rPr>
              <w:t xml:space="preserve">13.45 </w:t>
            </w:r>
            <w:r w:rsidRPr="007A31CF">
              <w:rPr>
                <w:rFonts w:cs="Arial"/>
                <w:lang w:val="en-GB"/>
              </w:rPr>
              <w:t>±</w:t>
            </w:r>
            <w:r>
              <w:rPr>
                <w:rFonts w:cs="Arial"/>
                <w:lang w:val="en-GB"/>
              </w:rPr>
              <w:t xml:space="preserve">0.04 </w:t>
            </w:r>
            <w:r w:rsidRPr="006C7B81">
              <w:rPr>
                <w:rFonts w:cs="Arial"/>
                <w:vertAlign w:val="superscript"/>
                <w:lang w:val="en-GB"/>
              </w:rPr>
              <w:t>e</w:t>
            </w:r>
          </w:p>
        </w:tc>
        <w:tc>
          <w:tcPr>
            <w:tcW w:w="1984" w:type="dxa"/>
            <w:shd w:val="clear" w:color="auto" w:fill="FFFFFF"/>
          </w:tcPr>
          <w:p w14:paraId="4F05A59F" w14:textId="77777777" w:rsidR="00220245" w:rsidRPr="00A97BCB" w:rsidRDefault="00220245" w:rsidP="005C1A51">
            <w:pPr>
              <w:pStyle w:val="CETBodytext"/>
              <w:rPr>
                <w:lang w:val="en-GB"/>
              </w:rPr>
            </w:pPr>
            <w:r>
              <w:rPr>
                <w:rFonts w:cs="Arial"/>
                <w:lang w:val="en-GB"/>
              </w:rPr>
              <w:t xml:space="preserve">49.28 </w:t>
            </w:r>
            <w:r w:rsidRPr="007A31CF">
              <w:rPr>
                <w:rFonts w:cs="Arial"/>
                <w:lang w:val="en-GB"/>
              </w:rPr>
              <w:t>±</w:t>
            </w:r>
            <w:r>
              <w:rPr>
                <w:rFonts w:cs="Arial"/>
                <w:lang w:val="en-GB"/>
              </w:rPr>
              <w:t xml:space="preserve">2.04 </w:t>
            </w:r>
            <w:r w:rsidRPr="007769AB">
              <w:rPr>
                <w:rFonts w:cs="Arial"/>
                <w:vertAlign w:val="superscript"/>
                <w:lang w:val="en-GB"/>
              </w:rPr>
              <w:t>cd</w:t>
            </w:r>
          </w:p>
        </w:tc>
        <w:tc>
          <w:tcPr>
            <w:tcW w:w="1560" w:type="dxa"/>
            <w:shd w:val="clear" w:color="auto" w:fill="FFFFFF"/>
          </w:tcPr>
          <w:p w14:paraId="26AFA7F8" w14:textId="77777777" w:rsidR="00220245" w:rsidRPr="00A97BCB" w:rsidRDefault="00220245" w:rsidP="005C1A51">
            <w:pPr>
              <w:pStyle w:val="CETBodytext"/>
              <w:rPr>
                <w:lang w:val="en-GB"/>
              </w:rPr>
            </w:pPr>
            <w:r>
              <w:rPr>
                <w:rFonts w:cs="Arial"/>
                <w:lang w:val="en-GB"/>
              </w:rPr>
              <w:t xml:space="preserve">1.59 </w:t>
            </w:r>
            <w:r w:rsidRPr="007A31CF">
              <w:rPr>
                <w:rFonts w:cs="Arial"/>
                <w:lang w:val="en-GB"/>
              </w:rPr>
              <w:t>±</w:t>
            </w:r>
            <w:r>
              <w:rPr>
                <w:rFonts w:cs="Arial"/>
                <w:lang w:val="en-GB"/>
              </w:rPr>
              <w:t xml:space="preserve">0.01 </w:t>
            </w:r>
            <w:r w:rsidRPr="00CD61B4">
              <w:rPr>
                <w:rFonts w:cs="Arial"/>
                <w:vertAlign w:val="superscript"/>
                <w:lang w:val="en-GB"/>
              </w:rPr>
              <w:t>e</w:t>
            </w:r>
          </w:p>
        </w:tc>
        <w:tc>
          <w:tcPr>
            <w:tcW w:w="2126" w:type="dxa"/>
            <w:shd w:val="clear" w:color="auto" w:fill="FFFFFF"/>
          </w:tcPr>
          <w:p w14:paraId="3BCB9B74" w14:textId="77777777" w:rsidR="00220245" w:rsidRPr="00A97BCB" w:rsidRDefault="00220245" w:rsidP="005C1A51">
            <w:pPr>
              <w:pStyle w:val="CETBodytext"/>
              <w:ind w:right="-1"/>
              <w:rPr>
                <w:lang w:val="en-GB"/>
              </w:rPr>
            </w:pPr>
            <w:r>
              <w:rPr>
                <w:rFonts w:cs="Arial"/>
                <w:lang w:val="en-GB"/>
              </w:rPr>
              <w:t xml:space="preserve">0.62 </w:t>
            </w:r>
            <w:r w:rsidRPr="007A31CF">
              <w:rPr>
                <w:rFonts w:cs="Arial"/>
                <w:lang w:val="en-GB"/>
              </w:rPr>
              <w:t>±</w:t>
            </w:r>
            <w:r>
              <w:rPr>
                <w:rFonts w:cs="Arial"/>
                <w:lang w:val="en-GB"/>
              </w:rPr>
              <w:t xml:space="preserve">0.02 </w:t>
            </w:r>
            <w:r>
              <w:rPr>
                <w:rFonts w:cs="Arial"/>
                <w:vertAlign w:val="superscript"/>
                <w:lang w:val="en-GB"/>
              </w:rPr>
              <w:t>cd</w:t>
            </w:r>
          </w:p>
        </w:tc>
      </w:tr>
      <w:tr w:rsidR="00220245" w:rsidRPr="00947BBE" w14:paraId="1F35A802" w14:textId="77777777" w:rsidTr="005C1A51">
        <w:tc>
          <w:tcPr>
            <w:tcW w:w="1560" w:type="dxa"/>
            <w:shd w:val="clear" w:color="auto" w:fill="FFFFFF"/>
          </w:tcPr>
          <w:p w14:paraId="58B4CDF4" w14:textId="77777777" w:rsidR="00220245" w:rsidRPr="00947BBE" w:rsidRDefault="00220245" w:rsidP="005C1A51">
            <w:pPr>
              <w:pStyle w:val="CETBodytext"/>
              <w:rPr>
                <w:color w:val="365F91" w:themeColor="accent1" w:themeShade="BF"/>
                <w:lang w:val="en-GB"/>
              </w:rPr>
            </w:pPr>
            <w:r w:rsidRPr="00947BBE">
              <w:rPr>
                <w:lang w:val="en-GB"/>
              </w:rPr>
              <w:t>C-w-152-10</w:t>
            </w:r>
          </w:p>
        </w:tc>
        <w:tc>
          <w:tcPr>
            <w:tcW w:w="1559" w:type="dxa"/>
            <w:shd w:val="clear" w:color="auto" w:fill="FFFFFF"/>
          </w:tcPr>
          <w:p w14:paraId="2B4DE98D" w14:textId="77777777" w:rsidR="00220245" w:rsidRPr="00A97BCB" w:rsidRDefault="00220245" w:rsidP="005C1A51">
            <w:pPr>
              <w:pStyle w:val="CETBodytext"/>
              <w:rPr>
                <w:lang w:val="en-GB"/>
              </w:rPr>
            </w:pPr>
            <w:r>
              <w:rPr>
                <w:rFonts w:cs="Arial"/>
                <w:lang w:val="en-GB"/>
              </w:rPr>
              <w:t xml:space="preserve">14.59 </w:t>
            </w:r>
            <w:r w:rsidRPr="007A31CF">
              <w:rPr>
                <w:rFonts w:cs="Arial"/>
                <w:lang w:val="en-GB"/>
              </w:rPr>
              <w:t>±</w:t>
            </w:r>
            <w:r>
              <w:rPr>
                <w:rFonts w:cs="Arial"/>
                <w:lang w:val="en-GB"/>
              </w:rPr>
              <w:t xml:space="preserve">0.00 </w:t>
            </w:r>
            <w:r w:rsidRPr="006C7B81">
              <w:rPr>
                <w:rFonts w:cs="Arial"/>
                <w:vertAlign w:val="superscript"/>
                <w:lang w:val="en-GB"/>
              </w:rPr>
              <w:t>d</w:t>
            </w:r>
          </w:p>
        </w:tc>
        <w:tc>
          <w:tcPr>
            <w:tcW w:w="1984" w:type="dxa"/>
            <w:shd w:val="clear" w:color="auto" w:fill="FFFFFF"/>
          </w:tcPr>
          <w:p w14:paraId="67058CE1" w14:textId="77777777" w:rsidR="00220245" w:rsidRPr="00A97BCB" w:rsidRDefault="00220245" w:rsidP="005C1A51">
            <w:pPr>
              <w:pStyle w:val="CETBodytext"/>
              <w:rPr>
                <w:lang w:val="en-GB"/>
              </w:rPr>
            </w:pPr>
            <w:r>
              <w:rPr>
                <w:rFonts w:cs="Arial"/>
                <w:lang w:val="en-GB"/>
              </w:rPr>
              <w:t xml:space="preserve">42.97 </w:t>
            </w:r>
            <w:r w:rsidRPr="007A31CF">
              <w:rPr>
                <w:rFonts w:cs="Arial"/>
                <w:lang w:val="en-GB"/>
              </w:rPr>
              <w:t>±</w:t>
            </w:r>
            <w:r>
              <w:rPr>
                <w:rFonts w:cs="Arial"/>
                <w:lang w:val="en-GB"/>
              </w:rPr>
              <w:t xml:space="preserve">0.50 </w:t>
            </w:r>
            <w:r w:rsidRPr="007769AB">
              <w:rPr>
                <w:rFonts w:cs="Arial"/>
                <w:vertAlign w:val="superscript"/>
                <w:lang w:val="en-GB"/>
              </w:rPr>
              <w:t>d</w:t>
            </w:r>
          </w:p>
        </w:tc>
        <w:tc>
          <w:tcPr>
            <w:tcW w:w="1560" w:type="dxa"/>
            <w:shd w:val="clear" w:color="auto" w:fill="FFFFFF"/>
          </w:tcPr>
          <w:p w14:paraId="5AFA7897" w14:textId="77777777" w:rsidR="00220245" w:rsidRPr="00A97BCB" w:rsidRDefault="00220245" w:rsidP="005C1A51">
            <w:pPr>
              <w:pStyle w:val="CETBodytext"/>
              <w:rPr>
                <w:lang w:val="en-GB"/>
              </w:rPr>
            </w:pPr>
            <w:r>
              <w:rPr>
                <w:rFonts w:cs="Arial"/>
                <w:lang w:val="en-GB"/>
              </w:rPr>
              <w:t xml:space="preserve">1.74 </w:t>
            </w:r>
            <w:r w:rsidRPr="007A31CF">
              <w:rPr>
                <w:rFonts w:cs="Arial"/>
                <w:lang w:val="en-GB"/>
              </w:rPr>
              <w:t>±</w:t>
            </w:r>
            <w:r>
              <w:rPr>
                <w:rFonts w:cs="Arial"/>
                <w:lang w:val="en-GB"/>
              </w:rPr>
              <w:t xml:space="preserve">0.01 </w:t>
            </w:r>
            <w:r w:rsidRPr="00CD61B4">
              <w:rPr>
                <w:rFonts w:cs="Arial"/>
                <w:vertAlign w:val="superscript"/>
                <w:lang w:val="en-GB"/>
              </w:rPr>
              <w:t>c</w:t>
            </w:r>
          </w:p>
        </w:tc>
        <w:tc>
          <w:tcPr>
            <w:tcW w:w="2126" w:type="dxa"/>
            <w:shd w:val="clear" w:color="auto" w:fill="FFFFFF"/>
          </w:tcPr>
          <w:p w14:paraId="55F1256D" w14:textId="77777777" w:rsidR="00220245" w:rsidRPr="00A97BCB" w:rsidRDefault="00220245" w:rsidP="005C1A51">
            <w:pPr>
              <w:pStyle w:val="CETBodytext"/>
              <w:ind w:right="-1"/>
              <w:rPr>
                <w:lang w:val="en-GB"/>
              </w:rPr>
            </w:pPr>
            <w:r>
              <w:rPr>
                <w:rFonts w:cs="Arial"/>
                <w:lang w:val="en-GB"/>
              </w:rPr>
              <w:t xml:space="preserve">0.67 </w:t>
            </w:r>
            <w:r w:rsidRPr="007A31CF">
              <w:rPr>
                <w:rFonts w:cs="Arial"/>
                <w:lang w:val="en-GB"/>
              </w:rPr>
              <w:t>±</w:t>
            </w:r>
            <w:r>
              <w:rPr>
                <w:rFonts w:cs="Arial"/>
                <w:lang w:val="en-GB"/>
              </w:rPr>
              <w:t xml:space="preserve">0.01 </w:t>
            </w:r>
            <w:r>
              <w:rPr>
                <w:rFonts w:cs="Arial"/>
                <w:vertAlign w:val="superscript"/>
                <w:lang w:val="en-GB"/>
              </w:rPr>
              <w:t>b</w:t>
            </w:r>
          </w:p>
        </w:tc>
      </w:tr>
    </w:tbl>
    <w:p w14:paraId="687B0D4C" w14:textId="77777777" w:rsidR="00220245" w:rsidRDefault="00220245" w:rsidP="00220245">
      <w:pPr>
        <w:pStyle w:val="CETBodytext"/>
        <w:rPr>
          <w:lang w:val="en-GB"/>
        </w:rPr>
      </w:pPr>
      <w:r>
        <w:rPr>
          <w:i/>
          <w:sz w:val="16"/>
          <w:lang w:val="en-GB"/>
        </w:rPr>
        <w:t>Different letters</w:t>
      </w:r>
      <w:r w:rsidRPr="006C7B81">
        <w:rPr>
          <w:i/>
          <w:sz w:val="16"/>
          <w:lang w:val="en-GB"/>
        </w:rPr>
        <w:t xml:space="preserve"> </w:t>
      </w:r>
      <w:r>
        <w:rPr>
          <w:i/>
          <w:sz w:val="16"/>
          <w:lang w:val="en-GB"/>
        </w:rPr>
        <w:t xml:space="preserve">in the same column </w:t>
      </w:r>
      <w:r w:rsidRPr="006C7B81">
        <w:rPr>
          <w:i/>
          <w:sz w:val="16"/>
          <w:lang w:val="en-GB"/>
        </w:rPr>
        <w:t>indicate significant difference</w:t>
      </w:r>
      <w:r>
        <w:rPr>
          <w:i/>
          <w:sz w:val="16"/>
          <w:lang w:val="en-GB"/>
        </w:rPr>
        <w:t>s between samples</w:t>
      </w:r>
      <w:r w:rsidRPr="006C7B81">
        <w:rPr>
          <w:i/>
          <w:sz w:val="16"/>
          <w:lang w:val="en-GB"/>
        </w:rPr>
        <w:t xml:space="preserve"> (p &lt; 0.05)</w:t>
      </w:r>
      <w:r w:rsidRPr="006C7B81">
        <w:rPr>
          <w:lang w:val="en-GB"/>
        </w:rPr>
        <w:t>.</w:t>
      </w:r>
      <w:r>
        <w:rPr>
          <w:lang w:val="en-GB"/>
        </w:rPr>
        <w:t xml:space="preserve"> ‘</w:t>
      </w:r>
      <w:r w:rsidRPr="006C7B81">
        <w:rPr>
          <w:i/>
          <w:sz w:val="16"/>
          <w:lang w:val="en-GB"/>
        </w:rPr>
        <w:t>a</w:t>
      </w:r>
      <w:r>
        <w:rPr>
          <w:i/>
          <w:sz w:val="16"/>
          <w:lang w:val="en-GB"/>
        </w:rPr>
        <w:t>’</w:t>
      </w:r>
      <w:r w:rsidRPr="006C7B81">
        <w:rPr>
          <w:i/>
          <w:sz w:val="16"/>
          <w:lang w:val="en-GB"/>
        </w:rPr>
        <w:t xml:space="preserve"> </w:t>
      </w:r>
      <w:r>
        <w:rPr>
          <w:i/>
          <w:sz w:val="16"/>
          <w:lang w:val="en-GB"/>
        </w:rPr>
        <w:t xml:space="preserve">is the </w:t>
      </w:r>
      <w:r w:rsidRPr="006C7B81">
        <w:rPr>
          <w:i/>
          <w:sz w:val="16"/>
          <w:lang w:val="en-GB"/>
        </w:rPr>
        <w:t>highest value</w:t>
      </w:r>
      <w:r>
        <w:rPr>
          <w:i/>
          <w:sz w:val="16"/>
          <w:lang w:val="en-GB"/>
        </w:rPr>
        <w:t>.</w:t>
      </w:r>
    </w:p>
    <w:p w14:paraId="53B9FBC4" w14:textId="0C24457E" w:rsidR="00220245" w:rsidRPr="006852D3" w:rsidRDefault="00220245" w:rsidP="00220245">
      <w:pPr>
        <w:pStyle w:val="CETTabletitle"/>
        <w:jc w:val="both"/>
      </w:pPr>
      <w:r w:rsidRPr="00AC27B8">
        <w:t>Table 3</w:t>
      </w:r>
      <w:r>
        <w:t xml:space="preserve">: </w:t>
      </w:r>
      <w:r w:rsidRPr="006852D3">
        <w:t xml:space="preserve">STL extracts characterization in terms of </w:t>
      </w:r>
      <w:r>
        <w:t>total phenolic content,</w:t>
      </w:r>
      <w:r w:rsidR="007B418C">
        <w:t xml:space="preserve"> </w:t>
      </w:r>
      <w:r>
        <w:t>antioxidant activity,</w:t>
      </w:r>
      <w:r w:rsidRPr="006852D3">
        <w:t xml:space="preserve"> </w:t>
      </w:r>
      <w:r>
        <w:t>c</w:t>
      </w:r>
      <w:r w:rsidRPr="006852D3">
        <w:t>affeine</w:t>
      </w:r>
      <w:r>
        <w:t xml:space="preserve">, gallic acid and </w:t>
      </w:r>
      <w:r w:rsidR="007B418C">
        <w:t>e</w:t>
      </w:r>
      <w:bookmarkStart w:id="0" w:name="_GoBack"/>
      <w:bookmarkEnd w:id="0"/>
      <w:r w:rsidR="007B418C" w:rsidRPr="007B418C">
        <w:t>pigallocatechin gallate</w:t>
      </w:r>
      <w:r w:rsidRPr="006852D3">
        <w:t xml:space="preserve"> </w:t>
      </w:r>
      <w:r>
        <w:t xml:space="preserve">(mean value </w:t>
      </w:r>
      <w:r>
        <w:rPr>
          <w:rFonts w:cs="Arial"/>
        </w:rPr>
        <w:t>±</w:t>
      </w:r>
      <w:r>
        <w:t xml:space="preserve"> standard deviation)</w:t>
      </w:r>
    </w:p>
    <w:tbl>
      <w:tblPr>
        <w:tblW w:w="8931"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93"/>
        <w:gridCol w:w="1559"/>
        <w:gridCol w:w="1984"/>
        <w:gridCol w:w="1560"/>
        <w:gridCol w:w="1275"/>
        <w:gridCol w:w="1560"/>
      </w:tblGrid>
      <w:tr w:rsidR="00220245" w:rsidRPr="00C272BC" w14:paraId="111AB741" w14:textId="77777777" w:rsidTr="009D2DDA">
        <w:tc>
          <w:tcPr>
            <w:tcW w:w="993" w:type="dxa"/>
            <w:tcBorders>
              <w:top w:val="single" w:sz="12" w:space="0" w:color="008000"/>
              <w:bottom w:val="single" w:sz="6" w:space="0" w:color="008000"/>
            </w:tcBorders>
            <w:shd w:val="clear" w:color="auto" w:fill="FFFFFF"/>
            <w:vAlign w:val="center"/>
          </w:tcPr>
          <w:p w14:paraId="20FC8245" w14:textId="77777777" w:rsidR="00220245" w:rsidRPr="00947BBE" w:rsidRDefault="00220245" w:rsidP="005C1A51">
            <w:pPr>
              <w:pStyle w:val="CETBodytext"/>
              <w:jc w:val="left"/>
              <w:rPr>
                <w:color w:val="365F91" w:themeColor="accent1" w:themeShade="BF"/>
                <w:lang w:val="en-GB"/>
              </w:rPr>
            </w:pPr>
            <w:r>
              <w:rPr>
                <w:lang w:val="en-GB"/>
              </w:rPr>
              <w:t>Sample</w:t>
            </w:r>
          </w:p>
        </w:tc>
        <w:tc>
          <w:tcPr>
            <w:tcW w:w="1559" w:type="dxa"/>
            <w:tcBorders>
              <w:top w:val="single" w:sz="12" w:space="0" w:color="008000"/>
              <w:bottom w:val="single" w:sz="6" w:space="0" w:color="008000"/>
            </w:tcBorders>
            <w:shd w:val="clear" w:color="auto" w:fill="FFFFFF"/>
            <w:vAlign w:val="center"/>
          </w:tcPr>
          <w:p w14:paraId="121E5268" w14:textId="77777777" w:rsidR="00220245" w:rsidRPr="00103E44" w:rsidRDefault="00220245" w:rsidP="005C1A51">
            <w:pPr>
              <w:pStyle w:val="CETBodytext"/>
              <w:jc w:val="left"/>
              <w:rPr>
                <w:color w:val="365F91" w:themeColor="accent1" w:themeShade="BF"/>
                <w:lang w:val="en-GB"/>
              </w:rPr>
            </w:pPr>
            <w:r>
              <w:rPr>
                <w:lang w:val="en-GB"/>
              </w:rPr>
              <w:t>TPC (</w:t>
            </w:r>
            <w:r w:rsidRPr="00947BBE">
              <w:rPr>
                <w:lang w:val="en-GB"/>
              </w:rPr>
              <w:t>mg</w:t>
            </w:r>
            <w:r w:rsidRPr="009D2DDA">
              <w:rPr>
                <w:lang w:val="en-GB"/>
              </w:rPr>
              <w:t>GAE</w:t>
            </w:r>
            <w:r w:rsidRPr="00947BBE">
              <w:rPr>
                <w:lang w:val="en-GB"/>
              </w:rPr>
              <w:t>/g</w:t>
            </w:r>
            <w:r>
              <w:rPr>
                <w:vertAlign w:val="subscript"/>
                <w:lang w:val="en-GB"/>
              </w:rPr>
              <w:t>TS</w:t>
            </w:r>
            <w:r>
              <w:rPr>
                <w:lang w:val="en-GB"/>
              </w:rPr>
              <w:t>)</w:t>
            </w:r>
          </w:p>
        </w:tc>
        <w:tc>
          <w:tcPr>
            <w:tcW w:w="1984" w:type="dxa"/>
            <w:tcBorders>
              <w:top w:val="single" w:sz="12" w:space="0" w:color="008000"/>
              <w:bottom w:val="single" w:sz="6" w:space="0" w:color="008000"/>
            </w:tcBorders>
            <w:shd w:val="clear" w:color="auto" w:fill="FFFFFF"/>
            <w:vAlign w:val="center"/>
          </w:tcPr>
          <w:p w14:paraId="304C223E" w14:textId="77777777" w:rsidR="00220245" w:rsidRPr="00103E44" w:rsidRDefault="00220245" w:rsidP="005C1A51">
            <w:pPr>
              <w:pStyle w:val="CETBodytext"/>
              <w:jc w:val="left"/>
              <w:rPr>
                <w:color w:val="365F91" w:themeColor="accent1" w:themeShade="BF"/>
                <w:lang w:val="en-GB"/>
              </w:rPr>
            </w:pPr>
            <w:r>
              <w:rPr>
                <w:rFonts w:cs="Arial"/>
              </w:rPr>
              <w:t>antiox act. (µ</w:t>
            </w:r>
            <w:r>
              <w:t>mol</w:t>
            </w:r>
            <w:r w:rsidRPr="009D2DDA">
              <w:t>T</w:t>
            </w:r>
            <w:r w:rsidRPr="009D2DDA">
              <w:rPr>
                <w:lang w:val="en-GB"/>
              </w:rPr>
              <w:t>E</w:t>
            </w:r>
            <w:r w:rsidRPr="00947BBE">
              <w:rPr>
                <w:lang w:val="en-GB"/>
              </w:rPr>
              <w:t>/g</w:t>
            </w:r>
            <w:r>
              <w:rPr>
                <w:vertAlign w:val="subscript"/>
                <w:lang w:val="en-GB"/>
              </w:rPr>
              <w:t>TS</w:t>
            </w:r>
            <w:r>
              <w:rPr>
                <w:lang w:val="en-GB"/>
              </w:rPr>
              <w:t>)</w:t>
            </w:r>
          </w:p>
        </w:tc>
        <w:tc>
          <w:tcPr>
            <w:tcW w:w="1560" w:type="dxa"/>
            <w:tcBorders>
              <w:top w:val="single" w:sz="12" w:space="0" w:color="008000"/>
              <w:bottom w:val="single" w:sz="6" w:space="0" w:color="008000"/>
            </w:tcBorders>
            <w:shd w:val="clear" w:color="auto" w:fill="FFFFFF"/>
            <w:vAlign w:val="center"/>
          </w:tcPr>
          <w:p w14:paraId="73CA82C8" w14:textId="77777777" w:rsidR="00220245" w:rsidRPr="00F273F8" w:rsidRDefault="00220245" w:rsidP="005C1A51">
            <w:pPr>
              <w:pStyle w:val="CETBodytext"/>
              <w:jc w:val="left"/>
              <w:rPr>
                <w:lang w:val="en-GB"/>
              </w:rPr>
            </w:pPr>
            <w:r w:rsidRPr="00C272BC">
              <w:rPr>
                <w:rFonts w:cs="Arial"/>
                <w:szCs w:val="18"/>
                <w:lang w:val="en-GB"/>
              </w:rPr>
              <w:t xml:space="preserve">gallic acid </w:t>
            </w:r>
            <w:r w:rsidRPr="00C272BC">
              <w:rPr>
                <w:lang w:val="en-GB"/>
              </w:rPr>
              <w:t>(mg/g</w:t>
            </w:r>
            <w:r w:rsidRPr="00C272BC">
              <w:rPr>
                <w:vertAlign w:val="subscript"/>
                <w:lang w:val="en-GB"/>
              </w:rPr>
              <w:t>TS</w:t>
            </w:r>
            <w:r w:rsidRPr="00C272BC">
              <w:rPr>
                <w:lang w:val="en-GB"/>
              </w:rPr>
              <w:t>)</w:t>
            </w:r>
          </w:p>
        </w:tc>
        <w:tc>
          <w:tcPr>
            <w:tcW w:w="1275" w:type="dxa"/>
            <w:tcBorders>
              <w:top w:val="single" w:sz="12" w:space="0" w:color="008000"/>
              <w:bottom w:val="single" w:sz="6" w:space="0" w:color="008000"/>
            </w:tcBorders>
            <w:shd w:val="clear" w:color="auto" w:fill="FFFFFF"/>
            <w:vAlign w:val="center"/>
          </w:tcPr>
          <w:p w14:paraId="3B081FD4" w14:textId="77777777" w:rsidR="00220245" w:rsidRPr="00C272BC" w:rsidRDefault="00220245" w:rsidP="005C1A51">
            <w:pPr>
              <w:pStyle w:val="CETBodytext"/>
              <w:ind w:right="-1"/>
              <w:jc w:val="left"/>
              <w:rPr>
                <w:rFonts w:cs="Arial"/>
                <w:szCs w:val="18"/>
                <w:lang w:val="en-GB"/>
              </w:rPr>
            </w:pPr>
            <w:r w:rsidRPr="00C272BC">
              <w:rPr>
                <w:rFonts w:cs="Arial"/>
                <w:szCs w:val="18"/>
                <w:lang w:val="en-GB"/>
              </w:rPr>
              <w:t xml:space="preserve">EGCG </w:t>
            </w:r>
            <w:r w:rsidRPr="00C272BC">
              <w:rPr>
                <w:lang w:val="en-GB"/>
              </w:rPr>
              <w:t>(mg/g</w:t>
            </w:r>
            <w:r w:rsidRPr="00C272BC">
              <w:rPr>
                <w:vertAlign w:val="subscript"/>
                <w:lang w:val="en-GB"/>
              </w:rPr>
              <w:t>TS</w:t>
            </w:r>
            <w:r w:rsidRPr="00C272BC">
              <w:rPr>
                <w:lang w:val="en-GB"/>
              </w:rPr>
              <w:t>)</w:t>
            </w:r>
          </w:p>
        </w:tc>
        <w:tc>
          <w:tcPr>
            <w:tcW w:w="1560" w:type="dxa"/>
            <w:tcBorders>
              <w:top w:val="single" w:sz="12" w:space="0" w:color="008000"/>
              <w:bottom w:val="single" w:sz="6" w:space="0" w:color="008000"/>
            </w:tcBorders>
            <w:shd w:val="clear" w:color="auto" w:fill="FFFFFF"/>
            <w:vAlign w:val="center"/>
          </w:tcPr>
          <w:p w14:paraId="41B9D485" w14:textId="77777777" w:rsidR="00220245" w:rsidRPr="00C272BC" w:rsidRDefault="00220245" w:rsidP="005C1A51">
            <w:pPr>
              <w:pStyle w:val="CETBodytext"/>
              <w:ind w:right="-1"/>
              <w:jc w:val="left"/>
              <w:rPr>
                <w:rFonts w:cs="Arial"/>
                <w:szCs w:val="18"/>
                <w:lang w:val="en-GB"/>
              </w:rPr>
            </w:pPr>
            <w:r w:rsidRPr="00F273F8">
              <w:rPr>
                <w:lang w:val="en-GB"/>
              </w:rPr>
              <w:t>caffeine (mg/g</w:t>
            </w:r>
            <w:r w:rsidRPr="00F273F8">
              <w:rPr>
                <w:vertAlign w:val="subscript"/>
                <w:lang w:val="en-GB"/>
              </w:rPr>
              <w:t>TS</w:t>
            </w:r>
            <w:r w:rsidRPr="00F273F8">
              <w:rPr>
                <w:lang w:val="en-GB"/>
              </w:rPr>
              <w:t>)</w:t>
            </w:r>
          </w:p>
        </w:tc>
      </w:tr>
      <w:tr w:rsidR="00220245" w:rsidRPr="00947BBE" w14:paraId="375A1F58" w14:textId="77777777" w:rsidTr="009D2DDA">
        <w:tc>
          <w:tcPr>
            <w:tcW w:w="993" w:type="dxa"/>
            <w:shd w:val="clear" w:color="auto" w:fill="FFFFFF"/>
          </w:tcPr>
          <w:p w14:paraId="48F4F049" w14:textId="77777777" w:rsidR="00220245" w:rsidRPr="00947BBE" w:rsidRDefault="00220245" w:rsidP="005C1A51">
            <w:pPr>
              <w:pStyle w:val="CETBodytext"/>
              <w:rPr>
                <w:color w:val="365F91" w:themeColor="accent1" w:themeShade="BF"/>
                <w:lang w:val="en-GB"/>
              </w:rPr>
            </w:pPr>
            <w:r w:rsidRPr="00947BBE">
              <w:rPr>
                <w:lang w:val="en-GB"/>
              </w:rPr>
              <w:t>T-e</w:t>
            </w:r>
          </w:p>
        </w:tc>
        <w:tc>
          <w:tcPr>
            <w:tcW w:w="1559" w:type="dxa"/>
            <w:shd w:val="clear" w:color="auto" w:fill="FFFFFF"/>
          </w:tcPr>
          <w:p w14:paraId="77B2F8C8" w14:textId="77777777" w:rsidR="00220245" w:rsidRPr="00A97BCB" w:rsidRDefault="00220245" w:rsidP="005C1A51">
            <w:pPr>
              <w:pStyle w:val="CETBodytext"/>
              <w:rPr>
                <w:lang w:val="en-GB"/>
              </w:rPr>
            </w:pPr>
            <w:r>
              <w:rPr>
                <w:rFonts w:cs="Arial"/>
                <w:lang w:val="en-GB"/>
              </w:rPr>
              <w:t xml:space="preserve">65.19 </w:t>
            </w:r>
            <w:r w:rsidRPr="007A31CF">
              <w:rPr>
                <w:rFonts w:cs="Arial"/>
                <w:lang w:val="en-GB"/>
              </w:rPr>
              <w:t>±</w:t>
            </w:r>
            <w:r>
              <w:rPr>
                <w:rFonts w:cs="Arial"/>
                <w:lang w:val="en-GB"/>
              </w:rPr>
              <w:t xml:space="preserve">1.82 </w:t>
            </w:r>
            <w:r w:rsidRPr="00304F33">
              <w:rPr>
                <w:rFonts w:cs="Arial"/>
                <w:vertAlign w:val="superscript"/>
                <w:lang w:val="en-GB"/>
              </w:rPr>
              <w:t>f</w:t>
            </w:r>
          </w:p>
        </w:tc>
        <w:tc>
          <w:tcPr>
            <w:tcW w:w="1984" w:type="dxa"/>
            <w:shd w:val="clear" w:color="auto" w:fill="FFFFFF"/>
          </w:tcPr>
          <w:p w14:paraId="27FF0FD0" w14:textId="77777777" w:rsidR="00220245" w:rsidRPr="00A97BCB" w:rsidRDefault="00220245" w:rsidP="005C1A51">
            <w:pPr>
              <w:pStyle w:val="CETBodytext"/>
              <w:rPr>
                <w:lang w:val="en-GB"/>
              </w:rPr>
            </w:pPr>
            <w:r>
              <w:rPr>
                <w:rFonts w:cs="Arial"/>
                <w:lang w:val="en-GB"/>
              </w:rPr>
              <w:t xml:space="preserve">478.73 </w:t>
            </w:r>
            <w:r w:rsidRPr="007A31CF">
              <w:rPr>
                <w:rFonts w:cs="Arial"/>
                <w:lang w:val="en-GB"/>
              </w:rPr>
              <w:t>±</w:t>
            </w:r>
            <w:r>
              <w:rPr>
                <w:rFonts w:cs="Arial"/>
                <w:lang w:val="en-GB"/>
              </w:rPr>
              <w:t xml:space="preserve">20.42 </w:t>
            </w:r>
            <w:r w:rsidRPr="00332FE5">
              <w:rPr>
                <w:rFonts w:cs="Arial"/>
                <w:vertAlign w:val="superscript"/>
                <w:lang w:val="en-GB"/>
              </w:rPr>
              <w:t>f</w:t>
            </w:r>
          </w:p>
        </w:tc>
        <w:tc>
          <w:tcPr>
            <w:tcW w:w="1560" w:type="dxa"/>
            <w:shd w:val="clear" w:color="auto" w:fill="FFFFFF"/>
          </w:tcPr>
          <w:p w14:paraId="7F0E5B7A" w14:textId="77777777" w:rsidR="00220245" w:rsidRPr="00D22011" w:rsidRDefault="00220245" w:rsidP="005C1A51">
            <w:pPr>
              <w:pStyle w:val="CETBodytext"/>
              <w:rPr>
                <w:lang w:val="en-GB"/>
              </w:rPr>
            </w:pPr>
            <w:r>
              <w:rPr>
                <w:rFonts w:cs="Arial"/>
                <w:lang w:val="en-GB"/>
              </w:rPr>
              <w:t xml:space="preserve">1.04 </w:t>
            </w:r>
            <w:r w:rsidRPr="00D22011">
              <w:rPr>
                <w:rFonts w:cs="Arial"/>
                <w:lang w:val="en-GB"/>
              </w:rPr>
              <w:t>±</w:t>
            </w:r>
            <w:r>
              <w:rPr>
                <w:rFonts w:cs="Arial"/>
                <w:lang w:val="en-GB"/>
              </w:rPr>
              <w:t xml:space="preserve">0.01 </w:t>
            </w:r>
            <w:r>
              <w:rPr>
                <w:rFonts w:cs="Arial"/>
                <w:vertAlign w:val="superscript"/>
                <w:lang w:val="en-GB"/>
              </w:rPr>
              <w:t>h</w:t>
            </w:r>
          </w:p>
        </w:tc>
        <w:tc>
          <w:tcPr>
            <w:tcW w:w="1275" w:type="dxa"/>
            <w:shd w:val="clear" w:color="auto" w:fill="FFFFFF"/>
          </w:tcPr>
          <w:p w14:paraId="64D84B02" w14:textId="77777777" w:rsidR="00220245" w:rsidRPr="00A97BCB" w:rsidRDefault="00220245" w:rsidP="005C1A51">
            <w:pPr>
              <w:pStyle w:val="CETBodytext"/>
              <w:ind w:right="-1"/>
              <w:rPr>
                <w:lang w:val="en-GB"/>
              </w:rPr>
            </w:pPr>
            <w:r>
              <w:rPr>
                <w:rFonts w:cs="Arial"/>
                <w:lang w:val="en-GB"/>
              </w:rPr>
              <w:t xml:space="preserve">39.90 </w:t>
            </w:r>
            <w:r w:rsidRPr="007A31CF">
              <w:rPr>
                <w:rFonts w:cs="Arial"/>
                <w:lang w:val="en-GB"/>
              </w:rPr>
              <w:t>±</w:t>
            </w:r>
            <w:r>
              <w:rPr>
                <w:rFonts w:cs="Arial"/>
                <w:lang w:val="en-GB"/>
              </w:rPr>
              <w:t xml:space="preserve">0.91 </w:t>
            </w:r>
            <w:r>
              <w:rPr>
                <w:rFonts w:cs="Arial"/>
                <w:vertAlign w:val="superscript"/>
                <w:lang w:val="en-GB"/>
              </w:rPr>
              <w:t>h</w:t>
            </w:r>
          </w:p>
        </w:tc>
        <w:tc>
          <w:tcPr>
            <w:tcW w:w="1560" w:type="dxa"/>
            <w:shd w:val="clear" w:color="auto" w:fill="FFFFFF"/>
          </w:tcPr>
          <w:p w14:paraId="58C276F3" w14:textId="77777777" w:rsidR="00220245" w:rsidRPr="00A97BCB" w:rsidRDefault="00220245" w:rsidP="005C1A51">
            <w:pPr>
              <w:pStyle w:val="CETBodytext"/>
              <w:ind w:right="-1"/>
              <w:rPr>
                <w:lang w:val="en-GB"/>
              </w:rPr>
            </w:pPr>
            <w:r>
              <w:rPr>
                <w:rFonts w:cs="Arial"/>
                <w:lang w:val="en-GB"/>
              </w:rPr>
              <w:t xml:space="preserve">2.96 </w:t>
            </w:r>
            <w:r w:rsidRPr="007A31CF">
              <w:rPr>
                <w:rFonts w:cs="Arial"/>
                <w:lang w:val="en-GB"/>
              </w:rPr>
              <w:t>±</w:t>
            </w:r>
            <w:r>
              <w:rPr>
                <w:rFonts w:cs="Arial"/>
                <w:lang w:val="en-GB"/>
              </w:rPr>
              <w:t xml:space="preserve">0.11 </w:t>
            </w:r>
            <w:r>
              <w:rPr>
                <w:rFonts w:cs="Arial"/>
                <w:vertAlign w:val="superscript"/>
                <w:lang w:val="en-GB"/>
              </w:rPr>
              <w:t>e</w:t>
            </w:r>
          </w:p>
        </w:tc>
      </w:tr>
      <w:tr w:rsidR="00220245" w:rsidRPr="00947BBE" w14:paraId="3BE48DEA" w14:textId="77777777" w:rsidTr="009D2DDA">
        <w:tc>
          <w:tcPr>
            <w:tcW w:w="993" w:type="dxa"/>
            <w:shd w:val="clear" w:color="auto" w:fill="FFFFFF"/>
          </w:tcPr>
          <w:p w14:paraId="17714F5C" w14:textId="77777777" w:rsidR="00220245" w:rsidRPr="00947BBE" w:rsidRDefault="00220245" w:rsidP="005C1A51">
            <w:pPr>
              <w:pStyle w:val="CETBodytext"/>
              <w:rPr>
                <w:color w:val="365F91" w:themeColor="accent1" w:themeShade="BF"/>
                <w:lang w:val="en-GB"/>
              </w:rPr>
            </w:pPr>
            <w:r w:rsidRPr="00947BBE">
              <w:rPr>
                <w:lang w:val="en-GB"/>
              </w:rPr>
              <w:t>T-e-80-5</w:t>
            </w:r>
          </w:p>
        </w:tc>
        <w:tc>
          <w:tcPr>
            <w:tcW w:w="1559" w:type="dxa"/>
            <w:shd w:val="clear" w:color="auto" w:fill="FFFFFF"/>
          </w:tcPr>
          <w:p w14:paraId="70FE2E79" w14:textId="77777777" w:rsidR="00220245" w:rsidRPr="00A97BCB" w:rsidRDefault="00220245" w:rsidP="005C1A51">
            <w:pPr>
              <w:pStyle w:val="CETBodytext"/>
              <w:rPr>
                <w:lang w:val="en-GB"/>
              </w:rPr>
            </w:pPr>
            <w:r>
              <w:rPr>
                <w:rFonts w:cs="Arial"/>
                <w:lang w:val="en-GB"/>
              </w:rPr>
              <w:t xml:space="preserve">139.03 </w:t>
            </w:r>
            <w:r w:rsidRPr="007A31CF">
              <w:rPr>
                <w:rFonts w:cs="Arial"/>
                <w:lang w:val="en-GB"/>
              </w:rPr>
              <w:t>±</w:t>
            </w:r>
            <w:r>
              <w:rPr>
                <w:rFonts w:cs="Arial"/>
                <w:lang w:val="en-GB"/>
              </w:rPr>
              <w:t xml:space="preserve">0.47 </w:t>
            </w:r>
            <w:r w:rsidRPr="00304F33">
              <w:rPr>
                <w:rFonts w:cs="Arial"/>
                <w:vertAlign w:val="superscript"/>
                <w:lang w:val="en-GB"/>
              </w:rPr>
              <w:t>c</w:t>
            </w:r>
          </w:p>
        </w:tc>
        <w:tc>
          <w:tcPr>
            <w:tcW w:w="1984" w:type="dxa"/>
            <w:shd w:val="clear" w:color="auto" w:fill="FFFFFF"/>
          </w:tcPr>
          <w:p w14:paraId="6249BEAF" w14:textId="77777777" w:rsidR="00220245" w:rsidRPr="00A97BCB" w:rsidRDefault="00220245" w:rsidP="005C1A51">
            <w:pPr>
              <w:pStyle w:val="CETBodytext"/>
              <w:rPr>
                <w:lang w:val="en-GB"/>
              </w:rPr>
            </w:pPr>
            <w:r>
              <w:rPr>
                <w:rFonts w:cs="Arial"/>
                <w:lang w:val="en-GB"/>
              </w:rPr>
              <w:t xml:space="preserve">1049.76 </w:t>
            </w:r>
            <w:r w:rsidRPr="007A31CF">
              <w:rPr>
                <w:rFonts w:cs="Arial"/>
                <w:lang w:val="en-GB"/>
              </w:rPr>
              <w:t>±</w:t>
            </w:r>
            <w:r>
              <w:rPr>
                <w:rFonts w:cs="Arial"/>
                <w:lang w:val="en-GB"/>
              </w:rPr>
              <w:t xml:space="preserve">11.99 </w:t>
            </w:r>
            <w:r w:rsidRPr="00332FE5">
              <w:rPr>
                <w:rFonts w:cs="Arial"/>
                <w:vertAlign w:val="superscript"/>
                <w:lang w:val="en-GB"/>
              </w:rPr>
              <w:t xml:space="preserve">c </w:t>
            </w:r>
          </w:p>
        </w:tc>
        <w:tc>
          <w:tcPr>
            <w:tcW w:w="1560" w:type="dxa"/>
            <w:shd w:val="clear" w:color="auto" w:fill="FFFFFF"/>
          </w:tcPr>
          <w:p w14:paraId="42251A9D" w14:textId="77777777" w:rsidR="00220245" w:rsidRPr="00D22011" w:rsidRDefault="00220245" w:rsidP="005C1A51">
            <w:pPr>
              <w:pStyle w:val="CETBodytext"/>
              <w:rPr>
                <w:lang w:val="en-GB"/>
              </w:rPr>
            </w:pPr>
            <w:r>
              <w:rPr>
                <w:rFonts w:cs="Arial"/>
                <w:lang w:val="en-GB"/>
              </w:rPr>
              <w:t xml:space="preserve">1.23 </w:t>
            </w:r>
            <w:r w:rsidRPr="00D22011">
              <w:rPr>
                <w:rFonts w:cs="Arial"/>
                <w:lang w:val="en-GB"/>
              </w:rPr>
              <w:t>±</w:t>
            </w:r>
            <w:r>
              <w:rPr>
                <w:rFonts w:cs="Arial"/>
                <w:lang w:val="en-GB"/>
              </w:rPr>
              <w:t xml:space="preserve">0.02 </w:t>
            </w:r>
            <w:r>
              <w:rPr>
                <w:rFonts w:cs="Arial"/>
                <w:vertAlign w:val="superscript"/>
                <w:lang w:val="en-GB"/>
              </w:rPr>
              <w:t>g</w:t>
            </w:r>
          </w:p>
        </w:tc>
        <w:tc>
          <w:tcPr>
            <w:tcW w:w="1275" w:type="dxa"/>
            <w:shd w:val="clear" w:color="auto" w:fill="FFFFFF"/>
          </w:tcPr>
          <w:p w14:paraId="247AC71D" w14:textId="77777777" w:rsidR="00220245" w:rsidRPr="00A97BCB" w:rsidRDefault="00220245" w:rsidP="005C1A51">
            <w:pPr>
              <w:pStyle w:val="CETBodytext"/>
              <w:ind w:right="-1"/>
              <w:rPr>
                <w:lang w:val="en-GB"/>
              </w:rPr>
            </w:pPr>
            <w:r>
              <w:rPr>
                <w:rFonts w:cs="Arial"/>
                <w:lang w:val="en-GB"/>
              </w:rPr>
              <w:t xml:space="preserve">106.79 </w:t>
            </w:r>
            <w:r w:rsidRPr="007A31CF">
              <w:rPr>
                <w:rFonts w:cs="Arial"/>
                <w:lang w:val="en-GB"/>
              </w:rPr>
              <w:t>±</w:t>
            </w:r>
            <w:r>
              <w:rPr>
                <w:rFonts w:cs="Arial"/>
                <w:lang w:val="en-GB"/>
              </w:rPr>
              <w:t xml:space="preserve">1.42 </w:t>
            </w:r>
            <w:r>
              <w:rPr>
                <w:rFonts w:cs="Arial"/>
                <w:vertAlign w:val="superscript"/>
                <w:lang w:val="en-GB"/>
              </w:rPr>
              <w:t>d</w:t>
            </w:r>
          </w:p>
        </w:tc>
        <w:tc>
          <w:tcPr>
            <w:tcW w:w="1560" w:type="dxa"/>
            <w:shd w:val="clear" w:color="auto" w:fill="FFFFFF"/>
          </w:tcPr>
          <w:p w14:paraId="1535615B" w14:textId="77777777" w:rsidR="00220245" w:rsidRPr="00A97BCB" w:rsidRDefault="00220245" w:rsidP="005C1A51">
            <w:pPr>
              <w:pStyle w:val="CETBodytext"/>
              <w:ind w:right="-1"/>
              <w:rPr>
                <w:lang w:val="en-GB"/>
              </w:rPr>
            </w:pPr>
            <w:r>
              <w:rPr>
                <w:rFonts w:cs="Arial"/>
                <w:lang w:val="en-GB"/>
              </w:rPr>
              <w:t xml:space="preserve">7.72 </w:t>
            </w:r>
            <w:r w:rsidRPr="007A31CF">
              <w:rPr>
                <w:rFonts w:cs="Arial"/>
                <w:lang w:val="en-GB"/>
              </w:rPr>
              <w:t>±</w:t>
            </w:r>
            <w:r>
              <w:rPr>
                <w:rFonts w:cs="Arial"/>
                <w:lang w:val="en-GB"/>
              </w:rPr>
              <w:t xml:space="preserve">0.31 </w:t>
            </w:r>
            <w:r>
              <w:rPr>
                <w:rFonts w:cs="Arial"/>
                <w:vertAlign w:val="superscript"/>
                <w:lang w:val="en-GB"/>
              </w:rPr>
              <w:t>c</w:t>
            </w:r>
          </w:p>
        </w:tc>
      </w:tr>
      <w:tr w:rsidR="00220245" w:rsidRPr="00947BBE" w14:paraId="051FE56A" w14:textId="77777777" w:rsidTr="009D2DDA">
        <w:tc>
          <w:tcPr>
            <w:tcW w:w="993" w:type="dxa"/>
            <w:shd w:val="clear" w:color="auto" w:fill="FFFFFF"/>
          </w:tcPr>
          <w:p w14:paraId="4A252A24" w14:textId="77777777" w:rsidR="00220245" w:rsidRPr="00947BBE" w:rsidRDefault="00220245" w:rsidP="005C1A51">
            <w:pPr>
              <w:pStyle w:val="CETBodytext"/>
              <w:rPr>
                <w:color w:val="365F91" w:themeColor="accent1" w:themeShade="BF"/>
                <w:lang w:val="en-GB"/>
              </w:rPr>
            </w:pPr>
            <w:r w:rsidRPr="00947BBE">
              <w:rPr>
                <w:lang w:val="en-GB"/>
              </w:rPr>
              <w:t>T-e-80-10</w:t>
            </w:r>
          </w:p>
        </w:tc>
        <w:tc>
          <w:tcPr>
            <w:tcW w:w="1559" w:type="dxa"/>
            <w:shd w:val="clear" w:color="auto" w:fill="FFFFFF"/>
          </w:tcPr>
          <w:p w14:paraId="0ECE82A5" w14:textId="77777777" w:rsidR="00220245" w:rsidRPr="00A97BCB" w:rsidRDefault="00220245" w:rsidP="005C1A51">
            <w:pPr>
              <w:pStyle w:val="CETBodytext"/>
              <w:rPr>
                <w:lang w:val="en-GB"/>
              </w:rPr>
            </w:pPr>
            <w:r>
              <w:rPr>
                <w:rFonts w:cs="Arial"/>
                <w:lang w:val="en-GB"/>
              </w:rPr>
              <w:t xml:space="preserve">180.70 </w:t>
            </w:r>
            <w:r w:rsidRPr="007A31CF">
              <w:rPr>
                <w:rFonts w:cs="Arial"/>
                <w:lang w:val="en-GB"/>
              </w:rPr>
              <w:t>±</w:t>
            </w:r>
            <w:r>
              <w:rPr>
                <w:rFonts w:cs="Arial"/>
                <w:lang w:val="en-GB"/>
              </w:rPr>
              <w:t xml:space="preserve">3.65 </w:t>
            </w:r>
            <w:r w:rsidRPr="00304F33">
              <w:rPr>
                <w:rFonts w:cs="Arial"/>
                <w:vertAlign w:val="superscript"/>
                <w:lang w:val="en-GB"/>
              </w:rPr>
              <w:t>b</w:t>
            </w:r>
          </w:p>
        </w:tc>
        <w:tc>
          <w:tcPr>
            <w:tcW w:w="1984" w:type="dxa"/>
            <w:shd w:val="clear" w:color="auto" w:fill="FFFFFF"/>
          </w:tcPr>
          <w:p w14:paraId="2376A612" w14:textId="77777777" w:rsidR="00220245" w:rsidRPr="00A97BCB" w:rsidRDefault="00220245" w:rsidP="005C1A51">
            <w:pPr>
              <w:pStyle w:val="CETBodytext"/>
              <w:rPr>
                <w:lang w:val="en-GB"/>
              </w:rPr>
            </w:pPr>
            <w:r>
              <w:rPr>
                <w:rFonts w:cs="Arial"/>
                <w:lang w:val="en-GB"/>
              </w:rPr>
              <w:t xml:space="preserve">1111.25 </w:t>
            </w:r>
            <w:r w:rsidRPr="007A31CF">
              <w:rPr>
                <w:rFonts w:cs="Arial"/>
                <w:lang w:val="en-GB"/>
              </w:rPr>
              <w:t>±</w:t>
            </w:r>
            <w:r>
              <w:rPr>
                <w:rFonts w:cs="Arial"/>
                <w:lang w:val="en-GB"/>
              </w:rPr>
              <w:t xml:space="preserve">5.17 </w:t>
            </w:r>
            <w:r w:rsidRPr="00332FE5">
              <w:rPr>
                <w:rFonts w:cs="Arial"/>
                <w:vertAlign w:val="superscript"/>
                <w:lang w:val="en-GB"/>
              </w:rPr>
              <w:t>c</w:t>
            </w:r>
          </w:p>
        </w:tc>
        <w:tc>
          <w:tcPr>
            <w:tcW w:w="1560" w:type="dxa"/>
            <w:shd w:val="clear" w:color="auto" w:fill="FFFFFF"/>
          </w:tcPr>
          <w:p w14:paraId="19CDC7E0" w14:textId="77777777" w:rsidR="00220245" w:rsidRPr="00D22011" w:rsidRDefault="00220245" w:rsidP="005C1A51">
            <w:pPr>
              <w:pStyle w:val="CETBodytext"/>
              <w:rPr>
                <w:lang w:val="en-GB"/>
              </w:rPr>
            </w:pPr>
            <w:r>
              <w:rPr>
                <w:rFonts w:cs="Arial"/>
                <w:lang w:val="en-GB"/>
              </w:rPr>
              <w:t xml:space="preserve">1.34 </w:t>
            </w:r>
            <w:r w:rsidRPr="00D22011">
              <w:rPr>
                <w:rFonts w:cs="Arial"/>
                <w:lang w:val="en-GB"/>
              </w:rPr>
              <w:t>±</w:t>
            </w:r>
            <w:r>
              <w:rPr>
                <w:rFonts w:cs="Arial"/>
                <w:lang w:val="en-GB"/>
              </w:rPr>
              <w:t xml:space="preserve">0.01 </w:t>
            </w:r>
            <w:r w:rsidRPr="00CE00E8">
              <w:rPr>
                <w:rFonts w:cs="Arial"/>
                <w:vertAlign w:val="superscript"/>
                <w:lang w:val="en-GB"/>
              </w:rPr>
              <w:t>ef</w:t>
            </w:r>
          </w:p>
        </w:tc>
        <w:tc>
          <w:tcPr>
            <w:tcW w:w="1275" w:type="dxa"/>
            <w:shd w:val="clear" w:color="auto" w:fill="FFFFFF"/>
          </w:tcPr>
          <w:p w14:paraId="06798CDC" w14:textId="77777777" w:rsidR="00220245" w:rsidRPr="00A97BCB" w:rsidRDefault="00220245" w:rsidP="005C1A51">
            <w:pPr>
              <w:pStyle w:val="CETBodytext"/>
              <w:ind w:right="-1"/>
              <w:rPr>
                <w:lang w:val="en-GB"/>
              </w:rPr>
            </w:pPr>
            <w:r>
              <w:rPr>
                <w:rFonts w:cs="Arial"/>
                <w:lang w:val="en-GB"/>
              </w:rPr>
              <w:t xml:space="preserve">135.04 </w:t>
            </w:r>
            <w:r w:rsidRPr="007A31CF">
              <w:rPr>
                <w:rFonts w:cs="Arial"/>
                <w:lang w:val="en-GB"/>
              </w:rPr>
              <w:t>±</w:t>
            </w:r>
            <w:r>
              <w:rPr>
                <w:rFonts w:cs="Arial"/>
                <w:lang w:val="en-GB"/>
              </w:rPr>
              <w:t xml:space="preserve">0.07 </w:t>
            </w:r>
            <w:r>
              <w:rPr>
                <w:rFonts w:cs="Arial"/>
                <w:vertAlign w:val="superscript"/>
                <w:lang w:val="en-GB"/>
              </w:rPr>
              <w:t>b</w:t>
            </w:r>
          </w:p>
        </w:tc>
        <w:tc>
          <w:tcPr>
            <w:tcW w:w="1560" w:type="dxa"/>
            <w:shd w:val="clear" w:color="auto" w:fill="FFFFFF"/>
          </w:tcPr>
          <w:p w14:paraId="001D750B" w14:textId="77777777" w:rsidR="00220245" w:rsidRPr="00A97BCB" w:rsidRDefault="00220245" w:rsidP="005C1A51">
            <w:pPr>
              <w:pStyle w:val="CETBodytext"/>
              <w:ind w:right="-1"/>
              <w:rPr>
                <w:lang w:val="en-GB"/>
              </w:rPr>
            </w:pPr>
            <w:r>
              <w:rPr>
                <w:rFonts w:cs="Arial"/>
                <w:lang w:val="en-GB"/>
              </w:rPr>
              <w:t xml:space="preserve">9.48 </w:t>
            </w:r>
            <w:r w:rsidRPr="007A31CF">
              <w:rPr>
                <w:rFonts w:cs="Arial"/>
                <w:lang w:val="en-GB"/>
              </w:rPr>
              <w:t>±</w:t>
            </w:r>
            <w:r>
              <w:rPr>
                <w:rFonts w:cs="Arial"/>
                <w:lang w:val="en-GB"/>
              </w:rPr>
              <w:t xml:space="preserve">0.04 </w:t>
            </w:r>
            <w:r>
              <w:rPr>
                <w:rFonts w:cs="Arial"/>
                <w:vertAlign w:val="superscript"/>
                <w:lang w:val="en-GB"/>
              </w:rPr>
              <w:t>b</w:t>
            </w:r>
          </w:p>
        </w:tc>
      </w:tr>
      <w:tr w:rsidR="00220245" w:rsidRPr="00947BBE" w14:paraId="5C4417F3" w14:textId="77777777" w:rsidTr="009D2DDA">
        <w:tc>
          <w:tcPr>
            <w:tcW w:w="993" w:type="dxa"/>
            <w:shd w:val="clear" w:color="auto" w:fill="FFFFFF"/>
          </w:tcPr>
          <w:p w14:paraId="33B0D2C0" w14:textId="77777777" w:rsidR="00220245" w:rsidRPr="00947BBE" w:rsidRDefault="00220245" w:rsidP="005C1A51">
            <w:pPr>
              <w:pStyle w:val="CETBodytext"/>
              <w:rPr>
                <w:color w:val="365F91" w:themeColor="accent1" w:themeShade="BF"/>
                <w:lang w:val="en-GB"/>
              </w:rPr>
            </w:pPr>
            <w:r w:rsidRPr="00947BBE">
              <w:rPr>
                <w:lang w:val="en-GB"/>
              </w:rPr>
              <w:t>T-e-152-5</w:t>
            </w:r>
          </w:p>
        </w:tc>
        <w:tc>
          <w:tcPr>
            <w:tcW w:w="1559" w:type="dxa"/>
            <w:shd w:val="clear" w:color="auto" w:fill="FFFFFF"/>
          </w:tcPr>
          <w:p w14:paraId="2191DD4A" w14:textId="77777777" w:rsidR="00220245" w:rsidRPr="00A97BCB" w:rsidRDefault="00220245" w:rsidP="005C1A51">
            <w:pPr>
              <w:pStyle w:val="CETBodytext"/>
              <w:rPr>
                <w:lang w:val="en-GB"/>
              </w:rPr>
            </w:pPr>
            <w:r>
              <w:rPr>
                <w:rFonts w:cs="Arial"/>
                <w:lang w:val="en-GB"/>
              </w:rPr>
              <w:t xml:space="preserve">171.04 </w:t>
            </w:r>
            <w:r w:rsidRPr="007A31CF">
              <w:rPr>
                <w:rFonts w:cs="Arial"/>
                <w:lang w:val="en-GB"/>
              </w:rPr>
              <w:t>±</w:t>
            </w:r>
            <w:r>
              <w:rPr>
                <w:rFonts w:cs="Arial"/>
                <w:lang w:val="en-GB"/>
              </w:rPr>
              <w:t xml:space="preserve">3.66 </w:t>
            </w:r>
            <w:r w:rsidRPr="00304F33">
              <w:rPr>
                <w:rFonts w:cs="Arial"/>
                <w:vertAlign w:val="superscript"/>
                <w:lang w:val="en-GB"/>
              </w:rPr>
              <w:t>b</w:t>
            </w:r>
          </w:p>
        </w:tc>
        <w:tc>
          <w:tcPr>
            <w:tcW w:w="1984" w:type="dxa"/>
            <w:shd w:val="clear" w:color="auto" w:fill="FFFFFF"/>
          </w:tcPr>
          <w:p w14:paraId="73E322C1" w14:textId="77777777" w:rsidR="00220245" w:rsidRPr="00A97BCB" w:rsidRDefault="00220245" w:rsidP="005C1A51">
            <w:pPr>
              <w:pStyle w:val="CETBodytext"/>
              <w:rPr>
                <w:lang w:val="en-GB"/>
              </w:rPr>
            </w:pPr>
            <w:r>
              <w:rPr>
                <w:rFonts w:cs="Arial"/>
                <w:lang w:val="en-GB"/>
              </w:rPr>
              <w:t xml:space="preserve">1346.02 </w:t>
            </w:r>
            <w:r w:rsidRPr="007A31CF">
              <w:rPr>
                <w:rFonts w:cs="Arial"/>
                <w:lang w:val="en-GB"/>
              </w:rPr>
              <w:t>±</w:t>
            </w:r>
            <w:r>
              <w:rPr>
                <w:rFonts w:cs="Arial"/>
                <w:lang w:val="en-GB"/>
              </w:rPr>
              <w:t xml:space="preserve">35.13 </w:t>
            </w:r>
            <w:r w:rsidRPr="00332FE5">
              <w:rPr>
                <w:rFonts w:cs="Arial"/>
                <w:vertAlign w:val="superscript"/>
                <w:lang w:val="en-GB"/>
              </w:rPr>
              <w:t>b</w:t>
            </w:r>
          </w:p>
        </w:tc>
        <w:tc>
          <w:tcPr>
            <w:tcW w:w="1560" w:type="dxa"/>
            <w:shd w:val="clear" w:color="auto" w:fill="FFFFFF"/>
          </w:tcPr>
          <w:p w14:paraId="6BB93784" w14:textId="77777777" w:rsidR="00220245" w:rsidRPr="00D22011" w:rsidRDefault="00220245" w:rsidP="005C1A51">
            <w:pPr>
              <w:pStyle w:val="CETBodytext"/>
              <w:rPr>
                <w:lang w:val="en-GB"/>
              </w:rPr>
            </w:pPr>
            <w:r>
              <w:rPr>
                <w:rFonts w:cs="Arial"/>
                <w:lang w:val="en-GB"/>
              </w:rPr>
              <w:t xml:space="preserve">1.32 </w:t>
            </w:r>
            <w:r w:rsidRPr="00D22011">
              <w:rPr>
                <w:rFonts w:cs="Arial"/>
                <w:lang w:val="en-GB"/>
              </w:rPr>
              <w:t>±</w:t>
            </w:r>
            <w:r>
              <w:rPr>
                <w:rFonts w:cs="Arial"/>
                <w:lang w:val="en-GB"/>
              </w:rPr>
              <w:t xml:space="preserve">0.02 </w:t>
            </w:r>
            <w:r w:rsidRPr="00304F33">
              <w:rPr>
                <w:rFonts w:cs="Arial"/>
                <w:vertAlign w:val="superscript"/>
                <w:lang w:val="en-GB"/>
              </w:rPr>
              <w:t>f</w:t>
            </w:r>
          </w:p>
        </w:tc>
        <w:tc>
          <w:tcPr>
            <w:tcW w:w="1275" w:type="dxa"/>
            <w:shd w:val="clear" w:color="auto" w:fill="FFFFFF"/>
          </w:tcPr>
          <w:p w14:paraId="3B93ACAD" w14:textId="77777777" w:rsidR="00220245" w:rsidRPr="00A97BCB" w:rsidRDefault="00220245" w:rsidP="005C1A51">
            <w:pPr>
              <w:pStyle w:val="CETBodytext"/>
              <w:ind w:right="-1"/>
              <w:rPr>
                <w:lang w:val="en-GB"/>
              </w:rPr>
            </w:pPr>
            <w:r>
              <w:rPr>
                <w:rFonts w:cs="Arial"/>
                <w:lang w:val="en-GB"/>
              </w:rPr>
              <w:t xml:space="preserve">129.66 </w:t>
            </w:r>
            <w:r w:rsidRPr="007A31CF">
              <w:rPr>
                <w:rFonts w:cs="Arial"/>
                <w:lang w:val="en-GB"/>
              </w:rPr>
              <w:t>±</w:t>
            </w:r>
            <w:r>
              <w:rPr>
                <w:rFonts w:cs="Arial"/>
                <w:lang w:val="en-GB"/>
              </w:rPr>
              <w:t xml:space="preserve">0.64 </w:t>
            </w:r>
            <w:r>
              <w:rPr>
                <w:rFonts w:cs="Arial"/>
                <w:vertAlign w:val="superscript"/>
                <w:lang w:val="en-GB"/>
              </w:rPr>
              <w:t>c</w:t>
            </w:r>
          </w:p>
        </w:tc>
        <w:tc>
          <w:tcPr>
            <w:tcW w:w="1560" w:type="dxa"/>
            <w:shd w:val="clear" w:color="auto" w:fill="FFFFFF"/>
          </w:tcPr>
          <w:p w14:paraId="2B544E14" w14:textId="77777777" w:rsidR="00220245" w:rsidRPr="00A97BCB" w:rsidRDefault="00220245" w:rsidP="005C1A51">
            <w:pPr>
              <w:pStyle w:val="CETBodytext"/>
              <w:ind w:right="-1"/>
              <w:rPr>
                <w:lang w:val="en-GB"/>
              </w:rPr>
            </w:pPr>
            <w:r>
              <w:rPr>
                <w:rFonts w:cs="Arial"/>
                <w:lang w:val="en-GB"/>
              </w:rPr>
              <w:t xml:space="preserve">9.36 </w:t>
            </w:r>
            <w:r w:rsidRPr="007A31CF">
              <w:rPr>
                <w:rFonts w:cs="Arial"/>
                <w:lang w:val="en-GB"/>
              </w:rPr>
              <w:t>±</w:t>
            </w:r>
            <w:r>
              <w:rPr>
                <w:rFonts w:cs="Arial"/>
                <w:lang w:val="en-GB"/>
              </w:rPr>
              <w:t xml:space="preserve">0.06 </w:t>
            </w:r>
            <w:r>
              <w:rPr>
                <w:rFonts w:cs="Arial"/>
                <w:vertAlign w:val="superscript"/>
                <w:lang w:val="en-GB"/>
              </w:rPr>
              <w:t>b</w:t>
            </w:r>
          </w:p>
        </w:tc>
      </w:tr>
      <w:tr w:rsidR="00220245" w:rsidRPr="00947BBE" w14:paraId="3CA5A662" w14:textId="77777777" w:rsidTr="009D2DDA">
        <w:tc>
          <w:tcPr>
            <w:tcW w:w="993" w:type="dxa"/>
            <w:shd w:val="clear" w:color="auto" w:fill="FFFFFF"/>
          </w:tcPr>
          <w:p w14:paraId="3B57B871" w14:textId="77777777" w:rsidR="00220245" w:rsidRPr="00947BBE" w:rsidRDefault="00220245" w:rsidP="005C1A51">
            <w:pPr>
              <w:pStyle w:val="CETBodytext"/>
              <w:rPr>
                <w:color w:val="365F91" w:themeColor="accent1" w:themeShade="BF"/>
                <w:lang w:val="en-GB"/>
              </w:rPr>
            </w:pPr>
            <w:r w:rsidRPr="00947BBE">
              <w:rPr>
                <w:lang w:val="en-GB"/>
              </w:rPr>
              <w:t>T-e-152-10</w:t>
            </w:r>
          </w:p>
        </w:tc>
        <w:tc>
          <w:tcPr>
            <w:tcW w:w="1559" w:type="dxa"/>
            <w:shd w:val="clear" w:color="auto" w:fill="FFFFFF"/>
          </w:tcPr>
          <w:p w14:paraId="2F4BA7DC" w14:textId="77777777" w:rsidR="00220245" w:rsidRPr="00A97BCB" w:rsidRDefault="00220245" w:rsidP="005C1A51">
            <w:pPr>
              <w:pStyle w:val="CETBodytext"/>
              <w:rPr>
                <w:lang w:val="en-GB"/>
              </w:rPr>
            </w:pPr>
            <w:r>
              <w:rPr>
                <w:rFonts w:cs="Arial"/>
                <w:lang w:val="en-GB"/>
              </w:rPr>
              <w:t xml:space="preserve">243.67 </w:t>
            </w:r>
            <w:r w:rsidRPr="007A31CF">
              <w:rPr>
                <w:rFonts w:cs="Arial"/>
                <w:lang w:val="en-GB"/>
              </w:rPr>
              <w:t>±</w:t>
            </w:r>
            <w:r>
              <w:rPr>
                <w:rFonts w:cs="Arial"/>
                <w:lang w:val="en-GB"/>
              </w:rPr>
              <w:t xml:space="preserve">12.36 </w:t>
            </w:r>
            <w:r w:rsidRPr="00304F33">
              <w:rPr>
                <w:rFonts w:cs="Arial"/>
                <w:vertAlign w:val="superscript"/>
                <w:lang w:val="en-GB"/>
              </w:rPr>
              <w:t>a</w:t>
            </w:r>
          </w:p>
        </w:tc>
        <w:tc>
          <w:tcPr>
            <w:tcW w:w="1984" w:type="dxa"/>
            <w:shd w:val="clear" w:color="auto" w:fill="FFFFFF"/>
          </w:tcPr>
          <w:p w14:paraId="0473707A" w14:textId="77777777" w:rsidR="00220245" w:rsidRPr="00A97BCB" w:rsidRDefault="00220245" w:rsidP="005C1A51">
            <w:pPr>
              <w:pStyle w:val="CETBodytext"/>
              <w:rPr>
                <w:lang w:val="en-GB"/>
              </w:rPr>
            </w:pPr>
            <w:r>
              <w:rPr>
                <w:rFonts w:cs="Arial"/>
                <w:lang w:val="en-GB"/>
              </w:rPr>
              <w:t xml:space="preserve">1730.36 </w:t>
            </w:r>
            <w:r w:rsidRPr="007A31CF">
              <w:rPr>
                <w:rFonts w:cs="Arial"/>
                <w:lang w:val="en-GB"/>
              </w:rPr>
              <w:t>±</w:t>
            </w:r>
            <w:r>
              <w:rPr>
                <w:rFonts w:cs="Arial"/>
                <w:lang w:val="en-GB"/>
              </w:rPr>
              <w:t xml:space="preserve">53.56 </w:t>
            </w:r>
            <w:r w:rsidRPr="00332FE5">
              <w:rPr>
                <w:rFonts w:cs="Arial"/>
                <w:vertAlign w:val="superscript"/>
                <w:lang w:val="en-GB"/>
              </w:rPr>
              <w:t>a</w:t>
            </w:r>
          </w:p>
        </w:tc>
        <w:tc>
          <w:tcPr>
            <w:tcW w:w="1560" w:type="dxa"/>
            <w:shd w:val="clear" w:color="auto" w:fill="FFFFFF"/>
          </w:tcPr>
          <w:p w14:paraId="5BAEABB8" w14:textId="77777777" w:rsidR="00220245" w:rsidRPr="00D22011" w:rsidRDefault="00220245" w:rsidP="005C1A51">
            <w:pPr>
              <w:pStyle w:val="CETBodytext"/>
              <w:rPr>
                <w:lang w:val="en-GB"/>
              </w:rPr>
            </w:pPr>
            <w:r>
              <w:rPr>
                <w:rFonts w:cs="Arial"/>
                <w:lang w:val="en-GB"/>
              </w:rPr>
              <w:t xml:space="preserve">1.44 </w:t>
            </w:r>
            <w:r w:rsidRPr="00D22011">
              <w:rPr>
                <w:rFonts w:cs="Arial"/>
                <w:lang w:val="en-GB"/>
              </w:rPr>
              <w:t>±</w:t>
            </w:r>
            <w:r>
              <w:rPr>
                <w:rFonts w:cs="Arial"/>
                <w:lang w:val="en-GB"/>
              </w:rPr>
              <w:t xml:space="preserve">0.01 </w:t>
            </w:r>
            <w:r>
              <w:rPr>
                <w:rFonts w:cs="Arial"/>
                <w:vertAlign w:val="superscript"/>
                <w:lang w:val="en-GB"/>
              </w:rPr>
              <w:t>cd</w:t>
            </w:r>
          </w:p>
        </w:tc>
        <w:tc>
          <w:tcPr>
            <w:tcW w:w="1275" w:type="dxa"/>
            <w:shd w:val="clear" w:color="auto" w:fill="FFFFFF"/>
          </w:tcPr>
          <w:p w14:paraId="56FEA2E9" w14:textId="77777777" w:rsidR="00220245" w:rsidRPr="00A97BCB" w:rsidRDefault="00220245" w:rsidP="005C1A51">
            <w:pPr>
              <w:pStyle w:val="CETBodytext"/>
              <w:ind w:right="-1"/>
              <w:rPr>
                <w:lang w:val="en-GB"/>
              </w:rPr>
            </w:pPr>
            <w:r>
              <w:rPr>
                <w:rFonts w:cs="Arial"/>
                <w:lang w:val="en-GB"/>
              </w:rPr>
              <w:t xml:space="preserve">193.66 </w:t>
            </w:r>
            <w:r w:rsidRPr="007A31CF">
              <w:rPr>
                <w:rFonts w:cs="Arial"/>
                <w:lang w:val="en-GB"/>
              </w:rPr>
              <w:t>±</w:t>
            </w:r>
            <w:r>
              <w:rPr>
                <w:rFonts w:cs="Arial"/>
                <w:lang w:val="en-GB"/>
              </w:rPr>
              <w:t xml:space="preserve">0.48 </w:t>
            </w:r>
            <w:r>
              <w:rPr>
                <w:rFonts w:cs="Arial"/>
                <w:vertAlign w:val="superscript"/>
                <w:lang w:val="en-GB"/>
              </w:rPr>
              <w:t>a</w:t>
            </w:r>
          </w:p>
        </w:tc>
        <w:tc>
          <w:tcPr>
            <w:tcW w:w="1560" w:type="dxa"/>
            <w:shd w:val="clear" w:color="auto" w:fill="FFFFFF"/>
          </w:tcPr>
          <w:p w14:paraId="01BCA229" w14:textId="77777777" w:rsidR="00220245" w:rsidRPr="00A97BCB" w:rsidRDefault="00220245" w:rsidP="005C1A51">
            <w:pPr>
              <w:pStyle w:val="CETBodytext"/>
              <w:ind w:right="-1"/>
              <w:rPr>
                <w:lang w:val="en-GB"/>
              </w:rPr>
            </w:pPr>
            <w:r>
              <w:rPr>
                <w:rFonts w:cs="Arial"/>
                <w:lang w:val="en-GB"/>
              </w:rPr>
              <w:t xml:space="preserve">12.74 </w:t>
            </w:r>
            <w:r w:rsidRPr="007A31CF">
              <w:rPr>
                <w:rFonts w:cs="Arial"/>
                <w:lang w:val="en-GB"/>
              </w:rPr>
              <w:t>±</w:t>
            </w:r>
            <w:r>
              <w:rPr>
                <w:rFonts w:cs="Arial"/>
                <w:lang w:val="en-GB"/>
              </w:rPr>
              <w:t xml:space="preserve">0.36 </w:t>
            </w:r>
            <w:r>
              <w:rPr>
                <w:rFonts w:cs="Arial"/>
                <w:vertAlign w:val="superscript"/>
                <w:lang w:val="en-GB"/>
              </w:rPr>
              <w:t>a</w:t>
            </w:r>
          </w:p>
        </w:tc>
      </w:tr>
      <w:tr w:rsidR="00220245" w:rsidRPr="00947BBE" w14:paraId="44E948C8" w14:textId="77777777" w:rsidTr="009D2DDA">
        <w:tc>
          <w:tcPr>
            <w:tcW w:w="993" w:type="dxa"/>
            <w:shd w:val="clear" w:color="auto" w:fill="FFFFFF"/>
          </w:tcPr>
          <w:p w14:paraId="39ECCCE1" w14:textId="77777777" w:rsidR="00220245" w:rsidRPr="00947BBE" w:rsidRDefault="00220245" w:rsidP="005C1A51">
            <w:pPr>
              <w:pStyle w:val="CETBodytext"/>
              <w:rPr>
                <w:color w:val="365F91" w:themeColor="accent1" w:themeShade="BF"/>
                <w:lang w:val="en-GB"/>
              </w:rPr>
            </w:pPr>
            <w:r w:rsidRPr="00947BBE">
              <w:rPr>
                <w:lang w:val="en-GB"/>
              </w:rPr>
              <w:t>T-w</w:t>
            </w:r>
          </w:p>
        </w:tc>
        <w:tc>
          <w:tcPr>
            <w:tcW w:w="1559" w:type="dxa"/>
            <w:shd w:val="clear" w:color="auto" w:fill="FFFFFF"/>
          </w:tcPr>
          <w:p w14:paraId="4C7CA4F6" w14:textId="77777777" w:rsidR="00220245" w:rsidRPr="00A97BCB" w:rsidRDefault="00220245" w:rsidP="005C1A51">
            <w:pPr>
              <w:pStyle w:val="CETBodytext"/>
              <w:rPr>
                <w:lang w:val="en-GB"/>
              </w:rPr>
            </w:pPr>
            <w:r>
              <w:rPr>
                <w:rFonts w:cs="Arial"/>
                <w:lang w:val="en-GB"/>
              </w:rPr>
              <w:t xml:space="preserve">93.22 </w:t>
            </w:r>
            <w:r w:rsidRPr="007A31CF">
              <w:rPr>
                <w:rFonts w:cs="Arial"/>
                <w:lang w:val="en-GB"/>
              </w:rPr>
              <w:t>±</w:t>
            </w:r>
            <w:r>
              <w:rPr>
                <w:rFonts w:cs="Arial"/>
                <w:lang w:val="en-GB"/>
              </w:rPr>
              <w:t xml:space="preserve">0.88 </w:t>
            </w:r>
            <w:r w:rsidRPr="00304F33">
              <w:rPr>
                <w:rFonts w:cs="Arial"/>
                <w:vertAlign w:val="superscript"/>
                <w:lang w:val="en-GB"/>
              </w:rPr>
              <w:t>e</w:t>
            </w:r>
          </w:p>
        </w:tc>
        <w:tc>
          <w:tcPr>
            <w:tcW w:w="1984" w:type="dxa"/>
            <w:shd w:val="clear" w:color="auto" w:fill="FFFFFF"/>
          </w:tcPr>
          <w:p w14:paraId="64D1474F" w14:textId="77777777" w:rsidR="00220245" w:rsidRPr="00A97BCB" w:rsidRDefault="00220245" w:rsidP="005C1A51">
            <w:pPr>
              <w:pStyle w:val="CETBodytext"/>
              <w:rPr>
                <w:lang w:val="en-GB"/>
              </w:rPr>
            </w:pPr>
            <w:r>
              <w:rPr>
                <w:rFonts w:cs="Arial"/>
                <w:lang w:val="en-GB"/>
              </w:rPr>
              <w:t xml:space="preserve">675.90 </w:t>
            </w:r>
            <w:r w:rsidRPr="007A31CF">
              <w:rPr>
                <w:rFonts w:cs="Arial"/>
                <w:lang w:val="en-GB"/>
              </w:rPr>
              <w:t>±</w:t>
            </w:r>
            <w:r>
              <w:rPr>
                <w:rFonts w:cs="Arial"/>
                <w:lang w:val="en-GB"/>
              </w:rPr>
              <w:t xml:space="preserve">11.23 </w:t>
            </w:r>
            <w:r w:rsidRPr="00332FE5">
              <w:rPr>
                <w:rFonts w:cs="Arial"/>
                <w:vertAlign w:val="superscript"/>
                <w:lang w:val="en-GB"/>
              </w:rPr>
              <w:t>e</w:t>
            </w:r>
          </w:p>
        </w:tc>
        <w:tc>
          <w:tcPr>
            <w:tcW w:w="1560" w:type="dxa"/>
            <w:shd w:val="clear" w:color="auto" w:fill="FFFFFF"/>
          </w:tcPr>
          <w:p w14:paraId="4BA988A6" w14:textId="77777777" w:rsidR="00220245" w:rsidRPr="00D22011" w:rsidRDefault="00220245" w:rsidP="005C1A51">
            <w:pPr>
              <w:pStyle w:val="CETBodytext"/>
              <w:rPr>
                <w:lang w:val="en-GB"/>
              </w:rPr>
            </w:pPr>
            <w:r>
              <w:rPr>
                <w:rFonts w:cs="Arial"/>
                <w:lang w:val="en-GB"/>
              </w:rPr>
              <w:t xml:space="preserve">1.39 </w:t>
            </w:r>
            <w:r w:rsidRPr="00D22011">
              <w:rPr>
                <w:rFonts w:cs="Arial"/>
                <w:lang w:val="en-GB"/>
              </w:rPr>
              <w:t>±</w:t>
            </w:r>
            <w:r>
              <w:rPr>
                <w:rFonts w:cs="Arial"/>
                <w:lang w:val="en-GB"/>
              </w:rPr>
              <w:t xml:space="preserve">0.01 </w:t>
            </w:r>
            <w:r>
              <w:rPr>
                <w:rFonts w:cs="Arial"/>
                <w:vertAlign w:val="superscript"/>
                <w:lang w:val="en-GB"/>
              </w:rPr>
              <w:t>de</w:t>
            </w:r>
          </w:p>
        </w:tc>
        <w:tc>
          <w:tcPr>
            <w:tcW w:w="1275" w:type="dxa"/>
            <w:shd w:val="clear" w:color="auto" w:fill="FFFFFF"/>
          </w:tcPr>
          <w:p w14:paraId="41EC382C" w14:textId="77777777" w:rsidR="00220245" w:rsidRPr="00A97BCB" w:rsidRDefault="00220245" w:rsidP="005C1A51">
            <w:pPr>
              <w:pStyle w:val="CETBodytext"/>
              <w:ind w:right="-1"/>
              <w:rPr>
                <w:lang w:val="en-GB"/>
              </w:rPr>
            </w:pPr>
            <w:r>
              <w:rPr>
                <w:rFonts w:cs="Arial"/>
                <w:lang w:val="en-GB"/>
              </w:rPr>
              <w:t xml:space="preserve">66.71 </w:t>
            </w:r>
            <w:r w:rsidRPr="007A31CF">
              <w:rPr>
                <w:rFonts w:cs="Arial"/>
                <w:lang w:val="en-GB"/>
              </w:rPr>
              <w:t>±</w:t>
            </w:r>
            <w:r>
              <w:rPr>
                <w:rFonts w:cs="Arial"/>
                <w:lang w:val="en-GB"/>
              </w:rPr>
              <w:t xml:space="preserve">0.57 </w:t>
            </w:r>
            <w:r>
              <w:rPr>
                <w:rFonts w:cs="Arial"/>
                <w:vertAlign w:val="superscript"/>
                <w:lang w:val="en-GB"/>
              </w:rPr>
              <w:t>g</w:t>
            </w:r>
          </w:p>
        </w:tc>
        <w:tc>
          <w:tcPr>
            <w:tcW w:w="1560" w:type="dxa"/>
            <w:shd w:val="clear" w:color="auto" w:fill="FFFFFF"/>
          </w:tcPr>
          <w:p w14:paraId="1E33D118" w14:textId="77777777" w:rsidR="00220245" w:rsidRPr="00A97BCB" w:rsidRDefault="00220245" w:rsidP="005C1A51">
            <w:pPr>
              <w:pStyle w:val="CETBodytext"/>
              <w:ind w:right="-1"/>
              <w:rPr>
                <w:lang w:val="en-GB"/>
              </w:rPr>
            </w:pPr>
            <w:r>
              <w:rPr>
                <w:rFonts w:cs="Arial"/>
                <w:lang w:val="en-GB"/>
              </w:rPr>
              <w:t xml:space="preserve">6.56 </w:t>
            </w:r>
            <w:r w:rsidRPr="007A31CF">
              <w:rPr>
                <w:rFonts w:cs="Arial"/>
                <w:lang w:val="en-GB"/>
              </w:rPr>
              <w:t>±</w:t>
            </w:r>
            <w:r>
              <w:rPr>
                <w:rFonts w:cs="Arial"/>
                <w:lang w:val="en-GB"/>
              </w:rPr>
              <w:t xml:space="preserve">0.06 </w:t>
            </w:r>
            <w:r>
              <w:rPr>
                <w:rFonts w:cs="Arial"/>
                <w:vertAlign w:val="superscript"/>
                <w:lang w:val="en-GB"/>
              </w:rPr>
              <w:t>d</w:t>
            </w:r>
          </w:p>
        </w:tc>
      </w:tr>
      <w:tr w:rsidR="00220245" w:rsidRPr="00947BBE" w14:paraId="1174CC84" w14:textId="77777777" w:rsidTr="009D2DDA">
        <w:tc>
          <w:tcPr>
            <w:tcW w:w="993" w:type="dxa"/>
            <w:shd w:val="clear" w:color="auto" w:fill="FFFFFF"/>
          </w:tcPr>
          <w:p w14:paraId="4499E9F0" w14:textId="77777777" w:rsidR="00220245" w:rsidRPr="00947BBE" w:rsidRDefault="00220245" w:rsidP="005C1A51">
            <w:pPr>
              <w:pStyle w:val="CETBodytext"/>
              <w:rPr>
                <w:color w:val="365F91" w:themeColor="accent1" w:themeShade="BF"/>
                <w:lang w:val="en-GB"/>
              </w:rPr>
            </w:pPr>
            <w:r w:rsidRPr="00947BBE">
              <w:rPr>
                <w:lang w:val="en-GB"/>
              </w:rPr>
              <w:t>T-w-80-5</w:t>
            </w:r>
          </w:p>
        </w:tc>
        <w:tc>
          <w:tcPr>
            <w:tcW w:w="1559" w:type="dxa"/>
            <w:shd w:val="clear" w:color="auto" w:fill="FFFFFF"/>
          </w:tcPr>
          <w:p w14:paraId="5FB06863" w14:textId="77777777" w:rsidR="00220245" w:rsidRPr="00A97BCB" w:rsidRDefault="00220245" w:rsidP="005C1A51">
            <w:pPr>
              <w:pStyle w:val="CETBodytext"/>
              <w:rPr>
                <w:lang w:val="en-GB"/>
              </w:rPr>
            </w:pPr>
            <w:r>
              <w:rPr>
                <w:rFonts w:cs="Arial"/>
                <w:lang w:val="en-GB"/>
              </w:rPr>
              <w:t xml:space="preserve">121.27 </w:t>
            </w:r>
            <w:r w:rsidRPr="007A31CF">
              <w:rPr>
                <w:rFonts w:cs="Arial"/>
                <w:lang w:val="en-GB"/>
              </w:rPr>
              <w:t>±</w:t>
            </w:r>
            <w:r>
              <w:rPr>
                <w:rFonts w:cs="Arial"/>
                <w:lang w:val="en-GB"/>
              </w:rPr>
              <w:t xml:space="preserve">4.44 </w:t>
            </w:r>
            <w:r w:rsidRPr="00304F33">
              <w:rPr>
                <w:rFonts w:cs="Arial"/>
                <w:vertAlign w:val="superscript"/>
                <w:lang w:val="en-GB"/>
              </w:rPr>
              <w:t>cd</w:t>
            </w:r>
          </w:p>
        </w:tc>
        <w:tc>
          <w:tcPr>
            <w:tcW w:w="1984" w:type="dxa"/>
            <w:shd w:val="clear" w:color="auto" w:fill="FFFFFF"/>
          </w:tcPr>
          <w:p w14:paraId="0DA193C1" w14:textId="77777777" w:rsidR="00220245" w:rsidRPr="00A97BCB" w:rsidRDefault="00220245" w:rsidP="005C1A51">
            <w:pPr>
              <w:pStyle w:val="CETBodytext"/>
              <w:rPr>
                <w:lang w:val="en-GB"/>
              </w:rPr>
            </w:pPr>
            <w:r>
              <w:rPr>
                <w:rFonts w:cs="Arial"/>
                <w:lang w:val="en-GB"/>
              </w:rPr>
              <w:t xml:space="preserve">818.41 </w:t>
            </w:r>
            <w:r w:rsidRPr="007A31CF">
              <w:rPr>
                <w:rFonts w:cs="Arial"/>
                <w:lang w:val="en-GB"/>
              </w:rPr>
              <w:t>±</w:t>
            </w:r>
            <w:r>
              <w:rPr>
                <w:rFonts w:cs="Arial"/>
                <w:lang w:val="en-GB"/>
              </w:rPr>
              <w:t xml:space="preserve">18.64 </w:t>
            </w:r>
            <w:r w:rsidRPr="00332FE5">
              <w:rPr>
                <w:rFonts w:cs="Arial"/>
                <w:vertAlign w:val="superscript"/>
                <w:lang w:val="en-GB"/>
              </w:rPr>
              <w:t>d</w:t>
            </w:r>
          </w:p>
        </w:tc>
        <w:tc>
          <w:tcPr>
            <w:tcW w:w="1560" w:type="dxa"/>
            <w:shd w:val="clear" w:color="auto" w:fill="FFFFFF"/>
          </w:tcPr>
          <w:p w14:paraId="0AAE1B46" w14:textId="77777777" w:rsidR="00220245" w:rsidRPr="00D22011" w:rsidRDefault="00220245" w:rsidP="005C1A51">
            <w:pPr>
              <w:pStyle w:val="CETBodytext"/>
              <w:rPr>
                <w:lang w:val="en-GB"/>
              </w:rPr>
            </w:pPr>
            <w:r>
              <w:rPr>
                <w:rFonts w:cs="Arial"/>
                <w:lang w:val="en-GB"/>
              </w:rPr>
              <w:t xml:space="preserve">1.46 </w:t>
            </w:r>
            <w:r w:rsidRPr="00D22011">
              <w:rPr>
                <w:rFonts w:cs="Arial"/>
                <w:lang w:val="en-GB"/>
              </w:rPr>
              <w:t>±</w:t>
            </w:r>
            <w:r>
              <w:rPr>
                <w:rFonts w:cs="Arial"/>
                <w:lang w:val="en-GB"/>
              </w:rPr>
              <w:t xml:space="preserve">0.01 </w:t>
            </w:r>
            <w:r>
              <w:rPr>
                <w:rFonts w:cs="Arial"/>
                <w:vertAlign w:val="superscript"/>
                <w:lang w:val="en-GB"/>
              </w:rPr>
              <w:t>bc</w:t>
            </w:r>
          </w:p>
        </w:tc>
        <w:tc>
          <w:tcPr>
            <w:tcW w:w="1275" w:type="dxa"/>
            <w:shd w:val="clear" w:color="auto" w:fill="FFFFFF"/>
          </w:tcPr>
          <w:p w14:paraId="5458FCD5" w14:textId="77777777" w:rsidR="00220245" w:rsidRPr="00A97BCB" w:rsidRDefault="00220245" w:rsidP="005C1A51">
            <w:pPr>
              <w:pStyle w:val="CETBodytext"/>
              <w:ind w:right="-1"/>
              <w:rPr>
                <w:lang w:val="en-GB"/>
              </w:rPr>
            </w:pPr>
            <w:r>
              <w:rPr>
                <w:rFonts w:cs="Arial"/>
                <w:lang w:val="en-GB"/>
              </w:rPr>
              <w:t xml:space="preserve">69.74 </w:t>
            </w:r>
            <w:r w:rsidRPr="007A31CF">
              <w:rPr>
                <w:rFonts w:cs="Arial"/>
                <w:lang w:val="en-GB"/>
              </w:rPr>
              <w:t>±</w:t>
            </w:r>
            <w:r>
              <w:rPr>
                <w:rFonts w:cs="Arial"/>
                <w:lang w:val="en-GB"/>
              </w:rPr>
              <w:t xml:space="preserve">0.27 </w:t>
            </w:r>
            <w:r>
              <w:rPr>
                <w:rFonts w:cs="Arial"/>
                <w:vertAlign w:val="superscript"/>
                <w:lang w:val="en-GB"/>
              </w:rPr>
              <w:t>f</w:t>
            </w:r>
          </w:p>
        </w:tc>
        <w:tc>
          <w:tcPr>
            <w:tcW w:w="1560" w:type="dxa"/>
            <w:shd w:val="clear" w:color="auto" w:fill="FFFFFF"/>
          </w:tcPr>
          <w:p w14:paraId="74E85E41" w14:textId="77777777" w:rsidR="00220245" w:rsidRPr="00A97BCB" w:rsidRDefault="00220245" w:rsidP="005C1A51">
            <w:pPr>
              <w:pStyle w:val="CETBodytext"/>
              <w:ind w:right="-1"/>
              <w:rPr>
                <w:lang w:val="en-GB"/>
              </w:rPr>
            </w:pPr>
            <w:r>
              <w:rPr>
                <w:rFonts w:cs="Arial"/>
                <w:lang w:val="en-GB"/>
              </w:rPr>
              <w:t xml:space="preserve">7.15 </w:t>
            </w:r>
            <w:r w:rsidRPr="007A31CF">
              <w:rPr>
                <w:rFonts w:cs="Arial"/>
                <w:lang w:val="en-GB"/>
              </w:rPr>
              <w:t>±</w:t>
            </w:r>
            <w:r>
              <w:rPr>
                <w:rFonts w:cs="Arial"/>
                <w:lang w:val="en-GB"/>
              </w:rPr>
              <w:t xml:space="preserve">0.06 </w:t>
            </w:r>
            <w:r>
              <w:rPr>
                <w:rFonts w:cs="Arial"/>
                <w:vertAlign w:val="superscript"/>
                <w:lang w:val="en-GB"/>
              </w:rPr>
              <w:t>cd</w:t>
            </w:r>
          </w:p>
        </w:tc>
      </w:tr>
      <w:tr w:rsidR="00220245" w:rsidRPr="00947BBE" w14:paraId="0F9599AC" w14:textId="77777777" w:rsidTr="009D2DDA">
        <w:tc>
          <w:tcPr>
            <w:tcW w:w="993" w:type="dxa"/>
            <w:shd w:val="clear" w:color="auto" w:fill="FFFFFF"/>
          </w:tcPr>
          <w:p w14:paraId="48D6A2D1" w14:textId="77777777" w:rsidR="00220245" w:rsidRPr="00947BBE" w:rsidRDefault="00220245" w:rsidP="005C1A51">
            <w:pPr>
              <w:pStyle w:val="CETBodytext"/>
              <w:rPr>
                <w:color w:val="365F91" w:themeColor="accent1" w:themeShade="BF"/>
                <w:lang w:val="en-GB"/>
              </w:rPr>
            </w:pPr>
            <w:r w:rsidRPr="00947BBE">
              <w:rPr>
                <w:lang w:val="en-GB"/>
              </w:rPr>
              <w:t>T-w-80-10</w:t>
            </w:r>
          </w:p>
        </w:tc>
        <w:tc>
          <w:tcPr>
            <w:tcW w:w="1559" w:type="dxa"/>
            <w:shd w:val="clear" w:color="auto" w:fill="FFFFFF"/>
          </w:tcPr>
          <w:p w14:paraId="6D3114F9" w14:textId="77777777" w:rsidR="00220245" w:rsidRPr="00A97BCB" w:rsidRDefault="00220245" w:rsidP="005C1A51">
            <w:pPr>
              <w:pStyle w:val="CETBodytext"/>
              <w:rPr>
                <w:lang w:val="en-GB"/>
              </w:rPr>
            </w:pPr>
            <w:r>
              <w:rPr>
                <w:rFonts w:cs="Arial"/>
                <w:lang w:val="en-GB"/>
              </w:rPr>
              <w:t xml:space="preserve">126.73 </w:t>
            </w:r>
            <w:r w:rsidRPr="007A31CF">
              <w:rPr>
                <w:rFonts w:cs="Arial"/>
                <w:lang w:val="en-GB"/>
              </w:rPr>
              <w:t>±</w:t>
            </w:r>
            <w:r>
              <w:rPr>
                <w:rFonts w:cs="Arial"/>
                <w:lang w:val="en-GB"/>
              </w:rPr>
              <w:t xml:space="preserve">1.68 </w:t>
            </w:r>
            <w:r w:rsidRPr="00304F33">
              <w:rPr>
                <w:rFonts w:cs="Arial"/>
                <w:vertAlign w:val="superscript"/>
                <w:lang w:val="en-GB"/>
              </w:rPr>
              <w:t>cd</w:t>
            </w:r>
          </w:p>
        </w:tc>
        <w:tc>
          <w:tcPr>
            <w:tcW w:w="1984" w:type="dxa"/>
            <w:shd w:val="clear" w:color="auto" w:fill="FFFFFF"/>
          </w:tcPr>
          <w:p w14:paraId="0EFE87A0" w14:textId="77777777" w:rsidR="00220245" w:rsidRPr="00A97BCB" w:rsidRDefault="00220245" w:rsidP="005C1A51">
            <w:pPr>
              <w:pStyle w:val="CETBodytext"/>
              <w:rPr>
                <w:lang w:val="en-GB"/>
              </w:rPr>
            </w:pPr>
            <w:r>
              <w:rPr>
                <w:rFonts w:cs="Arial"/>
                <w:lang w:val="en-GB"/>
              </w:rPr>
              <w:t xml:space="preserve">869.05 </w:t>
            </w:r>
            <w:r w:rsidRPr="007A31CF">
              <w:rPr>
                <w:rFonts w:cs="Arial"/>
                <w:lang w:val="en-GB"/>
              </w:rPr>
              <w:t>±</w:t>
            </w:r>
            <w:r>
              <w:rPr>
                <w:rFonts w:cs="Arial"/>
                <w:lang w:val="en-GB"/>
              </w:rPr>
              <w:t xml:space="preserve">43.94 </w:t>
            </w:r>
            <w:r w:rsidRPr="00332FE5">
              <w:rPr>
                <w:rFonts w:cs="Arial"/>
                <w:vertAlign w:val="superscript"/>
                <w:lang w:val="en-GB"/>
              </w:rPr>
              <w:t>d</w:t>
            </w:r>
          </w:p>
        </w:tc>
        <w:tc>
          <w:tcPr>
            <w:tcW w:w="1560" w:type="dxa"/>
            <w:shd w:val="clear" w:color="auto" w:fill="FFFFFF"/>
          </w:tcPr>
          <w:p w14:paraId="55A5BFA5" w14:textId="77777777" w:rsidR="00220245" w:rsidRPr="00D22011" w:rsidRDefault="00220245" w:rsidP="005C1A51">
            <w:pPr>
              <w:pStyle w:val="CETBodytext"/>
              <w:rPr>
                <w:lang w:val="en-GB"/>
              </w:rPr>
            </w:pPr>
            <w:r>
              <w:rPr>
                <w:rFonts w:cs="Arial"/>
                <w:lang w:val="en-GB"/>
              </w:rPr>
              <w:t xml:space="preserve">1.50 </w:t>
            </w:r>
            <w:r w:rsidRPr="00D22011">
              <w:rPr>
                <w:rFonts w:cs="Arial"/>
                <w:lang w:val="en-GB"/>
              </w:rPr>
              <w:t>±</w:t>
            </w:r>
            <w:r>
              <w:rPr>
                <w:rFonts w:cs="Arial"/>
                <w:lang w:val="en-GB"/>
              </w:rPr>
              <w:t xml:space="preserve">0.02 </w:t>
            </w:r>
            <w:r>
              <w:rPr>
                <w:rFonts w:cs="Arial"/>
                <w:vertAlign w:val="superscript"/>
                <w:lang w:val="en-GB"/>
              </w:rPr>
              <w:t>bc</w:t>
            </w:r>
          </w:p>
        </w:tc>
        <w:tc>
          <w:tcPr>
            <w:tcW w:w="1275" w:type="dxa"/>
            <w:shd w:val="clear" w:color="auto" w:fill="FFFFFF"/>
          </w:tcPr>
          <w:p w14:paraId="52B5F176" w14:textId="77777777" w:rsidR="00220245" w:rsidRPr="00A97BCB" w:rsidRDefault="00220245" w:rsidP="005C1A51">
            <w:pPr>
              <w:pStyle w:val="CETBodytext"/>
              <w:ind w:right="-1"/>
              <w:rPr>
                <w:lang w:val="en-GB"/>
              </w:rPr>
            </w:pPr>
            <w:r>
              <w:rPr>
                <w:rFonts w:cs="Arial"/>
                <w:lang w:val="en-GB"/>
              </w:rPr>
              <w:t xml:space="preserve">77.00 </w:t>
            </w:r>
            <w:r w:rsidRPr="007A31CF">
              <w:rPr>
                <w:rFonts w:cs="Arial"/>
                <w:lang w:val="en-GB"/>
              </w:rPr>
              <w:t>±</w:t>
            </w:r>
            <w:r>
              <w:rPr>
                <w:rFonts w:cs="Arial"/>
                <w:lang w:val="en-GB"/>
              </w:rPr>
              <w:t xml:space="preserve">0.64 </w:t>
            </w:r>
            <w:r>
              <w:rPr>
                <w:rFonts w:cs="Arial"/>
                <w:vertAlign w:val="superscript"/>
                <w:lang w:val="en-GB"/>
              </w:rPr>
              <w:t>e</w:t>
            </w:r>
          </w:p>
        </w:tc>
        <w:tc>
          <w:tcPr>
            <w:tcW w:w="1560" w:type="dxa"/>
            <w:shd w:val="clear" w:color="auto" w:fill="FFFFFF"/>
          </w:tcPr>
          <w:p w14:paraId="28FD1183" w14:textId="77777777" w:rsidR="00220245" w:rsidRPr="00A97BCB" w:rsidRDefault="00220245" w:rsidP="005C1A51">
            <w:pPr>
              <w:pStyle w:val="CETBodytext"/>
              <w:ind w:right="-1"/>
              <w:rPr>
                <w:lang w:val="en-GB"/>
              </w:rPr>
            </w:pPr>
            <w:r>
              <w:rPr>
                <w:rFonts w:cs="Arial"/>
                <w:lang w:val="en-GB"/>
              </w:rPr>
              <w:t xml:space="preserve">7.72 </w:t>
            </w:r>
            <w:r w:rsidRPr="007A31CF">
              <w:rPr>
                <w:rFonts w:cs="Arial"/>
                <w:lang w:val="en-GB"/>
              </w:rPr>
              <w:t>±</w:t>
            </w:r>
            <w:r>
              <w:rPr>
                <w:rFonts w:cs="Arial"/>
                <w:lang w:val="en-GB"/>
              </w:rPr>
              <w:t xml:space="preserve">0.29 </w:t>
            </w:r>
            <w:r>
              <w:rPr>
                <w:rFonts w:cs="Arial"/>
                <w:vertAlign w:val="superscript"/>
                <w:lang w:val="en-GB"/>
              </w:rPr>
              <w:t>c</w:t>
            </w:r>
          </w:p>
        </w:tc>
      </w:tr>
      <w:tr w:rsidR="00220245" w:rsidRPr="00947BBE" w14:paraId="63DA1AB0" w14:textId="77777777" w:rsidTr="009D2DDA">
        <w:tc>
          <w:tcPr>
            <w:tcW w:w="993" w:type="dxa"/>
            <w:shd w:val="clear" w:color="auto" w:fill="FFFFFF"/>
          </w:tcPr>
          <w:p w14:paraId="79350F1B" w14:textId="77777777" w:rsidR="00220245" w:rsidRPr="00947BBE" w:rsidRDefault="00220245" w:rsidP="005C1A51">
            <w:pPr>
              <w:pStyle w:val="CETBodytext"/>
              <w:rPr>
                <w:color w:val="365F91" w:themeColor="accent1" w:themeShade="BF"/>
                <w:lang w:val="en-GB"/>
              </w:rPr>
            </w:pPr>
            <w:r w:rsidRPr="00947BBE">
              <w:rPr>
                <w:lang w:val="en-GB"/>
              </w:rPr>
              <w:t>T-w-152-5</w:t>
            </w:r>
          </w:p>
        </w:tc>
        <w:tc>
          <w:tcPr>
            <w:tcW w:w="1559" w:type="dxa"/>
            <w:shd w:val="clear" w:color="auto" w:fill="FFFFFF"/>
          </w:tcPr>
          <w:p w14:paraId="039184C9" w14:textId="77777777" w:rsidR="00220245" w:rsidRPr="00A97BCB" w:rsidRDefault="00220245" w:rsidP="005C1A51">
            <w:pPr>
              <w:pStyle w:val="CETBodytext"/>
              <w:rPr>
                <w:lang w:val="en-GB"/>
              </w:rPr>
            </w:pPr>
            <w:r>
              <w:rPr>
                <w:rFonts w:cs="Arial"/>
                <w:lang w:val="en-GB"/>
              </w:rPr>
              <w:t xml:space="preserve">115.21 </w:t>
            </w:r>
            <w:r w:rsidRPr="007A31CF">
              <w:rPr>
                <w:rFonts w:cs="Arial"/>
                <w:lang w:val="en-GB"/>
              </w:rPr>
              <w:t>±</w:t>
            </w:r>
            <w:r>
              <w:rPr>
                <w:rFonts w:cs="Arial"/>
                <w:lang w:val="en-GB"/>
              </w:rPr>
              <w:t xml:space="preserve">5.72 </w:t>
            </w:r>
            <w:r w:rsidRPr="00304F33">
              <w:rPr>
                <w:rFonts w:cs="Arial"/>
                <w:vertAlign w:val="superscript"/>
                <w:lang w:val="en-GB"/>
              </w:rPr>
              <w:t>d</w:t>
            </w:r>
          </w:p>
        </w:tc>
        <w:tc>
          <w:tcPr>
            <w:tcW w:w="1984" w:type="dxa"/>
            <w:shd w:val="clear" w:color="auto" w:fill="FFFFFF"/>
          </w:tcPr>
          <w:p w14:paraId="009FBDCF" w14:textId="77777777" w:rsidR="00220245" w:rsidRPr="00A97BCB" w:rsidRDefault="00220245" w:rsidP="005C1A51">
            <w:pPr>
              <w:pStyle w:val="CETBodytext"/>
              <w:rPr>
                <w:lang w:val="en-GB"/>
              </w:rPr>
            </w:pPr>
            <w:r>
              <w:rPr>
                <w:rFonts w:cs="Arial"/>
                <w:lang w:val="en-GB"/>
              </w:rPr>
              <w:t xml:space="preserve">792.68 </w:t>
            </w:r>
            <w:r w:rsidRPr="007A31CF">
              <w:rPr>
                <w:rFonts w:cs="Arial"/>
                <w:lang w:val="en-GB"/>
              </w:rPr>
              <w:t>±</w:t>
            </w:r>
            <w:r>
              <w:rPr>
                <w:rFonts w:cs="Arial"/>
                <w:lang w:val="en-GB"/>
              </w:rPr>
              <w:t xml:space="preserve">29.32 </w:t>
            </w:r>
            <w:r w:rsidRPr="00332FE5">
              <w:rPr>
                <w:rFonts w:cs="Arial"/>
                <w:vertAlign w:val="superscript"/>
                <w:lang w:val="en-GB"/>
              </w:rPr>
              <w:t>d</w:t>
            </w:r>
          </w:p>
        </w:tc>
        <w:tc>
          <w:tcPr>
            <w:tcW w:w="1560" w:type="dxa"/>
            <w:shd w:val="clear" w:color="auto" w:fill="FFFFFF"/>
          </w:tcPr>
          <w:p w14:paraId="0B4156D0" w14:textId="77777777" w:rsidR="00220245" w:rsidRPr="00D22011" w:rsidRDefault="00220245" w:rsidP="005C1A51">
            <w:pPr>
              <w:pStyle w:val="CETBodytext"/>
              <w:rPr>
                <w:lang w:val="en-GB"/>
              </w:rPr>
            </w:pPr>
            <w:r>
              <w:rPr>
                <w:rFonts w:cs="Arial"/>
                <w:lang w:val="en-GB"/>
              </w:rPr>
              <w:t xml:space="preserve">1.52 </w:t>
            </w:r>
            <w:r w:rsidRPr="00D22011">
              <w:rPr>
                <w:rFonts w:cs="Arial"/>
                <w:lang w:val="en-GB"/>
              </w:rPr>
              <w:t>±</w:t>
            </w:r>
            <w:r>
              <w:rPr>
                <w:rFonts w:cs="Arial"/>
                <w:lang w:val="en-GB"/>
              </w:rPr>
              <w:t xml:space="preserve">0.02 </w:t>
            </w:r>
            <w:r>
              <w:rPr>
                <w:rFonts w:cs="Arial"/>
                <w:vertAlign w:val="superscript"/>
                <w:lang w:val="en-GB"/>
              </w:rPr>
              <w:t>ab</w:t>
            </w:r>
          </w:p>
        </w:tc>
        <w:tc>
          <w:tcPr>
            <w:tcW w:w="1275" w:type="dxa"/>
            <w:shd w:val="clear" w:color="auto" w:fill="FFFFFF"/>
          </w:tcPr>
          <w:p w14:paraId="64AC2E45" w14:textId="77777777" w:rsidR="00220245" w:rsidRPr="00A97BCB" w:rsidRDefault="00220245" w:rsidP="005C1A51">
            <w:pPr>
              <w:pStyle w:val="CETBodytext"/>
              <w:ind w:right="-1"/>
              <w:rPr>
                <w:lang w:val="en-GB"/>
              </w:rPr>
            </w:pPr>
            <w:r>
              <w:rPr>
                <w:rFonts w:cs="Arial"/>
                <w:lang w:val="en-GB"/>
              </w:rPr>
              <w:t xml:space="preserve">71.84 </w:t>
            </w:r>
            <w:r w:rsidRPr="007A31CF">
              <w:rPr>
                <w:rFonts w:cs="Arial"/>
                <w:lang w:val="en-GB"/>
              </w:rPr>
              <w:t>±</w:t>
            </w:r>
            <w:r>
              <w:rPr>
                <w:rFonts w:cs="Arial"/>
                <w:lang w:val="en-GB"/>
              </w:rPr>
              <w:t xml:space="preserve">0.22 </w:t>
            </w:r>
            <w:r w:rsidRPr="00304F33">
              <w:rPr>
                <w:rFonts w:cs="Arial"/>
                <w:vertAlign w:val="superscript"/>
                <w:lang w:val="en-GB"/>
              </w:rPr>
              <w:t>f</w:t>
            </w:r>
          </w:p>
        </w:tc>
        <w:tc>
          <w:tcPr>
            <w:tcW w:w="1560" w:type="dxa"/>
            <w:shd w:val="clear" w:color="auto" w:fill="FFFFFF"/>
          </w:tcPr>
          <w:p w14:paraId="3C780810" w14:textId="77777777" w:rsidR="00220245" w:rsidRPr="00A97BCB" w:rsidRDefault="00220245" w:rsidP="005C1A51">
            <w:pPr>
              <w:pStyle w:val="CETBodytext"/>
              <w:ind w:right="-1"/>
              <w:rPr>
                <w:lang w:val="en-GB"/>
              </w:rPr>
            </w:pPr>
            <w:r>
              <w:rPr>
                <w:rFonts w:cs="Arial"/>
                <w:lang w:val="en-GB"/>
              </w:rPr>
              <w:t xml:space="preserve">6.98 </w:t>
            </w:r>
            <w:r w:rsidRPr="007A31CF">
              <w:rPr>
                <w:rFonts w:cs="Arial"/>
                <w:lang w:val="en-GB"/>
              </w:rPr>
              <w:t>±</w:t>
            </w:r>
            <w:r>
              <w:rPr>
                <w:rFonts w:cs="Arial"/>
                <w:lang w:val="en-GB"/>
              </w:rPr>
              <w:t xml:space="preserve">0.03 </w:t>
            </w:r>
            <w:r>
              <w:rPr>
                <w:rFonts w:cs="Arial"/>
                <w:vertAlign w:val="superscript"/>
                <w:lang w:val="en-GB"/>
              </w:rPr>
              <w:t>cd</w:t>
            </w:r>
          </w:p>
        </w:tc>
      </w:tr>
      <w:tr w:rsidR="00220245" w:rsidRPr="00947BBE" w14:paraId="37B1E7B2" w14:textId="77777777" w:rsidTr="009D2DDA">
        <w:tc>
          <w:tcPr>
            <w:tcW w:w="993" w:type="dxa"/>
            <w:shd w:val="clear" w:color="auto" w:fill="FFFFFF"/>
          </w:tcPr>
          <w:p w14:paraId="413EB9B7" w14:textId="77777777" w:rsidR="00220245" w:rsidRPr="00947BBE" w:rsidRDefault="00220245" w:rsidP="005C1A51">
            <w:pPr>
              <w:pStyle w:val="CETBodytext"/>
              <w:rPr>
                <w:color w:val="365F91" w:themeColor="accent1" w:themeShade="BF"/>
                <w:lang w:val="en-GB"/>
              </w:rPr>
            </w:pPr>
            <w:r w:rsidRPr="00947BBE">
              <w:rPr>
                <w:lang w:val="en-GB"/>
              </w:rPr>
              <w:t>T-w-152-10</w:t>
            </w:r>
          </w:p>
        </w:tc>
        <w:tc>
          <w:tcPr>
            <w:tcW w:w="1559" w:type="dxa"/>
            <w:shd w:val="clear" w:color="auto" w:fill="FFFFFF"/>
          </w:tcPr>
          <w:p w14:paraId="1E676AEA" w14:textId="77777777" w:rsidR="00220245" w:rsidRPr="00A97BCB" w:rsidRDefault="00220245" w:rsidP="005C1A51">
            <w:pPr>
              <w:pStyle w:val="CETBodytext"/>
              <w:rPr>
                <w:lang w:val="en-GB"/>
              </w:rPr>
            </w:pPr>
            <w:r>
              <w:rPr>
                <w:rFonts w:cs="Arial"/>
                <w:lang w:val="en-GB"/>
              </w:rPr>
              <w:t xml:space="preserve">111.38 </w:t>
            </w:r>
            <w:r w:rsidRPr="007A31CF">
              <w:rPr>
                <w:rFonts w:cs="Arial"/>
                <w:lang w:val="en-GB"/>
              </w:rPr>
              <w:t>±</w:t>
            </w:r>
            <w:r>
              <w:rPr>
                <w:rFonts w:cs="Arial"/>
                <w:lang w:val="en-GB"/>
              </w:rPr>
              <w:t xml:space="preserve">3.34 </w:t>
            </w:r>
            <w:r w:rsidRPr="00304F33">
              <w:rPr>
                <w:rFonts w:cs="Arial"/>
                <w:vertAlign w:val="superscript"/>
                <w:lang w:val="en-GB"/>
              </w:rPr>
              <w:t>de</w:t>
            </w:r>
          </w:p>
        </w:tc>
        <w:tc>
          <w:tcPr>
            <w:tcW w:w="1984" w:type="dxa"/>
            <w:shd w:val="clear" w:color="auto" w:fill="FFFFFF"/>
          </w:tcPr>
          <w:p w14:paraId="007D46CA" w14:textId="77777777" w:rsidR="00220245" w:rsidRPr="00A97BCB" w:rsidRDefault="00220245" w:rsidP="005C1A51">
            <w:pPr>
              <w:pStyle w:val="CETBodytext"/>
              <w:rPr>
                <w:lang w:val="en-GB"/>
              </w:rPr>
            </w:pPr>
            <w:r>
              <w:rPr>
                <w:rFonts w:cs="Arial"/>
                <w:lang w:val="en-GB"/>
              </w:rPr>
              <w:t xml:space="preserve">776.78 </w:t>
            </w:r>
            <w:r w:rsidRPr="007A31CF">
              <w:rPr>
                <w:rFonts w:cs="Arial"/>
                <w:lang w:val="en-GB"/>
              </w:rPr>
              <w:t>±</w:t>
            </w:r>
            <w:r>
              <w:rPr>
                <w:rFonts w:cs="Arial"/>
                <w:lang w:val="en-GB"/>
              </w:rPr>
              <w:t xml:space="preserve">5.84 </w:t>
            </w:r>
            <w:r w:rsidRPr="00332FE5">
              <w:rPr>
                <w:rFonts w:cs="Arial"/>
                <w:vertAlign w:val="superscript"/>
                <w:lang w:val="en-GB"/>
              </w:rPr>
              <w:t>de</w:t>
            </w:r>
          </w:p>
        </w:tc>
        <w:tc>
          <w:tcPr>
            <w:tcW w:w="1560" w:type="dxa"/>
            <w:shd w:val="clear" w:color="auto" w:fill="FFFFFF"/>
          </w:tcPr>
          <w:p w14:paraId="61115433" w14:textId="77777777" w:rsidR="00220245" w:rsidRPr="00D22011" w:rsidRDefault="00220245" w:rsidP="005C1A51">
            <w:pPr>
              <w:pStyle w:val="CETBodytext"/>
              <w:rPr>
                <w:lang w:val="en-GB"/>
              </w:rPr>
            </w:pPr>
            <w:r>
              <w:rPr>
                <w:rFonts w:cs="Arial"/>
                <w:lang w:val="en-GB"/>
              </w:rPr>
              <w:t xml:space="preserve">1.56 </w:t>
            </w:r>
            <w:r w:rsidRPr="00D22011">
              <w:rPr>
                <w:rFonts w:cs="Arial"/>
                <w:lang w:val="en-GB"/>
              </w:rPr>
              <w:t>±</w:t>
            </w:r>
            <w:r>
              <w:rPr>
                <w:rFonts w:cs="Arial"/>
                <w:lang w:val="en-GB"/>
              </w:rPr>
              <w:t xml:space="preserve">0.02 </w:t>
            </w:r>
            <w:r>
              <w:rPr>
                <w:rFonts w:cs="Arial"/>
                <w:vertAlign w:val="superscript"/>
                <w:lang w:val="en-GB"/>
              </w:rPr>
              <w:t>a</w:t>
            </w:r>
          </w:p>
        </w:tc>
        <w:tc>
          <w:tcPr>
            <w:tcW w:w="1275" w:type="dxa"/>
            <w:shd w:val="clear" w:color="auto" w:fill="FFFFFF"/>
          </w:tcPr>
          <w:p w14:paraId="70D817CB" w14:textId="77777777" w:rsidR="00220245" w:rsidRPr="00A97BCB" w:rsidRDefault="00220245" w:rsidP="005C1A51">
            <w:pPr>
              <w:pStyle w:val="CETBodytext"/>
              <w:ind w:right="-1"/>
              <w:rPr>
                <w:lang w:val="en-GB"/>
              </w:rPr>
            </w:pPr>
            <w:r>
              <w:rPr>
                <w:rFonts w:cs="Arial"/>
                <w:lang w:val="en-GB"/>
              </w:rPr>
              <w:t xml:space="preserve">65.83 </w:t>
            </w:r>
            <w:r w:rsidRPr="007A31CF">
              <w:rPr>
                <w:rFonts w:cs="Arial"/>
                <w:lang w:val="en-GB"/>
              </w:rPr>
              <w:t>±</w:t>
            </w:r>
            <w:r>
              <w:rPr>
                <w:rFonts w:cs="Arial"/>
                <w:lang w:val="en-GB"/>
              </w:rPr>
              <w:t xml:space="preserve">0.24 </w:t>
            </w:r>
            <w:r>
              <w:rPr>
                <w:rFonts w:cs="Arial"/>
                <w:vertAlign w:val="superscript"/>
                <w:lang w:val="en-GB"/>
              </w:rPr>
              <w:t>g</w:t>
            </w:r>
          </w:p>
        </w:tc>
        <w:tc>
          <w:tcPr>
            <w:tcW w:w="1560" w:type="dxa"/>
            <w:shd w:val="clear" w:color="auto" w:fill="FFFFFF"/>
          </w:tcPr>
          <w:p w14:paraId="2D15C84C" w14:textId="77777777" w:rsidR="00220245" w:rsidRPr="00A97BCB" w:rsidRDefault="00220245" w:rsidP="005C1A51">
            <w:pPr>
              <w:pStyle w:val="CETBodytext"/>
              <w:ind w:right="-1"/>
              <w:rPr>
                <w:lang w:val="en-GB"/>
              </w:rPr>
            </w:pPr>
            <w:r>
              <w:rPr>
                <w:rFonts w:cs="Arial"/>
                <w:lang w:val="en-GB"/>
              </w:rPr>
              <w:t xml:space="preserve">6.42 </w:t>
            </w:r>
            <w:r w:rsidRPr="007A31CF">
              <w:rPr>
                <w:rFonts w:cs="Arial"/>
                <w:lang w:val="en-GB"/>
              </w:rPr>
              <w:t>±</w:t>
            </w:r>
            <w:r>
              <w:rPr>
                <w:rFonts w:cs="Arial"/>
                <w:lang w:val="en-GB"/>
              </w:rPr>
              <w:t>0.11</w:t>
            </w:r>
            <w:r>
              <w:rPr>
                <w:rFonts w:cs="Arial"/>
                <w:vertAlign w:val="superscript"/>
                <w:lang w:val="en-GB"/>
              </w:rPr>
              <w:t xml:space="preserve"> d</w:t>
            </w:r>
          </w:p>
        </w:tc>
      </w:tr>
    </w:tbl>
    <w:p w14:paraId="3F127A92" w14:textId="77777777" w:rsidR="00220245" w:rsidRDefault="00220245" w:rsidP="00220245">
      <w:pPr>
        <w:pStyle w:val="CETBodytext"/>
        <w:rPr>
          <w:i/>
          <w:sz w:val="16"/>
          <w:lang w:val="en-GB"/>
        </w:rPr>
      </w:pPr>
      <w:r w:rsidRPr="006C7B81">
        <w:rPr>
          <w:i/>
          <w:sz w:val="16"/>
          <w:lang w:val="en-GB"/>
        </w:rPr>
        <w:t xml:space="preserve">Different letters </w:t>
      </w:r>
      <w:r>
        <w:rPr>
          <w:i/>
          <w:sz w:val="16"/>
          <w:lang w:val="en-GB"/>
        </w:rPr>
        <w:t xml:space="preserve">in the same column indicate </w:t>
      </w:r>
      <w:r w:rsidRPr="006C7B81">
        <w:rPr>
          <w:i/>
          <w:sz w:val="16"/>
          <w:lang w:val="en-GB"/>
        </w:rPr>
        <w:t>significant difference</w:t>
      </w:r>
      <w:r>
        <w:rPr>
          <w:i/>
          <w:sz w:val="16"/>
          <w:lang w:val="en-GB"/>
        </w:rPr>
        <w:t>s between samples</w:t>
      </w:r>
      <w:r w:rsidRPr="006C7B81">
        <w:rPr>
          <w:i/>
          <w:sz w:val="16"/>
          <w:lang w:val="en-GB"/>
        </w:rPr>
        <w:t xml:space="preserve"> (p &lt; 0.05)</w:t>
      </w:r>
      <w:r w:rsidRPr="006C7B81">
        <w:rPr>
          <w:lang w:val="en-GB"/>
        </w:rPr>
        <w:t>.</w:t>
      </w:r>
      <w:r>
        <w:rPr>
          <w:lang w:val="en-GB"/>
        </w:rPr>
        <w:t xml:space="preserve"> ‘</w:t>
      </w:r>
      <w:r>
        <w:rPr>
          <w:i/>
          <w:sz w:val="16"/>
          <w:lang w:val="en-GB"/>
        </w:rPr>
        <w:t xml:space="preserve">a’ is the </w:t>
      </w:r>
      <w:r w:rsidRPr="006C7B81">
        <w:rPr>
          <w:i/>
          <w:sz w:val="16"/>
          <w:lang w:val="en-GB"/>
        </w:rPr>
        <w:t>highest value</w:t>
      </w:r>
      <w:r>
        <w:rPr>
          <w:i/>
          <w:sz w:val="16"/>
          <w:lang w:val="en-GB"/>
        </w:rPr>
        <w:t>.</w:t>
      </w:r>
    </w:p>
    <w:p w14:paraId="2AF77730" w14:textId="77777777" w:rsidR="00220245" w:rsidRPr="004F05BA" w:rsidRDefault="00220245" w:rsidP="00EA368D">
      <w:pPr>
        <w:pStyle w:val="CETBodytext"/>
      </w:pPr>
    </w:p>
    <w:p w14:paraId="0ACC8695" w14:textId="6523F8FF" w:rsidR="007107FD" w:rsidRPr="00895EB1" w:rsidRDefault="005F2E22" w:rsidP="00A97B71">
      <w:pPr>
        <w:pStyle w:val="CETBodytext"/>
        <w:rPr>
          <w:rFonts w:cs="Arial"/>
          <w:szCs w:val="18"/>
          <w:highlight w:val="cyan"/>
          <w:lang w:val="en-GB"/>
        </w:rPr>
      </w:pPr>
      <w:r>
        <w:t xml:space="preserve">In agreement with the above mentioned scientific </w:t>
      </w:r>
      <w:r w:rsidR="00156033">
        <w:t>assumptions</w:t>
      </w:r>
      <w:r>
        <w:t>, the outputs of the present research confirm the highest efficiency of US when coupled with ethanol</w:t>
      </w:r>
      <w:r w:rsidR="00030E8C">
        <w:t>.</w:t>
      </w:r>
      <w:r w:rsidR="004F0A00">
        <w:t xml:space="preserve"> In addition, t</w:t>
      </w:r>
      <w:r w:rsidR="004F0A00" w:rsidRPr="004F0A00">
        <w:t>he eff</w:t>
      </w:r>
      <w:r w:rsidR="00413667">
        <w:t>ect</w:t>
      </w:r>
      <w:r w:rsidR="004F0A00" w:rsidRPr="004F0A00">
        <w:t xml:space="preserve"> of </w:t>
      </w:r>
      <w:r w:rsidR="004F0A00">
        <w:t>UAE</w:t>
      </w:r>
      <w:r w:rsidR="004F0A00" w:rsidRPr="004F0A00">
        <w:t xml:space="preserve"> is influenced by </w:t>
      </w:r>
      <w:r w:rsidR="004F0A00">
        <w:t>sonication</w:t>
      </w:r>
      <w:r w:rsidR="004F0A00" w:rsidRPr="004F0A00">
        <w:t xml:space="preserve"> intensity</w:t>
      </w:r>
      <w:r w:rsidR="00E701A2">
        <w:t xml:space="preserve"> and duration</w:t>
      </w:r>
      <w:r w:rsidR="004F0A00">
        <w:t xml:space="preserve"> meaning that the wave amplitude has a crucial role in causing a greater fragmentation</w:t>
      </w:r>
      <w:r w:rsidR="004F0A00" w:rsidRPr="004F0A00">
        <w:t xml:space="preserve"> and pore-formation, thus increasing the extraction efficiency.</w:t>
      </w:r>
      <w:r w:rsidR="004F0A00">
        <w:t xml:space="preserve"> Such </w:t>
      </w:r>
      <w:r w:rsidR="00700DDA">
        <w:t>fact</w:t>
      </w:r>
      <w:r w:rsidR="004F0A00">
        <w:t xml:space="preserve"> was again confirmed by the results displayed in </w:t>
      </w:r>
      <w:r w:rsidR="004F0A00" w:rsidRPr="002F6A0F">
        <w:t>Table</w:t>
      </w:r>
      <w:r w:rsidR="002F6A0F">
        <w:t>s</w:t>
      </w:r>
      <w:r w:rsidR="004F0A00" w:rsidRPr="002F6A0F">
        <w:t xml:space="preserve"> 2</w:t>
      </w:r>
      <w:r w:rsidR="00E61DA5" w:rsidRPr="002F6A0F">
        <w:t xml:space="preserve"> and 3</w:t>
      </w:r>
      <w:r w:rsidR="004F0A00" w:rsidRPr="002F6A0F">
        <w:t>.</w:t>
      </w:r>
      <w:r w:rsidR="004F0A00">
        <w:t xml:space="preserve"> A</w:t>
      </w:r>
      <w:r w:rsidR="00E701A2">
        <w:t xml:space="preserve"> sonic wave </w:t>
      </w:r>
      <w:r w:rsidR="004F0A00">
        <w:t xml:space="preserve">amplitude of 80 </w:t>
      </w:r>
      <w:r w:rsidR="004F0A00" w:rsidRPr="00481C50">
        <w:rPr>
          <w:lang w:val="en-GB"/>
        </w:rPr>
        <w:t>μm</w:t>
      </w:r>
      <w:r w:rsidR="004F0A00">
        <w:rPr>
          <w:lang w:val="en-GB"/>
        </w:rPr>
        <w:t xml:space="preserve"> </w:t>
      </w:r>
      <w:r w:rsidR="00E701A2">
        <w:rPr>
          <w:lang w:val="en-GB"/>
        </w:rPr>
        <w:t xml:space="preserve">for 5 min </w:t>
      </w:r>
      <w:r w:rsidR="004F0A00">
        <w:rPr>
          <w:lang w:val="en-GB"/>
        </w:rPr>
        <w:t xml:space="preserve">was not sufficient for </w:t>
      </w:r>
      <w:r w:rsidR="00E701A2">
        <w:rPr>
          <w:lang w:val="en-GB"/>
        </w:rPr>
        <w:t xml:space="preserve">a proper </w:t>
      </w:r>
      <w:r w:rsidR="00413667">
        <w:rPr>
          <w:lang w:val="en-GB"/>
        </w:rPr>
        <w:t xml:space="preserve">permeabilization </w:t>
      </w:r>
      <w:r w:rsidR="004F0A00" w:rsidRPr="004F0A00">
        <w:rPr>
          <w:lang w:val="en-GB"/>
        </w:rPr>
        <w:t xml:space="preserve">of </w:t>
      </w:r>
      <w:r w:rsidR="00E701A2">
        <w:rPr>
          <w:lang w:val="en-GB"/>
        </w:rPr>
        <w:t xml:space="preserve">the investigated </w:t>
      </w:r>
      <w:r w:rsidR="00700DDA">
        <w:rPr>
          <w:lang w:val="en-GB"/>
        </w:rPr>
        <w:t>vegetal materials</w:t>
      </w:r>
      <w:r w:rsidR="00E701A2">
        <w:rPr>
          <w:lang w:val="en-GB"/>
        </w:rPr>
        <w:t>. Longer sonication time (</w:t>
      </w:r>
      <w:r w:rsidR="00F228C7">
        <w:t xml:space="preserve">80 </w:t>
      </w:r>
      <w:r w:rsidR="00F228C7" w:rsidRPr="00481C50">
        <w:rPr>
          <w:lang w:val="en-GB"/>
        </w:rPr>
        <w:t>μm</w:t>
      </w:r>
      <w:r w:rsidR="00F228C7">
        <w:rPr>
          <w:lang w:val="en-GB"/>
        </w:rPr>
        <w:t xml:space="preserve"> for </w:t>
      </w:r>
      <w:r w:rsidR="00E701A2">
        <w:rPr>
          <w:lang w:val="en-GB"/>
        </w:rPr>
        <w:t xml:space="preserve">10 min) </w:t>
      </w:r>
      <w:r w:rsidR="00156033">
        <w:rPr>
          <w:lang w:val="en-GB"/>
        </w:rPr>
        <w:t>could reach</w:t>
      </w:r>
      <w:r w:rsidR="00E701A2">
        <w:rPr>
          <w:lang w:val="en-GB"/>
        </w:rPr>
        <w:t xml:space="preserve"> </w:t>
      </w:r>
      <w:r w:rsidR="00156033">
        <w:rPr>
          <w:lang w:val="en-GB"/>
        </w:rPr>
        <w:t xml:space="preserve">similar </w:t>
      </w:r>
      <w:r w:rsidR="00E701A2">
        <w:rPr>
          <w:lang w:val="en-GB"/>
        </w:rPr>
        <w:t xml:space="preserve">effect of 5 min cavitation consequences at 152 </w:t>
      </w:r>
      <w:r w:rsidR="00E701A2" w:rsidRPr="00481C50">
        <w:rPr>
          <w:lang w:val="en-GB"/>
        </w:rPr>
        <w:t>μm</w:t>
      </w:r>
      <w:r w:rsidR="00E701A2">
        <w:rPr>
          <w:lang w:val="en-GB"/>
        </w:rPr>
        <w:t xml:space="preserve">. Evidently, in this research study, the highest amplitude </w:t>
      </w:r>
      <w:r w:rsidR="00E701A2" w:rsidRPr="004F0A00">
        <w:rPr>
          <w:lang w:val="en-GB"/>
        </w:rPr>
        <w:t xml:space="preserve">acoustic cavitation </w:t>
      </w:r>
      <w:r w:rsidR="00E701A2">
        <w:rPr>
          <w:lang w:val="en-GB"/>
        </w:rPr>
        <w:t xml:space="preserve">(152 </w:t>
      </w:r>
      <w:r w:rsidR="00E701A2" w:rsidRPr="00481C50">
        <w:rPr>
          <w:lang w:val="en-GB"/>
        </w:rPr>
        <w:t>μm</w:t>
      </w:r>
      <w:r w:rsidR="00E701A2">
        <w:rPr>
          <w:lang w:val="en-GB"/>
        </w:rPr>
        <w:t>) operated for the longest time</w:t>
      </w:r>
      <w:r w:rsidR="004F0A00" w:rsidRPr="004F0A00">
        <w:rPr>
          <w:lang w:val="en-GB"/>
        </w:rPr>
        <w:t xml:space="preserve"> </w:t>
      </w:r>
      <w:r w:rsidR="00E701A2">
        <w:rPr>
          <w:lang w:val="en-GB"/>
        </w:rPr>
        <w:t xml:space="preserve">(10 min) </w:t>
      </w:r>
      <w:r w:rsidR="00E701A2" w:rsidRPr="00992443">
        <w:rPr>
          <w:lang w:val="en-GB"/>
        </w:rPr>
        <w:t xml:space="preserve">significantly </w:t>
      </w:r>
      <w:r w:rsidR="00992443" w:rsidRPr="00992443">
        <w:rPr>
          <w:rFonts w:cs="Arial"/>
          <w:szCs w:val="18"/>
          <w:lang w:val="en-GB"/>
        </w:rPr>
        <w:t>(</w:t>
      </w:r>
      <w:r w:rsidR="00992443" w:rsidRPr="00992443">
        <w:rPr>
          <w:rFonts w:cs="Arial"/>
          <w:i/>
          <w:szCs w:val="18"/>
          <w:lang w:val="en-GB"/>
        </w:rPr>
        <w:t>p</w:t>
      </w:r>
      <w:r w:rsidR="00992443" w:rsidRPr="00992443">
        <w:rPr>
          <w:rFonts w:cs="Arial"/>
          <w:szCs w:val="18"/>
          <w:lang w:val="en-GB"/>
        </w:rPr>
        <w:t xml:space="preserve"> ≤ 0.05) </w:t>
      </w:r>
      <w:r w:rsidR="00E701A2" w:rsidRPr="00992443">
        <w:rPr>
          <w:lang w:val="en-GB"/>
        </w:rPr>
        <w:t xml:space="preserve">enhanced </w:t>
      </w:r>
      <w:r w:rsidR="00E701A2">
        <w:rPr>
          <w:lang w:val="en-GB"/>
        </w:rPr>
        <w:t>the</w:t>
      </w:r>
      <w:r w:rsidR="004F0A00" w:rsidRPr="004F0A00">
        <w:rPr>
          <w:lang w:val="en-GB"/>
        </w:rPr>
        <w:t xml:space="preserve"> release </w:t>
      </w:r>
      <w:r w:rsidR="00D22011">
        <w:rPr>
          <w:lang w:val="en-GB"/>
        </w:rPr>
        <w:t>of extracted components into</w:t>
      </w:r>
      <w:r w:rsidR="004F0A00" w:rsidRPr="004F0A00">
        <w:rPr>
          <w:lang w:val="en-GB"/>
        </w:rPr>
        <w:t xml:space="preserve"> </w:t>
      </w:r>
      <w:r w:rsidR="001907AF">
        <w:rPr>
          <w:lang w:val="en-GB"/>
        </w:rPr>
        <w:t xml:space="preserve">ethanol </w:t>
      </w:r>
      <w:r w:rsidR="004F0A00" w:rsidRPr="004F0A00">
        <w:rPr>
          <w:lang w:val="en-GB"/>
        </w:rPr>
        <w:t>by increasing the mass transport</w:t>
      </w:r>
      <w:r w:rsidR="00084676">
        <w:rPr>
          <w:lang w:val="en-GB"/>
        </w:rPr>
        <w:t xml:space="preserve"> </w:t>
      </w:r>
      <w:r w:rsidR="00150D72">
        <w:rPr>
          <w:lang w:val="en-GB"/>
        </w:rPr>
        <w:t xml:space="preserve">both for SCG and STL. Concentrations were increased up to </w:t>
      </w:r>
      <w:r w:rsidR="00084676">
        <w:rPr>
          <w:rFonts w:cs="Arial"/>
          <w:lang w:val="en-GB"/>
        </w:rPr>
        <w:t xml:space="preserve">24.01 </w:t>
      </w:r>
      <w:r w:rsidR="00084676" w:rsidRPr="007A31CF">
        <w:rPr>
          <w:rFonts w:cs="Arial"/>
          <w:lang w:val="en-GB"/>
        </w:rPr>
        <w:t>±</w:t>
      </w:r>
      <w:r w:rsidR="00084676">
        <w:rPr>
          <w:rFonts w:cs="Arial"/>
          <w:lang w:val="en-GB"/>
        </w:rPr>
        <w:t xml:space="preserve">0.01 </w:t>
      </w:r>
      <w:r w:rsidR="00150D72" w:rsidRPr="00947BBE">
        <w:rPr>
          <w:lang w:val="en-GB"/>
        </w:rPr>
        <w:t>mg</w:t>
      </w:r>
      <w:r w:rsidR="00150D72" w:rsidRPr="009D2DDA">
        <w:rPr>
          <w:lang w:val="en-GB"/>
        </w:rPr>
        <w:t>GAE</w:t>
      </w:r>
      <w:r w:rsidR="00150D72" w:rsidRPr="00947BBE">
        <w:rPr>
          <w:lang w:val="en-GB"/>
        </w:rPr>
        <w:t>/g</w:t>
      </w:r>
      <w:r w:rsidR="00150D72">
        <w:rPr>
          <w:vertAlign w:val="subscript"/>
          <w:lang w:val="en-GB"/>
        </w:rPr>
        <w:t>TS-SCG</w:t>
      </w:r>
      <w:r w:rsidR="00150D72">
        <w:rPr>
          <w:rFonts w:cs="Arial"/>
          <w:lang w:val="en-GB"/>
        </w:rPr>
        <w:t xml:space="preserve"> </w:t>
      </w:r>
      <w:r w:rsidR="00084676">
        <w:rPr>
          <w:rFonts w:cs="Arial"/>
          <w:lang w:val="en-GB"/>
        </w:rPr>
        <w:t xml:space="preserve">and 243.67 </w:t>
      </w:r>
      <w:r w:rsidR="00084676" w:rsidRPr="007A31CF">
        <w:rPr>
          <w:rFonts w:cs="Arial"/>
          <w:lang w:val="en-GB"/>
        </w:rPr>
        <w:t>±</w:t>
      </w:r>
      <w:r w:rsidR="00084676">
        <w:rPr>
          <w:rFonts w:cs="Arial"/>
          <w:lang w:val="en-GB"/>
        </w:rPr>
        <w:t>12.36</w:t>
      </w:r>
      <w:r w:rsidR="00150D72">
        <w:rPr>
          <w:rFonts w:cs="Arial"/>
          <w:lang w:val="en-GB"/>
        </w:rPr>
        <w:t xml:space="preserve"> </w:t>
      </w:r>
      <w:r w:rsidR="00150D72" w:rsidRPr="00947BBE">
        <w:rPr>
          <w:lang w:val="en-GB"/>
        </w:rPr>
        <w:t>mg</w:t>
      </w:r>
      <w:r w:rsidR="00150D72" w:rsidRPr="009D2DDA">
        <w:rPr>
          <w:lang w:val="en-GB"/>
        </w:rPr>
        <w:t>GAE</w:t>
      </w:r>
      <w:r w:rsidR="00150D72" w:rsidRPr="00947BBE">
        <w:rPr>
          <w:lang w:val="en-GB"/>
        </w:rPr>
        <w:t>/g</w:t>
      </w:r>
      <w:r w:rsidR="00150D72">
        <w:rPr>
          <w:vertAlign w:val="subscript"/>
          <w:lang w:val="en-GB"/>
        </w:rPr>
        <w:t xml:space="preserve">TS-STL </w:t>
      </w:r>
      <w:r w:rsidR="00150D72" w:rsidRPr="00150D72">
        <w:rPr>
          <w:lang w:val="en-GB"/>
        </w:rPr>
        <w:t xml:space="preserve">and </w:t>
      </w:r>
      <w:r w:rsidR="00150D72" w:rsidRPr="00150D72">
        <w:rPr>
          <w:rFonts w:cs="Arial"/>
          <w:lang w:val="en-GB"/>
        </w:rPr>
        <w:t>up</w:t>
      </w:r>
      <w:r w:rsidR="00150D72">
        <w:rPr>
          <w:rFonts w:cs="Arial"/>
          <w:lang w:val="en-GB"/>
        </w:rPr>
        <w:t xml:space="preserve"> to 102.94 </w:t>
      </w:r>
      <w:r w:rsidR="00150D72" w:rsidRPr="007A31CF">
        <w:rPr>
          <w:rFonts w:cs="Arial"/>
          <w:lang w:val="en-GB"/>
        </w:rPr>
        <w:t>±</w:t>
      </w:r>
      <w:r w:rsidR="00150D72">
        <w:rPr>
          <w:rFonts w:cs="Arial"/>
          <w:lang w:val="en-GB"/>
        </w:rPr>
        <w:t xml:space="preserve">0.75 </w:t>
      </w:r>
      <w:r w:rsidR="00150D72">
        <w:rPr>
          <w:rFonts w:cs="Arial"/>
        </w:rPr>
        <w:t>µ</w:t>
      </w:r>
      <w:r w:rsidR="00150D72">
        <w:t>mol</w:t>
      </w:r>
      <w:r w:rsidR="00150D72" w:rsidRPr="009D2DDA">
        <w:t>T</w:t>
      </w:r>
      <w:r w:rsidR="00150D72" w:rsidRPr="009D2DDA">
        <w:rPr>
          <w:lang w:val="en-GB"/>
        </w:rPr>
        <w:t>E</w:t>
      </w:r>
      <w:r w:rsidR="00150D72" w:rsidRPr="00947BBE">
        <w:rPr>
          <w:lang w:val="en-GB"/>
        </w:rPr>
        <w:t>/g</w:t>
      </w:r>
      <w:r w:rsidR="00150D72">
        <w:rPr>
          <w:vertAlign w:val="subscript"/>
          <w:lang w:val="en-GB"/>
        </w:rPr>
        <w:t>TS-SCG</w:t>
      </w:r>
      <w:r w:rsidR="00150D72">
        <w:rPr>
          <w:rFonts w:cs="Arial"/>
          <w:lang w:val="en-GB"/>
        </w:rPr>
        <w:t xml:space="preserve"> and 1730.36 </w:t>
      </w:r>
      <w:r w:rsidR="00150D72" w:rsidRPr="007A31CF">
        <w:rPr>
          <w:rFonts w:cs="Arial"/>
          <w:lang w:val="en-GB"/>
        </w:rPr>
        <w:t>±</w:t>
      </w:r>
      <w:r w:rsidR="00150D72">
        <w:rPr>
          <w:rFonts w:cs="Arial"/>
          <w:lang w:val="en-GB"/>
        </w:rPr>
        <w:t xml:space="preserve">53.56 </w:t>
      </w:r>
      <w:r w:rsidR="00150D72">
        <w:rPr>
          <w:rFonts w:cs="Arial"/>
        </w:rPr>
        <w:t>µ</w:t>
      </w:r>
      <w:r w:rsidR="00150D72">
        <w:t>mol</w:t>
      </w:r>
      <w:r w:rsidR="00150D72" w:rsidRPr="009D2DDA">
        <w:t>T</w:t>
      </w:r>
      <w:r w:rsidR="00150D72" w:rsidRPr="009D2DDA">
        <w:rPr>
          <w:lang w:val="en-GB"/>
        </w:rPr>
        <w:t>E</w:t>
      </w:r>
      <w:r w:rsidR="00150D72" w:rsidRPr="00947BBE">
        <w:rPr>
          <w:lang w:val="en-GB"/>
        </w:rPr>
        <w:t>/g</w:t>
      </w:r>
      <w:r w:rsidR="00150D72">
        <w:rPr>
          <w:vertAlign w:val="subscript"/>
          <w:lang w:val="en-GB"/>
        </w:rPr>
        <w:t>TS-STL</w:t>
      </w:r>
      <w:r w:rsidR="00E701A2">
        <w:rPr>
          <w:lang w:val="en-GB"/>
        </w:rPr>
        <w:t>.</w:t>
      </w:r>
      <w:r w:rsidR="00D22011">
        <w:rPr>
          <w:lang w:val="en-GB"/>
        </w:rPr>
        <w:t xml:space="preserve"> Under the same sonication conditions but using water as a solvent, the increase of output data was not significant. Furthermore, t</w:t>
      </w:r>
      <w:r w:rsidR="00E701A2">
        <w:rPr>
          <w:lang w:val="en-GB"/>
        </w:rPr>
        <w:t xml:space="preserve">he lower antioxidant activity detected in </w:t>
      </w:r>
      <w:r w:rsidR="001907AF">
        <w:rPr>
          <w:lang w:val="en-GB"/>
        </w:rPr>
        <w:t>water-extracts</w:t>
      </w:r>
      <w:r w:rsidR="00E701A2">
        <w:rPr>
          <w:lang w:val="en-GB"/>
        </w:rPr>
        <w:t xml:space="preserve"> </w:t>
      </w:r>
      <w:r w:rsidR="00E701A2" w:rsidRPr="00947BBE">
        <w:rPr>
          <w:lang w:val="en-GB"/>
        </w:rPr>
        <w:t>C-w-152</w:t>
      </w:r>
      <w:r w:rsidR="00AB206B">
        <w:rPr>
          <w:lang w:val="en-GB"/>
        </w:rPr>
        <w:t xml:space="preserve"> and T</w:t>
      </w:r>
      <w:r w:rsidR="00AB206B" w:rsidRPr="00947BBE">
        <w:rPr>
          <w:lang w:val="en-GB"/>
        </w:rPr>
        <w:t>-w-152</w:t>
      </w:r>
      <w:r w:rsidR="001907AF">
        <w:rPr>
          <w:lang w:val="en-GB"/>
        </w:rPr>
        <w:t xml:space="preserve"> than in those treated at 80 </w:t>
      </w:r>
      <w:r w:rsidR="001907AF" w:rsidRPr="00481C50">
        <w:rPr>
          <w:lang w:val="en-GB"/>
        </w:rPr>
        <w:t>μm</w:t>
      </w:r>
      <w:r w:rsidR="001907AF">
        <w:rPr>
          <w:lang w:val="en-GB"/>
        </w:rPr>
        <w:t xml:space="preserve"> (C-w-80</w:t>
      </w:r>
      <w:r w:rsidR="00AB206B">
        <w:rPr>
          <w:lang w:val="en-GB"/>
        </w:rPr>
        <w:t xml:space="preserve"> and T-w-80</w:t>
      </w:r>
      <w:r w:rsidR="001907AF">
        <w:rPr>
          <w:lang w:val="en-GB"/>
        </w:rPr>
        <w:t>)</w:t>
      </w:r>
      <w:r w:rsidR="00E701A2">
        <w:rPr>
          <w:lang w:val="en-GB"/>
        </w:rPr>
        <w:t xml:space="preserve"> can be ascribed to </w:t>
      </w:r>
      <w:r w:rsidR="00FF047E">
        <w:rPr>
          <w:lang w:val="en-GB"/>
        </w:rPr>
        <w:t>the possible degradation of some sensitive compounds as a consequence of high-intensity US treatment</w:t>
      </w:r>
      <w:r w:rsidR="00FF6DD8">
        <w:rPr>
          <w:lang w:val="en-GB"/>
        </w:rPr>
        <w:t xml:space="preserve"> (Kobus et al., 2022)</w:t>
      </w:r>
      <w:r w:rsidR="007107FD">
        <w:rPr>
          <w:lang w:val="en-GB"/>
        </w:rPr>
        <w:t xml:space="preserve"> </w:t>
      </w:r>
      <w:r w:rsidR="00413667">
        <w:rPr>
          <w:lang w:val="en-GB"/>
        </w:rPr>
        <w:t>combined with</w:t>
      </w:r>
      <w:r w:rsidR="007107FD">
        <w:rPr>
          <w:lang w:val="en-GB"/>
        </w:rPr>
        <w:t xml:space="preserve"> high temperature (water was at 100 °C)</w:t>
      </w:r>
      <w:r w:rsidR="00FF047E">
        <w:rPr>
          <w:lang w:val="en-GB"/>
        </w:rPr>
        <w:t>.</w:t>
      </w:r>
      <w:r w:rsidR="00332FE5">
        <w:rPr>
          <w:lang w:val="en-GB"/>
        </w:rPr>
        <w:t xml:space="preserve"> The same trend was found </w:t>
      </w:r>
      <w:r w:rsidR="00D22011">
        <w:rPr>
          <w:lang w:val="en-GB"/>
        </w:rPr>
        <w:t>when measuring the</w:t>
      </w:r>
      <w:r w:rsidR="00332FE5">
        <w:rPr>
          <w:lang w:val="en-GB"/>
        </w:rPr>
        <w:t xml:space="preserve"> TPC which </w:t>
      </w:r>
      <w:r w:rsidR="00D22011">
        <w:rPr>
          <w:lang w:val="en-GB"/>
        </w:rPr>
        <w:t>was</w:t>
      </w:r>
      <w:r w:rsidR="00332FE5">
        <w:rPr>
          <w:lang w:val="en-GB"/>
        </w:rPr>
        <w:t xml:space="preserve"> lower in </w:t>
      </w:r>
      <w:r w:rsidR="00332FE5" w:rsidRPr="00947BBE">
        <w:rPr>
          <w:lang w:val="en-GB"/>
        </w:rPr>
        <w:t>T-w-152</w:t>
      </w:r>
      <w:r w:rsidR="00332FE5">
        <w:rPr>
          <w:lang w:val="en-GB"/>
        </w:rPr>
        <w:t xml:space="preserve"> samples with respect to T-w-80 ones.</w:t>
      </w:r>
      <w:r w:rsidR="00084676">
        <w:rPr>
          <w:lang w:val="en-GB"/>
        </w:rPr>
        <w:t xml:space="preserve"> </w:t>
      </w:r>
      <w:r w:rsidR="00084676" w:rsidRPr="00084676">
        <w:rPr>
          <w:rFonts w:cs="Arial"/>
          <w:szCs w:val="18"/>
          <w:lang w:val="en-GB"/>
        </w:rPr>
        <w:t xml:space="preserve">Results clearly show that temperature </w:t>
      </w:r>
      <w:r w:rsidR="003E589D">
        <w:rPr>
          <w:rFonts w:cs="Arial"/>
          <w:szCs w:val="18"/>
          <w:lang w:val="en-GB"/>
        </w:rPr>
        <w:t xml:space="preserve">also </w:t>
      </w:r>
      <w:r w:rsidR="00084676" w:rsidRPr="00084676">
        <w:rPr>
          <w:rFonts w:cs="Arial"/>
          <w:szCs w:val="18"/>
          <w:lang w:val="en-GB"/>
        </w:rPr>
        <w:t>played a crucial role in performing t</w:t>
      </w:r>
      <w:r w:rsidR="00D22011">
        <w:rPr>
          <w:rFonts w:cs="Arial"/>
          <w:szCs w:val="18"/>
          <w:lang w:val="en-GB"/>
        </w:rPr>
        <w:t>he extractions since, when US w</w:t>
      </w:r>
      <w:r w:rsidR="00084676" w:rsidRPr="00084676">
        <w:rPr>
          <w:rFonts w:cs="Arial"/>
          <w:szCs w:val="18"/>
          <w:lang w:val="en-GB"/>
        </w:rPr>
        <w:t xml:space="preserve">ere not applied, boiling water had a significantly better impact in enriching the extracts (TPC and antioxidant activity of C-w and T-w with respect to C-e and T-e), </w:t>
      </w:r>
      <w:r w:rsidR="00084676" w:rsidRPr="00084676">
        <w:rPr>
          <w:rFonts w:eastAsiaTheme="minorHAnsi" w:cs="Arial"/>
          <w:szCs w:val="18"/>
        </w:rPr>
        <w:t xml:space="preserve">in agreement with Menzio et al. (2020). Differently, </w:t>
      </w:r>
      <w:r w:rsidR="00084676" w:rsidRPr="00084676">
        <w:rPr>
          <w:rFonts w:cs="Arial"/>
          <w:szCs w:val="18"/>
        </w:rPr>
        <w:t xml:space="preserve">Nadiah and Uthumporn (2015) concluded that </w:t>
      </w:r>
      <w:r w:rsidR="00084676" w:rsidRPr="00084676">
        <w:rPr>
          <w:rFonts w:eastAsiaTheme="minorHAnsi" w:cs="Arial"/>
          <w:szCs w:val="18"/>
        </w:rPr>
        <w:t>ethanol (50 % v/v) had a higher efficiency compared to boiling water in extracting phenolics from several tea extracts. However, the</w:t>
      </w:r>
      <w:r w:rsidR="006C376C">
        <w:rPr>
          <w:rFonts w:eastAsiaTheme="minorHAnsi" w:cs="Arial"/>
          <w:szCs w:val="18"/>
        </w:rPr>
        <w:t>y</w:t>
      </w:r>
      <w:r w:rsidR="00084676" w:rsidRPr="00084676">
        <w:rPr>
          <w:rFonts w:eastAsiaTheme="minorHAnsi" w:cs="Arial"/>
          <w:szCs w:val="18"/>
        </w:rPr>
        <w:t xml:space="preserve"> reported maximum increase </w:t>
      </w:r>
      <w:r w:rsidR="006C376C">
        <w:rPr>
          <w:rFonts w:eastAsiaTheme="minorHAnsi" w:cs="Arial"/>
          <w:szCs w:val="18"/>
        </w:rPr>
        <w:t>limited to</w:t>
      </w:r>
      <w:r w:rsidR="00084676" w:rsidRPr="00084676">
        <w:rPr>
          <w:rFonts w:eastAsiaTheme="minorHAnsi" w:cs="Arial"/>
          <w:szCs w:val="18"/>
        </w:rPr>
        <w:t xml:space="preserve"> +4 % </w:t>
      </w:r>
      <w:r w:rsidR="00895EB1">
        <w:rPr>
          <w:rFonts w:eastAsiaTheme="minorHAnsi" w:cs="Arial"/>
          <w:szCs w:val="18"/>
        </w:rPr>
        <w:t xml:space="preserve">only </w:t>
      </w:r>
      <w:r w:rsidR="00084676" w:rsidRPr="00084676">
        <w:rPr>
          <w:rFonts w:eastAsiaTheme="minorHAnsi" w:cs="Arial"/>
          <w:szCs w:val="18"/>
        </w:rPr>
        <w:t>(</w:t>
      </w:r>
      <w:r w:rsidR="00084676" w:rsidRPr="00084676">
        <w:rPr>
          <w:rFonts w:cs="Arial"/>
          <w:szCs w:val="18"/>
        </w:rPr>
        <w:t>Nadiah and Uthumporn, 2015)</w:t>
      </w:r>
      <w:r w:rsidR="00084676" w:rsidRPr="00084676">
        <w:rPr>
          <w:rFonts w:eastAsiaTheme="minorHAnsi" w:cs="Arial"/>
          <w:szCs w:val="18"/>
        </w:rPr>
        <w:t>.</w:t>
      </w:r>
      <w:r w:rsidR="00895EB1">
        <w:rPr>
          <w:rFonts w:cs="Arial"/>
          <w:szCs w:val="18"/>
          <w:lang w:val="en-GB"/>
        </w:rPr>
        <w:t xml:space="preserve"> </w:t>
      </w:r>
      <w:r w:rsidR="007107FD" w:rsidRPr="007107FD">
        <w:rPr>
          <w:rFonts w:cs="Arial"/>
          <w:szCs w:val="18"/>
          <w:lang w:val="en-GB"/>
        </w:rPr>
        <w:t>Last thing to point out is that TPC and</w:t>
      </w:r>
      <w:r w:rsidR="007107FD">
        <w:rPr>
          <w:rFonts w:cs="Arial"/>
          <w:szCs w:val="18"/>
          <w:lang w:val="en-GB"/>
        </w:rPr>
        <w:t xml:space="preserve"> antioxidant activity of the samples were </w:t>
      </w:r>
      <w:r w:rsidR="00B135E3">
        <w:rPr>
          <w:rFonts w:cs="Arial"/>
          <w:szCs w:val="18"/>
          <w:lang w:val="en-GB"/>
        </w:rPr>
        <w:t>in some cases not</w:t>
      </w:r>
      <w:r w:rsidR="007107FD">
        <w:rPr>
          <w:rFonts w:cs="Arial"/>
          <w:szCs w:val="18"/>
          <w:lang w:val="en-GB"/>
        </w:rPr>
        <w:t xml:space="preserve"> directly related. This </w:t>
      </w:r>
      <w:r w:rsidR="00B135E3">
        <w:rPr>
          <w:rFonts w:cs="Arial"/>
          <w:szCs w:val="18"/>
          <w:lang w:val="en-GB"/>
        </w:rPr>
        <w:t>may be due to the presence in the</w:t>
      </w:r>
      <w:r w:rsidR="007107FD" w:rsidRPr="007107FD">
        <w:rPr>
          <w:rFonts w:cs="Arial"/>
          <w:szCs w:val="18"/>
          <w:lang w:val="en-GB"/>
        </w:rPr>
        <w:t xml:space="preserve"> extracts</w:t>
      </w:r>
      <w:r w:rsidR="00B135E3">
        <w:rPr>
          <w:rFonts w:cs="Arial"/>
          <w:szCs w:val="18"/>
          <w:lang w:val="en-GB"/>
        </w:rPr>
        <w:t xml:space="preserve"> of </w:t>
      </w:r>
      <w:r w:rsidR="007107FD" w:rsidRPr="007107FD">
        <w:rPr>
          <w:rFonts w:cs="Arial"/>
          <w:szCs w:val="18"/>
          <w:lang w:val="en-GB"/>
        </w:rPr>
        <w:t>different compounds with antioxidant capacity apart from polyphenols, as well as polyphenols or other compounds with a scant or null antioxidant activity</w:t>
      </w:r>
      <w:r w:rsidR="007107FD">
        <w:rPr>
          <w:rFonts w:cs="Arial"/>
          <w:szCs w:val="18"/>
          <w:lang w:val="en-GB"/>
        </w:rPr>
        <w:t xml:space="preserve"> (</w:t>
      </w:r>
      <w:r w:rsidR="007107FD" w:rsidRPr="007107FD">
        <w:t>Jiménez-Moreno</w:t>
      </w:r>
      <w:r w:rsidR="007107FD">
        <w:t xml:space="preserve"> et al., 2019</w:t>
      </w:r>
      <w:r w:rsidR="007107FD">
        <w:rPr>
          <w:rFonts w:cs="Arial"/>
          <w:szCs w:val="18"/>
          <w:lang w:val="en-GB"/>
        </w:rPr>
        <w:t>)</w:t>
      </w:r>
      <w:r w:rsidR="007107FD" w:rsidRPr="007107FD">
        <w:rPr>
          <w:rFonts w:cs="Arial"/>
          <w:szCs w:val="18"/>
          <w:lang w:val="en-GB"/>
        </w:rPr>
        <w:t>.</w:t>
      </w:r>
    </w:p>
    <w:p w14:paraId="75062DCE" w14:textId="44512361" w:rsidR="005252C6" w:rsidRDefault="00C76D11" w:rsidP="005252C6">
      <w:pPr>
        <w:pStyle w:val="CETBodytext"/>
        <w:rPr>
          <w:rFonts w:cs="Arial"/>
          <w:szCs w:val="18"/>
          <w:lang w:val="en-GB"/>
        </w:rPr>
      </w:pPr>
      <w:r w:rsidRPr="00992443">
        <w:rPr>
          <w:rFonts w:cs="Arial"/>
          <w:szCs w:val="18"/>
          <w:lang w:val="en-GB"/>
        </w:rPr>
        <w:t xml:space="preserve">The </w:t>
      </w:r>
      <w:r w:rsidR="00D22011" w:rsidRPr="00D22011">
        <w:rPr>
          <w:rFonts w:cs="Arial"/>
          <w:i/>
          <w:szCs w:val="18"/>
          <w:lang w:val="en-GB"/>
        </w:rPr>
        <w:t>ad hoc</w:t>
      </w:r>
      <w:r w:rsidR="00FE719F" w:rsidRPr="00992443">
        <w:rPr>
          <w:rFonts w:cs="Arial"/>
          <w:szCs w:val="18"/>
          <w:lang w:val="en-GB"/>
        </w:rPr>
        <w:t xml:space="preserve"> </w:t>
      </w:r>
      <w:r w:rsidR="00D22011" w:rsidRPr="00992443">
        <w:rPr>
          <w:rFonts w:cs="Arial"/>
          <w:szCs w:val="18"/>
          <w:lang w:val="en-GB"/>
        </w:rPr>
        <w:t xml:space="preserve">HPLC </w:t>
      </w:r>
      <w:r w:rsidRPr="00992443">
        <w:rPr>
          <w:rFonts w:cs="Arial"/>
          <w:szCs w:val="18"/>
          <w:lang w:val="en-GB"/>
        </w:rPr>
        <w:t>gradient</w:t>
      </w:r>
      <w:r w:rsidR="00FE719F" w:rsidRPr="00992443">
        <w:rPr>
          <w:rFonts w:cs="Arial"/>
          <w:szCs w:val="18"/>
          <w:lang w:val="en-GB"/>
        </w:rPr>
        <w:t>s</w:t>
      </w:r>
      <w:r w:rsidR="00895EB1">
        <w:rPr>
          <w:rFonts w:cs="Arial"/>
          <w:szCs w:val="18"/>
          <w:lang w:val="en-GB"/>
        </w:rPr>
        <w:t xml:space="preserve"> a</w:t>
      </w:r>
      <w:r w:rsidR="00B135E3">
        <w:rPr>
          <w:rFonts w:cs="Arial"/>
          <w:szCs w:val="18"/>
          <w:lang w:val="en-GB"/>
        </w:rPr>
        <w:t xml:space="preserve">llowed </w:t>
      </w:r>
      <w:r w:rsidRPr="00D22011">
        <w:rPr>
          <w:rFonts w:cs="Arial"/>
          <w:szCs w:val="18"/>
          <w:lang w:val="en-GB"/>
        </w:rPr>
        <w:t>the separation of chlorogenic acid and caffeine in SCG samples and of gallic acid,</w:t>
      </w:r>
      <w:r w:rsidRPr="00D22011">
        <w:rPr>
          <w:rFonts w:cs="Arial"/>
          <w:color w:val="FF0000"/>
          <w:szCs w:val="18"/>
          <w:lang w:val="en-GB"/>
        </w:rPr>
        <w:t xml:space="preserve"> </w:t>
      </w:r>
      <w:r w:rsidR="00D22011" w:rsidRPr="00D22011">
        <w:rPr>
          <w:rFonts w:cs="Arial"/>
          <w:szCs w:val="18"/>
          <w:lang w:val="en-GB"/>
        </w:rPr>
        <w:t xml:space="preserve">EGCG and </w:t>
      </w:r>
      <w:r w:rsidRPr="00D22011">
        <w:rPr>
          <w:rFonts w:cs="Arial"/>
          <w:szCs w:val="18"/>
          <w:lang w:val="en-GB"/>
        </w:rPr>
        <w:t>caffeine</w:t>
      </w:r>
      <w:r w:rsidRPr="00D22011">
        <w:rPr>
          <w:rFonts w:cs="Arial"/>
          <w:color w:val="FF0000"/>
          <w:szCs w:val="18"/>
          <w:lang w:val="en-GB"/>
        </w:rPr>
        <w:t xml:space="preserve"> </w:t>
      </w:r>
      <w:r w:rsidRPr="00D22011">
        <w:rPr>
          <w:rFonts w:cs="Arial"/>
          <w:szCs w:val="18"/>
          <w:lang w:val="en-GB"/>
        </w:rPr>
        <w:t>in SLT ones.</w:t>
      </w:r>
      <w:r w:rsidR="005252C6">
        <w:rPr>
          <w:rFonts w:cs="Arial"/>
          <w:szCs w:val="18"/>
          <w:lang w:val="en-GB"/>
        </w:rPr>
        <w:t xml:space="preserve"> </w:t>
      </w:r>
      <w:r w:rsidRPr="000B2A43">
        <w:rPr>
          <w:rFonts w:cs="Arial"/>
          <w:szCs w:val="18"/>
          <w:lang w:val="en-GB"/>
        </w:rPr>
        <w:t xml:space="preserve">The highest </w:t>
      </w:r>
      <w:r w:rsidR="005252C6" w:rsidRPr="000B2A43">
        <w:rPr>
          <w:rFonts w:cs="Arial"/>
          <w:szCs w:val="18"/>
          <w:lang w:val="en-GB"/>
        </w:rPr>
        <w:t>caffeine</w:t>
      </w:r>
      <w:r w:rsidR="005252C6">
        <w:rPr>
          <w:rFonts w:cs="Arial"/>
          <w:szCs w:val="18"/>
          <w:lang w:val="en-GB"/>
        </w:rPr>
        <w:t xml:space="preserve"> (</w:t>
      </w:r>
      <w:r w:rsidR="005252C6">
        <w:rPr>
          <w:rFonts w:cs="Arial"/>
          <w:lang w:val="en-GB"/>
        </w:rPr>
        <w:t xml:space="preserve">2.19 </w:t>
      </w:r>
      <w:r w:rsidR="005252C6" w:rsidRPr="007A31CF">
        <w:rPr>
          <w:rFonts w:cs="Arial"/>
          <w:lang w:val="en-GB"/>
        </w:rPr>
        <w:t>±</w:t>
      </w:r>
      <w:r w:rsidR="005252C6">
        <w:rPr>
          <w:rFonts w:cs="Arial"/>
          <w:lang w:val="en-GB"/>
        </w:rPr>
        <w:t xml:space="preserve">0.02 </w:t>
      </w:r>
      <w:r w:rsidR="005252C6" w:rsidRPr="00F273F8">
        <w:rPr>
          <w:lang w:val="en-GB"/>
        </w:rPr>
        <w:t>mg/g</w:t>
      </w:r>
      <w:r w:rsidR="005252C6" w:rsidRPr="00F273F8">
        <w:rPr>
          <w:vertAlign w:val="subscript"/>
          <w:lang w:val="en-GB"/>
        </w:rPr>
        <w:t>TS</w:t>
      </w:r>
      <w:r w:rsidR="005252C6">
        <w:rPr>
          <w:rFonts w:cs="Arial"/>
          <w:szCs w:val="18"/>
          <w:lang w:val="en-GB"/>
        </w:rPr>
        <w:t>)</w:t>
      </w:r>
      <w:r w:rsidR="005252C6" w:rsidRPr="000B2A43">
        <w:rPr>
          <w:rFonts w:cs="Arial"/>
          <w:szCs w:val="18"/>
          <w:lang w:val="en-GB"/>
        </w:rPr>
        <w:t xml:space="preserve"> </w:t>
      </w:r>
      <w:r w:rsidR="005252C6">
        <w:rPr>
          <w:rFonts w:cs="Arial"/>
          <w:szCs w:val="18"/>
          <w:lang w:val="en-GB"/>
        </w:rPr>
        <w:t xml:space="preserve">and </w:t>
      </w:r>
      <w:r w:rsidRPr="000B2A43">
        <w:rPr>
          <w:rFonts w:cs="Arial"/>
          <w:szCs w:val="18"/>
          <w:lang w:val="en-GB"/>
        </w:rPr>
        <w:t xml:space="preserve">chlorogenic acid </w:t>
      </w:r>
      <w:r w:rsidR="003108A6">
        <w:rPr>
          <w:rFonts w:cs="Arial"/>
          <w:szCs w:val="18"/>
          <w:lang w:val="en-GB"/>
        </w:rPr>
        <w:lastRenderedPageBreak/>
        <w:t>(</w:t>
      </w:r>
      <w:r w:rsidR="003108A6">
        <w:rPr>
          <w:rFonts w:cs="Arial"/>
          <w:lang w:val="en-GB"/>
        </w:rPr>
        <w:t xml:space="preserve">0.80 </w:t>
      </w:r>
      <w:r w:rsidR="003108A6" w:rsidRPr="007A31CF">
        <w:rPr>
          <w:rFonts w:cs="Arial"/>
          <w:lang w:val="en-GB"/>
        </w:rPr>
        <w:t>±</w:t>
      </w:r>
      <w:r w:rsidR="003108A6">
        <w:rPr>
          <w:rFonts w:cs="Arial"/>
          <w:lang w:val="en-GB"/>
        </w:rPr>
        <w:t>0.00</w:t>
      </w:r>
      <w:r w:rsidR="005252C6" w:rsidRPr="005252C6">
        <w:rPr>
          <w:lang w:val="en-GB"/>
        </w:rPr>
        <w:t xml:space="preserve"> </w:t>
      </w:r>
      <w:r w:rsidR="005252C6" w:rsidRPr="00F273F8">
        <w:rPr>
          <w:lang w:val="en-GB"/>
        </w:rPr>
        <w:t>mg/g</w:t>
      </w:r>
      <w:r w:rsidR="005252C6" w:rsidRPr="00F273F8">
        <w:rPr>
          <w:vertAlign w:val="subscript"/>
          <w:lang w:val="en-GB"/>
        </w:rPr>
        <w:t>TS</w:t>
      </w:r>
      <w:r w:rsidR="003108A6">
        <w:rPr>
          <w:rFonts w:cs="Arial"/>
          <w:szCs w:val="18"/>
          <w:lang w:val="en-GB"/>
        </w:rPr>
        <w:t xml:space="preserve">) </w:t>
      </w:r>
      <w:r w:rsidRPr="000B2A43">
        <w:rPr>
          <w:rFonts w:cs="Arial"/>
          <w:szCs w:val="18"/>
          <w:lang w:val="en-GB"/>
        </w:rPr>
        <w:t>content</w:t>
      </w:r>
      <w:r w:rsidR="003108A6">
        <w:rPr>
          <w:rFonts w:cs="Arial"/>
          <w:szCs w:val="18"/>
          <w:lang w:val="en-GB"/>
        </w:rPr>
        <w:t>s</w:t>
      </w:r>
      <w:r w:rsidRPr="000B2A43">
        <w:rPr>
          <w:rFonts w:cs="Arial"/>
          <w:szCs w:val="18"/>
          <w:lang w:val="en-GB"/>
        </w:rPr>
        <w:t xml:space="preserve"> were found in </w:t>
      </w:r>
      <w:r w:rsidR="003108A6">
        <w:rPr>
          <w:rFonts w:cs="Arial"/>
          <w:szCs w:val="18"/>
          <w:lang w:val="en-GB"/>
        </w:rPr>
        <w:t xml:space="preserve">the extract </w:t>
      </w:r>
      <w:r w:rsidR="003108A6" w:rsidRPr="00947BBE">
        <w:rPr>
          <w:lang w:val="en-GB"/>
        </w:rPr>
        <w:t>C-e-152-10</w:t>
      </w:r>
      <w:r w:rsidR="00B135E3">
        <w:rPr>
          <w:lang w:val="en-GB"/>
        </w:rPr>
        <w:t>,</w:t>
      </w:r>
      <w:r w:rsidR="005252C6">
        <w:rPr>
          <w:lang w:val="en-GB"/>
        </w:rPr>
        <w:t xml:space="preserve"> confirming the US </w:t>
      </w:r>
      <w:r w:rsidR="001D42E3">
        <w:rPr>
          <w:lang w:val="en-GB"/>
        </w:rPr>
        <w:t xml:space="preserve">best </w:t>
      </w:r>
      <w:r w:rsidR="005252C6">
        <w:rPr>
          <w:lang w:val="en-GB"/>
        </w:rPr>
        <w:t xml:space="preserve">efficiency at 152 </w:t>
      </w:r>
      <w:r w:rsidR="005252C6" w:rsidRPr="00481C50">
        <w:rPr>
          <w:lang w:val="en-GB"/>
        </w:rPr>
        <w:t>μm</w:t>
      </w:r>
      <w:r w:rsidR="005252C6">
        <w:rPr>
          <w:lang w:val="en-GB"/>
        </w:rPr>
        <w:t xml:space="preserve"> </w:t>
      </w:r>
      <w:r w:rsidR="00CA4195">
        <w:rPr>
          <w:lang w:val="en-GB"/>
        </w:rPr>
        <w:t>amplitude for</w:t>
      </w:r>
      <w:r w:rsidR="005252C6">
        <w:rPr>
          <w:lang w:val="en-GB"/>
        </w:rPr>
        <w:t xml:space="preserve"> 10 min</w:t>
      </w:r>
      <w:r w:rsidR="005252C6">
        <w:rPr>
          <w:rFonts w:cs="Arial"/>
          <w:szCs w:val="18"/>
          <w:lang w:val="en-GB"/>
        </w:rPr>
        <w:t>.</w:t>
      </w:r>
      <w:r w:rsidR="005627F7">
        <w:rPr>
          <w:rFonts w:cs="Arial"/>
          <w:szCs w:val="18"/>
          <w:lang w:val="en-GB"/>
        </w:rPr>
        <w:t xml:space="preserve"> Such </w:t>
      </w:r>
      <w:r w:rsidR="00F535B0">
        <w:rPr>
          <w:rFonts w:cs="Arial"/>
          <w:szCs w:val="18"/>
          <w:lang w:val="en-GB"/>
        </w:rPr>
        <w:t xml:space="preserve">US </w:t>
      </w:r>
      <w:r w:rsidR="005627F7">
        <w:rPr>
          <w:rFonts w:cs="Arial"/>
          <w:szCs w:val="18"/>
          <w:lang w:val="en-GB"/>
        </w:rPr>
        <w:t xml:space="preserve">condition enabled </w:t>
      </w:r>
      <w:r w:rsidR="00F535B0">
        <w:rPr>
          <w:rFonts w:cs="Arial"/>
          <w:szCs w:val="18"/>
          <w:lang w:val="en-GB"/>
        </w:rPr>
        <w:t xml:space="preserve">to double the extraction of caffeine (12.74 </w:t>
      </w:r>
      <w:r w:rsidR="00F535B0" w:rsidRPr="007A31CF">
        <w:rPr>
          <w:rFonts w:cs="Arial"/>
          <w:lang w:val="en-GB"/>
        </w:rPr>
        <w:t>±</w:t>
      </w:r>
      <w:r w:rsidR="00F535B0">
        <w:rPr>
          <w:rFonts w:cs="Arial"/>
          <w:szCs w:val="18"/>
          <w:lang w:val="en-GB"/>
        </w:rPr>
        <w:t xml:space="preserve">0.36 </w:t>
      </w:r>
      <w:r w:rsidR="00F535B0" w:rsidRPr="00F273F8">
        <w:rPr>
          <w:lang w:val="en-GB"/>
        </w:rPr>
        <w:t>mg/g</w:t>
      </w:r>
      <w:r w:rsidR="00F535B0" w:rsidRPr="00F273F8">
        <w:rPr>
          <w:vertAlign w:val="subscript"/>
          <w:lang w:val="en-GB"/>
        </w:rPr>
        <w:t>TS</w:t>
      </w:r>
      <w:r w:rsidR="00F535B0">
        <w:rPr>
          <w:rFonts w:cs="Arial"/>
          <w:szCs w:val="18"/>
          <w:lang w:val="en-GB"/>
        </w:rPr>
        <w:t xml:space="preserve">) from STL extracts with respect to those produced using water and to triplicate their EGCG content (193.66 </w:t>
      </w:r>
      <w:r w:rsidR="00F535B0" w:rsidRPr="007A31CF">
        <w:rPr>
          <w:rFonts w:cs="Arial"/>
          <w:lang w:val="en-GB"/>
        </w:rPr>
        <w:t>±</w:t>
      </w:r>
      <w:r w:rsidR="00F535B0">
        <w:rPr>
          <w:rFonts w:cs="Arial"/>
          <w:szCs w:val="18"/>
          <w:lang w:val="en-GB"/>
        </w:rPr>
        <w:t xml:space="preserve">0.48 </w:t>
      </w:r>
      <w:r w:rsidR="00F535B0" w:rsidRPr="00F273F8">
        <w:rPr>
          <w:lang w:val="en-GB"/>
        </w:rPr>
        <w:t>mg/g</w:t>
      </w:r>
      <w:r w:rsidR="00F535B0" w:rsidRPr="00F273F8">
        <w:rPr>
          <w:vertAlign w:val="subscript"/>
          <w:lang w:val="en-GB"/>
        </w:rPr>
        <w:t>TS</w:t>
      </w:r>
      <w:r w:rsidR="00F535B0">
        <w:rPr>
          <w:rFonts w:cs="Arial"/>
          <w:szCs w:val="18"/>
          <w:lang w:val="en-GB"/>
        </w:rPr>
        <w:t>).</w:t>
      </w:r>
      <w:r w:rsidR="000261D5">
        <w:rPr>
          <w:rFonts w:cs="Arial"/>
          <w:szCs w:val="18"/>
          <w:lang w:val="en-GB"/>
        </w:rPr>
        <w:t xml:space="preserve"> </w:t>
      </w:r>
      <w:r w:rsidR="00F535B0">
        <w:rPr>
          <w:rFonts w:cs="Arial"/>
          <w:szCs w:val="18"/>
          <w:lang w:val="en-GB"/>
        </w:rPr>
        <w:t>Gallic acid</w:t>
      </w:r>
      <w:r w:rsidR="00895EB1">
        <w:rPr>
          <w:rFonts w:cs="Arial"/>
          <w:szCs w:val="18"/>
          <w:lang w:val="en-GB"/>
        </w:rPr>
        <w:t>, instead,</w:t>
      </w:r>
      <w:r w:rsidR="00F535B0">
        <w:rPr>
          <w:rFonts w:cs="Arial"/>
          <w:szCs w:val="18"/>
          <w:lang w:val="en-GB"/>
        </w:rPr>
        <w:t xml:space="preserve"> appeared to be more concentrated in water-extracts</w:t>
      </w:r>
      <w:r w:rsidR="00AB4F4E">
        <w:rPr>
          <w:rFonts w:cs="Arial"/>
          <w:szCs w:val="18"/>
          <w:lang w:val="en-GB"/>
        </w:rPr>
        <w:t xml:space="preserve">. However, </w:t>
      </w:r>
      <w:r w:rsidR="00F535B0">
        <w:rPr>
          <w:rFonts w:cs="Arial"/>
          <w:szCs w:val="18"/>
          <w:lang w:val="en-GB"/>
        </w:rPr>
        <w:t xml:space="preserve">its concentration within </w:t>
      </w:r>
      <w:r w:rsidR="00AB4F4E">
        <w:rPr>
          <w:lang w:val="en-GB"/>
        </w:rPr>
        <w:t>T-w</w:t>
      </w:r>
      <w:r w:rsidR="00AB4F4E" w:rsidRPr="00947BBE">
        <w:rPr>
          <w:lang w:val="en-GB"/>
        </w:rPr>
        <w:t>-152-10</w:t>
      </w:r>
      <w:r w:rsidR="00F535B0">
        <w:rPr>
          <w:rFonts w:cs="Arial"/>
          <w:szCs w:val="18"/>
          <w:lang w:val="en-GB"/>
        </w:rPr>
        <w:t xml:space="preserve"> (1.56 </w:t>
      </w:r>
      <w:r w:rsidR="00F535B0" w:rsidRPr="007A31CF">
        <w:rPr>
          <w:rFonts w:cs="Arial"/>
          <w:lang w:val="en-GB"/>
        </w:rPr>
        <w:t>±</w:t>
      </w:r>
      <w:r w:rsidR="00F535B0">
        <w:rPr>
          <w:rFonts w:cs="Arial"/>
          <w:szCs w:val="18"/>
          <w:lang w:val="en-GB"/>
        </w:rPr>
        <w:t>0.02</w:t>
      </w:r>
      <w:r w:rsidR="00F535B0" w:rsidRPr="00F535B0">
        <w:rPr>
          <w:lang w:val="en-GB"/>
        </w:rPr>
        <w:t xml:space="preserve"> </w:t>
      </w:r>
      <w:r w:rsidR="00F535B0" w:rsidRPr="00F273F8">
        <w:rPr>
          <w:lang w:val="en-GB"/>
        </w:rPr>
        <w:t>mg/g</w:t>
      </w:r>
      <w:r w:rsidR="00F535B0" w:rsidRPr="00F273F8">
        <w:rPr>
          <w:vertAlign w:val="subscript"/>
          <w:lang w:val="en-GB"/>
        </w:rPr>
        <w:t>TS</w:t>
      </w:r>
      <w:r w:rsidR="00F535B0">
        <w:rPr>
          <w:rFonts w:cs="Arial"/>
          <w:szCs w:val="18"/>
          <w:lang w:val="en-GB"/>
        </w:rPr>
        <w:t xml:space="preserve">) was only 8% higher than that in </w:t>
      </w:r>
      <w:r w:rsidR="00AB4F4E">
        <w:rPr>
          <w:lang w:val="en-GB"/>
        </w:rPr>
        <w:t>T-e</w:t>
      </w:r>
      <w:r w:rsidR="00AB4F4E" w:rsidRPr="00947BBE">
        <w:rPr>
          <w:lang w:val="en-GB"/>
        </w:rPr>
        <w:t>-152-10</w:t>
      </w:r>
      <w:r w:rsidR="00AB4F4E">
        <w:rPr>
          <w:rFonts w:cs="Arial"/>
          <w:szCs w:val="18"/>
          <w:lang w:val="en-GB"/>
        </w:rPr>
        <w:t xml:space="preserve"> </w:t>
      </w:r>
      <w:r w:rsidR="00F535B0">
        <w:rPr>
          <w:rFonts w:cs="Arial"/>
          <w:szCs w:val="18"/>
          <w:lang w:val="en-GB"/>
        </w:rPr>
        <w:t xml:space="preserve">(1.44 </w:t>
      </w:r>
      <w:r w:rsidR="00F535B0" w:rsidRPr="007A31CF">
        <w:rPr>
          <w:rFonts w:cs="Arial"/>
          <w:lang w:val="en-GB"/>
        </w:rPr>
        <w:t>±</w:t>
      </w:r>
      <w:r w:rsidR="00F535B0">
        <w:rPr>
          <w:rFonts w:cs="Arial"/>
          <w:szCs w:val="18"/>
          <w:lang w:val="en-GB"/>
        </w:rPr>
        <w:t>0.01</w:t>
      </w:r>
      <w:r w:rsidR="00F535B0" w:rsidRPr="00F535B0">
        <w:rPr>
          <w:lang w:val="en-GB"/>
        </w:rPr>
        <w:t xml:space="preserve"> </w:t>
      </w:r>
      <w:r w:rsidR="00F535B0" w:rsidRPr="00F273F8">
        <w:rPr>
          <w:lang w:val="en-GB"/>
        </w:rPr>
        <w:t>mg/g</w:t>
      </w:r>
      <w:r w:rsidR="00F535B0" w:rsidRPr="00F273F8">
        <w:rPr>
          <w:vertAlign w:val="subscript"/>
          <w:lang w:val="en-GB"/>
        </w:rPr>
        <w:t>TS</w:t>
      </w:r>
      <w:r w:rsidR="00F535B0">
        <w:rPr>
          <w:rFonts w:cs="Arial"/>
          <w:szCs w:val="18"/>
          <w:lang w:val="en-GB"/>
        </w:rPr>
        <w:t>).</w:t>
      </w:r>
      <w:r w:rsidR="000261D5">
        <w:rPr>
          <w:rFonts w:cs="Arial"/>
          <w:szCs w:val="18"/>
          <w:lang w:val="en-GB"/>
        </w:rPr>
        <w:t xml:space="preserve"> </w:t>
      </w:r>
    </w:p>
    <w:p w14:paraId="661A2BE6" w14:textId="4FC0BB56" w:rsidR="00B16C14" w:rsidRPr="0009395E" w:rsidRDefault="004B383A" w:rsidP="00B16C14">
      <w:pPr>
        <w:pStyle w:val="CETBodytext"/>
        <w:rPr>
          <w:rFonts w:cs="Arial"/>
          <w:szCs w:val="18"/>
          <w:lang w:val="en-GB"/>
        </w:rPr>
      </w:pPr>
      <w:r>
        <w:rPr>
          <w:rFonts w:eastAsiaTheme="minorHAnsi" w:cs="Arial"/>
          <w:szCs w:val="18"/>
        </w:rPr>
        <w:t>O</w:t>
      </w:r>
      <w:r w:rsidR="0009395E">
        <w:rPr>
          <w:rFonts w:eastAsiaTheme="minorHAnsi" w:cs="Arial"/>
          <w:szCs w:val="18"/>
        </w:rPr>
        <w:t>utput data displayed in this paper highlight how</w:t>
      </w:r>
      <w:r w:rsidR="0009395E" w:rsidRPr="00F22A81">
        <w:rPr>
          <w:rFonts w:eastAsiaTheme="minorHAnsi" w:cs="Arial"/>
          <w:szCs w:val="18"/>
        </w:rPr>
        <w:t xml:space="preserve"> sonication (152</w:t>
      </w:r>
      <w:r w:rsidR="0009395E" w:rsidRPr="00F22A81">
        <w:rPr>
          <w:rFonts w:cs="Arial"/>
          <w:szCs w:val="18"/>
          <w:lang w:val="en-GB"/>
        </w:rPr>
        <w:t xml:space="preserve"> μm, 10 min) led to the recovery of extracts highly richer in </w:t>
      </w:r>
      <w:r w:rsidR="00615FB6">
        <w:rPr>
          <w:rFonts w:cs="Arial"/>
          <w:szCs w:val="18"/>
          <w:lang w:val="en-GB"/>
        </w:rPr>
        <w:t xml:space="preserve">bioactives </w:t>
      </w:r>
      <w:r w:rsidR="0009395E" w:rsidRPr="00F22A81">
        <w:rPr>
          <w:rFonts w:cs="Arial"/>
          <w:szCs w:val="18"/>
          <w:lang w:val="en-GB"/>
        </w:rPr>
        <w:t xml:space="preserve">with respects to literature data </w:t>
      </w:r>
      <w:r w:rsidR="007D5E6B">
        <w:rPr>
          <w:rFonts w:cs="Arial"/>
          <w:szCs w:val="18"/>
          <w:lang w:val="en-GB"/>
        </w:rPr>
        <w:t xml:space="preserve">where the reported TPC values are 9.5 </w:t>
      </w:r>
      <w:r w:rsidR="007D5E6B" w:rsidRPr="00947BBE">
        <w:rPr>
          <w:lang w:val="en-GB"/>
        </w:rPr>
        <w:t>mg</w:t>
      </w:r>
      <w:r w:rsidR="007D5E6B" w:rsidRPr="009D2DDA">
        <w:rPr>
          <w:lang w:val="en-GB"/>
        </w:rPr>
        <w:t>GAE</w:t>
      </w:r>
      <w:r w:rsidR="007D5E6B" w:rsidRPr="00947BBE">
        <w:rPr>
          <w:lang w:val="en-GB"/>
        </w:rPr>
        <w:t>/g</w:t>
      </w:r>
      <w:r w:rsidR="007D5E6B">
        <w:rPr>
          <w:vertAlign w:val="subscript"/>
          <w:lang w:val="en-GB"/>
        </w:rPr>
        <w:t>TS</w:t>
      </w:r>
      <w:r w:rsidR="007D5E6B">
        <w:rPr>
          <w:rFonts w:cs="Arial"/>
          <w:szCs w:val="18"/>
          <w:lang w:val="en-GB"/>
        </w:rPr>
        <w:t xml:space="preserve"> for SCG (Okur et al., 2021) and 180.4</w:t>
      </w:r>
      <w:r w:rsidR="0009395E" w:rsidRPr="00F22A81">
        <w:rPr>
          <w:rFonts w:cs="Arial"/>
          <w:szCs w:val="18"/>
          <w:lang w:val="en-GB"/>
        </w:rPr>
        <w:t xml:space="preserve"> </w:t>
      </w:r>
      <w:r w:rsidR="007D5E6B" w:rsidRPr="00947BBE">
        <w:rPr>
          <w:lang w:val="en-GB"/>
        </w:rPr>
        <w:t>mg</w:t>
      </w:r>
      <w:r w:rsidR="007D5E6B" w:rsidRPr="009D2DDA">
        <w:rPr>
          <w:lang w:val="en-GB"/>
        </w:rPr>
        <w:t>GAE</w:t>
      </w:r>
      <w:r w:rsidR="007D5E6B" w:rsidRPr="00947BBE">
        <w:rPr>
          <w:lang w:val="en-GB"/>
        </w:rPr>
        <w:t>/g</w:t>
      </w:r>
      <w:r w:rsidR="007D5E6B">
        <w:rPr>
          <w:vertAlign w:val="subscript"/>
          <w:lang w:val="en-GB"/>
        </w:rPr>
        <w:t>TS</w:t>
      </w:r>
      <w:r w:rsidR="007D5E6B">
        <w:rPr>
          <w:rFonts w:cs="Arial"/>
          <w:szCs w:val="18"/>
          <w:lang w:val="en-GB"/>
        </w:rPr>
        <w:t xml:space="preserve"> for STL (Nadiah and Uthumporn</w:t>
      </w:r>
      <w:r w:rsidR="007D5E6B" w:rsidRPr="007D5E6B">
        <w:rPr>
          <w:rFonts w:cs="Arial"/>
          <w:szCs w:val="18"/>
          <w:lang w:val="en-GB"/>
        </w:rPr>
        <w:t>, 2015</w:t>
      </w:r>
      <w:r w:rsidR="007D5E6B">
        <w:rPr>
          <w:rFonts w:cs="Arial"/>
          <w:szCs w:val="18"/>
          <w:lang w:val="en-GB"/>
        </w:rPr>
        <w:t>)</w:t>
      </w:r>
      <w:r w:rsidR="0009395E" w:rsidRPr="00F22A81">
        <w:rPr>
          <w:rFonts w:cs="Arial"/>
          <w:szCs w:val="18"/>
          <w:lang w:val="en-GB"/>
        </w:rPr>
        <w:t>.</w:t>
      </w:r>
      <w:r w:rsidR="0009395E">
        <w:rPr>
          <w:rFonts w:cs="Arial"/>
          <w:szCs w:val="18"/>
          <w:lang w:val="en-GB"/>
        </w:rPr>
        <w:t xml:space="preserve"> Chiefly, the high EGCG extraction yield emphasizes the importance of upcycling STL also in view of the expanding tea-extracts-market that is forecasted to reach 9 billion Euros in 2029 </w:t>
      </w:r>
      <w:r w:rsidR="0009395E" w:rsidRPr="000B2A43">
        <w:rPr>
          <w:rFonts w:cs="Arial"/>
          <w:szCs w:val="18"/>
          <w:lang w:val="en-GB"/>
        </w:rPr>
        <w:t>(CBI, 2023)</w:t>
      </w:r>
      <w:r w:rsidR="0009395E">
        <w:rPr>
          <w:rFonts w:cs="Arial"/>
          <w:szCs w:val="18"/>
          <w:lang w:val="en-GB"/>
        </w:rPr>
        <w:t>.</w:t>
      </w:r>
    </w:p>
    <w:p w14:paraId="3E373296" w14:textId="4682DE0F" w:rsidR="007D6543" w:rsidRDefault="00614796" w:rsidP="00D63C15">
      <w:pPr>
        <w:pStyle w:val="CETBodytext"/>
        <w:rPr>
          <w:rFonts w:eastAsiaTheme="minorHAnsi" w:cs="Arial"/>
          <w:szCs w:val="18"/>
        </w:rPr>
      </w:pPr>
      <w:r w:rsidRPr="000B2A43">
        <w:rPr>
          <w:rFonts w:eastAsiaTheme="minorHAnsi" w:cs="Arial"/>
          <w:szCs w:val="18"/>
        </w:rPr>
        <w:t xml:space="preserve">The applied specific US input energy, </w:t>
      </w:r>
      <w:r w:rsidR="00A55737" w:rsidRPr="000B2A43">
        <w:rPr>
          <w:rFonts w:eastAsiaTheme="minorHAnsi" w:cs="Arial"/>
          <w:szCs w:val="18"/>
        </w:rPr>
        <w:t>Eq(</w:t>
      </w:r>
      <w:r w:rsidRPr="000B2A43">
        <w:rPr>
          <w:rFonts w:eastAsiaTheme="minorHAnsi" w:cs="Arial"/>
          <w:szCs w:val="18"/>
        </w:rPr>
        <w:t>1</w:t>
      </w:r>
      <w:r w:rsidR="00A55737" w:rsidRPr="000B2A43">
        <w:rPr>
          <w:rFonts w:eastAsiaTheme="minorHAnsi" w:cs="Arial"/>
          <w:szCs w:val="18"/>
        </w:rPr>
        <w:t>)</w:t>
      </w:r>
      <w:r w:rsidRPr="000B2A43">
        <w:rPr>
          <w:rFonts w:eastAsiaTheme="minorHAnsi" w:cs="Arial"/>
          <w:szCs w:val="18"/>
        </w:rPr>
        <w:t>,</w:t>
      </w:r>
      <w:r w:rsidR="00A55737" w:rsidRPr="000B2A43">
        <w:rPr>
          <w:rFonts w:eastAsiaTheme="minorHAnsi" w:cs="Arial"/>
          <w:szCs w:val="18"/>
        </w:rPr>
        <w:t xml:space="preserve"> </w:t>
      </w:r>
      <w:r w:rsidR="00FD2C3E">
        <w:rPr>
          <w:rFonts w:eastAsiaTheme="minorHAnsi" w:cs="Arial"/>
          <w:szCs w:val="18"/>
        </w:rPr>
        <w:t>for</w:t>
      </w:r>
      <w:r w:rsidR="00A55737" w:rsidRPr="000B2A43">
        <w:rPr>
          <w:rFonts w:eastAsiaTheme="minorHAnsi" w:cs="Arial"/>
          <w:szCs w:val="18"/>
        </w:rPr>
        <w:t xml:space="preserve"> </w:t>
      </w:r>
      <w:r w:rsidRPr="000B2A43">
        <w:rPr>
          <w:rFonts w:eastAsiaTheme="minorHAnsi" w:cs="Arial"/>
          <w:szCs w:val="18"/>
        </w:rPr>
        <w:t xml:space="preserve">both </w:t>
      </w:r>
      <w:r w:rsidR="00A55737" w:rsidRPr="000B2A43">
        <w:rPr>
          <w:rFonts w:eastAsiaTheme="minorHAnsi" w:cs="Arial"/>
          <w:szCs w:val="18"/>
        </w:rPr>
        <w:t>SCG (98.49 ±0.06 %</w:t>
      </w:r>
      <w:r w:rsidR="00A55737" w:rsidRPr="000B2A43">
        <w:rPr>
          <w:rFonts w:eastAsiaTheme="minorHAnsi" w:cs="Arial"/>
          <w:szCs w:val="18"/>
          <w:vertAlign w:val="subscript"/>
        </w:rPr>
        <w:t>TS</w:t>
      </w:r>
      <w:r w:rsidR="00A55737" w:rsidRPr="000B2A43">
        <w:rPr>
          <w:rFonts w:eastAsiaTheme="minorHAnsi" w:cs="Arial"/>
          <w:szCs w:val="18"/>
        </w:rPr>
        <w:t>) and STL (96.29 ±0.07 %</w:t>
      </w:r>
      <w:r w:rsidR="00A55737" w:rsidRPr="000B2A43">
        <w:rPr>
          <w:rFonts w:eastAsiaTheme="minorHAnsi" w:cs="Arial"/>
          <w:szCs w:val="18"/>
          <w:vertAlign w:val="subscript"/>
        </w:rPr>
        <w:t>TS</w:t>
      </w:r>
      <w:r w:rsidR="00A55737" w:rsidRPr="000B2A43">
        <w:rPr>
          <w:rFonts w:eastAsiaTheme="minorHAnsi" w:cs="Arial"/>
          <w:szCs w:val="18"/>
        </w:rPr>
        <w:t xml:space="preserve">) </w:t>
      </w:r>
      <w:r w:rsidRPr="000B2A43">
        <w:rPr>
          <w:rFonts w:eastAsiaTheme="minorHAnsi" w:cs="Arial"/>
          <w:szCs w:val="18"/>
        </w:rPr>
        <w:t>was equal to ~4 MJ/kg</w:t>
      </w:r>
      <w:r w:rsidRPr="000B2A43">
        <w:rPr>
          <w:rFonts w:eastAsiaTheme="minorHAnsi" w:cs="Arial"/>
          <w:szCs w:val="18"/>
          <w:vertAlign w:val="subscript"/>
        </w:rPr>
        <w:t>TS</w:t>
      </w:r>
      <w:r w:rsidRPr="000B2A43">
        <w:rPr>
          <w:rFonts w:eastAsiaTheme="minorHAnsi" w:cs="Arial"/>
          <w:szCs w:val="18"/>
        </w:rPr>
        <w:t xml:space="preserve"> and 8 MJ/kg</w:t>
      </w:r>
      <w:r w:rsidRPr="000B2A43">
        <w:rPr>
          <w:rFonts w:eastAsiaTheme="minorHAnsi" w:cs="Arial"/>
          <w:szCs w:val="18"/>
          <w:vertAlign w:val="subscript"/>
        </w:rPr>
        <w:t>TS</w:t>
      </w:r>
      <w:r w:rsidRPr="000B2A43">
        <w:rPr>
          <w:rFonts w:eastAsiaTheme="minorHAnsi" w:cs="Arial"/>
          <w:szCs w:val="18"/>
        </w:rPr>
        <w:t xml:space="preserve"> when sonication was </w:t>
      </w:r>
      <w:r w:rsidRPr="000B2A43">
        <w:rPr>
          <w:rFonts w:cs="Arial"/>
          <w:szCs w:val="18"/>
          <w:lang w:val="en-GB"/>
        </w:rPr>
        <w:t>operated for 5 and 10 min, respectively. Considering a medium energy price</w:t>
      </w:r>
      <w:r w:rsidR="001548B7" w:rsidRPr="000B2A43">
        <w:rPr>
          <w:rFonts w:cs="Arial"/>
          <w:szCs w:val="18"/>
          <w:lang w:val="en-GB"/>
        </w:rPr>
        <w:t xml:space="preserve"> in the EU</w:t>
      </w:r>
      <w:r w:rsidRPr="000B2A43">
        <w:rPr>
          <w:rFonts w:cs="Arial"/>
          <w:szCs w:val="18"/>
          <w:lang w:val="en-GB"/>
        </w:rPr>
        <w:t xml:space="preserve"> of 0.25 Euros/kWh</w:t>
      </w:r>
      <w:r w:rsidR="001548B7" w:rsidRPr="000B2A43">
        <w:rPr>
          <w:rFonts w:cs="Arial"/>
          <w:szCs w:val="18"/>
          <w:lang w:val="en-GB"/>
        </w:rPr>
        <w:t xml:space="preserve"> (Eurostat </w:t>
      </w:r>
      <w:r w:rsidR="00CE2CF7" w:rsidRPr="000B2A43">
        <w:rPr>
          <w:rFonts w:cs="Arial"/>
          <w:szCs w:val="18"/>
          <w:lang w:val="en-GB"/>
        </w:rPr>
        <w:t xml:space="preserve">2023 </w:t>
      </w:r>
      <w:r w:rsidR="001548B7" w:rsidRPr="000B2A43">
        <w:rPr>
          <w:rFonts w:cs="Arial"/>
          <w:szCs w:val="18"/>
          <w:lang w:val="en-GB"/>
        </w:rPr>
        <w:t>data), the expenditure related to 10 min US application would be of ~560 Euros/ton</w:t>
      </w:r>
      <w:r w:rsidR="001548B7" w:rsidRPr="00FD2C3E">
        <w:rPr>
          <w:rFonts w:cs="Arial"/>
          <w:szCs w:val="18"/>
          <w:vertAlign w:val="subscript"/>
          <w:lang w:val="en-GB"/>
        </w:rPr>
        <w:t>TS</w:t>
      </w:r>
      <w:r w:rsidR="001548B7" w:rsidRPr="000B2A43">
        <w:rPr>
          <w:rFonts w:cs="Arial"/>
          <w:szCs w:val="18"/>
          <w:lang w:val="en-GB"/>
        </w:rPr>
        <w:t>.</w:t>
      </w:r>
      <w:r w:rsidR="00CE2CF7" w:rsidRPr="000B2A43">
        <w:rPr>
          <w:rFonts w:cs="Arial"/>
          <w:szCs w:val="18"/>
          <w:lang w:val="en-GB"/>
        </w:rPr>
        <w:t xml:space="preserve"> Even considering </w:t>
      </w:r>
      <w:r w:rsidR="00FD2C3E">
        <w:rPr>
          <w:rFonts w:cs="Arial"/>
          <w:szCs w:val="18"/>
          <w:lang w:val="en-GB"/>
        </w:rPr>
        <w:t>the lowest</w:t>
      </w:r>
      <w:r w:rsidR="00CE2CF7" w:rsidRPr="000B2A43">
        <w:rPr>
          <w:rFonts w:cs="Arial"/>
          <w:szCs w:val="18"/>
          <w:lang w:val="en-GB"/>
        </w:rPr>
        <w:t xml:space="preserve"> selling price of 15 Euros/kg of mass-produced extracts (CBI, 2023)</w:t>
      </w:r>
      <w:r w:rsidR="00AC5665" w:rsidRPr="000B2A43">
        <w:rPr>
          <w:rFonts w:cs="Arial"/>
          <w:szCs w:val="18"/>
          <w:lang w:val="en-GB"/>
        </w:rPr>
        <w:t>, the recoverable amount</w:t>
      </w:r>
      <w:r w:rsidR="00C56182" w:rsidRPr="000B2A43">
        <w:rPr>
          <w:rFonts w:eastAsiaTheme="minorHAnsi" w:cs="Arial"/>
          <w:szCs w:val="18"/>
        </w:rPr>
        <w:t xml:space="preserve"> of value-added compounds (up to </w:t>
      </w:r>
      <w:r w:rsidR="00C56182" w:rsidRPr="000B2A43">
        <w:rPr>
          <w:rFonts w:cs="Arial"/>
          <w:szCs w:val="18"/>
          <w:lang w:val="en-GB"/>
        </w:rPr>
        <w:t>24.01 ±0.01 mg</w:t>
      </w:r>
      <w:r w:rsidR="00C56182" w:rsidRPr="009D2DDA">
        <w:rPr>
          <w:rFonts w:cs="Arial"/>
          <w:szCs w:val="18"/>
          <w:lang w:val="en-GB"/>
        </w:rPr>
        <w:t>GAE</w:t>
      </w:r>
      <w:r w:rsidR="00C56182" w:rsidRPr="000B2A43">
        <w:rPr>
          <w:rFonts w:cs="Arial"/>
          <w:szCs w:val="18"/>
          <w:lang w:val="en-GB"/>
        </w:rPr>
        <w:t>/g</w:t>
      </w:r>
      <w:r w:rsidR="00C56182" w:rsidRPr="000B2A43">
        <w:rPr>
          <w:rFonts w:cs="Arial"/>
          <w:szCs w:val="18"/>
          <w:vertAlign w:val="subscript"/>
          <w:lang w:val="en-GB"/>
        </w:rPr>
        <w:t>TS</w:t>
      </w:r>
      <w:r w:rsidR="00C56182" w:rsidRPr="000B2A43">
        <w:rPr>
          <w:rFonts w:cs="Arial"/>
          <w:szCs w:val="18"/>
          <w:lang w:val="en-GB"/>
        </w:rPr>
        <w:t xml:space="preserve"> for SCG and to 243.67 ±12.36 mg</w:t>
      </w:r>
      <w:r w:rsidR="00C56182" w:rsidRPr="009D2DDA">
        <w:rPr>
          <w:rFonts w:cs="Arial"/>
          <w:szCs w:val="18"/>
          <w:lang w:val="en-GB"/>
        </w:rPr>
        <w:t>GAE</w:t>
      </w:r>
      <w:r w:rsidR="00C56182" w:rsidRPr="000B2A43">
        <w:rPr>
          <w:rFonts w:cs="Arial"/>
          <w:szCs w:val="18"/>
          <w:lang w:val="en-GB"/>
        </w:rPr>
        <w:t>/g</w:t>
      </w:r>
      <w:r w:rsidR="00C56182" w:rsidRPr="000B2A43">
        <w:rPr>
          <w:rFonts w:cs="Arial"/>
          <w:szCs w:val="18"/>
          <w:vertAlign w:val="subscript"/>
          <w:lang w:val="en-GB"/>
        </w:rPr>
        <w:t>TS</w:t>
      </w:r>
      <w:r w:rsidR="00C56182" w:rsidRPr="000B2A43">
        <w:rPr>
          <w:rFonts w:cs="Arial"/>
          <w:szCs w:val="18"/>
          <w:lang w:val="en-GB"/>
        </w:rPr>
        <w:t xml:space="preserve"> for STL</w:t>
      </w:r>
      <w:r w:rsidR="00C56182" w:rsidRPr="000B2A43">
        <w:rPr>
          <w:rFonts w:eastAsiaTheme="minorHAnsi" w:cs="Arial"/>
          <w:szCs w:val="18"/>
        </w:rPr>
        <w:t xml:space="preserve">) </w:t>
      </w:r>
      <w:r w:rsidR="000F44ED" w:rsidRPr="000B2A43">
        <w:rPr>
          <w:rFonts w:eastAsiaTheme="minorHAnsi" w:cs="Arial"/>
          <w:szCs w:val="18"/>
        </w:rPr>
        <w:t>gives confidence in the possibility of a profitably scaled-up UAE dealing with STL</w:t>
      </w:r>
      <w:r w:rsidR="00E80013">
        <w:rPr>
          <w:rFonts w:eastAsiaTheme="minorHAnsi" w:cs="Arial"/>
          <w:szCs w:val="18"/>
        </w:rPr>
        <w:t xml:space="preserve"> alone or mixed with SCG</w:t>
      </w:r>
      <w:r w:rsidR="000F44ED" w:rsidRPr="000B2A43">
        <w:rPr>
          <w:rFonts w:eastAsiaTheme="minorHAnsi" w:cs="Arial"/>
          <w:szCs w:val="18"/>
        </w:rPr>
        <w:t>.</w:t>
      </w:r>
      <w:r w:rsidR="00774D7C">
        <w:rPr>
          <w:rFonts w:eastAsiaTheme="minorHAnsi" w:cs="Arial"/>
          <w:szCs w:val="18"/>
        </w:rPr>
        <w:t xml:space="preserve"> Notably, right the</w:t>
      </w:r>
      <w:r w:rsidR="00774D7C" w:rsidRPr="00774D7C">
        <w:rPr>
          <w:rFonts w:eastAsiaTheme="minorHAnsi" w:cs="Arial"/>
          <w:szCs w:val="18"/>
        </w:rPr>
        <w:t xml:space="preserve"> ready</w:t>
      </w:r>
      <w:r w:rsidR="00774D7C">
        <w:rPr>
          <w:rFonts w:eastAsiaTheme="minorHAnsi" w:cs="Arial"/>
          <w:szCs w:val="18"/>
        </w:rPr>
        <w:t>-</w:t>
      </w:r>
      <w:r w:rsidR="00774D7C" w:rsidRPr="00774D7C">
        <w:rPr>
          <w:rFonts w:eastAsiaTheme="minorHAnsi" w:cs="Arial"/>
          <w:szCs w:val="18"/>
        </w:rPr>
        <w:t>to</w:t>
      </w:r>
      <w:r w:rsidR="00774D7C">
        <w:rPr>
          <w:rFonts w:eastAsiaTheme="minorHAnsi" w:cs="Arial"/>
          <w:szCs w:val="18"/>
        </w:rPr>
        <w:t>-</w:t>
      </w:r>
      <w:r w:rsidR="00774D7C" w:rsidRPr="00774D7C">
        <w:rPr>
          <w:rFonts w:eastAsiaTheme="minorHAnsi" w:cs="Arial"/>
          <w:szCs w:val="18"/>
        </w:rPr>
        <w:t>drink tea and coffee industry</w:t>
      </w:r>
      <w:r w:rsidR="00774D7C">
        <w:rPr>
          <w:rFonts w:eastAsiaTheme="minorHAnsi" w:cs="Arial"/>
          <w:szCs w:val="18"/>
        </w:rPr>
        <w:t xml:space="preserve"> could find advantageous the set-up of an in-situ sonication unit to be operated on their residues in order to recover </w:t>
      </w:r>
      <w:r w:rsidR="00615FB6" w:rsidRPr="00F22A81">
        <w:rPr>
          <w:rFonts w:cs="Arial"/>
          <w:szCs w:val="18"/>
          <w:lang w:val="en-GB"/>
        </w:rPr>
        <w:t>caffeine and antioxidants compounds</w:t>
      </w:r>
      <w:r w:rsidR="00774D7C">
        <w:rPr>
          <w:rFonts w:eastAsiaTheme="minorHAnsi" w:cs="Arial"/>
          <w:szCs w:val="18"/>
        </w:rPr>
        <w:t xml:space="preserve"> to be included in their products formulations.</w:t>
      </w:r>
    </w:p>
    <w:p w14:paraId="2FF80E1E" w14:textId="59C1687B" w:rsidR="00C111F4" w:rsidRPr="000B2A43" w:rsidRDefault="00C111F4" w:rsidP="00D63C15">
      <w:pPr>
        <w:pStyle w:val="CETBodytext"/>
        <w:rPr>
          <w:rFonts w:eastAsiaTheme="minorHAnsi" w:cs="Arial"/>
          <w:szCs w:val="18"/>
        </w:rPr>
      </w:pPr>
      <w:r w:rsidRPr="00D824C9">
        <w:t xml:space="preserve">Acknowledging the guiding principles for a sustainable healthy diet and the trend of upcycling waste and by-products, this study confirms that various bioactives can be mined from SCG and STL and utilized for development of food products providing functionality, benefits to body and mind, naturalness, and sustainability. </w:t>
      </w:r>
      <w:r w:rsidRPr="00D824C9">
        <w:rPr>
          <w:lang w:val="en-GB"/>
        </w:rPr>
        <w:t xml:space="preserve">Therewithal, they can easily be source segregated, which is an advantage that has not to be underrated </w:t>
      </w:r>
      <w:r>
        <w:rPr>
          <w:lang w:val="en-GB"/>
        </w:rPr>
        <w:t>when considering</w:t>
      </w:r>
      <w:r w:rsidRPr="00D824C9">
        <w:rPr>
          <w:lang w:val="en-GB"/>
        </w:rPr>
        <w:t xml:space="preserve"> safety </w:t>
      </w:r>
      <w:r>
        <w:rPr>
          <w:lang w:val="en-GB"/>
        </w:rPr>
        <w:t>issues</w:t>
      </w:r>
      <w:r w:rsidRPr="00D824C9">
        <w:rPr>
          <w:lang w:val="en-GB"/>
        </w:rPr>
        <w:t xml:space="preserve"> dealing with common food waste and by-products valorisation. Caffeine, notably accounted </w:t>
      </w:r>
      <w:r w:rsidRPr="00D824C9">
        <w:t>among the ingredients accepted as having positive cognitive health benefits, can be added to sport beverages and energy drink</w:t>
      </w:r>
      <w:r w:rsidR="003E589D">
        <w:t>s</w:t>
      </w:r>
      <w:r w:rsidRPr="00D824C9">
        <w:t xml:space="preserve"> as well as to snacks and energy gels. Chlorogenic acid, indexed as the main phenolic compound within SCG (Okur et al., 2021), has been already tested as an additive to several foods (i.a. bread, cookies, meat stuffing) and it </w:t>
      </w:r>
      <w:r w:rsidRPr="00D824C9">
        <w:rPr>
          <w:lang w:val="en-GB"/>
        </w:rPr>
        <w:t>favourably affected their aroma properties (Budryn et al., 2016). Gallic acid, one of the major phenolic compounds in tea leaves together with catechin derivatives (Luaibi et al., 2019), can be used as additives in the production of foods for people under special diets thanks to their capacity to raise anti-inflammatory responses and to combat oxidative stress (Dludla et al., 2018). Finally, catechins</w:t>
      </w:r>
      <w:r w:rsidR="003E589D">
        <w:rPr>
          <w:lang w:val="en-GB"/>
        </w:rPr>
        <w:t>, thanks</w:t>
      </w:r>
      <w:r w:rsidRPr="00D824C9">
        <w:rPr>
          <w:lang w:val="en-GB"/>
        </w:rPr>
        <w:t xml:space="preserve"> to their radical scavenging properties, can be used in foodstuffs to retard lipid oxidation in oils and fats (Yilmaz, 2006) besides improving the overall nutritional value of the food products supplemented with such functional ingredient</w:t>
      </w:r>
      <w:r w:rsidR="00CD3F45">
        <w:rPr>
          <w:lang w:val="en-GB"/>
        </w:rPr>
        <w:t>s</w:t>
      </w:r>
      <w:r w:rsidRPr="00D824C9">
        <w:rPr>
          <w:lang w:val="en-GB"/>
        </w:rPr>
        <w:t>.</w:t>
      </w:r>
      <w:r w:rsidRPr="00D824C9">
        <w:rPr>
          <w:rFonts w:eastAsiaTheme="minorHAnsi" w:cs="Arial"/>
          <w:szCs w:val="18"/>
        </w:rPr>
        <w:t xml:space="preserve"> </w:t>
      </w:r>
    </w:p>
    <w:p w14:paraId="2B13D222" w14:textId="77777777" w:rsidR="0058585E" w:rsidRPr="0058585E" w:rsidRDefault="0058585E" w:rsidP="0058585E">
      <w:pPr>
        <w:pStyle w:val="CETHeading1"/>
        <w:rPr>
          <w:lang w:val="en-GB"/>
        </w:rPr>
      </w:pPr>
      <w:r w:rsidRPr="0058585E">
        <w:rPr>
          <w:lang w:val="en-GB"/>
        </w:rPr>
        <w:t>Conclusions</w:t>
      </w:r>
    </w:p>
    <w:p w14:paraId="6EC3F7AD" w14:textId="7BE20DA4" w:rsidR="009F46CA" w:rsidRDefault="0058585E" w:rsidP="0058585E">
      <w:pPr>
        <w:pStyle w:val="CETBodytext"/>
        <w:rPr>
          <w:lang w:val="en-GB"/>
        </w:rPr>
      </w:pPr>
      <w:r w:rsidRPr="0058585E">
        <w:rPr>
          <w:lang w:val="en-GB"/>
        </w:rPr>
        <w:t xml:space="preserve">This study aimed to evaluate the effect of cavitation to improve the extraction of </w:t>
      </w:r>
      <w:r w:rsidR="002F6A0F">
        <w:rPr>
          <w:lang w:val="en-GB"/>
        </w:rPr>
        <w:t xml:space="preserve">caffeine and </w:t>
      </w:r>
      <w:r w:rsidRPr="0058585E">
        <w:rPr>
          <w:lang w:val="en-GB"/>
        </w:rPr>
        <w:t xml:space="preserve">antioxidant compounds from SCG and STL both using ethanol and water as </w:t>
      </w:r>
      <w:r w:rsidR="00512B8D">
        <w:rPr>
          <w:lang w:val="en-GB"/>
        </w:rPr>
        <w:t>GRAS</w:t>
      </w:r>
      <w:r>
        <w:rPr>
          <w:lang w:val="en-GB"/>
        </w:rPr>
        <w:t xml:space="preserve"> </w:t>
      </w:r>
      <w:r w:rsidRPr="0058585E">
        <w:rPr>
          <w:lang w:val="en-GB"/>
        </w:rPr>
        <w:t xml:space="preserve">solvents. </w:t>
      </w:r>
    </w:p>
    <w:p w14:paraId="055CEE19" w14:textId="121BC922" w:rsidR="0058585E" w:rsidRPr="00992443" w:rsidRDefault="00512B8D" w:rsidP="0058585E">
      <w:pPr>
        <w:pStyle w:val="CETBodytext"/>
        <w:rPr>
          <w:lang w:val="en-GB"/>
        </w:rPr>
      </w:pPr>
      <w:r>
        <w:rPr>
          <w:rFonts w:cs="Arial"/>
          <w:szCs w:val="18"/>
          <w:lang w:val="en-GB"/>
        </w:rPr>
        <w:t xml:space="preserve">The significant enrichment of the extracts treated with US confirms that such green technology helps avoiding the use of solvents that are not generally recognised as </w:t>
      </w:r>
      <w:r w:rsidRPr="00092B93">
        <w:rPr>
          <w:rFonts w:cs="Arial"/>
          <w:szCs w:val="18"/>
          <w:lang w:val="en-GB"/>
        </w:rPr>
        <w:t>safe</w:t>
      </w:r>
      <w:r w:rsidR="00CA4195">
        <w:rPr>
          <w:rFonts w:cs="Arial"/>
          <w:szCs w:val="18"/>
          <w:lang w:val="en-GB"/>
        </w:rPr>
        <w:t>,</w:t>
      </w:r>
      <w:r w:rsidR="002E2C85" w:rsidRPr="00092B93">
        <w:rPr>
          <w:rFonts w:cs="Arial"/>
          <w:szCs w:val="18"/>
          <w:lang w:val="en-GB"/>
        </w:rPr>
        <w:t xml:space="preserve"> besides </w:t>
      </w:r>
      <w:r w:rsidR="00092B93">
        <w:rPr>
          <w:rFonts w:cs="Arial"/>
          <w:szCs w:val="18"/>
          <w:lang w:val="en-GB"/>
        </w:rPr>
        <w:t>favouring the leach out of bioactive components from vegetal matrixes</w:t>
      </w:r>
      <w:r>
        <w:rPr>
          <w:rFonts w:cs="Arial"/>
          <w:szCs w:val="18"/>
          <w:lang w:val="en-GB"/>
        </w:rPr>
        <w:t xml:space="preserve">. </w:t>
      </w:r>
      <w:r w:rsidR="00992443" w:rsidRPr="00992443">
        <w:rPr>
          <w:rFonts w:cs="Arial"/>
          <w:szCs w:val="18"/>
          <w:lang w:val="en-GB"/>
        </w:rPr>
        <w:t>The remarkable highest effect of US was reached when ethanol (60 % v/v) was used as extraction solvent.</w:t>
      </w:r>
      <w:r w:rsidR="00992443" w:rsidRPr="00992443">
        <w:rPr>
          <w:lang w:val="en-GB"/>
        </w:rPr>
        <w:t xml:space="preserve"> </w:t>
      </w:r>
      <w:r w:rsidR="00992443">
        <w:rPr>
          <w:lang w:val="en-GB"/>
        </w:rPr>
        <w:t xml:space="preserve">In particular, </w:t>
      </w:r>
      <w:r w:rsidR="0058585E" w:rsidRPr="00992443">
        <w:rPr>
          <w:lang w:val="en-GB"/>
        </w:rPr>
        <w:t xml:space="preserve">UAE </w:t>
      </w:r>
      <w:r w:rsidR="0058585E" w:rsidRPr="0058585E">
        <w:rPr>
          <w:lang w:val="en-GB"/>
        </w:rPr>
        <w:t xml:space="preserve">enriched the </w:t>
      </w:r>
      <w:r w:rsidR="00EF2DF0" w:rsidRPr="0058585E">
        <w:rPr>
          <w:lang w:val="en-GB"/>
        </w:rPr>
        <w:t xml:space="preserve">TPC </w:t>
      </w:r>
      <w:r w:rsidR="00EF2DF0">
        <w:rPr>
          <w:lang w:val="en-GB"/>
        </w:rPr>
        <w:t xml:space="preserve">of the extracts </w:t>
      </w:r>
      <w:r w:rsidR="0058585E" w:rsidRPr="0058585E">
        <w:rPr>
          <w:lang w:val="en-GB"/>
        </w:rPr>
        <w:t xml:space="preserve">up to </w:t>
      </w:r>
      <w:r w:rsidR="0058585E" w:rsidRPr="00565DD1">
        <w:rPr>
          <w:lang w:val="en-GB"/>
        </w:rPr>
        <w:t>+</w:t>
      </w:r>
      <w:r w:rsidR="00565DD1" w:rsidRPr="00565DD1">
        <w:rPr>
          <w:lang w:val="en-GB"/>
        </w:rPr>
        <w:t xml:space="preserve">110 </w:t>
      </w:r>
      <w:r w:rsidR="0058585E" w:rsidRPr="00565DD1">
        <w:rPr>
          <w:lang w:val="en-GB"/>
        </w:rPr>
        <w:t>% and +</w:t>
      </w:r>
      <w:r w:rsidR="00565DD1" w:rsidRPr="00565DD1">
        <w:rPr>
          <w:lang w:val="en-GB"/>
        </w:rPr>
        <w:t xml:space="preserve">274 </w:t>
      </w:r>
      <w:r w:rsidR="0058585E" w:rsidRPr="00565DD1">
        <w:rPr>
          <w:lang w:val="en-GB"/>
        </w:rPr>
        <w:t>%</w:t>
      </w:r>
      <w:r w:rsidR="0058585E">
        <w:rPr>
          <w:lang w:val="en-GB"/>
        </w:rPr>
        <w:t xml:space="preserve"> </w:t>
      </w:r>
      <w:r w:rsidR="0058585E" w:rsidRPr="0058585E">
        <w:rPr>
          <w:lang w:val="en-GB"/>
        </w:rPr>
        <w:t xml:space="preserve">when US were applied at 152 </w:t>
      </w:r>
      <w:r w:rsidR="0058585E" w:rsidRPr="0058585E">
        <w:rPr>
          <w:rFonts w:cs="Arial"/>
          <w:lang w:val="en-GB"/>
        </w:rPr>
        <w:t>µ</w:t>
      </w:r>
      <w:r w:rsidR="0058585E" w:rsidRPr="0058585E">
        <w:rPr>
          <w:lang w:val="en-GB"/>
        </w:rPr>
        <w:t>m for 10 min on SCG and STL</w:t>
      </w:r>
      <w:r w:rsidR="00173750">
        <w:rPr>
          <w:lang w:val="en-GB"/>
        </w:rPr>
        <w:t>, respectively</w:t>
      </w:r>
      <w:r w:rsidR="00992443">
        <w:rPr>
          <w:lang w:val="en-GB"/>
        </w:rPr>
        <w:t>. Besides</w:t>
      </w:r>
      <w:r w:rsidR="00992443" w:rsidRPr="00992443">
        <w:rPr>
          <w:lang w:val="en-GB"/>
        </w:rPr>
        <w:t xml:space="preserve">, </w:t>
      </w:r>
      <w:r w:rsidR="00992443" w:rsidRPr="00992443">
        <w:rPr>
          <w:rFonts w:cs="Arial"/>
          <w:szCs w:val="18"/>
          <w:lang w:val="en-GB"/>
        </w:rPr>
        <w:t xml:space="preserve">US at 152 μm for 10 min could significantly intensify caffeine </w:t>
      </w:r>
      <w:r w:rsidR="004E0C67" w:rsidRPr="00992443">
        <w:rPr>
          <w:rFonts w:cs="Arial"/>
          <w:szCs w:val="18"/>
          <w:lang w:val="en-GB"/>
        </w:rPr>
        <w:t>(</w:t>
      </w:r>
      <w:r w:rsidR="004E0C67" w:rsidRPr="00992443">
        <w:rPr>
          <w:rFonts w:cs="Arial"/>
          <w:lang w:val="en-GB"/>
        </w:rPr>
        <w:t xml:space="preserve">2.19 ±0.02 </w:t>
      </w:r>
      <w:r w:rsidR="004E0C67" w:rsidRPr="00992443">
        <w:rPr>
          <w:lang w:val="en-GB"/>
        </w:rPr>
        <w:t>mg/g</w:t>
      </w:r>
      <w:r w:rsidR="004E0C67" w:rsidRPr="00992443">
        <w:rPr>
          <w:vertAlign w:val="subscript"/>
          <w:lang w:val="en-GB"/>
        </w:rPr>
        <w:t>TS</w:t>
      </w:r>
      <w:r w:rsidR="004E0C67">
        <w:rPr>
          <w:lang w:val="en-GB"/>
        </w:rPr>
        <w:t>)</w:t>
      </w:r>
      <w:r w:rsidR="004E0C67">
        <w:rPr>
          <w:rFonts w:cs="Arial"/>
          <w:szCs w:val="18"/>
          <w:lang w:val="en-GB"/>
        </w:rPr>
        <w:t xml:space="preserve"> </w:t>
      </w:r>
      <w:r w:rsidR="00992443" w:rsidRPr="00992443">
        <w:rPr>
          <w:rFonts w:cs="Arial"/>
          <w:szCs w:val="18"/>
          <w:lang w:val="en-GB"/>
        </w:rPr>
        <w:t>and chlorogenic acid</w:t>
      </w:r>
      <w:r w:rsidR="004E0C67">
        <w:rPr>
          <w:rFonts w:cs="Arial"/>
          <w:szCs w:val="18"/>
          <w:lang w:val="en-GB"/>
        </w:rPr>
        <w:t xml:space="preserve"> </w:t>
      </w:r>
      <w:r w:rsidR="004E0C67" w:rsidRPr="00992443">
        <w:rPr>
          <w:rFonts w:cs="Arial"/>
          <w:szCs w:val="18"/>
          <w:lang w:val="en-GB"/>
        </w:rPr>
        <w:t>(</w:t>
      </w:r>
      <w:r w:rsidR="004E0C67" w:rsidRPr="00992443">
        <w:rPr>
          <w:rFonts w:cs="Arial"/>
          <w:lang w:val="en-GB"/>
        </w:rPr>
        <w:t>0.80 ±0.00</w:t>
      </w:r>
      <w:r w:rsidR="004E0C67" w:rsidRPr="00992443">
        <w:rPr>
          <w:lang w:val="en-GB"/>
        </w:rPr>
        <w:t xml:space="preserve"> mg/g</w:t>
      </w:r>
      <w:r w:rsidR="004E0C67" w:rsidRPr="00992443">
        <w:rPr>
          <w:vertAlign w:val="subscript"/>
          <w:lang w:val="en-GB"/>
        </w:rPr>
        <w:t>TS</w:t>
      </w:r>
      <w:r w:rsidR="004E0C67">
        <w:rPr>
          <w:lang w:val="en-GB"/>
        </w:rPr>
        <w:t>)</w:t>
      </w:r>
      <w:r w:rsidR="004E0C67">
        <w:rPr>
          <w:rFonts w:cs="Arial"/>
          <w:szCs w:val="18"/>
          <w:lang w:val="en-GB"/>
        </w:rPr>
        <w:t xml:space="preserve"> contents within SCG extracts </w:t>
      </w:r>
      <w:r w:rsidR="009810C1">
        <w:rPr>
          <w:rFonts w:cs="Arial"/>
          <w:szCs w:val="18"/>
          <w:lang w:val="en-GB"/>
        </w:rPr>
        <w:t>and of</w:t>
      </w:r>
      <w:r w:rsidR="00992443" w:rsidRPr="00992443">
        <w:rPr>
          <w:rFonts w:cs="Arial"/>
          <w:szCs w:val="18"/>
          <w:lang w:val="en-GB"/>
        </w:rPr>
        <w:t xml:space="preserve"> EGCG</w:t>
      </w:r>
      <w:r w:rsidR="009810C1">
        <w:rPr>
          <w:rFonts w:cs="Arial"/>
          <w:szCs w:val="18"/>
          <w:lang w:val="en-GB"/>
        </w:rPr>
        <w:t xml:space="preserve"> (193.66 </w:t>
      </w:r>
      <w:r w:rsidR="009810C1" w:rsidRPr="007A31CF">
        <w:rPr>
          <w:rFonts w:cs="Arial"/>
          <w:lang w:val="en-GB"/>
        </w:rPr>
        <w:t>±</w:t>
      </w:r>
      <w:r w:rsidR="009810C1">
        <w:rPr>
          <w:rFonts w:cs="Arial"/>
          <w:szCs w:val="18"/>
          <w:lang w:val="en-GB"/>
        </w:rPr>
        <w:t xml:space="preserve">0.48 </w:t>
      </w:r>
      <w:r w:rsidR="009810C1" w:rsidRPr="00F273F8">
        <w:rPr>
          <w:lang w:val="en-GB"/>
        </w:rPr>
        <w:t>mg/g</w:t>
      </w:r>
      <w:r w:rsidR="009810C1" w:rsidRPr="00F273F8">
        <w:rPr>
          <w:vertAlign w:val="subscript"/>
          <w:lang w:val="en-GB"/>
        </w:rPr>
        <w:t>TS</w:t>
      </w:r>
      <w:r w:rsidR="009810C1">
        <w:rPr>
          <w:rFonts w:cs="Arial"/>
          <w:szCs w:val="18"/>
          <w:lang w:val="en-GB"/>
        </w:rPr>
        <w:t>)</w:t>
      </w:r>
      <w:r w:rsidR="002F6A0F">
        <w:rPr>
          <w:rFonts w:cs="Arial"/>
          <w:szCs w:val="18"/>
          <w:lang w:val="en-GB"/>
        </w:rPr>
        <w:t xml:space="preserve"> and caffeine</w:t>
      </w:r>
      <w:r w:rsidR="00992443" w:rsidRPr="00992443">
        <w:rPr>
          <w:rFonts w:cs="Arial"/>
          <w:szCs w:val="18"/>
          <w:lang w:val="en-GB"/>
        </w:rPr>
        <w:t xml:space="preserve"> </w:t>
      </w:r>
      <w:r w:rsidR="009810C1">
        <w:rPr>
          <w:rFonts w:cs="Arial"/>
          <w:szCs w:val="18"/>
          <w:lang w:val="en-GB"/>
        </w:rPr>
        <w:t xml:space="preserve">(12.74 </w:t>
      </w:r>
      <w:r w:rsidR="009810C1" w:rsidRPr="007A31CF">
        <w:rPr>
          <w:rFonts w:cs="Arial"/>
          <w:lang w:val="en-GB"/>
        </w:rPr>
        <w:t>±</w:t>
      </w:r>
      <w:r w:rsidR="009810C1">
        <w:rPr>
          <w:rFonts w:cs="Arial"/>
          <w:szCs w:val="18"/>
          <w:lang w:val="en-GB"/>
        </w:rPr>
        <w:t xml:space="preserve">0.36 </w:t>
      </w:r>
      <w:r w:rsidR="009810C1" w:rsidRPr="00F273F8">
        <w:rPr>
          <w:lang w:val="en-GB"/>
        </w:rPr>
        <w:t>mg/g</w:t>
      </w:r>
      <w:r w:rsidR="009810C1" w:rsidRPr="00F273F8">
        <w:rPr>
          <w:vertAlign w:val="subscript"/>
          <w:lang w:val="en-GB"/>
        </w:rPr>
        <w:t>TS</w:t>
      </w:r>
      <w:r w:rsidR="009810C1">
        <w:rPr>
          <w:rFonts w:cs="Arial"/>
          <w:szCs w:val="18"/>
          <w:lang w:val="en-GB"/>
        </w:rPr>
        <w:t>) in STL ones.</w:t>
      </w:r>
    </w:p>
    <w:p w14:paraId="638B5991" w14:textId="664AAC50" w:rsidR="009F46CA" w:rsidRPr="0058585E" w:rsidRDefault="00CD3F45" w:rsidP="0058585E">
      <w:pPr>
        <w:pStyle w:val="CETBodytext"/>
        <w:rPr>
          <w:lang w:val="en-GB"/>
        </w:rPr>
      </w:pPr>
      <w:r>
        <w:rPr>
          <w:lang w:val="en-GB"/>
        </w:rPr>
        <w:t>W</w:t>
      </w:r>
      <w:r w:rsidR="009F46CA" w:rsidRPr="009F46CA">
        <w:rPr>
          <w:lang w:val="en-GB"/>
        </w:rPr>
        <w:t>aste materials used in this study contain remarkable amount</w:t>
      </w:r>
      <w:r w:rsidR="009F46CA">
        <w:rPr>
          <w:lang w:val="en-GB"/>
        </w:rPr>
        <w:t>s</w:t>
      </w:r>
      <w:r w:rsidR="009F46CA" w:rsidRPr="009F46CA">
        <w:rPr>
          <w:lang w:val="en-GB"/>
        </w:rPr>
        <w:t xml:space="preserve"> of </w:t>
      </w:r>
      <w:r w:rsidR="003E589D">
        <w:rPr>
          <w:lang w:val="en-GB"/>
        </w:rPr>
        <w:t xml:space="preserve">precious </w:t>
      </w:r>
      <w:r w:rsidR="009F46CA">
        <w:rPr>
          <w:lang w:val="en-GB"/>
        </w:rPr>
        <w:t>bioactive compounds</w:t>
      </w:r>
      <w:r w:rsidR="00D37CD2">
        <w:rPr>
          <w:lang w:val="en-GB"/>
        </w:rPr>
        <w:t xml:space="preserve"> within the functional food </w:t>
      </w:r>
      <w:r w:rsidR="00A806A6">
        <w:rPr>
          <w:lang w:val="en-GB"/>
        </w:rPr>
        <w:t>and beverage market arena</w:t>
      </w:r>
      <w:r w:rsidR="009F46CA" w:rsidRPr="009F46CA">
        <w:rPr>
          <w:lang w:val="en-GB"/>
        </w:rPr>
        <w:t xml:space="preserve">. As a result, </w:t>
      </w:r>
      <w:r w:rsidR="009F46CA">
        <w:rPr>
          <w:lang w:val="en-GB"/>
        </w:rPr>
        <w:t>SCG and STL</w:t>
      </w:r>
      <w:r w:rsidR="009F46CA" w:rsidRPr="009F46CA">
        <w:rPr>
          <w:lang w:val="en-GB"/>
        </w:rPr>
        <w:t xml:space="preserve"> can be considered as valuable bio-resource</w:t>
      </w:r>
      <w:r w:rsidR="009F46CA">
        <w:rPr>
          <w:lang w:val="en-GB"/>
        </w:rPr>
        <w:t>s</w:t>
      </w:r>
      <w:r w:rsidR="009F46CA" w:rsidRPr="009F46CA">
        <w:rPr>
          <w:lang w:val="en-GB"/>
        </w:rPr>
        <w:t xml:space="preserve"> and </w:t>
      </w:r>
      <w:r w:rsidR="009F46CA">
        <w:rPr>
          <w:lang w:val="en-GB"/>
        </w:rPr>
        <w:t>UAE</w:t>
      </w:r>
      <w:r w:rsidR="009F46CA" w:rsidRPr="009F46CA">
        <w:rPr>
          <w:lang w:val="en-GB"/>
        </w:rPr>
        <w:t xml:space="preserve"> at large scale might be favoured for </w:t>
      </w:r>
      <w:r w:rsidR="009F46CA">
        <w:rPr>
          <w:lang w:val="en-GB"/>
        </w:rPr>
        <w:t>i</w:t>
      </w:r>
      <w:r w:rsidR="009F46CA" w:rsidRPr="009F46CA">
        <w:rPr>
          <w:lang w:val="en-GB"/>
        </w:rPr>
        <w:t>ndustrial applications.</w:t>
      </w:r>
    </w:p>
    <w:p w14:paraId="5A56DE2D" w14:textId="77777777" w:rsidR="00A97B71" w:rsidRPr="00947BBE" w:rsidRDefault="00A97B71" w:rsidP="00A97B71">
      <w:pPr>
        <w:pStyle w:val="CETAcknowledgementstitle"/>
      </w:pPr>
      <w:r w:rsidRPr="00947BBE">
        <w:t>Acknowledgments</w:t>
      </w:r>
    </w:p>
    <w:p w14:paraId="54551BA8" w14:textId="5502BC91" w:rsidR="00501784" w:rsidRDefault="00501784" w:rsidP="00501784">
      <w:pPr>
        <w:pStyle w:val="CETBodytext"/>
        <w:rPr>
          <w:lang w:val="en-GB"/>
        </w:rPr>
      </w:pPr>
      <w:r w:rsidRPr="00501784">
        <w:rPr>
          <w:lang w:val="en-GB"/>
        </w:rPr>
        <w:t>Project funded under the National Recovery and Resilience Plan (NRRP), Mission 4</w:t>
      </w:r>
      <w:r>
        <w:rPr>
          <w:lang w:val="en-GB"/>
        </w:rPr>
        <w:t xml:space="preserve"> </w:t>
      </w:r>
      <w:r w:rsidRPr="00501784">
        <w:rPr>
          <w:lang w:val="en-GB"/>
        </w:rPr>
        <w:t xml:space="preserve">Component 2 Investment 1.3 - Call for </w:t>
      </w:r>
      <w:r w:rsidR="00CA65A1">
        <w:rPr>
          <w:lang w:val="en-GB"/>
        </w:rPr>
        <w:t>tender</w:t>
      </w:r>
      <w:r w:rsidRPr="00501784">
        <w:rPr>
          <w:lang w:val="en-GB"/>
        </w:rPr>
        <w:t xml:space="preserve"> No. 341 of 15 March 2022 of Italian Ministry of</w:t>
      </w:r>
      <w:r>
        <w:rPr>
          <w:lang w:val="en-GB"/>
        </w:rPr>
        <w:t xml:space="preserve"> </w:t>
      </w:r>
      <w:r w:rsidRPr="00501784">
        <w:rPr>
          <w:lang w:val="en-GB"/>
        </w:rPr>
        <w:t>University and Research funded by the Eu</w:t>
      </w:r>
      <w:r>
        <w:rPr>
          <w:lang w:val="en-GB"/>
        </w:rPr>
        <w:t>ropean Union – NextGenerationEU.</w:t>
      </w:r>
      <w:r w:rsidRPr="00501784">
        <w:rPr>
          <w:lang w:val="en-GB"/>
        </w:rPr>
        <w:t xml:space="preserve"> Project code PE00000003, Concession Decree No. 1550 of 11 October 2022</w:t>
      </w:r>
      <w:r>
        <w:rPr>
          <w:lang w:val="en-GB"/>
        </w:rPr>
        <w:t xml:space="preserve"> </w:t>
      </w:r>
      <w:r w:rsidRPr="00501784">
        <w:rPr>
          <w:lang w:val="en-GB"/>
        </w:rPr>
        <w:t>adopted by the Italian Ministry of University and Research, CUP D93C22000890001, Project title</w:t>
      </w:r>
      <w:r>
        <w:rPr>
          <w:lang w:val="en-GB"/>
        </w:rPr>
        <w:t xml:space="preserve"> </w:t>
      </w:r>
      <w:r w:rsidRPr="00501784">
        <w:rPr>
          <w:lang w:val="en-GB"/>
        </w:rPr>
        <w:t>“ON Foods - Research and innovation network on food and nutrition Sustainability, Safety and</w:t>
      </w:r>
      <w:r>
        <w:rPr>
          <w:lang w:val="en-GB"/>
        </w:rPr>
        <w:t xml:space="preserve"> </w:t>
      </w:r>
      <w:r w:rsidRPr="00501784">
        <w:rPr>
          <w:lang w:val="en-GB"/>
        </w:rPr>
        <w:t>Security – Working ON Foods”.</w:t>
      </w:r>
    </w:p>
    <w:p w14:paraId="51963D70" w14:textId="7A1137A6" w:rsidR="00A97B71" w:rsidRPr="00947BBE" w:rsidRDefault="00D74ACA" w:rsidP="00A97B71">
      <w:pPr>
        <w:pStyle w:val="CETBodytext"/>
        <w:rPr>
          <w:lang w:val="en-GB"/>
        </w:rPr>
      </w:pPr>
      <w:r w:rsidRPr="00947BBE">
        <w:rPr>
          <w:lang w:val="en-GB"/>
        </w:rPr>
        <w:lastRenderedPageBreak/>
        <w:t xml:space="preserve">Authors gratefully acknowledge </w:t>
      </w:r>
      <w:r w:rsidRPr="006253DA">
        <w:rPr>
          <w:i/>
          <w:lang w:val="en-GB"/>
        </w:rPr>
        <w:t xml:space="preserve">Bar </w:t>
      </w:r>
      <w:r w:rsidRPr="00D74ACA">
        <w:rPr>
          <w:i/>
          <w:lang w:val="en-GB"/>
        </w:rPr>
        <w:t>Mida e Shamba</w:t>
      </w:r>
      <w:r w:rsidRPr="00D74ACA">
        <w:rPr>
          <w:lang w:val="en-GB"/>
        </w:rPr>
        <w:t xml:space="preserve"> and </w:t>
      </w:r>
      <w:r w:rsidRPr="00D74ACA">
        <w:rPr>
          <w:i/>
          <w:lang w:val="en-GB"/>
        </w:rPr>
        <w:t>La Teiera Eclettica</w:t>
      </w:r>
      <w:r w:rsidRPr="00D74ACA">
        <w:rPr>
          <w:lang w:val="en-GB"/>
        </w:rPr>
        <w:t xml:space="preserve"> (Milano, Italy) for</w:t>
      </w:r>
      <w:r w:rsidRPr="00947BBE">
        <w:rPr>
          <w:lang w:val="en-GB"/>
        </w:rPr>
        <w:t xml:space="preserve"> their kind availability and contribution in source segregating the spent coffee grounds and the spent tea leaves used for the present study</w:t>
      </w:r>
      <w:r w:rsidR="00A97B71" w:rsidRPr="00947BBE">
        <w:rPr>
          <w:lang w:val="en-GB"/>
        </w:rPr>
        <w:t>.</w:t>
      </w:r>
    </w:p>
    <w:p w14:paraId="0BBFCA68" w14:textId="77777777" w:rsidR="00A97B71" w:rsidRPr="00947BBE" w:rsidRDefault="00A97B71" w:rsidP="00A97B71">
      <w:pPr>
        <w:pStyle w:val="CETReference"/>
      </w:pPr>
      <w:r w:rsidRPr="00947BBE">
        <w:t>References</w:t>
      </w:r>
    </w:p>
    <w:p w14:paraId="2F46D083" w14:textId="6034F3EF" w:rsidR="00A97B71" w:rsidRPr="00947BBE" w:rsidRDefault="00A97B71" w:rsidP="00A97B71">
      <w:pPr>
        <w:pStyle w:val="CETReferencetext"/>
        <w:rPr>
          <w:lang w:val="en-US"/>
        </w:rPr>
      </w:pPr>
      <w:r w:rsidRPr="00947BBE">
        <w:rPr>
          <w:lang w:val="en-US"/>
        </w:rPr>
        <w:t>AOAC, 2000, Official methods of analysis of the association of official analytical chemists international (17th ed.), Gaithersburg: AOAC International.</w:t>
      </w:r>
    </w:p>
    <w:p w14:paraId="05D3CFE8" w14:textId="7AAAC7BB" w:rsidR="00E3163A" w:rsidRDefault="0082581F" w:rsidP="001A31AB">
      <w:pPr>
        <w:pStyle w:val="CETReferencetext"/>
        <w:rPr>
          <w:lang w:val="en-US"/>
        </w:rPr>
      </w:pPr>
      <w:r w:rsidRPr="0082581F">
        <w:rPr>
          <w:lang w:val="en-US"/>
        </w:rPr>
        <w:t>Ballesteros L.F., Teixeira J.A., Mussatto S.I., 2014,</w:t>
      </w:r>
      <w:r w:rsidR="00E3163A" w:rsidRPr="0082581F">
        <w:rPr>
          <w:lang w:val="en-US"/>
        </w:rPr>
        <w:t xml:space="preserve"> </w:t>
      </w:r>
      <w:r w:rsidR="00E3163A" w:rsidRPr="00E3163A">
        <w:rPr>
          <w:lang w:val="en-US"/>
        </w:rPr>
        <w:t>Selection of the solvent and extraction conditions for maximum recovery of antioxidant phenolic compounds from coffee silverskin</w:t>
      </w:r>
      <w:r>
        <w:rPr>
          <w:lang w:val="en-US"/>
        </w:rPr>
        <w:t>,</w:t>
      </w:r>
      <w:r w:rsidR="00E3163A" w:rsidRPr="00E3163A">
        <w:rPr>
          <w:lang w:val="en-US"/>
        </w:rPr>
        <w:t xml:space="preserve"> Food and bioprocess technology, 7, 1322-1332.</w:t>
      </w:r>
    </w:p>
    <w:p w14:paraId="1EAC89F6" w14:textId="46715B99" w:rsidR="00F63336" w:rsidRDefault="00F63336" w:rsidP="001A31AB">
      <w:pPr>
        <w:pStyle w:val="CETReferencetext"/>
        <w:rPr>
          <w:lang w:val="en-US"/>
        </w:rPr>
      </w:pPr>
      <w:r w:rsidRPr="00F63336">
        <w:rPr>
          <w:lang w:val="en-US"/>
        </w:rPr>
        <w:t>Budryn G., Zaczyńska D., Oracz</w:t>
      </w:r>
      <w:r w:rsidR="002B1452">
        <w:rPr>
          <w:lang w:val="en-US"/>
        </w:rPr>
        <w:t xml:space="preserve"> J., 2016,</w:t>
      </w:r>
      <w:r w:rsidRPr="00F63336">
        <w:rPr>
          <w:lang w:val="en-US"/>
        </w:rPr>
        <w:t xml:space="preserve"> Effect of addition of green coffee extract and nanoencapsulated chlorogenic acids on a</w:t>
      </w:r>
      <w:r w:rsidR="002B1452">
        <w:rPr>
          <w:lang w:val="en-US"/>
        </w:rPr>
        <w:t>roma of different food products,</w:t>
      </w:r>
      <w:r w:rsidRPr="00F63336">
        <w:rPr>
          <w:lang w:val="en-US"/>
        </w:rPr>
        <w:t xml:space="preserve"> LWT, 73, 197-204.</w:t>
      </w:r>
    </w:p>
    <w:p w14:paraId="35F0E9AF" w14:textId="7BA90833" w:rsidR="001A31AB" w:rsidRDefault="001A31AB" w:rsidP="001A31AB">
      <w:pPr>
        <w:pStyle w:val="CETReferencetext"/>
        <w:rPr>
          <w:lang w:val="en-US"/>
        </w:rPr>
      </w:pPr>
      <w:r w:rsidRPr="007F400D">
        <w:rPr>
          <w:lang w:val="en-US"/>
        </w:rPr>
        <w:t xml:space="preserve">Buratti S., Benedetti S., Giovanelli G., </w:t>
      </w:r>
      <w:r w:rsidRPr="00B65AF1">
        <w:rPr>
          <w:lang w:val="en-US"/>
        </w:rPr>
        <w:t>2017,</w:t>
      </w:r>
      <w:r w:rsidRPr="007F400D">
        <w:rPr>
          <w:lang w:val="en-US"/>
        </w:rPr>
        <w:t xml:space="preserve"> </w:t>
      </w:r>
      <w:r w:rsidRPr="00B65AF1">
        <w:rPr>
          <w:lang w:val="en-US"/>
        </w:rPr>
        <w:t xml:space="preserve">Application of electronic senses to characterize espresso coffees brewed </w:t>
      </w:r>
      <w:r>
        <w:rPr>
          <w:lang w:val="en-US"/>
        </w:rPr>
        <w:t>with different thermal profiles,</w:t>
      </w:r>
      <w:r w:rsidRPr="00B65AF1">
        <w:rPr>
          <w:lang w:val="en-US"/>
        </w:rPr>
        <w:t xml:space="preserve"> European Food Research and Technology, 243, 511-520.</w:t>
      </w:r>
    </w:p>
    <w:p w14:paraId="6A7EF329" w14:textId="49900A88" w:rsidR="00201B33" w:rsidRPr="00947BBE" w:rsidRDefault="00201B33" w:rsidP="00A97B71">
      <w:pPr>
        <w:pStyle w:val="CETReferencetext"/>
        <w:rPr>
          <w:lang w:val="en-US"/>
        </w:rPr>
      </w:pPr>
      <w:r w:rsidRPr="00947BBE">
        <w:rPr>
          <w:lang w:val="en-US"/>
        </w:rPr>
        <w:t>Carpentieri S., Režek Jambrak A., Ferrari</w:t>
      </w:r>
      <w:r w:rsidR="005366CA" w:rsidRPr="00947BBE">
        <w:rPr>
          <w:lang w:val="en-US"/>
        </w:rPr>
        <w:t xml:space="preserve"> G., </w:t>
      </w:r>
      <w:r w:rsidRPr="00947BBE">
        <w:rPr>
          <w:lang w:val="en-US"/>
        </w:rPr>
        <w:t>Pataro G.</w:t>
      </w:r>
      <w:r w:rsidR="005366CA" w:rsidRPr="00947BBE">
        <w:rPr>
          <w:lang w:val="en-US"/>
        </w:rPr>
        <w:t xml:space="preserve">, </w:t>
      </w:r>
      <w:r w:rsidRPr="00947BBE">
        <w:rPr>
          <w:lang w:val="en-US"/>
        </w:rPr>
        <w:t>2022</w:t>
      </w:r>
      <w:r w:rsidR="005366CA" w:rsidRPr="00947BBE">
        <w:rPr>
          <w:lang w:val="en-US"/>
        </w:rPr>
        <w:t>,</w:t>
      </w:r>
      <w:r w:rsidRPr="00947BBE">
        <w:rPr>
          <w:lang w:val="en-US"/>
        </w:rPr>
        <w:t xml:space="preserve"> Pulsed electric field-assisted extraction of aroma and bioactive compounds from aroma</w:t>
      </w:r>
      <w:r w:rsidR="005366CA" w:rsidRPr="00947BBE">
        <w:rPr>
          <w:lang w:val="en-US"/>
        </w:rPr>
        <w:t>tic plants and food by-products,</w:t>
      </w:r>
      <w:r w:rsidRPr="00947BBE">
        <w:rPr>
          <w:lang w:val="en-US"/>
        </w:rPr>
        <w:t xml:space="preserve"> Frontiers in Nutrition, 8, 1355.</w:t>
      </w:r>
    </w:p>
    <w:p w14:paraId="76C0CBE9" w14:textId="2CF1E3FB" w:rsidR="00CE2CF7" w:rsidRPr="00CE2CF7" w:rsidRDefault="00CE2CF7" w:rsidP="00A97B71">
      <w:pPr>
        <w:pStyle w:val="CETReferencetext"/>
        <w:rPr>
          <w:lang w:val="en-US"/>
        </w:rPr>
      </w:pPr>
      <w:r w:rsidRPr="00CE2CF7">
        <w:rPr>
          <w:lang w:val="en-US"/>
        </w:rPr>
        <w:t>CBI, 2022, Market Information for exporting products to Europe, https://www.cbi.eu/market-information/natural-ingredients-cosmetics/anti-ageing-extracts</w:t>
      </w:r>
    </w:p>
    <w:p w14:paraId="516CAA88" w14:textId="31B6F612" w:rsidR="00D951AC" w:rsidRDefault="00D951AC" w:rsidP="00A97B71">
      <w:pPr>
        <w:pStyle w:val="CETReferencetext"/>
        <w:rPr>
          <w:lang w:val="en-US"/>
        </w:rPr>
      </w:pPr>
      <w:r>
        <w:rPr>
          <w:lang w:val="en-US"/>
        </w:rPr>
        <w:t>Dludla P.V., Nkambule B.B., Jack B., Mkandla Z., Mutize</w:t>
      </w:r>
      <w:r w:rsidRPr="00D951AC">
        <w:rPr>
          <w:lang w:val="en-US"/>
        </w:rPr>
        <w:t xml:space="preserve"> T., Silvest</w:t>
      </w:r>
      <w:r>
        <w:rPr>
          <w:lang w:val="en-US"/>
        </w:rPr>
        <w:t xml:space="preserve">ri S., Mazibuko-Mbeje S.E., 2018, </w:t>
      </w:r>
      <w:r w:rsidRPr="00D951AC">
        <w:rPr>
          <w:lang w:val="en-US"/>
        </w:rPr>
        <w:t>Inflammation and oxidative stress in an obese state and the protective effects of gallic acid</w:t>
      </w:r>
      <w:r>
        <w:rPr>
          <w:lang w:val="en-US"/>
        </w:rPr>
        <w:t>,</w:t>
      </w:r>
      <w:r w:rsidRPr="00D951AC">
        <w:rPr>
          <w:lang w:val="en-US"/>
        </w:rPr>
        <w:t xml:space="preserve"> Nutrients, 11(1), 23.</w:t>
      </w:r>
    </w:p>
    <w:p w14:paraId="5BC02A60" w14:textId="4337DED7" w:rsidR="00A97B71" w:rsidRPr="00947BBE" w:rsidRDefault="00A97B71" w:rsidP="00A97B71">
      <w:pPr>
        <w:pStyle w:val="CETReferencetext"/>
        <w:rPr>
          <w:lang w:val="en-US"/>
        </w:rPr>
      </w:pPr>
      <w:r w:rsidRPr="00947BBE">
        <w:rPr>
          <w:lang w:val="en-US"/>
        </w:rPr>
        <w:t xml:space="preserve">Gu X., Cai J., Zhang Z., Su Q., 2007, </w:t>
      </w:r>
      <w:r w:rsidRPr="00947BBE">
        <w:t>Dynamic Ultrasound</w:t>
      </w:r>
      <w:r w:rsidRPr="00947BBE">
        <w:rPr>
          <w:rFonts w:ascii="Cambria Math" w:hAnsi="Cambria Math" w:cs="Cambria Math"/>
        </w:rPr>
        <w:t>‐</w:t>
      </w:r>
      <w:r w:rsidRPr="00947BBE">
        <w:t>Assisted Extraction of Catechins and Caffeine in Some Tea Samples, Annali di Chimica: Journal of Analytical, Environmental and Cultural Heritage Chemistry, 97(5</w:t>
      </w:r>
      <w:r w:rsidRPr="00947BBE">
        <w:rPr>
          <w:rFonts w:ascii="Cambria Math" w:hAnsi="Cambria Math" w:cs="Cambria Math"/>
        </w:rPr>
        <w:t>‐</w:t>
      </w:r>
      <w:r w:rsidRPr="00947BBE">
        <w:t>6), 321-330.</w:t>
      </w:r>
    </w:p>
    <w:p w14:paraId="76269963" w14:textId="392E0CC9" w:rsidR="00A97B71" w:rsidRPr="00947BBE" w:rsidRDefault="00A97B71" w:rsidP="00A97B71">
      <w:pPr>
        <w:pStyle w:val="CETReferencetext"/>
      </w:pPr>
      <w:r w:rsidRPr="00947BBE">
        <w:rPr>
          <w:lang w:val="en-US"/>
        </w:rPr>
        <w:t xml:space="preserve">Guglielmetti A., D'ignoti V., Ghirardello D., Belviso S., Zeppa G., 2017, </w:t>
      </w:r>
      <w:r w:rsidRPr="00947BBE">
        <w:t>Optimisation of ultrasound and microwave-assisted extraction of caffeoylquinic acids and caffeine from coffee silverskin using response surface methodology, Italian Journal of Food Science, 29(3).</w:t>
      </w:r>
    </w:p>
    <w:p w14:paraId="51B680FA" w14:textId="38BFC31C" w:rsidR="00012CC5" w:rsidRDefault="00012CC5" w:rsidP="00A97B71">
      <w:pPr>
        <w:pStyle w:val="CETReferencetext"/>
        <w:rPr>
          <w:lang w:val="en-US"/>
        </w:rPr>
      </w:pPr>
      <w:r>
        <w:rPr>
          <w:lang w:val="en-US"/>
        </w:rPr>
        <w:t xml:space="preserve">GVR, 2023, </w:t>
      </w:r>
      <w:r w:rsidRPr="00012CC5">
        <w:rPr>
          <w:lang w:val="en-US"/>
        </w:rPr>
        <w:t>Grand View Research</w:t>
      </w:r>
      <w:r>
        <w:rPr>
          <w:lang w:val="en-US"/>
        </w:rPr>
        <w:t xml:space="preserve">, </w:t>
      </w:r>
      <w:r w:rsidRPr="00012CC5">
        <w:rPr>
          <w:lang w:val="en-US"/>
        </w:rPr>
        <w:t>Functional Foods Market Size, Report ID: GVR-1-68038-195-5</w:t>
      </w:r>
      <w:r>
        <w:rPr>
          <w:lang w:val="en-US"/>
        </w:rPr>
        <w:t>.</w:t>
      </w:r>
    </w:p>
    <w:p w14:paraId="49C564EA" w14:textId="512ED448" w:rsidR="00FF6DD8" w:rsidRDefault="00FF6DD8" w:rsidP="00A97B71">
      <w:pPr>
        <w:pStyle w:val="CETReferencetext"/>
      </w:pPr>
      <w:r>
        <w:t>Kobus Z., Krzywicka M., Starek-Wójcicka A., Sagan A., 2022,</w:t>
      </w:r>
      <w:r w:rsidRPr="00FF6DD8">
        <w:t xml:space="preserve"> Effect of the duty cycle of the ultrasonic processor on the efficiency of extraction of phenol</w:t>
      </w:r>
      <w:r w:rsidR="007C4061">
        <w:t>s</w:t>
      </w:r>
      <w:r w:rsidRPr="00FF6DD8">
        <w:t xml:space="preserve"> from Sorbus intermedia</w:t>
      </w:r>
      <w:r>
        <w:t>,</w:t>
      </w:r>
      <w:r w:rsidRPr="00FF6DD8">
        <w:t xml:space="preserve"> Scientific Reports, </w:t>
      </w:r>
      <w:r w:rsidRPr="007C4061">
        <w:t>12(1), 1-12</w:t>
      </w:r>
      <w:r w:rsidRPr="00FF6DD8">
        <w:t>.</w:t>
      </w:r>
    </w:p>
    <w:p w14:paraId="0E8874A4" w14:textId="667EE5B9" w:rsidR="00A90BB0" w:rsidRDefault="007107FD" w:rsidP="00FE03CB">
      <w:pPr>
        <w:pStyle w:val="CETReferencetext"/>
      </w:pPr>
      <w:r w:rsidRPr="007107FD">
        <w:rPr>
          <w:lang w:val="en-US"/>
        </w:rPr>
        <w:t xml:space="preserve">Jiménez-Moreno N., Volpe F., Moler J.A., Esparza I., Ancín-Azpilicueta C., 2019, </w:t>
      </w:r>
      <w:r w:rsidRPr="007107FD">
        <w:t>Impact of extraction conditions on the phenolic composition and antioxidant capacity of grape stem extracts</w:t>
      </w:r>
      <w:r>
        <w:t>,</w:t>
      </w:r>
      <w:r w:rsidRPr="007107FD">
        <w:t xml:space="preserve"> Antioxidants, 8(12), 597.</w:t>
      </w:r>
    </w:p>
    <w:p w14:paraId="7D0F66C8" w14:textId="77777777" w:rsidR="00A97B71" w:rsidRPr="00947BBE" w:rsidRDefault="00A97B71" w:rsidP="00A97B71">
      <w:pPr>
        <w:pStyle w:val="CETReferencetext"/>
      </w:pPr>
      <w:r w:rsidRPr="00947BBE">
        <w:t>Luaibi H.M., Alfarhani B.F., Hammza R.A., 2019, Comparative assessment of catechin and gallic acid content in different brands of black and green tea, Journal of Physics: Conference Series (Vol. 1294, No. 5, p. 052056). IOP Publishing.</w:t>
      </w:r>
    </w:p>
    <w:p w14:paraId="0155B666" w14:textId="77777777" w:rsidR="00A97B71" w:rsidRPr="00947BBE" w:rsidRDefault="00A97B71" w:rsidP="00A97B71">
      <w:pPr>
        <w:pStyle w:val="CETReferencetext"/>
      </w:pPr>
      <w:r w:rsidRPr="00947BBE">
        <w:rPr>
          <w:lang w:val="en-US"/>
        </w:rPr>
        <w:t xml:space="preserve">Menzio J., Binello A., Barge A., Cravotto G., 2020, </w:t>
      </w:r>
      <w:r w:rsidRPr="00947BBE">
        <w:t>Highly-efficient caffeine recovery from green coffee beans under ultrasound-assisted SC–CO</w:t>
      </w:r>
      <w:r w:rsidRPr="00947BBE">
        <w:rPr>
          <w:vertAlign w:val="subscript"/>
        </w:rPr>
        <w:t>2</w:t>
      </w:r>
      <w:r w:rsidRPr="00947BBE">
        <w:t xml:space="preserve"> Extraction, Processes, 8(9), 1062.</w:t>
      </w:r>
    </w:p>
    <w:p w14:paraId="6B0A2721" w14:textId="025DB41E" w:rsidR="009B5500" w:rsidRDefault="009B5500" w:rsidP="00A97B71">
      <w:pPr>
        <w:pStyle w:val="CETReferencetext"/>
      </w:pPr>
      <w:r w:rsidRPr="009B5500">
        <w:rPr>
          <w:lang w:val="en-US"/>
        </w:rPr>
        <w:t xml:space="preserve">Miano A.C., Rojas M.L., Augusto P.E., 2021, </w:t>
      </w:r>
      <w:r w:rsidRPr="009B5500">
        <w:t>Combining ultrasound, vacuum and/or ethanol as pretreatments to the con</w:t>
      </w:r>
      <w:r>
        <w:t>vective drying of celery slices,</w:t>
      </w:r>
      <w:r w:rsidRPr="009B5500">
        <w:t xml:space="preserve"> Ultrasonics Sonochemistry, 79, 105779.</w:t>
      </w:r>
    </w:p>
    <w:p w14:paraId="50431343" w14:textId="77860210" w:rsidR="00A97B71" w:rsidRPr="00947BBE" w:rsidRDefault="00A97B71" w:rsidP="00A97B71">
      <w:pPr>
        <w:pStyle w:val="CETReferencetext"/>
      </w:pPr>
      <w:r w:rsidRPr="00947BBE">
        <w:t>Nadiah N.I., Uthumporn U., 2015, Determination of phenolic and antioxidant properties in tea and spent tea under various extraction method and determination of catechins, caffeine and gallic acid by HPLC, International Journal on Advanced Science, Engineering and Information Technology, 5(3), 158-164.</w:t>
      </w:r>
    </w:p>
    <w:p w14:paraId="0FE4B5BA" w14:textId="12FCAF6E" w:rsidR="00A97B71" w:rsidRPr="001A31AB" w:rsidRDefault="00A97B71" w:rsidP="001A31AB">
      <w:pPr>
        <w:pStyle w:val="CETReferencetext"/>
      </w:pPr>
      <w:r w:rsidRPr="00947BBE">
        <w:t>Okur I., Soyler B., Sezer P., Oztop M.H., Alpas, H., 2021, Improving the recovery of phenolic compounds from spent coffee grounds (SCG) by environmentally friendly extraction techniques, Molecules, 26(3), 613.</w:t>
      </w:r>
    </w:p>
    <w:p w14:paraId="73BB501C" w14:textId="72300294" w:rsidR="001A31AB" w:rsidRDefault="001A31AB" w:rsidP="00A97B71">
      <w:pPr>
        <w:pStyle w:val="CETReferencetext"/>
      </w:pPr>
      <w:r>
        <w:t>Priet N., Gay M., Vidal</w:t>
      </w:r>
      <w:r w:rsidRPr="001A31AB">
        <w:t xml:space="preserve"> S., Aagaard O., De Saja,</w:t>
      </w:r>
      <w:r>
        <w:t xml:space="preserve"> J.A., Rodriguez-Mendez M.L., 2011,</w:t>
      </w:r>
      <w:r w:rsidRPr="001A31AB">
        <w:t xml:space="preserve"> Analysis of the influence of the type of closure in the organoleptic characteristics of a red wi</w:t>
      </w:r>
      <w:r>
        <w:t>ne by using an electronic panel,</w:t>
      </w:r>
      <w:r w:rsidRPr="001A31AB">
        <w:t xml:space="preserve"> Food Chemistry, 129(2), 589-594.</w:t>
      </w:r>
    </w:p>
    <w:p w14:paraId="60ED5E35" w14:textId="77777777" w:rsidR="00A97B71" w:rsidRPr="00947BBE" w:rsidRDefault="00A97B71" w:rsidP="00A97B71">
      <w:pPr>
        <w:pStyle w:val="CETReferencetext"/>
      </w:pPr>
      <w:r w:rsidRPr="00947BBE">
        <w:t>Vandeponseele A., Draye M., Piot C., Chatel, G., 2021, Study of influential parameters of the caffeine extraction from spent coffee grounds: From brewing coffee method to the waste treatment conditions, Clean Technologies, 3(2), 335-350.</w:t>
      </w:r>
    </w:p>
    <w:p w14:paraId="3A88B99B" w14:textId="6D4A9F30" w:rsidR="007107FD" w:rsidRDefault="009707B6" w:rsidP="00D22011">
      <w:pPr>
        <w:pStyle w:val="CETReferencetext"/>
      </w:pPr>
      <w:r w:rsidRPr="009707B6">
        <w:rPr>
          <w:lang w:val="en-US"/>
        </w:rPr>
        <w:t xml:space="preserve">Vignoli J.A., Bassoli D.G., Benassi M.D.T., 2011, </w:t>
      </w:r>
      <w:r w:rsidRPr="009707B6">
        <w:t>Antioxidant activity, polyphenols, caffeine and melanoidins in soluble coffee: The influence of processing conditions and raw</w:t>
      </w:r>
      <w:r>
        <w:t xml:space="preserve"> material,</w:t>
      </w:r>
      <w:r w:rsidRPr="009707B6">
        <w:t xml:space="preserve"> Food chemistry, 124(3), 863-868.</w:t>
      </w:r>
    </w:p>
    <w:p w14:paraId="62C9D851" w14:textId="4C14FBAC" w:rsidR="00B16C14" w:rsidRPr="009707B6" w:rsidRDefault="00B16C14" w:rsidP="00D22011">
      <w:pPr>
        <w:pStyle w:val="CETReferencetext"/>
      </w:pPr>
      <w:r>
        <w:t>Yilmaz Y., 2006,</w:t>
      </w:r>
      <w:r w:rsidRPr="00B16C14">
        <w:t xml:space="preserve"> Novel uses of catechins in foods</w:t>
      </w:r>
      <w:r>
        <w:t>,</w:t>
      </w:r>
      <w:r w:rsidRPr="00B16C14">
        <w:t xml:space="preserve"> Trends in Food Science &amp; Technology, 17(2), 64-71.</w:t>
      </w:r>
    </w:p>
    <w:sectPr w:rsidR="00B16C14" w:rsidRPr="009707B6"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3F11E" w14:textId="77777777" w:rsidR="003315A8" w:rsidRDefault="003315A8" w:rsidP="004F5E36">
      <w:r>
        <w:separator/>
      </w:r>
    </w:p>
  </w:endnote>
  <w:endnote w:type="continuationSeparator" w:id="0">
    <w:p w14:paraId="7057FD55" w14:textId="77777777" w:rsidR="003315A8" w:rsidRDefault="003315A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2018B" w14:textId="77777777" w:rsidR="003315A8" w:rsidRDefault="003315A8" w:rsidP="004F5E36">
      <w:r>
        <w:separator/>
      </w:r>
    </w:p>
  </w:footnote>
  <w:footnote w:type="continuationSeparator" w:id="0">
    <w:p w14:paraId="0FB474E2" w14:textId="77777777" w:rsidR="003315A8" w:rsidRDefault="003315A8"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B2435E4"/>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568"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9DF"/>
    <w:rsid w:val="000117CB"/>
    <w:rsid w:val="00012CC5"/>
    <w:rsid w:val="000261D5"/>
    <w:rsid w:val="00030E8C"/>
    <w:rsid w:val="0003148D"/>
    <w:rsid w:val="00031EEC"/>
    <w:rsid w:val="000468AD"/>
    <w:rsid w:val="00051566"/>
    <w:rsid w:val="000562A9"/>
    <w:rsid w:val="00062004"/>
    <w:rsid w:val="0006294E"/>
    <w:rsid w:val="00062A9A"/>
    <w:rsid w:val="00065058"/>
    <w:rsid w:val="00084676"/>
    <w:rsid w:val="00086C39"/>
    <w:rsid w:val="00091136"/>
    <w:rsid w:val="00092B93"/>
    <w:rsid w:val="0009395E"/>
    <w:rsid w:val="000A03B2"/>
    <w:rsid w:val="000B2A43"/>
    <w:rsid w:val="000C7F66"/>
    <w:rsid w:val="000D0268"/>
    <w:rsid w:val="000D34BE"/>
    <w:rsid w:val="000E102F"/>
    <w:rsid w:val="000E36F1"/>
    <w:rsid w:val="000E3A73"/>
    <w:rsid w:val="000E414A"/>
    <w:rsid w:val="000F093C"/>
    <w:rsid w:val="000F0C01"/>
    <w:rsid w:val="000F44ED"/>
    <w:rsid w:val="000F787B"/>
    <w:rsid w:val="00103E44"/>
    <w:rsid w:val="0012091F"/>
    <w:rsid w:val="00125620"/>
    <w:rsid w:val="00125B2B"/>
    <w:rsid w:val="00126BC2"/>
    <w:rsid w:val="001308B6"/>
    <w:rsid w:val="0013121F"/>
    <w:rsid w:val="00131FE6"/>
    <w:rsid w:val="0013263F"/>
    <w:rsid w:val="001331DF"/>
    <w:rsid w:val="001338C4"/>
    <w:rsid w:val="00133E18"/>
    <w:rsid w:val="00134B2D"/>
    <w:rsid w:val="00134DE4"/>
    <w:rsid w:val="00136339"/>
    <w:rsid w:val="0014034D"/>
    <w:rsid w:val="001413E3"/>
    <w:rsid w:val="00144195"/>
    <w:rsid w:val="00144D16"/>
    <w:rsid w:val="00150D72"/>
    <w:rsid w:val="00150E59"/>
    <w:rsid w:val="00152DE3"/>
    <w:rsid w:val="001548B7"/>
    <w:rsid w:val="00156033"/>
    <w:rsid w:val="00164CF9"/>
    <w:rsid w:val="001667A6"/>
    <w:rsid w:val="00173750"/>
    <w:rsid w:val="00184AD6"/>
    <w:rsid w:val="00184BDF"/>
    <w:rsid w:val="00186B48"/>
    <w:rsid w:val="001907AF"/>
    <w:rsid w:val="001A31AB"/>
    <w:rsid w:val="001A3211"/>
    <w:rsid w:val="001A3CD4"/>
    <w:rsid w:val="001A4AF7"/>
    <w:rsid w:val="001B0349"/>
    <w:rsid w:val="001B1E93"/>
    <w:rsid w:val="001B65C1"/>
    <w:rsid w:val="001C2E3F"/>
    <w:rsid w:val="001C684B"/>
    <w:rsid w:val="001D0CFB"/>
    <w:rsid w:val="001D2199"/>
    <w:rsid w:val="001D21AF"/>
    <w:rsid w:val="001D42E3"/>
    <w:rsid w:val="001D53FC"/>
    <w:rsid w:val="001D5F5D"/>
    <w:rsid w:val="001F0695"/>
    <w:rsid w:val="001F42A5"/>
    <w:rsid w:val="001F7B9D"/>
    <w:rsid w:val="00201B33"/>
    <w:rsid w:val="00201C93"/>
    <w:rsid w:val="00220245"/>
    <w:rsid w:val="002224B4"/>
    <w:rsid w:val="002332A5"/>
    <w:rsid w:val="002447EF"/>
    <w:rsid w:val="00251550"/>
    <w:rsid w:val="00263B05"/>
    <w:rsid w:val="0027221A"/>
    <w:rsid w:val="00273771"/>
    <w:rsid w:val="00275B61"/>
    <w:rsid w:val="00280FAF"/>
    <w:rsid w:val="00282656"/>
    <w:rsid w:val="00296B83"/>
    <w:rsid w:val="002A6DD2"/>
    <w:rsid w:val="002B1452"/>
    <w:rsid w:val="002B4015"/>
    <w:rsid w:val="002B78CE"/>
    <w:rsid w:val="002C0F65"/>
    <w:rsid w:val="002C2FB6"/>
    <w:rsid w:val="002E2C85"/>
    <w:rsid w:val="002E2F78"/>
    <w:rsid w:val="002E5FA7"/>
    <w:rsid w:val="002F3309"/>
    <w:rsid w:val="002F6A0F"/>
    <w:rsid w:val="003008CE"/>
    <w:rsid w:val="003009B7"/>
    <w:rsid w:val="00300E56"/>
    <w:rsid w:val="0030152C"/>
    <w:rsid w:val="0030469C"/>
    <w:rsid w:val="00304F33"/>
    <w:rsid w:val="003108A6"/>
    <w:rsid w:val="00321CA6"/>
    <w:rsid w:val="00323763"/>
    <w:rsid w:val="00323C5F"/>
    <w:rsid w:val="00326D3B"/>
    <w:rsid w:val="00327618"/>
    <w:rsid w:val="003315A8"/>
    <w:rsid w:val="00332FE5"/>
    <w:rsid w:val="00334C09"/>
    <w:rsid w:val="00335CEB"/>
    <w:rsid w:val="00361108"/>
    <w:rsid w:val="003723D4"/>
    <w:rsid w:val="00381905"/>
    <w:rsid w:val="0038293C"/>
    <w:rsid w:val="00384CC8"/>
    <w:rsid w:val="003871FD"/>
    <w:rsid w:val="00397AF6"/>
    <w:rsid w:val="003A1E30"/>
    <w:rsid w:val="003A2829"/>
    <w:rsid w:val="003A6FC6"/>
    <w:rsid w:val="003A7D1C"/>
    <w:rsid w:val="003B304B"/>
    <w:rsid w:val="003B3146"/>
    <w:rsid w:val="003B63A2"/>
    <w:rsid w:val="003C2EF0"/>
    <w:rsid w:val="003E589D"/>
    <w:rsid w:val="003E7EA3"/>
    <w:rsid w:val="003F015E"/>
    <w:rsid w:val="003F298E"/>
    <w:rsid w:val="00400414"/>
    <w:rsid w:val="0040160A"/>
    <w:rsid w:val="00410753"/>
    <w:rsid w:val="00413667"/>
    <w:rsid w:val="00413AFF"/>
    <w:rsid w:val="0041446B"/>
    <w:rsid w:val="00430515"/>
    <w:rsid w:val="0044071E"/>
    <w:rsid w:val="0044329C"/>
    <w:rsid w:val="00453E24"/>
    <w:rsid w:val="0045744A"/>
    <w:rsid w:val="00457456"/>
    <w:rsid w:val="004577FE"/>
    <w:rsid w:val="00457B9C"/>
    <w:rsid w:val="0046164A"/>
    <w:rsid w:val="004628D2"/>
    <w:rsid w:val="00462DCD"/>
    <w:rsid w:val="004648AD"/>
    <w:rsid w:val="00465801"/>
    <w:rsid w:val="004703A9"/>
    <w:rsid w:val="00471FAD"/>
    <w:rsid w:val="004760DE"/>
    <w:rsid w:val="004763D7"/>
    <w:rsid w:val="00481C50"/>
    <w:rsid w:val="004A004E"/>
    <w:rsid w:val="004A24CF"/>
    <w:rsid w:val="004B383A"/>
    <w:rsid w:val="004C3D1D"/>
    <w:rsid w:val="004C3D84"/>
    <w:rsid w:val="004C7913"/>
    <w:rsid w:val="004D2B06"/>
    <w:rsid w:val="004E0C67"/>
    <w:rsid w:val="004E4DD6"/>
    <w:rsid w:val="004F05BA"/>
    <w:rsid w:val="004F0A00"/>
    <w:rsid w:val="004F5E36"/>
    <w:rsid w:val="004F6701"/>
    <w:rsid w:val="004F7701"/>
    <w:rsid w:val="00501602"/>
    <w:rsid w:val="00501784"/>
    <w:rsid w:val="00503188"/>
    <w:rsid w:val="00507913"/>
    <w:rsid w:val="0050798A"/>
    <w:rsid w:val="00507B47"/>
    <w:rsid w:val="00507BEF"/>
    <w:rsid w:val="00507CC9"/>
    <w:rsid w:val="005119A5"/>
    <w:rsid w:val="00512B8D"/>
    <w:rsid w:val="00516AAC"/>
    <w:rsid w:val="00520364"/>
    <w:rsid w:val="00522374"/>
    <w:rsid w:val="005252C6"/>
    <w:rsid w:val="005278B7"/>
    <w:rsid w:val="00532016"/>
    <w:rsid w:val="005346C8"/>
    <w:rsid w:val="005366CA"/>
    <w:rsid w:val="00540626"/>
    <w:rsid w:val="00543E7D"/>
    <w:rsid w:val="00547A68"/>
    <w:rsid w:val="00552D9D"/>
    <w:rsid w:val="005531C9"/>
    <w:rsid w:val="0056199B"/>
    <w:rsid w:val="005627F7"/>
    <w:rsid w:val="00565DD1"/>
    <w:rsid w:val="00570C43"/>
    <w:rsid w:val="00571362"/>
    <w:rsid w:val="0058585E"/>
    <w:rsid w:val="0058713B"/>
    <w:rsid w:val="005B1D4F"/>
    <w:rsid w:val="005B2110"/>
    <w:rsid w:val="005B61E6"/>
    <w:rsid w:val="005C77E1"/>
    <w:rsid w:val="005D668A"/>
    <w:rsid w:val="005D6A2F"/>
    <w:rsid w:val="005E1A82"/>
    <w:rsid w:val="005E794C"/>
    <w:rsid w:val="005F0A28"/>
    <w:rsid w:val="005F0E5E"/>
    <w:rsid w:val="005F2E22"/>
    <w:rsid w:val="00600535"/>
    <w:rsid w:val="00606E60"/>
    <w:rsid w:val="00610CD6"/>
    <w:rsid w:val="00614796"/>
    <w:rsid w:val="00615FB6"/>
    <w:rsid w:val="00620DEE"/>
    <w:rsid w:val="00621F92"/>
    <w:rsid w:val="0062280A"/>
    <w:rsid w:val="00625639"/>
    <w:rsid w:val="00631B33"/>
    <w:rsid w:val="0064184D"/>
    <w:rsid w:val="006422CC"/>
    <w:rsid w:val="006512CF"/>
    <w:rsid w:val="006556B5"/>
    <w:rsid w:val="00660E3E"/>
    <w:rsid w:val="00662E74"/>
    <w:rsid w:val="00664AB4"/>
    <w:rsid w:val="00666D08"/>
    <w:rsid w:val="00670263"/>
    <w:rsid w:val="00680C23"/>
    <w:rsid w:val="006852D3"/>
    <w:rsid w:val="00693766"/>
    <w:rsid w:val="006A3281"/>
    <w:rsid w:val="006B4888"/>
    <w:rsid w:val="006C2E45"/>
    <w:rsid w:val="006C359C"/>
    <w:rsid w:val="006C376C"/>
    <w:rsid w:val="006C5579"/>
    <w:rsid w:val="006C6B8A"/>
    <w:rsid w:val="006C7B81"/>
    <w:rsid w:val="006D6E8B"/>
    <w:rsid w:val="006E19A1"/>
    <w:rsid w:val="006E203D"/>
    <w:rsid w:val="006E737D"/>
    <w:rsid w:val="00700DDA"/>
    <w:rsid w:val="00707837"/>
    <w:rsid w:val="007107FD"/>
    <w:rsid w:val="00713973"/>
    <w:rsid w:val="00716143"/>
    <w:rsid w:val="00720A24"/>
    <w:rsid w:val="00732386"/>
    <w:rsid w:val="0073514D"/>
    <w:rsid w:val="007447F3"/>
    <w:rsid w:val="00746B6C"/>
    <w:rsid w:val="0075499F"/>
    <w:rsid w:val="00755238"/>
    <w:rsid w:val="0075774C"/>
    <w:rsid w:val="00765F09"/>
    <w:rsid w:val="007661C8"/>
    <w:rsid w:val="0077098D"/>
    <w:rsid w:val="00774D7C"/>
    <w:rsid w:val="007769AB"/>
    <w:rsid w:val="00790A3F"/>
    <w:rsid w:val="007931FA"/>
    <w:rsid w:val="0079394A"/>
    <w:rsid w:val="007948FC"/>
    <w:rsid w:val="007A4861"/>
    <w:rsid w:val="007A7BBA"/>
    <w:rsid w:val="007B0C50"/>
    <w:rsid w:val="007B16CD"/>
    <w:rsid w:val="007B418C"/>
    <w:rsid w:val="007B48EC"/>
    <w:rsid w:val="007B48F9"/>
    <w:rsid w:val="007C1A43"/>
    <w:rsid w:val="007C4061"/>
    <w:rsid w:val="007D0951"/>
    <w:rsid w:val="007D287A"/>
    <w:rsid w:val="007D5E6B"/>
    <w:rsid w:val="007D6543"/>
    <w:rsid w:val="0080013E"/>
    <w:rsid w:val="008004D1"/>
    <w:rsid w:val="008010D7"/>
    <w:rsid w:val="00813288"/>
    <w:rsid w:val="00814ECF"/>
    <w:rsid w:val="008168FC"/>
    <w:rsid w:val="0082581F"/>
    <w:rsid w:val="00830996"/>
    <w:rsid w:val="008345F1"/>
    <w:rsid w:val="0084285C"/>
    <w:rsid w:val="00842DF1"/>
    <w:rsid w:val="00850988"/>
    <w:rsid w:val="00857B85"/>
    <w:rsid w:val="00865B07"/>
    <w:rsid w:val="008667EA"/>
    <w:rsid w:val="00874854"/>
    <w:rsid w:val="0087637F"/>
    <w:rsid w:val="00885D7F"/>
    <w:rsid w:val="00892AD5"/>
    <w:rsid w:val="00895EB1"/>
    <w:rsid w:val="008A1512"/>
    <w:rsid w:val="008B7C03"/>
    <w:rsid w:val="008C0F59"/>
    <w:rsid w:val="008C64C5"/>
    <w:rsid w:val="008D32B9"/>
    <w:rsid w:val="008D3ED7"/>
    <w:rsid w:val="008D433B"/>
    <w:rsid w:val="008D4A16"/>
    <w:rsid w:val="008E566E"/>
    <w:rsid w:val="009002A3"/>
    <w:rsid w:val="0090161A"/>
    <w:rsid w:val="00901EB6"/>
    <w:rsid w:val="00904C62"/>
    <w:rsid w:val="0091252A"/>
    <w:rsid w:val="00922BA8"/>
    <w:rsid w:val="00924763"/>
    <w:rsid w:val="00924DAC"/>
    <w:rsid w:val="00927058"/>
    <w:rsid w:val="00933B8A"/>
    <w:rsid w:val="00936A84"/>
    <w:rsid w:val="00940B34"/>
    <w:rsid w:val="00942750"/>
    <w:rsid w:val="009450CE"/>
    <w:rsid w:val="009459BB"/>
    <w:rsid w:val="00947179"/>
    <w:rsid w:val="00947BBE"/>
    <w:rsid w:val="0095164B"/>
    <w:rsid w:val="00954090"/>
    <w:rsid w:val="009573E7"/>
    <w:rsid w:val="0096084B"/>
    <w:rsid w:val="00961526"/>
    <w:rsid w:val="00963E05"/>
    <w:rsid w:val="00964A45"/>
    <w:rsid w:val="00967843"/>
    <w:rsid w:val="00967D54"/>
    <w:rsid w:val="009707B6"/>
    <w:rsid w:val="00971028"/>
    <w:rsid w:val="009810C1"/>
    <w:rsid w:val="00983B10"/>
    <w:rsid w:val="009907E2"/>
    <w:rsid w:val="00992443"/>
    <w:rsid w:val="00993B84"/>
    <w:rsid w:val="00995EE8"/>
    <w:rsid w:val="009962A8"/>
    <w:rsid w:val="00996483"/>
    <w:rsid w:val="00996F5A"/>
    <w:rsid w:val="009A0AC3"/>
    <w:rsid w:val="009A32CF"/>
    <w:rsid w:val="009B041A"/>
    <w:rsid w:val="009B5500"/>
    <w:rsid w:val="009B5FD2"/>
    <w:rsid w:val="009C37C3"/>
    <w:rsid w:val="009C7C86"/>
    <w:rsid w:val="009D2DDA"/>
    <w:rsid w:val="009D2FF7"/>
    <w:rsid w:val="009E0653"/>
    <w:rsid w:val="009E7884"/>
    <w:rsid w:val="009E788A"/>
    <w:rsid w:val="009F0B00"/>
    <w:rsid w:val="009F0E08"/>
    <w:rsid w:val="009F46CA"/>
    <w:rsid w:val="009F496D"/>
    <w:rsid w:val="00A1763D"/>
    <w:rsid w:val="00A17CEC"/>
    <w:rsid w:val="00A2217F"/>
    <w:rsid w:val="00A27EF0"/>
    <w:rsid w:val="00A31FF0"/>
    <w:rsid w:val="00A42361"/>
    <w:rsid w:val="00A50B20"/>
    <w:rsid w:val="00A51390"/>
    <w:rsid w:val="00A55737"/>
    <w:rsid w:val="00A60D13"/>
    <w:rsid w:val="00A636A7"/>
    <w:rsid w:val="00A656E9"/>
    <w:rsid w:val="00A6769E"/>
    <w:rsid w:val="00A7223D"/>
    <w:rsid w:val="00A72745"/>
    <w:rsid w:val="00A76EFC"/>
    <w:rsid w:val="00A806A6"/>
    <w:rsid w:val="00A86F2F"/>
    <w:rsid w:val="00A87D50"/>
    <w:rsid w:val="00A90BB0"/>
    <w:rsid w:val="00A91010"/>
    <w:rsid w:val="00A97B71"/>
    <w:rsid w:val="00A97BCB"/>
    <w:rsid w:val="00A97F29"/>
    <w:rsid w:val="00AA4CAF"/>
    <w:rsid w:val="00AA702E"/>
    <w:rsid w:val="00AA7D26"/>
    <w:rsid w:val="00AB0964"/>
    <w:rsid w:val="00AB206B"/>
    <w:rsid w:val="00AB4F4E"/>
    <w:rsid w:val="00AB5011"/>
    <w:rsid w:val="00AC27B8"/>
    <w:rsid w:val="00AC5135"/>
    <w:rsid w:val="00AC5665"/>
    <w:rsid w:val="00AC7368"/>
    <w:rsid w:val="00AD16B9"/>
    <w:rsid w:val="00AE377D"/>
    <w:rsid w:val="00AE3F9A"/>
    <w:rsid w:val="00AF0EBA"/>
    <w:rsid w:val="00B02C8A"/>
    <w:rsid w:val="00B135E3"/>
    <w:rsid w:val="00B16C14"/>
    <w:rsid w:val="00B17FBD"/>
    <w:rsid w:val="00B24A6D"/>
    <w:rsid w:val="00B315A6"/>
    <w:rsid w:val="00B31813"/>
    <w:rsid w:val="00B3307E"/>
    <w:rsid w:val="00B33365"/>
    <w:rsid w:val="00B410D6"/>
    <w:rsid w:val="00B42AB0"/>
    <w:rsid w:val="00B57B36"/>
    <w:rsid w:val="00B57E6F"/>
    <w:rsid w:val="00B8686D"/>
    <w:rsid w:val="00B93F69"/>
    <w:rsid w:val="00B9460C"/>
    <w:rsid w:val="00BB1DDC"/>
    <w:rsid w:val="00BB442B"/>
    <w:rsid w:val="00BC30C9"/>
    <w:rsid w:val="00BD077D"/>
    <w:rsid w:val="00BE3E58"/>
    <w:rsid w:val="00BF0936"/>
    <w:rsid w:val="00C01616"/>
    <w:rsid w:val="00C0162B"/>
    <w:rsid w:val="00C068ED"/>
    <w:rsid w:val="00C111F4"/>
    <w:rsid w:val="00C22E0C"/>
    <w:rsid w:val="00C24868"/>
    <w:rsid w:val="00C261ED"/>
    <w:rsid w:val="00C272BC"/>
    <w:rsid w:val="00C33056"/>
    <w:rsid w:val="00C345B1"/>
    <w:rsid w:val="00C37A0F"/>
    <w:rsid w:val="00C40142"/>
    <w:rsid w:val="00C52C3C"/>
    <w:rsid w:val="00C53C35"/>
    <w:rsid w:val="00C56182"/>
    <w:rsid w:val="00C57182"/>
    <w:rsid w:val="00C57863"/>
    <w:rsid w:val="00C640AF"/>
    <w:rsid w:val="00C6488A"/>
    <w:rsid w:val="00C655FD"/>
    <w:rsid w:val="00C75407"/>
    <w:rsid w:val="00C76D11"/>
    <w:rsid w:val="00C77F17"/>
    <w:rsid w:val="00C870A8"/>
    <w:rsid w:val="00C93660"/>
    <w:rsid w:val="00C94434"/>
    <w:rsid w:val="00C95BBB"/>
    <w:rsid w:val="00CA0D4A"/>
    <w:rsid w:val="00CA0D75"/>
    <w:rsid w:val="00CA1A6E"/>
    <w:rsid w:val="00CA1C95"/>
    <w:rsid w:val="00CA4195"/>
    <w:rsid w:val="00CA5A9C"/>
    <w:rsid w:val="00CA65A1"/>
    <w:rsid w:val="00CC4C20"/>
    <w:rsid w:val="00CC626F"/>
    <w:rsid w:val="00CD3517"/>
    <w:rsid w:val="00CD3F45"/>
    <w:rsid w:val="00CD5FE2"/>
    <w:rsid w:val="00CD61B4"/>
    <w:rsid w:val="00CE00E8"/>
    <w:rsid w:val="00CE2CF7"/>
    <w:rsid w:val="00CE7C68"/>
    <w:rsid w:val="00D02B4C"/>
    <w:rsid w:val="00D040C4"/>
    <w:rsid w:val="00D15416"/>
    <w:rsid w:val="00D20402"/>
    <w:rsid w:val="00D20AD1"/>
    <w:rsid w:val="00D22011"/>
    <w:rsid w:val="00D329BD"/>
    <w:rsid w:val="00D37CD2"/>
    <w:rsid w:val="00D46B7E"/>
    <w:rsid w:val="00D57C84"/>
    <w:rsid w:val="00D6057D"/>
    <w:rsid w:val="00D63C15"/>
    <w:rsid w:val="00D648EC"/>
    <w:rsid w:val="00D71640"/>
    <w:rsid w:val="00D74ACA"/>
    <w:rsid w:val="00D824C9"/>
    <w:rsid w:val="00D836C5"/>
    <w:rsid w:val="00D84576"/>
    <w:rsid w:val="00D951AC"/>
    <w:rsid w:val="00D97C5A"/>
    <w:rsid w:val="00DA1399"/>
    <w:rsid w:val="00DA24C6"/>
    <w:rsid w:val="00DA4D7B"/>
    <w:rsid w:val="00DD00A7"/>
    <w:rsid w:val="00DD271C"/>
    <w:rsid w:val="00DE264A"/>
    <w:rsid w:val="00DF5072"/>
    <w:rsid w:val="00DF6367"/>
    <w:rsid w:val="00E02AB6"/>
    <w:rsid w:val="00E02D18"/>
    <w:rsid w:val="00E041E7"/>
    <w:rsid w:val="00E23CA1"/>
    <w:rsid w:val="00E24688"/>
    <w:rsid w:val="00E265EB"/>
    <w:rsid w:val="00E3163A"/>
    <w:rsid w:val="00E33DD7"/>
    <w:rsid w:val="00E409A8"/>
    <w:rsid w:val="00E50C12"/>
    <w:rsid w:val="00E61DA5"/>
    <w:rsid w:val="00E65B91"/>
    <w:rsid w:val="00E701A2"/>
    <w:rsid w:val="00E7209D"/>
    <w:rsid w:val="00E72EAD"/>
    <w:rsid w:val="00E769C4"/>
    <w:rsid w:val="00E77223"/>
    <w:rsid w:val="00E80013"/>
    <w:rsid w:val="00E8528B"/>
    <w:rsid w:val="00E85B94"/>
    <w:rsid w:val="00E976EF"/>
    <w:rsid w:val="00E978D0"/>
    <w:rsid w:val="00EA368D"/>
    <w:rsid w:val="00EA4613"/>
    <w:rsid w:val="00EA7F91"/>
    <w:rsid w:val="00EB1523"/>
    <w:rsid w:val="00EB63EC"/>
    <w:rsid w:val="00EC0E49"/>
    <w:rsid w:val="00EC101F"/>
    <w:rsid w:val="00EC1D9F"/>
    <w:rsid w:val="00ED6F21"/>
    <w:rsid w:val="00EE0131"/>
    <w:rsid w:val="00EE17B0"/>
    <w:rsid w:val="00EF06D9"/>
    <w:rsid w:val="00EF2DF0"/>
    <w:rsid w:val="00EF6B97"/>
    <w:rsid w:val="00F052ED"/>
    <w:rsid w:val="00F12B79"/>
    <w:rsid w:val="00F1321E"/>
    <w:rsid w:val="00F1786D"/>
    <w:rsid w:val="00F228C7"/>
    <w:rsid w:val="00F22A81"/>
    <w:rsid w:val="00F273F8"/>
    <w:rsid w:val="00F3049E"/>
    <w:rsid w:val="00F30C64"/>
    <w:rsid w:val="00F32BA2"/>
    <w:rsid w:val="00F32CDB"/>
    <w:rsid w:val="00F535B0"/>
    <w:rsid w:val="00F565FE"/>
    <w:rsid w:val="00F63336"/>
    <w:rsid w:val="00F63A70"/>
    <w:rsid w:val="00F63D8C"/>
    <w:rsid w:val="00F7534E"/>
    <w:rsid w:val="00F93EDF"/>
    <w:rsid w:val="00FA1802"/>
    <w:rsid w:val="00FA21D0"/>
    <w:rsid w:val="00FA5F5F"/>
    <w:rsid w:val="00FB533B"/>
    <w:rsid w:val="00FB730C"/>
    <w:rsid w:val="00FC2695"/>
    <w:rsid w:val="00FC3E03"/>
    <w:rsid w:val="00FC3FC1"/>
    <w:rsid w:val="00FD2C3E"/>
    <w:rsid w:val="00FE03CB"/>
    <w:rsid w:val="00FE4D5E"/>
    <w:rsid w:val="00FE719F"/>
    <w:rsid w:val="00FF047E"/>
    <w:rsid w:val="00FF13FC"/>
    <w:rsid w:val="00FF16DE"/>
    <w:rsid w:val="00FF655B"/>
    <w:rsid w:val="00FF6DD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273771"/>
    <w:pPr>
      <w:keepNext/>
      <w:numPr>
        <w:ilvl w:val="2"/>
        <w:numId w:val="1"/>
      </w:numPr>
      <w:suppressAutoHyphens/>
      <w:spacing w:before="120" w:after="120" w:line="240" w:lineRule="auto"/>
    </w:pPr>
    <w:rPr>
      <w:rFonts w:ascii="Arial" w:eastAsia="Times New Roman" w:hAnsi="Arial" w:cs="Times New Roman"/>
      <w:b/>
      <w:color w:val="1F497D" w:themeColor="text2"/>
      <w:sz w:val="18"/>
      <w:szCs w:val="20"/>
      <w:lang w:val="en-GB"/>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273771"/>
    <w:rPr>
      <w:rFonts w:ascii="Arial" w:eastAsia="Times New Roman" w:hAnsi="Arial" w:cs="Times New Roman"/>
      <w:b/>
      <w:color w:val="1F497D" w:themeColor="text2"/>
      <w:sz w:val="18"/>
      <w:szCs w:val="20"/>
      <w:lang w:val="en-GB"/>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color w:val="1F497D" w:themeColor="text2"/>
      <w:sz w:val="18"/>
      <w:szCs w:val="20"/>
      <w:lang w:val="en-US"/>
    </w:rPr>
  </w:style>
  <w:style w:type="paragraph" w:styleId="Paragrafoelenco">
    <w:name w:val="List Paragraph"/>
    <w:basedOn w:val="Normale"/>
    <w:uiPriority w:val="34"/>
    <w:rsid w:val="00280FAF"/>
    <w:pPr>
      <w:ind w:left="720"/>
      <w:contextualSpacing/>
    </w:pPr>
  </w:style>
  <w:style w:type="paragraph" w:styleId="Revisione">
    <w:name w:val="Revision"/>
    <w:hidden/>
    <w:uiPriority w:val="99"/>
    <w:semiHidden/>
    <w:rsid w:val="006512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13451555">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A814E-E7D8-4DB7-98E8-D447F6835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4065</Words>
  <Characters>23176</Characters>
  <Application>Microsoft Office Word</Application>
  <DocSecurity>0</DocSecurity>
  <Lines>193</Lines>
  <Paragraphs>54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piazzal esp lap3</cp:lastModifiedBy>
  <cp:revision>15</cp:revision>
  <cp:lastPrinted>2023-03-30T10:39:00Z</cp:lastPrinted>
  <dcterms:created xsi:type="dcterms:W3CDTF">2023-03-31T14:11:00Z</dcterms:created>
  <dcterms:modified xsi:type="dcterms:W3CDTF">2023-05-19T13:40:00Z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