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1125B055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2E38F8EF" w14:textId="264CB7BE" w:rsidR="000A03B2" w:rsidRPr="00B57B36" w:rsidRDefault="000A03B2" w:rsidP="007B72FE">
            <w:pPr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pt-BR" w:eastAsia="pt-BR"/>
              </w:rPr>
              <w:drawing>
                <wp:inline distT="0" distB="0" distL="0" distR="0" wp14:anchorId="6EB9148F" wp14:editId="4D56A6FD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5AB2A7D6" w14:textId="77777777" w:rsidR="000A03B2" w:rsidRPr="00B57B36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DDB3BB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E44D17E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pt-BR" w:eastAsia="pt-BR"/>
              </w:rPr>
              <w:drawing>
                <wp:inline distT="0" distB="0" distL="0" distR="0" wp14:anchorId="10510743" wp14:editId="0F905688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7DE745B6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6DEA7362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5973E1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40BF738D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0BC0C8E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963E05">
              <w:rPr>
                <w:rFonts w:cs="Arial"/>
                <w:sz w:val="14"/>
                <w:szCs w:val="14"/>
              </w:rPr>
              <w:t>www.aidic.it/cet</w:t>
            </w:r>
          </w:p>
        </w:tc>
      </w:tr>
      <w:tr w:rsidR="000A03B2" w:rsidRPr="00B57B36" w14:paraId="6BF3BC56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2C6A5F7D" w14:textId="77777777" w:rsidR="00300E56" w:rsidRPr="00252C1A" w:rsidRDefault="00300E56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252C1A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14:paraId="07DE085E" w14:textId="77777777" w:rsidR="000A03B2" w:rsidRPr="00B57B36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420349F0" w14:textId="456279F4" w:rsidR="00E978D0" w:rsidRDefault="008A2C23" w:rsidP="00E978D0">
      <w:pPr>
        <w:pStyle w:val="CETTitle"/>
      </w:pPr>
      <w:r w:rsidRPr="008A2C23">
        <w:t>Q</w:t>
      </w:r>
      <w:r>
        <w:t>ualitive</w:t>
      </w:r>
      <w:r w:rsidRPr="008A2C23">
        <w:t xml:space="preserve"> C</w:t>
      </w:r>
      <w:r>
        <w:t>haracteristics of Processing Tomat</w:t>
      </w:r>
      <w:r w:rsidR="00233BA6">
        <w:t>o</w:t>
      </w:r>
      <w:r>
        <w:t xml:space="preserve"> Cultivated Under Water Deficit Induced in the Vegetative Growth Stage</w:t>
      </w:r>
      <w:r w:rsidRPr="008A2C23">
        <w:t xml:space="preserve"> </w:t>
      </w:r>
    </w:p>
    <w:p w14:paraId="0EC94202" w14:textId="77777777" w:rsidR="00A526DF" w:rsidRDefault="00A526DF" w:rsidP="00A526DF">
      <w:pPr>
        <w:pStyle w:val="CETAuthors"/>
        <w:rPr>
          <w:lang w:val="pt-BR"/>
        </w:rPr>
      </w:pPr>
      <w:r>
        <w:rPr>
          <w:lang w:val="pt-BR"/>
        </w:rPr>
        <w:t>Marcio Mesquita</w:t>
      </w:r>
      <w:r>
        <w:rPr>
          <w:vertAlign w:val="superscript"/>
          <w:lang w:val="pt-BR"/>
        </w:rPr>
        <w:t>a*</w:t>
      </w:r>
      <w:r>
        <w:rPr>
          <w:lang w:val="pt-BR"/>
        </w:rPr>
        <w:t>, Antônio P. dos Santos</w:t>
      </w:r>
      <w:r>
        <w:rPr>
          <w:vertAlign w:val="superscript"/>
          <w:lang w:val="pt-BR"/>
        </w:rPr>
        <w:t>b</w:t>
      </w:r>
      <w:r>
        <w:rPr>
          <w:lang w:val="pt-BR"/>
        </w:rPr>
        <w:t>, Alexandre L. P. Machado</w:t>
      </w:r>
      <w:r>
        <w:rPr>
          <w:vertAlign w:val="superscript"/>
          <w:lang w:val="pt-BR"/>
        </w:rPr>
        <w:t>b</w:t>
      </w:r>
      <w:r>
        <w:rPr>
          <w:lang w:val="pt-BR"/>
        </w:rPr>
        <w:t>, Henrique F. E. de Oliveira</w:t>
      </w:r>
      <w:r>
        <w:rPr>
          <w:vertAlign w:val="superscript"/>
          <w:lang w:val="pt-BR"/>
        </w:rPr>
        <w:t>b</w:t>
      </w:r>
      <w:r>
        <w:rPr>
          <w:lang w:val="pt-BR"/>
        </w:rPr>
        <w:t>, Derblai Casaroli</w:t>
      </w:r>
      <w:r>
        <w:rPr>
          <w:vertAlign w:val="superscript"/>
          <w:lang w:val="pt-BR"/>
        </w:rPr>
        <w:t>a</w:t>
      </w:r>
      <w:r>
        <w:rPr>
          <w:lang w:val="pt-BR"/>
        </w:rPr>
        <w:t>, José A. Junior</w:t>
      </w:r>
      <w:r>
        <w:rPr>
          <w:vertAlign w:val="superscript"/>
          <w:lang w:val="pt-BR"/>
        </w:rPr>
        <w:t>a</w:t>
      </w:r>
      <w:r>
        <w:rPr>
          <w:lang w:val="pt-BR"/>
        </w:rPr>
        <w:t xml:space="preserve"> </w:t>
      </w:r>
    </w:p>
    <w:p w14:paraId="59F60A63" w14:textId="77777777" w:rsidR="00A526DF" w:rsidRDefault="00A526DF" w:rsidP="00A526DF">
      <w:pPr>
        <w:pStyle w:val="CETAddress"/>
      </w:pPr>
      <w:r>
        <w:rPr>
          <w:vertAlign w:val="superscript"/>
        </w:rPr>
        <w:t>a</w:t>
      </w:r>
      <w:r>
        <w:t xml:space="preserve">Department of Biosystems, College of Agronomy, Federal University of Goiás, Goiânia-GO, Brazil. </w:t>
      </w:r>
    </w:p>
    <w:p w14:paraId="4EF952A1" w14:textId="77777777" w:rsidR="00A526DF" w:rsidRDefault="00A526DF" w:rsidP="00A526DF">
      <w:pPr>
        <w:pStyle w:val="CETAddress"/>
      </w:pPr>
      <w:r>
        <w:rPr>
          <w:vertAlign w:val="superscript"/>
        </w:rPr>
        <w:t>b</w:t>
      </w:r>
      <w:r>
        <w:t xml:space="preserve">College of Agronomy, Federal Institute Goiano, Ceres-GO, Brazil. </w:t>
      </w:r>
    </w:p>
    <w:p w14:paraId="4DE3BC16" w14:textId="77777777" w:rsidR="00A526DF" w:rsidRDefault="00A526DF" w:rsidP="00A526DF">
      <w:pPr>
        <w:pStyle w:val="CETemail"/>
      </w:pPr>
      <w:r>
        <w:t xml:space="preserve"> </w:t>
      </w:r>
      <w:hyperlink r:id="rId10" w:history="1">
        <w:r>
          <w:rPr>
            <w:rStyle w:val="Hyperlink"/>
          </w:rPr>
          <w:t>marciomes@gmail.com</w:t>
        </w:r>
      </w:hyperlink>
      <w:r>
        <w:t xml:space="preserve"> </w:t>
      </w:r>
    </w:p>
    <w:p w14:paraId="150B2853" w14:textId="207FAAC5" w:rsidR="001A5E11" w:rsidRDefault="00FC4DD1" w:rsidP="00600535">
      <w:pPr>
        <w:pStyle w:val="CETBodytext"/>
        <w:rPr>
          <w:lang w:val="en-GB"/>
        </w:rPr>
      </w:pPr>
      <w:r w:rsidRPr="00FC4DD1">
        <w:rPr>
          <w:lang w:val="en-GB"/>
        </w:rPr>
        <w:t xml:space="preserve">Water management for irrigation can be defined as a strategy </w:t>
      </w:r>
      <w:r w:rsidR="00233BA6">
        <w:rPr>
          <w:lang w:val="en-GB"/>
        </w:rPr>
        <w:t>of</w:t>
      </w:r>
      <w:r w:rsidR="00233BA6" w:rsidRPr="00FC4DD1">
        <w:rPr>
          <w:lang w:val="en-GB"/>
        </w:rPr>
        <w:t xml:space="preserve"> </w:t>
      </w:r>
      <w:r w:rsidRPr="00FC4DD1">
        <w:rPr>
          <w:lang w:val="en-GB"/>
        </w:rPr>
        <w:t xml:space="preserve">planning and support systems to save and optimize water resources for human </w:t>
      </w:r>
      <w:r w:rsidR="00233BA6">
        <w:rPr>
          <w:lang w:val="en-GB"/>
        </w:rPr>
        <w:t>and</w:t>
      </w:r>
      <w:r w:rsidR="00233BA6" w:rsidRPr="00FC4DD1">
        <w:rPr>
          <w:lang w:val="en-GB"/>
        </w:rPr>
        <w:t xml:space="preserve"> </w:t>
      </w:r>
      <w:r w:rsidRPr="00FC4DD1">
        <w:rPr>
          <w:lang w:val="en-GB"/>
        </w:rPr>
        <w:t xml:space="preserve">environmental </w:t>
      </w:r>
      <w:r w:rsidR="00233BA6">
        <w:rPr>
          <w:lang w:val="en-GB"/>
        </w:rPr>
        <w:t>purposes</w:t>
      </w:r>
      <w:r w:rsidRPr="00FC4DD1">
        <w:rPr>
          <w:lang w:val="en-GB"/>
        </w:rPr>
        <w:t xml:space="preserve">. </w:t>
      </w:r>
      <w:r w:rsidR="00233BA6">
        <w:rPr>
          <w:lang w:val="en-GB"/>
        </w:rPr>
        <w:t>R</w:t>
      </w:r>
      <w:r w:rsidRPr="00FC4DD1">
        <w:rPr>
          <w:lang w:val="en-GB"/>
        </w:rPr>
        <w:t>egulated deficit irrigation (RDI) or soil water deficit is a strategy where the amount of water used is kept below th</w:t>
      </w:r>
      <w:r w:rsidR="00233BA6">
        <w:rPr>
          <w:lang w:val="en-GB"/>
        </w:rPr>
        <w:t>e</w:t>
      </w:r>
      <w:r w:rsidRPr="00FC4DD1">
        <w:rPr>
          <w:lang w:val="en-GB"/>
        </w:rPr>
        <w:t xml:space="preserve"> maximum level</w:t>
      </w:r>
      <w:r w:rsidR="00233BA6">
        <w:rPr>
          <w:lang w:val="en-GB"/>
        </w:rPr>
        <w:t>,</w:t>
      </w:r>
      <w:r w:rsidRPr="00FC4DD1">
        <w:rPr>
          <w:lang w:val="en-GB"/>
        </w:rPr>
        <w:t xml:space="preserve"> and the minor stress that develops has minimal effects on yield. In this irrigation </w:t>
      </w:r>
      <w:r w:rsidR="00233BA6" w:rsidRPr="00FC4DD1">
        <w:rPr>
          <w:lang w:val="en-GB"/>
        </w:rPr>
        <w:t>model</w:t>
      </w:r>
      <w:r w:rsidRPr="00FC4DD1">
        <w:rPr>
          <w:lang w:val="en-GB"/>
        </w:rPr>
        <w:t>, the entire root</w:t>
      </w:r>
      <w:r w:rsidR="00233BA6">
        <w:rPr>
          <w:lang w:val="en-GB"/>
        </w:rPr>
        <w:t xml:space="preserve"> </w:t>
      </w:r>
      <w:r w:rsidRPr="00FC4DD1">
        <w:rPr>
          <w:lang w:val="en-GB"/>
        </w:rPr>
        <w:t>zone is irrigated at less than the maximum crop evapotranspiration, in different phenological</w:t>
      </w:r>
      <w:r w:rsidR="00233BA6" w:rsidRPr="00233BA6">
        <w:rPr>
          <w:lang w:val="en-GB"/>
        </w:rPr>
        <w:t xml:space="preserve"> </w:t>
      </w:r>
      <w:r w:rsidR="00233BA6" w:rsidRPr="00FC4DD1">
        <w:rPr>
          <w:lang w:val="en-GB"/>
        </w:rPr>
        <w:t>phases</w:t>
      </w:r>
      <w:r w:rsidRPr="00FC4DD1">
        <w:rPr>
          <w:lang w:val="en-GB"/>
        </w:rPr>
        <w:t>, without interfering significant</w:t>
      </w:r>
      <w:r w:rsidR="00233BA6">
        <w:rPr>
          <w:lang w:val="en-GB"/>
        </w:rPr>
        <w:t>ly</w:t>
      </w:r>
      <w:r w:rsidRPr="00FC4DD1">
        <w:rPr>
          <w:lang w:val="en-GB"/>
        </w:rPr>
        <w:t xml:space="preserve"> in the physiologic</w:t>
      </w:r>
      <w:r w:rsidR="00233BA6">
        <w:rPr>
          <w:lang w:val="en-GB"/>
        </w:rPr>
        <w:t>al</w:t>
      </w:r>
      <w:r w:rsidRPr="00FC4DD1">
        <w:rPr>
          <w:lang w:val="en-GB"/>
        </w:rPr>
        <w:t xml:space="preserve"> </w:t>
      </w:r>
      <w:proofErr w:type="spellStart"/>
      <w:r w:rsidRPr="00FC4DD1">
        <w:rPr>
          <w:lang w:val="en-GB"/>
        </w:rPr>
        <w:t>behavior</w:t>
      </w:r>
      <w:proofErr w:type="spellEnd"/>
      <w:r w:rsidRPr="00FC4DD1">
        <w:rPr>
          <w:lang w:val="en-GB"/>
        </w:rPr>
        <w:t xml:space="preserve"> of </w:t>
      </w:r>
      <w:r w:rsidR="00233BA6">
        <w:rPr>
          <w:lang w:val="en-GB"/>
        </w:rPr>
        <w:t>crops.</w:t>
      </w:r>
      <w:r w:rsidRPr="00FC4DD1">
        <w:rPr>
          <w:lang w:val="en-GB"/>
        </w:rPr>
        <w:t xml:space="preserve"> </w:t>
      </w:r>
      <w:r w:rsidR="00233BA6">
        <w:rPr>
          <w:lang w:val="en-GB"/>
        </w:rPr>
        <w:t xml:space="preserve">This </w:t>
      </w:r>
      <w:r w:rsidR="004D3B9C">
        <w:rPr>
          <w:lang w:val="en-GB"/>
        </w:rPr>
        <w:t xml:space="preserve">allows </w:t>
      </w:r>
      <w:r w:rsidR="00233BA6">
        <w:rPr>
          <w:lang w:val="en-GB"/>
        </w:rPr>
        <w:t>a</w:t>
      </w:r>
      <w:r w:rsidRPr="00FC4DD1">
        <w:rPr>
          <w:lang w:val="en-GB"/>
        </w:rPr>
        <w:t xml:space="preserve"> quantitative and qualitative increase in different </w:t>
      </w:r>
      <w:r w:rsidR="00233BA6">
        <w:rPr>
          <w:lang w:val="en-GB"/>
        </w:rPr>
        <w:t>crops</w:t>
      </w:r>
      <w:r w:rsidRPr="00FC4DD1">
        <w:rPr>
          <w:lang w:val="en-GB"/>
        </w:rPr>
        <w:t xml:space="preserve">, and water </w:t>
      </w:r>
      <w:r w:rsidR="004D3B9C">
        <w:rPr>
          <w:lang w:val="en-GB"/>
        </w:rPr>
        <w:t xml:space="preserve">use efficiency </w:t>
      </w:r>
      <w:r w:rsidRPr="00FC4DD1">
        <w:rPr>
          <w:lang w:val="en-GB"/>
        </w:rPr>
        <w:t xml:space="preserve">in the agriculture. The </w:t>
      </w:r>
      <w:r w:rsidR="004D3B9C">
        <w:rPr>
          <w:lang w:val="en-GB"/>
        </w:rPr>
        <w:t xml:space="preserve">present study </w:t>
      </w:r>
      <w:r w:rsidRPr="00FC4DD1">
        <w:rPr>
          <w:lang w:val="en-GB"/>
        </w:rPr>
        <w:t>aim</w:t>
      </w:r>
      <w:r w:rsidR="004D3B9C">
        <w:rPr>
          <w:lang w:val="en-GB"/>
        </w:rPr>
        <w:t>ed</w:t>
      </w:r>
      <w:r w:rsidRPr="00FC4DD1">
        <w:rPr>
          <w:lang w:val="en-GB"/>
        </w:rPr>
        <w:t xml:space="preserve"> to identify the effect of regulated deficit irrigation </w:t>
      </w:r>
      <w:r w:rsidR="004D3B9C">
        <w:rPr>
          <w:lang w:val="en-GB"/>
        </w:rPr>
        <w:t>o</w:t>
      </w:r>
      <w:r w:rsidRPr="00FC4DD1">
        <w:rPr>
          <w:lang w:val="en-GB"/>
        </w:rPr>
        <w:t>n the qualitative standards of tomato</w:t>
      </w:r>
      <w:r w:rsidR="004D3B9C" w:rsidRPr="004D3B9C">
        <w:rPr>
          <w:lang w:val="en-GB"/>
        </w:rPr>
        <w:t xml:space="preserve"> </w:t>
      </w:r>
      <w:r w:rsidR="004D3B9C" w:rsidRPr="00FC4DD1">
        <w:rPr>
          <w:lang w:val="en-GB"/>
        </w:rPr>
        <w:t>cultiva</w:t>
      </w:r>
      <w:r w:rsidR="004D3B9C">
        <w:rPr>
          <w:lang w:val="en-GB"/>
        </w:rPr>
        <w:t>r</w:t>
      </w:r>
      <w:r w:rsidR="004D3B9C" w:rsidRPr="00FC4DD1">
        <w:rPr>
          <w:lang w:val="en-GB"/>
        </w:rPr>
        <w:t xml:space="preserve"> N</w:t>
      </w:r>
      <w:r w:rsidR="004D3B9C">
        <w:rPr>
          <w:lang w:val="en-GB"/>
        </w:rPr>
        <w:t>-</w:t>
      </w:r>
      <w:r w:rsidR="004D3B9C" w:rsidRPr="00FC4DD1">
        <w:rPr>
          <w:lang w:val="en-GB"/>
        </w:rPr>
        <w:t>901</w:t>
      </w:r>
      <w:r w:rsidRPr="00FC4DD1">
        <w:rPr>
          <w:lang w:val="en-GB"/>
        </w:rPr>
        <w:t xml:space="preserve"> for industrialization</w:t>
      </w:r>
      <w:r w:rsidR="004D3B9C">
        <w:rPr>
          <w:lang w:val="en-GB"/>
        </w:rPr>
        <w:t xml:space="preserve"> purposes</w:t>
      </w:r>
      <w:r w:rsidRPr="00FC4DD1">
        <w:rPr>
          <w:lang w:val="en-GB"/>
        </w:rPr>
        <w:t>.</w:t>
      </w:r>
      <w:r w:rsidR="004D3B9C" w:rsidRPr="004D3B9C">
        <w:rPr>
          <w:lang w:val="en-GB"/>
        </w:rPr>
        <w:t xml:space="preserve"> </w:t>
      </w:r>
      <w:r w:rsidR="004D3B9C">
        <w:rPr>
          <w:lang w:val="en-GB"/>
        </w:rPr>
        <w:t>Deficit irrigation was carried out during</w:t>
      </w:r>
      <w:r w:rsidR="004D3B9C" w:rsidRPr="004A3BE5">
        <w:rPr>
          <w:lang w:val="en-GB"/>
        </w:rPr>
        <w:t xml:space="preserve"> the vegetative growth stage, </w:t>
      </w:r>
      <w:r w:rsidR="004D3B9C">
        <w:rPr>
          <w:lang w:val="en-GB"/>
        </w:rPr>
        <w:t>considering</w:t>
      </w:r>
      <w:r w:rsidR="004D3B9C" w:rsidRPr="004A3BE5">
        <w:rPr>
          <w:lang w:val="en-GB"/>
        </w:rPr>
        <w:t xml:space="preserve"> different seedling transplant</w:t>
      </w:r>
      <w:r w:rsidR="004D3B9C">
        <w:rPr>
          <w:lang w:val="en-GB"/>
        </w:rPr>
        <w:t>ing periods.</w:t>
      </w:r>
      <w:r w:rsidRPr="00FC4DD1">
        <w:rPr>
          <w:lang w:val="en-GB"/>
        </w:rPr>
        <w:t xml:space="preserve"> The experiment was conducted in a greenhouse at the School of Agronomy of the Federal University of </w:t>
      </w:r>
      <w:proofErr w:type="spellStart"/>
      <w:r w:rsidRPr="00FC4DD1">
        <w:rPr>
          <w:lang w:val="en-GB"/>
        </w:rPr>
        <w:t>Goi</w:t>
      </w:r>
      <w:r w:rsidR="00A63864">
        <w:rPr>
          <w:lang w:val="en-GB"/>
        </w:rPr>
        <w:t>a</w:t>
      </w:r>
      <w:r w:rsidRPr="00FC4DD1">
        <w:rPr>
          <w:lang w:val="en-GB"/>
        </w:rPr>
        <w:t>s</w:t>
      </w:r>
      <w:proofErr w:type="spellEnd"/>
      <w:r w:rsidRPr="00FC4DD1">
        <w:rPr>
          <w:lang w:val="en-GB"/>
        </w:rPr>
        <w:t xml:space="preserve"> (UFG). The experimental design was a randomized complete block with five </w:t>
      </w:r>
      <w:r w:rsidR="004D3B9C">
        <w:rPr>
          <w:lang w:val="en-GB"/>
        </w:rPr>
        <w:t>replicates, in</w:t>
      </w:r>
      <w:r w:rsidR="004D3B9C" w:rsidRPr="004D3B9C">
        <w:rPr>
          <w:lang w:val="en-GB"/>
        </w:rPr>
        <w:t xml:space="preserve"> </w:t>
      </w:r>
      <w:r w:rsidR="004D3B9C" w:rsidRPr="00FC4DD1">
        <w:rPr>
          <w:lang w:val="en-GB"/>
        </w:rPr>
        <w:t>a 2 x 4 factorial arrangement</w:t>
      </w:r>
      <w:r w:rsidRPr="00FC4DD1">
        <w:rPr>
          <w:lang w:val="en-GB"/>
        </w:rPr>
        <w:t xml:space="preserve">. </w:t>
      </w:r>
      <w:r w:rsidR="004D3B9C" w:rsidRPr="004A3BE5">
        <w:rPr>
          <w:lang w:val="en-GB"/>
        </w:rPr>
        <w:t xml:space="preserve">The plots were made by combining two </w:t>
      </w:r>
      <w:r w:rsidR="004D3B9C">
        <w:rPr>
          <w:lang w:val="en-GB"/>
        </w:rPr>
        <w:t>periods</w:t>
      </w:r>
      <w:r w:rsidR="004D3B9C" w:rsidRPr="004A3BE5">
        <w:rPr>
          <w:lang w:val="en-GB"/>
        </w:rPr>
        <w:t xml:space="preserve"> </w:t>
      </w:r>
      <w:r w:rsidR="004D3B9C">
        <w:rPr>
          <w:lang w:val="en-GB"/>
        </w:rPr>
        <w:t xml:space="preserve">of </w:t>
      </w:r>
      <w:r w:rsidR="004D3B9C" w:rsidRPr="004A3BE5">
        <w:rPr>
          <w:lang w:val="en-GB"/>
        </w:rPr>
        <w:t>irrigation deficit (10 and 20 days after transplanting</w:t>
      </w:r>
      <w:r w:rsidR="004D3B9C">
        <w:rPr>
          <w:lang w:val="en-GB"/>
        </w:rPr>
        <w:t xml:space="preserve"> </w:t>
      </w:r>
      <w:r w:rsidR="004D3B9C" w:rsidRPr="004A3BE5">
        <w:rPr>
          <w:lang w:val="en-GB"/>
        </w:rPr>
        <w:t>-</w:t>
      </w:r>
      <w:r w:rsidR="004D3B9C">
        <w:rPr>
          <w:lang w:val="en-GB"/>
        </w:rPr>
        <w:t xml:space="preserve"> </w:t>
      </w:r>
      <w:r w:rsidR="004D3B9C" w:rsidRPr="004A3BE5">
        <w:rPr>
          <w:lang w:val="en-GB"/>
        </w:rPr>
        <w:t>DAT) and four soil water tension thresholds (30; 40; 60</w:t>
      </w:r>
      <w:r w:rsidR="004D3B9C">
        <w:rPr>
          <w:lang w:val="en-GB"/>
        </w:rPr>
        <w:t>;</w:t>
      </w:r>
      <w:r w:rsidR="004D3B9C" w:rsidRPr="004A3BE5">
        <w:rPr>
          <w:lang w:val="en-GB"/>
        </w:rPr>
        <w:t xml:space="preserve"> and 70 kPa).</w:t>
      </w:r>
      <w:r w:rsidRPr="00FC4DD1">
        <w:rPr>
          <w:lang w:val="en-GB"/>
        </w:rPr>
        <w:t xml:space="preserve"> The results showed that the studied cultivar responded significantly to the soil (substrate) water tension, providing different agronomic development profiles. </w:t>
      </w:r>
      <w:r w:rsidR="004D3B9C">
        <w:rPr>
          <w:lang w:val="en-GB"/>
        </w:rPr>
        <w:t>W</w:t>
      </w:r>
      <w:r w:rsidRPr="00FC4DD1">
        <w:rPr>
          <w:lang w:val="en-GB"/>
        </w:rPr>
        <w:t xml:space="preserve">ater deficit </w:t>
      </w:r>
      <w:r w:rsidR="004D3B9C">
        <w:rPr>
          <w:lang w:val="en-GB"/>
        </w:rPr>
        <w:t xml:space="preserve">was shown to </w:t>
      </w:r>
      <w:r w:rsidRPr="00FC4DD1">
        <w:rPr>
          <w:lang w:val="en-GB"/>
        </w:rPr>
        <w:t>reduce the total volume of water applied during the cycle, increasing the concentration of soluble solids in the fruits and maintain</w:t>
      </w:r>
      <w:r w:rsidR="004D3B9C">
        <w:rPr>
          <w:lang w:val="en-GB"/>
        </w:rPr>
        <w:t>ing</w:t>
      </w:r>
      <w:r w:rsidRPr="00FC4DD1">
        <w:rPr>
          <w:lang w:val="en-GB"/>
        </w:rPr>
        <w:t xml:space="preserve"> titratable acidity in the standards of processing industries, </w:t>
      </w:r>
      <w:r w:rsidR="00AD0A07">
        <w:rPr>
          <w:lang w:val="en-GB"/>
        </w:rPr>
        <w:t xml:space="preserve">in addition to </w:t>
      </w:r>
      <w:r w:rsidRPr="00FC4DD1">
        <w:rPr>
          <w:lang w:val="en-GB"/>
        </w:rPr>
        <w:t xml:space="preserve">increasing pulp </w:t>
      </w:r>
      <w:r w:rsidR="00AD0A07" w:rsidRPr="00FC4DD1">
        <w:rPr>
          <w:lang w:val="en-GB"/>
        </w:rPr>
        <w:t xml:space="preserve">yield </w:t>
      </w:r>
      <w:r w:rsidR="00DE49C8">
        <w:rPr>
          <w:lang w:val="en-GB"/>
        </w:rPr>
        <w:t xml:space="preserve">when </w:t>
      </w:r>
      <w:r w:rsidR="00AD0A07">
        <w:rPr>
          <w:lang w:val="en-GB"/>
        </w:rPr>
        <w:t>compared to</w:t>
      </w:r>
      <w:r w:rsidRPr="00FC4DD1">
        <w:rPr>
          <w:lang w:val="en-GB"/>
        </w:rPr>
        <w:t xml:space="preserve"> processing industries. The tension</w:t>
      </w:r>
      <w:r w:rsidR="00AD0A07">
        <w:rPr>
          <w:lang w:val="en-GB"/>
        </w:rPr>
        <w:t>s</w:t>
      </w:r>
      <w:r w:rsidRPr="00FC4DD1">
        <w:rPr>
          <w:lang w:val="en-GB"/>
        </w:rPr>
        <w:t xml:space="preserve"> of 60 and 70 kPa a</w:t>
      </w:r>
      <w:r w:rsidR="00AD0A07">
        <w:rPr>
          <w:lang w:val="en-GB"/>
        </w:rPr>
        <w:t>p</w:t>
      </w:r>
      <w:r w:rsidRPr="00FC4DD1">
        <w:rPr>
          <w:lang w:val="en-GB"/>
        </w:rPr>
        <w:t xml:space="preserve">plied </w:t>
      </w:r>
      <w:r w:rsidR="00AD0A07">
        <w:rPr>
          <w:lang w:val="en-GB"/>
        </w:rPr>
        <w:t>at</w:t>
      </w:r>
      <w:r w:rsidRPr="00FC4DD1">
        <w:rPr>
          <w:lang w:val="en-GB"/>
        </w:rPr>
        <w:t xml:space="preserve"> 10 DAT were </w:t>
      </w:r>
      <w:r w:rsidR="00AD0A07">
        <w:rPr>
          <w:lang w:val="en-GB"/>
        </w:rPr>
        <w:t>the ones that most</w:t>
      </w:r>
      <w:r w:rsidRPr="00FC4DD1">
        <w:rPr>
          <w:lang w:val="en-GB"/>
        </w:rPr>
        <w:t xml:space="preserve"> intensified the soluble solids </w:t>
      </w:r>
      <w:r w:rsidR="00D04568">
        <w:rPr>
          <w:lang w:val="en-GB"/>
        </w:rPr>
        <w:t xml:space="preserve">content </w:t>
      </w:r>
      <w:r w:rsidRPr="00FC4DD1">
        <w:rPr>
          <w:lang w:val="en-GB"/>
        </w:rPr>
        <w:t>without significantly affecting the agronomic development of the crop.</w:t>
      </w:r>
      <w:r w:rsidR="001A5E11">
        <w:rPr>
          <w:lang w:val="en-GB"/>
        </w:rPr>
        <w:t xml:space="preserve"> </w:t>
      </w:r>
    </w:p>
    <w:p w14:paraId="19DE1D83" w14:textId="0E2DE3DA" w:rsidR="00364FBE" w:rsidRDefault="001A5E11" w:rsidP="00600535">
      <w:pPr>
        <w:pStyle w:val="CETBodytext"/>
        <w:rPr>
          <w:lang w:val="en-GB"/>
        </w:rPr>
      </w:pPr>
      <w:r w:rsidRPr="001A5E11">
        <w:rPr>
          <w:lang w:val="en-GB"/>
        </w:rPr>
        <w:t>Keywords: water productivity, deficit irrigation, pulp</w:t>
      </w:r>
      <w:r w:rsidR="00AD0A07" w:rsidRPr="00AD0A07">
        <w:rPr>
          <w:lang w:val="en-GB"/>
        </w:rPr>
        <w:t xml:space="preserve"> </w:t>
      </w:r>
      <w:r w:rsidR="00AD0A07" w:rsidRPr="001A5E11">
        <w:rPr>
          <w:lang w:val="en-GB"/>
        </w:rPr>
        <w:t>yield</w:t>
      </w:r>
      <w:r w:rsidRPr="001A5E11">
        <w:rPr>
          <w:lang w:val="en-GB"/>
        </w:rPr>
        <w:t>, soluble solids.</w:t>
      </w:r>
    </w:p>
    <w:p w14:paraId="20ADED08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4ACA8696" w14:textId="57A77E9C" w:rsidR="003F7F4C" w:rsidRPr="000E2F01" w:rsidRDefault="004B0D01" w:rsidP="003F7F4C">
      <w:pPr>
        <w:pStyle w:val="CETBodytext"/>
      </w:pPr>
      <w:r w:rsidRPr="000E2F01">
        <w:t xml:space="preserve">Brazil stands out as the ninth world producer of industrial tomato, with 28% of </w:t>
      </w:r>
      <w:r w:rsidR="00492D8D">
        <w:t xml:space="preserve">the </w:t>
      </w:r>
      <w:r w:rsidRPr="000E2F01">
        <w:t xml:space="preserve">national </w:t>
      </w:r>
      <w:r w:rsidR="00492D8D">
        <w:t>production</w:t>
      </w:r>
      <w:r w:rsidRPr="000E2F01">
        <w:t xml:space="preserve"> </w:t>
      </w:r>
      <w:r w:rsidR="00492D8D">
        <w:t>taking place</w:t>
      </w:r>
      <w:r w:rsidR="00492D8D" w:rsidRPr="000E2F01">
        <w:t xml:space="preserve"> </w:t>
      </w:r>
      <w:r w:rsidRPr="000E2F01">
        <w:t xml:space="preserve">in </w:t>
      </w:r>
      <w:proofErr w:type="spellStart"/>
      <w:r w:rsidRPr="000E2F01">
        <w:t>Goi</w:t>
      </w:r>
      <w:r w:rsidR="00A63864">
        <w:t>a</w:t>
      </w:r>
      <w:r w:rsidRPr="000E2F01">
        <w:t>s</w:t>
      </w:r>
      <w:proofErr w:type="spellEnd"/>
      <w:r w:rsidRPr="000E2F01">
        <w:t xml:space="preserve"> state</w:t>
      </w:r>
      <w:r w:rsidR="00492D8D">
        <w:t>.</w:t>
      </w:r>
      <w:r w:rsidRPr="000E2F01">
        <w:t xml:space="preserve"> </w:t>
      </w:r>
      <w:r w:rsidR="00492D8D">
        <w:t>I</w:t>
      </w:r>
      <w:r w:rsidRPr="000E2F01">
        <w:t>n 2017</w:t>
      </w:r>
      <w:r w:rsidR="00492D8D">
        <w:t>,</w:t>
      </w:r>
      <w:r w:rsidRPr="000E2F01">
        <w:t xml:space="preserve"> produc</w:t>
      </w:r>
      <w:r w:rsidR="00492D8D">
        <w:t>tion was</w:t>
      </w:r>
      <w:r w:rsidRPr="000E2F01">
        <w:t xml:space="preserve"> approximately 1 million tons</w:t>
      </w:r>
      <w:r w:rsidR="00492D8D">
        <w:t>,</w:t>
      </w:r>
      <w:r w:rsidRPr="000E2F01">
        <w:t xml:space="preserve"> in 13 thousand hectares of cultivation</w:t>
      </w:r>
      <w:r w:rsidR="003F7F4C" w:rsidRPr="000E2F01">
        <w:t xml:space="preserve"> (IBGE, 2017). </w:t>
      </w:r>
      <w:r w:rsidR="000006FB" w:rsidRPr="009C5827">
        <w:t xml:space="preserve">Silva et al. </w:t>
      </w:r>
      <w:r w:rsidR="000006FB" w:rsidRPr="000E2F01">
        <w:t xml:space="preserve">(2013) </w:t>
      </w:r>
      <w:r w:rsidR="00E656CE" w:rsidRPr="000E2F01">
        <w:t>emphasize that to obtain better industrial yields and, consequently, maximize economic returns, appropriate nutritional management, water supply, selection of improved cultivars</w:t>
      </w:r>
      <w:r w:rsidR="00492D8D">
        <w:t>,</w:t>
      </w:r>
      <w:r w:rsidR="00E656CE" w:rsidRPr="000E2F01">
        <w:t xml:space="preserve"> and crop sanitation are necessary</w:t>
      </w:r>
      <w:r w:rsidR="00B57550" w:rsidRPr="000E2F01">
        <w:t>.</w:t>
      </w:r>
      <w:r w:rsidR="000006FB" w:rsidRPr="000E2F01">
        <w:t xml:space="preserve"> </w:t>
      </w:r>
    </w:p>
    <w:p w14:paraId="6EE9A69E" w14:textId="66E7B749" w:rsidR="008B2E4E" w:rsidRPr="000E2F01" w:rsidRDefault="003F7F4C" w:rsidP="008B2E4E">
      <w:pPr>
        <w:pStyle w:val="CETBodytext"/>
      </w:pPr>
      <w:r w:rsidRPr="000E2F01">
        <w:t>K</w:t>
      </w:r>
      <w:r w:rsidRPr="000E2F01">
        <w:rPr>
          <w:lang w:val="en-GB"/>
        </w:rPr>
        <w:t>ӧ</w:t>
      </w:r>
      <w:proofErr w:type="spellStart"/>
      <w:r w:rsidRPr="000E2F01">
        <w:t>gler</w:t>
      </w:r>
      <w:proofErr w:type="spellEnd"/>
      <w:r w:rsidRPr="000E2F01">
        <w:t xml:space="preserve"> </w:t>
      </w:r>
      <w:r w:rsidR="00C8175D">
        <w:t>and</w:t>
      </w:r>
      <w:r w:rsidRPr="000E2F01">
        <w:t xml:space="preserve"> S</w:t>
      </w:r>
      <w:r w:rsidRPr="000E2F01">
        <w:rPr>
          <w:lang w:val="en-GB"/>
        </w:rPr>
        <w:t>ӧ</w:t>
      </w:r>
      <w:proofErr w:type="spellStart"/>
      <w:r w:rsidRPr="000E2F01">
        <w:t>ffker</w:t>
      </w:r>
      <w:proofErr w:type="spellEnd"/>
      <w:r w:rsidRPr="000E2F01">
        <w:t xml:space="preserve"> (2017) </w:t>
      </w:r>
      <w:r w:rsidR="00C16BE3" w:rsidRPr="000E2F01">
        <w:t>accentuate that water defici</w:t>
      </w:r>
      <w:r w:rsidR="00492D8D">
        <w:t>t</w:t>
      </w:r>
      <w:r w:rsidR="00C16BE3" w:rsidRPr="000E2F01">
        <w:t xml:space="preserve">s during cultivation can result in morphological and/or metabolic anomalies and </w:t>
      </w:r>
      <w:r w:rsidR="00492D8D">
        <w:t>affect</w:t>
      </w:r>
      <w:r w:rsidR="00C16BE3" w:rsidRPr="000E2F01">
        <w:t xml:space="preserve"> </w:t>
      </w:r>
      <w:r w:rsidR="00492D8D">
        <w:t>crop</w:t>
      </w:r>
      <w:r w:rsidR="00492D8D" w:rsidRPr="000E2F01">
        <w:t xml:space="preserve"> </w:t>
      </w:r>
      <w:r w:rsidR="00C16BE3" w:rsidRPr="000E2F01">
        <w:t>development (water stress), minimizing productive and qualitative efficiency</w:t>
      </w:r>
      <w:r w:rsidRPr="000E2F01">
        <w:t xml:space="preserve">. </w:t>
      </w:r>
      <w:r w:rsidR="00902393" w:rsidRPr="000E2F01">
        <w:t>The authors also suggest how the crop respon</w:t>
      </w:r>
      <w:r w:rsidR="00A92BF2">
        <w:t>ds to</w:t>
      </w:r>
      <w:r w:rsidR="00902393" w:rsidRPr="000E2F01">
        <w:t xml:space="preserve"> water </w:t>
      </w:r>
      <w:r w:rsidR="00A92BF2">
        <w:t>stress through</w:t>
      </w:r>
      <w:r w:rsidR="00902393" w:rsidRPr="000E2F01">
        <w:t xml:space="preserve"> variations in cell growth and protein synthesis, as well as low accumulations of sugars</w:t>
      </w:r>
      <w:r w:rsidRPr="000E2F01">
        <w:t>.</w:t>
      </w:r>
      <w:r w:rsidR="00957F20" w:rsidRPr="000E2F01">
        <w:t xml:space="preserve"> </w:t>
      </w:r>
      <w:r w:rsidR="00CE6AE3" w:rsidRPr="000E2F01">
        <w:t>However, Cantore et al. (2016) suggest th</w:t>
      </w:r>
      <w:r w:rsidR="00A92BF2">
        <w:t>at</w:t>
      </w:r>
      <w:r w:rsidR="00CE6AE3" w:rsidRPr="000E2F01">
        <w:t xml:space="preserve"> controlled </w:t>
      </w:r>
      <w:r w:rsidR="00AE2A82">
        <w:t xml:space="preserve">irrigation </w:t>
      </w:r>
      <w:r w:rsidR="00A92BF2" w:rsidRPr="000E2F01">
        <w:t xml:space="preserve">deficit </w:t>
      </w:r>
      <w:r w:rsidR="00CE6AE3" w:rsidRPr="000E2F01">
        <w:t>(</w:t>
      </w:r>
      <w:r w:rsidR="00A92BF2">
        <w:t>I</w:t>
      </w:r>
      <w:r w:rsidR="00CE6AE3" w:rsidRPr="000E2F01">
        <w:t>D) in the different phenological phases has become an important strategy in the current water scarcity scenario</w:t>
      </w:r>
      <w:r w:rsidR="00A92BF2">
        <w:t>. This is because</w:t>
      </w:r>
      <w:r w:rsidR="00CE6AE3" w:rsidRPr="000E2F01">
        <w:t xml:space="preserve"> I</w:t>
      </w:r>
      <w:r w:rsidR="00A92BF2">
        <w:t>D</w:t>
      </w:r>
      <w:r w:rsidR="00CE6AE3" w:rsidRPr="000E2F01">
        <w:t xml:space="preserve"> </w:t>
      </w:r>
      <w:r w:rsidR="00A92BF2">
        <w:t>can</w:t>
      </w:r>
      <w:r w:rsidR="00CE6AE3" w:rsidRPr="000E2F01">
        <w:t xml:space="preserve"> increase the efficiency of water and nutrient use, reduc</w:t>
      </w:r>
      <w:r w:rsidR="00A92BF2">
        <w:t>ing</w:t>
      </w:r>
      <w:r w:rsidR="00CE6AE3" w:rsidRPr="000E2F01">
        <w:t xml:space="preserve"> irrigation frequency and production costs, </w:t>
      </w:r>
      <w:r w:rsidR="00A92BF2">
        <w:t xml:space="preserve">allowing for the </w:t>
      </w:r>
      <w:r w:rsidR="00CE6AE3" w:rsidRPr="000E2F01">
        <w:t>control of vegetative growth and canopy density, and</w:t>
      </w:r>
      <w:r w:rsidR="005F3FFD">
        <w:t xml:space="preserve"> leading to</w:t>
      </w:r>
      <w:r w:rsidR="00CE6AE3" w:rsidRPr="000E2F01">
        <w:t xml:space="preserve"> higher qualitative yields per unit of water</w:t>
      </w:r>
      <w:r w:rsidR="00A92BF2" w:rsidRPr="00A92BF2">
        <w:t xml:space="preserve"> </w:t>
      </w:r>
      <w:r w:rsidR="00A92BF2" w:rsidRPr="000E2F01">
        <w:t>applied</w:t>
      </w:r>
      <w:r w:rsidRPr="000E2F01">
        <w:t xml:space="preserve">. </w:t>
      </w:r>
      <w:r w:rsidR="009756A2" w:rsidRPr="000E2F01">
        <w:t>The response of plants to I</w:t>
      </w:r>
      <w:r w:rsidR="00A92BF2">
        <w:t>D</w:t>
      </w:r>
      <w:r w:rsidR="009756A2" w:rsidRPr="000E2F01">
        <w:t xml:space="preserve"> can be summarized as a factor of accumulation of root growth stimuli, maintenance of high leaf water potential, osmotic regulation of leaf-turgor </w:t>
      </w:r>
      <w:r w:rsidR="009756A2" w:rsidRPr="000E2F01">
        <w:lastRenderedPageBreak/>
        <w:t>pressure</w:t>
      </w:r>
      <w:r w:rsidR="00A92BF2">
        <w:t>,</w:t>
      </w:r>
      <w:r w:rsidR="009756A2" w:rsidRPr="000E2F01">
        <w:t xml:space="preserve"> and adaptation to existing soil water status, for example, reduction of leaf elongation and stomatal closure</w:t>
      </w:r>
      <w:r w:rsidR="00331498" w:rsidRPr="000E2F01">
        <w:t xml:space="preserve"> (Dodd</w:t>
      </w:r>
      <w:r w:rsidR="0043552F" w:rsidRPr="000E2F01">
        <w:t xml:space="preserve"> et al.</w:t>
      </w:r>
      <w:r w:rsidR="00331498" w:rsidRPr="000E2F01">
        <w:t>, 201</w:t>
      </w:r>
      <w:r w:rsidR="0043552F" w:rsidRPr="000E2F01">
        <w:t>5</w:t>
      </w:r>
      <w:r w:rsidR="00331498" w:rsidRPr="000E2F01">
        <w:t>)</w:t>
      </w:r>
      <w:r w:rsidR="009756A2" w:rsidRPr="000E2F01">
        <w:t>.</w:t>
      </w:r>
      <w:r w:rsidR="008B2E4E" w:rsidRPr="000E2F01">
        <w:t xml:space="preserve"> </w:t>
      </w:r>
    </w:p>
    <w:p w14:paraId="35B6FE74" w14:textId="73A4B37E" w:rsidR="008B2E4E" w:rsidRPr="000E2F01" w:rsidRDefault="00AF61B3" w:rsidP="008B2E4E">
      <w:pPr>
        <w:pStyle w:val="CETBodytext"/>
      </w:pPr>
      <w:r>
        <w:t>W</w:t>
      </w:r>
      <w:r w:rsidR="00111CAA" w:rsidRPr="000E2F01">
        <w:t xml:space="preserve">ater deficit is a strategy where the amount of water supplied to the plant is kept below its maximum demand, however, in </w:t>
      </w:r>
      <w:r w:rsidR="005F3FFD">
        <w:t>an</w:t>
      </w:r>
      <w:r w:rsidR="005F3FFD" w:rsidRPr="000E2F01">
        <w:t xml:space="preserve"> </w:t>
      </w:r>
      <w:r w:rsidR="00111CAA" w:rsidRPr="000E2F01">
        <w:t xml:space="preserve">amount in which the </w:t>
      </w:r>
      <w:r>
        <w:t xml:space="preserve">plant </w:t>
      </w:r>
      <w:r w:rsidR="00111CAA" w:rsidRPr="000E2F01">
        <w:t xml:space="preserve">development/growth </w:t>
      </w:r>
      <w:r>
        <w:t>is</w:t>
      </w:r>
      <w:r w:rsidRPr="000E2F01">
        <w:t xml:space="preserve"> </w:t>
      </w:r>
      <w:r w:rsidR="00111CAA" w:rsidRPr="000E2F01">
        <w:t>not significant</w:t>
      </w:r>
      <w:r>
        <w:t>ly impaired</w:t>
      </w:r>
      <w:r w:rsidR="008B2E4E" w:rsidRPr="000E2F01">
        <w:t xml:space="preserve">. Zheng et al. (2013) </w:t>
      </w:r>
      <w:r w:rsidR="008966C1" w:rsidRPr="000E2F01">
        <w:t xml:space="preserve">point out that knowing the exact moment of water application is essential for the successful implementation of ID, </w:t>
      </w:r>
      <w:r w:rsidR="005F3FFD">
        <w:t>since</w:t>
      </w:r>
      <w:r w:rsidR="008966C1" w:rsidRPr="000E2F01">
        <w:t xml:space="preserve"> tomato </w:t>
      </w:r>
      <w:r>
        <w:t xml:space="preserve">is sensitive </w:t>
      </w:r>
      <w:r w:rsidR="008966C1" w:rsidRPr="000E2F01">
        <w:t>to water stress in the different stages of phenological development</w:t>
      </w:r>
      <w:r w:rsidR="008B2E4E" w:rsidRPr="000E2F01">
        <w:t xml:space="preserve">. </w:t>
      </w:r>
    </w:p>
    <w:p w14:paraId="5B6F5333" w14:textId="0B1BE64C" w:rsidR="008F6BAF" w:rsidRDefault="000D255D" w:rsidP="003F7F4C">
      <w:pPr>
        <w:pStyle w:val="CETBodytext"/>
      </w:pPr>
      <w:r w:rsidRPr="000E2F01">
        <w:t xml:space="preserve">According to </w:t>
      </w:r>
      <w:proofErr w:type="spellStart"/>
      <w:r w:rsidRPr="000E2F01">
        <w:t>Marouelli</w:t>
      </w:r>
      <w:proofErr w:type="spellEnd"/>
      <w:r w:rsidRPr="000E2F01">
        <w:t xml:space="preserve"> </w:t>
      </w:r>
      <w:r w:rsidR="002F6F2C">
        <w:t>and</w:t>
      </w:r>
      <w:r w:rsidRPr="000E2F01">
        <w:t xml:space="preserve"> Silva (2007), the application of controlled </w:t>
      </w:r>
      <w:r w:rsidR="00AF61B3">
        <w:t>I</w:t>
      </w:r>
      <w:r w:rsidRPr="000E2F01">
        <w:t>D during the vegetative stage promotes better development and growth of tomato roots without affecting the leaf area and soluble solids content of table tomato.</w:t>
      </w:r>
      <w:r w:rsidR="00173A85" w:rsidRPr="000E2F01">
        <w:t xml:space="preserve"> </w:t>
      </w:r>
      <w:r w:rsidR="005C301C" w:rsidRPr="000E2F01">
        <w:t xml:space="preserve">According to Zheng et al. (2013), the efficiency of </w:t>
      </w:r>
      <w:r w:rsidR="00AF61B3">
        <w:t>I</w:t>
      </w:r>
      <w:r w:rsidR="005C301C" w:rsidRPr="000E2F01">
        <w:t>D is notorious for concentrating the flavor and the nutritional components in the fruits, by concentration or accumulation effect</w:t>
      </w:r>
      <w:r w:rsidR="002A6D7F" w:rsidRPr="000E2F01">
        <w:t>.</w:t>
      </w:r>
      <w:r w:rsidR="008D268F" w:rsidRPr="000E2F01">
        <w:t xml:space="preserve"> </w:t>
      </w:r>
      <w:r w:rsidR="00F3627B" w:rsidRPr="000E2F01">
        <w:t xml:space="preserve">Ripoll et al. (2014) emphasize that </w:t>
      </w:r>
      <w:r w:rsidR="00AF61B3">
        <w:t>I</w:t>
      </w:r>
      <w:r w:rsidR="00F3627B" w:rsidRPr="000E2F01">
        <w:t>D practices are a way of managing fruit flavor, exploring the morphological, physiological</w:t>
      </w:r>
      <w:r w:rsidR="00AF61B3">
        <w:t>,</w:t>
      </w:r>
      <w:r w:rsidR="00F3627B" w:rsidRPr="000E2F01">
        <w:t xml:space="preserve"> and molecular changes that occur in plants under this cultivation strategy.</w:t>
      </w:r>
    </w:p>
    <w:p w14:paraId="29DEF1F7" w14:textId="7927AA33" w:rsidR="002A6D7F" w:rsidRPr="00090014" w:rsidRDefault="00AF61B3" w:rsidP="003F7F4C">
      <w:pPr>
        <w:pStyle w:val="CETBodytext"/>
      </w:pPr>
      <w:r>
        <w:rPr>
          <w:lang w:val="en-GB"/>
        </w:rPr>
        <w:t>In th</w:t>
      </w:r>
      <w:r w:rsidR="00D14E3C">
        <w:rPr>
          <w:lang w:val="en-GB"/>
        </w:rPr>
        <w:t>e present</w:t>
      </w:r>
      <w:r>
        <w:rPr>
          <w:lang w:val="en-GB"/>
        </w:rPr>
        <w:t xml:space="preserve"> study, deficit irrigation was carried out during</w:t>
      </w:r>
      <w:r w:rsidRPr="004A3BE5">
        <w:rPr>
          <w:lang w:val="en-GB"/>
        </w:rPr>
        <w:t xml:space="preserve"> the vegetative growth stage, </w:t>
      </w:r>
      <w:r>
        <w:rPr>
          <w:lang w:val="en-GB"/>
        </w:rPr>
        <w:t>considering</w:t>
      </w:r>
      <w:r w:rsidRPr="004A3BE5">
        <w:rPr>
          <w:lang w:val="en-GB"/>
        </w:rPr>
        <w:t xml:space="preserve"> different seedling transplant</w:t>
      </w:r>
      <w:r>
        <w:rPr>
          <w:lang w:val="en-GB"/>
        </w:rPr>
        <w:t xml:space="preserve">ing periods. </w:t>
      </w:r>
      <w:r w:rsidR="002F6F2C">
        <w:t>A</w:t>
      </w:r>
      <w:r>
        <w:t>im</w:t>
      </w:r>
      <w:r w:rsidR="002F6F2C">
        <w:t>ing</w:t>
      </w:r>
      <w:r w:rsidRPr="00090014">
        <w:t xml:space="preserve"> </w:t>
      </w:r>
      <w:r w:rsidRPr="004C1027">
        <w:t xml:space="preserve">to identify the effect of regulated deficit irrigation </w:t>
      </w:r>
      <w:r>
        <w:t>o</w:t>
      </w:r>
      <w:r w:rsidRPr="004C1027">
        <w:t xml:space="preserve">n the </w:t>
      </w:r>
      <w:r w:rsidR="00D14E3C" w:rsidRPr="00FC4DD1">
        <w:rPr>
          <w:lang w:val="en-GB"/>
        </w:rPr>
        <w:t>qualitative standards of tomato</w:t>
      </w:r>
      <w:r w:rsidR="00D14E3C" w:rsidRPr="004D3B9C">
        <w:rPr>
          <w:lang w:val="en-GB"/>
        </w:rPr>
        <w:t xml:space="preserve"> </w:t>
      </w:r>
      <w:r w:rsidR="00D14E3C" w:rsidRPr="00FC4DD1">
        <w:rPr>
          <w:lang w:val="en-GB"/>
        </w:rPr>
        <w:t>cultiva</w:t>
      </w:r>
      <w:r w:rsidR="00D14E3C">
        <w:rPr>
          <w:lang w:val="en-GB"/>
        </w:rPr>
        <w:t>r</w:t>
      </w:r>
      <w:r w:rsidR="00D14E3C" w:rsidRPr="00FC4DD1">
        <w:rPr>
          <w:lang w:val="en-GB"/>
        </w:rPr>
        <w:t xml:space="preserve"> N</w:t>
      </w:r>
      <w:r w:rsidR="00D14E3C">
        <w:rPr>
          <w:lang w:val="en-GB"/>
        </w:rPr>
        <w:t>-</w:t>
      </w:r>
      <w:r w:rsidR="00D14E3C" w:rsidRPr="00FC4DD1">
        <w:rPr>
          <w:lang w:val="en-GB"/>
        </w:rPr>
        <w:t>901 for industrialization</w:t>
      </w:r>
      <w:r w:rsidR="00D14E3C">
        <w:rPr>
          <w:lang w:val="en-GB"/>
        </w:rPr>
        <w:t xml:space="preserve"> purposes</w:t>
      </w:r>
      <w:r>
        <w:t>.</w:t>
      </w:r>
    </w:p>
    <w:p w14:paraId="0FCC25C2" w14:textId="614EFF0F" w:rsidR="009D36C0" w:rsidRPr="00F63EC0" w:rsidRDefault="00A651F6" w:rsidP="005513AB">
      <w:pPr>
        <w:pStyle w:val="CETHeading1"/>
      </w:pPr>
      <w:r>
        <w:t>Materials and methods</w:t>
      </w:r>
    </w:p>
    <w:p w14:paraId="3A802BBF" w14:textId="3A39953D" w:rsidR="00F20E0D" w:rsidRDefault="00907F18" w:rsidP="001E1868">
      <w:pPr>
        <w:pStyle w:val="CETBodytext"/>
      </w:pPr>
      <w:r w:rsidRPr="00BC16CB">
        <w:rPr>
          <w:lang w:val="en-GB"/>
        </w:rPr>
        <w:t>The experiment was carried out in</w:t>
      </w:r>
      <w:r>
        <w:rPr>
          <w:lang w:val="en-GB"/>
        </w:rPr>
        <w:t xml:space="preserve"> a</w:t>
      </w:r>
      <w:r w:rsidRPr="00BC16CB">
        <w:rPr>
          <w:lang w:val="en-GB"/>
        </w:rPr>
        <w:t xml:space="preserve"> greenhouse at the School of Agronomy of the Federal University of </w:t>
      </w:r>
      <w:proofErr w:type="spellStart"/>
      <w:r w:rsidRPr="00BC16CB">
        <w:rPr>
          <w:lang w:val="en-GB"/>
        </w:rPr>
        <w:t>Goi</w:t>
      </w:r>
      <w:r>
        <w:rPr>
          <w:lang w:val="en-GB"/>
        </w:rPr>
        <w:t>a</w:t>
      </w:r>
      <w:r w:rsidRPr="00BC16CB">
        <w:rPr>
          <w:lang w:val="en-GB"/>
        </w:rPr>
        <w:t>s</w:t>
      </w:r>
      <w:proofErr w:type="spellEnd"/>
      <w:r w:rsidRPr="00BC16CB">
        <w:rPr>
          <w:lang w:val="en-GB"/>
        </w:rPr>
        <w:t xml:space="preserve"> (UFG),</w:t>
      </w:r>
      <w:r w:rsidRPr="00BC16CB">
        <w:t xml:space="preserve"> (coordinates are:</w:t>
      </w:r>
      <w:r w:rsidRPr="00BC16CB">
        <w:rPr>
          <w:lang w:val="en-GB"/>
        </w:rPr>
        <w:t xml:space="preserve"> 16°32’ S</w:t>
      </w:r>
      <w:r w:rsidRPr="0066687F">
        <w:rPr>
          <w:lang w:val="en-GB"/>
        </w:rPr>
        <w:t xml:space="preserve"> </w:t>
      </w:r>
      <w:r w:rsidRPr="00BC16CB">
        <w:rPr>
          <w:lang w:val="en-GB"/>
        </w:rPr>
        <w:t>latitude, 49° 21’ W</w:t>
      </w:r>
      <w:r w:rsidRPr="0066687F">
        <w:rPr>
          <w:lang w:val="en-GB"/>
        </w:rPr>
        <w:t xml:space="preserve"> </w:t>
      </w:r>
      <w:r w:rsidRPr="00BC16CB">
        <w:rPr>
          <w:lang w:val="en-GB"/>
        </w:rPr>
        <w:t xml:space="preserve">longitude, </w:t>
      </w:r>
      <w:r>
        <w:rPr>
          <w:lang w:val="en-GB"/>
        </w:rPr>
        <w:t xml:space="preserve">and </w:t>
      </w:r>
      <w:r w:rsidRPr="00BC16CB">
        <w:rPr>
          <w:lang w:val="en-GB"/>
        </w:rPr>
        <w:t xml:space="preserve">altitude </w:t>
      </w:r>
      <w:r>
        <w:rPr>
          <w:lang w:val="en-GB"/>
        </w:rPr>
        <w:t xml:space="preserve">of </w:t>
      </w:r>
      <w:r w:rsidRPr="00BC16CB">
        <w:rPr>
          <w:lang w:val="en-GB"/>
        </w:rPr>
        <w:t xml:space="preserve">730 m). </w:t>
      </w:r>
      <w:r>
        <w:t>I</w:t>
      </w:r>
      <w:r w:rsidRPr="00F40B29">
        <w:t>ndoor climatic conditions were controlled at a temperature of 25</w:t>
      </w:r>
      <w:r>
        <w:t xml:space="preserve"> </w:t>
      </w:r>
      <w:r w:rsidRPr="00F40B29">
        <w:t xml:space="preserve">°C and relative air humidity of 48% </w:t>
      </w:r>
      <w:r>
        <w:t>(</w:t>
      </w:r>
      <w:r w:rsidRPr="00F40B29">
        <w:t>Alvarenga</w:t>
      </w:r>
      <w:r>
        <w:t>,</w:t>
      </w:r>
      <w:r w:rsidRPr="00F40B29">
        <w:t xml:space="preserve"> 2013). </w:t>
      </w:r>
      <w:r w:rsidRPr="00BC16CB">
        <w:t xml:space="preserve">The cultivar </w:t>
      </w:r>
      <w:r>
        <w:t xml:space="preserve">used </w:t>
      </w:r>
      <w:r w:rsidRPr="00BC16CB">
        <w:t>was N-901</w:t>
      </w:r>
      <w:r>
        <w:t>.</w:t>
      </w:r>
      <w:r w:rsidRPr="00BC16CB">
        <w:t xml:space="preserve"> </w:t>
      </w:r>
      <w:r>
        <w:t xml:space="preserve">Seedlings were </w:t>
      </w:r>
      <w:r w:rsidRPr="002E0FA7">
        <w:t xml:space="preserve">transplanted </w:t>
      </w:r>
      <w:r w:rsidRPr="00F1019B">
        <w:t>to pots</w:t>
      </w:r>
      <w:r>
        <w:t xml:space="preserve"> with</w:t>
      </w:r>
      <w:r w:rsidRPr="00BC16CB">
        <w:t xml:space="preserve"> 0.50 x 0.30 m (depth x diameter), </w:t>
      </w:r>
      <w:r>
        <w:t>with</w:t>
      </w:r>
      <w:r w:rsidRPr="00BC16CB">
        <w:t xml:space="preserve"> 0.028 m</w:t>
      </w:r>
      <w:r w:rsidRPr="00BC16CB">
        <w:rPr>
          <w:vertAlign w:val="superscript"/>
        </w:rPr>
        <w:t>3</w:t>
      </w:r>
      <w:r w:rsidRPr="00BC16CB">
        <w:t xml:space="preserve"> soil. Initially, tomato seeds were germinated in organically enriched peat</w:t>
      </w:r>
      <w:r>
        <w:t>,</w:t>
      </w:r>
      <w:r w:rsidRPr="00BC16CB">
        <w:t xml:space="preserve"> in open plastic trays with a vermiculite cover to facilitate aeration. </w:t>
      </w:r>
    </w:p>
    <w:p w14:paraId="7227A49F" w14:textId="6E93EEC7" w:rsidR="00907F18" w:rsidRDefault="00907F18" w:rsidP="00D9299D">
      <w:pPr>
        <w:pStyle w:val="CETBodytext"/>
      </w:pPr>
      <w:r w:rsidRPr="001A0C2D">
        <w:t xml:space="preserve">Standard cultural practices were adopted during the crop-growing season. A total of </w:t>
      </w:r>
      <w:r>
        <w:t>5</w:t>
      </w:r>
      <w:r w:rsidRPr="001A0C2D">
        <w:t>0 kg N ha</w:t>
      </w:r>
      <w:r w:rsidRPr="00DE231A">
        <w:rPr>
          <w:vertAlign w:val="superscript"/>
        </w:rPr>
        <w:t>−1</w:t>
      </w:r>
      <w:r>
        <w:t>,</w:t>
      </w:r>
      <w:r w:rsidRPr="001A0C2D">
        <w:t xml:space="preserve"> </w:t>
      </w:r>
      <w:r>
        <w:t>30</w:t>
      </w:r>
      <w:r w:rsidRPr="001A0C2D">
        <w:t>0 kg P</w:t>
      </w:r>
      <w:r w:rsidRPr="00205A3C">
        <w:rPr>
          <w:vertAlign w:val="subscript"/>
        </w:rPr>
        <w:t>2</w:t>
      </w:r>
      <w:r w:rsidRPr="001A0C2D">
        <w:t>O</w:t>
      </w:r>
      <w:r w:rsidRPr="00205A3C">
        <w:rPr>
          <w:vertAlign w:val="subscript"/>
        </w:rPr>
        <w:t>5</w:t>
      </w:r>
      <w:r w:rsidRPr="001A0C2D">
        <w:t xml:space="preserve"> ha</w:t>
      </w:r>
      <w:r w:rsidRPr="002B3578">
        <w:rPr>
          <w:vertAlign w:val="superscript"/>
        </w:rPr>
        <w:t>−1</w:t>
      </w:r>
      <w:r>
        <w:t xml:space="preserve">, </w:t>
      </w:r>
      <w:r w:rsidRPr="001A0C2D">
        <w:t xml:space="preserve">and </w:t>
      </w:r>
      <w:r w:rsidRPr="002B3578">
        <w:t>50 kg K</w:t>
      </w:r>
      <w:r w:rsidRPr="00205A3C">
        <w:rPr>
          <w:vertAlign w:val="subscript"/>
        </w:rPr>
        <w:t>2</w:t>
      </w:r>
      <w:r w:rsidRPr="002B3578">
        <w:t>O ha</w:t>
      </w:r>
      <w:r w:rsidRPr="002B3578">
        <w:rPr>
          <w:vertAlign w:val="superscript"/>
        </w:rPr>
        <w:t>-1</w:t>
      </w:r>
      <w:r w:rsidRPr="002B3578">
        <w:t xml:space="preserve"> </w:t>
      </w:r>
      <w:r w:rsidRPr="001A0C2D">
        <w:t>fertilizer was applied according to recommendations based on soil analyses</w:t>
      </w:r>
      <w:r w:rsidR="00D71017">
        <w:t>, Table 1</w:t>
      </w:r>
      <w:r>
        <w:t xml:space="preserve">. </w:t>
      </w:r>
      <w:r w:rsidRPr="00A8672F">
        <w:t xml:space="preserve">During the growing season, </w:t>
      </w:r>
      <w:r>
        <w:t>w</w:t>
      </w:r>
      <w:r w:rsidRPr="001A0C2D">
        <w:t xml:space="preserve">eeding was performed </w:t>
      </w:r>
      <w:r>
        <w:t>manually and n</w:t>
      </w:r>
      <w:r w:rsidRPr="007476B5">
        <w:t>eonicotinoid insecticide</w:t>
      </w:r>
      <w:r w:rsidRPr="00A8672F">
        <w:t xml:space="preserve"> (</w:t>
      </w:r>
      <w:r>
        <w:t>Evidence 700 WG</w:t>
      </w:r>
      <w:r w:rsidRPr="00F1019B">
        <w:rPr>
          <w:vertAlign w:val="superscript"/>
        </w:rPr>
        <w:t>®</w:t>
      </w:r>
      <w:r w:rsidRPr="00A8672F">
        <w:t>) w</w:t>
      </w:r>
      <w:r>
        <w:t>as</w:t>
      </w:r>
      <w:r w:rsidRPr="00A8672F">
        <w:t xml:space="preserve"> applied according to commercial recommendations</w:t>
      </w:r>
      <w:r>
        <w:t xml:space="preserve"> every seven days from </w:t>
      </w:r>
      <w:r w:rsidRPr="00973939">
        <w:t xml:space="preserve">10 </w:t>
      </w:r>
      <w:r>
        <w:t>to</w:t>
      </w:r>
      <w:r w:rsidRPr="00973939">
        <w:t xml:space="preserve"> 50</w:t>
      </w:r>
      <w:r>
        <w:rPr>
          <w:vertAlign w:val="superscript"/>
        </w:rPr>
        <w:t xml:space="preserve"> </w:t>
      </w:r>
      <w:r w:rsidRPr="00973939">
        <w:t>DAT</w:t>
      </w:r>
      <w:r w:rsidRPr="00A8672F">
        <w:t>.</w:t>
      </w:r>
      <w:r>
        <w:t xml:space="preserve"> </w:t>
      </w:r>
    </w:p>
    <w:p w14:paraId="75E3603E" w14:textId="77777777" w:rsidR="00907F18" w:rsidRDefault="00907F18" w:rsidP="00D9299D">
      <w:pPr>
        <w:pStyle w:val="CETBodytext"/>
      </w:pPr>
      <w:r w:rsidRPr="00C659A4">
        <w:t xml:space="preserve">The experimental design was a randomized complete block with </w:t>
      </w:r>
      <w:r>
        <w:t>three</w:t>
      </w:r>
      <w:r w:rsidRPr="00C659A4">
        <w:t xml:space="preserve"> rep</w:t>
      </w:r>
      <w:r>
        <w:t>licates, in</w:t>
      </w:r>
      <w:r w:rsidRPr="007476B5">
        <w:t xml:space="preserve"> </w:t>
      </w:r>
      <w:r w:rsidRPr="00C659A4">
        <w:t>a 2 x 4 factorial arrangement.</w:t>
      </w:r>
      <w:r w:rsidRPr="002749DF">
        <w:t xml:space="preserve"> </w:t>
      </w:r>
      <w:r w:rsidRPr="004A3BE5">
        <w:rPr>
          <w:lang w:val="en-GB"/>
        </w:rPr>
        <w:t xml:space="preserve">The plots were made by combining two </w:t>
      </w:r>
      <w:r>
        <w:rPr>
          <w:lang w:val="en-GB"/>
        </w:rPr>
        <w:t>periods</w:t>
      </w:r>
      <w:r w:rsidRPr="004A3BE5">
        <w:rPr>
          <w:lang w:val="en-GB"/>
        </w:rPr>
        <w:t xml:space="preserve"> </w:t>
      </w:r>
      <w:r>
        <w:rPr>
          <w:lang w:val="en-GB"/>
        </w:rPr>
        <w:t xml:space="preserve">of </w:t>
      </w:r>
      <w:r w:rsidRPr="004A3BE5">
        <w:rPr>
          <w:lang w:val="en-GB"/>
        </w:rPr>
        <w:t xml:space="preserve">irrigation </w:t>
      </w:r>
      <w:r w:rsidRPr="00A00888">
        <w:rPr>
          <w:lang w:val="en-GB"/>
        </w:rPr>
        <w:t xml:space="preserve">deficit (10 and 20 days after transplanting - DAT) and four </w:t>
      </w:r>
      <w:bookmarkStart w:id="0" w:name="_Hlk536521391"/>
      <w:r w:rsidRPr="00A00888">
        <w:rPr>
          <w:lang w:val="en-GB"/>
        </w:rPr>
        <w:t>soil</w:t>
      </w:r>
      <w:r w:rsidRPr="004A3BE5">
        <w:rPr>
          <w:lang w:val="en-GB"/>
        </w:rPr>
        <w:t xml:space="preserve"> water tension thresholds </w:t>
      </w:r>
      <w:bookmarkEnd w:id="0"/>
      <w:r w:rsidRPr="004A3BE5">
        <w:rPr>
          <w:lang w:val="en-GB"/>
        </w:rPr>
        <w:t>(30; 40; 60</w:t>
      </w:r>
      <w:r>
        <w:rPr>
          <w:lang w:val="en-GB"/>
        </w:rPr>
        <w:t>;</w:t>
      </w:r>
      <w:r w:rsidRPr="004A3BE5">
        <w:rPr>
          <w:lang w:val="en-GB"/>
        </w:rPr>
        <w:t xml:space="preserve"> and 70 kPa).</w:t>
      </w:r>
    </w:p>
    <w:p w14:paraId="2EF02DB9" w14:textId="716CA00B" w:rsidR="00907F18" w:rsidRDefault="00907F18" w:rsidP="00D9299D">
      <w:pPr>
        <w:pStyle w:val="CETBodytext"/>
      </w:pPr>
      <w:r>
        <w:t>D</w:t>
      </w:r>
      <w:r w:rsidRPr="002A58EF">
        <w:t xml:space="preserve">rip irrigation was </w:t>
      </w:r>
      <w:r>
        <w:t>performed</w:t>
      </w:r>
      <w:r w:rsidRPr="004E405A">
        <w:t xml:space="preserve"> </w:t>
      </w:r>
      <w:r>
        <w:t>through self-</w:t>
      </w:r>
      <w:r w:rsidRPr="004E405A">
        <w:t xml:space="preserve">compensating online dripper </w:t>
      </w:r>
      <w:r>
        <w:t>(</w:t>
      </w:r>
      <w:r w:rsidRPr="004E405A">
        <w:t xml:space="preserve">4 </w:t>
      </w:r>
      <w:r>
        <w:t xml:space="preserve">L </w:t>
      </w:r>
      <w:r w:rsidRPr="004E405A">
        <w:t>h</w:t>
      </w:r>
      <w:r w:rsidRPr="00026582">
        <w:rPr>
          <w:vertAlign w:val="superscript"/>
        </w:rPr>
        <w:t>-1</w:t>
      </w:r>
      <w:r>
        <w:t>)</w:t>
      </w:r>
      <w:r w:rsidRPr="004E405A">
        <w:t>,</w:t>
      </w:r>
      <w:r>
        <w:t xml:space="preserve"> </w:t>
      </w:r>
      <w:r w:rsidRPr="002E0FA7">
        <w:t xml:space="preserve">Click </w:t>
      </w:r>
      <w:proofErr w:type="spellStart"/>
      <w:r w:rsidRPr="002E0FA7">
        <w:t>Tif</w:t>
      </w:r>
      <w:proofErr w:type="spellEnd"/>
      <w:r w:rsidRPr="002E0FA7">
        <w:t xml:space="preserve"> </w:t>
      </w:r>
      <w:r w:rsidRPr="00A00888">
        <w:t xml:space="preserve">- </w:t>
      </w:r>
      <w:r w:rsidRPr="002E0FA7">
        <w:t>HD PC</w:t>
      </w:r>
      <w:r w:rsidRPr="004E405A">
        <w:t xml:space="preserve">, </w:t>
      </w:r>
      <w:r w:rsidR="003E3161">
        <w:t>developed</w:t>
      </w:r>
      <w:r w:rsidR="000D1111">
        <w:t xml:space="preserve"> by</w:t>
      </w:r>
      <w:r w:rsidRPr="004E405A">
        <w:t xml:space="preserve"> </w:t>
      </w:r>
      <w:proofErr w:type="spellStart"/>
      <w:r w:rsidRPr="004E405A">
        <w:t>NaanDanJain</w:t>
      </w:r>
      <w:proofErr w:type="spellEnd"/>
      <w:r w:rsidRPr="004E405A">
        <w:t xml:space="preserve">. </w:t>
      </w:r>
      <w:r>
        <w:t>L</w:t>
      </w:r>
      <w:r w:rsidRPr="004E405A">
        <w:t>ateral lines were composed of 16</w:t>
      </w:r>
      <w:r>
        <w:t>-</w:t>
      </w:r>
      <w:r w:rsidRPr="004E405A">
        <w:t xml:space="preserve">mm polyethylene tube, PN 30, and each treatment had </w:t>
      </w:r>
      <w:r w:rsidRPr="007E7FE5">
        <w:t>an independent control valve</w:t>
      </w:r>
      <w:r w:rsidRPr="004E405A">
        <w:t xml:space="preserve"> at the beginning of each lateral line.</w:t>
      </w:r>
      <w:r>
        <w:t xml:space="preserve"> </w:t>
      </w:r>
      <w:r w:rsidRPr="002A58EF">
        <w:t xml:space="preserve">Soil moisture monitoring was based on the </w:t>
      </w:r>
      <w:r>
        <w:t xml:space="preserve">soil </w:t>
      </w:r>
      <w:r w:rsidRPr="002A58EF">
        <w:t xml:space="preserve">dielectric constant, using </w:t>
      </w:r>
      <w:r>
        <w:t xml:space="preserve">a </w:t>
      </w:r>
      <w:r w:rsidRPr="002A58EF">
        <w:t>Time Domain Reflectometer (TDR</w:t>
      </w:r>
      <w:r>
        <w:t>,</w:t>
      </w:r>
      <w:r w:rsidRPr="002A58EF">
        <w:t xml:space="preserve"> model EC-5</w:t>
      </w:r>
      <w:r>
        <w:t>)</w:t>
      </w:r>
      <w:r w:rsidRPr="002A58EF">
        <w:t>, installed at 0.2 m depth</w:t>
      </w:r>
      <w:r>
        <w:t>.</w:t>
      </w:r>
      <w:r w:rsidRPr="002A58EF">
        <w:t xml:space="preserve"> </w:t>
      </w:r>
      <w:r>
        <w:t>D</w:t>
      </w:r>
      <w:r w:rsidRPr="002A58EF">
        <w:t xml:space="preserve">ata were </w:t>
      </w:r>
      <w:r>
        <w:t>recorded</w:t>
      </w:r>
      <w:r w:rsidRPr="002A58EF">
        <w:t xml:space="preserve"> by </w:t>
      </w:r>
      <w:r>
        <w:t xml:space="preserve">an </w:t>
      </w:r>
      <w:r w:rsidRPr="002A58EF">
        <w:t>Em50</w:t>
      </w:r>
      <w:r w:rsidRPr="00DE0150">
        <w:t xml:space="preserve"> </w:t>
      </w:r>
      <w:r w:rsidRPr="002A58EF">
        <w:t xml:space="preserve">datalogger. </w:t>
      </w:r>
      <w:r>
        <w:t>V</w:t>
      </w:r>
      <w:r w:rsidRPr="002A58EF">
        <w:t>olumetric moisture content at field capacity (FC) and permanent wilting point (PWP) were determined using a pressure plate apparatus (Richards, 1965). The measured FC (-11.6 kPa) and PWP (-1505</w:t>
      </w:r>
      <w:r>
        <w:t>.</w:t>
      </w:r>
      <w:r w:rsidRPr="002A58EF">
        <w:t>7 kPa) averaged</w:t>
      </w:r>
      <w:r w:rsidRPr="00286721">
        <w:t xml:space="preserve"> 36 and 21 %, respectively (Walker, 1989). </w:t>
      </w:r>
    </w:p>
    <w:p w14:paraId="21FAD289" w14:textId="6D74FF74" w:rsidR="00B175DC" w:rsidRDefault="00FD4430" w:rsidP="001E7741">
      <w:pPr>
        <w:pStyle w:val="CETBodytext"/>
      </w:pPr>
      <w:r>
        <w:t>T</w:t>
      </w:r>
      <w:r w:rsidR="005A6336" w:rsidRPr="005A6336">
        <w:t xml:space="preserve">o evaluate the effect of the different soil water tension levels on the agronomic characteristics of N-901 tomato, </w:t>
      </w:r>
      <w:r w:rsidRPr="00A3769B">
        <w:t>root dry matter</w:t>
      </w:r>
      <w:r>
        <w:t xml:space="preserve"> </w:t>
      </w:r>
      <w:r w:rsidRPr="00A3769B">
        <w:t xml:space="preserve">and </w:t>
      </w:r>
      <w:r>
        <w:t>whole</w:t>
      </w:r>
      <w:r w:rsidRPr="00A3769B">
        <w:t xml:space="preserve"> plant </w:t>
      </w:r>
      <w:r>
        <w:t xml:space="preserve">dry matter </w:t>
      </w:r>
      <w:r w:rsidRPr="00A3769B">
        <w:t>(stem, leaf</w:t>
      </w:r>
      <w:r>
        <w:t>,</w:t>
      </w:r>
      <w:r w:rsidRPr="00A3769B">
        <w:t xml:space="preserve"> and flower)</w:t>
      </w:r>
      <w:r>
        <w:t xml:space="preserve"> were measured</w:t>
      </w:r>
      <w:r w:rsidRPr="00A3769B">
        <w:t xml:space="preserve"> using a balance with a resolution of 0.01 g</w:t>
      </w:r>
      <w:r>
        <w:t>.</w:t>
      </w:r>
      <w:r w:rsidRPr="00A3769B">
        <w:t xml:space="preserve"> </w:t>
      </w:r>
      <w:r>
        <w:t>D</w:t>
      </w:r>
      <w:r w:rsidR="005A6336" w:rsidRPr="005A6336">
        <w:t xml:space="preserve">rying </w:t>
      </w:r>
      <w:r>
        <w:t xml:space="preserve">was performed </w:t>
      </w:r>
      <w:r w:rsidR="005A6336" w:rsidRPr="005A6336">
        <w:t xml:space="preserve">at </w:t>
      </w:r>
      <w:r w:rsidR="00C41816">
        <w:t>65</w:t>
      </w:r>
      <w:r w:rsidR="005A6336" w:rsidRPr="005A6336">
        <w:t xml:space="preserve"> °C </w:t>
      </w:r>
      <w:r>
        <w:t>for</w:t>
      </w:r>
      <w:r w:rsidR="00C41816">
        <w:t xml:space="preserve"> 7</w:t>
      </w:r>
      <w:r w:rsidR="00D510F6">
        <w:t>2</w:t>
      </w:r>
      <w:r w:rsidR="00C41816">
        <w:t xml:space="preserve"> hours </w:t>
      </w:r>
      <w:r w:rsidR="005A6336" w:rsidRPr="005A6336">
        <w:t>in a forced</w:t>
      </w:r>
      <w:r>
        <w:t>-</w:t>
      </w:r>
      <w:r w:rsidR="005A6336" w:rsidRPr="005A6336">
        <w:t xml:space="preserve">circulation oven until constant </w:t>
      </w:r>
      <w:r>
        <w:t xml:space="preserve">weight, </w:t>
      </w:r>
      <w:r w:rsidR="005A6336" w:rsidRPr="005A6336">
        <w:t>at harvest</w:t>
      </w:r>
      <w:r w:rsidR="00D70643">
        <w:t xml:space="preserve">. </w:t>
      </w:r>
      <w:r>
        <w:t>G</w:t>
      </w:r>
      <w:r w:rsidRPr="006359DC">
        <w:t>rowth was monitored by measuring plant height (</w:t>
      </w:r>
      <w:r>
        <w:t>dis</w:t>
      </w:r>
      <w:r w:rsidRPr="006359DC">
        <w:t xml:space="preserve">tance between the ground level and the apical bud) and </w:t>
      </w:r>
      <w:r>
        <w:t>stem</w:t>
      </w:r>
      <w:r w:rsidRPr="006359DC">
        <w:t xml:space="preserve"> diameter (in the plant</w:t>
      </w:r>
      <w:r>
        <w:t xml:space="preserve"> neck</w:t>
      </w:r>
      <w:r w:rsidRPr="006359DC">
        <w:t xml:space="preserve">) </w:t>
      </w:r>
      <w:r w:rsidR="00146F9D" w:rsidRPr="00146F9D">
        <w:t>every 10 days to stabilize plant growth</w:t>
      </w:r>
      <w:r w:rsidR="005A6336" w:rsidRPr="005A6336">
        <w:t xml:space="preserve">. </w:t>
      </w:r>
      <w:r w:rsidR="00DA5BFF">
        <w:t>A</w:t>
      </w:r>
      <w:r w:rsidR="00DA5BFF" w:rsidRPr="00DA5BFF">
        <w:t xml:space="preserve"> manual scanner was used to determine the leaf area once a week </w:t>
      </w:r>
      <w:r>
        <w:t>in</w:t>
      </w:r>
      <w:r w:rsidRPr="00DA5BFF">
        <w:t xml:space="preserve"> </w:t>
      </w:r>
      <w:r w:rsidR="00DA5BFF" w:rsidRPr="00DA5BFF">
        <w:t>the reproductive stage of the tomato.</w:t>
      </w:r>
      <w:r>
        <w:t xml:space="preserve"> </w:t>
      </w:r>
    </w:p>
    <w:p w14:paraId="333C9FC2" w14:textId="67E09526" w:rsidR="001E7741" w:rsidRDefault="008E651A" w:rsidP="001E7741">
      <w:pPr>
        <w:pStyle w:val="CETBodytext"/>
      </w:pPr>
      <w:r w:rsidRPr="00634E05">
        <w:t xml:space="preserve">Each treatment was harvested when ripe fruit rate reached </w:t>
      </w:r>
      <w:r w:rsidR="00FD4430">
        <w:t>about</w:t>
      </w:r>
      <w:r w:rsidR="00FD4430" w:rsidRPr="00634E05">
        <w:t xml:space="preserve"> </w:t>
      </w:r>
      <w:r w:rsidRPr="00634E05">
        <w:t xml:space="preserve">85%. </w:t>
      </w:r>
      <w:r w:rsidR="00FD4430">
        <w:t xml:space="preserve">Ripe </w:t>
      </w:r>
      <w:r w:rsidRPr="00634E05">
        <w:t>tomat</w:t>
      </w:r>
      <w:r w:rsidR="00FD4430">
        <w:t>o</w:t>
      </w:r>
      <w:r w:rsidRPr="00634E05">
        <w:t xml:space="preserve"> </w:t>
      </w:r>
      <w:r w:rsidR="005819F7" w:rsidRPr="00634E05">
        <w:t xml:space="preserve">fruits were manually </w:t>
      </w:r>
      <w:r w:rsidRPr="00634E05">
        <w:t>harvested</w:t>
      </w:r>
      <w:r w:rsidR="001805F9" w:rsidRPr="00634E05">
        <w:t>,</w:t>
      </w:r>
      <w:r w:rsidRPr="00634E05">
        <w:t xml:space="preserve"> graded, and some qualitive characteristics of the fruit were investigated based on samples of red fruit collected at random from each treatment plot</w:t>
      </w:r>
      <w:r w:rsidR="00FF6403" w:rsidRPr="00634E05">
        <w:t>.</w:t>
      </w:r>
      <w:r w:rsidR="000F7475" w:rsidRPr="00634E05">
        <w:t xml:space="preserve"> </w:t>
      </w:r>
      <w:r w:rsidR="002B180F" w:rsidRPr="00634E05">
        <w:t xml:space="preserve">The number </w:t>
      </w:r>
      <w:r w:rsidR="00FD4430">
        <w:t>of</w:t>
      </w:r>
      <w:r w:rsidR="00FD4430" w:rsidRPr="00634E05">
        <w:t xml:space="preserve"> </w:t>
      </w:r>
      <w:r w:rsidR="002B180F" w:rsidRPr="00634E05">
        <w:t>tomato fruit</w:t>
      </w:r>
      <w:r w:rsidR="00FD4430">
        <w:t>s per</w:t>
      </w:r>
      <w:r w:rsidR="002B180F" w:rsidRPr="00634E05">
        <w:t xml:space="preserve"> plant (N</w:t>
      </w:r>
      <w:r w:rsidR="000F2237">
        <w:t>FP</w:t>
      </w:r>
      <w:r w:rsidR="002B180F" w:rsidRPr="00634E05">
        <w:t xml:space="preserve">) and </w:t>
      </w:r>
      <w:r w:rsidR="003A6F4D" w:rsidRPr="00634E05">
        <w:t>t</w:t>
      </w:r>
      <w:r w:rsidR="00D81751" w:rsidRPr="00634E05">
        <w:t xml:space="preserve">otal </w:t>
      </w:r>
      <w:r w:rsidR="003A6F4D" w:rsidRPr="00634E05">
        <w:t>y</w:t>
      </w:r>
      <w:r w:rsidR="00D81751" w:rsidRPr="00634E05">
        <w:t>ield</w:t>
      </w:r>
      <w:r w:rsidR="008E511F" w:rsidRPr="00634E05">
        <w:t>-</w:t>
      </w:r>
      <w:r w:rsidR="008E511F" w:rsidRPr="00634E05">
        <w:rPr>
          <w:i/>
        </w:rPr>
        <w:t>Y</w:t>
      </w:r>
      <w:r w:rsidR="00D81751" w:rsidRPr="00634E05">
        <w:t xml:space="preserve"> (t ha</w:t>
      </w:r>
      <w:r w:rsidR="00D81751" w:rsidRPr="00634E05">
        <w:rPr>
          <w:vertAlign w:val="superscript"/>
        </w:rPr>
        <w:t>-1</w:t>
      </w:r>
      <w:r w:rsidR="00D81751" w:rsidRPr="00634E05">
        <w:t>)</w:t>
      </w:r>
      <w:r w:rsidR="003A6F4D" w:rsidRPr="00634E05">
        <w:t xml:space="preserve"> were </w:t>
      </w:r>
      <w:r w:rsidR="005E7913" w:rsidRPr="00634E05">
        <w:t>o</w:t>
      </w:r>
      <w:r w:rsidR="003A6F4D" w:rsidRPr="00634E05">
        <w:t>bserved at each harvest</w:t>
      </w:r>
      <w:r w:rsidR="00AC2397" w:rsidRPr="00634E05">
        <w:t xml:space="preserve">. </w:t>
      </w:r>
      <w:r w:rsidR="005F3FFD">
        <w:t>The f</w:t>
      </w:r>
      <w:r w:rsidR="00F378DA" w:rsidRPr="00634E05">
        <w:t>resh weight (FW</w:t>
      </w:r>
      <w:r w:rsidR="00073876" w:rsidRPr="00634E05">
        <w:t xml:space="preserve">) </w:t>
      </w:r>
      <w:r w:rsidR="00C137C3" w:rsidRPr="00634E05">
        <w:t xml:space="preserve">of </w:t>
      </w:r>
      <w:r w:rsidR="007D7DD7" w:rsidRPr="00634E05">
        <w:t>each tomato fruit was measured using a balance with a resolution of 0.0</w:t>
      </w:r>
      <w:r w:rsidR="0008520B" w:rsidRPr="00634E05">
        <w:t>1</w:t>
      </w:r>
      <w:r w:rsidR="007D7DD7" w:rsidRPr="00634E05">
        <w:t xml:space="preserve"> g</w:t>
      </w:r>
      <w:r w:rsidR="00FF6403" w:rsidRPr="00634E05">
        <w:t>.</w:t>
      </w:r>
      <w:r w:rsidR="0008520B" w:rsidRPr="00634E05">
        <w:t xml:space="preserve"> </w:t>
      </w:r>
      <w:r w:rsidR="00C73511" w:rsidRPr="00634E05">
        <w:t xml:space="preserve">Firmness (N) was measured by </w:t>
      </w:r>
      <w:r w:rsidR="002A00AE" w:rsidRPr="00895CB4">
        <w:t>flattening method</w:t>
      </w:r>
      <w:r w:rsidR="002A00AE" w:rsidRPr="00634E05">
        <w:t xml:space="preserve">, </w:t>
      </w:r>
      <w:r w:rsidR="00C25B67" w:rsidRPr="00634E05">
        <w:t>with</w:t>
      </w:r>
      <w:r w:rsidR="002602F9" w:rsidRPr="00634E05">
        <w:t xml:space="preserve"> </w:t>
      </w:r>
      <w:r w:rsidR="0008520B" w:rsidRPr="00634E05">
        <w:t>a</w:t>
      </w:r>
      <w:r w:rsidR="002602F9" w:rsidRPr="00634E05">
        <w:t xml:space="preserve"> horizontal flattener</w:t>
      </w:r>
      <w:r w:rsidR="000F2237">
        <w:t>;</w:t>
      </w:r>
      <w:r w:rsidR="002602F9" w:rsidRPr="00634E05">
        <w:t xml:space="preserve"> this equipment</w:t>
      </w:r>
      <w:r w:rsidR="009E7F19" w:rsidRPr="00634E05">
        <w:t xml:space="preserve"> was developed to yield rapid and accurate </w:t>
      </w:r>
      <w:r w:rsidR="00A8592A">
        <w:t>compression</w:t>
      </w:r>
      <w:r w:rsidR="009E7F19" w:rsidRPr="00634E05">
        <w:t xml:space="preserve"> responses</w:t>
      </w:r>
      <w:r w:rsidR="006D66E9" w:rsidRPr="00634E05">
        <w:t xml:space="preserve">, represented by </w:t>
      </w:r>
      <w:r w:rsidR="000F2237">
        <w:t>the</w:t>
      </w:r>
      <w:r w:rsidR="006D66E9" w:rsidRPr="00634E05">
        <w:t xml:space="preserve"> ratio between </w:t>
      </w:r>
      <w:r w:rsidR="000F2237">
        <w:t xml:space="preserve">the </w:t>
      </w:r>
      <w:r w:rsidR="006D66E9" w:rsidRPr="00634E05">
        <w:t xml:space="preserve">applied force </w:t>
      </w:r>
      <w:r w:rsidR="00465640" w:rsidRPr="00634E05">
        <w:t>a</w:t>
      </w:r>
      <w:r w:rsidR="000F2237">
        <w:t>nd the</w:t>
      </w:r>
      <w:r w:rsidR="006D66E9" w:rsidRPr="00634E05">
        <w:t xml:space="preserve"> measured flattened area</w:t>
      </w:r>
      <w:r w:rsidR="00B877CA" w:rsidRPr="00634E05">
        <w:t>,</w:t>
      </w:r>
      <w:r w:rsidR="002602F9" w:rsidRPr="00634E05">
        <w:t xml:space="preserve"> </w:t>
      </w:r>
      <w:r w:rsidR="000F2237">
        <w:t xml:space="preserve">according to </w:t>
      </w:r>
      <w:proofErr w:type="spellStart"/>
      <w:r w:rsidR="00A92F76" w:rsidRPr="00634E05">
        <w:t>Calbo</w:t>
      </w:r>
      <w:proofErr w:type="spellEnd"/>
      <w:r w:rsidR="00A92F76" w:rsidRPr="00634E05">
        <w:t xml:space="preserve"> </w:t>
      </w:r>
      <w:r w:rsidR="00B877CA" w:rsidRPr="00634E05">
        <w:t>and</w:t>
      </w:r>
      <w:r w:rsidR="00A92F76" w:rsidRPr="00634E05">
        <w:t xml:space="preserve"> Nery (1995)</w:t>
      </w:r>
      <w:r w:rsidR="00B877CA" w:rsidRPr="00634E05">
        <w:t>.</w:t>
      </w:r>
      <w:r w:rsidR="001E7741" w:rsidRPr="00634E05">
        <w:t xml:space="preserve"> </w:t>
      </w:r>
      <w:bookmarkStart w:id="1" w:name="_Hlk535567742"/>
      <w:r w:rsidR="000F2237">
        <w:t>T</w:t>
      </w:r>
      <w:r w:rsidR="001E7741" w:rsidRPr="00634E05">
        <w:t xml:space="preserve">otal soluble solids </w:t>
      </w:r>
      <w:bookmarkEnd w:id="1"/>
      <w:r w:rsidR="001E7741" w:rsidRPr="00634E05">
        <w:t>(TSS</w:t>
      </w:r>
      <w:r w:rsidR="000F2237">
        <w:t>,</w:t>
      </w:r>
      <w:r w:rsidR="001E7741" w:rsidRPr="00634E05">
        <w:t xml:space="preserve"> </w:t>
      </w:r>
      <w:proofErr w:type="spellStart"/>
      <w:r w:rsidR="001E7741" w:rsidRPr="00634E05">
        <w:rPr>
          <w:vertAlign w:val="superscript"/>
        </w:rPr>
        <w:t>o</w:t>
      </w:r>
      <w:r w:rsidR="001E7741" w:rsidRPr="00634E05">
        <w:t>brix</w:t>
      </w:r>
      <w:proofErr w:type="spellEnd"/>
      <w:r w:rsidR="001E7741" w:rsidRPr="00634E05">
        <w:t xml:space="preserve">) was </w:t>
      </w:r>
      <w:r w:rsidR="00E0320D" w:rsidRPr="00634E05">
        <w:t xml:space="preserve">measured </w:t>
      </w:r>
      <w:r w:rsidR="00B10117" w:rsidRPr="00634E05">
        <w:t>with a handheld digital refractometer</w:t>
      </w:r>
      <w:r w:rsidR="000F2237">
        <w:t>,</w:t>
      </w:r>
      <w:r w:rsidR="00B10117" w:rsidRPr="00634E05">
        <w:t xml:space="preserve"> </w:t>
      </w:r>
      <w:r w:rsidR="001E7741" w:rsidRPr="00634E05">
        <w:t>and the titra</w:t>
      </w:r>
      <w:r w:rsidR="00483E2D" w:rsidRPr="00634E05">
        <w:t>t</w:t>
      </w:r>
      <w:r w:rsidR="000F2237">
        <w:t>able</w:t>
      </w:r>
      <w:r w:rsidR="001E7741" w:rsidRPr="00634E05">
        <w:t xml:space="preserve"> acidity </w:t>
      </w:r>
      <w:r w:rsidR="004C4ED1" w:rsidRPr="00634E05">
        <w:t>of tomato fruit pulp</w:t>
      </w:r>
      <w:r w:rsidR="005E14F7" w:rsidRPr="00634E05">
        <w:t xml:space="preserve"> </w:t>
      </w:r>
      <w:r w:rsidR="00B05325" w:rsidRPr="00634E05">
        <w:t>(TA</w:t>
      </w:r>
      <w:r w:rsidR="000F2237">
        <w:t>,</w:t>
      </w:r>
      <w:r w:rsidR="00483E2D" w:rsidRPr="00634E05">
        <w:t xml:space="preserve"> %</w:t>
      </w:r>
      <w:r w:rsidR="00B05325" w:rsidRPr="00634E05">
        <w:t xml:space="preserve">) </w:t>
      </w:r>
      <w:r w:rsidR="001E7741" w:rsidRPr="00634E05">
        <w:t xml:space="preserve">was determined by titrating against standard NaOH solution 0.1 </w:t>
      </w:r>
      <w:r w:rsidR="001F6F44">
        <w:t>M</w:t>
      </w:r>
      <w:r w:rsidR="001E7741" w:rsidRPr="00634E05">
        <w:t>ol/l until pH 8.1, using phenolphthalein as an indicator</w:t>
      </w:r>
      <w:r w:rsidR="000F2237">
        <w:t>,</w:t>
      </w:r>
      <w:r w:rsidR="001E7741" w:rsidRPr="00634E05">
        <w:t xml:space="preserve"> and expressed as anhydrous citric acid per 100 g (AOAC, 1997</w:t>
      </w:r>
      <w:r w:rsidR="00A8592A">
        <w:t xml:space="preserve"> </w:t>
      </w:r>
      <w:r w:rsidR="001E7741" w:rsidRPr="00634E05">
        <w:t xml:space="preserve">- </w:t>
      </w:r>
      <w:r w:rsidR="00465640" w:rsidRPr="00634E05">
        <w:t>method</w:t>
      </w:r>
      <w:r w:rsidR="001E7741" w:rsidRPr="00634E05">
        <w:t xml:space="preserve"> 942.15).</w:t>
      </w:r>
      <w:r w:rsidR="001E7741" w:rsidRPr="00C73511">
        <w:t xml:space="preserve"> </w:t>
      </w:r>
    </w:p>
    <w:p w14:paraId="35865B57" w14:textId="4F17CAE7" w:rsidR="00A92F76" w:rsidRDefault="00585A68" w:rsidP="002A00AE">
      <w:pPr>
        <w:pStyle w:val="CETBodytext"/>
      </w:pPr>
      <w:r>
        <w:t>The irrigation water p</w:t>
      </w:r>
      <w:r w:rsidR="00AF5EBD">
        <w:t>rod</w:t>
      </w:r>
      <w:r w:rsidR="003E36BE">
        <w:t>uctivity</w:t>
      </w:r>
      <w:r w:rsidR="00513DB4">
        <w:t xml:space="preserve"> </w:t>
      </w:r>
      <w:proofErr w:type="spellStart"/>
      <w:r w:rsidR="00513DB4" w:rsidRPr="00513DB4">
        <w:rPr>
          <w:rFonts w:asciiTheme="majorHAnsi" w:hAnsiTheme="majorHAnsi"/>
          <w:i/>
        </w:rPr>
        <w:t>WP</w:t>
      </w:r>
      <w:r w:rsidR="00513DB4" w:rsidRPr="00513DB4">
        <w:rPr>
          <w:rFonts w:asciiTheme="majorHAnsi" w:hAnsiTheme="majorHAnsi"/>
          <w:i/>
          <w:vertAlign w:val="subscript"/>
        </w:rPr>
        <w:t>irrig</w:t>
      </w:r>
      <w:proofErr w:type="spellEnd"/>
      <w:r w:rsidR="003E36BE">
        <w:t xml:space="preserve">, expressed in kg ha </w:t>
      </w:r>
      <w:r w:rsidR="003E36BE" w:rsidRPr="006A62C5">
        <w:rPr>
          <w:vertAlign w:val="superscript"/>
        </w:rPr>
        <w:t>-1</w:t>
      </w:r>
      <w:r w:rsidR="003E36BE">
        <w:t xml:space="preserve"> mm</w:t>
      </w:r>
      <w:r w:rsidR="003E36BE" w:rsidRPr="006A62C5">
        <w:rPr>
          <w:vertAlign w:val="superscript"/>
        </w:rPr>
        <w:t>-1</w:t>
      </w:r>
      <w:r w:rsidR="006A62C5">
        <w:t>, was computed as Eq.</w:t>
      </w:r>
      <w:r w:rsidR="003B3A86">
        <w:t xml:space="preserve"> </w:t>
      </w:r>
      <w:r w:rsidR="006A62C5">
        <w:t>(1)</w:t>
      </w:r>
      <w:r w:rsidR="002641D9">
        <w:t xml:space="preserve">, </w:t>
      </w:r>
      <w:r w:rsidR="000F2237">
        <w:t xml:space="preserve">according to </w:t>
      </w:r>
      <w:r w:rsidR="002641D9" w:rsidRPr="002641D9">
        <w:t xml:space="preserve">Zheng et al. </w:t>
      </w:r>
      <w:r w:rsidR="002641D9" w:rsidRPr="002302D3">
        <w:t xml:space="preserve">(2013):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3"/>
        <w:gridCol w:w="804"/>
      </w:tblGrid>
      <w:tr w:rsidR="001C68E4" w:rsidRPr="00B57B36" w14:paraId="41C5C1CC" w14:textId="77777777" w:rsidTr="00AA43EF">
        <w:tc>
          <w:tcPr>
            <w:tcW w:w="8188" w:type="dxa"/>
            <w:shd w:val="clear" w:color="auto" w:fill="auto"/>
            <w:vAlign w:val="center"/>
          </w:tcPr>
          <w:p w14:paraId="74FB9DA3" w14:textId="431659C1" w:rsidR="00563F70" w:rsidRPr="00B57B36" w:rsidRDefault="001C68E4" w:rsidP="00AA43EF">
            <w:pPr>
              <w:pStyle w:val="CETEquation"/>
            </w:pPr>
            <w:r w:rsidRPr="001C68E4">
              <w:rPr>
                <w:noProof/>
                <w:lang w:val="pt-BR" w:eastAsia="pt-BR"/>
              </w:rPr>
              <w:lastRenderedPageBreak/>
              <w:drawing>
                <wp:inline distT="0" distB="0" distL="0" distR="0" wp14:anchorId="3A0ADBB8" wp14:editId="03BEC968">
                  <wp:extent cx="779765" cy="269240"/>
                  <wp:effectExtent l="0" t="0" r="190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32" r="42792" b="-4"/>
                          <a:stretch/>
                        </pic:blipFill>
                        <pic:spPr bwMode="auto">
                          <a:xfrm>
                            <a:off x="0" y="0"/>
                            <a:ext cx="779800" cy="26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3DB5E83" w14:textId="77777777" w:rsidR="00563F70" w:rsidRPr="00B57B36" w:rsidRDefault="00563F70" w:rsidP="00AA43EF">
            <w:pPr>
              <w:pStyle w:val="CETEquation"/>
              <w:jc w:val="right"/>
            </w:pPr>
            <w:r w:rsidRPr="00B57B36">
              <w:t>(1)</w:t>
            </w:r>
          </w:p>
        </w:tc>
      </w:tr>
    </w:tbl>
    <w:p w14:paraId="387C30D9" w14:textId="31F19972" w:rsidR="00C62E4B" w:rsidRPr="00864B39" w:rsidRDefault="00864B39" w:rsidP="004920B4">
      <w:pPr>
        <w:pStyle w:val="CETBodytext"/>
      </w:pPr>
      <w:r w:rsidRPr="00864B39">
        <w:t>Where</w:t>
      </w:r>
      <w:r w:rsidR="00513DB4">
        <w:t xml:space="preserve"> </w:t>
      </w:r>
      <w:r w:rsidR="00513DB4" w:rsidRPr="00513DB4">
        <w:rPr>
          <w:rFonts w:asciiTheme="majorHAnsi" w:hAnsiTheme="majorHAnsi"/>
          <w:i/>
        </w:rPr>
        <w:t>IWU</w:t>
      </w:r>
      <w:r w:rsidRPr="00864B39">
        <w:t xml:space="preserve"> i</w:t>
      </w:r>
      <w:r w:rsidR="00C22396">
        <w:t>s</w:t>
      </w:r>
      <w:r w:rsidRPr="00864B39">
        <w:t xml:space="preserve"> the s</w:t>
      </w:r>
      <w:r>
        <w:t>easonal irrigation water use (mm)</w:t>
      </w:r>
      <w:r w:rsidR="000B5ACE">
        <w:t xml:space="preserve"> and</w:t>
      </w:r>
      <w:r w:rsidR="00C22396">
        <w:t xml:space="preserve"> </w:t>
      </w:r>
      <w:proofErr w:type="spellStart"/>
      <w:r w:rsidR="00C22396" w:rsidRPr="00C22396">
        <w:rPr>
          <w:rFonts w:asciiTheme="majorHAnsi" w:hAnsiTheme="majorHAnsi"/>
          <w:i/>
        </w:rPr>
        <w:t>Y</w:t>
      </w:r>
      <w:r w:rsidR="00C22396" w:rsidRPr="00C22396">
        <w:rPr>
          <w:rFonts w:asciiTheme="majorHAnsi" w:hAnsiTheme="majorHAnsi"/>
          <w:i/>
          <w:vertAlign w:val="subscript"/>
        </w:rPr>
        <w:t>a</w:t>
      </w:r>
      <w:proofErr w:type="spellEnd"/>
      <w:r w:rsidR="000B5ACE">
        <w:t xml:space="preserve"> is the total tomato fruit yield (kg ha</w:t>
      </w:r>
      <w:r w:rsidR="000B5ACE" w:rsidRPr="000B5ACE">
        <w:rPr>
          <w:vertAlign w:val="superscript"/>
        </w:rPr>
        <w:t>-1</w:t>
      </w:r>
      <w:r w:rsidR="000B5ACE">
        <w:t>)</w:t>
      </w:r>
      <w:r w:rsidR="009A560B">
        <w:t xml:space="preserve">. </w:t>
      </w:r>
      <w:r w:rsidR="000F2237">
        <w:t>T</w:t>
      </w:r>
      <w:r w:rsidR="009A560B">
        <w:t>he experiment</w:t>
      </w:r>
      <w:r w:rsidR="00A74196">
        <w:t xml:space="preserve"> was highly controlled, w</w:t>
      </w:r>
      <w:r w:rsidR="008D15B0">
        <w:t>i</w:t>
      </w:r>
      <w:r w:rsidR="00A74196">
        <w:t xml:space="preserve">thout runoff or deep percolation. </w:t>
      </w:r>
    </w:p>
    <w:p w14:paraId="69609BD7" w14:textId="596D5F17" w:rsidR="009D36C0" w:rsidRPr="00930301" w:rsidRDefault="000F2237" w:rsidP="00AE613C">
      <w:pPr>
        <w:pStyle w:val="CETBodytext"/>
      </w:pPr>
      <w:r>
        <w:t>D</w:t>
      </w:r>
      <w:r w:rsidR="0092649B" w:rsidRPr="0092649B">
        <w:t xml:space="preserve">ata were subjected to analysis of variance (ANOVA) using </w:t>
      </w:r>
      <w:r w:rsidR="008D35FE">
        <w:t>SISVAR</w:t>
      </w:r>
      <w:r w:rsidR="0092649B" w:rsidRPr="0092649B">
        <w:t xml:space="preserve"> software</w:t>
      </w:r>
      <w:r w:rsidR="008D35FE" w:rsidRPr="008D35FE">
        <w:t xml:space="preserve"> </w:t>
      </w:r>
      <w:r>
        <w:t>(</w:t>
      </w:r>
      <w:r w:rsidR="008D35FE" w:rsidRPr="00C96A16">
        <w:t>Ferreira</w:t>
      </w:r>
      <w:r>
        <w:t>,</w:t>
      </w:r>
      <w:r w:rsidR="008D35FE" w:rsidRPr="00C96A16">
        <w:t xml:space="preserve"> 2011)</w:t>
      </w:r>
      <w:r w:rsidR="0092649B" w:rsidRPr="00C96A16">
        <w:t>.</w:t>
      </w:r>
      <w:r w:rsidR="0092649B" w:rsidRPr="0092649B">
        <w:t xml:space="preserve"> The significance of the irrigation treatments was determined with an F test at the 0.05 probability level.</w:t>
      </w:r>
    </w:p>
    <w:p w14:paraId="22963BC8" w14:textId="4FE57CD8" w:rsidR="002624E4" w:rsidRDefault="00A73658" w:rsidP="00A73658">
      <w:pPr>
        <w:pStyle w:val="CETHeading1"/>
      </w:pPr>
      <w:r>
        <w:t>Results and discussion</w:t>
      </w:r>
    </w:p>
    <w:p w14:paraId="6C96A502" w14:textId="77777777" w:rsidR="001E1868" w:rsidRPr="00A27BA4" w:rsidRDefault="001E1868" w:rsidP="001E1868">
      <w:pPr>
        <w:pStyle w:val="CETBodytext"/>
      </w:pPr>
      <w:r w:rsidRPr="00BC16CB">
        <w:t>Table 1 presents information on the physical and chemical properties of the soil.</w:t>
      </w:r>
      <w:r>
        <w:t xml:space="preserve"> </w:t>
      </w:r>
    </w:p>
    <w:p w14:paraId="6A45341C" w14:textId="77777777" w:rsidR="001E1868" w:rsidRPr="00B57B36" w:rsidRDefault="001E1868" w:rsidP="001E1868">
      <w:pPr>
        <w:pStyle w:val="CETTabletitle"/>
        <w:spacing w:line="240" w:lineRule="auto"/>
      </w:pPr>
      <w:r w:rsidRPr="00B57B36">
        <w:t xml:space="preserve">Table 1: </w:t>
      </w:r>
      <w:r>
        <w:t>Physical and chemical characteristics of the soil.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1"/>
        <w:gridCol w:w="728"/>
        <w:gridCol w:w="866"/>
        <w:gridCol w:w="1909"/>
        <w:gridCol w:w="315"/>
        <w:gridCol w:w="1188"/>
        <w:gridCol w:w="1351"/>
        <w:gridCol w:w="1489"/>
      </w:tblGrid>
      <w:tr w:rsidR="001E1868" w:rsidRPr="00B57B36" w14:paraId="28F6E5BE" w14:textId="77777777" w:rsidTr="001E1868">
        <w:trPr>
          <w:trHeight w:val="36"/>
        </w:trPr>
        <w:tc>
          <w:tcPr>
            <w:tcW w:w="1442" w:type="pct"/>
            <w:gridSpan w:val="3"/>
            <w:tcBorders>
              <w:top w:val="single" w:sz="12" w:space="0" w:color="008000"/>
              <w:bottom w:val="single" w:sz="4" w:space="0" w:color="008000"/>
            </w:tcBorders>
            <w:shd w:val="clear" w:color="auto" w:fill="FFFFFF"/>
            <w:vAlign w:val="center"/>
          </w:tcPr>
          <w:p w14:paraId="7BED1612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</w:pPr>
            <w:r>
              <w:t>Texture</w:t>
            </w:r>
          </w:p>
        </w:tc>
        <w:tc>
          <w:tcPr>
            <w:tcW w:w="1086" w:type="pct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5174B310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</w:pPr>
            <w:r>
              <w:t>Organic matter (%)</w:t>
            </w:r>
          </w:p>
        </w:tc>
        <w:tc>
          <w:tcPr>
            <w:tcW w:w="179" w:type="pct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050656D7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</w:pPr>
            <w:r>
              <w:t>pH</w:t>
            </w:r>
          </w:p>
        </w:tc>
        <w:tc>
          <w:tcPr>
            <w:tcW w:w="676" w:type="pct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5F3E2A67" w14:textId="77777777" w:rsidR="001E1868" w:rsidRDefault="001E1868" w:rsidP="001E1868">
            <w:pPr>
              <w:pStyle w:val="CETBodytext"/>
              <w:spacing w:line="240" w:lineRule="auto"/>
              <w:jc w:val="center"/>
            </w:pPr>
            <w:r>
              <w:t>P (mg dm</w:t>
            </w:r>
            <w:r w:rsidRPr="00D47AB5">
              <w:rPr>
                <w:vertAlign w:val="superscript"/>
              </w:rPr>
              <w:t>-3</w:t>
            </w:r>
            <w:r>
              <w:t>)</w:t>
            </w:r>
          </w:p>
        </w:tc>
        <w:tc>
          <w:tcPr>
            <w:tcW w:w="769" w:type="pct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6EEDA960" w14:textId="77777777" w:rsidR="001E1868" w:rsidRDefault="001E1868" w:rsidP="001E1868">
            <w:pPr>
              <w:pStyle w:val="CETBodytext"/>
              <w:spacing w:line="240" w:lineRule="auto"/>
              <w:jc w:val="center"/>
            </w:pPr>
            <w:r>
              <w:t>K (</w:t>
            </w:r>
            <w:proofErr w:type="spellStart"/>
            <w:r>
              <w:t>cmol</w:t>
            </w:r>
            <w:proofErr w:type="spellEnd"/>
            <w:r>
              <w:t xml:space="preserve"> dm</w:t>
            </w:r>
            <w:r w:rsidRPr="008B3D5A">
              <w:rPr>
                <w:vertAlign w:val="superscript"/>
              </w:rPr>
              <w:t>-3</w:t>
            </w:r>
            <w:r>
              <w:t>)</w:t>
            </w:r>
          </w:p>
        </w:tc>
        <w:tc>
          <w:tcPr>
            <w:tcW w:w="847" w:type="pct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2E87C0A9" w14:textId="77777777" w:rsidR="001E1868" w:rsidRDefault="001E1868" w:rsidP="001E1868">
            <w:pPr>
              <w:pStyle w:val="CETBodytext"/>
              <w:spacing w:line="240" w:lineRule="auto"/>
              <w:jc w:val="center"/>
            </w:pPr>
            <w:r>
              <w:t>Ca (</w:t>
            </w:r>
            <w:proofErr w:type="spellStart"/>
            <w:r>
              <w:t>cmol</w:t>
            </w:r>
            <w:proofErr w:type="spellEnd"/>
            <w:r>
              <w:t xml:space="preserve"> dm</w:t>
            </w:r>
            <w:r w:rsidRPr="008B3D5A">
              <w:rPr>
                <w:vertAlign w:val="superscript"/>
              </w:rPr>
              <w:t>-3</w:t>
            </w:r>
            <w:r>
              <w:t>)</w:t>
            </w:r>
          </w:p>
        </w:tc>
      </w:tr>
      <w:tr w:rsidR="001E1868" w:rsidRPr="00B57B36" w14:paraId="4443EB6F" w14:textId="77777777" w:rsidTr="00B52E9D">
        <w:trPr>
          <w:trHeight w:val="113"/>
        </w:trPr>
        <w:tc>
          <w:tcPr>
            <w:tcW w:w="535" w:type="pct"/>
            <w:tcBorders>
              <w:top w:val="single" w:sz="4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2D87567" w14:textId="77777777" w:rsidR="001E1868" w:rsidRPr="007E6F74" w:rsidRDefault="001E1868" w:rsidP="001E1868">
            <w:pPr>
              <w:pStyle w:val="CETBodytext"/>
              <w:spacing w:line="240" w:lineRule="auto"/>
              <w:jc w:val="center"/>
              <w:rPr>
                <w:u w:val="single"/>
              </w:rPr>
            </w:pPr>
            <w:r w:rsidRPr="00830289">
              <w:t xml:space="preserve">Sand </w:t>
            </w:r>
            <w:r>
              <w:t>(%)</w:t>
            </w:r>
          </w:p>
        </w:tc>
        <w:tc>
          <w:tcPr>
            <w:tcW w:w="414" w:type="pct"/>
            <w:tcBorders>
              <w:top w:val="single" w:sz="4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651CBFEA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</w:pPr>
            <w:r>
              <w:t>Silt (%)</w:t>
            </w:r>
          </w:p>
        </w:tc>
        <w:tc>
          <w:tcPr>
            <w:tcW w:w="493" w:type="pct"/>
            <w:tcBorders>
              <w:top w:val="single" w:sz="4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AFB697F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Clay (%)</w:t>
            </w:r>
          </w:p>
        </w:tc>
        <w:tc>
          <w:tcPr>
            <w:tcW w:w="1086" w:type="pct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3A0AFFC9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79" w:type="pct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530382E8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676" w:type="pct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48C1E3A9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69" w:type="pct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51479B04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47" w:type="pct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4312D360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  <w:lang w:val="en-GB"/>
              </w:rPr>
            </w:pPr>
          </w:p>
        </w:tc>
      </w:tr>
      <w:tr w:rsidR="001E1868" w:rsidRPr="00B57B36" w14:paraId="11057200" w14:textId="77777777" w:rsidTr="001E1868">
        <w:trPr>
          <w:trHeight w:val="136"/>
        </w:trPr>
        <w:tc>
          <w:tcPr>
            <w:tcW w:w="535" w:type="pct"/>
            <w:shd w:val="clear" w:color="auto" w:fill="FFFFFF"/>
            <w:vAlign w:val="center"/>
          </w:tcPr>
          <w:p w14:paraId="7CABC7D4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</w:pPr>
            <w:r>
              <w:t>46.0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51E0D4B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</w:pPr>
            <w:r>
              <w:t>20.0</w:t>
            </w:r>
          </w:p>
        </w:tc>
        <w:tc>
          <w:tcPr>
            <w:tcW w:w="493" w:type="pct"/>
            <w:shd w:val="clear" w:color="auto" w:fill="FFFFFF"/>
            <w:vAlign w:val="center"/>
          </w:tcPr>
          <w:p w14:paraId="4CF0EB0F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</w:pPr>
            <w:r>
              <w:t>34.0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51767F1B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9F714C9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6.8</w:t>
            </w:r>
          </w:p>
        </w:tc>
        <w:tc>
          <w:tcPr>
            <w:tcW w:w="676" w:type="pct"/>
            <w:shd w:val="clear" w:color="auto" w:fill="FFFFFF"/>
            <w:vAlign w:val="center"/>
          </w:tcPr>
          <w:p w14:paraId="26E54507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37.9</w:t>
            </w:r>
          </w:p>
        </w:tc>
        <w:tc>
          <w:tcPr>
            <w:tcW w:w="769" w:type="pct"/>
            <w:shd w:val="clear" w:color="auto" w:fill="FFFFFF"/>
            <w:vAlign w:val="center"/>
          </w:tcPr>
          <w:p w14:paraId="4495E77F" w14:textId="77777777" w:rsidR="001E1868" w:rsidRPr="00B57B36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4.6</w:t>
            </w:r>
          </w:p>
        </w:tc>
        <w:tc>
          <w:tcPr>
            <w:tcW w:w="847" w:type="pct"/>
            <w:shd w:val="clear" w:color="auto" w:fill="FFFFFF"/>
            <w:vAlign w:val="center"/>
          </w:tcPr>
          <w:p w14:paraId="45DED7B1" w14:textId="77777777" w:rsidR="001E1868" w:rsidRDefault="001E1868" w:rsidP="001E1868">
            <w:pPr>
              <w:pStyle w:val="CETBodytext"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2.9</w:t>
            </w:r>
          </w:p>
        </w:tc>
      </w:tr>
    </w:tbl>
    <w:p w14:paraId="4D55B892" w14:textId="7B9982BE" w:rsidR="001E1868" w:rsidRDefault="001E1868" w:rsidP="00931585">
      <w:pPr>
        <w:pStyle w:val="CETBodytext"/>
      </w:pPr>
    </w:p>
    <w:p w14:paraId="31F3425C" w14:textId="3DFAF361" w:rsidR="00931585" w:rsidRPr="00B26738" w:rsidRDefault="00B26738" w:rsidP="00931585">
      <w:pPr>
        <w:pStyle w:val="CETBodytext"/>
      </w:pPr>
      <w:r w:rsidRPr="00B26738">
        <w:t xml:space="preserve">Table 2 present the results of the analysis of variance for the parameters plant growth and fruit quality of </w:t>
      </w:r>
      <w:r w:rsidR="003178ED">
        <w:t>processing</w:t>
      </w:r>
      <w:r w:rsidRPr="00B26738">
        <w:t xml:space="preserve"> tomato</w:t>
      </w:r>
      <w:r>
        <w:t xml:space="preserve"> </w:t>
      </w:r>
      <w:r w:rsidR="000F2237">
        <w:t>under</w:t>
      </w:r>
      <w:r w:rsidR="000F2237" w:rsidRPr="00B26738">
        <w:t xml:space="preserve"> </w:t>
      </w:r>
      <w:r w:rsidRPr="00B26738">
        <w:t>different deficit irrigation strategies</w:t>
      </w:r>
      <w:r w:rsidR="009D5B22" w:rsidRPr="00B26738">
        <w:t xml:space="preserve">. </w:t>
      </w:r>
    </w:p>
    <w:p w14:paraId="0B5CEDE3" w14:textId="435AB183" w:rsidR="00B62A44" w:rsidRPr="00B57B36" w:rsidRDefault="009D5B22" w:rsidP="003D587A">
      <w:pPr>
        <w:pStyle w:val="CETTabletitle"/>
        <w:jc w:val="both"/>
      </w:pPr>
      <w:r w:rsidRPr="00B57B36">
        <w:t xml:space="preserve">Table </w:t>
      </w:r>
      <w:r>
        <w:t>2</w:t>
      </w:r>
      <w:r w:rsidRPr="00B57B36">
        <w:t xml:space="preserve">: </w:t>
      </w:r>
      <w:r>
        <w:t>Results of</w:t>
      </w:r>
      <w:r w:rsidR="000F2237">
        <w:t xml:space="preserve"> the</w:t>
      </w:r>
      <w:r>
        <w:t xml:space="preserve"> analysis of </w:t>
      </w:r>
      <w:r w:rsidR="000F2237">
        <w:t xml:space="preserve">variance of </w:t>
      </w:r>
      <w:r>
        <w:t xml:space="preserve">growth parameters </w:t>
      </w:r>
      <w:r w:rsidR="00B62A44">
        <w:t>of tomato as affected by different deficit irrigation strategies.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"/>
        <w:gridCol w:w="389"/>
        <w:gridCol w:w="709"/>
        <w:gridCol w:w="773"/>
        <w:gridCol w:w="822"/>
        <w:gridCol w:w="659"/>
        <w:gridCol w:w="743"/>
        <w:gridCol w:w="545"/>
        <w:gridCol w:w="773"/>
        <w:gridCol w:w="545"/>
        <w:gridCol w:w="545"/>
        <w:gridCol w:w="773"/>
        <w:gridCol w:w="858"/>
      </w:tblGrid>
      <w:tr w:rsidR="007E6FB1" w:rsidRPr="00147D9B" w14:paraId="039A6A6A" w14:textId="53407C50" w:rsidTr="00E716E1">
        <w:tc>
          <w:tcPr>
            <w:tcW w:w="37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E2FDBFC" w14:textId="718024C5" w:rsidR="00961F05" w:rsidRPr="00147D9B" w:rsidRDefault="00CD012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</w:t>
            </w:r>
            <w:r w:rsidR="00961F05" w:rsidRPr="00147D9B">
              <w:rPr>
                <w:rFonts w:cs="Arial"/>
                <w:szCs w:val="18"/>
              </w:rPr>
              <w:t>V</w:t>
            </w:r>
          </w:p>
        </w:tc>
        <w:tc>
          <w:tcPr>
            <w:tcW w:w="22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6D173DB1" w14:textId="0958CD9A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D.F.</w:t>
            </w:r>
          </w:p>
        </w:tc>
        <w:tc>
          <w:tcPr>
            <w:tcW w:w="40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FA6A5C4" w14:textId="44534BC3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PH</w:t>
            </w:r>
          </w:p>
        </w:tc>
        <w:tc>
          <w:tcPr>
            <w:tcW w:w="44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7320A6D" w14:textId="4F76222D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SD</w:t>
            </w:r>
          </w:p>
        </w:tc>
        <w:tc>
          <w:tcPr>
            <w:tcW w:w="46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5C6B03E" w14:textId="1CB84713" w:rsidR="00961F05" w:rsidRPr="00147D9B" w:rsidRDefault="00961F05" w:rsidP="00A05762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LA</w:t>
            </w:r>
          </w:p>
        </w:tc>
        <w:tc>
          <w:tcPr>
            <w:tcW w:w="375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726420A6" w14:textId="54C5C651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RDW</w:t>
            </w:r>
          </w:p>
        </w:tc>
        <w:tc>
          <w:tcPr>
            <w:tcW w:w="42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06457040" w14:textId="77D0031C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SDW</w:t>
            </w:r>
          </w:p>
        </w:tc>
        <w:tc>
          <w:tcPr>
            <w:tcW w:w="31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0F0091D" w14:textId="5E754373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FDW</w:t>
            </w:r>
          </w:p>
        </w:tc>
        <w:tc>
          <w:tcPr>
            <w:tcW w:w="44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46EF072" w14:textId="5A8B92B9" w:rsidR="00961F05" w:rsidRPr="00E716E1" w:rsidRDefault="00961F05" w:rsidP="00E716E1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i/>
                <w:szCs w:val="18"/>
                <w:lang w:val="en-GB"/>
              </w:rPr>
              <w:t>Y</w:t>
            </w:r>
          </w:p>
        </w:tc>
        <w:tc>
          <w:tcPr>
            <w:tcW w:w="31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CB62E0E" w14:textId="03C67284" w:rsidR="00961F05" w:rsidRPr="00E716E1" w:rsidRDefault="00961F05" w:rsidP="00E716E1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F</w:t>
            </w:r>
          </w:p>
        </w:tc>
        <w:tc>
          <w:tcPr>
            <w:tcW w:w="31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1D8FE0E" w14:textId="354522E5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TSS</w:t>
            </w:r>
          </w:p>
        </w:tc>
        <w:tc>
          <w:tcPr>
            <w:tcW w:w="44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D58EE08" w14:textId="537114C8" w:rsidR="00961F05" w:rsidRPr="00147D9B" w:rsidRDefault="00961F05" w:rsidP="00E716E1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TA</w:t>
            </w:r>
          </w:p>
        </w:tc>
        <w:tc>
          <w:tcPr>
            <w:tcW w:w="48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6BEDE3CD" w14:textId="3FD9A9C2" w:rsidR="00961F05" w:rsidRPr="00E716E1" w:rsidRDefault="00961F05" w:rsidP="00E716E1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</w:rPr>
            </w:pPr>
            <w:proofErr w:type="spellStart"/>
            <w:r w:rsidRPr="00147D9B">
              <w:rPr>
                <w:rFonts w:cs="Arial"/>
                <w:szCs w:val="18"/>
              </w:rPr>
              <w:t>WP</w:t>
            </w:r>
            <w:r w:rsidRPr="00147D9B">
              <w:rPr>
                <w:rFonts w:cs="Arial"/>
                <w:szCs w:val="18"/>
                <w:vertAlign w:val="subscript"/>
              </w:rPr>
              <w:t>irrig</w:t>
            </w:r>
            <w:proofErr w:type="spellEnd"/>
            <w:r w:rsidRPr="00147D9B">
              <w:rPr>
                <w:rFonts w:cs="Arial"/>
                <w:szCs w:val="18"/>
                <w:vertAlign w:val="subscript"/>
              </w:rPr>
              <w:t xml:space="preserve"> </w:t>
            </w:r>
          </w:p>
        </w:tc>
      </w:tr>
      <w:tr w:rsidR="007E6FB1" w:rsidRPr="00147D9B" w14:paraId="7502704D" w14:textId="0983C0DA" w:rsidTr="00E716E1">
        <w:tc>
          <w:tcPr>
            <w:tcW w:w="371" w:type="pct"/>
            <w:shd w:val="clear" w:color="auto" w:fill="FFFFFF"/>
            <w:vAlign w:val="center"/>
          </w:tcPr>
          <w:p w14:paraId="55F125EB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Ψ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F48982B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F025D66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179.74*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8C5D93C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0.004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392BC211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1380.05*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C0D5E6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5.22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26DABC96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253.23*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0818CC7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1.77*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895A96C" w14:textId="28C08845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453.82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F7E14BA" w14:textId="7D387D0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1.05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619FF5D" w14:textId="3853371E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0.23*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00AA2CE" w14:textId="6B7647F9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0.0045*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1E8A2EDC" w14:textId="1C16AC85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349.29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</w:tr>
      <w:tr w:rsidR="007E6FB1" w:rsidRPr="00147D9B" w14:paraId="4631BE40" w14:textId="76FDE0C1" w:rsidTr="00E716E1">
        <w:tc>
          <w:tcPr>
            <w:tcW w:w="371" w:type="pct"/>
            <w:shd w:val="clear" w:color="auto" w:fill="FFFFFF"/>
            <w:vAlign w:val="center"/>
          </w:tcPr>
          <w:p w14:paraId="799B3B25" w14:textId="42D21649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B</w:t>
            </w:r>
            <w:r w:rsidR="00A91C52" w:rsidRPr="00147D9B">
              <w:rPr>
                <w:rFonts w:cs="Arial"/>
                <w:szCs w:val="18"/>
                <w:lang w:val="en-GB"/>
              </w:rPr>
              <w:t>T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3390056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CCED3DC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7.37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5A278FD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0.0001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35084220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10.37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8DD92A7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31.72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074FE005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75.58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E51E102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0.01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10086DC" w14:textId="2CE53A7E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66.10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509D902" w14:textId="61A6E400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2.27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EAA1140" w14:textId="69853C62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0.04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1512571" w14:textId="376A663A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0.0002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4A444D4" w14:textId="07E084C2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814.56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</w:tr>
      <w:tr w:rsidR="007E6FB1" w:rsidRPr="00147D9B" w14:paraId="0D60D615" w14:textId="203C16CC" w:rsidTr="00E716E1">
        <w:tc>
          <w:tcPr>
            <w:tcW w:w="371" w:type="pct"/>
            <w:shd w:val="clear" w:color="auto" w:fill="FFFFFF"/>
            <w:vAlign w:val="center"/>
          </w:tcPr>
          <w:p w14:paraId="7D5C83C0" w14:textId="66D51483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Ψ x B</w:t>
            </w:r>
            <w:r w:rsidR="00A91C52" w:rsidRPr="00147D9B">
              <w:rPr>
                <w:rFonts w:cs="Arial"/>
                <w:szCs w:val="18"/>
                <w:lang w:val="en-GB"/>
              </w:rPr>
              <w:t>T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137492B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0FEF088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51.88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F5E592F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0.01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119060BB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140.20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DB94C3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11.86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04E6EAD7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71.85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9CBE019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0.06</w:t>
            </w:r>
            <w:r w:rsidRPr="00147D9B">
              <w:rPr>
                <w:rFonts w:cs="Arial"/>
                <w:szCs w:val="18"/>
                <w:vertAlign w:val="superscript"/>
              </w:rPr>
              <w:t>ns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E117C6B" w14:textId="4B51B71B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77.24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C7C57DD" w14:textId="18EA5C3B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1.82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59B4A0C" w14:textId="71E0F99B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0.07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2BC74FB" w14:textId="5ED495A9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0.0001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3C436321" w14:textId="1C7E5308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293.90</w:t>
            </w:r>
            <w:r w:rsidRPr="00147D9B">
              <w:rPr>
                <w:rFonts w:cs="Arial"/>
                <w:szCs w:val="18"/>
                <w:vertAlign w:val="superscript"/>
                <w:lang w:val="en-GB"/>
              </w:rPr>
              <w:t>ns</w:t>
            </w:r>
          </w:p>
        </w:tc>
      </w:tr>
      <w:tr w:rsidR="007E6FB1" w:rsidRPr="00147D9B" w14:paraId="5F8FD9C0" w14:textId="396CA2E6" w:rsidTr="00E716E1">
        <w:tc>
          <w:tcPr>
            <w:tcW w:w="371" w:type="pct"/>
            <w:shd w:val="clear" w:color="auto" w:fill="FFFFFF"/>
            <w:vAlign w:val="center"/>
          </w:tcPr>
          <w:p w14:paraId="5701A38B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Blocks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4EBE302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870C9ED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8.07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9FF48DD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0.09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119B0FDE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925.02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4BC795D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65.11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D88A3B9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5840.11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DFDE03A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0.75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1851115" w14:textId="35441D31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4956.43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7D6998E4" w14:textId="1120BEFD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2.81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A7A3E4C" w14:textId="304BAFC0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0.01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B2161B4" w14:textId="62A2294C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0.0001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17B212E2" w14:textId="02172C91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12213.57</w:t>
            </w:r>
          </w:p>
        </w:tc>
      </w:tr>
      <w:tr w:rsidR="007E6FB1" w:rsidRPr="00147D9B" w14:paraId="5F037793" w14:textId="3FF4098F" w:rsidTr="00E716E1">
        <w:tc>
          <w:tcPr>
            <w:tcW w:w="371" w:type="pct"/>
            <w:shd w:val="clear" w:color="auto" w:fill="FFFFFF"/>
            <w:vAlign w:val="center"/>
          </w:tcPr>
          <w:p w14:paraId="2CA17BEF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Error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A1C49DA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14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A4A1BB8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46.67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8162E6C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0.01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15FFB124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249.50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D3B65A2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56.73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3AB6AA21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51.70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CA98943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0.46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0205D27" w14:textId="4E1575FD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212.39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850784D" w14:textId="285C5769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0.89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2DDF1AE" w14:textId="79922238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0.03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47511F0" w14:textId="7637BEB1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0.0001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101F8034" w14:textId="539B9259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489.62</w:t>
            </w:r>
          </w:p>
        </w:tc>
      </w:tr>
      <w:tr w:rsidR="007E6FB1" w:rsidRPr="00147D9B" w14:paraId="58B8E74E" w14:textId="2532297C" w:rsidTr="00E716E1">
        <w:tc>
          <w:tcPr>
            <w:tcW w:w="371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230F3100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Total</w:t>
            </w:r>
          </w:p>
        </w:tc>
        <w:tc>
          <w:tcPr>
            <w:tcW w:w="221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18D78460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23</w:t>
            </w:r>
          </w:p>
        </w:tc>
        <w:tc>
          <w:tcPr>
            <w:tcW w:w="403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1EFE1345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40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143600FB" w14:textId="77777777" w:rsidR="00961F05" w:rsidRPr="00147D9B" w:rsidRDefault="00961F05" w:rsidP="00961F05">
            <w:pPr>
              <w:pStyle w:val="CETBodytext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</w:rPr>
              <w:t>-</w:t>
            </w:r>
          </w:p>
        </w:tc>
        <w:tc>
          <w:tcPr>
            <w:tcW w:w="468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76D05886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-</w:t>
            </w:r>
          </w:p>
        </w:tc>
        <w:tc>
          <w:tcPr>
            <w:tcW w:w="375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31E1077D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-</w:t>
            </w:r>
          </w:p>
        </w:tc>
        <w:tc>
          <w:tcPr>
            <w:tcW w:w="423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20E91529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-</w:t>
            </w:r>
          </w:p>
        </w:tc>
        <w:tc>
          <w:tcPr>
            <w:tcW w:w="310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28DD9C10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</w:rPr>
              <w:t>-</w:t>
            </w:r>
          </w:p>
        </w:tc>
        <w:tc>
          <w:tcPr>
            <w:tcW w:w="440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176BF02C" w14:textId="124A388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310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00EDADD6" w14:textId="44673E80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310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743F7ED0" w14:textId="47D59BD3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40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2CAE6819" w14:textId="68C7D9FF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88" w:type="pct"/>
            <w:tcBorders>
              <w:bottom w:val="single" w:sz="4" w:space="0" w:color="008000"/>
            </w:tcBorders>
            <w:shd w:val="clear" w:color="auto" w:fill="FFFFFF"/>
            <w:vAlign w:val="center"/>
          </w:tcPr>
          <w:p w14:paraId="106E2FA0" w14:textId="5602FE80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147D9B">
              <w:rPr>
                <w:rFonts w:cs="Arial"/>
                <w:szCs w:val="18"/>
                <w:lang w:val="en-GB"/>
              </w:rPr>
              <w:t>-</w:t>
            </w:r>
          </w:p>
        </w:tc>
      </w:tr>
      <w:tr w:rsidR="007E6FB1" w:rsidRPr="00147D9B" w14:paraId="273BA38A" w14:textId="65AF94F8" w:rsidTr="00E716E1">
        <w:tc>
          <w:tcPr>
            <w:tcW w:w="371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488E7ED7" w14:textId="7777777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C.V</w:t>
            </w:r>
          </w:p>
        </w:tc>
        <w:tc>
          <w:tcPr>
            <w:tcW w:w="221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1DA4E057" w14:textId="6F5ECFB3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03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593F221A" w14:textId="36BA04F5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10.37</w:t>
            </w:r>
          </w:p>
        </w:tc>
        <w:tc>
          <w:tcPr>
            <w:tcW w:w="440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660C17A2" w14:textId="2ED7A59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6.51</w:t>
            </w:r>
          </w:p>
        </w:tc>
        <w:tc>
          <w:tcPr>
            <w:tcW w:w="468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78F39A09" w14:textId="01FC665E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16.05</w:t>
            </w:r>
          </w:p>
        </w:tc>
        <w:tc>
          <w:tcPr>
            <w:tcW w:w="375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34693299" w14:textId="2AA38C7B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22.15</w:t>
            </w:r>
          </w:p>
        </w:tc>
        <w:tc>
          <w:tcPr>
            <w:tcW w:w="423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42C6DDA4" w14:textId="4B4778CC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7.63</w:t>
            </w:r>
          </w:p>
        </w:tc>
        <w:tc>
          <w:tcPr>
            <w:tcW w:w="310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6231B00C" w14:textId="1899DB37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18.57</w:t>
            </w:r>
          </w:p>
        </w:tc>
        <w:tc>
          <w:tcPr>
            <w:tcW w:w="440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49D10DB8" w14:textId="4BEA5FCC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18.74</w:t>
            </w:r>
          </w:p>
        </w:tc>
        <w:tc>
          <w:tcPr>
            <w:tcW w:w="310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24A89870" w14:textId="7969F324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17.23</w:t>
            </w:r>
          </w:p>
        </w:tc>
        <w:tc>
          <w:tcPr>
            <w:tcW w:w="310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19700FD3" w14:textId="70A1AAB4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3.72</w:t>
            </w:r>
          </w:p>
        </w:tc>
        <w:tc>
          <w:tcPr>
            <w:tcW w:w="440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15E2B8E0" w14:textId="051EBAB3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2.87</w:t>
            </w:r>
          </w:p>
        </w:tc>
        <w:tc>
          <w:tcPr>
            <w:tcW w:w="488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1BF2D14D" w14:textId="06ED0985" w:rsidR="00961F05" w:rsidRPr="00147D9B" w:rsidRDefault="00961F05" w:rsidP="00961F0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47D9B">
              <w:rPr>
                <w:rFonts w:cs="Arial"/>
                <w:szCs w:val="18"/>
                <w:lang w:val="en-GB"/>
              </w:rPr>
              <w:t>17.97</w:t>
            </w:r>
          </w:p>
        </w:tc>
      </w:tr>
    </w:tbl>
    <w:p w14:paraId="35FD9D2E" w14:textId="71A9054A" w:rsidR="009D5B22" w:rsidRPr="008F2FB3" w:rsidRDefault="00F55137" w:rsidP="009D5B22">
      <w:pPr>
        <w:pStyle w:val="CETBodytext"/>
        <w:rPr>
          <w:sz w:val="16"/>
          <w:szCs w:val="16"/>
          <w:lang w:val="en-GB"/>
        </w:rPr>
      </w:pPr>
      <w:r w:rsidRPr="008F2FB3">
        <w:rPr>
          <w:rFonts w:cs="Arial"/>
          <w:sz w:val="16"/>
          <w:szCs w:val="16"/>
        </w:rPr>
        <w:t>SV – Sou</w:t>
      </w:r>
      <w:r w:rsidR="00D078C7" w:rsidRPr="008F2FB3">
        <w:rPr>
          <w:rFonts w:cs="Arial"/>
          <w:sz w:val="16"/>
          <w:szCs w:val="16"/>
        </w:rPr>
        <w:t>r</w:t>
      </w:r>
      <w:r w:rsidRPr="008F2FB3">
        <w:rPr>
          <w:rFonts w:cs="Arial"/>
          <w:sz w:val="16"/>
          <w:szCs w:val="16"/>
        </w:rPr>
        <w:t xml:space="preserve">ce of Variation; </w:t>
      </w:r>
      <w:r w:rsidR="000D4E8B" w:rsidRPr="008F2FB3">
        <w:rPr>
          <w:rFonts w:cs="Arial"/>
          <w:sz w:val="16"/>
          <w:szCs w:val="16"/>
        </w:rPr>
        <w:t>Ψ</w:t>
      </w:r>
      <w:r w:rsidR="001E2B17" w:rsidRPr="008F2FB3">
        <w:rPr>
          <w:sz w:val="16"/>
          <w:szCs w:val="16"/>
        </w:rPr>
        <w:t xml:space="preserve"> - soil water tension thresholds; </w:t>
      </w:r>
      <w:r w:rsidRPr="008F2FB3">
        <w:rPr>
          <w:sz w:val="16"/>
          <w:szCs w:val="16"/>
        </w:rPr>
        <w:t>BT</w:t>
      </w:r>
      <w:r w:rsidR="00D078C7" w:rsidRPr="008F2FB3">
        <w:rPr>
          <w:sz w:val="16"/>
          <w:szCs w:val="16"/>
        </w:rPr>
        <w:t xml:space="preserve"> – Begin Time</w:t>
      </w:r>
      <w:r w:rsidR="00663C14" w:rsidRPr="008F2FB3">
        <w:rPr>
          <w:sz w:val="16"/>
          <w:szCs w:val="16"/>
        </w:rPr>
        <w:t xml:space="preserve">s; </w:t>
      </w:r>
      <w:r w:rsidR="00F242C2" w:rsidRPr="008F2FB3">
        <w:rPr>
          <w:sz w:val="16"/>
          <w:szCs w:val="16"/>
        </w:rPr>
        <w:t>D.</w:t>
      </w:r>
      <w:r w:rsidR="000F2237" w:rsidRPr="008F2FB3">
        <w:rPr>
          <w:sz w:val="16"/>
          <w:szCs w:val="16"/>
        </w:rPr>
        <w:t>F.</w:t>
      </w:r>
      <w:r w:rsidR="00A81AC3" w:rsidRPr="008F2FB3">
        <w:rPr>
          <w:sz w:val="16"/>
          <w:szCs w:val="16"/>
        </w:rPr>
        <w:t xml:space="preserve"> </w:t>
      </w:r>
      <w:r w:rsidR="000F2237" w:rsidRPr="008F2FB3">
        <w:rPr>
          <w:sz w:val="16"/>
          <w:szCs w:val="16"/>
        </w:rPr>
        <w:t>–</w:t>
      </w:r>
      <w:r w:rsidR="00A81AC3" w:rsidRPr="008F2FB3">
        <w:rPr>
          <w:sz w:val="16"/>
          <w:szCs w:val="16"/>
        </w:rPr>
        <w:t xml:space="preserve"> </w:t>
      </w:r>
      <w:r w:rsidR="00F242C2" w:rsidRPr="008F2FB3">
        <w:rPr>
          <w:sz w:val="16"/>
          <w:szCs w:val="16"/>
        </w:rPr>
        <w:t>Degrees</w:t>
      </w:r>
      <w:r w:rsidR="000F2237" w:rsidRPr="008F2FB3">
        <w:rPr>
          <w:sz w:val="16"/>
          <w:szCs w:val="16"/>
        </w:rPr>
        <w:t xml:space="preserve"> of Freedom</w:t>
      </w:r>
      <w:r w:rsidR="00F242C2" w:rsidRPr="008F2FB3">
        <w:rPr>
          <w:sz w:val="16"/>
          <w:szCs w:val="16"/>
        </w:rPr>
        <w:t xml:space="preserve">; </w:t>
      </w:r>
      <w:r w:rsidR="003224D5" w:rsidRPr="008F2FB3">
        <w:rPr>
          <w:sz w:val="16"/>
          <w:szCs w:val="16"/>
          <w:lang w:val="en-GB"/>
        </w:rPr>
        <w:t>P</w:t>
      </w:r>
      <w:r w:rsidR="000F2237" w:rsidRPr="008F2FB3">
        <w:rPr>
          <w:sz w:val="16"/>
          <w:szCs w:val="16"/>
          <w:lang w:val="en-GB"/>
        </w:rPr>
        <w:t>H</w:t>
      </w:r>
      <w:r w:rsidR="003224D5" w:rsidRPr="008F2FB3">
        <w:rPr>
          <w:sz w:val="16"/>
          <w:szCs w:val="16"/>
          <w:lang w:val="en-GB"/>
        </w:rPr>
        <w:t xml:space="preserve"> – </w:t>
      </w:r>
      <w:r w:rsidR="000F2237" w:rsidRPr="008F2FB3">
        <w:rPr>
          <w:sz w:val="16"/>
          <w:szCs w:val="16"/>
          <w:lang w:val="en-GB"/>
        </w:rPr>
        <w:t xml:space="preserve">Plant </w:t>
      </w:r>
      <w:r w:rsidR="003224D5" w:rsidRPr="008F2FB3">
        <w:rPr>
          <w:sz w:val="16"/>
          <w:szCs w:val="16"/>
          <w:lang w:val="en-GB"/>
        </w:rPr>
        <w:t>Height</w:t>
      </w:r>
      <w:r w:rsidR="00CD1039" w:rsidRPr="008F2FB3">
        <w:rPr>
          <w:sz w:val="16"/>
          <w:szCs w:val="16"/>
          <w:lang w:val="en-GB"/>
        </w:rPr>
        <w:t xml:space="preserve"> (cm)</w:t>
      </w:r>
      <w:r w:rsidR="00624837" w:rsidRPr="008F2FB3">
        <w:rPr>
          <w:sz w:val="16"/>
          <w:szCs w:val="16"/>
          <w:lang w:val="en-GB"/>
        </w:rPr>
        <w:t>;</w:t>
      </w:r>
      <w:r w:rsidR="00F242C2" w:rsidRPr="008F2FB3">
        <w:rPr>
          <w:sz w:val="16"/>
          <w:szCs w:val="16"/>
          <w:lang w:val="en-GB"/>
        </w:rPr>
        <w:t xml:space="preserve"> S</w:t>
      </w:r>
      <w:r w:rsidR="000F2237" w:rsidRPr="008F2FB3">
        <w:rPr>
          <w:sz w:val="16"/>
          <w:szCs w:val="16"/>
          <w:lang w:val="en-GB"/>
        </w:rPr>
        <w:t>D</w:t>
      </w:r>
      <w:r w:rsidR="00F242C2" w:rsidRPr="008F2FB3">
        <w:rPr>
          <w:sz w:val="16"/>
          <w:szCs w:val="16"/>
          <w:lang w:val="en-GB"/>
        </w:rPr>
        <w:t xml:space="preserve"> –</w:t>
      </w:r>
      <w:r w:rsidR="000F2237" w:rsidRPr="008F2FB3">
        <w:rPr>
          <w:sz w:val="16"/>
          <w:szCs w:val="16"/>
          <w:lang w:val="en-GB"/>
        </w:rPr>
        <w:t xml:space="preserve"> </w:t>
      </w:r>
      <w:r w:rsidR="00917F14" w:rsidRPr="008F2FB3">
        <w:rPr>
          <w:sz w:val="16"/>
          <w:szCs w:val="16"/>
          <w:lang w:val="en-GB"/>
        </w:rPr>
        <w:t>S</w:t>
      </w:r>
      <w:r w:rsidR="00F242C2" w:rsidRPr="008F2FB3">
        <w:rPr>
          <w:sz w:val="16"/>
          <w:szCs w:val="16"/>
          <w:lang w:val="en-GB"/>
        </w:rPr>
        <w:t>tem</w:t>
      </w:r>
      <w:r w:rsidR="000F2237" w:rsidRPr="008F2FB3">
        <w:rPr>
          <w:sz w:val="16"/>
          <w:szCs w:val="16"/>
          <w:lang w:val="en-GB"/>
        </w:rPr>
        <w:t xml:space="preserve"> Diameter</w:t>
      </w:r>
      <w:r w:rsidR="00CD1039" w:rsidRPr="008F2FB3">
        <w:rPr>
          <w:sz w:val="16"/>
          <w:szCs w:val="16"/>
          <w:lang w:val="en-GB"/>
        </w:rPr>
        <w:t xml:space="preserve"> (</w:t>
      </w:r>
      <w:r w:rsidR="00A05762" w:rsidRPr="008F2FB3">
        <w:rPr>
          <w:sz w:val="16"/>
          <w:szCs w:val="16"/>
          <w:lang w:val="en-GB"/>
        </w:rPr>
        <w:t>m</w:t>
      </w:r>
      <w:r w:rsidR="00CD1039" w:rsidRPr="008F2FB3">
        <w:rPr>
          <w:sz w:val="16"/>
          <w:szCs w:val="16"/>
          <w:lang w:val="en-GB"/>
        </w:rPr>
        <w:t>m)</w:t>
      </w:r>
      <w:r w:rsidR="00624837" w:rsidRPr="008F2FB3">
        <w:rPr>
          <w:sz w:val="16"/>
          <w:szCs w:val="16"/>
          <w:lang w:val="en-GB"/>
        </w:rPr>
        <w:t>;</w:t>
      </w:r>
      <w:r w:rsidR="00F242C2" w:rsidRPr="008F2FB3">
        <w:rPr>
          <w:sz w:val="16"/>
          <w:szCs w:val="16"/>
          <w:lang w:val="en-GB"/>
        </w:rPr>
        <w:t xml:space="preserve"> LA – Leaf Area</w:t>
      </w:r>
      <w:r w:rsidR="000E15E4" w:rsidRPr="008F2FB3">
        <w:rPr>
          <w:sz w:val="16"/>
          <w:szCs w:val="16"/>
          <w:lang w:val="en-GB"/>
        </w:rPr>
        <w:t xml:space="preserve"> (cm</w:t>
      </w:r>
      <w:r w:rsidR="000E15E4" w:rsidRPr="008F2FB3">
        <w:rPr>
          <w:sz w:val="16"/>
          <w:szCs w:val="16"/>
          <w:vertAlign w:val="superscript"/>
          <w:lang w:val="en-GB"/>
        </w:rPr>
        <w:t>2</w:t>
      </w:r>
      <w:r w:rsidR="000E15E4" w:rsidRPr="008F2FB3">
        <w:rPr>
          <w:sz w:val="16"/>
          <w:szCs w:val="16"/>
          <w:lang w:val="en-GB"/>
        </w:rPr>
        <w:t>)</w:t>
      </w:r>
      <w:r w:rsidR="00F242C2" w:rsidRPr="008F2FB3">
        <w:rPr>
          <w:sz w:val="16"/>
          <w:szCs w:val="16"/>
          <w:lang w:val="en-GB"/>
        </w:rPr>
        <w:t>;</w:t>
      </w:r>
      <w:r w:rsidR="00801FD6" w:rsidRPr="008F2FB3">
        <w:rPr>
          <w:sz w:val="16"/>
          <w:szCs w:val="16"/>
          <w:lang w:val="en-GB"/>
        </w:rPr>
        <w:t xml:space="preserve"> RDW. - </w:t>
      </w:r>
      <w:r w:rsidR="002F69CA" w:rsidRPr="008F2FB3">
        <w:rPr>
          <w:sz w:val="16"/>
          <w:szCs w:val="16"/>
        </w:rPr>
        <w:t xml:space="preserve">Root </w:t>
      </w:r>
      <w:r w:rsidR="00917F14" w:rsidRPr="008F2FB3">
        <w:rPr>
          <w:sz w:val="16"/>
          <w:szCs w:val="16"/>
        </w:rPr>
        <w:t>D</w:t>
      </w:r>
      <w:r w:rsidR="002F69CA" w:rsidRPr="008F2FB3">
        <w:rPr>
          <w:sz w:val="16"/>
          <w:szCs w:val="16"/>
        </w:rPr>
        <w:t>ry Weight</w:t>
      </w:r>
      <w:r w:rsidR="000E15E4" w:rsidRPr="008F2FB3">
        <w:rPr>
          <w:sz w:val="16"/>
          <w:szCs w:val="16"/>
        </w:rPr>
        <w:t xml:space="preserve"> (kg)</w:t>
      </w:r>
      <w:r w:rsidR="00624837" w:rsidRPr="008F2FB3">
        <w:rPr>
          <w:sz w:val="16"/>
          <w:szCs w:val="16"/>
        </w:rPr>
        <w:t>;</w:t>
      </w:r>
      <w:r w:rsidR="00917F14" w:rsidRPr="008F2FB3">
        <w:rPr>
          <w:sz w:val="16"/>
          <w:szCs w:val="16"/>
        </w:rPr>
        <w:t xml:space="preserve"> </w:t>
      </w:r>
      <w:r w:rsidR="00624837" w:rsidRPr="008F2FB3">
        <w:rPr>
          <w:sz w:val="16"/>
          <w:szCs w:val="16"/>
        </w:rPr>
        <w:t>SDW – Stem Dry Weight</w:t>
      </w:r>
      <w:r w:rsidR="000E15E4" w:rsidRPr="008F2FB3">
        <w:rPr>
          <w:sz w:val="16"/>
          <w:szCs w:val="16"/>
        </w:rPr>
        <w:t xml:space="preserve"> (kg)</w:t>
      </w:r>
      <w:r w:rsidR="00624837" w:rsidRPr="008F2FB3">
        <w:rPr>
          <w:sz w:val="16"/>
          <w:szCs w:val="16"/>
        </w:rPr>
        <w:t xml:space="preserve">; </w:t>
      </w:r>
      <w:r w:rsidR="00A265DD" w:rsidRPr="008F2FB3">
        <w:rPr>
          <w:sz w:val="16"/>
          <w:szCs w:val="16"/>
        </w:rPr>
        <w:t xml:space="preserve">FDW. - </w:t>
      </w:r>
      <w:bookmarkStart w:id="2" w:name="_Hlk535568198"/>
      <w:r w:rsidR="00A265DD" w:rsidRPr="008F2FB3">
        <w:rPr>
          <w:sz w:val="16"/>
          <w:szCs w:val="16"/>
        </w:rPr>
        <w:t>Fruit Dry Weight</w:t>
      </w:r>
      <w:bookmarkEnd w:id="2"/>
      <w:r w:rsidR="000E15E4" w:rsidRPr="008F2FB3">
        <w:rPr>
          <w:sz w:val="16"/>
          <w:szCs w:val="16"/>
        </w:rPr>
        <w:t xml:space="preserve"> (kg)</w:t>
      </w:r>
      <w:r w:rsidR="00A265DD" w:rsidRPr="008F2FB3">
        <w:rPr>
          <w:sz w:val="16"/>
          <w:szCs w:val="16"/>
        </w:rPr>
        <w:t>;</w:t>
      </w:r>
      <w:r w:rsidR="002F69CA" w:rsidRPr="008F2FB3">
        <w:rPr>
          <w:sz w:val="16"/>
          <w:szCs w:val="16"/>
        </w:rPr>
        <w:t xml:space="preserve"> </w:t>
      </w:r>
      <w:r w:rsidR="00663C14" w:rsidRPr="008F2FB3">
        <w:rPr>
          <w:i/>
          <w:sz w:val="16"/>
          <w:szCs w:val="16"/>
          <w:lang w:val="en-GB"/>
        </w:rPr>
        <w:t>Y</w:t>
      </w:r>
      <w:r w:rsidR="00663C14" w:rsidRPr="008F2FB3">
        <w:rPr>
          <w:sz w:val="16"/>
          <w:szCs w:val="16"/>
        </w:rPr>
        <w:t xml:space="preserve"> – Total Yield</w:t>
      </w:r>
      <w:r w:rsidR="00A677E0" w:rsidRPr="008F2FB3">
        <w:rPr>
          <w:sz w:val="16"/>
          <w:szCs w:val="16"/>
        </w:rPr>
        <w:t xml:space="preserve"> </w:t>
      </w:r>
      <w:r w:rsidR="00A677E0" w:rsidRPr="008F2FB3">
        <w:rPr>
          <w:sz w:val="16"/>
          <w:szCs w:val="16"/>
          <w:lang w:val="en-GB"/>
        </w:rPr>
        <w:t>(t ha</w:t>
      </w:r>
      <w:r w:rsidR="00A677E0" w:rsidRPr="008F2FB3">
        <w:rPr>
          <w:sz w:val="16"/>
          <w:szCs w:val="16"/>
          <w:vertAlign w:val="superscript"/>
          <w:lang w:val="en-GB"/>
        </w:rPr>
        <w:t>-1</w:t>
      </w:r>
      <w:r w:rsidR="00A677E0" w:rsidRPr="008F2FB3">
        <w:rPr>
          <w:sz w:val="16"/>
          <w:szCs w:val="16"/>
          <w:lang w:val="en-GB"/>
        </w:rPr>
        <w:t>)</w:t>
      </w:r>
      <w:r w:rsidR="00663C14" w:rsidRPr="008F2FB3">
        <w:rPr>
          <w:sz w:val="16"/>
          <w:szCs w:val="16"/>
        </w:rPr>
        <w:t xml:space="preserve">; </w:t>
      </w:r>
      <w:r w:rsidR="00A677E0" w:rsidRPr="008F2FB3">
        <w:rPr>
          <w:sz w:val="16"/>
          <w:szCs w:val="16"/>
        </w:rPr>
        <w:t xml:space="preserve">F - </w:t>
      </w:r>
      <w:r w:rsidR="00A677E0" w:rsidRPr="008F2FB3">
        <w:rPr>
          <w:rFonts w:cs="Arial"/>
          <w:sz w:val="16"/>
          <w:szCs w:val="16"/>
          <w:lang w:val="en-GB"/>
        </w:rPr>
        <w:t xml:space="preserve">Firmness (N); </w:t>
      </w:r>
      <w:r w:rsidR="00663C14" w:rsidRPr="008F2FB3">
        <w:rPr>
          <w:sz w:val="16"/>
          <w:szCs w:val="16"/>
        </w:rPr>
        <w:t xml:space="preserve">TA </w:t>
      </w:r>
      <w:r w:rsidR="00A677E0" w:rsidRPr="008F2FB3">
        <w:rPr>
          <w:sz w:val="16"/>
          <w:szCs w:val="16"/>
        </w:rPr>
        <w:t>–</w:t>
      </w:r>
      <w:r w:rsidR="00663C14" w:rsidRPr="008F2FB3">
        <w:rPr>
          <w:sz w:val="16"/>
          <w:szCs w:val="16"/>
        </w:rPr>
        <w:t xml:space="preserve"> </w:t>
      </w:r>
      <w:r w:rsidR="00A677E0" w:rsidRPr="008F2FB3">
        <w:rPr>
          <w:sz w:val="16"/>
          <w:szCs w:val="16"/>
        </w:rPr>
        <w:t xml:space="preserve">Titratable Acidity (%); </w:t>
      </w:r>
      <w:r w:rsidR="00663C14" w:rsidRPr="008F2FB3">
        <w:rPr>
          <w:sz w:val="16"/>
          <w:szCs w:val="16"/>
        </w:rPr>
        <w:t>TSS. - Total Soluble Solids</w:t>
      </w:r>
      <w:r w:rsidR="00A677E0" w:rsidRPr="008F2FB3">
        <w:rPr>
          <w:sz w:val="16"/>
          <w:szCs w:val="16"/>
        </w:rPr>
        <w:t xml:space="preserve"> </w:t>
      </w:r>
      <w:r w:rsidR="00A677E0" w:rsidRPr="008F2FB3">
        <w:rPr>
          <w:rFonts w:cs="Arial"/>
          <w:sz w:val="16"/>
          <w:szCs w:val="16"/>
          <w:lang w:val="en-GB"/>
        </w:rPr>
        <w:t>(</w:t>
      </w:r>
      <w:proofErr w:type="spellStart"/>
      <w:r w:rsidR="00A677E0" w:rsidRPr="008F2FB3">
        <w:rPr>
          <w:rFonts w:cs="Arial"/>
          <w:sz w:val="16"/>
          <w:szCs w:val="16"/>
          <w:vertAlign w:val="superscript"/>
          <w:lang w:val="en-GB"/>
        </w:rPr>
        <w:t>o</w:t>
      </w:r>
      <w:r w:rsidR="00A677E0" w:rsidRPr="008F2FB3">
        <w:rPr>
          <w:rFonts w:cs="Arial"/>
          <w:sz w:val="16"/>
          <w:szCs w:val="16"/>
          <w:lang w:val="en-GB"/>
        </w:rPr>
        <w:t>Brix</w:t>
      </w:r>
      <w:proofErr w:type="spellEnd"/>
      <w:r w:rsidR="00A677E0" w:rsidRPr="008F2FB3">
        <w:rPr>
          <w:rFonts w:cs="Arial"/>
          <w:sz w:val="16"/>
          <w:szCs w:val="16"/>
          <w:lang w:val="en-GB"/>
        </w:rPr>
        <w:t>)</w:t>
      </w:r>
      <w:r w:rsidR="00663C14" w:rsidRPr="008F2FB3">
        <w:rPr>
          <w:sz w:val="16"/>
          <w:szCs w:val="16"/>
        </w:rPr>
        <w:t xml:space="preserve">; </w:t>
      </w:r>
      <w:proofErr w:type="spellStart"/>
      <w:r w:rsidR="00663C14" w:rsidRPr="008F2FB3">
        <w:rPr>
          <w:sz w:val="16"/>
          <w:szCs w:val="16"/>
        </w:rPr>
        <w:t>WP</w:t>
      </w:r>
      <w:r w:rsidR="00663C14" w:rsidRPr="008F2FB3">
        <w:rPr>
          <w:sz w:val="16"/>
          <w:szCs w:val="16"/>
          <w:vertAlign w:val="subscript"/>
        </w:rPr>
        <w:t>irrig</w:t>
      </w:r>
      <w:proofErr w:type="spellEnd"/>
      <w:r w:rsidR="00663C14" w:rsidRPr="008F2FB3">
        <w:rPr>
          <w:sz w:val="16"/>
          <w:szCs w:val="16"/>
        </w:rPr>
        <w:t xml:space="preserve"> - Water Productivity</w:t>
      </w:r>
      <w:r w:rsidR="00A677E0" w:rsidRPr="008F2FB3">
        <w:rPr>
          <w:sz w:val="16"/>
          <w:szCs w:val="16"/>
        </w:rPr>
        <w:t xml:space="preserve"> (kg ha</w:t>
      </w:r>
      <w:r w:rsidR="00A677E0" w:rsidRPr="008F2FB3">
        <w:rPr>
          <w:sz w:val="16"/>
          <w:szCs w:val="16"/>
          <w:vertAlign w:val="superscript"/>
        </w:rPr>
        <w:t>-1</w:t>
      </w:r>
      <w:r w:rsidR="00A677E0" w:rsidRPr="008F2FB3">
        <w:rPr>
          <w:sz w:val="16"/>
          <w:szCs w:val="16"/>
        </w:rPr>
        <w:t xml:space="preserve"> mm</w:t>
      </w:r>
      <w:r w:rsidR="00A677E0" w:rsidRPr="008F2FB3">
        <w:rPr>
          <w:sz w:val="16"/>
          <w:szCs w:val="16"/>
          <w:vertAlign w:val="superscript"/>
        </w:rPr>
        <w:t>-1</w:t>
      </w:r>
      <w:r w:rsidR="00A677E0" w:rsidRPr="008F2FB3">
        <w:rPr>
          <w:sz w:val="16"/>
          <w:szCs w:val="16"/>
        </w:rPr>
        <w:t>)</w:t>
      </w:r>
      <w:r w:rsidR="00663C14" w:rsidRPr="008F2FB3">
        <w:rPr>
          <w:sz w:val="16"/>
          <w:szCs w:val="16"/>
        </w:rPr>
        <w:t xml:space="preserve">; </w:t>
      </w:r>
      <w:r w:rsidR="002F69CA" w:rsidRPr="008F2FB3">
        <w:rPr>
          <w:sz w:val="16"/>
          <w:szCs w:val="16"/>
        </w:rPr>
        <w:t xml:space="preserve">CV - </w:t>
      </w:r>
      <w:r w:rsidR="00636245" w:rsidRPr="008F2FB3">
        <w:rPr>
          <w:sz w:val="16"/>
          <w:szCs w:val="16"/>
        </w:rPr>
        <w:t xml:space="preserve">Coefficient of Variation; </w:t>
      </w:r>
      <w:r w:rsidR="00F242C2" w:rsidRPr="008F2FB3">
        <w:rPr>
          <w:sz w:val="16"/>
          <w:szCs w:val="16"/>
          <w:vertAlign w:val="superscript"/>
          <w:lang w:val="en-GB"/>
        </w:rPr>
        <w:t xml:space="preserve">ns </w:t>
      </w:r>
      <w:r w:rsidR="00F242C2" w:rsidRPr="008F2FB3">
        <w:rPr>
          <w:sz w:val="16"/>
          <w:szCs w:val="16"/>
          <w:lang w:val="en-GB"/>
        </w:rPr>
        <w:t>Nonsignificant; *Significant at the 5% probability level (</w:t>
      </w:r>
      <w:r w:rsidR="00F242C2" w:rsidRPr="008F2FB3">
        <w:rPr>
          <w:i/>
          <w:sz w:val="16"/>
          <w:szCs w:val="16"/>
          <w:lang w:val="en-GB"/>
        </w:rPr>
        <w:t>P</w:t>
      </w:r>
      <w:r w:rsidR="00F242C2" w:rsidRPr="008F2FB3">
        <w:rPr>
          <w:sz w:val="16"/>
          <w:szCs w:val="16"/>
          <w:lang w:val="en-GB"/>
        </w:rPr>
        <w:t>&lt;0.05).</w:t>
      </w:r>
    </w:p>
    <w:p w14:paraId="2733FBB0" w14:textId="77777777" w:rsidR="001411FF" w:rsidRDefault="001411FF" w:rsidP="00EA6370">
      <w:pPr>
        <w:pStyle w:val="CETBodytext"/>
      </w:pPr>
    </w:p>
    <w:p w14:paraId="6D169B0B" w14:textId="3977913D" w:rsidR="009E0DBB" w:rsidRPr="009E0DBB" w:rsidRDefault="009E0DBB" w:rsidP="00EA6370">
      <w:pPr>
        <w:pStyle w:val="CETBodytext"/>
      </w:pPr>
      <w:r w:rsidRPr="009E0DBB">
        <w:t xml:space="preserve">Observing the effect of the tensions, the variables root dry </w:t>
      </w:r>
      <w:r w:rsidR="008C75DF">
        <w:t>weight</w:t>
      </w:r>
      <w:r w:rsidRPr="009E0DBB">
        <w:t xml:space="preserve">, fruit dry </w:t>
      </w:r>
      <w:r w:rsidR="008C75DF">
        <w:t>weight</w:t>
      </w:r>
      <w:r w:rsidRPr="009E0DBB">
        <w:t>, plant height</w:t>
      </w:r>
      <w:r w:rsidR="008C75DF">
        <w:t>,</w:t>
      </w:r>
      <w:r w:rsidRPr="009E0DBB">
        <w:t xml:space="preserve"> and leaf area were significantly affected at 5% probability, and the variables titratable acidity and soluble solids were significant at </w:t>
      </w:r>
      <w:r w:rsidR="001A7BF5">
        <w:t>5</w:t>
      </w:r>
      <w:r w:rsidRPr="009E0DBB">
        <w:t xml:space="preserve">% probability. The </w:t>
      </w:r>
      <w:r w:rsidR="009B765C">
        <w:t>initial period</w:t>
      </w:r>
      <w:r w:rsidRPr="009E0DBB">
        <w:t xml:space="preserve"> of water deficit and </w:t>
      </w:r>
      <w:r w:rsidR="009B765C">
        <w:t>its</w:t>
      </w:r>
      <w:r w:rsidR="009B765C" w:rsidRPr="009E0DBB">
        <w:t xml:space="preserve"> </w:t>
      </w:r>
      <w:r w:rsidRPr="009E0DBB">
        <w:t>interactions did not significantly affect the growth and fruit quality of N-901 tomato</w:t>
      </w:r>
      <w:r w:rsidR="009B765C">
        <w:t xml:space="preserve"> for </w:t>
      </w:r>
      <w:r w:rsidR="009B765C" w:rsidRPr="009E0DBB">
        <w:t>industrial</w:t>
      </w:r>
      <w:r w:rsidR="009B765C">
        <w:t xml:space="preserve"> purposes</w:t>
      </w:r>
      <w:r w:rsidRPr="009E0DBB">
        <w:t>.</w:t>
      </w:r>
    </w:p>
    <w:p w14:paraId="6FE5539F" w14:textId="5BF3D4D6" w:rsidR="00EA6370" w:rsidRPr="007917B0" w:rsidRDefault="005A6318" w:rsidP="00EA6370">
      <w:pPr>
        <w:pStyle w:val="CETBodytext"/>
      </w:pPr>
      <w:r w:rsidRPr="005A6318">
        <w:t>Al-</w:t>
      </w:r>
      <w:proofErr w:type="spellStart"/>
      <w:r w:rsidRPr="005A6318">
        <w:t>Yahyai</w:t>
      </w:r>
      <w:proofErr w:type="spellEnd"/>
      <w:r w:rsidRPr="005A6318">
        <w:t xml:space="preserve"> et al. (2010) observed increase</w:t>
      </w:r>
      <w:r w:rsidR="009B765C">
        <w:t>d</w:t>
      </w:r>
      <w:r w:rsidRPr="005A6318">
        <w:t xml:space="preserve"> total soluble solids of fruits when studying tomato</w:t>
      </w:r>
      <w:r w:rsidR="009B765C">
        <w:t xml:space="preserve"> cultivation</w:t>
      </w:r>
      <w:r w:rsidRPr="005A6318">
        <w:t xml:space="preserve"> under saline field conditions, noting that the presence of salt reduced the water absorption by the plants and</w:t>
      </w:r>
      <w:r w:rsidR="009B765C">
        <w:t>,</w:t>
      </w:r>
      <w:r w:rsidRPr="005A6318">
        <w:t xml:space="preserve"> consequently</w:t>
      </w:r>
      <w:r w:rsidR="009B765C">
        <w:t>,</w:t>
      </w:r>
      <w:r w:rsidRPr="005A6318">
        <w:t xml:space="preserve"> by the fruits. </w:t>
      </w:r>
      <w:r w:rsidRPr="007917B0">
        <w:t>These results corroborate with those identified in this study.</w:t>
      </w:r>
      <w:r w:rsidR="00EA6370" w:rsidRPr="007917B0">
        <w:t xml:space="preserve"> </w:t>
      </w:r>
    </w:p>
    <w:p w14:paraId="6CB59EA4" w14:textId="6D3E61A4" w:rsidR="009D5B22" w:rsidRPr="007917B0" w:rsidRDefault="007917B0" w:rsidP="00EA6370">
      <w:pPr>
        <w:pStyle w:val="CETBodytext"/>
      </w:pPr>
      <w:r w:rsidRPr="007917B0">
        <w:t xml:space="preserve">Table </w:t>
      </w:r>
      <w:r w:rsidR="001A7BF5">
        <w:t>3</w:t>
      </w:r>
      <w:r w:rsidRPr="007917B0">
        <w:t xml:space="preserve"> shows the mean</w:t>
      </w:r>
      <w:r w:rsidR="00A8592A">
        <w:t>s</w:t>
      </w:r>
      <w:r w:rsidRPr="007917B0">
        <w:t xml:space="preserve"> and minimum differences (MS</w:t>
      </w:r>
      <w:r w:rsidR="009B765C">
        <w:t>D</w:t>
      </w:r>
      <w:r w:rsidRPr="007917B0">
        <w:t xml:space="preserve">) of the variables </w:t>
      </w:r>
      <w:r w:rsidR="009B765C">
        <w:t>evaluated</w:t>
      </w:r>
      <w:r w:rsidR="009B765C" w:rsidRPr="007917B0">
        <w:t xml:space="preserve"> </w:t>
      </w:r>
      <w:r w:rsidRPr="007917B0">
        <w:t xml:space="preserve">in this study for analysis of the effect of the </w:t>
      </w:r>
      <w:r w:rsidR="009B765C">
        <w:t>initial period of</w:t>
      </w:r>
      <w:r w:rsidRPr="007917B0">
        <w:t xml:space="preserve"> water deficit. </w:t>
      </w:r>
      <w:r w:rsidR="009B765C">
        <w:t>T</w:t>
      </w:r>
      <w:r w:rsidRPr="007917B0">
        <w:t xml:space="preserve">he variables were not statistically different from each other, that is, they </w:t>
      </w:r>
      <w:r w:rsidR="009B765C">
        <w:t>were</w:t>
      </w:r>
      <w:r w:rsidR="009B765C" w:rsidRPr="007917B0">
        <w:t xml:space="preserve"> </w:t>
      </w:r>
      <w:r w:rsidRPr="007917B0">
        <w:t>not significant</w:t>
      </w:r>
      <w:r w:rsidR="009B765C">
        <w:t xml:space="preserve">ly affected by </w:t>
      </w:r>
      <w:r w:rsidRPr="007917B0">
        <w:t xml:space="preserve">the </w:t>
      </w:r>
      <w:r w:rsidR="009B765C">
        <w:t>initial period</w:t>
      </w:r>
      <w:r w:rsidRPr="007917B0">
        <w:t xml:space="preserve"> of water deficit.</w:t>
      </w:r>
    </w:p>
    <w:p w14:paraId="3A105DDC" w14:textId="2BE14EF5" w:rsidR="004621AD" w:rsidRPr="00E45D5A" w:rsidRDefault="00BE18BC" w:rsidP="00BE18BC">
      <w:pPr>
        <w:pStyle w:val="CETTabletitle"/>
        <w:rPr>
          <w:lang w:val="en-US"/>
        </w:rPr>
      </w:pPr>
      <w:r w:rsidRPr="00E45D5A">
        <w:rPr>
          <w:lang w:val="en-US"/>
        </w:rPr>
        <w:t xml:space="preserve">Table </w:t>
      </w:r>
      <w:r w:rsidR="00960486">
        <w:rPr>
          <w:lang w:val="en-US"/>
        </w:rPr>
        <w:t>3</w:t>
      </w:r>
      <w:r w:rsidRPr="00E45D5A">
        <w:rPr>
          <w:lang w:val="en-US"/>
        </w:rPr>
        <w:t>: Results</w:t>
      </w:r>
      <w:r w:rsidR="00E45D5A" w:rsidRPr="00E45D5A">
        <w:rPr>
          <w:lang w:val="en-US"/>
        </w:rPr>
        <w:t xml:space="preserve"> of the means and minimum significant differences for analysis of the effect of the </w:t>
      </w:r>
      <w:r w:rsidR="009B765C">
        <w:rPr>
          <w:lang w:val="en-US"/>
        </w:rPr>
        <w:t xml:space="preserve">initial period of </w:t>
      </w:r>
      <w:r w:rsidR="00E45D5A" w:rsidRPr="00E45D5A">
        <w:rPr>
          <w:lang w:val="en-US"/>
        </w:rPr>
        <w:t>water deficit</w:t>
      </w:r>
      <w:r w:rsidR="00154158">
        <w:rPr>
          <w:lang w:val="en-US"/>
        </w:rPr>
        <w:t>.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776"/>
        <w:gridCol w:w="896"/>
        <w:gridCol w:w="909"/>
        <w:gridCol w:w="930"/>
        <w:gridCol w:w="763"/>
        <w:gridCol w:w="981"/>
        <w:gridCol w:w="1664"/>
        <w:gridCol w:w="1431"/>
      </w:tblGrid>
      <w:tr w:rsidR="008D6253" w:rsidRPr="008D6253" w14:paraId="1412A74A" w14:textId="77777777" w:rsidTr="00EF55E0">
        <w:trPr>
          <w:jc w:val="center"/>
        </w:trPr>
        <w:tc>
          <w:tcPr>
            <w:tcW w:w="24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9B4F89E" w14:textId="77777777" w:rsidR="00D2606F" w:rsidRPr="008D6253" w:rsidRDefault="00D2606F" w:rsidP="00EF55E0">
            <w:pPr>
              <w:pStyle w:val="CETBodytext"/>
              <w:jc w:val="center"/>
            </w:pPr>
            <w:r w:rsidRPr="008D6253">
              <w:t>DAT</w:t>
            </w:r>
          </w:p>
        </w:tc>
        <w:tc>
          <w:tcPr>
            <w:tcW w:w="442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EB2804B" w14:textId="3A6C1131" w:rsidR="00D2606F" w:rsidRPr="008D6253" w:rsidRDefault="00D2606F" w:rsidP="00EF55E0">
            <w:pPr>
              <w:pStyle w:val="CETBodytext"/>
              <w:jc w:val="center"/>
            </w:pPr>
            <w:r w:rsidRPr="008D6253">
              <w:t>P</w:t>
            </w:r>
            <w:r w:rsidR="009B765C">
              <w:t>.H.</w:t>
            </w:r>
            <w:r w:rsidRPr="008D6253">
              <w:t xml:space="preserve"> (cm)</w:t>
            </w:r>
          </w:p>
        </w:tc>
        <w:tc>
          <w:tcPr>
            <w:tcW w:w="51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0F08E3F" w14:textId="0E6E85C4" w:rsidR="00D2606F" w:rsidRPr="008D6253" w:rsidRDefault="004A3FB6" w:rsidP="00EF55E0">
            <w:pPr>
              <w:pStyle w:val="CETBodytext"/>
              <w:jc w:val="center"/>
            </w:pPr>
            <w:r>
              <w:t>S.</w:t>
            </w:r>
            <w:r w:rsidR="009B765C">
              <w:t>D.</w:t>
            </w:r>
            <w:r w:rsidR="00D2606F" w:rsidRPr="008D6253">
              <w:t xml:space="preserve"> (mm)</w:t>
            </w:r>
          </w:p>
        </w:tc>
        <w:tc>
          <w:tcPr>
            <w:tcW w:w="51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78DC7ED" w14:textId="73ADA671" w:rsidR="00D2606F" w:rsidRPr="008D6253" w:rsidRDefault="004A3FB6" w:rsidP="00EF55E0">
            <w:pPr>
              <w:pStyle w:val="CETBodytext"/>
              <w:jc w:val="center"/>
            </w:pPr>
            <w:r>
              <w:t>L.A.</w:t>
            </w:r>
            <w:r w:rsidR="00D2606F" w:rsidRPr="008D6253">
              <w:t xml:space="preserve"> (cm</w:t>
            </w:r>
            <w:r w:rsidR="00D2606F" w:rsidRPr="00EF55E0">
              <w:rPr>
                <w:vertAlign w:val="superscript"/>
              </w:rPr>
              <w:t>2</w:t>
            </w:r>
            <w:r w:rsidR="00D2606F" w:rsidRPr="008D6253">
              <w:t>)</w:t>
            </w:r>
          </w:p>
        </w:tc>
        <w:tc>
          <w:tcPr>
            <w:tcW w:w="52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53B9C0D" w14:textId="36BD8B2D" w:rsidR="00D2606F" w:rsidRPr="008D6253" w:rsidRDefault="004A3FB6" w:rsidP="00EF55E0">
            <w:pPr>
              <w:pStyle w:val="CETBodytext"/>
              <w:jc w:val="center"/>
            </w:pPr>
            <w:r>
              <w:t>R.D.W</w:t>
            </w:r>
            <w:r w:rsidR="00EF55E0">
              <w:t>.</w:t>
            </w:r>
            <w:r w:rsidR="00D2606F" w:rsidRPr="008D6253">
              <w:t xml:space="preserve"> (g)</w:t>
            </w:r>
          </w:p>
        </w:tc>
        <w:tc>
          <w:tcPr>
            <w:tcW w:w="43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ADE671A" w14:textId="77777777" w:rsidR="00D2606F" w:rsidRPr="008D6253" w:rsidRDefault="00D2606F" w:rsidP="00EF55E0">
            <w:pPr>
              <w:pStyle w:val="CETBodytext"/>
              <w:jc w:val="center"/>
            </w:pPr>
            <w:r w:rsidRPr="008D6253">
              <w:t>Y (t ha</w:t>
            </w:r>
            <w:r w:rsidRPr="008D6253">
              <w:rPr>
                <w:vertAlign w:val="superscript"/>
              </w:rPr>
              <w:t>-1</w:t>
            </w:r>
            <w:r w:rsidRPr="008D6253">
              <w:t>)</w:t>
            </w:r>
          </w:p>
        </w:tc>
        <w:tc>
          <w:tcPr>
            <w:tcW w:w="55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1263C1E" w14:textId="77777777" w:rsidR="00D2606F" w:rsidRPr="008D6253" w:rsidRDefault="00D2606F" w:rsidP="00EF55E0">
            <w:pPr>
              <w:pStyle w:val="CETBodytext"/>
              <w:jc w:val="center"/>
            </w:pPr>
            <w:r w:rsidRPr="008D6253">
              <w:t>TSS (</w:t>
            </w:r>
            <w:proofErr w:type="spellStart"/>
            <w:r w:rsidRPr="008D6253">
              <w:rPr>
                <w:vertAlign w:val="superscript"/>
              </w:rPr>
              <w:t>o</w:t>
            </w:r>
            <w:r w:rsidRPr="008D6253">
              <w:t>Brix</w:t>
            </w:r>
            <w:proofErr w:type="spellEnd"/>
            <w:r w:rsidRPr="008D6253">
              <w:t>)</w:t>
            </w:r>
          </w:p>
        </w:tc>
        <w:tc>
          <w:tcPr>
            <w:tcW w:w="94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2DD2569" w14:textId="410E60FB" w:rsidR="00D2606F" w:rsidRPr="008D6253" w:rsidRDefault="00D2606F" w:rsidP="00EF55E0">
            <w:pPr>
              <w:pStyle w:val="CETBodytext"/>
              <w:jc w:val="center"/>
            </w:pPr>
            <w:r w:rsidRPr="008D6253">
              <w:t>Titrat</w:t>
            </w:r>
            <w:r w:rsidR="009B765C">
              <w:t>able</w:t>
            </w:r>
            <w:r w:rsidRPr="008D6253">
              <w:t xml:space="preserve"> Acidity (%)</w:t>
            </w:r>
          </w:p>
        </w:tc>
        <w:tc>
          <w:tcPr>
            <w:tcW w:w="81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8F1172B" w14:textId="77777777" w:rsidR="00D2606F" w:rsidRPr="008D6253" w:rsidRDefault="00D2606F" w:rsidP="00EF55E0">
            <w:pPr>
              <w:pStyle w:val="CETBodytext"/>
              <w:jc w:val="center"/>
            </w:pPr>
            <w:proofErr w:type="spellStart"/>
            <w:r w:rsidRPr="008D6253">
              <w:t>WP</w:t>
            </w:r>
            <w:r w:rsidRPr="008D6253">
              <w:rPr>
                <w:vertAlign w:val="subscript"/>
              </w:rPr>
              <w:t>irrig</w:t>
            </w:r>
            <w:proofErr w:type="spellEnd"/>
            <w:r w:rsidRPr="008D6253">
              <w:t xml:space="preserve"> (kg mm</w:t>
            </w:r>
            <w:r w:rsidRPr="008D6253">
              <w:rPr>
                <w:vertAlign w:val="superscript"/>
              </w:rPr>
              <w:t>-1</w:t>
            </w:r>
            <w:r w:rsidRPr="008D6253">
              <w:t>)</w:t>
            </w:r>
          </w:p>
        </w:tc>
      </w:tr>
      <w:tr w:rsidR="008D6253" w:rsidRPr="00B57B36" w14:paraId="2B906661" w14:textId="77777777" w:rsidTr="00EF55E0">
        <w:trPr>
          <w:jc w:val="center"/>
        </w:trPr>
        <w:tc>
          <w:tcPr>
            <w:tcW w:w="249" w:type="pct"/>
            <w:tcBorders>
              <w:bottom w:val="nil"/>
            </w:tcBorders>
            <w:shd w:val="clear" w:color="auto" w:fill="FFFFFF"/>
            <w:vAlign w:val="center"/>
          </w:tcPr>
          <w:p w14:paraId="2AA86D1E" w14:textId="77777777" w:rsidR="00D2606F" w:rsidRPr="00B57B36" w:rsidRDefault="00D2606F" w:rsidP="00EF55E0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42" w:type="pct"/>
            <w:tcBorders>
              <w:bottom w:val="nil"/>
            </w:tcBorders>
            <w:shd w:val="clear" w:color="auto" w:fill="FFFFFF"/>
            <w:vAlign w:val="center"/>
          </w:tcPr>
          <w:p w14:paraId="1A6EEA52" w14:textId="77777777" w:rsidR="00D2606F" w:rsidRPr="00B57B36" w:rsidRDefault="00D2606F" w:rsidP="00EF55E0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65.29</w:t>
            </w:r>
            <w:r w:rsidRPr="007259C3">
              <w:rPr>
                <w:vertAlign w:val="superscript"/>
                <w:lang w:val="en-GB"/>
              </w:rPr>
              <w:t>a</w:t>
            </w:r>
          </w:p>
        </w:tc>
        <w:tc>
          <w:tcPr>
            <w:tcW w:w="510" w:type="pct"/>
            <w:tcBorders>
              <w:bottom w:val="nil"/>
            </w:tcBorders>
            <w:shd w:val="clear" w:color="auto" w:fill="FFFFFF"/>
            <w:vAlign w:val="center"/>
          </w:tcPr>
          <w:p w14:paraId="2C201E23" w14:textId="77777777" w:rsidR="00D2606F" w:rsidRDefault="00D2606F" w:rsidP="00EF55E0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1.23</w:t>
            </w:r>
            <w:r w:rsidRPr="007259C3">
              <w:rPr>
                <w:vertAlign w:val="superscript"/>
                <w:lang w:val="en-GB"/>
              </w:rPr>
              <w:t>a</w:t>
            </w:r>
          </w:p>
        </w:tc>
        <w:tc>
          <w:tcPr>
            <w:tcW w:w="517" w:type="pct"/>
            <w:tcBorders>
              <w:bottom w:val="nil"/>
            </w:tcBorders>
            <w:shd w:val="clear" w:color="auto" w:fill="FFFFFF"/>
            <w:vAlign w:val="center"/>
          </w:tcPr>
          <w:p w14:paraId="6730F017" w14:textId="77777777" w:rsidR="00D2606F" w:rsidRDefault="00D2606F" w:rsidP="00EF55E0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65.29</w:t>
            </w:r>
            <w:r w:rsidRPr="007259C3">
              <w:rPr>
                <w:vertAlign w:val="superscript"/>
                <w:lang w:val="en-GB"/>
              </w:rPr>
              <w:t>a</w:t>
            </w:r>
          </w:p>
        </w:tc>
        <w:tc>
          <w:tcPr>
            <w:tcW w:w="529" w:type="pct"/>
            <w:tcBorders>
              <w:bottom w:val="nil"/>
            </w:tcBorders>
            <w:shd w:val="clear" w:color="auto" w:fill="FFFFFF"/>
            <w:vAlign w:val="center"/>
          </w:tcPr>
          <w:p w14:paraId="5B779837" w14:textId="77777777" w:rsidR="00D2606F" w:rsidRDefault="00D2606F" w:rsidP="00EF55E0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35.14</w:t>
            </w:r>
            <w:r w:rsidRPr="007259C3">
              <w:rPr>
                <w:vertAlign w:val="superscript"/>
                <w:lang w:val="en-GB"/>
              </w:rPr>
              <w:t>a</w:t>
            </w:r>
          </w:p>
        </w:tc>
        <w:tc>
          <w:tcPr>
            <w:tcW w:w="434" w:type="pct"/>
            <w:tcBorders>
              <w:bottom w:val="nil"/>
            </w:tcBorders>
            <w:shd w:val="clear" w:color="auto" w:fill="FFFFFF"/>
            <w:vAlign w:val="center"/>
          </w:tcPr>
          <w:p w14:paraId="16176B79" w14:textId="77777777" w:rsidR="00D2606F" w:rsidRPr="00B57B36" w:rsidRDefault="00D2606F" w:rsidP="00EF55E0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79.41</w:t>
            </w:r>
            <w:r w:rsidRPr="00FB458B">
              <w:rPr>
                <w:vertAlign w:val="superscript"/>
                <w:lang w:val="en-GB"/>
              </w:rPr>
              <w:t>a</w:t>
            </w:r>
          </w:p>
        </w:tc>
        <w:tc>
          <w:tcPr>
            <w:tcW w:w="558" w:type="pct"/>
            <w:tcBorders>
              <w:bottom w:val="nil"/>
            </w:tcBorders>
            <w:shd w:val="clear" w:color="auto" w:fill="FFFFFF"/>
            <w:vAlign w:val="center"/>
          </w:tcPr>
          <w:p w14:paraId="1B82AD3E" w14:textId="77777777" w:rsidR="00D2606F" w:rsidRPr="00B57B36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5.02</w:t>
            </w:r>
            <w:r w:rsidRPr="00FB458B">
              <w:rPr>
                <w:vertAlign w:val="superscript"/>
                <w:lang w:val="en-GB"/>
              </w:rPr>
              <w:t>a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FFFFFF"/>
            <w:vAlign w:val="center"/>
          </w:tcPr>
          <w:p w14:paraId="7F3CE468" w14:textId="77777777" w:rsidR="00D2606F" w:rsidRPr="00B57B36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3.92</w:t>
            </w:r>
            <w:r w:rsidRPr="00FB458B">
              <w:rPr>
                <w:vertAlign w:val="superscript"/>
                <w:lang w:val="en-GB"/>
              </w:rPr>
              <w:t>a</w:t>
            </w:r>
          </w:p>
        </w:tc>
        <w:tc>
          <w:tcPr>
            <w:tcW w:w="814" w:type="pct"/>
            <w:tcBorders>
              <w:bottom w:val="nil"/>
            </w:tcBorders>
            <w:shd w:val="clear" w:color="auto" w:fill="FFFFFF"/>
            <w:vAlign w:val="center"/>
          </w:tcPr>
          <w:p w14:paraId="5E137585" w14:textId="77777777" w:rsidR="00D2606F" w:rsidRPr="00B57B36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128.3</w:t>
            </w:r>
            <w:r w:rsidRPr="00FB458B">
              <w:rPr>
                <w:vertAlign w:val="superscript"/>
                <w:lang w:val="en-GB"/>
              </w:rPr>
              <w:t>a</w:t>
            </w:r>
          </w:p>
        </w:tc>
      </w:tr>
      <w:tr w:rsidR="008D6253" w:rsidRPr="00B57B36" w14:paraId="66655CF3" w14:textId="77777777" w:rsidTr="00EF55E0">
        <w:trPr>
          <w:jc w:val="center"/>
        </w:trPr>
        <w:tc>
          <w:tcPr>
            <w:tcW w:w="249" w:type="pct"/>
            <w:tcBorders>
              <w:top w:val="nil"/>
              <w:bottom w:val="single" w:sz="4" w:space="0" w:color="008000"/>
            </w:tcBorders>
            <w:shd w:val="clear" w:color="auto" w:fill="FFFFFF"/>
            <w:vAlign w:val="center"/>
          </w:tcPr>
          <w:p w14:paraId="5DB462C4" w14:textId="77777777" w:rsidR="00D2606F" w:rsidRPr="00B57B36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20</w:t>
            </w:r>
          </w:p>
        </w:tc>
        <w:tc>
          <w:tcPr>
            <w:tcW w:w="442" w:type="pct"/>
            <w:tcBorders>
              <w:top w:val="nil"/>
              <w:bottom w:val="single" w:sz="4" w:space="0" w:color="008000"/>
            </w:tcBorders>
            <w:shd w:val="clear" w:color="auto" w:fill="FFFFFF"/>
            <w:vAlign w:val="center"/>
          </w:tcPr>
          <w:p w14:paraId="6C3DD6A3" w14:textId="77777777" w:rsidR="00D2606F" w:rsidRPr="00B57B36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66.40</w:t>
            </w:r>
            <w:r w:rsidRPr="007259C3">
              <w:rPr>
                <w:vertAlign w:val="superscript"/>
                <w:lang w:val="en-GB"/>
              </w:rPr>
              <w:t>a</w:t>
            </w:r>
          </w:p>
        </w:tc>
        <w:tc>
          <w:tcPr>
            <w:tcW w:w="510" w:type="pct"/>
            <w:tcBorders>
              <w:top w:val="nil"/>
              <w:bottom w:val="single" w:sz="4" w:space="0" w:color="008000"/>
            </w:tcBorders>
            <w:shd w:val="clear" w:color="auto" w:fill="FFFFFF"/>
            <w:vAlign w:val="center"/>
          </w:tcPr>
          <w:p w14:paraId="1B601876" w14:textId="77777777" w:rsidR="00D2606F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1.23</w:t>
            </w:r>
            <w:r w:rsidRPr="007259C3">
              <w:rPr>
                <w:vertAlign w:val="superscript"/>
                <w:lang w:val="en-GB"/>
              </w:rPr>
              <w:t>a</w:t>
            </w:r>
          </w:p>
        </w:tc>
        <w:tc>
          <w:tcPr>
            <w:tcW w:w="517" w:type="pct"/>
            <w:tcBorders>
              <w:top w:val="nil"/>
              <w:bottom w:val="single" w:sz="4" w:space="0" w:color="008000"/>
            </w:tcBorders>
            <w:shd w:val="clear" w:color="auto" w:fill="FFFFFF"/>
            <w:vAlign w:val="center"/>
          </w:tcPr>
          <w:p w14:paraId="50973A69" w14:textId="77777777" w:rsidR="00D2606F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66.40</w:t>
            </w:r>
            <w:r w:rsidRPr="007259C3">
              <w:rPr>
                <w:vertAlign w:val="superscript"/>
                <w:lang w:val="en-GB"/>
              </w:rPr>
              <w:t>a</w:t>
            </w:r>
          </w:p>
        </w:tc>
        <w:tc>
          <w:tcPr>
            <w:tcW w:w="529" w:type="pct"/>
            <w:tcBorders>
              <w:top w:val="nil"/>
              <w:bottom w:val="single" w:sz="4" w:space="0" w:color="008000"/>
            </w:tcBorders>
            <w:shd w:val="clear" w:color="auto" w:fill="FFFFFF"/>
            <w:vAlign w:val="center"/>
          </w:tcPr>
          <w:p w14:paraId="54A8BC4A" w14:textId="77777777" w:rsidR="00D2606F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32.84</w:t>
            </w:r>
            <w:r w:rsidRPr="007259C3">
              <w:rPr>
                <w:vertAlign w:val="superscript"/>
                <w:lang w:val="en-GB"/>
              </w:rPr>
              <w:t>a</w:t>
            </w:r>
          </w:p>
        </w:tc>
        <w:tc>
          <w:tcPr>
            <w:tcW w:w="434" w:type="pct"/>
            <w:tcBorders>
              <w:top w:val="nil"/>
              <w:bottom w:val="single" w:sz="4" w:space="0" w:color="008000"/>
            </w:tcBorders>
            <w:shd w:val="clear" w:color="auto" w:fill="FFFFFF"/>
            <w:vAlign w:val="center"/>
          </w:tcPr>
          <w:p w14:paraId="684C3D2B" w14:textId="77777777" w:rsidR="00D2606F" w:rsidRPr="00B57B36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76.09</w:t>
            </w:r>
            <w:r w:rsidRPr="00FB458B">
              <w:rPr>
                <w:vertAlign w:val="superscript"/>
                <w:lang w:val="en-GB"/>
              </w:rPr>
              <w:t>a</w:t>
            </w:r>
          </w:p>
        </w:tc>
        <w:tc>
          <w:tcPr>
            <w:tcW w:w="558" w:type="pct"/>
            <w:tcBorders>
              <w:top w:val="nil"/>
              <w:bottom w:val="single" w:sz="4" w:space="0" w:color="008000"/>
            </w:tcBorders>
            <w:shd w:val="clear" w:color="auto" w:fill="FFFFFF"/>
            <w:vAlign w:val="center"/>
          </w:tcPr>
          <w:p w14:paraId="4FD3961A" w14:textId="77777777" w:rsidR="00D2606F" w:rsidRPr="00B57B36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4.94</w:t>
            </w:r>
            <w:r w:rsidRPr="00FB458B">
              <w:rPr>
                <w:vertAlign w:val="superscript"/>
                <w:lang w:val="en-GB"/>
              </w:rPr>
              <w:t>a</w:t>
            </w:r>
          </w:p>
        </w:tc>
        <w:tc>
          <w:tcPr>
            <w:tcW w:w="947" w:type="pct"/>
            <w:tcBorders>
              <w:top w:val="nil"/>
              <w:bottom w:val="single" w:sz="4" w:space="0" w:color="008000"/>
            </w:tcBorders>
            <w:shd w:val="clear" w:color="auto" w:fill="FFFFFF"/>
            <w:vAlign w:val="center"/>
          </w:tcPr>
          <w:p w14:paraId="03324A7A" w14:textId="77777777" w:rsidR="00D2606F" w:rsidRPr="00B57B36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3.86</w:t>
            </w:r>
            <w:r w:rsidRPr="00FB458B">
              <w:rPr>
                <w:vertAlign w:val="superscript"/>
                <w:lang w:val="en-GB"/>
              </w:rPr>
              <w:t>a</w:t>
            </w:r>
          </w:p>
        </w:tc>
        <w:tc>
          <w:tcPr>
            <w:tcW w:w="814" w:type="pct"/>
            <w:tcBorders>
              <w:top w:val="nil"/>
              <w:bottom w:val="single" w:sz="4" w:space="0" w:color="008000"/>
            </w:tcBorders>
            <w:shd w:val="clear" w:color="auto" w:fill="FFFFFF"/>
            <w:vAlign w:val="center"/>
          </w:tcPr>
          <w:p w14:paraId="3B5FD46E" w14:textId="77777777" w:rsidR="00D2606F" w:rsidRPr="00B57B36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117.8</w:t>
            </w:r>
            <w:r w:rsidRPr="00FB458B">
              <w:rPr>
                <w:vertAlign w:val="superscript"/>
                <w:lang w:val="en-GB"/>
              </w:rPr>
              <w:t>a</w:t>
            </w:r>
          </w:p>
        </w:tc>
      </w:tr>
      <w:tr w:rsidR="008D6253" w:rsidRPr="00B57B36" w14:paraId="7B660561" w14:textId="77777777" w:rsidTr="00EF55E0">
        <w:trPr>
          <w:jc w:val="center"/>
        </w:trPr>
        <w:tc>
          <w:tcPr>
            <w:tcW w:w="249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59ABB0B7" w14:textId="77777777" w:rsidR="00D2606F" w:rsidRDefault="00D2606F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DMS</w:t>
            </w:r>
          </w:p>
        </w:tc>
        <w:tc>
          <w:tcPr>
            <w:tcW w:w="442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2AA73F8A" w14:textId="36B3F1B1" w:rsidR="00D2606F" w:rsidRDefault="009C45CD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5.98</w:t>
            </w:r>
          </w:p>
        </w:tc>
        <w:tc>
          <w:tcPr>
            <w:tcW w:w="510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6D3D498D" w14:textId="0C4B82EE" w:rsidR="00D2606F" w:rsidRDefault="009C45CD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0.07</w:t>
            </w:r>
          </w:p>
        </w:tc>
        <w:tc>
          <w:tcPr>
            <w:tcW w:w="517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633B9DCE" w14:textId="478DAC65" w:rsidR="00D2606F" w:rsidRDefault="009C45CD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13.83</w:t>
            </w:r>
          </w:p>
        </w:tc>
        <w:tc>
          <w:tcPr>
            <w:tcW w:w="529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0121E425" w14:textId="0FBB3B8B" w:rsidR="00D2606F" w:rsidRDefault="00184730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6.59</w:t>
            </w:r>
          </w:p>
        </w:tc>
        <w:tc>
          <w:tcPr>
            <w:tcW w:w="434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0C3A2008" w14:textId="32F5A456" w:rsidR="00D2606F" w:rsidRDefault="00184730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12.76</w:t>
            </w:r>
          </w:p>
        </w:tc>
        <w:tc>
          <w:tcPr>
            <w:tcW w:w="558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2CEB9C6A" w14:textId="4C032C6E" w:rsidR="00D2606F" w:rsidRDefault="00184730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0.16</w:t>
            </w:r>
          </w:p>
        </w:tc>
        <w:tc>
          <w:tcPr>
            <w:tcW w:w="947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65DC54C0" w14:textId="6401CAE4" w:rsidR="00D2606F" w:rsidRDefault="00955D8B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0.09</w:t>
            </w:r>
          </w:p>
        </w:tc>
        <w:tc>
          <w:tcPr>
            <w:tcW w:w="814" w:type="pct"/>
            <w:tcBorders>
              <w:top w:val="single" w:sz="4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50AC41D2" w14:textId="20A58E55" w:rsidR="00D2606F" w:rsidRDefault="00285154" w:rsidP="00EF55E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19.37</w:t>
            </w:r>
          </w:p>
        </w:tc>
      </w:tr>
    </w:tbl>
    <w:p w14:paraId="7F821D06" w14:textId="19055540" w:rsidR="006A5EA6" w:rsidRPr="008A1DB7" w:rsidRDefault="008A1DB7" w:rsidP="006A5EA6">
      <w:pPr>
        <w:pStyle w:val="CETBodytext"/>
        <w:rPr>
          <w:sz w:val="16"/>
        </w:rPr>
      </w:pPr>
      <w:r w:rsidRPr="008A1DB7">
        <w:rPr>
          <w:sz w:val="16"/>
        </w:rPr>
        <w:t>Values followed by different lower</w:t>
      </w:r>
      <w:bookmarkStart w:id="3" w:name="_GoBack"/>
      <w:bookmarkEnd w:id="3"/>
      <w:r w:rsidRPr="008A1DB7">
        <w:rPr>
          <w:sz w:val="16"/>
        </w:rPr>
        <w:t xml:space="preserve">case letters in the same column differ significantly </w:t>
      </w:r>
      <w:r w:rsidR="00592D09">
        <w:rPr>
          <w:sz w:val="16"/>
        </w:rPr>
        <w:t xml:space="preserve">by Tukey test </w:t>
      </w:r>
      <w:r w:rsidRPr="008A1DB7">
        <w:rPr>
          <w:sz w:val="16"/>
        </w:rPr>
        <w:t>at the 0.05 probability level.</w:t>
      </w:r>
    </w:p>
    <w:p w14:paraId="392CC6B3" w14:textId="77777777" w:rsidR="00DF091A" w:rsidRPr="00171580" w:rsidRDefault="00DF091A" w:rsidP="00122DD1">
      <w:pPr>
        <w:pStyle w:val="CETBodytext"/>
      </w:pPr>
    </w:p>
    <w:p w14:paraId="1F73551E" w14:textId="6D356949" w:rsidR="00C353E2" w:rsidRPr="006C19A8" w:rsidRDefault="009E256F" w:rsidP="00122DD1">
      <w:pPr>
        <w:pStyle w:val="CETBodytext"/>
      </w:pPr>
      <w:r w:rsidRPr="006C19A8">
        <w:t>The aver</w:t>
      </w:r>
      <w:r w:rsidR="008968B9" w:rsidRPr="006C19A8">
        <w:t>age productivity, Table 4, was</w:t>
      </w:r>
      <w:r w:rsidR="006A5EA6" w:rsidRPr="006C19A8">
        <w:t xml:space="preserve"> </w:t>
      </w:r>
      <w:r w:rsidR="003157B7" w:rsidRPr="006C19A8">
        <w:t>79.41 e 76.09 t ha</w:t>
      </w:r>
      <w:r w:rsidR="003157B7" w:rsidRPr="006C19A8">
        <w:rPr>
          <w:vertAlign w:val="superscript"/>
        </w:rPr>
        <w:t>-1</w:t>
      </w:r>
      <w:r w:rsidR="003157B7" w:rsidRPr="006C19A8">
        <w:t>,</w:t>
      </w:r>
      <w:r w:rsidR="008968B9" w:rsidRPr="006C19A8">
        <w:t xml:space="preserve"> </w:t>
      </w:r>
      <w:r w:rsidR="00BB2365" w:rsidRPr="006C19A8">
        <w:t xml:space="preserve">respectively, </w:t>
      </w:r>
      <w:r w:rsidR="003157B7" w:rsidRPr="006C19A8">
        <w:t xml:space="preserve">10 e 20 DAT, </w:t>
      </w:r>
      <w:r w:rsidR="00DB4F36" w:rsidRPr="006C19A8">
        <w:t>accounting for the values</w:t>
      </w:r>
      <w:r w:rsidR="0016406E" w:rsidRPr="006C19A8">
        <w:t>, (89.67; 69.27; 84.85; and 73.88 t ha</w:t>
      </w:r>
      <w:r w:rsidR="0016406E" w:rsidRPr="006C19A8">
        <w:rPr>
          <w:vertAlign w:val="superscript"/>
        </w:rPr>
        <w:t>-1</w:t>
      </w:r>
      <w:r w:rsidR="0016406E" w:rsidRPr="006C19A8">
        <w:t xml:space="preserve"> for 10 DAT) and (89.67; 73.75; 72.75 and 68.23 t ha</w:t>
      </w:r>
      <w:r w:rsidR="0016406E" w:rsidRPr="006C19A8">
        <w:rPr>
          <w:vertAlign w:val="superscript"/>
        </w:rPr>
        <w:t>-1</w:t>
      </w:r>
      <w:r w:rsidR="0016406E" w:rsidRPr="006C19A8">
        <w:t xml:space="preserve"> for 20 DAT),</w:t>
      </w:r>
      <w:r w:rsidR="001F2B27" w:rsidRPr="006C19A8">
        <w:t xml:space="preserve"> </w:t>
      </w:r>
      <w:r w:rsidR="00E50398" w:rsidRPr="006C19A8">
        <w:lastRenderedPageBreak/>
        <w:t>obtained in response to soil water tension</w:t>
      </w:r>
      <w:r w:rsidR="006A5EA6" w:rsidRPr="006C19A8">
        <w:t xml:space="preserve">. </w:t>
      </w:r>
      <w:r w:rsidR="006A5EA6" w:rsidRPr="003E3161">
        <w:t xml:space="preserve">Reis et al. (2013) </w:t>
      </w:r>
      <w:r w:rsidR="00C00924" w:rsidRPr="003E3161">
        <w:t xml:space="preserve">found superior value, with a mean of </w:t>
      </w:r>
      <w:r w:rsidR="006A5EA6" w:rsidRPr="003E3161">
        <w:t>123 t ha</w:t>
      </w:r>
      <w:r w:rsidR="006A5EA6" w:rsidRPr="003E3161">
        <w:rPr>
          <w:vertAlign w:val="superscript"/>
        </w:rPr>
        <w:t>-1</w:t>
      </w:r>
      <w:r w:rsidR="006A5EA6" w:rsidRPr="003E3161">
        <w:t xml:space="preserve">. Wang et al. </w:t>
      </w:r>
      <w:r w:rsidR="006A5EA6" w:rsidRPr="006C19A8">
        <w:t xml:space="preserve">(2011) </w:t>
      </w:r>
      <w:r w:rsidR="004E4D0F" w:rsidRPr="006C19A8">
        <w:t xml:space="preserve">reported a range of </w:t>
      </w:r>
      <w:r w:rsidR="006A5EA6" w:rsidRPr="006C19A8">
        <w:t>41.83 a 68</w:t>
      </w:r>
      <w:r w:rsidR="00B95AE9">
        <w:t>.</w:t>
      </w:r>
      <w:r w:rsidR="006A5EA6" w:rsidRPr="006C19A8">
        <w:t>47 t ha</w:t>
      </w:r>
      <w:r w:rsidR="006A5EA6" w:rsidRPr="006C19A8">
        <w:rPr>
          <w:vertAlign w:val="superscript"/>
        </w:rPr>
        <w:t>-1</w:t>
      </w:r>
      <w:r w:rsidR="006A5EA6" w:rsidRPr="006C19A8">
        <w:t xml:space="preserve"> </w:t>
      </w:r>
      <w:r w:rsidR="0062227B" w:rsidRPr="006C19A8">
        <w:t>for greenhouse tomato under dif</w:t>
      </w:r>
      <w:r w:rsidR="006C19A8">
        <w:t>f</w:t>
      </w:r>
      <w:r w:rsidR="0062227B" w:rsidRPr="006C19A8">
        <w:t xml:space="preserve">erent amounts of </w:t>
      </w:r>
      <w:r w:rsidR="00D941E8" w:rsidRPr="006C19A8">
        <w:t xml:space="preserve">deficit </w:t>
      </w:r>
      <w:r w:rsidR="0062227B" w:rsidRPr="006C19A8">
        <w:t>irrigation</w:t>
      </w:r>
      <w:r w:rsidR="006C19A8" w:rsidRPr="006C19A8">
        <w:t>.</w:t>
      </w:r>
    </w:p>
    <w:p w14:paraId="1EF7BA2C" w14:textId="6B999BB0" w:rsidR="00B9485B" w:rsidRDefault="009B765C" w:rsidP="00EA6370">
      <w:pPr>
        <w:pStyle w:val="CETBodytext"/>
      </w:pPr>
      <w:r>
        <w:t>There were n</w:t>
      </w:r>
      <w:r w:rsidR="00B9485B" w:rsidRPr="00B9485B">
        <w:t xml:space="preserve">o significant differences in water use efficiency. Machado </w:t>
      </w:r>
      <w:r w:rsidR="00B95AE9">
        <w:t>and</w:t>
      </w:r>
      <w:r w:rsidR="00B9485B" w:rsidRPr="00B9485B">
        <w:t xml:space="preserve"> Oliveira (2005) also did not observe significant differences in irrigation water use </w:t>
      </w:r>
      <w:r w:rsidR="009A54FB">
        <w:t>for</w:t>
      </w:r>
      <w:r w:rsidR="009A54FB" w:rsidRPr="00B9485B">
        <w:t xml:space="preserve"> </w:t>
      </w:r>
      <w:r w:rsidR="00B9485B" w:rsidRPr="00B9485B">
        <w:t>tomato yield. Carvalho et al. (2011) point out that increase</w:t>
      </w:r>
      <w:r w:rsidR="009A54FB">
        <w:t>d</w:t>
      </w:r>
      <w:r w:rsidR="00B9485B" w:rsidRPr="00B9485B">
        <w:t xml:space="preserve"> </w:t>
      </w:r>
      <w:r w:rsidR="009A54FB">
        <w:t xml:space="preserve">soil </w:t>
      </w:r>
      <w:r w:rsidR="00B9485B" w:rsidRPr="00B9485B">
        <w:t xml:space="preserve">water availability tends to decrease </w:t>
      </w:r>
      <w:proofErr w:type="spellStart"/>
      <w:r w:rsidR="00B9485B" w:rsidRPr="00B9485B">
        <w:t>WP</w:t>
      </w:r>
      <w:r w:rsidR="00B9485B" w:rsidRPr="00B9485B">
        <w:rPr>
          <w:vertAlign w:val="subscript"/>
        </w:rPr>
        <w:t>irrig</w:t>
      </w:r>
      <w:proofErr w:type="spellEnd"/>
      <w:r w:rsidR="00B9485B" w:rsidRPr="00B9485B">
        <w:t>.</w:t>
      </w:r>
    </w:p>
    <w:p w14:paraId="4121F88F" w14:textId="4D825B24" w:rsidR="00B0197B" w:rsidRDefault="00872163" w:rsidP="00EA6370">
      <w:pPr>
        <w:pStyle w:val="CETBodytext"/>
      </w:pPr>
      <w:r w:rsidRPr="00872163">
        <w:t>Figure</w:t>
      </w:r>
      <w:r w:rsidR="00D6286C">
        <w:t>s</w:t>
      </w:r>
      <w:r w:rsidRPr="00872163">
        <w:t xml:space="preserve"> 1</w:t>
      </w:r>
      <w:r w:rsidR="006F6C0E">
        <w:t xml:space="preserve"> and</w:t>
      </w:r>
      <w:r w:rsidRPr="00872163">
        <w:t xml:space="preserve"> 2</w:t>
      </w:r>
      <w:r w:rsidR="006F6C0E">
        <w:t xml:space="preserve"> </w:t>
      </w:r>
      <w:r w:rsidRPr="00872163">
        <w:t xml:space="preserve">present the behavior of the variables that were statistically affected by soil water </w:t>
      </w:r>
      <w:r>
        <w:t>tension</w:t>
      </w:r>
      <w:r w:rsidR="009A54FB">
        <w:t>:</w:t>
      </w:r>
      <w:r w:rsidR="00DA4260" w:rsidRPr="00872163">
        <w:t xml:space="preserve"> plant</w:t>
      </w:r>
      <w:r w:rsidR="009A54FB" w:rsidRPr="009A54FB">
        <w:t xml:space="preserve"> </w:t>
      </w:r>
      <w:r w:rsidR="009A54FB" w:rsidRPr="00872163">
        <w:t>height</w:t>
      </w:r>
      <w:r w:rsidR="00350CEB" w:rsidRPr="00872163">
        <w:t xml:space="preserve">, stem dry weight, leaf </w:t>
      </w:r>
      <w:r>
        <w:t>a</w:t>
      </w:r>
      <w:r w:rsidR="00350CEB" w:rsidRPr="00872163">
        <w:t>rea, fruit dry weight</w:t>
      </w:r>
      <w:r w:rsidR="0053665C" w:rsidRPr="00872163">
        <w:t xml:space="preserve">, total </w:t>
      </w:r>
      <w:r w:rsidR="00A2224A" w:rsidRPr="00872163">
        <w:t>soluble solids</w:t>
      </w:r>
      <w:r w:rsidR="009A54FB">
        <w:t>,</w:t>
      </w:r>
      <w:r w:rsidR="00B0197B" w:rsidRPr="00872163">
        <w:t xml:space="preserve"> and titrat</w:t>
      </w:r>
      <w:r w:rsidR="009A54FB">
        <w:t>able</w:t>
      </w:r>
      <w:r w:rsidR="00B0197B" w:rsidRPr="00872163">
        <w:t xml:space="preserve"> acidity</w:t>
      </w:r>
      <w:r w:rsidR="00350CEB" w:rsidRPr="00872163">
        <w:t xml:space="preserve"> </w:t>
      </w:r>
      <w:r w:rsidR="009A54FB">
        <w:t>(</w:t>
      </w:r>
      <w:r w:rsidR="00DB3BD2">
        <w:t xml:space="preserve">see </w:t>
      </w:r>
      <w:r w:rsidR="009A54FB" w:rsidRPr="00DB3BD2">
        <w:t>T</w:t>
      </w:r>
      <w:r w:rsidR="00DA4260" w:rsidRPr="00DB3BD2">
        <w:t>able</w:t>
      </w:r>
      <w:r w:rsidR="00B01A9E" w:rsidRPr="00DB3BD2">
        <w:t>s</w:t>
      </w:r>
      <w:r w:rsidR="00DA4260" w:rsidRPr="00DB3BD2">
        <w:t xml:space="preserve"> 2</w:t>
      </w:r>
      <w:r w:rsidR="009A54FB">
        <w:t>)</w:t>
      </w:r>
      <w:r w:rsidR="00DA4260" w:rsidRPr="00872163">
        <w:t>.</w:t>
      </w:r>
    </w:p>
    <w:p w14:paraId="09346AEC" w14:textId="77777777" w:rsidR="00DF091A" w:rsidRPr="00872163" w:rsidRDefault="00DF091A" w:rsidP="00EA6370">
      <w:pPr>
        <w:pStyle w:val="CETBodytext"/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428"/>
      </w:tblGrid>
      <w:tr w:rsidR="0046413A" w14:paraId="6848EB93" w14:textId="77777777" w:rsidTr="00931926">
        <w:trPr>
          <w:jc w:val="center"/>
        </w:trPr>
        <w:tc>
          <w:tcPr>
            <w:tcW w:w="2500" w:type="pct"/>
            <w:vAlign w:val="center"/>
          </w:tcPr>
          <w:p w14:paraId="7509EC22" w14:textId="117786C4" w:rsidR="00931585" w:rsidRDefault="00844BD9" w:rsidP="00931926">
            <w:pPr>
              <w:pStyle w:val="CETBodytext"/>
              <w:spacing w:after="120"/>
              <w:jc w:val="center"/>
            </w:pPr>
            <w:r w:rsidRPr="00844BD9">
              <w:rPr>
                <w:noProof/>
              </w:rPr>
              <w:drawing>
                <wp:inline distT="0" distB="0" distL="0" distR="0" wp14:anchorId="12995197" wp14:editId="2587C4D0">
                  <wp:extent cx="2628000" cy="1332000"/>
                  <wp:effectExtent l="0" t="0" r="1270" b="1905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0" t="15151" r="2556" b="17869"/>
                          <a:stretch/>
                        </pic:blipFill>
                        <pic:spPr bwMode="auto">
                          <a:xfrm>
                            <a:off x="0" y="0"/>
                            <a:ext cx="2628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18B4B9CF" w14:textId="7AAC2658" w:rsidR="00931585" w:rsidRDefault="00D251D0" w:rsidP="00931926">
            <w:pPr>
              <w:pStyle w:val="CETBodytext"/>
              <w:spacing w:after="120"/>
              <w:jc w:val="center"/>
            </w:pPr>
            <w:r w:rsidRPr="00D251D0">
              <w:rPr>
                <w:noProof/>
              </w:rPr>
              <w:drawing>
                <wp:inline distT="0" distB="0" distL="0" distR="0" wp14:anchorId="6872F200" wp14:editId="011AEC71">
                  <wp:extent cx="2628000" cy="1332000"/>
                  <wp:effectExtent l="0" t="0" r="1270" b="1905"/>
                  <wp:docPr id="7" name="Imagem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" t="14877" r="3812" b="18127"/>
                          <a:stretch/>
                        </pic:blipFill>
                        <pic:spPr bwMode="auto">
                          <a:xfrm>
                            <a:off x="0" y="0"/>
                            <a:ext cx="2628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13A" w14:paraId="7CADA9AF" w14:textId="77777777" w:rsidTr="00931926">
        <w:trPr>
          <w:jc w:val="center"/>
        </w:trPr>
        <w:tc>
          <w:tcPr>
            <w:tcW w:w="2500" w:type="pct"/>
            <w:vAlign w:val="center"/>
          </w:tcPr>
          <w:p w14:paraId="2607659B" w14:textId="350313BE" w:rsidR="00931585" w:rsidRDefault="00D76100" w:rsidP="00931926">
            <w:pPr>
              <w:pStyle w:val="CETBodytext"/>
              <w:jc w:val="center"/>
            </w:pPr>
            <w:r w:rsidRPr="00D76100">
              <w:rPr>
                <w:noProof/>
              </w:rPr>
              <w:drawing>
                <wp:inline distT="0" distB="0" distL="0" distR="0" wp14:anchorId="5B24D646" wp14:editId="53A94881">
                  <wp:extent cx="2642400" cy="1548000"/>
                  <wp:effectExtent l="0" t="0" r="5715" b="0"/>
                  <wp:docPr id="3" name="Image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2" t="14641" r="2559" b="5486"/>
                          <a:stretch/>
                        </pic:blipFill>
                        <pic:spPr bwMode="auto">
                          <a:xfrm>
                            <a:off x="0" y="0"/>
                            <a:ext cx="26424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4D1B8DD" w14:textId="5FFE7817" w:rsidR="00931585" w:rsidRDefault="00FC5A33" w:rsidP="00931926">
            <w:pPr>
              <w:pStyle w:val="CETBodytext"/>
              <w:jc w:val="center"/>
            </w:pPr>
            <w:r w:rsidRPr="00FC5A33">
              <w:rPr>
                <w:noProof/>
              </w:rPr>
              <w:drawing>
                <wp:inline distT="0" distB="0" distL="0" distR="0" wp14:anchorId="0A052843" wp14:editId="23133687">
                  <wp:extent cx="2692800" cy="1548000"/>
                  <wp:effectExtent l="0" t="0" r="0" b="0"/>
                  <wp:docPr id="12" name="Image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9" t="14325" r="2224" b="6059"/>
                          <a:stretch/>
                        </pic:blipFill>
                        <pic:spPr bwMode="auto">
                          <a:xfrm>
                            <a:off x="0" y="0"/>
                            <a:ext cx="26928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0E0" w14:paraId="7EA17413" w14:textId="77777777" w:rsidTr="00931926">
        <w:trPr>
          <w:jc w:val="center"/>
        </w:trPr>
        <w:tc>
          <w:tcPr>
            <w:tcW w:w="5000" w:type="pct"/>
            <w:gridSpan w:val="2"/>
            <w:vAlign w:val="center"/>
          </w:tcPr>
          <w:p w14:paraId="79BA6429" w14:textId="76AA5657" w:rsidR="00F960E0" w:rsidRDefault="00F960E0" w:rsidP="00931926">
            <w:pPr>
              <w:pStyle w:val="CETCaption"/>
              <w:spacing w:before="0"/>
              <w:jc w:val="center"/>
            </w:pPr>
            <w:r>
              <w:t>Figure 1: Relationship between soil water tension</w:t>
            </w:r>
            <w:r w:rsidRPr="00EB6609">
              <w:t xml:space="preserve"> </w:t>
            </w:r>
            <w:r>
              <w:t xml:space="preserve">and </w:t>
            </w:r>
            <w:r w:rsidRPr="00EB6609">
              <w:t>of growth parameters of tomato</w:t>
            </w:r>
            <w:r>
              <w:t xml:space="preserve">: [A] plant height; [B] stem dry weight; [C] leaf area and [D] </w:t>
            </w:r>
            <w:bookmarkStart w:id="4" w:name="_Hlk535576065"/>
            <w:r>
              <w:t>fruit dry weight</w:t>
            </w:r>
            <w:bookmarkEnd w:id="4"/>
          </w:p>
        </w:tc>
      </w:tr>
    </w:tbl>
    <w:p w14:paraId="20755BE2" w14:textId="31166F20" w:rsidR="00283B6E" w:rsidRDefault="009A54FB" w:rsidP="00283B6E">
      <w:pPr>
        <w:pStyle w:val="CETBodytext"/>
      </w:pPr>
      <w:r>
        <w:t>T</w:t>
      </w:r>
      <w:r w:rsidR="00353679" w:rsidRPr="00353679">
        <w:t>he plants reached the highest heights with soil water tension at 70 kPa</w:t>
      </w:r>
      <w:r>
        <w:t>,</w:t>
      </w:r>
      <w:r w:rsidR="00353679" w:rsidRPr="00353679">
        <w:t xml:space="preserve"> and </w:t>
      </w:r>
      <w:r>
        <w:t xml:space="preserve">the </w:t>
      </w:r>
      <w:r w:rsidR="00353679" w:rsidRPr="00353679">
        <w:t>lowe</w:t>
      </w:r>
      <w:r>
        <w:t>st heights</w:t>
      </w:r>
      <w:r w:rsidR="00353679" w:rsidRPr="00353679">
        <w:t xml:space="preserve"> </w:t>
      </w:r>
      <w:r>
        <w:t>at</w:t>
      </w:r>
      <w:r w:rsidRPr="00353679">
        <w:t xml:space="preserve"> </w:t>
      </w:r>
      <w:r w:rsidR="00353679" w:rsidRPr="00353679">
        <w:t xml:space="preserve">30KPa </w:t>
      </w:r>
      <w:r>
        <w:t>(</w:t>
      </w:r>
      <w:r w:rsidR="00353679" w:rsidRPr="00353679">
        <w:t>respectively</w:t>
      </w:r>
      <w:r>
        <w:t>,</w:t>
      </w:r>
      <w:r w:rsidR="00353679" w:rsidRPr="00353679">
        <w:t xml:space="preserve"> 71.04 and 60.11 cm</w:t>
      </w:r>
      <w:r>
        <w:t>)</w:t>
      </w:r>
      <w:r w:rsidR="00353679" w:rsidRPr="00353679">
        <w:t xml:space="preserve">. </w:t>
      </w:r>
      <w:proofErr w:type="spellStart"/>
      <w:r w:rsidR="00353679" w:rsidRPr="00353679">
        <w:t>Nangare</w:t>
      </w:r>
      <w:proofErr w:type="spellEnd"/>
      <w:r w:rsidR="00353679" w:rsidRPr="00353679">
        <w:t xml:space="preserve"> et al. (2016) observed the opposite behavior and emphasize that the smaller the water restriction for tomato, the greater the plant</w:t>
      </w:r>
      <w:r w:rsidRPr="009A54FB">
        <w:t xml:space="preserve"> </w:t>
      </w:r>
      <w:r w:rsidRPr="00353679">
        <w:t>height</w:t>
      </w:r>
      <w:r w:rsidR="00283B6E" w:rsidRPr="00353679">
        <w:t xml:space="preserve">. </w:t>
      </w:r>
      <w:r w:rsidR="00283B6E" w:rsidRPr="00D07D8E">
        <w:t>Soares et al. (2012)</w:t>
      </w:r>
      <w:r>
        <w:t>,</w:t>
      </w:r>
      <w:r w:rsidR="00283B6E" w:rsidRPr="00D07D8E">
        <w:t xml:space="preserve"> studying different evapotranspiration replacement rates in protected environment</w:t>
      </w:r>
      <w:r>
        <w:t>,</w:t>
      </w:r>
      <w:r w:rsidR="00283B6E" w:rsidRPr="00D07D8E">
        <w:t xml:space="preserve"> observed a linear decrease in the height of tomato plants and an increase in stem diameter with increasin</w:t>
      </w:r>
      <w:r>
        <w:t>g</w:t>
      </w:r>
      <w:r w:rsidR="00283B6E" w:rsidRPr="00D07D8E">
        <w:t xml:space="preserve"> replacement rate, a pattern </w:t>
      </w:r>
      <w:proofErr w:type="gramStart"/>
      <w:r w:rsidR="00283B6E" w:rsidRPr="00D07D8E">
        <w:t>similar to</w:t>
      </w:r>
      <w:proofErr w:type="gramEnd"/>
      <w:r w:rsidR="00283B6E" w:rsidRPr="00D07D8E">
        <w:t xml:space="preserve"> that observed in </w:t>
      </w:r>
      <w:r>
        <w:t>our</w:t>
      </w:r>
      <w:r w:rsidR="00283B6E" w:rsidRPr="00D07D8E">
        <w:t xml:space="preserve"> analy</w:t>
      </w:r>
      <w:r>
        <w:t>s</w:t>
      </w:r>
      <w:r w:rsidR="00283B6E" w:rsidRPr="00D07D8E">
        <w:t xml:space="preserve">es, </w:t>
      </w:r>
      <w:r>
        <w:t>where</w:t>
      </w:r>
      <w:r w:rsidR="00283B6E" w:rsidRPr="00D07D8E">
        <w:t xml:space="preserve"> plant </w:t>
      </w:r>
      <w:r>
        <w:t xml:space="preserve">height increased </w:t>
      </w:r>
      <w:r w:rsidR="00283B6E" w:rsidRPr="00D07D8E">
        <w:t>with increas</w:t>
      </w:r>
      <w:r>
        <w:t>ing</w:t>
      </w:r>
      <w:r w:rsidR="00283B6E" w:rsidRPr="00D07D8E">
        <w:t xml:space="preserve"> water restriction.</w:t>
      </w:r>
    </w:p>
    <w:p w14:paraId="3776674B" w14:textId="3E4D014F" w:rsidR="009B1565" w:rsidRPr="00BC2916" w:rsidRDefault="009A54FB" w:rsidP="00283B6E">
      <w:pPr>
        <w:pStyle w:val="CETBodytext"/>
      </w:pPr>
      <w:r>
        <w:t>W</w:t>
      </w:r>
      <w:r w:rsidR="00D21136" w:rsidRPr="00D21136">
        <w:t>ater restriction affected the development of the leaf area</w:t>
      </w:r>
      <w:r>
        <w:t>;</w:t>
      </w:r>
      <w:r w:rsidR="00D21136" w:rsidRPr="00D21136">
        <w:t xml:space="preserve"> with the increase of </w:t>
      </w:r>
      <w:r>
        <w:t xml:space="preserve">soil </w:t>
      </w:r>
      <w:r w:rsidR="00D21136" w:rsidRPr="00D21136">
        <w:t>water tension</w:t>
      </w:r>
      <w:r>
        <w:t>,</w:t>
      </w:r>
      <w:r w:rsidR="00D21136" w:rsidRPr="00D21136">
        <w:t xml:space="preserve"> there was a decrease of leaf area, since </w:t>
      </w:r>
      <w:r>
        <w:t xml:space="preserve">at </w:t>
      </w:r>
      <w:r w:rsidR="00D21136" w:rsidRPr="00D21136">
        <w:t>30 kPa the plant reached 106.55 cm</w:t>
      </w:r>
      <w:r w:rsidR="00D21136" w:rsidRPr="00D21136">
        <w:rPr>
          <w:vertAlign w:val="superscript"/>
        </w:rPr>
        <w:t>2</w:t>
      </w:r>
      <w:r>
        <w:t xml:space="preserve">, </w:t>
      </w:r>
      <w:r w:rsidR="00D21136" w:rsidRPr="00D21136">
        <w:t>higher than the 96.12 cm</w:t>
      </w:r>
      <w:r w:rsidR="00D21136" w:rsidRPr="00D21136">
        <w:rPr>
          <w:vertAlign w:val="superscript"/>
        </w:rPr>
        <w:t>2</w:t>
      </w:r>
      <w:r w:rsidR="00D21136" w:rsidRPr="00D21136">
        <w:t xml:space="preserve"> reached </w:t>
      </w:r>
      <w:r>
        <w:t xml:space="preserve">at </w:t>
      </w:r>
      <w:r w:rsidR="00D21136" w:rsidRPr="00D21136">
        <w:t>70 kPa.</w:t>
      </w:r>
      <w:r w:rsidR="00D21136">
        <w:t xml:space="preserve"> </w:t>
      </w:r>
      <w:proofErr w:type="spellStart"/>
      <w:r w:rsidR="00BC2916" w:rsidRPr="00BC2916">
        <w:t>Dellai</w:t>
      </w:r>
      <w:proofErr w:type="spellEnd"/>
      <w:r w:rsidR="00BC2916" w:rsidRPr="00BC2916">
        <w:t xml:space="preserve"> et al. (2005) explain that the leaf area is related to the interception of solar radiation, photosynthesis</w:t>
      </w:r>
      <w:r>
        <w:t>,</w:t>
      </w:r>
      <w:r w:rsidR="00BC2916" w:rsidRPr="00BC2916">
        <w:t xml:space="preserve"> and </w:t>
      </w:r>
      <w:proofErr w:type="spellStart"/>
      <w:r w:rsidR="00BC2916" w:rsidRPr="00BC2916">
        <w:t>phytomass</w:t>
      </w:r>
      <w:proofErr w:type="spellEnd"/>
      <w:r w:rsidR="00BC2916" w:rsidRPr="00BC2916">
        <w:t xml:space="preserve"> accumulation</w:t>
      </w:r>
      <w:r>
        <w:t>;</w:t>
      </w:r>
      <w:r w:rsidR="00BC2916" w:rsidRPr="00BC2916">
        <w:t xml:space="preserve"> consequently, it is a function of soil water stress</w:t>
      </w:r>
      <w:r>
        <w:t>,</w:t>
      </w:r>
      <w:r w:rsidR="00BC2916" w:rsidRPr="00BC2916">
        <w:t xml:space="preserve"> since the expansion depends on the water potential. Thus, the response of plants to stem dry weight loss under higher stress is justified, since the lower the L</w:t>
      </w:r>
      <w:r w:rsidR="00E51960">
        <w:t>.</w:t>
      </w:r>
      <w:r w:rsidR="00BC2916" w:rsidRPr="00BC2916">
        <w:t>A</w:t>
      </w:r>
      <w:r w:rsidR="00E51960">
        <w:t>.</w:t>
      </w:r>
      <w:r w:rsidR="00BC2916" w:rsidRPr="00BC2916">
        <w:t xml:space="preserve">, the lower the dry weight, regardless of the </w:t>
      </w:r>
      <w:r>
        <w:t>increase</w:t>
      </w:r>
      <w:r w:rsidRPr="00BC2916">
        <w:t xml:space="preserve"> </w:t>
      </w:r>
      <w:r w:rsidR="00BC2916" w:rsidRPr="00BC2916">
        <w:t xml:space="preserve">in </w:t>
      </w:r>
      <w:r>
        <w:t>P.</w:t>
      </w:r>
      <w:r w:rsidR="00BC2916" w:rsidRPr="00BC2916">
        <w:t>H.</w:t>
      </w:r>
    </w:p>
    <w:p w14:paraId="6D3F967B" w14:textId="51190128" w:rsidR="00BC7170" w:rsidRDefault="009A54FB" w:rsidP="00BC7170">
      <w:pPr>
        <w:pStyle w:val="CETBodytext"/>
      </w:pPr>
      <w:r>
        <w:t>Regarding</w:t>
      </w:r>
      <w:r w:rsidR="002D5DA8" w:rsidRPr="002D5DA8">
        <w:t xml:space="preserve"> fruit dry weight </w:t>
      </w:r>
      <w:r>
        <w:t>(F</w:t>
      </w:r>
      <w:r w:rsidR="002D5DA8" w:rsidRPr="002D5DA8">
        <w:t>igure 4</w:t>
      </w:r>
      <w:r>
        <w:t>)</w:t>
      </w:r>
      <w:r w:rsidR="002D5DA8" w:rsidRPr="002D5DA8">
        <w:t>, the</w:t>
      </w:r>
      <w:r w:rsidR="002B7577">
        <w:t>re is a</w:t>
      </w:r>
      <w:r w:rsidR="002D5DA8" w:rsidRPr="002D5DA8">
        <w:t xml:space="preserve"> decreasing behavior in relation to the increase of </w:t>
      </w:r>
      <w:r>
        <w:t>soil</w:t>
      </w:r>
      <w:r w:rsidRPr="002D5DA8">
        <w:t xml:space="preserve"> </w:t>
      </w:r>
      <w:r w:rsidR="002D5DA8" w:rsidRPr="002D5DA8">
        <w:t>water tension, 4.32 g at 30 kPa and 3.22 g at 70 kPa (in average values). Schwarz et al. (2013)</w:t>
      </w:r>
      <w:r w:rsidR="002B7577">
        <w:t>, testing</w:t>
      </w:r>
      <w:r w:rsidR="002D5DA8" w:rsidRPr="002D5DA8">
        <w:t xml:space="preserve"> several commercial hybrids</w:t>
      </w:r>
      <w:r w:rsidR="002B7577">
        <w:t>,</w:t>
      </w:r>
      <w:r w:rsidR="002D5DA8" w:rsidRPr="002D5DA8">
        <w:t xml:space="preserve"> found a dry </w:t>
      </w:r>
      <w:r w:rsidR="00E51960">
        <w:t>weight</w:t>
      </w:r>
      <w:r w:rsidR="002D5DA8" w:rsidRPr="002D5DA8">
        <w:t xml:space="preserve"> between 4 and 5.2% lower than those identified in this study. </w:t>
      </w:r>
      <w:proofErr w:type="spellStart"/>
      <w:r w:rsidR="002D5DA8" w:rsidRPr="002D5DA8">
        <w:t>Raupp</w:t>
      </w:r>
      <w:proofErr w:type="spellEnd"/>
      <w:r w:rsidR="002D5DA8" w:rsidRPr="002D5DA8">
        <w:t xml:space="preserve"> et al. (2007) point out that the industry requires fruits with higher dry </w:t>
      </w:r>
      <w:r w:rsidR="002B7577">
        <w:t>weight</w:t>
      </w:r>
      <w:r w:rsidR="002D5DA8" w:rsidRPr="002D5DA8">
        <w:t>, which provide a higher pulp</w:t>
      </w:r>
      <w:r w:rsidR="002B7577" w:rsidRPr="002B7577">
        <w:t xml:space="preserve"> </w:t>
      </w:r>
      <w:r w:rsidR="002B7577" w:rsidRPr="002D5DA8">
        <w:t>yield</w:t>
      </w:r>
      <w:r w:rsidR="002D5DA8" w:rsidRPr="002D5DA8">
        <w:t>.</w:t>
      </w:r>
    </w:p>
    <w:p w14:paraId="012DE667" w14:textId="77777777" w:rsidR="00DF091A" w:rsidRPr="002D5DA8" w:rsidRDefault="00DF091A" w:rsidP="00BC7170">
      <w:pPr>
        <w:pStyle w:val="CETBodytext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5"/>
      </w:tblGrid>
      <w:tr w:rsidR="009568DD" w14:paraId="14950360" w14:textId="77777777" w:rsidTr="00BD44FF">
        <w:tc>
          <w:tcPr>
            <w:tcW w:w="2499" w:type="pct"/>
            <w:vAlign w:val="center"/>
          </w:tcPr>
          <w:p w14:paraId="12EEEE6C" w14:textId="3EC58A50" w:rsidR="00931585" w:rsidRDefault="003E1313" w:rsidP="00BD44FF">
            <w:pPr>
              <w:pStyle w:val="CETBodytext"/>
              <w:jc w:val="center"/>
            </w:pPr>
            <w:r w:rsidRPr="003E1313">
              <w:rPr>
                <w:noProof/>
              </w:rPr>
              <w:lastRenderedPageBreak/>
              <w:drawing>
                <wp:inline distT="0" distB="0" distL="0" distR="0" wp14:anchorId="4DB1D055" wp14:editId="66BD57B0">
                  <wp:extent cx="2628000" cy="1548000"/>
                  <wp:effectExtent l="0" t="0" r="1270" b="0"/>
                  <wp:docPr id="14" name="Imagem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2" t="14365" r="2899" b="5504"/>
                          <a:stretch/>
                        </pic:blipFill>
                        <pic:spPr bwMode="auto">
                          <a:xfrm>
                            <a:off x="0" y="0"/>
                            <a:ext cx="262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vAlign w:val="center"/>
          </w:tcPr>
          <w:p w14:paraId="733D5FE7" w14:textId="0B79E1FC" w:rsidR="00931585" w:rsidRDefault="00537131" w:rsidP="00BD44FF">
            <w:pPr>
              <w:pStyle w:val="CETBodytext"/>
              <w:jc w:val="center"/>
            </w:pPr>
            <w:r w:rsidRPr="00537131">
              <w:rPr>
                <w:noProof/>
              </w:rPr>
              <w:drawing>
                <wp:inline distT="0" distB="0" distL="0" distR="0" wp14:anchorId="40BD9246" wp14:editId="48DBAAA3">
                  <wp:extent cx="2628000" cy="1548000"/>
                  <wp:effectExtent l="0" t="0" r="1270" b="0"/>
                  <wp:docPr id="13" name="Image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2" t="14640" r="2517" b="5787"/>
                          <a:stretch/>
                        </pic:blipFill>
                        <pic:spPr bwMode="auto">
                          <a:xfrm>
                            <a:off x="0" y="0"/>
                            <a:ext cx="262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D59" w14:paraId="197C7C61" w14:textId="77777777" w:rsidTr="00BD44FF">
        <w:tc>
          <w:tcPr>
            <w:tcW w:w="5000" w:type="pct"/>
            <w:gridSpan w:val="2"/>
            <w:vAlign w:val="center"/>
          </w:tcPr>
          <w:p w14:paraId="29A0D0F1" w14:textId="06E01ACE" w:rsidR="00900D59" w:rsidRPr="0025765C" w:rsidRDefault="00900D59" w:rsidP="00BD44FF">
            <w:pPr>
              <w:pStyle w:val="CETCaption"/>
              <w:spacing w:before="0"/>
              <w:jc w:val="center"/>
              <w:rPr>
                <w:noProof/>
              </w:rPr>
            </w:pPr>
            <w:r>
              <w:t>Figure 2: Relationship between soil water tension</w:t>
            </w:r>
            <w:r w:rsidRPr="00EB6609">
              <w:t xml:space="preserve"> </w:t>
            </w:r>
            <w:r>
              <w:t>and of quality</w:t>
            </w:r>
            <w:r w:rsidRPr="00EB6609">
              <w:t xml:space="preserve"> parameters of tomato</w:t>
            </w:r>
            <w:r>
              <w:t>: [A] total soluble solids and [B] titrated acidity.</w:t>
            </w:r>
          </w:p>
        </w:tc>
      </w:tr>
    </w:tbl>
    <w:p w14:paraId="58A36CA0" w14:textId="1A252D3A" w:rsidR="00783D98" w:rsidRPr="00171580" w:rsidRDefault="00783D98" w:rsidP="00B3553F">
      <w:pPr>
        <w:pStyle w:val="CETBodytext"/>
      </w:pPr>
      <w:r w:rsidRPr="00783D98">
        <w:t xml:space="preserve">Figure </w:t>
      </w:r>
      <w:r w:rsidR="002724E8">
        <w:t>2</w:t>
      </w:r>
      <w:r w:rsidRPr="00783D98">
        <w:t xml:space="preserve"> </w:t>
      </w:r>
      <w:r w:rsidR="009C4285">
        <w:t>shows</w:t>
      </w:r>
      <w:r w:rsidRPr="00783D98">
        <w:t xml:space="preserve"> an increase of the total soluble solids con</w:t>
      </w:r>
      <w:r w:rsidR="009C4285">
        <w:t>t</w:t>
      </w:r>
      <w:r w:rsidRPr="00783D98">
        <w:t>ent (°Brix) as a function of increase</w:t>
      </w:r>
      <w:r w:rsidR="009C4285">
        <w:t>d</w:t>
      </w:r>
      <w:r w:rsidRPr="00783D98">
        <w:t xml:space="preserve"> water restriction to the plant, that is, the increase of the </w:t>
      </w:r>
      <w:r w:rsidR="009C4285">
        <w:t xml:space="preserve">soil </w:t>
      </w:r>
      <w:r w:rsidRPr="00783D98">
        <w:t xml:space="preserve">water tension </w:t>
      </w:r>
      <w:r w:rsidR="00191168">
        <w:t>led to an</w:t>
      </w:r>
      <w:r w:rsidRPr="00783D98">
        <w:t xml:space="preserve"> increase in TSS. The fruits </w:t>
      </w:r>
      <w:r w:rsidR="00191168">
        <w:t>at</w:t>
      </w:r>
      <w:r w:rsidR="00191168" w:rsidRPr="00783D98">
        <w:t xml:space="preserve"> </w:t>
      </w:r>
      <w:r w:rsidRPr="00783D98">
        <w:t>the tensions of 30 and 40 kPa obtained</w:t>
      </w:r>
      <w:r w:rsidR="009C4285">
        <w:t>,</w:t>
      </w:r>
      <w:r w:rsidRPr="00783D98">
        <w:t xml:space="preserve"> in average, 4.89 </w:t>
      </w:r>
      <w:r w:rsidR="009C4285">
        <w:t>and</w:t>
      </w:r>
      <w:r w:rsidRPr="00783D98">
        <w:t xml:space="preserve"> 4.80 °Brix, </w:t>
      </w:r>
      <w:r w:rsidR="009C4285" w:rsidRPr="00783D98">
        <w:t>respectively</w:t>
      </w:r>
      <w:r w:rsidR="009C4285">
        <w:t>;</w:t>
      </w:r>
      <w:r w:rsidR="009C4285" w:rsidRPr="00783D98">
        <w:t xml:space="preserve"> </w:t>
      </w:r>
      <w:r w:rsidR="009C4285">
        <w:t>at</w:t>
      </w:r>
      <w:r w:rsidRPr="00783D98">
        <w:t xml:space="preserve"> 60 and 70 kPa</w:t>
      </w:r>
      <w:r w:rsidR="009C4285">
        <w:t>, in turn,</w:t>
      </w:r>
      <w:r w:rsidRPr="00783D98">
        <w:t xml:space="preserve"> the</w:t>
      </w:r>
      <w:r w:rsidR="009C4285">
        <w:t>se</w:t>
      </w:r>
      <w:r w:rsidRPr="00783D98">
        <w:t xml:space="preserve"> values were 4.98 and 5.25 °Brix. Zheng et al. (2013</w:t>
      </w:r>
      <w:r w:rsidR="00191168">
        <w:t>)</w:t>
      </w:r>
      <w:r w:rsidRPr="00783D98">
        <w:t xml:space="preserve"> found average values between 3.6 and 5.0 °Brix at 10 and 50 kPa. This behavior was similar to those found by Albert et al. </w:t>
      </w:r>
      <w:r w:rsidRPr="00171580">
        <w:t>(2016) and Zhai et al. (2016).</w:t>
      </w:r>
    </w:p>
    <w:p w14:paraId="1FC6B5F2" w14:textId="5DD79087" w:rsidR="00EB6748" w:rsidRPr="00F63C3A" w:rsidRDefault="00F63C3A" w:rsidP="001F71AE">
      <w:pPr>
        <w:pStyle w:val="CETBodytext"/>
      </w:pPr>
      <w:r w:rsidRPr="00F63C3A">
        <w:t>The fruits obtained the following values of titrat</w:t>
      </w:r>
      <w:r w:rsidR="009C4285">
        <w:t>abl</w:t>
      </w:r>
      <w:r w:rsidRPr="00F63C3A">
        <w:t>e acidity (TA)</w:t>
      </w:r>
      <w:r w:rsidR="009C4285">
        <w:t>:</w:t>
      </w:r>
      <w:r w:rsidRPr="00F63C3A">
        <w:t xml:space="preserve"> 0.35; 0.38; 0.40</w:t>
      </w:r>
      <w:r w:rsidR="009C4285">
        <w:t>;</w:t>
      </w:r>
      <w:r w:rsidRPr="00F63C3A">
        <w:t xml:space="preserve"> and 0.41%, respectively, </w:t>
      </w:r>
      <w:r w:rsidR="009C4285">
        <w:t xml:space="preserve">at </w:t>
      </w:r>
      <w:r w:rsidRPr="00F63C3A">
        <w:t>tensions of 30, 40, 60</w:t>
      </w:r>
      <w:r w:rsidR="009C4285">
        <w:t>,</w:t>
      </w:r>
      <w:r w:rsidRPr="00F63C3A">
        <w:t xml:space="preserve"> and 70 kPa, being considered adequate to the industrial requirements for processing tomato in Brazil. Paula et al. (2015) obtained TA means between 0.35 and 0.62% for the AP-529 and Tinto hybrids. Silva &amp; Giordano (2000) point out that TA values below 0.35% require an increase in processing time and temperature to avoid the proliferation of microorganisms in processed products</w:t>
      </w:r>
      <w:r w:rsidR="009C4285">
        <w:t>.</w:t>
      </w:r>
    </w:p>
    <w:p w14:paraId="627E2C93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04AC26AF" w14:textId="7EDDEF1C" w:rsidR="00487073" w:rsidRPr="00CD7B6F" w:rsidRDefault="00CD7B6F" w:rsidP="00487073">
      <w:pPr>
        <w:pStyle w:val="CETAcknowledgementstitle"/>
        <w:jc w:val="both"/>
        <w:rPr>
          <w:b w:val="0"/>
          <w:lang w:val="en-US"/>
        </w:rPr>
      </w:pPr>
      <w:r w:rsidRPr="00CD7B6F">
        <w:rPr>
          <w:b w:val="0"/>
          <w:lang w:val="en-US"/>
        </w:rPr>
        <w:t>The soil water tension provid</w:t>
      </w:r>
      <w:r w:rsidR="009C4285">
        <w:rPr>
          <w:b w:val="0"/>
          <w:lang w:val="en-US"/>
        </w:rPr>
        <w:t>ed</w:t>
      </w:r>
      <w:r w:rsidRPr="00CD7B6F">
        <w:rPr>
          <w:b w:val="0"/>
          <w:lang w:val="en-US"/>
        </w:rPr>
        <w:t xml:space="preserve"> different agronomic development profiles. </w:t>
      </w:r>
      <w:r w:rsidR="009C4285">
        <w:rPr>
          <w:b w:val="0"/>
          <w:lang w:val="en-US"/>
        </w:rPr>
        <w:t>T</w:t>
      </w:r>
      <w:r w:rsidRPr="00CD7B6F">
        <w:rPr>
          <w:b w:val="0"/>
          <w:lang w:val="en-US"/>
        </w:rPr>
        <w:t xml:space="preserve">he water deficit </w:t>
      </w:r>
      <w:r w:rsidR="009C4285">
        <w:rPr>
          <w:b w:val="0"/>
          <w:lang w:val="en-US"/>
        </w:rPr>
        <w:t xml:space="preserve">was shown to </w:t>
      </w:r>
      <w:r w:rsidRPr="00CD7B6F">
        <w:rPr>
          <w:b w:val="0"/>
          <w:lang w:val="en-US"/>
        </w:rPr>
        <w:t xml:space="preserve">reduce the total volume of water applied during the cycle, increasing the soluble solids </w:t>
      </w:r>
      <w:r w:rsidR="00D04568">
        <w:rPr>
          <w:b w:val="0"/>
          <w:lang w:val="en-US"/>
        </w:rPr>
        <w:t xml:space="preserve">content </w:t>
      </w:r>
      <w:r w:rsidRPr="00CD7B6F">
        <w:rPr>
          <w:b w:val="0"/>
          <w:lang w:val="en-US"/>
        </w:rPr>
        <w:t>in the fruits and maintain</w:t>
      </w:r>
      <w:r w:rsidR="009C4285">
        <w:rPr>
          <w:b w:val="0"/>
          <w:lang w:val="en-US"/>
        </w:rPr>
        <w:t>ing</w:t>
      </w:r>
      <w:r w:rsidRPr="00CD7B6F">
        <w:rPr>
          <w:b w:val="0"/>
          <w:lang w:val="en-US"/>
        </w:rPr>
        <w:t xml:space="preserve"> titratable acidity in the standards of processing industries,</w:t>
      </w:r>
      <w:r w:rsidR="009C4285">
        <w:rPr>
          <w:b w:val="0"/>
          <w:lang w:val="en-US"/>
        </w:rPr>
        <w:t xml:space="preserve"> in addition to</w:t>
      </w:r>
      <w:r w:rsidRPr="00CD7B6F">
        <w:rPr>
          <w:b w:val="0"/>
          <w:lang w:val="en-US"/>
        </w:rPr>
        <w:t xml:space="preserve"> increasing </w:t>
      </w:r>
      <w:r w:rsidR="009C4285">
        <w:rPr>
          <w:b w:val="0"/>
          <w:lang w:val="en-US"/>
        </w:rPr>
        <w:t xml:space="preserve">pulp </w:t>
      </w:r>
      <w:r w:rsidRPr="00CD7B6F">
        <w:rPr>
          <w:b w:val="0"/>
          <w:lang w:val="en-US"/>
        </w:rPr>
        <w:t>yield</w:t>
      </w:r>
      <w:r w:rsidR="00DE49C8">
        <w:rPr>
          <w:b w:val="0"/>
          <w:lang w:val="en-US"/>
        </w:rPr>
        <w:t xml:space="preserve"> when</w:t>
      </w:r>
      <w:r w:rsidRPr="00CD7B6F">
        <w:rPr>
          <w:b w:val="0"/>
          <w:lang w:val="en-US"/>
        </w:rPr>
        <w:t xml:space="preserve"> </w:t>
      </w:r>
      <w:r w:rsidR="009C4285">
        <w:rPr>
          <w:b w:val="0"/>
          <w:lang w:val="en-US"/>
        </w:rPr>
        <w:t>compared to</w:t>
      </w:r>
      <w:r w:rsidRPr="00CD7B6F">
        <w:rPr>
          <w:b w:val="0"/>
          <w:lang w:val="en-US"/>
        </w:rPr>
        <w:t xml:space="preserve"> processing industries. The tension</w:t>
      </w:r>
      <w:r w:rsidR="009C4285">
        <w:rPr>
          <w:b w:val="0"/>
          <w:lang w:val="en-US"/>
        </w:rPr>
        <w:t>s</w:t>
      </w:r>
      <w:r w:rsidRPr="00CD7B6F">
        <w:rPr>
          <w:b w:val="0"/>
          <w:lang w:val="en-US"/>
        </w:rPr>
        <w:t xml:space="preserve"> of 60 and 70 kPa </w:t>
      </w:r>
      <w:r w:rsidR="00C579ED" w:rsidRPr="00CD7B6F">
        <w:rPr>
          <w:b w:val="0"/>
          <w:lang w:val="en-US"/>
        </w:rPr>
        <w:t>applied</w:t>
      </w:r>
      <w:r w:rsidRPr="00CD7B6F">
        <w:rPr>
          <w:b w:val="0"/>
          <w:lang w:val="en-US"/>
        </w:rPr>
        <w:t xml:space="preserve"> </w:t>
      </w:r>
      <w:r w:rsidR="009C4285">
        <w:rPr>
          <w:b w:val="0"/>
          <w:lang w:val="en-US"/>
        </w:rPr>
        <w:t>at 10</w:t>
      </w:r>
      <w:r w:rsidRPr="00CD7B6F">
        <w:rPr>
          <w:b w:val="0"/>
          <w:lang w:val="en-US"/>
        </w:rPr>
        <w:t xml:space="preserve"> DAT were </w:t>
      </w:r>
      <w:r w:rsidR="009C4285">
        <w:rPr>
          <w:b w:val="0"/>
          <w:lang w:val="en-US"/>
        </w:rPr>
        <w:t>the ones that most</w:t>
      </w:r>
      <w:r w:rsidRPr="00CD7B6F">
        <w:rPr>
          <w:b w:val="0"/>
          <w:lang w:val="en-US"/>
        </w:rPr>
        <w:t xml:space="preserve"> intensified the soluble solids </w:t>
      </w:r>
      <w:r w:rsidR="00D04568">
        <w:rPr>
          <w:b w:val="0"/>
          <w:lang w:val="en-US"/>
        </w:rPr>
        <w:t xml:space="preserve">content </w:t>
      </w:r>
      <w:r w:rsidRPr="00CD7B6F">
        <w:rPr>
          <w:b w:val="0"/>
          <w:lang w:val="en-US"/>
        </w:rPr>
        <w:t>without significantly affecting the agronomic development of the crop.</w:t>
      </w:r>
    </w:p>
    <w:p w14:paraId="77B976E5" w14:textId="72104E47" w:rsidR="00600535" w:rsidRPr="0077360F" w:rsidRDefault="00600535" w:rsidP="00487073">
      <w:pPr>
        <w:pStyle w:val="CETHeading1"/>
      </w:pPr>
      <w:r w:rsidRPr="0077360F">
        <w:t>Acknowledgments</w:t>
      </w:r>
    </w:p>
    <w:p w14:paraId="70719360" w14:textId="0CA36602" w:rsidR="007D6622" w:rsidRDefault="007D6622" w:rsidP="007D6622">
      <w:pPr>
        <w:pStyle w:val="CETBodytext"/>
      </w:pPr>
      <w:r w:rsidRPr="007D6622">
        <w:t>T</w:t>
      </w:r>
      <w:r w:rsidR="0000512E">
        <w:t>o t</w:t>
      </w:r>
      <w:r w:rsidRPr="007D6622">
        <w:t xml:space="preserve">he </w:t>
      </w:r>
      <w:proofErr w:type="spellStart"/>
      <w:r w:rsidRPr="007D6622">
        <w:t>Goias</w:t>
      </w:r>
      <w:proofErr w:type="spellEnd"/>
      <w:r w:rsidRPr="007D6622">
        <w:t xml:space="preserve"> Research Support Foundation -</w:t>
      </w:r>
      <w:r w:rsidR="0000512E">
        <w:t xml:space="preserve"> </w:t>
      </w:r>
      <w:r w:rsidRPr="007D6622">
        <w:t xml:space="preserve">FAPEG, </w:t>
      </w:r>
      <w:r w:rsidR="0000512E">
        <w:t xml:space="preserve">for the </w:t>
      </w:r>
      <w:r w:rsidRPr="007D6622">
        <w:t xml:space="preserve">financial support for </w:t>
      </w:r>
      <w:r w:rsidR="00060235">
        <w:t>this research</w:t>
      </w:r>
      <w:r w:rsidRPr="007D6622">
        <w:t>. T</w:t>
      </w:r>
      <w:r w:rsidR="005F2BC9">
        <w:t>o</w:t>
      </w:r>
      <w:r w:rsidRPr="007D6622">
        <w:t xml:space="preserve"> VIVAT, for the donation of seedlings of N-901 tomato. </w:t>
      </w:r>
      <w:r w:rsidR="00C06FD0" w:rsidRPr="00C06FD0">
        <w:t xml:space="preserve">To the Federal Institute </w:t>
      </w:r>
      <w:proofErr w:type="spellStart"/>
      <w:r w:rsidR="00C06FD0" w:rsidRPr="00C06FD0">
        <w:t>Goiano</w:t>
      </w:r>
      <w:proofErr w:type="spellEnd"/>
      <w:r w:rsidR="00C06FD0" w:rsidRPr="00C06FD0">
        <w:t xml:space="preserve"> and the Federal University of </w:t>
      </w:r>
      <w:proofErr w:type="spellStart"/>
      <w:r w:rsidR="00C06FD0" w:rsidRPr="00C06FD0">
        <w:t>Goias</w:t>
      </w:r>
      <w:proofErr w:type="spellEnd"/>
      <w:r w:rsidR="00C06FD0" w:rsidRPr="00C06FD0">
        <w:t>, for the support in the development of the research.</w:t>
      </w:r>
    </w:p>
    <w:p w14:paraId="755C2679" w14:textId="77777777" w:rsidR="00600535" w:rsidRPr="00B4300C" w:rsidRDefault="00600535" w:rsidP="00600535">
      <w:pPr>
        <w:pStyle w:val="CETReference"/>
        <w:rPr>
          <w:lang w:val="en-US"/>
        </w:rPr>
      </w:pPr>
      <w:r w:rsidRPr="00B4300C">
        <w:rPr>
          <w:lang w:val="en-US"/>
        </w:rPr>
        <w:t>References</w:t>
      </w:r>
    </w:p>
    <w:p w14:paraId="160DC399" w14:textId="58CE0FC3" w:rsidR="0094547E" w:rsidRDefault="0094547E" w:rsidP="0094547E">
      <w:pPr>
        <w:pStyle w:val="CETReferencetext"/>
        <w:rPr>
          <w:lang w:val="en-US"/>
        </w:rPr>
      </w:pPr>
      <w:r w:rsidRPr="0094547E">
        <w:rPr>
          <w:lang w:val="en-US"/>
        </w:rPr>
        <w:t xml:space="preserve">Albert, E., Segura, V., </w:t>
      </w:r>
      <w:proofErr w:type="spellStart"/>
      <w:r w:rsidRPr="0094547E">
        <w:rPr>
          <w:lang w:val="en-US"/>
        </w:rPr>
        <w:t>Gricourt</w:t>
      </w:r>
      <w:proofErr w:type="spellEnd"/>
      <w:r w:rsidRPr="0094547E">
        <w:rPr>
          <w:lang w:val="en-US"/>
        </w:rPr>
        <w:t xml:space="preserve">, J., </w:t>
      </w:r>
      <w:proofErr w:type="spellStart"/>
      <w:r w:rsidRPr="0094547E">
        <w:rPr>
          <w:lang w:val="en-US"/>
        </w:rPr>
        <w:t>Bonnefoi</w:t>
      </w:r>
      <w:proofErr w:type="spellEnd"/>
      <w:r w:rsidRPr="0094547E">
        <w:rPr>
          <w:lang w:val="en-US"/>
        </w:rPr>
        <w:t xml:space="preserve">, J., </w:t>
      </w:r>
      <w:proofErr w:type="spellStart"/>
      <w:r w:rsidRPr="0094547E">
        <w:rPr>
          <w:lang w:val="en-US"/>
        </w:rPr>
        <w:t>Derivot</w:t>
      </w:r>
      <w:proofErr w:type="spellEnd"/>
      <w:r w:rsidRPr="0094547E">
        <w:rPr>
          <w:lang w:val="en-US"/>
        </w:rPr>
        <w:t xml:space="preserve">, L., </w:t>
      </w:r>
      <w:proofErr w:type="spellStart"/>
      <w:r w:rsidRPr="0094547E">
        <w:rPr>
          <w:lang w:val="en-US"/>
        </w:rPr>
        <w:t>Causse</w:t>
      </w:r>
      <w:proofErr w:type="spellEnd"/>
      <w:r w:rsidRPr="0094547E">
        <w:rPr>
          <w:lang w:val="en-US"/>
        </w:rPr>
        <w:t>, M.</w:t>
      </w:r>
      <w:r>
        <w:rPr>
          <w:lang w:val="en-US"/>
        </w:rPr>
        <w:t xml:space="preserve">, </w:t>
      </w:r>
      <w:r w:rsidRPr="0094547E">
        <w:rPr>
          <w:lang w:val="en-US"/>
        </w:rPr>
        <w:t>2016</w:t>
      </w:r>
      <w:r>
        <w:rPr>
          <w:lang w:val="en-US"/>
        </w:rPr>
        <w:t>,</w:t>
      </w:r>
      <w:r w:rsidRPr="0094547E">
        <w:rPr>
          <w:lang w:val="en-US"/>
        </w:rPr>
        <w:t xml:space="preserve"> Association mapping reveals the genetic architecture of tomato response to water deficit: focus on major fruit quality traits. Journal of Experimental Botany, 67, 6413–6430. </w:t>
      </w:r>
    </w:p>
    <w:p w14:paraId="21D3FF71" w14:textId="74F27F62" w:rsidR="00B4300C" w:rsidRDefault="00B4300C" w:rsidP="00D301DA">
      <w:pPr>
        <w:pStyle w:val="CETReferencetext"/>
        <w:rPr>
          <w:lang w:val="en-US"/>
        </w:rPr>
      </w:pPr>
      <w:r w:rsidRPr="00B4300C">
        <w:rPr>
          <w:lang w:val="en-US"/>
        </w:rPr>
        <w:t>Al-</w:t>
      </w:r>
      <w:proofErr w:type="spellStart"/>
      <w:r w:rsidRPr="00B4300C">
        <w:rPr>
          <w:lang w:val="en-US"/>
        </w:rPr>
        <w:t>Yahyai</w:t>
      </w:r>
      <w:proofErr w:type="spellEnd"/>
      <w:r w:rsidRPr="00B4300C">
        <w:rPr>
          <w:lang w:val="en-US"/>
        </w:rPr>
        <w:t>, R. S., Al-</w:t>
      </w:r>
      <w:proofErr w:type="spellStart"/>
      <w:r w:rsidRPr="00B4300C">
        <w:rPr>
          <w:lang w:val="en-US"/>
        </w:rPr>
        <w:t>Ismaily</w:t>
      </w:r>
      <w:proofErr w:type="spellEnd"/>
      <w:r w:rsidRPr="00B4300C">
        <w:rPr>
          <w:lang w:val="en-US"/>
        </w:rPr>
        <w:t xml:space="preserve"> A., Al-</w:t>
      </w:r>
      <w:proofErr w:type="spellStart"/>
      <w:r w:rsidRPr="00B4300C">
        <w:rPr>
          <w:lang w:val="en-US"/>
        </w:rPr>
        <w:t>Rawahy</w:t>
      </w:r>
      <w:proofErr w:type="spellEnd"/>
      <w:r w:rsidRPr="00B4300C">
        <w:rPr>
          <w:lang w:val="en-US"/>
        </w:rPr>
        <w:t>.</w:t>
      </w:r>
      <w:r>
        <w:rPr>
          <w:lang w:val="en-US"/>
        </w:rPr>
        <w:t xml:space="preserve">, </w:t>
      </w:r>
      <w:r w:rsidRPr="00B4300C">
        <w:rPr>
          <w:lang w:val="en-US"/>
        </w:rPr>
        <w:t>2010</w:t>
      </w:r>
      <w:r>
        <w:rPr>
          <w:lang w:val="en-US"/>
        </w:rPr>
        <w:t>,</w:t>
      </w:r>
      <w:r w:rsidRPr="00B4300C">
        <w:rPr>
          <w:lang w:val="en-US"/>
        </w:rPr>
        <w:t xml:space="preserve"> Growing Tomatoes under Saline Field Conditions and the Role of Fertilizers, Monograph, Sultan Qaboos University, Sultanate of Oman.</w:t>
      </w:r>
    </w:p>
    <w:p w14:paraId="6F25DF16" w14:textId="4F4715B0" w:rsidR="00F7175B" w:rsidRPr="009C5827" w:rsidRDefault="00F7175B" w:rsidP="00D301DA">
      <w:pPr>
        <w:pStyle w:val="CETReferencetext"/>
        <w:rPr>
          <w:lang w:val="pt-BR"/>
        </w:rPr>
      </w:pPr>
      <w:r w:rsidRPr="006A6F06">
        <w:t>AOAC</w:t>
      </w:r>
      <w:r w:rsidR="00725522" w:rsidRPr="006A6F06">
        <w:t xml:space="preserve">, </w:t>
      </w:r>
      <w:r w:rsidRPr="006A6F06">
        <w:t>1997</w:t>
      </w:r>
      <w:r w:rsidR="00725522" w:rsidRPr="006A6F06">
        <w:t>,</w:t>
      </w:r>
      <w:r w:rsidRPr="006A6F06">
        <w:t xml:space="preserve"> Official </w:t>
      </w:r>
      <w:r w:rsidR="00E172D6" w:rsidRPr="006A6F06">
        <w:t>M</w:t>
      </w:r>
      <w:r w:rsidRPr="006A6F06">
        <w:t xml:space="preserve">ethods of </w:t>
      </w:r>
      <w:r w:rsidR="00E172D6" w:rsidRPr="006A6F06">
        <w:t>A</w:t>
      </w:r>
      <w:r w:rsidRPr="006A6F06">
        <w:t xml:space="preserve">nalysis of the Association of Analytical Chemists International. </w:t>
      </w:r>
      <w:r w:rsidRPr="009C5827">
        <w:rPr>
          <w:lang w:val="pt-BR"/>
        </w:rPr>
        <w:t xml:space="preserve">16th. ed. Washington: AOAC, </w:t>
      </w:r>
      <w:proofErr w:type="spellStart"/>
      <w:r w:rsidR="00E172D6" w:rsidRPr="009C5827">
        <w:rPr>
          <w:lang w:val="pt-BR"/>
        </w:rPr>
        <w:t>Vol</w:t>
      </w:r>
      <w:proofErr w:type="spellEnd"/>
      <w:r w:rsidR="00E172D6" w:rsidRPr="009C5827">
        <w:rPr>
          <w:lang w:val="pt-BR"/>
        </w:rPr>
        <w:t xml:space="preserve"> </w:t>
      </w:r>
      <w:r w:rsidRPr="009C5827">
        <w:rPr>
          <w:lang w:val="pt-BR"/>
        </w:rPr>
        <w:t>2.</w:t>
      </w:r>
    </w:p>
    <w:p w14:paraId="67330346" w14:textId="0C46F755" w:rsidR="00F7175B" w:rsidRPr="006A6F06" w:rsidRDefault="00F7175B" w:rsidP="00D301DA">
      <w:pPr>
        <w:pStyle w:val="CETReferencetext"/>
      </w:pPr>
      <w:proofErr w:type="spellStart"/>
      <w:r w:rsidRPr="009C5827">
        <w:rPr>
          <w:lang w:val="pt-BR"/>
        </w:rPr>
        <w:t>C</w:t>
      </w:r>
      <w:r w:rsidR="008609B7" w:rsidRPr="009C5827">
        <w:rPr>
          <w:lang w:val="pt-BR"/>
        </w:rPr>
        <w:t>albo</w:t>
      </w:r>
      <w:proofErr w:type="spellEnd"/>
      <w:r w:rsidRPr="009C5827">
        <w:rPr>
          <w:lang w:val="pt-BR"/>
        </w:rPr>
        <w:t>, A.G.</w:t>
      </w:r>
      <w:r w:rsidR="008609B7" w:rsidRPr="009C5827">
        <w:rPr>
          <w:lang w:val="pt-BR"/>
        </w:rPr>
        <w:t>,</w:t>
      </w:r>
      <w:r w:rsidRPr="009C5827">
        <w:rPr>
          <w:lang w:val="pt-BR"/>
        </w:rPr>
        <w:t xml:space="preserve"> N</w:t>
      </w:r>
      <w:r w:rsidR="008609B7" w:rsidRPr="009C5827">
        <w:rPr>
          <w:lang w:val="pt-BR"/>
        </w:rPr>
        <w:t>ery</w:t>
      </w:r>
      <w:r w:rsidRPr="009C5827">
        <w:rPr>
          <w:lang w:val="pt-BR"/>
        </w:rPr>
        <w:t>, A.A.</w:t>
      </w:r>
      <w:r w:rsidR="008609B7" w:rsidRPr="009C5827">
        <w:rPr>
          <w:lang w:val="pt-BR"/>
        </w:rPr>
        <w:t>, 1995,</w:t>
      </w:r>
      <w:r w:rsidRPr="009C5827">
        <w:rPr>
          <w:lang w:val="pt-BR"/>
        </w:rPr>
        <w:t xml:space="preserve"> Medida de firmeza em hortaliças pela técnica de aplanação. </w:t>
      </w:r>
      <w:proofErr w:type="spellStart"/>
      <w:r w:rsidRPr="006A6F06">
        <w:t>Horticultura</w:t>
      </w:r>
      <w:proofErr w:type="spellEnd"/>
      <w:r w:rsidRPr="006A6F06">
        <w:t xml:space="preserve"> </w:t>
      </w:r>
      <w:proofErr w:type="spellStart"/>
      <w:r w:rsidRPr="006A6F06">
        <w:t>Brasileira</w:t>
      </w:r>
      <w:proofErr w:type="spellEnd"/>
      <w:r w:rsidRPr="006A6F06">
        <w:t>, Brasília, 3, 14-18.</w:t>
      </w:r>
    </w:p>
    <w:p w14:paraId="2B117923" w14:textId="7BA4C205" w:rsidR="00F7175B" w:rsidRPr="006A6F06" w:rsidRDefault="00F7175B" w:rsidP="00D301DA">
      <w:pPr>
        <w:pStyle w:val="CETReferencetext"/>
      </w:pPr>
      <w:r w:rsidRPr="006A6F06">
        <w:t xml:space="preserve">Cantore, V., </w:t>
      </w:r>
      <w:proofErr w:type="spellStart"/>
      <w:r w:rsidRPr="006A6F06">
        <w:t>Lechkar</w:t>
      </w:r>
      <w:proofErr w:type="spellEnd"/>
      <w:r w:rsidRPr="006A6F06">
        <w:t xml:space="preserve">, O., </w:t>
      </w:r>
      <w:proofErr w:type="spellStart"/>
      <w:r w:rsidRPr="006A6F06">
        <w:t>Karabulut</w:t>
      </w:r>
      <w:proofErr w:type="spellEnd"/>
      <w:r w:rsidRPr="006A6F06">
        <w:t xml:space="preserve">, E., </w:t>
      </w:r>
      <w:proofErr w:type="spellStart"/>
      <w:r w:rsidRPr="006A6F06">
        <w:t>Sellami</w:t>
      </w:r>
      <w:proofErr w:type="spellEnd"/>
      <w:r w:rsidRPr="006A6F06">
        <w:t xml:space="preserve">, M. H., </w:t>
      </w:r>
      <w:proofErr w:type="spellStart"/>
      <w:r w:rsidRPr="006A6F06">
        <w:t>Albrizio</w:t>
      </w:r>
      <w:proofErr w:type="spellEnd"/>
      <w:r w:rsidRPr="006A6F06">
        <w:t xml:space="preserve">, R., </w:t>
      </w:r>
      <w:proofErr w:type="spellStart"/>
      <w:r w:rsidRPr="006A6F06">
        <w:t>Boari</w:t>
      </w:r>
      <w:proofErr w:type="spellEnd"/>
      <w:r w:rsidRPr="006A6F06">
        <w:t>, F., 2016</w:t>
      </w:r>
      <w:r w:rsidR="009B72BB" w:rsidRPr="006A6F06">
        <w:t>,</w:t>
      </w:r>
      <w:r w:rsidRPr="006A6F06">
        <w:t xml:space="preserve"> Combined effect of deficit irrigation and strobilurin application on yield, fruit quality and water use efficiency of “cherry” tomato (</w:t>
      </w:r>
      <w:r w:rsidRPr="00843EF1">
        <w:rPr>
          <w:i/>
        </w:rPr>
        <w:t xml:space="preserve">Solanum </w:t>
      </w:r>
      <w:proofErr w:type="spellStart"/>
      <w:r w:rsidRPr="00843EF1">
        <w:rPr>
          <w:i/>
        </w:rPr>
        <w:t>lycopersicum</w:t>
      </w:r>
      <w:proofErr w:type="spellEnd"/>
      <w:r w:rsidRPr="00843EF1">
        <w:rPr>
          <w:i/>
        </w:rPr>
        <w:t xml:space="preserve"> L.</w:t>
      </w:r>
      <w:r w:rsidRPr="006A6F06">
        <w:t>)</w:t>
      </w:r>
      <w:r w:rsidR="009B72BB" w:rsidRPr="006A6F06">
        <w:t>,</w:t>
      </w:r>
      <w:r w:rsidRPr="006A6F06">
        <w:t xml:space="preserve"> Agricultural Water Management, 167, 53-61. </w:t>
      </w:r>
    </w:p>
    <w:p w14:paraId="4B3BE7E7" w14:textId="00217B1B" w:rsidR="00C6334C" w:rsidRPr="00C6334C" w:rsidRDefault="00C6334C" w:rsidP="0043552F">
      <w:pPr>
        <w:pStyle w:val="CETReferencetext"/>
        <w:rPr>
          <w:lang w:val="pt-BR"/>
        </w:rPr>
      </w:pPr>
      <w:r w:rsidRPr="00C6334C">
        <w:rPr>
          <w:lang w:val="pt-BR"/>
        </w:rPr>
        <w:t>Carvalho, J. F., Montenegro, A. A. D. A., Soares, T. M., Silva, Ê. F. D. F., e Montenegro, S. M. G. L.</w:t>
      </w:r>
      <w:r>
        <w:rPr>
          <w:lang w:val="pt-BR"/>
        </w:rPr>
        <w:t>,</w:t>
      </w:r>
      <w:r w:rsidRPr="00C6334C">
        <w:rPr>
          <w:lang w:val="pt-BR"/>
        </w:rPr>
        <w:t xml:space="preserve"> 2011</w:t>
      </w:r>
      <w:r>
        <w:rPr>
          <w:lang w:val="pt-BR"/>
        </w:rPr>
        <w:t>,</w:t>
      </w:r>
      <w:r w:rsidRPr="00C6334C">
        <w:rPr>
          <w:lang w:val="pt-BR"/>
        </w:rPr>
        <w:t xml:space="preserve"> Produtividade do repolho utilizando cobertura morta e diferentes intervalos de irrigação com água moderadamente salina. Revista Brasileira de Engenharia Agrícola e Ambiental, 15, 256–263.</w:t>
      </w:r>
    </w:p>
    <w:p w14:paraId="0244B74E" w14:textId="04702FF0" w:rsidR="00C10081" w:rsidRPr="008E19AD" w:rsidRDefault="00C10081" w:rsidP="0043552F">
      <w:pPr>
        <w:pStyle w:val="CETReferencetext"/>
        <w:rPr>
          <w:lang w:val="pt-BR"/>
        </w:rPr>
      </w:pPr>
      <w:proofErr w:type="spellStart"/>
      <w:r w:rsidRPr="00C10081">
        <w:rPr>
          <w:lang w:val="pt-BR"/>
        </w:rPr>
        <w:t>Dellai</w:t>
      </w:r>
      <w:proofErr w:type="spellEnd"/>
      <w:r w:rsidRPr="00C10081">
        <w:rPr>
          <w:lang w:val="pt-BR"/>
        </w:rPr>
        <w:t xml:space="preserve">, J., </w:t>
      </w:r>
      <w:proofErr w:type="spellStart"/>
      <w:r w:rsidRPr="00C10081">
        <w:rPr>
          <w:lang w:val="pt-BR"/>
        </w:rPr>
        <w:t>Trentin</w:t>
      </w:r>
      <w:proofErr w:type="spellEnd"/>
      <w:r w:rsidRPr="00C10081">
        <w:rPr>
          <w:lang w:val="pt-BR"/>
        </w:rPr>
        <w:t xml:space="preserve">, G., </w:t>
      </w:r>
      <w:proofErr w:type="spellStart"/>
      <w:r w:rsidRPr="00C10081">
        <w:rPr>
          <w:lang w:val="pt-BR"/>
        </w:rPr>
        <w:t>Bisognin</w:t>
      </w:r>
      <w:proofErr w:type="spellEnd"/>
      <w:r w:rsidRPr="00C10081">
        <w:rPr>
          <w:lang w:val="pt-BR"/>
        </w:rPr>
        <w:t xml:space="preserve">, D. A., </w:t>
      </w:r>
      <w:proofErr w:type="spellStart"/>
      <w:r w:rsidRPr="00C10081">
        <w:rPr>
          <w:lang w:val="pt-BR"/>
        </w:rPr>
        <w:t>Streck</w:t>
      </w:r>
      <w:proofErr w:type="spellEnd"/>
      <w:r w:rsidRPr="00C10081">
        <w:rPr>
          <w:lang w:val="pt-BR"/>
        </w:rPr>
        <w:t>, N. A.</w:t>
      </w:r>
      <w:r>
        <w:rPr>
          <w:lang w:val="pt-BR"/>
        </w:rPr>
        <w:t>,</w:t>
      </w:r>
      <w:r w:rsidRPr="00C10081">
        <w:rPr>
          <w:lang w:val="pt-BR"/>
        </w:rPr>
        <w:t xml:space="preserve"> 2005</w:t>
      </w:r>
      <w:r>
        <w:rPr>
          <w:lang w:val="pt-BR"/>
        </w:rPr>
        <w:t>,</w:t>
      </w:r>
      <w:r w:rsidRPr="00C10081">
        <w:rPr>
          <w:lang w:val="pt-BR"/>
        </w:rPr>
        <w:t xml:space="preserve"> </w:t>
      </w:r>
      <w:proofErr w:type="spellStart"/>
      <w:r w:rsidRPr="00C10081">
        <w:rPr>
          <w:lang w:val="pt-BR"/>
        </w:rPr>
        <w:t>Filocrono</w:t>
      </w:r>
      <w:proofErr w:type="spellEnd"/>
      <w:r w:rsidRPr="00C10081">
        <w:rPr>
          <w:lang w:val="pt-BR"/>
        </w:rPr>
        <w:t xml:space="preserve"> em diferentes densidades de plantas de batata. </w:t>
      </w:r>
      <w:r w:rsidRPr="008E19AD">
        <w:rPr>
          <w:lang w:val="pt-BR"/>
        </w:rPr>
        <w:t>Ciência Rural, 35, 1269-1274.</w:t>
      </w:r>
    </w:p>
    <w:p w14:paraId="367939FA" w14:textId="015A5A3E" w:rsidR="0043552F" w:rsidRPr="009C5827" w:rsidRDefault="0043552F" w:rsidP="0043552F">
      <w:pPr>
        <w:pStyle w:val="CETReferencetext"/>
        <w:rPr>
          <w:lang w:val="pt-BR"/>
        </w:rPr>
      </w:pPr>
      <w:r w:rsidRPr="00171580">
        <w:rPr>
          <w:lang w:val="pt-BR"/>
        </w:rPr>
        <w:lastRenderedPageBreak/>
        <w:t xml:space="preserve">Dodd, I.C., Puértolas, J., Huber, K., Gabriel Pérez-Pérez, J., Wright, H.R., Blackwell, M.S., 2015. </w:t>
      </w:r>
      <w:r w:rsidRPr="0043552F">
        <w:rPr>
          <w:lang w:val="en-US"/>
        </w:rPr>
        <w:t>The importance of soil drying and re-wetting in crop</w:t>
      </w:r>
      <w:r>
        <w:rPr>
          <w:lang w:val="en-US"/>
        </w:rPr>
        <w:t xml:space="preserve"> </w:t>
      </w:r>
      <w:r w:rsidRPr="0043552F">
        <w:rPr>
          <w:lang w:val="en-US"/>
        </w:rPr>
        <w:t xml:space="preserve">phytohormonal and nutritional responses to deficit irrigation. </w:t>
      </w:r>
      <w:proofErr w:type="spellStart"/>
      <w:r w:rsidRPr="009C5827">
        <w:rPr>
          <w:lang w:val="pt-BR"/>
        </w:rPr>
        <w:t>Journal</w:t>
      </w:r>
      <w:proofErr w:type="spellEnd"/>
      <w:r w:rsidRPr="009C5827">
        <w:rPr>
          <w:lang w:val="pt-BR"/>
        </w:rPr>
        <w:t xml:space="preserve"> </w:t>
      </w:r>
      <w:proofErr w:type="spellStart"/>
      <w:r w:rsidR="00624C2C" w:rsidRPr="009C5827">
        <w:rPr>
          <w:lang w:val="pt-BR"/>
        </w:rPr>
        <w:t>of</w:t>
      </w:r>
      <w:proofErr w:type="spellEnd"/>
      <w:r w:rsidR="00624C2C" w:rsidRPr="009C5827">
        <w:rPr>
          <w:lang w:val="pt-BR"/>
        </w:rPr>
        <w:t xml:space="preserve"> Experimental </w:t>
      </w:r>
      <w:proofErr w:type="spellStart"/>
      <w:r w:rsidR="00624C2C" w:rsidRPr="009C5827">
        <w:rPr>
          <w:lang w:val="pt-BR"/>
        </w:rPr>
        <w:t>Botany</w:t>
      </w:r>
      <w:proofErr w:type="spellEnd"/>
      <w:r w:rsidR="00624C2C" w:rsidRPr="009C5827">
        <w:rPr>
          <w:lang w:val="pt-BR"/>
        </w:rPr>
        <w:t>,</w:t>
      </w:r>
      <w:r w:rsidRPr="009C5827">
        <w:rPr>
          <w:lang w:val="pt-BR"/>
        </w:rPr>
        <w:t xml:space="preserve"> 66, 2239–2252.</w:t>
      </w:r>
    </w:p>
    <w:p w14:paraId="06B8B375" w14:textId="0D9C0BB1" w:rsidR="00F7175B" w:rsidRPr="00AA3D6F" w:rsidRDefault="00F7175B" w:rsidP="00D301DA">
      <w:pPr>
        <w:pStyle w:val="CETReferencetext"/>
        <w:rPr>
          <w:lang w:val="pt-BR"/>
        </w:rPr>
      </w:pPr>
      <w:r w:rsidRPr="00AA3D6F">
        <w:rPr>
          <w:lang w:val="pt-BR"/>
        </w:rPr>
        <w:t>Ferreira, D. F.</w:t>
      </w:r>
      <w:r w:rsidR="009B72BB" w:rsidRPr="00AA3D6F">
        <w:rPr>
          <w:lang w:val="pt-BR"/>
        </w:rPr>
        <w:t xml:space="preserve">, </w:t>
      </w:r>
      <w:r w:rsidRPr="00AA3D6F">
        <w:rPr>
          <w:lang w:val="pt-BR"/>
        </w:rPr>
        <w:t>2011</w:t>
      </w:r>
      <w:r w:rsidR="009B72BB" w:rsidRPr="00AA3D6F">
        <w:rPr>
          <w:lang w:val="pt-BR"/>
        </w:rPr>
        <w:t>,</w:t>
      </w:r>
      <w:r w:rsidRPr="00AA3D6F">
        <w:rPr>
          <w:lang w:val="pt-BR"/>
        </w:rPr>
        <w:t xml:space="preserve"> </w:t>
      </w:r>
      <w:proofErr w:type="spellStart"/>
      <w:r w:rsidRPr="00AA3D6F">
        <w:rPr>
          <w:lang w:val="pt-BR"/>
        </w:rPr>
        <w:t>Sisvar</w:t>
      </w:r>
      <w:proofErr w:type="spellEnd"/>
      <w:r w:rsidRPr="00AA3D6F">
        <w:rPr>
          <w:lang w:val="pt-BR"/>
        </w:rPr>
        <w:t xml:space="preserve">: A </w:t>
      </w:r>
      <w:proofErr w:type="spellStart"/>
      <w:r w:rsidR="00A64533" w:rsidRPr="00AA3D6F">
        <w:rPr>
          <w:lang w:val="pt-BR"/>
        </w:rPr>
        <w:t>c</w:t>
      </w:r>
      <w:r w:rsidRPr="00AA3D6F">
        <w:rPr>
          <w:lang w:val="pt-BR"/>
        </w:rPr>
        <w:t>omputer</w:t>
      </w:r>
      <w:proofErr w:type="spellEnd"/>
      <w:r w:rsidRPr="00AA3D6F">
        <w:rPr>
          <w:lang w:val="pt-BR"/>
        </w:rPr>
        <w:t xml:space="preserve"> </w:t>
      </w:r>
      <w:proofErr w:type="spellStart"/>
      <w:r w:rsidR="00A64533" w:rsidRPr="00AA3D6F">
        <w:rPr>
          <w:lang w:val="pt-BR"/>
        </w:rPr>
        <w:t>s</w:t>
      </w:r>
      <w:r w:rsidRPr="00AA3D6F">
        <w:rPr>
          <w:lang w:val="pt-BR"/>
        </w:rPr>
        <w:t>tatistical</w:t>
      </w:r>
      <w:proofErr w:type="spellEnd"/>
      <w:r w:rsidRPr="00AA3D6F">
        <w:rPr>
          <w:lang w:val="pt-BR"/>
        </w:rPr>
        <w:t xml:space="preserve"> </w:t>
      </w:r>
      <w:proofErr w:type="spellStart"/>
      <w:r w:rsidR="00A64533" w:rsidRPr="00AA3D6F">
        <w:rPr>
          <w:lang w:val="pt-BR"/>
        </w:rPr>
        <w:t>a</w:t>
      </w:r>
      <w:r w:rsidRPr="00AA3D6F">
        <w:rPr>
          <w:lang w:val="pt-BR"/>
        </w:rPr>
        <w:t>nalysis</w:t>
      </w:r>
      <w:proofErr w:type="spellEnd"/>
      <w:r w:rsidRPr="00AA3D6F">
        <w:rPr>
          <w:lang w:val="pt-BR"/>
        </w:rPr>
        <w:t xml:space="preserve"> </w:t>
      </w:r>
      <w:r w:rsidR="00A64533" w:rsidRPr="00AA3D6F">
        <w:rPr>
          <w:lang w:val="pt-BR"/>
        </w:rPr>
        <w:t>s</w:t>
      </w:r>
      <w:r w:rsidRPr="00AA3D6F">
        <w:rPr>
          <w:lang w:val="pt-BR"/>
        </w:rPr>
        <w:t>ystem</w:t>
      </w:r>
      <w:r w:rsidR="00A64533" w:rsidRPr="00AA3D6F">
        <w:rPr>
          <w:lang w:val="pt-BR"/>
        </w:rPr>
        <w:t>,</w:t>
      </w:r>
      <w:r w:rsidRPr="00AA3D6F">
        <w:rPr>
          <w:lang w:val="pt-BR"/>
        </w:rPr>
        <w:t xml:space="preserve"> Ciência e </w:t>
      </w:r>
      <w:proofErr w:type="spellStart"/>
      <w:r w:rsidRPr="00AA3D6F">
        <w:rPr>
          <w:lang w:val="pt-BR"/>
        </w:rPr>
        <w:t>Agrotecnologia</w:t>
      </w:r>
      <w:proofErr w:type="spellEnd"/>
      <w:r w:rsidRPr="00AA3D6F">
        <w:rPr>
          <w:lang w:val="pt-BR"/>
        </w:rPr>
        <w:t>, Lavras, 35, n. 6,</w:t>
      </w:r>
      <w:r w:rsidR="00E64BBE" w:rsidRPr="00AA3D6F">
        <w:rPr>
          <w:lang w:val="pt-BR"/>
        </w:rPr>
        <w:t xml:space="preserve"> </w:t>
      </w:r>
      <w:r w:rsidRPr="00AA3D6F">
        <w:rPr>
          <w:lang w:val="pt-BR"/>
        </w:rPr>
        <w:t xml:space="preserve">1039-1042. </w:t>
      </w:r>
    </w:p>
    <w:p w14:paraId="330E61F1" w14:textId="3DD7E988" w:rsidR="00F7175B" w:rsidRPr="006A6F06" w:rsidRDefault="00F7175B" w:rsidP="00D301DA">
      <w:pPr>
        <w:pStyle w:val="CETReferencetext"/>
      </w:pPr>
      <w:r w:rsidRPr="009C5827">
        <w:rPr>
          <w:lang w:val="pt-BR"/>
        </w:rPr>
        <w:t xml:space="preserve">IBGE - Instituto Brasileiro de Geografia e Estatística. Levantamento </w:t>
      </w:r>
      <w:r w:rsidR="00E64BBE" w:rsidRPr="009C5827">
        <w:rPr>
          <w:lang w:val="pt-BR"/>
        </w:rPr>
        <w:t>s</w:t>
      </w:r>
      <w:r w:rsidRPr="009C5827">
        <w:rPr>
          <w:lang w:val="pt-BR"/>
        </w:rPr>
        <w:t xml:space="preserve">istemático da </w:t>
      </w:r>
      <w:r w:rsidR="00E64BBE" w:rsidRPr="009C5827">
        <w:rPr>
          <w:lang w:val="pt-BR"/>
        </w:rPr>
        <w:t>p</w:t>
      </w:r>
      <w:r w:rsidRPr="009C5827">
        <w:rPr>
          <w:lang w:val="pt-BR"/>
        </w:rPr>
        <w:t xml:space="preserve">rodução </w:t>
      </w:r>
      <w:r w:rsidR="00E64BBE" w:rsidRPr="009C5827">
        <w:rPr>
          <w:lang w:val="pt-BR"/>
        </w:rPr>
        <w:t>a</w:t>
      </w:r>
      <w:r w:rsidRPr="009C5827">
        <w:rPr>
          <w:lang w:val="pt-BR"/>
        </w:rPr>
        <w:t xml:space="preserve">grícola - LSPA. </w:t>
      </w:r>
      <w:proofErr w:type="spellStart"/>
      <w:r w:rsidRPr="006A6F06">
        <w:t>Epub</w:t>
      </w:r>
      <w:proofErr w:type="spellEnd"/>
      <w:r w:rsidRPr="006A6F06">
        <w:t xml:space="preserve"> ahead of print 2017.</w:t>
      </w:r>
    </w:p>
    <w:p w14:paraId="4B0D23D8" w14:textId="54505460" w:rsidR="00F766B5" w:rsidRDefault="00F766B5" w:rsidP="00D301DA">
      <w:pPr>
        <w:pStyle w:val="CETReferencetext"/>
      </w:pPr>
      <w:proofErr w:type="spellStart"/>
      <w:r w:rsidRPr="00F766B5">
        <w:t>Kӧgler</w:t>
      </w:r>
      <w:proofErr w:type="spellEnd"/>
      <w:r w:rsidR="00FE6531">
        <w:t>, F.,</w:t>
      </w:r>
      <w:r w:rsidRPr="00F766B5">
        <w:t xml:space="preserve"> </w:t>
      </w:r>
      <w:proofErr w:type="spellStart"/>
      <w:r w:rsidRPr="00F766B5">
        <w:t>Sӧffker</w:t>
      </w:r>
      <w:proofErr w:type="spellEnd"/>
      <w:r w:rsidR="00FE6531">
        <w:t>, D.,</w:t>
      </w:r>
      <w:r w:rsidRPr="00F766B5">
        <w:t xml:space="preserve"> 2017</w:t>
      </w:r>
      <w:r w:rsidR="00FE6531">
        <w:t>, Water (stress) models and deficit irrigation:</w:t>
      </w:r>
      <w:r w:rsidR="00AD05D7">
        <w:t xml:space="preserve"> System-theoretical description and causality mapping, </w:t>
      </w:r>
      <w:r w:rsidR="000B7747">
        <w:t>Ecological Mode</w:t>
      </w:r>
      <w:r w:rsidR="00CC542C">
        <w:t>l</w:t>
      </w:r>
      <w:r w:rsidR="000B7747">
        <w:t>ling, 361, 135-156.</w:t>
      </w:r>
    </w:p>
    <w:p w14:paraId="44F6AE9A" w14:textId="38F40316" w:rsidR="00C04D40" w:rsidRDefault="00C04D40" w:rsidP="00D301DA">
      <w:pPr>
        <w:pStyle w:val="CETReferencetext"/>
      </w:pPr>
      <w:r w:rsidRPr="00C04D40">
        <w:rPr>
          <w:lang w:val="en-US"/>
        </w:rPr>
        <w:t xml:space="preserve">Machado, R. M. A., &amp; Oliveira, M. D. R. G., 2005, </w:t>
      </w:r>
      <w:r w:rsidRPr="00C04D40">
        <w:t>Tomato root distribution, yield and fruit quality under different subsurface drip irrigation regimes and depths. Irrigation Science, 24, 15–24.</w:t>
      </w:r>
    </w:p>
    <w:p w14:paraId="5D22B0D1" w14:textId="018AA307" w:rsidR="00F7175B" w:rsidRPr="006A6F06" w:rsidRDefault="00F7175B" w:rsidP="00D301DA">
      <w:pPr>
        <w:pStyle w:val="CETReferencetext"/>
      </w:pPr>
      <w:r w:rsidRPr="006A6F06">
        <w:t>Marouelli, W. A., Silva, W. L. C.</w:t>
      </w:r>
      <w:r w:rsidR="00E64BBE" w:rsidRPr="006A6F06">
        <w:t>,</w:t>
      </w:r>
      <w:r w:rsidRPr="006A6F06">
        <w:t xml:space="preserve"> 2007</w:t>
      </w:r>
      <w:r w:rsidR="005566AD" w:rsidRPr="006A6F06">
        <w:t>,</w:t>
      </w:r>
      <w:r w:rsidRPr="006A6F06">
        <w:t xml:space="preserve"> Water tension thresholds for processing tomatoes under drip irrigation in Central Brazil. Irrig</w:t>
      </w:r>
      <w:r w:rsidR="005566AD" w:rsidRPr="006A6F06">
        <w:t>ation</w:t>
      </w:r>
      <w:r w:rsidRPr="006A6F06">
        <w:t xml:space="preserve"> </w:t>
      </w:r>
      <w:r w:rsidR="005566AD" w:rsidRPr="006A6F06">
        <w:t>Science,</w:t>
      </w:r>
      <w:r w:rsidRPr="006A6F06">
        <w:t xml:space="preserve"> 25, 411–418. </w:t>
      </w:r>
    </w:p>
    <w:p w14:paraId="5D2CDD72" w14:textId="2FDD1712" w:rsidR="008451E1" w:rsidRDefault="008451E1" w:rsidP="00D301DA">
      <w:pPr>
        <w:pStyle w:val="CETReferencetext"/>
        <w:rPr>
          <w:lang w:val="pt-BR"/>
        </w:rPr>
      </w:pPr>
      <w:proofErr w:type="spellStart"/>
      <w:r w:rsidRPr="008451E1">
        <w:rPr>
          <w:lang w:val="en-US"/>
        </w:rPr>
        <w:t>Nangare</w:t>
      </w:r>
      <w:proofErr w:type="spellEnd"/>
      <w:r w:rsidRPr="008451E1">
        <w:rPr>
          <w:lang w:val="en-US"/>
        </w:rPr>
        <w:t xml:space="preserve">, D. D., Singh, Y., </w:t>
      </w:r>
      <w:proofErr w:type="spellStart"/>
      <w:r w:rsidRPr="008451E1">
        <w:rPr>
          <w:lang w:val="en-US"/>
        </w:rPr>
        <w:t>Kumary</w:t>
      </w:r>
      <w:proofErr w:type="spellEnd"/>
      <w:r w:rsidRPr="008451E1">
        <w:rPr>
          <w:lang w:val="en-US"/>
        </w:rPr>
        <w:t>, P. S., Minhas, P. S., 2016, Growth, fruit yield and quality of tomato (</w:t>
      </w:r>
      <w:proofErr w:type="spellStart"/>
      <w:r w:rsidRPr="00CC752C">
        <w:rPr>
          <w:i/>
          <w:lang w:val="en-US"/>
        </w:rPr>
        <w:t>Lycopersicon</w:t>
      </w:r>
      <w:proofErr w:type="spellEnd"/>
      <w:r w:rsidRPr="00CC752C">
        <w:rPr>
          <w:i/>
          <w:lang w:val="en-US"/>
        </w:rPr>
        <w:t xml:space="preserve"> </w:t>
      </w:r>
      <w:proofErr w:type="spellStart"/>
      <w:r w:rsidR="00CC752C">
        <w:rPr>
          <w:i/>
          <w:lang w:val="en-US"/>
        </w:rPr>
        <w:t>E</w:t>
      </w:r>
      <w:r w:rsidRPr="00CC752C">
        <w:rPr>
          <w:i/>
          <w:lang w:val="en-US"/>
        </w:rPr>
        <w:t>sculentum</w:t>
      </w:r>
      <w:proofErr w:type="spellEnd"/>
      <w:r w:rsidR="00CC752C">
        <w:rPr>
          <w:i/>
          <w:lang w:val="en-US"/>
        </w:rPr>
        <w:t xml:space="preserve"> </w:t>
      </w:r>
      <w:r w:rsidRPr="00CC752C">
        <w:rPr>
          <w:i/>
          <w:lang w:val="en-US"/>
        </w:rPr>
        <w:t>Mill</w:t>
      </w:r>
      <w:r w:rsidRPr="008451E1">
        <w:rPr>
          <w:lang w:val="en-US"/>
        </w:rPr>
        <w:t xml:space="preserve">.) as affected by deficit irrigation regulated on phenological basis. </w:t>
      </w:r>
      <w:proofErr w:type="spellStart"/>
      <w:r w:rsidRPr="008451E1">
        <w:rPr>
          <w:lang w:val="pt-BR"/>
        </w:rPr>
        <w:t>Agricultural</w:t>
      </w:r>
      <w:proofErr w:type="spellEnd"/>
      <w:r w:rsidRPr="008451E1">
        <w:rPr>
          <w:lang w:val="pt-BR"/>
        </w:rPr>
        <w:t xml:space="preserve"> </w:t>
      </w:r>
      <w:proofErr w:type="spellStart"/>
      <w:r w:rsidRPr="008451E1">
        <w:rPr>
          <w:lang w:val="pt-BR"/>
        </w:rPr>
        <w:t>Water</w:t>
      </w:r>
      <w:proofErr w:type="spellEnd"/>
      <w:r w:rsidRPr="008451E1">
        <w:rPr>
          <w:lang w:val="pt-BR"/>
        </w:rPr>
        <w:t xml:space="preserve"> Management, Amsterdam, 171, 73-79.</w:t>
      </w:r>
    </w:p>
    <w:p w14:paraId="5F7C25E7" w14:textId="7140FFB5" w:rsidR="00911467" w:rsidRDefault="00911467" w:rsidP="00D301DA">
      <w:pPr>
        <w:pStyle w:val="CETReferencetext"/>
        <w:rPr>
          <w:lang w:val="pt-BR"/>
        </w:rPr>
      </w:pPr>
      <w:r w:rsidRPr="00911467">
        <w:rPr>
          <w:lang w:val="pt-BR"/>
        </w:rPr>
        <w:t xml:space="preserve">Paula, J. T., Resende, J. T. V., Faria, M. V., </w:t>
      </w:r>
      <w:proofErr w:type="spellStart"/>
      <w:r w:rsidRPr="00911467">
        <w:rPr>
          <w:lang w:val="pt-BR"/>
        </w:rPr>
        <w:t>FIgueiredo</w:t>
      </w:r>
      <w:proofErr w:type="spellEnd"/>
      <w:r w:rsidRPr="00911467">
        <w:rPr>
          <w:lang w:val="pt-BR"/>
        </w:rPr>
        <w:t>, A. S. T., Schwarz, K., NEUMANN, E. R.</w:t>
      </w:r>
      <w:r>
        <w:rPr>
          <w:lang w:val="pt-BR"/>
        </w:rPr>
        <w:t>,</w:t>
      </w:r>
      <w:r w:rsidRPr="00911467">
        <w:rPr>
          <w:lang w:val="pt-BR"/>
        </w:rPr>
        <w:t xml:space="preserve"> 2015</w:t>
      </w:r>
      <w:r>
        <w:rPr>
          <w:lang w:val="pt-BR"/>
        </w:rPr>
        <w:t>,</w:t>
      </w:r>
      <w:r w:rsidRPr="00911467">
        <w:rPr>
          <w:lang w:val="pt-BR"/>
        </w:rPr>
        <w:t xml:space="preserve"> Características físico-químicas e compostos bioativos em frutos de tomateiro colhidos em diferentes estádios de maturação. Horticultura Brasileira</w:t>
      </w:r>
      <w:r>
        <w:rPr>
          <w:lang w:val="pt-BR"/>
        </w:rPr>
        <w:t>,</w:t>
      </w:r>
      <w:r w:rsidRPr="00911467">
        <w:rPr>
          <w:lang w:val="pt-BR"/>
        </w:rPr>
        <w:t xml:space="preserve"> 33</w:t>
      </w:r>
      <w:r>
        <w:rPr>
          <w:lang w:val="pt-BR"/>
        </w:rPr>
        <w:t>,</w:t>
      </w:r>
      <w:r w:rsidRPr="00911467">
        <w:rPr>
          <w:lang w:val="pt-BR"/>
        </w:rPr>
        <w:t xml:space="preserve"> 434-440.</w:t>
      </w:r>
    </w:p>
    <w:p w14:paraId="7D22A749" w14:textId="5529CDC6" w:rsidR="00D16E05" w:rsidRDefault="00D16E05" w:rsidP="00D301DA">
      <w:pPr>
        <w:pStyle w:val="CETReferencetext"/>
        <w:rPr>
          <w:lang w:val="pt-BR"/>
        </w:rPr>
      </w:pPr>
      <w:r w:rsidRPr="00D16E05">
        <w:rPr>
          <w:lang w:val="pt-BR"/>
        </w:rPr>
        <w:t xml:space="preserve">Raupp, D. S., Gabriel, L. S., </w:t>
      </w:r>
      <w:proofErr w:type="spellStart"/>
      <w:r w:rsidRPr="00D16E05">
        <w:rPr>
          <w:lang w:val="pt-BR"/>
        </w:rPr>
        <w:t>Vezzaro</w:t>
      </w:r>
      <w:proofErr w:type="spellEnd"/>
      <w:r w:rsidRPr="00D16E05">
        <w:rPr>
          <w:lang w:val="pt-BR"/>
        </w:rPr>
        <w:t xml:space="preserve">, A. F., </w:t>
      </w:r>
      <w:proofErr w:type="spellStart"/>
      <w:r w:rsidRPr="00D16E05">
        <w:rPr>
          <w:lang w:val="pt-BR"/>
        </w:rPr>
        <w:t>Daros</w:t>
      </w:r>
      <w:proofErr w:type="spellEnd"/>
      <w:r w:rsidRPr="00D16E05">
        <w:rPr>
          <w:lang w:val="pt-BR"/>
        </w:rPr>
        <w:t xml:space="preserve">, P. Á., </w:t>
      </w:r>
      <w:proofErr w:type="spellStart"/>
      <w:r w:rsidRPr="00D16E05">
        <w:rPr>
          <w:lang w:val="pt-BR"/>
        </w:rPr>
        <w:t>Chrestani</w:t>
      </w:r>
      <w:proofErr w:type="spellEnd"/>
      <w:r w:rsidRPr="00D16E05">
        <w:rPr>
          <w:lang w:val="pt-BR"/>
        </w:rPr>
        <w:t xml:space="preserve">, F., </w:t>
      </w:r>
      <w:proofErr w:type="spellStart"/>
      <w:r w:rsidRPr="00D16E05">
        <w:rPr>
          <w:lang w:val="pt-BR"/>
        </w:rPr>
        <w:t>Gardingo</w:t>
      </w:r>
      <w:proofErr w:type="spellEnd"/>
      <w:r w:rsidRPr="00D16E05">
        <w:rPr>
          <w:lang w:val="pt-BR"/>
        </w:rPr>
        <w:t>, J. R., 2007</w:t>
      </w:r>
      <w:r>
        <w:rPr>
          <w:lang w:val="pt-BR"/>
        </w:rPr>
        <w:t>,</w:t>
      </w:r>
      <w:r w:rsidRPr="00D16E05">
        <w:rPr>
          <w:lang w:val="pt-BR"/>
        </w:rPr>
        <w:t xml:space="preserve"> Tomate longa vida desidratado em diferentes temperaturas de secagem. Acta </w:t>
      </w:r>
      <w:proofErr w:type="spellStart"/>
      <w:r w:rsidRPr="00D16E05">
        <w:rPr>
          <w:lang w:val="pt-BR"/>
        </w:rPr>
        <w:t>Scientiarum</w:t>
      </w:r>
      <w:proofErr w:type="spellEnd"/>
      <w:r w:rsidRPr="00D16E05">
        <w:rPr>
          <w:lang w:val="pt-BR"/>
        </w:rPr>
        <w:t xml:space="preserve">. </w:t>
      </w:r>
      <w:proofErr w:type="spellStart"/>
      <w:r w:rsidRPr="00D16E05">
        <w:rPr>
          <w:lang w:val="pt-BR"/>
        </w:rPr>
        <w:t>Agronomy</w:t>
      </w:r>
      <w:proofErr w:type="spellEnd"/>
      <w:r w:rsidRPr="00D16E05">
        <w:rPr>
          <w:lang w:val="pt-BR"/>
        </w:rPr>
        <w:t>, 29</w:t>
      </w:r>
      <w:r>
        <w:rPr>
          <w:lang w:val="pt-BR"/>
        </w:rPr>
        <w:t xml:space="preserve">, </w:t>
      </w:r>
      <w:r w:rsidRPr="00D16E05">
        <w:rPr>
          <w:lang w:val="pt-BR"/>
        </w:rPr>
        <w:t>33-39.</w:t>
      </w:r>
    </w:p>
    <w:p w14:paraId="53EAC087" w14:textId="6E66147C" w:rsidR="00565519" w:rsidRPr="00171580" w:rsidRDefault="00565519" w:rsidP="00D301DA">
      <w:pPr>
        <w:pStyle w:val="CETReferencetext"/>
        <w:rPr>
          <w:lang w:val="en-US"/>
        </w:rPr>
      </w:pPr>
      <w:r w:rsidRPr="00565519">
        <w:rPr>
          <w:lang w:val="pt-BR"/>
        </w:rPr>
        <w:t>Reis, L. S., Azevedo, C. A. V., Albuquerque, A. W., Junior, J. F. S.</w:t>
      </w:r>
      <w:r w:rsidR="00D72262">
        <w:rPr>
          <w:lang w:val="pt-BR"/>
        </w:rPr>
        <w:t>,</w:t>
      </w:r>
      <w:r w:rsidRPr="00565519">
        <w:rPr>
          <w:lang w:val="pt-BR"/>
        </w:rPr>
        <w:t xml:space="preserve"> 2013</w:t>
      </w:r>
      <w:r w:rsidR="00D72262">
        <w:rPr>
          <w:lang w:val="pt-BR"/>
        </w:rPr>
        <w:t>,</w:t>
      </w:r>
      <w:r w:rsidRPr="00565519">
        <w:rPr>
          <w:lang w:val="pt-BR"/>
        </w:rPr>
        <w:t xml:space="preserve"> Índice de área foliar e produtividade do tomate sob condições de ambiente protegido. </w:t>
      </w:r>
      <w:r w:rsidRPr="00171580">
        <w:rPr>
          <w:lang w:val="en-US"/>
        </w:rPr>
        <w:t>Revista Brasileira de Engenharia Agrícola e Ambiental</w:t>
      </w:r>
      <w:r w:rsidR="00D72262" w:rsidRPr="00171580">
        <w:rPr>
          <w:lang w:val="en-US"/>
        </w:rPr>
        <w:t>,</w:t>
      </w:r>
      <w:r w:rsidRPr="00171580">
        <w:rPr>
          <w:lang w:val="en-US"/>
        </w:rPr>
        <w:t>17,</w:t>
      </w:r>
      <w:r w:rsidR="00D72262" w:rsidRPr="00171580">
        <w:rPr>
          <w:lang w:val="en-US"/>
        </w:rPr>
        <w:t xml:space="preserve"> </w:t>
      </w:r>
      <w:r w:rsidRPr="00171580">
        <w:rPr>
          <w:lang w:val="en-US"/>
        </w:rPr>
        <w:t>386–391</w:t>
      </w:r>
      <w:r w:rsidR="00D72262" w:rsidRPr="00171580">
        <w:rPr>
          <w:lang w:val="en-US"/>
        </w:rPr>
        <w:t>.</w:t>
      </w:r>
    </w:p>
    <w:p w14:paraId="1407AAAC" w14:textId="77777777" w:rsidR="00C22FA9" w:rsidRPr="00171580" w:rsidRDefault="00C22FA9" w:rsidP="00D301DA">
      <w:pPr>
        <w:pStyle w:val="CETReferencetext"/>
        <w:rPr>
          <w:lang w:val="en-US"/>
        </w:rPr>
      </w:pPr>
      <w:r w:rsidRPr="006A6F06">
        <w:t xml:space="preserve">Richards, L.A., 1965, Physical condition of water in soil, C.A. Black., (Eds.), Method of Soil Analysis. </w:t>
      </w:r>
      <w:r w:rsidRPr="00171580">
        <w:rPr>
          <w:lang w:val="en-US"/>
        </w:rPr>
        <w:t>Part 1: Agronomy, Vol. 9, American Society of Agronomy, Madison, WI, 128-151.</w:t>
      </w:r>
    </w:p>
    <w:p w14:paraId="11727351" w14:textId="77777777" w:rsidR="00527601" w:rsidRPr="00171580" w:rsidRDefault="00527601" w:rsidP="00527601">
      <w:pPr>
        <w:pStyle w:val="CETReferencetext"/>
        <w:rPr>
          <w:lang w:val="pt-BR"/>
        </w:rPr>
      </w:pPr>
      <w:r w:rsidRPr="006A6F06">
        <w:t xml:space="preserve">Ripoll, J., Urban, L., Staudt, M., Lopez-Lauri, F., </w:t>
      </w:r>
      <w:proofErr w:type="spellStart"/>
      <w:r w:rsidRPr="006A6F06">
        <w:t>Bidel</w:t>
      </w:r>
      <w:proofErr w:type="spellEnd"/>
      <w:r w:rsidRPr="006A6F06">
        <w:t xml:space="preserve">, L. P. R., </w:t>
      </w:r>
      <w:proofErr w:type="spellStart"/>
      <w:r w:rsidRPr="006A6F06">
        <w:t>Bertin</w:t>
      </w:r>
      <w:proofErr w:type="spellEnd"/>
      <w:r w:rsidRPr="006A6F06">
        <w:t xml:space="preserve">, N., 2014, Water shortage and quality of fleshy fruits, making the most of the unavoidable. </w:t>
      </w:r>
      <w:r w:rsidRPr="00171580">
        <w:rPr>
          <w:lang w:val="pt-BR"/>
        </w:rPr>
        <w:t>Journal of Experimental Botany 65, 4097–4117.</w:t>
      </w:r>
    </w:p>
    <w:p w14:paraId="7220251C" w14:textId="3F93E8D3" w:rsidR="001F0FDA" w:rsidRDefault="001F0FDA" w:rsidP="00D301DA">
      <w:pPr>
        <w:pStyle w:val="CETReferencetext"/>
        <w:rPr>
          <w:lang w:val="pt-BR"/>
        </w:rPr>
      </w:pPr>
      <w:r w:rsidRPr="001F0FDA">
        <w:rPr>
          <w:lang w:val="pt-BR"/>
        </w:rPr>
        <w:t xml:space="preserve">Schwarz, K., Resende, J. T. V., </w:t>
      </w:r>
      <w:proofErr w:type="spellStart"/>
      <w:r w:rsidRPr="001F0FDA">
        <w:rPr>
          <w:lang w:val="pt-BR"/>
        </w:rPr>
        <w:t>Preczenhak</w:t>
      </w:r>
      <w:proofErr w:type="spellEnd"/>
      <w:r w:rsidRPr="001F0FDA">
        <w:rPr>
          <w:lang w:val="pt-BR"/>
        </w:rPr>
        <w:t>, A. P., Paula, J. T., Faria, M. V., DIAS, D. M.</w:t>
      </w:r>
      <w:r>
        <w:rPr>
          <w:lang w:val="pt-BR"/>
        </w:rPr>
        <w:t>,</w:t>
      </w:r>
      <w:r w:rsidRPr="001F0FDA">
        <w:rPr>
          <w:lang w:val="pt-BR"/>
        </w:rPr>
        <w:t xml:space="preserve"> 2013</w:t>
      </w:r>
      <w:r>
        <w:rPr>
          <w:lang w:val="pt-BR"/>
        </w:rPr>
        <w:t>,</w:t>
      </w:r>
      <w:r w:rsidRPr="001F0FDA">
        <w:rPr>
          <w:lang w:val="pt-BR"/>
        </w:rPr>
        <w:t xml:space="preserve"> Desempenho agronômico e qualidade físico-química de híbridos de tomateiro em cultivo rasteiro. Horticultura Brasileira 31, 410-418.</w:t>
      </w:r>
    </w:p>
    <w:p w14:paraId="0B0750DA" w14:textId="6EF559E9" w:rsidR="00F7175B" w:rsidRPr="00171580" w:rsidRDefault="00F7175B" w:rsidP="00D301DA">
      <w:pPr>
        <w:pStyle w:val="CETReferencetext"/>
        <w:rPr>
          <w:lang w:val="pt-BR"/>
        </w:rPr>
      </w:pPr>
      <w:r w:rsidRPr="009C5827">
        <w:rPr>
          <w:lang w:val="pt-BR"/>
        </w:rPr>
        <w:t>Silva, J. M., Ferreira, R. S., Melo, A. S., Suassuna, J. F., Dutra, A. F., Gomes, J. P.</w:t>
      </w:r>
      <w:r w:rsidR="005C3D40" w:rsidRPr="009C5827">
        <w:rPr>
          <w:lang w:val="pt-BR"/>
        </w:rPr>
        <w:t>,</w:t>
      </w:r>
      <w:r w:rsidRPr="009C5827">
        <w:rPr>
          <w:lang w:val="pt-BR"/>
        </w:rPr>
        <w:t xml:space="preserve"> 2013</w:t>
      </w:r>
      <w:r w:rsidR="005C3D40" w:rsidRPr="009C5827">
        <w:rPr>
          <w:lang w:val="pt-BR"/>
        </w:rPr>
        <w:t>,</w:t>
      </w:r>
      <w:r w:rsidRPr="009C5827">
        <w:rPr>
          <w:lang w:val="pt-BR"/>
        </w:rPr>
        <w:t xml:space="preserve"> Cultivo do tomateiro em ambiente protegido sob diferentes taxas de reposição da evapotranspiração. </w:t>
      </w:r>
      <w:r w:rsidRPr="00171580">
        <w:rPr>
          <w:lang w:val="pt-BR"/>
        </w:rPr>
        <w:t>Revista Brasileira de Engenharia Agrícola e Ambiental, 17,</w:t>
      </w:r>
      <w:r w:rsidR="005C3D40" w:rsidRPr="00171580">
        <w:rPr>
          <w:lang w:val="pt-BR"/>
        </w:rPr>
        <w:t xml:space="preserve"> </w:t>
      </w:r>
      <w:r w:rsidRPr="00171580">
        <w:rPr>
          <w:lang w:val="pt-BR"/>
        </w:rPr>
        <w:t xml:space="preserve">40-46. </w:t>
      </w:r>
    </w:p>
    <w:p w14:paraId="55873954" w14:textId="74D6933F" w:rsidR="00B830FB" w:rsidRPr="00B830FB" w:rsidRDefault="00B830FB" w:rsidP="00D301DA">
      <w:pPr>
        <w:pStyle w:val="CETReferencetext"/>
        <w:rPr>
          <w:lang w:val="pt-BR"/>
        </w:rPr>
      </w:pPr>
      <w:r w:rsidRPr="00B830FB">
        <w:rPr>
          <w:lang w:val="pt-BR"/>
        </w:rPr>
        <w:t>Silva, J. B. C., &amp; Giordano, L. B.</w:t>
      </w:r>
      <w:r>
        <w:rPr>
          <w:lang w:val="pt-BR"/>
        </w:rPr>
        <w:t>,</w:t>
      </w:r>
      <w:r w:rsidRPr="00B830FB">
        <w:rPr>
          <w:lang w:val="pt-BR"/>
        </w:rPr>
        <w:t xml:space="preserve"> 2000. Tomate para processamento industrial. Brasília: Embrapa Comunicação para Transferência de Tecnologia</w:t>
      </w:r>
      <w:r>
        <w:rPr>
          <w:lang w:val="pt-BR"/>
        </w:rPr>
        <w:t>-</w:t>
      </w:r>
      <w:r w:rsidRPr="00B830FB">
        <w:rPr>
          <w:lang w:val="pt-BR"/>
        </w:rPr>
        <w:t>Embrapa Hortaliças, 8-11.</w:t>
      </w:r>
    </w:p>
    <w:p w14:paraId="0F42EA89" w14:textId="6A564994" w:rsidR="000F0003" w:rsidRPr="006A6F06" w:rsidRDefault="000F0003" w:rsidP="00D301DA">
      <w:pPr>
        <w:pStyle w:val="CETReferencetext"/>
      </w:pPr>
      <w:r w:rsidRPr="000F0003">
        <w:rPr>
          <w:lang w:val="pt-BR"/>
        </w:rPr>
        <w:t xml:space="preserve">Soares, L. A. A., Lima, G. S., Brito, M. E. B., Sá, F. V. S., Silva, E. C. B., Araújo, T. T., 2012, Cultivo do tomateiro na fase vegetativa sob  diferentes lâminas de irrigação em ambiente protegido. </w:t>
      </w:r>
      <w:proofErr w:type="spellStart"/>
      <w:r w:rsidRPr="000F0003">
        <w:t>Agropecuária</w:t>
      </w:r>
      <w:proofErr w:type="spellEnd"/>
      <w:r w:rsidRPr="000F0003">
        <w:t xml:space="preserve"> </w:t>
      </w:r>
      <w:proofErr w:type="spellStart"/>
      <w:r w:rsidRPr="000F0003">
        <w:t>Científica</w:t>
      </w:r>
      <w:proofErr w:type="spellEnd"/>
      <w:r w:rsidRPr="000F0003">
        <w:t xml:space="preserve"> no </w:t>
      </w:r>
      <w:proofErr w:type="spellStart"/>
      <w:r w:rsidRPr="000F0003">
        <w:t>Semiárido</w:t>
      </w:r>
      <w:proofErr w:type="spellEnd"/>
      <w:r w:rsidRPr="000F0003">
        <w:t>, 8, 38–45.</w:t>
      </w:r>
    </w:p>
    <w:p w14:paraId="3FA22D76" w14:textId="77777777" w:rsidR="00B0713C" w:rsidRPr="00D301DA" w:rsidRDefault="00B0713C" w:rsidP="00B0713C">
      <w:pPr>
        <w:pStyle w:val="CETReferencetext"/>
      </w:pPr>
      <w:r w:rsidRPr="006A6F06">
        <w:t>Walker, R., 1989, Guidelines for designing and evaluating surface irrigation systems FAO Irrigation and Drainage Paper No. 45, FAO, Rome.</w:t>
      </w:r>
    </w:p>
    <w:p w14:paraId="4BB6EE4B" w14:textId="77777777" w:rsidR="00B0713C" w:rsidRDefault="00B0713C" w:rsidP="00B0713C">
      <w:pPr>
        <w:pStyle w:val="CETReferencetext"/>
      </w:pPr>
      <w:r w:rsidRPr="009652C9">
        <w:t xml:space="preserve">Wang, F., Kang, S., Du, T., Li, F., </w:t>
      </w:r>
      <w:proofErr w:type="spellStart"/>
      <w:r w:rsidRPr="009652C9">
        <w:t>Qiu</w:t>
      </w:r>
      <w:proofErr w:type="spellEnd"/>
      <w:r w:rsidRPr="009652C9">
        <w:t>, R.</w:t>
      </w:r>
      <w:r>
        <w:t>,</w:t>
      </w:r>
      <w:r w:rsidRPr="009652C9">
        <w:t xml:space="preserve"> 2011</w:t>
      </w:r>
      <w:r>
        <w:t>,</w:t>
      </w:r>
      <w:r w:rsidRPr="009652C9">
        <w:t xml:space="preserve"> Determination of comprehensive quality index for tomato and its response to different irrigation treatments. Agricultural Water Management</w:t>
      </w:r>
      <w:r>
        <w:t>,</w:t>
      </w:r>
      <w:r w:rsidRPr="009652C9">
        <w:t xml:space="preserve"> 98, 1228–1238.</w:t>
      </w:r>
    </w:p>
    <w:p w14:paraId="5CA6EF6D" w14:textId="198C5B8F" w:rsidR="00F05CF6" w:rsidRDefault="00F05CF6" w:rsidP="00D301DA">
      <w:pPr>
        <w:pStyle w:val="CETReferencetext"/>
      </w:pPr>
      <w:proofErr w:type="spellStart"/>
      <w:r w:rsidRPr="00F05CF6">
        <w:t>Zhai</w:t>
      </w:r>
      <w:proofErr w:type="spellEnd"/>
      <w:r w:rsidRPr="00F05CF6">
        <w:t xml:space="preserve">, Y., Yang, Q., Wu, Y. (2016). Soil salt distribution and tomato response to saline water irrigation under straw mulching. </w:t>
      </w:r>
      <w:proofErr w:type="spellStart"/>
      <w:r w:rsidRPr="00F05CF6">
        <w:t>Plos</w:t>
      </w:r>
      <w:proofErr w:type="spellEnd"/>
      <w:r w:rsidRPr="00F05CF6">
        <w:t xml:space="preserve"> ONE, 1–17.</w:t>
      </w:r>
    </w:p>
    <w:p w14:paraId="2258237A" w14:textId="49EB22E8" w:rsidR="00F7175B" w:rsidRPr="006A6F06" w:rsidRDefault="00F7175B" w:rsidP="00D301DA">
      <w:pPr>
        <w:pStyle w:val="CETReferencetext"/>
      </w:pPr>
      <w:r w:rsidRPr="006A6F06">
        <w:t xml:space="preserve">Zheng, J., Huang, G., Jia, D., Wang, J., </w:t>
      </w:r>
      <w:proofErr w:type="spellStart"/>
      <w:r w:rsidRPr="006A6F06">
        <w:t>Mota</w:t>
      </w:r>
      <w:proofErr w:type="spellEnd"/>
      <w:r w:rsidRPr="006A6F06">
        <w:t>, M., Pereira, L.S.,</w:t>
      </w:r>
      <w:r w:rsidR="005D2CA4" w:rsidRPr="006A6F06">
        <w:t xml:space="preserve"> </w:t>
      </w:r>
      <w:proofErr w:type="spellStart"/>
      <w:r w:rsidR="005D2CA4" w:rsidRPr="006A6F06">
        <w:t>Quanzhong</w:t>
      </w:r>
      <w:proofErr w:type="spellEnd"/>
      <w:r w:rsidR="005D2CA4" w:rsidRPr="006A6F06">
        <w:t>, H.,</w:t>
      </w:r>
      <w:r w:rsidR="005C3D40" w:rsidRPr="006A6F06">
        <w:t xml:space="preserve"> Xu, X., Liu, H.,</w:t>
      </w:r>
      <w:r w:rsidR="00616FB3" w:rsidRPr="006A6F06">
        <w:t xml:space="preserve"> </w:t>
      </w:r>
      <w:r w:rsidRPr="006A6F06">
        <w:t>2013</w:t>
      </w:r>
      <w:r w:rsidR="00B37952" w:rsidRPr="006A6F06">
        <w:t>,</w:t>
      </w:r>
      <w:r w:rsidRPr="006A6F06">
        <w:t xml:space="preserve"> Responses of drip irrigated tomato (</w:t>
      </w:r>
      <w:r w:rsidRPr="00083283">
        <w:rPr>
          <w:i/>
        </w:rPr>
        <w:t xml:space="preserve">Solanum </w:t>
      </w:r>
      <w:proofErr w:type="spellStart"/>
      <w:r w:rsidRPr="00083283">
        <w:rPr>
          <w:i/>
        </w:rPr>
        <w:t>lycopersicum</w:t>
      </w:r>
      <w:proofErr w:type="spellEnd"/>
      <w:r w:rsidRPr="00083283">
        <w:rPr>
          <w:i/>
        </w:rPr>
        <w:t xml:space="preserve"> L.</w:t>
      </w:r>
      <w:r w:rsidRPr="006A6F06">
        <w:t>) yield, quality and water productivity to various soil matric potential thresholds in an arid region of Northwest China. Agricultural Water Management, 129, 181-193.</w:t>
      </w:r>
    </w:p>
    <w:p w14:paraId="556BA45D" w14:textId="746C9393" w:rsidR="005566AD" w:rsidRDefault="005566AD" w:rsidP="00487073">
      <w:pPr>
        <w:pStyle w:val="CETReferencetext"/>
      </w:pPr>
    </w:p>
    <w:p w14:paraId="04665608" w14:textId="64FF2C79" w:rsidR="000A1D30" w:rsidRDefault="000A1D30" w:rsidP="00487073">
      <w:pPr>
        <w:pStyle w:val="CETReferencetext"/>
      </w:pPr>
    </w:p>
    <w:p w14:paraId="2C5A074F" w14:textId="14D72404" w:rsidR="000A1D30" w:rsidRDefault="000A1D30" w:rsidP="00487073">
      <w:pPr>
        <w:pStyle w:val="CETReferencetext"/>
      </w:pPr>
    </w:p>
    <w:p w14:paraId="1C8D576A" w14:textId="755F4C8E" w:rsidR="000A1D30" w:rsidRDefault="000A1D30" w:rsidP="00487073">
      <w:pPr>
        <w:pStyle w:val="CETReferencetext"/>
      </w:pPr>
    </w:p>
    <w:p w14:paraId="6408D5A0" w14:textId="41F846A6" w:rsidR="000A1D30" w:rsidRDefault="000A1D30" w:rsidP="00487073">
      <w:pPr>
        <w:pStyle w:val="CETReferencetext"/>
      </w:pPr>
    </w:p>
    <w:p w14:paraId="6CBB1AE1" w14:textId="61031C01" w:rsidR="000A1D30" w:rsidRDefault="000A1D30" w:rsidP="00487073">
      <w:pPr>
        <w:pStyle w:val="CETReferencetext"/>
      </w:pPr>
    </w:p>
    <w:p w14:paraId="4F562C5A" w14:textId="37F0584E" w:rsidR="000A1D30" w:rsidRDefault="000A1D30" w:rsidP="00487073">
      <w:pPr>
        <w:pStyle w:val="CETReferencetext"/>
      </w:pPr>
    </w:p>
    <w:p w14:paraId="1A78797C" w14:textId="1AD95906" w:rsidR="000A1D30" w:rsidRDefault="000A1D30" w:rsidP="00487073">
      <w:pPr>
        <w:pStyle w:val="CETReferencetext"/>
      </w:pPr>
    </w:p>
    <w:p w14:paraId="1F38FFE4" w14:textId="68BD96F5" w:rsidR="000A1D30" w:rsidRDefault="000A1D30" w:rsidP="00487073">
      <w:pPr>
        <w:pStyle w:val="CETReferencetext"/>
      </w:pPr>
    </w:p>
    <w:p w14:paraId="4C5519A2" w14:textId="77C53384" w:rsidR="000A1D30" w:rsidRDefault="000A1D30" w:rsidP="00487073">
      <w:pPr>
        <w:pStyle w:val="CETReferencetext"/>
      </w:pPr>
    </w:p>
    <w:p w14:paraId="63563CB9" w14:textId="7E646317" w:rsidR="000A1D30" w:rsidRDefault="000A1D30" w:rsidP="00487073">
      <w:pPr>
        <w:pStyle w:val="CETReferencetext"/>
      </w:pPr>
    </w:p>
    <w:sectPr w:rsidR="000A1D30" w:rsidSect="005A1789"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42F1" w14:textId="77777777" w:rsidR="0019277B" w:rsidRDefault="0019277B" w:rsidP="004F5E36">
      <w:r>
        <w:separator/>
      </w:r>
    </w:p>
  </w:endnote>
  <w:endnote w:type="continuationSeparator" w:id="0">
    <w:p w14:paraId="279121FC" w14:textId="77777777" w:rsidR="0019277B" w:rsidRDefault="0019277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4B723" w14:textId="77777777" w:rsidR="0019277B" w:rsidRDefault="0019277B" w:rsidP="004F5E36">
      <w:r>
        <w:separator/>
      </w:r>
    </w:p>
  </w:footnote>
  <w:footnote w:type="continuationSeparator" w:id="0">
    <w:p w14:paraId="070089B0" w14:textId="77777777" w:rsidR="0019277B" w:rsidRDefault="0019277B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6FB"/>
    <w:rsid w:val="00001E20"/>
    <w:rsid w:val="000027C0"/>
    <w:rsid w:val="00002A42"/>
    <w:rsid w:val="0000512E"/>
    <w:rsid w:val="000052FB"/>
    <w:rsid w:val="000060BD"/>
    <w:rsid w:val="00010F40"/>
    <w:rsid w:val="000112C6"/>
    <w:rsid w:val="000117CB"/>
    <w:rsid w:val="00012008"/>
    <w:rsid w:val="00012532"/>
    <w:rsid w:val="0001370E"/>
    <w:rsid w:val="000201D4"/>
    <w:rsid w:val="000208AC"/>
    <w:rsid w:val="00025866"/>
    <w:rsid w:val="0003148D"/>
    <w:rsid w:val="00036E47"/>
    <w:rsid w:val="00047D7F"/>
    <w:rsid w:val="00051566"/>
    <w:rsid w:val="00052320"/>
    <w:rsid w:val="00057519"/>
    <w:rsid w:val="00060235"/>
    <w:rsid w:val="000616BB"/>
    <w:rsid w:val="00062A9A"/>
    <w:rsid w:val="00065058"/>
    <w:rsid w:val="00071F73"/>
    <w:rsid w:val="00073876"/>
    <w:rsid w:val="000750A7"/>
    <w:rsid w:val="0007665C"/>
    <w:rsid w:val="00083283"/>
    <w:rsid w:val="0008368D"/>
    <w:rsid w:val="0008520B"/>
    <w:rsid w:val="00086C39"/>
    <w:rsid w:val="00087944"/>
    <w:rsid w:val="00090014"/>
    <w:rsid w:val="00091FA8"/>
    <w:rsid w:val="00093BA0"/>
    <w:rsid w:val="00094D2E"/>
    <w:rsid w:val="00094FAE"/>
    <w:rsid w:val="00096014"/>
    <w:rsid w:val="00097FBF"/>
    <w:rsid w:val="000A03B2"/>
    <w:rsid w:val="000A1D30"/>
    <w:rsid w:val="000A3B79"/>
    <w:rsid w:val="000A7365"/>
    <w:rsid w:val="000B3D6D"/>
    <w:rsid w:val="000B5ACE"/>
    <w:rsid w:val="000B5E34"/>
    <w:rsid w:val="000B61D6"/>
    <w:rsid w:val="000B7747"/>
    <w:rsid w:val="000C16BC"/>
    <w:rsid w:val="000C4D5D"/>
    <w:rsid w:val="000C7AF5"/>
    <w:rsid w:val="000D1111"/>
    <w:rsid w:val="000D13A7"/>
    <w:rsid w:val="000D255D"/>
    <w:rsid w:val="000D3035"/>
    <w:rsid w:val="000D34BE"/>
    <w:rsid w:val="000D4E8B"/>
    <w:rsid w:val="000E102F"/>
    <w:rsid w:val="000E15E4"/>
    <w:rsid w:val="000E1F32"/>
    <w:rsid w:val="000E2F01"/>
    <w:rsid w:val="000E36F1"/>
    <w:rsid w:val="000E3A73"/>
    <w:rsid w:val="000E414A"/>
    <w:rsid w:val="000E4AE8"/>
    <w:rsid w:val="000F0003"/>
    <w:rsid w:val="000F093C"/>
    <w:rsid w:val="000F16BD"/>
    <w:rsid w:val="000F2237"/>
    <w:rsid w:val="000F4CDB"/>
    <w:rsid w:val="000F4DFF"/>
    <w:rsid w:val="000F7475"/>
    <w:rsid w:val="000F787B"/>
    <w:rsid w:val="000F7A65"/>
    <w:rsid w:val="00107AFF"/>
    <w:rsid w:val="001115BE"/>
    <w:rsid w:val="00111CAA"/>
    <w:rsid w:val="00111EC1"/>
    <w:rsid w:val="00113919"/>
    <w:rsid w:val="001155F7"/>
    <w:rsid w:val="00116D13"/>
    <w:rsid w:val="001176BD"/>
    <w:rsid w:val="0012091F"/>
    <w:rsid w:val="001227B2"/>
    <w:rsid w:val="00122DD1"/>
    <w:rsid w:val="001243CB"/>
    <w:rsid w:val="001269A9"/>
    <w:rsid w:val="00126BC2"/>
    <w:rsid w:val="001305A6"/>
    <w:rsid w:val="001308B6"/>
    <w:rsid w:val="0013121F"/>
    <w:rsid w:val="00131270"/>
    <w:rsid w:val="00131FAB"/>
    <w:rsid w:val="00131FE6"/>
    <w:rsid w:val="001322D1"/>
    <w:rsid w:val="0013263F"/>
    <w:rsid w:val="001331CB"/>
    <w:rsid w:val="00134DE4"/>
    <w:rsid w:val="001358A4"/>
    <w:rsid w:val="0014034D"/>
    <w:rsid w:val="001409F9"/>
    <w:rsid w:val="001411FF"/>
    <w:rsid w:val="001464D0"/>
    <w:rsid w:val="00146F9D"/>
    <w:rsid w:val="00147D9B"/>
    <w:rsid w:val="00150E59"/>
    <w:rsid w:val="00152DE3"/>
    <w:rsid w:val="00153380"/>
    <w:rsid w:val="00154158"/>
    <w:rsid w:val="0016007E"/>
    <w:rsid w:val="00163060"/>
    <w:rsid w:val="0016406E"/>
    <w:rsid w:val="00164CF9"/>
    <w:rsid w:val="00165C31"/>
    <w:rsid w:val="00171580"/>
    <w:rsid w:val="00173A85"/>
    <w:rsid w:val="00174665"/>
    <w:rsid w:val="00174AAD"/>
    <w:rsid w:val="001805F9"/>
    <w:rsid w:val="00180DEF"/>
    <w:rsid w:val="001817A8"/>
    <w:rsid w:val="00184730"/>
    <w:rsid w:val="001848F4"/>
    <w:rsid w:val="00184AD6"/>
    <w:rsid w:val="00185CC7"/>
    <w:rsid w:val="00191168"/>
    <w:rsid w:val="0019277B"/>
    <w:rsid w:val="00195BBD"/>
    <w:rsid w:val="001A0C2D"/>
    <w:rsid w:val="001A4648"/>
    <w:rsid w:val="001A5E11"/>
    <w:rsid w:val="001A7BF5"/>
    <w:rsid w:val="001B0349"/>
    <w:rsid w:val="001B0DD1"/>
    <w:rsid w:val="001B2833"/>
    <w:rsid w:val="001B364D"/>
    <w:rsid w:val="001B65C1"/>
    <w:rsid w:val="001B7859"/>
    <w:rsid w:val="001C268E"/>
    <w:rsid w:val="001C63BF"/>
    <w:rsid w:val="001C684B"/>
    <w:rsid w:val="001C68E4"/>
    <w:rsid w:val="001D34A1"/>
    <w:rsid w:val="001D53FC"/>
    <w:rsid w:val="001E1868"/>
    <w:rsid w:val="001E2B17"/>
    <w:rsid w:val="001E7741"/>
    <w:rsid w:val="001F0FDA"/>
    <w:rsid w:val="001F189D"/>
    <w:rsid w:val="001F2B27"/>
    <w:rsid w:val="001F34CF"/>
    <w:rsid w:val="001F42A5"/>
    <w:rsid w:val="001F61D5"/>
    <w:rsid w:val="001F6F44"/>
    <w:rsid w:val="001F71A4"/>
    <w:rsid w:val="001F71AE"/>
    <w:rsid w:val="001F7B9D"/>
    <w:rsid w:val="002057D2"/>
    <w:rsid w:val="00205E89"/>
    <w:rsid w:val="00216471"/>
    <w:rsid w:val="00220BBB"/>
    <w:rsid w:val="002224B4"/>
    <w:rsid w:val="00227A68"/>
    <w:rsid w:val="002302D3"/>
    <w:rsid w:val="0023230C"/>
    <w:rsid w:val="00233BA6"/>
    <w:rsid w:val="00237934"/>
    <w:rsid w:val="002409D1"/>
    <w:rsid w:val="002447EF"/>
    <w:rsid w:val="00251075"/>
    <w:rsid w:val="00251550"/>
    <w:rsid w:val="00252C1A"/>
    <w:rsid w:val="0025320E"/>
    <w:rsid w:val="00253DEF"/>
    <w:rsid w:val="0025412B"/>
    <w:rsid w:val="0025765C"/>
    <w:rsid w:val="002602F9"/>
    <w:rsid w:val="002613CB"/>
    <w:rsid w:val="002624E4"/>
    <w:rsid w:val="00263B05"/>
    <w:rsid w:val="002641D9"/>
    <w:rsid w:val="0026660D"/>
    <w:rsid w:val="00266B3D"/>
    <w:rsid w:val="00267C37"/>
    <w:rsid w:val="00270196"/>
    <w:rsid w:val="0027221A"/>
    <w:rsid w:val="002724E8"/>
    <w:rsid w:val="002749DF"/>
    <w:rsid w:val="00275932"/>
    <w:rsid w:val="00275B61"/>
    <w:rsid w:val="002800E0"/>
    <w:rsid w:val="0028190E"/>
    <w:rsid w:val="00282656"/>
    <w:rsid w:val="00283B6E"/>
    <w:rsid w:val="00285154"/>
    <w:rsid w:val="00286721"/>
    <w:rsid w:val="00290344"/>
    <w:rsid w:val="00291534"/>
    <w:rsid w:val="00296B83"/>
    <w:rsid w:val="00297659"/>
    <w:rsid w:val="002A00AE"/>
    <w:rsid w:val="002A23F1"/>
    <w:rsid w:val="002A40BE"/>
    <w:rsid w:val="002A58EF"/>
    <w:rsid w:val="002A6D7F"/>
    <w:rsid w:val="002A7876"/>
    <w:rsid w:val="002B180F"/>
    <w:rsid w:val="002B27C4"/>
    <w:rsid w:val="002B2DE9"/>
    <w:rsid w:val="002B3578"/>
    <w:rsid w:val="002B7577"/>
    <w:rsid w:val="002B78CE"/>
    <w:rsid w:val="002C2FB6"/>
    <w:rsid w:val="002C3EE0"/>
    <w:rsid w:val="002C48C7"/>
    <w:rsid w:val="002D1450"/>
    <w:rsid w:val="002D5BCD"/>
    <w:rsid w:val="002D5DA8"/>
    <w:rsid w:val="002E04E3"/>
    <w:rsid w:val="002E2350"/>
    <w:rsid w:val="002E5372"/>
    <w:rsid w:val="002E728E"/>
    <w:rsid w:val="002F179F"/>
    <w:rsid w:val="002F69CA"/>
    <w:rsid w:val="002F6F2C"/>
    <w:rsid w:val="0030026E"/>
    <w:rsid w:val="003009B7"/>
    <w:rsid w:val="00300E56"/>
    <w:rsid w:val="00301A1D"/>
    <w:rsid w:val="00302818"/>
    <w:rsid w:val="0030469C"/>
    <w:rsid w:val="00307A6E"/>
    <w:rsid w:val="003157B7"/>
    <w:rsid w:val="00315F27"/>
    <w:rsid w:val="003178ED"/>
    <w:rsid w:val="00321CA6"/>
    <w:rsid w:val="003224D5"/>
    <w:rsid w:val="00324A53"/>
    <w:rsid w:val="00326216"/>
    <w:rsid w:val="00331498"/>
    <w:rsid w:val="00334C09"/>
    <w:rsid w:val="003365E3"/>
    <w:rsid w:val="00336F74"/>
    <w:rsid w:val="003447DA"/>
    <w:rsid w:val="0034781A"/>
    <w:rsid w:val="00350CEB"/>
    <w:rsid w:val="003525D7"/>
    <w:rsid w:val="003534A1"/>
    <w:rsid w:val="00353679"/>
    <w:rsid w:val="003557F1"/>
    <w:rsid w:val="003629C9"/>
    <w:rsid w:val="00364FBE"/>
    <w:rsid w:val="003723D4"/>
    <w:rsid w:val="00372499"/>
    <w:rsid w:val="00373801"/>
    <w:rsid w:val="00380F41"/>
    <w:rsid w:val="003830AA"/>
    <w:rsid w:val="003843A8"/>
    <w:rsid w:val="00384CC8"/>
    <w:rsid w:val="00384EBE"/>
    <w:rsid w:val="003871FD"/>
    <w:rsid w:val="003916BA"/>
    <w:rsid w:val="00394045"/>
    <w:rsid w:val="003A1E30"/>
    <w:rsid w:val="003A6989"/>
    <w:rsid w:val="003A6F4D"/>
    <w:rsid w:val="003A7D1C"/>
    <w:rsid w:val="003B1AAA"/>
    <w:rsid w:val="003B304B"/>
    <w:rsid w:val="003B3146"/>
    <w:rsid w:val="003B3A86"/>
    <w:rsid w:val="003B3F87"/>
    <w:rsid w:val="003B5831"/>
    <w:rsid w:val="003B60F3"/>
    <w:rsid w:val="003C6DBB"/>
    <w:rsid w:val="003D3B45"/>
    <w:rsid w:val="003D587A"/>
    <w:rsid w:val="003D63F5"/>
    <w:rsid w:val="003E1313"/>
    <w:rsid w:val="003E1976"/>
    <w:rsid w:val="003E1FB7"/>
    <w:rsid w:val="003E3161"/>
    <w:rsid w:val="003E36BE"/>
    <w:rsid w:val="003E597B"/>
    <w:rsid w:val="003E6C08"/>
    <w:rsid w:val="003F015E"/>
    <w:rsid w:val="003F20D3"/>
    <w:rsid w:val="003F4337"/>
    <w:rsid w:val="003F700F"/>
    <w:rsid w:val="003F7E6B"/>
    <w:rsid w:val="003F7F4C"/>
    <w:rsid w:val="00400414"/>
    <w:rsid w:val="00401087"/>
    <w:rsid w:val="004041B0"/>
    <w:rsid w:val="00410A65"/>
    <w:rsid w:val="0041362C"/>
    <w:rsid w:val="0041446B"/>
    <w:rsid w:val="00416CD9"/>
    <w:rsid w:val="0042278B"/>
    <w:rsid w:val="00424351"/>
    <w:rsid w:val="0043552F"/>
    <w:rsid w:val="0043666A"/>
    <w:rsid w:val="0044329C"/>
    <w:rsid w:val="004577FE"/>
    <w:rsid w:val="00457B9C"/>
    <w:rsid w:val="00460AB9"/>
    <w:rsid w:val="0046164A"/>
    <w:rsid w:val="004621AD"/>
    <w:rsid w:val="004628D2"/>
    <w:rsid w:val="00462DCD"/>
    <w:rsid w:val="0046413A"/>
    <w:rsid w:val="004648AD"/>
    <w:rsid w:val="00465640"/>
    <w:rsid w:val="004703A9"/>
    <w:rsid w:val="00472DBB"/>
    <w:rsid w:val="004760DE"/>
    <w:rsid w:val="00477460"/>
    <w:rsid w:val="00477D37"/>
    <w:rsid w:val="004802C4"/>
    <w:rsid w:val="00483E2D"/>
    <w:rsid w:val="0048607A"/>
    <w:rsid w:val="00487073"/>
    <w:rsid w:val="00491896"/>
    <w:rsid w:val="004920B4"/>
    <w:rsid w:val="00492D8D"/>
    <w:rsid w:val="00496D77"/>
    <w:rsid w:val="004A004E"/>
    <w:rsid w:val="004A24CF"/>
    <w:rsid w:val="004A2855"/>
    <w:rsid w:val="004A3FB6"/>
    <w:rsid w:val="004A694E"/>
    <w:rsid w:val="004B0D01"/>
    <w:rsid w:val="004B2026"/>
    <w:rsid w:val="004B6721"/>
    <w:rsid w:val="004B6A77"/>
    <w:rsid w:val="004C267B"/>
    <w:rsid w:val="004C3D1D"/>
    <w:rsid w:val="004C4ED1"/>
    <w:rsid w:val="004C5F5A"/>
    <w:rsid w:val="004C6259"/>
    <w:rsid w:val="004C6BF8"/>
    <w:rsid w:val="004C7913"/>
    <w:rsid w:val="004D0862"/>
    <w:rsid w:val="004D3B9C"/>
    <w:rsid w:val="004D7189"/>
    <w:rsid w:val="004E4D0F"/>
    <w:rsid w:val="004E4DD6"/>
    <w:rsid w:val="004E5A88"/>
    <w:rsid w:val="004E7EF7"/>
    <w:rsid w:val="004F2258"/>
    <w:rsid w:val="004F5123"/>
    <w:rsid w:val="004F5E36"/>
    <w:rsid w:val="0050380B"/>
    <w:rsid w:val="00507B47"/>
    <w:rsid w:val="00507CC9"/>
    <w:rsid w:val="00511331"/>
    <w:rsid w:val="005119A5"/>
    <w:rsid w:val="00511CFC"/>
    <w:rsid w:val="00512505"/>
    <w:rsid w:val="00513DB4"/>
    <w:rsid w:val="00516EE4"/>
    <w:rsid w:val="005200C4"/>
    <w:rsid w:val="00522866"/>
    <w:rsid w:val="00523D7D"/>
    <w:rsid w:val="00527601"/>
    <w:rsid w:val="005278B7"/>
    <w:rsid w:val="00532016"/>
    <w:rsid w:val="00533015"/>
    <w:rsid w:val="00533A66"/>
    <w:rsid w:val="005346C8"/>
    <w:rsid w:val="00536445"/>
    <w:rsid w:val="0053665C"/>
    <w:rsid w:val="00537131"/>
    <w:rsid w:val="00543E7D"/>
    <w:rsid w:val="005447E7"/>
    <w:rsid w:val="00546B05"/>
    <w:rsid w:val="00547A68"/>
    <w:rsid w:val="00550713"/>
    <w:rsid w:val="005513AB"/>
    <w:rsid w:val="005531C9"/>
    <w:rsid w:val="005551CC"/>
    <w:rsid w:val="005566AD"/>
    <w:rsid w:val="0056297D"/>
    <w:rsid w:val="00562F6C"/>
    <w:rsid w:val="00563F70"/>
    <w:rsid w:val="005642B9"/>
    <w:rsid w:val="00564887"/>
    <w:rsid w:val="0056501B"/>
    <w:rsid w:val="00565519"/>
    <w:rsid w:val="00567F9B"/>
    <w:rsid w:val="00576F6D"/>
    <w:rsid w:val="005816A8"/>
    <w:rsid w:val="005819F7"/>
    <w:rsid w:val="00585A68"/>
    <w:rsid w:val="0059149D"/>
    <w:rsid w:val="00592D09"/>
    <w:rsid w:val="00593F3B"/>
    <w:rsid w:val="005A1789"/>
    <w:rsid w:val="005A5722"/>
    <w:rsid w:val="005A6318"/>
    <w:rsid w:val="005A6336"/>
    <w:rsid w:val="005A7BEC"/>
    <w:rsid w:val="005B040C"/>
    <w:rsid w:val="005B2110"/>
    <w:rsid w:val="005B5BB1"/>
    <w:rsid w:val="005B61E6"/>
    <w:rsid w:val="005C0F39"/>
    <w:rsid w:val="005C2648"/>
    <w:rsid w:val="005C2E52"/>
    <w:rsid w:val="005C301C"/>
    <w:rsid w:val="005C3265"/>
    <w:rsid w:val="005C3D40"/>
    <w:rsid w:val="005C7433"/>
    <w:rsid w:val="005C77E1"/>
    <w:rsid w:val="005D2CA4"/>
    <w:rsid w:val="005D3C69"/>
    <w:rsid w:val="005D605F"/>
    <w:rsid w:val="005D6A2F"/>
    <w:rsid w:val="005E14F7"/>
    <w:rsid w:val="005E1A82"/>
    <w:rsid w:val="005E3A9D"/>
    <w:rsid w:val="005E3C57"/>
    <w:rsid w:val="005E7913"/>
    <w:rsid w:val="005E794C"/>
    <w:rsid w:val="005F0A28"/>
    <w:rsid w:val="005F0E5E"/>
    <w:rsid w:val="005F2BC9"/>
    <w:rsid w:val="005F3FFD"/>
    <w:rsid w:val="005F5A92"/>
    <w:rsid w:val="00600535"/>
    <w:rsid w:val="0060094E"/>
    <w:rsid w:val="00605E4B"/>
    <w:rsid w:val="00610B2C"/>
    <w:rsid w:val="00610CD6"/>
    <w:rsid w:val="00616FB3"/>
    <w:rsid w:val="00617FCB"/>
    <w:rsid w:val="00620DEE"/>
    <w:rsid w:val="00621F92"/>
    <w:rsid w:val="0062227B"/>
    <w:rsid w:val="0062387E"/>
    <w:rsid w:val="00624837"/>
    <w:rsid w:val="00624C2C"/>
    <w:rsid w:val="00625639"/>
    <w:rsid w:val="0062788A"/>
    <w:rsid w:val="006303CD"/>
    <w:rsid w:val="0063084D"/>
    <w:rsid w:val="00631B33"/>
    <w:rsid w:val="00634E05"/>
    <w:rsid w:val="00636245"/>
    <w:rsid w:val="0064184D"/>
    <w:rsid w:val="006422CC"/>
    <w:rsid w:val="0065349F"/>
    <w:rsid w:val="00660E3E"/>
    <w:rsid w:val="00662E74"/>
    <w:rsid w:val="00663C14"/>
    <w:rsid w:val="006733D0"/>
    <w:rsid w:val="0067392B"/>
    <w:rsid w:val="00675F12"/>
    <w:rsid w:val="00680C23"/>
    <w:rsid w:val="00681FBC"/>
    <w:rsid w:val="00684DC3"/>
    <w:rsid w:val="00687351"/>
    <w:rsid w:val="00693766"/>
    <w:rsid w:val="006A3281"/>
    <w:rsid w:val="006A3D76"/>
    <w:rsid w:val="006A5EA6"/>
    <w:rsid w:val="006A62C5"/>
    <w:rsid w:val="006A6F06"/>
    <w:rsid w:val="006A7ADE"/>
    <w:rsid w:val="006B1AC0"/>
    <w:rsid w:val="006B4888"/>
    <w:rsid w:val="006B56F7"/>
    <w:rsid w:val="006C089C"/>
    <w:rsid w:val="006C19A8"/>
    <w:rsid w:val="006C2E45"/>
    <w:rsid w:val="006C359C"/>
    <w:rsid w:val="006C42F1"/>
    <w:rsid w:val="006C5579"/>
    <w:rsid w:val="006D084D"/>
    <w:rsid w:val="006D66E9"/>
    <w:rsid w:val="006D6A1A"/>
    <w:rsid w:val="006E04C2"/>
    <w:rsid w:val="006E737D"/>
    <w:rsid w:val="006F6C0E"/>
    <w:rsid w:val="0070195D"/>
    <w:rsid w:val="00701A4D"/>
    <w:rsid w:val="00701D5C"/>
    <w:rsid w:val="0070367F"/>
    <w:rsid w:val="00715BFE"/>
    <w:rsid w:val="00716C38"/>
    <w:rsid w:val="007179C7"/>
    <w:rsid w:val="00720A24"/>
    <w:rsid w:val="00720E4F"/>
    <w:rsid w:val="0072231B"/>
    <w:rsid w:val="00725522"/>
    <w:rsid w:val="007259C3"/>
    <w:rsid w:val="00732386"/>
    <w:rsid w:val="00733952"/>
    <w:rsid w:val="007447F3"/>
    <w:rsid w:val="00750388"/>
    <w:rsid w:val="00753212"/>
    <w:rsid w:val="0075499F"/>
    <w:rsid w:val="007661C8"/>
    <w:rsid w:val="00767001"/>
    <w:rsid w:val="00767AFD"/>
    <w:rsid w:val="0077098D"/>
    <w:rsid w:val="0077360F"/>
    <w:rsid w:val="00780D39"/>
    <w:rsid w:val="00781A8F"/>
    <w:rsid w:val="00782005"/>
    <w:rsid w:val="00783D98"/>
    <w:rsid w:val="0078465B"/>
    <w:rsid w:val="0078611E"/>
    <w:rsid w:val="00786363"/>
    <w:rsid w:val="007917B0"/>
    <w:rsid w:val="0079194D"/>
    <w:rsid w:val="0079232B"/>
    <w:rsid w:val="007931FA"/>
    <w:rsid w:val="00796B1F"/>
    <w:rsid w:val="00797DE5"/>
    <w:rsid w:val="007A419F"/>
    <w:rsid w:val="007A4F10"/>
    <w:rsid w:val="007A6FBA"/>
    <w:rsid w:val="007A7BBA"/>
    <w:rsid w:val="007B0C50"/>
    <w:rsid w:val="007B50B8"/>
    <w:rsid w:val="007B5991"/>
    <w:rsid w:val="007B6D48"/>
    <w:rsid w:val="007B72FE"/>
    <w:rsid w:val="007C1A43"/>
    <w:rsid w:val="007C211D"/>
    <w:rsid w:val="007C21AC"/>
    <w:rsid w:val="007C4B58"/>
    <w:rsid w:val="007C5249"/>
    <w:rsid w:val="007D019D"/>
    <w:rsid w:val="007D6242"/>
    <w:rsid w:val="007D6622"/>
    <w:rsid w:val="007D7DD7"/>
    <w:rsid w:val="007E13F7"/>
    <w:rsid w:val="007E1DC6"/>
    <w:rsid w:val="007E581B"/>
    <w:rsid w:val="007E6F74"/>
    <w:rsid w:val="007E6FB1"/>
    <w:rsid w:val="007F0310"/>
    <w:rsid w:val="007F22B4"/>
    <w:rsid w:val="007F3698"/>
    <w:rsid w:val="007F43D7"/>
    <w:rsid w:val="007F70B0"/>
    <w:rsid w:val="007F747D"/>
    <w:rsid w:val="00801B99"/>
    <w:rsid w:val="00801FD6"/>
    <w:rsid w:val="00805E70"/>
    <w:rsid w:val="00810CCA"/>
    <w:rsid w:val="00812237"/>
    <w:rsid w:val="00813288"/>
    <w:rsid w:val="00815265"/>
    <w:rsid w:val="00815A0A"/>
    <w:rsid w:val="008168FC"/>
    <w:rsid w:val="00825631"/>
    <w:rsid w:val="0082623A"/>
    <w:rsid w:val="00830996"/>
    <w:rsid w:val="008345F1"/>
    <w:rsid w:val="00843EF1"/>
    <w:rsid w:val="00844B5C"/>
    <w:rsid w:val="00844BD9"/>
    <w:rsid w:val="008451E1"/>
    <w:rsid w:val="008452BC"/>
    <w:rsid w:val="00845656"/>
    <w:rsid w:val="00845D8B"/>
    <w:rsid w:val="0085398A"/>
    <w:rsid w:val="00857643"/>
    <w:rsid w:val="008609AC"/>
    <w:rsid w:val="008609B7"/>
    <w:rsid w:val="00864B39"/>
    <w:rsid w:val="00865B07"/>
    <w:rsid w:val="008667EA"/>
    <w:rsid w:val="008672F5"/>
    <w:rsid w:val="00870D35"/>
    <w:rsid w:val="008719D1"/>
    <w:rsid w:val="00872163"/>
    <w:rsid w:val="00873140"/>
    <w:rsid w:val="0087637F"/>
    <w:rsid w:val="00883C43"/>
    <w:rsid w:val="008904B9"/>
    <w:rsid w:val="00890926"/>
    <w:rsid w:val="00892AD5"/>
    <w:rsid w:val="0089442D"/>
    <w:rsid w:val="00895CB4"/>
    <w:rsid w:val="008966C1"/>
    <w:rsid w:val="008968B9"/>
    <w:rsid w:val="008A0B37"/>
    <w:rsid w:val="008A1512"/>
    <w:rsid w:val="008A1DB7"/>
    <w:rsid w:val="008A2C23"/>
    <w:rsid w:val="008A388C"/>
    <w:rsid w:val="008B264D"/>
    <w:rsid w:val="008B2E4E"/>
    <w:rsid w:val="008B3D5A"/>
    <w:rsid w:val="008C1B66"/>
    <w:rsid w:val="008C75DF"/>
    <w:rsid w:val="008C78C1"/>
    <w:rsid w:val="008D0368"/>
    <w:rsid w:val="008D15B0"/>
    <w:rsid w:val="008D268F"/>
    <w:rsid w:val="008D32B9"/>
    <w:rsid w:val="008D35FE"/>
    <w:rsid w:val="008D374B"/>
    <w:rsid w:val="008D433B"/>
    <w:rsid w:val="008D6253"/>
    <w:rsid w:val="008E19AD"/>
    <w:rsid w:val="008E2810"/>
    <w:rsid w:val="008E3072"/>
    <w:rsid w:val="008E511F"/>
    <w:rsid w:val="008E566E"/>
    <w:rsid w:val="008E5A34"/>
    <w:rsid w:val="008E6315"/>
    <w:rsid w:val="008E651A"/>
    <w:rsid w:val="008F2FB3"/>
    <w:rsid w:val="008F3876"/>
    <w:rsid w:val="008F6BAF"/>
    <w:rsid w:val="00900D59"/>
    <w:rsid w:val="0090161A"/>
    <w:rsid w:val="00901EB6"/>
    <w:rsid w:val="00902393"/>
    <w:rsid w:val="00904644"/>
    <w:rsid w:val="00904C62"/>
    <w:rsid w:val="00905196"/>
    <w:rsid w:val="00907F18"/>
    <w:rsid w:val="00911467"/>
    <w:rsid w:val="00912E86"/>
    <w:rsid w:val="0091784D"/>
    <w:rsid w:val="00917F14"/>
    <w:rsid w:val="00921492"/>
    <w:rsid w:val="0092224E"/>
    <w:rsid w:val="00922B0C"/>
    <w:rsid w:val="00924DAC"/>
    <w:rsid w:val="0092649B"/>
    <w:rsid w:val="00927058"/>
    <w:rsid w:val="00927FBE"/>
    <w:rsid w:val="00930301"/>
    <w:rsid w:val="00931585"/>
    <w:rsid w:val="00931926"/>
    <w:rsid w:val="00932F9B"/>
    <w:rsid w:val="009351F4"/>
    <w:rsid w:val="009401CA"/>
    <w:rsid w:val="009402D8"/>
    <w:rsid w:val="00942B80"/>
    <w:rsid w:val="009450CE"/>
    <w:rsid w:val="0094547E"/>
    <w:rsid w:val="00946BB7"/>
    <w:rsid w:val="00947179"/>
    <w:rsid w:val="00950248"/>
    <w:rsid w:val="0095164B"/>
    <w:rsid w:val="00951E90"/>
    <w:rsid w:val="0095228A"/>
    <w:rsid w:val="00953511"/>
    <w:rsid w:val="009539D5"/>
    <w:rsid w:val="00953A59"/>
    <w:rsid w:val="00954090"/>
    <w:rsid w:val="00955B15"/>
    <w:rsid w:val="00955D8B"/>
    <w:rsid w:val="009568DD"/>
    <w:rsid w:val="009573E7"/>
    <w:rsid w:val="00957F20"/>
    <w:rsid w:val="00960486"/>
    <w:rsid w:val="00961F05"/>
    <w:rsid w:val="009624E6"/>
    <w:rsid w:val="009635B9"/>
    <w:rsid w:val="00963E05"/>
    <w:rsid w:val="009652C9"/>
    <w:rsid w:val="00967D54"/>
    <w:rsid w:val="00973939"/>
    <w:rsid w:val="009756A2"/>
    <w:rsid w:val="00975D80"/>
    <w:rsid w:val="00981E55"/>
    <w:rsid w:val="00987513"/>
    <w:rsid w:val="00992C13"/>
    <w:rsid w:val="00996483"/>
    <w:rsid w:val="00996F5A"/>
    <w:rsid w:val="009A0A3E"/>
    <w:rsid w:val="009A10C4"/>
    <w:rsid w:val="009A1F7F"/>
    <w:rsid w:val="009A3F64"/>
    <w:rsid w:val="009A54FB"/>
    <w:rsid w:val="009A560B"/>
    <w:rsid w:val="009A6CDD"/>
    <w:rsid w:val="009A6D65"/>
    <w:rsid w:val="009A7682"/>
    <w:rsid w:val="009B041A"/>
    <w:rsid w:val="009B1565"/>
    <w:rsid w:val="009B7063"/>
    <w:rsid w:val="009B72BB"/>
    <w:rsid w:val="009B765C"/>
    <w:rsid w:val="009C28B6"/>
    <w:rsid w:val="009C4285"/>
    <w:rsid w:val="009C45CD"/>
    <w:rsid w:val="009C5827"/>
    <w:rsid w:val="009C58CD"/>
    <w:rsid w:val="009C7C86"/>
    <w:rsid w:val="009D1434"/>
    <w:rsid w:val="009D2FF7"/>
    <w:rsid w:val="009D36C0"/>
    <w:rsid w:val="009D5AF1"/>
    <w:rsid w:val="009D5B22"/>
    <w:rsid w:val="009D734F"/>
    <w:rsid w:val="009E0DB0"/>
    <w:rsid w:val="009E0DBB"/>
    <w:rsid w:val="009E2117"/>
    <w:rsid w:val="009E256F"/>
    <w:rsid w:val="009E7884"/>
    <w:rsid w:val="009E788A"/>
    <w:rsid w:val="009E7BF1"/>
    <w:rsid w:val="009E7F19"/>
    <w:rsid w:val="009F0E08"/>
    <w:rsid w:val="009F12E2"/>
    <w:rsid w:val="009F62F2"/>
    <w:rsid w:val="009F70EC"/>
    <w:rsid w:val="00A03474"/>
    <w:rsid w:val="00A04874"/>
    <w:rsid w:val="00A05762"/>
    <w:rsid w:val="00A05CCF"/>
    <w:rsid w:val="00A064F1"/>
    <w:rsid w:val="00A0798D"/>
    <w:rsid w:val="00A14F26"/>
    <w:rsid w:val="00A1763D"/>
    <w:rsid w:val="00A17CEC"/>
    <w:rsid w:val="00A21BB3"/>
    <w:rsid w:val="00A2224A"/>
    <w:rsid w:val="00A265DD"/>
    <w:rsid w:val="00A27A24"/>
    <w:rsid w:val="00A27BA4"/>
    <w:rsid w:val="00A27EF0"/>
    <w:rsid w:val="00A30BFE"/>
    <w:rsid w:val="00A36B33"/>
    <w:rsid w:val="00A44885"/>
    <w:rsid w:val="00A47317"/>
    <w:rsid w:val="00A50B20"/>
    <w:rsid w:val="00A51221"/>
    <w:rsid w:val="00A51390"/>
    <w:rsid w:val="00A526DF"/>
    <w:rsid w:val="00A5360B"/>
    <w:rsid w:val="00A56061"/>
    <w:rsid w:val="00A563CD"/>
    <w:rsid w:val="00A56691"/>
    <w:rsid w:val="00A60C22"/>
    <w:rsid w:val="00A60D13"/>
    <w:rsid w:val="00A60DA5"/>
    <w:rsid w:val="00A63864"/>
    <w:rsid w:val="00A6391C"/>
    <w:rsid w:val="00A64533"/>
    <w:rsid w:val="00A651F6"/>
    <w:rsid w:val="00A66ECF"/>
    <w:rsid w:val="00A677E0"/>
    <w:rsid w:val="00A709E1"/>
    <w:rsid w:val="00A72745"/>
    <w:rsid w:val="00A73658"/>
    <w:rsid w:val="00A74196"/>
    <w:rsid w:val="00A76E5F"/>
    <w:rsid w:val="00A76EFC"/>
    <w:rsid w:val="00A81AC3"/>
    <w:rsid w:val="00A84E0F"/>
    <w:rsid w:val="00A8592A"/>
    <w:rsid w:val="00A8672F"/>
    <w:rsid w:val="00A8686F"/>
    <w:rsid w:val="00A91010"/>
    <w:rsid w:val="00A91C52"/>
    <w:rsid w:val="00A92BF2"/>
    <w:rsid w:val="00A92F76"/>
    <w:rsid w:val="00A9399E"/>
    <w:rsid w:val="00A95461"/>
    <w:rsid w:val="00A95A7B"/>
    <w:rsid w:val="00A96E37"/>
    <w:rsid w:val="00A97F29"/>
    <w:rsid w:val="00AA24FC"/>
    <w:rsid w:val="00AA3D6F"/>
    <w:rsid w:val="00AA43EF"/>
    <w:rsid w:val="00AA702E"/>
    <w:rsid w:val="00AB0964"/>
    <w:rsid w:val="00AB3D1B"/>
    <w:rsid w:val="00AB5011"/>
    <w:rsid w:val="00AC10B1"/>
    <w:rsid w:val="00AC2397"/>
    <w:rsid w:val="00AC42CF"/>
    <w:rsid w:val="00AC7368"/>
    <w:rsid w:val="00AD05D7"/>
    <w:rsid w:val="00AD0A07"/>
    <w:rsid w:val="00AD16B9"/>
    <w:rsid w:val="00AD358E"/>
    <w:rsid w:val="00AE2A82"/>
    <w:rsid w:val="00AE377D"/>
    <w:rsid w:val="00AE43D0"/>
    <w:rsid w:val="00AE540F"/>
    <w:rsid w:val="00AE613C"/>
    <w:rsid w:val="00AF2920"/>
    <w:rsid w:val="00AF41BE"/>
    <w:rsid w:val="00AF5EBD"/>
    <w:rsid w:val="00AF61B3"/>
    <w:rsid w:val="00AF6A45"/>
    <w:rsid w:val="00B0197B"/>
    <w:rsid w:val="00B01A9E"/>
    <w:rsid w:val="00B02ECA"/>
    <w:rsid w:val="00B05325"/>
    <w:rsid w:val="00B05CB6"/>
    <w:rsid w:val="00B06723"/>
    <w:rsid w:val="00B0713C"/>
    <w:rsid w:val="00B10117"/>
    <w:rsid w:val="00B12ED4"/>
    <w:rsid w:val="00B134B7"/>
    <w:rsid w:val="00B175DC"/>
    <w:rsid w:val="00B17FBD"/>
    <w:rsid w:val="00B26738"/>
    <w:rsid w:val="00B315A6"/>
    <w:rsid w:val="00B31813"/>
    <w:rsid w:val="00B33365"/>
    <w:rsid w:val="00B3553F"/>
    <w:rsid w:val="00B35759"/>
    <w:rsid w:val="00B35C4E"/>
    <w:rsid w:val="00B361A7"/>
    <w:rsid w:val="00B36E7E"/>
    <w:rsid w:val="00B37952"/>
    <w:rsid w:val="00B4300C"/>
    <w:rsid w:val="00B5293D"/>
    <w:rsid w:val="00B560A0"/>
    <w:rsid w:val="00B5715A"/>
    <w:rsid w:val="00B57550"/>
    <w:rsid w:val="00B578F8"/>
    <w:rsid w:val="00B57B36"/>
    <w:rsid w:val="00B602B2"/>
    <w:rsid w:val="00B61F54"/>
    <w:rsid w:val="00B62A44"/>
    <w:rsid w:val="00B62CA2"/>
    <w:rsid w:val="00B630E0"/>
    <w:rsid w:val="00B63FA3"/>
    <w:rsid w:val="00B66709"/>
    <w:rsid w:val="00B71811"/>
    <w:rsid w:val="00B810CF"/>
    <w:rsid w:val="00B830FB"/>
    <w:rsid w:val="00B85231"/>
    <w:rsid w:val="00B8686D"/>
    <w:rsid w:val="00B87324"/>
    <w:rsid w:val="00B877CA"/>
    <w:rsid w:val="00B933C5"/>
    <w:rsid w:val="00B9485B"/>
    <w:rsid w:val="00B95175"/>
    <w:rsid w:val="00B9555F"/>
    <w:rsid w:val="00B95AE9"/>
    <w:rsid w:val="00B95CFA"/>
    <w:rsid w:val="00B973F1"/>
    <w:rsid w:val="00B9798F"/>
    <w:rsid w:val="00BA1269"/>
    <w:rsid w:val="00BA68F4"/>
    <w:rsid w:val="00BA7292"/>
    <w:rsid w:val="00BB2365"/>
    <w:rsid w:val="00BC0676"/>
    <w:rsid w:val="00BC2916"/>
    <w:rsid w:val="00BC30C9"/>
    <w:rsid w:val="00BC3126"/>
    <w:rsid w:val="00BC568D"/>
    <w:rsid w:val="00BC7170"/>
    <w:rsid w:val="00BD44FF"/>
    <w:rsid w:val="00BE03BD"/>
    <w:rsid w:val="00BE18BC"/>
    <w:rsid w:val="00BE1D13"/>
    <w:rsid w:val="00BE3E58"/>
    <w:rsid w:val="00BF2BF9"/>
    <w:rsid w:val="00BF3D70"/>
    <w:rsid w:val="00BF7D6F"/>
    <w:rsid w:val="00C00924"/>
    <w:rsid w:val="00C01616"/>
    <w:rsid w:val="00C0162B"/>
    <w:rsid w:val="00C04D40"/>
    <w:rsid w:val="00C06FD0"/>
    <w:rsid w:val="00C10081"/>
    <w:rsid w:val="00C137C3"/>
    <w:rsid w:val="00C16BE3"/>
    <w:rsid w:val="00C214DA"/>
    <w:rsid w:val="00C21FF2"/>
    <w:rsid w:val="00C22396"/>
    <w:rsid w:val="00C22FA9"/>
    <w:rsid w:val="00C25B67"/>
    <w:rsid w:val="00C31556"/>
    <w:rsid w:val="00C33809"/>
    <w:rsid w:val="00C33F25"/>
    <w:rsid w:val="00C34024"/>
    <w:rsid w:val="00C345B1"/>
    <w:rsid w:val="00C348EB"/>
    <w:rsid w:val="00C353E2"/>
    <w:rsid w:val="00C3616C"/>
    <w:rsid w:val="00C37A2F"/>
    <w:rsid w:val="00C40142"/>
    <w:rsid w:val="00C41816"/>
    <w:rsid w:val="00C456A7"/>
    <w:rsid w:val="00C465CC"/>
    <w:rsid w:val="00C546D1"/>
    <w:rsid w:val="00C57182"/>
    <w:rsid w:val="00C57863"/>
    <w:rsid w:val="00C579ED"/>
    <w:rsid w:val="00C62E4B"/>
    <w:rsid w:val="00C6334C"/>
    <w:rsid w:val="00C64ED3"/>
    <w:rsid w:val="00C655FD"/>
    <w:rsid w:val="00C659A4"/>
    <w:rsid w:val="00C6603B"/>
    <w:rsid w:val="00C67AF4"/>
    <w:rsid w:val="00C7111C"/>
    <w:rsid w:val="00C73511"/>
    <w:rsid w:val="00C739B3"/>
    <w:rsid w:val="00C74829"/>
    <w:rsid w:val="00C773C4"/>
    <w:rsid w:val="00C7754F"/>
    <w:rsid w:val="00C80033"/>
    <w:rsid w:val="00C8175D"/>
    <w:rsid w:val="00C82CB7"/>
    <w:rsid w:val="00C870A8"/>
    <w:rsid w:val="00C907C2"/>
    <w:rsid w:val="00C90EA7"/>
    <w:rsid w:val="00C94434"/>
    <w:rsid w:val="00C96907"/>
    <w:rsid w:val="00C96A16"/>
    <w:rsid w:val="00CA0D75"/>
    <w:rsid w:val="00CA1C95"/>
    <w:rsid w:val="00CA292D"/>
    <w:rsid w:val="00CA3473"/>
    <w:rsid w:val="00CA4A70"/>
    <w:rsid w:val="00CA5A9C"/>
    <w:rsid w:val="00CB04DD"/>
    <w:rsid w:val="00CC055E"/>
    <w:rsid w:val="00CC40EA"/>
    <w:rsid w:val="00CC542C"/>
    <w:rsid w:val="00CC752C"/>
    <w:rsid w:val="00CD00CA"/>
    <w:rsid w:val="00CD0125"/>
    <w:rsid w:val="00CD1039"/>
    <w:rsid w:val="00CD1295"/>
    <w:rsid w:val="00CD3517"/>
    <w:rsid w:val="00CD5A00"/>
    <w:rsid w:val="00CD5FE2"/>
    <w:rsid w:val="00CD7B6F"/>
    <w:rsid w:val="00CD7D5D"/>
    <w:rsid w:val="00CE5F13"/>
    <w:rsid w:val="00CE6AE3"/>
    <w:rsid w:val="00CE7C68"/>
    <w:rsid w:val="00CF4BDE"/>
    <w:rsid w:val="00D0123B"/>
    <w:rsid w:val="00D016CD"/>
    <w:rsid w:val="00D01D44"/>
    <w:rsid w:val="00D02B4C"/>
    <w:rsid w:val="00D040C4"/>
    <w:rsid w:val="00D04568"/>
    <w:rsid w:val="00D05126"/>
    <w:rsid w:val="00D05617"/>
    <w:rsid w:val="00D078C7"/>
    <w:rsid w:val="00D07C4D"/>
    <w:rsid w:val="00D07D8E"/>
    <w:rsid w:val="00D137EA"/>
    <w:rsid w:val="00D14E3C"/>
    <w:rsid w:val="00D15090"/>
    <w:rsid w:val="00D16E05"/>
    <w:rsid w:val="00D21136"/>
    <w:rsid w:val="00D2294C"/>
    <w:rsid w:val="00D251D0"/>
    <w:rsid w:val="00D2606F"/>
    <w:rsid w:val="00D27508"/>
    <w:rsid w:val="00D301DA"/>
    <w:rsid w:val="00D307FC"/>
    <w:rsid w:val="00D33773"/>
    <w:rsid w:val="00D47AB5"/>
    <w:rsid w:val="00D510F6"/>
    <w:rsid w:val="00D549F6"/>
    <w:rsid w:val="00D577CD"/>
    <w:rsid w:val="00D57C84"/>
    <w:rsid w:val="00D6057D"/>
    <w:rsid w:val="00D6286C"/>
    <w:rsid w:val="00D66C5D"/>
    <w:rsid w:val="00D70643"/>
    <w:rsid w:val="00D71017"/>
    <w:rsid w:val="00D72262"/>
    <w:rsid w:val="00D76100"/>
    <w:rsid w:val="00D81751"/>
    <w:rsid w:val="00D829EC"/>
    <w:rsid w:val="00D837CD"/>
    <w:rsid w:val="00D84576"/>
    <w:rsid w:val="00D9299D"/>
    <w:rsid w:val="00D92CF1"/>
    <w:rsid w:val="00D93C04"/>
    <w:rsid w:val="00D941E8"/>
    <w:rsid w:val="00D97866"/>
    <w:rsid w:val="00D97DA5"/>
    <w:rsid w:val="00DA1399"/>
    <w:rsid w:val="00DA24C6"/>
    <w:rsid w:val="00DA2BE0"/>
    <w:rsid w:val="00DA3FA5"/>
    <w:rsid w:val="00DA4260"/>
    <w:rsid w:val="00DA4D7B"/>
    <w:rsid w:val="00DA5BFF"/>
    <w:rsid w:val="00DB3BD2"/>
    <w:rsid w:val="00DB448C"/>
    <w:rsid w:val="00DB4F36"/>
    <w:rsid w:val="00DB6F9E"/>
    <w:rsid w:val="00DC49D1"/>
    <w:rsid w:val="00DC569E"/>
    <w:rsid w:val="00DD393B"/>
    <w:rsid w:val="00DD6CA3"/>
    <w:rsid w:val="00DE00FD"/>
    <w:rsid w:val="00DE0CD0"/>
    <w:rsid w:val="00DE231A"/>
    <w:rsid w:val="00DE264A"/>
    <w:rsid w:val="00DE49C8"/>
    <w:rsid w:val="00DE53A1"/>
    <w:rsid w:val="00DE53CF"/>
    <w:rsid w:val="00DE5FD7"/>
    <w:rsid w:val="00DE704F"/>
    <w:rsid w:val="00DF091A"/>
    <w:rsid w:val="00DF31C8"/>
    <w:rsid w:val="00DF486F"/>
    <w:rsid w:val="00DF6356"/>
    <w:rsid w:val="00E02D18"/>
    <w:rsid w:val="00E0320D"/>
    <w:rsid w:val="00E03F37"/>
    <w:rsid w:val="00E041E7"/>
    <w:rsid w:val="00E15128"/>
    <w:rsid w:val="00E172D6"/>
    <w:rsid w:val="00E23CA1"/>
    <w:rsid w:val="00E27806"/>
    <w:rsid w:val="00E33AE0"/>
    <w:rsid w:val="00E409A8"/>
    <w:rsid w:val="00E40AFD"/>
    <w:rsid w:val="00E45D5A"/>
    <w:rsid w:val="00E50398"/>
    <w:rsid w:val="00E50C12"/>
    <w:rsid w:val="00E51960"/>
    <w:rsid w:val="00E5350C"/>
    <w:rsid w:val="00E5386E"/>
    <w:rsid w:val="00E549CB"/>
    <w:rsid w:val="00E60025"/>
    <w:rsid w:val="00E623E0"/>
    <w:rsid w:val="00E64BBE"/>
    <w:rsid w:val="00E656CE"/>
    <w:rsid w:val="00E65B91"/>
    <w:rsid w:val="00E716E1"/>
    <w:rsid w:val="00E7209D"/>
    <w:rsid w:val="00E72FF4"/>
    <w:rsid w:val="00E74D95"/>
    <w:rsid w:val="00E77223"/>
    <w:rsid w:val="00E80372"/>
    <w:rsid w:val="00E82A1B"/>
    <w:rsid w:val="00E82D73"/>
    <w:rsid w:val="00E8528B"/>
    <w:rsid w:val="00E85B94"/>
    <w:rsid w:val="00E8633F"/>
    <w:rsid w:val="00E93B00"/>
    <w:rsid w:val="00E978D0"/>
    <w:rsid w:val="00E97C5B"/>
    <w:rsid w:val="00EA339F"/>
    <w:rsid w:val="00EA3840"/>
    <w:rsid w:val="00EA3875"/>
    <w:rsid w:val="00EA4613"/>
    <w:rsid w:val="00EA6152"/>
    <w:rsid w:val="00EA6370"/>
    <w:rsid w:val="00EA7F91"/>
    <w:rsid w:val="00EB1523"/>
    <w:rsid w:val="00EB403C"/>
    <w:rsid w:val="00EB6609"/>
    <w:rsid w:val="00EB6748"/>
    <w:rsid w:val="00EC0E49"/>
    <w:rsid w:val="00EC2CB9"/>
    <w:rsid w:val="00EC4731"/>
    <w:rsid w:val="00EC5C1A"/>
    <w:rsid w:val="00ED007A"/>
    <w:rsid w:val="00EE0131"/>
    <w:rsid w:val="00EE23BF"/>
    <w:rsid w:val="00EE41A0"/>
    <w:rsid w:val="00EE5508"/>
    <w:rsid w:val="00EE585D"/>
    <w:rsid w:val="00EE79DD"/>
    <w:rsid w:val="00EF1CB8"/>
    <w:rsid w:val="00EF2222"/>
    <w:rsid w:val="00EF55E0"/>
    <w:rsid w:val="00F00EA8"/>
    <w:rsid w:val="00F01DBE"/>
    <w:rsid w:val="00F01FDE"/>
    <w:rsid w:val="00F02280"/>
    <w:rsid w:val="00F05CF6"/>
    <w:rsid w:val="00F06EDB"/>
    <w:rsid w:val="00F1417F"/>
    <w:rsid w:val="00F14E44"/>
    <w:rsid w:val="00F155B2"/>
    <w:rsid w:val="00F209B5"/>
    <w:rsid w:val="00F20C2C"/>
    <w:rsid w:val="00F20E0D"/>
    <w:rsid w:val="00F2154D"/>
    <w:rsid w:val="00F23649"/>
    <w:rsid w:val="00F242C2"/>
    <w:rsid w:val="00F30C64"/>
    <w:rsid w:val="00F3271B"/>
    <w:rsid w:val="00F32CDB"/>
    <w:rsid w:val="00F3627B"/>
    <w:rsid w:val="00F378DA"/>
    <w:rsid w:val="00F4475F"/>
    <w:rsid w:val="00F5071E"/>
    <w:rsid w:val="00F52893"/>
    <w:rsid w:val="00F52C63"/>
    <w:rsid w:val="00F55137"/>
    <w:rsid w:val="00F563CC"/>
    <w:rsid w:val="00F575A6"/>
    <w:rsid w:val="00F611CA"/>
    <w:rsid w:val="00F63A70"/>
    <w:rsid w:val="00F63C3A"/>
    <w:rsid w:val="00F63EC0"/>
    <w:rsid w:val="00F678BC"/>
    <w:rsid w:val="00F7052B"/>
    <w:rsid w:val="00F711EF"/>
    <w:rsid w:val="00F7175B"/>
    <w:rsid w:val="00F75671"/>
    <w:rsid w:val="00F766B5"/>
    <w:rsid w:val="00F868A1"/>
    <w:rsid w:val="00F91A43"/>
    <w:rsid w:val="00F957F9"/>
    <w:rsid w:val="00F960E0"/>
    <w:rsid w:val="00F97B8B"/>
    <w:rsid w:val="00FA1A29"/>
    <w:rsid w:val="00FA21D0"/>
    <w:rsid w:val="00FA5F5F"/>
    <w:rsid w:val="00FB06B0"/>
    <w:rsid w:val="00FB06EF"/>
    <w:rsid w:val="00FB1757"/>
    <w:rsid w:val="00FB1E00"/>
    <w:rsid w:val="00FB458B"/>
    <w:rsid w:val="00FB730C"/>
    <w:rsid w:val="00FC2695"/>
    <w:rsid w:val="00FC3E03"/>
    <w:rsid w:val="00FC3FC1"/>
    <w:rsid w:val="00FC4DD1"/>
    <w:rsid w:val="00FC5A33"/>
    <w:rsid w:val="00FC6E97"/>
    <w:rsid w:val="00FD2977"/>
    <w:rsid w:val="00FD2CF5"/>
    <w:rsid w:val="00FD2F17"/>
    <w:rsid w:val="00FD4430"/>
    <w:rsid w:val="00FD5EDB"/>
    <w:rsid w:val="00FD61C4"/>
    <w:rsid w:val="00FE14CA"/>
    <w:rsid w:val="00FE2278"/>
    <w:rsid w:val="00FE6531"/>
    <w:rsid w:val="00FF364A"/>
    <w:rsid w:val="00FF6403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D7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563F70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4577F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unhideWhenUs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3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Fontepargpadr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7643"/>
    <w:rPr>
      <w:color w:val="605E5C"/>
      <w:shd w:val="clear" w:color="auto" w:fill="E1DFDD"/>
    </w:rPr>
  </w:style>
  <w:style w:type="paragraph" w:customStyle="1" w:styleId="Default">
    <w:name w:val="Default"/>
    <w:rsid w:val="00C9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07665C"/>
    <w:rPr>
      <w:color w:val="808080"/>
    </w:rPr>
  </w:style>
  <w:style w:type="character" w:customStyle="1" w:styleId="tlid-translation">
    <w:name w:val="tlid-translation"/>
    <w:basedOn w:val="Fontepargpadro"/>
    <w:rsid w:val="0090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4990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hyperlink" Target="mailto:marciomes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1331-0EBF-4C65-91E5-5A497FDD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3748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2019-03-29T18:26:00Z</dcterms:created>
  <dcterms:modified xsi:type="dcterms:W3CDTF">2019-04-11T13:35:00Z</dcterms:modified>
</cp:coreProperties>
</file>