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D5AB603" w14:textId="77777777">
        <w:trPr>
          <w:trHeight w:val="852"/>
          <w:jc w:val="center"/>
        </w:trPr>
        <w:tc>
          <w:tcPr>
            <w:tcW w:w="6946" w:type="dxa"/>
            <w:vMerge w:val="restart"/>
            <w:tcBorders>
              <w:right w:val="single" w:sz="4" w:space="0" w:color="auto"/>
            </w:tcBorders>
          </w:tcPr>
          <w:p w14:paraId="4B5BBEE8"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10BD57EA" wp14:editId="4AE2745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9B7AF23"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36C697E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7BBF1A23" w14:textId="77777777" w:rsidR="000A03B2" w:rsidRPr="00B57B36" w:rsidRDefault="000A03B2" w:rsidP="00CD5FE2">
            <w:pPr>
              <w:jc w:val="right"/>
            </w:pPr>
            <w:r w:rsidRPr="00B57B36">
              <w:rPr>
                <w:noProof/>
                <w:lang w:val="it-IT" w:eastAsia="it-IT"/>
              </w:rPr>
              <w:drawing>
                <wp:inline distT="0" distB="0" distL="0" distR="0" wp14:anchorId="6C9505C4" wp14:editId="2C0B0ED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40F3FD9" w14:textId="77777777">
        <w:trPr>
          <w:trHeight w:val="567"/>
          <w:jc w:val="center"/>
        </w:trPr>
        <w:tc>
          <w:tcPr>
            <w:tcW w:w="6946" w:type="dxa"/>
            <w:vMerge/>
            <w:tcBorders>
              <w:right w:val="single" w:sz="4" w:space="0" w:color="auto"/>
            </w:tcBorders>
          </w:tcPr>
          <w:p w14:paraId="4C057053"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7B2F4E6"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769DFBD"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3B93ABD"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722B17BF" w14:textId="77777777">
        <w:trPr>
          <w:trHeight w:val="68"/>
          <w:jc w:val="center"/>
        </w:trPr>
        <w:tc>
          <w:tcPr>
            <w:tcW w:w="8789" w:type="dxa"/>
            <w:gridSpan w:val="2"/>
          </w:tcPr>
          <w:p w14:paraId="381143D8"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9649169"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A3AF9D6"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438F85E5" w14:textId="77777777" w:rsidR="00E978D0" w:rsidRPr="00B57B36" w:rsidRDefault="005A309A" w:rsidP="00E978D0">
      <w:pPr>
        <w:pStyle w:val="CETTitle"/>
      </w:pPr>
      <w:r>
        <w:t>Development of an antimicrobial peptide-based biosensor for the monitoring of bacterial contaminations</w:t>
      </w:r>
      <w:r w:rsidR="00600535" w:rsidRPr="00B57B36">
        <w:t xml:space="preserve"> </w:t>
      </w:r>
    </w:p>
    <w:p w14:paraId="74108578" w14:textId="77777777" w:rsidR="00E978D0" w:rsidRPr="00B57B36" w:rsidRDefault="005A309A" w:rsidP="00AB5011">
      <w:pPr>
        <w:pStyle w:val="CETAuthors"/>
      </w:pPr>
      <w:r>
        <w:t>Donatella Albanese</w:t>
      </w:r>
      <w:r w:rsidR="00600535" w:rsidRPr="00B57B36">
        <w:rPr>
          <w:vertAlign w:val="superscript"/>
        </w:rPr>
        <w:t>a</w:t>
      </w:r>
      <w:r w:rsidR="00600535" w:rsidRPr="00B57B36">
        <w:t xml:space="preserve">, </w:t>
      </w:r>
      <w:r>
        <w:t>Francesca Garofalo</w:t>
      </w:r>
      <w:r w:rsidR="00600535" w:rsidRPr="00B57B36">
        <w:rPr>
          <w:vertAlign w:val="superscript"/>
        </w:rPr>
        <w:t>b,</w:t>
      </w:r>
      <w:r>
        <w:t>, Roberto Pilloton</w:t>
      </w:r>
      <w:r>
        <w:rPr>
          <w:vertAlign w:val="superscript"/>
        </w:rPr>
        <w:t>c</w:t>
      </w:r>
      <w:r>
        <w:t>, Salvatore Capo</w:t>
      </w:r>
      <w:r w:rsidRPr="00B57B36">
        <w:rPr>
          <w:vertAlign w:val="superscript"/>
        </w:rPr>
        <w:t>b</w:t>
      </w:r>
      <w:r>
        <w:t>, Francesca Malvano</w:t>
      </w:r>
      <w:r w:rsidRPr="00B57B36">
        <w:rPr>
          <w:vertAlign w:val="superscript"/>
        </w:rPr>
        <w:t>a</w:t>
      </w:r>
      <w:r>
        <w:rPr>
          <w:vertAlign w:val="superscript"/>
        </w:rPr>
        <w:t>*</w:t>
      </w:r>
    </w:p>
    <w:p w14:paraId="38DD4049" w14:textId="77777777" w:rsidR="00E978D0" w:rsidRPr="00B57B36" w:rsidRDefault="00E978D0" w:rsidP="00E978D0">
      <w:pPr>
        <w:pStyle w:val="CETAddress"/>
      </w:pPr>
      <w:r w:rsidRPr="00B57B36">
        <w:rPr>
          <w:vertAlign w:val="superscript"/>
        </w:rPr>
        <w:t>a</w:t>
      </w:r>
      <w:r w:rsidR="005A309A" w:rsidRPr="005A309A">
        <w:rPr>
          <w:i/>
          <w:noProof w:val="0"/>
          <w:vertAlign w:val="superscript"/>
        </w:rPr>
        <w:t xml:space="preserve"> </w:t>
      </w:r>
      <w:r w:rsidR="005A309A" w:rsidRPr="007D3767">
        <w:rPr>
          <w:noProof w:val="0"/>
        </w:rPr>
        <w:t>Department of Industrial Engineering, University of Salerno, Via Giovanni Paolo II, 132, Fisciano (SA), Italy</w:t>
      </w:r>
    </w:p>
    <w:p w14:paraId="1AF7F562" w14:textId="77777777" w:rsidR="005A309A" w:rsidRDefault="00E978D0" w:rsidP="005A309A">
      <w:pPr>
        <w:pStyle w:val="CETAddress"/>
      </w:pPr>
      <w:r w:rsidRPr="00B57B36">
        <w:rPr>
          <w:vertAlign w:val="superscript"/>
        </w:rPr>
        <w:t>b</w:t>
      </w:r>
      <w:r w:rsidR="005A309A" w:rsidRPr="005A309A">
        <w:rPr>
          <w:rFonts w:asciiTheme="minorHAnsi" w:eastAsiaTheme="minorHAnsi" w:hAnsiTheme="minorHAnsi" w:cstheme="minorBidi"/>
          <w:i/>
          <w:noProof w:val="0"/>
          <w:sz w:val="22"/>
          <w:szCs w:val="22"/>
          <w:vertAlign w:val="superscript"/>
          <w:lang w:val="it-IT"/>
        </w:rPr>
        <w:t xml:space="preserve"> </w:t>
      </w:r>
      <w:r w:rsidR="005A309A" w:rsidRPr="005A309A">
        <w:rPr>
          <w:lang w:val="it-IT"/>
        </w:rPr>
        <w:t>Istituto Zooprofilattico Sperimentale del Mezzogiorno, Dipartimento Ispezione degli Alimenti, vi</w:t>
      </w:r>
      <w:r w:rsidR="005A309A">
        <w:rPr>
          <w:lang w:val="it-IT"/>
        </w:rPr>
        <w:t>a Salute 2, 80055 Portici (NA), Italy</w:t>
      </w:r>
      <w:r w:rsidR="00AB5011">
        <w:t xml:space="preserve"> </w:t>
      </w:r>
    </w:p>
    <w:p w14:paraId="358D614E" w14:textId="77777777" w:rsidR="005A309A" w:rsidRDefault="005A309A" w:rsidP="005A309A">
      <w:pPr>
        <w:pStyle w:val="CETAddress"/>
      </w:pPr>
      <w:r w:rsidRPr="005A309A">
        <w:rPr>
          <w:vertAlign w:val="superscript"/>
        </w:rPr>
        <w:t>c</w:t>
      </w:r>
      <w:r>
        <w:rPr>
          <w:vertAlign w:val="superscript"/>
        </w:rPr>
        <w:t xml:space="preserve"> </w:t>
      </w:r>
      <w:r w:rsidRPr="005A309A">
        <w:rPr>
          <w:lang w:val="it-IT"/>
        </w:rPr>
        <w:t>Insititute of Crystallography of the National Council of Research (CNR), 00015</w:t>
      </w:r>
      <w:r>
        <w:rPr>
          <w:lang w:val="it-IT"/>
        </w:rPr>
        <w:t xml:space="preserve"> Monterotondo Scalo (RM), Italy</w:t>
      </w:r>
    </w:p>
    <w:p w14:paraId="0BDAC9BA" w14:textId="77777777" w:rsidR="00E978D0" w:rsidRDefault="0011342F" w:rsidP="005A309A">
      <w:pPr>
        <w:pStyle w:val="CETAddress"/>
      </w:pPr>
      <w:hyperlink r:id="rId10" w:history="1">
        <w:r w:rsidR="005A309A" w:rsidRPr="00DF5745">
          <w:rPr>
            <w:rStyle w:val="Collegamentoipertestuale"/>
          </w:rPr>
          <w:t>fmalvano@unisa.it</w:t>
        </w:r>
      </w:hyperlink>
      <w:r w:rsidR="00600535" w:rsidRPr="00B57B36">
        <w:t xml:space="preserve"> </w:t>
      </w:r>
    </w:p>
    <w:p w14:paraId="6379969F" w14:textId="77777777" w:rsidR="005A309A" w:rsidRPr="00B57B36" w:rsidRDefault="005A309A" w:rsidP="005A309A">
      <w:pPr>
        <w:pStyle w:val="CETAddress"/>
      </w:pPr>
    </w:p>
    <w:p w14:paraId="518FE12B" w14:textId="1A9481EB" w:rsidR="00EE08F4" w:rsidRDefault="00EE08F4" w:rsidP="00EE08F4">
      <w:pPr>
        <w:pStyle w:val="CETBodytext"/>
        <w:rPr>
          <w:lang w:val="en-GB"/>
        </w:rPr>
      </w:pPr>
      <w:r w:rsidRPr="00A6694A">
        <w:rPr>
          <w:lang w:val="en-GB"/>
        </w:rPr>
        <w:t>Nisin is a cationic amphiphilic peptide consisting of 34 amino acids with a cluster of hydrophobic residues at the N-terminus and hydrophilic residues at the C-terminus</w:t>
      </w:r>
      <w:r w:rsidR="00FD7B65">
        <w:rPr>
          <w:lang w:val="en-GB"/>
        </w:rPr>
        <w:t>.</w:t>
      </w:r>
      <w:r w:rsidRPr="00A6694A">
        <w:rPr>
          <w:lang w:val="en-GB"/>
        </w:rPr>
        <w:t xml:space="preserve"> </w:t>
      </w:r>
      <w:r w:rsidR="00FD7B65" w:rsidRPr="00FD7B65">
        <w:rPr>
          <w:lang w:val="en-GB"/>
        </w:rPr>
        <w:t>The mechanism of its action is based on its ability to attach to the bacteria cell membrane before to then cause cell lysis</w:t>
      </w:r>
      <w:r w:rsidRPr="00A6694A">
        <w:rPr>
          <w:lang w:val="en-GB"/>
        </w:rPr>
        <w:t>. This antimicrobial peptide was used as biological molecule for the development of</w:t>
      </w:r>
      <w:r w:rsidR="00827DAA">
        <w:rPr>
          <w:lang w:val="en-GB"/>
        </w:rPr>
        <w:t xml:space="preserve"> a novel </w:t>
      </w:r>
      <w:r w:rsidRPr="00A6694A">
        <w:rPr>
          <w:lang w:val="en-GB"/>
        </w:rPr>
        <w:t>impedimetric label-free biosensor for the monitoring of bacterial contamina</w:t>
      </w:r>
      <w:r>
        <w:rPr>
          <w:lang w:val="en-GB"/>
        </w:rPr>
        <w:t>tion. T</w:t>
      </w:r>
      <w:r w:rsidRPr="00D43BC0">
        <w:rPr>
          <w:lang w:val="en-GB"/>
        </w:rPr>
        <w:t xml:space="preserve">he binding affinities of Nisin immobilized </w:t>
      </w:r>
      <w:r>
        <w:rPr>
          <w:lang w:val="en-GB"/>
        </w:rPr>
        <w:t>with its N-</w:t>
      </w:r>
      <w:r w:rsidRPr="00D43BC0">
        <w:rPr>
          <w:lang w:val="en-GB"/>
        </w:rPr>
        <w:t xml:space="preserve">terminus </w:t>
      </w:r>
      <w:r>
        <w:rPr>
          <w:lang w:val="en-GB"/>
        </w:rPr>
        <w:t>and C-</w:t>
      </w:r>
      <w:r w:rsidRPr="00D43BC0">
        <w:rPr>
          <w:lang w:val="en-GB"/>
        </w:rPr>
        <w:t>terminus were compa</w:t>
      </w:r>
      <w:r>
        <w:rPr>
          <w:lang w:val="en-GB"/>
        </w:rPr>
        <w:t>r</w:t>
      </w:r>
      <w:r w:rsidRPr="00D43BC0">
        <w:rPr>
          <w:lang w:val="en-GB"/>
        </w:rPr>
        <w:t>ed</w:t>
      </w:r>
      <w:r>
        <w:rPr>
          <w:lang w:val="en-GB"/>
        </w:rPr>
        <w:t xml:space="preserve">, highlighting the capability of the last configuration to obtain the best analytical performance of the </w:t>
      </w:r>
      <w:r w:rsidR="001A3A0A">
        <w:rPr>
          <w:lang w:val="en-GB"/>
        </w:rPr>
        <w:t xml:space="preserve">developed </w:t>
      </w:r>
      <w:r>
        <w:rPr>
          <w:lang w:val="en-GB"/>
        </w:rPr>
        <w:t xml:space="preserve">biosensor when </w:t>
      </w:r>
      <w:r w:rsidR="001A3A0A" w:rsidRPr="00A14C57">
        <w:rPr>
          <w:lang w:val="en-GB"/>
        </w:rPr>
        <w:t>non</w:t>
      </w:r>
      <w:r w:rsidR="00FD7B65">
        <w:rPr>
          <w:lang w:val="en-GB"/>
        </w:rPr>
        <w:t>-</w:t>
      </w:r>
      <w:r w:rsidR="001A3A0A" w:rsidRPr="00A14C57">
        <w:rPr>
          <w:lang w:val="en-GB"/>
        </w:rPr>
        <w:t xml:space="preserve">pathogenic </w:t>
      </w:r>
      <w:r w:rsidRPr="00A14C57">
        <w:rPr>
          <w:i/>
          <w:lang w:val="en-GB"/>
        </w:rPr>
        <w:t xml:space="preserve">Escherichia Coli </w:t>
      </w:r>
      <w:r w:rsidRPr="00A14C57">
        <w:rPr>
          <w:lang w:val="en-GB"/>
        </w:rPr>
        <w:t>O157:H7</w:t>
      </w:r>
      <w:r w:rsidRPr="00A14C57">
        <w:rPr>
          <w:i/>
          <w:lang w:val="en-GB"/>
        </w:rPr>
        <w:t xml:space="preserve"> </w:t>
      </w:r>
      <w:r w:rsidRPr="00A14C57">
        <w:rPr>
          <w:lang w:val="en-GB"/>
        </w:rPr>
        <w:t xml:space="preserve">and </w:t>
      </w:r>
      <w:r w:rsidRPr="00A14C57">
        <w:rPr>
          <w:i/>
          <w:lang w:val="en-GB"/>
        </w:rPr>
        <w:t xml:space="preserve">Listeria </w:t>
      </w:r>
      <w:r w:rsidR="001A3A0A" w:rsidRPr="00A14C57">
        <w:rPr>
          <w:i/>
          <w:lang w:val="en-GB"/>
        </w:rPr>
        <w:t>innocua</w:t>
      </w:r>
      <w:r w:rsidRPr="00A14C57">
        <w:rPr>
          <w:i/>
          <w:lang w:val="en-GB"/>
        </w:rPr>
        <w:t xml:space="preserve"> </w:t>
      </w:r>
      <w:r w:rsidRPr="00A14C57">
        <w:rPr>
          <w:lang w:val="en-GB"/>
        </w:rPr>
        <w:t>cells were investigated.</w:t>
      </w:r>
      <w:r w:rsidR="001A3A0A">
        <w:rPr>
          <w:lang w:val="en-GB"/>
        </w:rPr>
        <w:t xml:space="preserve"> </w:t>
      </w:r>
    </w:p>
    <w:p w14:paraId="31226AF7" w14:textId="77777777" w:rsidR="00600535" w:rsidRPr="00B57B36" w:rsidRDefault="00600535" w:rsidP="00600535">
      <w:pPr>
        <w:pStyle w:val="CETHeading1"/>
        <w:rPr>
          <w:lang w:val="en-GB"/>
        </w:rPr>
      </w:pPr>
      <w:r w:rsidRPr="00B57B36">
        <w:rPr>
          <w:lang w:val="en-GB"/>
        </w:rPr>
        <w:t>Introduction</w:t>
      </w:r>
    </w:p>
    <w:p w14:paraId="35B56173" w14:textId="6A9B8E77" w:rsidR="001B1DA2" w:rsidRDefault="001B1DA2" w:rsidP="001B1DA2">
      <w:pPr>
        <w:pStyle w:val="Default"/>
        <w:spacing w:line="264" w:lineRule="auto"/>
        <w:jc w:val="both"/>
        <w:rPr>
          <w:rFonts w:ascii="Arial" w:hAnsi="Arial" w:cs="Arial"/>
          <w:sz w:val="18"/>
          <w:szCs w:val="18"/>
          <w:lang w:val="en-GB"/>
        </w:rPr>
      </w:pPr>
      <w:r>
        <w:rPr>
          <w:rFonts w:ascii="Arial" w:hAnsi="Arial" w:cs="Arial"/>
          <w:sz w:val="18"/>
          <w:szCs w:val="18"/>
          <w:lang w:val="en-GB"/>
        </w:rPr>
        <w:t>More than 200 known diseases are transmitted through food by a variety of agents that include bacteria, fungi, viruses and parasites. According to food safety experts, each year millions of illnesses in the world can be traced to foodborne pathogens; the risk of foodborne illness has increased markedly over the last 30 year</w:t>
      </w:r>
      <w:r w:rsidR="00650F5F">
        <w:rPr>
          <w:rFonts w:ascii="Arial" w:hAnsi="Arial" w:cs="Arial"/>
          <w:sz w:val="18"/>
          <w:szCs w:val="18"/>
          <w:lang w:val="en-GB"/>
        </w:rPr>
        <w:t>s</w:t>
      </w:r>
      <w:r>
        <w:rPr>
          <w:rFonts w:ascii="Arial" w:hAnsi="Arial" w:cs="Arial"/>
          <w:sz w:val="18"/>
          <w:szCs w:val="18"/>
          <w:lang w:val="en-GB"/>
        </w:rPr>
        <w:t>, with nearly a quarter of the population at higher risk for illness today (</w:t>
      </w:r>
      <w:r w:rsidR="008F1CED">
        <w:rPr>
          <w:rFonts w:ascii="Arial" w:hAnsi="Arial" w:cs="Arial"/>
          <w:sz w:val="18"/>
          <w:szCs w:val="18"/>
          <w:lang w:val="en-GB"/>
        </w:rPr>
        <w:t>Wei Ling,</w:t>
      </w:r>
      <w:r>
        <w:rPr>
          <w:rFonts w:ascii="Arial" w:hAnsi="Arial" w:cs="Arial"/>
          <w:sz w:val="18"/>
          <w:szCs w:val="18"/>
          <w:lang w:val="en-GB"/>
        </w:rPr>
        <w:t xml:space="preserve"> 20</w:t>
      </w:r>
      <w:r w:rsidR="008F1CED">
        <w:rPr>
          <w:rFonts w:ascii="Arial" w:hAnsi="Arial" w:cs="Arial"/>
          <w:sz w:val="18"/>
          <w:szCs w:val="18"/>
          <w:lang w:val="en-GB"/>
        </w:rPr>
        <w:t>18</w:t>
      </w:r>
      <w:r>
        <w:rPr>
          <w:rFonts w:ascii="Arial" w:hAnsi="Arial" w:cs="Arial"/>
          <w:sz w:val="18"/>
          <w:szCs w:val="18"/>
          <w:lang w:val="en-GB"/>
        </w:rPr>
        <w:t xml:space="preserve">). Consequently, preventing illness and death associated with foodborne pathogens remains a major public health challenge. </w:t>
      </w:r>
    </w:p>
    <w:p w14:paraId="0A685697" w14:textId="1291F65B" w:rsidR="001B1DA2" w:rsidRDefault="001B1DA2" w:rsidP="001B1DA2">
      <w:pPr>
        <w:pStyle w:val="Default"/>
        <w:spacing w:line="264" w:lineRule="auto"/>
        <w:jc w:val="both"/>
        <w:rPr>
          <w:rFonts w:ascii="Arial" w:hAnsi="Arial" w:cs="Arial"/>
          <w:sz w:val="18"/>
          <w:szCs w:val="18"/>
          <w:lang w:val="en-GB"/>
        </w:rPr>
      </w:pPr>
      <w:r>
        <w:rPr>
          <w:rFonts w:ascii="Arial" w:hAnsi="Arial" w:cs="Arial"/>
          <w:sz w:val="18"/>
          <w:szCs w:val="18"/>
          <w:lang w:val="en-GB"/>
        </w:rPr>
        <w:t xml:space="preserve">Classical identification methods for pathogenic bacteria involve several steps: selective culture, Gram staining, as well as biochemical and/or serological tests. They are still considered as </w:t>
      </w:r>
      <w:r w:rsidRPr="001B21B7">
        <w:rPr>
          <w:rFonts w:ascii="Arial" w:hAnsi="Arial" w:cs="Arial"/>
          <w:color w:val="auto"/>
          <w:sz w:val="18"/>
          <w:szCs w:val="18"/>
          <w:lang w:val="en-GB"/>
        </w:rPr>
        <w:t>the best techniques for</w:t>
      </w:r>
      <w:r>
        <w:rPr>
          <w:rFonts w:ascii="Arial" w:hAnsi="Arial" w:cs="Arial"/>
          <w:sz w:val="18"/>
          <w:szCs w:val="18"/>
          <w:lang w:val="en-GB"/>
        </w:rPr>
        <w:t xml:space="preserve"> microbiological detection. However, these assays are </w:t>
      </w:r>
      <w:r w:rsidR="00A6175D">
        <w:rPr>
          <w:rFonts w:ascii="Arial" w:hAnsi="Arial" w:cs="Arial"/>
          <w:sz w:val="18"/>
          <w:szCs w:val="18"/>
          <w:lang w:val="en-GB"/>
        </w:rPr>
        <w:t>labour-intensive</w:t>
      </w:r>
      <w:r>
        <w:rPr>
          <w:rFonts w:ascii="Arial" w:hAnsi="Arial" w:cs="Arial"/>
          <w:sz w:val="18"/>
          <w:szCs w:val="18"/>
          <w:lang w:val="en-GB"/>
        </w:rPr>
        <w:t xml:space="preserve"> and often require 4-7 days to obtain a confirmed result for a particular bacterial strain. The use of real-time PCR, loop-mediated isothermal amplification and Pulsed-Field Gel Electrophoresis makes it possible to obtain a rapid and sensitive analysis. However, these methods have some drawbacks, such as complexity of primer design and requirement of expensive instruments or reagents (Li et al., 2014).</w:t>
      </w:r>
    </w:p>
    <w:p w14:paraId="5FCEA237" w14:textId="7663C1D5" w:rsidR="001B1DA2" w:rsidRPr="00401F45" w:rsidRDefault="001B1DA2" w:rsidP="001B1DA2">
      <w:pPr>
        <w:pStyle w:val="Default"/>
        <w:spacing w:line="264" w:lineRule="auto"/>
        <w:jc w:val="both"/>
        <w:rPr>
          <w:rFonts w:ascii="Arial" w:hAnsi="Arial" w:cs="Arial"/>
          <w:sz w:val="18"/>
          <w:szCs w:val="18"/>
          <w:lang w:val="en-GB"/>
        </w:rPr>
      </w:pPr>
      <w:r>
        <w:rPr>
          <w:rFonts w:ascii="Arial" w:hAnsi="Arial" w:cs="Arial"/>
          <w:sz w:val="18"/>
          <w:szCs w:val="18"/>
          <w:lang w:val="en-GB"/>
        </w:rPr>
        <w:t xml:space="preserve">In recent years, immunosensors have played increasingly important roles in pathogenic bacteria detection; </w:t>
      </w:r>
      <w:r w:rsidR="00650F5F">
        <w:rPr>
          <w:rFonts w:ascii="Arial" w:hAnsi="Arial" w:cs="Arial"/>
          <w:sz w:val="18"/>
          <w:szCs w:val="18"/>
          <w:lang w:val="en-GB"/>
        </w:rPr>
        <w:t>many</w:t>
      </w:r>
      <w:r>
        <w:rPr>
          <w:rFonts w:ascii="Arial" w:hAnsi="Arial" w:cs="Arial"/>
          <w:sz w:val="18"/>
          <w:szCs w:val="18"/>
          <w:lang w:val="en-GB"/>
        </w:rPr>
        <w:t xml:space="preserve"> immunosensors have been developed exploiting the antigenicity of pathogens </w:t>
      </w:r>
      <w:r w:rsidRPr="00302895">
        <w:rPr>
          <w:rFonts w:ascii="Arial" w:hAnsi="Arial" w:cs="Arial"/>
          <w:color w:val="auto"/>
          <w:sz w:val="18"/>
          <w:szCs w:val="18"/>
          <w:lang w:val="en-GB"/>
        </w:rPr>
        <w:t>coupled with fluorescence</w:t>
      </w:r>
      <w:r>
        <w:rPr>
          <w:rFonts w:ascii="Arial" w:hAnsi="Arial" w:cs="Arial"/>
          <w:sz w:val="18"/>
          <w:szCs w:val="18"/>
          <w:lang w:val="en-GB"/>
        </w:rPr>
        <w:t xml:space="preserve"> (Heyduk et al., 2010), surface plasmon resonance (Maalouf et al., 2007; Baccar et al., 2010), quartz crystal microbalance (Guo et al., 2012) and electrochemical impedance (</w:t>
      </w:r>
      <w:r w:rsidR="00827DAA" w:rsidRPr="00876DB1">
        <w:rPr>
          <w:rFonts w:ascii="Arial" w:hAnsi="Arial" w:cs="Arial"/>
          <w:sz w:val="18"/>
          <w:szCs w:val="18"/>
          <w:lang w:val="en-GB"/>
        </w:rPr>
        <w:t>Malvano</w:t>
      </w:r>
      <w:r w:rsidR="001A3A0A" w:rsidRPr="00876DB1">
        <w:rPr>
          <w:rFonts w:ascii="Arial" w:hAnsi="Arial" w:cs="Arial"/>
          <w:sz w:val="18"/>
          <w:szCs w:val="18"/>
          <w:lang w:val="en-GB"/>
        </w:rPr>
        <w:t xml:space="preserve"> et al., 2018</w:t>
      </w:r>
      <w:r w:rsidRPr="00876DB1">
        <w:rPr>
          <w:rFonts w:ascii="Arial" w:hAnsi="Arial" w:cs="Arial"/>
          <w:sz w:val="18"/>
          <w:szCs w:val="18"/>
          <w:lang w:val="en-GB"/>
        </w:rPr>
        <w:t>;</w:t>
      </w:r>
      <w:r>
        <w:rPr>
          <w:rFonts w:ascii="Arial" w:hAnsi="Arial" w:cs="Arial"/>
          <w:sz w:val="18"/>
          <w:szCs w:val="18"/>
          <w:lang w:val="en-GB"/>
        </w:rPr>
        <w:t xml:space="preserve"> Barreiros dos Santos et al., 2013; Maalouf et al.,</w:t>
      </w:r>
      <w:r w:rsidR="00B120D2">
        <w:rPr>
          <w:rFonts w:ascii="Arial" w:hAnsi="Arial" w:cs="Arial"/>
          <w:sz w:val="18"/>
          <w:szCs w:val="18"/>
          <w:lang w:val="en-GB"/>
        </w:rPr>
        <w:t xml:space="preserve"> </w:t>
      </w:r>
      <w:r>
        <w:rPr>
          <w:rFonts w:ascii="Arial" w:hAnsi="Arial" w:cs="Arial"/>
          <w:sz w:val="18"/>
          <w:szCs w:val="18"/>
          <w:lang w:val="en-GB"/>
        </w:rPr>
        <w:t xml:space="preserve">2007) as transduction techniques. However, the instability of antibodies in harsh environment and the </w:t>
      </w:r>
      <w:r w:rsidR="00650F5F">
        <w:rPr>
          <w:rFonts w:ascii="Arial" w:hAnsi="Arial" w:cs="Arial"/>
          <w:sz w:val="18"/>
          <w:szCs w:val="18"/>
          <w:lang w:val="en-GB"/>
        </w:rPr>
        <w:t>disposable</w:t>
      </w:r>
      <w:r>
        <w:rPr>
          <w:rFonts w:ascii="Arial" w:hAnsi="Arial" w:cs="Arial"/>
          <w:sz w:val="18"/>
          <w:szCs w:val="18"/>
          <w:lang w:val="en-GB"/>
        </w:rPr>
        <w:t xml:space="preserve"> nature of most immunosensors limit the practical application of these biosensors. By contrast, the ease of synthesis and intrinsic stability of antimicrobial peptides (</w:t>
      </w:r>
      <w:r w:rsidRPr="00401F45">
        <w:rPr>
          <w:rFonts w:ascii="Arial" w:hAnsi="Arial" w:cs="Arial"/>
          <w:sz w:val="18"/>
          <w:szCs w:val="18"/>
          <w:lang w:val="en-GB"/>
        </w:rPr>
        <w:t xml:space="preserve">AMPs) render them particularly interesting candidates for use as molecular recognition elements in electronic biosensing platforms. These peptides exhibit bacterial, fungicidal, virucidal and </w:t>
      </w:r>
      <w:r w:rsidR="00A6175D" w:rsidRPr="00401F45">
        <w:rPr>
          <w:rFonts w:ascii="Arial" w:hAnsi="Arial" w:cs="Arial"/>
          <w:sz w:val="18"/>
          <w:szCs w:val="18"/>
          <w:lang w:val="en-GB"/>
        </w:rPr>
        <w:t>tumoricidal</w:t>
      </w:r>
      <w:r w:rsidRPr="00401F45">
        <w:rPr>
          <w:rFonts w:ascii="Arial" w:hAnsi="Arial" w:cs="Arial"/>
          <w:sz w:val="18"/>
          <w:szCs w:val="18"/>
          <w:lang w:val="en-GB"/>
        </w:rPr>
        <w:t xml:space="preserve"> properties, attacking bacteria and destroying the cell membrane; based on this principle, several biosensors have been developed in the latest years (</w:t>
      </w:r>
      <w:r>
        <w:rPr>
          <w:rFonts w:ascii="Arial" w:hAnsi="Arial" w:cs="Arial"/>
          <w:sz w:val="18"/>
          <w:szCs w:val="18"/>
          <w:lang w:val="en-GB"/>
        </w:rPr>
        <w:t>Etayash et a., 2014; Li et al. 2014; Lillehoj et al., 2014</w:t>
      </w:r>
      <w:r w:rsidRPr="00401F45">
        <w:rPr>
          <w:rFonts w:ascii="Arial" w:hAnsi="Arial" w:cs="Arial"/>
          <w:sz w:val="18"/>
          <w:szCs w:val="18"/>
          <w:lang w:val="en-GB"/>
        </w:rPr>
        <w:t xml:space="preserve">). </w:t>
      </w:r>
    </w:p>
    <w:p w14:paraId="1531FD23" w14:textId="6933AB31" w:rsidR="001B1DA2" w:rsidRDefault="00876DB1" w:rsidP="001B1DA2">
      <w:pPr>
        <w:pStyle w:val="Default"/>
        <w:spacing w:line="264" w:lineRule="auto"/>
        <w:jc w:val="both"/>
        <w:rPr>
          <w:rFonts w:ascii="Arial" w:hAnsi="Arial" w:cs="Arial"/>
          <w:sz w:val="18"/>
          <w:szCs w:val="18"/>
          <w:lang w:val="en-GB"/>
        </w:rPr>
      </w:pPr>
      <w:r>
        <w:rPr>
          <w:rFonts w:ascii="Arial" w:hAnsi="Arial" w:cs="Arial"/>
          <w:sz w:val="18"/>
          <w:szCs w:val="18"/>
          <w:lang w:val="en-GB"/>
        </w:rPr>
        <w:lastRenderedPageBreak/>
        <w:t xml:space="preserve">This paper reports preliminary studies </w:t>
      </w:r>
      <w:r w:rsidR="001A3A0A">
        <w:rPr>
          <w:rFonts w:ascii="Arial" w:hAnsi="Arial" w:cs="Arial"/>
          <w:sz w:val="18"/>
          <w:szCs w:val="18"/>
          <w:lang w:val="en-GB"/>
        </w:rPr>
        <w:t>for</w:t>
      </w:r>
      <w:r w:rsidR="001B1DA2">
        <w:rPr>
          <w:rFonts w:ascii="Arial" w:hAnsi="Arial" w:cs="Arial"/>
          <w:sz w:val="18"/>
          <w:szCs w:val="18"/>
          <w:lang w:val="en-GB"/>
        </w:rPr>
        <w:t xml:space="preserve"> the development of a</w:t>
      </w:r>
      <w:r>
        <w:rPr>
          <w:rFonts w:ascii="Arial" w:hAnsi="Arial" w:cs="Arial"/>
          <w:sz w:val="18"/>
          <w:szCs w:val="18"/>
          <w:lang w:val="en-GB"/>
        </w:rPr>
        <w:t xml:space="preserve"> novel</w:t>
      </w:r>
      <w:r w:rsidR="001B1DA2">
        <w:rPr>
          <w:rFonts w:ascii="Arial" w:hAnsi="Arial" w:cs="Arial"/>
          <w:sz w:val="18"/>
          <w:szCs w:val="18"/>
          <w:lang w:val="en-GB"/>
        </w:rPr>
        <w:t xml:space="preserve"> label-free</w:t>
      </w:r>
      <w:r w:rsidR="001B1DA2" w:rsidRPr="00401F45">
        <w:rPr>
          <w:rFonts w:ascii="Arial" w:hAnsi="Arial" w:cs="Arial"/>
          <w:sz w:val="18"/>
          <w:szCs w:val="18"/>
          <w:lang w:val="en-GB"/>
        </w:rPr>
        <w:t xml:space="preserve"> antimicrobial peptide-based biosensor</w:t>
      </w:r>
      <w:r w:rsidR="001B1DA2">
        <w:rPr>
          <w:rFonts w:ascii="Arial" w:hAnsi="Arial" w:cs="Arial"/>
          <w:sz w:val="18"/>
          <w:szCs w:val="18"/>
          <w:lang w:val="en-GB"/>
        </w:rPr>
        <w:t>, based on the immobilizat</w:t>
      </w:r>
      <w:r>
        <w:rPr>
          <w:rFonts w:ascii="Arial" w:hAnsi="Arial" w:cs="Arial"/>
          <w:sz w:val="18"/>
          <w:szCs w:val="18"/>
          <w:lang w:val="en-GB"/>
        </w:rPr>
        <w:t>ion of Nisin on gold electrodes</w:t>
      </w:r>
      <w:r w:rsidR="001B1DA2">
        <w:rPr>
          <w:rFonts w:ascii="Arial" w:hAnsi="Arial" w:cs="Arial"/>
          <w:sz w:val="18"/>
          <w:szCs w:val="18"/>
          <w:lang w:val="en-GB"/>
        </w:rPr>
        <w:t>. Exploiting the advantages of</w:t>
      </w:r>
      <w:r w:rsidR="001B1DA2" w:rsidRPr="00401F45">
        <w:rPr>
          <w:rFonts w:ascii="Arial" w:hAnsi="Arial" w:cs="Arial"/>
          <w:sz w:val="18"/>
          <w:szCs w:val="18"/>
          <w:lang w:val="en-GB"/>
        </w:rPr>
        <w:t xml:space="preserve"> the El</w:t>
      </w:r>
      <w:r w:rsidR="001B1DA2">
        <w:rPr>
          <w:rFonts w:ascii="Arial" w:hAnsi="Arial" w:cs="Arial"/>
          <w:sz w:val="18"/>
          <w:szCs w:val="18"/>
          <w:lang w:val="en-GB"/>
        </w:rPr>
        <w:t>ectrochemical Impedance Spectroscopy transduction technique, which is able to provide quantitative and qualitative information about biomolecule/target interaction, the response of biosensors with</w:t>
      </w:r>
      <w:r>
        <w:rPr>
          <w:rFonts w:ascii="Arial" w:hAnsi="Arial" w:cs="Arial"/>
          <w:sz w:val="18"/>
          <w:szCs w:val="18"/>
          <w:lang w:val="en-GB"/>
        </w:rPr>
        <w:t xml:space="preserve"> non</w:t>
      </w:r>
      <w:r w:rsidR="00650F5F">
        <w:rPr>
          <w:rFonts w:ascii="Arial" w:hAnsi="Arial" w:cs="Arial"/>
          <w:sz w:val="18"/>
          <w:szCs w:val="18"/>
          <w:lang w:val="en-GB"/>
        </w:rPr>
        <w:t>-</w:t>
      </w:r>
      <w:r>
        <w:rPr>
          <w:rFonts w:ascii="Arial" w:hAnsi="Arial" w:cs="Arial"/>
          <w:sz w:val="18"/>
          <w:szCs w:val="18"/>
          <w:lang w:val="en-GB"/>
        </w:rPr>
        <w:t>pathogenic</w:t>
      </w:r>
      <w:r w:rsidR="001B1DA2">
        <w:rPr>
          <w:rFonts w:ascii="Arial" w:hAnsi="Arial" w:cs="Arial"/>
          <w:sz w:val="18"/>
          <w:szCs w:val="18"/>
          <w:lang w:val="en-GB"/>
        </w:rPr>
        <w:t xml:space="preserve"> </w:t>
      </w:r>
      <w:r w:rsidR="001B1DA2" w:rsidRPr="00147522">
        <w:rPr>
          <w:rFonts w:ascii="Arial" w:hAnsi="Arial" w:cs="Arial"/>
          <w:i/>
          <w:sz w:val="18"/>
          <w:szCs w:val="18"/>
          <w:lang w:val="en-GB"/>
        </w:rPr>
        <w:t>Escherichia Coli</w:t>
      </w:r>
      <w:r w:rsidR="001B1DA2">
        <w:rPr>
          <w:rFonts w:ascii="Arial" w:hAnsi="Arial" w:cs="Arial"/>
          <w:sz w:val="18"/>
          <w:szCs w:val="18"/>
          <w:lang w:val="en-GB"/>
        </w:rPr>
        <w:t xml:space="preserve"> O157:H7 and </w:t>
      </w:r>
      <w:r w:rsidR="001B1DA2" w:rsidRPr="00876DB1">
        <w:rPr>
          <w:rFonts w:ascii="Arial" w:hAnsi="Arial" w:cs="Arial"/>
          <w:i/>
          <w:sz w:val="18"/>
          <w:szCs w:val="18"/>
          <w:lang w:val="en-GB"/>
        </w:rPr>
        <w:t>Listeria</w:t>
      </w:r>
      <w:r>
        <w:rPr>
          <w:rFonts w:ascii="Arial" w:hAnsi="Arial" w:cs="Arial"/>
          <w:i/>
          <w:sz w:val="18"/>
          <w:szCs w:val="18"/>
          <w:lang w:val="en-GB"/>
        </w:rPr>
        <w:t xml:space="preserve"> innocua</w:t>
      </w:r>
      <w:r w:rsidR="001B1DA2" w:rsidRPr="00876DB1">
        <w:rPr>
          <w:rFonts w:ascii="Arial" w:hAnsi="Arial" w:cs="Arial"/>
          <w:i/>
          <w:sz w:val="18"/>
          <w:szCs w:val="18"/>
          <w:lang w:val="en-GB"/>
        </w:rPr>
        <w:t xml:space="preserve"> </w:t>
      </w:r>
      <w:r w:rsidR="001B1DA2">
        <w:rPr>
          <w:rFonts w:ascii="Arial" w:hAnsi="Arial" w:cs="Arial"/>
          <w:sz w:val="18"/>
          <w:szCs w:val="18"/>
          <w:lang w:val="en-GB"/>
        </w:rPr>
        <w:t xml:space="preserve">cells was investigated.     </w:t>
      </w:r>
    </w:p>
    <w:p w14:paraId="72617369" w14:textId="1F958513" w:rsidR="001A3A0A" w:rsidRDefault="001A3A0A" w:rsidP="001B1DA2">
      <w:pPr>
        <w:pStyle w:val="Default"/>
        <w:spacing w:line="264" w:lineRule="auto"/>
        <w:jc w:val="both"/>
        <w:rPr>
          <w:rFonts w:ascii="Arial" w:hAnsi="Arial" w:cs="Arial"/>
          <w:sz w:val="18"/>
          <w:szCs w:val="18"/>
          <w:lang w:val="en-GB"/>
        </w:rPr>
      </w:pPr>
    </w:p>
    <w:p w14:paraId="39C8E36F" w14:textId="77777777" w:rsidR="001B1DA2" w:rsidRPr="00401F45" w:rsidRDefault="001B1DA2" w:rsidP="002048DA">
      <w:pPr>
        <w:pStyle w:val="CETHeading1"/>
        <w:numPr>
          <w:ilvl w:val="0"/>
          <w:numId w:val="22"/>
        </w:numPr>
        <w:spacing w:line="264" w:lineRule="auto"/>
        <w:ind w:left="284" w:hanging="284"/>
        <w:rPr>
          <w:lang w:val="en-GB"/>
        </w:rPr>
      </w:pPr>
      <w:r w:rsidRPr="00401F45">
        <w:rPr>
          <w:lang w:val="en-GB"/>
        </w:rPr>
        <w:t>Experimental Section</w:t>
      </w:r>
    </w:p>
    <w:p w14:paraId="6AC9EA3F" w14:textId="77777777" w:rsidR="001B1DA2" w:rsidRDefault="001B1DA2" w:rsidP="002048DA">
      <w:pPr>
        <w:pStyle w:val="CETheadingx"/>
        <w:numPr>
          <w:ilvl w:val="0"/>
          <w:numId w:val="0"/>
        </w:numPr>
      </w:pPr>
      <w:r>
        <w:t xml:space="preserve">2.1 Reagents </w:t>
      </w:r>
    </w:p>
    <w:p w14:paraId="5F2C5351" w14:textId="3E094F2B" w:rsidR="001B1DA2" w:rsidRPr="00D6647B" w:rsidRDefault="00A6175D" w:rsidP="001B1DA2">
      <w:pPr>
        <w:pStyle w:val="CETBodytext"/>
        <w:rPr>
          <w:rFonts w:cs="Arial"/>
          <w:color w:val="FF0000"/>
          <w:szCs w:val="18"/>
          <w:lang w:val="en-GB"/>
        </w:rPr>
      </w:pPr>
      <w:r w:rsidRPr="00092566">
        <w:rPr>
          <w:rFonts w:cs="Arial"/>
          <w:szCs w:val="18"/>
          <w:lang w:val="en-GB"/>
        </w:rPr>
        <w:t>Cysteamine (95%), Glutaraldehyde solution (</w:t>
      </w:r>
      <w:r>
        <w:rPr>
          <w:rFonts w:cs="Arial"/>
          <w:szCs w:val="18"/>
          <w:lang w:val="en-GB"/>
        </w:rPr>
        <w:t>50 wt</w:t>
      </w:r>
      <w:r w:rsidRPr="00092566">
        <w:rPr>
          <w:rFonts w:cs="Arial"/>
          <w:szCs w:val="18"/>
          <w:lang w:val="en-GB"/>
        </w:rPr>
        <w:t>% in H</w:t>
      </w:r>
      <w:r w:rsidRPr="00092566">
        <w:rPr>
          <w:rFonts w:cs="Arial"/>
          <w:szCs w:val="18"/>
          <w:vertAlign w:val="subscript"/>
          <w:lang w:val="en-GB"/>
        </w:rPr>
        <w:t>2</w:t>
      </w:r>
      <w:r>
        <w:rPr>
          <w:rFonts w:cs="Arial"/>
          <w:szCs w:val="18"/>
          <w:lang w:val="en-GB"/>
        </w:rPr>
        <w:t xml:space="preserve">0), </w:t>
      </w:r>
      <w:r w:rsidRPr="00092566">
        <w:rPr>
          <w:rFonts w:cs="Arial"/>
          <w:szCs w:val="18"/>
          <w:lang w:val="en-GB"/>
        </w:rPr>
        <w:t>2-(N-morpholino)</w:t>
      </w:r>
      <w:r>
        <w:rPr>
          <w:rFonts w:cs="Arial"/>
          <w:szCs w:val="18"/>
          <w:lang w:val="en-GB"/>
        </w:rPr>
        <w:t xml:space="preserve"> </w:t>
      </w:r>
      <w:r w:rsidRPr="00092566">
        <w:rPr>
          <w:rFonts w:cs="Arial"/>
          <w:szCs w:val="18"/>
          <w:lang w:val="en-GB"/>
        </w:rPr>
        <w:t>ethanesulfonic acid (MES &gt;99.5% purity), N-Hydroxysucciminide (NHS, 99%), N-(3- Dimethylaminopropyl)-N′-ethylcarbod</w:t>
      </w:r>
      <w:r>
        <w:rPr>
          <w:rFonts w:cs="Arial"/>
          <w:szCs w:val="18"/>
          <w:lang w:val="en-GB"/>
        </w:rPr>
        <w:t>iimide hydrochloride (EDC, &gt;99%</w:t>
      </w:r>
      <w:r w:rsidRPr="00092566">
        <w:rPr>
          <w:rFonts w:cs="Arial"/>
          <w:szCs w:val="18"/>
          <w:lang w:val="en-GB"/>
        </w:rPr>
        <w:t>), Sulfuric acid ( 99.9% ), Ethanolamine (&gt;99.5%), Potassium hexacyanoferrate (III) ( [Fe(CN)</w:t>
      </w:r>
      <w:r w:rsidRPr="00092566">
        <w:rPr>
          <w:rFonts w:cs="Arial"/>
          <w:szCs w:val="18"/>
          <w:vertAlign w:val="subscript"/>
          <w:lang w:val="en-GB"/>
        </w:rPr>
        <w:t>6</w:t>
      </w:r>
      <w:r w:rsidRPr="00092566">
        <w:rPr>
          <w:rFonts w:cs="Arial"/>
          <w:szCs w:val="18"/>
          <w:lang w:val="en-GB"/>
        </w:rPr>
        <w:t>]</w:t>
      </w:r>
      <w:r w:rsidRPr="00092566">
        <w:rPr>
          <w:rFonts w:cs="Arial"/>
          <w:szCs w:val="18"/>
          <w:vertAlign w:val="superscript"/>
          <w:lang w:val="en-GB"/>
        </w:rPr>
        <w:t>3−</w:t>
      </w:r>
      <w:r>
        <w:rPr>
          <w:rFonts w:cs="Arial"/>
          <w:szCs w:val="18"/>
          <w:lang w:val="en-GB"/>
        </w:rPr>
        <w:t xml:space="preserve">, &gt;99% ) </w:t>
      </w:r>
      <w:r w:rsidRPr="00092566">
        <w:rPr>
          <w:rFonts w:cs="Arial"/>
          <w:szCs w:val="18"/>
          <w:lang w:val="en-GB"/>
        </w:rPr>
        <w:t xml:space="preserve">were purchased from Sigma-Aldrich (Milano, Italy). </w:t>
      </w:r>
      <w:r w:rsidR="001B1DA2" w:rsidRPr="00092566">
        <w:rPr>
          <w:rFonts w:cs="Arial"/>
          <w:szCs w:val="18"/>
          <w:lang w:val="en-GB"/>
        </w:rPr>
        <w:t>Potassium ferrocyanide ([Fe(CN)</w:t>
      </w:r>
      <w:r w:rsidR="001B1DA2" w:rsidRPr="00092566">
        <w:rPr>
          <w:rFonts w:cs="Arial"/>
          <w:szCs w:val="18"/>
          <w:vertAlign w:val="subscript"/>
          <w:lang w:val="en-GB"/>
        </w:rPr>
        <w:t>6</w:t>
      </w:r>
      <w:r w:rsidR="001B1DA2" w:rsidRPr="00092566">
        <w:rPr>
          <w:rFonts w:cs="Arial"/>
          <w:szCs w:val="18"/>
          <w:lang w:val="en-GB"/>
        </w:rPr>
        <w:t>]</w:t>
      </w:r>
      <w:r w:rsidR="001B1DA2" w:rsidRPr="00092566">
        <w:rPr>
          <w:rFonts w:cs="Arial"/>
          <w:szCs w:val="18"/>
          <w:vertAlign w:val="superscript"/>
          <w:lang w:val="en-GB"/>
        </w:rPr>
        <w:t>4−</w:t>
      </w:r>
      <w:r w:rsidR="001B1DA2" w:rsidRPr="00092566">
        <w:rPr>
          <w:rFonts w:cs="Arial"/>
          <w:szCs w:val="18"/>
          <w:lang w:val="en-GB"/>
        </w:rPr>
        <w:t xml:space="preserve">) was obtained from Carlo Erba reagent (Milano, Italy). </w:t>
      </w:r>
      <w:r w:rsidR="001B1DA2">
        <w:rPr>
          <w:rFonts w:cs="Arial"/>
          <w:szCs w:val="18"/>
          <w:lang w:val="en-GB"/>
        </w:rPr>
        <w:t>Nisin (5 g)</w:t>
      </w:r>
      <w:r w:rsidR="001B1DA2" w:rsidRPr="00092566">
        <w:rPr>
          <w:rFonts w:cs="Arial"/>
          <w:szCs w:val="18"/>
          <w:lang w:val="en-GB"/>
        </w:rPr>
        <w:t xml:space="preserve"> was purchased </w:t>
      </w:r>
      <w:r w:rsidR="001B1DA2">
        <w:rPr>
          <w:rFonts w:cs="Arial"/>
          <w:szCs w:val="18"/>
          <w:lang w:val="en-GB"/>
        </w:rPr>
        <w:t xml:space="preserve">from MP Biochemicals </w:t>
      </w:r>
      <w:r w:rsidR="001B1DA2" w:rsidRPr="00092566">
        <w:rPr>
          <w:rFonts w:cs="Arial"/>
          <w:szCs w:val="18"/>
          <w:lang w:val="en-GB"/>
        </w:rPr>
        <w:t>(Sa</w:t>
      </w:r>
      <w:r w:rsidR="001B1DA2">
        <w:rPr>
          <w:rFonts w:cs="Arial"/>
          <w:szCs w:val="18"/>
          <w:lang w:val="en-GB"/>
        </w:rPr>
        <w:t>nta Ana, USA)</w:t>
      </w:r>
      <w:r w:rsidR="00876DB1">
        <w:rPr>
          <w:rFonts w:cs="Arial"/>
          <w:szCs w:val="18"/>
          <w:lang w:val="en-GB"/>
        </w:rPr>
        <w:t xml:space="preserve">. </w:t>
      </w:r>
      <w:r w:rsidR="00E446CC">
        <w:rPr>
          <w:lang w:val="en-GB"/>
        </w:rPr>
        <w:t>N</w:t>
      </w:r>
      <w:r w:rsidR="00E446CC" w:rsidRPr="00A14C57">
        <w:rPr>
          <w:lang w:val="en-GB"/>
        </w:rPr>
        <w:t>on</w:t>
      </w:r>
      <w:r w:rsidR="002048DA">
        <w:rPr>
          <w:lang w:val="en-GB"/>
        </w:rPr>
        <w:t>-</w:t>
      </w:r>
      <w:r w:rsidR="00E446CC" w:rsidRPr="00A14C57">
        <w:rPr>
          <w:lang w:val="en-GB"/>
        </w:rPr>
        <w:t xml:space="preserve">pathogenic </w:t>
      </w:r>
      <w:r w:rsidR="00876DB1" w:rsidRPr="00AB1888">
        <w:rPr>
          <w:rFonts w:cs="Arial"/>
          <w:i/>
          <w:szCs w:val="18"/>
          <w:lang w:val="en-GB"/>
        </w:rPr>
        <w:t>Escherichia Coli</w:t>
      </w:r>
      <w:r w:rsidR="00876DB1">
        <w:rPr>
          <w:rFonts w:cs="Arial"/>
          <w:szCs w:val="18"/>
          <w:lang w:val="en-GB"/>
        </w:rPr>
        <w:t xml:space="preserve"> O157:H7 and </w:t>
      </w:r>
      <w:r w:rsidR="00876DB1" w:rsidRPr="00AB1888">
        <w:rPr>
          <w:rFonts w:cs="Arial"/>
          <w:i/>
          <w:szCs w:val="18"/>
          <w:lang w:val="en-GB"/>
        </w:rPr>
        <w:t>Listeria innocua</w:t>
      </w:r>
      <w:r w:rsidR="00876DB1">
        <w:rPr>
          <w:rFonts w:cs="Arial"/>
          <w:szCs w:val="18"/>
          <w:lang w:val="en-GB"/>
        </w:rPr>
        <w:t xml:space="preserve"> cells were provided by</w:t>
      </w:r>
      <w:r w:rsidR="001B1DA2" w:rsidRPr="00D6647B">
        <w:rPr>
          <w:rFonts w:cs="Arial"/>
          <w:color w:val="FF0000"/>
          <w:szCs w:val="18"/>
          <w:lang w:val="en-GB"/>
        </w:rPr>
        <w:t xml:space="preserve"> </w:t>
      </w:r>
      <w:r w:rsidR="000671C9" w:rsidRPr="005A309A">
        <w:rPr>
          <w:lang w:val="it-IT"/>
        </w:rPr>
        <w:t>Istituto Zooprofilattico Sperimentale del Mezzogiorno</w:t>
      </w:r>
      <w:r w:rsidR="00650F5F">
        <w:rPr>
          <w:lang w:val="it-IT"/>
        </w:rPr>
        <w:t xml:space="preserve"> in Portici (NA) Italy</w:t>
      </w:r>
      <w:r w:rsidR="000671C9">
        <w:rPr>
          <w:lang w:val="it-IT"/>
        </w:rPr>
        <w:t>.</w:t>
      </w:r>
    </w:p>
    <w:p w14:paraId="428541F0" w14:textId="77777777" w:rsidR="001B1DA2" w:rsidRPr="00470534" w:rsidRDefault="001B1DA2" w:rsidP="001B1DA2">
      <w:pPr>
        <w:pStyle w:val="CETBodytext"/>
        <w:rPr>
          <w:rFonts w:cs="Arial"/>
          <w:szCs w:val="18"/>
          <w:lang w:val="en-GB"/>
        </w:rPr>
      </w:pPr>
    </w:p>
    <w:p w14:paraId="0D3F632A" w14:textId="77777777" w:rsidR="001B1DA2" w:rsidRDefault="001B1DA2" w:rsidP="002048DA">
      <w:pPr>
        <w:pStyle w:val="CETheadingx"/>
      </w:pPr>
      <w:r>
        <w:t>Apparatus</w:t>
      </w:r>
    </w:p>
    <w:p w14:paraId="53CC06F7" w14:textId="77777777" w:rsidR="001B1DA2" w:rsidRPr="00246625" w:rsidRDefault="001B1DA2" w:rsidP="001B1DA2">
      <w:pPr>
        <w:pStyle w:val="CETBodytext"/>
        <w:rPr>
          <w:lang w:val="it-IT"/>
        </w:rPr>
      </w:pPr>
      <w:r w:rsidRPr="00246625">
        <w:rPr>
          <w:lang w:val="en-GB"/>
        </w:rPr>
        <w:t xml:space="preserve">The </w:t>
      </w:r>
      <w:r>
        <w:rPr>
          <w:lang w:val="en-GB"/>
        </w:rPr>
        <w:t xml:space="preserve">impedimetric </w:t>
      </w:r>
      <w:r w:rsidRPr="00246625">
        <w:rPr>
          <w:lang w:val="en-GB"/>
        </w:rPr>
        <w:t xml:space="preserve">measurements were carried out with </w:t>
      </w:r>
      <w:r>
        <w:rPr>
          <w:lang w:val="en-GB"/>
        </w:rPr>
        <w:t xml:space="preserve">a </w:t>
      </w:r>
      <w:r w:rsidRPr="00246625">
        <w:rPr>
          <w:lang w:val="en-GB"/>
        </w:rPr>
        <w:t>PGSTAT 204 Potentiostat (Metrohm), equipped with an Impedance module (FRA32M); the experimental data were analysed with Nova softw</w:t>
      </w:r>
      <w:r>
        <w:rPr>
          <w:lang w:val="en-GB"/>
        </w:rPr>
        <w:t>are (Metrohm). The biosensor was developed on g</w:t>
      </w:r>
      <w:r w:rsidRPr="00246625">
        <w:rPr>
          <w:lang w:val="en-GB"/>
        </w:rPr>
        <w:t>old thin-film single-electrodes,</w:t>
      </w:r>
      <w:r>
        <w:rPr>
          <w:lang w:val="en-GB"/>
        </w:rPr>
        <w:t xml:space="preserve"> </w:t>
      </w:r>
      <w:r w:rsidRPr="00246625">
        <w:rPr>
          <w:lang w:val="en-GB"/>
        </w:rPr>
        <w:t>purchased from Micru</w:t>
      </w:r>
      <w:r>
        <w:rPr>
          <w:lang w:val="en-GB"/>
        </w:rPr>
        <w:t xml:space="preserve">x Technologies (Oviedo, Spain), </w:t>
      </w:r>
      <w:r w:rsidRPr="00246625">
        <w:rPr>
          <w:lang w:val="en-GB"/>
        </w:rPr>
        <w:t>based on a</w:t>
      </w:r>
      <w:r>
        <w:rPr>
          <w:lang w:val="en-GB"/>
        </w:rPr>
        <w:t xml:space="preserve"> common</w:t>
      </w:r>
      <w:r w:rsidRPr="00246625">
        <w:rPr>
          <w:lang w:val="en-GB"/>
        </w:rPr>
        <w:t xml:space="preserve"> three-electrode layout (working/auxiliary/reference)</w:t>
      </w:r>
      <w:r>
        <w:rPr>
          <w:lang w:val="en-GB"/>
        </w:rPr>
        <w:t xml:space="preserve"> with a working electrode of</w:t>
      </w:r>
      <w:r w:rsidRPr="00246625">
        <w:rPr>
          <w:lang w:val="en-GB"/>
        </w:rPr>
        <w:t xml:space="preserve"> </w:t>
      </w:r>
      <w:r>
        <w:rPr>
          <w:lang w:val="en-GB"/>
        </w:rPr>
        <w:t>1 mm.</w:t>
      </w:r>
    </w:p>
    <w:p w14:paraId="55342139" w14:textId="77777777" w:rsidR="001B1DA2" w:rsidRDefault="001B1DA2" w:rsidP="001B1DA2">
      <w:pPr>
        <w:pStyle w:val="CETBodytext"/>
        <w:rPr>
          <w:rFonts w:cs="Arial"/>
          <w:color w:val="262626"/>
          <w:szCs w:val="18"/>
          <w:lang w:val="en-GB"/>
        </w:rPr>
      </w:pPr>
    </w:p>
    <w:p w14:paraId="4BEB6C56" w14:textId="54ACB18C" w:rsidR="001B1DA2" w:rsidRPr="00470534" w:rsidRDefault="0070174F" w:rsidP="002048DA">
      <w:pPr>
        <w:pStyle w:val="CETheadingx"/>
      </w:pPr>
      <w:r>
        <w:t>Biosensor</w:t>
      </w:r>
      <w:r w:rsidR="001B1DA2">
        <w:t xml:space="preserve"> manufacturing</w:t>
      </w:r>
    </w:p>
    <w:p w14:paraId="21A7F6E9" w14:textId="509B396E" w:rsidR="001B1DA2" w:rsidRPr="00B27720" w:rsidRDefault="001B1DA2" w:rsidP="001B1DA2">
      <w:pPr>
        <w:pStyle w:val="Paragrafoelenco"/>
        <w:spacing w:line="264" w:lineRule="auto"/>
        <w:ind w:left="0"/>
        <w:jc w:val="both"/>
        <w:rPr>
          <w:rFonts w:ascii="Arial" w:hAnsi="Arial" w:cs="Arial"/>
          <w:sz w:val="18"/>
          <w:szCs w:val="18"/>
          <w:lang w:val="en-GB"/>
        </w:rPr>
      </w:pPr>
      <w:r>
        <w:rPr>
          <w:rFonts w:ascii="Arial" w:hAnsi="Arial" w:cs="Arial"/>
          <w:color w:val="262626"/>
          <w:sz w:val="18"/>
          <w:szCs w:val="18"/>
          <w:lang w:val="en-GB"/>
        </w:rPr>
        <w:t xml:space="preserve">Gold electrodes were cleaned </w:t>
      </w:r>
      <w:r w:rsidR="00270288">
        <w:rPr>
          <w:rFonts w:ascii="Arial" w:hAnsi="Arial" w:cs="Arial"/>
          <w:color w:val="262626"/>
          <w:sz w:val="18"/>
          <w:szCs w:val="18"/>
          <w:lang w:val="en-GB"/>
        </w:rPr>
        <w:t>by</w:t>
      </w:r>
      <w:r w:rsidR="00270288" w:rsidRPr="00990314">
        <w:rPr>
          <w:rFonts w:ascii="Arial" w:hAnsi="Arial" w:cs="Arial"/>
          <w:color w:val="262626"/>
          <w:sz w:val="18"/>
          <w:szCs w:val="18"/>
          <w:lang w:val="en-GB"/>
        </w:rPr>
        <w:t xml:space="preserve"> an electrochemical treatment (6 min) at 1.7 V vs. Ag/AgCl</w:t>
      </w:r>
      <w:r w:rsidR="00270288">
        <w:rPr>
          <w:rFonts w:ascii="Arial" w:hAnsi="Arial" w:cs="Arial"/>
          <w:color w:val="262626"/>
          <w:sz w:val="18"/>
          <w:szCs w:val="18"/>
          <w:lang w:val="en-GB"/>
        </w:rPr>
        <w:t xml:space="preserve"> as reference </w:t>
      </w:r>
      <w:r w:rsidR="00270288" w:rsidRPr="00B120D2">
        <w:rPr>
          <w:rFonts w:ascii="Arial" w:hAnsi="Arial" w:cs="Arial"/>
          <w:color w:val="262626"/>
          <w:sz w:val="18"/>
          <w:szCs w:val="18"/>
          <w:lang w:val="en-GB"/>
        </w:rPr>
        <w:t xml:space="preserve">electrode  </w:t>
      </w:r>
      <w:r w:rsidRPr="00B120D2">
        <w:rPr>
          <w:rFonts w:ascii="Arial" w:hAnsi="Arial" w:cs="Arial"/>
          <w:color w:val="262626"/>
          <w:sz w:val="18"/>
          <w:szCs w:val="18"/>
          <w:lang w:val="en-GB"/>
        </w:rPr>
        <w:t>in 0.05 M sulfuric acid</w:t>
      </w:r>
      <w:r w:rsidR="00270288" w:rsidRPr="00B120D2">
        <w:rPr>
          <w:rFonts w:ascii="Arial" w:hAnsi="Arial" w:cs="Arial"/>
          <w:color w:val="262626"/>
          <w:sz w:val="18"/>
          <w:szCs w:val="18"/>
          <w:lang w:val="en-GB"/>
        </w:rPr>
        <w:t xml:space="preserve"> (Malvano et al., 2015)</w:t>
      </w:r>
      <w:r w:rsidRPr="00B120D2">
        <w:rPr>
          <w:rFonts w:ascii="Arial" w:hAnsi="Arial" w:cs="Arial"/>
          <w:color w:val="262626"/>
          <w:sz w:val="18"/>
          <w:szCs w:val="18"/>
          <w:lang w:val="en-GB"/>
        </w:rPr>
        <w:t xml:space="preserve">. </w:t>
      </w:r>
      <w:r w:rsidR="00990314" w:rsidRPr="00B120D2">
        <w:rPr>
          <w:rFonts w:ascii="Arial" w:hAnsi="Arial" w:cs="Arial"/>
          <w:color w:val="262626"/>
          <w:sz w:val="18"/>
          <w:szCs w:val="18"/>
          <w:lang w:val="en-GB"/>
        </w:rPr>
        <w:t xml:space="preserve">After </w:t>
      </w:r>
      <w:r w:rsidRPr="00B120D2">
        <w:rPr>
          <w:rFonts w:ascii="Arial" w:hAnsi="Arial" w:cs="Arial"/>
          <w:color w:val="262626"/>
          <w:sz w:val="18"/>
          <w:szCs w:val="18"/>
          <w:lang w:val="en-GB"/>
        </w:rPr>
        <w:t>Two different immobilization techniques of Nisin</w:t>
      </w:r>
      <w:r>
        <w:rPr>
          <w:rFonts w:ascii="Arial" w:hAnsi="Arial" w:cs="Arial"/>
          <w:color w:val="262626"/>
          <w:sz w:val="18"/>
          <w:szCs w:val="18"/>
          <w:lang w:val="en-GB"/>
        </w:rPr>
        <w:t xml:space="preserve"> molecules were adopted for the biosensor </w:t>
      </w:r>
      <w:r w:rsidRPr="00B27720">
        <w:rPr>
          <w:rFonts w:ascii="Arial" w:hAnsi="Arial" w:cs="Arial"/>
          <w:sz w:val="18"/>
          <w:szCs w:val="18"/>
          <w:lang w:val="en-GB"/>
        </w:rPr>
        <w:t>development:</w:t>
      </w:r>
    </w:p>
    <w:p w14:paraId="43B8100D" w14:textId="3153C2CC" w:rsidR="001B1DA2" w:rsidRPr="00B27720" w:rsidRDefault="001B1DA2" w:rsidP="001B1DA2">
      <w:pPr>
        <w:pStyle w:val="Paragrafoelenco"/>
        <w:numPr>
          <w:ilvl w:val="0"/>
          <w:numId w:val="23"/>
        </w:numPr>
        <w:spacing w:line="264" w:lineRule="auto"/>
        <w:jc w:val="both"/>
        <w:rPr>
          <w:rFonts w:ascii="Arial" w:hAnsi="Arial" w:cs="Arial"/>
          <w:sz w:val="18"/>
          <w:szCs w:val="18"/>
          <w:lang w:val="en-GB"/>
        </w:rPr>
      </w:pPr>
      <w:r w:rsidRPr="00B27720">
        <w:rPr>
          <w:rFonts w:ascii="Arial" w:hAnsi="Arial" w:cs="Arial"/>
          <w:sz w:val="18"/>
          <w:szCs w:val="18"/>
          <w:lang w:val="en-GB"/>
        </w:rPr>
        <w:t>Immobilization of Nisin</w:t>
      </w:r>
      <w:r w:rsidR="00581BC8" w:rsidRPr="00B27720">
        <w:rPr>
          <w:rFonts w:ascii="Arial" w:hAnsi="Arial" w:cs="Arial"/>
          <w:sz w:val="18"/>
          <w:szCs w:val="18"/>
          <w:lang w:val="en-GB"/>
        </w:rPr>
        <w:t xml:space="preserve"> via </w:t>
      </w:r>
      <w:r w:rsidR="005E6DAD" w:rsidRPr="00B27720">
        <w:rPr>
          <w:rFonts w:ascii="Arial" w:hAnsi="Arial" w:cs="Arial"/>
          <w:sz w:val="18"/>
          <w:szCs w:val="18"/>
          <w:lang w:val="en-GB"/>
        </w:rPr>
        <w:t>amino (-NH</w:t>
      </w:r>
      <w:r w:rsidR="005E6DAD" w:rsidRPr="002048DA">
        <w:rPr>
          <w:rFonts w:ascii="Arial" w:hAnsi="Arial" w:cs="Arial"/>
          <w:sz w:val="18"/>
          <w:szCs w:val="18"/>
          <w:vertAlign w:val="subscript"/>
          <w:lang w:val="en-GB"/>
        </w:rPr>
        <w:t>2</w:t>
      </w:r>
      <w:r w:rsidR="005E6DAD" w:rsidRPr="00B27720">
        <w:rPr>
          <w:rFonts w:ascii="Arial" w:hAnsi="Arial" w:cs="Arial"/>
          <w:sz w:val="18"/>
          <w:szCs w:val="18"/>
          <w:lang w:val="en-GB"/>
        </w:rPr>
        <w:t>) groups</w:t>
      </w:r>
      <w:r w:rsidR="00581BC8" w:rsidRPr="00B27720">
        <w:rPr>
          <w:rFonts w:ascii="Arial" w:hAnsi="Arial" w:cs="Arial"/>
          <w:sz w:val="18"/>
          <w:szCs w:val="18"/>
          <w:lang w:val="en-GB"/>
        </w:rPr>
        <w:t>;</w:t>
      </w:r>
    </w:p>
    <w:p w14:paraId="074CA089" w14:textId="7564E007" w:rsidR="001B1DA2" w:rsidRPr="00B27720" w:rsidRDefault="001B1DA2" w:rsidP="001B1DA2">
      <w:pPr>
        <w:pStyle w:val="Paragrafoelenco"/>
        <w:numPr>
          <w:ilvl w:val="0"/>
          <w:numId w:val="23"/>
        </w:numPr>
        <w:spacing w:line="264" w:lineRule="auto"/>
        <w:jc w:val="both"/>
        <w:rPr>
          <w:rFonts w:ascii="Arial" w:hAnsi="Arial" w:cs="Arial"/>
          <w:sz w:val="18"/>
          <w:szCs w:val="18"/>
          <w:lang w:val="en-GB"/>
        </w:rPr>
      </w:pPr>
      <w:r w:rsidRPr="00B27720">
        <w:rPr>
          <w:rFonts w:ascii="Arial" w:hAnsi="Arial" w:cs="Arial"/>
          <w:sz w:val="18"/>
          <w:szCs w:val="18"/>
          <w:lang w:val="en-GB"/>
        </w:rPr>
        <w:t>Immobilization of Nisin</w:t>
      </w:r>
      <w:r w:rsidR="00581BC8" w:rsidRPr="00B27720">
        <w:rPr>
          <w:rFonts w:ascii="Arial" w:hAnsi="Arial" w:cs="Arial"/>
          <w:sz w:val="18"/>
          <w:szCs w:val="18"/>
          <w:lang w:val="en-GB"/>
        </w:rPr>
        <w:t xml:space="preserve"> via </w:t>
      </w:r>
      <w:r w:rsidR="005E6DAD" w:rsidRPr="00B27720">
        <w:rPr>
          <w:rFonts w:ascii="Arial" w:hAnsi="Arial" w:cs="Arial"/>
          <w:sz w:val="18"/>
          <w:szCs w:val="18"/>
          <w:lang w:val="en-GB"/>
        </w:rPr>
        <w:t>carboxylic (-COOH)</w:t>
      </w:r>
      <w:r w:rsidR="00581BC8" w:rsidRPr="00B27720">
        <w:rPr>
          <w:rFonts w:ascii="Arial" w:hAnsi="Arial" w:cs="Arial"/>
          <w:sz w:val="18"/>
          <w:szCs w:val="18"/>
          <w:lang w:val="en-GB"/>
        </w:rPr>
        <w:t xml:space="preserve"> terminal group.</w:t>
      </w:r>
      <w:r w:rsidRPr="00B27720">
        <w:rPr>
          <w:rFonts w:ascii="Arial" w:hAnsi="Arial" w:cs="Arial"/>
          <w:sz w:val="18"/>
          <w:szCs w:val="18"/>
          <w:lang w:val="en-GB"/>
        </w:rPr>
        <w:t xml:space="preserve"> </w:t>
      </w:r>
    </w:p>
    <w:p w14:paraId="21B76B22" w14:textId="50172364" w:rsidR="001B1DA2" w:rsidRDefault="001B1DA2" w:rsidP="001B1DA2">
      <w:pPr>
        <w:pStyle w:val="Paragrafoelenco"/>
        <w:spacing w:line="264" w:lineRule="auto"/>
        <w:ind w:left="0"/>
        <w:jc w:val="both"/>
        <w:rPr>
          <w:rFonts w:ascii="Arial" w:hAnsi="Arial" w:cs="Arial"/>
          <w:color w:val="262626"/>
          <w:sz w:val="18"/>
          <w:szCs w:val="18"/>
          <w:lang w:val="en-GB"/>
        </w:rPr>
      </w:pPr>
      <w:r>
        <w:rPr>
          <w:rFonts w:ascii="Arial" w:hAnsi="Arial" w:cs="Arial"/>
          <w:color w:val="262626"/>
          <w:sz w:val="18"/>
          <w:szCs w:val="18"/>
          <w:lang w:val="en-GB"/>
        </w:rPr>
        <w:t xml:space="preserve">For both techniques, cysteamine 20 mM water solution was dropped on gold electrodes and left to react overnight. After that, the immobilization with amine groups was carried out by dropping glutaraldehyde solution (5% </w:t>
      </w:r>
      <w:r w:rsidRPr="004F442B">
        <w:rPr>
          <w:rFonts w:ascii="Arial" w:hAnsi="Arial" w:cs="Arial"/>
          <w:i/>
          <w:color w:val="262626"/>
          <w:sz w:val="18"/>
          <w:szCs w:val="18"/>
          <w:lang w:val="en-GB"/>
        </w:rPr>
        <w:t>v/v</w:t>
      </w:r>
      <w:r>
        <w:rPr>
          <w:rFonts w:ascii="Arial" w:hAnsi="Arial" w:cs="Arial"/>
          <w:color w:val="262626"/>
          <w:sz w:val="18"/>
          <w:szCs w:val="18"/>
          <w:lang w:val="en-GB"/>
        </w:rPr>
        <w:t xml:space="preserve">) on cysteamine – modified electrode. After 1 h, the electrode was covered with two different </w:t>
      </w:r>
      <w:r w:rsidR="00650F5F">
        <w:rPr>
          <w:rFonts w:ascii="Arial" w:hAnsi="Arial" w:cs="Arial"/>
          <w:color w:val="262626"/>
          <w:sz w:val="18"/>
          <w:szCs w:val="18"/>
          <w:lang w:val="en-GB"/>
        </w:rPr>
        <w:t>amounts</w:t>
      </w:r>
      <w:r>
        <w:rPr>
          <w:rFonts w:ascii="Arial" w:hAnsi="Arial" w:cs="Arial"/>
          <w:color w:val="262626"/>
          <w:sz w:val="18"/>
          <w:szCs w:val="18"/>
          <w:lang w:val="en-GB"/>
        </w:rPr>
        <w:t xml:space="preserve"> of Nisin (5 </w:t>
      </w:r>
      <w:r w:rsidRPr="00C54EF6">
        <w:rPr>
          <w:rFonts w:ascii="Arial" w:hAnsi="Arial" w:cs="Arial"/>
          <w:color w:val="262626"/>
          <w:sz w:val="18"/>
          <w:szCs w:val="18"/>
          <w:lang w:val="en-GB"/>
        </w:rPr>
        <w:sym w:font="Symbol" w:char="F06D"/>
      </w:r>
      <w:r w:rsidRPr="00C54EF6">
        <w:rPr>
          <w:rFonts w:ascii="Arial" w:hAnsi="Arial" w:cs="Arial"/>
          <w:color w:val="262626"/>
          <w:sz w:val="18"/>
          <w:szCs w:val="18"/>
          <w:lang w:val="en-GB"/>
        </w:rPr>
        <w:t>g</w:t>
      </w:r>
      <w:r>
        <w:rPr>
          <w:rFonts w:ascii="Arial" w:hAnsi="Arial" w:cs="Arial"/>
          <w:color w:val="262626"/>
          <w:sz w:val="18"/>
          <w:szCs w:val="18"/>
          <w:lang w:val="en-GB"/>
        </w:rPr>
        <w:t xml:space="preserve">/ml – 10 </w:t>
      </w:r>
      <w:r w:rsidRPr="00C54EF6">
        <w:rPr>
          <w:rFonts w:ascii="Arial" w:hAnsi="Arial" w:cs="Arial"/>
          <w:color w:val="262626"/>
          <w:sz w:val="18"/>
          <w:szCs w:val="18"/>
          <w:lang w:val="en-GB"/>
        </w:rPr>
        <w:sym w:font="Symbol" w:char="F06D"/>
      </w:r>
      <w:r w:rsidRPr="00C54EF6">
        <w:rPr>
          <w:rFonts w:ascii="Arial" w:hAnsi="Arial" w:cs="Arial"/>
          <w:color w:val="262626"/>
          <w:sz w:val="18"/>
          <w:szCs w:val="18"/>
          <w:lang w:val="en-GB"/>
        </w:rPr>
        <w:t>g</w:t>
      </w:r>
      <w:r>
        <w:rPr>
          <w:rFonts w:ascii="Arial" w:hAnsi="Arial" w:cs="Arial"/>
          <w:color w:val="262626"/>
          <w:sz w:val="18"/>
          <w:szCs w:val="18"/>
          <w:lang w:val="en-GB"/>
        </w:rPr>
        <w:t xml:space="preserve">/ml) for 30 min. </w:t>
      </w:r>
      <w:r w:rsidR="00870085" w:rsidRPr="00870085">
        <w:rPr>
          <w:rFonts w:ascii="Arial" w:hAnsi="Arial" w:cs="Arial"/>
          <w:color w:val="262626"/>
          <w:sz w:val="18"/>
          <w:szCs w:val="18"/>
          <w:lang w:val="en-GB"/>
        </w:rPr>
        <w:t>For the immobilization with carboxylic groups,</w:t>
      </w:r>
      <w:r w:rsidR="00870085">
        <w:rPr>
          <w:rFonts w:ascii="Arial" w:hAnsi="Arial" w:cs="Arial"/>
          <w:color w:val="262626"/>
          <w:sz w:val="18"/>
          <w:szCs w:val="18"/>
          <w:lang w:val="en-GB"/>
        </w:rPr>
        <w:t xml:space="preserve"> </w:t>
      </w:r>
      <w:r w:rsidR="00870085" w:rsidRPr="00870085">
        <w:rPr>
          <w:rFonts w:ascii="Arial" w:hAnsi="Arial" w:cs="Arial"/>
          <w:color w:val="262626"/>
          <w:sz w:val="18"/>
          <w:szCs w:val="18"/>
          <w:lang w:val="en-GB"/>
        </w:rPr>
        <w:t xml:space="preserve">Nisin was activated in a solution of EDC (75 mM) NHS (15 mM) in 100 mM MES buffer for 2 h and after was dropped on cysteamine-modified electrode. </w:t>
      </w:r>
      <w:r>
        <w:rPr>
          <w:rFonts w:ascii="Arial" w:hAnsi="Arial" w:cs="Arial"/>
          <w:color w:val="262626"/>
          <w:sz w:val="18"/>
          <w:szCs w:val="18"/>
          <w:lang w:val="en-GB"/>
        </w:rPr>
        <w:t xml:space="preserve">Two </w:t>
      </w:r>
      <w:r w:rsidR="00650F5F">
        <w:rPr>
          <w:rFonts w:ascii="Arial" w:hAnsi="Arial" w:cs="Arial"/>
          <w:color w:val="262626"/>
          <w:sz w:val="18"/>
          <w:szCs w:val="18"/>
          <w:lang w:val="en-GB"/>
        </w:rPr>
        <w:t>amounts</w:t>
      </w:r>
      <w:r>
        <w:rPr>
          <w:rFonts w:ascii="Arial" w:hAnsi="Arial" w:cs="Arial"/>
          <w:color w:val="262626"/>
          <w:sz w:val="18"/>
          <w:szCs w:val="18"/>
          <w:lang w:val="en-GB"/>
        </w:rPr>
        <w:t xml:space="preserve"> of activated Nisin (5 </w:t>
      </w:r>
      <w:r w:rsidRPr="00C54EF6">
        <w:rPr>
          <w:rFonts w:ascii="Arial" w:hAnsi="Arial" w:cs="Arial"/>
          <w:color w:val="262626"/>
          <w:sz w:val="18"/>
          <w:szCs w:val="18"/>
          <w:lang w:val="en-GB"/>
        </w:rPr>
        <w:sym w:font="Symbol" w:char="F06D"/>
      </w:r>
      <w:r w:rsidRPr="00C54EF6">
        <w:rPr>
          <w:rFonts w:ascii="Arial" w:hAnsi="Arial" w:cs="Arial"/>
          <w:color w:val="262626"/>
          <w:sz w:val="18"/>
          <w:szCs w:val="18"/>
          <w:lang w:val="en-GB"/>
        </w:rPr>
        <w:t>g</w:t>
      </w:r>
      <w:r>
        <w:rPr>
          <w:rFonts w:ascii="Arial" w:hAnsi="Arial" w:cs="Arial"/>
          <w:color w:val="262626"/>
          <w:sz w:val="18"/>
          <w:szCs w:val="18"/>
          <w:lang w:val="en-GB"/>
        </w:rPr>
        <w:t xml:space="preserve">/ml – 10 </w:t>
      </w:r>
      <w:r w:rsidRPr="00C54EF6">
        <w:rPr>
          <w:rFonts w:ascii="Arial" w:hAnsi="Arial" w:cs="Arial"/>
          <w:color w:val="262626"/>
          <w:sz w:val="18"/>
          <w:szCs w:val="18"/>
          <w:lang w:val="en-GB"/>
        </w:rPr>
        <w:sym w:font="Symbol" w:char="F06D"/>
      </w:r>
      <w:r w:rsidRPr="00C54EF6">
        <w:rPr>
          <w:rFonts w:ascii="Arial" w:hAnsi="Arial" w:cs="Arial"/>
          <w:color w:val="262626"/>
          <w:sz w:val="18"/>
          <w:szCs w:val="18"/>
          <w:lang w:val="en-GB"/>
        </w:rPr>
        <w:t>g</w:t>
      </w:r>
      <w:r>
        <w:rPr>
          <w:rFonts w:ascii="Arial" w:hAnsi="Arial" w:cs="Arial"/>
          <w:color w:val="262626"/>
          <w:sz w:val="18"/>
          <w:szCs w:val="18"/>
          <w:lang w:val="en-GB"/>
        </w:rPr>
        <w:t xml:space="preserve">/ml) were dropped on the electrode for 30 min. </w:t>
      </w:r>
    </w:p>
    <w:p w14:paraId="1495B625" w14:textId="77777777" w:rsidR="001B1DA2" w:rsidRDefault="001B1DA2" w:rsidP="001B1DA2">
      <w:pPr>
        <w:pStyle w:val="Paragrafoelenco"/>
        <w:spacing w:line="264" w:lineRule="auto"/>
        <w:ind w:left="0"/>
        <w:jc w:val="both"/>
        <w:rPr>
          <w:rFonts w:ascii="Arial" w:hAnsi="Arial" w:cs="Arial"/>
          <w:color w:val="262626"/>
          <w:sz w:val="18"/>
          <w:szCs w:val="18"/>
          <w:lang w:val="en-GB"/>
        </w:rPr>
      </w:pPr>
      <w:r>
        <w:rPr>
          <w:rFonts w:ascii="Arial" w:hAnsi="Arial" w:cs="Arial"/>
          <w:color w:val="262626"/>
          <w:sz w:val="18"/>
          <w:szCs w:val="18"/>
          <w:lang w:val="en-GB"/>
        </w:rPr>
        <w:t xml:space="preserve">   </w:t>
      </w:r>
    </w:p>
    <w:p w14:paraId="4E796529" w14:textId="77777777" w:rsidR="001B1DA2" w:rsidRPr="006E6032" w:rsidRDefault="001B1DA2" w:rsidP="002048DA">
      <w:pPr>
        <w:pStyle w:val="CETheadingx"/>
      </w:pPr>
      <w:r>
        <w:t>Experimental</w:t>
      </w:r>
      <w:r w:rsidRPr="006E6032">
        <w:t xml:space="preserve"> Measurements</w:t>
      </w:r>
    </w:p>
    <w:p w14:paraId="222AA6D2" w14:textId="5F6E4BCB" w:rsidR="001B1DA2" w:rsidRPr="00CF5265" w:rsidRDefault="001B1DA2" w:rsidP="001B1DA2">
      <w:pPr>
        <w:contextualSpacing/>
      </w:pPr>
      <w:r w:rsidRPr="00FC04E7">
        <w:t>For the impedimetric studies, used to characterize each step of the electrode modification and the</w:t>
      </w:r>
      <w:r w:rsidR="00977B3B">
        <w:t xml:space="preserve"> bacteria</w:t>
      </w:r>
      <w:r w:rsidR="00977B3B" w:rsidRPr="00FC04E7">
        <w:t xml:space="preserve"> </w:t>
      </w:r>
      <w:r w:rsidRPr="00FC04E7">
        <w:t>interaction, a sinusoidal alternating current (AC) potential (10mV) in the frequency range from 0.1 to 10</w:t>
      </w:r>
      <w:r w:rsidRPr="00FC04E7">
        <w:rPr>
          <w:vertAlign w:val="superscript"/>
        </w:rPr>
        <w:t>5</w:t>
      </w:r>
      <w:r w:rsidRPr="00FC04E7">
        <w:t xml:space="preserve"> Hz was superimposed to 0.00 V direct current (DC) potential on working electrode vs</w:t>
      </w:r>
      <w:r w:rsidR="005D2BF5">
        <w:t xml:space="preserve"> </w:t>
      </w:r>
      <w:r w:rsidRPr="00FC04E7">
        <w:t>reference electrode</w:t>
      </w:r>
      <w:r w:rsidR="00977B3B">
        <w:t>. The</w:t>
      </w:r>
      <w:r>
        <w:t xml:space="preserve"> experimental impedimetric data were plotted in the form of Nyquist diagram, that plots the </w:t>
      </w:r>
      <w:r w:rsidRPr="00717042">
        <w:t>real component of impedance (Z</w:t>
      </w:r>
      <w:r w:rsidRPr="00717042">
        <w:rPr>
          <w:vertAlign w:val="superscript"/>
        </w:rPr>
        <w:t>I</w:t>
      </w:r>
      <w:r w:rsidRPr="00717042">
        <w:t>) versus the imaginary one (Z</w:t>
      </w:r>
      <w:r w:rsidRPr="00717042">
        <w:rPr>
          <w:vertAlign w:val="superscript"/>
        </w:rPr>
        <w:t>II</w:t>
      </w:r>
      <w:r>
        <w:t>).</w:t>
      </w:r>
      <w:r>
        <w:rPr>
          <w:color w:val="FF0000"/>
        </w:rPr>
        <w:t xml:space="preserve"> </w:t>
      </w:r>
      <w:r w:rsidRPr="00717042">
        <w:t xml:space="preserve">Experimental spectra were fitted with a proper equivalent circuit </w:t>
      </w:r>
      <w:r w:rsidRPr="00C54EF6">
        <w:t xml:space="preserve">using the facilities of FRA32M (Nova Software). </w:t>
      </w:r>
    </w:p>
    <w:p w14:paraId="594E805B" w14:textId="77777777" w:rsidR="001B1DA2" w:rsidRPr="00CF5265" w:rsidRDefault="001B1DA2" w:rsidP="001B1DA2">
      <w:pPr>
        <w:contextualSpacing/>
      </w:pPr>
      <w:r w:rsidRPr="00CF5265">
        <w:t>Impedimetric and voltammetric measurements were performed in a solution of 1 mM ferri/ferrocyanide redox couple (K</w:t>
      </w:r>
      <w:r w:rsidRPr="00CF5265">
        <w:rPr>
          <w:vertAlign w:val="subscript"/>
        </w:rPr>
        <w:t>3</w:t>
      </w:r>
      <w:r w:rsidRPr="00CF5265">
        <w:t>[Fe(CN)</w:t>
      </w:r>
      <w:r w:rsidRPr="00CF5265">
        <w:rPr>
          <w:vertAlign w:val="subscript"/>
        </w:rPr>
        <w:t>6</w:t>
      </w:r>
      <w:r w:rsidRPr="00CF5265">
        <w:t>]/K</w:t>
      </w:r>
      <w:r w:rsidRPr="00CF5265">
        <w:rPr>
          <w:vertAlign w:val="subscript"/>
        </w:rPr>
        <w:t>4</w:t>
      </w:r>
      <w:r w:rsidRPr="00CF5265">
        <w:t>[Fe(CN)</w:t>
      </w:r>
      <w:r w:rsidRPr="00CF5265">
        <w:rPr>
          <w:vertAlign w:val="subscript"/>
        </w:rPr>
        <w:t>6</w:t>
      </w:r>
      <w:r w:rsidRPr="00CF5265">
        <w:t xml:space="preserve">], 1:1) in PB, as background electrolyte, at room temperature. </w:t>
      </w:r>
    </w:p>
    <w:p w14:paraId="339F1A7F" w14:textId="77777777" w:rsidR="001B1DA2" w:rsidRPr="00CF5265" w:rsidRDefault="001B1DA2" w:rsidP="001B1DA2">
      <w:pPr>
        <w:contextualSpacing/>
      </w:pPr>
      <w:r w:rsidRPr="00CF5265">
        <w:t xml:space="preserve">For bacteria measurements, 1 mL of solution at different concentrations was dropped onto the electrode surface and incubated for </w:t>
      </w:r>
      <w:r>
        <w:t>9</w:t>
      </w:r>
      <w:r w:rsidRPr="00CF5265">
        <w:t xml:space="preserve">0 min. </w:t>
      </w:r>
    </w:p>
    <w:p w14:paraId="79C84224" w14:textId="77777777" w:rsidR="001B1DA2" w:rsidRDefault="001B1DA2" w:rsidP="002048DA">
      <w:pPr>
        <w:pStyle w:val="CETHeading1"/>
        <w:numPr>
          <w:ilvl w:val="0"/>
          <w:numId w:val="22"/>
        </w:numPr>
        <w:spacing w:line="264" w:lineRule="auto"/>
        <w:ind w:left="284" w:hanging="284"/>
        <w:rPr>
          <w:lang w:val="en-GB"/>
        </w:rPr>
      </w:pPr>
      <w:r w:rsidRPr="009A46E4">
        <w:rPr>
          <w:lang w:val="en-GB"/>
        </w:rPr>
        <w:lastRenderedPageBreak/>
        <w:t>Results and Discussions</w:t>
      </w:r>
    </w:p>
    <w:p w14:paraId="129E4E46" w14:textId="748DF513" w:rsidR="001B1DA2" w:rsidRDefault="001B1DA2" w:rsidP="002048DA">
      <w:pPr>
        <w:pStyle w:val="CETheadingx"/>
        <w:numPr>
          <w:ilvl w:val="0"/>
          <w:numId w:val="0"/>
        </w:numPr>
      </w:pPr>
      <w:r w:rsidRPr="001B21B7">
        <w:t>3.1 Orientation of Nisin on</w:t>
      </w:r>
      <w:r w:rsidR="00977B3B">
        <w:t xml:space="preserve"> gold electrode surface</w:t>
      </w:r>
      <w:r w:rsidRPr="001B21B7">
        <w:t xml:space="preserve"> </w:t>
      </w:r>
    </w:p>
    <w:p w14:paraId="5E2D9C2F" w14:textId="1C6ED86E" w:rsidR="001B1DA2" w:rsidRDefault="00977B3B" w:rsidP="00977B3B">
      <w:pPr>
        <w:pStyle w:val="CETBodytext"/>
      </w:pPr>
      <w:r>
        <w:rPr>
          <w:lang w:val="en-GB"/>
        </w:rPr>
        <w:t>The phospholipid head group charge on cell membranes and peptide charge distribution appears to play an important role in the peptide membrane interaction</w:t>
      </w:r>
      <w:r>
        <w:t xml:space="preserve"> </w:t>
      </w:r>
      <w:r w:rsidR="001B1DA2">
        <w:t>(</w:t>
      </w:r>
      <w:r w:rsidR="001B1DA2" w:rsidRPr="00225E53">
        <w:t>Bahar et al., 2013</w:t>
      </w:r>
      <w:r w:rsidR="001B1DA2">
        <w:t xml:space="preserve">). For this reason, </w:t>
      </w:r>
      <w:r w:rsidR="001B1DA2" w:rsidRPr="00D43BC0">
        <w:t>the binding affinities of Nisin immobilized via cysteamine residues at the Carboxylic (C) terminus and</w:t>
      </w:r>
      <w:r>
        <w:t xml:space="preserve"> free amine group (-NH</w:t>
      </w:r>
      <w:r w:rsidRPr="00977B3B">
        <w:rPr>
          <w:vertAlign w:val="subscript"/>
        </w:rPr>
        <w:t>2</w:t>
      </w:r>
      <w:r>
        <w:t>)</w:t>
      </w:r>
      <w:r w:rsidR="008C1C2F">
        <w:t xml:space="preserve"> located at the end of peptide</w:t>
      </w:r>
      <w:r w:rsidR="001B1DA2" w:rsidRPr="00D43BC0">
        <w:t xml:space="preserve"> were compared.</w:t>
      </w:r>
      <w:r w:rsidR="001B1DA2">
        <w:t xml:space="preserve"> EIS was used to characterize each step of biosensors construction as well as their electrochemical responses with different concentration</w:t>
      </w:r>
      <w:r w:rsidR="00BD531B">
        <w:t>s</w:t>
      </w:r>
      <w:r w:rsidR="001B1DA2">
        <w:t xml:space="preserve"> of </w:t>
      </w:r>
      <w:r w:rsidR="001B1DA2" w:rsidRPr="00582B98">
        <w:rPr>
          <w:i/>
        </w:rPr>
        <w:t>E.Coli</w:t>
      </w:r>
      <w:r w:rsidR="001B1DA2">
        <w:t xml:space="preserve"> cells. </w:t>
      </w:r>
    </w:p>
    <w:p w14:paraId="4160E225" w14:textId="276D4AC9" w:rsidR="007F1365" w:rsidRDefault="007F1365" w:rsidP="00977B3B">
      <w:pPr>
        <w:pStyle w:val="CETBodytext"/>
      </w:pPr>
      <w:r>
        <w:rPr>
          <w:noProof/>
          <w:lang w:val="it-IT" w:eastAsia="it-IT"/>
        </w:rPr>
        <w:drawing>
          <wp:inline distT="0" distB="0" distL="0" distR="0" wp14:anchorId="26DAC176" wp14:editId="2102DDCF">
            <wp:extent cx="3563999" cy="2376000"/>
            <wp:effectExtent l="0" t="0" r="0" b="12065"/>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gure 1 (NISIN).png"/>
                    <pic:cNvPicPr/>
                  </pic:nvPicPr>
                  <pic:blipFill>
                    <a:blip r:embed="rId11">
                      <a:extLst>
                        <a:ext uri="{28A0092B-C50C-407E-A947-70E740481C1C}">
                          <a14:useLocalDpi xmlns:a14="http://schemas.microsoft.com/office/drawing/2010/main" val="0"/>
                        </a:ext>
                      </a:extLst>
                    </a:blip>
                    <a:stretch>
                      <a:fillRect/>
                    </a:stretch>
                  </pic:blipFill>
                  <pic:spPr>
                    <a:xfrm>
                      <a:off x="0" y="0"/>
                      <a:ext cx="3563999" cy="2376000"/>
                    </a:xfrm>
                    <a:prstGeom prst="rect">
                      <a:avLst/>
                    </a:prstGeom>
                  </pic:spPr>
                </pic:pic>
              </a:graphicData>
            </a:graphic>
          </wp:inline>
        </w:drawing>
      </w:r>
    </w:p>
    <w:p w14:paraId="785717B7" w14:textId="77777777" w:rsidR="001B1DA2" w:rsidRDefault="001B1DA2" w:rsidP="001B1DA2">
      <w:pPr>
        <w:pStyle w:val="Didascalia"/>
        <w:rPr>
          <w:rFonts w:cs="Arial"/>
          <w:b w:val="0"/>
          <w:i/>
          <w:color w:val="auto"/>
        </w:rPr>
      </w:pPr>
      <w:r w:rsidRPr="00BC3F57">
        <w:rPr>
          <w:rFonts w:cs="Arial"/>
          <w:b w:val="0"/>
          <w:i/>
          <w:color w:val="auto"/>
        </w:rPr>
        <w:t xml:space="preserve">Figure </w:t>
      </w:r>
      <w:r w:rsidRPr="00BC3F57">
        <w:rPr>
          <w:rFonts w:cs="Arial"/>
          <w:b w:val="0"/>
          <w:i/>
          <w:color w:val="auto"/>
        </w:rPr>
        <w:fldChar w:fldCharType="begin"/>
      </w:r>
      <w:r w:rsidRPr="00BC3F57">
        <w:rPr>
          <w:rFonts w:cs="Arial"/>
          <w:b w:val="0"/>
          <w:i/>
          <w:color w:val="auto"/>
        </w:rPr>
        <w:instrText xml:space="preserve"> SEQ Figura \* ARABIC </w:instrText>
      </w:r>
      <w:r w:rsidRPr="00BC3F57">
        <w:rPr>
          <w:rFonts w:cs="Arial"/>
          <w:b w:val="0"/>
          <w:i/>
          <w:color w:val="auto"/>
        </w:rPr>
        <w:fldChar w:fldCharType="separate"/>
      </w:r>
      <w:r>
        <w:rPr>
          <w:rFonts w:cs="Arial"/>
          <w:b w:val="0"/>
          <w:i/>
          <w:noProof/>
          <w:color w:val="auto"/>
        </w:rPr>
        <w:t>1</w:t>
      </w:r>
      <w:r w:rsidRPr="00BC3F57">
        <w:rPr>
          <w:rFonts w:cs="Arial"/>
          <w:b w:val="0"/>
          <w:i/>
          <w:color w:val="auto"/>
        </w:rPr>
        <w:fldChar w:fldCharType="end"/>
      </w:r>
      <w:r w:rsidRPr="00BC3F57">
        <w:rPr>
          <w:rFonts w:cs="Arial"/>
          <w:b w:val="0"/>
          <w:i/>
          <w:color w:val="auto"/>
        </w:rPr>
        <w:t>: Nyquist’s plots of biosensors</w:t>
      </w:r>
      <w:r>
        <w:rPr>
          <w:rFonts w:cs="Arial"/>
          <w:b w:val="0"/>
          <w:i/>
          <w:color w:val="auto"/>
        </w:rPr>
        <w:t xml:space="preserve"> developed with Nisin immobilized with N-terminus and C-terminus.</w:t>
      </w:r>
    </w:p>
    <w:p w14:paraId="4035B6E6" w14:textId="77777777" w:rsidR="001B1DA2" w:rsidRDefault="001B1DA2" w:rsidP="001B1DA2">
      <w:pPr>
        <w:pStyle w:val="CETBodytext"/>
        <w:rPr>
          <w:lang w:val="en-GB"/>
        </w:rPr>
      </w:pPr>
    </w:p>
    <w:p w14:paraId="1B839B1F" w14:textId="554EF63E" w:rsidR="001B1DA2" w:rsidRDefault="001B1DA2" w:rsidP="00721BD0">
      <w:pPr>
        <w:pStyle w:val="CETBodytext"/>
      </w:pPr>
      <w:r>
        <w:t xml:space="preserve">The formation of cysteamine layer and the immobilization of Nisin cause an </w:t>
      </w:r>
      <w:r w:rsidR="00A6175D">
        <w:t>increase</w:t>
      </w:r>
      <w:r>
        <w:t xml:space="preserve"> </w:t>
      </w:r>
      <w:r w:rsidR="005D2BF5">
        <w:t>in</w:t>
      </w:r>
      <w:r>
        <w:t xml:space="preserve"> the total impedance of the system for both immobilization procedures (Figure 1), due to the blocking layer coating on the electrode surface, which became thicker with the assembly procedure (Malvano et al., 2018; Malvano et al., 2017). Moreover, when the biosensors react with increasing concentrations of </w:t>
      </w:r>
      <w:r w:rsidRPr="00D019A7">
        <w:rPr>
          <w:i/>
        </w:rPr>
        <w:t>E.Coli</w:t>
      </w:r>
      <w:r>
        <w:t xml:space="preserve"> cells, an increase </w:t>
      </w:r>
      <w:r w:rsidR="005D2BF5">
        <w:t>in</w:t>
      </w:r>
      <w:r>
        <w:t xml:space="preserve"> semicircle diameters of Nyquist plots was observed for both biosensors, which correspond to the Charge Transfer Resi</w:t>
      </w:r>
      <w:r w:rsidR="0025145D">
        <w:t>s</w:t>
      </w:r>
      <w:r>
        <w:t>tance (R</w:t>
      </w:r>
      <w:r w:rsidRPr="004815DE">
        <w:rPr>
          <w:vertAlign w:val="subscript"/>
        </w:rPr>
        <w:t>ct</w:t>
      </w:r>
      <w:r>
        <w:t>) of Randle’s circuit used for data fitting (</w:t>
      </w:r>
      <w:r w:rsidRPr="009B33EA">
        <w:t>Figure 2a and</w:t>
      </w:r>
      <w:r>
        <w:t xml:space="preserve"> b). </w:t>
      </w:r>
    </w:p>
    <w:p w14:paraId="623536AE" w14:textId="77777777" w:rsidR="00605E04" w:rsidRDefault="00605E04" w:rsidP="00605E04"/>
    <w:p w14:paraId="2E7FA37B" w14:textId="77777777" w:rsidR="00605E04" w:rsidRPr="00605E04" w:rsidRDefault="00605E04" w:rsidP="00605E04"/>
    <w:p w14:paraId="0C319A75" w14:textId="0CE6A194" w:rsidR="00605E04" w:rsidRPr="00605E04" w:rsidRDefault="00605E04" w:rsidP="00605E04">
      <w:r>
        <w:rPr>
          <w:noProof/>
          <w:lang w:val="it-IT" w:eastAsia="it-IT"/>
        </w:rPr>
        <w:drawing>
          <wp:inline distT="0" distB="0" distL="0" distR="0" wp14:anchorId="06D16597" wp14:editId="0001DAD8">
            <wp:extent cx="5579745" cy="16579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png"/>
                    <pic:cNvPicPr/>
                  </pic:nvPicPr>
                  <pic:blipFill>
                    <a:blip r:embed="rId12">
                      <a:extLst>
                        <a:ext uri="{28A0092B-C50C-407E-A947-70E740481C1C}">
                          <a14:useLocalDpi xmlns:a14="http://schemas.microsoft.com/office/drawing/2010/main" val="0"/>
                        </a:ext>
                      </a:extLst>
                    </a:blip>
                    <a:stretch>
                      <a:fillRect/>
                    </a:stretch>
                  </pic:blipFill>
                  <pic:spPr>
                    <a:xfrm>
                      <a:off x="0" y="0"/>
                      <a:ext cx="5579745" cy="1657985"/>
                    </a:xfrm>
                    <a:prstGeom prst="rect">
                      <a:avLst/>
                    </a:prstGeom>
                  </pic:spPr>
                </pic:pic>
              </a:graphicData>
            </a:graphic>
          </wp:inline>
        </w:drawing>
      </w:r>
    </w:p>
    <w:p w14:paraId="48285572" w14:textId="38FF826C" w:rsidR="001A4D36" w:rsidRDefault="00A42A99" w:rsidP="001B1DA2">
      <w:pPr>
        <w:pStyle w:val="CETBodytext"/>
        <w:rPr>
          <w:rFonts w:cs="Arial"/>
          <w:i/>
        </w:rPr>
      </w:pPr>
      <w:r w:rsidRPr="00BC3F57">
        <w:rPr>
          <w:rFonts w:cs="Arial"/>
          <w:i/>
        </w:rPr>
        <w:t xml:space="preserve">Figure </w:t>
      </w:r>
      <w:r w:rsidRPr="00BC3F57">
        <w:rPr>
          <w:rFonts w:cs="Arial"/>
          <w:b/>
          <w:i/>
        </w:rPr>
        <w:fldChar w:fldCharType="begin"/>
      </w:r>
      <w:r w:rsidRPr="00BC3F57">
        <w:rPr>
          <w:rFonts w:cs="Arial"/>
          <w:i/>
        </w:rPr>
        <w:instrText xml:space="preserve"> SEQ Figura \* ARABIC </w:instrText>
      </w:r>
      <w:r w:rsidRPr="00BC3F57">
        <w:rPr>
          <w:rFonts w:cs="Arial"/>
          <w:b/>
          <w:i/>
        </w:rPr>
        <w:fldChar w:fldCharType="separate"/>
      </w:r>
      <w:r>
        <w:rPr>
          <w:rFonts w:cs="Arial"/>
          <w:i/>
          <w:noProof/>
        </w:rPr>
        <w:t>2</w:t>
      </w:r>
      <w:r w:rsidRPr="00BC3F57">
        <w:rPr>
          <w:rFonts w:cs="Arial"/>
          <w:b/>
          <w:i/>
        </w:rPr>
        <w:fldChar w:fldCharType="end"/>
      </w:r>
      <w:r w:rsidRPr="00BC3F57">
        <w:rPr>
          <w:rFonts w:cs="Arial"/>
          <w:i/>
        </w:rPr>
        <w:t>: Nyquist’s plots of biosensors</w:t>
      </w:r>
      <w:r>
        <w:rPr>
          <w:rFonts w:cs="Arial"/>
          <w:i/>
        </w:rPr>
        <w:t xml:space="preserve"> developed with Nisin immobilized with N-terminus and C-terminus.</w:t>
      </w:r>
    </w:p>
    <w:p w14:paraId="248C186C" w14:textId="77777777" w:rsidR="00A42A99" w:rsidRDefault="00A42A99" w:rsidP="001B1DA2">
      <w:pPr>
        <w:pStyle w:val="CETBodytext"/>
      </w:pPr>
    </w:p>
    <w:p w14:paraId="478E2A17" w14:textId="65DEEF00" w:rsidR="005D13E3" w:rsidRDefault="00BC4BBF" w:rsidP="002048DA">
      <w:pPr>
        <w:pStyle w:val="CETBodytext"/>
        <w:jc w:val="left"/>
      </w:pPr>
      <w:r>
        <w:rPr>
          <w:noProof/>
          <w:lang w:val="it-IT" w:eastAsia="it-IT"/>
        </w:rPr>
        <w:lastRenderedPageBreak/>
        <w:drawing>
          <wp:inline distT="0" distB="0" distL="0" distR="0" wp14:anchorId="3483B156" wp14:editId="67FF7AEE">
            <wp:extent cx="4071416" cy="2213404"/>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 OK (NISIN).png"/>
                    <pic:cNvPicPr/>
                  </pic:nvPicPr>
                  <pic:blipFill>
                    <a:blip r:embed="rId13">
                      <a:extLst>
                        <a:ext uri="{28A0092B-C50C-407E-A947-70E740481C1C}">
                          <a14:useLocalDpi xmlns:a14="http://schemas.microsoft.com/office/drawing/2010/main" val="0"/>
                        </a:ext>
                      </a:extLst>
                    </a:blip>
                    <a:stretch>
                      <a:fillRect/>
                    </a:stretch>
                  </pic:blipFill>
                  <pic:spPr>
                    <a:xfrm>
                      <a:off x="0" y="0"/>
                      <a:ext cx="4118494" cy="2238998"/>
                    </a:xfrm>
                    <a:prstGeom prst="rect">
                      <a:avLst/>
                    </a:prstGeom>
                  </pic:spPr>
                </pic:pic>
              </a:graphicData>
            </a:graphic>
          </wp:inline>
        </w:drawing>
      </w:r>
    </w:p>
    <w:p w14:paraId="2D59A39B" w14:textId="4F95BBE5" w:rsidR="001B1DA2" w:rsidRPr="00E718C8" w:rsidRDefault="001B1DA2" w:rsidP="001B1DA2">
      <w:pPr>
        <w:pStyle w:val="Didascalia"/>
        <w:tabs>
          <w:tab w:val="left" w:pos="1340"/>
          <w:tab w:val="center" w:pos="4393"/>
        </w:tabs>
        <w:spacing w:before="240" w:after="240" w:line="264" w:lineRule="auto"/>
        <w:rPr>
          <w:rFonts w:cs="Arial"/>
          <w:b w:val="0"/>
          <w:i/>
          <w:color w:val="auto"/>
        </w:rPr>
      </w:pPr>
      <w:r w:rsidRPr="009A38A2">
        <w:rPr>
          <w:rFonts w:cs="Arial"/>
          <w:b w:val="0"/>
          <w:i/>
          <w:color w:val="auto"/>
        </w:rPr>
        <w:t xml:space="preserve">Figure </w:t>
      </w:r>
      <w:r>
        <w:rPr>
          <w:rFonts w:cs="Arial"/>
          <w:b w:val="0"/>
          <w:i/>
          <w:color w:val="auto"/>
        </w:rPr>
        <w:t>3</w:t>
      </w:r>
      <w:r w:rsidRPr="009A38A2">
        <w:rPr>
          <w:rFonts w:cs="Arial"/>
          <w:b w:val="0"/>
          <w:i/>
          <w:color w:val="auto"/>
        </w:rPr>
        <w:t xml:space="preserve">: </w:t>
      </w:r>
      <w:r>
        <w:rPr>
          <w:rFonts w:cs="Arial"/>
          <w:b w:val="0"/>
          <w:i/>
          <w:color w:val="auto"/>
        </w:rPr>
        <w:t xml:space="preserve">Calibration curves of developed biosensors. </w:t>
      </w:r>
    </w:p>
    <w:p w14:paraId="2969C20E" w14:textId="77777777" w:rsidR="002048DA" w:rsidRDefault="002048DA" w:rsidP="00264371">
      <w:pPr>
        <w:pStyle w:val="CETBodytext"/>
      </w:pPr>
    </w:p>
    <w:p w14:paraId="54C18938" w14:textId="0E493458" w:rsidR="00F6112E" w:rsidRPr="00B27720" w:rsidRDefault="00264371" w:rsidP="00264371">
      <w:pPr>
        <w:pStyle w:val="CETBodytext"/>
      </w:pPr>
      <w:r w:rsidRPr="00921E0B">
        <w:t>The percentage variations of R</w:t>
      </w:r>
      <w:r w:rsidRPr="00921E0B">
        <w:rPr>
          <w:vertAlign w:val="subscript"/>
        </w:rPr>
        <w:t>ct</w:t>
      </w:r>
      <w:r w:rsidRPr="00921E0B">
        <w:t xml:space="preserve"> values</w:t>
      </w:r>
      <w:r w:rsidR="00F6112E" w:rsidRPr="00921E0B">
        <w:t xml:space="preserve"> </w:t>
      </w:r>
      <w:r w:rsidR="00921E0B" w:rsidRPr="00B27720">
        <w:t>(</w:t>
      </w:r>
      <w:r w:rsidR="00921E0B" w:rsidRPr="00B27720">
        <w:sym w:font="Symbol" w:char="F044"/>
      </w:r>
      <w:r w:rsidR="00921E0B" w:rsidRPr="00B27720">
        <w:t>R</w:t>
      </w:r>
      <w:r w:rsidR="00921E0B" w:rsidRPr="00B27720">
        <w:rPr>
          <w:vertAlign w:val="subscript"/>
        </w:rPr>
        <w:t>ct</w:t>
      </w:r>
      <w:r w:rsidR="00921E0B" w:rsidRPr="00B27720">
        <w:t xml:space="preserve">%) </w:t>
      </w:r>
      <w:r w:rsidRPr="00B27720">
        <w:t xml:space="preserve">versus the logarithmic value of </w:t>
      </w:r>
      <w:r w:rsidRPr="00B27720">
        <w:rPr>
          <w:i/>
        </w:rPr>
        <w:t>E.Coli</w:t>
      </w:r>
      <w:r w:rsidRPr="00B27720">
        <w:t xml:space="preserve"> cells were used to calibrate</w:t>
      </w:r>
      <w:r w:rsidR="00921E0B" w:rsidRPr="00B27720">
        <w:t xml:space="preserve"> the two biosensors developed; </w:t>
      </w:r>
      <w:r w:rsidR="00921E0B" w:rsidRPr="00B27720">
        <w:sym w:font="Symbol" w:char="F044"/>
      </w:r>
      <w:r w:rsidR="00921E0B" w:rsidRPr="00B27720">
        <w:t>R</w:t>
      </w:r>
      <w:r w:rsidR="00921E0B" w:rsidRPr="00B27720">
        <w:rPr>
          <w:vertAlign w:val="subscript"/>
        </w:rPr>
        <w:t>ct</w:t>
      </w:r>
      <w:r w:rsidR="00921E0B" w:rsidRPr="00B27720">
        <w:t>% values were calculated by the following equation:</w:t>
      </w:r>
    </w:p>
    <w:p w14:paraId="64B6B359" w14:textId="77777777" w:rsidR="00921E0B" w:rsidRPr="00B27720" w:rsidRDefault="00921E0B" w:rsidP="00264371">
      <w:pPr>
        <w:pStyle w:val="CETBodytext"/>
        <w:rPr>
          <w:strike/>
        </w:rPr>
      </w:pPr>
    </w:p>
    <w:p w14:paraId="20345416" w14:textId="3B315093" w:rsidR="00921E0B" w:rsidRPr="00B27720" w:rsidRDefault="00921E0B" w:rsidP="00921E0B">
      <w:pPr>
        <w:pStyle w:val="CETBodytext"/>
        <w:jc w:val="right"/>
      </w:pPr>
      <m:oMath>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R</m:t>
            </m:r>
          </m:e>
          <m:sub>
            <m:r>
              <m:rPr>
                <m:sty m:val="bi"/>
              </m:rPr>
              <w:rPr>
                <w:rFonts w:ascii="Cambria Math" w:hAnsi="Cambria Math" w:cs="Arial"/>
              </w:rPr>
              <m:t>ct</m:t>
            </m:r>
          </m:sub>
        </m:sSub>
        <m:r>
          <m:rPr>
            <m:sty m:val="bi"/>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bi"/>
                  </m:rPr>
                  <w:rPr>
                    <w:rFonts w:ascii="Cambria Math" w:hAnsi="Cambria Math" w:cs="Arial"/>
                  </w:rPr>
                  <m:t>R</m:t>
                </m:r>
              </m:e>
              <m:sub>
                <m:r>
                  <m:rPr>
                    <m:sty m:val="bi"/>
                  </m:rPr>
                  <w:rPr>
                    <w:rFonts w:ascii="Cambria Math" w:hAnsi="Cambria Math" w:cs="Arial"/>
                  </w:rPr>
                  <m:t>ct</m:t>
                </m:r>
                <m:d>
                  <m:dPr>
                    <m:ctrlPr>
                      <w:rPr>
                        <w:rFonts w:ascii="Cambria Math" w:hAnsi="Cambria Math" w:cs="Arial"/>
                        <w:i/>
                      </w:rPr>
                    </m:ctrlPr>
                  </m:dPr>
                  <m:e>
                    <m:r>
                      <m:rPr>
                        <m:sty m:val="bi"/>
                      </m:rPr>
                      <w:rPr>
                        <w:rFonts w:ascii="Cambria Math" w:hAnsi="Cambria Math" w:cs="Arial"/>
                      </w:rPr>
                      <m:t>Nisin-E.Coli</m:t>
                    </m:r>
                  </m:e>
                </m:d>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R</m:t>
                </m:r>
              </m:e>
              <m:sub>
                <m:r>
                  <m:rPr>
                    <m:sty m:val="bi"/>
                  </m:rPr>
                  <w:rPr>
                    <w:rFonts w:ascii="Cambria Math" w:hAnsi="Cambria Math" w:cs="Arial"/>
                  </w:rPr>
                  <m:t>ct</m:t>
                </m:r>
                <m:d>
                  <m:dPr>
                    <m:ctrlPr>
                      <w:rPr>
                        <w:rFonts w:ascii="Cambria Math" w:hAnsi="Cambria Math" w:cs="Arial"/>
                        <w:i/>
                      </w:rPr>
                    </m:ctrlPr>
                  </m:dPr>
                  <m:e>
                    <m:r>
                      <m:rPr>
                        <m:sty m:val="bi"/>
                      </m:rPr>
                      <w:rPr>
                        <w:rFonts w:ascii="Cambria Math" w:hAnsi="Cambria Math" w:cs="Arial"/>
                      </w:rPr>
                      <m:t>Nisin</m:t>
                    </m:r>
                  </m:e>
                </m:d>
              </m:sub>
            </m:sSub>
          </m:num>
          <m:den>
            <m:sSub>
              <m:sSubPr>
                <m:ctrlPr>
                  <w:rPr>
                    <w:rFonts w:ascii="Cambria Math" w:hAnsi="Cambria Math" w:cs="Arial"/>
                    <w:i/>
                  </w:rPr>
                </m:ctrlPr>
              </m:sSubPr>
              <m:e>
                <m:r>
                  <m:rPr>
                    <m:sty m:val="bi"/>
                  </m:rPr>
                  <w:rPr>
                    <w:rFonts w:ascii="Cambria Math" w:hAnsi="Cambria Math" w:cs="Arial"/>
                  </w:rPr>
                  <m:t>R</m:t>
                </m:r>
              </m:e>
              <m:sub>
                <m:r>
                  <m:rPr>
                    <m:sty m:val="bi"/>
                  </m:rPr>
                  <w:rPr>
                    <w:rFonts w:ascii="Cambria Math" w:hAnsi="Cambria Math" w:cs="Arial"/>
                  </w:rPr>
                  <m:t>ct</m:t>
                </m:r>
                <m:d>
                  <m:dPr>
                    <m:ctrlPr>
                      <w:rPr>
                        <w:rFonts w:ascii="Cambria Math" w:hAnsi="Cambria Math" w:cs="Arial"/>
                        <w:i/>
                      </w:rPr>
                    </m:ctrlPr>
                  </m:dPr>
                  <m:e>
                    <m:r>
                      <m:rPr>
                        <m:sty m:val="bi"/>
                      </m:rPr>
                      <w:rPr>
                        <w:rFonts w:ascii="Cambria Math" w:hAnsi="Cambria Math" w:cs="Arial"/>
                      </w:rPr>
                      <m:t>Nisin</m:t>
                    </m:r>
                  </m:e>
                </m:d>
              </m:sub>
            </m:sSub>
          </m:den>
        </m:f>
        <m:r>
          <m:rPr>
            <m:sty m:val="bi"/>
          </m:rPr>
          <w:rPr>
            <w:rFonts w:ascii="Cambria Math" w:hAnsi="Cambria Math" w:cs="Arial"/>
          </w:rPr>
          <m:t>*100</m:t>
        </m:r>
      </m:oMath>
      <w:r w:rsidRPr="00B27720">
        <w:rPr>
          <w:b/>
        </w:rPr>
        <w:t xml:space="preserve">                                                                                                                </w:t>
      </w:r>
      <w:r w:rsidRPr="00B27720">
        <w:t>(1)</w:t>
      </w:r>
    </w:p>
    <w:p w14:paraId="2E45F024" w14:textId="77777777" w:rsidR="00264371" w:rsidRPr="00B27720" w:rsidRDefault="00264371" w:rsidP="00264371">
      <w:pPr>
        <w:pStyle w:val="CETBodytext"/>
      </w:pPr>
    </w:p>
    <w:p w14:paraId="2D6E6CD9" w14:textId="6595DE4B" w:rsidR="00D3511E" w:rsidRPr="00B27720" w:rsidRDefault="00D3511E" w:rsidP="001B1DA2">
      <w:pPr>
        <w:pStyle w:val="CETBodytext"/>
        <w:rPr>
          <w:lang w:val="en-GB"/>
        </w:rPr>
      </w:pPr>
      <w:r w:rsidRPr="00B27720">
        <w:rPr>
          <w:rFonts w:cs="Arial"/>
          <w:szCs w:val="18"/>
          <w:lang w:val="en-GB"/>
        </w:rPr>
        <w:t>where R</w:t>
      </w:r>
      <w:r w:rsidRPr="00B27720">
        <w:rPr>
          <w:rFonts w:cs="Arial"/>
          <w:szCs w:val="18"/>
          <w:vertAlign w:val="subscript"/>
          <w:lang w:val="en-GB"/>
        </w:rPr>
        <w:t>ct(Nisin)</w:t>
      </w:r>
      <w:r w:rsidRPr="00B27720">
        <w:rPr>
          <w:rFonts w:cs="Arial"/>
          <w:szCs w:val="18"/>
          <w:lang w:val="en-GB"/>
        </w:rPr>
        <w:t xml:space="preserve"> is the value of the electron transfer resistance</w:t>
      </w:r>
      <w:r w:rsidRPr="00B27720">
        <w:rPr>
          <w:rFonts w:cs="Arial"/>
        </w:rPr>
        <w:t xml:space="preserve"> when Nisin</w:t>
      </w:r>
      <w:r w:rsidRPr="00B27720">
        <w:rPr>
          <w:rFonts w:cs="Arial"/>
          <w:szCs w:val="18"/>
          <w:lang w:val="en-GB"/>
        </w:rPr>
        <w:t xml:space="preserve"> is immobilized on the electrode surface and R</w:t>
      </w:r>
      <w:r w:rsidRPr="00B27720">
        <w:rPr>
          <w:rFonts w:cs="Arial"/>
          <w:szCs w:val="18"/>
          <w:vertAlign w:val="subscript"/>
          <w:lang w:val="en-GB"/>
        </w:rPr>
        <w:t>ct(Nisin-</w:t>
      </w:r>
      <w:r w:rsidRPr="00B27720">
        <w:rPr>
          <w:rFonts w:cs="Arial"/>
          <w:i/>
          <w:szCs w:val="18"/>
          <w:vertAlign w:val="subscript"/>
          <w:lang w:val="en-GB"/>
        </w:rPr>
        <w:t>E.Coli</w:t>
      </w:r>
      <w:r w:rsidRPr="00B27720">
        <w:rPr>
          <w:rFonts w:cs="Arial"/>
          <w:szCs w:val="18"/>
          <w:vertAlign w:val="subscript"/>
          <w:lang w:val="en-GB"/>
        </w:rPr>
        <w:t>)</w:t>
      </w:r>
      <w:r w:rsidRPr="00B27720">
        <w:rPr>
          <w:rFonts w:cs="Arial"/>
          <w:szCs w:val="18"/>
          <w:lang w:val="en-GB"/>
        </w:rPr>
        <w:t xml:space="preserve"> is the value after the Nisin/</w:t>
      </w:r>
      <w:r w:rsidRPr="00B27720">
        <w:rPr>
          <w:rFonts w:cs="Arial"/>
          <w:i/>
          <w:szCs w:val="18"/>
          <w:lang w:val="en-GB"/>
        </w:rPr>
        <w:t>E.Coli</w:t>
      </w:r>
      <w:r w:rsidRPr="00B27720">
        <w:rPr>
          <w:rFonts w:cs="Arial"/>
          <w:szCs w:val="18"/>
          <w:lang w:val="en-GB"/>
        </w:rPr>
        <w:t xml:space="preserve"> interaction.</w:t>
      </w:r>
    </w:p>
    <w:p w14:paraId="360657B0" w14:textId="7FBB015D" w:rsidR="001B1DA2" w:rsidRDefault="001B1DA2" w:rsidP="001B1DA2">
      <w:pPr>
        <w:pStyle w:val="CETBodytext"/>
        <w:rPr>
          <w:lang w:val="en-GB"/>
        </w:rPr>
      </w:pPr>
      <w:r w:rsidRPr="007F1FE5">
        <w:rPr>
          <w:lang w:val="en-GB"/>
        </w:rPr>
        <w:t>A considerably reduced binding activity was observed for Nisin immobilized via the N-terminus compared to C-termin</w:t>
      </w:r>
      <w:r>
        <w:rPr>
          <w:lang w:val="en-GB"/>
        </w:rPr>
        <w:t>us</w:t>
      </w:r>
      <w:r w:rsidRPr="007F1FE5">
        <w:rPr>
          <w:lang w:val="en-GB"/>
        </w:rPr>
        <w:t xml:space="preserve"> immobilization.</w:t>
      </w:r>
      <w:r>
        <w:rPr>
          <w:color w:val="FF0000"/>
          <w:lang w:val="en-GB"/>
        </w:rPr>
        <w:t xml:space="preserve"> </w:t>
      </w:r>
      <w:r w:rsidRPr="007F1FE5">
        <w:rPr>
          <w:lang w:val="en-GB"/>
        </w:rPr>
        <w:t xml:space="preserve">This reduction in the binding affinity is likely due to the reduced exposure of the target bacteria to the </w:t>
      </w:r>
      <w:r>
        <w:rPr>
          <w:lang w:val="en-GB"/>
        </w:rPr>
        <w:t>Nisin</w:t>
      </w:r>
      <w:r w:rsidRPr="007F1FE5">
        <w:rPr>
          <w:lang w:val="en-GB"/>
        </w:rPr>
        <w:t xml:space="preserve"> residues</w:t>
      </w:r>
      <w:r>
        <w:rPr>
          <w:lang w:val="en-GB"/>
        </w:rPr>
        <w:t xml:space="preserve"> containing N-termin</w:t>
      </w:r>
      <w:r w:rsidRPr="007F1FE5">
        <w:rPr>
          <w:lang w:val="en-GB"/>
        </w:rPr>
        <w:t xml:space="preserve">us. According to </w:t>
      </w:r>
      <w:r w:rsidRPr="00225E53">
        <w:rPr>
          <w:lang w:val="en-GB"/>
        </w:rPr>
        <w:t>Aveyard et al. (2017)</w:t>
      </w:r>
      <w:r>
        <w:rPr>
          <w:lang w:val="en-GB"/>
        </w:rPr>
        <w:t xml:space="preserve"> </w:t>
      </w:r>
      <w:r w:rsidR="002440B5" w:rsidRPr="007F1FE5">
        <w:rPr>
          <w:lang w:val="en-GB"/>
        </w:rPr>
        <w:t xml:space="preserve">this result </w:t>
      </w:r>
      <w:r w:rsidRPr="007F1FE5">
        <w:rPr>
          <w:lang w:val="en-GB"/>
        </w:rPr>
        <w:t xml:space="preserve">confirms the hypothesis that the initial interaction of Nisin with the membrane of target bacteria occurs </w:t>
      </w:r>
      <w:r w:rsidR="00142952">
        <w:rPr>
          <w:lang w:val="en-GB"/>
        </w:rPr>
        <w:t xml:space="preserve">via </w:t>
      </w:r>
      <w:r w:rsidRPr="007F1FE5">
        <w:rPr>
          <w:lang w:val="en-GB"/>
        </w:rPr>
        <w:t xml:space="preserve">electrostatic attraction of positively charged amino acids on the peptide with negatively charged phospholipids on the </w:t>
      </w:r>
      <w:r>
        <w:rPr>
          <w:lang w:val="en-GB"/>
        </w:rPr>
        <w:t xml:space="preserve">bacteria membrane. </w:t>
      </w:r>
    </w:p>
    <w:p w14:paraId="2C5EC5A4" w14:textId="6C7E957B" w:rsidR="001B1DA2" w:rsidRPr="00970648" w:rsidRDefault="001B1DA2" w:rsidP="001B1DA2">
      <w:pPr>
        <w:pStyle w:val="CETBodytext"/>
        <w:rPr>
          <w:lang w:val="en-GB"/>
        </w:rPr>
      </w:pPr>
      <w:r w:rsidRPr="008C43FC">
        <w:rPr>
          <w:lang w:val="en-GB"/>
        </w:rPr>
        <w:t>This behaviour results in the best analytical performances of biosensor developed with N</w:t>
      </w:r>
      <w:r>
        <w:rPr>
          <w:lang w:val="en-GB"/>
        </w:rPr>
        <w:t>isin immobilized via C-terminus</w:t>
      </w:r>
      <w:r w:rsidRPr="008C43FC">
        <w:rPr>
          <w:lang w:val="en-GB"/>
        </w:rPr>
        <w:t>,</w:t>
      </w:r>
      <w:r>
        <w:rPr>
          <w:lang w:val="en-GB"/>
        </w:rPr>
        <w:t xml:space="preserve"> </w:t>
      </w:r>
      <w:r w:rsidRPr="008C43FC">
        <w:rPr>
          <w:lang w:val="en-GB"/>
        </w:rPr>
        <w:t>that shows a very wide linear range from 10</w:t>
      </w:r>
      <w:r w:rsidRPr="008C43FC">
        <w:rPr>
          <w:vertAlign w:val="superscript"/>
          <w:lang w:val="en-GB"/>
        </w:rPr>
        <w:t>2</w:t>
      </w:r>
      <w:r w:rsidRPr="008C43FC">
        <w:rPr>
          <w:lang w:val="en-GB"/>
        </w:rPr>
        <w:t xml:space="preserve"> cfu/mL to 10</w:t>
      </w:r>
      <w:r w:rsidRPr="008C43FC">
        <w:rPr>
          <w:vertAlign w:val="superscript"/>
          <w:lang w:val="en-GB"/>
        </w:rPr>
        <w:t>9</w:t>
      </w:r>
      <w:r w:rsidRPr="008C43FC">
        <w:rPr>
          <w:lang w:val="en-GB"/>
        </w:rPr>
        <w:t xml:space="preserve"> cfu/mL, versus the biosensor with Nisin immobilized via N-terminus, with a closer linear range from 10</w:t>
      </w:r>
      <w:r w:rsidRPr="008C43FC">
        <w:rPr>
          <w:vertAlign w:val="superscript"/>
          <w:lang w:val="en-GB"/>
        </w:rPr>
        <w:t>2</w:t>
      </w:r>
      <w:r w:rsidRPr="008C43FC">
        <w:rPr>
          <w:lang w:val="en-GB"/>
        </w:rPr>
        <w:t xml:space="preserve"> cfu/mL to 10</w:t>
      </w:r>
      <w:r w:rsidRPr="008C43FC">
        <w:rPr>
          <w:vertAlign w:val="superscript"/>
          <w:lang w:val="en-GB"/>
        </w:rPr>
        <w:t>6</w:t>
      </w:r>
      <w:r w:rsidRPr="008C43FC">
        <w:rPr>
          <w:lang w:val="en-GB"/>
        </w:rPr>
        <w:t xml:space="preserve"> cfu/mL</w:t>
      </w:r>
      <w:r w:rsidR="003962CF">
        <w:rPr>
          <w:lang w:val="en-GB"/>
        </w:rPr>
        <w:t xml:space="preserve"> (Figure 3)</w:t>
      </w:r>
      <w:r w:rsidRPr="008C43FC">
        <w:rPr>
          <w:lang w:val="en-GB"/>
        </w:rPr>
        <w:t xml:space="preserve">. </w:t>
      </w:r>
    </w:p>
    <w:p w14:paraId="4AD10217" w14:textId="77777777" w:rsidR="001B1DA2" w:rsidRDefault="001B1DA2" w:rsidP="002048DA">
      <w:pPr>
        <w:pStyle w:val="CETheadingx"/>
        <w:numPr>
          <w:ilvl w:val="0"/>
          <w:numId w:val="0"/>
        </w:numPr>
      </w:pPr>
    </w:p>
    <w:p w14:paraId="4F49FA35" w14:textId="77777777" w:rsidR="001B1DA2" w:rsidRPr="00482E33" w:rsidRDefault="001B1DA2" w:rsidP="002048DA">
      <w:pPr>
        <w:pStyle w:val="CETheadingx"/>
        <w:numPr>
          <w:ilvl w:val="0"/>
          <w:numId w:val="0"/>
        </w:numPr>
      </w:pPr>
      <w:r>
        <w:t>3.2</w:t>
      </w:r>
      <w:r w:rsidRPr="008A762A">
        <w:t xml:space="preserve"> Optimization of Nisin amount</w:t>
      </w:r>
    </w:p>
    <w:p w14:paraId="64109287" w14:textId="198D1B31" w:rsidR="001B1DA2" w:rsidRDefault="001B1DA2" w:rsidP="001B1DA2">
      <w:pPr>
        <w:pStyle w:val="CETBodytext"/>
        <w:rPr>
          <w:lang w:val="en-GB"/>
        </w:rPr>
      </w:pPr>
      <w:r>
        <w:rPr>
          <w:lang w:val="en-GB"/>
        </w:rPr>
        <w:t>Because the amount of biorecognition element affects the capability of a biosensor to detect the analyte in the range of interest, a comparison between two different concentrations of Nisin (</w:t>
      </w:r>
      <w:r>
        <w:rPr>
          <w:rFonts w:cs="Arial"/>
          <w:color w:val="262626"/>
          <w:szCs w:val="18"/>
          <w:lang w:val="en-GB"/>
        </w:rPr>
        <w:t xml:space="preserve">5 </w:t>
      </w:r>
      <w:r w:rsidRPr="00C54EF6">
        <w:rPr>
          <w:rFonts w:cs="Arial"/>
          <w:color w:val="262626"/>
          <w:szCs w:val="18"/>
          <w:lang w:val="en-GB"/>
        </w:rPr>
        <w:sym w:font="Symbol" w:char="F06D"/>
      </w:r>
      <w:r w:rsidRPr="00C54EF6">
        <w:rPr>
          <w:rFonts w:cs="Arial"/>
          <w:color w:val="262626"/>
          <w:szCs w:val="18"/>
          <w:lang w:val="en-GB"/>
        </w:rPr>
        <w:t>g</w:t>
      </w:r>
      <w:r>
        <w:rPr>
          <w:rFonts w:cs="Arial"/>
          <w:color w:val="262626"/>
          <w:szCs w:val="18"/>
          <w:lang w:val="en-GB"/>
        </w:rPr>
        <w:t xml:space="preserve">/ml – 10 </w:t>
      </w:r>
      <w:r w:rsidRPr="00C54EF6">
        <w:rPr>
          <w:rFonts w:cs="Arial"/>
          <w:color w:val="262626"/>
          <w:szCs w:val="18"/>
          <w:lang w:val="en-GB"/>
        </w:rPr>
        <w:sym w:font="Symbol" w:char="F06D"/>
      </w:r>
      <w:r w:rsidRPr="00C54EF6">
        <w:rPr>
          <w:rFonts w:cs="Arial"/>
          <w:color w:val="262626"/>
          <w:szCs w:val="18"/>
          <w:lang w:val="en-GB"/>
        </w:rPr>
        <w:t>g</w:t>
      </w:r>
      <w:r>
        <w:rPr>
          <w:rFonts w:cs="Arial"/>
          <w:color w:val="262626"/>
          <w:szCs w:val="18"/>
          <w:lang w:val="en-GB"/>
        </w:rPr>
        <w:t>/ml), immobilized via C-terminus,</w:t>
      </w:r>
      <w:r>
        <w:rPr>
          <w:lang w:val="en-GB"/>
        </w:rPr>
        <w:t xml:space="preserve"> w</w:t>
      </w:r>
      <w:r w:rsidR="002440B5">
        <w:rPr>
          <w:lang w:val="en-GB"/>
        </w:rPr>
        <w:t xml:space="preserve">as </w:t>
      </w:r>
      <w:r>
        <w:rPr>
          <w:lang w:val="en-GB"/>
        </w:rPr>
        <w:t xml:space="preserve">performed and the analytical parameter of developed biosensors were compared. The biosensors were tested with different concentrations of </w:t>
      </w:r>
      <w:r w:rsidRPr="003A4EF5">
        <w:rPr>
          <w:i/>
          <w:lang w:val="en-GB"/>
        </w:rPr>
        <w:t>E.Coli</w:t>
      </w:r>
      <w:r>
        <w:rPr>
          <w:lang w:val="en-GB"/>
        </w:rPr>
        <w:t xml:space="preserve"> and </w:t>
      </w:r>
      <w:r w:rsidRPr="003A4EF5">
        <w:rPr>
          <w:i/>
          <w:lang w:val="en-GB"/>
        </w:rPr>
        <w:t xml:space="preserve">Listeria </w:t>
      </w:r>
      <w:r>
        <w:rPr>
          <w:lang w:val="en-GB"/>
        </w:rPr>
        <w:t>cells.</w:t>
      </w:r>
    </w:p>
    <w:p w14:paraId="2F8551E9" w14:textId="542A652F" w:rsidR="002048DA" w:rsidRDefault="001B1DA2" w:rsidP="001B1DA2">
      <w:pPr>
        <w:pStyle w:val="CETBodytext"/>
        <w:rPr>
          <w:lang w:val="en-GB"/>
        </w:rPr>
      </w:pPr>
      <w:r w:rsidRPr="00D7233D">
        <w:rPr>
          <w:lang w:val="en-GB"/>
        </w:rPr>
        <w:t>The process related to cells coupling with Nisin was monitored by single frequency impedance (SFI) that is</w:t>
      </w:r>
      <w:r>
        <w:rPr>
          <w:lang w:val="en-GB"/>
        </w:rPr>
        <w:t xml:space="preserve"> able to monitor total impedance of the system in a single frequency versus time. </w:t>
      </w:r>
      <w:r w:rsidR="002440B5" w:rsidRPr="002440B5">
        <w:rPr>
          <w:lang w:val="en-GB"/>
        </w:rPr>
        <w:t xml:space="preserve">As reported in our previous study (Malvano et al., 2107), SFI tests were carried out at to 0.1 Hz, that was the frequency at which was observed the maximum difference among the Bode plots at different cells concentration, </w:t>
      </w:r>
      <w:r w:rsidR="002440B5">
        <w:rPr>
          <w:lang w:val="en-GB"/>
        </w:rPr>
        <w:t xml:space="preserve">for both </w:t>
      </w:r>
      <w:r w:rsidR="002440B5" w:rsidRPr="00CF7655">
        <w:rPr>
          <w:i/>
          <w:lang w:val="en-GB"/>
        </w:rPr>
        <w:t>E.Coli</w:t>
      </w:r>
      <w:r w:rsidR="002440B5">
        <w:rPr>
          <w:lang w:val="en-GB"/>
        </w:rPr>
        <w:t xml:space="preserve"> and </w:t>
      </w:r>
      <w:r w:rsidR="002440B5" w:rsidRPr="00CF7655">
        <w:rPr>
          <w:i/>
          <w:lang w:val="en-GB"/>
        </w:rPr>
        <w:t>Listeria</w:t>
      </w:r>
      <w:r w:rsidR="002440B5">
        <w:rPr>
          <w:i/>
          <w:lang w:val="en-GB"/>
        </w:rPr>
        <w:t xml:space="preserve"> innocua</w:t>
      </w:r>
      <w:r w:rsidR="002440B5">
        <w:rPr>
          <w:lang w:val="en-GB"/>
        </w:rPr>
        <w:t xml:space="preserve">. </w:t>
      </w:r>
      <w:r>
        <w:rPr>
          <w:lang w:val="en-GB"/>
        </w:rPr>
        <w:t>A significant change in impedance was observed for an incubation time of 30 minutes for both microorganisms; then no</w:t>
      </w:r>
      <w:r w:rsidR="007040C3">
        <w:rPr>
          <w:lang w:val="en-GB"/>
        </w:rPr>
        <w:t xml:space="preserve"> change was registered</w:t>
      </w:r>
      <w:r w:rsidR="00E21E51">
        <w:rPr>
          <w:lang w:val="en-GB"/>
        </w:rPr>
        <w:t>.</w:t>
      </w:r>
      <w:r w:rsidR="007040C3">
        <w:rPr>
          <w:lang w:val="en-GB"/>
        </w:rPr>
        <w:t xml:space="preserve"> </w:t>
      </w:r>
      <w:r>
        <w:rPr>
          <w:lang w:val="en-GB"/>
        </w:rPr>
        <w:t xml:space="preserve">These results justified the incubation time of 30 min used for the calibration of biosensor with increasing concentration of </w:t>
      </w:r>
      <w:r w:rsidRPr="00F3605B">
        <w:rPr>
          <w:i/>
          <w:lang w:val="en-GB"/>
        </w:rPr>
        <w:t>E.Coli</w:t>
      </w:r>
      <w:r>
        <w:rPr>
          <w:lang w:val="en-GB"/>
        </w:rPr>
        <w:t xml:space="preserve"> and </w:t>
      </w:r>
      <w:r w:rsidRPr="00F3605B">
        <w:rPr>
          <w:i/>
          <w:lang w:val="en-GB"/>
        </w:rPr>
        <w:t>Listeria</w:t>
      </w:r>
      <w:r w:rsidR="00142952">
        <w:rPr>
          <w:i/>
          <w:lang w:val="en-GB"/>
        </w:rPr>
        <w:t xml:space="preserve"> innocua</w:t>
      </w:r>
      <w:r w:rsidRPr="00F3605B">
        <w:rPr>
          <w:i/>
          <w:lang w:val="en-GB"/>
        </w:rPr>
        <w:t xml:space="preserve"> </w:t>
      </w:r>
      <w:r>
        <w:rPr>
          <w:lang w:val="en-GB"/>
        </w:rPr>
        <w:t xml:space="preserve">cells. </w:t>
      </w:r>
    </w:p>
    <w:p w14:paraId="32182A6B" w14:textId="4BE8315F" w:rsidR="001B1DA2" w:rsidRDefault="001B1DA2" w:rsidP="001B1DA2">
      <w:pPr>
        <w:pStyle w:val="CETBodytext"/>
        <w:rPr>
          <w:lang w:val="en-GB"/>
        </w:rPr>
      </w:pPr>
      <w:r>
        <w:rPr>
          <w:lang w:val="en-GB"/>
        </w:rPr>
        <w:t xml:space="preserve">For both bacteria, the increase of the cells amount leads </w:t>
      </w:r>
      <w:r w:rsidR="00426673">
        <w:rPr>
          <w:lang w:val="en-GB"/>
        </w:rPr>
        <w:t xml:space="preserve">to </w:t>
      </w:r>
      <w:r>
        <w:rPr>
          <w:lang w:val="en-GB"/>
        </w:rPr>
        <w:t>an increase of the impedance of the system; in particular R</w:t>
      </w:r>
      <w:r w:rsidRPr="000D7772">
        <w:rPr>
          <w:vertAlign w:val="subscript"/>
          <w:lang w:val="en-GB"/>
        </w:rPr>
        <w:t>ct</w:t>
      </w:r>
      <w:r>
        <w:rPr>
          <w:vertAlign w:val="subscript"/>
          <w:lang w:val="en-GB"/>
        </w:rPr>
        <w:t xml:space="preserve"> </w:t>
      </w:r>
      <w:r>
        <w:rPr>
          <w:lang w:val="en-GB"/>
        </w:rPr>
        <w:t xml:space="preserve">values change proportionally to the bacteria concentrations. Calibration curves of biosensors developed with </w:t>
      </w:r>
      <w:r>
        <w:rPr>
          <w:rFonts w:cs="Arial"/>
          <w:color w:val="262626"/>
          <w:szCs w:val="18"/>
          <w:lang w:val="en-GB"/>
        </w:rPr>
        <w:t xml:space="preserve">5 </w:t>
      </w:r>
      <w:r w:rsidRPr="00C54EF6">
        <w:rPr>
          <w:rFonts w:cs="Arial"/>
          <w:color w:val="262626"/>
          <w:szCs w:val="18"/>
          <w:lang w:val="en-GB"/>
        </w:rPr>
        <w:sym w:font="Symbol" w:char="F06D"/>
      </w:r>
      <w:r w:rsidRPr="00C54EF6">
        <w:rPr>
          <w:rFonts w:cs="Arial"/>
          <w:color w:val="262626"/>
          <w:szCs w:val="18"/>
          <w:lang w:val="en-GB"/>
        </w:rPr>
        <w:t>g</w:t>
      </w:r>
      <w:r>
        <w:rPr>
          <w:rFonts w:cs="Arial"/>
          <w:color w:val="262626"/>
          <w:szCs w:val="18"/>
          <w:lang w:val="en-GB"/>
        </w:rPr>
        <w:t xml:space="preserve">/ml and 10 </w:t>
      </w:r>
      <w:r w:rsidRPr="00C54EF6">
        <w:rPr>
          <w:rFonts w:cs="Arial"/>
          <w:color w:val="262626"/>
          <w:szCs w:val="18"/>
          <w:lang w:val="en-GB"/>
        </w:rPr>
        <w:sym w:font="Symbol" w:char="F06D"/>
      </w:r>
      <w:r w:rsidRPr="00C54EF6">
        <w:rPr>
          <w:rFonts w:cs="Arial"/>
          <w:color w:val="262626"/>
          <w:szCs w:val="18"/>
          <w:lang w:val="en-GB"/>
        </w:rPr>
        <w:t>g</w:t>
      </w:r>
      <w:r>
        <w:rPr>
          <w:rFonts w:cs="Arial"/>
          <w:color w:val="262626"/>
          <w:szCs w:val="18"/>
          <w:lang w:val="en-GB"/>
        </w:rPr>
        <w:t>/ml</w:t>
      </w:r>
      <w:r>
        <w:rPr>
          <w:lang w:val="en-GB"/>
        </w:rPr>
        <w:t xml:space="preserve"> of Nisin for both </w:t>
      </w:r>
      <w:r w:rsidR="007040C3">
        <w:rPr>
          <w:lang w:val="en-GB"/>
        </w:rPr>
        <w:t xml:space="preserve">bacteria were showed in Figure </w:t>
      </w:r>
      <w:r w:rsidR="00E21E51">
        <w:rPr>
          <w:lang w:val="en-GB"/>
        </w:rPr>
        <w:t>4</w:t>
      </w:r>
      <w:r>
        <w:rPr>
          <w:lang w:val="en-GB"/>
        </w:rPr>
        <w:t>.</w:t>
      </w:r>
    </w:p>
    <w:p w14:paraId="7643126A" w14:textId="77777777" w:rsidR="00854767" w:rsidRDefault="00854767" w:rsidP="001B1DA2">
      <w:pPr>
        <w:pStyle w:val="CETBodytext"/>
        <w:rPr>
          <w:lang w:val="en-GB"/>
        </w:rPr>
      </w:pPr>
    </w:p>
    <w:p w14:paraId="06266213" w14:textId="77777777" w:rsidR="00854767" w:rsidRDefault="00854767" w:rsidP="001B1DA2">
      <w:pPr>
        <w:pStyle w:val="CETBodytext"/>
        <w:rPr>
          <w:lang w:val="en-GB"/>
        </w:rPr>
      </w:pPr>
    </w:p>
    <w:p w14:paraId="3C253A38" w14:textId="67045BF9" w:rsidR="001B1DA2" w:rsidRPr="00C52D9E" w:rsidRDefault="00C52D9E" w:rsidP="00C52D9E">
      <w:pPr>
        <w:pStyle w:val="CETBodytext"/>
        <w:rPr>
          <w:lang w:val="en-GB"/>
        </w:rPr>
      </w:pPr>
      <w:r>
        <w:rPr>
          <w:noProof/>
          <w:lang w:val="it-IT" w:eastAsia="it-IT"/>
        </w:rPr>
        <w:lastRenderedPageBreak/>
        <w:drawing>
          <wp:inline distT="0" distB="0" distL="0" distR="0" wp14:anchorId="169C0AC5" wp14:editId="5201CEC7">
            <wp:extent cx="5579745" cy="1727835"/>
            <wp:effectExtent l="0" t="0" r="825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 (NISIN).png"/>
                    <pic:cNvPicPr/>
                  </pic:nvPicPr>
                  <pic:blipFill>
                    <a:blip r:embed="rId14">
                      <a:extLst>
                        <a:ext uri="{28A0092B-C50C-407E-A947-70E740481C1C}">
                          <a14:useLocalDpi xmlns:a14="http://schemas.microsoft.com/office/drawing/2010/main" val="0"/>
                        </a:ext>
                      </a:extLst>
                    </a:blip>
                    <a:stretch>
                      <a:fillRect/>
                    </a:stretch>
                  </pic:blipFill>
                  <pic:spPr>
                    <a:xfrm>
                      <a:off x="0" y="0"/>
                      <a:ext cx="5579745" cy="1727835"/>
                    </a:xfrm>
                    <a:prstGeom prst="rect">
                      <a:avLst/>
                    </a:prstGeom>
                  </pic:spPr>
                </pic:pic>
              </a:graphicData>
            </a:graphic>
          </wp:inline>
        </w:drawing>
      </w:r>
    </w:p>
    <w:p w14:paraId="7B373F05" w14:textId="43F7E2FA" w:rsidR="001B1DA2" w:rsidRPr="00341854" w:rsidRDefault="007040C3" w:rsidP="001B1DA2">
      <w:pPr>
        <w:pStyle w:val="Didascalia"/>
        <w:rPr>
          <w:rFonts w:cs="Arial"/>
          <w:b w:val="0"/>
          <w:i/>
          <w:color w:val="auto"/>
        </w:rPr>
      </w:pPr>
      <w:r>
        <w:rPr>
          <w:rFonts w:cs="Arial"/>
          <w:b w:val="0"/>
          <w:i/>
          <w:color w:val="auto"/>
        </w:rPr>
        <w:t xml:space="preserve">Figure </w:t>
      </w:r>
      <w:r w:rsidR="00E21E51">
        <w:rPr>
          <w:rFonts w:cs="Arial"/>
          <w:b w:val="0"/>
          <w:i/>
          <w:color w:val="auto"/>
        </w:rPr>
        <w:t>4</w:t>
      </w:r>
      <w:r w:rsidR="001B1DA2" w:rsidRPr="00341854">
        <w:rPr>
          <w:rFonts w:cs="Arial"/>
          <w:b w:val="0"/>
          <w:i/>
          <w:color w:val="auto"/>
        </w:rPr>
        <w:t>:</w:t>
      </w:r>
      <w:r w:rsidR="001B1DA2">
        <w:rPr>
          <w:rFonts w:cs="Arial"/>
          <w:b w:val="0"/>
          <w:i/>
          <w:color w:val="auto"/>
        </w:rPr>
        <w:t xml:space="preserve"> (a) Calibration curves of biosensors developed with </w:t>
      </w:r>
      <w:r w:rsidR="001B1DA2" w:rsidRPr="00B378E9">
        <w:rPr>
          <w:rFonts w:cs="Arial"/>
          <w:b w:val="0"/>
          <w:i/>
          <w:color w:val="auto"/>
        </w:rPr>
        <w:t xml:space="preserve">5 </w:t>
      </w:r>
      <w:r w:rsidR="001B1DA2" w:rsidRPr="00B378E9">
        <w:rPr>
          <w:rFonts w:cs="Arial"/>
          <w:b w:val="0"/>
          <w:i/>
          <w:color w:val="auto"/>
        </w:rPr>
        <w:sym w:font="Symbol" w:char="F06D"/>
      </w:r>
      <w:r w:rsidR="001B1DA2" w:rsidRPr="00B378E9">
        <w:rPr>
          <w:rFonts w:cs="Arial"/>
          <w:b w:val="0"/>
          <w:i/>
          <w:color w:val="auto"/>
        </w:rPr>
        <w:t xml:space="preserve">g/ml and 10 </w:t>
      </w:r>
      <w:r w:rsidR="001B1DA2" w:rsidRPr="00B378E9">
        <w:rPr>
          <w:rFonts w:cs="Arial"/>
          <w:b w:val="0"/>
          <w:i/>
          <w:color w:val="auto"/>
        </w:rPr>
        <w:sym w:font="Symbol" w:char="F06D"/>
      </w:r>
      <w:r w:rsidR="001B1DA2" w:rsidRPr="00B378E9">
        <w:rPr>
          <w:rFonts w:cs="Arial"/>
          <w:b w:val="0"/>
          <w:i/>
          <w:color w:val="auto"/>
        </w:rPr>
        <w:t>g/ml of Nisin</w:t>
      </w:r>
      <w:r w:rsidR="001B1DA2">
        <w:rPr>
          <w:rFonts w:cs="Arial"/>
          <w:b w:val="0"/>
          <w:i/>
          <w:color w:val="auto"/>
        </w:rPr>
        <w:t xml:space="preserve"> tested with E.Coli; (b) Calibration curves of biosensors developed with </w:t>
      </w:r>
      <w:r w:rsidR="001B1DA2" w:rsidRPr="00B378E9">
        <w:rPr>
          <w:rFonts w:cs="Arial"/>
          <w:b w:val="0"/>
          <w:i/>
          <w:color w:val="auto"/>
        </w:rPr>
        <w:t xml:space="preserve">5 </w:t>
      </w:r>
      <w:r w:rsidR="001B1DA2" w:rsidRPr="00B378E9">
        <w:rPr>
          <w:rFonts w:cs="Arial"/>
          <w:b w:val="0"/>
          <w:i/>
          <w:color w:val="auto"/>
        </w:rPr>
        <w:sym w:font="Symbol" w:char="F06D"/>
      </w:r>
      <w:r w:rsidR="001B1DA2" w:rsidRPr="00B378E9">
        <w:rPr>
          <w:rFonts w:cs="Arial"/>
          <w:b w:val="0"/>
          <w:i/>
          <w:color w:val="auto"/>
        </w:rPr>
        <w:t xml:space="preserve">g/ml and 10 </w:t>
      </w:r>
      <w:r w:rsidR="001B1DA2" w:rsidRPr="00B378E9">
        <w:rPr>
          <w:rFonts w:cs="Arial"/>
          <w:b w:val="0"/>
          <w:i/>
          <w:color w:val="auto"/>
        </w:rPr>
        <w:sym w:font="Symbol" w:char="F06D"/>
      </w:r>
      <w:r w:rsidR="001B1DA2" w:rsidRPr="00B378E9">
        <w:rPr>
          <w:rFonts w:cs="Arial"/>
          <w:b w:val="0"/>
          <w:i/>
          <w:color w:val="auto"/>
        </w:rPr>
        <w:t>g/ml of Nisin</w:t>
      </w:r>
      <w:r w:rsidR="001B1DA2">
        <w:rPr>
          <w:rFonts w:cs="Arial"/>
          <w:b w:val="0"/>
          <w:i/>
          <w:color w:val="auto"/>
        </w:rPr>
        <w:t xml:space="preserve"> tested with Listeria</w:t>
      </w:r>
      <w:r w:rsidR="00142952">
        <w:rPr>
          <w:rFonts w:cs="Arial"/>
          <w:b w:val="0"/>
          <w:i/>
          <w:color w:val="auto"/>
        </w:rPr>
        <w:t xml:space="preserve"> innocua.</w:t>
      </w:r>
    </w:p>
    <w:p w14:paraId="1179AA5D" w14:textId="77777777" w:rsidR="001B1DA2" w:rsidRDefault="001B1DA2" w:rsidP="001B1DA2">
      <w:pPr>
        <w:pStyle w:val="CETBodytext"/>
        <w:rPr>
          <w:lang w:val="en-GB"/>
        </w:rPr>
      </w:pPr>
    </w:p>
    <w:p w14:paraId="6353E4D6" w14:textId="77777777" w:rsidR="002048DA" w:rsidRDefault="001B1DA2" w:rsidP="001B1DA2">
      <w:pPr>
        <w:pStyle w:val="CETBodytext"/>
        <w:rPr>
          <w:color w:val="FF0000"/>
          <w:lang w:val="en-GB"/>
        </w:rPr>
      </w:pPr>
      <w:r>
        <w:rPr>
          <w:color w:val="FF0000"/>
          <w:lang w:val="en-GB"/>
        </w:rPr>
        <w:t xml:space="preserve"> </w:t>
      </w:r>
    </w:p>
    <w:p w14:paraId="03897BE5" w14:textId="3D1D3369" w:rsidR="001B1DA2" w:rsidRDefault="001B1DA2" w:rsidP="001B1DA2">
      <w:pPr>
        <w:pStyle w:val="CETBodytext"/>
        <w:rPr>
          <w:lang w:val="en-GB"/>
        </w:rPr>
      </w:pPr>
      <w:r w:rsidRPr="00FA1F4F">
        <w:rPr>
          <w:lang w:val="en-GB"/>
        </w:rPr>
        <w:t xml:space="preserve">As reported in </w:t>
      </w:r>
      <w:r>
        <w:rPr>
          <w:lang w:val="en-GB"/>
        </w:rPr>
        <w:t>our</w:t>
      </w:r>
      <w:r w:rsidRPr="00FA1F4F">
        <w:rPr>
          <w:lang w:val="en-GB"/>
        </w:rPr>
        <w:t xml:space="preserve"> previous study (</w:t>
      </w:r>
      <w:r>
        <w:rPr>
          <w:lang w:val="en-GB"/>
        </w:rPr>
        <w:t>Malvano et al., 2016</w:t>
      </w:r>
      <w:r w:rsidRPr="00FA1F4F">
        <w:rPr>
          <w:lang w:val="en-GB"/>
        </w:rPr>
        <w:t xml:space="preserve">), lower biomolecule amount </w:t>
      </w:r>
      <w:r w:rsidR="002440B5" w:rsidRPr="00FA1F4F">
        <w:rPr>
          <w:lang w:val="en-GB"/>
        </w:rPr>
        <w:t>allows</w:t>
      </w:r>
      <w:r w:rsidRPr="00FA1F4F">
        <w:rPr>
          <w:lang w:val="en-GB"/>
        </w:rPr>
        <w:t xml:space="preserve"> detecting lower target concentration. For both pathogens, in fact, </w:t>
      </w:r>
      <w:r>
        <w:rPr>
          <w:lang w:val="en-GB"/>
        </w:rPr>
        <w:t>even if the higher Nisin amount (10</w:t>
      </w:r>
      <w:r w:rsidRPr="00FA1F4F">
        <w:rPr>
          <w:lang w:val="en-GB"/>
        </w:rPr>
        <w:t xml:space="preserve"> </w:t>
      </w:r>
      <w:r w:rsidRPr="00FA1F4F">
        <w:rPr>
          <w:lang w:val="en-GB"/>
        </w:rPr>
        <w:sym w:font="Symbol" w:char="F06D"/>
      </w:r>
      <w:r w:rsidRPr="00FA1F4F">
        <w:rPr>
          <w:lang w:val="en-GB"/>
        </w:rPr>
        <w:t>g/mL)</w:t>
      </w:r>
      <w:r>
        <w:rPr>
          <w:lang w:val="en-GB"/>
        </w:rPr>
        <w:t xml:space="preserve"> results in higher signals, a </w:t>
      </w:r>
      <w:r w:rsidRPr="00FA1F4F">
        <w:rPr>
          <w:lang w:val="en-GB"/>
        </w:rPr>
        <w:t xml:space="preserve">lower concentration of Nisin (5 </w:t>
      </w:r>
      <w:r w:rsidRPr="00FA1F4F">
        <w:rPr>
          <w:lang w:val="en-GB"/>
        </w:rPr>
        <w:sym w:font="Symbol" w:char="F06D"/>
      </w:r>
      <w:r w:rsidRPr="00FA1F4F">
        <w:rPr>
          <w:lang w:val="en-GB"/>
        </w:rPr>
        <w:t>g/mL) allow obtain</w:t>
      </w:r>
      <w:r>
        <w:rPr>
          <w:lang w:val="en-GB"/>
        </w:rPr>
        <w:t>ing</w:t>
      </w:r>
      <w:r w:rsidRPr="00FA1F4F">
        <w:rPr>
          <w:lang w:val="en-GB"/>
        </w:rPr>
        <w:t xml:space="preserve"> lower limit of detection (1.5 cfu/mL versus 1.5 *10</w:t>
      </w:r>
      <w:r w:rsidRPr="00FA1F4F">
        <w:rPr>
          <w:vertAlign w:val="superscript"/>
          <w:lang w:val="en-GB"/>
        </w:rPr>
        <w:t xml:space="preserve">1 </w:t>
      </w:r>
      <w:r w:rsidRPr="00FA1F4F">
        <w:rPr>
          <w:lang w:val="en-GB"/>
        </w:rPr>
        <w:t xml:space="preserve">cfu/mL for both </w:t>
      </w:r>
      <w:r w:rsidRPr="00FA1F4F">
        <w:rPr>
          <w:i/>
          <w:lang w:val="en-GB"/>
        </w:rPr>
        <w:t>E.Coli</w:t>
      </w:r>
      <w:r w:rsidRPr="00FA1F4F">
        <w:rPr>
          <w:lang w:val="en-GB"/>
        </w:rPr>
        <w:t xml:space="preserve"> and </w:t>
      </w:r>
      <w:r w:rsidRPr="00FA1F4F">
        <w:rPr>
          <w:i/>
          <w:lang w:val="en-GB"/>
        </w:rPr>
        <w:t>Listeria</w:t>
      </w:r>
      <w:r w:rsidR="00142952">
        <w:rPr>
          <w:i/>
          <w:lang w:val="en-GB"/>
        </w:rPr>
        <w:t xml:space="preserve"> innocua</w:t>
      </w:r>
      <w:r w:rsidRPr="00FA1F4F">
        <w:rPr>
          <w:lang w:val="en-GB"/>
        </w:rPr>
        <w:t xml:space="preserve">), calculated as the sum of the average blank solution and three times the standard deviation. </w:t>
      </w:r>
    </w:p>
    <w:p w14:paraId="4F04E8DC" w14:textId="6590BEB5" w:rsidR="001B1DA2" w:rsidRDefault="001B1DA2" w:rsidP="001B1DA2">
      <w:pPr>
        <w:pStyle w:val="CETBodytext"/>
      </w:pPr>
      <w:r>
        <w:rPr>
          <w:lang w:val="en-GB"/>
        </w:rPr>
        <w:t xml:space="preserve">Since no previous studies have been published on the Nisin – based biosensors for </w:t>
      </w:r>
      <w:r w:rsidRPr="00747779">
        <w:rPr>
          <w:lang w:val="en-GB"/>
        </w:rPr>
        <w:t>bacteria detection</w:t>
      </w:r>
      <w:r>
        <w:rPr>
          <w:lang w:val="en-GB"/>
        </w:rPr>
        <w:t xml:space="preserve">, we have compared the results with other </w:t>
      </w:r>
      <w:r w:rsidRPr="0099784C">
        <w:rPr>
          <w:lang w:val="en-GB"/>
        </w:rPr>
        <w:t>label – free impedimetric</w:t>
      </w:r>
      <w:r>
        <w:rPr>
          <w:lang w:val="en-GB"/>
        </w:rPr>
        <w:t xml:space="preserve"> </w:t>
      </w:r>
      <w:r w:rsidRPr="006A4681">
        <w:t>antimicrobial peptide-based biosensor</w:t>
      </w:r>
      <w:r>
        <w:t>s (Table 1).</w:t>
      </w:r>
    </w:p>
    <w:p w14:paraId="7CF10356" w14:textId="77777777" w:rsidR="003E24F8" w:rsidRPr="001B1DA2" w:rsidRDefault="003E24F8" w:rsidP="001B1DA2">
      <w:pPr>
        <w:pStyle w:val="CETBodytext"/>
        <w:rPr>
          <w:lang w:val="en-GB"/>
        </w:rPr>
      </w:pPr>
    </w:p>
    <w:p w14:paraId="3A6DED88" w14:textId="7C0BBE26" w:rsidR="00600535" w:rsidRDefault="00600535" w:rsidP="00600535">
      <w:pPr>
        <w:pStyle w:val="CETTabletitle"/>
      </w:pPr>
      <w:r w:rsidRPr="00B57B36">
        <w:t xml:space="preserve">Table 1: </w:t>
      </w:r>
      <w:r w:rsidR="001B1DA2">
        <w:t>Comparison among label-free impedimetric antimicrobial peptide-based biosensors</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4"/>
        <w:gridCol w:w="2189"/>
        <w:gridCol w:w="1732"/>
        <w:gridCol w:w="1418"/>
        <w:gridCol w:w="1240"/>
      </w:tblGrid>
      <w:tr w:rsidR="001B1DA2" w14:paraId="083526E0" w14:textId="77777777" w:rsidTr="008F1CED">
        <w:trPr>
          <w:jc w:val="center"/>
        </w:trPr>
        <w:tc>
          <w:tcPr>
            <w:tcW w:w="2424" w:type="dxa"/>
            <w:tcBorders>
              <w:top w:val="single" w:sz="4" w:space="0" w:color="auto"/>
              <w:bottom w:val="single" w:sz="4" w:space="0" w:color="auto"/>
            </w:tcBorders>
            <w:vAlign w:val="center"/>
          </w:tcPr>
          <w:p w14:paraId="6C2E2719" w14:textId="77777777" w:rsidR="001B1DA2" w:rsidRPr="00F82A52" w:rsidRDefault="001B1DA2" w:rsidP="008F1CED">
            <w:pPr>
              <w:pStyle w:val="CETBodytext"/>
              <w:jc w:val="center"/>
              <w:rPr>
                <w:b/>
              </w:rPr>
            </w:pPr>
            <w:r w:rsidRPr="00F82A52">
              <w:rPr>
                <w:b/>
              </w:rPr>
              <w:t>Antimicro</w:t>
            </w:r>
            <w:r>
              <w:rPr>
                <w:b/>
              </w:rPr>
              <w:t>b</w:t>
            </w:r>
            <w:r w:rsidRPr="00F82A52">
              <w:rPr>
                <w:b/>
              </w:rPr>
              <w:t>ial Peptide Used</w:t>
            </w:r>
          </w:p>
        </w:tc>
        <w:tc>
          <w:tcPr>
            <w:tcW w:w="2189" w:type="dxa"/>
            <w:tcBorders>
              <w:top w:val="single" w:sz="4" w:space="0" w:color="auto"/>
              <w:bottom w:val="single" w:sz="4" w:space="0" w:color="auto"/>
            </w:tcBorders>
            <w:vAlign w:val="center"/>
          </w:tcPr>
          <w:p w14:paraId="419ECCFD" w14:textId="77777777" w:rsidR="001B1DA2" w:rsidRPr="00F82A52" w:rsidRDefault="001B1DA2" w:rsidP="008F1CED">
            <w:pPr>
              <w:pStyle w:val="CETBodytext"/>
              <w:jc w:val="center"/>
              <w:rPr>
                <w:b/>
              </w:rPr>
            </w:pPr>
            <w:r w:rsidRPr="00F82A52">
              <w:rPr>
                <w:b/>
              </w:rPr>
              <w:t>Bacteria Analyzed</w:t>
            </w:r>
          </w:p>
        </w:tc>
        <w:tc>
          <w:tcPr>
            <w:tcW w:w="1732" w:type="dxa"/>
            <w:tcBorders>
              <w:top w:val="single" w:sz="4" w:space="0" w:color="auto"/>
              <w:bottom w:val="single" w:sz="4" w:space="0" w:color="auto"/>
            </w:tcBorders>
            <w:vAlign w:val="center"/>
          </w:tcPr>
          <w:p w14:paraId="042AD6C3" w14:textId="77777777" w:rsidR="001B1DA2" w:rsidRDefault="001B1DA2" w:rsidP="008F1CED">
            <w:pPr>
              <w:pStyle w:val="CETBodytext"/>
              <w:jc w:val="center"/>
              <w:rPr>
                <w:b/>
              </w:rPr>
            </w:pPr>
            <w:r w:rsidRPr="00F82A52">
              <w:rPr>
                <w:b/>
              </w:rPr>
              <w:t>Linear Range</w:t>
            </w:r>
          </w:p>
          <w:p w14:paraId="7A7DA9F0" w14:textId="77777777" w:rsidR="001B1DA2" w:rsidRPr="00F82A52" w:rsidRDefault="001B1DA2" w:rsidP="008F1CED">
            <w:pPr>
              <w:pStyle w:val="CETBodytext"/>
              <w:jc w:val="center"/>
              <w:rPr>
                <w:b/>
              </w:rPr>
            </w:pPr>
            <w:r>
              <w:rPr>
                <w:b/>
              </w:rPr>
              <w:t>[cfu/mL]</w:t>
            </w:r>
          </w:p>
        </w:tc>
        <w:tc>
          <w:tcPr>
            <w:tcW w:w="1418" w:type="dxa"/>
            <w:tcBorders>
              <w:top w:val="single" w:sz="4" w:space="0" w:color="auto"/>
              <w:bottom w:val="single" w:sz="4" w:space="0" w:color="auto"/>
            </w:tcBorders>
            <w:vAlign w:val="center"/>
          </w:tcPr>
          <w:p w14:paraId="41ED57BF" w14:textId="77777777" w:rsidR="001B1DA2" w:rsidRDefault="001B1DA2" w:rsidP="008F1CED">
            <w:pPr>
              <w:pStyle w:val="CETBodytext"/>
              <w:jc w:val="center"/>
              <w:rPr>
                <w:b/>
              </w:rPr>
            </w:pPr>
            <w:r w:rsidRPr="00F82A52">
              <w:rPr>
                <w:b/>
              </w:rPr>
              <w:t>LOD</w:t>
            </w:r>
          </w:p>
          <w:p w14:paraId="494C0218" w14:textId="77777777" w:rsidR="001B1DA2" w:rsidRPr="00F82A52" w:rsidRDefault="001B1DA2" w:rsidP="008F1CED">
            <w:pPr>
              <w:pStyle w:val="CETBodytext"/>
              <w:jc w:val="center"/>
              <w:rPr>
                <w:b/>
              </w:rPr>
            </w:pPr>
            <w:r>
              <w:rPr>
                <w:b/>
              </w:rPr>
              <w:t>[cfu/mL]</w:t>
            </w:r>
          </w:p>
        </w:tc>
        <w:tc>
          <w:tcPr>
            <w:tcW w:w="1240" w:type="dxa"/>
            <w:tcBorders>
              <w:top w:val="single" w:sz="4" w:space="0" w:color="auto"/>
              <w:bottom w:val="single" w:sz="4" w:space="0" w:color="auto"/>
            </w:tcBorders>
            <w:vAlign w:val="center"/>
          </w:tcPr>
          <w:p w14:paraId="03F9260B" w14:textId="77777777" w:rsidR="001B1DA2" w:rsidRPr="00EF65F1" w:rsidRDefault="001B1DA2" w:rsidP="008F1CED">
            <w:pPr>
              <w:pStyle w:val="CETBodytext"/>
              <w:jc w:val="center"/>
              <w:rPr>
                <w:b/>
                <w:szCs w:val="18"/>
              </w:rPr>
            </w:pPr>
            <w:r w:rsidRPr="00EF65F1">
              <w:rPr>
                <w:b/>
                <w:szCs w:val="18"/>
              </w:rPr>
              <w:t>References</w:t>
            </w:r>
          </w:p>
        </w:tc>
      </w:tr>
      <w:tr w:rsidR="001B1DA2" w14:paraId="41998208" w14:textId="77777777" w:rsidTr="008F1CED">
        <w:trPr>
          <w:jc w:val="center"/>
        </w:trPr>
        <w:tc>
          <w:tcPr>
            <w:tcW w:w="2424" w:type="dxa"/>
            <w:tcBorders>
              <w:top w:val="single" w:sz="4" w:space="0" w:color="auto"/>
            </w:tcBorders>
            <w:vAlign w:val="center"/>
          </w:tcPr>
          <w:p w14:paraId="7A211FA9" w14:textId="77777777" w:rsidR="001B1DA2" w:rsidRDefault="001B1DA2" w:rsidP="008F1CED">
            <w:pPr>
              <w:pStyle w:val="CETBodytext"/>
              <w:jc w:val="center"/>
            </w:pPr>
            <w:r>
              <w:t>Magainin I</w:t>
            </w:r>
          </w:p>
        </w:tc>
        <w:tc>
          <w:tcPr>
            <w:tcW w:w="2189" w:type="dxa"/>
            <w:tcBorders>
              <w:top w:val="single" w:sz="4" w:space="0" w:color="auto"/>
            </w:tcBorders>
            <w:vAlign w:val="center"/>
          </w:tcPr>
          <w:p w14:paraId="63C890C0" w14:textId="77777777" w:rsidR="001B1DA2" w:rsidRPr="00AF014A" w:rsidRDefault="001B1DA2" w:rsidP="008F1CED">
            <w:pPr>
              <w:pStyle w:val="CETBodytext"/>
              <w:jc w:val="center"/>
              <w:rPr>
                <w:i/>
              </w:rPr>
            </w:pPr>
            <w:r w:rsidRPr="00AF014A">
              <w:rPr>
                <w:i/>
              </w:rPr>
              <w:t>Escherichia Coli O157:H7</w:t>
            </w:r>
          </w:p>
        </w:tc>
        <w:tc>
          <w:tcPr>
            <w:tcW w:w="1732" w:type="dxa"/>
            <w:tcBorders>
              <w:top w:val="single" w:sz="4" w:space="0" w:color="auto"/>
            </w:tcBorders>
            <w:vAlign w:val="center"/>
          </w:tcPr>
          <w:p w14:paraId="2066076B" w14:textId="77777777" w:rsidR="001B1DA2" w:rsidRDefault="001B1DA2" w:rsidP="008F1CED">
            <w:pPr>
              <w:pStyle w:val="CETBodytext"/>
              <w:jc w:val="center"/>
            </w:pPr>
            <w:r>
              <w:t>10</w:t>
            </w:r>
            <w:r>
              <w:rPr>
                <w:vertAlign w:val="superscript"/>
              </w:rPr>
              <w:t>4</w:t>
            </w:r>
            <w:r>
              <w:t xml:space="preserve"> - 10</w:t>
            </w:r>
            <w:r w:rsidRPr="00F82A52">
              <w:rPr>
                <w:vertAlign w:val="superscript"/>
              </w:rPr>
              <w:t>7</w:t>
            </w:r>
          </w:p>
        </w:tc>
        <w:tc>
          <w:tcPr>
            <w:tcW w:w="1418" w:type="dxa"/>
            <w:tcBorders>
              <w:top w:val="single" w:sz="4" w:space="0" w:color="auto"/>
            </w:tcBorders>
            <w:vAlign w:val="center"/>
          </w:tcPr>
          <w:p w14:paraId="05375C68" w14:textId="77777777" w:rsidR="001B1DA2" w:rsidRDefault="001B1DA2" w:rsidP="008F1CED">
            <w:pPr>
              <w:pStyle w:val="CETBodytext"/>
              <w:jc w:val="center"/>
            </w:pPr>
            <w:r>
              <w:t>10</w:t>
            </w:r>
            <w:r>
              <w:rPr>
                <w:vertAlign w:val="superscript"/>
              </w:rPr>
              <w:t>4</w:t>
            </w:r>
          </w:p>
        </w:tc>
        <w:tc>
          <w:tcPr>
            <w:tcW w:w="1240" w:type="dxa"/>
            <w:tcBorders>
              <w:top w:val="single" w:sz="4" w:space="0" w:color="auto"/>
            </w:tcBorders>
            <w:vAlign w:val="center"/>
          </w:tcPr>
          <w:p w14:paraId="37E0AEAA" w14:textId="77777777" w:rsidR="001B1DA2" w:rsidRPr="00EF65F1" w:rsidRDefault="001B1DA2" w:rsidP="008F1CED">
            <w:pPr>
              <w:pStyle w:val="CETBodytext"/>
              <w:jc w:val="center"/>
              <w:rPr>
                <w:szCs w:val="18"/>
              </w:rPr>
            </w:pPr>
            <w:r w:rsidRPr="00EF65F1">
              <w:rPr>
                <w:szCs w:val="18"/>
              </w:rPr>
              <w:t>Li et al., 2014</w:t>
            </w:r>
          </w:p>
        </w:tc>
      </w:tr>
      <w:tr w:rsidR="001B1DA2" w14:paraId="4D4F74B9" w14:textId="77777777" w:rsidTr="008F1CED">
        <w:trPr>
          <w:jc w:val="center"/>
        </w:trPr>
        <w:tc>
          <w:tcPr>
            <w:tcW w:w="2424" w:type="dxa"/>
            <w:vAlign w:val="center"/>
          </w:tcPr>
          <w:p w14:paraId="391E3151" w14:textId="77777777" w:rsidR="001B1DA2" w:rsidRDefault="001B1DA2" w:rsidP="008F1CED">
            <w:pPr>
              <w:pStyle w:val="CETBodytext"/>
              <w:jc w:val="center"/>
            </w:pPr>
            <w:r>
              <w:t>Leucocin A</w:t>
            </w:r>
          </w:p>
        </w:tc>
        <w:tc>
          <w:tcPr>
            <w:tcW w:w="2189" w:type="dxa"/>
            <w:vAlign w:val="center"/>
          </w:tcPr>
          <w:p w14:paraId="5656C40B" w14:textId="3BC03426" w:rsidR="001B1DA2" w:rsidRPr="00AF014A" w:rsidRDefault="001B1DA2" w:rsidP="00142952">
            <w:pPr>
              <w:pStyle w:val="CETBodytext"/>
              <w:jc w:val="center"/>
              <w:rPr>
                <w:i/>
              </w:rPr>
            </w:pPr>
            <w:r w:rsidRPr="00AF014A">
              <w:rPr>
                <w:i/>
              </w:rPr>
              <w:t>Listeria</w:t>
            </w:r>
            <w:r w:rsidR="00142952">
              <w:rPr>
                <w:i/>
              </w:rPr>
              <w:t xml:space="preserve"> monocytogenes</w:t>
            </w:r>
          </w:p>
        </w:tc>
        <w:tc>
          <w:tcPr>
            <w:tcW w:w="1732" w:type="dxa"/>
            <w:vAlign w:val="center"/>
          </w:tcPr>
          <w:p w14:paraId="59ABCF1C" w14:textId="77777777" w:rsidR="001B1DA2" w:rsidRDefault="001B1DA2" w:rsidP="008F1CED">
            <w:pPr>
              <w:pStyle w:val="CETBodytext"/>
              <w:jc w:val="center"/>
            </w:pPr>
            <w:r>
              <w:t>10</w:t>
            </w:r>
            <w:r w:rsidRPr="00F82A52">
              <w:rPr>
                <w:vertAlign w:val="superscript"/>
              </w:rPr>
              <w:t>3</w:t>
            </w:r>
            <w:r>
              <w:t xml:space="preserve"> – 10</w:t>
            </w:r>
            <w:r>
              <w:rPr>
                <w:vertAlign w:val="superscript"/>
              </w:rPr>
              <w:t>6</w:t>
            </w:r>
          </w:p>
        </w:tc>
        <w:tc>
          <w:tcPr>
            <w:tcW w:w="1418" w:type="dxa"/>
            <w:vAlign w:val="center"/>
          </w:tcPr>
          <w:p w14:paraId="2F353B57" w14:textId="77777777" w:rsidR="001B1DA2" w:rsidRDefault="001B1DA2" w:rsidP="008F1CED">
            <w:pPr>
              <w:pStyle w:val="CETBodytext"/>
              <w:jc w:val="center"/>
            </w:pPr>
            <w:r>
              <w:t>10</w:t>
            </w:r>
            <w:r w:rsidRPr="00F82A52">
              <w:rPr>
                <w:vertAlign w:val="superscript"/>
              </w:rPr>
              <w:t>3</w:t>
            </w:r>
          </w:p>
        </w:tc>
        <w:tc>
          <w:tcPr>
            <w:tcW w:w="1240" w:type="dxa"/>
            <w:vAlign w:val="center"/>
          </w:tcPr>
          <w:p w14:paraId="28324E1A" w14:textId="77777777" w:rsidR="001B1DA2" w:rsidRDefault="001B1DA2" w:rsidP="008F1CED">
            <w:pPr>
              <w:pStyle w:val="CETBodytext"/>
              <w:jc w:val="center"/>
              <w:rPr>
                <w:szCs w:val="18"/>
              </w:rPr>
            </w:pPr>
            <w:r w:rsidRPr="00EF65F1">
              <w:rPr>
                <w:szCs w:val="18"/>
              </w:rPr>
              <w:t xml:space="preserve">Etayash </w:t>
            </w:r>
          </w:p>
          <w:p w14:paraId="2CEAF897" w14:textId="77777777" w:rsidR="001B1DA2" w:rsidRPr="00EF65F1" w:rsidRDefault="001B1DA2" w:rsidP="008F1CED">
            <w:pPr>
              <w:pStyle w:val="CETBodytext"/>
              <w:jc w:val="center"/>
              <w:rPr>
                <w:szCs w:val="18"/>
              </w:rPr>
            </w:pPr>
            <w:r w:rsidRPr="00EF65F1">
              <w:rPr>
                <w:szCs w:val="18"/>
              </w:rPr>
              <w:t>et al., 2018</w:t>
            </w:r>
          </w:p>
        </w:tc>
      </w:tr>
      <w:tr w:rsidR="001B1DA2" w14:paraId="58DECA22" w14:textId="77777777" w:rsidTr="008F1CED">
        <w:trPr>
          <w:jc w:val="center"/>
        </w:trPr>
        <w:tc>
          <w:tcPr>
            <w:tcW w:w="2424" w:type="dxa"/>
            <w:vMerge w:val="restart"/>
            <w:vAlign w:val="center"/>
          </w:tcPr>
          <w:p w14:paraId="7C3DBC10" w14:textId="77777777" w:rsidR="001B1DA2" w:rsidRDefault="001B1DA2" w:rsidP="008F1CED">
            <w:pPr>
              <w:pStyle w:val="CETBodytext"/>
              <w:jc w:val="center"/>
            </w:pPr>
            <w:r>
              <w:t>Clavanin A</w:t>
            </w:r>
          </w:p>
        </w:tc>
        <w:tc>
          <w:tcPr>
            <w:tcW w:w="2189" w:type="dxa"/>
            <w:vAlign w:val="center"/>
          </w:tcPr>
          <w:p w14:paraId="6764B05D" w14:textId="0EB5DD75" w:rsidR="001B1DA2" w:rsidRPr="00AF014A" w:rsidRDefault="00A6175D" w:rsidP="008F1CED">
            <w:pPr>
              <w:pStyle w:val="CETBodytext"/>
              <w:jc w:val="center"/>
              <w:rPr>
                <w:i/>
              </w:rPr>
            </w:pPr>
            <w:r>
              <w:rPr>
                <w:i/>
              </w:rPr>
              <w:t>Staphylococcus</w:t>
            </w:r>
            <w:r w:rsidR="001B1DA2">
              <w:rPr>
                <w:i/>
              </w:rPr>
              <w:t xml:space="preserve"> aureus</w:t>
            </w:r>
          </w:p>
        </w:tc>
        <w:tc>
          <w:tcPr>
            <w:tcW w:w="1732" w:type="dxa"/>
            <w:vAlign w:val="center"/>
          </w:tcPr>
          <w:p w14:paraId="1CCED80C" w14:textId="77777777" w:rsidR="001B1DA2" w:rsidRDefault="001B1DA2" w:rsidP="008F1CED">
            <w:pPr>
              <w:pStyle w:val="CETBodytext"/>
              <w:jc w:val="center"/>
            </w:pPr>
            <w:r>
              <w:t>10</w:t>
            </w:r>
            <w:r>
              <w:rPr>
                <w:vertAlign w:val="superscript"/>
              </w:rPr>
              <w:t>1</w:t>
            </w:r>
            <w:r>
              <w:t xml:space="preserve"> – 10</w:t>
            </w:r>
            <w:r>
              <w:rPr>
                <w:vertAlign w:val="superscript"/>
              </w:rPr>
              <w:t>4</w:t>
            </w:r>
          </w:p>
        </w:tc>
        <w:tc>
          <w:tcPr>
            <w:tcW w:w="1418" w:type="dxa"/>
            <w:vAlign w:val="center"/>
          </w:tcPr>
          <w:p w14:paraId="46430C4A" w14:textId="77777777" w:rsidR="001B1DA2" w:rsidRDefault="001B1DA2" w:rsidP="008F1CED">
            <w:pPr>
              <w:pStyle w:val="CETBodytext"/>
              <w:jc w:val="center"/>
            </w:pPr>
            <w:r>
              <w:t>10</w:t>
            </w:r>
          </w:p>
        </w:tc>
        <w:tc>
          <w:tcPr>
            <w:tcW w:w="1240" w:type="dxa"/>
            <w:vMerge w:val="restart"/>
            <w:vAlign w:val="center"/>
          </w:tcPr>
          <w:p w14:paraId="153B5B1C" w14:textId="77777777" w:rsidR="001B1DA2" w:rsidRDefault="001B1DA2" w:rsidP="008F1CED">
            <w:pPr>
              <w:pStyle w:val="CETBodytext"/>
              <w:jc w:val="center"/>
              <w:rPr>
                <w:szCs w:val="18"/>
              </w:rPr>
            </w:pPr>
            <w:r w:rsidRPr="00EF65F1">
              <w:rPr>
                <w:szCs w:val="18"/>
              </w:rPr>
              <w:t>de Miranda</w:t>
            </w:r>
          </w:p>
          <w:p w14:paraId="21230E0D" w14:textId="77777777" w:rsidR="001B1DA2" w:rsidRPr="00EF65F1" w:rsidRDefault="001B1DA2" w:rsidP="008F1CED">
            <w:pPr>
              <w:pStyle w:val="CETBodytext"/>
              <w:jc w:val="center"/>
              <w:rPr>
                <w:szCs w:val="18"/>
              </w:rPr>
            </w:pPr>
            <w:r w:rsidRPr="00EF65F1">
              <w:rPr>
                <w:szCs w:val="18"/>
              </w:rPr>
              <w:t xml:space="preserve"> et al., 2017</w:t>
            </w:r>
          </w:p>
        </w:tc>
      </w:tr>
      <w:tr w:rsidR="001B1DA2" w14:paraId="2D6185E7" w14:textId="77777777" w:rsidTr="008F1CED">
        <w:trPr>
          <w:jc w:val="center"/>
        </w:trPr>
        <w:tc>
          <w:tcPr>
            <w:tcW w:w="2424" w:type="dxa"/>
            <w:vMerge/>
            <w:vAlign w:val="center"/>
          </w:tcPr>
          <w:p w14:paraId="75FD6A24" w14:textId="77777777" w:rsidR="001B1DA2" w:rsidRDefault="001B1DA2" w:rsidP="008F1CED">
            <w:pPr>
              <w:pStyle w:val="CETBodytext"/>
              <w:jc w:val="center"/>
            </w:pPr>
          </w:p>
        </w:tc>
        <w:tc>
          <w:tcPr>
            <w:tcW w:w="2189" w:type="dxa"/>
            <w:vAlign w:val="center"/>
          </w:tcPr>
          <w:p w14:paraId="15DDE795" w14:textId="77777777" w:rsidR="001B1DA2" w:rsidRPr="00AF014A" w:rsidRDefault="001B1DA2" w:rsidP="008F1CED">
            <w:pPr>
              <w:pStyle w:val="CETBodytext"/>
              <w:jc w:val="center"/>
              <w:rPr>
                <w:i/>
              </w:rPr>
            </w:pPr>
            <w:r>
              <w:rPr>
                <w:i/>
              </w:rPr>
              <w:t>Enterococcus faecalis</w:t>
            </w:r>
          </w:p>
        </w:tc>
        <w:tc>
          <w:tcPr>
            <w:tcW w:w="1732" w:type="dxa"/>
            <w:vAlign w:val="center"/>
          </w:tcPr>
          <w:p w14:paraId="7D0A0662" w14:textId="77777777" w:rsidR="001B1DA2" w:rsidRDefault="001B1DA2" w:rsidP="008F1CED">
            <w:pPr>
              <w:pStyle w:val="CETBodytext"/>
              <w:jc w:val="center"/>
            </w:pPr>
            <w:r>
              <w:t>10</w:t>
            </w:r>
            <w:r>
              <w:rPr>
                <w:vertAlign w:val="superscript"/>
              </w:rPr>
              <w:t>1</w:t>
            </w:r>
            <w:r>
              <w:t xml:space="preserve"> – 10</w:t>
            </w:r>
            <w:r>
              <w:rPr>
                <w:vertAlign w:val="superscript"/>
              </w:rPr>
              <w:t>4</w:t>
            </w:r>
          </w:p>
        </w:tc>
        <w:tc>
          <w:tcPr>
            <w:tcW w:w="1418" w:type="dxa"/>
            <w:vAlign w:val="center"/>
          </w:tcPr>
          <w:p w14:paraId="04A3D3D8" w14:textId="77777777" w:rsidR="001B1DA2" w:rsidRDefault="001B1DA2" w:rsidP="008F1CED">
            <w:pPr>
              <w:pStyle w:val="CETBodytext"/>
              <w:jc w:val="center"/>
            </w:pPr>
            <w:r>
              <w:t>10</w:t>
            </w:r>
          </w:p>
        </w:tc>
        <w:tc>
          <w:tcPr>
            <w:tcW w:w="1240" w:type="dxa"/>
            <w:vMerge/>
            <w:vAlign w:val="center"/>
          </w:tcPr>
          <w:p w14:paraId="1C02AADC" w14:textId="77777777" w:rsidR="001B1DA2" w:rsidRPr="00EF65F1" w:rsidRDefault="001B1DA2" w:rsidP="008F1CED">
            <w:pPr>
              <w:pStyle w:val="CETBodytext"/>
              <w:jc w:val="center"/>
              <w:rPr>
                <w:szCs w:val="18"/>
              </w:rPr>
            </w:pPr>
          </w:p>
        </w:tc>
      </w:tr>
      <w:tr w:rsidR="001B1DA2" w14:paraId="18B9175B" w14:textId="77777777" w:rsidTr="008F1CED">
        <w:trPr>
          <w:jc w:val="center"/>
        </w:trPr>
        <w:tc>
          <w:tcPr>
            <w:tcW w:w="2424" w:type="dxa"/>
            <w:vMerge/>
            <w:vAlign w:val="center"/>
          </w:tcPr>
          <w:p w14:paraId="115AA971" w14:textId="77777777" w:rsidR="001B1DA2" w:rsidRDefault="001B1DA2" w:rsidP="008F1CED">
            <w:pPr>
              <w:pStyle w:val="CETBodytext"/>
              <w:jc w:val="center"/>
            </w:pPr>
          </w:p>
        </w:tc>
        <w:tc>
          <w:tcPr>
            <w:tcW w:w="2189" w:type="dxa"/>
            <w:vAlign w:val="center"/>
          </w:tcPr>
          <w:p w14:paraId="5E230235" w14:textId="77777777" w:rsidR="001B1DA2" w:rsidRPr="00AF014A" w:rsidRDefault="001B1DA2" w:rsidP="008F1CED">
            <w:pPr>
              <w:pStyle w:val="CETBodytext"/>
              <w:jc w:val="center"/>
              <w:rPr>
                <w:i/>
              </w:rPr>
            </w:pPr>
            <w:r>
              <w:rPr>
                <w:i/>
              </w:rPr>
              <w:t>Pseudomonas aeruginosa</w:t>
            </w:r>
          </w:p>
        </w:tc>
        <w:tc>
          <w:tcPr>
            <w:tcW w:w="1732" w:type="dxa"/>
            <w:vAlign w:val="center"/>
          </w:tcPr>
          <w:p w14:paraId="001880E7" w14:textId="77777777" w:rsidR="001B1DA2" w:rsidRDefault="001B1DA2" w:rsidP="008F1CED">
            <w:pPr>
              <w:pStyle w:val="CETBodytext"/>
              <w:jc w:val="center"/>
            </w:pPr>
            <w:r>
              <w:t>10</w:t>
            </w:r>
            <w:r>
              <w:rPr>
                <w:vertAlign w:val="superscript"/>
              </w:rPr>
              <w:t>1</w:t>
            </w:r>
            <w:r>
              <w:t xml:space="preserve"> – 10</w:t>
            </w:r>
            <w:r>
              <w:rPr>
                <w:vertAlign w:val="superscript"/>
              </w:rPr>
              <w:t>4</w:t>
            </w:r>
          </w:p>
        </w:tc>
        <w:tc>
          <w:tcPr>
            <w:tcW w:w="1418" w:type="dxa"/>
            <w:vAlign w:val="center"/>
          </w:tcPr>
          <w:p w14:paraId="4715C2A2" w14:textId="77777777" w:rsidR="001B1DA2" w:rsidRDefault="001B1DA2" w:rsidP="008F1CED">
            <w:pPr>
              <w:pStyle w:val="CETBodytext"/>
              <w:jc w:val="center"/>
            </w:pPr>
            <w:r>
              <w:t>10</w:t>
            </w:r>
          </w:p>
        </w:tc>
        <w:tc>
          <w:tcPr>
            <w:tcW w:w="1240" w:type="dxa"/>
            <w:vMerge/>
            <w:vAlign w:val="center"/>
          </w:tcPr>
          <w:p w14:paraId="28D89AD8" w14:textId="77777777" w:rsidR="001B1DA2" w:rsidRPr="00EF65F1" w:rsidRDefault="001B1DA2" w:rsidP="008F1CED">
            <w:pPr>
              <w:pStyle w:val="CETBodytext"/>
              <w:jc w:val="center"/>
              <w:rPr>
                <w:szCs w:val="18"/>
              </w:rPr>
            </w:pPr>
          </w:p>
        </w:tc>
      </w:tr>
      <w:tr w:rsidR="001B1DA2" w14:paraId="53D172E2" w14:textId="77777777" w:rsidTr="008F1CED">
        <w:trPr>
          <w:jc w:val="center"/>
        </w:trPr>
        <w:tc>
          <w:tcPr>
            <w:tcW w:w="2424" w:type="dxa"/>
            <w:vMerge/>
            <w:vAlign w:val="center"/>
          </w:tcPr>
          <w:p w14:paraId="0FC1AB18" w14:textId="77777777" w:rsidR="001B1DA2" w:rsidRDefault="001B1DA2" w:rsidP="008F1CED">
            <w:pPr>
              <w:pStyle w:val="CETBodytext"/>
              <w:jc w:val="center"/>
            </w:pPr>
          </w:p>
        </w:tc>
        <w:tc>
          <w:tcPr>
            <w:tcW w:w="2189" w:type="dxa"/>
            <w:vAlign w:val="center"/>
          </w:tcPr>
          <w:p w14:paraId="13CD7191" w14:textId="77777777" w:rsidR="001B1DA2" w:rsidRPr="00AF014A" w:rsidRDefault="001B1DA2" w:rsidP="008F1CED">
            <w:pPr>
              <w:pStyle w:val="CETBodytext"/>
              <w:jc w:val="center"/>
              <w:rPr>
                <w:i/>
              </w:rPr>
            </w:pPr>
            <w:r>
              <w:rPr>
                <w:i/>
              </w:rPr>
              <w:t>Salmonella  typhimurium</w:t>
            </w:r>
          </w:p>
        </w:tc>
        <w:tc>
          <w:tcPr>
            <w:tcW w:w="1732" w:type="dxa"/>
            <w:vAlign w:val="center"/>
          </w:tcPr>
          <w:p w14:paraId="4B8A83D8" w14:textId="77777777" w:rsidR="001B1DA2" w:rsidRDefault="001B1DA2" w:rsidP="008F1CED">
            <w:pPr>
              <w:pStyle w:val="CETBodytext"/>
              <w:jc w:val="center"/>
            </w:pPr>
            <w:r>
              <w:t>10</w:t>
            </w:r>
            <w:r>
              <w:rPr>
                <w:vertAlign w:val="superscript"/>
              </w:rPr>
              <w:t>1</w:t>
            </w:r>
            <w:r>
              <w:t xml:space="preserve"> – 10</w:t>
            </w:r>
            <w:r>
              <w:rPr>
                <w:vertAlign w:val="superscript"/>
              </w:rPr>
              <w:t>4</w:t>
            </w:r>
          </w:p>
        </w:tc>
        <w:tc>
          <w:tcPr>
            <w:tcW w:w="1418" w:type="dxa"/>
            <w:vAlign w:val="center"/>
          </w:tcPr>
          <w:p w14:paraId="1BF0C9D7" w14:textId="77777777" w:rsidR="001B1DA2" w:rsidRDefault="001B1DA2" w:rsidP="008F1CED">
            <w:pPr>
              <w:pStyle w:val="CETBodytext"/>
              <w:jc w:val="center"/>
            </w:pPr>
            <w:r>
              <w:t>10</w:t>
            </w:r>
          </w:p>
        </w:tc>
        <w:tc>
          <w:tcPr>
            <w:tcW w:w="1240" w:type="dxa"/>
            <w:vMerge/>
            <w:vAlign w:val="center"/>
          </w:tcPr>
          <w:p w14:paraId="7F7C04CF" w14:textId="77777777" w:rsidR="001B1DA2" w:rsidRPr="00EF65F1" w:rsidRDefault="001B1DA2" w:rsidP="008F1CED">
            <w:pPr>
              <w:pStyle w:val="CETBodytext"/>
              <w:jc w:val="center"/>
              <w:rPr>
                <w:szCs w:val="18"/>
              </w:rPr>
            </w:pPr>
          </w:p>
        </w:tc>
      </w:tr>
      <w:tr w:rsidR="001B1DA2" w14:paraId="606145DD" w14:textId="77777777" w:rsidTr="008F1CED">
        <w:trPr>
          <w:jc w:val="center"/>
        </w:trPr>
        <w:tc>
          <w:tcPr>
            <w:tcW w:w="2424" w:type="dxa"/>
            <w:vMerge/>
            <w:vAlign w:val="center"/>
          </w:tcPr>
          <w:p w14:paraId="25312158" w14:textId="77777777" w:rsidR="001B1DA2" w:rsidRDefault="001B1DA2" w:rsidP="008F1CED">
            <w:pPr>
              <w:pStyle w:val="CETBodytext"/>
              <w:jc w:val="center"/>
            </w:pPr>
          </w:p>
        </w:tc>
        <w:tc>
          <w:tcPr>
            <w:tcW w:w="2189" w:type="dxa"/>
            <w:vAlign w:val="center"/>
          </w:tcPr>
          <w:p w14:paraId="68D8ED41" w14:textId="77777777" w:rsidR="001B1DA2" w:rsidRPr="00AF014A" w:rsidRDefault="001B1DA2" w:rsidP="008F1CED">
            <w:pPr>
              <w:pStyle w:val="CETBodytext"/>
              <w:jc w:val="center"/>
              <w:rPr>
                <w:i/>
              </w:rPr>
            </w:pPr>
            <w:r>
              <w:rPr>
                <w:i/>
              </w:rPr>
              <w:t>Escherichia Coli</w:t>
            </w:r>
          </w:p>
        </w:tc>
        <w:tc>
          <w:tcPr>
            <w:tcW w:w="1732" w:type="dxa"/>
            <w:vAlign w:val="center"/>
          </w:tcPr>
          <w:p w14:paraId="6512D0F8" w14:textId="77777777" w:rsidR="001B1DA2" w:rsidRDefault="001B1DA2" w:rsidP="008F1CED">
            <w:pPr>
              <w:pStyle w:val="CETBodytext"/>
              <w:jc w:val="center"/>
            </w:pPr>
            <w:r>
              <w:t>10</w:t>
            </w:r>
            <w:r>
              <w:rPr>
                <w:vertAlign w:val="superscript"/>
              </w:rPr>
              <w:t>1</w:t>
            </w:r>
            <w:r>
              <w:t xml:space="preserve"> – 10</w:t>
            </w:r>
            <w:r>
              <w:rPr>
                <w:vertAlign w:val="superscript"/>
              </w:rPr>
              <w:t>4</w:t>
            </w:r>
          </w:p>
        </w:tc>
        <w:tc>
          <w:tcPr>
            <w:tcW w:w="1418" w:type="dxa"/>
            <w:vAlign w:val="center"/>
          </w:tcPr>
          <w:p w14:paraId="1DE7ABB0" w14:textId="77777777" w:rsidR="001B1DA2" w:rsidRDefault="001B1DA2" w:rsidP="008F1CED">
            <w:pPr>
              <w:pStyle w:val="CETBodytext"/>
              <w:jc w:val="center"/>
            </w:pPr>
            <w:r>
              <w:t>10</w:t>
            </w:r>
          </w:p>
        </w:tc>
        <w:tc>
          <w:tcPr>
            <w:tcW w:w="1240" w:type="dxa"/>
            <w:vMerge/>
            <w:vAlign w:val="center"/>
          </w:tcPr>
          <w:p w14:paraId="5BB24080" w14:textId="77777777" w:rsidR="001B1DA2" w:rsidRPr="00EF65F1" w:rsidRDefault="001B1DA2" w:rsidP="008F1CED">
            <w:pPr>
              <w:pStyle w:val="CETBodytext"/>
              <w:jc w:val="center"/>
              <w:rPr>
                <w:szCs w:val="18"/>
              </w:rPr>
            </w:pPr>
          </w:p>
        </w:tc>
      </w:tr>
      <w:tr w:rsidR="001B1DA2" w14:paraId="11485ECF" w14:textId="77777777" w:rsidTr="008F1CED">
        <w:trPr>
          <w:jc w:val="center"/>
        </w:trPr>
        <w:tc>
          <w:tcPr>
            <w:tcW w:w="2424" w:type="dxa"/>
            <w:vMerge w:val="restart"/>
            <w:vAlign w:val="center"/>
          </w:tcPr>
          <w:p w14:paraId="0EC2278C" w14:textId="77777777" w:rsidR="001B1DA2" w:rsidRDefault="001B1DA2" w:rsidP="008F1CED">
            <w:pPr>
              <w:pStyle w:val="CETBodytext"/>
              <w:jc w:val="center"/>
            </w:pPr>
            <w:r>
              <w:t>Magainin I</w:t>
            </w:r>
          </w:p>
        </w:tc>
        <w:tc>
          <w:tcPr>
            <w:tcW w:w="2189" w:type="dxa"/>
            <w:vAlign w:val="center"/>
          </w:tcPr>
          <w:p w14:paraId="4973EDCA" w14:textId="77777777" w:rsidR="001B1DA2" w:rsidRDefault="001B1DA2" w:rsidP="008F1CED">
            <w:pPr>
              <w:pStyle w:val="CETBodytext"/>
              <w:jc w:val="center"/>
              <w:rPr>
                <w:i/>
              </w:rPr>
            </w:pPr>
            <w:r>
              <w:rPr>
                <w:i/>
              </w:rPr>
              <w:t xml:space="preserve">Escherichia Coli </w:t>
            </w:r>
            <w:r w:rsidRPr="00AF014A">
              <w:rPr>
                <w:i/>
              </w:rPr>
              <w:t>O157:H7</w:t>
            </w:r>
          </w:p>
        </w:tc>
        <w:tc>
          <w:tcPr>
            <w:tcW w:w="1732" w:type="dxa"/>
            <w:vAlign w:val="center"/>
          </w:tcPr>
          <w:p w14:paraId="7F76469B" w14:textId="77777777" w:rsidR="001B1DA2" w:rsidRDefault="001B1DA2" w:rsidP="008F1CED">
            <w:pPr>
              <w:pStyle w:val="CETBodytext"/>
              <w:jc w:val="center"/>
            </w:pPr>
            <w:r>
              <w:t>10</w:t>
            </w:r>
            <w:r>
              <w:rPr>
                <w:vertAlign w:val="superscript"/>
              </w:rPr>
              <w:t>3</w:t>
            </w:r>
            <w:r>
              <w:t xml:space="preserve"> – 10</w:t>
            </w:r>
            <w:r>
              <w:rPr>
                <w:vertAlign w:val="superscript"/>
              </w:rPr>
              <w:t>7</w:t>
            </w:r>
          </w:p>
        </w:tc>
        <w:tc>
          <w:tcPr>
            <w:tcW w:w="1418" w:type="dxa"/>
            <w:vAlign w:val="center"/>
          </w:tcPr>
          <w:p w14:paraId="777F9B8C" w14:textId="77777777" w:rsidR="001B1DA2" w:rsidRDefault="001B1DA2" w:rsidP="008F1CED">
            <w:pPr>
              <w:pStyle w:val="CETBodytext"/>
              <w:jc w:val="center"/>
            </w:pPr>
            <w:r>
              <w:t>10</w:t>
            </w:r>
            <w:r>
              <w:rPr>
                <w:vertAlign w:val="superscript"/>
              </w:rPr>
              <w:t>3</w:t>
            </w:r>
          </w:p>
        </w:tc>
        <w:tc>
          <w:tcPr>
            <w:tcW w:w="1240" w:type="dxa"/>
            <w:vMerge w:val="restart"/>
            <w:vAlign w:val="center"/>
          </w:tcPr>
          <w:p w14:paraId="757F31C8" w14:textId="77777777" w:rsidR="001B1DA2" w:rsidRDefault="001B1DA2" w:rsidP="008F1CED">
            <w:pPr>
              <w:pStyle w:val="CETBodytext"/>
              <w:jc w:val="center"/>
              <w:rPr>
                <w:szCs w:val="18"/>
              </w:rPr>
            </w:pPr>
            <w:r w:rsidRPr="00EF65F1">
              <w:rPr>
                <w:szCs w:val="18"/>
              </w:rPr>
              <w:t xml:space="preserve">Mannoor </w:t>
            </w:r>
          </w:p>
          <w:p w14:paraId="2BA5C376" w14:textId="77777777" w:rsidR="001B1DA2" w:rsidRPr="00EF65F1" w:rsidRDefault="001B1DA2" w:rsidP="008F1CED">
            <w:pPr>
              <w:pStyle w:val="CETBodytext"/>
              <w:jc w:val="center"/>
              <w:rPr>
                <w:szCs w:val="18"/>
              </w:rPr>
            </w:pPr>
            <w:r w:rsidRPr="00EF65F1">
              <w:rPr>
                <w:szCs w:val="18"/>
              </w:rPr>
              <w:t xml:space="preserve">et al., 2010 </w:t>
            </w:r>
          </w:p>
        </w:tc>
      </w:tr>
      <w:tr w:rsidR="001B1DA2" w14:paraId="59BA4EF0" w14:textId="77777777" w:rsidTr="008F1CED">
        <w:trPr>
          <w:jc w:val="center"/>
        </w:trPr>
        <w:tc>
          <w:tcPr>
            <w:tcW w:w="2424" w:type="dxa"/>
            <w:vMerge/>
            <w:vAlign w:val="center"/>
          </w:tcPr>
          <w:p w14:paraId="2069F5FB" w14:textId="77777777" w:rsidR="001B1DA2" w:rsidRDefault="001B1DA2" w:rsidP="008F1CED">
            <w:pPr>
              <w:pStyle w:val="CETBodytext"/>
              <w:jc w:val="center"/>
            </w:pPr>
          </w:p>
        </w:tc>
        <w:tc>
          <w:tcPr>
            <w:tcW w:w="2189" w:type="dxa"/>
            <w:vAlign w:val="center"/>
          </w:tcPr>
          <w:p w14:paraId="1C0E5C4D" w14:textId="77777777" w:rsidR="001B1DA2" w:rsidRDefault="001B1DA2" w:rsidP="008F1CED">
            <w:pPr>
              <w:pStyle w:val="CETBodytext"/>
              <w:jc w:val="center"/>
              <w:rPr>
                <w:i/>
              </w:rPr>
            </w:pPr>
            <w:r>
              <w:rPr>
                <w:i/>
              </w:rPr>
              <w:t>Salmonella</w:t>
            </w:r>
          </w:p>
        </w:tc>
        <w:tc>
          <w:tcPr>
            <w:tcW w:w="1732" w:type="dxa"/>
            <w:vAlign w:val="center"/>
          </w:tcPr>
          <w:p w14:paraId="6DF7BFB3" w14:textId="77777777" w:rsidR="001B1DA2" w:rsidRDefault="001B1DA2" w:rsidP="008F1CED">
            <w:pPr>
              <w:pStyle w:val="CETBodytext"/>
              <w:jc w:val="center"/>
            </w:pPr>
            <w:r>
              <w:t>10</w:t>
            </w:r>
            <w:r>
              <w:rPr>
                <w:vertAlign w:val="superscript"/>
              </w:rPr>
              <w:t>3</w:t>
            </w:r>
            <w:r>
              <w:t xml:space="preserve"> – 10</w:t>
            </w:r>
            <w:r>
              <w:rPr>
                <w:vertAlign w:val="superscript"/>
              </w:rPr>
              <w:t>7</w:t>
            </w:r>
          </w:p>
        </w:tc>
        <w:tc>
          <w:tcPr>
            <w:tcW w:w="1418" w:type="dxa"/>
            <w:vAlign w:val="center"/>
          </w:tcPr>
          <w:p w14:paraId="54822C0A" w14:textId="77777777" w:rsidR="001B1DA2" w:rsidRDefault="001B1DA2" w:rsidP="008F1CED">
            <w:pPr>
              <w:pStyle w:val="CETBodytext"/>
              <w:jc w:val="center"/>
            </w:pPr>
            <w:r>
              <w:t>10</w:t>
            </w:r>
            <w:r>
              <w:rPr>
                <w:vertAlign w:val="superscript"/>
              </w:rPr>
              <w:t>3</w:t>
            </w:r>
          </w:p>
        </w:tc>
        <w:tc>
          <w:tcPr>
            <w:tcW w:w="1240" w:type="dxa"/>
            <w:vMerge/>
            <w:vAlign w:val="center"/>
          </w:tcPr>
          <w:p w14:paraId="20E058C5" w14:textId="77777777" w:rsidR="001B1DA2" w:rsidRPr="00EF65F1" w:rsidRDefault="001B1DA2" w:rsidP="008F1CED">
            <w:pPr>
              <w:pStyle w:val="CETBodytext"/>
              <w:jc w:val="center"/>
              <w:rPr>
                <w:szCs w:val="18"/>
              </w:rPr>
            </w:pPr>
          </w:p>
        </w:tc>
      </w:tr>
      <w:tr w:rsidR="001B1DA2" w14:paraId="392FA9D7" w14:textId="77777777" w:rsidTr="008F1CED">
        <w:trPr>
          <w:jc w:val="center"/>
        </w:trPr>
        <w:tc>
          <w:tcPr>
            <w:tcW w:w="2424" w:type="dxa"/>
            <w:vAlign w:val="center"/>
          </w:tcPr>
          <w:p w14:paraId="5B733111" w14:textId="77777777" w:rsidR="001B1DA2" w:rsidRDefault="001B1DA2" w:rsidP="008F1CED">
            <w:pPr>
              <w:pStyle w:val="CETBodytext"/>
              <w:jc w:val="center"/>
            </w:pPr>
            <w:r>
              <w:t xml:space="preserve">Nisin (5 </w:t>
            </w:r>
            <w:r w:rsidRPr="00C54EF6">
              <w:rPr>
                <w:rFonts w:cs="Arial"/>
                <w:color w:val="262626"/>
                <w:szCs w:val="18"/>
                <w:lang w:val="en-GB"/>
              </w:rPr>
              <w:sym w:font="Symbol" w:char="F06D"/>
            </w:r>
            <w:r w:rsidRPr="00C54EF6">
              <w:rPr>
                <w:rFonts w:cs="Arial"/>
                <w:color w:val="262626"/>
                <w:szCs w:val="18"/>
                <w:lang w:val="en-GB"/>
              </w:rPr>
              <w:t>g</w:t>
            </w:r>
            <w:r>
              <w:rPr>
                <w:rFonts w:cs="Arial"/>
                <w:color w:val="262626"/>
                <w:szCs w:val="18"/>
                <w:lang w:val="en-GB"/>
              </w:rPr>
              <w:t>/ml)</w:t>
            </w:r>
          </w:p>
        </w:tc>
        <w:tc>
          <w:tcPr>
            <w:tcW w:w="2189" w:type="dxa"/>
            <w:vAlign w:val="center"/>
          </w:tcPr>
          <w:p w14:paraId="6D2E37E2" w14:textId="77777777" w:rsidR="001B1DA2" w:rsidRDefault="001B1DA2" w:rsidP="008F1CED">
            <w:pPr>
              <w:pStyle w:val="CETBodytext"/>
              <w:jc w:val="center"/>
              <w:rPr>
                <w:i/>
              </w:rPr>
            </w:pPr>
            <w:r>
              <w:rPr>
                <w:i/>
              </w:rPr>
              <w:t>Escherichia Coli O147:H7</w:t>
            </w:r>
          </w:p>
        </w:tc>
        <w:tc>
          <w:tcPr>
            <w:tcW w:w="1732" w:type="dxa"/>
            <w:vAlign w:val="center"/>
          </w:tcPr>
          <w:p w14:paraId="2122C9B9" w14:textId="77777777" w:rsidR="001B1DA2" w:rsidRDefault="001B1DA2" w:rsidP="008F1CED">
            <w:pPr>
              <w:pStyle w:val="CETBodytext"/>
              <w:jc w:val="center"/>
            </w:pPr>
            <w:r>
              <w:t>1.5 – 1.5*10</w:t>
            </w:r>
            <w:r w:rsidRPr="00536033">
              <w:rPr>
                <w:vertAlign w:val="superscript"/>
              </w:rPr>
              <w:t>3</w:t>
            </w:r>
          </w:p>
        </w:tc>
        <w:tc>
          <w:tcPr>
            <w:tcW w:w="1418" w:type="dxa"/>
            <w:vAlign w:val="center"/>
          </w:tcPr>
          <w:p w14:paraId="4EA171FB" w14:textId="77777777" w:rsidR="001B1DA2" w:rsidRDefault="001B1DA2" w:rsidP="008F1CED">
            <w:pPr>
              <w:pStyle w:val="CETBodytext"/>
              <w:jc w:val="center"/>
            </w:pPr>
            <w:r>
              <w:t>1.5</w:t>
            </w:r>
          </w:p>
        </w:tc>
        <w:tc>
          <w:tcPr>
            <w:tcW w:w="1240" w:type="dxa"/>
            <w:vAlign w:val="center"/>
          </w:tcPr>
          <w:p w14:paraId="229E97BB" w14:textId="77777777" w:rsidR="001B1DA2" w:rsidRPr="00EF65F1" w:rsidRDefault="001B1DA2" w:rsidP="008F1CED">
            <w:pPr>
              <w:pStyle w:val="CETBodytext"/>
              <w:jc w:val="center"/>
              <w:rPr>
                <w:szCs w:val="18"/>
              </w:rPr>
            </w:pPr>
            <w:r w:rsidRPr="00EF65F1">
              <w:rPr>
                <w:szCs w:val="18"/>
              </w:rPr>
              <w:t>This work</w:t>
            </w:r>
          </w:p>
        </w:tc>
      </w:tr>
      <w:tr w:rsidR="001B1DA2" w14:paraId="3515D2F4" w14:textId="77777777" w:rsidTr="008F1CED">
        <w:trPr>
          <w:jc w:val="center"/>
        </w:trPr>
        <w:tc>
          <w:tcPr>
            <w:tcW w:w="2424" w:type="dxa"/>
            <w:vAlign w:val="center"/>
          </w:tcPr>
          <w:p w14:paraId="74936CD4" w14:textId="77777777" w:rsidR="001B1DA2" w:rsidRDefault="001B1DA2" w:rsidP="008F1CED">
            <w:pPr>
              <w:pStyle w:val="CETBodytext"/>
              <w:jc w:val="center"/>
            </w:pPr>
            <w:r>
              <w:t xml:space="preserve">Nisin (10 </w:t>
            </w:r>
            <w:r w:rsidRPr="00C54EF6">
              <w:rPr>
                <w:rFonts w:cs="Arial"/>
                <w:color w:val="262626"/>
                <w:szCs w:val="18"/>
                <w:lang w:val="en-GB"/>
              </w:rPr>
              <w:sym w:font="Symbol" w:char="F06D"/>
            </w:r>
            <w:r w:rsidRPr="00C54EF6">
              <w:rPr>
                <w:rFonts w:cs="Arial"/>
                <w:color w:val="262626"/>
                <w:szCs w:val="18"/>
                <w:lang w:val="en-GB"/>
              </w:rPr>
              <w:t>g</w:t>
            </w:r>
            <w:r>
              <w:rPr>
                <w:rFonts w:cs="Arial"/>
                <w:color w:val="262626"/>
                <w:szCs w:val="18"/>
                <w:lang w:val="en-GB"/>
              </w:rPr>
              <w:t>/ml)</w:t>
            </w:r>
          </w:p>
        </w:tc>
        <w:tc>
          <w:tcPr>
            <w:tcW w:w="2189" w:type="dxa"/>
            <w:vAlign w:val="center"/>
          </w:tcPr>
          <w:p w14:paraId="56C2E50B" w14:textId="77777777" w:rsidR="001B1DA2" w:rsidRDefault="001B1DA2" w:rsidP="008F1CED">
            <w:pPr>
              <w:pStyle w:val="CETBodytext"/>
              <w:jc w:val="center"/>
              <w:rPr>
                <w:i/>
              </w:rPr>
            </w:pPr>
            <w:r>
              <w:rPr>
                <w:i/>
              </w:rPr>
              <w:t>Escherichia Coli O147:H7</w:t>
            </w:r>
          </w:p>
        </w:tc>
        <w:tc>
          <w:tcPr>
            <w:tcW w:w="1732" w:type="dxa"/>
            <w:vAlign w:val="center"/>
          </w:tcPr>
          <w:p w14:paraId="0DD9C3B8" w14:textId="77777777" w:rsidR="001B1DA2" w:rsidRDefault="001B1DA2" w:rsidP="008F1CED">
            <w:pPr>
              <w:pStyle w:val="CETBodytext"/>
              <w:jc w:val="center"/>
            </w:pPr>
            <w:r>
              <w:t>1.5*10</w:t>
            </w:r>
            <w:r>
              <w:rPr>
                <w:vertAlign w:val="superscript"/>
              </w:rPr>
              <w:t>1</w:t>
            </w:r>
            <w:r>
              <w:t xml:space="preserve"> – 1.5*10</w:t>
            </w:r>
            <w:r>
              <w:rPr>
                <w:vertAlign w:val="superscript"/>
              </w:rPr>
              <w:t>4</w:t>
            </w:r>
          </w:p>
        </w:tc>
        <w:tc>
          <w:tcPr>
            <w:tcW w:w="1418" w:type="dxa"/>
            <w:vAlign w:val="center"/>
          </w:tcPr>
          <w:p w14:paraId="763632D2" w14:textId="77777777" w:rsidR="001B1DA2" w:rsidRDefault="001B1DA2" w:rsidP="008F1CED">
            <w:pPr>
              <w:pStyle w:val="CETBodytext"/>
              <w:jc w:val="center"/>
            </w:pPr>
            <w:r>
              <w:t>1.5*10</w:t>
            </w:r>
            <w:r>
              <w:rPr>
                <w:vertAlign w:val="superscript"/>
              </w:rPr>
              <w:t>1</w:t>
            </w:r>
          </w:p>
        </w:tc>
        <w:tc>
          <w:tcPr>
            <w:tcW w:w="1240" w:type="dxa"/>
            <w:vAlign w:val="center"/>
          </w:tcPr>
          <w:p w14:paraId="18489F59" w14:textId="77777777" w:rsidR="001B1DA2" w:rsidRPr="00EF65F1" w:rsidRDefault="001B1DA2" w:rsidP="008F1CED">
            <w:pPr>
              <w:pStyle w:val="CETBodytext"/>
              <w:jc w:val="center"/>
              <w:rPr>
                <w:szCs w:val="18"/>
              </w:rPr>
            </w:pPr>
            <w:r>
              <w:t>This work</w:t>
            </w:r>
          </w:p>
        </w:tc>
      </w:tr>
      <w:tr w:rsidR="001B1DA2" w14:paraId="598FA4FF" w14:textId="77777777" w:rsidTr="008F1CED">
        <w:trPr>
          <w:jc w:val="center"/>
        </w:trPr>
        <w:tc>
          <w:tcPr>
            <w:tcW w:w="2424" w:type="dxa"/>
            <w:vAlign w:val="center"/>
          </w:tcPr>
          <w:p w14:paraId="214AA845" w14:textId="77777777" w:rsidR="001B1DA2" w:rsidRDefault="001B1DA2" w:rsidP="008F1CED">
            <w:pPr>
              <w:pStyle w:val="CETBodytext"/>
              <w:jc w:val="center"/>
            </w:pPr>
            <w:r>
              <w:t xml:space="preserve">Nisin (5 </w:t>
            </w:r>
            <w:r w:rsidRPr="00C54EF6">
              <w:rPr>
                <w:rFonts w:cs="Arial"/>
                <w:color w:val="262626"/>
                <w:szCs w:val="18"/>
                <w:lang w:val="en-GB"/>
              </w:rPr>
              <w:sym w:font="Symbol" w:char="F06D"/>
            </w:r>
            <w:r w:rsidRPr="00C54EF6">
              <w:rPr>
                <w:rFonts w:cs="Arial"/>
                <w:color w:val="262626"/>
                <w:szCs w:val="18"/>
                <w:lang w:val="en-GB"/>
              </w:rPr>
              <w:t>g</w:t>
            </w:r>
            <w:r>
              <w:rPr>
                <w:rFonts w:cs="Arial"/>
                <w:color w:val="262626"/>
                <w:szCs w:val="18"/>
                <w:lang w:val="en-GB"/>
              </w:rPr>
              <w:t>/ml)</w:t>
            </w:r>
          </w:p>
        </w:tc>
        <w:tc>
          <w:tcPr>
            <w:tcW w:w="2189" w:type="dxa"/>
            <w:vAlign w:val="center"/>
          </w:tcPr>
          <w:p w14:paraId="4826196F" w14:textId="39B8DDEB" w:rsidR="001B1DA2" w:rsidRDefault="001B1DA2" w:rsidP="00142952">
            <w:pPr>
              <w:pStyle w:val="CETBodytext"/>
              <w:jc w:val="center"/>
              <w:rPr>
                <w:i/>
              </w:rPr>
            </w:pPr>
            <w:r>
              <w:rPr>
                <w:i/>
              </w:rPr>
              <w:t>Listeria</w:t>
            </w:r>
            <w:r w:rsidR="00142952">
              <w:rPr>
                <w:i/>
              </w:rPr>
              <w:t xml:space="preserve"> innocua</w:t>
            </w:r>
            <w:r>
              <w:rPr>
                <w:i/>
              </w:rPr>
              <w:t xml:space="preserve"> </w:t>
            </w:r>
          </w:p>
        </w:tc>
        <w:tc>
          <w:tcPr>
            <w:tcW w:w="1732" w:type="dxa"/>
            <w:vAlign w:val="center"/>
          </w:tcPr>
          <w:p w14:paraId="78AAA444" w14:textId="77777777" w:rsidR="001B1DA2" w:rsidRDefault="001B1DA2" w:rsidP="008F1CED">
            <w:pPr>
              <w:pStyle w:val="CETBodytext"/>
              <w:jc w:val="center"/>
            </w:pPr>
            <w:r>
              <w:t>1.5 – 1.5*10</w:t>
            </w:r>
            <w:r>
              <w:rPr>
                <w:vertAlign w:val="superscript"/>
              </w:rPr>
              <w:t>4</w:t>
            </w:r>
          </w:p>
        </w:tc>
        <w:tc>
          <w:tcPr>
            <w:tcW w:w="1418" w:type="dxa"/>
            <w:vAlign w:val="center"/>
          </w:tcPr>
          <w:p w14:paraId="456CC8F4" w14:textId="77777777" w:rsidR="001B1DA2" w:rsidRDefault="001B1DA2" w:rsidP="008F1CED">
            <w:pPr>
              <w:pStyle w:val="CETBodytext"/>
              <w:jc w:val="center"/>
            </w:pPr>
            <w:r>
              <w:t>1.5</w:t>
            </w:r>
          </w:p>
        </w:tc>
        <w:tc>
          <w:tcPr>
            <w:tcW w:w="1240" w:type="dxa"/>
            <w:vAlign w:val="center"/>
          </w:tcPr>
          <w:p w14:paraId="7966030B" w14:textId="77777777" w:rsidR="001B1DA2" w:rsidRDefault="001B1DA2" w:rsidP="008F1CED">
            <w:pPr>
              <w:pStyle w:val="CETBodytext"/>
              <w:jc w:val="center"/>
            </w:pPr>
            <w:r>
              <w:t>This work</w:t>
            </w:r>
          </w:p>
        </w:tc>
      </w:tr>
      <w:tr w:rsidR="001B1DA2" w14:paraId="5F7F20BE" w14:textId="77777777" w:rsidTr="008F1CED">
        <w:trPr>
          <w:jc w:val="center"/>
        </w:trPr>
        <w:tc>
          <w:tcPr>
            <w:tcW w:w="2424" w:type="dxa"/>
            <w:tcBorders>
              <w:bottom w:val="single" w:sz="4" w:space="0" w:color="auto"/>
            </w:tcBorders>
            <w:vAlign w:val="center"/>
          </w:tcPr>
          <w:p w14:paraId="76B9A8F8" w14:textId="77777777" w:rsidR="001B1DA2" w:rsidRDefault="001B1DA2" w:rsidP="008F1CED">
            <w:pPr>
              <w:pStyle w:val="CETBodytext"/>
              <w:jc w:val="center"/>
            </w:pPr>
            <w:r>
              <w:t xml:space="preserve">Nisin (10 </w:t>
            </w:r>
            <w:r w:rsidRPr="00C54EF6">
              <w:rPr>
                <w:rFonts w:cs="Arial"/>
                <w:color w:val="262626"/>
                <w:szCs w:val="18"/>
                <w:lang w:val="en-GB"/>
              </w:rPr>
              <w:sym w:font="Symbol" w:char="F06D"/>
            </w:r>
            <w:r w:rsidRPr="00C54EF6">
              <w:rPr>
                <w:rFonts w:cs="Arial"/>
                <w:color w:val="262626"/>
                <w:szCs w:val="18"/>
                <w:lang w:val="en-GB"/>
              </w:rPr>
              <w:t>g</w:t>
            </w:r>
            <w:r>
              <w:rPr>
                <w:rFonts w:cs="Arial"/>
                <w:color w:val="262626"/>
                <w:szCs w:val="18"/>
                <w:lang w:val="en-GB"/>
              </w:rPr>
              <w:t>/ml)</w:t>
            </w:r>
          </w:p>
        </w:tc>
        <w:tc>
          <w:tcPr>
            <w:tcW w:w="2189" w:type="dxa"/>
            <w:tcBorders>
              <w:bottom w:val="single" w:sz="4" w:space="0" w:color="auto"/>
            </w:tcBorders>
            <w:vAlign w:val="center"/>
          </w:tcPr>
          <w:p w14:paraId="4B94263B" w14:textId="04265B6A" w:rsidR="001B1DA2" w:rsidRDefault="001B1DA2" w:rsidP="00142952">
            <w:pPr>
              <w:pStyle w:val="CETBodytext"/>
              <w:jc w:val="center"/>
              <w:rPr>
                <w:i/>
              </w:rPr>
            </w:pPr>
            <w:r>
              <w:rPr>
                <w:i/>
              </w:rPr>
              <w:t>Listeria</w:t>
            </w:r>
            <w:r w:rsidR="00142952">
              <w:rPr>
                <w:i/>
              </w:rPr>
              <w:t xml:space="preserve"> innocua</w:t>
            </w:r>
            <w:r>
              <w:rPr>
                <w:i/>
              </w:rPr>
              <w:t xml:space="preserve"> </w:t>
            </w:r>
          </w:p>
        </w:tc>
        <w:tc>
          <w:tcPr>
            <w:tcW w:w="1732" w:type="dxa"/>
            <w:tcBorders>
              <w:bottom w:val="single" w:sz="4" w:space="0" w:color="auto"/>
            </w:tcBorders>
            <w:vAlign w:val="center"/>
          </w:tcPr>
          <w:p w14:paraId="0D8B9442" w14:textId="77777777" w:rsidR="001B1DA2" w:rsidRDefault="001B1DA2" w:rsidP="008F1CED">
            <w:pPr>
              <w:pStyle w:val="CETBodytext"/>
              <w:jc w:val="center"/>
            </w:pPr>
            <w:r>
              <w:t>1.5*10</w:t>
            </w:r>
            <w:r>
              <w:rPr>
                <w:vertAlign w:val="superscript"/>
              </w:rPr>
              <w:t>1</w:t>
            </w:r>
            <w:r>
              <w:t xml:space="preserve"> – 1.5*10</w:t>
            </w:r>
            <w:r>
              <w:rPr>
                <w:vertAlign w:val="superscript"/>
              </w:rPr>
              <w:t>4</w:t>
            </w:r>
          </w:p>
        </w:tc>
        <w:tc>
          <w:tcPr>
            <w:tcW w:w="1418" w:type="dxa"/>
            <w:tcBorders>
              <w:bottom w:val="single" w:sz="4" w:space="0" w:color="auto"/>
            </w:tcBorders>
            <w:vAlign w:val="center"/>
          </w:tcPr>
          <w:p w14:paraId="3EC34DE4" w14:textId="77777777" w:rsidR="001B1DA2" w:rsidRDefault="001B1DA2" w:rsidP="008F1CED">
            <w:pPr>
              <w:pStyle w:val="CETBodytext"/>
              <w:jc w:val="center"/>
            </w:pPr>
            <w:r>
              <w:t>1.5*10</w:t>
            </w:r>
            <w:r>
              <w:rPr>
                <w:vertAlign w:val="superscript"/>
              </w:rPr>
              <w:t>1</w:t>
            </w:r>
          </w:p>
        </w:tc>
        <w:tc>
          <w:tcPr>
            <w:tcW w:w="1240" w:type="dxa"/>
            <w:tcBorders>
              <w:bottom w:val="single" w:sz="4" w:space="0" w:color="auto"/>
            </w:tcBorders>
            <w:vAlign w:val="center"/>
          </w:tcPr>
          <w:p w14:paraId="658FFA38" w14:textId="77777777" w:rsidR="001B1DA2" w:rsidRDefault="001B1DA2" w:rsidP="008F1CED">
            <w:pPr>
              <w:pStyle w:val="CETBodytext"/>
              <w:jc w:val="center"/>
            </w:pPr>
            <w:r>
              <w:t>This work</w:t>
            </w:r>
          </w:p>
        </w:tc>
      </w:tr>
    </w:tbl>
    <w:p w14:paraId="1AFAECA4" w14:textId="77777777" w:rsidR="00BD531B" w:rsidRDefault="00BD531B" w:rsidP="001B1DA2">
      <w:pPr>
        <w:pStyle w:val="CETBodytext"/>
      </w:pPr>
    </w:p>
    <w:p w14:paraId="0FE921C1" w14:textId="77777777" w:rsidR="003E24F8" w:rsidRDefault="003E24F8" w:rsidP="001B1DA2">
      <w:pPr>
        <w:pStyle w:val="CETBodytext"/>
      </w:pPr>
    </w:p>
    <w:p w14:paraId="67745A21" w14:textId="4519F56D" w:rsidR="001B1DA2" w:rsidRDefault="001B1DA2" w:rsidP="001B1DA2">
      <w:pPr>
        <w:pStyle w:val="CETBodytext"/>
      </w:pPr>
      <w:bookmarkStart w:id="0" w:name="_GoBack"/>
      <w:bookmarkEnd w:id="0"/>
      <w:r>
        <w:t xml:space="preserve">The comparison highlighted linear ranges of our biosensors comparable with the other ones, but the capability of our biosensor developed with lower amount of Nisin to detect the lowest concentration of </w:t>
      </w:r>
      <w:r w:rsidRPr="004F2D6F">
        <w:rPr>
          <w:i/>
        </w:rPr>
        <w:t>E.Coli</w:t>
      </w:r>
      <w:r>
        <w:t xml:space="preserve"> and </w:t>
      </w:r>
      <w:r w:rsidRPr="004F2D6F">
        <w:rPr>
          <w:i/>
        </w:rPr>
        <w:t>Listeria</w:t>
      </w:r>
      <w:r w:rsidR="00142952">
        <w:rPr>
          <w:i/>
        </w:rPr>
        <w:t xml:space="preserve"> innocua</w:t>
      </w:r>
      <w:r w:rsidRPr="004F2D6F">
        <w:rPr>
          <w:i/>
        </w:rPr>
        <w:t xml:space="preserve"> </w:t>
      </w:r>
      <w:r w:rsidRPr="00C13F3C">
        <w:t>(1.5 cfu/mL)</w:t>
      </w:r>
      <w:r>
        <w:t>.</w:t>
      </w:r>
    </w:p>
    <w:p w14:paraId="75B28518" w14:textId="55B9DC51" w:rsidR="001B1DA2" w:rsidRDefault="001B1DA2" w:rsidP="001B1DA2">
      <w:pPr>
        <w:pStyle w:val="CETBodytext"/>
      </w:pPr>
      <w:r>
        <w:t>The reproducibility, calculated on three different biosensors, showed a good relative standard deviation (R.S.D.) for both biosensors developed with two amount</w:t>
      </w:r>
      <w:r w:rsidR="00A6175D">
        <w:t>s</w:t>
      </w:r>
      <w:r>
        <w:t xml:space="preserve"> of Nisin: 2.15% for Nisin 5 </w:t>
      </w:r>
      <w:r w:rsidRPr="00C54EF6">
        <w:rPr>
          <w:rFonts w:cs="Arial"/>
          <w:color w:val="262626"/>
          <w:szCs w:val="18"/>
          <w:lang w:val="en-GB"/>
        </w:rPr>
        <w:sym w:font="Symbol" w:char="F06D"/>
      </w:r>
      <w:r w:rsidRPr="00C54EF6">
        <w:rPr>
          <w:rFonts w:cs="Arial"/>
          <w:color w:val="262626"/>
          <w:szCs w:val="18"/>
          <w:lang w:val="en-GB"/>
        </w:rPr>
        <w:t>g</w:t>
      </w:r>
      <w:r>
        <w:rPr>
          <w:rFonts w:cs="Arial"/>
          <w:color w:val="262626"/>
          <w:szCs w:val="18"/>
          <w:lang w:val="en-GB"/>
        </w:rPr>
        <w:t xml:space="preserve">/ml and 3.12% for Nisin </w:t>
      </w:r>
      <w:r>
        <w:t xml:space="preserve">10 </w:t>
      </w:r>
      <w:r w:rsidRPr="00C54EF6">
        <w:rPr>
          <w:rFonts w:cs="Arial"/>
          <w:color w:val="262626"/>
          <w:szCs w:val="18"/>
          <w:lang w:val="en-GB"/>
        </w:rPr>
        <w:sym w:font="Symbol" w:char="F06D"/>
      </w:r>
      <w:r w:rsidRPr="00C54EF6">
        <w:rPr>
          <w:rFonts w:cs="Arial"/>
          <w:color w:val="262626"/>
          <w:szCs w:val="18"/>
          <w:lang w:val="en-GB"/>
        </w:rPr>
        <w:t>g</w:t>
      </w:r>
      <w:r>
        <w:rPr>
          <w:rFonts w:cs="Arial"/>
          <w:color w:val="262626"/>
          <w:szCs w:val="18"/>
          <w:lang w:val="en-GB"/>
        </w:rPr>
        <w:t xml:space="preserve">/ml. </w:t>
      </w:r>
    </w:p>
    <w:p w14:paraId="53B8FBCC" w14:textId="3BD1011C" w:rsidR="001B1DA2" w:rsidRPr="00387BF5" w:rsidRDefault="001B1DA2" w:rsidP="00BF69C1">
      <w:pPr>
        <w:pStyle w:val="CETHeading1"/>
        <w:numPr>
          <w:ilvl w:val="0"/>
          <w:numId w:val="22"/>
        </w:numPr>
        <w:spacing w:line="264" w:lineRule="auto"/>
        <w:rPr>
          <w:lang w:val="en-GB"/>
        </w:rPr>
      </w:pPr>
      <w:r w:rsidRPr="00387BF5">
        <w:rPr>
          <w:lang w:val="en-GB"/>
        </w:rPr>
        <w:lastRenderedPageBreak/>
        <w:t>Conclusions</w:t>
      </w:r>
    </w:p>
    <w:p w14:paraId="7D655975" w14:textId="6C5DD55D" w:rsidR="001B1DA2" w:rsidRPr="00387BF5" w:rsidRDefault="001B1DA2" w:rsidP="001B1DA2">
      <w:pPr>
        <w:pStyle w:val="CETBodytext"/>
        <w:rPr>
          <w:rFonts w:eastAsiaTheme="minorEastAsia" w:cs="Arial"/>
          <w:szCs w:val="18"/>
          <w:lang w:val="en-GB" w:eastAsia="it-IT" w:bidi="en-US"/>
        </w:rPr>
      </w:pPr>
      <w:r w:rsidRPr="00A6175D">
        <w:rPr>
          <w:rFonts w:eastAsiaTheme="minorEastAsia" w:cs="Arial"/>
          <w:szCs w:val="18"/>
          <w:lang w:val="en-GB" w:eastAsia="it-IT" w:bidi="en-US"/>
        </w:rPr>
        <w:t>Nisin antimicrobial peptide was used to develop an impedimetric label – free biosensors for the monitoring of bacteria</w:t>
      </w:r>
      <w:r w:rsidR="00426673" w:rsidRPr="00A6175D">
        <w:rPr>
          <w:rFonts w:eastAsiaTheme="minorEastAsia" w:cs="Arial"/>
          <w:szCs w:val="18"/>
          <w:lang w:val="en-GB" w:eastAsia="it-IT" w:bidi="en-US"/>
        </w:rPr>
        <w:t>l</w:t>
      </w:r>
      <w:r w:rsidRPr="00A6175D">
        <w:rPr>
          <w:rFonts w:eastAsiaTheme="minorEastAsia" w:cs="Arial"/>
          <w:szCs w:val="18"/>
          <w:lang w:val="en-GB" w:eastAsia="it-IT" w:bidi="en-US"/>
        </w:rPr>
        <w:t xml:space="preserve"> contamination. </w:t>
      </w:r>
      <w:r w:rsidRPr="00A6175D">
        <w:rPr>
          <w:lang w:val="en-GB"/>
        </w:rPr>
        <w:t>The binding affinities of Nisin immobilized via cysteamine residues at the carboxylic terminus and</w:t>
      </w:r>
      <w:r w:rsidR="00142952" w:rsidRPr="00A6175D">
        <w:rPr>
          <w:lang w:val="en-GB"/>
        </w:rPr>
        <w:t xml:space="preserve"> NH</w:t>
      </w:r>
      <w:r w:rsidR="00142952" w:rsidRPr="00A6175D">
        <w:rPr>
          <w:vertAlign w:val="subscript"/>
          <w:lang w:val="en-GB"/>
        </w:rPr>
        <w:t>2</w:t>
      </w:r>
      <w:r w:rsidRPr="00A6175D">
        <w:rPr>
          <w:lang w:val="en-GB"/>
        </w:rPr>
        <w:t xml:space="preserve"> terminus were compared,</w:t>
      </w:r>
      <w:r w:rsidR="00142952" w:rsidRPr="00A6175D">
        <w:rPr>
          <w:lang w:val="en-GB"/>
        </w:rPr>
        <w:t xml:space="preserve"> by</w:t>
      </w:r>
      <w:r w:rsidRPr="00A6175D">
        <w:rPr>
          <w:lang w:val="en-GB"/>
        </w:rPr>
        <w:t xml:space="preserve"> impedimetric transduction technique to investigate the electrochemical responses with different concentration of </w:t>
      </w:r>
      <w:r w:rsidRPr="00A6175D">
        <w:rPr>
          <w:i/>
          <w:lang w:val="en-GB"/>
        </w:rPr>
        <w:t>Escherichia Coli and Listeria</w:t>
      </w:r>
      <w:r w:rsidR="00142952" w:rsidRPr="00A6175D">
        <w:rPr>
          <w:i/>
          <w:lang w:val="en-GB"/>
        </w:rPr>
        <w:t xml:space="preserve"> innocua</w:t>
      </w:r>
      <w:r w:rsidRPr="00A6175D">
        <w:rPr>
          <w:i/>
          <w:lang w:val="en-GB"/>
        </w:rPr>
        <w:t xml:space="preserve"> </w:t>
      </w:r>
      <w:r w:rsidRPr="00A6175D">
        <w:rPr>
          <w:lang w:val="en-GB"/>
        </w:rPr>
        <w:t xml:space="preserve">cells. The Nisin immobilization with its C-terminus and the optimization of peptide amount allowed the development of a biosensor with </w:t>
      </w:r>
      <w:r w:rsidR="00A6175D">
        <w:rPr>
          <w:lang w:val="en-GB"/>
        </w:rPr>
        <w:t xml:space="preserve">good </w:t>
      </w:r>
      <w:r w:rsidRPr="00A6175D">
        <w:rPr>
          <w:lang w:val="en-GB"/>
        </w:rPr>
        <w:t xml:space="preserve">analytical performances, able to detect a very low concentration of </w:t>
      </w:r>
      <w:r w:rsidRPr="00A6175D">
        <w:rPr>
          <w:i/>
          <w:lang w:val="en-GB"/>
        </w:rPr>
        <w:t>E.Coli</w:t>
      </w:r>
      <w:r w:rsidRPr="00A6175D">
        <w:rPr>
          <w:lang w:val="en-GB"/>
        </w:rPr>
        <w:t xml:space="preserve"> and </w:t>
      </w:r>
      <w:r w:rsidRPr="00A6175D">
        <w:rPr>
          <w:i/>
          <w:lang w:val="en-GB"/>
        </w:rPr>
        <w:t>Listeria</w:t>
      </w:r>
      <w:r w:rsidR="00142952" w:rsidRPr="00A6175D">
        <w:rPr>
          <w:i/>
          <w:lang w:val="en-GB"/>
        </w:rPr>
        <w:t xml:space="preserve"> innocua cells</w:t>
      </w:r>
      <w:r w:rsidRPr="00A6175D">
        <w:rPr>
          <w:i/>
          <w:lang w:val="en-GB"/>
        </w:rPr>
        <w:t xml:space="preserve"> </w:t>
      </w:r>
      <w:r w:rsidRPr="00A6175D">
        <w:rPr>
          <w:lang w:val="en-GB"/>
        </w:rPr>
        <w:t>equal to 1.5 cfu/ml.</w:t>
      </w:r>
      <w:r>
        <w:rPr>
          <w:lang w:val="en-GB"/>
        </w:rPr>
        <w:t xml:space="preserve"> </w:t>
      </w:r>
      <w:r w:rsidR="00EC3855" w:rsidRPr="00EC3855">
        <w:rPr>
          <w:lang w:val="en-GB"/>
        </w:rPr>
        <w:t>Although further investigations need to be done, in particular, the recognition of bacterial cells in real food matrices, the obtained results highlight the good potentiality of Nisin as AMP as a recognition element for the development of a fast method for the detection of bacterial contamination.</w:t>
      </w:r>
    </w:p>
    <w:p w14:paraId="3425CC79" w14:textId="77777777" w:rsidR="001B1DA2" w:rsidRPr="00787FD0" w:rsidRDefault="001B1DA2" w:rsidP="001B1DA2">
      <w:pPr>
        <w:pStyle w:val="CETReference-text"/>
      </w:pPr>
    </w:p>
    <w:p w14:paraId="2922183F" w14:textId="77777777" w:rsidR="001B1DA2" w:rsidRPr="00387BF5" w:rsidRDefault="001B1DA2" w:rsidP="001B1DA2">
      <w:pPr>
        <w:pStyle w:val="CETReference0"/>
        <w:contextualSpacing/>
        <w:rPr>
          <w:sz w:val="20"/>
          <w:lang w:val="en-GB"/>
        </w:rPr>
      </w:pPr>
      <w:r w:rsidRPr="00387BF5">
        <w:rPr>
          <w:sz w:val="20"/>
          <w:lang w:val="en-GB"/>
        </w:rPr>
        <w:t>References</w:t>
      </w:r>
    </w:p>
    <w:p w14:paraId="1C08FE02" w14:textId="77777777" w:rsidR="001B1DA2" w:rsidRDefault="001B1DA2" w:rsidP="001B1DA2">
      <w:pPr>
        <w:pStyle w:val="CETReference-text"/>
      </w:pPr>
      <w:r>
        <w:t>Avejard J., Bradley J.W., McKay K., McBride F., Donaghy D., Raval R., D’Sa R.A., 2017. Linker-free covalent immobilization of Nisin using atmospheric pressure plasma induced grafting, Journal of Materials Chemistry B, 5, 2500-2510.</w:t>
      </w:r>
    </w:p>
    <w:p w14:paraId="20055364" w14:textId="77777777" w:rsidR="001B1DA2" w:rsidRDefault="001B1DA2" w:rsidP="001B1DA2">
      <w:pPr>
        <w:pStyle w:val="CETReference-text"/>
      </w:pPr>
      <w:r w:rsidRPr="00387BF5">
        <w:t>Baccar H., Mejri M.B., Hafaiedh I., Ktari T., Aouni M., Abdelghani A., 2010. Surface plasmon resonance immunosensors for bacteria detection, Talanta, 82, 810-814.</w:t>
      </w:r>
    </w:p>
    <w:p w14:paraId="075CF3CE" w14:textId="566A1661" w:rsidR="001B1DA2" w:rsidRPr="00387BF5" w:rsidRDefault="001B1DA2" w:rsidP="001B1DA2">
      <w:pPr>
        <w:pStyle w:val="CETReference-text"/>
      </w:pPr>
      <w:r>
        <w:t>Bahar A.A., Ren D., 2013. Antimicrobial Peptides, Pharmaceuticals, 6, 1543-1575</w:t>
      </w:r>
      <w:r w:rsidR="00426673">
        <w:t>.</w:t>
      </w:r>
    </w:p>
    <w:p w14:paraId="1401DC76" w14:textId="77777777" w:rsidR="001B1DA2" w:rsidRPr="00387BF5" w:rsidRDefault="001B1DA2" w:rsidP="001B1DA2">
      <w:pPr>
        <w:pStyle w:val="CETReference-text"/>
      </w:pPr>
      <w:r w:rsidRPr="00387BF5">
        <w:t xml:space="preserve">Barreiros dos Santos M., Agusil J.P., Prieto-Simon B., Sporer C., Teixeira V., Samitier J., 2013. Highly sensitive detection of pathogens </w:t>
      </w:r>
      <w:r w:rsidRPr="00387BF5">
        <w:rPr>
          <w:i/>
        </w:rPr>
        <w:t>Escherichia Coli</w:t>
      </w:r>
      <w:r w:rsidRPr="00387BF5">
        <w:t xml:space="preserve"> O157:H7 by electrochemical impedance spectroscopy, Biosensors and Bioelectronics, 45, 174-180</w:t>
      </w:r>
    </w:p>
    <w:p w14:paraId="26735E4E" w14:textId="75AB2676" w:rsidR="001B1DA2" w:rsidRDefault="001B1DA2" w:rsidP="001B1DA2">
      <w:pPr>
        <w:pStyle w:val="CETReference-text"/>
      </w:pPr>
      <w:r>
        <w:t xml:space="preserve">de Miranda J.L., Oliveira M.D.L., Oliveira I.S., Frias I.A.M., Franco O.L., Andrade C.A.S., 2017. A simple nanostructured biosensor based on clavanin A </w:t>
      </w:r>
      <w:r w:rsidR="00142952">
        <w:t>a</w:t>
      </w:r>
      <w:r>
        <w:t>ntimicrobial peptide for gram-negative bacteria detection, Biochemical Engineering Journal, 124, 108-114.</w:t>
      </w:r>
    </w:p>
    <w:p w14:paraId="32F59C18" w14:textId="77777777" w:rsidR="001B1DA2" w:rsidRPr="00387BF5" w:rsidRDefault="001B1DA2" w:rsidP="001B1DA2">
      <w:pPr>
        <w:pStyle w:val="CETReference-text"/>
      </w:pPr>
      <w:r w:rsidRPr="00387BF5">
        <w:t xml:space="preserve">Etayash H., Jiang K., Thundat T., Kaur K., 2014. Impedimetric Detection of Pathogenic Gram-Positive Bacteria Using an Antimicrobial Peptide for Class lla Bacteriocins, Analytical Chemistry, 86, 1693-1700 </w:t>
      </w:r>
    </w:p>
    <w:p w14:paraId="137222AF" w14:textId="77777777" w:rsidR="001B1DA2" w:rsidRPr="00387BF5" w:rsidRDefault="001B1DA2" w:rsidP="001B1DA2">
      <w:pPr>
        <w:pStyle w:val="CETReference-text"/>
      </w:pPr>
      <w:r w:rsidRPr="00387BF5">
        <w:t>Heyduk E., Heyduk T., 2010. Fluorescent homogeneous immunosensors for detecting pathogenic bacteria, Analytical Biochemistry, 396, 298-303.</w:t>
      </w:r>
    </w:p>
    <w:p w14:paraId="1CA93E83" w14:textId="5025AD31" w:rsidR="001B1DA2" w:rsidRPr="00387BF5" w:rsidRDefault="001B1DA2" w:rsidP="001B1DA2">
      <w:pPr>
        <w:pStyle w:val="CETReference-text"/>
      </w:pPr>
      <w:r w:rsidRPr="00387BF5">
        <w:t xml:space="preserve">Guo X., Lin C., Chen S., Ye R., Wu V., 2012. A piezoelectric immunosensors for specific capture and </w:t>
      </w:r>
      <w:r w:rsidR="00A6175D" w:rsidRPr="00387BF5">
        <w:t>enrichment</w:t>
      </w:r>
      <w:r w:rsidRPr="00387BF5">
        <w:t xml:space="preserve"> of variable pathogens by quartz crystal microbalance sensor, followed by detection with antibody-functionalized gold nanoparticles, Biosensors and Bioelectronics, 38, 177-183</w:t>
      </w:r>
    </w:p>
    <w:p w14:paraId="23CFDE24" w14:textId="77777777" w:rsidR="001B1DA2" w:rsidRPr="00387BF5" w:rsidRDefault="001B1DA2" w:rsidP="001B1DA2">
      <w:pPr>
        <w:pStyle w:val="CETReference-text"/>
      </w:pPr>
      <w:r w:rsidRPr="00387BF5">
        <w:t>Li Y., Afrasiabi R., Fathi F., Wang N., Xiang C., Love R., She Z., Kraatz H., 2014. Impedance based detection of pathogenic E.Coli O157:H7 using a ferrocene-antimicrobial peptide modified biosensor, Biosensor and Bioelectronics, 58, 193-199.</w:t>
      </w:r>
    </w:p>
    <w:p w14:paraId="7889C78B" w14:textId="77777777" w:rsidR="001B1DA2" w:rsidRPr="00387BF5" w:rsidRDefault="001B1DA2" w:rsidP="001B1DA2">
      <w:pPr>
        <w:pStyle w:val="CETReference-text"/>
      </w:pPr>
      <w:r w:rsidRPr="00387BF5">
        <w:t>Lillehoj P.B., Kaplan C.W., He J., Shi W., Ho C., 2014. Rapid, Electrical Impedance Detection of Bacterial Pathogens Using Immobilized Antimicrobial Peptides, Journal of Laboratory Automation, 19, 42-49.</w:t>
      </w:r>
    </w:p>
    <w:p w14:paraId="58B90FBD" w14:textId="77777777" w:rsidR="001B1DA2" w:rsidRPr="00387BF5" w:rsidRDefault="001B1DA2" w:rsidP="001B1DA2">
      <w:pPr>
        <w:pStyle w:val="CETReference-text"/>
      </w:pPr>
      <w:r w:rsidRPr="00387BF5">
        <w:t>Lu L., Chee G., Yamada K., Jun S., 2013. Electrochemical impedance spectroscopic technique with a functionalized microwire sensor for rapid detection of foodborne pathogens, Biosensors and Bioelectronics, 42, 492-495.</w:t>
      </w:r>
    </w:p>
    <w:p w14:paraId="4E9DA365" w14:textId="77777777" w:rsidR="001B1DA2" w:rsidRPr="00387BF5" w:rsidRDefault="001B1DA2" w:rsidP="001B1DA2">
      <w:pPr>
        <w:pStyle w:val="CETReference-text"/>
      </w:pPr>
      <w:r w:rsidRPr="00387BF5">
        <w:t xml:space="preserve">Maalouf R., Fournier-Wirth C., Coste J., Chebib H., Saikali Y., Vittori O., et al., 2007.Label-Free Detection of Bacteria by Electrochemical Impedance Spectroscopy: Comparison to Surface Plasmon Resonance, Analytical Chemistry, 79, 4879-4886.  </w:t>
      </w:r>
    </w:p>
    <w:p w14:paraId="10923C73" w14:textId="75166ABA" w:rsidR="001B1DA2" w:rsidRDefault="001B1DA2" w:rsidP="001B1DA2">
      <w:pPr>
        <w:pStyle w:val="CETReference-text"/>
      </w:pPr>
      <w:r>
        <w:t>Malvano F., Pilloton R., Albanese D., 2018. Sensitive detection of Escherichia Coli O157:H7 in food products by impedimetric immunosensors, Sensors, 18</w:t>
      </w:r>
      <w:r w:rsidR="00426673">
        <w:t xml:space="preserve">, </w:t>
      </w:r>
      <w:r>
        <w:t>2168</w:t>
      </w:r>
      <w:r w:rsidR="00426673">
        <w:t>, 9-11</w:t>
      </w:r>
      <w:r>
        <w:t xml:space="preserve">.  </w:t>
      </w:r>
    </w:p>
    <w:p w14:paraId="5525CAB0" w14:textId="77777777" w:rsidR="001B1DA2" w:rsidRDefault="001B1DA2" w:rsidP="001B1DA2">
      <w:pPr>
        <w:pStyle w:val="CETReference-text"/>
      </w:pPr>
      <w:r>
        <w:t>Malvano F., Albanese D., Pilloton R., Di Matteo M., 2017. A new label-free impedimetric aptasensor for gluten detection, Food Control, 79, 200-206.</w:t>
      </w:r>
    </w:p>
    <w:p w14:paraId="25DDA3A5" w14:textId="6DF71404" w:rsidR="001B1DA2" w:rsidRDefault="001B1DA2" w:rsidP="001B1DA2">
      <w:pPr>
        <w:pStyle w:val="CETReference-text"/>
      </w:pPr>
      <w:r>
        <w:t>Malvano F., Albanese D., Pilloton R., Di Matteo M., 2016. A highly sensitive impedimetric label free immunosensor for Ochratoxin measurement in cocoa beans, Food Chemistry, 212, 688-694.</w:t>
      </w:r>
    </w:p>
    <w:p w14:paraId="3AC7C7B4" w14:textId="292B777E" w:rsidR="00270288" w:rsidRPr="00270288" w:rsidRDefault="00270288" w:rsidP="00270288">
      <w:pPr>
        <w:pStyle w:val="CETReference-text"/>
      </w:pPr>
      <w:r>
        <w:t xml:space="preserve">Malvano F., Albanese D., </w:t>
      </w:r>
      <w:r w:rsidRPr="00270288">
        <w:t xml:space="preserve">Sannini A., </w:t>
      </w:r>
      <w:r>
        <w:t xml:space="preserve">Crescitelli A.,Pilloton R., Di Matteo M., 2015.  </w:t>
      </w:r>
      <w:r w:rsidRPr="00270288">
        <w:t>Ethanol content in must grape by alcohol dehydrogenase biosensors based on doped - Polyaniline modified screen printed electrodes</w:t>
      </w:r>
      <w:r>
        <w:t xml:space="preserve">, Chemical Engineering Transactions, </w:t>
      </w:r>
      <w:r w:rsidRPr="00270288">
        <w:t>43</w:t>
      </w:r>
      <w:r>
        <w:t xml:space="preserve">, </w:t>
      </w:r>
      <w:r w:rsidRPr="00270288">
        <w:t>37-42</w:t>
      </w:r>
      <w:r>
        <w:t>.</w:t>
      </w:r>
    </w:p>
    <w:p w14:paraId="4AF76A7F" w14:textId="30F7FC62" w:rsidR="004628D2" w:rsidRDefault="008F1CED" w:rsidP="001B1DA2">
      <w:pPr>
        <w:pStyle w:val="CETReference-text"/>
      </w:pPr>
      <w:r>
        <w:t>Wei Ling,</w:t>
      </w:r>
      <w:r w:rsidR="001B1DA2" w:rsidRPr="00387BF5">
        <w:t xml:space="preserve"> 20</w:t>
      </w:r>
      <w:r>
        <w:t>18</w:t>
      </w:r>
      <w:r w:rsidR="001B1DA2" w:rsidRPr="00387BF5">
        <w:t xml:space="preserve">. </w:t>
      </w:r>
      <w:r>
        <w:t>Risk Assessment of Chemical Pollution in Organic Food</w:t>
      </w:r>
      <w:r w:rsidR="001B1DA2" w:rsidRPr="00387BF5">
        <w:t xml:space="preserve">, </w:t>
      </w:r>
      <w:r>
        <w:t>Chemical Engineering Transactions,</w:t>
      </w:r>
      <w:r w:rsidR="008B5B83">
        <w:t xml:space="preserve"> </w:t>
      </w:r>
      <w:r>
        <w:t>67</w:t>
      </w:r>
      <w:r w:rsidR="008B5B83">
        <w:t>, 145-150</w:t>
      </w:r>
      <w:r>
        <w:t>.</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ED05" w14:textId="77777777" w:rsidR="0011342F" w:rsidRDefault="0011342F" w:rsidP="004F5E36">
      <w:r>
        <w:separator/>
      </w:r>
    </w:p>
  </w:endnote>
  <w:endnote w:type="continuationSeparator" w:id="0">
    <w:p w14:paraId="5BCF77E8" w14:textId="77777777" w:rsidR="0011342F" w:rsidRDefault="0011342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1D362" w14:textId="77777777" w:rsidR="0011342F" w:rsidRDefault="0011342F" w:rsidP="004F5E36">
      <w:r>
        <w:separator/>
      </w:r>
    </w:p>
  </w:footnote>
  <w:footnote w:type="continuationSeparator" w:id="0">
    <w:p w14:paraId="7C78A0A0" w14:textId="77777777" w:rsidR="0011342F" w:rsidRDefault="0011342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D2C5F03"/>
    <w:multiLevelType w:val="hybridMultilevel"/>
    <w:tmpl w:val="15A813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C840CED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41E6AED"/>
    <w:multiLevelType w:val="multilevel"/>
    <w:tmpl w:val="21C01DDE"/>
    <w:lvl w:ilvl="0">
      <w:start w:val="2"/>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7E1CC0"/>
    <w:multiLevelType w:val="multilevel"/>
    <w:tmpl w:val="17FC6BA2"/>
    <w:lvl w:ilvl="0">
      <w:start w:val="2"/>
      <w:numFmt w:val="decimal"/>
      <w:lvlText w:val="%1."/>
      <w:lvlJc w:val="left"/>
      <w:pPr>
        <w:ind w:left="720" w:hanging="360"/>
      </w:pPr>
      <w:rPr>
        <w:rFonts w:hint="default"/>
      </w:rPr>
    </w:lvl>
    <w:lvl w:ilvl="1">
      <w:start w:val="2"/>
      <w:numFmt w:val="decimal"/>
      <w:pStyle w:val="CETheadingx"/>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20"/>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671C9"/>
    <w:rsid w:val="00086C39"/>
    <w:rsid w:val="000A03B2"/>
    <w:rsid w:val="000A3B79"/>
    <w:rsid w:val="000D34BE"/>
    <w:rsid w:val="000E102F"/>
    <w:rsid w:val="000E36F1"/>
    <w:rsid w:val="000E3A73"/>
    <w:rsid w:val="000E414A"/>
    <w:rsid w:val="000F093C"/>
    <w:rsid w:val="000F16BD"/>
    <w:rsid w:val="000F787B"/>
    <w:rsid w:val="0011342F"/>
    <w:rsid w:val="0012091F"/>
    <w:rsid w:val="00126BC2"/>
    <w:rsid w:val="001308B6"/>
    <w:rsid w:val="0013121F"/>
    <w:rsid w:val="00131FAB"/>
    <w:rsid w:val="00131FE6"/>
    <w:rsid w:val="0013263F"/>
    <w:rsid w:val="00134DE4"/>
    <w:rsid w:val="0014034D"/>
    <w:rsid w:val="00142952"/>
    <w:rsid w:val="00147522"/>
    <w:rsid w:val="00150481"/>
    <w:rsid w:val="00150E59"/>
    <w:rsid w:val="00152DE3"/>
    <w:rsid w:val="00162642"/>
    <w:rsid w:val="00164CF9"/>
    <w:rsid w:val="00184AD6"/>
    <w:rsid w:val="001973B5"/>
    <w:rsid w:val="001A3A0A"/>
    <w:rsid w:val="001A4D36"/>
    <w:rsid w:val="001B0349"/>
    <w:rsid w:val="001B1DA2"/>
    <w:rsid w:val="001B65C1"/>
    <w:rsid w:val="001C684B"/>
    <w:rsid w:val="001D53FC"/>
    <w:rsid w:val="001F42A5"/>
    <w:rsid w:val="001F7B9D"/>
    <w:rsid w:val="002048DA"/>
    <w:rsid w:val="002204AE"/>
    <w:rsid w:val="002224B4"/>
    <w:rsid w:val="002337FA"/>
    <w:rsid w:val="002440B5"/>
    <w:rsid w:val="002447EF"/>
    <w:rsid w:val="0025145D"/>
    <w:rsid w:val="00251550"/>
    <w:rsid w:val="00252C1A"/>
    <w:rsid w:val="00263B05"/>
    <w:rsid w:val="00264371"/>
    <w:rsid w:val="00270288"/>
    <w:rsid w:val="0027221A"/>
    <w:rsid w:val="00275B61"/>
    <w:rsid w:val="00282656"/>
    <w:rsid w:val="00296B83"/>
    <w:rsid w:val="002B78CE"/>
    <w:rsid w:val="002C2FB6"/>
    <w:rsid w:val="002D5BCD"/>
    <w:rsid w:val="003000A6"/>
    <w:rsid w:val="003009B7"/>
    <w:rsid w:val="00300E56"/>
    <w:rsid w:val="0030469C"/>
    <w:rsid w:val="00321CA6"/>
    <w:rsid w:val="00322F76"/>
    <w:rsid w:val="00331B96"/>
    <w:rsid w:val="00334C09"/>
    <w:rsid w:val="00335609"/>
    <w:rsid w:val="003365E3"/>
    <w:rsid w:val="003603C3"/>
    <w:rsid w:val="003723D4"/>
    <w:rsid w:val="00384CC8"/>
    <w:rsid w:val="003871FD"/>
    <w:rsid w:val="003962CF"/>
    <w:rsid w:val="003A1E30"/>
    <w:rsid w:val="003A42F7"/>
    <w:rsid w:val="003A7D1C"/>
    <w:rsid w:val="003B304B"/>
    <w:rsid w:val="003B3146"/>
    <w:rsid w:val="003B60F3"/>
    <w:rsid w:val="003E24F8"/>
    <w:rsid w:val="003F015E"/>
    <w:rsid w:val="003F739F"/>
    <w:rsid w:val="00400414"/>
    <w:rsid w:val="0041446B"/>
    <w:rsid w:val="00426673"/>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81BC8"/>
    <w:rsid w:val="005A309A"/>
    <w:rsid w:val="005B2110"/>
    <w:rsid w:val="005B61E6"/>
    <w:rsid w:val="005C77E1"/>
    <w:rsid w:val="005D13E3"/>
    <w:rsid w:val="005D2BF5"/>
    <w:rsid w:val="005D6A2F"/>
    <w:rsid w:val="005E1A82"/>
    <w:rsid w:val="005E6DAD"/>
    <w:rsid w:val="005E794C"/>
    <w:rsid w:val="005F0A28"/>
    <w:rsid w:val="005F0E5E"/>
    <w:rsid w:val="00600535"/>
    <w:rsid w:val="00605E04"/>
    <w:rsid w:val="00610CD6"/>
    <w:rsid w:val="00620DEE"/>
    <w:rsid w:val="00621F92"/>
    <w:rsid w:val="00625639"/>
    <w:rsid w:val="00631B33"/>
    <w:rsid w:val="0064184D"/>
    <w:rsid w:val="006422CC"/>
    <w:rsid w:val="00650F5F"/>
    <w:rsid w:val="00660E3E"/>
    <w:rsid w:val="00662E74"/>
    <w:rsid w:val="00680C23"/>
    <w:rsid w:val="00693766"/>
    <w:rsid w:val="006A3281"/>
    <w:rsid w:val="006B4888"/>
    <w:rsid w:val="006C2E45"/>
    <w:rsid w:val="006C359C"/>
    <w:rsid w:val="006C5579"/>
    <w:rsid w:val="006E24B9"/>
    <w:rsid w:val="006E737D"/>
    <w:rsid w:val="0070174F"/>
    <w:rsid w:val="0070195D"/>
    <w:rsid w:val="007040C3"/>
    <w:rsid w:val="00720A24"/>
    <w:rsid w:val="00721BD0"/>
    <w:rsid w:val="00732386"/>
    <w:rsid w:val="007447F3"/>
    <w:rsid w:val="0075499F"/>
    <w:rsid w:val="007661C8"/>
    <w:rsid w:val="0077098D"/>
    <w:rsid w:val="00771820"/>
    <w:rsid w:val="007931FA"/>
    <w:rsid w:val="007A7BBA"/>
    <w:rsid w:val="007B0C50"/>
    <w:rsid w:val="007C1A43"/>
    <w:rsid w:val="007E1DC6"/>
    <w:rsid w:val="007F1365"/>
    <w:rsid w:val="007F1C5C"/>
    <w:rsid w:val="008039A5"/>
    <w:rsid w:val="00813288"/>
    <w:rsid w:val="008168FC"/>
    <w:rsid w:val="00827DAA"/>
    <w:rsid w:val="00830996"/>
    <w:rsid w:val="008345F1"/>
    <w:rsid w:val="00854767"/>
    <w:rsid w:val="00865B07"/>
    <w:rsid w:val="008667EA"/>
    <w:rsid w:val="00870085"/>
    <w:rsid w:val="00871925"/>
    <w:rsid w:val="0087637F"/>
    <w:rsid w:val="00876DB1"/>
    <w:rsid w:val="008904B9"/>
    <w:rsid w:val="00892AD5"/>
    <w:rsid w:val="008A1512"/>
    <w:rsid w:val="008B5B83"/>
    <w:rsid w:val="008C1C2F"/>
    <w:rsid w:val="008C78C1"/>
    <w:rsid w:val="008D32B9"/>
    <w:rsid w:val="008D433B"/>
    <w:rsid w:val="008E566E"/>
    <w:rsid w:val="008F1CED"/>
    <w:rsid w:val="0090161A"/>
    <w:rsid w:val="00901EB6"/>
    <w:rsid w:val="00904C62"/>
    <w:rsid w:val="00921E0B"/>
    <w:rsid w:val="00924DAC"/>
    <w:rsid w:val="00927058"/>
    <w:rsid w:val="009450CE"/>
    <w:rsid w:val="00947179"/>
    <w:rsid w:val="0095164B"/>
    <w:rsid w:val="00954090"/>
    <w:rsid w:val="009573E7"/>
    <w:rsid w:val="009635B9"/>
    <w:rsid w:val="00963E05"/>
    <w:rsid w:val="00967D54"/>
    <w:rsid w:val="00977B3B"/>
    <w:rsid w:val="00990314"/>
    <w:rsid w:val="009914E3"/>
    <w:rsid w:val="00996483"/>
    <w:rsid w:val="00996F5A"/>
    <w:rsid w:val="009A0A3E"/>
    <w:rsid w:val="009A73E8"/>
    <w:rsid w:val="009B041A"/>
    <w:rsid w:val="009B5BBB"/>
    <w:rsid w:val="009C7C86"/>
    <w:rsid w:val="009D2FF7"/>
    <w:rsid w:val="009E7884"/>
    <w:rsid w:val="009E788A"/>
    <w:rsid w:val="009F0E08"/>
    <w:rsid w:val="00A107D6"/>
    <w:rsid w:val="00A14C57"/>
    <w:rsid w:val="00A1763D"/>
    <w:rsid w:val="00A17CEC"/>
    <w:rsid w:val="00A27EF0"/>
    <w:rsid w:val="00A42A99"/>
    <w:rsid w:val="00A50B20"/>
    <w:rsid w:val="00A51390"/>
    <w:rsid w:val="00A5223F"/>
    <w:rsid w:val="00A60D13"/>
    <w:rsid w:val="00A6175D"/>
    <w:rsid w:val="00A72745"/>
    <w:rsid w:val="00A76EFC"/>
    <w:rsid w:val="00A91010"/>
    <w:rsid w:val="00A97522"/>
    <w:rsid w:val="00A97F29"/>
    <w:rsid w:val="00AA702E"/>
    <w:rsid w:val="00AB0964"/>
    <w:rsid w:val="00AB1888"/>
    <w:rsid w:val="00AB5011"/>
    <w:rsid w:val="00AC7368"/>
    <w:rsid w:val="00AD0D46"/>
    <w:rsid w:val="00AD16B9"/>
    <w:rsid w:val="00AE377D"/>
    <w:rsid w:val="00B120D2"/>
    <w:rsid w:val="00B17FBD"/>
    <w:rsid w:val="00B27720"/>
    <w:rsid w:val="00B315A6"/>
    <w:rsid w:val="00B31813"/>
    <w:rsid w:val="00B33365"/>
    <w:rsid w:val="00B57B36"/>
    <w:rsid w:val="00B8686D"/>
    <w:rsid w:val="00BC30C9"/>
    <w:rsid w:val="00BC4BBF"/>
    <w:rsid w:val="00BD531B"/>
    <w:rsid w:val="00BE3E58"/>
    <w:rsid w:val="00BF69C1"/>
    <w:rsid w:val="00C01616"/>
    <w:rsid w:val="00C0162B"/>
    <w:rsid w:val="00C14457"/>
    <w:rsid w:val="00C345B1"/>
    <w:rsid w:val="00C40142"/>
    <w:rsid w:val="00C52D9E"/>
    <w:rsid w:val="00C57182"/>
    <w:rsid w:val="00C57863"/>
    <w:rsid w:val="00C655FD"/>
    <w:rsid w:val="00C86037"/>
    <w:rsid w:val="00C870A8"/>
    <w:rsid w:val="00C94434"/>
    <w:rsid w:val="00CA0D75"/>
    <w:rsid w:val="00CA1C95"/>
    <w:rsid w:val="00CA5A9C"/>
    <w:rsid w:val="00CD3517"/>
    <w:rsid w:val="00CD5A00"/>
    <w:rsid w:val="00CD5FE2"/>
    <w:rsid w:val="00CE7C68"/>
    <w:rsid w:val="00CF0EF4"/>
    <w:rsid w:val="00D02B4C"/>
    <w:rsid w:val="00D040C4"/>
    <w:rsid w:val="00D3511E"/>
    <w:rsid w:val="00D57C84"/>
    <w:rsid w:val="00D6057D"/>
    <w:rsid w:val="00D84576"/>
    <w:rsid w:val="00DA1399"/>
    <w:rsid w:val="00DA24C6"/>
    <w:rsid w:val="00DA4D7B"/>
    <w:rsid w:val="00DE264A"/>
    <w:rsid w:val="00E02D18"/>
    <w:rsid w:val="00E041E7"/>
    <w:rsid w:val="00E21E51"/>
    <w:rsid w:val="00E23CA1"/>
    <w:rsid w:val="00E26995"/>
    <w:rsid w:val="00E375F9"/>
    <w:rsid w:val="00E409A8"/>
    <w:rsid w:val="00E446CC"/>
    <w:rsid w:val="00E50C12"/>
    <w:rsid w:val="00E65B37"/>
    <w:rsid w:val="00E65B91"/>
    <w:rsid w:val="00E7209D"/>
    <w:rsid w:val="00E77223"/>
    <w:rsid w:val="00E8528B"/>
    <w:rsid w:val="00E85B94"/>
    <w:rsid w:val="00E978D0"/>
    <w:rsid w:val="00EA4613"/>
    <w:rsid w:val="00EA7F91"/>
    <w:rsid w:val="00EB1523"/>
    <w:rsid w:val="00EC0E49"/>
    <w:rsid w:val="00EC3855"/>
    <w:rsid w:val="00EE0131"/>
    <w:rsid w:val="00EE08F4"/>
    <w:rsid w:val="00EE0F9C"/>
    <w:rsid w:val="00F155B2"/>
    <w:rsid w:val="00F26C07"/>
    <w:rsid w:val="00F30C64"/>
    <w:rsid w:val="00F32CDB"/>
    <w:rsid w:val="00F6112E"/>
    <w:rsid w:val="00F63A70"/>
    <w:rsid w:val="00F7270D"/>
    <w:rsid w:val="00FA21D0"/>
    <w:rsid w:val="00FA5F5F"/>
    <w:rsid w:val="00FB730C"/>
    <w:rsid w:val="00FC2695"/>
    <w:rsid w:val="00FC3E03"/>
    <w:rsid w:val="00FC3FC1"/>
    <w:rsid w:val="00FD7B6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8F8B4"/>
  <w15:docId w15:val="{30320439-9F42-7D47-8E75-5E8A55C5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048DA"/>
    <w:pPr>
      <w:keepNext/>
      <w:numPr>
        <w:ilvl w:val="1"/>
        <w:numId w:val="22"/>
      </w:numPr>
      <w:suppressAutoHyphens/>
      <w:spacing w:before="120" w:after="120" w:line="240" w:lineRule="auto"/>
      <w:ind w:left="284" w:hanging="284"/>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048D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qFormat/>
    <w:rsid w:val="001B1DA2"/>
    <w:pPr>
      <w:tabs>
        <w:tab w:val="clear" w:pos="7100"/>
      </w:tabs>
      <w:spacing w:line="240" w:lineRule="auto"/>
      <w:ind w:left="720"/>
      <w:contextualSpacing/>
      <w:jc w:val="left"/>
    </w:pPr>
    <w:rPr>
      <w:rFonts w:asciiTheme="minorHAnsi" w:eastAsiaTheme="minorEastAsia" w:hAnsiTheme="minorHAnsi" w:cstheme="minorBidi"/>
      <w:sz w:val="24"/>
      <w:szCs w:val="24"/>
      <w:lang w:val="it-IT" w:eastAsia="it-IT"/>
    </w:rPr>
  </w:style>
  <w:style w:type="paragraph" w:customStyle="1" w:styleId="Default">
    <w:name w:val="Default"/>
    <w:rsid w:val="001B1DA2"/>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ETReference0">
    <w:name w:val="CET_Reference"/>
    <w:next w:val="CETReference-text"/>
    <w:rsid w:val="001B1DA2"/>
    <w:pPr>
      <w:spacing w:line="264" w:lineRule="auto"/>
    </w:pPr>
    <w:rPr>
      <w:rFonts w:ascii="Arial" w:eastAsia="Times New Roman" w:hAnsi="Arial" w:cs="Times New Roman"/>
      <w:b/>
      <w:sz w:val="18"/>
      <w:szCs w:val="20"/>
      <w:lang w:val="en-US"/>
    </w:rPr>
  </w:style>
  <w:style w:type="paragraph" w:customStyle="1" w:styleId="CETReference-text">
    <w:name w:val="CET Reference-text"/>
    <w:rsid w:val="001B1DA2"/>
    <w:pPr>
      <w:spacing w:after="0" w:line="264" w:lineRule="auto"/>
      <w:ind w:left="284" w:hanging="284"/>
      <w:jc w:val="both"/>
    </w:pPr>
    <w:rPr>
      <w:rFonts w:ascii="Arial" w:eastAsia="Times New Roman" w:hAnsi="Arial" w:cs="Times New Roman"/>
      <w:sz w:val="18"/>
      <w:szCs w:val="20"/>
      <w:lang w:val="en-GB"/>
    </w:rPr>
  </w:style>
  <w:style w:type="character" w:customStyle="1" w:styleId="st">
    <w:name w:val="st"/>
    <w:basedOn w:val="Carpredefinitoparagrafo"/>
    <w:rsid w:val="00C14457"/>
  </w:style>
  <w:style w:type="character" w:styleId="Menzionenonrisolta">
    <w:name w:val="Unresolved Mention"/>
    <w:basedOn w:val="Carpredefinitoparagrafo"/>
    <w:uiPriority w:val="99"/>
    <w:semiHidden/>
    <w:unhideWhenUsed/>
    <w:rsid w:val="00270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6882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2737">
      <w:bodyDiv w:val="1"/>
      <w:marLeft w:val="0"/>
      <w:marRight w:val="0"/>
      <w:marTop w:val="0"/>
      <w:marBottom w:val="0"/>
      <w:divBdr>
        <w:top w:val="none" w:sz="0" w:space="0" w:color="auto"/>
        <w:left w:val="none" w:sz="0" w:space="0" w:color="auto"/>
        <w:bottom w:val="none" w:sz="0" w:space="0" w:color="auto"/>
        <w:right w:val="none" w:sz="0" w:space="0" w:color="auto"/>
      </w:divBdr>
    </w:div>
    <w:div w:id="1340933358">
      <w:bodyDiv w:val="1"/>
      <w:marLeft w:val="0"/>
      <w:marRight w:val="0"/>
      <w:marTop w:val="0"/>
      <w:marBottom w:val="0"/>
      <w:divBdr>
        <w:top w:val="none" w:sz="0" w:space="0" w:color="auto"/>
        <w:left w:val="none" w:sz="0" w:space="0" w:color="auto"/>
        <w:bottom w:val="none" w:sz="0" w:space="0" w:color="auto"/>
        <w:right w:val="none" w:sz="0" w:space="0" w:color="auto"/>
      </w:divBdr>
    </w:div>
    <w:div w:id="15086666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525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malvano@unis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D7F7-2A9D-7A43-997B-027C1C82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2842</Words>
  <Characters>16206</Characters>
  <Application>Microsoft Office Word</Application>
  <DocSecurity>0</DocSecurity>
  <Lines>135</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 di Microsoft Office</cp:lastModifiedBy>
  <cp:revision>10</cp:revision>
  <cp:lastPrinted>2015-05-12T18:31:00Z</cp:lastPrinted>
  <dcterms:created xsi:type="dcterms:W3CDTF">2019-04-01T13:36:00Z</dcterms:created>
  <dcterms:modified xsi:type="dcterms:W3CDTF">2019-04-02T11:47:00Z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