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8B1CA1" w:rsidRPr="00F35F25" w14:paraId="4BC46069" w14:textId="77777777">
        <w:trPr>
          <w:trHeight w:val="852"/>
          <w:jc w:val="center"/>
        </w:trPr>
        <w:tc>
          <w:tcPr>
            <w:tcW w:w="6946" w:type="dxa"/>
            <w:vMerge w:val="restart"/>
            <w:tcBorders>
              <w:right w:val="single" w:sz="4" w:space="0" w:color="auto"/>
            </w:tcBorders>
          </w:tcPr>
          <w:p w14:paraId="63320078" w14:textId="1D44E9CB" w:rsidR="000A03B2" w:rsidRPr="00F35F25" w:rsidRDefault="000A03B2" w:rsidP="00DE264A">
            <w:pPr>
              <w:tabs>
                <w:tab w:val="left" w:pos="-108"/>
              </w:tabs>
              <w:ind w:left="-108"/>
              <w:jc w:val="left"/>
              <w:rPr>
                <w:rFonts w:cs="Arial"/>
                <w:b/>
                <w:bCs/>
                <w:i/>
                <w:iCs/>
                <w:sz w:val="12"/>
                <w:szCs w:val="12"/>
                <w:lang w:eastAsia="it-IT"/>
              </w:rPr>
            </w:pPr>
            <w:r w:rsidRPr="00F35F25">
              <w:rPr>
                <w:rFonts w:ascii="AdvP6960" w:hAnsi="AdvP6960" w:cs="AdvP6960"/>
                <w:noProof/>
                <w:szCs w:val="18"/>
                <w:lang w:val="it-IT" w:eastAsia="it-IT"/>
              </w:rPr>
              <w:drawing>
                <wp:inline distT="0" distB="0" distL="0" distR="0" wp14:anchorId="33DAE548" wp14:editId="6F9ACD4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35F25">
              <w:rPr>
                <w:rFonts w:ascii="AdvP6960" w:hAnsi="AdvP6960" w:cs="AdvP6960"/>
                <w:szCs w:val="18"/>
                <w:lang w:eastAsia="it-IT"/>
              </w:rPr>
              <w:t xml:space="preserve"> </w:t>
            </w:r>
            <w:r w:rsidRPr="00F35F25">
              <w:rPr>
                <w:rFonts w:cs="Arial"/>
                <w:b/>
                <w:bCs/>
                <w:i/>
                <w:iCs/>
                <w:sz w:val="24"/>
                <w:szCs w:val="24"/>
                <w:lang w:eastAsia="it-IT"/>
              </w:rPr>
              <w:t xml:space="preserve">CHEMICAL ENGINEERING </w:t>
            </w:r>
            <w:r w:rsidR="000C16DC" w:rsidRPr="00F35F25">
              <w:rPr>
                <w:rFonts w:cs="Arial"/>
                <w:b/>
                <w:bCs/>
                <w:i/>
                <w:iCs/>
                <w:sz w:val="24"/>
                <w:szCs w:val="24"/>
                <w:lang w:eastAsia="it-IT"/>
              </w:rPr>
              <w:t>TRANSACTIONS</w:t>
            </w:r>
            <w:r w:rsidRPr="00F35F25">
              <w:rPr>
                <w:sz w:val="24"/>
                <w:szCs w:val="24"/>
                <w:lang w:eastAsia="it-IT"/>
              </w:rPr>
              <w:t xml:space="preserve"> </w:t>
            </w:r>
            <w:r w:rsidRPr="00F35F25">
              <w:rPr>
                <w:rFonts w:cs="Arial"/>
                <w:b/>
                <w:bCs/>
                <w:i/>
                <w:iCs/>
                <w:sz w:val="27"/>
                <w:szCs w:val="27"/>
                <w:lang w:eastAsia="it-IT"/>
              </w:rPr>
              <w:br/>
            </w:r>
          </w:p>
          <w:p w14:paraId="1048DBF4" w14:textId="77777777" w:rsidR="000A03B2" w:rsidRPr="00F35F25" w:rsidRDefault="00A76EFC" w:rsidP="009635B9">
            <w:pPr>
              <w:tabs>
                <w:tab w:val="left" w:pos="-108"/>
              </w:tabs>
              <w:ind w:left="-108"/>
              <w:rPr>
                <w:rFonts w:cs="Arial"/>
                <w:b/>
                <w:bCs/>
                <w:i/>
                <w:iCs/>
                <w:sz w:val="22"/>
                <w:szCs w:val="22"/>
                <w:lang w:eastAsia="it-IT"/>
              </w:rPr>
            </w:pPr>
            <w:r w:rsidRPr="00F35F25">
              <w:rPr>
                <w:rFonts w:cs="Arial"/>
                <w:b/>
                <w:bCs/>
                <w:i/>
                <w:iCs/>
                <w:sz w:val="22"/>
                <w:szCs w:val="22"/>
                <w:lang w:eastAsia="it-IT"/>
              </w:rPr>
              <w:t xml:space="preserve">VOL. </w:t>
            </w:r>
            <w:r w:rsidR="007931FA" w:rsidRPr="00F35F25">
              <w:rPr>
                <w:rFonts w:cs="Arial"/>
                <w:b/>
                <w:bCs/>
                <w:i/>
                <w:iCs/>
                <w:sz w:val="22"/>
                <w:szCs w:val="22"/>
                <w:lang w:eastAsia="it-IT"/>
              </w:rPr>
              <w:t>7</w:t>
            </w:r>
            <w:r w:rsidR="009635B9" w:rsidRPr="00F35F25">
              <w:rPr>
                <w:rFonts w:cs="Arial"/>
                <w:b/>
                <w:bCs/>
                <w:i/>
                <w:iCs/>
                <w:sz w:val="22"/>
                <w:szCs w:val="22"/>
                <w:lang w:eastAsia="it-IT"/>
              </w:rPr>
              <w:t>6</w:t>
            </w:r>
            <w:r w:rsidR="00FA5F5F" w:rsidRPr="00F35F25">
              <w:rPr>
                <w:rFonts w:cs="Arial"/>
                <w:b/>
                <w:bCs/>
                <w:i/>
                <w:iCs/>
                <w:sz w:val="22"/>
                <w:szCs w:val="22"/>
                <w:lang w:eastAsia="it-IT"/>
              </w:rPr>
              <w:t>, 201</w:t>
            </w:r>
            <w:r w:rsidR="007931FA" w:rsidRPr="00F35F25">
              <w:rPr>
                <w:rFonts w:cs="Arial"/>
                <w:b/>
                <w:bCs/>
                <w:i/>
                <w:iCs/>
                <w:sz w:val="22"/>
                <w:szCs w:val="22"/>
                <w:lang w:eastAsia="it-IT"/>
              </w:rPr>
              <w:t>9</w:t>
            </w:r>
          </w:p>
        </w:tc>
        <w:tc>
          <w:tcPr>
            <w:tcW w:w="1843" w:type="dxa"/>
            <w:tcBorders>
              <w:left w:val="single" w:sz="4" w:space="0" w:color="auto"/>
              <w:bottom w:val="nil"/>
              <w:right w:val="single" w:sz="4" w:space="0" w:color="auto"/>
            </w:tcBorders>
          </w:tcPr>
          <w:p w14:paraId="562AE9BE" w14:textId="77777777" w:rsidR="000A03B2" w:rsidRPr="00F35F25" w:rsidRDefault="000A03B2" w:rsidP="00CD5FE2">
            <w:pPr>
              <w:spacing w:line="140" w:lineRule="atLeast"/>
              <w:jc w:val="right"/>
              <w:rPr>
                <w:rFonts w:cs="Arial"/>
                <w:sz w:val="14"/>
                <w:szCs w:val="14"/>
              </w:rPr>
            </w:pPr>
            <w:r w:rsidRPr="00F35F25">
              <w:rPr>
                <w:rFonts w:cs="Arial"/>
                <w:sz w:val="14"/>
                <w:szCs w:val="14"/>
              </w:rPr>
              <w:t>A publication of</w:t>
            </w:r>
          </w:p>
          <w:p w14:paraId="47561084" w14:textId="77777777" w:rsidR="000A03B2" w:rsidRPr="00F35F25" w:rsidRDefault="000A03B2" w:rsidP="00CD5FE2">
            <w:pPr>
              <w:jc w:val="right"/>
            </w:pPr>
            <w:r w:rsidRPr="00F35F25">
              <w:rPr>
                <w:noProof/>
                <w:lang w:val="it-IT" w:eastAsia="it-IT"/>
              </w:rPr>
              <w:drawing>
                <wp:inline distT="0" distB="0" distL="0" distR="0" wp14:anchorId="20C1F9A2" wp14:editId="4C92716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8B1CA1" w:rsidRPr="00F35F25" w14:paraId="0C17BFA6" w14:textId="77777777">
        <w:trPr>
          <w:trHeight w:val="567"/>
          <w:jc w:val="center"/>
        </w:trPr>
        <w:tc>
          <w:tcPr>
            <w:tcW w:w="6946" w:type="dxa"/>
            <w:vMerge/>
            <w:tcBorders>
              <w:right w:val="single" w:sz="4" w:space="0" w:color="auto"/>
            </w:tcBorders>
          </w:tcPr>
          <w:p w14:paraId="47B3686C" w14:textId="77777777" w:rsidR="000A03B2" w:rsidRPr="00F35F25" w:rsidRDefault="000A03B2" w:rsidP="00CD5FE2">
            <w:pPr>
              <w:tabs>
                <w:tab w:val="left" w:pos="-108"/>
              </w:tabs>
            </w:pPr>
          </w:p>
        </w:tc>
        <w:tc>
          <w:tcPr>
            <w:tcW w:w="1843" w:type="dxa"/>
            <w:tcBorders>
              <w:left w:val="single" w:sz="4" w:space="0" w:color="auto"/>
              <w:bottom w:val="nil"/>
              <w:right w:val="single" w:sz="4" w:space="0" w:color="auto"/>
            </w:tcBorders>
          </w:tcPr>
          <w:p w14:paraId="48B9CDA0" w14:textId="77777777" w:rsidR="000A03B2" w:rsidRPr="00F35F25" w:rsidRDefault="000A03B2" w:rsidP="00CD5FE2">
            <w:pPr>
              <w:spacing w:line="140" w:lineRule="atLeast"/>
              <w:jc w:val="right"/>
              <w:rPr>
                <w:rFonts w:cs="Arial"/>
                <w:sz w:val="14"/>
                <w:szCs w:val="14"/>
              </w:rPr>
            </w:pPr>
            <w:r w:rsidRPr="00F35F25">
              <w:rPr>
                <w:rFonts w:cs="Arial"/>
                <w:sz w:val="14"/>
                <w:szCs w:val="14"/>
              </w:rPr>
              <w:t>The Italian Association</w:t>
            </w:r>
          </w:p>
          <w:p w14:paraId="1B125D87" w14:textId="77777777" w:rsidR="000A03B2" w:rsidRPr="00F35F25" w:rsidRDefault="000A03B2" w:rsidP="00CD5FE2">
            <w:pPr>
              <w:spacing w:line="140" w:lineRule="atLeast"/>
              <w:jc w:val="right"/>
              <w:rPr>
                <w:rFonts w:cs="Arial"/>
                <w:sz w:val="14"/>
                <w:szCs w:val="14"/>
              </w:rPr>
            </w:pPr>
            <w:r w:rsidRPr="00F35F25">
              <w:rPr>
                <w:rFonts w:cs="Arial"/>
                <w:sz w:val="14"/>
                <w:szCs w:val="14"/>
              </w:rPr>
              <w:t>of Chemical Engineering</w:t>
            </w:r>
          </w:p>
          <w:p w14:paraId="2A9AB4D3" w14:textId="77777777" w:rsidR="000A03B2" w:rsidRPr="00F35F25" w:rsidRDefault="000A03B2" w:rsidP="00CD5FE2">
            <w:pPr>
              <w:spacing w:line="140" w:lineRule="atLeast"/>
              <w:jc w:val="right"/>
              <w:rPr>
                <w:rFonts w:cs="Arial"/>
                <w:sz w:val="14"/>
                <w:szCs w:val="14"/>
              </w:rPr>
            </w:pPr>
            <w:r w:rsidRPr="00F35F25">
              <w:rPr>
                <w:rFonts w:cs="Arial"/>
                <w:sz w:val="14"/>
                <w:szCs w:val="14"/>
              </w:rPr>
              <w:t xml:space="preserve">Online at </w:t>
            </w:r>
            <w:r w:rsidR="00892AD5" w:rsidRPr="00F35F25">
              <w:rPr>
                <w:rFonts w:cs="Arial"/>
                <w:sz w:val="14"/>
                <w:szCs w:val="14"/>
              </w:rPr>
              <w:t>www.aidic.it/cet</w:t>
            </w:r>
          </w:p>
        </w:tc>
      </w:tr>
      <w:tr w:rsidR="008B1CA1" w:rsidRPr="00F35F25" w14:paraId="64FC5BFE" w14:textId="77777777">
        <w:trPr>
          <w:trHeight w:val="68"/>
          <w:jc w:val="center"/>
        </w:trPr>
        <w:tc>
          <w:tcPr>
            <w:tcW w:w="8789" w:type="dxa"/>
            <w:gridSpan w:val="2"/>
          </w:tcPr>
          <w:p w14:paraId="061FF13D" w14:textId="77777777" w:rsidR="00300E56" w:rsidRPr="00F35F25" w:rsidRDefault="00300E56" w:rsidP="003365E3">
            <w:pPr>
              <w:ind w:left="-107"/>
              <w:rPr>
                <w:lang w:val="it-IT"/>
              </w:rPr>
            </w:pPr>
            <w:r w:rsidRPr="00F35F25">
              <w:rPr>
                <w:rFonts w:ascii="Tahoma" w:hAnsi="Tahoma" w:cs="Tahoma"/>
                <w:iCs/>
                <w:sz w:val="14"/>
                <w:szCs w:val="14"/>
                <w:lang w:val="it-IT" w:eastAsia="it-IT"/>
              </w:rPr>
              <w:t xml:space="preserve">Guest </w:t>
            </w:r>
            <w:proofErr w:type="spellStart"/>
            <w:r w:rsidRPr="00F35F25">
              <w:rPr>
                <w:rFonts w:ascii="Tahoma" w:hAnsi="Tahoma" w:cs="Tahoma"/>
                <w:iCs/>
                <w:sz w:val="14"/>
                <w:szCs w:val="14"/>
                <w:lang w:val="it-IT" w:eastAsia="it-IT"/>
              </w:rPr>
              <w:t>Editors</w:t>
            </w:r>
            <w:proofErr w:type="spellEnd"/>
            <w:r w:rsidRPr="00F35F25">
              <w:rPr>
                <w:rFonts w:ascii="Tahoma" w:hAnsi="Tahoma" w:cs="Tahoma"/>
                <w:iCs/>
                <w:sz w:val="14"/>
                <w:szCs w:val="14"/>
                <w:lang w:val="it-IT" w:eastAsia="it-IT"/>
              </w:rPr>
              <w:t>:</w:t>
            </w:r>
            <w:r w:rsidR="00904C62" w:rsidRPr="00F35F25">
              <w:rPr>
                <w:rFonts w:ascii="Tahoma" w:hAnsi="Tahoma" w:cs="Tahoma"/>
                <w:iCs/>
                <w:sz w:val="14"/>
                <w:szCs w:val="14"/>
                <w:lang w:val="it-IT" w:eastAsia="it-IT"/>
              </w:rPr>
              <w:t xml:space="preserve"> </w:t>
            </w:r>
            <w:r w:rsidR="009635B9" w:rsidRPr="00F35F25">
              <w:rPr>
                <w:rFonts w:ascii="Tahoma" w:hAnsi="Tahoma" w:cs="Tahoma"/>
                <w:sz w:val="14"/>
                <w:szCs w:val="14"/>
                <w:lang w:val="it-IT"/>
              </w:rPr>
              <w:t>Sauro Pierucci,</w:t>
            </w:r>
            <w:r w:rsidR="003B60F3" w:rsidRPr="00F35F25">
              <w:rPr>
                <w:rFonts w:ascii="Tahoma" w:hAnsi="Tahoma" w:cs="Tahoma"/>
                <w:sz w:val="14"/>
                <w:szCs w:val="14"/>
                <w:lang w:val="it-IT"/>
              </w:rPr>
              <w:t xml:space="preserve"> </w:t>
            </w:r>
            <w:proofErr w:type="spellStart"/>
            <w:r w:rsidR="00047D7F" w:rsidRPr="00F35F25">
              <w:rPr>
                <w:rFonts w:ascii="Tahoma" w:hAnsi="Tahoma" w:cs="Tahoma"/>
                <w:sz w:val="14"/>
                <w:szCs w:val="14"/>
                <w:shd w:val="clear" w:color="auto" w:fill="FFFFFF"/>
                <w:lang w:val="it-IT"/>
              </w:rPr>
              <w:t>Jiří</w:t>
            </w:r>
            <w:proofErr w:type="spellEnd"/>
            <w:r w:rsidR="00047D7F" w:rsidRPr="00F35F25">
              <w:rPr>
                <w:rFonts w:ascii="Tahoma" w:hAnsi="Tahoma" w:cs="Tahoma"/>
                <w:sz w:val="14"/>
                <w:szCs w:val="14"/>
                <w:shd w:val="clear" w:color="auto" w:fill="FFFFFF"/>
                <w:lang w:val="it-IT"/>
              </w:rPr>
              <w:t xml:space="preserve"> </w:t>
            </w:r>
            <w:proofErr w:type="spellStart"/>
            <w:r w:rsidR="00047D7F" w:rsidRPr="00F35F25">
              <w:rPr>
                <w:rFonts w:ascii="Tahoma" w:hAnsi="Tahoma" w:cs="Tahoma"/>
                <w:sz w:val="14"/>
                <w:szCs w:val="14"/>
                <w:shd w:val="clear" w:color="auto" w:fill="FFFFFF"/>
                <w:lang w:val="it-IT"/>
              </w:rPr>
              <w:t>Jaromír</w:t>
            </w:r>
            <w:proofErr w:type="spellEnd"/>
            <w:r w:rsidR="00047D7F" w:rsidRPr="00F35F25">
              <w:rPr>
                <w:rFonts w:ascii="Tahoma" w:hAnsi="Tahoma" w:cs="Tahoma"/>
                <w:sz w:val="14"/>
                <w:szCs w:val="14"/>
                <w:shd w:val="clear" w:color="auto" w:fill="FFFFFF"/>
                <w:lang w:val="it-IT"/>
              </w:rPr>
              <w:t xml:space="preserve"> </w:t>
            </w:r>
            <w:proofErr w:type="spellStart"/>
            <w:r w:rsidR="00047D7F" w:rsidRPr="00F35F25">
              <w:rPr>
                <w:rFonts w:ascii="Tahoma" w:hAnsi="Tahoma" w:cs="Tahoma"/>
                <w:sz w:val="14"/>
                <w:szCs w:val="14"/>
                <w:shd w:val="clear" w:color="auto" w:fill="FFFFFF"/>
                <w:lang w:val="it-IT"/>
              </w:rPr>
              <w:t>Klemeš</w:t>
            </w:r>
            <w:proofErr w:type="spellEnd"/>
            <w:r w:rsidR="00252C1A" w:rsidRPr="00F35F25">
              <w:rPr>
                <w:rFonts w:ascii="Tahoma" w:hAnsi="Tahoma" w:cs="Tahoma"/>
                <w:sz w:val="14"/>
                <w:szCs w:val="14"/>
                <w:shd w:val="clear" w:color="auto" w:fill="FFFFFF"/>
                <w:lang w:val="it-IT"/>
              </w:rPr>
              <w:t>, Laura Piazza</w:t>
            </w:r>
          </w:p>
          <w:p w14:paraId="127671E7" w14:textId="77777777" w:rsidR="000A03B2" w:rsidRPr="00F35F25" w:rsidRDefault="00FA5F5F" w:rsidP="00131FAB">
            <w:pPr>
              <w:tabs>
                <w:tab w:val="left" w:pos="-108"/>
              </w:tabs>
              <w:spacing w:line="140" w:lineRule="atLeast"/>
              <w:ind w:left="-107"/>
              <w:jc w:val="left"/>
            </w:pPr>
            <w:r w:rsidRPr="00F35F25">
              <w:rPr>
                <w:rFonts w:ascii="Tahoma" w:hAnsi="Tahoma" w:cs="Tahoma"/>
                <w:iCs/>
                <w:sz w:val="14"/>
                <w:szCs w:val="14"/>
                <w:lang w:eastAsia="it-IT"/>
              </w:rPr>
              <w:t>Copyright © 201</w:t>
            </w:r>
            <w:r w:rsidR="007931FA" w:rsidRPr="00F35F25">
              <w:rPr>
                <w:rFonts w:ascii="Tahoma" w:hAnsi="Tahoma" w:cs="Tahoma"/>
                <w:iCs/>
                <w:sz w:val="14"/>
                <w:szCs w:val="14"/>
                <w:lang w:eastAsia="it-IT"/>
              </w:rPr>
              <w:t>9</w:t>
            </w:r>
            <w:r w:rsidR="00904C62" w:rsidRPr="00F35F25">
              <w:rPr>
                <w:rFonts w:ascii="Tahoma" w:hAnsi="Tahoma" w:cs="Tahoma"/>
                <w:iCs/>
                <w:sz w:val="14"/>
                <w:szCs w:val="14"/>
                <w:lang w:eastAsia="it-IT"/>
              </w:rPr>
              <w:t xml:space="preserve">, AIDIC </w:t>
            </w:r>
            <w:proofErr w:type="spellStart"/>
            <w:r w:rsidR="00904C62" w:rsidRPr="00F35F25">
              <w:rPr>
                <w:rFonts w:ascii="Tahoma" w:hAnsi="Tahoma" w:cs="Tahoma"/>
                <w:iCs/>
                <w:sz w:val="14"/>
                <w:szCs w:val="14"/>
                <w:lang w:eastAsia="it-IT"/>
              </w:rPr>
              <w:t>Servizi</w:t>
            </w:r>
            <w:proofErr w:type="spellEnd"/>
            <w:r w:rsidR="00904C62" w:rsidRPr="00F35F25">
              <w:rPr>
                <w:rFonts w:ascii="Tahoma" w:hAnsi="Tahoma" w:cs="Tahoma"/>
                <w:iCs/>
                <w:sz w:val="14"/>
                <w:szCs w:val="14"/>
                <w:lang w:eastAsia="it-IT"/>
              </w:rPr>
              <w:t xml:space="preserve"> </w:t>
            </w:r>
            <w:proofErr w:type="spellStart"/>
            <w:r w:rsidR="00904C62" w:rsidRPr="00F35F25">
              <w:rPr>
                <w:rFonts w:ascii="Tahoma" w:hAnsi="Tahoma" w:cs="Tahoma"/>
                <w:iCs/>
                <w:sz w:val="14"/>
                <w:szCs w:val="14"/>
                <w:lang w:eastAsia="it-IT"/>
              </w:rPr>
              <w:t>S.r.l</w:t>
            </w:r>
            <w:proofErr w:type="spellEnd"/>
            <w:r w:rsidR="00904C62" w:rsidRPr="00F35F25">
              <w:rPr>
                <w:rFonts w:ascii="Tahoma" w:hAnsi="Tahoma" w:cs="Tahoma"/>
                <w:iCs/>
                <w:sz w:val="14"/>
                <w:szCs w:val="14"/>
                <w:lang w:eastAsia="it-IT"/>
              </w:rPr>
              <w:t>.</w:t>
            </w:r>
            <w:r w:rsidR="00300E56" w:rsidRPr="00F35F25">
              <w:rPr>
                <w:rFonts w:ascii="Tahoma" w:hAnsi="Tahoma" w:cs="Tahoma"/>
                <w:iCs/>
                <w:sz w:val="14"/>
                <w:szCs w:val="14"/>
                <w:lang w:eastAsia="it-IT"/>
              </w:rPr>
              <w:br/>
            </w:r>
            <w:r w:rsidR="00300E56" w:rsidRPr="00F35F25">
              <w:rPr>
                <w:rFonts w:ascii="Tahoma" w:hAnsi="Tahoma" w:cs="Tahoma"/>
                <w:b/>
                <w:iCs/>
                <w:sz w:val="14"/>
                <w:szCs w:val="14"/>
                <w:lang w:eastAsia="it-IT"/>
              </w:rPr>
              <w:t>ISBN</w:t>
            </w:r>
            <w:r w:rsidR="00300E56" w:rsidRPr="00F35F25">
              <w:rPr>
                <w:rFonts w:ascii="Tahoma" w:hAnsi="Tahoma" w:cs="Tahoma"/>
                <w:iCs/>
                <w:sz w:val="14"/>
                <w:szCs w:val="14"/>
                <w:lang w:eastAsia="it-IT"/>
              </w:rPr>
              <w:t xml:space="preserve"> </w:t>
            </w:r>
            <w:r w:rsidR="008D32B9" w:rsidRPr="00F35F25">
              <w:rPr>
                <w:rFonts w:ascii="Tahoma" w:hAnsi="Tahoma" w:cs="Tahoma"/>
                <w:sz w:val="14"/>
                <w:szCs w:val="14"/>
              </w:rPr>
              <w:t>978-88-95608-</w:t>
            </w:r>
            <w:r w:rsidR="009635B9" w:rsidRPr="00F35F25">
              <w:rPr>
                <w:rFonts w:ascii="Tahoma" w:hAnsi="Tahoma" w:cs="Tahoma"/>
                <w:sz w:val="14"/>
                <w:szCs w:val="14"/>
              </w:rPr>
              <w:t>73</w:t>
            </w:r>
            <w:r w:rsidR="008D32B9" w:rsidRPr="00F35F25">
              <w:rPr>
                <w:rFonts w:ascii="Tahoma" w:hAnsi="Tahoma" w:cs="Tahoma"/>
                <w:sz w:val="14"/>
                <w:szCs w:val="14"/>
              </w:rPr>
              <w:t>-</w:t>
            </w:r>
            <w:r w:rsidR="009635B9" w:rsidRPr="00F35F25">
              <w:rPr>
                <w:rFonts w:ascii="Tahoma" w:hAnsi="Tahoma" w:cs="Tahoma"/>
                <w:sz w:val="14"/>
                <w:szCs w:val="14"/>
              </w:rPr>
              <w:t>0</w:t>
            </w:r>
            <w:r w:rsidR="00300E56" w:rsidRPr="00F35F25">
              <w:rPr>
                <w:rFonts w:ascii="Tahoma" w:hAnsi="Tahoma" w:cs="Tahoma"/>
                <w:iCs/>
                <w:sz w:val="14"/>
                <w:szCs w:val="14"/>
                <w:lang w:eastAsia="it-IT"/>
              </w:rPr>
              <w:t xml:space="preserve">; </w:t>
            </w:r>
            <w:r w:rsidR="00300E56" w:rsidRPr="00F35F25">
              <w:rPr>
                <w:rFonts w:ascii="Tahoma" w:hAnsi="Tahoma" w:cs="Tahoma"/>
                <w:b/>
                <w:iCs/>
                <w:sz w:val="14"/>
                <w:szCs w:val="14"/>
                <w:lang w:eastAsia="it-IT"/>
              </w:rPr>
              <w:t>ISSN</w:t>
            </w:r>
            <w:r w:rsidR="00300E56" w:rsidRPr="00F35F25">
              <w:rPr>
                <w:rFonts w:ascii="Tahoma" w:hAnsi="Tahoma" w:cs="Tahoma"/>
                <w:iCs/>
                <w:sz w:val="14"/>
                <w:szCs w:val="14"/>
                <w:lang w:eastAsia="it-IT"/>
              </w:rPr>
              <w:t xml:space="preserve"> 2283-9216</w:t>
            </w:r>
          </w:p>
        </w:tc>
      </w:tr>
    </w:tbl>
    <w:p w14:paraId="40621E81" w14:textId="77777777" w:rsidR="000A03B2" w:rsidRPr="00F35F25" w:rsidRDefault="000A03B2" w:rsidP="000A03B2">
      <w:pPr>
        <w:pStyle w:val="CETAuthors"/>
        <w:sectPr w:rsidR="000A03B2" w:rsidRPr="00F35F25">
          <w:type w:val="continuous"/>
          <w:pgSz w:w="11906" w:h="16838" w:code="9"/>
          <w:pgMar w:top="1701" w:right="1418" w:bottom="1701" w:left="1701" w:header="1701" w:footer="0" w:gutter="0"/>
          <w:cols w:space="708"/>
          <w:titlePg/>
          <w:docGrid w:linePitch="360"/>
        </w:sectPr>
      </w:pPr>
    </w:p>
    <w:p w14:paraId="0F38FEAD" w14:textId="77777777" w:rsidR="002F3EA2" w:rsidRPr="00F35F25" w:rsidRDefault="002F3EA2" w:rsidP="002F3EA2">
      <w:pPr>
        <w:pStyle w:val="CETTitle"/>
      </w:pPr>
      <w:r w:rsidRPr="00F35F25">
        <w:lastRenderedPageBreak/>
        <w:t>Combined membrane process for dealcoholization of wines: osmotic distillation and reverse osmosis</w:t>
      </w:r>
    </w:p>
    <w:p w14:paraId="188EF516" w14:textId="13754D38" w:rsidR="00D43BFB" w:rsidRPr="00F35F25" w:rsidRDefault="00D87C2C" w:rsidP="00824949">
      <w:pPr>
        <w:pStyle w:val="CETAuthors"/>
        <w:rPr>
          <w:vertAlign w:val="superscript"/>
          <w:lang w:val="it-IT"/>
        </w:rPr>
      </w:pPr>
      <w:r w:rsidRPr="00F35F25">
        <w:rPr>
          <w:lang w:val="it-IT"/>
        </w:rPr>
        <w:t>Paola Russo</w:t>
      </w:r>
      <w:r w:rsidRPr="00F35F25">
        <w:rPr>
          <w:vertAlign w:val="superscript"/>
          <w:lang w:val="it-IT"/>
        </w:rPr>
        <w:t>1</w:t>
      </w:r>
      <w:r w:rsidRPr="00F35F25">
        <w:rPr>
          <w:lang w:val="it-IT"/>
        </w:rPr>
        <w:t>, Loredana Liguori</w:t>
      </w:r>
      <w:r w:rsidRPr="00F35F25">
        <w:rPr>
          <w:vertAlign w:val="superscript"/>
          <w:lang w:val="it-IT"/>
        </w:rPr>
        <w:t>2</w:t>
      </w:r>
      <w:r w:rsidRPr="00F35F25">
        <w:rPr>
          <w:lang w:val="it-IT"/>
        </w:rPr>
        <w:t>*,Onofrio Corona</w:t>
      </w:r>
      <w:r w:rsidRPr="00F35F25">
        <w:rPr>
          <w:vertAlign w:val="superscript"/>
          <w:lang w:val="it-IT"/>
        </w:rPr>
        <w:t>3</w:t>
      </w:r>
      <w:r w:rsidRPr="00F35F25">
        <w:rPr>
          <w:lang w:val="it-IT"/>
        </w:rPr>
        <w:t xml:space="preserve">, </w:t>
      </w:r>
      <w:r w:rsidR="0027551A" w:rsidRPr="00F35F25">
        <w:rPr>
          <w:lang w:val="it-IT"/>
        </w:rPr>
        <w:t>Donatella Albanese</w:t>
      </w:r>
      <w:r w:rsidR="0027551A" w:rsidRPr="00F35F25">
        <w:rPr>
          <w:vertAlign w:val="superscript"/>
          <w:lang w:val="it-IT"/>
        </w:rPr>
        <w:t>2</w:t>
      </w:r>
      <w:r w:rsidR="0027551A" w:rsidRPr="00F35F25">
        <w:rPr>
          <w:lang w:val="it-IT"/>
        </w:rPr>
        <w:t xml:space="preserve">, </w:t>
      </w:r>
      <w:r w:rsidRPr="00F35F25">
        <w:rPr>
          <w:lang w:val="it-IT"/>
        </w:rPr>
        <w:t>Marisa Di Matteo</w:t>
      </w:r>
      <w:r w:rsidRPr="00F35F25">
        <w:rPr>
          <w:vertAlign w:val="superscript"/>
          <w:lang w:val="it-IT"/>
        </w:rPr>
        <w:t>2</w:t>
      </w:r>
      <w:r w:rsidRPr="00F35F25">
        <w:rPr>
          <w:lang w:val="it-IT"/>
        </w:rPr>
        <w:t>, Luciano Cinquanta</w:t>
      </w:r>
      <w:r w:rsidRPr="00F35F25">
        <w:rPr>
          <w:vertAlign w:val="superscript"/>
          <w:lang w:val="it-IT"/>
        </w:rPr>
        <w:t>3</w:t>
      </w:r>
    </w:p>
    <w:p w14:paraId="390B4B2B" w14:textId="381C897D" w:rsidR="003444AE" w:rsidRPr="00F35F25" w:rsidRDefault="003444AE">
      <w:pPr>
        <w:pStyle w:val="CETAddress"/>
      </w:pPr>
      <w:r w:rsidRPr="00F35F25">
        <w:t xml:space="preserve">Department </w:t>
      </w:r>
      <w:r w:rsidR="00D87C2C" w:rsidRPr="00F35F25">
        <w:t xml:space="preserve">of </w:t>
      </w:r>
      <w:r w:rsidRPr="00F35F25">
        <w:t xml:space="preserve">Chemical Engineering Materials Environment, Sapienza University of </w:t>
      </w:r>
      <w:r w:rsidR="00D87C2C" w:rsidRPr="00F35F25">
        <w:t>Rome</w:t>
      </w:r>
      <w:r w:rsidRPr="00F35F25">
        <w:t xml:space="preserve">, Via Eudossiana 18, 00184 </w:t>
      </w:r>
      <w:r w:rsidR="00D87C2C" w:rsidRPr="00F35F25">
        <w:t>Rome</w:t>
      </w:r>
      <w:r w:rsidRPr="00F35F25">
        <w:t>, Italy</w:t>
      </w:r>
    </w:p>
    <w:p w14:paraId="6B85C557" w14:textId="77777777" w:rsidR="00D87C2C" w:rsidRPr="00F35F25" w:rsidRDefault="00D87C2C">
      <w:pPr>
        <w:pStyle w:val="CETAddress"/>
      </w:pPr>
      <w:bookmarkStart w:id="0" w:name="_Hlk495475023"/>
      <w:r w:rsidRPr="00F35F25">
        <w:t>Department of Agricultural, Food and Forest Sciences, University of Palermo, Viale delle Scienze 4, 90128 Palermo, Italy</w:t>
      </w:r>
    </w:p>
    <w:p w14:paraId="05F09139" w14:textId="77777777" w:rsidR="00D87C2C" w:rsidRPr="00F35F25" w:rsidRDefault="00D87C2C">
      <w:pPr>
        <w:pStyle w:val="CETAddress"/>
        <w:rPr>
          <w:lang w:val="en-US"/>
        </w:rPr>
      </w:pPr>
      <w:r w:rsidRPr="00F35F25">
        <w:rPr>
          <w:lang w:val="en-US"/>
        </w:rPr>
        <w:t>Department of Industrial Engineering, University of Salerno, Via Giovanni Paolo II 132, 84084 Fisciano, Salerno, Italy</w:t>
      </w:r>
    </w:p>
    <w:p w14:paraId="014F793B" w14:textId="51254177" w:rsidR="008C7DD1" w:rsidRPr="00F35F25" w:rsidRDefault="00D87C2C" w:rsidP="00824949">
      <w:pPr>
        <w:pStyle w:val="CETAddress"/>
      </w:pPr>
      <w:r w:rsidRPr="00F35F25">
        <w:t>*</w:t>
      </w:r>
      <w:r w:rsidRPr="00F35F25">
        <w:rPr>
          <w:lang w:val="en-US"/>
        </w:rPr>
        <w:t>lliguori@unisa.it</w:t>
      </w:r>
    </w:p>
    <w:p w14:paraId="7A3287C6" w14:textId="77777777" w:rsidR="00D87C2C" w:rsidRPr="00F35F25" w:rsidRDefault="00D87C2C" w:rsidP="00802DDD">
      <w:pPr>
        <w:pStyle w:val="CETnumberingbullets"/>
        <w:numPr>
          <w:ilvl w:val="0"/>
          <w:numId w:val="0"/>
        </w:numPr>
        <w:jc w:val="both"/>
      </w:pPr>
    </w:p>
    <w:p w14:paraId="6C16F909" w14:textId="2E678D0A" w:rsidR="002F3EA2" w:rsidRPr="00F35F25" w:rsidRDefault="00802DDD" w:rsidP="00802DDD">
      <w:pPr>
        <w:pStyle w:val="CETnumberingbullets"/>
        <w:numPr>
          <w:ilvl w:val="0"/>
          <w:numId w:val="0"/>
        </w:numPr>
        <w:jc w:val="both"/>
      </w:pPr>
      <w:r w:rsidRPr="00F35F25">
        <w:t xml:space="preserve">The demand of beverages with low or zero alcohol content is fast growing over the last years for health benefits of drinkers and more restrictive policies </w:t>
      </w:r>
      <w:r w:rsidR="009F7F4E" w:rsidRPr="00F35F25">
        <w:t xml:space="preserve">in </w:t>
      </w:r>
      <w:r w:rsidRPr="00F35F25">
        <w:t xml:space="preserve">alcohol consumption. </w:t>
      </w:r>
      <w:r w:rsidR="00964496" w:rsidRPr="00F35F25">
        <w:t>M</w:t>
      </w:r>
      <w:r w:rsidRPr="00F35F25">
        <w:t>embrane</w:t>
      </w:r>
      <w:r w:rsidR="00183C65" w:rsidRPr="00F35F25">
        <w:t xml:space="preserve"> processes</w:t>
      </w:r>
      <w:r w:rsidRPr="00F35F25">
        <w:t xml:space="preserve"> are </w:t>
      </w:r>
      <w:r w:rsidR="00A23F79" w:rsidRPr="00F35F25">
        <w:t xml:space="preserve">nowadays </w:t>
      </w:r>
      <w:r w:rsidRPr="00F35F25">
        <w:t xml:space="preserve">the most commonly used. </w:t>
      </w:r>
      <w:r w:rsidR="00964496" w:rsidRPr="00F35F25">
        <w:t>They</w:t>
      </w:r>
      <w:r w:rsidRPr="00F35F25">
        <w:t xml:space="preserve"> have undoubtedly led to improvements in quality, particularly for </w:t>
      </w:r>
      <w:r w:rsidR="00964496" w:rsidRPr="00F35F25">
        <w:t xml:space="preserve">the </w:t>
      </w:r>
      <w:r w:rsidRPr="00F35F25">
        <w:t xml:space="preserve">low processing temperatures, </w:t>
      </w:r>
      <w:r w:rsidR="00964496" w:rsidRPr="00F35F25">
        <w:t>but determined</w:t>
      </w:r>
      <w:r w:rsidR="00183C65" w:rsidRPr="00F35F25">
        <w:t xml:space="preserve"> </w:t>
      </w:r>
      <w:r w:rsidR="00964496" w:rsidRPr="00F35F25">
        <w:t xml:space="preserve">volatile compounds loss which </w:t>
      </w:r>
      <w:r w:rsidRPr="00F35F25">
        <w:t xml:space="preserve">in many instances </w:t>
      </w:r>
      <w:r w:rsidR="00964496" w:rsidRPr="00F35F25">
        <w:t>result</w:t>
      </w:r>
      <w:r w:rsidR="00452AAD" w:rsidRPr="00F35F25">
        <w:t>ed</w:t>
      </w:r>
      <w:r w:rsidR="00964496" w:rsidRPr="00F35F25">
        <w:t xml:space="preserve"> </w:t>
      </w:r>
      <w:r w:rsidR="00452AAD" w:rsidRPr="00F35F25">
        <w:t xml:space="preserve">in </w:t>
      </w:r>
      <w:r w:rsidRPr="00F35F25">
        <w:t xml:space="preserve">unsatisfactory </w:t>
      </w:r>
      <w:r w:rsidR="00964496" w:rsidRPr="00F35F25">
        <w:t>sensory quality</w:t>
      </w:r>
      <w:r w:rsidRPr="00F35F25">
        <w:t xml:space="preserve">. </w:t>
      </w:r>
      <w:r w:rsidR="000353ED" w:rsidRPr="00F35F25">
        <w:t>This study evaluate</w:t>
      </w:r>
      <w:r w:rsidR="00452AAD" w:rsidRPr="00F35F25">
        <w:t>s</w:t>
      </w:r>
      <w:r w:rsidR="000353ED" w:rsidRPr="00F35F25">
        <w:t xml:space="preserve"> the combination of two membrane processes for the production of lower alcohol wines: osmotic distillation (OD) and reverse osmosis (RO)</w:t>
      </w:r>
      <w:r w:rsidR="00452AAD" w:rsidRPr="00F35F25">
        <w:t>. It aims for</w:t>
      </w:r>
      <w:r w:rsidR="000353ED" w:rsidRPr="00F35F25">
        <w:t xml:space="preserve"> retain the flavour, preserv</w:t>
      </w:r>
      <w:r w:rsidR="00452AAD" w:rsidRPr="00F35F25">
        <w:t>e</w:t>
      </w:r>
      <w:r w:rsidR="000353ED" w:rsidRPr="00F35F25">
        <w:t xml:space="preserve"> the good taste of wine with</w:t>
      </w:r>
      <w:r w:rsidR="00452AAD" w:rsidRPr="00F35F25">
        <w:t xml:space="preserve"> low</w:t>
      </w:r>
      <w:r w:rsidR="000353ED" w:rsidRPr="00F35F25">
        <w:t xml:space="preserve"> alcohol content. </w:t>
      </w:r>
      <w:r w:rsidR="00250311" w:rsidRPr="00F35F25">
        <w:t xml:space="preserve">A red wine (13.2 %v/v) was reduced in alcohol strength </w:t>
      </w:r>
      <w:r w:rsidR="00AA4D6F" w:rsidRPr="00F35F25">
        <w:t xml:space="preserve">of </w:t>
      </w:r>
      <w:r w:rsidR="00984BEC" w:rsidRPr="00F35F25">
        <w:t xml:space="preserve">about </w:t>
      </w:r>
      <w:r w:rsidR="00AA4D6F" w:rsidRPr="00F35F25">
        <w:t>-</w:t>
      </w:r>
      <w:r w:rsidR="00984BEC" w:rsidRPr="00F35F25">
        <w:t>5</w:t>
      </w:r>
      <w:r w:rsidR="00AA4D6F" w:rsidRPr="00F35F25">
        <w:t>, -6, -8 %v/v</w:t>
      </w:r>
      <w:r w:rsidR="00452AAD" w:rsidRPr="00F35F25">
        <w:t xml:space="preserve"> through a RO and OD combined process: the initial wine was </w:t>
      </w:r>
      <w:r w:rsidR="00984BEC" w:rsidRPr="00F35F25">
        <w:t>firstly treated</w:t>
      </w:r>
      <w:r w:rsidR="00452AAD" w:rsidRPr="00F35F25">
        <w:t xml:space="preserve"> through RO and was subsequently processed through OD to obtain </w:t>
      </w:r>
      <w:r w:rsidR="00984BEC" w:rsidRPr="00F35F25">
        <w:t xml:space="preserve">partial dealcoholized </w:t>
      </w:r>
      <w:r w:rsidR="002F3213" w:rsidRPr="00F35F25">
        <w:t>wines.</w:t>
      </w:r>
      <w:r w:rsidR="00250311" w:rsidRPr="00F35F25">
        <w:t xml:space="preserve"> </w:t>
      </w:r>
      <w:r w:rsidR="00A23F79" w:rsidRPr="00F35F25">
        <w:t xml:space="preserve">Such </w:t>
      </w:r>
      <w:r w:rsidR="00250311" w:rsidRPr="00F35F25">
        <w:t xml:space="preserve">wines were </w:t>
      </w:r>
      <w:r w:rsidR="002F3213" w:rsidRPr="00F35F25">
        <w:t xml:space="preserve">then </w:t>
      </w:r>
      <w:r w:rsidR="00250311" w:rsidRPr="00F35F25">
        <w:t xml:space="preserve">compared with </w:t>
      </w:r>
      <w:r w:rsidR="00452AAD" w:rsidRPr="00F35F25">
        <w:t xml:space="preserve">those </w:t>
      </w:r>
      <w:r w:rsidR="00250311" w:rsidRPr="00F35F25">
        <w:t xml:space="preserve">obtained </w:t>
      </w:r>
      <w:r w:rsidR="002F3213" w:rsidRPr="00F35F25">
        <w:t>through</w:t>
      </w:r>
      <w:r w:rsidR="00452AAD" w:rsidRPr="00F35F25">
        <w:t xml:space="preserve"> OD technique</w:t>
      </w:r>
      <w:r w:rsidR="002F3213" w:rsidRPr="00F35F25">
        <w:t>.</w:t>
      </w:r>
      <w:r w:rsidR="00452AAD" w:rsidRPr="00F35F25">
        <w:t xml:space="preserve"> </w:t>
      </w:r>
      <w:r w:rsidR="005E7D2F" w:rsidRPr="00F35F25">
        <w:t>Low alcohol wines were analysed for</w:t>
      </w:r>
      <w:r w:rsidR="001E592A" w:rsidRPr="00F35F25">
        <w:t xml:space="preserve"> </w:t>
      </w:r>
      <w:proofErr w:type="spellStart"/>
      <w:r w:rsidR="005E7D2F" w:rsidRPr="00F35F25">
        <w:t>chemico</w:t>
      </w:r>
      <w:proofErr w:type="spellEnd"/>
      <w:r w:rsidR="005E7D2F" w:rsidRPr="00F35F25">
        <w:t xml:space="preserve">-physical parameters and volatile composition. </w:t>
      </w:r>
      <w:r w:rsidR="000353ED" w:rsidRPr="00F35F25">
        <w:t xml:space="preserve">The results showed a better retention of the main chemical </w:t>
      </w:r>
      <w:r w:rsidR="00DB0762" w:rsidRPr="00F35F25">
        <w:t xml:space="preserve">properties </w:t>
      </w:r>
      <w:r w:rsidR="000353ED" w:rsidRPr="00F35F25">
        <w:t xml:space="preserve">and volatile compounds in wines with low alcohol content obtained </w:t>
      </w:r>
      <w:r w:rsidR="00DB0762" w:rsidRPr="00F35F25">
        <w:t>through</w:t>
      </w:r>
      <w:r w:rsidR="000353ED" w:rsidRPr="00F35F25">
        <w:t xml:space="preserve"> the combined OD and RO process </w:t>
      </w:r>
      <w:r w:rsidR="00DB0762" w:rsidRPr="00F35F25">
        <w:t>than those through</w:t>
      </w:r>
      <w:r w:rsidR="000353ED" w:rsidRPr="00F35F25">
        <w:t xml:space="preserve"> single OD.</w:t>
      </w:r>
      <w:r w:rsidRPr="00F35F25">
        <w:t xml:space="preserve"> </w:t>
      </w:r>
    </w:p>
    <w:bookmarkEnd w:id="0"/>
    <w:p w14:paraId="485CB944" w14:textId="77777777" w:rsidR="00600535" w:rsidRPr="00F35F25" w:rsidRDefault="00600535" w:rsidP="00600535">
      <w:pPr>
        <w:pStyle w:val="CETHeading1"/>
        <w:rPr>
          <w:lang w:val="en-GB"/>
        </w:rPr>
      </w:pPr>
      <w:r w:rsidRPr="00F35F25">
        <w:rPr>
          <w:lang w:val="en-GB"/>
        </w:rPr>
        <w:t>Introduction</w:t>
      </w:r>
    </w:p>
    <w:p w14:paraId="2C91EFD2" w14:textId="5B2407E7" w:rsidR="00D00033" w:rsidRPr="00F35F25" w:rsidRDefault="004261B1">
      <w:pPr>
        <w:pStyle w:val="CETBodytext"/>
      </w:pPr>
      <w:r w:rsidRPr="00F35F25">
        <w:rPr>
          <w:lang w:val="en-GB"/>
        </w:rPr>
        <w:t xml:space="preserve">A strong increase in demand for quality low alcohol drinks over the last years has been observed and operators of beverage sectors are </w:t>
      </w:r>
      <w:r w:rsidR="00DB0762" w:rsidRPr="00F35F25">
        <w:rPr>
          <w:lang w:val="en-GB"/>
        </w:rPr>
        <w:t xml:space="preserve">stimulated </w:t>
      </w:r>
      <w:r w:rsidRPr="00F35F25">
        <w:rPr>
          <w:lang w:val="en-GB"/>
        </w:rPr>
        <w:t xml:space="preserve">to offer </w:t>
      </w:r>
      <w:r w:rsidR="00DB0762" w:rsidRPr="00F35F25">
        <w:rPr>
          <w:lang w:val="en-GB"/>
        </w:rPr>
        <w:t xml:space="preserve">to </w:t>
      </w:r>
      <w:r w:rsidRPr="00F35F25">
        <w:rPr>
          <w:lang w:val="en-GB"/>
        </w:rPr>
        <w:t>customers a wide range of choices</w:t>
      </w:r>
      <w:r w:rsidR="00A4517B" w:rsidRPr="00F35F25">
        <w:rPr>
          <w:lang w:val="en-GB"/>
        </w:rPr>
        <w:t xml:space="preserve"> for these innovative beverages</w:t>
      </w:r>
      <w:r w:rsidRPr="00F35F25">
        <w:rPr>
          <w:lang w:val="en-GB"/>
        </w:rPr>
        <w:t>.</w:t>
      </w:r>
      <w:r w:rsidR="00E115C7" w:rsidRPr="00F35F25">
        <w:rPr>
          <w:lang w:val="en-GB"/>
        </w:rPr>
        <w:t xml:space="preserve"> </w:t>
      </w:r>
      <w:r w:rsidR="00DB0762" w:rsidRPr="00F35F25">
        <w:rPr>
          <w:lang w:val="en-GB"/>
        </w:rPr>
        <w:t>Some p</w:t>
      </w:r>
      <w:r w:rsidR="00E115C7" w:rsidRPr="00F35F25">
        <w:rPr>
          <w:lang w:val="en-GB"/>
        </w:rPr>
        <w:t xml:space="preserve">eople like a reduced alcohol intake </w:t>
      </w:r>
      <w:r w:rsidR="00CD70DB" w:rsidRPr="00F35F25">
        <w:rPr>
          <w:lang w:val="en-GB"/>
        </w:rPr>
        <w:t xml:space="preserve">in </w:t>
      </w:r>
      <w:r w:rsidR="00E115C7" w:rsidRPr="00F35F25">
        <w:rPr>
          <w:lang w:val="en-GB"/>
        </w:rPr>
        <w:t xml:space="preserve">beverages during business lunch, </w:t>
      </w:r>
      <w:r w:rsidR="00DB0762" w:rsidRPr="00F35F25">
        <w:rPr>
          <w:lang w:val="en-GB"/>
        </w:rPr>
        <w:t xml:space="preserve">others </w:t>
      </w:r>
      <w:r w:rsidR="00E115C7" w:rsidRPr="00F35F25">
        <w:rPr>
          <w:lang w:val="en-GB"/>
        </w:rPr>
        <w:t>for religious or healthy reasons without avoiding alcohol completely.</w:t>
      </w:r>
      <w:r w:rsidR="009F7F4E" w:rsidRPr="00F35F25">
        <w:rPr>
          <w:lang w:val="en-GB"/>
        </w:rPr>
        <w:t xml:space="preserve"> </w:t>
      </w:r>
      <w:r w:rsidR="001E592A" w:rsidRPr="00F35F25">
        <w:rPr>
          <w:lang w:val="en-GB"/>
        </w:rPr>
        <w:t>Thus</w:t>
      </w:r>
      <w:r w:rsidR="000353ED" w:rsidRPr="00F35F25">
        <w:rPr>
          <w:lang w:val="en-GB"/>
        </w:rPr>
        <w:t>,</w:t>
      </w:r>
      <w:r w:rsidR="00E115C7" w:rsidRPr="00F35F25">
        <w:rPr>
          <w:lang w:val="en-GB"/>
        </w:rPr>
        <w:t xml:space="preserve"> the possibility of drinking low alcohol wines seems to be a good alternative. </w:t>
      </w:r>
      <w:r w:rsidR="00CD70DB" w:rsidRPr="00F35F25">
        <w:rPr>
          <w:lang w:val="en-GB"/>
        </w:rPr>
        <w:t xml:space="preserve">However, alcohol reduction in wine tends to reduce its complexity and therefore consumer acceptance. </w:t>
      </w:r>
      <w:r w:rsidR="005B4002" w:rsidRPr="00F35F25">
        <w:rPr>
          <w:lang w:val="en-GB"/>
        </w:rPr>
        <w:t xml:space="preserve">This is especially valid for red wines, whose complexity is correlated with numerous olfactory notes and pleasantness. </w:t>
      </w:r>
      <w:r w:rsidR="00064CD4" w:rsidRPr="00F35F25">
        <w:rPr>
          <w:lang w:val="en-GB"/>
        </w:rPr>
        <w:t>The production of low alcohol wine is</w:t>
      </w:r>
      <w:r w:rsidR="00BC5F39" w:rsidRPr="00F35F25">
        <w:rPr>
          <w:lang w:val="en-GB"/>
        </w:rPr>
        <w:t xml:space="preserve"> an</w:t>
      </w:r>
      <w:r w:rsidR="007606DD" w:rsidRPr="00F35F25">
        <w:rPr>
          <w:lang w:val="en-GB"/>
        </w:rPr>
        <w:t xml:space="preserve"> ongoing challenge in order to preserve taste and flavour. </w:t>
      </w:r>
      <w:r w:rsidR="00814361" w:rsidRPr="00F35F25">
        <w:rPr>
          <w:lang w:val="en-GB"/>
        </w:rPr>
        <w:t xml:space="preserve">The techniques for </w:t>
      </w:r>
      <w:r w:rsidR="002D2C0F" w:rsidRPr="00F35F25">
        <w:rPr>
          <w:lang w:val="en-GB"/>
        </w:rPr>
        <w:t xml:space="preserve">reducing </w:t>
      </w:r>
      <w:r w:rsidR="00814361" w:rsidRPr="00F35F25">
        <w:rPr>
          <w:lang w:val="en-GB"/>
        </w:rPr>
        <w:t>alcohol in wines are various:</w:t>
      </w:r>
      <w:r w:rsidR="00814361" w:rsidRPr="00F35F25">
        <w:t xml:space="preserve"> </w:t>
      </w:r>
      <w:proofErr w:type="spellStart"/>
      <w:r w:rsidR="00814361" w:rsidRPr="00F35F25">
        <w:t>viticultural</w:t>
      </w:r>
      <w:proofErr w:type="spellEnd"/>
      <w:r w:rsidR="00814361" w:rsidRPr="00F35F25">
        <w:t xml:space="preserve"> strategies, pre-fermentation and microbiological strategies as well as post-fermentation techniques (Liguori et al., 2018</w:t>
      </w:r>
      <w:r w:rsidR="00F35F25">
        <w:t>a</w:t>
      </w:r>
      <w:r w:rsidR="00814361" w:rsidRPr="00F35F25">
        <w:t xml:space="preserve">; </w:t>
      </w:r>
      <w:r w:rsidR="008E6B08" w:rsidRPr="00F35F25">
        <w:t xml:space="preserve">Varela et al., 2015; </w:t>
      </w:r>
      <w:proofErr w:type="spellStart"/>
      <w:r w:rsidR="00814361" w:rsidRPr="00F35F25">
        <w:t>Schmidtke</w:t>
      </w:r>
      <w:proofErr w:type="spellEnd"/>
      <w:r w:rsidR="00814361" w:rsidRPr="00F35F25">
        <w:t xml:space="preserve"> et al., 2012</w:t>
      </w:r>
      <w:r w:rsidR="00600FBE" w:rsidRPr="00F35F25">
        <w:t>).</w:t>
      </w:r>
      <w:r w:rsidR="008D1B17" w:rsidRPr="00F35F25">
        <w:t xml:space="preserve"> </w:t>
      </w:r>
      <w:r w:rsidR="00B1566F" w:rsidRPr="00F35F25">
        <w:t xml:space="preserve">The </w:t>
      </w:r>
      <w:r w:rsidR="003213BA" w:rsidRPr="00F35F25">
        <w:t>la</w:t>
      </w:r>
      <w:r w:rsidR="002D2C0F" w:rsidRPr="00F35F25">
        <w:t>st</w:t>
      </w:r>
      <w:r w:rsidR="003213BA" w:rsidRPr="00F35F25">
        <w:t>,</w:t>
      </w:r>
      <w:r w:rsidR="00B1566F" w:rsidRPr="00F35F25">
        <w:t xml:space="preserve"> applied at the end of fermentation process, relying on ethanol removal from already formed wine, are the </w:t>
      </w:r>
      <w:r w:rsidR="000652C4" w:rsidRPr="00F35F25">
        <w:t xml:space="preserve">most </w:t>
      </w:r>
      <w:r w:rsidR="003213BA" w:rsidRPr="00F35F25">
        <w:t>common practices</w:t>
      </w:r>
      <w:r w:rsidR="00B1566F" w:rsidRPr="00F35F25">
        <w:t xml:space="preserve">, based on thermal or physical principles. The best technology for alcohol removal should fit an </w:t>
      </w:r>
      <w:r w:rsidR="003213BA" w:rsidRPr="00F35F25">
        <w:t>effective control</w:t>
      </w:r>
      <w:r w:rsidR="00B1566F" w:rsidRPr="00F35F25">
        <w:t xml:space="preserve"> of alcohol reduction</w:t>
      </w:r>
      <w:r w:rsidR="003213BA" w:rsidRPr="00F35F25">
        <w:t>,</w:t>
      </w:r>
      <w:r w:rsidR="00B1566F" w:rsidRPr="00F35F25">
        <w:t xml:space="preserve"> with low energy </w:t>
      </w:r>
      <w:r w:rsidR="003213BA" w:rsidRPr="00F35F25">
        <w:t>consumption and</w:t>
      </w:r>
      <w:r w:rsidR="00B1566F" w:rsidRPr="00F35F25">
        <w:t xml:space="preserve"> minimal impact </w:t>
      </w:r>
      <w:r w:rsidR="003213BA" w:rsidRPr="00F35F25">
        <w:t>on wine</w:t>
      </w:r>
      <w:r w:rsidR="00B1566F" w:rsidRPr="00F35F25">
        <w:t xml:space="preserve"> quality</w:t>
      </w:r>
      <w:r w:rsidR="00393D18" w:rsidRPr="00F35F25">
        <w:t xml:space="preserve"> (Varela et al., 2015).</w:t>
      </w:r>
      <w:r w:rsidR="00351D03" w:rsidRPr="00F35F25">
        <w:t xml:space="preserve"> Nowadays, </w:t>
      </w:r>
      <w:r w:rsidR="001E592A" w:rsidRPr="00F35F25">
        <w:t xml:space="preserve">spinning cone column </w:t>
      </w:r>
      <w:r w:rsidR="00351D03" w:rsidRPr="00F35F25">
        <w:t xml:space="preserve">and </w:t>
      </w:r>
      <w:r w:rsidR="001E592A" w:rsidRPr="00F35F25">
        <w:t xml:space="preserve">reverse osmosis </w:t>
      </w:r>
      <w:r w:rsidR="00351D03" w:rsidRPr="00F35F25">
        <w:t>(RO) are the most employed methods</w:t>
      </w:r>
      <w:r w:rsidR="00611470" w:rsidRPr="00F35F25">
        <w:t xml:space="preserve"> at industrial scale</w:t>
      </w:r>
      <w:r w:rsidR="00D00033" w:rsidRPr="00F35F25">
        <w:t>,</w:t>
      </w:r>
      <w:r w:rsidR="00351D03" w:rsidRPr="00F35F25">
        <w:t xml:space="preserve"> to produce lower alcohol wines. The main drawbacks of these technologies are high energy consumption.</w:t>
      </w:r>
      <w:r w:rsidR="00112C92" w:rsidRPr="00F35F25">
        <w:t xml:space="preserve"> In fact, in RO, water and alcohol move through the membrane when the pressure difference across the membrane is higher than the osmotic pressure difference</w:t>
      </w:r>
      <w:r w:rsidR="00F42E47" w:rsidRPr="00F35F25">
        <w:t xml:space="preserve"> </w:t>
      </w:r>
      <w:r w:rsidR="00112C92" w:rsidRPr="00F35F25">
        <w:t>(</w:t>
      </w:r>
      <w:proofErr w:type="spellStart"/>
      <w:r w:rsidR="00112C92" w:rsidRPr="00F35F25">
        <w:t>Schmidtke</w:t>
      </w:r>
      <w:proofErr w:type="spellEnd"/>
      <w:r w:rsidR="00112C92" w:rsidRPr="00F35F25">
        <w:t>, et al., 2012).</w:t>
      </w:r>
      <w:r w:rsidR="00351D03" w:rsidRPr="00F35F25">
        <w:t xml:space="preserve"> </w:t>
      </w:r>
      <w:r w:rsidR="003E4ECD" w:rsidRPr="00F35F25">
        <w:t xml:space="preserve">Osmotic distillation </w:t>
      </w:r>
      <w:r w:rsidR="00611470" w:rsidRPr="00F35F25">
        <w:t xml:space="preserve">(OD) </w:t>
      </w:r>
      <w:r w:rsidR="003E4ECD" w:rsidRPr="00F35F25">
        <w:t>is a membrane-based technology that shows promising results for low alcohol or no alcohol beverages (</w:t>
      </w:r>
      <w:r w:rsidR="003E4ECD" w:rsidRPr="00F35F25">
        <w:rPr>
          <w:i/>
        </w:rPr>
        <w:t>i.e.</w:t>
      </w:r>
      <w:r w:rsidR="003E4ECD" w:rsidRPr="00F35F25">
        <w:t xml:space="preserve"> wine and beer) (</w:t>
      </w:r>
      <w:proofErr w:type="spellStart"/>
      <w:r w:rsidR="00585D97" w:rsidRPr="00F35F25">
        <w:t>Ferrarini</w:t>
      </w:r>
      <w:proofErr w:type="spellEnd"/>
      <w:r w:rsidR="00585D97" w:rsidRPr="00F35F25">
        <w:t xml:space="preserve"> et al., 2016; </w:t>
      </w:r>
      <w:r w:rsidR="003E4ECD" w:rsidRPr="00F35F25">
        <w:t xml:space="preserve">Liguori et al., 2015; </w:t>
      </w:r>
      <w:proofErr w:type="spellStart"/>
      <w:r w:rsidR="00585D97" w:rsidRPr="00F35F25">
        <w:t>Diban</w:t>
      </w:r>
      <w:proofErr w:type="spellEnd"/>
      <w:r w:rsidR="00585D97" w:rsidRPr="00F35F25">
        <w:t xml:space="preserve"> et al., 2013; Russo et al., 2013</w:t>
      </w:r>
      <w:r w:rsidR="003E4ECD" w:rsidRPr="00F35F25">
        <w:t>).</w:t>
      </w:r>
      <w:r w:rsidR="00112C92" w:rsidRPr="00F35F25">
        <w:t xml:space="preserve"> In OD process, wine and water, as ethanol extract</w:t>
      </w:r>
      <w:r w:rsidR="00D00033" w:rsidRPr="00F35F25">
        <w:t>ive</w:t>
      </w:r>
      <w:r w:rsidR="00112C92" w:rsidRPr="00F35F25">
        <w:t xml:space="preserve"> agent, are fed in counter-flow on either side of a membrane module; the </w:t>
      </w:r>
      <w:r w:rsidR="00112C92" w:rsidRPr="00F35F25">
        <w:lastRenderedPageBreak/>
        <w:t>driving force is the vapor pressure and the greatest partial pressure of the component (</w:t>
      </w:r>
      <w:r w:rsidR="00112C92" w:rsidRPr="00F35F25">
        <w:rPr>
          <w:i/>
        </w:rPr>
        <w:t>i.e.</w:t>
      </w:r>
      <w:r w:rsidR="00112C92" w:rsidRPr="00F35F25">
        <w:t xml:space="preserve"> ethanol) allows it to permeate the hydropho</w:t>
      </w:r>
      <w:r w:rsidR="002D2C0F" w:rsidRPr="00F35F25">
        <w:t>b</w:t>
      </w:r>
      <w:r w:rsidR="00112C92" w:rsidRPr="00F35F25">
        <w:t xml:space="preserve">ic microporous membrane. </w:t>
      </w:r>
      <w:r w:rsidR="00351D03" w:rsidRPr="00F35F25">
        <w:t>The main a</w:t>
      </w:r>
      <w:r w:rsidR="003E4ECD" w:rsidRPr="00F35F25">
        <w:t>dvantages of th</w:t>
      </w:r>
      <w:r w:rsidR="00631412" w:rsidRPr="00F35F25">
        <w:t>is</w:t>
      </w:r>
      <w:r w:rsidR="003E4ECD" w:rsidRPr="00F35F25">
        <w:t xml:space="preserve"> technology are low working</w:t>
      </w:r>
      <w:r w:rsidR="00351D03" w:rsidRPr="00F35F25">
        <w:t xml:space="preserve"> temperature</w:t>
      </w:r>
      <w:r w:rsidR="003213BA" w:rsidRPr="00F35F25">
        <w:t xml:space="preserve"> and </w:t>
      </w:r>
      <w:r w:rsidR="003E4ECD" w:rsidRPr="00F35F25">
        <w:t>l</w:t>
      </w:r>
      <w:r w:rsidR="00351D03" w:rsidRPr="00F35F25">
        <w:t>ow energy</w:t>
      </w:r>
      <w:r w:rsidR="003E4ECD" w:rsidRPr="00F35F25">
        <w:t xml:space="preserve"> </w:t>
      </w:r>
      <w:r w:rsidR="00351D03" w:rsidRPr="00F35F25">
        <w:t>consumption (no pressurization of the system is required</w:t>
      </w:r>
      <w:r w:rsidR="00585D97" w:rsidRPr="00F35F25">
        <w:t xml:space="preserve">). </w:t>
      </w:r>
      <w:r w:rsidR="003213BA" w:rsidRPr="00F35F25">
        <w:t>V</w:t>
      </w:r>
      <w:r w:rsidR="00585D97" w:rsidRPr="00F35F25">
        <w:t>arious</w:t>
      </w:r>
      <w:r w:rsidR="003213BA" w:rsidRPr="00F35F25">
        <w:t xml:space="preserve"> scientific</w:t>
      </w:r>
      <w:r w:rsidR="00585D97" w:rsidRPr="00F35F25">
        <w:t xml:space="preserve"> papers focused the effect of </w:t>
      </w:r>
      <w:r w:rsidR="00631412" w:rsidRPr="00F35F25">
        <w:t>OD</w:t>
      </w:r>
      <w:r w:rsidR="00585D97" w:rsidRPr="00F35F25">
        <w:t xml:space="preserve"> on the </w:t>
      </w:r>
      <w:proofErr w:type="spellStart"/>
      <w:r w:rsidR="00585D97" w:rsidRPr="00F35F25">
        <w:t>chemico</w:t>
      </w:r>
      <w:proofErr w:type="spellEnd"/>
      <w:r w:rsidR="00585D97" w:rsidRPr="00F35F25">
        <w:t>-physical</w:t>
      </w:r>
      <w:r w:rsidR="005531BA" w:rsidRPr="00F35F25">
        <w:t xml:space="preserve"> characteristics</w:t>
      </w:r>
      <w:r w:rsidR="00585D97" w:rsidRPr="00F35F25">
        <w:t xml:space="preserve">, sensory quality and volatile compounds </w:t>
      </w:r>
      <w:r w:rsidR="005531BA" w:rsidRPr="00F35F25">
        <w:t xml:space="preserve">in low alcohol wines (Longo et al., 2017; </w:t>
      </w:r>
      <w:proofErr w:type="spellStart"/>
      <w:r w:rsidR="005531BA" w:rsidRPr="00F35F25">
        <w:t>Lisanti</w:t>
      </w:r>
      <w:proofErr w:type="spellEnd"/>
      <w:r w:rsidR="005531BA" w:rsidRPr="00F35F25">
        <w:t xml:space="preserve"> et al., 2013).</w:t>
      </w:r>
      <w:r w:rsidR="00611470" w:rsidRPr="00F35F25">
        <w:t xml:space="preserve"> </w:t>
      </w:r>
      <w:r w:rsidR="005215BD" w:rsidRPr="00F35F25">
        <w:t>Only a recent study compared the use of a combined RO-OD process for wine partial dealcoholization, with wines obtained by grapes early harvest, by evaluating volatile and sensory profiles of dealcoholized wines</w:t>
      </w:r>
      <w:r w:rsidR="005215BD" w:rsidRPr="00F35F25" w:rsidDel="005215BD">
        <w:t xml:space="preserve"> </w:t>
      </w:r>
      <w:r w:rsidR="002E2716" w:rsidRPr="00F35F25">
        <w:t xml:space="preserve">(Longo et al., 2018). </w:t>
      </w:r>
    </w:p>
    <w:p w14:paraId="75AA2294" w14:textId="24964ABF" w:rsidR="00351B32" w:rsidRPr="00F35F25" w:rsidRDefault="00611470">
      <w:pPr>
        <w:pStyle w:val="CETBodytext"/>
      </w:pPr>
      <w:r w:rsidRPr="00F35F25">
        <w:t xml:space="preserve">The aim of the current study was to compare the effects </w:t>
      </w:r>
      <w:r w:rsidR="00D87C2C" w:rsidRPr="00F35F25">
        <w:t xml:space="preserve">on red wine </w:t>
      </w:r>
      <w:r w:rsidRPr="00F35F25">
        <w:t>of partial dealcoholization</w:t>
      </w:r>
      <w:r w:rsidR="00AC56C1" w:rsidRPr="00F35F25">
        <w:t xml:space="preserve"> perfo</w:t>
      </w:r>
      <w:r w:rsidR="0040338A" w:rsidRPr="00F35F25">
        <w:t>r</w:t>
      </w:r>
      <w:r w:rsidR="00AC56C1" w:rsidRPr="00F35F25">
        <w:t>med</w:t>
      </w:r>
      <w:r w:rsidRPr="00F35F25">
        <w:t xml:space="preserve"> </w:t>
      </w:r>
      <w:r w:rsidR="00792DF1" w:rsidRPr="00F35F25">
        <w:t xml:space="preserve">through </w:t>
      </w:r>
      <w:r w:rsidR="002D2C0F" w:rsidRPr="00F35F25">
        <w:t>a combined membrane process, RO and OD</w:t>
      </w:r>
      <w:r w:rsidR="00792DF1" w:rsidRPr="00F35F25">
        <w:t>,</w:t>
      </w:r>
      <w:r w:rsidR="002D2C0F" w:rsidRPr="00F35F25">
        <w:t xml:space="preserve"> </w:t>
      </w:r>
      <w:r w:rsidRPr="00F35F25">
        <w:t xml:space="preserve">and </w:t>
      </w:r>
      <w:r w:rsidR="00792DF1" w:rsidRPr="00F35F25">
        <w:t xml:space="preserve">through </w:t>
      </w:r>
      <w:r w:rsidR="00D87C2C" w:rsidRPr="00F35F25">
        <w:t xml:space="preserve">single </w:t>
      </w:r>
      <w:r w:rsidR="00792DF1" w:rsidRPr="00F35F25">
        <w:t>OD</w:t>
      </w:r>
      <w:r w:rsidRPr="00F35F25">
        <w:t>.</w:t>
      </w:r>
      <w:r w:rsidR="00F42E47" w:rsidRPr="00F35F25">
        <w:t xml:space="preserve"> </w:t>
      </w:r>
      <w:r w:rsidR="005215BD" w:rsidRPr="00F35F25">
        <w:t xml:space="preserve">For this purpose, the </w:t>
      </w:r>
      <w:r w:rsidR="00F42E47" w:rsidRPr="00F35F25">
        <w:t>main wine parameters and volatile composition of low alcohol wines were evaluated.</w:t>
      </w:r>
      <w:r w:rsidR="008758A4" w:rsidRPr="00F35F25">
        <w:t xml:space="preserve"> </w:t>
      </w:r>
    </w:p>
    <w:p w14:paraId="091A0081" w14:textId="163B1F59" w:rsidR="00600535" w:rsidRPr="00F35F25" w:rsidRDefault="00AA4D6F" w:rsidP="00600535">
      <w:pPr>
        <w:pStyle w:val="CETHeading1"/>
        <w:tabs>
          <w:tab w:val="clear" w:pos="360"/>
          <w:tab w:val="right" w:pos="7100"/>
        </w:tabs>
        <w:jc w:val="both"/>
        <w:rPr>
          <w:lang w:val="en-GB"/>
        </w:rPr>
      </w:pPr>
      <w:r w:rsidRPr="00F35F25">
        <w:rPr>
          <w:lang w:val="en-GB"/>
        </w:rPr>
        <w:t>Materials and methods</w:t>
      </w:r>
    </w:p>
    <w:p w14:paraId="4592165A" w14:textId="698948EC" w:rsidR="00AA4D6F" w:rsidRPr="00F35F25" w:rsidRDefault="00AA4D6F" w:rsidP="00AA4D6F">
      <w:pPr>
        <w:pStyle w:val="CETBodytext"/>
        <w:rPr>
          <w:b/>
          <w:lang w:val="en-GB"/>
        </w:rPr>
      </w:pPr>
      <w:r w:rsidRPr="00F35F25">
        <w:rPr>
          <w:b/>
          <w:lang w:val="en-GB"/>
        </w:rPr>
        <w:t>2.1 Dealcoholization process</w:t>
      </w:r>
    </w:p>
    <w:p w14:paraId="3EE49215" w14:textId="3E42D51F" w:rsidR="00D93250" w:rsidRPr="00F35F25" w:rsidRDefault="00792DF1" w:rsidP="00AA4D6F">
      <w:pPr>
        <w:pStyle w:val="CETBodytext"/>
        <w:rPr>
          <w:lang w:val="en-GB"/>
        </w:rPr>
      </w:pPr>
      <w:r w:rsidRPr="00F35F25">
        <w:rPr>
          <w:lang w:val="en-GB"/>
        </w:rPr>
        <w:t xml:space="preserve">A red wine (cv. </w:t>
      </w:r>
      <w:proofErr w:type="spellStart"/>
      <w:r w:rsidRPr="00F35F25">
        <w:rPr>
          <w:i/>
          <w:lang w:val="en-GB"/>
        </w:rPr>
        <w:t>Montepulciano</w:t>
      </w:r>
      <w:proofErr w:type="spellEnd"/>
      <w:r w:rsidRPr="00F35F25">
        <w:rPr>
          <w:i/>
          <w:lang w:val="en-GB"/>
        </w:rPr>
        <w:t xml:space="preserve"> </w:t>
      </w:r>
      <w:proofErr w:type="spellStart"/>
      <w:r w:rsidRPr="00F35F25">
        <w:rPr>
          <w:i/>
          <w:lang w:val="en-GB"/>
        </w:rPr>
        <w:t>d’Abruzzo</w:t>
      </w:r>
      <w:proofErr w:type="spellEnd"/>
      <w:r w:rsidRPr="00F35F25">
        <w:rPr>
          <w:lang w:val="en-GB"/>
        </w:rPr>
        <w:t>) with alcohol content of 13.2 %v/v (W</w:t>
      </w:r>
      <w:r w:rsidRPr="00F35F25">
        <w:rPr>
          <w:vertAlign w:val="subscript"/>
          <w:lang w:val="en-GB"/>
        </w:rPr>
        <w:t>0</w:t>
      </w:r>
      <w:r w:rsidRPr="00F35F25">
        <w:rPr>
          <w:lang w:val="en-GB"/>
        </w:rPr>
        <w:t xml:space="preserve">) was used for </w:t>
      </w:r>
      <w:r w:rsidR="00D93250" w:rsidRPr="00F35F25">
        <w:rPr>
          <w:lang w:val="en-GB"/>
        </w:rPr>
        <w:t>partial dealcoholization</w:t>
      </w:r>
      <w:r w:rsidRPr="00F35F25">
        <w:rPr>
          <w:lang w:val="en-GB"/>
        </w:rPr>
        <w:t xml:space="preserve">. </w:t>
      </w:r>
      <w:r w:rsidR="003B56C3" w:rsidRPr="00F35F25">
        <w:rPr>
          <w:lang w:val="en-GB"/>
        </w:rPr>
        <w:t xml:space="preserve">In the combined process the wine was first </w:t>
      </w:r>
      <w:r w:rsidR="003B56C3" w:rsidRPr="00F35F25">
        <w:t>treated in a</w:t>
      </w:r>
      <w:r w:rsidRPr="00F35F25">
        <w:rPr>
          <w:lang w:val="en-GB"/>
        </w:rPr>
        <w:t xml:space="preserve"> RO semi-pilot plant equipped with a </w:t>
      </w:r>
      <w:proofErr w:type="spellStart"/>
      <w:r w:rsidRPr="00F35F25">
        <w:rPr>
          <w:lang w:val="en-GB"/>
        </w:rPr>
        <w:t>membran</w:t>
      </w:r>
      <w:proofErr w:type="spellEnd"/>
      <w:r w:rsidRPr="00F35F25">
        <w:t>e</w:t>
      </w:r>
      <w:r w:rsidRPr="00F35F25">
        <w:rPr>
          <w:lang w:val="en-GB"/>
        </w:rPr>
        <w:t xml:space="preserve"> module of 100 Da, </w:t>
      </w:r>
      <w:r w:rsidR="003B56C3" w:rsidRPr="00F35F25">
        <w:t xml:space="preserve">and </w:t>
      </w:r>
      <w:r w:rsidRPr="00F35F25">
        <w:rPr>
          <w:lang w:val="en-GB"/>
        </w:rPr>
        <w:t xml:space="preserve">operating at a </w:t>
      </w:r>
      <w:proofErr w:type="spellStart"/>
      <w:r w:rsidRPr="00F35F25">
        <w:rPr>
          <w:lang w:val="en-GB"/>
        </w:rPr>
        <w:t>pres</w:t>
      </w:r>
      <w:proofErr w:type="spellEnd"/>
      <w:r w:rsidRPr="00F35F25">
        <w:t>s</w:t>
      </w:r>
      <w:proofErr w:type="spellStart"/>
      <w:r w:rsidRPr="00F35F25">
        <w:rPr>
          <w:lang w:val="en-GB"/>
        </w:rPr>
        <w:t>ure</w:t>
      </w:r>
      <w:proofErr w:type="spellEnd"/>
      <w:r w:rsidRPr="00F35F25">
        <w:rPr>
          <w:lang w:val="en-GB"/>
        </w:rPr>
        <w:t xml:space="preserve"> p=70</w:t>
      </w:r>
      <w:r w:rsidRPr="00F35F25">
        <w:t xml:space="preserve"> </w:t>
      </w:r>
      <w:r w:rsidRPr="00F35F25">
        <w:rPr>
          <w:lang w:val="en-GB"/>
        </w:rPr>
        <w:t>bar,</w:t>
      </w:r>
      <w:r w:rsidR="003B56C3" w:rsidRPr="00F35F25">
        <w:t xml:space="preserve"> and then in</w:t>
      </w:r>
      <w:r w:rsidR="003B56C3" w:rsidRPr="00F35F25">
        <w:rPr>
          <w:lang w:val="en-GB"/>
        </w:rPr>
        <w:t xml:space="preserve"> an </w:t>
      </w:r>
      <w:r w:rsidR="00AA4D6F" w:rsidRPr="00F35F25">
        <w:rPr>
          <w:lang w:val="en-GB"/>
        </w:rPr>
        <w:t xml:space="preserve">OD semi-pilot plant equipped with membrane module (1.7 x 5.5, </w:t>
      </w:r>
      <w:proofErr w:type="spellStart"/>
      <w:r w:rsidR="00AA4D6F" w:rsidRPr="00F35F25">
        <w:rPr>
          <w:lang w:val="en-GB"/>
        </w:rPr>
        <w:t>Liqui-cel</w:t>
      </w:r>
      <w:proofErr w:type="spellEnd"/>
      <w:r w:rsidR="00AA4D6F" w:rsidRPr="00F35F25">
        <w:rPr>
          <w:lang w:val="en-GB"/>
        </w:rPr>
        <w:t xml:space="preserve">). </w:t>
      </w:r>
      <w:r w:rsidR="003B56C3" w:rsidRPr="00F35F25">
        <w:rPr>
          <w:lang w:val="en-GB"/>
        </w:rPr>
        <w:t>In this latter</w:t>
      </w:r>
      <w:r w:rsidR="0067314F" w:rsidRPr="00F35F25">
        <w:rPr>
          <w:lang w:val="en-GB"/>
        </w:rPr>
        <w:t xml:space="preserve"> (Figure 1)</w:t>
      </w:r>
      <w:r w:rsidR="003B56C3" w:rsidRPr="00F35F25">
        <w:rPr>
          <w:lang w:val="en-GB"/>
        </w:rPr>
        <w:t>, w</w:t>
      </w:r>
      <w:r w:rsidR="00AA4D6F" w:rsidRPr="00F35F25">
        <w:rPr>
          <w:lang w:val="en-GB"/>
        </w:rPr>
        <w:t>ine (1 L) flowed into shell side at 1.5 L/min; the stripper was water (0.5 L) flowing at 0.5 L/min in the lumen side. The streams were fed into the module in counter-current and in recycling mode, at 10</w:t>
      </w:r>
      <w:r w:rsidR="007606DD" w:rsidRPr="00F35F25">
        <w:rPr>
          <w:lang w:val="en-GB"/>
        </w:rPr>
        <w:t xml:space="preserve"> </w:t>
      </w:r>
      <w:r w:rsidR="00AA4D6F" w:rsidRPr="00F35F25">
        <w:rPr>
          <w:lang w:val="en-GB"/>
        </w:rPr>
        <w:t xml:space="preserve">°C. </w:t>
      </w:r>
      <w:r w:rsidR="00E90261" w:rsidRPr="00F35F25">
        <w:rPr>
          <w:lang w:val="en-GB"/>
        </w:rPr>
        <w:t xml:space="preserve">Two OD cycles </w:t>
      </w:r>
      <w:r w:rsidR="00AA4D6F" w:rsidRPr="00F35F25">
        <w:rPr>
          <w:lang w:val="en-GB"/>
        </w:rPr>
        <w:t>w</w:t>
      </w:r>
      <w:r w:rsidR="00E90261" w:rsidRPr="00F35F25">
        <w:rPr>
          <w:lang w:val="en-GB"/>
        </w:rPr>
        <w:t>ere</w:t>
      </w:r>
      <w:r w:rsidR="00AA4D6F" w:rsidRPr="00F35F25">
        <w:rPr>
          <w:lang w:val="en-GB"/>
        </w:rPr>
        <w:t xml:space="preserve"> performed: each cycle lasted 40 min, at the end of each cycle the stripper was renewed with pure water. </w:t>
      </w:r>
      <w:r w:rsidRPr="00F35F25">
        <w:rPr>
          <w:lang w:val="en-GB"/>
        </w:rPr>
        <w:t xml:space="preserve">Low alcohol wines were codified as </w:t>
      </w:r>
      <w:r w:rsidR="00D93250" w:rsidRPr="00F35F25">
        <w:rPr>
          <w:lang w:val="en-GB"/>
        </w:rPr>
        <w:t xml:space="preserve">follows: </w:t>
      </w:r>
      <w:r w:rsidR="0089060A" w:rsidRPr="00F35F25">
        <w:rPr>
          <w:lang w:val="en-GB"/>
        </w:rPr>
        <w:t>W</w:t>
      </w:r>
      <w:r w:rsidRPr="00F35F25">
        <w:rPr>
          <w:lang w:val="en-GB"/>
        </w:rPr>
        <w:t>RO</w:t>
      </w:r>
      <w:r w:rsidR="00E90261" w:rsidRPr="00F35F25">
        <w:rPr>
          <w:vertAlign w:val="subscript"/>
          <w:lang w:val="en-GB"/>
        </w:rPr>
        <w:t>1</w:t>
      </w:r>
      <w:r w:rsidRPr="00F35F25">
        <w:rPr>
          <w:lang w:val="en-GB"/>
        </w:rPr>
        <w:t xml:space="preserve"> </w:t>
      </w:r>
      <w:r w:rsidR="00D93250" w:rsidRPr="00F35F25">
        <w:rPr>
          <w:lang w:val="en-GB"/>
        </w:rPr>
        <w:t xml:space="preserve">is the wine obtained by the first RO treatment, </w:t>
      </w:r>
      <w:r w:rsidRPr="00F35F25">
        <w:rPr>
          <w:lang w:val="en-GB"/>
        </w:rPr>
        <w:t xml:space="preserve">and </w:t>
      </w:r>
      <w:proofErr w:type="spellStart"/>
      <w:r w:rsidRPr="00F35F25">
        <w:rPr>
          <w:lang w:val="en-GB"/>
        </w:rPr>
        <w:t>W</w:t>
      </w:r>
      <w:r w:rsidR="0089060A" w:rsidRPr="00F35F25">
        <w:rPr>
          <w:lang w:val="en-GB"/>
        </w:rPr>
        <w:t>ROD</w:t>
      </w:r>
      <w:r w:rsidR="0089060A" w:rsidRPr="00F35F25">
        <w:rPr>
          <w:vertAlign w:val="subscript"/>
          <w:lang w:val="en-GB"/>
        </w:rPr>
        <w:t>i</w:t>
      </w:r>
      <w:proofErr w:type="spellEnd"/>
      <w:r w:rsidR="0089060A" w:rsidRPr="00F35F25">
        <w:rPr>
          <w:lang w:val="en-GB"/>
        </w:rPr>
        <w:t xml:space="preserve"> (with </w:t>
      </w:r>
      <w:proofErr w:type="spellStart"/>
      <w:r w:rsidR="0089060A" w:rsidRPr="00F35F25">
        <w:rPr>
          <w:lang w:val="en-GB"/>
        </w:rPr>
        <w:t>i</w:t>
      </w:r>
      <w:proofErr w:type="spellEnd"/>
      <w:r w:rsidR="0089060A" w:rsidRPr="00F35F25">
        <w:rPr>
          <w:lang w:val="en-GB"/>
        </w:rPr>
        <w:t xml:space="preserve">=2,3 is the </w:t>
      </w:r>
      <w:r w:rsidR="00E90261" w:rsidRPr="00F35F25">
        <w:rPr>
          <w:lang w:val="en-GB"/>
        </w:rPr>
        <w:t xml:space="preserve">cycle </w:t>
      </w:r>
      <w:r w:rsidR="0089060A" w:rsidRPr="00F35F25">
        <w:rPr>
          <w:lang w:val="en-GB"/>
        </w:rPr>
        <w:t>number)</w:t>
      </w:r>
      <w:r w:rsidRPr="00F35F25">
        <w:rPr>
          <w:lang w:val="en-GB"/>
        </w:rPr>
        <w:t xml:space="preserve"> </w:t>
      </w:r>
      <w:r w:rsidR="00D93250" w:rsidRPr="00F35F25">
        <w:rPr>
          <w:lang w:val="en-GB"/>
        </w:rPr>
        <w:t xml:space="preserve">are those </w:t>
      </w:r>
      <w:r w:rsidRPr="00F35F25">
        <w:rPr>
          <w:lang w:val="en-GB"/>
        </w:rPr>
        <w:t xml:space="preserve">obtained </w:t>
      </w:r>
      <w:r w:rsidR="00D93250" w:rsidRPr="00F35F25">
        <w:rPr>
          <w:lang w:val="en-GB"/>
        </w:rPr>
        <w:t xml:space="preserve">in the subsequent </w:t>
      </w:r>
      <w:r w:rsidR="0089060A" w:rsidRPr="00F35F25">
        <w:rPr>
          <w:lang w:val="en-GB"/>
        </w:rPr>
        <w:t xml:space="preserve">OD </w:t>
      </w:r>
      <w:r w:rsidR="00D93250" w:rsidRPr="00F35F25">
        <w:rPr>
          <w:lang w:val="en-GB"/>
        </w:rPr>
        <w:t>cycles.</w:t>
      </w:r>
    </w:p>
    <w:p w14:paraId="283B10E9" w14:textId="0218C812" w:rsidR="00D93250" w:rsidRPr="00F35F25" w:rsidRDefault="00E90261" w:rsidP="00AA4D6F">
      <w:pPr>
        <w:pStyle w:val="CETBodytext"/>
        <w:rPr>
          <w:lang w:val="en-GB"/>
        </w:rPr>
      </w:pPr>
      <w:r w:rsidRPr="00F35F25">
        <w:rPr>
          <w:lang w:val="en-GB"/>
        </w:rPr>
        <w:t xml:space="preserve">Further dealcoholized wine </w:t>
      </w:r>
      <w:r w:rsidR="00D93250" w:rsidRPr="00F35F25">
        <w:rPr>
          <w:lang w:val="en-GB"/>
        </w:rPr>
        <w:t>samples were obtained</w:t>
      </w:r>
      <w:r w:rsidR="0089060A" w:rsidRPr="00F35F25">
        <w:rPr>
          <w:lang w:val="en-GB"/>
        </w:rPr>
        <w:t xml:space="preserve"> through</w:t>
      </w:r>
      <w:r w:rsidR="00D93250" w:rsidRPr="00F35F25">
        <w:rPr>
          <w:lang w:val="en-GB"/>
        </w:rPr>
        <w:t xml:space="preserve"> OD</w:t>
      </w:r>
      <w:r w:rsidR="00E23AB9" w:rsidRPr="00F35F25">
        <w:rPr>
          <w:lang w:val="en-GB"/>
        </w:rPr>
        <w:t>.</w:t>
      </w:r>
      <w:r w:rsidRPr="00F35F25">
        <w:rPr>
          <w:lang w:val="en-GB"/>
        </w:rPr>
        <w:t xml:space="preserve"> In this case the OD process was performed in 3 cycles, with the same conditions as before</w:t>
      </w:r>
      <w:r w:rsidR="00792DF1" w:rsidRPr="00F35F25">
        <w:rPr>
          <w:lang w:val="en-GB"/>
        </w:rPr>
        <w:t xml:space="preserve">. </w:t>
      </w:r>
      <w:r w:rsidR="00E23AB9" w:rsidRPr="00F35F25">
        <w:rPr>
          <w:lang w:val="en-GB"/>
        </w:rPr>
        <w:t>A</w:t>
      </w:r>
      <w:r w:rsidR="0027551A" w:rsidRPr="00F35F25">
        <w:rPr>
          <w:lang w:val="en-GB"/>
        </w:rPr>
        <w:t>t</w:t>
      </w:r>
      <w:r w:rsidRPr="00F35F25">
        <w:rPr>
          <w:lang w:val="en-GB"/>
        </w:rPr>
        <w:t xml:space="preserve"> the end of each cycle</w:t>
      </w:r>
      <w:r w:rsidR="0027551A" w:rsidRPr="00F35F25">
        <w:rPr>
          <w:lang w:val="en-GB"/>
        </w:rPr>
        <w:t>,</w:t>
      </w:r>
      <w:r w:rsidRPr="00F35F25">
        <w:rPr>
          <w:lang w:val="en-GB"/>
        </w:rPr>
        <w:t xml:space="preserve"> the partially dealcoholized wines as </w:t>
      </w:r>
      <w:proofErr w:type="spellStart"/>
      <w:r w:rsidRPr="00F35F25">
        <w:rPr>
          <w:lang w:val="en-GB"/>
        </w:rPr>
        <w:t>WOD</w:t>
      </w:r>
      <w:r w:rsidR="00CA7112" w:rsidRPr="00F35F25">
        <w:rPr>
          <w:vertAlign w:val="subscript"/>
          <w:lang w:val="en-GB"/>
        </w:rPr>
        <w:t>j</w:t>
      </w:r>
      <w:proofErr w:type="spellEnd"/>
      <w:r w:rsidRPr="00F35F25">
        <w:rPr>
          <w:lang w:val="en-GB"/>
        </w:rPr>
        <w:t xml:space="preserve"> </w:t>
      </w:r>
      <w:r w:rsidR="00CA7112" w:rsidRPr="00F35F25">
        <w:rPr>
          <w:lang w:val="en-GB"/>
        </w:rPr>
        <w:t>(with j=1, 2, 3 is the cycle number).</w:t>
      </w:r>
    </w:p>
    <w:p w14:paraId="429E4CFE" w14:textId="77777777" w:rsidR="0067314F" w:rsidRPr="00F35F25" w:rsidRDefault="0067314F" w:rsidP="00AA4D6F">
      <w:pPr>
        <w:pStyle w:val="CETBodytext"/>
        <w:rPr>
          <w:lang w:val="en-GB"/>
        </w:rPr>
      </w:pPr>
    </w:p>
    <w:p w14:paraId="67691D15" w14:textId="77777777" w:rsidR="0067314F" w:rsidRPr="00F35F25" w:rsidRDefault="0067314F" w:rsidP="00F35F25">
      <w:pPr>
        <w:pStyle w:val="CETBodytext"/>
        <w:jc w:val="center"/>
      </w:pPr>
      <w:r w:rsidRPr="00F35F25">
        <w:rPr>
          <w:noProof/>
          <w:lang w:val="it-IT" w:eastAsia="it-IT"/>
        </w:rPr>
        <w:drawing>
          <wp:inline distT="0" distB="0" distL="0" distR="0" wp14:anchorId="281EC94D" wp14:editId="401D6451">
            <wp:extent cx="3886200" cy="1612900"/>
            <wp:effectExtent l="0" t="0" r="0" b="6350"/>
            <wp:docPr id="1" name="Immagine 1" descr="F:\for Phd\convegni\EFF2019\dopo rev\figure EFF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r Phd\convegni\EFF2019\dopo rev\figure EFF 2019.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4454" t="14568" r="15896" b="46889"/>
                    <a:stretch/>
                  </pic:blipFill>
                  <pic:spPr bwMode="auto">
                    <a:xfrm>
                      <a:off x="0" y="0"/>
                      <a:ext cx="3886348" cy="1612961"/>
                    </a:xfrm>
                    <a:prstGeom prst="rect">
                      <a:avLst/>
                    </a:prstGeom>
                    <a:noFill/>
                    <a:ln>
                      <a:noFill/>
                    </a:ln>
                    <a:extLst>
                      <a:ext uri="{53640926-AAD7-44D8-BBD7-CCE9431645EC}">
                        <a14:shadowObscured xmlns:a14="http://schemas.microsoft.com/office/drawing/2010/main"/>
                      </a:ext>
                    </a:extLst>
                  </pic:spPr>
                </pic:pic>
              </a:graphicData>
            </a:graphic>
          </wp:inline>
        </w:drawing>
      </w:r>
    </w:p>
    <w:p w14:paraId="41D0165F" w14:textId="468D967B" w:rsidR="0067314F" w:rsidRPr="00F35F25" w:rsidRDefault="0067314F" w:rsidP="00F35F25">
      <w:pPr>
        <w:pStyle w:val="CETBodytext"/>
        <w:jc w:val="center"/>
      </w:pPr>
      <w:r w:rsidRPr="00F35F25">
        <w:t xml:space="preserve">Figure 1: Scheme of </w:t>
      </w:r>
      <w:r w:rsidRPr="00F35F25">
        <w:rPr>
          <w:lang w:val="en-GB"/>
        </w:rPr>
        <w:t xml:space="preserve">OD semi-pilot plant equipped with membrane module (1.7 x 5.5, </w:t>
      </w:r>
      <w:proofErr w:type="spellStart"/>
      <w:r w:rsidRPr="00F35F25">
        <w:rPr>
          <w:lang w:val="en-GB"/>
        </w:rPr>
        <w:t>Liqui-cel</w:t>
      </w:r>
      <w:proofErr w:type="spellEnd"/>
      <w:r w:rsidRPr="00F35F25">
        <w:rPr>
          <w:lang w:val="en-GB"/>
        </w:rPr>
        <w:t>)</w:t>
      </w:r>
      <w:r w:rsidRPr="00F35F25">
        <w:t xml:space="preserve">. </w:t>
      </w:r>
    </w:p>
    <w:p w14:paraId="7ECFA391" w14:textId="77777777" w:rsidR="0067314F" w:rsidRPr="00F35F25" w:rsidRDefault="0067314F" w:rsidP="00824949">
      <w:pPr>
        <w:pStyle w:val="CETheadingx"/>
        <w:numPr>
          <w:ilvl w:val="0"/>
          <w:numId w:val="0"/>
        </w:numPr>
        <w:rPr>
          <w:lang w:val="en-GB"/>
        </w:rPr>
      </w:pPr>
    </w:p>
    <w:p w14:paraId="2882710E" w14:textId="0BC0112A" w:rsidR="00AA4D6F" w:rsidRPr="00F35F25" w:rsidRDefault="005C51CB" w:rsidP="00824949">
      <w:pPr>
        <w:pStyle w:val="CETheadingx"/>
        <w:numPr>
          <w:ilvl w:val="0"/>
          <w:numId w:val="0"/>
        </w:numPr>
        <w:rPr>
          <w:lang w:val="en-GB"/>
        </w:rPr>
      </w:pPr>
      <w:r w:rsidRPr="00F35F25">
        <w:rPr>
          <w:lang w:val="en-GB"/>
        </w:rPr>
        <w:t xml:space="preserve">2.2 </w:t>
      </w:r>
      <w:proofErr w:type="spellStart"/>
      <w:r w:rsidR="00CA7112" w:rsidRPr="00F35F25">
        <w:rPr>
          <w:lang w:val="en-GB"/>
        </w:rPr>
        <w:t>Chemic</w:t>
      </w:r>
      <w:r w:rsidR="00D87C2C" w:rsidRPr="00F35F25">
        <w:rPr>
          <w:lang w:val="en-GB"/>
        </w:rPr>
        <w:t>o</w:t>
      </w:r>
      <w:proofErr w:type="spellEnd"/>
      <w:r w:rsidR="00D87C2C" w:rsidRPr="00F35F25">
        <w:rPr>
          <w:lang w:val="en-GB"/>
        </w:rPr>
        <w:t>-physic</w:t>
      </w:r>
      <w:r w:rsidR="00CA7112" w:rsidRPr="00F35F25">
        <w:rPr>
          <w:lang w:val="en-GB"/>
        </w:rPr>
        <w:t>al a</w:t>
      </w:r>
      <w:r w:rsidR="00AA4D6F" w:rsidRPr="00F35F25">
        <w:rPr>
          <w:lang w:val="en-GB"/>
        </w:rPr>
        <w:t>nalyses</w:t>
      </w:r>
      <w:r w:rsidR="00792DF1" w:rsidRPr="00F35F25">
        <w:rPr>
          <w:lang w:val="en-GB"/>
        </w:rPr>
        <w:t xml:space="preserve"> </w:t>
      </w:r>
    </w:p>
    <w:p w14:paraId="2F37E5A0" w14:textId="5FE32FAB" w:rsidR="00AA4D6F" w:rsidRPr="00F35F25" w:rsidRDefault="00AA4D6F" w:rsidP="00AA4D6F">
      <w:pPr>
        <w:pStyle w:val="CETBodytext"/>
        <w:rPr>
          <w:lang w:val="en-GB"/>
        </w:rPr>
      </w:pPr>
      <w:r w:rsidRPr="00F35F25">
        <w:rPr>
          <w:lang w:val="en-GB"/>
        </w:rPr>
        <w:t>Alcohol content,</w:t>
      </w:r>
      <w:r w:rsidR="0027551A" w:rsidRPr="00F35F25" w:rsidDel="0027551A">
        <w:rPr>
          <w:lang w:val="en-GB"/>
        </w:rPr>
        <w:t xml:space="preserve"> </w:t>
      </w:r>
      <w:r w:rsidRPr="00F35F25">
        <w:rPr>
          <w:lang w:val="en-GB"/>
        </w:rPr>
        <w:t xml:space="preserve">total </w:t>
      </w:r>
      <w:r w:rsidR="00632866" w:rsidRPr="00F35F25">
        <w:rPr>
          <w:lang w:val="en-GB"/>
        </w:rPr>
        <w:t xml:space="preserve">and </w:t>
      </w:r>
      <w:r w:rsidRPr="00F35F25">
        <w:rPr>
          <w:lang w:val="en-GB"/>
        </w:rPr>
        <w:t xml:space="preserve">volatile acidity, </w:t>
      </w:r>
      <w:r w:rsidR="001919C9" w:rsidRPr="00F35F25">
        <w:rPr>
          <w:lang w:val="en-GB"/>
        </w:rPr>
        <w:t xml:space="preserve">tartaric acid, </w:t>
      </w:r>
      <w:r w:rsidR="00632866" w:rsidRPr="00F35F25">
        <w:rPr>
          <w:lang w:val="en-GB"/>
        </w:rPr>
        <w:t>pH</w:t>
      </w:r>
      <w:r w:rsidRPr="00F35F25">
        <w:rPr>
          <w:lang w:val="en-GB"/>
        </w:rPr>
        <w:t xml:space="preserve"> were determined by means of a </w:t>
      </w:r>
      <w:proofErr w:type="spellStart"/>
      <w:r w:rsidRPr="00F35F25">
        <w:rPr>
          <w:lang w:val="en-GB"/>
        </w:rPr>
        <w:t>Winescan</w:t>
      </w:r>
      <w:proofErr w:type="spellEnd"/>
      <w:r w:rsidRPr="00F35F25">
        <w:rPr>
          <w:lang w:val="en-GB"/>
        </w:rPr>
        <w:t xml:space="preserve"> (FOSS, Napa)</w:t>
      </w:r>
      <w:r w:rsidR="00AC796E" w:rsidRPr="00F35F25">
        <w:rPr>
          <w:lang w:val="en-GB"/>
        </w:rPr>
        <w:t>,</w:t>
      </w:r>
      <w:r w:rsidRPr="00F35F25">
        <w:rPr>
          <w:lang w:val="en-GB"/>
        </w:rPr>
        <w:t xml:space="preserve"> according to the OIV Compendium of International Methods of Analysis of Wine and Musts (2007). Total phenols </w:t>
      </w:r>
      <w:r w:rsidR="00632866" w:rsidRPr="00F35F25">
        <w:rPr>
          <w:lang w:val="en-GB"/>
        </w:rPr>
        <w:t xml:space="preserve">(TP) </w:t>
      </w:r>
      <w:r w:rsidRPr="00F35F25">
        <w:rPr>
          <w:lang w:val="en-GB"/>
        </w:rPr>
        <w:t xml:space="preserve">amount in wines was determined with the </w:t>
      </w:r>
      <w:proofErr w:type="spellStart"/>
      <w:r w:rsidRPr="00F35F25">
        <w:rPr>
          <w:lang w:val="en-GB"/>
        </w:rPr>
        <w:t>Folin</w:t>
      </w:r>
      <w:proofErr w:type="spellEnd"/>
      <w:r w:rsidRPr="00F35F25">
        <w:rPr>
          <w:lang w:val="en-GB"/>
        </w:rPr>
        <w:t>–</w:t>
      </w:r>
      <w:proofErr w:type="spellStart"/>
      <w:r w:rsidRPr="00F35F25">
        <w:rPr>
          <w:lang w:val="en-GB"/>
        </w:rPr>
        <w:t>Ciocalteu</w:t>
      </w:r>
      <w:proofErr w:type="spellEnd"/>
      <w:r w:rsidRPr="00F35F25">
        <w:rPr>
          <w:lang w:val="en-GB"/>
        </w:rPr>
        <w:t xml:space="preserve"> reagent (Singleton &amp; Rossi, 1965; Liguori et al., </w:t>
      </w:r>
      <w:r w:rsidR="008B1CA1">
        <w:rPr>
          <w:lang w:val="en-GB"/>
        </w:rPr>
        <w:t>2018</w:t>
      </w:r>
      <w:r w:rsidR="00F35F25">
        <w:rPr>
          <w:lang w:val="en-GB"/>
        </w:rPr>
        <w:t>b</w:t>
      </w:r>
      <w:r w:rsidR="008B1CA1">
        <w:rPr>
          <w:lang w:val="en-GB"/>
        </w:rPr>
        <w:t xml:space="preserve">; </w:t>
      </w:r>
      <w:r w:rsidRPr="00F35F25">
        <w:rPr>
          <w:lang w:val="en-GB"/>
        </w:rPr>
        <w:t xml:space="preserve">2016). Total anthocyanins </w:t>
      </w:r>
      <w:r w:rsidR="00632866" w:rsidRPr="00F35F25">
        <w:rPr>
          <w:lang w:val="en-GB"/>
        </w:rPr>
        <w:t xml:space="preserve">(TA) </w:t>
      </w:r>
      <w:r w:rsidRPr="00F35F25">
        <w:rPr>
          <w:lang w:val="en-GB"/>
        </w:rPr>
        <w:t xml:space="preserve">concentration </w:t>
      </w:r>
      <w:r w:rsidR="00632866" w:rsidRPr="00F35F25">
        <w:rPr>
          <w:lang w:val="en-GB"/>
        </w:rPr>
        <w:t xml:space="preserve">was </w:t>
      </w:r>
      <w:r w:rsidRPr="00F35F25">
        <w:rPr>
          <w:lang w:val="en-GB"/>
        </w:rPr>
        <w:t>determined by spectrophotometry according to Corona et al. (2015)</w:t>
      </w:r>
      <w:r w:rsidR="00632866" w:rsidRPr="00F35F25">
        <w:rPr>
          <w:lang w:val="en-GB"/>
        </w:rPr>
        <w:t xml:space="preserve">, </w:t>
      </w:r>
      <w:r w:rsidR="008D1CE0" w:rsidRPr="00F35F25">
        <w:rPr>
          <w:lang w:val="en-GB"/>
        </w:rPr>
        <w:t>expressed as mg</w:t>
      </w:r>
      <w:r w:rsidRPr="00F35F25">
        <w:rPr>
          <w:lang w:val="en-GB"/>
        </w:rPr>
        <w:t xml:space="preserve"> malvidin-3-glucoside equivalents</w:t>
      </w:r>
      <w:r w:rsidR="008D1CE0" w:rsidRPr="00F35F25">
        <w:rPr>
          <w:lang w:val="en-GB"/>
        </w:rPr>
        <w:t>/L</w:t>
      </w:r>
      <w:r w:rsidRPr="00F35F25">
        <w:rPr>
          <w:lang w:val="en-GB"/>
        </w:rPr>
        <w:t xml:space="preserve"> </w:t>
      </w:r>
      <w:r w:rsidR="00632866" w:rsidRPr="00F35F25">
        <w:rPr>
          <w:lang w:val="en-GB"/>
        </w:rPr>
        <w:t xml:space="preserve">and </w:t>
      </w:r>
      <w:r w:rsidRPr="00F35F25">
        <w:rPr>
          <w:lang w:val="en-GB"/>
        </w:rPr>
        <w:t>calculated as follows:</w:t>
      </w:r>
    </w:p>
    <w:p w14:paraId="0E71062B" w14:textId="77777777" w:rsidR="005C51CB" w:rsidRPr="00F35F25" w:rsidRDefault="005C51CB" w:rsidP="00AA4D6F">
      <w:pPr>
        <w:pStyle w:val="CETBodytext"/>
        <w:rPr>
          <w:lang w:val="en-GB"/>
        </w:rPr>
      </w:pPr>
    </w:p>
    <w:tbl>
      <w:tblPr>
        <w:tblW w:w="5000" w:type="pct"/>
        <w:tblLook w:val="04A0" w:firstRow="1" w:lastRow="0" w:firstColumn="1" w:lastColumn="0" w:noHBand="0" w:noVBand="1"/>
      </w:tblPr>
      <w:tblGrid>
        <w:gridCol w:w="8188"/>
        <w:gridCol w:w="815"/>
      </w:tblGrid>
      <w:tr w:rsidR="00CD175D" w:rsidRPr="00F35F25" w14:paraId="10D6D52F" w14:textId="77777777" w:rsidTr="00A316A5">
        <w:tc>
          <w:tcPr>
            <w:tcW w:w="8188" w:type="dxa"/>
            <w:shd w:val="clear" w:color="auto" w:fill="auto"/>
            <w:vAlign w:val="center"/>
          </w:tcPr>
          <w:p w14:paraId="3152122C" w14:textId="60D30BDB" w:rsidR="00CD175D" w:rsidRPr="00F35F25" w:rsidRDefault="00782BCC">
            <w:pPr>
              <w:pStyle w:val="CETEquation"/>
              <w:rPr>
                <w:rFonts w:cs="Arial"/>
              </w:rPr>
            </w:pPr>
            <m:oMathPara>
              <m:oMathParaPr>
                <m:jc m:val="left"/>
              </m:oMathParaPr>
              <m:oMath>
                <m:r>
                  <w:rPr>
                    <w:rFonts w:ascii="Cambria Math" w:hAnsi="Cambria Math" w:cs="Arial"/>
                  </w:rPr>
                  <m:t>TA</m:t>
                </m:r>
                <m:r>
                  <m:rPr>
                    <m:sty m:val="p"/>
                  </m:rPr>
                  <w:rPr>
                    <w:rFonts w:ascii="Cambria Math" w:hAnsi="Cambria Math" w:cs="Arial"/>
                  </w:rPr>
                  <m:t xml:space="preserve">= </m:t>
                </m:r>
                <m:f>
                  <m:fPr>
                    <m:ctrlPr>
                      <w:rPr>
                        <w:rFonts w:ascii="Cambria Math" w:hAnsi="Cambria Math" w:cs="Arial"/>
                      </w:rPr>
                    </m:ctrlPr>
                  </m:fPr>
                  <m:num>
                    <m:r>
                      <w:rPr>
                        <w:rFonts w:ascii="Cambria Math" w:hAnsi="Cambria Math" w:cs="Arial"/>
                      </w:rPr>
                      <m:t>MW</m:t>
                    </m:r>
                  </m:num>
                  <m:den>
                    <m:r>
                      <m:rPr>
                        <m:sty m:val="p"/>
                      </m:rPr>
                      <w:rPr>
                        <w:rFonts w:ascii="Cambria Math" w:hAnsi="Cambria Math" w:cs="Arial"/>
                      </w:rPr>
                      <m:t>ε</m:t>
                    </m:r>
                  </m:den>
                </m:f>
                <m:r>
                  <m:rPr>
                    <m:sty m:val="p"/>
                  </m:rPr>
                  <w:rPr>
                    <w:rFonts w:ascii="Cambria Math" w:hAnsi="Cambria Math" w:cs="Arial"/>
                  </w:rPr>
                  <m:t xml:space="preserve"> </m:t>
                </m:r>
                <m:sSub>
                  <m:sSubPr>
                    <m:ctrlPr>
                      <w:rPr>
                        <w:rFonts w:ascii="Cambria Math" w:hAnsi="Cambria Math" w:cs="Arial"/>
                      </w:rPr>
                    </m:ctrlPr>
                  </m:sSubPr>
                  <m:e>
                    <m:r>
                      <w:rPr>
                        <w:rFonts w:ascii="Cambria Math" w:hAnsi="Cambria Math" w:cs="Arial"/>
                      </w:rPr>
                      <m:t>E</m:t>
                    </m:r>
                  </m:e>
                  <m:sub>
                    <m:r>
                      <m:rPr>
                        <m:sty m:val="p"/>
                      </m:rPr>
                      <w:rPr>
                        <w:rFonts w:ascii="Cambria Math" w:hAnsi="Cambria Math" w:cs="Arial"/>
                      </w:rPr>
                      <m:t>540</m:t>
                    </m:r>
                  </m:sub>
                </m:sSub>
                <m:r>
                  <m:rPr>
                    <m:sty m:val="p"/>
                  </m:rPr>
                  <w:rPr>
                    <w:rFonts w:ascii="Cambria Math" w:hAnsi="Cambria Math" w:cs="Arial"/>
                  </w:rPr>
                  <m:t xml:space="preserve">  50</m:t>
                </m:r>
              </m:oMath>
            </m:oMathPara>
          </w:p>
        </w:tc>
        <w:tc>
          <w:tcPr>
            <w:tcW w:w="815" w:type="dxa"/>
            <w:shd w:val="clear" w:color="auto" w:fill="auto"/>
            <w:vAlign w:val="center"/>
          </w:tcPr>
          <w:p w14:paraId="348FEF29" w14:textId="77777777" w:rsidR="00CD175D" w:rsidRPr="00F35F25" w:rsidRDefault="00CD175D" w:rsidP="00F35F25">
            <w:pPr>
              <w:pStyle w:val="CETEquation"/>
            </w:pPr>
            <w:r w:rsidRPr="00F35F25">
              <w:t>(1)</w:t>
            </w:r>
          </w:p>
        </w:tc>
      </w:tr>
    </w:tbl>
    <w:p w14:paraId="65C0D256" w14:textId="4ECB792A" w:rsidR="00CD175D" w:rsidRPr="00F35F25" w:rsidRDefault="00CD175D" w:rsidP="00AA4D6F">
      <w:pPr>
        <w:pStyle w:val="CETBodytext"/>
        <w:rPr>
          <w:lang w:val="en-GB"/>
        </w:rPr>
      </w:pPr>
    </w:p>
    <w:p w14:paraId="4A9D4FAB" w14:textId="77777777" w:rsidR="00AA4D6F" w:rsidRPr="00F35F25" w:rsidRDefault="00AA4D6F" w:rsidP="00AA4D6F">
      <w:pPr>
        <w:pStyle w:val="CETBodytext"/>
        <w:rPr>
          <w:lang w:val="en-GB"/>
        </w:rPr>
      </w:pPr>
      <w:r w:rsidRPr="00F35F25">
        <w:rPr>
          <w:lang w:val="en-GB"/>
        </w:rPr>
        <w:t xml:space="preserve">with </w:t>
      </w:r>
      <w:r w:rsidRPr="00F35F25">
        <w:rPr>
          <w:rFonts w:ascii="Symbol" w:hAnsi="Symbol"/>
          <w:lang w:val="en-GB"/>
        </w:rPr>
        <w:t></w:t>
      </w:r>
      <w:r w:rsidRPr="00F35F25">
        <w:rPr>
          <w:lang w:val="en-GB"/>
        </w:rPr>
        <w:t>= 33.70, MW/</w:t>
      </w:r>
      <w:r w:rsidRPr="00F35F25">
        <w:rPr>
          <w:rFonts w:ascii="Symbol" w:hAnsi="Symbol"/>
          <w:lang w:val="en-GB"/>
        </w:rPr>
        <w:t></w:t>
      </w:r>
      <w:r w:rsidRPr="00F35F25">
        <w:rPr>
          <w:rFonts w:ascii="Symbol" w:hAnsi="Symbol"/>
          <w:lang w:val="en-GB"/>
        </w:rPr>
        <w:t></w:t>
      </w:r>
      <w:r w:rsidRPr="00F35F25">
        <w:rPr>
          <w:rFonts w:ascii="Symbol" w:hAnsi="Symbol"/>
          <w:lang w:val="en-GB"/>
        </w:rPr>
        <w:t></w:t>
      </w:r>
      <w:r w:rsidRPr="00F35F25">
        <w:rPr>
          <w:rFonts w:ascii="Symbol" w:hAnsi="Symbol"/>
          <w:lang w:val="en-GB"/>
        </w:rPr>
        <w:t></w:t>
      </w:r>
      <w:r w:rsidRPr="00F35F25">
        <w:rPr>
          <w:lang w:val="en-GB"/>
        </w:rPr>
        <w:t>16.17 for malvidin-3-glucoside in methanol–</w:t>
      </w:r>
      <w:proofErr w:type="spellStart"/>
      <w:r w:rsidRPr="00F35F25">
        <w:rPr>
          <w:lang w:val="en-GB"/>
        </w:rPr>
        <w:t>HCl</w:t>
      </w:r>
      <w:proofErr w:type="spellEnd"/>
      <w:r w:rsidRPr="00F35F25">
        <w:rPr>
          <w:lang w:val="en-GB"/>
        </w:rPr>
        <w:t xml:space="preserve"> (</w:t>
      </w:r>
      <w:proofErr w:type="spellStart"/>
      <w:r w:rsidRPr="00F35F25">
        <w:rPr>
          <w:lang w:val="en-GB"/>
        </w:rPr>
        <w:t>Wulf</w:t>
      </w:r>
      <w:proofErr w:type="spellEnd"/>
      <w:r w:rsidRPr="00F35F25">
        <w:rPr>
          <w:lang w:val="en-GB"/>
        </w:rPr>
        <w:t xml:space="preserve"> and Nagel, 1979).</w:t>
      </w:r>
    </w:p>
    <w:p w14:paraId="10063342" w14:textId="77777777" w:rsidR="00632866" w:rsidRPr="00F35F25" w:rsidRDefault="00632866" w:rsidP="00AA4D6F">
      <w:pPr>
        <w:pStyle w:val="CETBodytext"/>
        <w:rPr>
          <w:lang w:val="en-GB"/>
        </w:rPr>
      </w:pPr>
      <w:r w:rsidRPr="00F35F25">
        <w:rPr>
          <w:lang w:val="en-GB"/>
        </w:rPr>
        <w:t xml:space="preserve">Colour parameters were evaluated according to Glories method (1984), through a Perkin Elmer UV/VIS Spectrometer equipped with Lambda Bio 40 software. </w:t>
      </w:r>
    </w:p>
    <w:p w14:paraId="58E9202D" w14:textId="2C98BF21" w:rsidR="00AA4D6F" w:rsidRPr="00F35F25" w:rsidRDefault="00AA4D6F" w:rsidP="00AA4D6F">
      <w:pPr>
        <w:pStyle w:val="CETBodytext"/>
        <w:rPr>
          <w:lang w:val="en-GB"/>
        </w:rPr>
      </w:pPr>
      <w:r w:rsidRPr="00F35F25">
        <w:rPr>
          <w:lang w:val="en-GB"/>
        </w:rPr>
        <w:t>Volatiles organic compounds (VOCs) were determined on 25 mL of wine, through an elution on 1 g C</w:t>
      </w:r>
      <w:r w:rsidRPr="00F35F25">
        <w:rPr>
          <w:vertAlign w:val="subscript"/>
          <w:lang w:val="en-GB"/>
        </w:rPr>
        <w:t>18</w:t>
      </w:r>
      <w:r w:rsidRPr="00F35F25">
        <w:rPr>
          <w:lang w:val="en-GB"/>
        </w:rPr>
        <w:t xml:space="preserve"> cartridge (</w:t>
      </w:r>
      <w:proofErr w:type="spellStart"/>
      <w:r w:rsidRPr="00F35F25">
        <w:rPr>
          <w:lang w:val="en-GB"/>
        </w:rPr>
        <w:t>Isolute</w:t>
      </w:r>
      <w:proofErr w:type="spellEnd"/>
      <w:r w:rsidRPr="00F35F25">
        <w:rPr>
          <w:lang w:val="en-GB"/>
        </w:rPr>
        <w:t>, SPE Columns)</w:t>
      </w:r>
      <w:r w:rsidR="005215BD" w:rsidRPr="00F35F25">
        <w:rPr>
          <w:lang w:val="en-GB"/>
        </w:rPr>
        <w:t>,</w:t>
      </w:r>
      <w:r w:rsidRPr="00F35F25">
        <w:rPr>
          <w:lang w:val="en-GB"/>
        </w:rPr>
        <w:t xml:space="preserve"> with gas chromatography (Perkin Elmer </w:t>
      </w:r>
      <w:proofErr w:type="spellStart"/>
      <w:r w:rsidRPr="00F35F25">
        <w:rPr>
          <w:lang w:val="en-GB"/>
        </w:rPr>
        <w:t>Autosystem</w:t>
      </w:r>
      <w:proofErr w:type="spellEnd"/>
      <w:r w:rsidRPr="00F35F25">
        <w:rPr>
          <w:lang w:val="en-GB"/>
        </w:rPr>
        <w:t xml:space="preserve"> XL) and gas </w:t>
      </w:r>
      <w:r w:rsidRPr="00F35F25">
        <w:rPr>
          <w:lang w:val="en-GB"/>
        </w:rPr>
        <w:lastRenderedPageBreak/>
        <w:t xml:space="preserve">chromatography-mass spectrometry (Agilent 6890 Series GC system, Agilent 5973 Net Work Mass Selective Detector), both equipped with a DB-WAX column (Agilent Technologies, 30 m, 0.250 mm </w:t>
      </w:r>
      <w:proofErr w:type="spellStart"/>
      <w:r w:rsidRPr="00F35F25">
        <w:rPr>
          <w:lang w:val="en-GB"/>
        </w:rPr>
        <w:t>i.d.</w:t>
      </w:r>
      <w:proofErr w:type="spellEnd"/>
      <w:r w:rsidRPr="00F35F25">
        <w:rPr>
          <w:lang w:val="en-GB"/>
        </w:rPr>
        <w:t xml:space="preserve">, film thickness 0.25 </w:t>
      </w:r>
      <w:proofErr w:type="spellStart"/>
      <w:r w:rsidRPr="00F35F25">
        <w:rPr>
          <w:lang w:val="en-GB"/>
        </w:rPr>
        <w:t>μm</w:t>
      </w:r>
      <w:proofErr w:type="spellEnd"/>
      <w:r w:rsidRPr="00F35F25">
        <w:rPr>
          <w:lang w:val="en-GB"/>
        </w:rPr>
        <w:t xml:space="preserve">), as described by Corona et al. (2010). </w:t>
      </w:r>
    </w:p>
    <w:p w14:paraId="25389D70" w14:textId="77777777" w:rsidR="00AA4D6F" w:rsidRPr="00F35F25" w:rsidRDefault="005C51CB" w:rsidP="00824949">
      <w:pPr>
        <w:pStyle w:val="CETheadingx"/>
        <w:numPr>
          <w:ilvl w:val="0"/>
          <w:numId w:val="0"/>
        </w:numPr>
      </w:pPr>
      <w:r w:rsidRPr="00F35F25">
        <w:t xml:space="preserve">2.3 </w:t>
      </w:r>
      <w:r w:rsidR="00AA4D6F" w:rsidRPr="00F35F25">
        <w:t>Statistical analysis</w:t>
      </w:r>
    </w:p>
    <w:p w14:paraId="07FCA889" w14:textId="3BCE4741" w:rsidR="00AA4D6F" w:rsidRPr="00F35F25" w:rsidRDefault="00AA4D6F" w:rsidP="00AA4D6F">
      <w:pPr>
        <w:pStyle w:val="CETBodytext"/>
        <w:rPr>
          <w:lang w:val="en-GB"/>
        </w:rPr>
      </w:pPr>
      <w:r w:rsidRPr="00F35F25">
        <w:rPr>
          <w:lang w:val="en-GB"/>
        </w:rPr>
        <w:t xml:space="preserve">Tests of dealcoholization and chemical analyses were carried out in triplicate; mean values and standard deviation values were reported. </w:t>
      </w:r>
      <w:proofErr w:type="spellStart"/>
      <w:r w:rsidRPr="00F35F25">
        <w:rPr>
          <w:lang w:val="en-GB"/>
        </w:rPr>
        <w:t>Monofactorial</w:t>
      </w:r>
      <w:proofErr w:type="spellEnd"/>
      <w:r w:rsidRPr="00F35F25">
        <w:rPr>
          <w:lang w:val="en-GB"/>
        </w:rPr>
        <w:t xml:space="preserve"> variance analysis was used to determine significant differences (P&lt;0.05) among </w:t>
      </w:r>
      <w:r w:rsidRPr="00F35F25">
        <w:rPr>
          <w:i/>
          <w:lang w:val="en-GB"/>
        </w:rPr>
        <w:t>Montepulciano</w:t>
      </w:r>
      <w:r w:rsidRPr="00F35F25">
        <w:rPr>
          <w:lang w:val="en-GB"/>
        </w:rPr>
        <w:t xml:space="preserve"> wine and </w:t>
      </w:r>
      <w:r w:rsidR="00BE1ED3" w:rsidRPr="00F35F25">
        <w:rPr>
          <w:lang w:val="en-GB"/>
        </w:rPr>
        <w:t>low alcohol</w:t>
      </w:r>
      <w:r w:rsidRPr="00F35F25">
        <w:rPr>
          <w:lang w:val="en-GB"/>
        </w:rPr>
        <w:t xml:space="preserve"> wines by Analysis Lab software.</w:t>
      </w:r>
      <w:r w:rsidR="00632866" w:rsidRPr="00F35F25">
        <w:rPr>
          <w:lang w:val="en-GB"/>
        </w:rPr>
        <w:t xml:space="preserve"> Principal component analysis (PCA) on some volatile compounds of wine samples was performed by</w:t>
      </w:r>
      <w:r w:rsidR="00183511" w:rsidRPr="00F35F25">
        <w:rPr>
          <w:lang w:val="en-GB"/>
        </w:rPr>
        <w:t xml:space="preserve"> </w:t>
      </w:r>
      <w:r w:rsidR="005215BD" w:rsidRPr="00F35F25">
        <w:rPr>
          <w:lang w:val="en-GB"/>
        </w:rPr>
        <w:t>SPSS</w:t>
      </w:r>
      <w:r w:rsidR="00183511" w:rsidRPr="00F35F25">
        <w:rPr>
          <w:lang w:val="en-GB"/>
        </w:rPr>
        <w:t xml:space="preserve"> 13.0 software.</w:t>
      </w:r>
    </w:p>
    <w:p w14:paraId="02DA47E5" w14:textId="77777777" w:rsidR="00AA4D6F" w:rsidRPr="00F35F25" w:rsidRDefault="00AA4D6F" w:rsidP="00824949">
      <w:pPr>
        <w:pStyle w:val="CETHeading1"/>
      </w:pPr>
      <w:r w:rsidRPr="00F35F25">
        <w:t>Results and discussion</w:t>
      </w:r>
    </w:p>
    <w:p w14:paraId="5B17494E" w14:textId="77777777" w:rsidR="005D05BA" w:rsidRPr="00F35F25" w:rsidRDefault="00E23AB9" w:rsidP="00984BEC">
      <w:pPr>
        <w:pStyle w:val="CETBodytext"/>
        <w:rPr>
          <w:lang w:val="en-GB"/>
        </w:rPr>
      </w:pPr>
      <w:r w:rsidRPr="00F35F25">
        <w:rPr>
          <w:lang w:val="en-GB"/>
        </w:rPr>
        <w:t xml:space="preserve">The red wine, </w:t>
      </w:r>
      <w:proofErr w:type="spellStart"/>
      <w:r w:rsidRPr="00F35F25">
        <w:rPr>
          <w:i/>
          <w:lang w:val="en-GB"/>
        </w:rPr>
        <w:t>Montepulciano</w:t>
      </w:r>
      <w:proofErr w:type="spellEnd"/>
      <w:r w:rsidRPr="00F35F25">
        <w:rPr>
          <w:i/>
          <w:lang w:val="en-GB"/>
        </w:rPr>
        <w:t xml:space="preserve"> </w:t>
      </w:r>
      <w:proofErr w:type="spellStart"/>
      <w:r w:rsidRPr="00F35F25">
        <w:rPr>
          <w:i/>
          <w:lang w:val="en-GB"/>
        </w:rPr>
        <w:t>d’Abruzzo</w:t>
      </w:r>
      <w:proofErr w:type="spellEnd"/>
      <w:r w:rsidRPr="00F35F25">
        <w:rPr>
          <w:lang w:val="en-GB"/>
        </w:rPr>
        <w:t>, was dealcoholized at three different alcohol degree</w:t>
      </w:r>
      <w:r w:rsidR="00984BEC" w:rsidRPr="00F35F25">
        <w:rPr>
          <w:lang w:val="en-GB"/>
        </w:rPr>
        <w:t>s</w:t>
      </w:r>
      <w:r w:rsidRPr="00F35F25">
        <w:rPr>
          <w:lang w:val="en-GB"/>
        </w:rPr>
        <w:t xml:space="preserve"> (about -5, -6 and -8 %v/v). </w:t>
      </w:r>
      <w:r w:rsidR="00B10FBF" w:rsidRPr="00F35F25">
        <w:rPr>
          <w:lang w:val="en-GB"/>
        </w:rPr>
        <w:t xml:space="preserve">The main </w:t>
      </w:r>
      <w:proofErr w:type="spellStart"/>
      <w:r w:rsidR="00B10FBF" w:rsidRPr="00F35F25">
        <w:t>chemico</w:t>
      </w:r>
      <w:proofErr w:type="spellEnd"/>
      <w:r w:rsidR="00B10FBF" w:rsidRPr="00F35F25">
        <w:t>-physical</w:t>
      </w:r>
      <w:r w:rsidR="00B10FBF" w:rsidRPr="00F35F25">
        <w:rPr>
          <w:lang w:val="en-GB"/>
        </w:rPr>
        <w:t xml:space="preserve"> properties of </w:t>
      </w:r>
      <w:r w:rsidRPr="00F35F25">
        <w:rPr>
          <w:lang w:val="en-GB"/>
        </w:rPr>
        <w:t xml:space="preserve">low alcohol wines obtained through combined RO-OD </w:t>
      </w:r>
      <w:r w:rsidR="00B10FBF" w:rsidRPr="00F35F25">
        <w:rPr>
          <w:lang w:val="en-GB"/>
        </w:rPr>
        <w:t xml:space="preserve">and </w:t>
      </w:r>
      <w:r w:rsidRPr="00F35F25">
        <w:rPr>
          <w:lang w:val="en-GB"/>
        </w:rPr>
        <w:t xml:space="preserve">single OD membrane process </w:t>
      </w:r>
      <w:r w:rsidR="00B10FBF" w:rsidRPr="00F35F25">
        <w:rPr>
          <w:lang w:val="en-GB"/>
        </w:rPr>
        <w:t xml:space="preserve">are reported in Table 1. </w:t>
      </w:r>
    </w:p>
    <w:p w14:paraId="1D8EE097" w14:textId="77777777" w:rsidR="005D05BA" w:rsidRPr="00F35F25" w:rsidRDefault="005D05BA" w:rsidP="00F741FF">
      <w:pPr>
        <w:pStyle w:val="CETTabletitle"/>
        <w:jc w:val="both"/>
        <w:rPr>
          <w:lang w:val="en-US"/>
        </w:rPr>
      </w:pPr>
      <w:r w:rsidRPr="00F35F25">
        <w:t xml:space="preserve">Table 1: </w:t>
      </w:r>
      <w:proofErr w:type="spellStart"/>
      <w:r w:rsidRPr="00F35F25">
        <w:t>Chemico</w:t>
      </w:r>
      <w:proofErr w:type="spellEnd"/>
      <w:r w:rsidRPr="00F35F25">
        <w:t>-physical characteristics of original wine (W</w:t>
      </w:r>
      <w:r w:rsidRPr="00F35F25">
        <w:rPr>
          <w:i w:val="0"/>
          <w:vertAlign w:val="subscript"/>
        </w:rPr>
        <w:t>0</w:t>
      </w:r>
      <w:r w:rsidRPr="00F35F25">
        <w:t xml:space="preserve">) and partial dealcoholized wines. </w:t>
      </w:r>
    </w:p>
    <w:tbl>
      <w:tblPr>
        <w:tblW w:w="5000" w:type="pct"/>
        <w:tblBorders>
          <w:top w:val="single" w:sz="12" w:space="0" w:color="008000"/>
          <w:bottom w:val="single" w:sz="12" w:space="0" w:color="008000"/>
        </w:tblBorders>
        <w:shd w:val="clear" w:color="auto" w:fill="FFFFFF"/>
        <w:tblCellMar>
          <w:top w:w="57" w:type="dxa"/>
          <w:left w:w="57" w:type="dxa"/>
          <w:bottom w:w="57" w:type="dxa"/>
          <w:right w:w="57" w:type="dxa"/>
        </w:tblCellMar>
        <w:tblLook w:val="00A0" w:firstRow="1" w:lastRow="0" w:firstColumn="1" w:lastColumn="0" w:noHBand="0" w:noVBand="0"/>
      </w:tblPr>
      <w:tblGrid>
        <w:gridCol w:w="1735"/>
        <w:gridCol w:w="1113"/>
        <w:gridCol w:w="1009"/>
        <w:gridCol w:w="1009"/>
        <w:gridCol w:w="1009"/>
        <w:gridCol w:w="1009"/>
        <w:gridCol w:w="1009"/>
        <w:gridCol w:w="1008"/>
      </w:tblGrid>
      <w:tr w:rsidR="008B1CA1" w:rsidRPr="00F35F25" w14:paraId="7A077AF4" w14:textId="77777777" w:rsidTr="00A316A5">
        <w:tc>
          <w:tcPr>
            <w:tcW w:w="974" w:type="pct"/>
            <w:tcBorders>
              <w:top w:val="single" w:sz="12" w:space="0" w:color="008000"/>
              <w:bottom w:val="single" w:sz="6" w:space="0" w:color="008000"/>
            </w:tcBorders>
            <w:shd w:val="clear" w:color="auto" w:fill="FFFFFF"/>
          </w:tcPr>
          <w:p w14:paraId="0D4AB1B6" w14:textId="77777777" w:rsidR="005D05BA" w:rsidRPr="00F35F25" w:rsidRDefault="005D05BA" w:rsidP="00A316A5">
            <w:pPr>
              <w:spacing w:line="240" w:lineRule="auto"/>
              <w:jc w:val="left"/>
              <w:rPr>
                <w:rFonts w:cs="Arial"/>
                <w:b/>
                <w:bCs/>
                <w:szCs w:val="18"/>
                <w:lang w:eastAsia="it-IT"/>
              </w:rPr>
            </w:pPr>
            <w:r w:rsidRPr="00F35F25">
              <w:rPr>
                <w:rFonts w:cs="Arial"/>
                <w:b/>
                <w:bCs/>
                <w:szCs w:val="18"/>
                <w:lang w:eastAsia="it-IT"/>
              </w:rPr>
              <w:t>Parameter</w:t>
            </w:r>
          </w:p>
        </w:tc>
        <w:tc>
          <w:tcPr>
            <w:tcW w:w="625" w:type="pct"/>
            <w:tcBorders>
              <w:top w:val="single" w:sz="12" w:space="0" w:color="008000"/>
              <w:bottom w:val="single" w:sz="6" w:space="0" w:color="008000"/>
            </w:tcBorders>
            <w:shd w:val="clear" w:color="auto" w:fill="FFFFFF"/>
          </w:tcPr>
          <w:p w14:paraId="05905715" w14:textId="77777777" w:rsidR="005D05BA" w:rsidRPr="00F35F25" w:rsidRDefault="005D05BA" w:rsidP="00A316A5">
            <w:pPr>
              <w:spacing w:line="240" w:lineRule="auto"/>
              <w:jc w:val="center"/>
              <w:rPr>
                <w:rFonts w:cs="Arial"/>
                <w:b/>
                <w:bCs/>
                <w:szCs w:val="18"/>
                <w:lang w:eastAsia="it-IT"/>
              </w:rPr>
            </w:pPr>
            <w:r w:rsidRPr="00F35F25">
              <w:rPr>
                <w:rFonts w:cs="Arial"/>
                <w:b/>
                <w:bCs/>
                <w:szCs w:val="18"/>
                <w:lang w:eastAsia="it-IT"/>
              </w:rPr>
              <w:t>W</w:t>
            </w:r>
            <w:r w:rsidRPr="00F35F25">
              <w:rPr>
                <w:rFonts w:cs="Arial"/>
                <w:b/>
                <w:bCs/>
                <w:szCs w:val="18"/>
                <w:vertAlign w:val="subscript"/>
                <w:lang w:eastAsia="it-IT"/>
              </w:rPr>
              <w:t>0</w:t>
            </w:r>
          </w:p>
        </w:tc>
        <w:tc>
          <w:tcPr>
            <w:tcW w:w="567" w:type="pct"/>
            <w:tcBorders>
              <w:top w:val="single" w:sz="12" w:space="0" w:color="008000"/>
              <w:bottom w:val="single" w:sz="6" w:space="0" w:color="008000"/>
            </w:tcBorders>
            <w:shd w:val="clear" w:color="auto" w:fill="FFFFFF"/>
          </w:tcPr>
          <w:p w14:paraId="0D696A71" w14:textId="77777777" w:rsidR="005D05BA" w:rsidRPr="00F35F25" w:rsidRDefault="005D05BA" w:rsidP="00A316A5">
            <w:pPr>
              <w:spacing w:line="240" w:lineRule="auto"/>
              <w:jc w:val="center"/>
              <w:rPr>
                <w:rFonts w:cs="Arial"/>
                <w:b/>
                <w:bCs/>
                <w:szCs w:val="18"/>
                <w:lang w:eastAsia="it-IT"/>
              </w:rPr>
            </w:pPr>
            <w:r w:rsidRPr="00F35F25">
              <w:rPr>
                <w:rFonts w:cs="Arial"/>
                <w:b/>
                <w:bCs/>
                <w:szCs w:val="18"/>
                <w:lang w:eastAsia="it-IT"/>
              </w:rPr>
              <w:t>WRO</w:t>
            </w:r>
            <w:r w:rsidRPr="00F35F25">
              <w:rPr>
                <w:rFonts w:cs="Arial"/>
                <w:b/>
                <w:bCs/>
                <w:szCs w:val="18"/>
                <w:vertAlign w:val="subscript"/>
                <w:lang w:eastAsia="it-IT"/>
              </w:rPr>
              <w:t>1</w:t>
            </w:r>
          </w:p>
        </w:tc>
        <w:tc>
          <w:tcPr>
            <w:tcW w:w="567" w:type="pct"/>
            <w:tcBorders>
              <w:top w:val="single" w:sz="12" w:space="0" w:color="008000"/>
              <w:bottom w:val="single" w:sz="6" w:space="0" w:color="008000"/>
            </w:tcBorders>
            <w:shd w:val="clear" w:color="auto" w:fill="FFFFFF"/>
          </w:tcPr>
          <w:p w14:paraId="2025322A" w14:textId="77777777" w:rsidR="005D05BA" w:rsidRPr="00F35F25" w:rsidRDefault="005D05BA" w:rsidP="00A316A5">
            <w:pPr>
              <w:spacing w:line="240" w:lineRule="auto"/>
              <w:jc w:val="center"/>
              <w:rPr>
                <w:rFonts w:cs="Arial"/>
                <w:b/>
                <w:bCs/>
                <w:szCs w:val="18"/>
                <w:lang w:eastAsia="it-IT"/>
              </w:rPr>
            </w:pPr>
            <w:r w:rsidRPr="00F35F25">
              <w:rPr>
                <w:rFonts w:cs="Arial"/>
                <w:b/>
                <w:bCs/>
                <w:szCs w:val="18"/>
                <w:lang w:eastAsia="it-IT"/>
              </w:rPr>
              <w:t>WROD</w:t>
            </w:r>
            <w:r w:rsidRPr="00F35F25">
              <w:rPr>
                <w:rFonts w:cs="Arial"/>
                <w:b/>
                <w:bCs/>
                <w:szCs w:val="18"/>
                <w:vertAlign w:val="subscript"/>
                <w:lang w:eastAsia="it-IT"/>
              </w:rPr>
              <w:t>2</w:t>
            </w:r>
          </w:p>
        </w:tc>
        <w:tc>
          <w:tcPr>
            <w:tcW w:w="567" w:type="pct"/>
            <w:tcBorders>
              <w:top w:val="single" w:sz="12" w:space="0" w:color="008000"/>
              <w:bottom w:val="single" w:sz="6" w:space="0" w:color="008000"/>
            </w:tcBorders>
            <w:shd w:val="clear" w:color="auto" w:fill="FFFFFF"/>
          </w:tcPr>
          <w:p w14:paraId="4E02492D" w14:textId="77777777" w:rsidR="005D05BA" w:rsidRPr="00F35F25" w:rsidRDefault="005D05BA" w:rsidP="00A316A5">
            <w:pPr>
              <w:spacing w:line="240" w:lineRule="auto"/>
              <w:jc w:val="center"/>
              <w:rPr>
                <w:rFonts w:cs="Arial"/>
                <w:b/>
                <w:bCs/>
                <w:szCs w:val="18"/>
                <w:lang w:eastAsia="it-IT"/>
              </w:rPr>
            </w:pPr>
            <w:r w:rsidRPr="00F35F25">
              <w:rPr>
                <w:rFonts w:cs="Arial"/>
                <w:b/>
                <w:bCs/>
                <w:szCs w:val="18"/>
                <w:lang w:eastAsia="it-IT"/>
              </w:rPr>
              <w:t>WROD</w:t>
            </w:r>
            <w:r w:rsidRPr="00F35F25">
              <w:rPr>
                <w:rFonts w:cs="Arial"/>
                <w:b/>
                <w:bCs/>
                <w:szCs w:val="18"/>
                <w:vertAlign w:val="subscript"/>
                <w:lang w:eastAsia="it-IT"/>
              </w:rPr>
              <w:t>3</w:t>
            </w:r>
          </w:p>
        </w:tc>
        <w:tc>
          <w:tcPr>
            <w:tcW w:w="567" w:type="pct"/>
            <w:tcBorders>
              <w:top w:val="single" w:sz="12" w:space="0" w:color="008000"/>
              <w:bottom w:val="single" w:sz="6" w:space="0" w:color="008000"/>
            </w:tcBorders>
            <w:shd w:val="clear" w:color="auto" w:fill="FFFFFF"/>
          </w:tcPr>
          <w:p w14:paraId="48BE2DF8" w14:textId="77777777" w:rsidR="005D05BA" w:rsidRPr="00F35F25" w:rsidRDefault="005D05BA" w:rsidP="00A316A5">
            <w:pPr>
              <w:spacing w:line="240" w:lineRule="auto"/>
              <w:jc w:val="center"/>
              <w:rPr>
                <w:rFonts w:cs="Arial"/>
                <w:b/>
                <w:bCs/>
                <w:szCs w:val="18"/>
                <w:lang w:eastAsia="it-IT"/>
              </w:rPr>
            </w:pPr>
            <w:r w:rsidRPr="00F35F25">
              <w:rPr>
                <w:rFonts w:cs="Arial"/>
                <w:b/>
                <w:bCs/>
                <w:szCs w:val="18"/>
                <w:lang w:eastAsia="it-IT"/>
              </w:rPr>
              <w:t>WOD</w:t>
            </w:r>
            <w:r w:rsidRPr="00F35F25">
              <w:rPr>
                <w:rFonts w:cs="Arial"/>
                <w:b/>
                <w:bCs/>
                <w:szCs w:val="18"/>
                <w:vertAlign w:val="subscript"/>
                <w:lang w:eastAsia="it-IT"/>
              </w:rPr>
              <w:t>1</w:t>
            </w:r>
          </w:p>
        </w:tc>
        <w:tc>
          <w:tcPr>
            <w:tcW w:w="567" w:type="pct"/>
            <w:tcBorders>
              <w:top w:val="single" w:sz="12" w:space="0" w:color="008000"/>
              <w:bottom w:val="single" w:sz="6" w:space="0" w:color="008000"/>
            </w:tcBorders>
            <w:shd w:val="clear" w:color="auto" w:fill="FFFFFF"/>
          </w:tcPr>
          <w:p w14:paraId="42F66F24" w14:textId="77777777" w:rsidR="005D05BA" w:rsidRPr="00F35F25" w:rsidRDefault="005D05BA" w:rsidP="00A316A5">
            <w:pPr>
              <w:spacing w:line="240" w:lineRule="auto"/>
              <w:jc w:val="center"/>
              <w:rPr>
                <w:rFonts w:cs="Arial"/>
                <w:b/>
                <w:bCs/>
                <w:szCs w:val="18"/>
                <w:lang w:eastAsia="it-IT"/>
              </w:rPr>
            </w:pPr>
            <w:r w:rsidRPr="00F35F25">
              <w:rPr>
                <w:rFonts w:cs="Arial"/>
                <w:b/>
                <w:bCs/>
                <w:szCs w:val="18"/>
                <w:lang w:eastAsia="it-IT"/>
              </w:rPr>
              <w:t>WOD</w:t>
            </w:r>
            <w:r w:rsidRPr="00F35F25">
              <w:rPr>
                <w:rFonts w:cs="Arial"/>
                <w:b/>
                <w:bCs/>
                <w:szCs w:val="18"/>
                <w:vertAlign w:val="subscript"/>
                <w:lang w:eastAsia="it-IT"/>
              </w:rPr>
              <w:t>2</w:t>
            </w:r>
          </w:p>
        </w:tc>
        <w:tc>
          <w:tcPr>
            <w:tcW w:w="567" w:type="pct"/>
            <w:tcBorders>
              <w:top w:val="single" w:sz="12" w:space="0" w:color="008000"/>
              <w:bottom w:val="single" w:sz="6" w:space="0" w:color="008000"/>
            </w:tcBorders>
            <w:shd w:val="clear" w:color="auto" w:fill="FFFFFF"/>
          </w:tcPr>
          <w:p w14:paraId="03128F13" w14:textId="77777777" w:rsidR="005D05BA" w:rsidRPr="00F35F25" w:rsidRDefault="005D05BA" w:rsidP="00A316A5">
            <w:pPr>
              <w:spacing w:line="240" w:lineRule="auto"/>
              <w:jc w:val="center"/>
              <w:rPr>
                <w:rFonts w:cs="Arial"/>
                <w:b/>
                <w:bCs/>
                <w:szCs w:val="18"/>
                <w:lang w:eastAsia="it-IT"/>
              </w:rPr>
            </w:pPr>
            <w:r w:rsidRPr="00F35F25">
              <w:rPr>
                <w:rFonts w:cs="Arial"/>
                <w:b/>
                <w:bCs/>
                <w:szCs w:val="18"/>
                <w:lang w:eastAsia="it-IT"/>
              </w:rPr>
              <w:t>WOD</w:t>
            </w:r>
            <w:r w:rsidRPr="00F35F25">
              <w:rPr>
                <w:rFonts w:cs="Arial"/>
                <w:b/>
                <w:bCs/>
                <w:szCs w:val="18"/>
                <w:vertAlign w:val="subscript"/>
                <w:lang w:eastAsia="it-IT"/>
              </w:rPr>
              <w:t>3</w:t>
            </w:r>
          </w:p>
        </w:tc>
      </w:tr>
      <w:tr w:rsidR="008B1CA1" w:rsidRPr="00F35F25" w14:paraId="12785E76" w14:textId="77777777" w:rsidTr="00A316A5">
        <w:tc>
          <w:tcPr>
            <w:tcW w:w="974" w:type="pct"/>
            <w:shd w:val="clear" w:color="auto" w:fill="FFFFFF"/>
          </w:tcPr>
          <w:p w14:paraId="0C04E58C" w14:textId="77777777" w:rsidR="005D05BA" w:rsidRPr="00F35F25" w:rsidRDefault="005D05BA" w:rsidP="00A316A5">
            <w:pPr>
              <w:spacing w:line="240" w:lineRule="auto"/>
              <w:jc w:val="left"/>
              <w:rPr>
                <w:rFonts w:cs="Arial"/>
                <w:szCs w:val="18"/>
                <w:lang w:eastAsia="it-IT"/>
              </w:rPr>
            </w:pPr>
            <w:r w:rsidRPr="00F35F25">
              <w:rPr>
                <w:rFonts w:cs="Arial"/>
                <w:szCs w:val="18"/>
                <w:lang w:eastAsia="it-IT"/>
              </w:rPr>
              <w:t>Ethanol (%)</w:t>
            </w:r>
          </w:p>
        </w:tc>
        <w:tc>
          <w:tcPr>
            <w:tcW w:w="625" w:type="pct"/>
            <w:shd w:val="clear" w:color="auto" w:fill="FFFFFF"/>
          </w:tcPr>
          <w:p w14:paraId="32E6DC7D"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13.23±0.02</w:t>
            </w:r>
            <w:r w:rsidRPr="00F35F25">
              <w:rPr>
                <w:rFonts w:cs="Arial"/>
                <w:szCs w:val="18"/>
                <w:vertAlign w:val="superscript"/>
                <w:lang w:eastAsia="it-IT"/>
              </w:rPr>
              <w:t>a</w:t>
            </w:r>
          </w:p>
        </w:tc>
        <w:tc>
          <w:tcPr>
            <w:tcW w:w="567" w:type="pct"/>
            <w:shd w:val="clear" w:color="auto" w:fill="FFFFFF"/>
          </w:tcPr>
          <w:p w14:paraId="5DA57CD4"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9.0±0.01</w:t>
            </w:r>
            <w:r w:rsidRPr="00F35F25">
              <w:rPr>
                <w:rFonts w:cs="Arial"/>
                <w:szCs w:val="18"/>
                <w:vertAlign w:val="superscript"/>
                <w:lang w:eastAsia="it-IT"/>
              </w:rPr>
              <w:t>e</w:t>
            </w:r>
          </w:p>
        </w:tc>
        <w:tc>
          <w:tcPr>
            <w:tcW w:w="567" w:type="pct"/>
            <w:shd w:val="clear" w:color="auto" w:fill="FFFFFF"/>
          </w:tcPr>
          <w:p w14:paraId="30B2AD8E"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7.08±0.01</w:t>
            </w:r>
            <w:r w:rsidRPr="00F35F25">
              <w:rPr>
                <w:rFonts w:cs="Arial"/>
                <w:szCs w:val="18"/>
                <w:vertAlign w:val="superscript"/>
                <w:lang w:eastAsia="it-IT"/>
              </w:rPr>
              <w:t>e</w:t>
            </w:r>
          </w:p>
        </w:tc>
        <w:tc>
          <w:tcPr>
            <w:tcW w:w="567" w:type="pct"/>
            <w:shd w:val="clear" w:color="auto" w:fill="FFFFFF"/>
          </w:tcPr>
          <w:p w14:paraId="51B8E093"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5.50±0.01</w:t>
            </w:r>
            <w:r w:rsidRPr="00F35F25">
              <w:rPr>
                <w:rFonts w:cs="Arial"/>
                <w:szCs w:val="18"/>
                <w:vertAlign w:val="superscript"/>
                <w:lang w:eastAsia="it-IT"/>
              </w:rPr>
              <w:t>f</w:t>
            </w:r>
          </w:p>
        </w:tc>
        <w:tc>
          <w:tcPr>
            <w:tcW w:w="567" w:type="pct"/>
            <w:shd w:val="clear" w:color="auto" w:fill="FFFFFF"/>
          </w:tcPr>
          <w:p w14:paraId="3C8C45E3"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8.31±0.01</w:t>
            </w:r>
            <w:r w:rsidRPr="00F35F25">
              <w:rPr>
                <w:rFonts w:cs="Arial"/>
                <w:szCs w:val="18"/>
                <w:vertAlign w:val="superscript"/>
                <w:lang w:eastAsia="it-IT"/>
              </w:rPr>
              <w:t>b</w:t>
            </w:r>
          </w:p>
        </w:tc>
        <w:tc>
          <w:tcPr>
            <w:tcW w:w="567" w:type="pct"/>
            <w:shd w:val="clear" w:color="auto" w:fill="FFFFFF"/>
          </w:tcPr>
          <w:p w14:paraId="6C61F12D"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6.95±0.01</w:t>
            </w:r>
            <w:r w:rsidRPr="00F35F25">
              <w:rPr>
                <w:rFonts w:cs="Arial"/>
                <w:szCs w:val="18"/>
                <w:vertAlign w:val="superscript"/>
                <w:lang w:eastAsia="it-IT"/>
              </w:rPr>
              <w:t>c</w:t>
            </w:r>
          </w:p>
        </w:tc>
        <w:tc>
          <w:tcPr>
            <w:tcW w:w="567" w:type="pct"/>
            <w:shd w:val="clear" w:color="auto" w:fill="FFFFFF"/>
          </w:tcPr>
          <w:p w14:paraId="046E31C7"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5.41±0.01</w:t>
            </w:r>
            <w:r w:rsidRPr="00F35F25">
              <w:rPr>
                <w:rFonts w:cs="Arial"/>
                <w:szCs w:val="18"/>
                <w:vertAlign w:val="superscript"/>
                <w:lang w:eastAsia="it-IT"/>
              </w:rPr>
              <w:t>d</w:t>
            </w:r>
          </w:p>
        </w:tc>
      </w:tr>
      <w:tr w:rsidR="008B1CA1" w:rsidRPr="00F35F25" w14:paraId="7D2B5107" w14:textId="77777777" w:rsidTr="00A316A5">
        <w:tc>
          <w:tcPr>
            <w:tcW w:w="974" w:type="pct"/>
            <w:shd w:val="clear" w:color="auto" w:fill="FFFFFF"/>
          </w:tcPr>
          <w:p w14:paraId="2ECC8D11" w14:textId="77777777" w:rsidR="005D05BA" w:rsidRPr="00F35F25" w:rsidRDefault="005D05BA" w:rsidP="00A316A5">
            <w:pPr>
              <w:spacing w:line="240" w:lineRule="auto"/>
              <w:jc w:val="left"/>
              <w:rPr>
                <w:rFonts w:cs="Arial"/>
                <w:szCs w:val="18"/>
                <w:lang w:eastAsia="it-IT"/>
              </w:rPr>
            </w:pPr>
            <w:r w:rsidRPr="00F35F25">
              <w:rPr>
                <w:rFonts w:cs="Arial"/>
                <w:szCs w:val="18"/>
                <w:lang w:eastAsia="it-IT"/>
              </w:rPr>
              <w:t>Total acidity (g/L)</w:t>
            </w:r>
          </w:p>
        </w:tc>
        <w:tc>
          <w:tcPr>
            <w:tcW w:w="625" w:type="pct"/>
            <w:shd w:val="clear" w:color="auto" w:fill="FFFFFF"/>
          </w:tcPr>
          <w:p w14:paraId="784C817D"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5.30±0.15</w:t>
            </w:r>
            <w:r w:rsidRPr="00F35F25">
              <w:rPr>
                <w:rFonts w:cs="Arial"/>
                <w:szCs w:val="18"/>
                <w:vertAlign w:val="superscript"/>
                <w:lang w:eastAsia="it-IT"/>
              </w:rPr>
              <w:t>a</w:t>
            </w:r>
          </w:p>
        </w:tc>
        <w:tc>
          <w:tcPr>
            <w:tcW w:w="567" w:type="pct"/>
            <w:shd w:val="clear" w:color="auto" w:fill="FFFFFF"/>
          </w:tcPr>
          <w:p w14:paraId="2A10A115"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4.96±0.06</w:t>
            </w:r>
            <w:r w:rsidRPr="00F35F25">
              <w:rPr>
                <w:rFonts w:cs="Arial"/>
                <w:szCs w:val="18"/>
                <w:vertAlign w:val="superscript"/>
                <w:lang w:eastAsia="it-IT"/>
              </w:rPr>
              <w:t>b</w:t>
            </w:r>
          </w:p>
        </w:tc>
        <w:tc>
          <w:tcPr>
            <w:tcW w:w="567" w:type="pct"/>
            <w:shd w:val="clear" w:color="auto" w:fill="FFFFFF"/>
          </w:tcPr>
          <w:p w14:paraId="5B006218"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4.96±0.06</w:t>
            </w:r>
            <w:r w:rsidRPr="00F35F25">
              <w:rPr>
                <w:rFonts w:cs="Arial"/>
                <w:szCs w:val="18"/>
                <w:vertAlign w:val="superscript"/>
                <w:lang w:eastAsia="it-IT"/>
              </w:rPr>
              <w:t>b</w:t>
            </w:r>
          </w:p>
        </w:tc>
        <w:tc>
          <w:tcPr>
            <w:tcW w:w="567" w:type="pct"/>
            <w:shd w:val="clear" w:color="auto" w:fill="FFFFFF"/>
          </w:tcPr>
          <w:p w14:paraId="38C006CA"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4.86±0.06</w:t>
            </w:r>
            <w:r w:rsidRPr="00F35F25">
              <w:rPr>
                <w:rFonts w:cs="Arial"/>
                <w:szCs w:val="18"/>
                <w:vertAlign w:val="superscript"/>
                <w:lang w:eastAsia="it-IT"/>
              </w:rPr>
              <w:t>b</w:t>
            </w:r>
          </w:p>
        </w:tc>
        <w:tc>
          <w:tcPr>
            <w:tcW w:w="567" w:type="pct"/>
            <w:shd w:val="clear" w:color="auto" w:fill="FFFFFF"/>
          </w:tcPr>
          <w:p w14:paraId="39D14594"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5.50±0.07</w:t>
            </w:r>
            <w:r w:rsidRPr="00F35F25">
              <w:rPr>
                <w:rFonts w:cs="Arial"/>
                <w:szCs w:val="18"/>
                <w:vertAlign w:val="superscript"/>
                <w:lang w:eastAsia="it-IT"/>
              </w:rPr>
              <w:t>a</w:t>
            </w:r>
          </w:p>
        </w:tc>
        <w:tc>
          <w:tcPr>
            <w:tcW w:w="567" w:type="pct"/>
            <w:shd w:val="clear" w:color="auto" w:fill="FFFFFF"/>
          </w:tcPr>
          <w:p w14:paraId="2C672292"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5.40±0.00</w:t>
            </w:r>
            <w:r w:rsidRPr="00F35F25">
              <w:rPr>
                <w:rFonts w:cs="Arial"/>
                <w:szCs w:val="18"/>
                <w:vertAlign w:val="superscript"/>
                <w:lang w:eastAsia="it-IT"/>
              </w:rPr>
              <w:t>a</w:t>
            </w:r>
          </w:p>
        </w:tc>
        <w:tc>
          <w:tcPr>
            <w:tcW w:w="567" w:type="pct"/>
            <w:shd w:val="clear" w:color="auto" w:fill="FFFFFF"/>
          </w:tcPr>
          <w:p w14:paraId="0BA612C9"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5.30±0.10</w:t>
            </w:r>
            <w:r w:rsidRPr="00F35F25">
              <w:rPr>
                <w:rFonts w:cs="Arial"/>
                <w:szCs w:val="18"/>
                <w:vertAlign w:val="superscript"/>
                <w:lang w:eastAsia="it-IT"/>
              </w:rPr>
              <w:t>a</w:t>
            </w:r>
          </w:p>
        </w:tc>
      </w:tr>
      <w:tr w:rsidR="008B1CA1" w:rsidRPr="00F35F25" w14:paraId="4BD2553E" w14:textId="77777777" w:rsidTr="00A316A5">
        <w:tc>
          <w:tcPr>
            <w:tcW w:w="974" w:type="pct"/>
            <w:shd w:val="clear" w:color="auto" w:fill="FFFFFF"/>
          </w:tcPr>
          <w:p w14:paraId="01D07999" w14:textId="77777777" w:rsidR="005D05BA" w:rsidRPr="00F35F25" w:rsidRDefault="005D05BA" w:rsidP="00A316A5">
            <w:pPr>
              <w:spacing w:line="240" w:lineRule="auto"/>
              <w:jc w:val="left"/>
              <w:rPr>
                <w:rFonts w:cs="Arial"/>
                <w:szCs w:val="18"/>
                <w:lang w:eastAsia="it-IT"/>
              </w:rPr>
            </w:pPr>
            <w:r w:rsidRPr="00F35F25">
              <w:rPr>
                <w:rFonts w:cs="Arial"/>
                <w:szCs w:val="18"/>
                <w:lang w:eastAsia="it-IT"/>
              </w:rPr>
              <w:t>Tartaric acid (g/L)</w:t>
            </w:r>
          </w:p>
        </w:tc>
        <w:tc>
          <w:tcPr>
            <w:tcW w:w="625" w:type="pct"/>
            <w:shd w:val="clear" w:color="auto" w:fill="FFFFFF"/>
          </w:tcPr>
          <w:p w14:paraId="35D5A665"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2.35±0.02</w:t>
            </w:r>
            <w:r w:rsidRPr="00F35F25">
              <w:rPr>
                <w:rFonts w:cs="Arial"/>
                <w:szCs w:val="18"/>
                <w:vertAlign w:val="superscript"/>
                <w:lang w:eastAsia="it-IT"/>
              </w:rPr>
              <w:t>a</w:t>
            </w:r>
          </w:p>
        </w:tc>
        <w:tc>
          <w:tcPr>
            <w:tcW w:w="567" w:type="pct"/>
            <w:shd w:val="clear" w:color="auto" w:fill="FFFFFF"/>
          </w:tcPr>
          <w:p w14:paraId="605D32EE"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2.03±0.05</w:t>
            </w:r>
            <w:r w:rsidRPr="00F35F25">
              <w:rPr>
                <w:rFonts w:cs="Arial"/>
                <w:szCs w:val="18"/>
                <w:vertAlign w:val="superscript"/>
                <w:lang w:eastAsia="it-IT"/>
              </w:rPr>
              <w:t>b</w:t>
            </w:r>
          </w:p>
        </w:tc>
        <w:tc>
          <w:tcPr>
            <w:tcW w:w="567" w:type="pct"/>
            <w:shd w:val="clear" w:color="auto" w:fill="FFFFFF"/>
          </w:tcPr>
          <w:p w14:paraId="7277B4D1"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1.94±0.05</w:t>
            </w:r>
            <w:r w:rsidRPr="00F35F25">
              <w:rPr>
                <w:rFonts w:cs="Arial"/>
                <w:szCs w:val="18"/>
                <w:vertAlign w:val="superscript"/>
                <w:lang w:eastAsia="it-IT"/>
              </w:rPr>
              <w:t>b</w:t>
            </w:r>
          </w:p>
        </w:tc>
        <w:tc>
          <w:tcPr>
            <w:tcW w:w="567" w:type="pct"/>
            <w:shd w:val="clear" w:color="auto" w:fill="FFFFFF"/>
          </w:tcPr>
          <w:p w14:paraId="7560A664"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1.71±0.05</w:t>
            </w:r>
            <w:r w:rsidRPr="00F35F25">
              <w:rPr>
                <w:rFonts w:cs="Arial"/>
                <w:szCs w:val="18"/>
                <w:vertAlign w:val="superscript"/>
                <w:lang w:eastAsia="it-IT"/>
              </w:rPr>
              <w:t>b</w:t>
            </w:r>
          </w:p>
        </w:tc>
        <w:tc>
          <w:tcPr>
            <w:tcW w:w="567" w:type="pct"/>
            <w:shd w:val="clear" w:color="auto" w:fill="FFFFFF"/>
          </w:tcPr>
          <w:p w14:paraId="17DC3CE5"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2.40±0.05</w:t>
            </w:r>
            <w:r w:rsidRPr="00F35F25">
              <w:rPr>
                <w:rFonts w:cs="Arial"/>
                <w:szCs w:val="18"/>
                <w:vertAlign w:val="superscript"/>
                <w:lang w:eastAsia="it-IT"/>
              </w:rPr>
              <w:t>a</w:t>
            </w:r>
          </w:p>
        </w:tc>
        <w:tc>
          <w:tcPr>
            <w:tcW w:w="567" w:type="pct"/>
            <w:shd w:val="clear" w:color="auto" w:fill="FFFFFF"/>
          </w:tcPr>
          <w:p w14:paraId="7718ECB0"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2.38±0.01</w:t>
            </w:r>
            <w:r w:rsidRPr="00F35F25">
              <w:rPr>
                <w:rFonts w:cs="Arial"/>
                <w:szCs w:val="18"/>
                <w:vertAlign w:val="superscript"/>
                <w:lang w:eastAsia="it-IT"/>
              </w:rPr>
              <w:t>a</w:t>
            </w:r>
          </w:p>
        </w:tc>
        <w:tc>
          <w:tcPr>
            <w:tcW w:w="567" w:type="pct"/>
            <w:shd w:val="clear" w:color="auto" w:fill="FFFFFF"/>
          </w:tcPr>
          <w:p w14:paraId="123D116E"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2.30±0.01</w:t>
            </w:r>
            <w:r w:rsidRPr="00F35F25">
              <w:rPr>
                <w:rFonts w:cs="Arial"/>
                <w:szCs w:val="18"/>
                <w:vertAlign w:val="superscript"/>
                <w:lang w:eastAsia="it-IT"/>
              </w:rPr>
              <w:t>b</w:t>
            </w:r>
          </w:p>
        </w:tc>
      </w:tr>
      <w:tr w:rsidR="008B1CA1" w:rsidRPr="00F35F25" w14:paraId="651B49CC" w14:textId="77777777" w:rsidTr="00A316A5">
        <w:tc>
          <w:tcPr>
            <w:tcW w:w="974" w:type="pct"/>
            <w:shd w:val="clear" w:color="auto" w:fill="FFFFFF"/>
          </w:tcPr>
          <w:p w14:paraId="5F1D12C6" w14:textId="77777777" w:rsidR="005D05BA" w:rsidRPr="00F35F25" w:rsidRDefault="005D05BA" w:rsidP="00A316A5">
            <w:pPr>
              <w:spacing w:line="240" w:lineRule="auto"/>
              <w:jc w:val="left"/>
              <w:rPr>
                <w:rFonts w:cs="Arial"/>
                <w:szCs w:val="18"/>
                <w:lang w:eastAsia="it-IT"/>
              </w:rPr>
            </w:pPr>
            <w:r w:rsidRPr="00F35F25">
              <w:rPr>
                <w:rFonts w:cs="Arial"/>
                <w:szCs w:val="18"/>
                <w:lang w:eastAsia="it-IT"/>
              </w:rPr>
              <w:t>pH</w:t>
            </w:r>
          </w:p>
        </w:tc>
        <w:tc>
          <w:tcPr>
            <w:tcW w:w="625" w:type="pct"/>
            <w:shd w:val="clear" w:color="auto" w:fill="FFFFFF"/>
          </w:tcPr>
          <w:p w14:paraId="79661B4E"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3.36±0.02</w:t>
            </w:r>
            <w:r w:rsidRPr="00F35F25">
              <w:rPr>
                <w:rFonts w:cs="Arial"/>
                <w:szCs w:val="18"/>
                <w:vertAlign w:val="superscript"/>
                <w:lang w:eastAsia="it-IT"/>
              </w:rPr>
              <w:t>a</w:t>
            </w:r>
          </w:p>
        </w:tc>
        <w:tc>
          <w:tcPr>
            <w:tcW w:w="567" w:type="pct"/>
            <w:shd w:val="clear" w:color="auto" w:fill="FFFFFF"/>
          </w:tcPr>
          <w:p w14:paraId="5D327652"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3.53±0.01</w:t>
            </w:r>
            <w:r w:rsidRPr="00F35F25">
              <w:rPr>
                <w:rFonts w:cs="Arial"/>
                <w:szCs w:val="18"/>
                <w:vertAlign w:val="superscript"/>
                <w:lang w:eastAsia="it-IT"/>
              </w:rPr>
              <w:t>b</w:t>
            </w:r>
          </w:p>
        </w:tc>
        <w:tc>
          <w:tcPr>
            <w:tcW w:w="567" w:type="pct"/>
            <w:shd w:val="clear" w:color="auto" w:fill="FFFFFF"/>
          </w:tcPr>
          <w:p w14:paraId="73F212B5"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3.50±0.01</w:t>
            </w:r>
            <w:r w:rsidRPr="00F35F25">
              <w:rPr>
                <w:rFonts w:cs="Arial"/>
                <w:szCs w:val="18"/>
                <w:vertAlign w:val="superscript"/>
                <w:lang w:eastAsia="it-IT"/>
              </w:rPr>
              <w:t>b</w:t>
            </w:r>
          </w:p>
        </w:tc>
        <w:tc>
          <w:tcPr>
            <w:tcW w:w="567" w:type="pct"/>
            <w:shd w:val="clear" w:color="auto" w:fill="FFFFFF"/>
          </w:tcPr>
          <w:p w14:paraId="28C4B1AD"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3.50±0.01</w:t>
            </w:r>
            <w:r w:rsidRPr="00F35F25">
              <w:rPr>
                <w:rFonts w:cs="Arial"/>
                <w:szCs w:val="18"/>
                <w:vertAlign w:val="superscript"/>
                <w:lang w:eastAsia="it-IT"/>
              </w:rPr>
              <w:t>b</w:t>
            </w:r>
          </w:p>
        </w:tc>
        <w:tc>
          <w:tcPr>
            <w:tcW w:w="567" w:type="pct"/>
            <w:shd w:val="clear" w:color="auto" w:fill="FFFFFF"/>
          </w:tcPr>
          <w:p w14:paraId="1CE1005C"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3.32±0.04</w:t>
            </w:r>
            <w:r w:rsidRPr="00F35F25">
              <w:rPr>
                <w:rFonts w:cs="Arial"/>
                <w:szCs w:val="18"/>
                <w:vertAlign w:val="superscript"/>
                <w:lang w:eastAsia="it-IT"/>
              </w:rPr>
              <w:t>a</w:t>
            </w:r>
          </w:p>
        </w:tc>
        <w:tc>
          <w:tcPr>
            <w:tcW w:w="567" w:type="pct"/>
            <w:shd w:val="clear" w:color="auto" w:fill="FFFFFF"/>
          </w:tcPr>
          <w:p w14:paraId="7ED779F9"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3.33±0.01</w:t>
            </w:r>
            <w:r w:rsidRPr="00F35F25">
              <w:rPr>
                <w:rFonts w:cs="Arial"/>
                <w:szCs w:val="18"/>
                <w:vertAlign w:val="superscript"/>
                <w:lang w:eastAsia="it-IT"/>
              </w:rPr>
              <w:t>a</w:t>
            </w:r>
          </w:p>
        </w:tc>
        <w:tc>
          <w:tcPr>
            <w:tcW w:w="567" w:type="pct"/>
            <w:shd w:val="clear" w:color="auto" w:fill="FFFFFF"/>
          </w:tcPr>
          <w:p w14:paraId="2B6F3A46" w14:textId="77777777" w:rsidR="005D05BA" w:rsidRPr="00F35F25" w:rsidRDefault="005D05BA" w:rsidP="00A316A5">
            <w:pPr>
              <w:spacing w:line="240" w:lineRule="auto"/>
              <w:jc w:val="center"/>
              <w:rPr>
                <w:rFonts w:cs="Arial"/>
                <w:szCs w:val="18"/>
                <w:vertAlign w:val="superscript"/>
                <w:lang w:eastAsia="it-IT"/>
              </w:rPr>
            </w:pPr>
            <w:r w:rsidRPr="00F35F25">
              <w:rPr>
                <w:rFonts w:cs="Arial"/>
                <w:szCs w:val="18"/>
                <w:lang w:eastAsia="it-IT"/>
              </w:rPr>
              <w:t>3.31±0.01</w:t>
            </w:r>
            <w:r w:rsidRPr="00F35F25">
              <w:rPr>
                <w:rFonts w:cs="Arial"/>
                <w:szCs w:val="18"/>
                <w:vertAlign w:val="superscript"/>
                <w:lang w:eastAsia="it-IT"/>
              </w:rPr>
              <w:t>a</w:t>
            </w:r>
          </w:p>
        </w:tc>
      </w:tr>
      <w:tr w:rsidR="008B1CA1" w:rsidRPr="00F35F25" w14:paraId="551D3BB2" w14:textId="77777777" w:rsidTr="00A316A5">
        <w:tc>
          <w:tcPr>
            <w:tcW w:w="974" w:type="pct"/>
            <w:shd w:val="clear" w:color="auto" w:fill="FFFFFF"/>
          </w:tcPr>
          <w:p w14:paraId="62EB040E" w14:textId="77777777" w:rsidR="005D05BA" w:rsidRPr="00F35F25" w:rsidRDefault="005D05BA" w:rsidP="00A316A5">
            <w:pPr>
              <w:spacing w:line="240" w:lineRule="auto"/>
              <w:jc w:val="left"/>
              <w:rPr>
                <w:rFonts w:cs="Arial"/>
                <w:szCs w:val="18"/>
                <w:lang w:eastAsia="it-IT"/>
              </w:rPr>
            </w:pPr>
            <w:r w:rsidRPr="00F35F25">
              <w:rPr>
                <w:rFonts w:cs="Arial"/>
                <w:szCs w:val="18"/>
                <w:lang w:eastAsia="it-IT"/>
              </w:rPr>
              <w:t>Volatile acidity (g/L)</w:t>
            </w:r>
          </w:p>
        </w:tc>
        <w:tc>
          <w:tcPr>
            <w:tcW w:w="625" w:type="pct"/>
            <w:shd w:val="clear" w:color="auto" w:fill="FFFFFF"/>
          </w:tcPr>
          <w:p w14:paraId="6D076AF8"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0.46±0.01</w:t>
            </w:r>
            <w:r w:rsidRPr="00F35F25">
              <w:rPr>
                <w:rFonts w:cs="Arial"/>
                <w:szCs w:val="18"/>
                <w:vertAlign w:val="superscript"/>
                <w:lang w:eastAsia="it-IT"/>
              </w:rPr>
              <w:t>a</w:t>
            </w:r>
          </w:p>
        </w:tc>
        <w:tc>
          <w:tcPr>
            <w:tcW w:w="567" w:type="pct"/>
            <w:shd w:val="clear" w:color="auto" w:fill="FFFFFF"/>
          </w:tcPr>
          <w:p w14:paraId="509F9CC9"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0.33±0.01</w:t>
            </w:r>
            <w:r w:rsidRPr="00F35F25">
              <w:rPr>
                <w:rFonts w:cs="Arial"/>
                <w:szCs w:val="18"/>
                <w:vertAlign w:val="superscript"/>
                <w:lang w:eastAsia="it-IT"/>
              </w:rPr>
              <w:t>d</w:t>
            </w:r>
          </w:p>
        </w:tc>
        <w:tc>
          <w:tcPr>
            <w:tcW w:w="567" w:type="pct"/>
            <w:shd w:val="clear" w:color="auto" w:fill="FFFFFF"/>
          </w:tcPr>
          <w:p w14:paraId="164EAC0E"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0.30±0.01</w:t>
            </w:r>
            <w:r w:rsidRPr="00F35F25">
              <w:rPr>
                <w:rFonts w:cs="Arial"/>
                <w:szCs w:val="18"/>
                <w:vertAlign w:val="superscript"/>
                <w:lang w:eastAsia="it-IT"/>
              </w:rPr>
              <w:t>e</w:t>
            </w:r>
          </w:p>
        </w:tc>
        <w:tc>
          <w:tcPr>
            <w:tcW w:w="567" w:type="pct"/>
            <w:shd w:val="clear" w:color="auto" w:fill="FFFFFF"/>
          </w:tcPr>
          <w:p w14:paraId="632B512D"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0.28±0.01</w:t>
            </w:r>
            <w:r w:rsidRPr="00F35F25">
              <w:rPr>
                <w:rFonts w:cs="Arial"/>
                <w:szCs w:val="18"/>
                <w:vertAlign w:val="superscript"/>
                <w:lang w:eastAsia="it-IT"/>
              </w:rPr>
              <w:t>f</w:t>
            </w:r>
          </w:p>
        </w:tc>
        <w:tc>
          <w:tcPr>
            <w:tcW w:w="567" w:type="pct"/>
            <w:shd w:val="clear" w:color="auto" w:fill="FFFFFF"/>
          </w:tcPr>
          <w:p w14:paraId="0FD61F1D"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0.42±0.01</w:t>
            </w:r>
            <w:r w:rsidRPr="00F35F25">
              <w:rPr>
                <w:rFonts w:cs="Arial"/>
                <w:szCs w:val="18"/>
                <w:vertAlign w:val="superscript"/>
                <w:lang w:eastAsia="it-IT"/>
              </w:rPr>
              <w:t>b</w:t>
            </w:r>
          </w:p>
        </w:tc>
        <w:tc>
          <w:tcPr>
            <w:tcW w:w="567" w:type="pct"/>
            <w:shd w:val="clear" w:color="auto" w:fill="FFFFFF"/>
          </w:tcPr>
          <w:p w14:paraId="2474675D"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0.43±0.01</w:t>
            </w:r>
            <w:r w:rsidRPr="00F35F25">
              <w:rPr>
                <w:rFonts w:cs="Arial"/>
                <w:szCs w:val="18"/>
                <w:vertAlign w:val="superscript"/>
                <w:lang w:eastAsia="it-IT"/>
              </w:rPr>
              <w:t>b</w:t>
            </w:r>
          </w:p>
        </w:tc>
        <w:tc>
          <w:tcPr>
            <w:tcW w:w="567" w:type="pct"/>
            <w:shd w:val="clear" w:color="auto" w:fill="FFFFFF"/>
          </w:tcPr>
          <w:p w14:paraId="20AE2DBC"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0.36±0.00</w:t>
            </w:r>
            <w:r w:rsidRPr="00F35F25">
              <w:rPr>
                <w:rFonts w:cs="Arial"/>
                <w:szCs w:val="18"/>
                <w:vertAlign w:val="superscript"/>
                <w:lang w:eastAsia="it-IT"/>
              </w:rPr>
              <w:t>c</w:t>
            </w:r>
          </w:p>
        </w:tc>
      </w:tr>
      <w:tr w:rsidR="008B1CA1" w:rsidRPr="00F35F25" w14:paraId="2F558C66" w14:textId="77777777" w:rsidTr="00A316A5">
        <w:tc>
          <w:tcPr>
            <w:tcW w:w="974" w:type="pct"/>
            <w:shd w:val="clear" w:color="auto" w:fill="FFFFFF"/>
          </w:tcPr>
          <w:p w14:paraId="5D87F08E" w14:textId="77777777" w:rsidR="005D05BA" w:rsidRPr="00F35F25" w:rsidRDefault="005D05BA" w:rsidP="00A316A5">
            <w:pPr>
              <w:spacing w:line="240" w:lineRule="auto"/>
              <w:jc w:val="left"/>
              <w:rPr>
                <w:rFonts w:cs="Arial"/>
                <w:szCs w:val="18"/>
                <w:lang w:eastAsia="it-IT"/>
              </w:rPr>
            </w:pPr>
            <w:r w:rsidRPr="00F35F25">
              <w:rPr>
                <w:rFonts w:cs="Arial"/>
                <w:szCs w:val="18"/>
                <w:lang w:eastAsia="it-IT"/>
              </w:rPr>
              <w:t xml:space="preserve">Colour intensity </w:t>
            </w:r>
          </w:p>
        </w:tc>
        <w:tc>
          <w:tcPr>
            <w:tcW w:w="625" w:type="pct"/>
            <w:shd w:val="clear" w:color="auto" w:fill="FFFFFF"/>
          </w:tcPr>
          <w:p w14:paraId="43247012"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0.80±0.01</w:t>
            </w:r>
            <w:r w:rsidRPr="00F35F25">
              <w:rPr>
                <w:rFonts w:cs="Arial"/>
                <w:szCs w:val="18"/>
                <w:vertAlign w:val="superscript"/>
                <w:lang w:eastAsia="it-IT"/>
              </w:rPr>
              <w:t>a</w:t>
            </w:r>
          </w:p>
        </w:tc>
        <w:tc>
          <w:tcPr>
            <w:tcW w:w="567" w:type="pct"/>
            <w:shd w:val="clear" w:color="auto" w:fill="FFFFFF"/>
          </w:tcPr>
          <w:p w14:paraId="67EC3F60"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1.07±0.01</w:t>
            </w:r>
            <w:r w:rsidRPr="00F35F25">
              <w:rPr>
                <w:rFonts w:cs="Arial"/>
                <w:szCs w:val="18"/>
                <w:vertAlign w:val="superscript"/>
                <w:lang w:eastAsia="it-IT"/>
              </w:rPr>
              <w:t>b</w:t>
            </w:r>
          </w:p>
        </w:tc>
        <w:tc>
          <w:tcPr>
            <w:tcW w:w="567" w:type="pct"/>
            <w:shd w:val="clear" w:color="auto" w:fill="FFFFFF"/>
          </w:tcPr>
          <w:p w14:paraId="6D4821BC"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1.07±0.01</w:t>
            </w:r>
            <w:r w:rsidRPr="00F35F25">
              <w:rPr>
                <w:rFonts w:cs="Arial"/>
                <w:szCs w:val="18"/>
                <w:vertAlign w:val="superscript"/>
                <w:lang w:eastAsia="it-IT"/>
              </w:rPr>
              <w:t>b</w:t>
            </w:r>
          </w:p>
        </w:tc>
        <w:tc>
          <w:tcPr>
            <w:tcW w:w="567" w:type="pct"/>
            <w:shd w:val="clear" w:color="auto" w:fill="FFFFFF"/>
          </w:tcPr>
          <w:p w14:paraId="03431DAA"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1.04±0.02</w:t>
            </w:r>
            <w:r w:rsidRPr="00F35F25">
              <w:rPr>
                <w:rFonts w:cs="Arial"/>
                <w:szCs w:val="18"/>
                <w:vertAlign w:val="superscript"/>
                <w:lang w:eastAsia="it-IT"/>
              </w:rPr>
              <w:t>b</w:t>
            </w:r>
          </w:p>
        </w:tc>
        <w:tc>
          <w:tcPr>
            <w:tcW w:w="567" w:type="pct"/>
            <w:shd w:val="clear" w:color="auto" w:fill="FFFFFF"/>
          </w:tcPr>
          <w:p w14:paraId="40D5B9AE"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0.71±0.08</w:t>
            </w:r>
            <w:r w:rsidRPr="00F35F25">
              <w:rPr>
                <w:rFonts w:cs="Arial"/>
                <w:szCs w:val="18"/>
                <w:vertAlign w:val="superscript"/>
                <w:lang w:eastAsia="it-IT"/>
              </w:rPr>
              <w:t>a</w:t>
            </w:r>
          </w:p>
        </w:tc>
        <w:tc>
          <w:tcPr>
            <w:tcW w:w="567" w:type="pct"/>
            <w:shd w:val="clear" w:color="auto" w:fill="FFFFFF"/>
          </w:tcPr>
          <w:p w14:paraId="62412785"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0.74±0.06</w:t>
            </w:r>
            <w:r w:rsidRPr="00F35F25">
              <w:rPr>
                <w:rFonts w:cs="Arial"/>
                <w:szCs w:val="18"/>
                <w:vertAlign w:val="superscript"/>
                <w:lang w:eastAsia="it-IT"/>
              </w:rPr>
              <w:t>a</w:t>
            </w:r>
          </w:p>
        </w:tc>
        <w:tc>
          <w:tcPr>
            <w:tcW w:w="567" w:type="pct"/>
            <w:shd w:val="clear" w:color="auto" w:fill="FFFFFF"/>
          </w:tcPr>
          <w:p w14:paraId="78960BF4"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0.80±0.01</w:t>
            </w:r>
            <w:r w:rsidRPr="00F35F25">
              <w:rPr>
                <w:rFonts w:cs="Arial"/>
                <w:szCs w:val="18"/>
                <w:vertAlign w:val="superscript"/>
                <w:lang w:eastAsia="it-IT"/>
              </w:rPr>
              <w:t>a</w:t>
            </w:r>
          </w:p>
        </w:tc>
      </w:tr>
      <w:tr w:rsidR="008B1CA1" w:rsidRPr="00F35F25" w14:paraId="6773F912" w14:textId="77777777" w:rsidTr="00A316A5">
        <w:tc>
          <w:tcPr>
            <w:tcW w:w="974" w:type="pct"/>
            <w:shd w:val="clear" w:color="auto" w:fill="FFFFFF"/>
          </w:tcPr>
          <w:p w14:paraId="7FF7E929" w14:textId="77777777" w:rsidR="005D05BA" w:rsidRPr="00F35F25" w:rsidRDefault="005D05BA" w:rsidP="00A316A5">
            <w:pPr>
              <w:spacing w:line="240" w:lineRule="auto"/>
              <w:jc w:val="left"/>
              <w:rPr>
                <w:rFonts w:cs="Arial"/>
                <w:szCs w:val="18"/>
                <w:lang w:eastAsia="it-IT"/>
              </w:rPr>
            </w:pPr>
            <w:r w:rsidRPr="00F35F25">
              <w:rPr>
                <w:rFonts w:cs="Arial"/>
                <w:szCs w:val="18"/>
                <w:lang w:eastAsia="it-IT"/>
              </w:rPr>
              <w:t xml:space="preserve">Hue </w:t>
            </w:r>
          </w:p>
        </w:tc>
        <w:tc>
          <w:tcPr>
            <w:tcW w:w="625" w:type="pct"/>
            <w:shd w:val="clear" w:color="auto" w:fill="FFFFFF"/>
          </w:tcPr>
          <w:p w14:paraId="64B8CE5E"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0.61±0.02</w:t>
            </w:r>
            <w:r w:rsidRPr="00F35F25">
              <w:rPr>
                <w:rFonts w:cs="Arial"/>
                <w:szCs w:val="18"/>
                <w:vertAlign w:val="superscript"/>
                <w:lang w:eastAsia="it-IT"/>
              </w:rPr>
              <w:t>a</w:t>
            </w:r>
          </w:p>
        </w:tc>
        <w:tc>
          <w:tcPr>
            <w:tcW w:w="567" w:type="pct"/>
            <w:shd w:val="clear" w:color="auto" w:fill="FFFFFF"/>
          </w:tcPr>
          <w:p w14:paraId="20D1CB62"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0.56±0.01</w:t>
            </w:r>
            <w:r w:rsidRPr="00F35F25">
              <w:rPr>
                <w:rFonts w:cs="Arial"/>
                <w:szCs w:val="18"/>
                <w:vertAlign w:val="superscript"/>
                <w:lang w:eastAsia="it-IT"/>
              </w:rPr>
              <w:t>b</w:t>
            </w:r>
          </w:p>
        </w:tc>
        <w:tc>
          <w:tcPr>
            <w:tcW w:w="567" w:type="pct"/>
            <w:shd w:val="clear" w:color="auto" w:fill="FFFFFF"/>
          </w:tcPr>
          <w:p w14:paraId="2B744346"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0.55±0.01</w:t>
            </w:r>
            <w:r w:rsidRPr="00F35F25">
              <w:rPr>
                <w:rFonts w:cs="Arial"/>
                <w:szCs w:val="18"/>
                <w:vertAlign w:val="superscript"/>
                <w:lang w:eastAsia="it-IT"/>
              </w:rPr>
              <w:t>b</w:t>
            </w:r>
          </w:p>
        </w:tc>
        <w:tc>
          <w:tcPr>
            <w:tcW w:w="567" w:type="pct"/>
            <w:shd w:val="clear" w:color="auto" w:fill="FFFFFF"/>
          </w:tcPr>
          <w:p w14:paraId="264591A6"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0.55±0.01</w:t>
            </w:r>
            <w:r w:rsidRPr="00F35F25">
              <w:rPr>
                <w:rFonts w:cs="Arial"/>
                <w:szCs w:val="18"/>
                <w:vertAlign w:val="superscript"/>
                <w:lang w:eastAsia="it-IT"/>
              </w:rPr>
              <w:t>b</w:t>
            </w:r>
          </w:p>
        </w:tc>
        <w:tc>
          <w:tcPr>
            <w:tcW w:w="567" w:type="pct"/>
            <w:shd w:val="clear" w:color="auto" w:fill="FFFFFF"/>
          </w:tcPr>
          <w:p w14:paraId="55F15024"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0.63±0.01</w:t>
            </w:r>
            <w:r w:rsidRPr="00F35F25">
              <w:rPr>
                <w:rFonts w:cs="Arial"/>
                <w:szCs w:val="18"/>
                <w:vertAlign w:val="superscript"/>
                <w:lang w:eastAsia="it-IT"/>
              </w:rPr>
              <w:t>a</w:t>
            </w:r>
          </w:p>
        </w:tc>
        <w:tc>
          <w:tcPr>
            <w:tcW w:w="567" w:type="pct"/>
            <w:shd w:val="clear" w:color="auto" w:fill="FFFFFF"/>
          </w:tcPr>
          <w:p w14:paraId="259C4FD1"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0.62±0.01</w:t>
            </w:r>
            <w:r w:rsidRPr="00F35F25">
              <w:rPr>
                <w:rFonts w:cs="Arial"/>
                <w:szCs w:val="18"/>
                <w:vertAlign w:val="superscript"/>
                <w:lang w:eastAsia="it-IT"/>
              </w:rPr>
              <w:t>a</w:t>
            </w:r>
          </w:p>
        </w:tc>
        <w:tc>
          <w:tcPr>
            <w:tcW w:w="567" w:type="pct"/>
            <w:shd w:val="clear" w:color="auto" w:fill="FFFFFF"/>
          </w:tcPr>
          <w:p w14:paraId="78AEDD7D"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0.63±0.01</w:t>
            </w:r>
            <w:r w:rsidRPr="00F35F25">
              <w:rPr>
                <w:rFonts w:cs="Arial"/>
                <w:szCs w:val="18"/>
                <w:vertAlign w:val="superscript"/>
                <w:lang w:eastAsia="it-IT"/>
              </w:rPr>
              <w:t>a</w:t>
            </w:r>
          </w:p>
        </w:tc>
      </w:tr>
      <w:tr w:rsidR="008B1CA1" w:rsidRPr="00F35F25" w14:paraId="3824B1EC" w14:textId="77777777" w:rsidTr="00A316A5">
        <w:tc>
          <w:tcPr>
            <w:tcW w:w="974" w:type="pct"/>
            <w:shd w:val="clear" w:color="auto" w:fill="FFFFFF"/>
          </w:tcPr>
          <w:p w14:paraId="672720B2" w14:textId="77777777" w:rsidR="005D05BA" w:rsidRPr="00F35F25" w:rsidRDefault="005D05BA" w:rsidP="00A316A5">
            <w:pPr>
              <w:pStyle w:val="CETBodytext"/>
              <w:ind w:right="-1"/>
              <w:jc w:val="left"/>
              <w:rPr>
                <w:rFonts w:cs="Arial"/>
                <w:szCs w:val="18"/>
                <w:lang w:val="en-GB" w:eastAsia="it-IT"/>
              </w:rPr>
            </w:pPr>
            <w:r w:rsidRPr="00F35F25">
              <w:rPr>
                <w:rFonts w:cs="Arial"/>
                <w:szCs w:val="18"/>
                <w:lang w:val="en-GB" w:eastAsia="it-IT"/>
              </w:rPr>
              <w:t>TA (mg/L)*</w:t>
            </w:r>
          </w:p>
        </w:tc>
        <w:tc>
          <w:tcPr>
            <w:tcW w:w="625" w:type="pct"/>
            <w:shd w:val="clear" w:color="auto" w:fill="FFFFFF"/>
          </w:tcPr>
          <w:p w14:paraId="631E41DA"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296±29</w:t>
            </w:r>
            <w:r w:rsidRPr="00F35F25">
              <w:rPr>
                <w:rFonts w:cs="Arial"/>
                <w:szCs w:val="18"/>
                <w:vertAlign w:val="superscript"/>
                <w:lang w:eastAsia="it-IT"/>
              </w:rPr>
              <w:t>a</w:t>
            </w:r>
          </w:p>
        </w:tc>
        <w:tc>
          <w:tcPr>
            <w:tcW w:w="567" w:type="pct"/>
            <w:shd w:val="clear" w:color="auto" w:fill="FFFFFF"/>
          </w:tcPr>
          <w:p w14:paraId="1AD12555"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223±10</w:t>
            </w:r>
            <w:r w:rsidRPr="00F35F25">
              <w:rPr>
                <w:rFonts w:cs="Arial"/>
                <w:szCs w:val="18"/>
                <w:vertAlign w:val="superscript"/>
                <w:lang w:eastAsia="it-IT"/>
              </w:rPr>
              <w:t>b</w:t>
            </w:r>
          </w:p>
        </w:tc>
        <w:tc>
          <w:tcPr>
            <w:tcW w:w="567" w:type="pct"/>
            <w:shd w:val="clear" w:color="auto" w:fill="FFFFFF"/>
          </w:tcPr>
          <w:p w14:paraId="6491FF40"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231±11</w:t>
            </w:r>
            <w:r w:rsidRPr="00F35F25">
              <w:rPr>
                <w:rFonts w:cs="Arial"/>
                <w:szCs w:val="18"/>
                <w:vertAlign w:val="superscript"/>
                <w:lang w:eastAsia="it-IT"/>
              </w:rPr>
              <w:t>b</w:t>
            </w:r>
          </w:p>
        </w:tc>
        <w:tc>
          <w:tcPr>
            <w:tcW w:w="567" w:type="pct"/>
            <w:shd w:val="clear" w:color="auto" w:fill="FFFFFF"/>
          </w:tcPr>
          <w:p w14:paraId="4FFA1E21"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223±10</w:t>
            </w:r>
            <w:r w:rsidRPr="00F35F25">
              <w:rPr>
                <w:rFonts w:cs="Arial"/>
                <w:szCs w:val="18"/>
                <w:vertAlign w:val="superscript"/>
                <w:lang w:eastAsia="it-IT"/>
              </w:rPr>
              <w:t>b</w:t>
            </w:r>
          </w:p>
        </w:tc>
        <w:tc>
          <w:tcPr>
            <w:tcW w:w="567" w:type="pct"/>
            <w:shd w:val="clear" w:color="auto" w:fill="FFFFFF"/>
          </w:tcPr>
          <w:p w14:paraId="4962B6B3"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269±27</w:t>
            </w:r>
            <w:r w:rsidRPr="00F35F25">
              <w:rPr>
                <w:rFonts w:cs="Arial"/>
                <w:szCs w:val="18"/>
                <w:vertAlign w:val="superscript"/>
                <w:lang w:eastAsia="it-IT"/>
              </w:rPr>
              <w:t>a</w:t>
            </w:r>
          </w:p>
        </w:tc>
        <w:tc>
          <w:tcPr>
            <w:tcW w:w="567" w:type="pct"/>
            <w:shd w:val="clear" w:color="auto" w:fill="FFFFFF"/>
          </w:tcPr>
          <w:p w14:paraId="6B07BB47"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282±21</w:t>
            </w:r>
            <w:r w:rsidRPr="00F35F25">
              <w:rPr>
                <w:rFonts w:cs="Arial"/>
                <w:szCs w:val="18"/>
                <w:vertAlign w:val="superscript"/>
                <w:lang w:eastAsia="it-IT"/>
              </w:rPr>
              <w:t>a</w:t>
            </w:r>
          </w:p>
        </w:tc>
        <w:tc>
          <w:tcPr>
            <w:tcW w:w="567" w:type="pct"/>
            <w:shd w:val="clear" w:color="auto" w:fill="FFFFFF"/>
          </w:tcPr>
          <w:p w14:paraId="22A89339"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312±11</w:t>
            </w:r>
            <w:r w:rsidRPr="00F35F25">
              <w:rPr>
                <w:rFonts w:cs="Arial"/>
                <w:szCs w:val="18"/>
                <w:vertAlign w:val="superscript"/>
                <w:lang w:eastAsia="it-IT"/>
              </w:rPr>
              <w:t>a</w:t>
            </w:r>
          </w:p>
        </w:tc>
      </w:tr>
      <w:tr w:rsidR="008B1CA1" w:rsidRPr="00F35F25" w14:paraId="18694D79" w14:textId="77777777" w:rsidTr="00A316A5">
        <w:tc>
          <w:tcPr>
            <w:tcW w:w="974" w:type="pct"/>
            <w:shd w:val="clear" w:color="auto" w:fill="FFFFFF"/>
          </w:tcPr>
          <w:p w14:paraId="72CA77C2" w14:textId="77777777" w:rsidR="005D05BA" w:rsidRPr="00F35F25" w:rsidRDefault="005D05BA" w:rsidP="00A316A5">
            <w:pPr>
              <w:pStyle w:val="CETBodytext"/>
              <w:ind w:right="-1"/>
              <w:jc w:val="left"/>
              <w:rPr>
                <w:rFonts w:cs="Arial"/>
                <w:szCs w:val="18"/>
                <w:lang w:val="en-GB" w:eastAsia="it-IT"/>
              </w:rPr>
            </w:pPr>
            <w:r w:rsidRPr="00F35F25">
              <w:rPr>
                <w:rFonts w:cs="Arial"/>
                <w:szCs w:val="18"/>
                <w:lang w:val="en-GB" w:eastAsia="it-IT"/>
              </w:rPr>
              <w:t>TP (mg/L)**</w:t>
            </w:r>
          </w:p>
        </w:tc>
        <w:tc>
          <w:tcPr>
            <w:tcW w:w="625" w:type="pct"/>
            <w:shd w:val="clear" w:color="auto" w:fill="FFFFFF"/>
          </w:tcPr>
          <w:p w14:paraId="5C614330"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1263±110</w:t>
            </w:r>
            <w:r w:rsidRPr="00F35F25">
              <w:rPr>
                <w:rFonts w:cs="Arial"/>
                <w:szCs w:val="18"/>
                <w:vertAlign w:val="superscript"/>
                <w:lang w:eastAsia="it-IT"/>
              </w:rPr>
              <w:t>a</w:t>
            </w:r>
          </w:p>
        </w:tc>
        <w:tc>
          <w:tcPr>
            <w:tcW w:w="567" w:type="pct"/>
            <w:shd w:val="clear" w:color="auto" w:fill="FFFFFF"/>
          </w:tcPr>
          <w:p w14:paraId="1A5B7011"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1547±74</w:t>
            </w:r>
            <w:r w:rsidRPr="00F35F25">
              <w:rPr>
                <w:rFonts w:cs="Arial"/>
                <w:szCs w:val="18"/>
                <w:vertAlign w:val="superscript"/>
                <w:lang w:eastAsia="it-IT"/>
              </w:rPr>
              <w:t>b</w:t>
            </w:r>
          </w:p>
        </w:tc>
        <w:tc>
          <w:tcPr>
            <w:tcW w:w="567" w:type="pct"/>
            <w:shd w:val="clear" w:color="auto" w:fill="FFFFFF"/>
          </w:tcPr>
          <w:p w14:paraId="40E6F7AB"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1498±343</w:t>
            </w:r>
            <w:r w:rsidRPr="00F35F25">
              <w:rPr>
                <w:rFonts w:cs="Arial"/>
                <w:szCs w:val="18"/>
                <w:vertAlign w:val="superscript"/>
                <w:lang w:eastAsia="it-IT"/>
              </w:rPr>
              <w:t>b</w:t>
            </w:r>
          </w:p>
        </w:tc>
        <w:tc>
          <w:tcPr>
            <w:tcW w:w="567" w:type="pct"/>
            <w:shd w:val="clear" w:color="auto" w:fill="FFFFFF"/>
          </w:tcPr>
          <w:p w14:paraId="77B83D80" w14:textId="77777777" w:rsidR="005D05BA" w:rsidRPr="00F35F25" w:rsidRDefault="005D05BA" w:rsidP="00A316A5">
            <w:pPr>
              <w:spacing w:line="240" w:lineRule="auto"/>
              <w:jc w:val="center"/>
              <w:rPr>
                <w:rFonts w:cs="Arial"/>
                <w:szCs w:val="18"/>
                <w:lang w:eastAsia="it-IT"/>
              </w:rPr>
            </w:pPr>
            <w:r w:rsidRPr="00F35F25">
              <w:rPr>
                <w:rFonts w:cs="Arial"/>
                <w:szCs w:val="18"/>
              </w:rPr>
              <w:t>1354</w:t>
            </w:r>
            <w:r w:rsidRPr="00F35F25">
              <w:rPr>
                <w:rFonts w:cs="Arial"/>
                <w:szCs w:val="18"/>
                <w:lang w:eastAsia="it-IT"/>
              </w:rPr>
              <w:t>±83</w:t>
            </w:r>
            <w:r w:rsidRPr="00F35F25">
              <w:rPr>
                <w:rFonts w:cs="Arial"/>
                <w:szCs w:val="18"/>
                <w:vertAlign w:val="superscript"/>
                <w:lang w:eastAsia="it-IT"/>
              </w:rPr>
              <w:t>b</w:t>
            </w:r>
          </w:p>
        </w:tc>
        <w:tc>
          <w:tcPr>
            <w:tcW w:w="567" w:type="pct"/>
            <w:shd w:val="clear" w:color="auto" w:fill="FFFFFF"/>
          </w:tcPr>
          <w:p w14:paraId="721C444B"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1108±176</w:t>
            </w:r>
            <w:r w:rsidRPr="00F35F25">
              <w:rPr>
                <w:rFonts w:cs="Arial"/>
                <w:szCs w:val="18"/>
                <w:vertAlign w:val="superscript"/>
                <w:lang w:eastAsia="it-IT"/>
              </w:rPr>
              <w:t>a</w:t>
            </w:r>
          </w:p>
        </w:tc>
        <w:tc>
          <w:tcPr>
            <w:tcW w:w="567" w:type="pct"/>
            <w:shd w:val="clear" w:color="auto" w:fill="FFFFFF"/>
          </w:tcPr>
          <w:p w14:paraId="4174E78F"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1219±98</w:t>
            </w:r>
            <w:r w:rsidRPr="00F35F25">
              <w:rPr>
                <w:rFonts w:cs="Arial"/>
                <w:szCs w:val="18"/>
                <w:vertAlign w:val="superscript"/>
                <w:lang w:eastAsia="it-IT"/>
              </w:rPr>
              <w:t>a</w:t>
            </w:r>
          </w:p>
        </w:tc>
        <w:tc>
          <w:tcPr>
            <w:tcW w:w="567" w:type="pct"/>
            <w:shd w:val="clear" w:color="auto" w:fill="FFFFFF"/>
          </w:tcPr>
          <w:p w14:paraId="3CE42B98" w14:textId="77777777" w:rsidR="005D05BA" w:rsidRPr="00F35F25" w:rsidRDefault="005D05BA" w:rsidP="00A316A5">
            <w:pPr>
              <w:spacing w:line="240" w:lineRule="auto"/>
              <w:jc w:val="center"/>
              <w:rPr>
                <w:rFonts w:cs="Arial"/>
                <w:szCs w:val="18"/>
                <w:lang w:eastAsia="it-IT"/>
              </w:rPr>
            </w:pPr>
            <w:r w:rsidRPr="00F35F25">
              <w:rPr>
                <w:rFonts w:cs="Arial"/>
                <w:szCs w:val="18"/>
                <w:lang w:eastAsia="it-IT"/>
              </w:rPr>
              <w:t>1097±67</w:t>
            </w:r>
            <w:r w:rsidRPr="00F35F25">
              <w:rPr>
                <w:rFonts w:cs="Arial"/>
                <w:szCs w:val="18"/>
                <w:vertAlign w:val="superscript"/>
                <w:lang w:eastAsia="it-IT"/>
              </w:rPr>
              <w:t>a</w:t>
            </w:r>
          </w:p>
        </w:tc>
      </w:tr>
    </w:tbl>
    <w:p w14:paraId="1ACDD9F9" w14:textId="24A2B9C3" w:rsidR="005D05BA" w:rsidRPr="00F35F25" w:rsidRDefault="005D05BA" w:rsidP="005D05BA">
      <w:pPr>
        <w:rPr>
          <w:i/>
          <w:lang w:val="en-US"/>
        </w:rPr>
      </w:pPr>
      <w:r w:rsidRPr="00F35F25">
        <w:rPr>
          <w:i/>
        </w:rPr>
        <w:t xml:space="preserve">*TA: Total </w:t>
      </w:r>
      <w:proofErr w:type="spellStart"/>
      <w:r w:rsidRPr="00F35F25">
        <w:rPr>
          <w:i/>
        </w:rPr>
        <w:t>Anthocyanins</w:t>
      </w:r>
      <w:proofErr w:type="spellEnd"/>
      <w:r w:rsidRPr="00F35F25">
        <w:rPr>
          <w:i/>
        </w:rPr>
        <w:t xml:space="preserve"> expressed as (mg malvidin-3-G/L); ** Total phenols expressed as (mg GAE/L). Values are expressed as average ± standard deviation. </w:t>
      </w:r>
      <w:r w:rsidRPr="00F35F25">
        <w:rPr>
          <w:i/>
          <w:lang w:val="en-US"/>
        </w:rPr>
        <w:t>Different letters (a</w:t>
      </w:r>
      <w:r w:rsidR="00CC1FC2" w:rsidRPr="00F35F25">
        <w:rPr>
          <w:i/>
          <w:lang w:val="en-US"/>
        </w:rPr>
        <w:t>, b…f</w:t>
      </w:r>
      <w:r w:rsidRPr="00F35F25">
        <w:rPr>
          <w:i/>
          <w:lang w:val="en-US"/>
        </w:rPr>
        <w:t xml:space="preserve">) mean significant differences (P&lt;0.05). </w:t>
      </w:r>
    </w:p>
    <w:p w14:paraId="0FA2C41F" w14:textId="77777777" w:rsidR="005D05BA" w:rsidRPr="00F35F25" w:rsidRDefault="005D05BA" w:rsidP="00984BEC">
      <w:pPr>
        <w:pStyle w:val="CETBodytext"/>
        <w:rPr>
          <w:lang w:val="en-GB"/>
        </w:rPr>
      </w:pPr>
    </w:p>
    <w:p w14:paraId="3A9A17CB" w14:textId="27640D61" w:rsidR="008F6317" w:rsidRPr="00F35F25" w:rsidRDefault="008F6317" w:rsidP="00984BEC">
      <w:pPr>
        <w:pStyle w:val="CETBodytext"/>
      </w:pPr>
      <w:r w:rsidRPr="00F35F25">
        <w:rPr>
          <w:lang w:val="en-GB"/>
        </w:rPr>
        <w:t>The</w:t>
      </w:r>
      <w:r w:rsidR="00984BEC" w:rsidRPr="00F35F25">
        <w:t xml:space="preserve"> original wine</w:t>
      </w:r>
      <w:r w:rsidRPr="00F35F25">
        <w:t xml:space="preserve"> (W</w:t>
      </w:r>
      <w:r w:rsidRPr="00F35F25">
        <w:rPr>
          <w:vertAlign w:val="subscript"/>
        </w:rPr>
        <w:t>0</w:t>
      </w:r>
      <w:r w:rsidRPr="00F35F25">
        <w:t>) with an alcohol content of 13.23 %v/v</w:t>
      </w:r>
      <w:r w:rsidR="00973703" w:rsidRPr="00F35F25">
        <w:t xml:space="preserve"> dealcoholized through the combined membrane process </w:t>
      </w:r>
      <w:r w:rsidRPr="00F35F25">
        <w:t xml:space="preserve">had a reduced alcohol content of </w:t>
      </w:r>
      <w:r w:rsidR="00984BEC" w:rsidRPr="00F35F25">
        <w:t>-4.2 %v/v</w:t>
      </w:r>
      <w:r w:rsidRPr="00F35F25">
        <w:t xml:space="preserve"> after the RO step (WRO</w:t>
      </w:r>
      <w:r w:rsidRPr="00F35F25">
        <w:rPr>
          <w:vertAlign w:val="subscript"/>
        </w:rPr>
        <w:t>1</w:t>
      </w:r>
      <w:r w:rsidRPr="00F35F25">
        <w:t>)</w:t>
      </w:r>
      <w:r w:rsidR="00984BEC" w:rsidRPr="00F35F25">
        <w:t xml:space="preserve">, </w:t>
      </w:r>
      <w:r w:rsidRPr="00F35F25">
        <w:t xml:space="preserve">and then of </w:t>
      </w:r>
      <w:r w:rsidR="00984BEC" w:rsidRPr="00F35F25">
        <w:t>-6.1 %v/v</w:t>
      </w:r>
      <w:r w:rsidRPr="00F35F25">
        <w:t xml:space="preserve"> (WROD</w:t>
      </w:r>
      <w:r w:rsidRPr="00F35F25">
        <w:rPr>
          <w:vertAlign w:val="subscript"/>
        </w:rPr>
        <w:t>2</w:t>
      </w:r>
      <w:r w:rsidR="00984BEC" w:rsidRPr="00F35F25">
        <w:t>)</w:t>
      </w:r>
      <w:r w:rsidRPr="00F35F25">
        <w:t xml:space="preserve"> and</w:t>
      </w:r>
      <w:r w:rsidR="00984BEC" w:rsidRPr="00F35F25">
        <w:t xml:space="preserve"> -7.7 %v/v</w:t>
      </w:r>
      <w:r w:rsidRPr="00F35F25">
        <w:t xml:space="preserve"> (WROD</w:t>
      </w:r>
      <w:r w:rsidRPr="00F35F25">
        <w:rPr>
          <w:vertAlign w:val="subscript"/>
        </w:rPr>
        <w:t>3</w:t>
      </w:r>
      <w:r w:rsidR="00984BEC" w:rsidRPr="00F35F25">
        <w:t xml:space="preserve">) </w:t>
      </w:r>
      <w:r w:rsidR="00973703" w:rsidRPr="00F35F25">
        <w:t>after</w:t>
      </w:r>
      <w:r w:rsidRPr="00F35F25">
        <w:t xml:space="preserve"> the subsequent OD cycles.</w:t>
      </w:r>
    </w:p>
    <w:p w14:paraId="2A689948" w14:textId="0CEB0613" w:rsidR="00984BEC" w:rsidRPr="00F35F25" w:rsidRDefault="00973703" w:rsidP="00984BEC">
      <w:pPr>
        <w:pStyle w:val="CETBodytext"/>
      </w:pPr>
      <w:r w:rsidRPr="00F35F25">
        <w:t>For the wine samples dealcoholized through osmotic distillation it was obtained a similar reduction in alcohol strength (</w:t>
      </w:r>
      <w:r w:rsidR="00984BEC" w:rsidRPr="00F35F25">
        <w:t>WOD</w:t>
      </w:r>
      <w:r w:rsidR="00984BEC" w:rsidRPr="00F35F25">
        <w:rPr>
          <w:vertAlign w:val="subscript"/>
        </w:rPr>
        <w:t>1</w:t>
      </w:r>
      <w:r w:rsidRPr="00F35F25">
        <w:t>=</w:t>
      </w:r>
      <w:r w:rsidR="00984BEC" w:rsidRPr="00F35F25">
        <w:t>-4.9 %v/v,</w:t>
      </w:r>
      <w:r w:rsidRPr="00F35F25">
        <w:t xml:space="preserve"> </w:t>
      </w:r>
      <w:r w:rsidR="00984BEC" w:rsidRPr="00F35F25">
        <w:t>WOD</w:t>
      </w:r>
      <w:r w:rsidR="00984BEC" w:rsidRPr="00F35F25">
        <w:rPr>
          <w:vertAlign w:val="subscript"/>
        </w:rPr>
        <w:t>2</w:t>
      </w:r>
      <w:r w:rsidRPr="00F35F25">
        <w:t>=</w:t>
      </w:r>
      <w:r w:rsidR="00984BEC" w:rsidRPr="00F35F25">
        <w:t>-6.2 %v/v,</w:t>
      </w:r>
      <w:r w:rsidRPr="00F35F25">
        <w:t xml:space="preserve"> </w:t>
      </w:r>
      <w:r w:rsidR="00984BEC" w:rsidRPr="00F35F25">
        <w:t>WOD</w:t>
      </w:r>
      <w:r w:rsidR="00984BEC" w:rsidRPr="00F35F25">
        <w:rPr>
          <w:vertAlign w:val="subscript"/>
        </w:rPr>
        <w:t>3</w:t>
      </w:r>
      <w:r w:rsidRPr="00F35F25">
        <w:t>=</w:t>
      </w:r>
      <w:r w:rsidR="00984BEC" w:rsidRPr="00F35F25">
        <w:t>-7.8 %v/v)</w:t>
      </w:r>
      <w:r w:rsidRPr="00F35F25">
        <w:t>.</w:t>
      </w:r>
    </w:p>
    <w:p w14:paraId="518C01A9" w14:textId="1DE7B627" w:rsidR="00B76D90" w:rsidRPr="00F35F25" w:rsidRDefault="00973703" w:rsidP="00F864F8">
      <w:pPr>
        <w:pStyle w:val="CETBodytext"/>
        <w:rPr>
          <w:lang w:val="en-GB"/>
        </w:rPr>
      </w:pPr>
      <w:r w:rsidRPr="00F35F25">
        <w:rPr>
          <w:lang w:val="en-GB"/>
        </w:rPr>
        <w:t>No significant differences in total acidity, tartaric acid and pH were observed between the original wine and  those processed by OD, whereas a significant decrease in total acidity and tartaric acid and an increase in pH was detected in wine treated by RO</w:t>
      </w:r>
      <w:r w:rsidR="00394E9F" w:rsidRPr="00F35F25">
        <w:rPr>
          <w:lang w:val="en-GB"/>
        </w:rPr>
        <w:t>. A similar trend in pH after RO was</w:t>
      </w:r>
      <w:r w:rsidRPr="00F35F25">
        <w:rPr>
          <w:lang w:val="en-GB"/>
        </w:rPr>
        <w:t xml:space="preserve"> a</w:t>
      </w:r>
      <w:r w:rsidR="00394E9F" w:rsidRPr="00F35F25">
        <w:rPr>
          <w:lang w:val="en-GB"/>
        </w:rPr>
        <w:t>l</w:t>
      </w:r>
      <w:r w:rsidRPr="00F35F25">
        <w:rPr>
          <w:lang w:val="en-GB"/>
        </w:rPr>
        <w:t>s</w:t>
      </w:r>
      <w:r w:rsidR="00394E9F" w:rsidRPr="00F35F25">
        <w:rPr>
          <w:lang w:val="en-GB"/>
        </w:rPr>
        <w:t>o</w:t>
      </w:r>
      <w:r w:rsidRPr="00F35F25">
        <w:rPr>
          <w:lang w:val="en-GB"/>
        </w:rPr>
        <w:t xml:space="preserve"> reported elsewhere (</w:t>
      </w:r>
      <w:proofErr w:type="spellStart"/>
      <w:r w:rsidRPr="00F35F25">
        <w:rPr>
          <w:lang w:val="en-GB"/>
        </w:rPr>
        <w:t>Catarino</w:t>
      </w:r>
      <w:proofErr w:type="spellEnd"/>
      <w:r w:rsidRPr="00F35F25">
        <w:rPr>
          <w:lang w:val="en-GB"/>
        </w:rPr>
        <w:t xml:space="preserve">, </w:t>
      </w:r>
      <w:r w:rsidR="00580555" w:rsidRPr="00F35F25">
        <w:rPr>
          <w:lang w:val="en-GB"/>
        </w:rPr>
        <w:t>2010</w:t>
      </w:r>
      <w:r w:rsidRPr="00F35F25">
        <w:rPr>
          <w:lang w:val="en-GB"/>
        </w:rPr>
        <w:t>)</w:t>
      </w:r>
      <w:r w:rsidR="00394E9F" w:rsidRPr="00F35F25">
        <w:rPr>
          <w:lang w:val="en-GB"/>
        </w:rPr>
        <w:t>.</w:t>
      </w:r>
      <w:r w:rsidRPr="00F35F25">
        <w:rPr>
          <w:lang w:val="en-GB"/>
        </w:rPr>
        <w:t xml:space="preserve"> </w:t>
      </w:r>
      <w:r w:rsidR="00394E9F" w:rsidRPr="00F35F25">
        <w:rPr>
          <w:lang w:val="en-GB"/>
        </w:rPr>
        <w:t>In the subsequent OD cycles</w:t>
      </w:r>
      <w:r w:rsidRPr="00F35F25">
        <w:rPr>
          <w:lang w:val="en-GB"/>
        </w:rPr>
        <w:t xml:space="preserve">, pH value in wine </w:t>
      </w:r>
      <w:r w:rsidR="00394E9F" w:rsidRPr="00F35F25">
        <w:rPr>
          <w:lang w:val="en-GB"/>
        </w:rPr>
        <w:t>(</w:t>
      </w:r>
      <w:r w:rsidR="00394E9F" w:rsidRPr="00F35F25">
        <w:t>WROD</w:t>
      </w:r>
      <w:r w:rsidR="00394E9F" w:rsidRPr="00F35F25">
        <w:rPr>
          <w:vertAlign w:val="subscript"/>
        </w:rPr>
        <w:t xml:space="preserve">2, </w:t>
      </w:r>
      <w:r w:rsidR="00394E9F" w:rsidRPr="00F35F25">
        <w:t>WROD</w:t>
      </w:r>
      <w:r w:rsidR="00394E9F" w:rsidRPr="00F35F25">
        <w:rPr>
          <w:vertAlign w:val="subscript"/>
        </w:rPr>
        <w:t>3</w:t>
      </w:r>
      <w:r w:rsidR="00394E9F" w:rsidRPr="00F35F25">
        <w:t>)</w:t>
      </w:r>
      <w:r w:rsidR="00394E9F" w:rsidRPr="00F35F25">
        <w:rPr>
          <w:lang w:val="en-GB"/>
        </w:rPr>
        <w:t xml:space="preserve"> </w:t>
      </w:r>
      <w:r w:rsidRPr="00F35F25">
        <w:rPr>
          <w:lang w:val="en-GB"/>
        </w:rPr>
        <w:t xml:space="preserve">remained almost unchanged. Tartaric acid </w:t>
      </w:r>
      <w:r w:rsidR="00394E9F" w:rsidRPr="00F35F25">
        <w:rPr>
          <w:lang w:val="en-GB"/>
        </w:rPr>
        <w:t xml:space="preserve">and total acidity </w:t>
      </w:r>
      <w:r w:rsidRPr="00F35F25">
        <w:rPr>
          <w:lang w:val="en-GB"/>
        </w:rPr>
        <w:t>ha</w:t>
      </w:r>
      <w:r w:rsidR="00394E9F" w:rsidRPr="00F35F25">
        <w:rPr>
          <w:lang w:val="en-GB"/>
        </w:rPr>
        <w:t>ve</w:t>
      </w:r>
      <w:r w:rsidRPr="00F35F25">
        <w:rPr>
          <w:lang w:val="en-GB"/>
        </w:rPr>
        <w:t xml:space="preserve"> confirmed this trend</w:t>
      </w:r>
      <w:r w:rsidR="00394E9F" w:rsidRPr="00F35F25">
        <w:rPr>
          <w:lang w:val="en-GB"/>
        </w:rPr>
        <w:t xml:space="preserve">. </w:t>
      </w:r>
      <w:r w:rsidRPr="00F35F25">
        <w:rPr>
          <w:lang w:val="en-GB"/>
        </w:rPr>
        <w:t xml:space="preserve">A slight decrease in volatile acidity was then detected, which could </w:t>
      </w:r>
      <w:r w:rsidR="00F864F8" w:rsidRPr="00F35F25">
        <w:rPr>
          <w:lang w:val="en-GB"/>
        </w:rPr>
        <w:t xml:space="preserve">be </w:t>
      </w:r>
      <w:r w:rsidRPr="00F35F25">
        <w:rPr>
          <w:lang w:val="en-GB"/>
        </w:rPr>
        <w:t>explain</w:t>
      </w:r>
      <w:r w:rsidR="00F864F8" w:rsidRPr="00F35F25">
        <w:rPr>
          <w:lang w:val="en-GB"/>
        </w:rPr>
        <w:t>ed</w:t>
      </w:r>
      <w:r w:rsidRPr="00F35F25">
        <w:rPr>
          <w:lang w:val="en-GB"/>
        </w:rPr>
        <w:t xml:space="preserve"> </w:t>
      </w:r>
      <w:r w:rsidR="00F864F8" w:rsidRPr="00F35F25">
        <w:rPr>
          <w:lang w:val="en-GB"/>
        </w:rPr>
        <w:t>by</w:t>
      </w:r>
      <w:r w:rsidRPr="00F35F25">
        <w:rPr>
          <w:lang w:val="en-GB"/>
        </w:rPr>
        <w:t xml:space="preserve"> acetic acid loss during the OD process and its low rejection in wine in RO process. </w:t>
      </w:r>
      <w:r w:rsidR="00D00033" w:rsidRPr="00F35F25">
        <w:rPr>
          <w:lang w:val="en-GB"/>
        </w:rPr>
        <w:t>A</w:t>
      </w:r>
      <w:r w:rsidR="00B832AC" w:rsidRPr="00F35F25">
        <w:rPr>
          <w:lang w:val="en-GB"/>
        </w:rPr>
        <w:t xml:space="preserve"> </w:t>
      </w:r>
      <w:r w:rsidR="00C2066F" w:rsidRPr="00F35F25">
        <w:rPr>
          <w:lang w:val="en-GB"/>
        </w:rPr>
        <w:t xml:space="preserve">significant </w:t>
      </w:r>
      <w:r w:rsidR="00B832AC" w:rsidRPr="00F35F25">
        <w:rPr>
          <w:lang w:val="en-GB"/>
        </w:rPr>
        <w:t>decrease of</w:t>
      </w:r>
      <w:r w:rsidR="00C442B4" w:rsidRPr="00F35F25">
        <w:rPr>
          <w:lang w:val="en-GB"/>
        </w:rPr>
        <w:t xml:space="preserve"> total anthocyanins</w:t>
      </w:r>
      <w:r w:rsidR="00C2066F" w:rsidRPr="00F35F25">
        <w:rPr>
          <w:lang w:val="en-GB"/>
        </w:rPr>
        <w:t xml:space="preserve"> (TA)</w:t>
      </w:r>
      <w:r w:rsidR="00D00033" w:rsidRPr="00F35F25">
        <w:rPr>
          <w:lang w:val="en-GB"/>
        </w:rPr>
        <w:t xml:space="preserve"> was detected in wine</w:t>
      </w:r>
      <w:r w:rsidR="00C5190A" w:rsidRPr="00F35F25">
        <w:rPr>
          <w:lang w:val="en-GB"/>
        </w:rPr>
        <w:t xml:space="preserve"> after RO process probably due to </w:t>
      </w:r>
      <w:r w:rsidR="00B832AC" w:rsidRPr="00F35F25">
        <w:rPr>
          <w:lang w:val="en-GB"/>
        </w:rPr>
        <w:t>interaction phenomenon with membrane; then</w:t>
      </w:r>
      <w:r w:rsidR="00D00033" w:rsidRPr="00F35F25">
        <w:rPr>
          <w:lang w:val="en-GB"/>
        </w:rPr>
        <w:t>,</w:t>
      </w:r>
      <w:r w:rsidR="00B832AC" w:rsidRPr="00F35F25">
        <w:rPr>
          <w:lang w:val="en-GB"/>
        </w:rPr>
        <w:t xml:space="preserve"> the amount remained unchanged</w:t>
      </w:r>
      <w:r w:rsidR="00D00033" w:rsidRPr="00F35F25">
        <w:rPr>
          <w:lang w:val="en-GB"/>
        </w:rPr>
        <w:t xml:space="preserve"> after </w:t>
      </w:r>
      <w:r w:rsidR="00C2066F" w:rsidRPr="00F35F25">
        <w:rPr>
          <w:lang w:val="en-GB"/>
        </w:rPr>
        <w:t>two</w:t>
      </w:r>
      <w:r w:rsidR="00D00033" w:rsidRPr="00F35F25">
        <w:rPr>
          <w:lang w:val="en-GB"/>
        </w:rPr>
        <w:t xml:space="preserve"> OD cycles (WROD</w:t>
      </w:r>
      <w:r w:rsidR="00D00033" w:rsidRPr="00F35F25">
        <w:rPr>
          <w:vertAlign w:val="subscript"/>
          <w:lang w:val="en-GB"/>
        </w:rPr>
        <w:t xml:space="preserve">2 </w:t>
      </w:r>
      <w:r w:rsidR="00D00033" w:rsidRPr="00F35F25">
        <w:rPr>
          <w:lang w:val="en-GB"/>
        </w:rPr>
        <w:t>and WROD</w:t>
      </w:r>
      <w:r w:rsidR="00D00033" w:rsidRPr="00F35F25">
        <w:rPr>
          <w:vertAlign w:val="subscript"/>
          <w:lang w:val="en-GB"/>
        </w:rPr>
        <w:t>3</w:t>
      </w:r>
      <w:r w:rsidR="00D00033" w:rsidRPr="00F35F25">
        <w:rPr>
          <w:lang w:val="en-GB"/>
        </w:rPr>
        <w:t>)</w:t>
      </w:r>
      <w:r w:rsidR="00B832AC" w:rsidRPr="00F35F25">
        <w:rPr>
          <w:lang w:val="en-GB"/>
        </w:rPr>
        <w:t>.</w:t>
      </w:r>
      <w:r w:rsidR="006139E6" w:rsidRPr="00F35F25">
        <w:rPr>
          <w:lang w:val="en-GB"/>
        </w:rPr>
        <w:t xml:space="preserve"> </w:t>
      </w:r>
      <w:r w:rsidR="00CB52EB" w:rsidRPr="00F35F25">
        <w:rPr>
          <w:lang w:val="en-GB"/>
        </w:rPr>
        <w:t>The concentration of the non-permeable compounds was e</w:t>
      </w:r>
      <w:r w:rsidR="004D353B" w:rsidRPr="00F35F25">
        <w:rPr>
          <w:lang w:val="en-GB"/>
        </w:rPr>
        <w:t>vident for total phenols</w:t>
      </w:r>
      <w:r w:rsidR="00C2066F" w:rsidRPr="00F35F25">
        <w:rPr>
          <w:lang w:val="en-GB"/>
        </w:rPr>
        <w:t xml:space="preserve"> (TP)</w:t>
      </w:r>
      <w:r w:rsidR="004D353B" w:rsidRPr="00F35F25">
        <w:rPr>
          <w:lang w:val="en-GB"/>
        </w:rPr>
        <w:t xml:space="preserve"> amount in </w:t>
      </w:r>
      <w:r w:rsidR="00CB52EB" w:rsidRPr="00F35F25">
        <w:rPr>
          <w:lang w:val="en-GB"/>
        </w:rPr>
        <w:t>WRO</w:t>
      </w:r>
      <w:r w:rsidR="00CB52EB" w:rsidRPr="00F35F25">
        <w:rPr>
          <w:vertAlign w:val="subscript"/>
          <w:lang w:val="en-GB"/>
        </w:rPr>
        <w:t xml:space="preserve">1 </w:t>
      </w:r>
      <w:r w:rsidR="00CB52EB" w:rsidRPr="00F35F25">
        <w:rPr>
          <w:lang w:val="en-GB"/>
        </w:rPr>
        <w:t xml:space="preserve">sample due to </w:t>
      </w:r>
      <w:r w:rsidR="004D353B" w:rsidRPr="00F35F25">
        <w:rPr>
          <w:lang w:val="en-GB"/>
        </w:rPr>
        <w:t xml:space="preserve">permeation of both ethanol and </w:t>
      </w:r>
      <w:r w:rsidR="00CB52EB" w:rsidRPr="00F35F25">
        <w:rPr>
          <w:lang w:val="en-GB"/>
        </w:rPr>
        <w:t xml:space="preserve">water during RO. TP content remained constant in </w:t>
      </w:r>
      <w:r w:rsidR="00DA32C8" w:rsidRPr="00F35F25">
        <w:rPr>
          <w:lang w:val="en-GB"/>
        </w:rPr>
        <w:t>the subsequent</w:t>
      </w:r>
      <w:r w:rsidR="00CB52EB" w:rsidRPr="00F35F25">
        <w:rPr>
          <w:lang w:val="en-GB"/>
        </w:rPr>
        <w:t xml:space="preserve"> OD cycles, hence the</w:t>
      </w:r>
      <w:r w:rsidR="00C442B4" w:rsidRPr="00F35F25">
        <w:rPr>
          <w:lang w:val="en-GB"/>
        </w:rPr>
        <w:t xml:space="preserve"> OD process </w:t>
      </w:r>
      <w:r w:rsidR="002158C6" w:rsidRPr="00F35F25">
        <w:rPr>
          <w:lang w:val="en-GB"/>
        </w:rPr>
        <w:t xml:space="preserve">did not </w:t>
      </w:r>
      <w:r w:rsidR="00C442B4" w:rsidRPr="00F35F25">
        <w:rPr>
          <w:lang w:val="en-GB"/>
        </w:rPr>
        <w:t>influence</w:t>
      </w:r>
      <w:r w:rsidR="00F864F8" w:rsidRPr="00F35F25">
        <w:rPr>
          <w:lang w:val="en-GB"/>
        </w:rPr>
        <w:t xml:space="preserve"> </w:t>
      </w:r>
      <w:r w:rsidR="00C442B4" w:rsidRPr="00F35F25">
        <w:rPr>
          <w:lang w:val="en-GB"/>
        </w:rPr>
        <w:t xml:space="preserve">the amount of these </w:t>
      </w:r>
      <w:r w:rsidR="00C2066F" w:rsidRPr="00F35F25">
        <w:rPr>
          <w:lang w:val="en-GB"/>
        </w:rPr>
        <w:t xml:space="preserve">compounds </w:t>
      </w:r>
      <w:r w:rsidR="00C442B4" w:rsidRPr="00F35F25">
        <w:rPr>
          <w:lang w:val="en-GB"/>
        </w:rPr>
        <w:t xml:space="preserve">during the </w:t>
      </w:r>
      <w:r w:rsidR="00CB52EB" w:rsidRPr="00F35F25">
        <w:rPr>
          <w:lang w:val="en-GB"/>
        </w:rPr>
        <w:t xml:space="preserve">wine </w:t>
      </w:r>
      <w:r w:rsidR="00C442B4" w:rsidRPr="00F35F25">
        <w:rPr>
          <w:lang w:val="en-GB"/>
        </w:rPr>
        <w:t>dealcoholization</w:t>
      </w:r>
      <w:r w:rsidR="00CB52EB" w:rsidRPr="00F35F25">
        <w:rPr>
          <w:lang w:val="en-GB"/>
        </w:rPr>
        <w:t>, as reported elsewhere (</w:t>
      </w:r>
      <w:proofErr w:type="spellStart"/>
      <w:r w:rsidR="00CB52EB" w:rsidRPr="00F35F25">
        <w:rPr>
          <w:lang w:val="en-GB"/>
        </w:rPr>
        <w:t>Lisanti</w:t>
      </w:r>
      <w:proofErr w:type="spellEnd"/>
      <w:r w:rsidR="00CB52EB" w:rsidRPr="00F35F25">
        <w:rPr>
          <w:lang w:val="en-GB"/>
        </w:rPr>
        <w:t xml:space="preserve"> et al., 2013; Liguori et al., 2013).</w:t>
      </w:r>
      <w:r w:rsidR="00C442B4" w:rsidRPr="00F35F25">
        <w:rPr>
          <w:lang w:val="en-GB"/>
        </w:rPr>
        <w:t xml:space="preserve"> </w:t>
      </w:r>
      <w:r w:rsidR="00E42A93" w:rsidRPr="00F35F25">
        <w:rPr>
          <w:lang w:val="en-GB"/>
        </w:rPr>
        <w:t xml:space="preserve">The colour parameters (colour intensity and hue) were found statistically different </w:t>
      </w:r>
      <w:r w:rsidR="004D353B" w:rsidRPr="00F35F25">
        <w:rPr>
          <w:lang w:val="en-GB"/>
        </w:rPr>
        <w:t>(P&lt;0.05) respect to W</w:t>
      </w:r>
      <w:r w:rsidR="004D353B" w:rsidRPr="00F35F25">
        <w:rPr>
          <w:vertAlign w:val="subscript"/>
          <w:lang w:val="en-GB"/>
        </w:rPr>
        <w:t>0</w:t>
      </w:r>
      <w:r w:rsidR="004D353B" w:rsidRPr="00F35F25">
        <w:rPr>
          <w:lang w:val="en-GB"/>
        </w:rPr>
        <w:t xml:space="preserve">, </w:t>
      </w:r>
      <w:r w:rsidR="002158C6" w:rsidRPr="00F35F25">
        <w:rPr>
          <w:lang w:val="en-GB"/>
        </w:rPr>
        <w:t>more in</w:t>
      </w:r>
      <w:r w:rsidR="00E42A93" w:rsidRPr="00F35F25">
        <w:rPr>
          <w:lang w:val="en-GB"/>
        </w:rPr>
        <w:t xml:space="preserve"> wine dealcoholized </w:t>
      </w:r>
      <w:r w:rsidR="002158C6" w:rsidRPr="00F35F25">
        <w:rPr>
          <w:lang w:val="en-GB"/>
        </w:rPr>
        <w:t xml:space="preserve">through </w:t>
      </w:r>
      <w:r w:rsidR="00E42A93" w:rsidRPr="00F35F25">
        <w:rPr>
          <w:lang w:val="en-GB"/>
        </w:rPr>
        <w:t>RO than OD process.</w:t>
      </w:r>
    </w:p>
    <w:p w14:paraId="0F8CC866" w14:textId="10500528" w:rsidR="002065E9" w:rsidRPr="00F35F25" w:rsidRDefault="00E0492A">
      <w:pPr>
        <w:pStyle w:val="CETBodytext"/>
      </w:pPr>
      <w:r w:rsidRPr="00F35F25">
        <w:t xml:space="preserve">Since </w:t>
      </w:r>
      <w:r w:rsidR="00E42A1A" w:rsidRPr="00F35F25">
        <w:t xml:space="preserve">the quality of wine depends on the balance between ethanol content, acidity, aroma and taste, the dealcoholized samples were submitted to volatile composition analysis. In the volatile profile of the initial wine </w:t>
      </w:r>
      <w:r w:rsidR="00B2561F" w:rsidRPr="00F35F25">
        <w:t xml:space="preserve">44 compounds were identified, belonging to </w:t>
      </w:r>
      <w:r w:rsidR="00E42A1A" w:rsidRPr="00F35F25">
        <w:t>five main groups: alcohols, esters, acids, phenols</w:t>
      </w:r>
      <w:r w:rsidR="00B2561F" w:rsidRPr="00F35F25">
        <w:t xml:space="preserve"> and</w:t>
      </w:r>
      <w:r w:rsidR="00E42A1A" w:rsidRPr="00F35F25">
        <w:t xml:space="preserve"> lactones</w:t>
      </w:r>
      <w:r w:rsidR="00C74391" w:rsidRPr="00F35F25">
        <w:t xml:space="preserve"> (data non reported</w:t>
      </w:r>
      <w:r w:rsidR="00634442" w:rsidRPr="00F35F25">
        <w:t xml:space="preserve">). </w:t>
      </w:r>
      <w:r w:rsidR="00AE60B1" w:rsidRPr="00F35F25">
        <w:t xml:space="preserve">The volatile compounds play an important role in the flavour of wine and the alcohol </w:t>
      </w:r>
      <w:r w:rsidR="00AE60B1" w:rsidRPr="00F35F25">
        <w:lastRenderedPageBreak/>
        <w:t xml:space="preserve">removal may cause </w:t>
      </w:r>
      <w:r w:rsidR="00E53DEE" w:rsidRPr="00F35F25">
        <w:t>their</w:t>
      </w:r>
      <w:r w:rsidR="00AE60B1" w:rsidRPr="00F35F25">
        <w:t xml:space="preserve"> decrease depending </w:t>
      </w:r>
      <w:r w:rsidR="00E53DEE" w:rsidRPr="00F35F25">
        <w:t>on</w:t>
      </w:r>
      <w:r w:rsidR="00AE60B1" w:rsidRPr="00F35F25">
        <w:t xml:space="preserve"> </w:t>
      </w:r>
      <w:r w:rsidR="00E53DEE" w:rsidRPr="00F35F25">
        <w:t>the</w:t>
      </w:r>
      <w:r w:rsidR="00AE60B1" w:rsidRPr="00F35F25">
        <w:t xml:space="preserve"> process conditions and VOC</w:t>
      </w:r>
      <w:r w:rsidR="00E53DEE" w:rsidRPr="00F35F25">
        <w:t>s</w:t>
      </w:r>
      <w:r w:rsidR="00AE60B1" w:rsidRPr="00F35F25">
        <w:t xml:space="preserve"> </w:t>
      </w:r>
      <w:proofErr w:type="spellStart"/>
      <w:r w:rsidR="00AE60B1" w:rsidRPr="00F35F25">
        <w:t>chemico</w:t>
      </w:r>
      <w:proofErr w:type="spellEnd"/>
      <w:r w:rsidR="00AE60B1" w:rsidRPr="00F35F25">
        <w:t>-physical properties (i.e. chemical structure, boiling point, water solubility, hydrophobicity, volatility), as well as the interaction with wine matrix, the alcohol concentration and, the affinity to the membrane</w:t>
      </w:r>
      <w:r w:rsidR="00E53DEE" w:rsidRPr="00F35F25">
        <w:t xml:space="preserve"> </w:t>
      </w:r>
      <w:r w:rsidR="00E42A1A" w:rsidRPr="00F35F25">
        <w:t>(Longo et al., 2017).</w:t>
      </w:r>
    </w:p>
    <w:p w14:paraId="26F0983E" w14:textId="1112D904" w:rsidR="004D353B" w:rsidRPr="00F35F25" w:rsidRDefault="00C74391">
      <w:pPr>
        <w:pStyle w:val="CETBodytext"/>
      </w:pPr>
      <w:r w:rsidRPr="00F35F25">
        <w:t xml:space="preserve">In OD process, </w:t>
      </w:r>
      <w:r w:rsidR="00156074" w:rsidRPr="00F35F25">
        <w:t xml:space="preserve">ethanol diffuses across the hydrophobic membrane and, using distilled water as stripper, </w:t>
      </w:r>
      <w:r w:rsidRPr="00F35F25">
        <w:t xml:space="preserve">the volatiles transfer is encouraged across the membrane due to the high difference in volatiles concentration between the two sides of membrane. In RO membrane, </w:t>
      </w:r>
      <w:r w:rsidR="00156074" w:rsidRPr="00F35F25">
        <w:t>e</w:t>
      </w:r>
      <w:r w:rsidRPr="00F35F25">
        <w:t xml:space="preserve">thanol and water </w:t>
      </w:r>
      <w:r w:rsidR="00156074" w:rsidRPr="00F35F25">
        <w:t xml:space="preserve">and low molecular weight molecules </w:t>
      </w:r>
      <w:r w:rsidRPr="00F35F25">
        <w:t>permeate</w:t>
      </w:r>
      <w:r w:rsidR="00E53DEE" w:rsidRPr="00F35F25">
        <w:t xml:space="preserve"> </w:t>
      </w:r>
      <w:r w:rsidRPr="00F35F25">
        <w:t>the membrane against the osmotic</w:t>
      </w:r>
      <w:r w:rsidR="00156074" w:rsidRPr="00F35F25">
        <w:t xml:space="preserve"> pressure and are</w:t>
      </w:r>
      <w:r w:rsidRPr="00F35F25">
        <w:t xml:space="preserve"> recovered in the permeate side. On the other hand, larger</w:t>
      </w:r>
      <w:r w:rsidR="00156074" w:rsidRPr="00F35F25">
        <w:t xml:space="preserve"> </w:t>
      </w:r>
      <w:r w:rsidRPr="00F35F25">
        <w:t xml:space="preserve">molecules, mostly remain </w:t>
      </w:r>
      <w:r w:rsidR="00E53DEE" w:rsidRPr="00F35F25">
        <w:t xml:space="preserve">in </w:t>
      </w:r>
      <w:r w:rsidRPr="00F35F25">
        <w:t>the</w:t>
      </w:r>
      <w:r w:rsidR="00156074" w:rsidRPr="00F35F25">
        <w:t xml:space="preserve"> </w:t>
      </w:r>
      <w:r w:rsidRPr="00F35F25">
        <w:t xml:space="preserve">retentate side (concentrated </w:t>
      </w:r>
      <w:r w:rsidR="00156074" w:rsidRPr="00F35F25">
        <w:t>wine)</w:t>
      </w:r>
      <w:r w:rsidR="00E53DEE" w:rsidRPr="00F35F25">
        <w:t xml:space="preserve"> in </w:t>
      </w:r>
      <w:r w:rsidR="00156074" w:rsidRPr="00F35F25">
        <w:t>depen</w:t>
      </w:r>
      <w:r w:rsidR="002065E9" w:rsidRPr="00F35F25">
        <w:t>d</w:t>
      </w:r>
      <w:r w:rsidR="00E53DEE" w:rsidRPr="00F35F25">
        <w:t xml:space="preserve">ence on </w:t>
      </w:r>
      <w:r w:rsidR="002065E9" w:rsidRPr="00F35F25">
        <w:t>membrane permeability</w:t>
      </w:r>
      <w:r w:rsidR="00156074" w:rsidRPr="00F35F25">
        <w:t>.</w:t>
      </w:r>
    </w:p>
    <w:p w14:paraId="569A4D96" w14:textId="1343BE33" w:rsidR="00CD1008" w:rsidRPr="00F35F25" w:rsidRDefault="003F0006">
      <w:pPr>
        <w:pStyle w:val="CETBodytext"/>
      </w:pPr>
      <w:r w:rsidRPr="00F35F25">
        <w:t>T</w:t>
      </w:r>
      <w:r w:rsidR="00156074" w:rsidRPr="00F35F25">
        <w:t xml:space="preserve">he </w:t>
      </w:r>
      <w:r w:rsidR="0028579C" w:rsidRPr="00F35F25">
        <w:t xml:space="preserve">percentage loss </w:t>
      </w:r>
      <w:r w:rsidR="00156074" w:rsidRPr="00F35F25">
        <w:t xml:space="preserve">of the main </w:t>
      </w:r>
      <w:r w:rsidR="002065E9" w:rsidRPr="00F35F25">
        <w:t xml:space="preserve">classes of </w:t>
      </w:r>
      <w:r w:rsidR="00156074" w:rsidRPr="00F35F25">
        <w:t xml:space="preserve">volatile </w:t>
      </w:r>
      <w:r w:rsidR="002065E9" w:rsidRPr="00F35F25">
        <w:t>compound</w:t>
      </w:r>
      <w:r w:rsidR="00156074" w:rsidRPr="00F35F25">
        <w:t>s</w:t>
      </w:r>
      <w:r w:rsidR="0028579C" w:rsidRPr="00F35F25">
        <w:t xml:space="preserve"> </w:t>
      </w:r>
      <w:r w:rsidR="00156074" w:rsidRPr="00F35F25">
        <w:t>w</w:t>
      </w:r>
      <w:r w:rsidR="00B13FBF" w:rsidRPr="00F35F25">
        <w:t>as</w:t>
      </w:r>
      <w:r w:rsidR="00156074" w:rsidRPr="00F35F25">
        <w:t xml:space="preserve"> reported in Table 2. </w:t>
      </w:r>
      <w:r w:rsidR="002065E9" w:rsidRPr="00F35F25">
        <w:t xml:space="preserve">It is possible to highlight </w:t>
      </w:r>
      <w:r w:rsidR="00B8434B" w:rsidRPr="00F35F25">
        <w:t xml:space="preserve">how </w:t>
      </w:r>
      <w:r w:rsidR="002065E9" w:rsidRPr="00F35F25">
        <w:t xml:space="preserve">the preliminary treatment on wine by RO allowed to retain a good amount of volatiles compounds (negative loss in Table 2) due to concentration phenomenon in wine. Hence, in the subsequent </w:t>
      </w:r>
      <w:r w:rsidR="00C137A3" w:rsidRPr="00F35F25">
        <w:t xml:space="preserve">OD </w:t>
      </w:r>
      <w:r w:rsidR="002065E9" w:rsidRPr="00F35F25">
        <w:t>cycles, the</w:t>
      </w:r>
      <w:r w:rsidR="00E87BDD" w:rsidRPr="00F35F25">
        <w:t xml:space="preserve"> volatiles amount remained almost unchanged in </w:t>
      </w:r>
      <w:r w:rsidR="00E87BDD" w:rsidRPr="00F35F25">
        <w:rPr>
          <w:rFonts w:cs="Arial"/>
          <w:bCs/>
          <w:szCs w:val="18"/>
          <w:lang w:eastAsia="it-IT"/>
        </w:rPr>
        <w:t>WROD</w:t>
      </w:r>
      <w:r w:rsidR="00E87BDD" w:rsidRPr="00F35F25">
        <w:rPr>
          <w:rFonts w:cs="Arial"/>
          <w:bCs/>
          <w:szCs w:val="18"/>
          <w:vertAlign w:val="subscript"/>
          <w:lang w:eastAsia="it-IT"/>
        </w:rPr>
        <w:t xml:space="preserve">2 </w:t>
      </w:r>
      <w:r w:rsidR="00E87BDD" w:rsidRPr="00F35F25">
        <w:rPr>
          <w:rFonts w:cs="Arial"/>
          <w:bCs/>
          <w:szCs w:val="18"/>
          <w:lang w:eastAsia="it-IT"/>
        </w:rPr>
        <w:t>and WROD</w:t>
      </w:r>
      <w:r w:rsidR="00E87BDD" w:rsidRPr="00F35F25">
        <w:rPr>
          <w:rFonts w:cs="Arial"/>
          <w:bCs/>
          <w:szCs w:val="18"/>
          <w:vertAlign w:val="subscript"/>
          <w:lang w:eastAsia="it-IT"/>
        </w:rPr>
        <w:t>3</w:t>
      </w:r>
      <w:r w:rsidR="004D353B" w:rsidRPr="00F35F25">
        <w:rPr>
          <w:rFonts w:cs="Arial"/>
          <w:bCs/>
          <w:szCs w:val="18"/>
          <w:lang w:eastAsia="it-IT"/>
        </w:rPr>
        <w:t xml:space="preserve"> samples</w:t>
      </w:r>
      <w:r w:rsidR="00E87BDD" w:rsidRPr="00F35F25">
        <w:rPr>
          <w:rFonts w:cs="Arial"/>
          <w:bCs/>
          <w:szCs w:val="18"/>
          <w:lang w:eastAsia="it-IT"/>
        </w:rPr>
        <w:t>. On the other hand, the low alcohol wine (WDO</w:t>
      </w:r>
      <w:r w:rsidR="00E87BDD" w:rsidRPr="00F35F25">
        <w:rPr>
          <w:rFonts w:cs="Arial"/>
          <w:bCs/>
          <w:szCs w:val="18"/>
          <w:vertAlign w:val="subscript"/>
          <w:lang w:eastAsia="it-IT"/>
        </w:rPr>
        <w:t>1</w:t>
      </w:r>
      <w:r w:rsidR="00E87BDD" w:rsidRPr="00F35F25">
        <w:rPr>
          <w:rFonts w:cs="Arial"/>
          <w:bCs/>
          <w:szCs w:val="18"/>
          <w:lang w:eastAsia="it-IT"/>
        </w:rPr>
        <w:t xml:space="preserve"> at 8.31 %v/v) presented lower losses of volatiles that those reported in other papers (</w:t>
      </w:r>
      <w:proofErr w:type="spellStart"/>
      <w:r w:rsidR="00E87BDD" w:rsidRPr="00F35F25">
        <w:rPr>
          <w:rFonts w:cs="Arial"/>
          <w:bCs/>
          <w:szCs w:val="18"/>
          <w:lang w:eastAsia="it-IT"/>
        </w:rPr>
        <w:t>Lisanti</w:t>
      </w:r>
      <w:proofErr w:type="spellEnd"/>
      <w:r w:rsidR="00E87BDD" w:rsidRPr="00F35F25">
        <w:rPr>
          <w:rFonts w:cs="Arial"/>
          <w:bCs/>
          <w:szCs w:val="18"/>
          <w:lang w:eastAsia="it-IT"/>
        </w:rPr>
        <w:t xml:space="preserve"> et al., 2013; D</w:t>
      </w:r>
      <w:r w:rsidR="00E87BDD" w:rsidRPr="00F35F25">
        <w:rPr>
          <w:rFonts w:cs="Arial"/>
          <w:bCs/>
          <w:szCs w:val="18"/>
          <w:lang w:eastAsia="it-IT"/>
        </w:rPr>
        <w:tab/>
      </w:r>
      <w:proofErr w:type="spellStart"/>
      <w:r w:rsidR="00E87BDD" w:rsidRPr="00F35F25">
        <w:rPr>
          <w:rFonts w:cs="Arial"/>
          <w:bCs/>
          <w:szCs w:val="18"/>
          <w:lang w:eastAsia="it-IT"/>
        </w:rPr>
        <w:t>iban</w:t>
      </w:r>
      <w:proofErr w:type="spellEnd"/>
      <w:r w:rsidR="00E87BDD" w:rsidRPr="00F35F25">
        <w:rPr>
          <w:rFonts w:cs="Arial"/>
          <w:bCs/>
          <w:szCs w:val="18"/>
          <w:lang w:eastAsia="it-IT"/>
        </w:rPr>
        <w:t xml:space="preserve"> et al., 2013; Liguori et al., 2013) with the same technique</w:t>
      </w:r>
      <w:r w:rsidR="00E043FE" w:rsidRPr="00F35F25">
        <w:rPr>
          <w:rFonts w:cs="Arial"/>
          <w:bCs/>
          <w:szCs w:val="18"/>
          <w:lang w:eastAsia="it-IT"/>
        </w:rPr>
        <w:t>. This difference is probable due</w:t>
      </w:r>
      <w:r w:rsidR="004D353B" w:rsidRPr="00F35F25">
        <w:rPr>
          <w:rFonts w:cs="Arial"/>
          <w:bCs/>
          <w:szCs w:val="18"/>
          <w:lang w:eastAsia="it-IT"/>
        </w:rPr>
        <w:t xml:space="preserve"> to </w:t>
      </w:r>
      <w:r w:rsidR="00E043FE" w:rsidRPr="00F35F25">
        <w:rPr>
          <w:rFonts w:cs="Arial"/>
          <w:bCs/>
          <w:szCs w:val="18"/>
          <w:lang w:eastAsia="it-IT"/>
        </w:rPr>
        <w:t>different membrane</w:t>
      </w:r>
      <w:r w:rsidR="009E1D44" w:rsidRPr="00F35F25">
        <w:rPr>
          <w:rFonts w:cs="Arial"/>
          <w:bCs/>
          <w:szCs w:val="18"/>
          <w:lang w:eastAsia="it-IT"/>
        </w:rPr>
        <w:t xml:space="preserve"> </w:t>
      </w:r>
      <w:r w:rsidR="00E043FE" w:rsidRPr="00F35F25">
        <w:rPr>
          <w:rFonts w:cs="Arial"/>
          <w:bCs/>
          <w:szCs w:val="18"/>
          <w:lang w:eastAsia="it-IT"/>
        </w:rPr>
        <w:t xml:space="preserve">and </w:t>
      </w:r>
      <w:r w:rsidR="004D353B" w:rsidRPr="00F35F25">
        <w:rPr>
          <w:rFonts w:cs="Arial"/>
          <w:bCs/>
          <w:szCs w:val="18"/>
          <w:lang w:eastAsia="it-IT"/>
        </w:rPr>
        <w:t>operating conditions</w:t>
      </w:r>
      <w:r w:rsidR="00E043FE" w:rsidRPr="00F35F25">
        <w:rPr>
          <w:rFonts w:cs="Arial"/>
          <w:bCs/>
          <w:szCs w:val="18"/>
          <w:lang w:eastAsia="it-IT"/>
        </w:rPr>
        <w:t xml:space="preserve"> used in these studies</w:t>
      </w:r>
      <w:r w:rsidR="004D353B" w:rsidRPr="00F35F25">
        <w:rPr>
          <w:rFonts w:cs="Arial"/>
          <w:bCs/>
          <w:szCs w:val="18"/>
          <w:lang w:eastAsia="it-IT"/>
        </w:rPr>
        <w:t>.</w:t>
      </w:r>
      <w:r w:rsidR="00E87BDD" w:rsidRPr="00F35F25">
        <w:rPr>
          <w:rFonts w:cs="Arial"/>
          <w:bCs/>
          <w:szCs w:val="18"/>
          <w:lang w:eastAsia="it-IT"/>
        </w:rPr>
        <w:t xml:space="preserve"> </w:t>
      </w:r>
    </w:p>
    <w:p w14:paraId="789F5113" w14:textId="3E2DE578" w:rsidR="005947B9" w:rsidRPr="00F35F25" w:rsidRDefault="005947B9" w:rsidP="005947B9">
      <w:pPr>
        <w:pStyle w:val="CETTabletitle"/>
      </w:pPr>
      <w:r w:rsidRPr="00F35F25">
        <w:t xml:space="preserve">Table 2: </w:t>
      </w:r>
      <w:r w:rsidR="002065E9" w:rsidRPr="00F35F25">
        <w:t>Percentage loss of the main class</w:t>
      </w:r>
      <w:r w:rsidR="0028579C" w:rsidRPr="00F35F25">
        <w:t>es</w:t>
      </w:r>
      <w:r w:rsidR="002065E9" w:rsidRPr="00F35F25">
        <w:t xml:space="preserve"> of volatile compounds in</w:t>
      </w:r>
      <w:r w:rsidRPr="00F35F25">
        <w:t xml:space="preserve"> </w:t>
      </w:r>
      <w:r w:rsidR="00C137A3" w:rsidRPr="00F35F25">
        <w:t xml:space="preserve">partial dealcoholized </w:t>
      </w:r>
      <w:r w:rsidRPr="00F35F25">
        <w:t>wines.</w:t>
      </w:r>
    </w:p>
    <w:p w14:paraId="12F64116" w14:textId="77777777" w:rsidR="005947B9" w:rsidRPr="00F35F25" w:rsidRDefault="005947B9">
      <w:pPr>
        <w:pStyle w:val="CETBodytext"/>
      </w:pPr>
    </w:p>
    <w:tbl>
      <w:tblPr>
        <w:tblW w:w="759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701"/>
        <w:gridCol w:w="983"/>
        <w:gridCol w:w="983"/>
        <w:gridCol w:w="983"/>
        <w:gridCol w:w="983"/>
        <w:gridCol w:w="983"/>
        <w:gridCol w:w="983"/>
      </w:tblGrid>
      <w:tr w:rsidR="008B1CA1" w:rsidRPr="00F35F25" w14:paraId="6A267EF3" w14:textId="74BFB252" w:rsidTr="005D05BA">
        <w:tc>
          <w:tcPr>
            <w:tcW w:w="1701" w:type="dxa"/>
            <w:tcBorders>
              <w:top w:val="single" w:sz="12" w:space="0" w:color="008000"/>
              <w:bottom w:val="single" w:sz="6" w:space="0" w:color="008000"/>
            </w:tcBorders>
            <w:shd w:val="clear" w:color="auto" w:fill="FFFFFF"/>
          </w:tcPr>
          <w:p w14:paraId="0C2BB426" w14:textId="01C910B4" w:rsidR="00C137A3" w:rsidRPr="00F35F25" w:rsidRDefault="00C137A3" w:rsidP="00C137A3">
            <w:pPr>
              <w:spacing w:line="240" w:lineRule="auto"/>
              <w:jc w:val="left"/>
              <w:rPr>
                <w:rFonts w:cs="Arial"/>
                <w:b/>
                <w:bCs/>
                <w:szCs w:val="18"/>
                <w:lang w:eastAsia="it-IT"/>
              </w:rPr>
            </w:pPr>
          </w:p>
        </w:tc>
        <w:tc>
          <w:tcPr>
            <w:tcW w:w="983" w:type="dxa"/>
            <w:tcBorders>
              <w:top w:val="single" w:sz="12" w:space="0" w:color="008000"/>
              <w:bottom w:val="single" w:sz="6" w:space="0" w:color="008000"/>
            </w:tcBorders>
            <w:shd w:val="clear" w:color="auto" w:fill="FFFFFF"/>
          </w:tcPr>
          <w:p w14:paraId="556D2D45" w14:textId="77777777" w:rsidR="00C137A3" w:rsidRPr="00F35F25" w:rsidRDefault="00C137A3" w:rsidP="00C137A3">
            <w:pPr>
              <w:spacing w:line="240" w:lineRule="auto"/>
              <w:jc w:val="left"/>
              <w:rPr>
                <w:rFonts w:cs="Arial"/>
                <w:b/>
                <w:bCs/>
                <w:szCs w:val="18"/>
                <w:lang w:eastAsia="it-IT"/>
              </w:rPr>
            </w:pPr>
            <w:r w:rsidRPr="00F35F25">
              <w:rPr>
                <w:rFonts w:cs="Arial"/>
                <w:b/>
                <w:bCs/>
                <w:szCs w:val="18"/>
                <w:lang w:eastAsia="it-IT"/>
              </w:rPr>
              <w:t>WRO</w:t>
            </w:r>
            <w:r w:rsidRPr="00F35F25">
              <w:rPr>
                <w:rFonts w:cs="Arial"/>
                <w:b/>
                <w:bCs/>
                <w:szCs w:val="18"/>
                <w:vertAlign w:val="subscript"/>
                <w:lang w:eastAsia="it-IT"/>
              </w:rPr>
              <w:t>1</w:t>
            </w:r>
          </w:p>
        </w:tc>
        <w:tc>
          <w:tcPr>
            <w:tcW w:w="983" w:type="dxa"/>
            <w:tcBorders>
              <w:top w:val="single" w:sz="12" w:space="0" w:color="008000"/>
              <w:bottom w:val="single" w:sz="6" w:space="0" w:color="008000"/>
            </w:tcBorders>
            <w:shd w:val="clear" w:color="auto" w:fill="FFFFFF"/>
          </w:tcPr>
          <w:p w14:paraId="586E8688" w14:textId="77777777" w:rsidR="00C137A3" w:rsidRPr="00F35F25" w:rsidRDefault="00C137A3" w:rsidP="00C137A3">
            <w:pPr>
              <w:spacing w:line="240" w:lineRule="auto"/>
              <w:jc w:val="left"/>
              <w:rPr>
                <w:rFonts w:cs="Arial"/>
                <w:b/>
                <w:bCs/>
                <w:szCs w:val="18"/>
                <w:lang w:eastAsia="it-IT"/>
              </w:rPr>
            </w:pPr>
            <w:r w:rsidRPr="00F35F25">
              <w:rPr>
                <w:rFonts w:cs="Arial"/>
                <w:b/>
                <w:bCs/>
                <w:szCs w:val="18"/>
                <w:lang w:eastAsia="it-IT"/>
              </w:rPr>
              <w:t>WROD</w:t>
            </w:r>
            <w:r w:rsidRPr="00F35F25">
              <w:rPr>
                <w:rFonts w:cs="Arial"/>
                <w:b/>
                <w:bCs/>
                <w:szCs w:val="18"/>
                <w:vertAlign w:val="subscript"/>
                <w:lang w:eastAsia="it-IT"/>
              </w:rPr>
              <w:t>2</w:t>
            </w:r>
          </w:p>
        </w:tc>
        <w:tc>
          <w:tcPr>
            <w:tcW w:w="983" w:type="dxa"/>
            <w:tcBorders>
              <w:top w:val="single" w:sz="12" w:space="0" w:color="008000"/>
              <w:bottom w:val="single" w:sz="6" w:space="0" w:color="008000"/>
            </w:tcBorders>
            <w:shd w:val="clear" w:color="auto" w:fill="FFFFFF"/>
          </w:tcPr>
          <w:p w14:paraId="232C00C6" w14:textId="5FDCCD8A" w:rsidR="00C137A3" w:rsidRPr="00F35F25" w:rsidRDefault="00C137A3" w:rsidP="00C137A3">
            <w:pPr>
              <w:spacing w:line="240" w:lineRule="auto"/>
              <w:jc w:val="left"/>
              <w:rPr>
                <w:rFonts w:cs="Arial"/>
                <w:b/>
                <w:bCs/>
                <w:szCs w:val="18"/>
                <w:lang w:eastAsia="it-IT"/>
              </w:rPr>
            </w:pPr>
            <w:r w:rsidRPr="00F35F25">
              <w:rPr>
                <w:rFonts w:cs="Arial"/>
                <w:b/>
                <w:bCs/>
                <w:szCs w:val="18"/>
                <w:lang w:eastAsia="it-IT"/>
              </w:rPr>
              <w:t>WROD</w:t>
            </w:r>
            <w:r w:rsidRPr="00F35F25">
              <w:rPr>
                <w:rFonts w:cs="Arial"/>
                <w:b/>
                <w:bCs/>
                <w:szCs w:val="18"/>
                <w:vertAlign w:val="subscript"/>
                <w:lang w:eastAsia="it-IT"/>
              </w:rPr>
              <w:t>3</w:t>
            </w:r>
          </w:p>
        </w:tc>
        <w:tc>
          <w:tcPr>
            <w:tcW w:w="983" w:type="dxa"/>
            <w:tcBorders>
              <w:top w:val="single" w:sz="12" w:space="0" w:color="008000"/>
              <w:bottom w:val="single" w:sz="6" w:space="0" w:color="008000"/>
            </w:tcBorders>
            <w:shd w:val="clear" w:color="auto" w:fill="FFFFFF"/>
          </w:tcPr>
          <w:p w14:paraId="7928E274" w14:textId="07F5E75F" w:rsidR="00C137A3" w:rsidRPr="00F35F25" w:rsidRDefault="00C137A3" w:rsidP="00C137A3">
            <w:pPr>
              <w:spacing w:line="240" w:lineRule="auto"/>
              <w:jc w:val="left"/>
              <w:rPr>
                <w:rFonts w:cs="Arial"/>
                <w:b/>
                <w:bCs/>
                <w:szCs w:val="18"/>
                <w:lang w:eastAsia="it-IT"/>
              </w:rPr>
            </w:pPr>
            <w:r w:rsidRPr="00F35F25">
              <w:rPr>
                <w:rFonts w:cs="Arial"/>
                <w:b/>
                <w:bCs/>
                <w:szCs w:val="18"/>
                <w:lang w:eastAsia="it-IT"/>
              </w:rPr>
              <w:t>WOD</w:t>
            </w:r>
            <w:r w:rsidRPr="00F35F25">
              <w:rPr>
                <w:rFonts w:cs="Arial"/>
                <w:b/>
                <w:bCs/>
                <w:szCs w:val="18"/>
                <w:vertAlign w:val="subscript"/>
                <w:lang w:eastAsia="it-IT"/>
              </w:rPr>
              <w:t>1</w:t>
            </w:r>
          </w:p>
        </w:tc>
        <w:tc>
          <w:tcPr>
            <w:tcW w:w="983" w:type="dxa"/>
            <w:tcBorders>
              <w:top w:val="single" w:sz="12" w:space="0" w:color="008000"/>
              <w:bottom w:val="single" w:sz="6" w:space="0" w:color="008000"/>
            </w:tcBorders>
            <w:shd w:val="clear" w:color="auto" w:fill="FFFFFF"/>
          </w:tcPr>
          <w:p w14:paraId="30848749" w14:textId="372623FE" w:rsidR="00C137A3" w:rsidRPr="00F35F25" w:rsidRDefault="00C137A3" w:rsidP="00C137A3">
            <w:pPr>
              <w:spacing w:line="240" w:lineRule="auto"/>
              <w:jc w:val="left"/>
              <w:rPr>
                <w:rFonts w:cs="Arial"/>
                <w:b/>
                <w:bCs/>
                <w:szCs w:val="18"/>
                <w:lang w:eastAsia="it-IT"/>
              </w:rPr>
            </w:pPr>
            <w:r w:rsidRPr="00F35F25">
              <w:rPr>
                <w:rFonts w:cs="Arial"/>
                <w:b/>
                <w:bCs/>
                <w:szCs w:val="18"/>
                <w:lang w:eastAsia="it-IT"/>
              </w:rPr>
              <w:t>WOD</w:t>
            </w:r>
            <w:r w:rsidRPr="00F35F25">
              <w:rPr>
                <w:rFonts w:cs="Arial"/>
                <w:b/>
                <w:bCs/>
                <w:szCs w:val="18"/>
                <w:vertAlign w:val="subscript"/>
                <w:lang w:eastAsia="it-IT"/>
              </w:rPr>
              <w:t>2</w:t>
            </w:r>
          </w:p>
        </w:tc>
        <w:tc>
          <w:tcPr>
            <w:tcW w:w="983" w:type="dxa"/>
            <w:tcBorders>
              <w:top w:val="single" w:sz="12" w:space="0" w:color="008000"/>
              <w:bottom w:val="single" w:sz="6" w:space="0" w:color="008000"/>
            </w:tcBorders>
            <w:shd w:val="clear" w:color="auto" w:fill="FFFFFF"/>
          </w:tcPr>
          <w:p w14:paraId="6746BAD5" w14:textId="4D3F968C" w:rsidR="00C137A3" w:rsidRPr="00F35F25" w:rsidRDefault="00C137A3" w:rsidP="00C137A3">
            <w:pPr>
              <w:spacing w:line="240" w:lineRule="auto"/>
              <w:jc w:val="left"/>
              <w:rPr>
                <w:rFonts w:cs="Arial"/>
                <w:b/>
                <w:bCs/>
                <w:szCs w:val="18"/>
                <w:lang w:eastAsia="it-IT"/>
              </w:rPr>
            </w:pPr>
            <w:r w:rsidRPr="00F35F25">
              <w:rPr>
                <w:rFonts w:cs="Arial"/>
                <w:b/>
                <w:bCs/>
                <w:szCs w:val="18"/>
                <w:lang w:eastAsia="it-IT"/>
              </w:rPr>
              <w:t>WOD</w:t>
            </w:r>
            <w:r w:rsidRPr="00F35F25">
              <w:rPr>
                <w:rFonts w:cs="Arial"/>
                <w:b/>
                <w:bCs/>
                <w:szCs w:val="18"/>
                <w:vertAlign w:val="subscript"/>
                <w:lang w:eastAsia="it-IT"/>
              </w:rPr>
              <w:t>3</w:t>
            </w:r>
          </w:p>
        </w:tc>
      </w:tr>
      <w:tr w:rsidR="008B1CA1" w:rsidRPr="00F35F25" w14:paraId="6653A9DD" w14:textId="1F7A69E1" w:rsidTr="005D05BA">
        <w:tc>
          <w:tcPr>
            <w:tcW w:w="1701" w:type="dxa"/>
            <w:shd w:val="clear" w:color="auto" w:fill="FFFFFF"/>
          </w:tcPr>
          <w:p w14:paraId="61E11401" w14:textId="77777777" w:rsidR="00C137A3" w:rsidRPr="00F35F25" w:rsidRDefault="00C137A3" w:rsidP="00C137A3">
            <w:pPr>
              <w:spacing w:line="240" w:lineRule="auto"/>
              <w:rPr>
                <w:rFonts w:cs="Arial"/>
                <w:szCs w:val="18"/>
                <w:lang w:eastAsia="it-IT"/>
              </w:rPr>
            </w:pPr>
            <w:proofErr w:type="spellStart"/>
            <w:r w:rsidRPr="00F35F25">
              <w:rPr>
                <w:rFonts w:cs="Arial"/>
                <w:szCs w:val="22"/>
                <w:lang w:val="it-IT" w:eastAsia="it-IT"/>
              </w:rPr>
              <w:t>Alcohols</w:t>
            </w:r>
            <w:proofErr w:type="spellEnd"/>
            <w:r w:rsidRPr="00F35F25">
              <w:rPr>
                <w:rFonts w:cs="Arial"/>
                <w:szCs w:val="22"/>
                <w:lang w:val="it-IT" w:eastAsia="it-IT"/>
              </w:rPr>
              <w:t xml:space="preserve"> </w:t>
            </w:r>
          </w:p>
        </w:tc>
        <w:tc>
          <w:tcPr>
            <w:tcW w:w="983" w:type="dxa"/>
            <w:shd w:val="clear" w:color="auto" w:fill="FFFFFF"/>
          </w:tcPr>
          <w:p w14:paraId="21CEAFE6" w14:textId="19927048" w:rsidR="00C137A3" w:rsidRPr="00F35F25" w:rsidRDefault="006D7B8F" w:rsidP="00C137A3">
            <w:pPr>
              <w:spacing w:line="240" w:lineRule="auto"/>
              <w:jc w:val="left"/>
              <w:rPr>
                <w:rFonts w:cs="Arial"/>
                <w:szCs w:val="18"/>
                <w:lang w:eastAsia="it-IT"/>
              </w:rPr>
            </w:pPr>
            <w:r w:rsidRPr="00F35F25">
              <w:rPr>
                <w:rFonts w:cs="Arial"/>
                <w:szCs w:val="22"/>
                <w:lang w:val="it-IT" w:eastAsia="it-IT"/>
              </w:rPr>
              <w:t>-</w:t>
            </w:r>
            <w:r w:rsidR="00C137A3" w:rsidRPr="00F35F25">
              <w:rPr>
                <w:rFonts w:cs="Arial"/>
                <w:szCs w:val="22"/>
                <w:lang w:val="it-IT" w:eastAsia="it-IT"/>
              </w:rPr>
              <w:t>30</w:t>
            </w:r>
          </w:p>
        </w:tc>
        <w:tc>
          <w:tcPr>
            <w:tcW w:w="983" w:type="dxa"/>
            <w:shd w:val="clear" w:color="auto" w:fill="FFFFFF"/>
          </w:tcPr>
          <w:p w14:paraId="113EDA6F" w14:textId="21EA380D" w:rsidR="00C137A3" w:rsidRPr="00F35F25" w:rsidRDefault="006D7B8F" w:rsidP="00C137A3">
            <w:pPr>
              <w:spacing w:line="240" w:lineRule="auto"/>
              <w:jc w:val="left"/>
              <w:rPr>
                <w:rFonts w:cs="Arial"/>
                <w:szCs w:val="18"/>
                <w:lang w:eastAsia="it-IT"/>
              </w:rPr>
            </w:pPr>
            <w:r w:rsidRPr="00F35F25">
              <w:rPr>
                <w:rFonts w:cs="Arial"/>
                <w:szCs w:val="22"/>
                <w:lang w:val="it-IT" w:eastAsia="it-IT"/>
              </w:rPr>
              <w:t>-</w:t>
            </w:r>
            <w:r w:rsidR="00C137A3" w:rsidRPr="00F35F25">
              <w:rPr>
                <w:rFonts w:cs="Arial"/>
                <w:szCs w:val="22"/>
                <w:lang w:val="it-IT" w:eastAsia="it-IT"/>
              </w:rPr>
              <w:t>27</w:t>
            </w:r>
          </w:p>
        </w:tc>
        <w:tc>
          <w:tcPr>
            <w:tcW w:w="983" w:type="dxa"/>
            <w:shd w:val="clear" w:color="auto" w:fill="FFFFFF"/>
          </w:tcPr>
          <w:p w14:paraId="334E8511" w14:textId="3175168D" w:rsidR="00C137A3" w:rsidRPr="00F35F25" w:rsidRDefault="006D7B8F" w:rsidP="00C137A3">
            <w:pPr>
              <w:spacing w:line="240" w:lineRule="auto"/>
              <w:jc w:val="left"/>
              <w:rPr>
                <w:rFonts w:cs="Arial"/>
                <w:szCs w:val="18"/>
                <w:lang w:eastAsia="it-IT"/>
              </w:rPr>
            </w:pPr>
            <w:r w:rsidRPr="00F35F25">
              <w:rPr>
                <w:rFonts w:cs="Arial"/>
                <w:szCs w:val="22"/>
                <w:lang w:val="it-IT" w:eastAsia="it-IT"/>
              </w:rPr>
              <w:t>-</w:t>
            </w:r>
            <w:r w:rsidR="00C137A3" w:rsidRPr="00F35F25">
              <w:rPr>
                <w:rFonts w:cs="Arial"/>
                <w:szCs w:val="22"/>
                <w:lang w:val="it-IT" w:eastAsia="it-IT"/>
              </w:rPr>
              <w:t>17</w:t>
            </w:r>
          </w:p>
        </w:tc>
        <w:tc>
          <w:tcPr>
            <w:tcW w:w="983" w:type="dxa"/>
            <w:shd w:val="clear" w:color="auto" w:fill="FFFFFF"/>
          </w:tcPr>
          <w:p w14:paraId="363C90D0" w14:textId="1B7F5972" w:rsidR="00C137A3" w:rsidRPr="00F35F25" w:rsidDel="003F0006" w:rsidRDefault="00C137A3" w:rsidP="00C137A3">
            <w:pPr>
              <w:spacing w:line="240" w:lineRule="auto"/>
              <w:jc w:val="left"/>
              <w:rPr>
                <w:rFonts w:cs="Arial"/>
                <w:szCs w:val="22"/>
                <w:lang w:val="it-IT" w:eastAsia="it-IT"/>
              </w:rPr>
            </w:pPr>
            <w:r w:rsidRPr="00F35F25">
              <w:rPr>
                <w:rFonts w:cs="Arial"/>
                <w:szCs w:val="22"/>
                <w:lang w:val="it-IT" w:eastAsia="it-IT"/>
              </w:rPr>
              <w:t>3</w:t>
            </w:r>
          </w:p>
        </w:tc>
        <w:tc>
          <w:tcPr>
            <w:tcW w:w="983" w:type="dxa"/>
            <w:shd w:val="clear" w:color="auto" w:fill="FFFFFF"/>
          </w:tcPr>
          <w:p w14:paraId="4C8C5E9E" w14:textId="7F97230E" w:rsidR="00C137A3" w:rsidRPr="00F35F25" w:rsidDel="003F0006" w:rsidRDefault="00C137A3" w:rsidP="00C137A3">
            <w:pPr>
              <w:spacing w:line="240" w:lineRule="auto"/>
              <w:jc w:val="left"/>
              <w:rPr>
                <w:rFonts w:cs="Arial"/>
                <w:szCs w:val="22"/>
                <w:lang w:val="it-IT" w:eastAsia="it-IT"/>
              </w:rPr>
            </w:pPr>
            <w:r w:rsidRPr="00F35F25">
              <w:rPr>
                <w:rFonts w:cs="Arial"/>
                <w:szCs w:val="22"/>
                <w:lang w:val="it-IT" w:eastAsia="it-IT"/>
              </w:rPr>
              <w:t>0</w:t>
            </w:r>
          </w:p>
        </w:tc>
        <w:tc>
          <w:tcPr>
            <w:tcW w:w="983" w:type="dxa"/>
            <w:shd w:val="clear" w:color="auto" w:fill="FFFFFF"/>
          </w:tcPr>
          <w:p w14:paraId="4016B22F" w14:textId="6428DC93" w:rsidR="00C137A3" w:rsidRPr="00F35F25" w:rsidDel="003F0006" w:rsidRDefault="00C137A3" w:rsidP="00C137A3">
            <w:pPr>
              <w:spacing w:line="240" w:lineRule="auto"/>
              <w:jc w:val="left"/>
              <w:rPr>
                <w:rFonts w:cs="Arial"/>
                <w:szCs w:val="22"/>
                <w:lang w:val="it-IT" w:eastAsia="it-IT"/>
              </w:rPr>
            </w:pPr>
            <w:r w:rsidRPr="00F35F25">
              <w:rPr>
                <w:rFonts w:cs="Arial"/>
                <w:szCs w:val="22"/>
                <w:lang w:val="it-IT" w:eastAsia="it-IT"/>
              </w:rPr>
              <w:t>2</w:t>
            </w:r>
          </w:p>
        </w:tc>
      </w:tr>
      <w:tr w:rsidR="008B1CA1" w:rsidRPr="00F35F25" w14:paraId="05DF42C0" w14:textId="41BE864C" w:rsidTr="005D05BA">
        <w:tc>
          <w:tcPr>
            <w:tcW w:w="1701" w:type="dxa"/>
            <w:shd w:val="clear" w:color="auto" w:fill="FFFFFF"/>
          </w:tcPr>
          <w:p w14:paraId="32A86CD3" w14:textId="77777777" w:rsidR="00C137A3" w:rsidRPr="00F35F25" w:rsidRDefault="00C137A3" w:rsidP="00C137A3">
            <w:pPr>
              <w:spacing w:line="240" w:lineRule="auto"/>
              <w:rPr>
                <w:rFonts w:cs="Arial"/>
                <w:szCs w:val="18"/>
                <w:lang w:eastAsia="it-IT"/>
              </w:rPr>
            </w:pPr>
            <w:proofErr w:type="spellStart"/>
            <w:r w:rsidRPr="00F35F25">
              <w:rPr>
                <w:rFonts w:cs="Arial"/>
                <w:szCs w:val="22"/>
                <w:lang w:val="it-IT" w:eastAsia="it-IT"/>
              </w:rPr>
              <w:t>Esters</w:t>
            </w:r>
            <w:proofErr w:type="spellEnd"/>
          </w:p>
        </w:tc>
        <w:tc>
          <w:tcPr>
            <w:tcW w:w="983" w:type="dxa"/>
            <w:shd w:val="clear" w:color="auto" w:fill="FFFFFF"/>
          </w:tcPr>
          <w:p w14:paraId="1B86B4BC" w14:textId="77777777" w:rsidR="00C137A3" w:rsidRPr="00F35F25" w:rsidRDefault="00C137A3" w:rsidP="00C137A3">
            <w:pPr>
              <w:pStyle w:val="CETBodytext"/>
              <w:ind w:right="-1"/>
              <w:jc w:val="left"/>
              <w:rPr>
                <w:rFonts w:cs="Arial"/>
                <w:szCs w:val="18"/>
                <w:lang w:eastAsia="it-IT"/>
              </w:rPr>
            </w:pPr>
            <w:r w:rsidRPr="00F35F25">
              <w:rPr>
                <w:rFonts w:cs="Arial"/>
                <w:szCs w:val="22"/>
                <w:lang w:val="it-IT" w:eastAsia="it-IT"/>
              </w:rPr>
              <w:t>8</w:t>
            </w:r>
          </w:p>
        </w:tc>
        <w:tc>
          <w:tcPr>
            <w:tcW w:w="983" w:type="dxa"/>
            <w:shd w:val="clear" w:color="auto" w:fill="FFFFFF"/>
          </w:tcPr>
          <w:p w14:paraId="19D05083" w14:textId="77777777" w:rsidR="00C137A3" w:rsidRPr="00F35F25" w:rsidRDefault="00C137A3" w:rsidP="00C137A3">
            <w:pPr>
              <w:pStyle w:val="CETBodytext"/>
              <w:ind w:right="-1"/>
              <w:jc w:val="left"/>
              <w:rPr>
                <w:rFonts w:cs="Arial"/>
                <w:szCs w:val="18"/>
                <w:lang w:eastAsia="it-IT"/>
              </w:rPr>
            </w:pPr>
            <w:r w:rsidRPr="00F35F25">
              <w:rPr>
                <w:rFonts w:cs="Arial"/>
                <w:szCs w:val="22"/>
                <w:lang w:val="it-IT" w:eastAsia="it-IT"/>
              </w:rPr>
              <w:t>15</w:t>
            </w:r>
          </w:p>
        </w:tc>
        <w:tc>
          <w:tcPr>
            <w:tcW w:w="983" w:type="dxa"/>
            <w:shd w:val="clear" w:color="auto" w:fill="FFFFFF"/>
          </w:tcPr>
          <w:p w14:paraId="67AD7E9D" w14:textId="016F7621" w:rsidR="00C137A3" w:rsidRPr="00F35F25" w:rsidRDefault="00C137A3" w:rsidP="00C137A3">
            <w:pPr>
              <w:pStyle w:val="CETBodytext"/>
              <w:ind w:right="-1"/>
              <w:jc w:val="left"/>
              <w:rPr>
                <w:rFonts w:cs="Arial"/>
                <w:szCs w:val="18"/>
                <w:lang w:eastAsia="it-IT"/>
              </w:rPr>
            </w:pPr>
            <w:r w:rsidRPr="00F35F25">
              <w:rPr>
                <w:rFonts w:cs="Arial"/>
                <w:szCs w:val="22"/>
                <w:lang w:val="it-IT" w:eastAsia="it-IT"/>
              </w:rPr>
              <w:t>22</w:t>
            </w:r>
          </w:p>
        </w:tc>
        <w:tc>
          <w:tcPr>
            <w:tcW w:w="983" w:type="dxa"/>
            <w:shd w:val="clear" w:color="auto" w:fill="FFFFFF"/>
          </w:tcPr>
          <w:p w14:paraId="4532E78D" w14:textId="0EA2E36C" w:rsidR="00C137A3" w:rsidRPr="00F35F25" w:rsidRDefault="00C137A3" w:rsidP="00C137A3">
            <w:pPr>
              <w:pStyle w:val="CETBodytext"/>
              <w:ind w:right="-1"/>
              <w:jc w:val="left"/>
              <w:rPr>
                <w:rFonts w:cs="Arial"/>
                <w:szCs w:val="22"/>
                <w:lang w:val="it-IT" w:eastAsia="it-IT"/>
              </w:rPr>
            </w:pPr>
            <w:r w:rsidRPr="00F35F25">
              <w:rPr>
                <w:rFonts w:cs="Arial"/>
                <w:szCs w:val="22"/>
                <w:lang w:val="it-IT" w:eastAsia="it-IT"/>
              </w:rPr>
              <w:t>15</w:t>
            </w:r>
          </w:p>
        </w:tc>
        <w:tc>
          <w:tcPr>
            <w:tcW w:w="983" w:type="dxa"/>
            <w:shd w:val="clear" w:color="auto" w:fill="FFFFFF"/>
          </w:tcPr>
          <w:p w14:paraId="4CE9F32C" w14:textId="19FB6EEB" w:rsidR="00C137A3" w:rsidRPr="00F35F25" w:rsidRDefault="00C137A3" w:rsidP="00C137A3">
            <w:pPr>
              <w:pStyle w:val="CETBodytext"/>
              <w:ind w:right="-1"/>
              <w:jc w:val="left"/>
              <w:rPr>
                <w:rFonts w:cs="Arial"/>
                <w:szCs w:val="22"/>
                <w:lang w:val="it-IT" w:eastAsia="it-IT"/>
              </w:rPr>
            </w:pPr>
            <w:r w:rsidRPr="00F35F25">
              <w:rPr>
                <w:rFonts w:cs="Arial"/>
                <w:szCs w:val="22"/>
                <w:lang w:val="it-IT" w:eastAsia="it-IT"/>
              </w:rPr>
              <w:t>18</w:t>
            </w:r>
          </w:p>
        </w:tc>
        <w:tc>
          <w:tcPr>
            <w:tcW w:w="983" w:type="dxa"/>
            <w:shd w:val="clear" w:color="auto" w:fill="FFFFFF"/>
          </w:tcPr>
          <w:p w14:paraId="4622CEDA" w14:textId="5DDAE830" w:rsidR="00C137A3" w:rsidRPr="00F35F25" w:rsidRDefault="00C137A3" w:rsidP="00C137A3">
            <w:pPr>
              <w:pStyle w:val="CETBodytext"/>
              <w:ind w:right="-1"/>
              <w:jc w:val="left"/>
              <w:rPr>
                <w:rFonts w:cs="Arial"/>
                <w:szCs w:val="22"/>
                <w:lang w:val="it-IT" w:eastAsia="it-IT"/>
              </w:rPr>
            </w:pPr>
            <w:r w:rsidRPr="00F35F25">
              <w:rPr>
                <w:rFonts w:cs="Arial"/>
                <w:szCs w:val="22"/>
                <w:lang w:val="it-IT" w:eastAsia="it-IT"/>
              </w:rPr>
              <w:t>19</w:t>
            </w:r>
          </w:p>
        </w:tc>
      </w:tr>
      <w:tr w:rsidR="008B1CA1" w:rsidRPr="00F35F25" w14:paraId="730D2417" w14:textId="4066624D" w:rsidTr="005D05BA">
        <w:tc>
          <w:tcPr>
            <w:tcW w:w="1701" w:type="dxa"/>
            <w:shd w:val="clear" w:color="auto" w:fill="FFFFFF"/>
          </w:tcPr>
          <w:p w14:paraId="611080F0" w14:textId="77777777" w:rsidR="00C137A3" w:rsidRPr="00F35F25" w:rsidRDefault="00C137A3" w:rsidP="00C137A3">
            <w:pPr>
              <w:spacing w:line="240" w:lineRule="auto"/>
              <w:rPr>
                <w:rFonts w:cs="Arial"/>
                <w:szCs w:val="18"/>
                <w:lang w:eastAsia="it-IT"/>
              </w:rPr>
            </w:pPr>
            <w:proofErr w:type="spellStart"/>
            <w:r w:rsidRPr="00F35F25">
              <w:rPr>
                <w:rFonts w:cs="Arial"/>
                <w:szCs w:val="22"/>
                <w:lang w:val="it-IT" w:eastAsia="it-IT"/>
              </w:rPr>
              <w:t>Phenols</w:t>
            </w:r>
            <w:proofErr w:type="spellEnd"/>
          </w:p>
        </w:tc>
        <w:tc>
          <w:tcPr>
            <w:tcW w:w="983" w:type="dxa"/>
            <w:shd w:val="clear" w:color="auto" w:fill="FFFFFF"/>
          </w:tcPr>
          <w:p w14:paraId="2E58AB94" w14:textId="73EEF22A" w:rsidR="00C137A3" w:rsidRPr="00F35F25" w:rsidRDefault="006D7B8F" w:rsidP="00C137A3">
            <w:pPr>
              <w:pStyle w:val="CETBodytext"/>
              <w:ind w:right="-1"/>
              <w:jc w:val="left"/>
              <w:rPr>
                <w:rFonts w:cs="Arial"/>
                <w:szCs w:val="18"/>
                <w:lang w:val="en-GB" w:eastAsia="it-IT"/>
              </w:rPr>
            </w:pPr>
            <w:r w:rsidRPr="00F35F25">
              <w:rPr>
                <w:rFonts w:cs="Arial"/>
                <w:szCs w:val="22"/>
                <w:lang w:val="it-IT" w:eastAsia="it-IT"/>
              </w:rPr>
              <w:t>-</w:t>
            </w:r>
            <w:r w:rsidR="00C137A3" w:rsidRPr="00F35F25">
              <w:rPr>
                <w:rFonts w:cs="Arial"/>
                <w:szCs w:val="22"/>
                <w:lang w:val="it-IT" w:eastAsia="it-IT"/>
              </w:rPr>
              <w:t>13</w:t>
            </w:r>
          </w:p>
        </w:tc>
        <w:tc>
          <w:tcPr>
            <w:tcW w:w="983" w:type="dxa"/>
            <w:shd w:val="clear" w:color="auto" w:fill="FFFFFF"/>
          </w:tcPr>
          <w:p w14:paraId="1ABB0D95" w14:textId="30CD3862" w:rsidR="00C137A3" w:rsidRPr="00F35F25" w:rsidRDefault="006D7B8F" w:rsidP="00C137A3">
            <w:pPr>
              <w:pStyle w:val="CETBodytext"/>
              <w:ind w:right="-1"/>
              <w:jc w:val="left"/>
              <w:rPr>
                <w:rFonts w:cs="Arial"/>
                <w:szCs w:val="18"/>
                <w:lang w:val="en-GB" w:eastAsia="it-IT"/>
              </w:rPr>
            </w:pPr>
            <w:r w:rsidRPr="00F35F25">
              <w:rPr>
                <w:rFonts w:cs="Arial"/>
                <w:szCs w:val="22"/>
                <w:lang w:val="it-IT" w:eastAsia="it-IT"/>
              </w:rPr>
              <w:t>-</w:t>
            </w:r>
            <w:r w:rsidR="00C137A3" w:rsidRPr="00F35F25">
              <w:rPr>
                <w:rFonts w:cs="Arial"/>
                <w:szCs w:val="22"/>
                <w:lang w:val="it-IT" w:eastAsia="it-IT"/>
              </w:rPr>
              <w:t>18</w:t>
            </w:r>
          </w:p>
        </w:tc>
        <w:tc>
          <w:tcPr>
            <w:tcW w:w="983" w:type="dxa"/>
            <w:shd w:val="clear" w:color="auto" w:fill="FFFFFF"/>
          </w:tcPr>
          <w:p w14:paraId="1504C52E" w14:textId="4BF8DCA5" w:rsidR="00C137A3" w:rsidRPr="00F35F25" w:rsidRDefault="006D7B8F" w:rsidP="00C137A3">
            <w:pPr>
              <w:pStyle w:val="CETBodytext"/>
              <w:ind w:right="-1"/>
              <w:jc w:val="left"/>
              <w:rPr>
                <w:rFonts w:cs="Arial"/>
                <w:szCs w:val="18"/>
                <w:lang w:val="en-GB" w:eastAsia="it-IT"/>
              </w:rPr>
            </w:pPr>
            <w:r w:rsidRPr="00F35F25">
              <w:rPr>
                <w:rFonts w:cs="Arial"/>
                <w:szCs w:val="22"/>
                <w:lang w:val="it-IT" w:eastAsia="it-IT"/>
              </w:rPr>
              <w:t>-</w:t>
            </w:r>
            <w:r w:rsidR="00C137A3" w:rsidRPr="00F35F25">
              <w:rPr>
                <w:rFonts w:cs="Arial"/>
                <w:szCs w:val="22"/>
                <w:lang w:val="it-IT" w:eastAsia="it-IT"/>
              </w:rPr>
              <w:t>16</w:t>
            </w:r>
          </w:p>
        </w:tc>
        <w:tc>
          <w:tcPr>
            <w:tcW w:w="983" w:type="dxa"/>
            <w:shd w:val="clear" w:color="auto" w:fill="FFFFFF"/>
          </w:tcPr>
          <w:p w14:paraId="32D60D66" w14:textId="320A69D5" w:rsidR="00C137A3" w:rsidRPr="00F35F25" w:rsidDel="003F0006" w:rsidRDefault="00C137A3" w:rsidP="00C137A3">
            <w:pPr>
              <w:pStyle w:val="CETBodytext"/>
              <w:ind w:right="-1"/>
              <w:jc w:val="left"/>
              <w:rPr>
                <w:rFonts w:cs="Arial"/>
                <w:szCs w:val="22"/>
                <w:lang w:val="it-IT" w:eastAsia="it-IT"/>
              </w:rPr>
            </w:pPr>
            <w:r w:rsidRPr="00F35F25">
              <w:rPr>
                <w:rFonts w:cs="Arial"/>
                <w:szCs w:val="22"/>
                <w:lang w:val="it-IT" w:eastAsia="it-IT"/>
              </w:rPr>
              <w:t>5</w:t>
            </w:r>
          </w:p>
        </w:tc>
        <w:tc>
          <w:tcPr>
            <w:tcW w:w="983" w:type="dxa"/>
            <w:shd w:val="clear" w:color="auto" w:fill="FFFFFF"/>
          </w:tcPr>
          <w:p w14:paraId="58CCCB55" w14:textId="548AD589" w:rsidR="00C137A3" w:rsidRPr="00F35F25" w:rsidDel="003F0006" w:rsidRDefault="00C137A3" w:rsidP="00C137A3">
            <w:pPr>
              <w:pStyle w:val="CETBodytext"/>
              <w:ind w:right="-1"/>
              <w:jc w:val="left"/>
              <w:rPr>
                <w:rFonts w:cs="Arial"/>
                <w:szCs w:val="22"/>
                <w:lang w:val="it-IT" w:eastAsia="it-IT"/>
              </w:rPr>
            </w:pPr>
            <w:r w:rsidRPr="00F35F25">
              <w:rPr>
                <w:rFonts w:cs="Arial"/>
                <w:szCs w:val="22"/>
                <w:lang w:val="it-IT" w:eastAsia="it-IT"/>
              </w:rPr>
              <w:t>10</w:t>
            </w:r>
          </w:p>
        </w:tc>
        <w:tc>
          <w:tcPr>
            <w:tcW w:w="983" w:type="dxa"/>
            <w:shd w:val="clear" w:color="auto" w:fill="FFFFFF"/>
          </w:tcPr>
          <w:p w14:paraId="43A16E72" w14:textId="6D2EDBB5" w:rsidR="00C137A3" w:rsidRPr="00F35F25" w:rsidDel="003F0006" w:rsidRDefault="00C137A3" w:rsidP="00C137A3">
            <w:pPr>
              <w:pStyle w:val="CETBodytext"/>
              <w:ind w:right="-1"/>
              <w:jc w:val="left"/>
              <w:rPr>
                <w:rFonts w:cs="Arial"/>
                <w:szCs w:val="22"/>
                <w:lang w:val="it-IT" w:eastAsia="it-IT"/>
              </w:rPr>
            </w:pPr>
            <w:r w:rsidRPr="00F35F25">
              <w:rPr>
                <w:rFonts w:cs="Arial"/>
                <w:szCs w:val="22"/>
                <w:lang w:val="it-IT" w:eastAsia="it-IT"/>
              </w:rPr>
              <w:t>7</w:t>
            </w:r>
          </w:p>
        </w:tc>
      </w:tr>
      <w:tr w:rsidR="008B1CA1" w:rsidRPr="00F35F25" w14:paraId="033EA1AC" w14:textId="2316DAD7" w:rsidTr="005D05BA">
        <w:tc>
          <w:tcPr>
            <w:tcW w:w="1701" w:type="dxa"/>
            <w:shd w:val="clear" w:color="auto" w:fill="FFFFFF"/>
          </w:tcPr>
          <w:p w14:paraId="5A2E70E7" w14:textId="77777777" w:rsidR="00C137A3" w:rsidRPr="00F35F25" w:rsidRDefault="00C137A3" w:rsidP="00C137A3">
            <w:pPr>
              <w:spacing w:line="240" w:lineRule="auto"/>
              <w:rPr>
                <w:rFonts w:cs="Arial"/>
                <w:szCs w:val="18"/>
                <w:lang w:eastAsia="it-IT"/>
              </w:rPr>
            </w:pPr>
            <w:proofErr w:type="spellStart"/>
            <w:r w:rsidRPr="00F35F25">
              <w:rPr>
                <w:rFonts w:cs="Arial"/>
                <w:szCs w:val="22"/>
                <w:lang w:val="it-IT" w:eastAsia="it-IT"/>
              </w:rPr>
              <w:t>Lactones</w:t>
            </w:r>
            <w:proofErr w:type="spellEnd"/>
          </w:p>
        </w:tc>
        <w:tc>
          <w:tcPr>
            <w:tcW w:w="983" w:type="dxa"/>
            <w:shd w:val="clear" w:color="auto" w:fill="FFFFFF"/>
          </w:tcPr>
          <w:p w14:paraId="04D93137" w14:textId="25358600" w:rsidR="00C137A3" w:rsidRPr="00F35F25" w:rsidRDefault="006D7B8F" w:rsidP="00C137A3">
            <w:pPr>
              <w:pStyle w:val="CETBodytext"/>
              <w:ind w:right="-1"/>
              <w:jc w:val="left"/>
              <w:rPr>
                <w:rFonts w:cs="Arial"/>
                <w:szCs w:val="18"/>
                <w:lang w:val="en-GB" w:eastAsia="it-IT"/>
              </w:rPr>
            </w:pPr>
            <w:r w:rsidRPr="00F35F25">
              <w:rPr>
                <w:rFonts w:cs="Arial"/>
                <w:szCs w:val="22"/>
                <w:lang w:val="it-IT" w:eastAsia="it-IT"/>
              </w:rPr>
              <w:t>-</w:t>
            </w:r>
            <w:r w:rsidR="00C137A3" w:rsidRPr="00F35F25">
              <w:rPr>
                <w:rFonts w:cs="Arial"/>
                <w:szCs w:val="22"/>
                <w:lang w:val="it-IT" w:eastAsia="it-IT"/>
              </w:rPr>
              <w:t>14</w:t>
            </w:r>
          </w:p>
        </w:tc>
        <w:tc>
          <w:tcPr>
            <w:tcW w:w="983" w:type="dxa"/>
            <w:shd w:val="clear" w:color="auto" w:fill="FFFFFF"/>
          </w:tcPr>
          <w:p w14:paraId="1B41B22C" w14:textId="11628299" w:rsidR="00C137A3" w:rsidRPr="00F35F25" w:rsidRDefault="006D7B8F" w:rsidP="00C137A3">
            <w:pPr>
              <w:pStyle w:val="CETBodytext"/>
              <w:ind w:right="-1"/>
              <w:jc w:val="left"/>
              <w:rPr>
                <w:rFonts w:cs="Arial"/>
                <w:szCs w:val="18"/>
                <w:lang w:val="en-GB" w:eastAsia="it-IT"/>
              </w:rPr>
            </w:pPr>
            <w:r w:rsidRPr="00F35F25">
              <w:rPr>
                <w:rFonts w:cs="Arial"/>
                <w:szCs w:val="22"/>
                <w:lang w:val="it-IT" w:eastAsia="it-IT"/>
              </w:rPr>
              <w:t>-</w:t>
            </w:r>
            <w:r w:rsidR="00C137A3" w:rsidRPr="00F35F25">
              <w:rPr>
                <w:rFonts w:cs="Arial"/>
                <w:szCs w:val="22"/>
                <w:lang w:val="it-IT" w:eastAsia="it-IT"/>
              </w:rPr>
              <w:t>14</w:t>
            </w:r>
          </w:p>
        </w:tc>
        <w:tc>
          <w:tcPr>
            <w:tcW w:w="983" w:type="dxa"/>
            <w:shd w:val="clear" w:color="auto" w:fill="FFFFFF"/>
          </w:tcPr>
          <w:p w14:paraId="425CF563" w14:textId="1FA2FB57" w:rsidR="00C137A3" w:rsidRPr="00F35F25" w:rsidRDefault="006D7B8F" w:rsidP="00C137A3">
            <w:pPr>
              <w:pStyle w:val="CETBodytext"/>
              <w:ind w:right="-1"/>
              <w:jc w:val="left"/>
              <w:rPr>
                <w:rFonts w:cs="Arial"/>
                <w:szCs w:val="18"/>
                <w:lang w:val="en-GB" w:eastAsia="it-IT"/>
              </w:rPr>
            </w:pPr>
            <w:r w:rsidRPr="00F35F25">
              <w:rPr>
                <w:rFonts w:cs="Arial"/>
                <w:szCs w:val="22"/>
                <w:lang w:val="it-IT" w:eastAsia="it-IT"/>
              </w:rPr>
              <w:t>-</w:t>
            </w:r>
            <w:r w:rsidR="00C137A3" w:rsidRPr="00F35F25">
              <w:rPr>
                <w:rFonts w:cs="Arial"/>
                <w:szCs w:val="22"/>
                <w:lang w:val="it-IT" w:eastAsia="it-IT"/>
              </w:rPr>
              <w:t>1</w:t>
            </w:r>
            <w:r w:rsidRPr="00F35F25">
              <w:rPr>
                <w:rFonts w:cs="Arial"/>
                <w:szCs w:val="22"/>
                <w:lang w:val="it-IT" w:eastAsia="it-IT"/>
              </w:rPr>
              <w:t>4</w:t>
            </w:r>
          </w:p>
        </w:tc>
        <w:tc>
          <w:tcPr>
            <w:tcW w:w="983" w:type="dxa"/>
            <w:shd w:val="clear" w:color="auto" w:fill="FFFFFF"/>
          </w:tcPr>
          <w:p w14:paraId="3ED63243" w14:textId="39AFA105" w:rsidR="00C137A3" w:rsidRPr="00F35F25" w:rsidDel="003F0006" w:rsidRDefault="00C137A3" w:rsidP="00C137A3">
            <w:pPr>
              <w:pStyle w:val="CETBodytext"/>
              <w:ind w:right="-1"/>
              <w:jc w:val="left"/>
              <w:rPr>
                <w:rFonts w:cs="Arial"/>
                <w:szCs w:val="22"/>
                <w:lang w:val="it-IT" w:eastAsia="it-IT"/>
              </w:rPr>
            </w:pPr>
            <w:r w:rsidRPr="00F35F25">
              <w:rPr>
                <w:rFonts w:cs="Arial"/>
                <w:szCs w:val="22"/>
                <w:lang w:val="it-IT" w:eastAsia="it-IT"/>
              </w:rPr>
              <w:t>7</w:t>
            </w:r>
          </w:p>
        </w:tc>
        <w:tc>
          <w:tcPr>
            <w:tcW w:w="983" w:type="dxa"/>
            <w:shd w:val="clear" w:color="auto" w:fill="FFFFFF"/>
          </w:tcPr>
          <w:p w14:paraId="3A530B1C" w14:textId="21C116CF" w:rsidR="00C137A3" w:rsidRPr="00F35F25" w:rsidDel="003F0006" w:rsidRDefault="00C137A3" w:rsidP="00C137A3">
            <w:pPr>
              <w:pStyle w:val="CETBodytext"/>
              <w:ind w:right="-1"/>
              <w:jc w:val="left"/>
              <w:rPr>
                <w:rFonts w:cs="Arial"/>
                <w:szCs w:val="22"/>
                <w:lang w:val="it-IT" w:eastAsia="it-IT"/>
              </w:rPr>
            </w:pPr>
            <w:r w:rsidRPr="00F35F25">
              <w:rPr>
                <w:rFonts w:cs="Arial"/>
                <w:szCs w:val="22"/>
                <w:lang w:val="it-IT" w:eastAsia="it-IT"/>
              </w:rPr>
              <w:t>16</w:t>
            </w:r>
          </w:p>
        </w:tc>
        <w:tc>
          <w:tcPr>
            <w:tcW w:w="983" w:type="dxa"/>
            <w:shd w:val="clear" w:color="auto" w:fill="FFFFFF"/>
          </w:tcPr>
          <w:p w14:paraId="1EDDF1B0" w14:textId="0794BC73" w:rsidR="00C137A3" w:rsidRPr="00F35F25" w:rsidDel="003F0006" w:rsidRDefault="00C137A3" w:rsidP="00C137A3">
            <w:pPr>
              <w:pStyle w:val="CETBodytext"/>
              <w:ind w:right="-1"/>
              <w:jc w:val="left"/>
              <w:rPr>
                <w:rFonts w:cs="Arial"/>
                <w:szCs w:val="22"/>
                <w:lang w:val="it-IT" w:eastAsia="it-IT"/>
              </w:rPr>
            </w:pPr>
            <w:r w:rsidRPr="00F35F25">
              <w:rPr>
                <w:rFonts w:cs="Arial"/>
                <w:szCs w:val="22"/>
                <w:lang w:val="it-IT" w:eastAsia="it-IT"/>
              </w:rPr>
              <w:t>25</w:t>
            </w:r>
          </w:p>
        </w:tc>
      </w:tr>
      <w:tr w:rsidR="008B1CA1" w:rsidRPr="00F35F25" w14:paraId="6098BCF4" w14:textId="438DAF79" w:rsidTr="005D05BA">
        <w:tc>
          <w:tcPr>
            <w:tcW w:w="1701" w:type="dxa"/>
            <w:shd w:val="clear" w:color="auto" w:fill="FFFFFF"/>
          </w:tcPr>
          <w:p w14:paraId="14CCFAA2" w14:textId="77777777" w:rsidR="00C137A3" w:rsidRPr="00F35F25" w:rsidRDefault="00C137A3" w:rsidP="00C137A3">
            <w:pPr>
              <w:spacing w:line="240" w:lineRule="auto"/>
              <w:rPr>
                <w:rFonts w:cs="Arial"/>
                <w:szCs w:val="18"/>
                <w:lang w:eastAsia="it-IT"/>
              </w:rPr>
            </w:pPr>
            <w:proofErr w:type="spellStart"/>
            <w:r w:rsidRPr="00F35F25">
              <w:rPr>
                <w:rFonts w:cs="Arial"/>
                <w:szCs w:val="22"/>
                <w:lang w:val="it-IT" w:eastAsia="it-IT"/>
              </w:rPr>
              <w:t>Acids</w:t>
            </w:r>
            <w:proofErr w:type="spellEnd"/>
            <w:r w:rsidRPr="00F35F25">
              <w:rPr>
                <w:rFonts w:cs="Arial"/>
                <w:szCs w:val="22"/>
                <w:lang w:val="it-IT" w:eastAsia="it-IT"/>
              </w:rPr>
              <w:t xml:space="preserve"> </w:t>
            </w:r>
          </w:p>
        </w:tc>
        <w:tc>
          <w:tcPr>
            <w:tcW w:w="983" w:type="dxa"/>
            <w:shd w:val="clear" w:color="auto" w:fill="FFFFFF"/>
          </w:tcPr>
          <w:p w14:paraId="00011D0D" w14:textId="4A90EC9B" w:rsidR="00C137A3" w:rsidRPr="00F35F25" w:rsidRDefault="006D7B8F" w:rsidP="00C137A3">
            <w:pPr>
              <w:pStyle w:val="CETBodytext"/>
              <w:ind w:right="-1"/>
              <w:jc w:val="left"/>
              <w:rPr>
                <w:rFonts w:cs="Arial"/>
                <w:szCs w:val="18"/>
                <w:lang w:val="en-GB" w:eastAsia="it-IT"/>
              </w:rPr>
            </w:pPr>
            <w:r w:rsidRPr="00F35F25">
              <w:rPr>
                <w:rFonts w:cs="Arial"/>
                <w:szCs w:val="22"/>
                <w:lang w:val="it-IT" w:eastAsia="it-IT"/>
              </w:rPr>
              <w:t>-</w:t>
            </w:r>
            <w:r w:rsidR="00C137A3" w:rsidRPr="00F35F25">
              <w:rPr>
                <w:rFonts w:cs="Arial"/>
                <w:szCs w:val="22"/>
                <w:lang w:val="it-IT" w:eastAsia="it-IT"/>
              </w:rPr>
              <w:t>22</w:t>
            </w:r>
          </w:p>
        </w:tc>
        <w:tc>
          <w:tcPr>
            <w:tcW w:w="983" w:type="dxa"/>
            <w:shd w:val="clear" w:color="auto" w:fill="FFFFFF"/>
          </w:tcPr>
          <w:p w14:paraId="45C43B69" w14:textId="34D1D265" w:rsidR="00C137A3" w:rsidRPr="00F35F25" w:rsidRDefault="006D7B8F" w:rsidP="00C137A3">
            <w:pPr>
              <w:pStyle w:val="CETBodytext"/>
              <w:ind w:right="-1"/>
              <w:jc w:val="left"/>
              <w:rPr>
                <w:rFonts w:cs="Arial"/>
                <w:szCs w:val="18"/>
                <w:lang w:val="en-GB" w:eastAsia="it-IT"/>
              </w:rPr>
            </w:pPr>
            <w:r w:rsidRPr="00F35F25">
              <w:rPr>
                <w:rFonts w:cs="Arial"/>
                <w:szCs w:val="22"/>
                <w:lang w:val="it-IT" w:eastAsia="it-IT"/>
              </w:rPr>
              <w:t>-</w:t>
            </w:r>
            <w:r w:rsidR="00C137A3" w:rsidRPr="00F35F25">
              <w:rPr>
                <w:rFonts w:cs="Arial"/>
                <w:szCs w:val="22"/>
                <w:lang w:val="it-IT" w:eastAsia="it-IT"/>
              </w:rPr>
              <w:t>24</w:t>
            </w:r>
          </w:p>
        </w:tc>
        <w:tc>
          <w:tcPr>
            <w:tcW w:w="983" w:type="dxa"/>
            <w:shd w:val="clear" w:color="auto" w:fill="FFFFFF"/>
          </w:tcPr>
          <w:p w14:paraId="14281420" w14:textId="70814F98" w:rsidR="00C137A3" w:rsidRPr="00F35F25" w:rsidRDefault="006D7B8F" w:rsidP="00C137A3">
            <w:pPr>
              <w:pStyle w:val="CETBodytext"/>
              <w:ind w:right="-1"/>
              <w:jc w:val="left"/>
              <w:rPr>
                <w:rFonts w:cs="Arial"/>
                <w:szCs w:val="18"/>
                <w:lang w:val="en-GB" w:eastAsia="it-IT"/>
              </w:rPr>
            </w:pPr>
            <w:r w:rsidRPr="00F35F25">
              <w:rPr>
                <w:rFonts w:cs="Arial"/>
                <w:szCs w:val="22"/>
                <w:lang w:val="it-IT" w:eastAsia="it-IT"/>
              </w:rPr>
              <w:t>-</w:t>
            </w:r>
            <w:r w:rsidR="00C137A3" w:rsidRPr="00F35F25">
              <w:rPr>
                <w:rFonts w:cs="Arial"/>
                <w:szCs w:val="22"/>
                <w:lang w:val="it-IT" w:eastAsia="it-IT"/>
              </w:rPr>
              <w:t>19</w:t>
            </w:r>
          </w:p>
        </w:tc>
        <w:tc>
          <w:tcPr>
            <w:tcW w:w="983" w:type="dxa"/>
            <w:shd w:val="clear" w:color="auto" w:fill="FFFFFF"/>
          </w:tcPr>
          <w:p w14:paraId="2D919A30" w14:textId="700E328F" w:rsidR="00C137A3" w:rsidRPr="00F35F25" w:rsidDel="003F0006" w:rsidRDefault="00C137A3" w:rsidP="00C137A3">
            <w:pPr>
              <w:pStyle w:val="CETBodytext"/>
              <w:ind w:right="-1"/>
              <w:jc w:val="left"/>
              <w:rPr>
                <w:rFonts w:cs="Arial"/>
                <w:szCs w:val="22"/>
                <w:lang w:val="it-IT" w:eastAsia="it-IT"/>
              </w:rPr>
            </w:pPr>
            <w:r w:rsidRPr="00F35F25">
              <w:rPr>
                <w:rFonts w:cs="Arial"/>
                <w:szCs w:val="22"/>
                <w:lang w:val="it-IT" w:eastAsia="it-IT"/>
              </w:rPr>
              <w:t>18</w:t>
            </w:r>
          </w:p>
        </w:tc>
        <w:tc>
          <w:tcPr>
            <w:tcW w:w="983" w:type="dxa"/>
            <w:shd w:val="clear" w:color="auto" w:fill="FFFFFF"/>
          </w:tcPr>
          <w:p w14:paraId="45D4E620" w14:textId="6BB68D49" w:rsidR="00C137A3" w:rsidRPr="00F35F25" w:rsidDel="003F0006" w:rsidRDefault="00C137A3" w:rsidP="00C137A3">
            <w:pPr>
              <w:pStyle w:val="CETBodytext"/>
              <w:ind w:right="-1"/>
              <w:jc w:val="left"/>
              <w:rPr>
                <w:rFonts w:cs="Arial"/>
                <w:szCs w:val="22"/>
                <w:lang w:val="it-IT" w:eastAsia="it-IT"/>
              </w:rPr>
            </w:pPr>
            <w:r w:rsidRPr="00F35F25">
              <w:rPr>
                <w:rFonts w:cs="Arial"/>
                <w:szCs w:val="22"/>
                <w:lang w:val="it-IT" w:eastAsia="it-IT"/>
              </w:rPr>
              <w:t>25</w:t>
            </w:r>
          </w:p>
        </w:tc>
        <w:tc>
          <w:tcPr>
            <w:tcW w:w="983" w:type="dxa"/>
            <w:shd w:val="clear" w:color="auto" w:fill="FFFFFF"/>
          </w:tcPr>
          <w:p w14:paraId="138D266E" w14:textId="555714BE" w:rsidR="00C137A3" w:rsidRPr="00F35F25" w:rsidDel="003F0006" w:rsidRDefault="00C137A3" w:rsidP="00C137A3">
            <w:pPr>
              <w:pStyle w:val="CETBodytext"/>
              <w:ind w:right="-1"/>
              <w:jc w:val="left"/>
              <w:rPr>
                <w:rFonts w:cs="Arial"/>
                <w:szCs w:val="22"/>
                <w:lang w:val="it-IT" w:eastAsia="it-IT"/>
              </w:rPr>
            </w:pPr>
            <w:r w:rsidRPr="00F35F25">
              <w:rPr>
                <w:rFonts w:cs="Arial"/>
                <w:szCs w:val="22"/>
                <w:lang w:val="it-IT" w:eastAsia="it-IT"/>
              </w:rPr>
              <w:t>23</w:t>
            </w:r>
          </w:p>
        </w:tc>
      </w:tr>
    </w:tbl>
    <w:p w14:paraId="5E95D8B8" w14:textId="77777777" w:rsidR="005947B9" w:rsidRPr="00F35F25" w:rsidRDefault="005947B9">
      <w:pPr>
        <w:pStyle w:val="CETBodytext"/>
      </w:pPr>
    </w:p>
    <w:p w14:paraId="3F06AC3A" w14:textId="11BD455C" w:rsidR="00156074" w:rsidRPr="00F35F25" w:rsidRDefault="00156074" w:rsidP="00D80886">
      <w:pPr>
        <w:pStyle w:val="CETBodytext"/>
        <w:rPr>
          <w:lang w:val="en-GB"/>
        </w:rPr>
      </w:pPr>
      <w:r w:rsidRPr="00F35F25">
        <w:t xml:space="preserve">The volatile compounds contribute differently to wine aroma depending </w:t>
      </w:r>
      <w:r w:rsidR="007822D5" w:rsidRPr="00F35F25">
        <w:t xml:space="preserve">on </w:t>
      </w:r>
      <w:r w:rsidRPr="00F35F25">
        <w:t>their</w:t>
      </w:r>
      <w:r w:rsidRPr="00F35F25">
        <w:rPr>
          <w:lang w:val="en-GB"/>
        </w:rPr>
        <w:t xml:space="preserve"> odour activity value </w:t>
      </w:r>
      <w:r w:rsidR="007822D5" w:rsidRPr="00F35F25">
        <w:rPr>
          <w:lang w:val="en-GB"/>
        </w:rPr>
        <w:t xml:space="preserve">(OAV) </w:t>
      </w:r>
      <w:r w:rsidRPr="00F35F25">
        <w:rPr>
          <w:lang w:val="en-GB"/>
        </w:rPr>
        <w:t xml:space="preserve">calculated as </w:t>
      </w:r>
      <w:r w:rsidR="007822D5" w:rsidRPr="00F35F25">
        <w:rPr>
          <w:lang w:val="en-GB"/>
        </w:rPr>
        <w:t xml:space="preserve">ratio of </w:t>
      </w:r>
      <w:r w:rsidRPr="00F35F25">
        <w:rPr>
          <w:lang w:val="en-GB"/>
        </w:rPr>
        <w:t>concentration</w:t>
      </w:r>
      <w:r w:rsidR="007822D5" w:rsidRPr="00F35F25">
        <w:rPr>
          <w:lang w:val="en-GB"/>
        </w:rPr>
        <w:t xml:space="preserve"> to </w:t>
      </w:r>
      <w:r w:rsidRPr="00F35F25">
        <w:rPr>
          <w:lang w:val="en-GB"/>
        </w:rPr>
        <w:t xml:space="preserve">odour threshold. As </w:t>
      </w:r>
      <w:r w:rsidR="007822D5" w:rsidRPr="00F35F25">
        <w:rPr>
          <w:lang w:val="en-GB"/>
        </w:rPr>
        <w:t xml:space="preserve">reported </w:t>
      </w:r>
      <w:r w:rsidRPr="00F35F25">
        <w:rPr>
          <w:lang w:val="en-GB"/>
        </w:rPr>
        <w:t>elsewhere (</w:t>
      </w:r>
      <w:proofErr w:type="spellStart"/>
      <w:r w:rsidRPr="00F35F25">
        <w:rPr>
          <w:lang w:val="en-GB"/>
        </w:rPr>
        <w:t>Zea</w:t>
      </w:r>
      <w:proofErr w:type="spellEnd"/>
      <w:r w:rsidRPr="00F35F25">
        <w:rPr>
          <w:lang w:val="en-GB"/>
        </w:rPr>
        <w:t xml:space="preserve"> et al., 2007), compounds that exhibited OAV&gt;1 </w:t>
      </w:r>
      <w:r w:rsidR="007822D5" w:rsidRPr="00F35F25">
        <w:rPr>
          <w:lang w:val="en-GB"/>
        </w:rPr>
        <w:t xml:space="preserve">are </w:t>
      </w:r>
      <w:r w:rsidRPr="00F35F25">
        <w:rPr>
          <w:lang w:val="en-GB"/>
        </w:rPr>
        <w:t xml:space="preserve">considered to contribute individually to the wine aroma. </w:t>
      </w:r>
      <w:r w:rsidR="00CA2652" w:rsidRPr="00F35F25">
        <w:rPr>
          <w:lang w:val="en-GB"/>
        </w:rPr>
        <w:t xml:space="preserve">Hence, </w:t>
      </w:r>
      <w:r w:rsidR="004D353B" w:rsidRPr="00F35F25">
        <w:rPr>
          <w:lang w:val="en-GB"/>
        </w:rPr>
        <w:t xml:space="preserve">the OAV of volatile compounds was calculated (data non reported) and </w:t>
      </w:r>
      <w:r w:rsidR="00CA2652" w:rsidRPr="00F35F25">
        <w:rPr>
          <w:lang w:val="en-GB"/>
        </w:rPr>
        <w:t>the Principal Component Analysis (PCA) was performed on compounds with AOV&gt;1 (</w:t>
      </w:r>
      <w:r w:rsidR="007822D5" w:rsidRPr="00F35F25">
        <w:rPr>
          <w:lang w:val="en-GB"/>
        </w:rPr>
        <w:t xml:space="preserve">i.e. </w:t>
      </w:r>
      <w:r w:rsidR="00CA2652" w:rsidRPr="00F35F25">
        <w:rPr>
          <w:lang w:val="en-GB"/>
        </w:rPr>
        <w:t>ethyl hexanoate, ethyl octanoate, isoamyl acetate, 2-phenylethanol, 4-ethylguaiacol) and on typical compounds of grapes variety (</w:t>
      </w:r>
      <w:r w:rsidR="00CA2652" w:rsidRPr="00F35F25">
        <w:rPr>
          <w:rFonts w:ascii="Symbol" w:hAnsi="Symbol"/>
          <w:lang w:val="en-GB"/>
        </w:rPr>
        <w:t></w:t>
      </w:r>
      <w:r w:rsidR="00CA2652" w:rsidRPr="00F35F25">
        <w:rPr>
          <w:lang w:val="en-GB"/>
        </w:rPr>
        <w:t>-terpineol) or that influence taste and aroma of Montepulciano wine (</w:t>
      </w:r>
      <w:r w:rsidR="007822D5" w:rsidRPr="00F35F25">
        <w:rPr>
          <w:lang w:val="en-GB"/>
        </w:rPr>
        <w:t xml:space="preserve">i.e. </w:t>
      </w:r>
      <w:r w:rsidR="00CA2652" w:rsidRPr="00F35F25">
        <w:rPr>
          <w:lang w:val="en-GB"/>
        </w:rPr>
        <w:t>phenethyl acetate, guaiacol, 4-ethylphenol)</w:t>
      </w:r>
      <w:r w:rsidR="00747D30" w:rsidRPr="00F35F25">
        <w:rPr>
          <w:lang w:val="en-GB"/>
        </w:rPr>
        <w:t xml:space="preserve"> (Figure </w:t>
      </w:r>
      <w:r w:rsidR="0067314F" w:rsidRPr="00F35F25">
        <w:rPr>
          <w:lang w:val="en-GB"/>
        </w:rPr>
        <w:t>2</w:t>
      </w:r>
      <w:r w:rsidR="00747D30" w:rsidRPr="00F35F25">
        <w:rPr>
          <w:lang w:val="en-GB"/>
        </w:rPr>
        <w:t>)</w:t>
      </w:r>
      <w:r w:rsidR="00CA2652" w:rsidRPr="00F35F25">
        <w:rPr>
          <w:lang w:val="en-GB"/>
        </w:rPr>
        <w:t>.</w:t>
      </w:r>
    </w:p>
    <w:p w14:paraId="393FC3E3" w14:textId="77777777" w:rsidR="00400ED1" w:rsidRPr="00F35F25" w:rsidRDefault="00400ED1" w:rsidP="00D80886">
      <w:pPr>
        <w:pStyle w:val="CETBodytext"/>
        <w:rPr>
          <w:lang w:val="en-GB"/>
        </w:rPr>
      </w:pPr>
    </w:p>
    <w:p w14:paraId="0C715F19" w14:textId="583B2DB2" w:rsidR="008B1CA1" w:rsidRPr="00F35F25" w:rsidRDefault="008B1CA1" w:rsidP="00F35F25">
      <w:pPr>
        <w:pStyle w:val="CETBodytext"/>
        <w:jc w:val="center"/>
      </w:pPr>
      <w:r w:rsidRPr="00F35F25">
        <w:rPr>
          <w:noProof/>
          <w:lang w:val="it-IT" w:eastAsia="it-IT"/>
        </w:rPr>
        <w:drawing>
          <wp:inline distT="0" distB="0" distL="0" distR="0" wp14:anchorId="15AE7182" wp14:editId="0FEF2024">
            <wp:extent cx="3411940" cy="2756848"/>
            <wp:effectExtent l="0" t="0" r="0" b="5715"/>
            <wp:docPr id="2" name="Immagine 2" descr="F:\for Phd\convegni\EFF2019\dopo rev.finale\figure 2 finale eff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r Phd\convegni\EFF2019\dopo rev.finale\figure 2 finale eff 300dpi.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019" t="11631" r="21215" b="18597"/>
                    <a:stretch/>
                  </pic:blipFill>
                  <pic:spPr bwMode="auto">
                    <a:xfrm>
                      <a:off x="0" y="0"/>
                      <a:ext cx="3415871" cy="2760024"/>
                    </a:xfrm>
                    <a:prstGeom prst="rect">
                      <a:avLst/>
                    </a:prstGeom>
                    <a:noFill/>
                    <a:ln>
                      <a:noFill/>
                    </a:ln>
                    <a:extLst>
                      <a:ext uri="{53640926-AAD7-44D8-BBD7-CCE9431645EC}">
                        <a14:shadowObscured xmlns:a14="http://schemas.microsoft.com/office/drawing/2010/main"/>
                      </a:ext>
                    </a:extLst>
                  </pic:spPr>
                </pic:pic>
              </a:graphicData>
            </a:graphic>
          </wp:inline>
        </w:drawing>
      </w:r>
    </w:p>
    <w:p w14:paraId="5FB65106" w14:textId="0700B46C" w:rsidR="00CD1008" w:rsidRPr="00F35F25" w:rsidRDefault="00CD1008" w:rsidP="00F35F25">
      <w:pPr>
        <w:pStyle w:val="CETBodytext"/>
        <w:jc w:val="center"/>
      </w:pPr>
      <w:r w:rsidRPr="00F35F25">
        <w:t xml:space="preserve">Figure </w:t>
      </w:r>
      <w:r w:rsidR="0067314F" w:rsidRPr="00F35F25">
        <w:t>2</w:t>
      </w:r>
      <w:r w:rsidRPr="00F35F25">
        <w:t xml:space="preserve">: PCA plot of the relationship between some key odour impact compounds and wine samples. </w:t>
      </w:r>
    </w:p>
    <w:p w14:paraId="745A0810" w14:textId="77777777" w:rsidR="008B1CA1" w:rsidRPr="00F35F25" w:rsidRDefault="008B1CA1" w:rsidP="00F35F25">
      <w:pPr>
        <w:pStyle w:val="CETBodytext"/>
        <w:jc w:val="center"/>
      </w:pPr>
    </w:p>
    <w:p w14:paraId="2F94BF8D" w14:textId="601F8A76" w:rsidR="00400ED1" w:rsidRPr="00F35F25" w:rsidRDefault="00400ED1" w:rsidP="00400ED1">
      <w:pPr>
        <w:pStyle w:val="CETBodytext"/>
        <w:rPr>
          <w:lang w:val="en-GB"/>
        </w:rPr>
      </w:pPr>
      <w:r w:rsidRPr="00F35F25">
        <w:rPr>
          <w:lang w:val="en-GB"/>
        </w:rPr>
        <w:t xml:space="preserve">The first two components of PCA analysis explained 84% of data variability (48.08% and 35.89% respectively). Esters compounds are located in the positive quadrants of PC1, instead </w:t>
      </w:r>
      <w:r w:rsidRPr="00F35F25">
        <w:rPr>
          <w:rFonts w:ascii="Symbol" w:hAnsi="Symbol"/>
          <w:lang w:val="en-GB"/>
        </w:rPr>
        <w:t></w:t>
      </w:r>
      <w:r w:rsidRPr="00F35F25">
        <w:rPr>
          <w:lang w:val="en-GB"/>
        </w:rPr>
        <w:t xml:space="preserve">-terpineol and guaiacol on the negative side one. The low alcohol wines obtained by combined membrane processes </w:t>
      </w:r>
      <w:r w:rsidRPr="00F35F25">
        <w:rPr>
          <w:lang w:val="en-GB"/>
        </w:rPr>
        <w:lastRenderedPageBreak/>
        <w:t>showed a clear opposition respect to wine samples obtained by OD process and, the initial wine W</w:t>
      </w:r>
      <w:r w:rsidRPr="00F35F25">
        <w:rPr>
          <w:vertAlign w:val="subscript"/>
          <w:lang w:val="en-GB"/>
        </w:rPr>
        <w:t>0</w:t>
      </w:r>
      <w:r w:rsidRPr="00F35F25">
        <w:rPr>
          <w:lang w:val="en-GB"/>
        </w:rPr>
        <w:t xml:space="preserve"> is approximately in the centre of PCA plot. The selected volatile compounds are well correlated with low alcohol wines (WRO</w:t>
      </w:r>
      <w:r w:rsidRPr="00F35F25">
        <w:rPr>
          <w:vertAlign w:val="subscript"/>
          <w:lang w:val="en-GB"/>
        </w:rPr>
        <w:t>1</w:t>
      </w:r>
      <w:r w:rsidRPr="00F35F25">
        <w:rPr>
          <w:lang w:val="en-GB"/>
        </w:rPr>
        <w:t>, WROD</w:t>
      </w:r>
      <w:r w:rsidRPr="00F35F25">
        <w:rPr>
          <w:vertAlign w:val="subscript"/>
          <w:lang w:val="en-GB"/>
        </w:rPr>
        <w:t>2</w:t>
      </w:r>
      <w:r w:rsidRPr="00F35F25">
        <w:rPr>
          <w:lang w:val="en-GB"/>
        </w:rPr>
        <w:t xml:space="preserve"> and WROD</w:t>
      </w:r>
      <w:r w:rsidRPr="00F35F25">
        <w:rPr>
          <w:vertAlign w:val="subscript"/>
          <w:lang w:val="en-GB"/>
        </w:rPr>
        <w:t>3</w:t>
      </w:r>
      <w:r w:rsidRPr="00F35F25">
        <w:rPr>
          <w:lang w:val="en-GB"/>
        </w:rPr>
        <w:t>) obtained by combined membrane process and negatively correlated on the PC1 with wine samples obtained by OD (WOD</w:t>
      </w:r>
      <w:r w:rsidRPr="00F35F25">
        <w:rPr>
          <w:vertAlign w:val="subscript"/>
          <w:lang w:val="en-GB"/>
        </w:rPr>
        <w:t>1</w:t>
      </w:r>
      <w:r w:rsidRPr="00F35F25">
        <w:rPr>
          <w:lang w:val="en-GB"/>
        </w:rPr>
        <w:t>, WOD</w:t>
      </w:r>
      <w:r w:rsidRPr="00F35F25">
        <w:rPr>
          <w:vertAlign w:val="subscript"/>
          <w:lang w:val="en-GB"/>
        </w:rPr>
        <w:t>2</w:t>
      </w:r>
      <w:r w:rsidRPr="00F35F25">
        <w:rPr>
          <w:lang w:val="en-GB"/>
        </w:rPr>
        <w:t xml:space="preserve"> and WOD</w:t>
      </w:r>
      <w:r w:rsidRPr="00F35F25">
        <w:rPr>
          <w:vertAlign w:val="subscript"/>
          <w:lang w:val="en-GB"/>
        </w:rPr>
        <w:t>3</w:t>
      </w:r>
      <w:r w:rsidRPr="00F35F25">
        <w:rPr>
          <w:lang w:val="en-GB"/>
        </w:rPr>
        <w:t>). Original wine (W</w:t>
      </w:r>
      <w:r w:rsidRPr="00F35F25">
        <w:rPr>
          <w:vertAlign w:val="subscript"/>
        </w:rPr>
        <w:t>0</w:t>
      </w:r>
      <w:r w:rsidRPr="00F35F25">
        <w:t>) and those with about -5</w:t>
      </w:r>
      <w:r w:rsidR="00803F52" w:rsidRPr="00F35F25">
        <w:t xml:space="preserve"> </w:t>
      </w:r>
      <w:r w:rsidRPr="00F35F25">
        <w:t>%v/v reduced alcohol content (</w:t>
      </w:r>
      <w:r w:rsidRPr="00F35F25">
        <w:rPr>
          <w:lang w:val="en-GB"/>
        </w:rPr>
        <w:t>WRO</w:t>
      </w:r>
      <w:r w:rsidRPr="00F35F25">
        <w:rPr>
          <w:vertAlign w:val="subscript"/>
          <w:lang w:val="en-GB"/>
        </w:rPr>
        <w:t>1</w:t>
      </w:r>
      <w:r w:rsidRPr="00F35F25">
        <w:rPr>
          <w:lang w:val="en-GB"/>
        </w:rPr>
        <w:t xml:space="preserve"> </w:t>
      </w:r>
      <w:r w:rsidRPr="00F35F25">
        <w:t xml:space="preserve">and </w:t>
      </w:r>
      <w:r w:rsidRPr="00F35F25">
        <w:rPr>
          <w:lang w:val="en-GB"/>
        </w:rPr>
        <w:t>WO</w:t>
      </w:r>
      <w:r w:rsidRPr="00F35F25">
        <w:t>D</w:t>
      </w:r>
      <w:r w:rsidRPr="00F35F25">
        <w:rPr>
          <w:vertAlign w:val="subscript"/>
          <w:lang w:val="en-GB"/>
        </w:rPr>
        <w:t>1</w:t>
      </w:r>
      <w:r w:rsidRPr="00F35F25">
        <w:rPr>
          <w:lang w:val="en-GB"/>
        </w:rPr>
        <w:t>)</w:t>
      </w:r>
      <w:r w:rsidRPr="00F35F25">
        <w:t xml:space="preserve"> </w:t>
      </w:r>
      <w:r w:rsidRPr="00F35F25">
        <w:rPr>
          <w:lang w:val="en-GB"/>
        </w:rPr>
        <w:t>show</w:t>
      </w:r>
      <w:proofErr w:type="spellStart"/>
      <w:r w:rsidRPr="00F35F25">
        <w:t>ed</w:t>
      </w:r>
      <w:proofErr w:type="spellEnd"/>
      <w:r w:rsidRPr="00F35F25">
        <w:rPr>
          <w:lang w:val="en-GB"/>
        </w:rPr>
        <w:t xml:space="preserve"> a good correlation </w:t>
      </w:r>
      <w:r w:rsidRPr="00F35F25">
        <w:t xml:space="preserve">on PC2 axis, whereas the other wines with a lower alcohol content were </w:t>
      </w:r>
      <w:r w:rsidRPr="00F35F25">
        <w:rPr>
          <w:lang w:val="en-GB"/>
        </w:rPr>
        <w:t>negatively correlated</w:t>
      </w:r>
      <w:r w:rsidRPr="00F35F25">
        <w:t xml:space="preserve"> on t</w:t>
      </w:r>
      <w:r w:rsidRPr="00F35F25">
        <w:rPr>
          <w:lang w:val="en-GB"/>
        </w:rPr>
        <w:t>he second factor of PCA.</w:t>
      </w:r>
    </w:p>
    <w:p w14:paraId="2C6CFD3A" w14:textId="77777777" w:rsidR="00CA2652" w:rsidRPr="00F35F25" w:rsidRDefault="00CA2652" w:rsidP="00D80886">
      <w:pPr>
        <w:pStyle w:val="CETBodytext"/>
      </w:pPr>
    </w:p>
    <w:p w14:paraId="571B8614" w14:textId="77777777" w:rsidR="00AA4D6F" w:rsidRPr="00F35F25" w:rsidRDefault="00AA4D6F" w:rsidP="00AA4D6F">
      <w:pPr>
        <w:pStyle w:val="CETHeading1"/>
        <w:tabs>
          <w:tab w:val="clear" w:pos="360"/>
          <w:tab w:val="right" w:pos="7100"/>
        </w:tabs>
        <w:jc w:val="both"/>
        <w:rPr>
          <w:lang w:val="en-GB"/>
        </w:rPr>
      </w:pPr>
      <w:r w:rsidRPr="00F35F25">
        <w:rPr>
          <w:lang w:val="en-GB"/>
        </w:rPr>
        <w:t>Conclusions</w:t>
      </w:r>
    </w:p>
    <w:p w14:paraId="797D0829" w14:textId="7154DFE0" w:rsidR="00DA32C8" w:rsidRPr="00F35F25" w:rsidRDefault="00E07933" w:rsidP="00DA32C8">
      <w:pPr>
        <w:pStyle w:val="CETBodytext"/>
        <w:rPr>
          <w:lang w:val="en-GB"/>
        </w:rPr>
      </w:pPr>
      <w:r w:rsidRPr="00F35F25">
        <w:rPr>
          <w:lang w:val="en-GB"/>
        </w:rPr>
        <w:t xml:space="preserve">The effect of different degree of </w:t>
      </w:r>
      <w:proofErr w:type="spellStart"/>
      <w:r w:rsidRPr="00F35F25">
        <w:rPr>
          <w:lang w:val="en-GB"/>
        </w:rPr>
        <w:t>dealcoholization</w:t>
      </w:r>
      <w:proofErr w:type="spellEnd"/>
      <w:r w:rsidRPr="00F35F25">
        <w:rPr>
          <w:lang w:val="en-GB"/>
        </w:rPr>
        <w:t xml:space="preserve"> on</w:t>
      </w:r>
      <w:r w:rsidR="0067314F" w:rsidRPr="00F35F25">
        <w:rPr>
          <w:lang w:val="en-GB"/>
        </w:rPr>
        <w:t xml:space="preserve"> </w:t>
      </w:r>
      <w:proofErr w:type="spellStart"/>
      <w:r w:rsidRPr="00F35F25">
        <w:rPr>
          <w:i/>
          <w:lang w:val="en-GB"/>
        </w:rPr>
        <w:t>Montepulciano</w:t>
      </w:r>
      <w:proofErr w:type="spellEnd"/>
      <w:r w:rsidRPr="00F35F25">
        <w:rPr>
          <w:i/>
          <w:lang w:val="en-GB"/>
        </w:rPr>
        <w:t xml:space="preserve"> </w:t>
      </w:r>
      <w:proofErr w:type="spellStart"/>
      <w:r w:rsidRPr="00F35F25">
        <w:rPr>
          <w:i/>
          <w:lang w:val="en-GB"/>
        </w:rPr>
        <w:t>d'Abruzzo</w:t>
      </w:r>
      <w:proofErr w:type="spellEnd"/>
      <w:r w:rsidRPr="00F35F25">
        <w:rPr>
          <w:lang w:val="en-GB"/>
        </w:rPr>
        <w:t xml:space="preserve"> </w:t>
      </w:r>
      <w:r w:rsidR="00803F52" w:rsidRPr="00F35F25">
        <w:rPr>
          <w:lang w:val="en-GB"/>
        </w:rPr>
        <w:t>wine</w:t>
      </w:r>
      <w:r w:rsidR="00803F52" w:rsidRPr="00F35F25">
        <w:t xml:space="preserve"> </w:t>
      </w:r>
      <w:r w:rsidRPr="00F35F25">
        <w:t xml:space="preserve">performed </w:t>
      </w:r>
      <w:r w:rsidR="00DA32C8" w:rsidRPr="00F35F25">
        <w:t>through</w:t>
      </w:r>
      <w:r w:rsidRPr="00F35F25">
        <w:t xml:space="preserve"> osmotic distillation (OD) and a combined membrane process, RO and OD, </w:t>
      </w:r>
      <w:r w:rsidR="00F03340" w:rsidRPr="00F35F25">
        <w:rPr>
          <w:lang w:val="en-GB"/>
        </w:rPr>
        <w:t>was evaluated</w:t>
      </w:r>
      <w:r w:rsidR="002427B1" w:rsidRPr="00F35F25">
        <w:rPr>
          <w:lang w:val="en-GB"/>
        </w:rPr>
        <w:t>.</w:t>
      </w:r>
      <w:r w:rsidR="00F03340" w:rsidRPr="00F35F25">
        <w:rPr>
          <w:lang w:val="en-GB"/>
        </w:rPr>
        <w:t xml:space="preserve"> </w:t>
      </w:r>
      <w:r w:rsidR="00DA32C8" w:rsidRPr="00F35F25">
        <w:rPr>
          <w:lang w:val="en-GB"/>
        </w:rPr>
        <w:t xml:space="preserve">No significant differences in total acidity, tartaric acid and pH were observed between the original wine and  those processed by OD, whereas a significant difference was detected in wine treated by RO. </w:t>
      </w:r>
      <w:r w:rsidR="00154B26" w:rsidRPr="00F35F25">
        <w:rPr>
          <w:lang w:val="en-GB"/>
        </w:rPr>
        <w:t xml:space="preserve">The RO process also </w:t>
      </w:r>
      <w:r w:rsidR="00DA32C8" w:rsidRPr="00F35F25">
        <w:rPr>
          <w:lang w:val="en-GB"/>
        </w:rPr>
        <w:t>significant</w:t>
      </w:r>
      <w:r w:rsidR="00154B26" w:rsidRPr="00F35F25">
        <w:rPr>
          <w:lang w:val="en-GB"/>
        </w:rPr>
        <w:t xml:space="preserve">ly </w:t>
      </w:r>
      <w:r w:rsidR="00BE7F27" w:rsidRPr="00F35F25">
        <w:rPr>
          <w:lang w:val="en-GB"/>
        </w:rPr>
        <w:t>affected</w:t>
      </w:r>
      <w:r w:rsidR="00DA32C8" w:rsidRPr="00F35F25">
        <w:rPr>
          <w:lang w:val="en-GB"/>
        </w:rPr>
        <w:t xml:space="preserve"> total anthocyanins </w:t>
      </w:r>
      <w:r w:rsidR="00154B26" w:rsidRPr="00F35F25">
        <w:rPr>
          <w:lang w:val="en-GB"/>
        </w:rPr>
        <w:t>which decreased</w:t>
      </w:r>
      <w:r w:rsidR="00BE7F27" w:rsidRPr="00F35F25">
        <w:rPr>
          <w:lang w:val="en-GB"/>
        </w:rPr>
        <w:t xml:space="preserve"> in the dealcoholized wine</w:t>
      </w:r>
      <w:r w:rsidR="00154B26" w:rsidRPr="00F35F25">
        <w:rPr>
          <w:lang w:val="en-GB"/>
        </w:rPr>
        <w:t xml:space="preserve">, and </w:t>
      </w:r>
      <w:r w:rsidR="00DA32C8" w:rsidRPr="00F35F25">
        <w:rPr>
          <w:lang w:val="en-GB"/>
        </w:rPr>
        <w:t>total phenols w</w:t>
      </w:r>
      <w:r w:rsidR="00154B26" w:rsidRPr="00F35F25">
        <w:rPr>
          <w:lang w:val="en-GB"/>
        </w:rPr>
        <w:t>hich increased</w:t>
      </w:r>
      <w:r w:rsidR="00DA32C8" w:rsidRPr="00F35F25">
        <w:rPr>
          <w:lang w:val="en-GB"/>
        </w:rPr>
        <w:t xml:space="preserve">. </w:t>
      </w:r>
      <w:r w:rsidR="004C648C" w:rsidRPr="00F35F25">
        <w:rPr>
          <w:lang w:val="en-GB"/>
        </w:rPr>
        <w:t>However, t</w:t>
      </w:r>
      <w:r w:rsidR="00DA32C8" w:rsidRPr="00F35F25">
        <w:rPr>
          <w:lang w:val="en-GB"/>
        </w:rPr>
        <w:t>he subsequent OD cycles did not influence the amount of these compounds during the wine dealcoholization. The colour parameters were also found statistically different (P&lt;0.05) respect to W</w:t>
      </w:r>
      <w:r w:rsidR="00DA32C8" w:rsidRPr="00F35F25">
        <w:rPr>
          <w:vertAlign w:val="subscript"/>
          <w:lang w:val="en-GB"/>
        </w:rPr>
        <w:t>0</w:t>
      </w:r>
      <w:r w:rsidR="00DA32C8" w:rsidRPr="00F35F25">
        <w:rPr>
          <w:lang w:val="en-GB"/>
        </w:rPr>
        <w:t>, more in wine dealcoholized through RO than OD process.</w:t>
      </w:r>
    </w:p>
    <w:p w14:paraId="55F387A1" w14:textId="27F96A95" w:rsidR="00AA4D6F" w:rsidRPr="00F35F25" w:rsidRDefault="002427B1" w:rsidP="00E07933">
      <w:pPr>
        <w:pStyle w:val="CETBodytext"/>
        <w:rPr>
          <w:lang w:val="en-GB"/>
        </w:rPr>
      </w:pPr>
      <w:r w:rsidRPr="00F35F25">
        <w:t>A</w:t>
      </w:r>
      <w:r w:rsidR="004C648C" w:rsidRPr="00F35F25">
        <w:t>n</w:t>
      </w:r>
      <w:r w:rsidR="00DA32C8" w:rsidRPr="00F35F25">
        <w:t xml:space="preserve"> </w:t>
      </w:r>
      <w:r w:rsidR="004C648C" w:rsidRPr="00F35F25">
        <w:t>increase</w:t>
      </w:r>
      <w:r w:rsidR="00F03340" w:rsidRPr="00F35F25">
        <w:rPr>
          <w:lang w:val="en-GB"/>
        </w:rPr>
        <w:t xml:space="preserve"> of </w:t>
      </w:r>
      <w:r w:rsidR="004C648C" w:rsidRPr="00F35F25">
        <w:t xml:space="preserve">total </w:t>
      </w:r>
      <w:r w:rsidR="00F03340" w:rsidRPr="00F35F25">
        <w:rPr>
          <w:lang w:val="en-GB"/>
        </w:rPr>
        <w:t xml:space="preserve">volatiles content occurred </w:t>
      </w:r>
      <w:r w:rsidR="004C648C" w:rsidRPr="00F35F25">
        <w:t xml:space="preserve">after the RO step </w:t>
      </w:r>
      <w:r w:rsidR="00E37E9B" w:rsidRPr="00F35F25">
        <w:rPr>
          <w:lang w:val="en-GB"/>
        </w:rPr>
        <w:t xml:space="preserve">which decreased </w:t>
      </w:r>
      <w:r w:rsidR="004C648C" w:rsidRPr="00F35F25">
        <w:t>in the subsequent OD cycle. But at the end of the combined process</w:t>
      </w:r>
      <w:r w:rsidR="00803F52" w:rsidRPr="00F35F25">
        <w:t>,</w:t>
      </w:r>
      <w:r w:rsidR="004C648C" w:rsidRPr="00F35F25">
        <w:t xml:space="preserve"> an overall increase in volatiles content was observed. On the contrary</w:t>
      </w:r>
      <w:r w:rsidR="00803F52" w:rsidRPr="00F35F25">
        <w:t>,</w:t>
      </w:r>
      <w:r w:rsidR="004C648C" w:rsidRPr="00F35F25">
        <w:t xml:space="preserve"> </w:t>
      </w:r>
      <w:r w:rsidR="004C648C" w:rsidRPr="00F35F25">
        <w:rPr>
          <w:lang w:val="en-GB"/>
        </w:rPr>
        <w:t>the</w:t>
      </w:r>
      <w:r w:rsidR="004C648C" w:rsidRPr="00F35F25">
        <w:t xml:space="preserve"> OD process alone </w:t>
      </w:r>
      <w:r w:rsidR="004C648C" w:rsidRPr="00F35F25">
        <w:rPr>
          <w:lang w:val="en-GB"/>
        </w:rPr>
        <w:t>determine</w:t>
      </w:r>
      <w:r w:rsidR="00E37E9B" w:rsidRPr="00F35F25">
        <w:rPr>
          <w:lang w:val="en-GB"/>
        </w:rPr>
        <w:t>d</w:t>
      </w:r>
      <w:r w:rsidR="004C648C" w:rsidRPr="00F35F25">
        <w:rPr>
          <w:lang w:val="en-GB"/>
        </w:rPr>
        <w:t xml:space="preserve"> a</w:t>
      </w:r>
      <w:r w:rsidR="00E37E9B" w:rsidRPr="00F35F25">
        <w:rPr>
          <w:lang w:val="en-GB"/>
        </w:rPr>
        <w:t xml:space="preserve"> decrease</w:t>
      </w:r>
      <w:r w:rsidR="004C648C" w:rsidRPr="00F35F25">
        <w:rPr>
          <w:lang w:val="en-GB"/>
        </w:rPr>
        <w:t xml:space="preserve"> in </w:t>
      </w:r>
      <w:r w:rsidR="004C648C" w:rsidRPr="00F35F25">
        <w:t>volatiles as t</w:t>
      </w:r>
      <w:r w:rsidR="00F03340" w:rsidRPr="00F35F25">
        <w:rPr>
          <w:lang w:val="en-GB"/>
        </w:rPr>
        <w:t xml:space="preserve">he level of </w:t>
      </w:r>
      <w:r w:rsidR="004C648C" w:rsidRPr="00F35F25">
        <w:t>dealcoholisation increases</w:t>
      </w:r>
      <w:r w:rsidR="00F03340" w:rsidRPr="00F35F25">
        <w:rPr>
          <w:lang w:val="en-GB"/>
        </w:rPr>
        <w:t xml:space="preserve">. </w:t>
      </w:r>
      <w:r w:rsidR="004C648C" w:rsidRPr="00F35F25">
        <w:rPr>
          <w:lang w:val="en-GB"/>
        </w:rPr>
        <w:t xml:space="preserve">In conclusion, </w:t>
      </w:r>
      <w:r w:rsidR="00E07933" w:rsidRPr="00F35F25">
        <w:rPr>
          <w:lang w:val="en-GB"/>
        </w:rPr>
        <w:t xml:space="preserve">the combined treatment seems to better preserve the </w:t>
      </w:r>
      <w:r w:rsidR="008F09FB" w:rsidRPr="00F35F25">
        <w:rPr>
          <w:lang w:val="en-GB"/>
        </w:rPr>
        <w:t xml:space="preserve">volatile </w:t>
      </w:r>
      <w:r w:rsidR="00E07933" w:rsidRPr="00F35F25">
        <w:rPr>
          <w:lang w:val="en-GB"/>
        </w:rPr>
        <w:t xml:space="preserve">qualitative characteristics of the </w:t>
      </w:r>
      <w:r w:rsidR="008F09FB" w:rsidRPr="00F35F25">
        <w:rPr>
          <w:lang w:val="en-GB"/>
        </w:rPr>
        <w:t>initial</w:t>
      </w:r>
      <w:r w:rsidR="00E07933" w:rsidRPr="00F35F25">
        <w:rPr>
          <w:lang w:val="en-GB"/>
        </w:rPr>
        <w:t xml:space="preserve"> wine</w:t>
      </w:r>
      <w:r w:rsidRPr="00F35F25">
        <w:rPr>
          <w:lang w:val="en-GB"/>
        </w:rPr>
        <w:t xml:space="preserve"> after dealcoholisation</w:t>
      </w:r>
      <w:r w:rsidR="00E07933" w:rsidRPr="00F35F25">
        <w:rPr>
          <w:lang w:val="en-GB"/>
        </w:rPr>
        <w:t>.</w:t>
      </w:r>
      <w:r w:rsidR="004C648C" w:rsidRPr="00F35F25">
        <w:rPr>
          <w:lang w:val="en-GB"/>
        </w:rPr>
        <w:t xml:space="preserve"> Further study will investigate the effect of the </w:t>
      </w:r>
      <w:r w:rsidR="00154B26" w:rsidRPr="00F35F25">
        <w:rPr>
          <w:lang w:val="en-GB"/>
        </w:rPr>
        <w:t xml:space="preserve">combined </w:t>
      </w:r>
      <w:r w:rsidR="004C648C" w:rsidRPr="00F35F25">
        <w:rPr>
          <w:lang w:val="en-GB"/>
        </w:rPr>
        <w:t>pro</w:t>
      </w:r>
      <w:r w:rsidR="00C86105" w:rsidRPr="00F35F25">
        <w:rPr>
          <w:lang w:val="en-GB"/>
        </w:rPr>
        <w:t xml:space="preserve">cess </w:t>
      </w:r>
      <w:r w:rsidR="004C648C" w:rsidRPr="00F35F25">
        <w:rPr>
          <w:lang w:val="en-GB"/>
        </w:rPr>
        <w:t xml:space="preserve">on the sensory quality of </w:t>
      </w:r>
      <w:r w:rsidR="00E37E9B" w:rsidRPr="00F35F25">
        <w:rPr>
          <w:lang w:val="en-GB"/>
        </w:rPr>
        <w:t xml:space="preserve">the </w:t>
      </w:r>
      <w:r w:rsidR="00C86105" w:rsidRPr="00F35F25">
        <w:rPr>
          <w:lang w:val="en-GB"/>
        </w:rPr>
        <w:t xml:space="preserve">partial dealcoholized </w:t>
      </w:r>
      <w:r w:rsidR="004C648C" w:rsidRPr="00F35F25">
        <w:rPr>
          <w:lang w:val="en-GB"/>
        </w:rPr>
        <w:t>wines</w:t>
      </w:r>
      <w:r w:rsidR="00C86105" w:rsidRPr="00F35F25">
        <w:rPr>
          <w:lang w:val="en-GB"/>
        </w:rPr>
        <w:t>.</w:t>
      </w:r>
      <w:r w:rsidR="004C648C" w:rsidRPr="00F35F25">
        <w:rPr>
          <w:lang w:val="en-GB"/>
        </w:rPr>
        <w:t xml:space="preserve"> </w:t>
      </w:r>
    </w:p>
    <w:p w14:paraId="19E5395A" w14:textId="77777777" w:rsidR="00600535" w:rsidRPr="00F35F25" w:rsidRDefault="00600535" w:rsidP="00600535">
      <w:pPr>
        <w:pStyle w:val="CETReference"/>
      </w:pPr>
      <w:r w:rsidRPr="00F35F25">
        <w:t>References</w:t>
      </w:r>
    </w:p>
    <w:p w14:paraId="09D5E5ED" w14:textId="77777777" w:rsidR="00E42A1A" w:rsidRPr="00F35F25" w:rsidRDefault="00E42A1A" w:rsidP="0067314F">
      <w:pPr>
        <w:pStyle w:val="CETReference"/>
        <w:spacing w:before="0" w:after="0"/>
        <w:jc w:val="both"/>
        <w:rPr>
          <w:b w:val="0"/>
        </w:rPr>
      </w:pPr>
      <w:proofErr w:type="spellStart"/>
      <w:r w:rsidRPr="00F35F25">
        <w:rPr>
          <w:b w:val="0"/>
        </w:rPr>
        <w:t>Catarino</w:t>
      </w:r>
      <w:proofErr w:type="spellEnd"/>
      <w:r w:rsidRPr="00F35F25">
        <w:rPr>
          <w:b w:val="0"/>
        </w:rPr>
        <w:t xml:space="preserve"> M.D., 2010, Dissertation on ‘Production of non-alcoholic beer with reincorporation of original aroma compounds’, </w:t>
      </w:r>
      <w:proofErr w:type="spellStart"/>
      <w:r w:rsidRPr="00F35F25">
        <w:rPr>
          <w:b w:val="0"/>
        </w:rPr>
        <w:t>Lepae</w:t>
      </w:r>
      <w:proofErr w:type="spellEnd"/>
      <w:r w:rsidRPr="00F35F25">
        <w:rPr>
          <w:b w:val="0"/>
        </w:rPr>
        <w:t>, Department of Chemical Engineering, University of Porto, Faculty of Engineering.</w:t>
      </w:r>
    </w:p>
    <w:p w14:paraId="45DEF2F3" w14:textId="09EE7098" w:rsidR="00580555" w:rsidRPr="00F35F25" w:rsidRDefault="00580555" w:rsidP="0067314F">
      <w:pPr>
        <w:pStyle w:val="CETReference"/>
        <w:spacing w:before="0" w:after="0"/>
        <w:jc w:val="both"/>
        <w:rPr>
          <w:b w:val="0"/>
        </w:rPr>
      </w:pPr>
      <w:r w:rsidRPr="00F35F25">
        <w:rPr>
          <w:b w:val="0"/>
          <w:lang w:val="en-US"/>
        </w:rPr>
        <w:t xml:space="preserve">Corona O., </w:t>
      </w:r>
      <w:proofErr w:type="spellStart"/>
      <w:r w:rsidRPr="00F35F25">
        <w:rPr>
          <w:b w:val="0"/>
          <w:lang w:val="en-US"/>
        </w:rPr>
        <w:t>Squadrito</w:t>
      </w:r>
      <w:proofErr w:type="spellEnd"/>
      <w:r w:rsidRPr="00F35F25">
        <w:rPr>
          <w:b w:val="0"/>
          <w:lang w:val="en-US"/>
        </w:rPr>
        <w:t xml:space="preserve"> M., Vento G., </w:t>
      </w:r>
      <w:proofErr w:type="spellStart"/>
      <w:r w:rsidRPr="00F35F25">
        <w:rPr>
          <w:b w:val="0"/>
          <w:lang w:val="en-US"/>
        </w:rPr>
        <w:t>Tirelli</w:t>
      </w:r>
      <w:proofErr w:type="spellEnd"/>
      <w:r w:rsidRPr="00F35F25">
        <w:rPr>
          <w:b w:val="0"/>
          <w:lang w:val="en-US"/>
        </w:rPr>
        <w:t xml:space="preserve"> A., Di Stefano R., 2015, </w:t>
      </w:r>
      <w:r w:rsidRPr="00F35F25">
        <w:rPr>
          <w:b w:val="0"/>
        </w:rPr>
        <w:t xml:space="preserve">Over-evaluation of total flavonoids in grape skin extracts containing </w:t>
      </w:r>
      <w:proofErr w:type="spellStart"/>
      <w:r w:rsidRPr="00F35F25">
        <w:rPr>
          <w:b w:val="0"/>
        </w:rPr>
        <w:t>sulfur</w:t>
      </w:r>
      <w:proofErr w:type="spellEnd"/>
      <w:r w:rsidRPr="00F35F25">
        <w:rPr>
          <w:b w:val="0"/>
        </w:rPr>
        <w:t xml:space="preserve"> dioxide. Food Chemistry, 172, 537–542.</w:t>
      </w:r>
    </w:p>
    <w:p w14:paraId="6C017583" w14:textId="7FF2DBFB" w:rsidR="00F520E3" w:rsidRPr="00F35F25" w:rsidRDefault="00F520E3" w:rsidP="0067314F">
      <w:pPr>
        <w:pStyle w:val="CETReference"/>
        <w:spacing w:before="0" w:after="0"/>
        <w:jc w:val="both"/>
        <w:rPr>
          <w:b w:val="0"/>
        </w:rPr>
      </w:pPr>
      <w:r w:rsidRPr="00F35F25">
        <w:rPr>
          <w:b w:val="0"/>
        </w:rPr>
        <w:t>Corona O.</w:t>
      </w:r>
      <w:r w:rsidR="00722EFF" w:rsidRPr="00F35F25">
        <w:rPr>
          <w:b w:val="0"/>
        </w:rPr>
        <w:t>,</w:t>
      </w:r>
      <w:r w:rsidRPr="00F35F25">
        <w:rPr>
          <w:b w:val="0"/>
        </w:rPr>
        <w:t xml:space="preserve"> 2010</w:t>
      </w:r>
      <w:r w:rsidR="00722EFF" w:rsidRPr="00F35F25">
        <w:rPr>
          <w:b w:val="0"/>
        </w:rPr>
        <w:t>,</w:t>
      </w:r>
      <w:r w:rsidRPr="00F35F25">
        <w:rPr>
          <w:b w:val="0"/>
        </w:rPr>
        <w:t xml:space="preserve"> Wine-making with protection of must against oxidation</w:t>
      </w:r>
      <w:r w:rsidR="00040F8D" w:rsidRPr="00F35F25">
        <w:rPr>
          <w:b w:val="0"/>
        </w:rPr>
        <w:t xml:space="preserve"> </w:t>
      </w:r>
      <w:r w:rsidRPr="00F35F25">
        <w:rPr>
          <w:b w:val="0"/>
        </w:rPr>
        <w:t xml:space="preserve">in a warm, semi-arid terroir. South African Journal of </w:t>
      </w:r>
      <w:proofErr w:type="spellStart"/>
      <w:r w:rsidRPr="00F35F25">
        <w:rPr>
          <w:b w:val="0"/>
        </w:rPr>
        <w:t>Enology</w:t>
      </w:r>
      <w:proofErr w:type="spellEnd"/>
      <w:r w:rsidRPr="00F35F25">
        <w:rPr>
          <w:b w:val="0"/>
        </w:rPr>
        <w:t xml:space="preserve"> and Viticulture</w:t>
      </w:r>
      <w:r w:rsidR="00722EFF" w:rsidRPr="00F35F25">
        <w:rPr>
          <w:b w:val="0"/>
        </w:rPr>
        <w:t>,</w:t>
      </w:r>
      <w:r w:rsidRPr="00F35F25">
        <w:rPr>
          <w:b w:val="0"/>
        </w:rPr>
        <w:t xml:space="preserve"> 31, 58</w:t>
      </w:r>
      <w:r w:rsidRPr="00F35F25">
        <w:rPr>
          <w:rFonts w:hint="eastAsia"/>
          <w:b w:val="0"/>
        </w:rPr>
        <w:t>–</w:t>
      </w:r>
      <w:r w:rsidRPr="00F35F25">
        <w:rPr>
          <w:b w:val="0"/>
        </w:rPr>
        <w:t>63</w:t>
      </w:r>
      <w:r w:rsidR="00722EFF" w:rsidRPr="00F35F25">
        <w:rPr>
          <w:b w:val="0"/>
        </w:rPr>
        <w:t>.</w:t>
      </w:r>
    </w:p>
    <w:p w14:paraId="6DE2595C" w14:textId="77777777" w:rsidR="00E87BDD" w:rsidRPr="00F35F25" w:rsidRDefault="00E87BDD" w:rsidP="0067314F">
      <w:pPr>
        <w:pStyle w:val="CETReference"/>
        <w:spacing w:before="0" w:after="0"/>
        <w:jc w:val="both"/>
        <w:rPr>
          <w:b w:val="0"/>
        </w:rPr>
      </w:pPr>
      <w:proofErr w:type="spellStart"/>
      <w:r w:rsidRPr="00F35F25">
        <w:rPr>
          <w:b w:val="0"/>
        </w:rPr>
        <w:t>Diban</w:t>
      </w:r>
      <w:proofErr w:type="spellEnd"/>
      <w:r w:rsidRPr="00F35F25">
        <w:rPr>
          <w:b w:val="0"/>
        </w:rPr>
        <w:t xml:space="preserve"> N., </w:t>
      </w:r>
      <w:proofErr w:type="spellStart"/>
      <w:r w:rsidRPr="00F35F25">
        <w:rPr>
          <w:b w:val="0"/>
        </w:rPr>
        <w:t>Arruti</w:t>
      </w:r>
      <w:proofErr w:type="spellEnd"/>
      <w:r w:rsidRPr="00F35F25">
        <w:rPr>
          <w:b w:val="0"/>
        </w:rPr>
        <w:t xml:space="preserve"> A., Barcelo A., </w:t>
      </w:r>
      <w:proofErr w:type="spellStart"/>
      <w:r w:rsidRPr="00F35F25">
        <w:rPr>
          <w:b w:val="0"/>
        </w:rPr>
        <w:t>Puxeu</w:t>
      </w:r>
      <w:proofErr w:type="spellEnd"/>
      <w:r w:rsidRPr="00F35F25">
        <w:rPr>
          <w:b w:val="0"/>
        </w:rPr>
        <w:t xml:space="preserve"> M., </w:t>
      </w:r>
      <w:proofErr w:type="spellStart"/>
      <w:r w:rsidRPr="00F35F25">
        <w:rPr>
          <w:b w:val="0"/>
        </w:rPr>
        <w:t>Urtiaga</w:t>
      </w:r>
      <w:proofErr w:type="spellEnd"/>
      <w:r w:rsidRPr="00F35F25">
        <w:rPr>
          <w:b w:val="0"/>
        </w:rPr>
        <w:t xml:space="preserve"> A., Ortiz, I., 2013, Membrane dealcoholization of different wine varieties reducing aroma losses. </w:t>
      </w:r>
      <w:proofErr w:type="spellStart"/>
      <w:r w:rsidRPr="00F35F25">
        <w:rPr>
          <w:b w:val="0"/>
        </w:rPr>
        <w:t>Modeling</w:t>
      </w:r>
      <w:proofErr w:type="spellEnd"/>
      <w:r w:rsidRPr="00F35F25">
        <w:rPr>
          <w:b w:val="0"/>
        </w:rPr>
        <w:t xml:space="preserve"> and experimental validation. Innovative Food Science and Emerging Technologies, 20, 259–268.</w:t>
      </w:r>
    </w:p>
    <w:p w14:paraId="1F8B1B54" w14:textId="77777777" w:rsidR="00585D97" w:rsidRPr="00F35F25" w:rsidRDefault="00585D97" w:rsidP="0067314F">
      <w:pPr>
        <w:pStyle w:val="CETReference"/>
        <w:spacing w:before="0" w:after="0"/>
        <w:jc w:val="both"/>
        <w:rPr>
          <w:b w:val="0"/>
        </w:rPr>
      </w:pPr>
      <w:proofErr w:type="spellStart"/>
      <w:r w:rsidRPr="00F35F25">
        <w:rPr>
          <w:b w:val="0"/>
        </w:rPr>
        <w:t>Ferrarini</w:t>
      </w:r>
      <w:proofErr w:type="spellEnd"/>
      <w:r w:rsidRPr="00F35F25">
        <w:rPr>
          <w:b w:val="0"/>
        </w:rPr>
        <w:t xml:space="preserve"> R., </w:t>
      </w:r>
      <w:proofErr w:type="spellStart"/>
      <w:r w:rsidRPr="00F35F25">
        <w:rPr>
          <w:b w:val="0"/>
        </w:rPr>
        <w:t>Ciman</w:t>
      </w:r>
      <w:proofErr w:type="spellEnd"/>
      <w:r w:rsidRPr="00F35F25">
        <w:rPr>
          <w:b w:val="0"/>
        </w:rPr>
        <w:t xml:space="preserve"> G.M., </w:t>
      </w:r>
      <w:proofErr w:type="spellStart"/>
      <w:r w:rsidRPr="00F35F25">
        <w:rPr>
          <w:b w:val="0"/>
        </w:rPr>
        <w:t>Camin</w:t>
      </w:r>
      <w:proofErr w:type="spellEnd"/>
      <w:r w:rsidRPr="00F35F25">
        <w:rPr>
          <w:b w:val="0"/>
        </w:rPr>
        <w:t xml:space="preserve"> F., Bandini S., </w:t>
      </w:r>
      <w:proofErr w:type="spellStart"/>
      <w:r w:rsidRPr="00F35F25">
        <w:rPr>
          <w:b w:val="0"/>
        </w:rPr>
        <w:t>Gostoli</w:t>
      </w:r>
      <w:proofErr w:type="spellEnd"/>
      <w:r w:rsidRPr="00F35F25">
        <w:rPr>
          <w:b w:val="0"/>
        </w:rPr>
        <w:t xml:space="preserve"> C., 2016, Variation of oxygen isotopic ratio during wine dealcoholisation by membrane contactors: experiments and modelling. Journal of Membrane Science, 498, 385–394.</w:t>
      </w:r>
    </w:p>
    <w:p w14:paraId="1DE4D92B" w14:textId="179063B9" w:rsidR="00580555" w:rsidRPr="00F35F25" w:rsidRDefault="00580555" w:rsidP="0067314F">
      <w:pPr>
        <w:pStyle w:val="CETReference"/>
        <w:spacing w:before="0" w:after="0"/>
        <w:jc w:val="both"/>
        <w:rPr>
          <w:b w:val="0"/>
          <w:lang w:val="it-IT"/>
        </w:rPr>
      </w:pPr>
      <w:r w:rsidRPr="00F35F25">
        <w:rPr>
          <w:b w:val="0"/>
          <w:lang w:val="en-US"/>
        </w:rPr>
        <w:t xml:space="preserve">Glories Y, 1984, La </w:t>
      </w:r>
      <w:proofErr w:type="spellStart"/>
      <w:r w:rsidRPr="00F35F25">
        <w:rPr>
          <w:b w:val="0"/>
          <w:lang w:val="en-US"/>
        </w:rPr>
        <w:t>couleur</w:t>
      </w:r>
      <w:proofErr w:type="spellEnd"/>
      <w:r w:rsidRPr="00F35F25">
        <w:rPr>
          <w:b w:val="0"/>
          <w:lang w:val="en-US"/>
        </w:rPr>
        <w:t xml:space="preserve"> des </w:t>
      </w:r>
      <w:proofErr w:type="spellStart"/>
      <w:r w:rsidRPr="00F35F25">
        <w:rPr>
          <w:b w:val="0"/>
          <w:lang w:val="en-US"/>
        </w:rPr>
        <w:t>vins</w:t>
      </w:r>
      <w:proofErr w:type="spellEnd"/>
      <w:r w:rsidRPr="00F35F25">
        <w:rPr>
          <w:b w:val="0"/>
          <w:lang w:val="en-US"/>
        </w:rPr>
        <w:t xml:space="preserve"> rouges. </w:t>
      </w:r>
      <w:r w:rsidRPr="00F35F25">
        <w:rPr>
          <w:b w:val="0"/>
          <w:lang w:val="it-IT"/>
        </w:rPr>
        <w:t xml:space="preserve">2e‘me </w:t>
      </w:r>
      <w:proofErr w:type="spellStart"/>
      <w:r w:rsidRPr="00F35F25">
        <w:rPr>
          <w:b w:val="0"/>
          <w:lang w:val="it-IT"/>
        </w:rPr>
        <w:t>partie</w:t>
      </w:r>
      <w:proofErr w:type="spellEnd"/>
      <w:r w:rsidRPr="00F35F25">
        <w:rPr>
          <w:b w:val="0"/>
          <w:lang w:val="it-IT"/>
        </w:rPr>
        <w:t xml:space="preserve">. </w:t>
      </w:r>
      <w:proofErr w:type="spellStart"/>
      <w:r w:rsidRPr="00F35F25">
        <w:rPr>
          <w:b w:val="0"/>
          <w:lang w:val="it-IT"/>
        </w:rPr>
        <w:t>Connaissance</w:t>
      </w:r>
      <w:proofErr w:type="spellEnd"/>
      <w:r w:rsidRPr="00F35F25">
        <w:rPr>
          <w:b w:val="0"/>
          <w:lang w:val="it-IT"/>
        </w:rPr>
        <w:t xml:space="preserve"> de la Vigne et </w:t>
      </w:r>
      <w:proofErr w:type="spellStart"/>
      <w:r w:rsidRPr="00F35F25">
        <w:rPr>
          <w:b w:val="0"/>
          <w:lang w:val="it-IT"/>
        </w:rPr>
        <w:t>du</w:t>
      </w:r>
      <w:proofErr w:type="spellEnd"/>
      <w:r w:rsidRPr="00F35F25">
        <w:rPr>
          <w:b w:val="0"/>
          <w:lang w:val="it-IT"/>
        </w:rPr>
        <w:t xml:space="preserve"> Vin, 18, 253–271.</w:t>
      </w:r>
    </w:p>
    <w:p w14:paraId="54F4652E" w14:textId="29A89D39" w:rsidR="00600FBE" w:rsidRDefault="00600FBE" w:rsidP="0067314F">
      <w:pPr>
        <w:pStyle w:val="CETReference"/>
        <w:spacing w:before="0" w:after="0"/>
        <w:jc w:val="both"/>
        <w:rPr>
          <w:b w:val="0"/>
        </w:rPr>
      </w:pPr>
      <w:proofErr w:type="spellStart"/>
      <w:r w:rsidRPr="00F35F25">
        <w:rPr>
          <w:b w:val="0"/>
        </w:rPr>
        <w:t>Liguori</w:t>
      </w:r>
      <w:proofErr w:type="spellEnd"/>
      <w:r w:rsidRPr="00F35F25">
        <w:rPr>
          <w:b w:val="0"/>
        </w:rPr>
        <w:t xml:space="preserve"> L., Russo P., Albanese D., </w:t>
      </w:r>
      <w:r w:rsidR="00585D97" w:rsidRPr="00F35F25">
        <w:rPr>
          <w:b w:val="0"/>
        </w:rPr>
        <w:t xml:space="preserve">Di Matteo M., </w:t>
      </w:r>
      <w:r w:rsidRPr="00F35F25">
        <w:rPr>
          <w:b w:val="0"/>
        </w:rPr>
        <w:t>2018</w:t>
      </w:r>
      <w:r w:rsidR="00F35F25">
        <w:rPr>
          <w:b w:val="0"/>
        </w:rPr>
        <w:t>a</w:t>
      </w:r>
      <w:r w:rsidR="00585D97" w:rsidRPr="00F35F25">
        <w:rPr>
          <w:b w:val="0"/>
        </w:rPr>
        <w:t>,</w:t>
      </w:r>
      <w:r w:rsidRPr="00F35F25">
        <w:rPr>
          <w:b w:val="0"/>
        </w:rPr>
        <w:t xml:space="preserve"> Production of low alcohol beverages with increased sensory characteristics, Chapter In: AM.</w:t>
      </w:r>
      <w:r w:rsidR="00BC5F39" w:rsidRPr="00F35F25">
        <w:rPr>
          <w:b w:val="0"/>
        </w:rPr>
        <w:t xml:space="preserve"> </w:t>
      </w:r>
      <w:proofErr w:type="spellStart"/>
      <w:r w:rsidRPr="00F35F25">
        <w:rPr>
          <w:b w:val="0"/>
        </w:rPr>
        <w:t>Grumezescu</w:t>
      </w:r>
      <w:proofErr w:type="spellEnd"/>
      <w:r w:rsidRPr="00F35F25">
        <w:rPr>
          <w:b w:val="0"/>
        </w:rPr>
        <w:t xml:space="preserve">, AM </w:t>
      </w:r>
      <w:proofErr w:type="spellStart"/>
      <w:r w:rsidRPr="00F35F25">
        <w:rPr>
          <w:b w:val="0"/>
        </w:rPr>
        <w:t>Holban</w:t>
      </w:r>
      <w:proofErr w:type="spellEnd"/>
      <w:r w:rsidRPr="00F35F25">
        <w:rPr>
          <w:b w:val="0"/>
        </w:rPr>
        <w:t xml:space="preserve"> (Eds.), Food processing for increased quality and consumption, Elsevier Inc., San Diego CA, 347</w:t>
      </w:r>
      <w:r w:rsidR="00585D97" w:rsidRPr="00F35F25">
        <w:rPr>
          <w:b w:val="0"/>
        </w:rPr>
        <w:t>–</w:t>
      </w:r>
      <w:r w:rsidRPr="00F35F25">
        <w:rPr>
          <w:b w:val="0"/>
        </w:rPr>
        <w:t>382.</w:t>
      </w:r>
    </w:p>
    <w:p w14:paraId="639C7BC8" w14:textId="44A44EFA" w:rsidR="00F35F25" w:rsidRDefault="00F35F25" w:rsidP="00F35F25">
      <w:pPr>
        <w:pStyle w:val="CETBodytext"/>
        <w:rPr>
          <w:lang w:val="en-GB"/>
        </w:rPr>
      </w:pPr>
      <w:proofErr w:type="spellStart"/>
      <w:r w:rsidRPr="000577F6">
        <w:t>Liguori</w:t>
      </w:r>
      <w:proofErr w:type="spellEnd"/>
      <w:r w:rsidRPr="000577F6">
        <w:t xml:space="preserve"> L, De Francesco G, Albanese D, </w:t>
      </w:r>
      <w:proofErr w:type="spellStart"/>
      <w:r w:rsidRPr="000577F6">
        <w:t>Mincione</w:t>
      </w:r>
      <w:proofErr w:type="spellEnd"/>
      <w:r w:rsidRPr="000577F6">
        <w:t xml:space="preserve"> A, </w:t>
      </w:r>
      <w:proofErr w:type="spellStart"/>
      <w:r w:rsidRPr="000577F6">
        <w:t>Perretti</w:t>
      </w:r>
      <w:proofErr w:type="spellEnd"/>
      <w:r w:rsidRPr="000577F6">
        <w:t xml:space="preserve"> G, Di </w:t>
      </w:r>
      <w:proofErr w:type="spellStart"/>
      <w:r w:rsidRPr="000577F6">
        <w:t>Matteo</w:t>
      </w:r>
      <w:proofErr w:type="spellEnd"/>
      <w:r w:rsidRPr="000577F6">
        <w:t xml:space="preserve"> M, Russo P, 2018</w:t>
      </w:r>
      <w:r>
        <w:t>b</w:t>
      </w:r>
      <w:bookmarkStart w:id="1" w:name="_GoBack"/>
      <w:bookmarkEnd w:id="1"/>
      <w:r w:rsidRPr="000577F6">
        <w:t xml:space="preserve">, </w:t>
      </w:r>
      <w:r w:rsidRPr="00C24DC4">
        <w:rPr>
          <w:lang w:val="en-GB"/>
        </w:rPr>
        <w:t>Impact of Osmotic Distillation on the Sensory Properties and Quality of Low Alcohol Beer. J</w:t>
      </w:r>
      <w:r>
        <w:rPr>
          <w:lang w:val="en-GB"/>
        </w:rPr>
        <w:t>ournal of</w:t>
      </w:r>
      <w:r w:rsidRPr="00C24DC4">
        <w:rPr>
          <w:lang w:val="en-GB"/>
        </w:rPr>
        <w:t xml:space="preserve"> Food Quality, Article ID 8780725, </w:t>
      </w:r>
      <w:hyperlink r:id="rId13" w:history="1">
        <w:r w:rsidRPr="000577F6">
          <w:rPr>
            <w:rStyle w:val="Collegamentoipertestuale"/>
            <w:color w:val="auto"/>
            <w:u w:val="none"/>
            <w:lang w:val="en-GB"/>
          </w:rPr>
          <w:t>https://doi.org/10.1155/2018/8780725</w:t>
        </w:r>
      </w:hyperlink>
      <w:r w:rsidRPr="000577F6">
        <w:rPr>
          <w:lang w:val="en-GB"/>
        </w:rPr>
        <w:t>.</w:t>
      </w:r>
    </w:p>
    <w:p w14:paraId="3437B4A1" w14:textId="1D80C45E" w:rsidR="00722EFF" w:rsidRPr="00F35F25" w:rsidRDefault="00722EFF" w:rsidP="0067314F">
      <w:pPr>
        <w:pStyle w:val="CETReference"/>
        <w:spacing w:before="0" w:after="0"/>
        <w:jc w:val="both"/>
        <w:rPr>
          <w:b w:val="0"/>
        </w:rPr>
      </w:pPr>
      <w:proofErr w:type="spellStart"/>
      <w:r w:rsidRPr="00F35F25">
        <w:rPr>
          <w:b w:val="0"/>
          <w:lang w:val="en-US"/>
        </w:rPr>
        <w:t>Liguori</w:t>
      </w:r>
      <w:proofErr w:type="spellEnd"/>
      <w:r w:rsidRPr="00F35F25">
        <w:rPr>
          <w:b w:val="0"/>
          <w:lang w:val="en-US"/>
        </w:rPr>
        <w:t xml:space="preserve"> L., De Francesco G., Russo P., </w:t>
      </w:r>
      <w:proofErr w:type="spellStart"/>
      <w:r w:rsidRPr="00F35F25">
        <w:rPr>
          <w:b w:val="0"/>
          <w:lang w:val="en-US"/>
        </w:rPr>
        <w:t>Perretti</w:t>
      </w:r>
      <w:proofErr w:type="spellEnd"/>
      <w:r w:rsidRPr="00F35F25">
        <w:rPr>
          <w:b w:val="0"/>
          <w:lang w:val="en-US"/>
        </w:rPr>
        <w:t xml:space="preserve"> G., Albanese D., Di Matteo M., 2016, </w:t>
      </w:r>
      <w:r w:rsidRPr="00F35F25">
        <w:rPr>
          <w:b w:val="0"/>
        </w:rPr>
        <w:t>Quality attributes of low-alcohol top-fermented beers produced by membrane contactor, Food and Bioprocess Technology, 9, 191–200.</w:t>
      </w:r>
    </w:p>
    <w:p w14:paraId="3EDA75B2" w14:textId="5DBF17CF" w:rsidR="003E4ECD" w:rsidRPr="00F35F25" w:rsidRDefault="003E4ECD" w:rsidP="0067314F">
      <w:pPr>
        <w:pStyle w:val="CETReference"/>
        <w:spacing w:before="0" w:after="0"/>
        <w:jc w:val="both"/>
        <w:rPr>
          <w:b w:val="0"/>
        </w:rPr>
      </w:pPr>
      <w:r w:rsidRPr="00F35F25">
        <w:rPr>
          <w:b w:val="0"/>
        </w:rPr>
        <w:t xml:space="preserve">Liguori L., De Francesco G., Russo P., Albanese D., </w:t>
      </w:r>
      <w:proofErr w:type="spellStart"/>
      <w:r w:rsidRPr="00F35F25">
        <w:rPr>
          <w:b w:val="0"/>
        </w:rPr>
        <w:t>Perretti</w:t>
      </w:r>
      <w:proofErr w:type="spellEnd"/>
      <w:r w:rsidRPr="00F35F25">
        <w:rPr>
          <w:b w:val="0"/>
        </w:rPr>
        <w:t xml:space="preserve"> G., Di Matteo M., 2015, Quality improvement of low craft beer produced by evaporative </w:t>
      </w:r>
      <w:proofErr w:type="spellStart"/>
      <w:r w:rsidRPr="00F35F25">
        <w:rPr>
          <w:b w:val="0"/>
        </w:rPr>
        <w:t>pertraction</w:t>
      </w:r>
      <w:proofErr w:type="spellEnd"/>
      <w:r w:rsidRPr="00F35F25">
        <w:rPr>
          <w:b w:val="0"/>
        </w:rPr>
        <w:t xml:space="preserve">, Chemical Engineering </w:t>
      </w:r>
      <w:r w:rsidR="000C16DC" w:rsidRPr="00F35F25">
        <w:rPr>
          <w:b w:val="0"/>
        </w:rPr>
        <w:t>Transactions</w:t>
      </w:r>
      <w:r w:rsidRPr="00F35F25">
        <w:rPr>
          <w:b w:val="0"/>
        </w:rPr>
        <w:t>, 43, 13–18.</w:t>
      </w:r>
    </w:p>
    <w:p w14:paraId="5DE1FB4A" w14:textId="77777777" w:rsidR="005531BA" w:rsidRPr="00F35F25" w:rsidRDefault="005531BA" w:rsidP="0067314F">
      <w:pPr>
        <w:pStyle w:val="CETReference"/>
        <w:spacing w:before="0" w:after="0"/>
        <w:jc w:val="both"/>
        <w:rPr>
          <w:b w:val="0"/>
        </w:rPr>
      </w:pPr>
      <w:r w:rsidRPr="00F35F25">
        <w:rPr>
          <w:b w:val="0"/>
        </w:rPr>
        <w:t>Liguori L., Russo P., Albanese D., Di Matteo M., 2013, Evolution of quality parameters during red wine dealcoholization by osmotic distillation. Food Chemistry, 140, 68–75.</w:t>
      </w:r>
    </w:p>
    <w:p w14:paraId="4172269E" w14:textId="2BFF495D" w:rsidR="005531BA" w:rsidRPr="00F35F25" w:rsidRDefault="005531BA" w:rsidP="0067314F">
      <w:pPr>
        <w:pStyle w:val="CETReference"/>
        <w:spacing w:before="0" w:after="0"/>
        <w:jc w:val="both"/>
        <w:rPr>
          <w:b w:val="0"/>
        </w:rPr>
      </w:pPr>
      <w:proofErr w:type="spellStart"/>
      <w:r w:rsidRPr="00F35F25">
        <w:rPr>
          <w:b w:val="0"/>
        </w:rPr>
        <w:t>Lisanti</w:t>
      </w:r>
      <w:proofErr w:type="spellEnd"/>
      <w:r w:rsidRPr="00F35F25">
        <w:rPr>
          <w:b w:val="0"/>
        </w:rPr>
        <w:t xml:space="preserve"> MT., </w:t>
      </w:r>
      <w:proofErr w:type="spellStart"/>
      <w:r w:rsidRPr="00F35F25">
        <w:rPr>
          <w:b w:val="0"/>
        </w:rPr>
        <w:t>Gambuti</w:t>
      </w:r>
      <w:proofErr w:type="spellEnd"/>
      <w:r w:rsidRPr="00F35F25">
        <w:rPr>
          <w:b w:val="0"/>
        </w:rPr>
        <w:t xml:space="preserve"> A., Genovese A., </w:t>
      </w:r>
      <w:proofErr w:type="spellStart"/>
      <w:r w:rsidRPr="00F35F25">
        <w:rPr>
          <w:b w:val="0"/>
        </w:rPr>
        <w:t>Piombino</w:t>
      </w:r>
      <w:proofErr w:type="spellEnd"/>
      <w:r w:rsidRPr="00F35F25">
        <w:rPr>
          <w:b w:val="0"/>
        </w:rPr>
        <w:t xml:space="preserve"> P., </w:t>
      </w:r>
      <w:proofErr w:type="spellStart"/>
      <w:r w:rsidRPr="00F35F25">
        <w:rPr>
          <w:b w:val="0"/>
        </w:rPr>
        <w:t>Moio</w:t>
      </w:r>
      <w:proofErr w:type="spellEnd"/>
      <w:r w:rsidRPr="00F35F25">
        <w:rPr>
          <w:b w:val="0"/>
        </w:rPr>
        <w:t xml:space="preserve"> L., 2013, Partial dealcoholization of red wines by membrane contactor technique: Effect on sensory characteristics and volatile composition. Food and Bioprocess Technology</w:t>
      </w:r>
      <w:r w:rsidR="00722EFF" w:rsidRPr="00F35F25">
        <w:rPr>
          <w:b w:val="0"/>
        </w:rPr>
        <w:t>,</w:t>
      </w:r>
      <w:r w:rsidRPr="00F35F25">
        <w:rPr>
          <w:b w:val="0"/>
        </w:rPr>
        <w:t xml:space="preserve"> 6, 9, 2289-2305.</w:t>
      </w:r>
    </w:p>
    <w:p w14:paraId="534041FB" w14:textId="24DC32B7" w:rsidR="00BC37D5" w:rsidRPr="00F35F25" w:rsidRDefault="00BC37D5" w:rsidP="0067314F">
      <w:pPr>
        <w:pStyle w:val="CETReference"/>
        <w:spacing w:before="0" w:after="0"/>
        <w:rPr>
          <w:b w:val="0"/>
        </w:rPr>
      </w:pPr>
      <w:r w:rsidRPr="00F35F25">
        <w:rPr>
          <w:b w:val="0"/>
        </w:rPr>
        <w:t xml:space="preserve">Longo R., Blackman J.W., </w:t>
      </w:r>
      <w:proofErr w:type="spellStart"/>
      <w:r w:rsidRPr="00F35F25">
        <w:rPr>
          <w:b w:val="0"/>
        </w:rPr>
        <w:t>Antalick</w:t>
      </w:r>
      <w:proofErr w:type="spellEnd"/>
      <w:r w:rsidRPr="00F35F25">
        <w:rPr>
          <w:b w:val="0"/>
        </w:rPr>
        <w:t xml:space="preserve"> G., </w:t>
      </w:r>
      <w:proofErr w:type="spellStart"/>
      <w:r w:rsidRPr="00F35F25">
        <w:rPr>
          <w:b w:val="0"/>
        </w:rPr>
        <w:t>Torley</w:t>
      </w:r>
      <w:proofErr w:type="spellEnd"/>
      <w:r w:rsidRPr="00F35F25">
        <w:rPr>
          <w:b w:val="0"/>
        </w:rPr>
        <w:t xml:space="preserve"> P.J., </w:t>
      </w:r>
      <w:proofErr w:type="spellStart"/>
      <w:r w:rsidRPr="00F35F25">
        <w:rPr>
          <w:b w:val="0"/>
        </w:rPr>
        <w:t>Rogiers</w:t>
      </w:r>
      <w:proofErr w:type="spellEnd"/>
      <w:r w:rsidRPr="00F35F25">
        <w:rPr>
          <w:b w:val="0"/>
        </w:rPr>
        <w:t xml:space="preserve"> S.Y., </w:t>
      </w:r>
      <w:proofErr w:type="spellStart"/>
      <w:r w:rsidRPr="00F35F25">
        <w:rPr>
          <w:b w:val="0"/>
        </w:rPr>
        <w:t>Schmidtke</w:t>
      </w:r>
      <w:proofErr w:type="spellEnd"/>
      <w:r w:rsidRPr="00F35F25">
        <w:rPr>
          <w:b w:val="0"/>
        </w:rPr>
        <w:t xml:space="preserve"> L.M.</w:t>
      </w:r>
      <w:r w:rsidR="00722EFF" w:rsidRPr="00F35F25">
        <w:rPr>
          <w:b w:val="0"/>
        </w:rPr>
        <w:t xml:space="preserve">, </w:t>
      </w:r>
      <w:r w:rsidRPr="00F35F25">
        <w:rPr>
          <w:b w:val="0"/>
        </w:rPr>
        <w:t>2018</w:t>
      </w:r>
      <w:r w:rsidR="00722EFF" w:rsidRPr="00F35F25">
        <w:rPr>
          <w:b w:val="0"/>
        </w:rPr>
        <w:t xml:space="preserve">, </w:t>
      </w:r>
      <w:r w:rsidRPr="00F35F25">
        <w:rPr>
          <w:b w:val="0"/>
        </w:rPr>
        <w:t>A comparative study of partial dealcoholisation versus early harvest: Effects on wine volatile and sensory profiles. Food Chemistry, 261, 21-29.</w:t>
      </w:r>
    </w:p>
    <w:p w14:paraId="63301811" w14:textId="77777777" w:rsidR="00BC37D5" w:rsidRPr="00F35F25" w:rsidRDefault="005531BA" w:rsidP="0067314F">
      <w:pPr>
        <w:pStyle w:val="CETReference"/>
        <w:spacing w:before="0" w:after="0"/>
        <w:jc w:val="both"/>
        <w:rPr>
          <w:b w:val="0"/>
        </w:rPr>
      </w:pPr>
      <w:r w:rsidRPr="00F35F25">
        <w:rPr>
          <w:b w:val="0"/>
        </w:rPr>
        <w:t xml:space="preserve">Longo R., Blackman J.W., </w:t>
      </w:r>
      <w:proofErr w:type="spellStart"/>
      <w:r w:rsidRPr="00F35F25">
        <w:rPr>
          <w:b w:val="0"/>
        </w:rPr>
        <w:t>Torley</w:t>
      </w:r>
      <w:proofErr w:type="spellEnd"/>
      <w:r w:rsidRPr="00F35F25">
        <w:rPr>
          <w:b w:val="0"/>
        </w:rPr>
        <w:t xml:space="preserve"> P.J., </w:t>
      </w:r>
      <w:proofErr w:type="spellStart"/>
      <w:r w:rsidRPr="00F35F25">
        <w:rPr>
          <w:b w:val="0"/>
        </w:rPr>
        <w:t>Rogiers</w:t>
      </w:r>
      <w:proofErr w:type="spellEnd"/>
      <w:r w:rsidRPr="00F35F25">
        <w:rPr>
          <w:b w:val="0"/>
        </w:rPr>
        <w:t xml:space="preserve"> S.Y, </w:t>
      </w:r>
      <w:proofErr w:type="spellStart"/>
      <w:r w:rsidRPr="00F35F25">
        <w:rPr>
          <w:b w:val="0"/>
        </w:rPr>
        <w:t>Schmidtke</w:t>
      </w:r>
      <w:proofErr w:type="spellEnd"/>
      <w:r w:rsidRPr="00F35F25">
        <w:rPr>
          <w:b w:val="0"/>
        </w:rPr>
        <w:t xml:space="preserve"> L.M., 2017, Changes in volatile composition and sensory attributes of wines during alcohol content reduction. Journal of the Science of Food and Agriculture, 97, 8-16.</w:t>
      </w:r>
    </w:p>
    <w:p w14:paraId="656639F7" w14:textId="278B166A" w:rsidR="00580555" w:rsidRPr="00F35F25" w:rsidRDefault="00580555" w:rsidP="0067314F">
      <w:pPr>
        <w:pStyle w:val="CETReference"/>
        <w:spacing w:before="0" w:after="0"/>
        <w:jc w:val="both"/>
        <w:rPr>
          <w:b w:val="0"/>
        </w:rPr>
      </w:pPr>
      <w:r w:rsidRPr="00F35F25">
        <w:rPr>
          <w:b w:val="0"/>
        </w:rPr>
        <w:lastRenderedPageBreak/>
        <w:t xml:space="preserve">OIV, 2007, Compendium of International Methods of Analysis of Wine and Must Office International de la </w:t>
      </w:r>
      <w:proofErr w:type="spellStart"/>
      <w:r w:rsidRPr="00F35F25">
        <w:rPr>
          <w:b w:val="0"/>
        </w:rPr>
        <w:t>Vigne</w:t>
      </w:r>
      <w:proofErr w:type="spellEnd"/>
      <w:r w:rsidRPr="00F35F25">
        <w:rPr>
          <w:b w:val="0"/>
        </w:rPr>
        <w:t xml:space="preserve"> et du Vin, Paris.</w:t>
      </w:r>
    </w:p>
    <w:p w14:paraId="471834DE" w14:textId="5669D44D" w:rsidR="00585D97" w:rsidRPr="00F35F25" w:rsidRDefault="00585D97" w:rsidP="0067314F">
      <w:pPr>
        <w:pStyle w:val="CETReference"/>
        <w:spacing w:before="0" w:after="0"/>
        <w:jc w:val="both"/>
        <w:rPr>
          <w:b w:val="0"/>
        </w:rPr>
      </w:pPr>
      <w:r w:rsidRPr="00F35F25">
        <w:rPr>
          <w:b w:val="0"/>
        </w:rPr>
        <w:t xml:space="preserve">Russo P., Liguori L., Albanese D., </w:t>
      </w:r>
      <w:proofErr w:type="spellStart"/>
      <w:r w:rsidRPr="00F35F25">
        <w:rPr>
          <w:b w:val="0"/>
        </w:rPr>
        <w:t>Crescitelli</w:t>
      </w:r>
      <w:proofErr w:type="spellEnd"/>
      <w:r w:rsidRPr="00F35F25">
        <w:rPr>
          <w:b w:val="0"/>
        </w:rPr>
        <w:t xml:space="preserve"> A., Di Matteo M., 2013, Investigation of osmotic distillation technique for beer dealcoholization. Chemical Engineering </w:t>
      </w:r>
      <w:r w:rsidR="000C16DC" w:rsidRPr="00F35F25">
        <w:rPr>
          <w:b w:val="0"/>
        </w:rPr>
        <w:t>Transactions</w:t>
      </w:r>
      <w:r w:rsidRPr="00F35F25">
        <w:rPr>
          <w:b w:val="0"/>
        </w:rPr>
        <w:t>, 32, 1735–1740.</w:t>
      </w:r>
    </w:p>
    <w:p w14:paraId="06B109AF" w14:textId="77777777" w:rsidR="00156074" w:rsidRPr="00F35F25" w:rsidRDefault="00156074" w:rsidP="0067314F">
      <w:pPr>
        <w:pStyle w:val="CETReference"/>
        <w:spacing w:before="0" w:after="0"/>
        <w:jc w:val="both"/>
        <w:rPr>
          <w:b w:val="0"/>
        </w:rPr>
      </w:pPr>
      <w:r w:rsidRPr="00F35F25">
        <w:rPr>
          <w:b w:val="0"/>
        </w:rPr>
        <w:t>Sánchez-</w:t>
      </w:r>
      <w:proofErr w:type="spellStart"/>
      <w:r w:rsidRPr="00F35F25">
        <w:rPr>
          <w:b w:val="0"/>
        </w:rPr>
        <w:t>Palomo</w:t>
      </w:r>
      <w:proofErr w:type="spellEnd"/>
      <w:r w:rsidRPr="00F35F25">
        <w:rPr>
          <w:b w:val="0"/>
        </w:rPr>
        <w:t xml:space="preserve"> E., Gómez </w:t>
      </w:r>
      <w:proofErr w:type="spellStart"/>
      <w:r w:rsidRPr="00F35F25">
        <w:rPr>
          <w:b w:val="0"/>
        </w:rPr>
        <w:t>García-Carpintero</w:t>
      </w:r>
      <w:proofErr w:type="spellEnd"/>
      <w:r w:rsidRPr="00F35F25">
        <w:rPr>
          <w:b w:val="0"/>
        </w:rPr>
        <w:t xml:space="preserve"> E., González </w:t>
      </w:r>
      <w:proofErr w:type="spellStart"/>
      <w:r w:rsidRPr="00F35F25">
        <w:rPr>
          <w:b w:val="0"/>
        </w:rPr>
        <w:t>Viñas</w:t>
      </w:r>
      <w:proofErr w:type="spellEnd"/>
      <w:r w:rsidRPr="00F35F25">
        <w:rPr>
          <w:b w:val="0"/>
        </w:rPr>
        <w:t xml:space="preserve"> M.A., 2015, Aroma Fingerprint Characterisation of La Mancha Red Wines. South African Journal of </w:t>
      </w:r>
      <w:proofErr w:type="spellStart"/>
      <w:r w:rsidRPr="00F35F25">
        <w:rPr>
          <w:b w:val="0"/>
        </w:rPr>
        <w:t>Enology</w:t>
      </w:r>
      <w:proofErr w:type="spellEnd"/>
      <w:r w:rsidRPr="00F35F25">
        <w:rPr>
          <w:b w:val="0"/>
        </w:rPr>
        <w:t xml:space="preserve"> and Viticulture, 36, 117-125.</w:t>
      </w:r>
    </w:p>
    <w:p w14:paraId="50CD3AAA" w14:textId="77777777" w:rsidR="00814361" w:rsidRPr="00F35F25" w:rsidRDefault="00600FBE" w:rsidP="0067314F">
      <w:pPr>
        <w:pStyle w:val="CETReference"/>
        <w:spacing w:before="0" w:after="0"/>
        <w:jc w:val="both"/>
        <w:rPr>
          <w:b w:val="0"/>
        </w:rPr>
      </w:pPr>
      <w:proofErr w:type="spellStart"/>
      <w:r w:rsidRPr="00F35F25">
        <w:rPr>
          <w:b w:val="0"/>
        </w:rPr>
        <w:t>Schmidtke</w:t>
      </w:r>
      <w:proofErr w:type="spellEnd"/>
      <w:r w:rsidR="00814361" w:rsidRPr="00F35F25">
        <w:rPr>
          <w:b w:val="0"/>
        </w:rPr>
        <w:t xml:space="preserve"> L.M., Blackman J.W., </w:t>
      </w:r>
      <w:proofErr w:type="spellStart"/>
      <w:r w:rsidR="00814361" w:rsidRPr="00F35F25">
        <w:rPr>
          <w:b w:val="0"/>
        </w:rPr>
        <w:t>Agboola</w:t>
      </w:r>
      <w:proofErr w:type="spellEnd"/>
      <w:r w:rsidR="00814361" w:rsidRPr="00F35F25">
        <w:rPr>
          <w:b w:val="0"/>
        </w:rPr>
        <w:t xml:space="preserve"> S.O., 2012</w:t>
      </w:r>
      <w:r w:rsidRPr="00F35F25">
        <w:rPr>
          <w:b w:val="0"/>
        </w:rPr>
        <w:t>,</w:t>
      </w:r>
      <w:r w:rsidR="00814361" w:rsidRPr="00F35F25">
        <w:rPr>
          <w:b w:val="0"/>
        </w:rPr>
        <w:t xml:space="preserve"> Production technologies for reduced alcoholic wines. J</w:t>
      </w:r>
      <w:r w:rsidRPr="00F35F25">
        <w:rPr>
          <w:b w:val="0"/>
        </w:rPr>
        <w:t xml:space="preserve">ournal of </w:t>
      </w:r>
      <w:r w:rsidR="00814361" w:rsidRPr="00F35F25">
        <w:rPr>
          <w:b w:val="0"/>
        </w:rPr>
        <w:t>Food Sci</w:t>
      </w:r>
      <w:r w:rsidRPr="00F35F25">
        <w:rPr>
          <w:b w:val="0"/>
        </w:rPr>
        <w:t>ence,</w:t>
      </w:r>
      <w:r w:rsidR="00814361" w:rsidRPr="00F35F25">
        <w:rPr>
          <w:b w:val="0"/>
        </w:rPr>
        <w:t xml:space="preserve"> 71, 1, 25–41.</w:t>
      </w:r>
    </w:p>
    <w:p w14:paraId="6F61789A" w14:textId="60541E26" w:rsidR="00580555" w:rsidRPr="00F35F25" w:rsidRDefault="00580555" w:rsidP="0067314F">
      <w:pPr>
        <w:pStyle w:val="CETReference"/>
        <w:spacing w:before="0" w:after="0"/>
        <w:jc w:val="both"/>
        <w:rPr>
          <w:b w:val="0"/>
        </w:rPr>
      </w:pPr>
      <w:r w:rsidRPr="00F35F25">
        <w:rPr>
          <w:b w:val="0"/>
        </w:rPr>
        <w:t xml:space="preserve">Singleton V., Rossi </w:t>
      </w:r>
      <w:proofErr w:type="spellStart"/>
      <w:r w:rsidRPr="00F35F25">
        <w:rPr>
          <w:b w:val="0"/>
        </w:rPr>
        <w:t>J.Jr</w:t>
      </w:r>
      <w:proofErr w:type="spellEnd"/>
      <w:r w:rsidRPr="00F35F25">
        <w:rPr>
          <w:b w:val="0"/>
        </w:rPr>
        <w:t xml:space="preserve">., 1965, Colorimetry of total </w:t>
      </w:r>
      <w:proofErr w:type="spellStart"/>
      <w:r w:rsidRPr="00F35F25">
        <w:rPr>
          <w:b w:val="0"/>
        </w:rPr>
        <w:t>phenolics</w:t>
      </w:r>
      <w:proofErr w:type="spellEnd"/>
      <w:r w:rsidRPr="00F35F25">
        <w:rPr>
          <w:b w:val="0"/>
        </w:rPr>
        <w:t xml:space="preserve"> with </w:t>
      </w:r>
      <w:proofErr w:type="spellStart"/>
      <w:r w:rsidRPr="00F35F25">
        <w:rPr>
          <w:b w:val="0"/>
        </w:rPr>
        <w:t>phosphomolybdic</w:t>
      </w:r>
      <w:proofErr w:type="spellEnd"/>
      <w:r w:rsidRPr="00F35F25">
        <w:rPr>
          <w:b w:val="0"/>
        </w:rPr>
        <w:t xml:space="preserve"> </w:t>
      </w:r>
      <w:proofErr w:type="spellStart"/>
      <w:r w:rsidRPr="00F35F25">
        <w:rPr>
          <w:b w:val="0"/>
        </w:rPr>
        <w:t>phosphotungstic</w:t>
      </w:r>
      <w:proofErr w:type="spellEnd"/>
      <w:r w:rsidRPr="00F35F25">
        <w:rPr>
          <w:b w:val="0"/>
        </w:rPr>
        <w:t xml:space="preserve"> acid reagents. American Journal of </w:t>
      </w:r>
      <w:proofErr w:type="spellStart"/>
      <w:r w:rsidRPr="00F35F25">
        <w:rPr>
          <w:b w:val="0"/>
        </w:rPr>
        <w:t>Enology</w:t>
      </w:r>
      <w:proofErr w:type="spellEnd"/>
      <w:r w:rsidRPr="00F35F25">
        <w:rPr>
          <w:b w:val="0"/>
        </w:rPr>
        <w:t xml:space="preserve"> and Viticulture, 16, 144–158.</w:t>
      </w:r>
    </w:p>
    <w:p w14:paraId="6C507F85" w14:textId="77777777" w:rsidR="00600FBE" w:rsidRPr="00F35F25" w:rsidRDefault="00600FBE" w:rsidP="0067314F">
      <w:pPr>
        <w:pStyle w:val="CETReference"/>
        <w:spacing w:before="0" w:after="0"/>
        <w:jc w:val="both"/>
        <w:rPr>
          <w:b w:val="0"/>
          <w:lang w:val="en-US"/>
        </w:rPr>
      </w:pPr>
      <w:r w:rsidRPr="00F35F25">
        <w:rPr>
          <w:b w:val="0"/>
          <w:lang w:val="en-US"/>
        </w:rPr>
        <w:t xml:space="preserve">Varela C., Dry P.R., </w:t>
      </w:r>
      <w:proofErr w:type="spellStart"/>
      <w:r w:rsidRPr="00F35F25">
        <w:rPr>
          <w:b w:val="0"/>
          <w:lang w:val="en-US"/>
        </w:rPr>
        <w:t>Kutyna</w:t>
      </w:r>
      <w:proofErr w:type="spellEnd"/>
      <w:r w:rsidRPr="00F35F25">
        <w:rPr>
          <w:b w:val="0"/>
          <w:lang w:val="en-US"/>
        </w:rPr>
        <w:t xml:space="preserve"> D.R., Francis I.L., </w:t>
      </w:r>
      <w:proofErr w:type="spellStart"/>
      <w:r w:rsidRPr="00F35F25">
        <w:rPr>
          <w:b w:val="0"/>
          <w:lang w:val="en-US"/>
        </w:rPr>
        <w:t>Henschke</w:t>
      </w:r>
      <w:proofErr w:type="spellEnd"/>
      <w:r w:rsidRPr="00F35F25">
        <w:rPr>
          <w:b w:val="0"/>
          <w:lang w:val="en-US"/>
        </w:rPr>
        <w:t xml:space="preserve"> P.A., Curtin C.D., Chambers P.J., 2015, Strategies for reducing alcohol concentration in wine. Australian Journal of Grape and Wine Research, 21, 670–679.</w:t>
      </w:r>
    </w:p>
    <w:p w14:paraId="532810E9" w14:textId="254F510D" w:rsidR="00580555" w:rsidRPr="00F35F25" w:rsidRDefault="00580555" w:rsidP="0067314F">
      <w:pPr>
        <w:pStyle w:val="CETReference"/>
        <w:spacing w:before="0" w:after="0"/>
        <w:jc w:val="both"/>
        <w:rPr>
          <w:b w:val="0"/>
          <w:lang w:val="en-US"/>
        </w:rPr>
      </w:pPr>
      <w:r w:rsidRPr="00F35F25">
        <w:rPr>
          <w:b w:val="0"/>
          <w:lang w:val="en-US"/>
        </w:rPr>
        <w:t>Wulf C.W., Nagel L.W., 1979, Changes in the anthocyanins, flavonoids and hydroxycinnamic acid esters during fermentation and aging of Merlot and Cabernet Sauvignon. American Journal of Enology and Viticulture, 30, 111–116.</w:t>
      </w:r>
    </w:p>
    <w:p w14:paraId="67390381" w14:textId="77777777" w:rsidR="006B4888" w:rsidRPr="00F35F25" w:rsidRDefault="00156074">
      <w:pPr>
        <w:pStyle w:val="CETReferencetext"/>
        <w:ind w:left="0" w:firstLine="0"/>
        <w:rPr>
          <w:lang w:val="en-US"/>
        </w:rPr>
      </w:pPr>
      <w:proofErr w:type="spellStart"/>
      <w:r w:rsidRPr="00F35F25">
        <w:rPr>
          <w:lang w:val="en-US"/>
        </w:rPr>
        <w:t>Zea</w:t>
      </w:r>
      <w:proofErr w:type="spellEnd"/>
      <w:r w:rsidRPr="00F35F25">
        <w:rPr>
          <w:lang w:val="en-US"/>
        </w:rPr>
        <w:t xml:space="preserve"> L., </w:t>
      </w:r>
      <w:proofErr w:type="spellStart"/>
      <w:r w:rsidRPr="00F35F25">
        <w:rPr>
          <w:lang w:val="en-US"/>
        </w:rPr>
        <w:t>Moyano</w:t>
      </w:r>
      <w:proofErr w:type="spellEnd"/>
      <w:r w:rsidRPr="00F35F25">
        <w:rPr>
          <w:lang w:val="en-US"/>
        </w:rPr>
        <w:t xml:space="preserve"> L., Moreno J.A., Medina M., 2007, Aroma series as fingerprints for biological ageing in </w:t>
      </w:r>
      <w:proofErr w:type="spellStart"/>
      <w:r w:rsidRPr="00F35F25">
        <w:rPr>
          <w:lang w:val="en-US"/>
        </w:rPr>
        <w:t>fino</w:t>
      </w:r>
      <w:proofErr w:type="spellEnd"/>
      <w:r w:rsidRPr="00F35F25">
        <w:rPr>
          <w:lang w:val="en-US"/>
        </w:rPr>
        <w:t xml:space="preserve"> sherry-type wines, Journal of the Science of Food and Agriculture, 87, 2319-2326.</w:t>
      </w:r>
    </w:p>
    <w:p w14:paraId="215E25BF" w14:textId="77777777" w:rsidR="004628D2" w:rsidRPr="00F35F25" w:rsidRDefault="004628D2" w:rsidP="00FA5F5F">
      <w:pPr>
        <w:pStyle w:val="CETHeading1"/>
        <w:numPr>
          <w:ilvl w:val="0"/>
          <w:numId w:val="0"/>
        </w:numPr>
      </w:pPr>
    </w:p>
    <w:sectPr w:rsidR="004628D2" w:rsidRPr="00F35F2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72752" w14:textId="77777777" w:rsidR="00BE5BE9" w:rsidRDefault="00BE5BE9" w:rsidP="004F5E36">
      <w:r>
        <w:separator/>
      </w:r>
    </w:p>
  </w:endnote>
  <w:endnote w:type="continuationSeparator" w:id="0">
    <w:p w14:paraId="4DC5A792" w14:textId="77777777" w:rsidR="00BE5BE9" w:rsidRDefault="00BE5BE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eridien-Roman">
    <w:altName w:val="Times New Roman"/>
    <w:panose1 w:val="00000000000000000000"/>
    <w:charset w:val="00"/>
    <w:family w:val="roman"/>
    <w:notTrueType/>
    <w:pitch w:val="default"/>
  </w:font>
  <w:font w:name="Meridien-Bold">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01A3B" w14:textId="77777777" w:rsidR="00BE5BE9" w:rsidRDefault="00BE5BE9" w:rsidP="004F5E36">
      <w:r>
        <w:separator/>
      </w:r>
    </w:p>
  </w:footnote>
  <w:footnote w:type="continuationSeparator" w:id="0">
    <w:p w14:paraId="1535FEDD" w14:textId="77777777" w:rsidR="00BE5BE9" w:rsidRDefault="00BE5BE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Russo">
    <w15:presenceInfo w15:providerId="AD" w15:userId="S::paola.russo@uniroma1.it::1196f025-5475-4ef1-89ee-c01d7af42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trackRevision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353ED"/>
    <w:rsid w:val="00040F8D"/>
    <w:rsid w:val="00047D7F"/>
    <w:rsid w:val="00051566"/>
    <w:rsid w:val="00051EF1"/>
    <w:rsid w:val="00062A9A"/>
    <w:rsid w:val="00063903"/>
    <w:rsid w:val="00064CD4"/>
    <w:rsid w:val="00065058"/>
    <w:rsid w:val="000652C4"/>
    <w:rsid w:val="00086C39"/>
    <w:rsid w:val="000A03B2"/>
    <w:rsid w:val="000A3B79"/>
    <w:rsid w:val="000A68E5"/>
    <w:rsid w:val="000B4420"/>
    <w:rsid w:val="000C16DC"/>
    <w:rsid w:val="000C5E93"/>
    <w:rsid w:val="000D34BE"/>
    <w:rsid w:val="000E102F"/>
    <w:rsid w:val="000E36F1"/>
    <w:rsid w:val="000E3A73"/>
    <w:rsid w:val="000E414A"/>
    <w:rsid w:val="000F093C"/>
    <w:rsid w:val="000F16BD"/>
    <w:rsid w:val="000F787B"/>
    <w:rsid w:val="00105165"/>
    <w:rsid w:val="00112C92"/>
    <w:rsid w:val="00113290"/>
    <w:rsid w:val="0012091F"/>
    <w:rsid w:val="00126BC2"/>
    <w:rsid w:val="00130692"/>
    <w:rsid w:val="001308B6"/>
    <w:rsid w:val="0013121F"/>
    <w:rsid w:val="00131FAB"/>
    <w:rsid w:val="00131FE6"/>
    <w:rsid w:val="0013263F"/>
    <w:rsid w:val="00134DE4"/>
    <w:rsid w:val="0014034D"/>
    <w:rsid w:val="00150E59"/>
    <w:rsid w:val="00152DE3"/>
    <w:rsid w:val="00154B26"/>
    <w:rsid w:val="00156074"/>
    <w:rsid w:val="00164CF9"/>
    <w:rsid w:val="001676E0"/>
    <w:rsid w:val="00183511"/>
    <w:rsid w:val="00183C65"/>
    <w:rsid w:val="00184AD6"/>
    <w:rsid w:val="001919C9"/>
    <w:rsid w:val="001A6099"/>
    <w:rsid w:val="001A6D67"/>
    <w:rsid w:val="001B0349"/>
    <w:rsid w:val="001B65C1"/>
    <w:rsid w:val="001C22F0"/>
    <w:rsid w:val="001C37F4"/>
    <w:rsid w:val="001C684B"/>
    <w:rsid w:val="001D53FC"/>
    <w:rsid w:val="001E592A"/>
    <w:rsid w:val="001F42A5"/>
    <w:rsid w:val="001F7B9D"/>
    <w:rsid w:val="002065E9"/>
    <w:rsid w:val="002158C6"/>
    <w:rsid w:val="002224B4"/>
    <w:rsid w:val="00227A65"/>
    <w:rsid w:val="002427B1"/>
    <w:rsid w:val="002447EF"/>
    <w:rsid w:val="00250311"/>
    <w:rsid w:val="00251550"/>
    <w:rsid w:val="00252C1A"/>
    <w:rsid w:val="00263B05"/>
    <w:rsid w:val="0027221A"/>
    <w:rsid w:val="002747D6"/>
    <w:rsid w:val="0027551A"/>
    <w:rsid w:val="00275B61"/>
    <w:rsid w:val="00282656"/>
    <w:rsid w:val="0028579C"/>
    <w:rsid w:val="00296B83"/>
    <w:rsid w:val="002B78CE"/>
    <w:rsid w:val="002C2FB6"/>
    <w:rsid w:val="002C6855"/>
    <w:rsid w:val="002D2C0F"/>
    <w:rsid w:val="002D5BCD"/>
    <w:rsid w:val="002E2716"/>
    <w:rsid w:val="002F2DCE"/>
    <w:rsid w:val="002F3213"/>
    <w:rsid w:val="002F3565"/>
    <w:rsid w:val="002F3EA2"/>
    <w:rsid w:val="003009B7"/>
    <w:rsid w:val="00300E56"/>
    <w:rsid w:val="0030469C"/>
    <w:rsid w:val="00307BC4"/>
    <w:rsid w:val="00313BCD"/>
    <w:rsid w:val="003213BA"/>
    <w:rsid w:val="00321CA6"/>
    <w:rsid w:val="00334C09"/>
    <w:rsid w:val="00335006"/>
    <w:rsid w:val="003365E3"/>
    <w:rsid w:val="003444AE"/>
    <w:rsid w:val="00351B32"/>
    <w:rsid w:val="00351D03"/>
    <w:rsid w:val="003723D4"/>
    <w:rsid w:val="00384CC8"/>
    <w:rsid w:val="003871FD"/>
    <w:rsid w:val="00393D18"/>
    <w:rsid w:val="00394E9F"/>
    <w:rsid w:val="003A1E30"/>
    <w:rsid w:val="003A3920"/>
    <w:rsid w:val="003A4104"/>
    <w:rsid w:val="003A7D1C"/>
    <w:rsid w:val="003B304B"/>
    <w:rsid w:val="003B3146"/>
    <w:rsid w:val="003B56C3"/>
    <w:rsid w:val="003B60F3"/>
    <w:rsid w:val="003E4ECD"/>
    <w:rsid w:val="003F0006"/>
    <w:rsid w:val="003F015E"/>
    <w:rsid w:val="00400414"/>
    <w:rsid w:val="00400ED1"/>
    <w:rsid w:val="0040338A"/>
    <w:rsid w:val="0041446B"/>
    <w:rsid w:val="004261B1"/>
    <w:rsid w:val="0044329C"/>
    <w:rsid w:val="00452AAD"/>
    <w:rsid w:val="00453273"/>
    <w:rsid w:val="004577FE"/>
    <w:rsid w:val="00457B9C"/>
    <w:rsid w:val="0046164A"/>
    <w:rsid w:val="004628D2"/>
    <w:rsid w:val="00462DCD"/>
    <w:rsid w:val="004648AD"/>
    <w:rsid w:val="00467AB7"/>
    <w:rsid w:val="004703A9"/>
    <w:rsid w:val="0047238C"/>
    <w:rsid w:val="00474C2A"/>
    <w:rsid w:val="004760DE"/>
    <w:rsid w:val="00490AF8"/>
    <w:rsid w:val="004A004E"/>
    <w:rsid w:val="004A24CF"/>
    <w:rsid w:val="004A590B"/>
    <w:rsid w:val="004B6721"/>
    <w:rsid w:val="004C3D1D"/>
    <w:rsid w:val="004C648C"/>
    <w:rsid w:val="004C7913"/>
    <w:rsid w:val="004D353B"/>
    <w:rsid w:val="004E4DD6"/>
    <w:rsid w:val="004F1B73"/>
    <w:rsid w:val="004F3C73"/>
    <w:rsid w:val="004F5E36"/>
    <w:rsid w:val="00507B47"/>
    <w:rsid w:val="00507CC9"/>
    <w:rsid w:val="005119A5"/>
    <w:rsid w:val="005215BD"/>
    <w:rsid w:val="005278B7"/>
    <w:rsid w:val="00531D50"/>
    <w:rsid w:val="00532016"/>
    <w:rsid w:val="005346C8"/>
    <w:rsid w:val="00543E7D"/>
    <w:rsid w:val="00544B2B"/>
    <w:rsid w:val="00546B05"/>
    <w:rsid w:val="00547A68"/>
    <w:rsid w:val="005531BA"/>
    <w:rsid w:val="005531C9"/>
    <w:rsid w:val="0055522F"/>
    <w:rsid w:val="005735D5"/>
    <w:rsid w:val="00580555"/>
    <w:rsid w:val="00585D97"/>
    <w:rsid w:val="005947B9"/>
    <w:rsid w:val="005B2110"/>
    <w:rsid w:val="005B4002"/>
    <w:rsid w:val="005B4AE6"/>
    <w:rsid w:val="005B61E6"/>
    <w:rsid w:val="005C51CB"/>
    <w:rsid w:val="005C63DE"/>
    <w:rsid w:val="005C77E1"/>
    <w:rsid w:val="005D05BA"/>
    <w:rsid w:val="005D34A2"/>
    <w:rsid w:val="005D6A2F"/>
    <w:rsid w:val="005E1A82"/>
    <w:rsid w:val="005E3565"/>
    <w:rsid w:val="005E794C"/>
    <w:rsid w:val="005E7D2F"/>
    <w:rsid w:val="005F070A"/>
    <w:rsid w:val="005F0A28"/>
    <w:rsid w:val="005F0E5E"/>
    <w:rsid w:val="00600535"/>
    <w:rsid w:val="00600FBE"/>
    <w:rsid w:val="00610CD6"/>
    <w:rsid w:val="00611470"/>
    <w:rsid w:val="006139E6"/>
    <w:rsid w:val="00620DEE"/>
    <w:rsid w:val="00621F92"/>
    <w:rsid w:val="00625639"/>
    <w:rsid w:val="00631412"/>
    <w:rsid w:val="00631B33"/>
    <w:rsid w:val="00632866"/>
    <w:rsid w:val="00634442"/>
    <w:rsid w:val="0064184D"/>
    <w:rsid w:val="006422CC"/>
    <w:rsid w:val="00660E3E"/>
    <w:rsid w:val="00662E74"/>
    <w:rsid w:val="006700EA"/>
    <w:rsid w:val="0067314F"/>
    <w:rsid w:val="00680C23"/>
    <w:rsid w:val="00684F1C"/>
    <w:rsid w:val="00693766"/>
    <w:rsid w:val="006A3281"/>
    <w:rsid w:val="006A645D"/>
    <w:rsid w:val="006B4888"/>
    <w:rsid w:val="006C2E45"/>
    <w:rsid w:val="006C359C"/>
    <w:rsid w:val="006C5579"/>
    <w:rsid w:val="006D0E71"/>
    <w:rsid w:val="006D7B8F"/>
    <w:rsid w:val="006E737D"/>
    <w:rsid w:val="0070195D"/>
    <w:rsid w:val="00720A24"/>
    <w:rsid w:val="00722EFF"/>
    <w:rsid w:val="00732386"/>
    <w:rsid w:val="00743277"/>
    <w:rsid w:val="007447F3"/>
    <w:rsid w:val="00747D30"/>
    <w:rsid w:val="0075499F"/>
    <w:rsid w:val="007606DD"/>
    <w:rsid w:val="007661C8"/>
    <w:rsid w:val="0077098D"/>
    <w:rsid w:val="007822D5"/>
    <w:rsid w:val="00782BCC"/>
    <w:rsid w:val="00792DF1"/>
    <w:rsid w:val="007931FA"/>
    <w:rsid w:val="007A7BBA"/>
    <w:rsid w:val="007B0008"/>
    <w:rsid w:val="007B0C50"/>
    <w:rsid w:val="007C1A43"/>
    <w:rsid w:val="007E1DC6"/>
    <w:rsid w:val="007F55F4"/>
    <w:rsid w:val="00802DDD"/>
    <w:rsid w:val="00803F52"/>
    <w:rsid w:val="00813288"/>
    <w:rsid w:val="00814361"/>
    <w:rsid w:val="00814FDD"/>
    <w:rsid w:val="008168FC"/>
    <w:rsid w:val="00824949"/>
    <w:rsid w:val="00830996"/>
    <w:rsid w:val="008345F1"/>
    <w:rsid w:val="00844271"/>
    <w:rsid w:val="00865B07"/>
    <w:rsid w:val="008667EA"/>
    <w:rsid w:val="008758A4"/>
    <w:rsid w:val="0087637F"/>
    <w:rsid w:val="008813BE"/>
    <w:rsid w:val="008904B9"/>
    <w:rsid w:val="0089060A"/>
    <w:rsid w:val="00892AD5"/>
    <w:rsid w:val="008A1512"/>
    <w:rsid w:val="008A6B3B"/>
    <w:rsid w:val="008B1CA1"/>
    <w:rsid w:val="008B2B8F"/>
    <w:rsid w:val="008B3E68"/>
    <w:rsid w:val="008B4719"/>
    <w:rsid w:val="008C78C1"/>
    <w:rsid w:val="008C7DD1"/>
    <w:rsid w:val="008D1B17"/>
    <w:rsid w:val="008D1CE0"/>
    <w:rsid w:val="008D32B9"/>
    <w:rsid w:val="008D433B"/>
    <w:rsid w:val="008E09A5"/>
    <w:rsid w:val="008E0CA6"/>
    <w:rsid w:val="008E566E"/>
    <w:rsid w:val="008E6B08"/>
    <w:rsid w:val="008F09FB"/>
    <w:rsid w:val="008F50F4"/>
    <w:rsid w:val="008F6317"/>
    <w:rsid w:val="0090161A"/>
    <w:rsid w:val="00901EB6"/>
    <w:rsid w:val="00904C62"/>
    <w:rsid w:val="00924DAC"/>
    <w:rsid w:val="00927058"/>
    <w:rsid w:val="00931D64"/>
    <w:rsid w:val="00933BA6"/>
    <w:rsid w:val="009443E9"/>
    <w:rsid w:val="009450CE"/>
    <w:rsid w:val="00947179"/>
    <w:rsid w:val="0094785C"/>
    <w:rsid w:val="0095164B"/>
    <w:rsid w:val="00954090"/>
    <w:rsid w:val="009573E7"/>
    <w:rsid w:val="009635B9"/>
    <w:rsid w:val="00963E05"/>
    <w:rsid w:val="00964496"/>
    <w:rsid w:val="00967628"/>
    <w:rsid w:val="00967D54"/>
    <w:rsid w:val="00973703"/>
    <w:rsid w:val="00984BEC"/>
    <w:rsid w:val="00993CED"/>
    <w:rsid w:val="00994090"/>
    <w:rsid w:val="00995332"/>
    <w:rsid w:val="00996483"/>
    <w:rsid w:val="00996F5A"/>
    <w:rsid w:val="009A0A3E"/>
    <w:rsid w:val="009B041A"/>
    <w:rsid w:val="009C7C86"/>
    <w:rsid w:val="009D2DE4"/>
    <w:rsid w:val="009D2FF7"/>
    <w:rsid w:val="009E1D44"/>
    <w:rsid w:val="009E5CDD"/>
    <w:rsid w:val="009E7884"/>
    <w:rsid w:val="009E788A"/>
    <w:rsid w:val="009F0E08"/>
    <w:rsid w:val="009F5FC1"/>
    <w:rsid w:val="009F7F4E"/>
    <w:rsid w:val="00A11AAC"/>
    <w:rsid w:val="00A13813"/>
    <w:rsid w:val="00A1763D"/>
    <w:rsid w:val="00A17CEC"/>
    <w:rsid w:val="00A23F79"/>
    <w:rsid w:val="00A27EF0"/>
    <w:rsid w:val="00A4517B"/>
    <w:rsid w:val="00A50B20"/>
    <w:rsid w:val="00A51390"/>
    <w:rsid w:val="00A60D13"/>
    <w:rsid w:val="00A72745"/>
    <w:rsid w:val="00A76EFC"/>
    <w:rsid w:val="00A91010"/>
    <w:rsid w:val="00A97F29"/>
    <w:rsid w:val="00AA084D"/>
    <w:rsid w:val="00AA4D6F"/>
    <w:rsid w:val="00AA702E"/>
    <w:rsid w:val="00AB0964"/>
    <w:rsid w:val="00AB5011"/>
    <w:rsid w:val="00AB6074"/>
    <w:rsid w:val="00AC56C1"/>
    <w:rsid w:val="00AC6A1A"/>
    <w:rsid w:val="00AC7368"/>
    <w:rsid w:val="00AC796E"/>
    <w:rsid w:val="00AD16B9"/>
    <w:rsid w:val="00AD42DE"/>
    <w:rsid w:val="00AD544D"/>
    <w:rsid w:val="00AE377D"/>
    <w:rsid w:val="00AE60B1"/>
    <w:rsid w:val="00AF1A9F"/>
    <w:rsid w:val="00B015C4"/>
    <w:rsid w:val="00B10FBF"/>
    <w:rsid w:val="00B13FBF"/>
    <w:rsid w:val="00B1566F"/>
    <w:rsid w:val="00B17FBD"/>
    <w:rsid w:val="00B2561F"/>
    <w:rsid w:val="00B315A6"/>
    <w:rsid w:val="00B31813"/>
    <w:rsid w:val="00B33365"/>
    <w:rsid w:val="00B4402C"/>
    <w:rsid w:val="00B57B36"/>
    <w:rsid w:val="00B76D90"/>
    <w:rsid w:val="00B82FE3"/>
    <w:rsid w:val="00B832AC"/>
    <w:rsid w:val="00B8434B"/>
    <w:rsid w:val="00B8686D"/>
    <w:rsid w:val="00B938E3"/>
    <w:rsid w:val="00BC2A38"/>
    <w:rsid w:val="00BC30C9"/>
    <w:rsid w:val="00BC37D5"/>
    <w:rsid w:val="00BC5F39"/>
    <w:rsid w:val="00BC6DEA"/>
    <w:rsid w:val="00BE1ED3"/>
    <w:rsid w:val="00BE3E58"/>
    <w:rsid w:val="00BE5BE9"/>
    <w:rsid w:val="00BE7F27"/>
    <w:rsid w:val="00C01616"/>
    <w:rsid w:val="00C0162B"/>
    <w:rsid w:val="00C137A3"/>
    <w:rsid w:val="00C146F7"/>
    <w:rsid w:val="00C2066F"/>
    <w:rsid w:val="00C345B1"/>
    <w:rsid w:val="00C40142"/>
    <w:rsid w:val="00C442B4"/>
    <w:rsid w:val="00C5190A"/>
    <w:rsid w:val="00C57182"/>
    <w:rsid w:val="00C57863"/>
    <w:rsid w:val="00C65325"/>
    <w:rsid w:val="00C655FD"/>
    <w:rsid w:val="00C6685E"/>
    <w:rsid w:val="00C67C81"/>
    <w:rsid w:val="00C74391"/>
    <w:rsid w:val="00C86105"/>
    <w:rsid w:val="00C870A8"/>
    <w:rsid w:val="00C94434"/>
    <w:rsid w:val="00CA0D75"/>
    <w:rsid w:val="00CA1C95"/>
    <w:rsid w:val="00CA2652"/>
    <w:rsid w:val="00CA4818"/>
    <w:rsid w:val="00CA5A9C"/>
    <w:rsid w:val="00CA7112"/>
    <w:rsid w:val="00CB52EB"/>
    <w:rsid w:val="00CC1FC2"/>
    <w:rsid w:val="00CD1008"/>
    <w:rsid w:val="00CD175D"/>
    <w:rsid w:val="00CD3517"/>
    <w:rsid w:val="00CD5A00"/>
    <w:rsid w:val="00CD5FE2"/>
    <w:rsid w:val="00CD70DB"/>
    <w:rsid w:val="00CE4C54"/>
    <w:rsid w:val="00CE7C68"/>
    <w:rsid w:val="00CF74D5"/>
    <w:rsid w:val="00D00033"/>
    <w:rsid w:val="00D020EC"/>
    <w:rsid w:val="00D02B4C"/>
    <w:rsid w:val="00D040C4"/>
    <w:rsid w:val="00D31BDF"/>
    <w:rsid w:val="00D43BFB"/>
    <w:rsid w:val="00D57C84"/>
    <w:rsid w:val="00D6057D"/>
    <w:rsid w:val="00D6741B"/>
    <w:rsid w:val="00D80886"/>
    <w:rsid w:val="00D84576"/>
    <w:rsid w:val="00D87ABE"/>
    <w:rsid w:val="00D87C2C"/>
    <w:rsid w:val="00D93250"/>
    <w:rsid w:val="00DA1399"/>
    <w:rsid w:val="00DA24C6"/>
    <w:rsid w:val="00DA32C8"/>
    <w:rsid w:val="00DA4D7B"/>
    <w:rsid w:val="00DA696F"/>
    <w:rsid w:val="00DB0762"/>
    <w:rsid w:val="00DB0C03"/>
    <w:rsid w:val="00DC0AC2"/>
    <w:rsid w:val="00DD5591"/>
    <w:rsid w:val="00DD7D7F"/>
    <w:rsid w:val="00DE0291"/>
    <w:rsid w:val="00DE12D1"/>
    <w:rsid w:val="00DE264A"/>
    <w:rsid w:val="00DF784C"/>
    <w:rsid w:val="00E02D18"/>
    <w:rsid w:val="00E041E7"/>
    <w:rsid w:val="00E043FE"/>
    <w:rsid w:val="00E0492A"/>
    <w:rsid w:val="00E07933"/>
    <w:rsid w:val="00E115C7"/>
    <w:rsid w:val="00E140B9"/>
    <w:rsid w:val="00E20287"/>
    <w:rsid w:val="00E20D67"/>
    <w:rsid w:val="00E23AB9"/>
    <w:rsid w:val="00E23CA1"/>
    <w:rsid w:val="00E37E9B"/>
    <w:rsid w:val="00E409A8"/>
    <w:rsid w:val="00E42A1A"/>
    <w:rsid w:val="00E42A93"/>
    <w:rsid w:val="00E50C12"/>
    <w:rsid w:val="00E53270"/>
    <w:rsid w:val="00E53DEE"/>
    <w:rsid w:val="00E65B91"/>
    <w:rsid w:val="00E7209D"/>
    <w:rsid w:val="00E77223"/>
    <w:rsid w:val="00E8528B"/>
    <w:rsid w:val="00E85B94"/>
    <w:rsid w:val="00E87BDD"/>
    <w:rsid w:val="00E90261"/>
    <w:rsid w:val="00E9194F"/>
    <w:rsid w:val="00E978D0"/>
    <w:rsid w:val="00EA4613"/>
    <w:rsid w:val="00EA7F91"/>
    <w:rsid w:val="00EB1523"/>
    <w:rsid w:val="00EC0B08"/>
    <w:rsid w:val="00EC0E49"/>
    <w:rsid w:val="00ED6DEE"/>
    <w:rsid w:val="00EE0131"/>
    <w:rsid w:val="00F03340"/>
    <w:rsid w:val="00F14BE1"/>
    <w:rsid w:val="00F155B2"/>
    <w:rsid w:val="00F30C64"/>
    <w:rsid w:val="00F32CDB"/>
    <w:rsid w:val="00F34E9C"/>
    <w:rsid w:val="00F35F25"/>
    <w:rsid w:val="00F40E05"/>
    <w:rsid w:val="00F42E47"/>
    <w:rsid w:val="00F520E3"/>
    <w:rsid w:val="00F63A70"/>
    <w:rsid w:val="00F741FF"/>
    <w:rsid w:val="00F864F8"/>
    <w:rsid w:val="00FA21D0"/>
    <w:rsid w:val="00FA5F5F"/>
    <w:rsid w:val="00FB6FE9"/>
    <w:rsid w:val="00FB730C"/>
    <w:rsid w:val="00FC1E3C"/>
    <w:rsid w:val="00FC2695"/>
    <w:rsid w:val="00FC3E03"/>
    <w:rsid w:val="00FC3FC1"/>
    <w:rsid w:val="00FD214D"/>
    <w:rsid w:val="00FF7C4B"/>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2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apple-converted-space">
    <w:name w:val="apple-converted-space"/>
    <w:basedOn w:val="Carpredefinitoparagrafo"/>
    <w:rsid w:val="002F3EA2"/>
  </w:style>
  <w:style w:type="character" w:styleId="Testosegnaposto">
    <w:name w:val="Placeholder Text"/>
    <w:basedOn w:val="Carpredefinitoparagrafo"/>
    <w:uiPriority w:val="99"/>
    <w:semiHidden/>
    <w:rsid w:val="005C51CB"/>
    <w:rPr>
      <w:color w:val="808080"/>
    </w:rPr>
  </w:style>
  <w:style w:type="character" w:customStyle="1" w:styleId="fontstyle01">
    <w:name w:val="fontstyle01"/>
    <w:basedOn w:val="Carpredefinitoparagrafo"/>
    <w:rsid w:val="00F520E3"/>
    <w:rPr>
      <w:rFonts w:ascii="Meridien-Roman" w:hAnsi="Meridien-Roman" w:hint="default"/>
      <w:b w:val="0"/>
      <w:bCs w:val="0"/>
      <w:i w:val="0"/>
      <w:iCs w:val="0"/>
      <w:color w:val="242021"/>
      <w:sz w:val="16"/>
      <w:szCs w:val="16"/>
    </w:rPr>
  </w:style>
  <w:style w:type="character" w:customStyle="1" w:styleId="fontstyle21">
    <w:name w:val="fontstyle21"/>
    <w:basedOn w:val="Carpredefinitoparagrafo"/>
    <w:rsid w:val="00F520E3"/>
    <w:rPr>
      <w:rFonts w:ascii="Meridien-Bold" w:hAnsi="Meridien-Bold" w:hint="default"/>
      <w:b/>
      <w:bCs/>
      <w:i w:val="0"/>
      <w:iCs w:val="0"/>
      <w:color w:val="24202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apple-converted-space">
    <w:name w:val="apple-converted-space"/>
    <w:basedOn w:val="Carpredefinitoparagrafo"/>
    <w:rsid w:val="002F3EA2"/>
  </w:style>
  <w:style w:type="character" w:styleId="Testosegnaposto">
    <w:name w:val="Placeholder Text"/>
    <w:basedOn w:val="Carpredefinitoparagrafo"/>
    <w:uiPriority w:val="99"/>
    <w:semiHidden/>
    <w:rsid w:val="005C51CB"/>
    <w:rPr>
      <w:color w:val="808080"/>
    </w:rPr>
  </w:style>
  <w:style w:type="character" w:customStyle="1" w:styleId="fontstyle01">
    <w:name w:val="fontstyle01"/>
    <w:basedOn w:val="Carpredefinitoparagrafo"/>
    <w:rsid w:val="00F520E3"/>
    <w:rPr>
      <w:rFonts w:ascii="Meridien-Roman" w:hAnsi="Meridien-Roman" w:hint="default"/>
      <w:b w:val="0"/>
      <w:bCs w:val="0"/>
      <w:i w:val="0"/>
      <w:iCs w:val="0"/>
      <w:color w:val="242021"/>
      <w:sz w:val="16"/>
      <w:szCs w:val="16"/>
    </w:rPr>
  </w:style>
  <w:style w:type="character" w:customStyle="1" w:styleId="fontstyle21">
    <w:name w:val="fontstyle21"/>
    <w:basedOn w:val="Carpredefinitoparagrafo"/>
    <w:rsid w:val="00F520E3"/>
    <w:rPr>
      <w:rFonts w:ascii="Meridien-Bold" w:hAnsi="Meridien-Bold" w:hint="default"/>
      <w:b/>
      <w:bCs/>
      <w:i w:val="0"/>
      <w:iCs w:val="0"/>
      <w:color w:val="24202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504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2627">
      <w:bodyDiv w:val="1"/>
      <w:marLeft w:val="0"/>
      <w:marRight w:val="0"/>
      <w:marTop w:val="0"/>
      <w:marBottom w:val="0"/>
      <w:divBdr>
        <w:top w:val="none" w:sz="0" w:space="0" w:color="auto"/>
        <w:left w:val="none" w:sz="0" w:space="0" w:color="auto"/>
        <w:bottom w:val="none" w:sz="0" w:space="0" w:color="auto"/>
        <w:right w:val="none" w:sz="0" w:space="0" w:color="auto"/>
      </w:divBdr>
    </w:div>
    <w:div w:id="198287766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55/2018/87807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0860A-33FA-4520-BF9D-EF4305C7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3227</Words>
  <Characters>18398</Characters>
  <Application>Microsoft Office Word</Application>
  <DocSecurity>0</DocSecurity>
  <Lines>153</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 Windows</cp:lastModifiedBy>
  <cp:revision>12</cp:revision>
  <cp:lastPrinted>2019-02-25T08:41:00Z</cp:lastPrinted>
  <dcterms:created xsi:type="dcterms:W3CDTF">2019-04-01T14:24:00Z</dcterms:created>
  <dcterms:modified xsi:type="dcterms:W3CDTF">2019-04-14T13:50:00Z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