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859FE" w14:paraId="28304BA8" w14:textId="77777777">
        <w:trPr>
          <w:trHeight w:val="852"/>
          <w:jc w:val="center"/>
        </w:trPr>
        <w:tc>
          <w:tcPr>
            <w:tcW w:w="6946" w:type="dxa"/>
            <w:vMerge w:val="restart"/>
            <w:tcBorders>
              <w:right w:val="single" w:sz="4" w:space="0" w:color="auto"/>
            </w:tcBorders>
          </w:tcPr>
          <w:p w14:paraId="391D42D3" w14:textId="77777777" w:rsidR="000A03B2" w:rsidRPr="00C859FE" w:rsidRDefault="000A03B2" w:rsidP="00DE264A">
            <w:pPr>
              <w:tabs>
                <w:tab w:val="left" w:pos="-108"/>
              </w:tabs>
              <w:ind w:left="-108"/>
              <w:jc w:val="left"/>
              <w:rPr>
                <w:rFonts w:cs="Arial"/>
                <w:b/>
                <w:bCs/>
                <w:i/>
                <w:iCs/>
                <w:color w:val="000066"/>
                <w:sz w:val="12"/>
                <w:szCs w:val="12"/>
                <w:lang w:eastAsia="it-IT"/>
              </w:rPr>
            </w:pPr>
            <w:r w:rsidRPr="00C859FE">
              <w:rPr>
                <w:rFonts w:ascii="AdvP6960" w:hAnsi="AdvP6960" w:cs="AdvP6960"/>
                <w:noProof/>
                <w:color w:val="241F20"/>
                <w:szCs w:val="18"/>
                <w:lang w:val="pt-BR" w:eastAsia="pt-BR"/>
              </w:rPr>
              <w:drawing>
                <wp:inline distT="0" distB="0" distL="0" distR="0" wp14:anchorId="1AC5B342" wp14:editId="2D7A99C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859FE">
              <w:rPr>
                <w:rFonts w:ascii="AdvP6960" w:hAnsi="AdvP6960" w:cs="AdvP6960"/>
                <w:color w:val="241F20"/>
                <w:szCs w:val="18"/>
                <w:lang w:eastAsia="it-IT"/>
              </w:rPr>
              <w:t xml:space="preserve"> </w:t>
            </w:r>
            <w:r w:rsidRPr="00C859FE">
              <w:rPr>
                <w:rFonts w:cs="Arial"/>
                <w:b/>
                <w:bCs/>
                <w:i/>
                <w:iCs/>
                <w:color w:val="000066"/>
                <w:sz w:val="24"/>
                <w:szCs w:val="24"/>
                <w:lang w:eastAsia="it-IT"/>
              </w:rPr>
              <w:t>CHEMICAL ENGINEERING</w:t>
            </w:r>
            <w:r w:rsidRPr="00C859FE">
              <w:rPr>
                <w:rFonts w:cs="Arial"/>
                <w:b/>
                <w:bCs/>
                <w:i/>
                <w:iCs/>
                <w:color w:val="0033FF"/>
                <w:sz w:val="24"/>
                <w:szCs w:val="24"/>
                <w:lang w:eastAsia="it-IT"/>
              </w:rPr>
              <w:t xml:space="preserve"> </w:t>
            </w:r>
            <w:r w:rsidRPr="00C859FE">
              <w:rPr>
                <w:rFonts w:cs="Arial"/>
                <w:b/>
                <w:bCs/>
                <w:i/>
                <w:iCs/>
                <w:color w:val="666666"/>
                <w:sz w:val="24"/>
                <w:szCs w:val="24"/>
                <w:lang w:eastAsia="it-IT"/>
              </w:rPr>
              <w:t>TRANSACTIONS</w:t>
            </w:r>
            <w:r w:rsidRPr="00C859FE">
              <w:rPr>
                <w:color w:val="333333"/>
                <w:sz w:val="24"/>
                <w:szCs w:val="24"/>
                <w:lang w:eastAsia="it-IT"/>
              </w:rPr>
              <w:t xml:space="preserve"> </w:t>
            </w:r>
            <w:r w:rsidRPr="00C859FE">
              <w:rPr>
                <w:rFonts w:cs="Arial"/>
                <w:b/>
                <w:bCs/>
                <w:i/>
                <w:iCs/>
                <w:color w:val="000066"/>
                <w:sz w:val="27"/>
                <w:szCs w:val="27"/>
                <w:lang w:eastAsia="it-IT"/>
              </w:rPr>
              <w:br/>
            </w:r>
          </w:p>
          <w:p w14:paraId="32996215" w14:textId="77777777" w:rsidR="000A03B2" w:rsidRPr="00C859FE" w:rsidRDefault="00A76EFC" w:rsidP="009635B9">
            <w:pPr>
              <w:tabs>
                <w:tab w:val="left" w:pos="-108"/>
              </w:tabs>
              <w:ind w:left="-108"/>
              <w:rPr>
                <w:rFonts w:cs="Arial"/>
                <w:b/>
                <w:bCs/>
                <w:i/>
                <w:iCs/>
                <w:color w:val="000066"/>
                <w:sz w:val="22"/>
                <w:szCs w:val="22"/>
                <w:lang w:eastAsia="it-IT"/>
              </w:rPr>
            </w:pPr>
            <w:r w:rsidRPr="00C859FE">
              <w:rPr>
                <w:rFonts w:cs="Arial"/>
                <w:b/>
                <w:bCs/>
                <w:i/>
                <w:iCs/>
                <w:color w:val="000066"/>
                <w:sz w:val="22"/>
                <w:szCs w:val="22"/>
                <w:lang w:eastAsia="it-IT"/>
              </w:rPr>
              <w:t xml:space="preserve">VOL. </w:t>
            </w:r>
            <w:r w:rsidR="007931FA" w:rsidRPr="00C859FE">
              <w:rPr>
                <w:rFonts w:cs="Arial"/>
                <w:b/>
                <w:bCs/>
                <w:i/>
                <w:iCs/>
                <w:color w:val="000066"/>
                <w:sz w:val="22"/>
                <w:szCs w:val="22"/>
                <w:lang w:eastAsia="it-IT"/>
              </w:rPr>
              <w:t>7</w:t>
            </w:r>
            <w:r w:rsidR="009635B9" w:rsidRPr="00C859FE">
              <w:rPr>
                <w:rFonts w:cs="Arial"/>
                <w:b/>
                <w:bCs/>
                <w:i/>
                <w:iCs/>
                <w:color w:val="000066"/>
                <w:sz w:val="22"/>
                <w:szCs w:val="22"/>
                <w:lang w:eastAsia="it-IT"/>
              </w:rPr>
              <w:t>6</w:t>
            </w:r>
            <w:r w:rsidR="00FA5F5F" w:rsidRPr="00C859FE">
              <w:rPr>
                <w:rFonts w:cs="Arial"/>
                <w:b/>
                <w:bCs/>
                <w:i/>
                <w:iCs/>
                <w:color w:val="000066"/>
                <w:sz w:val="22"/>
                <w:szCs w:val="22"/>
                <w:lang w:eastAsia="it-IT"/>
              </w:rPr>
              <w:t>, 201</w:t>
            </w:r>
            <w:r w:rsidR="007931FA" w:rsidRPr="00C859FE">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15499C5" w14:textId="77777777" w:rsidR="000A03B2" w:rsidRPr="00C859FE" w:rsidRDefault="000A03B2" w:rsidP="00CD5FE2">
            <w:pPr>
              <w:spacing w:line="140" w:lineRule="atLeast"/>
              <w:jc w:val="right"/>
              <w:rPr>
                <w:rFonts w:cs="Arial"/>
                <w:sz w:val="14"/>
                <w:szCs w:val="14"/>
              </w:rPr>
            </w:pPr>
            <w:r w:rsidRPr="00C859FE">
              <w:rPr>
                <w:rFonts w:cs="Arial"/>
                <w:sz w:val="14"/>
                <w:szCs w:val="14"/>
              </w:rPr>
              <w:t>A publication of</w:t>
            </w:r>
          </w:p>
          <w:p w14:paraId="659BE1BF" w14:textId="77777777" w:rsidR="000A03B2" w:rsidRPr="00C859FE" w:rsidRDefault="000A03B2" w:rsidP="00CD5FE2">
            <w:pPr>
              <w:jc w:val="right"/>
            </w:pPr>
            <w:r w:rsidRPr="00C859FE">
              <w:rPr>
                <w:noProof/>
                <w:lang w:val="pt-BR" w:eastAsia="pt-BR"/>
              </w:rPr>
              <w:drawing>
                <wp:inline distT="0" distB="0" distL="0" distR="0" wp14:anchorId="536B61D4" wp14:editId="5994F4BB">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859FE" w14:paraId="717B7FF0" w14:textId="77777777">
        <w:trPr>
          <w:trHeight w:val="567"/>
          <w:jc w:val="center"/>
        </w:trPr>
        <w:tc>
          <w:tcPr>
            <w:tcW w:w="6946" w:type="dxa"/>
            <w:vMerge/>
            <w:tcBorders>
              <w:right w:val="single" w:sz="4" w:space="0" w:color="auto"/>
            </w:tcBorders>
          </w:tcPr>
          <w:p w14:paraId="5FD33BC1" w14:textId="77777777" w:rsidR="000A03B2" w:rsidRPr="00C859FE" w:rsidRDefault="000A03B2" w:rsidP="00CD5FE2">
            <w:pPr>
              <w:tabs>
                <w:tab w:val="left" w:pos="-108"/>
              </w:tabs>
            </w:pPr>
          </w:p>
        </w:tc>
        <w:tc>
          <w:tcPr>
            <w:tcW w:w="1843" w:type="dxa"/>
            <w:tcBorders>
              <w:left w:val="single" w:sz="4" w:space="0" w:color="auto"/>
              <w:bottom w:val="nil"/>
              <w:right w:val="single" w:sz="4" w:space="0" w:color="auto"/>
            </w:tcBorders>
          </w:tcPr>
          <w:p w14:paraId="45A83F24" w14:textId="77777777" w:rsidR="000A03B2" w:rsidRPr="00C859FE" w:rsidRDefault="000A03B2" w:rsidP="00CD5FE2">
            <w:pPr>
              <w:spacing w:line="140" w:lineRule="atLeast"/>
              <w:jc w:val="right"/>
              <w:rPr>
                <w:rFonts w:cs="Arial"/>
                <w:sz w:val="14"/>
                <w:szCs w:val="14"/>
              </w:rPr>
            </w:pPr>
            <w:r w:rsidRPr="00C859FE">
              <w:rPr>
                <w:rFonts w:cs="Arial"/>
                <w:sz w:val="14"/>
                <w:szCs w:val="14"/>
              </w:rPr>
              <w:t>The Italian Association</w:t>
            </w:r>
          </w:p>
          <w:p w14:paraId="628B34B9" w14:textId="77777777" w:rsidR="000A03B2" w:rsidRPr="00C859FE" w:rsidRDefault="000A03B2" w:rsidP="00CD5FE2">
            <w:pPr>
              <w:spacing w:line="140" w:lineRule="atLeast"/>
              <w:jc w:val="right"/>
              <w:rPr>
                <w:rFonts w:cs="Arial"/>
                <w:sz w:val="14"/>
                <w:szCs w:val="14"/>
              </w:rPr>
            </w:pPr>
            <w:r w:rsidRPr="00C859FE">
              <w:rPr>
                <w:rFonts w:cs="Arial"/>
                <w:sz w:val="14"/>
                <w:szCs w:val="14"/>
              </w:rPr>
              <w:t>of Chemical Engineering</w:t>
            </w:r>
          </w:p>
          <w:p w14:paraId="11728596" w14:textId="77777777" w:rsidR="000A03B2" w:rsidRPr="00C859FE" w:rsidRDefault="000A03B2" w:rsidP="00CD5FE2">
            <w:pPr>
              <w:spacing w:line="140" w:lineRule="atLeast"/>
              <w:jc w:val="right"/>
              <w:rPr>
                <w:rFonts w:cs="Arial"/>
                <w:sz w:val="14"/>
                <w:szCs w:val="14"/>
              </w:rPr>
            </w:pPr>
            <w:r w:rsidRPr="00C859FE">
              <w:rPr>
                <w:rFonts w:cs="Arial"/>
                <w:sz w:val="14"/>
                <w:szCs w:val="14"/>
              </w:rPr>
              <w:t xml:space="preserve">Online at </w:t>
            </w:r>
            <w:r w:rsidR="00892AD5" w:rsidRPr="00C859FE">
              <w:rPr>
                <w:rFonts w:cs="Arial"/>
                <w:sz w:val="14"/>
                <w:szCs w:val="14"/>
              </w:rPr>
              <w:t>www.aidic.it/</w:t>
            </w:r>
            <w:r w:rsidR="00892AD5" w:rsidRPr="00481327">
              <w:rPr>
                <w:rFonts w:cs="Arial"/>
                <w:noProof/>
                <w:sz w:val="14"/>
                <w:szCs w:val="14"/>
              </w:rPr>
              <w:t>cet</w:t>
            </w:r>
          </w:p>
        </w:tc>
      </w:tr>
      <w:tr w:rsidR="000A03B2" w:rsidRPr="00C859FE" w14:paraId="7A1368F3" w14:textId="77777777">
        <w:trPr>
          <w:trHeight w:val="68"/>
          <w:jc w:val="center"/>
        </w:trPr>
        <w:tc>
          <w:tcPr>
            <w:tcW w:w="8789" w:type="dxa"/>
            <w:gridSpan w:val="2"/>
          </w:tcPr>
          <w:p w14:paraId="29E82016" w14:textId="77777777" w:rsidR="00300E56" w:rsidRPr="00C859FE" w:rsidRDefault="00300E56" w:rsidP="003365E3">
            <w:pPr>
              <w:ind w:left="-107"/>
              <w:rPr>
                <w:lang w:val="it-IT"/>
              </w:rPr>
            </w:pPr>
            <w:r w:rsidRPr="00C859FE">
              <w:rPr>
                <w:rFonts w:ascii="Tahoma" w:hAnsi="Tahoma" w:cs="Tahoma"/>
                <w:iCs/>
                <w:color w:val="333333"/>
                <w:sz w:val="14"/>
                <w:szCs w:val="14"/>
                <w:lang w:val="it-IT" w:eastAsia="it-IT"/>
              </w:rPr>
              <w:t>Guest Editors:</w:t>
            </w:r>
            <w:r w:rsidR="00904C62" w:rsidRPr="00C859FE">
              <w:rPr>
                <w:rFonts w:ascii="Tahoma" w:hAnsi="Tahoma" w:cs="Tahoma"/>
                <w:iCs/>
                <w:color w:val="333333"/>
                <w:sz w:val="14"/>
                <w:szCs w:val="14"/>
                <w:lang w:val="it-IT" w:eastAsia="it-IT"/>
              </w:rPr>
              <w:t xml:space="preserve"> </w:t>
            </w:r>
            <w:r w:rsidR="009635B9" w:rsidRPr="00C859FE">
              <w:rPr>
                <w:rFonts w:ascii="Tahoma" w:hAnsi="Tahoma" w:cs="Tahoma"/>
                <w:sz w:val="14"/>
                <w:szCs w:val="14"/>
                <w:lang w:val="it-IT"/>
              </w:rPr>
              <w:t>Sauro Pierucci,</w:t>
            </w:r>
            <w:r w:rsidR="003B60F3" w:rsidRPr="00C859FE">
              <w:rPr>
                <w:rFonts w:ascii="Tahoma" w:hAnsi="Tahoma" w:cs="Tahoma"/>
                <w:sz w:val="14"/>
                <w:szCs w:val="14"/>
                <w:lang w:val="it-IT"/>
              </w:rPr>
              <w:t xml:space="preserve"> </w:t>
            </w:r>
            <w:r w:rsidR="00047D7F" w:rsidRPr="00C859FE">
              <w:rPr>
                <w:rFonts w:ascii="Tahoma" w:hAnsi="Tahoma" w:cs="Tahoma"/>
                <w:sz w:val="14"/>
                <w:szCs w:val="14"/>
                <w:shd w:val="clear" w:color="auto" w:fill="FFFFFF"/>
                <w:lang w:val="it-IT"/>
              </w:rPr>
              <w:t>Jiří Jaromír Klemeš</w:t>
            </w:r>
            <w:r w:rsidR="00252C1A" w:rsidRPr="00C859FE">
              <w:rPr>
                <w:rFonts w:ascii="Tahoma" w:hAnsi="Tahoma" w:cs="Tahoma"/>
                <w:sz w:val="14"/>
                <w:szCs w:val="14"/>
                <w:shd w:val="clear" w:color="auto" w:fill="FFFFFF"/>
                <w:lang w:val="it-IT"/>
              </w:rPr>
              <w:t>, Laura Piazza</w:t>
            </w:r>
          </w:p>
          <w:p w14:paraId="4923B63F" w14:textId="77777777" w:rsidR="000A03B2" w:rsidRPr="00C859FE" w:rsidRDefault="00FA5F5F" w:rsidP="00131FAB">
            <w:pPr>
              <w:tabs>
                <w:tab w:val="left" w:pos="-108"/>
              </w:tabs>
              <w:spacing w:line="140" w:lineRule="atLeast"/>
              <w:ind w:left="-107"/>
              <w:jc w:val="left"/>
            </w:pPr>
            <w:r w:rsidRPr="00C859FE">
              <w:rPr>
                <w:rFonts w:ascii="Tahoma" w:hAnsi="Tahoma" w:cs="Tahoma"/>
                <w:iCs/>
                <w:color w:val="333333"/>
                <w:sz w:val="14"/>
                <w:szCs w:val="14"/>
                <w:lang w:eastAsia="it-IT"/>
              </w:rPr>
              <w:t>Copyright © 201</w:t>
            </w:r>
            <w:r w:rsidR="007931FA" w:rsidRPr="00C859FE">
              <w:rPr>
                <w:rFonts w:ascii="Tahoma" w:hAnsi="Tahoma" w:cs="Tahoma"/>
                <w:iCs/>
                <w:color w:val="333333"/>
                <w:sz w:val="14"/>
                <w:szCs w:val="14"/>
                <w:lang w:eastAsia="it-IT"/>
              </w:rPr>
              <w:t>9</w:t>
            </w:r>
            <w:r w:rsidR="00904C62" w:rsidRPr="00C859FE">
              <w:rPr>
                <w:rFonts w:ascii="Tahoma" w:hAnsi="Tahoma" w:cs="Tahoma"/>
                <w:iCs/>
                <w:color w:val="333333"/>
                <w:sz w:val="14"/>
                <w:szCs w:val="14"/>
                <w:lang w:eastAsia="it-IT"/>
              </w:rPr>
              <w:t>, AIDIC Servizi S.r.l.</w:t>
            </w:r>
            <w:r w:rsidR="00300E56" w:rsidRPr="00C859FE">
              <w:rPr>
                <w:rFonts w:ascii="Tahoma" w:hAnsi="Tahoma" w:cs="Tahoma"/>
                <w:iCs/>
                <w:color w:val="333333"/>
                <w:sz w:val="14"/>
                <w:szCs w:val="14"/>
                <w:lang w:eastAsia="it-IT"/>
              </w:rPr>
              <w:br/>
            </w:r>
            <w:r w:rsidR="00300E56" w:rsidRPr="00C859FE">
              <w:rPr>
                <w:rFonts w:ascii="Tahoma" w:hAnsi="Tahoma" w:cs="Tahoma"/>
                <w:b/>
                <w:iCs/>
                <w:color w:val="000000"/>
                <w:sz w:val="14"/>
                <w:szCs w:val="14"/>
                <w:lang w:eastAsia="it-IT"/>
              </w:rPr>
              <w:t>ISBN</w:t>
            </w:r>
            <w:r w:rsidR="00300E56" w:rsidRPr="00C859FE">
              <w:rPr>
                <w:rFonts w:ascii="Tahoma" w:hAnsi="Tahoma" w:cs="Tahoma"/>
                <w:iCs/>
                <w:color w:val="000000"/>
                <w:sz w:val="14"/>
                <w:szCs w:val="14"/>
                <w:lang w:eastAsia="it-IT"/>
              </w:rPr>
              <w:t xml:space="preserve"> </w:t>
            </w:r>
            <w:r w:rsidR="008D32B9" w:rsidRPr="00C859FE">
              <w:rPr>
                <w:rFonts w:ascii="Tahoma" w:hAnsi="Tahoma" w:cs="Tahoma"/>
                <w:sz w:val="14"/>
                <w:szCs w:val="14"/>
              </w:rPr>
              <w:t>978-88-95608-</w:t>
            </w:r>
            <w:r w:rsidR="009635B9" w:rsidRPr="00C859FE">
              <w:rPr>
                <w:rFonts w:ascii="Tahoma" w:hAnsi="Tahoma" w:cs="Tahoma"/>
                <w:sz w:val="14"/>
                <w:szCs w:val="14"/>
              </w:rPr>
              <w:t>73</w:t>
            </w:r>
            <w:r w:rsidR="008D32B9" w:rsidRPr="00C859FE">
              <w:rPr>
                <w:rFonts w:ascii="Tahoma" w:hAnsi="Tahoma" w:cs="Tahoma"/>
                <w:sz w:val="14"/>
                <w:szCs w:val="14"/>
              </w:rPr>
              <w:t>-</w:t>
            </w:r>
            <w:r w:rsidR="009635B9" w:rsidRPr="00C859FE">
              <w:rPr>
                <w:rFonts w:ascii="Tahoma" w:hAnsi="Tahoma" w:cs="Tahoma"/>
                <w:sz w:val="14"/>
                <w:szCs w:val="14"/>
              </w:rPr>
              <w:t>0</w:t>
            </w:r>
            <w:r w:rsidR="00300E56" w:rsidRPr="00C859FE">
              <w:rPr>
                <w:rFonts w:ascii="Tahoma" w:hAnsi="Tahoma" w:cs="Tahoma"/>
                <w:iCs/>
                <w:color w:val="333333"/>
                <w:sz w:val="14"/>
                <w:szCs w:val="14"/>
                <w:lang w:eastAsia="it-IT"/>
              </w:rPr>
              <w:t xml:space="preserve">; </w:t>
            </w:r>
            <w:r w:rsidR="00300E56" w:rsidRPr="00C859FE">
              <w:rPr>
                <w:rFonts w:ascii="Tahoma" w:hAnsi="Tahoma" w:cs="Tahoma"/>
                <w:b/>
                <w:iCs/>
                <w:color w:val="333333"/>
                <w:sz w:val="14"/>
                <w:szCs w:val="14"/>
                <w:lang w:eastAsia="it-IT"/>
              </w:rPr>
              <w:t>ISSN</w:t>
            </w:r>
            <w:r w:rsidR="00300E56" w:rsidRPr="00C859FE">
              <w:rPr>
                <w:rFonts w:ascii="Tahoma" w:hAnsi="Tahoma" w:cs="Tahoma"/>
                <w:iCs/>
                <w:color w:val="333333"/>
                <w:sz w:val="14"/>
                <w:szCs w:val="14"/>
                <w:lang w:eastAsia="it-IT"/>
              </w:rPr>
              <w:t xml:space="preserve"> 2283-9216</w:t>
            </w:r>
          </w:p>
        </w:tc>
      </w:tr>
    </w:tbl>
    <w:p w14:paraId="55AE18DA" w14:textId="77777777" w:rsidR="000A03B2" w:rsidRPr="00C859FE" w:rsidRDefault="000A03B2" w:rsidP="000A03B2">
      <w:pPr>
        <w:pStyle w:val="CETAuthors"/>
        <w:sectPr w:rsidR="000A03B2" w:rsidRPr="00C859FE">
          <w:type w:val="continuous"/>
          <w:pgSz w:w="11906" w:h="16838" w:code="9"/>
          <w:pgMar w:top="1701" w:right="1418" w:bottom="1701" w:left="1701" w:header="1701" w:footer="0" w:gutter="0"/>
          <w:cols w:space="708"/>
          <w:titlePg/>
          <w:docGrid w:linePitch="360"/>
        </w:sectPr>
      </w:pPr>
    </w:p>
    <w:p w14:paraId="12FC56AA" w14:textId="0CC1DF3E" w:rsidR="00E978D0" w:rsidRPr="00C859FE" w:rsidRDefault="003A2BC8" w:rsidP="00E978D0">
      <w:pPr>
        <w:pStyle w:val="CETTitle"/>
      </w:pPr>
      <w:r w:rsidRPr="00C859FE">
        <w:t xml:space="preserve">Volatile compounds and fatty acids </w:t>
      </w:r>
      <w:r w:rsidR="00373C8F">
        <w:t xml:space="preserve">present </w:t>
      </w:r>
      <w:r w:rsidRPr="00C859FE">
        <w:t xml:space="preserve">in sour cassava starch </w:t>
      </w:r>
      <w:r w:rsidR="00373C8F">
        <w:t>produced</w:t>
      </w:r>
      <w:r w:rsidR="00373C8F" w:rsidRPr="00C859FE">
        <w:t xml:space="preserve"> </w:t>
      </w:r>
      <w:r w:rsidRPr="00C859FE">
        <w:t xml:space="preserve">with </w:t>
      </w:r>
      <w:r w:rsidR="00373C8F">
        <w:t>the starter cultures</w:t>
      </w:r>
      <w:r w:rsidR="00373C8F" w:rsidRPr="00C859FE">
        <w:t xml:space="preserve"> </w:t>
      </w:r>
      <w:r w:rsidRPr="00C859FE">
        <w:rPr>
          <w:i/>
        </w:rPr>
        <w:t>Lactobacillus plantarum</w:t>
      </w:r>
      <w:r w:rsidRPr="00C859FE">
        <w:t xml:space="preserve"> </w:t>
      </w:r>
      <w:r w:rsidR="00534CF7">
        <w:t xml:space="preserve">and </w:t>
      </w:r>
      <w:r w:rsidRPr="00C859FE">
        <w:rPr>
          <w:i/>
        </w:rPr>
        <w:t>Pichia scutulata</w:t>
      </w:r>
    </w:p>
    <w:p w14:paraId="759567B5" w14:textId="77777777" w:rsidR="00E978D0" w:rsidRPr="00C859FE" w:rsidRDefault="003A2BC8" w:rsidP="00AB5011">
      <w:pPr>
        <w:pStyle w:val="CETAuthors"/>
        <w:rPr>
          <w:lang w:val="pt-BR"/>
        </w:rPr>
      </w:pPr>
      <w:r w:rsidRPr="00C859FE">
        <w:rPr>
          <w:lang w:val="pt-BR"/>
        </w:rPr>
        <w:t>Fernanda C. L. Penido</w:t>
      </w:r>
      <w:r w:rsidR="00600535" w:rsidRPr="00C859FE">
        <w:rPr>
          <w:vertAlign w:val="superscript"/>
          <w:lang w:val="pt-BR"/>
        </w:rPr>
        <w:t>a</w:t>
      </w:r>
      <w:r w:rsidRPr="00C859FE">
        <w:rPr>
          <w:vertAlign w:val="superscript"/>
          <w:lang w:val="pt-BR"/>
        </w:rPr>
        <w:t>,</w:t>
      </w:r>
      <w:r w:rsidRPr="00C859FE">
        <w:rPr>
          <w:lang w:val="pt-BR"/>
        </w:rPr>
        <w:t>*</w:t>
      </w:r>
      <w:r w:rsidR="00600535" w:rsidRPr="00C859FE">
        <w:rPr>
          <w:lang w:val="pt-BR"/>
        </w:rPr>
        <w:t xml:space="preserve">, </w:t>
      </w:r>
      <w:r w:rsidR="00216F5D" w:rsidRPr="00C859FE">
        <w:rPr>
          <w:lang w:val="pt-BR"/>
        </w:rPr>
        <w:t xml:space="preserve">Denise </w:t>
      </w:r>
      <w:r w:rsidR="00216F5D" w:rsidRPr="00481327">
        <w:rPr>
          <w:lang w:val="pt-BR"/>
        </w:rPr>
        <w:t>Sande</w:t>
      </w:r>
      <w:r w:rsidR="00600535" w:rsidRPr="00481327">
        <w:rPr>
          <w:vertAlign w:val="superscript"/>
          <w:lang w:val="pt-BR"/>
        </w:rPr>
        <w:t>b</w:t>
      </w:r>
      <w:r w:rsidR="00600535" w:rsidRPr="00C859FE">
        <w:rPr>
          <w:lang w:val="pt-BR"/>
        </w:rPr>
        <w:t xml:space="preserve">, </w:t>
      </w:r>
      <w:r w:rsidR="00216F5D" w:rsidRPr="00C859FE">
        <w:rPr>
          <w:lang w:val="pt-BR"/>
        </w:rPr>
        <w:t xml:space="preserve">Gustavo P. </w:t>
      </w:r>
      <w:r w:rsidR="00216F5D" w:rsidRPr="00481327">
        <w:rPr>
          <w:lang w:val="pt-BR"/>
        </w:rPr>
        <w:t>Cosenza</w:t>
      </w:r>
      <w:r w:rsidR="00216F5D" w:rsidRPr="00481327">
        <w:rPr>
          <w:vertAlign w:val="superscript"/>
          <w:lang w:val="pt-BR"/>
        </w:rPr>
        <w:t>a</w:t>
      </w:r>
      <w:r w:rsidR="00216F5D" w:rsidRPr="00C859FE">
        <w:rPr>
          <w:lang w:val="pt-BR"/>
        </w:rPr>
        <w:t xml:space="preserve">, Bruna de A. </w:t>
      </w:r>
      <w:r w:rsidR="00216F5D" w:rsidRPr="00481327">
        <w:rPr>
          <w:lang w:val="pt-BR"/>
        </w:rPr>
        <w:t>Martins</w:t>
      </w:r>
      <w:r w:rsidR="00216F5D" w:rsidRPr="00481327">
        <w:rPr>
          <w:vertAlign w:val="superscript"/>
          <w:lang w:val="pt-BR"/>
        </w:rPr>
        <w:t>b</w:t>
      </w:r>
      <w:r w:rsidR="00216F5D" w:rsidRPr="00C859FE">
        <w:rPr>
          <w:lang w:val="pt-BR"/>
        </w:rPr>
        <w:t>, Carlos A. Rosa</w:t>
      </w:r>
      <w:r w:rsidR="00216F5D" w:rsidRPr="00C859FE">
        <w:rPr>
          <w:vertAlign w:val="superscript"/>
          <w:lang w:val="pt-BR"/>
        </w:rPr>
        <w:t>c</w:t>
      </w:r>
      <w:r w:rsidR="00216F5D" w:rsidRPr="00C859FE">
        <w:rPr>
          <w:lang w:val="pt-BR"/>
        </w:rPr>
        <w:t xml:space="preserve">, Inayara C. A. </w:t>
      </w:r>
      <w:r w:rsidR="00216F5D" w:rsidRPr="00481327">
        <w:rPr>
          <w:lang w:val="pt-BR"/>
        </w:rPr>
        <w:t>Lacerda</w:t>
      </w:r>
      <w:r w:rsidR="00216F5D" w:rsidRPr="00481327">
        <w:rPr>
          <w:vertAlign w:val="superscript"/>
          <w:lang w:val="pt-BR"/>
        </w:rPr>
        <w:t>a</w:t>
      </w:r>
    </w:p>
    <w:p w14:paraId="7FB8948B" w14:textId="77777777" w:rsidR="00E978D0" w:rsidRPr="00C859FE" w:rsidRDefault="00E978D0" w:rsidP="00E978D0">
      <w:pPr>
        <w:pStyle w:val="CETAddress"/>
        <w:rPr>
          <w:lang w:val="pt-BR"/>
        </w:rPr>
      </w:pPr>
      <w:r w:rsidRPr="00C859FE">
        <w:rPr>
          <w:vertAlign w:val="superscript"/>
          <w:lang w:val="pt-BR"/>
        </w:rPr>
        <w:t>a</w:t>
      </w:r>
      <w:r w:rsidR="00216F5D" w:rsidRPr="00C859FE">
        <w:rPr>
          <w:lang w:val="pt-BR"/>
        </w:rPr>
        <w:t>Departamento de Alimentos, Faculdade de Farmácia, Universidade Federal de Minas Gerais. Av. Antônio Carlos, 6627, 31270-901, Belo Horizonte - MG, Brazil.</w:t>
      </w:r>
    </w:p>
    <w:p w14:paraId="67279A32" w14:textId="77777777" w:rsidR="00216F5D" w:rsidRPr="00C859FE" w:rsidRDefault="00216F5D" w:rsidP="00216F5D">
      <w:pPr>
        <w:pStyle w:val="CETAddress"/>
        <w:rPr>
          <w:vertAlign w:val="superscript"/>
          <w:lang w:val="pt-BR"/>
        </w:rPr>
      </w:pPr>
      <w:r w:rsidRPr="00C859FE">
        <w:rPr>
          <w:vertAlign w:val="superscript"/>
          <w:lang w:val="pt-BR"/>
        </w:rPr>
        <w:t>b</w:t>
      </w:r>
      <w:r w:rsidRPr="00C859FE">
        <w:rPr>
          <w:lang w:val="pt-BR"/>
        </w:rPr>
        <w:t>Departamento de Química, Instituto de Ciências Exatas, Universidade Federal de Minas Gerais. Av. Antônio Carlos, 6627, 31270-901, Belo Horizonte - MG, Brazil.</w:t>
      </w:r>
      <w:r w:rsidRPr="00C859FE">
        <w:rPr>
          <w:vertAlign w:val="superscript"/>
          <w:lang w:val="pt-BR"/>
        </w:rPr>
        <w:t xml:space="preserve"> </w:t>
      </w:r>
    </w:p>
    <w:p w14:paraId="75535A2F" w14:textId="77777777" w:rsidR="00E978D0" w:rsidRPr="00C859FE" w:rsidRDefault="00216F5D" w:rsidP="00216F5D">
      <w:pPr>
        <w:pStyle w:val="CETAddress"/>
        <w:rPr>
          <w:lang w:val="en-US"/>
        </w:rPr>
      </w:pPr>
      <w:r w:rsidRPr="00C859FE">
        <w:rPr>
          <w:vertAlign w:val="superscript"/>
          <w:lang w:val="pt-BR"/>
        </w:rPr>
        <w:t>c</w:t>
      </w:r>
      <w:r w:rsidRPr="00C859FE">
        <w:rPr>
          <w:lang w:val="pt-BR"/>
        </w:rPr>
        <w:t xml:space="preserve">Departamento de Microbiologia, Instituto de Ciências Biológicas, Universidade Federal de Minas Gerais. </w:t>
      </w:r>
      <w:r w:rsidRPr="00C859FE">
        <w:t>Av. Antônio Carlos, 6627, 31270-901, Belo Horizonte - MG, Brazil.</w:t>
      </w:r>
      <w:r w:rsidR="00E978D0" w:rsidRPr="00C859FE">
        <w:rPr>
          <w:lang w:val="en-US"/>
        </w:rPr>
        <w:t xml:space="preserve"> </w:t>
      </w:r>
    </w:p>
    <w:p w14:paraId="19B7BE1A" w14:textId="77777777" w:rsidR="00E978D0" w:rsidRPr="00C859FE" w:rsidRDefault="00AB5011" w:rsidP="00E978D0">
      <w:pPr>
        <w:pStyle w:val="CETemail"/>
      </w:pPr>
      <w:r w:rsidRPr="00C859FE">
        <w:rPr>
          <w:lang w:val="en-US"/>
        </w:rPr>
        <w:t xml:space="preserve"> </w:t>
      </w:r>
      <w:r w:rsidR="003A2BC8" w:rsidRPr="00C859FE">
        <w:t>fclpenido</w:t>
      </w:r>
      <w:r w:rsidR="00600535" w:rsidRPr="00C859FE">
        <w:t>@</w:t>
      </w:r>
      <w:r w:rsidR="003A2BC8" w:rsidRPr="00C859FE">
        <w:t>gmail.com</w:t>
      </w:r>
      <w:r w:rsidR="00600535" w:rsidRPr="00C859FE">
        <w:t xml:space="preserve"> </w:t>
      </w:r>
    </w:p>
    <w:p w14:paraId="3904BD31" w14:textId="483E3DA9" w:rsidR="00600535" w:rsidRPr="00C859FE" w:rsidRDefault="0054676B" w:rsidP="00600535">
      <w:pPr>
        <w:pStyle w:val="CETBodytext"/>
        <w:rPr>
          <w:lang w:val="en-GB"/>
        </w:rPr>
      </w:pPr>
      <w:r w:rsidRPr="00243ACE">
        <w:rPr>
          <w:lang w:val="en-GB"/>
        </w:rPr>
        <w:t>Sour cassava starch</w:t>
      </w:r>
      <w:r w:rsidR="00037388" w:rsidRPr="00243ACE">
        <w:rPr>
          <w:lang w:val="en-GB"/>
        </w:rPr>
        <w:t xml:space="preserve"> is a product obtained from </w:t>
      </w:r>
      <w:r w:rsidR="00037388" w:rsidRPr="00243ACE">
        <w:t>cassava (</w:t>
      </w:r>
      <w:r w:rsidR="00037388" w:rsidRPr="00243ACE">
        <w:rPr>
          <w:i/>
        </w:rPr>
        <w:t>Manihot esculenta</w:t>
      </w:r>
      <w:r w:rsidR="00037388" w:rsidRPr="00243ACE">
        <w:t xml:space="preserve"> Crantz) </w:t>
      </w:r>
      <w:r w:rsidR="00037388" w:rsidRPr="00243ACE">
        <w:rPr>
          <w:lang w:val="en-GB"/>
        </w:rPr>
        <w:t>processing to overcome raw material toxicity and low nutritional value (lipids and proteins). It</w:t>
      </w:r>
      <w:r w:rsidRPr="00243ACE">
        <w:rPr>
          <w:lang w:val="en-GB"/>
        </w:rPr>
        <w:t xml:space="preserve"> has the potential to succeed in the international market due to its </w:t>
      </w:r>
      <w:r w:rsidR="00037388" w:rsidRPr="00243ACE">
        <w:rPr>
          <w:lang w:val="en-GB"/>
        </w:rPr>
        <w:t xml:space="preserve">innovative </w:t>
      </w:r>
      <w:r w:rsidRPr="00243ACE">
        <w:rPr>
          <w:lang w:val="en-GB"/>
        </w:rPr>
        <w:t>use in gluten-free baked products</w:t>
      </w:r>
      <w:r w:rsidRPr="00C859FE">
        <w:rPr>
          <w:lang w:val="en-GB"/>
        </w:rPr>
        <w:t xml:space="preserve">. However, the requirements of this market are high and a standardized fermentation process is necessary to obtain an innocuous product of homogeneous quality. The aim of this work was to produce sour cassava </w:t>
      </w:r>
      <w:r w:rsidRPr="00243ACE">
        <w:rPr>
          <w:lang w:val="en-GB"/>
        </w:rPr>
        <w:t xml:space="preserve">starch in </w:t>
      </w:r>
      <w:r w:rsidR="00243ACE" w:rsidRPr="00243ACE">
        <w:rPr>
          <w:lang w:val="en-GB"/>
        </w:rPr>
        <w:t xml:space="preserve">a </w:t>
      </w:r>
      <w:r w:rsidRPr="00243ACE">
        <w:rPr>
          <w:lang w:val="en-GB"/>
        </w:rPr>
        <w:t xml:space="preserve">pilot-scale fermentation process with </w:t>
      </w:r>
      <w:r w:rsidRPr="00243ACE">
        <w:rPr>
          <w:i/>
          <w:lang w:val="en-GB"/>
        </w:rPr>
        <w:t>Lactobacillus plantarum</w:t>
      </w:r>
      <w:r w:rsidRPr="00243ACE">
        <w:rPr>
          <w:lang w:val="en-GB"/>
        </w:rPr>
        <w:t xml:space="preserve"> as a single culture and in co-culture with </w:t>
      </w:r>
      <w:r w:rsidRPr="00243ACE">
        <w:rPr>
          <w:i/>
          <w:lang w:val="en-GB"/>
        </w:rPr>
        <w:t>Pichia scutulata</w:t>
      </w:r>
      <w:r w:rsidRPr="00243ACE">
        <w:rPr>
          <w:lang w:val="en-GB"/>
        </w:rPr>
        <w:t xml:space="preserve"> </w:t>
      </w:r>
      <w:r w:rsidR="00243ACE" w:rsidRPr="00243ACE">
        <w:rPr>
          <w:lang w:val="en-GB"/>
        </w:rPr>
        <w:t>and</w:t>
      </w:r>
      <w:r w:rsidR="008735AD" w:rsidRPr="00243ACE">
        <w:rPr>
          <w:lang w:val="en-GB"/>
        </w:rPr>
        <w:t xml:space="preserve"> </w:t>
      </w:r>
      <w:r w:rsidRPr="00243ACE">
        <w:rPr>
          <w:lang w:val="en-GB"/>
        </w:rPr>
        <w:t xml:space="preserve">to determine the fatty acids and volatile compounds profile. The starter cultures contributed to standardization </w:t>
      </w:r>
      <w:r w:rsidRPr="00295E08">
        <w:rPr>
          <w:noProof/>
          <w:lang w:val="en-GB"/>
        </w:rPr>
        <w:t>because,</w:t>
      </w:r>
      <w:r w:rsidRPr="00243ACE">
        <w:rPr>
          <w:lang w:val="en-GB"/>
        </w:rPr>
        <w:t xml:space="preserve"> regardless of the culture tested, it was possible to obtain sour cassava starches safe for consumption </w:t>
      </w:r>
      <w:r w:rsidR="00947F29" w:rsidRPr="00243ACE">
        <w:rPr>
          <w:lang w:val="en-GB"/>
        </w:rPr>
        <w:t>(</w:t>
      </w:r>
      <w:r w:rsidR="00947F29" w:rsidRPr="00243ACE">
        <w:rPr>
          <w:noProof/>
        </w:rPr>
        <w:t>absence</w:t>
      </w:r>
      <w:r w:rsidR="00947F29" w:rsidRPr="00243ACE">
        <w:t xml:space="preserve"> </w:t>
      </w:r>
      <w:r w:rsidR="00F906DE">
        <w:t>and</w:t>
      </w:r>
      <w:r w:rsidR="00947F29" w:rsidRPr="00243ACE">
        <w:t xml:space="preserve"> low count</w:t>
      </w:r>
      <w:r w:rsidR="00F906DE">
        <w:t>s of pathogens</w:t>
      </w:r>
      <w:r w:rsidR="00947F29" w:rsidRPr="00243ACE">
        <w:rPr>
          <w:lang w:val="en-GB"/>
        </w:rPr>
        <w:t xml:space="preserve">) </w:t>
      </w:r>
      <w:r w:rsidRPr="00243ACE">
        <w:rPr>
          <w:lang w:val="en-GB"/>
        </w:rPr>
        <w:t>with satisfactory acidity</w:t>
      </w:r>
      <w:r w:rsidR="008735AD" w:rsidRPr="00243ACE">
        <w:rPr>
          <w:lang w:val="en-GB"/>
        </w:rPr>
        <w:t xml:space="preserve"> (</w:t>
      </w:r>
      <w:r w:rsidR="00F906DE">
        <w:t>between</w:t>
      </w:r>
      <w:r w:rsidR="008735AD" w:rsidRPr="00243ACE">
        <w:t xml:space="preserve"> 1</w:t>
      </w:r>
      <w:r w:rsidR="00F906DE">
        <w:t>and 5</w:t>
      </w:r>
      <w:r w:rsidR="008735AD" w:rsidRPr="00243ACE">
        <w:t> %</w:t>
      </w:r>
      <w:r w:rsidR="008735AD" w:rsidRPr="00243ACE">
        <w:rPr>
          <w:lang w:val="en-GB"/>
        </w:rPr>
        <w:t>)</w:t>
      </w:r>
      <w:r w:rsidRPr="00243ACE">
        <w:rPr>
          <w:lang w:val="en-GB"/>
        </w:rPr>
        <w:t xml:space="preserve"> and expansion</w:t>
      </w:r>
      <w:r w:rsidR="008735AD" w:rsidRPr="00243ACE">
        <w:rPr>
          <w:lang w:val="en-GB"/>
        </w:rPr>
        <w:t xml:space="preserve"> </w:t>
      </w:r>
      <w:r w:rsidR="00373C8F">
        <w:rPr>
          <w:lang w:val="en-GB"/>
        </w:rPr>
        <w:t xml:space="preserve">capacity </w:t>
      </w:r>
      <w:r w:rsidR="008735AD" w:rsidRPr="00243ACE">
        <w:rPr>
          <w:lang w:val="en-GB"/>
        </w:rPr>
        <w:t>(</w:t>
      </w:r>
      <w:r w:rsidR="008735AD" w:rsidRPr="00243ACE">
        <w:t>higher than 1</w:t>
      </w:r>
      <w:r w:rsidR="00746B35">
        <w:t>.00</w:t>
      </w:r>
      <w:r w:rsidR="008735AD" w:rsidRPr="00243ACE">
        <w:rPr>
          <w:lang w:val="en-GB"/>
        </w:rPr>
        <w:t>)</w:t>
      </w:r>
      <w:r w:rsidRPr="00243ACE">
        <w:rPr>
          <w:lang w:val="en-GB"/>
        </w:rPr>
        <w:t>.</w:t>
      </w:r>
      <w:r w:rsidRPr="00C859FE">
        <w:rPr>
          <w:lang w:val="en-GB"/>
        </w:rPr>
        <w:t xml:space="preserve"> The products obtained with single and mixed cultures exhibited a reduction of saturated fat (3.6</w:t>
      </w:r>
      <w:r w:rsidR="00C3191D" w:rsidRPr="00B57B36">
        <w:t> </w:t>
      </w:r>
      <w:r w:rsidRPr="00C859FE">
        <w:rPr>
          <w:lang w:val="en-GB"/>
        </w:rPr>
        <w:t>% and 8.1</w:t>
      </w:r>
      <w:r w:rsidR="00C3191D" w:rsidRPr="00B57B36">
        <w:t> </w:t>
      </w:r>
      <w:r w:rsidRPr="00C859FE">
        <w:rPr>
          <w:lang w:val="en-GB"/>
        </w:rPr>
        <w:t>%, respectively)</w:t>
      </w:r>
      <w:r w:rsidR="00947F29">
        <w:rPr>
          <w:lang w:val="en-GB"/>
        </w:rPr>
        <w:t>,</w:t>
      </w:r>
      <w:r w:rsidRPr="00C859FE">
        <w:rPr>
          <w:lang w:val="en-GB"/>
        </w:rPr>
        <w:t xml:space="preserve"> an increase of the unsaturated fat (2.3 </w:t>
      </w:r>
      <w:r w:rsidRPr="00243ACE">
        <w:rPr>
          <w:lang w:val="en-GB"/>
        </w:rPr>
        <w:t>times)</w:t>
      </w:r>
      <w:r w:rsidR="00243ACE" w:rsidRPr="00243ACE">
        <w:rPr>
          <w:lang w:val="en-GB"/>
        </w:rPr>
        <w:t>,</w:t>
      </w:r>
      <w:r w:rsidR="00947F29" w:rsidRPr="00243ACE">
        <w:rPr>
          <w:lang w:val="en-GB"/>
        </w:rPr>
        <w:t xml:space="preserve"> and an increase of the</w:t>
      </w:r>
      <w:r w:rsidRPr="00243ACE">
        <w:rPr>
          <w:lang w:val="en-GB"/>
        </w:rPr>
        <w:t xml:space="preserve"> oleic</w:t>
      </w:r>
      <w:r w:rsidRPr="00C859FE">
        <w:rPr>
          <w:lang w:val="en-GB"/>
        </w:rPr>
        <w:t xml:space="preserve">, linoleic and linolenic acids </w:t>
      </w:r>
      <w:r w:rsidR="00947F29" w:rsidRPr="00C859FE">
        <w:rPr>
          <w:lang w:val="en-GB"/>
        </w:rPr>
        <w:t>proportion</w:t>
      </w:r>
      <w:r w:rsidR="00B701A9">
        <w:rPr>
          <w:lang w:val="en-GB"/>
        </w:rPr>
        <w:t>. These fatty acids have a positive effect on human health and wellbeing</w:t>
      </w:r>
      <w:r w:rsidRPr="00C859FE">
        <w:rPr>
          <w:lang w:val="en-GB"/>
        </w:rPr>
        <w:t xml:space="preserve">. </w:t>
      </w:r>
      <w:r w:rsidRPr="00243ACE">
        <w:rPr>
          <w:lang w:val="en-GB"/>
        </w:rPr>
        <w:t xml:space="preserve">A greater variety of desirable volatile compounds was </w:t>
      </w:r>
      <w:r w:rsidR="00947F29" w:rsidRPr="00243ACE">
        <w:rPr>
          <w:lang w:val="en-GB"/>
        </w:rPr>
        <w:t>a differential of the</w:t>
      </w:r>
      <w:r w:rsidRPr="00243ACE">
        <w:rPr>
          <w:lang w:val="en-GB"/>
        </w:rPr>
        <w:t xml:space="preserve"> product obtained with the mixed culture</w:t>
      </w:r>
      <w:r w:rsidRPr="00C859FE">
        <w:rPr>
          <w:lang w:val="en-GB"/>
        </w:rPr>
        <w:t xml:space="preserve">. Therefore, </w:t>
      </w:r>
      <w:r w:rsidRPr="00C859FE">
        <w:rPr>
          <w:i/>
          <w:lang w:val="en-GB"/>
        </w:rPr>
        <w:t>L. plantarum</w:t>
      </w:r>
      <w:r w:rsidRPr="00C859FE">
        <w:rPr>
          <w:lang w:val="en-GB"/>
        </w:rPr>
        <w:t xml:space="preserve"> with </w:t>
      </w:r>
      <w:r w:rsidRPr="00C859FE">
        <w:rPr>
          <w:i/>
          <w:lang w:val="en-GB"/>
        </w:rPr>
        <w:t>P. scutulata</w:t>
      </w:r>
      <w:r w:rsidRPr="00C859FE">
        <w:rPr>
          <w:lang w:val="en-GB"/>
        </w:rPr>
        <w:t xml:space="preserve"> was the starter culture that exhibited better results in the pilot-scale fermentation process and has the potential for the industrial production of sour cassava starch.</w:t>
      </w:r>
    </w:p>
    <w:p w14:paraId="05DAE12A" w14:textId="77777777" w:rsidR="00600535" w:rsidRPr="00C859FE" w:rsidRDefault="00600535" w:rsidP="00600535">
      <w:pPr>
        <w:pStyle w:val="CETHeading1"/>
        <w:rPr>
          <w:lang w:val="en-GB"/>
        </w:rPr>
      </w:pPr>
      <w:r w:rsidRPr="00C859FE">
        <w:rPr>
          <w:lang w:val="en-GB"/>
        </w:rPr>
        <w:t>Introduction</w:t>
      </w:r>
    </w:p>
    <w:p w14:paraId="38FCAC00" w14:textId="641E7FA7" w:rsidR="00507F1C" w:rsidRPr="00507F1C" w:rsidRDefault="00507F1C" w:rsidP="00BC1AD5">
      <w:pPr>
        <w:pStyle w:val="CETBodytext"/>
      </w:pPr>
      <w:r w:rsidRPr="00507F1C">
        <w:t xml:space="preserve">The cultivation and consumption of </w:t>
      </w:r>
      <w:r>
        <w:t>cassava</w:t>
      </w:r>
      <w:r w:rsidRPr="00507F1C">
        <w:t xml:space="preserve"> (</w:t>
      </w:r>
      <w:r w:rsidRPr="00507F1C">
        <w:rPr>
          <w:i/>
        </w:rPr>
        <w:t>Manihot esculenta</w:t>
      </w:r>
      <w:r w:rsidRPr="00507F1C">
        <w:t xml:space="preserve"> Crantz) </w:t>
      </w:r>
      <w:r w:rsidR="00481327">
        <w:rPr>
          <w:noProof/>
        </w:rPr>
        <w:t>are</w:t>
      </w:r>
      <w:r w:rsidRPr="00507F1C">
        <w:t xml:space="preserve"> </w:t>
      </w:r>
      <w:r w:rsidR="009D3249">
        <w:t>present</w:t>
      </w:r>
      <w:r w:rsidRPr="00507F1C">
        <w:t xml:space="preserve"> in the culture </w:t>
      </w:r>
      <w:r w:rsidR="00B04B17">
        <w:t>o</w:t>
      </w:r>
      <w:r w:rsidRPr="00507F1C">
        <w:t xml:space="preserve">f different </w:t>
      </w:r>
      <w:r>
        <w:t>nations</w:t>
      </w:r>
      <w:r w:rsidRPr="00507F1C">
        <w:t xml:space="preserve"> and </w:t>
      </w:r>
      <w:r>
        <w:t xml:space="preserve">it </w:t>
      </w:r>
      <w:r w:rsidRPr="00507F1C">
        <w:t xml:space="preserve">is of great importance to the South American and African economies. Although widely consumed, cassava presents limitations of trade and industrial applications mainly due to </w:t>
      </w:r>
      <w:r w:rsidR="00A62ED3">
        <w:t>fast post-harvest deterioration</w:t>
      </w:r>
      <w:r w:rsidRPr="00507F1C">
        <w:t xml:space="preserve"> and intrinsic toxicity (Alamu et al., 2017). In addition, the low concentration of important nutrients</w:t>
      </w:r>
      <w:r w:rsidR="00A62ED3">
        <w:t>,</w:t>
      </w:r>
      <w:r w:rsidRPr="00507F1C">
        <w:t xml:space="preserve"> such as proteins and unsaturated fatty acids</w:t>
      </w:r>
      <w:r w:rsidR="00A62ED3">
        <w:t>,</w:t>
      </w:r>
      <w:r w:rsidRPr="00507F1C">
        <w:t xml:space="preserve"> in their roots impacts on undernourished populations that use this root and its by-products as </w:t>
      </w:r>
      <w:r w:rsidR="00A62ED3">
        <w:t xml:space="preserve">one of </w:t>
      </w:r>
      <w:r w:rsidRPr="00507F1C">
        <w:t xml:space="preserve">the main source of calories because they are </w:t>
      </w:r>
      <w:r w:rsidR="00A62ED3">
        <w:t>rich in</w:t>
      </w:r>
      <w:r w:rsidRPr="00507F1C">
        <w:t xml:space="preserve"> carbohydrates as well as some minerals and vitamins (Burns et al., 2012). Thus, different technological processes have been applied and proposed to overcome these limitations and increase the commercial value of this crop.</w:t>
      </w:r>
    </w:p>
    <w:p w14:paraId="725EE271" w14:textId="66AF664D" w:rsidR="00DC056A" w:rsidRDefault="003014DF" w:rsidP="00BC1AD5">
      <w:pPr>
        <w:pStyle w:val="CETBodytext"/>
      </w:pPr>
      <w:r>
        <w:t>T</w:t>
      </w:r>
      <w:r w:rsidRPr="003014DF">
        <w:t xml:space="preserve">he </w:t>
      </w:r>
      <w:r>
        <w:t>natural fermentation</w:t>
      </w:r>
      <w:r w:rsidRPr="003014DF">
        <w:t xml:space="preserve"> of the starch extracted from the cassava root followed by </w:t>
      </w:r>
      <w:r>
        <w:t xml:space="preserve">sun </w:t>
      </w:r>
      <w:r w:rsidRPr="003014DF">
        <w:t xml:space="preserve">drying to obtain the sour </w:t>
      </w:r>
      <w:r>
        <w:t xml:space="preserve">cassava starch </w:t>
      </w:r>
      <w:r w:rsidRPr="003014DF">
        <w:t>is a traditional technology widely used in Brazil (Demiate and Kotovicz, 2011). A varied microbiota from the raw material, water</w:t>
      </w:r>
      <w:r w:rsidR="00481327">
        <w:t>,</w:t>
      </w:r>
      <w:r w:rsidRPr="003014DF">
        <w:t xml:space="preserve"> </w:t>
      </w:r>
      <w:r w:rsidRPr="00481327">
        <w:rPr>
          <w:noProof/>
        </w:rPr>
        <w:t>and</w:t>
      </w:r>
      <w:r w:rsidRPr="003014DF">
        <w:t xml:space="preserve"> fermentation tanks begins a competition that culminates in the spontaneous fermentation of </w:t>
      </w:r>
      <w:r w:rsidR="009D3249">
        <w:t xml:space="preserve">the </w:t>
      </w:r>
      <w:r w:rsidRPr="003014DF">
        <w:t xml:space="preserve">starch with the participation of yeasts and </w:t>
      </w:r>
      <w:r w:rsidR="00481327">
        <w:t xml:space="preserve">the </w:t>
      </w:r>
      <w:r w:rsidRPr="00481327">
        <w:rPr>
          <w:noProof/>
        </w:rPr>
        <w:t>predominance</w:t>
      </w:r>
      <w:r w:rsidRPr="003014DF">
        <w:t xml:space="preserve"> of lactic acid </w:t>
      </w:r>
      <w:r w:rsidRPr="003014DF">
        <w:lastRenderedPageBreak/>
        <w:t>bacteria (</w:t>
      </w:r>
      <w:r>
        <w:t>LAB</w:t>
      </w:r>
      <w:r w:rsidRPr="003014DF">
        <w:t xml:space="preserve">), mainly of the genus </w:t>
      </w:r>
      <w:r w:rsidRPr="003014DF">
        <w:rPr>
          <w:i/>
        </w:rPr>
        <w:t>Lactobacillus</w:t>
      </w:r>
      <w:r w:rsidRPr="003014DF">
        <w:t xml:space="preserve"> (</w:t>
      </w:r>
      <w:r w:rsidR="00FB584F">
        <w:t>Penido</w:t>
      </w:r>
      <w:r w:rsidRPr="003014DF">
        <w:t xml:space="preserve"> et al., 20</w:t>
      </w:r>
      <w:r w:rsidR="00FB584F">
        <w:t>18</w:t>
      </w:r>
      <w:r w:rsidRPr="003014DF">
        <w:t xml:space="preserve">). During fermentation, the metabolism of these microorganisms alters the </w:t>
      </w:r>
      <w:r>
        <w:t xml:space="preserve">cassava </w:t>
      </w:r>
      <w:r w:rsidRPr="003014DF">
        <w:t>starch</w:t>
      </w:r>
      <w:r>
        <w:t xml:space="preserve"> and</w:t>
      </w:r>
      <w:r w:rsidRPr="003014DF">
        <w:t xml:space="preserve"> remove </w:t>
      </w:r>
      <w:r w:rsidR="001A168F">
        <w:t>the</w:t>
      </w:r>
      <w:r w:rsidRPr="003014DF">
        <w:t xml:space="preserve"> cyanogenic glycosides</w:t>
      </w:r>
      <w:r w:rsidR="001A168F">
        <w:t xml:space="preserve">, </w:t>
      </w:r>
      <w:r w:rsidR="009D3249">
        <w:t xml:space="preserve">mainly </w:t>
      </w:r>
      <w:r w:rsidR="001A168F">
        <w:t>responsible for its toxicity</w:t>
      </w:r>
      <w:r w:rsidRPr="003014DF">
        <w:t xml:space="preserve"> (Montagnac et al., 2009). The </w:t>
      </w:r>
      <w:r w:rsidR="001A168F">
        <w:t>LAB</w:t>
      </w:r>
      <w:r w:rsidRPr="003014DF">
        <w:t xml:space="preserve"> </w:t>
      </w:r>
      <w:r w:rsidRPr="00295E08">
        <w:rPr>
          <w:noProof/>
        </w:rPr>
        <w:t>hydrolyze</w:t>
      </w:r>
      <w:r w:rsidRPr="003014DF">
        <w:t xml:space="preserve"> the starch and acidify the medium, which </w:t>
      </w:r>
      <w:r w:rsidR="009D3249">
        <w:t>leads to</w:t>
      </w:r>
      <w:r w:rsidRPr="003014DF">
        <w:t xml:space="preserve"> the improvement of </w:t>
      </w:r>
      <w:r w:rsidR="001A168F">
        <w:t>sour cassava starch</w:t>
      </w:r>
      <w:r w:rsidRPr="003014DF">
        <w:t xml:space="preserve"> </w:t>
      </w:r>
      <w:r w:rsidR="009D3249">
        <w:t xml:space="preserve">aroma </w:t>
      </w:r>
      <w:r w:rsidRPr="003014DF">
        <w:t xml:space="preserve">and </w:t>
      </w:r>
      <w:r w:rsidR="001A168F">
        <w:t>in</w:t>
      </w:r>
      <w:r w:rsidRPr="003014DF">
        <w:t xml:space="preserve"> the production of antimicrobial </w:t>
      </w:r>
      <w:r w:rsidR="001029C0" w:rsidRPr="003014DF">
        <w:t>compounds</w:t>
      </w:r>
      <w:r w:rsidR="001029C0">
        <w:t xml:space="preserve">, </w:t>
      </w:r>
      <w:r w:rsidR="001029C0" w:rsidRPr="003014DF">
        <w:t>which</w:t>
      </w:r>
      <w:r w:rsidRPr="003014DF">
        <w:t xml:space="preserve"> inhibit the growth of pathogenic microorganisms (Jácome et al., </w:t>
      </w:r>
      <w:r w:rsidRPr="00665843">
        <w:t xml:space="preserve">2014). </w:t>
      </w:r>
      <w:r w:rsidR="001A168F" w:rsidRPr="00665843">
        <w:t>On the other hand, t</w:t>
      </w:r>
      <w:r w:rsidRPr="00665843">
        <w:t xml:space="preserve">he yeasts, when used in mixed cultures, can contribute to the improvement of the sensorial characteristics of </w:t>
      </w:r>
      <w:r w:rsidR="001A168F" w:rsidRPr="00665843">
        <w:t xml:space="preserve">fermented </w:t>
      </w:r>
      <w:r w:rsidRPr="00665843">
        <w:t>products through the synthesis of different volatile compo</w:t>
      </w:r>
      <w:r w:rsidR="001A168F" w:rsidRPr="00665843">
        <w:t>unds (Sorrentino et al., 2013).</w:t>
      </w:r>
      <w:r w:rsidR="00BA2686">
        <w:t xml:space="preserve"> </w:t>
      </w:r>
      <w:r w:rsidR="00DC056A">
        <w:t>Nevertheless, t</w:t>
      </w:r>
      <w:r w:rsidR="00DC056A" w:rsidRPr="00DC056A">
        <w:t xml:space="preserve">he spontaneous fermentation for the production of </w:t>
      </w:r>
      <w:r w:rsidR="00DC056A">
        <w:t>sour cassava starch</w:t>
      </w:r>
      <w:r w:rsidR="00DC056A" w:rsidRPr="00DC056A">
        <w:t xml:space="preserve"> </w:t>
      </w:r>
      <w:r w:rsidR="002618EB">
        <w:t>occurs in</w:t>
      </w:r>
      <w:r w:rsidR="00DC056A" w:rsidRPr="00DC056A">
        <w:t xml:space="preserve"> small and medium</w:t>
      </w:r>
      <w:r w:rsidR="002618EB">
        <w:t>-</w:t>
      </w:r>
      <w:r w:rsidR="00DC056A" w:rsidRPr="00DC056A">
        <w:t xml:space="preserve">sized </w:t>
      </w:r>
      <w:r w:rsidR="002618EB">
        <w:t>rural industries</w:t>
      </w:r>
      <w:r w:rsidR="00DC056A" w:rsidRPr="00DC056A">
        <w:t xml:space="preserve"> in a</w:t>
      </w:r>
      <w:r w:rsidR="002618EB">
        <w:t>n</w:t>
      </w:r>
      <w:r w:rsidR="00DC056A" w:rsidRPr="00DC056A">
        <w:t xml:space="preserve"> empirical and rudimentary way</w:t>
      </w:r>
      <w:r w:rsidR="00DC056A">
        <w:t xml:space="preserve">. </w:t>
      </w:r>
      <w:r w:rsidR="008A229D">
        <w:t xml:space="preserve">This fermentation </w:t>
      </w:r>
      <w:r w:rsidR="008A229D" w:rsidRPr="00DC056A">
        <w:t xml:space="preserve">culminates in low homogeneity and </w:t>
      </w:r>
      <w:r w:rsidR="008A229D" w:rsidRPr="00481327">
        <w:rPr>
          <w:noProof/>
        </w:rPr>
        <w:t>low</w:t>
      </w:r>
      <w:r w:rsidR="00481327">
        <w:rPr>
          <w:noProof/>
        </w:rPr>
        <w:t>-</w:t>
      </w:r>
      <w:r w:rsidR="008A229D" w:rsidRPr="00481327">
        <w:rPr>
          <w:noProof/>
        </w:rPr>
        <w:t>quality</w:t>
      </w:r>
      <w:r w:rsidR="008A229D">
        <w:t xml:space="preserve"> products. The reasons are the </w:t>
      </w:r>
      <w:r w:rsidR="00DC056A" w:rsidRPr="00DC056A">
        <w:t>lack of standardization and the complexity of the natural microbiota (Penido et al., 2018).</w:t>
      </w:r>
      <w:r w:rsidR="008A229D">
        <w:t xml:space="preserve"> T</w:t>
      </w:r>
      <w:r w:rsidR="00DC056A" w:rsidRPr="00DC056A">
        <w:t xml:space="preserve">he objective of this work was to produce </w:t>
      </w:r>
      <w:r w:rsidR="008A229D">
        <w:t xml:space="preserve">sour cassava starch in </w:t>
      </w:r>
      <w:r w:rsidR="00DC056A" w:rsidRPr="00DC056A">
        <w:t>a pilot</w:t>
      </w:r>
      <w:r w:rsidR="008A229D">
        <w:t>-</w:t>
      </w:r>
      <w:r w:rsidR="00DC056A" w:rsidRPr="00DC056A">
        <w:t xml:space="preserve">scale </w:t>
      </w:r>
      <w:r w:rsidR="008A229D">
        <w:t>fermentation process with</w:t>
      </w:r>
      <w:r w:rsidR="00DC056A" w:rsidRPr="00DC056A">
        <w:t xml:space="preserve"> the use of </w:t>
      </w:r>
      <w:r w:rsidR="00DC056A" w:rsidRPr="008A229D">
        <w:rPr>
          <w:i/>
        </w:rPr>
        <w:t>Lactobacillus plantarum</w:t>
      </w:r>
      <w:r w:rsidR="00DC056A" w:rsidRPr="00DC056A">
        <w:t xml:space="preserve"> as a </w:t>
      </w:r>
      <w:r w:rsidR="00175029">
        <w:t>single</w:t>
      </w:r>
      <w:r w:rsidR="00DC056A" w:rsidRPr="00DC056A">
        <w:t xml:space="preserve"> starter culture and in co</w:t>
      </w:r>
      <w:r w:rsidR="008A229D">
        <w:t>-</w:t>
      </w:r>
      <w:r w:rsidR="00DC056A" w:rsidRPr="00DC056A">
        <w:t xml:space="preserve">culture with </w:t>
      </w:r>
      <w:r w:rsidR="00DC056A" w:rsidRPr="008A229D">
        <w:rPr>
          <w:i/>
        </w:rPr>
        <w:t>Pichia scutulata</w:t>
      </w:r>
      <w:r w:rsidR="00DC056A" w:rsidRPr="00DC056A">
        <w:t xml:space="preserve"> to evaluate its impact on </w:t>
      </w:r>
      <w:r w:rsidR="00534CF7">
        <w:t>physicochemical and microbiological parameters</w:t>
      </w:r>
      <w:r w:rsidR="00DC056A" w:rsidRPr="00DC056A">
        <w:t>, fatty acid profile</w:t>
      </w:r>
      <w:r w:rsidR="00555B64">
        <w:t>,</w:t>
      </w:r>
      <w:r w:rsidR="00DC056A" w:rsidRPr="00DC056A">
        <w:t xml:space="preserve"> and volatile compounds.</w:t>
      </w:r>
    </w:p>
    <w:p w14:paraId="3D21FBB1" w14:textId="77777777" w:rsidR="00600535" w:rsidRPr="00C859FE" w:rsidRDefault="00EA32AA" w:rsidP="00600535">
      <w:pPr>
        <w:pStyle w:val="CETHeading1"/>
        <w:tabs>
          <w:tab w:val="clear" w:pos="360"/>
          <w:tab w:val="right" w:pos="7100"/>
        </w:tabs>
        <w:jc w:val="both"/>
        <w:rPr>
          <w:lang w:val="en-GB"/>
        </w:rPr>
      </w:pPr>
      <w:r w:rsidRPr="00C859FE">
        <w:rPr>
          <w:lang w:val="en-GB"/>
        </w:rPr>
        <w:t>Materials and Method</w:t>
      </w:r>
      <w:r w:rsidR="00AB5011" w:rsidRPr="00C859FE">
        <w:rPr>
          <w:lang w:val="en-GB"/>
        </w:rPr>
        <w:t>s</w:t>
      </w:r>
    </w:p>
    <w:p w14:paraId="5BC18BD7" w14:textId="77777777" w:rsidR="00AB4DCD" w:rsidRPr="00C859FE" w:rsidRDefault="00AB4DCD" w:rsidP="00AB4DCD">
      <w:pPr>
        <w:pStyle w:val="CETheadingx"/>
      </w:pPr>
      <w:r w:rsidRPr="00C859FE">
        <w:t>Pilot-scale fermentation process</w:t>
      </w:r>
    </w:p>
    <w:p w14:paraId="72575E61" w14:textId="0C50532F" w:rsidR="009E2A3F" w:rsidRDefault="008346A1" w:rsidP="00A206C9">
      <w:pPr>
        <w:pStyle w:val="CETBodytext"/>
      </w:pPr>
      <w:r w:rsidRPr="008346A1">
        <w:t xml:space="preserve">A </w:t>
      </w:r>
      <w:r w:rsidR="00175029">
        <w:t>single</w:t>
      </w:r>
      <w:r w:rsidRPr="008346A1">
        <w:t xml:space="preserve"> </w:t>
      </w:r>
      <w:r>
        <w:t>starte</w:t>
      </w:r>
      <w:r w:rsidRPr="008346A1">
        <w:t xml:space="preserve">r culture of </w:t>
      </w:r>
      <w:r w:rsidRPr="008346A1">
        <w:rPr>
          <w:i/>
        </w:rPr>
        <w:t>L. plantarum</w:t>
      </w:r>
      <w:r w:rsidRPr="008346A1">
        <w:t xml:space="preserve"> (C1) and a </w:t>
      </w:r>
      <w:r>
        <w:t xml:space="preserve">mixed </w:t>
      </w:r>
      <w:r w:rsidRPr="008346A1">
        <w:t xml:space="preserve">culture of </w:t>
      </w:r>
      <w:r w:rsidRPr="008346A1">
        <w:rPr>
          <w:i/>
        </w:rPr>
        <w:t xml:space="preserve">L. plantarum </w:t>
      </w:r>
      <w:r>
        <w:t xml:space="preserve">in association </w:t>
      </w:r>
      <w:r w:rsidRPr="008346A1">
        <w:t>with</w:t>
      </w:r>
      <w:r w:rsidRPr="008346A1">
        <w:rPr>
          <w:i/>
        </w:rPr>
        <w:t xml:space="preserve"> P. scutulata</w:t>
      </w:r>
      <w:r w:rsidRPr="008346A1">
        <w:t xml:space="preserve"> (C2) were submitted to fermentation for 21 days </w:t>
      </w:r>
      <w:r w:rsidR="0004379C">
        <w:t xml:space="preserve">at room temperature </w:t>
      </w:r>
      <w:r>
        <w:t>to</w:t>
      </w:r>
      <w:r w:rsidRPr="008346A1">
        <w:t xml:space="preserve"> produc</w:t>
      </w:r>
      <w:r>
        <w:t>e sour cassava starch</w:t>
      </w:r>
      <w:r w:rsidRPr="008346A1">
        <w:t xml:space="preserve"> </w:t>
      </w:r>
      <w:r>
        <w:t>i</w:t>
      </w:r>
      <w:r w:rsidRPr="008346A1">
        <w:t xml:space="preserve">n a pilot scale </w:t>
      </w:r>
      <w:r w:rsidR="00665843" w:rsidRPr="00243ACE">
        <w:t>(Penido et al.</w:t>
      </w:r>
      <w:r w:rsidR="00243ACE">
        <w:t>,</w:t>
      </w:r>
      <w:r w:rsidR="00665843" w:rsidRPr="00243ACE">
        <w:t xml:space="preserve"> </w:t>
      </w:r>
      <w:r w:rsidRPr="00243ACE">
        <w:t>2018).</w:t>
      </w:r>
      <w:r w:rsidRPr="008346A1">
        <w:t xml:space="preserve"> </w:t>
      </w:r>
      <w:r w:rsidR="0004379C" w:rsidRPr="0004379C">
        <w:t>The initial inoculum volume was 500 mL and the starter culture counts were 7 log</w:t>
      </w:r>
      <w:r w:rsidR="0004379C" w:rsidRPr="0004379C">
        <w:rPr>
          <w:vertAlign w:val="subscript"/>
        </w:rPr>
        <w:t>10</w:t>
      </w:r>
      <w:r w:rsidR="0004379C" w:rsidRPr="0004379C">
        <w:t xml:space="preserve"> CFU/mL for </w:t>
      </w:r>
      <w:r w:rsidR="0004379C" w:rsidRPr="0004379C">
        <w:rPr>
          <w:i/>
        </w:rPr>
        <w:t>L. plantarum</w:t>
      </w:r>
      <w:r w:rsidR="0004379C" w:rsidRPr="0004379C">
        <w:t xml:space="preserve"> isolates and 5 log</w:t>
      </w:r>
      <w:r w:rsidR="0004379C" w:rsidRPr="0004379C">
        <w:rPr>
          <w:vertAlign w:val="subscript"/>
        </w:rPr>
        <w:t>10</w:t>
      </w:r>
      <w:r w:rsidR="0004379C" w:rsidRPr="0004379C">
        <w:t xml:space="preserve"> CFU/mL for </w:t>
      </w:r>
      <w:r w:rsidR="0004379C" w:rsidRPr="0004379C">
        <w:rPr>
          <w:i/>
        </w:rPr>
        <w:t>P. scutulata</w:t>
      </w:r>
      <w:r w:rsidR="0004379C" w:rsidRPr="0004379C">
        <w:t xml:space="preserve"> isolates.</w:t>
      </w:r>
      <w:r w:rsidR="0004379C">
        <w:t xml:space="preserve"> </w:t>
      </w:r>
      <w:r w:rsidRPr="008346A1">
        <w:t xml:space="preserve">The </w:t>
      </w:r>
      <w:r w:rsidRPr="00481327">
        <w:rPr>
          <w:noProof/>
        </w:rPr>
        <w:t>fermentation</w:t>
      </w:r>
      <w:r w:rsidR="00830BF4">
        <w:t xml:space="preserve"> </w:t>
      </w:r>
      <w:r w:rsidR="00830BF4" w:rsidRPr="00243ACE">
        <w:t>took place</w:t>
      </w:r>
      <w:r w:rsidRPr="00243ACE">
        <w:t xml:space="preserve"> in </w:t>
      </w:r>
      <w:r w:rsidR="009C5692" w:rsidRPr="00243ACE">
        <w:t>bioreacto</w:t>
      </w:r>
      <w:r w:rsidRPr="00243ACE">
        <w:t>rs</w:t>
      </w:r>
      <w:r>
        <w:t xml:space="preserve"> with</w:t>
      </w:r>
      <w:r w:rsidRPr="008346A1">
        <w:t xml:space="preserve"> 5 L of distilled water and 10</w:t>
      </w:r>
      <w:r w:rsidR="00C3191D" w:rsidRPr="00B57B36">
        <w:t> </w:t>
      </w:r>
      <w:r w:rsidRPr="008346A1">
        <w:t xml:space="preserve">% of </w:t>
      </w:r>
      <w:r w:rsidR="004A07F9">
        <w:t xml:space="preserve">cassava </w:t>
      </w:r>
      <w:r w:rsidRPr="008346A1">
        <w:t xml:space="preserve">starch </w:t>
      </w:r>
      <w:r w:rsidR="00830BF4" w:rsidRPr="00243ACE">
        <w:t>(in 4 batches)</w:t>
      </w:r>
      <w:r w:rsidR="00830BF4">
        <w:t xml:space="preserve"> </w:t>
      </w:r>
      <w:r w:rsidRPr="008346A1">
        <w:t xml:space="preserve">and the material was </w:t>
      </w:r>
      <w:r w:rsidR="007F19D2" w:rsidRPr="00D67045">
        <w:rPr>
          <w:noProof/>
        </w:rPr>
        <w:t>sun</w:t>
      </w:r>
      <w:r w:rsidR="00D67045">
        <w:rPr>
          <w:noProof/>
        </w:rPr>
        <w:t>-</w:t>
      </w:r>
      <w:r w:rsidRPr="00D67045">
        <w:rPr>
          <w:noProof/>
        </w:rPr>
        <w:t>dried</w:t>
      </w:r>
      <w:r w:rsidRPr="008346A1">
        <w:t xml:space="preserve"> for 8 hours. The samples collected </w:t>
      </w:r>
      <w:r w:rsidR="00B04B17">
        <w:t>weekly</w:t>
      </w:r>
      <w:r w:rsidRPr="008346A1">
        <w:t xml:space="preserve"> were used to determine the pH and total titratable acidity (TT</w:t>
      </w:r>
      <w:r w:rsidR="004A07F9">
        <w:t>A</w:t>
      </w:r>
      <w:r w:rsidRPr="008346A1">
        <w:t xml:space="preserve">) (AOAC, 2016) and </w:t>
      </w:r>
      <w:r w:rsidR="004A07F9">
        <w:t xml:space="preserve">to </w:t>
      </w:r>
      <w:r w:rsidRPr="008346A1">
        <w:t xml:space="preserve">verify the viability of the starter cultures by the plate counting method </w:t>
      </w:r>
      <w:r w:rsidR="007F19D2" w:rsidRPr="00243ACE">
        <w:t>(</w:t>
      </w:r>
      <w:r w:rsidRPr="00243ACE">
        <w:t xml:space="preserve">MRS agar </w:t>
      </w:r>
      <w:r w:rsidR="007F19D2" w:rsidRPr="00243ACE">
        <w:t xml:space="preserve">for LAB </w:t>
      </w:r>
      <w:r w:rsidRPr="00243ACE">
        <w:t xml:space="preserve">and </w:t>
      </w:r>
      <w:r w:rsidR="007F19D2" w:rsidRPr="00243ACE">
        <w:rPr>
          <w:noProof/>
        </w:rPr>
        <w:t>YM</w:t>
      </w:r>
      <w:r w:rsidR="007F19D2" w:rsidRPr="00243ACE">
        <w:t xml:space="preserve"> </w:t>
      </w:r>
      <w:r w:rsidR="004A07F9" w:rsidRPr="00243ACE">
        <w:t>agar f</w:t>
      </w:r>
      <w:r w:rsidR="007F19D2" w:rsidRPr="00243ACE">
        <w:t>or</w:t>
      </w:r>
      <w:r w:rsidR="004A07F9" w:rsidRPr="00243ACE">
        <w:t xml:space="preserve"> </w:t>
      </w:r>
      <w:r w:rsidRPr="00243ACE">
        <w:t>yeasts</w:t>
      </w:r>
      <w:r w:rsidR="007F19D2" w:rsidRPr="00243ACE">
        <w:t>)</w:t>
      </w:r>
      <w:r w:rsidRPr="00243ACE">
        <w:t>.</w:t>
      </w:r>
      <w:r w:rsidR="00B04B17">
        <w:t xml:space="preserve"> </w:t>
      </w:r>
      <w:r w:rsidR="004A07F9" w:rsidRPr="004A07F9">
        <w:t xml:space="preserve">For the monitoring of the starter cultures, the </w:t>
      </w:r>
      <w:r w:rsidR="004A07F9" w:rsidRPr="004A07F9">
        <w:rPr>
          <w:i/>
        </w:rPr>
        <w:t>L. plantarum</w:t>
      </w:r>
      <w:r w:rsidR="004A07F9" w:rsidRPr="004A07F9">
        <w:t xml:space="preserve"> </w:t>
      </w:r>
      <w:r w:rsidR="004A07F9">
        <w:t>isolat</w:t>
      </w:r>
      <w:r w:rsidR="004A07F9" w:rsidRPr="004A07F9">
        <w:t xml:space="preserve">es were submitted to DNA extraction, PCR </w:t>
      </w:r>
      <w:r w:rsidR="002C05E5" w:rsidRPr="002C05E5">
        <w:t xml:space="preserve">amplification of the 16S rRNA gene </w:t>
      </w:r>
      <w:r w:rsidR="004A07F9" w:rsidRPr="004A07F9">
        <w:t xml:space="preserve">and analysis of the molecular profiles obtained by </w:t>
      </w:r>
      <w:r w:rsidR="002C05E5" w:rsidRPr="002C05E5">
        <w:t xml:space="preserve">Restriction Fragment Length Polymorphism </w:t>
      </w:r>
      <w:r w:rsidR="004A07F9" w:rsidRPr="004A07F9">
        <w:t xml:space="preserve">(Penido et al., 2018). The molecular monitoring of </w:t>
      </w:r>
      <w:r w:rsidR="004A07F9" w:rsidRPr="002C05E5">
        <w:rPr>
          <w:i/>
        </w:rPr>
        <w:t>P. scutulata</w:t>
      </w:r>
      <w:r w:rsidR="004A07F9" w:rsidRPr="004A07F9">
        <w:t xml:space="preserve"> </w:t>
      </w:r>
      <w:r w:rsidR="002C05E5">
        <w:t>isolates</w:t>
      </w:r>
      <w:r w:rsidR="004A07F9" w:rsidRPr="004A07F9">
        <w:t xml:space="preserve"> consisted of DNA extraction and analysis of the molecular profiles obtained by PCR fingerprinting using </w:t>
      </w:r>
      <w:r w:rsidR="002C05E5">
        <w:t>the microsatellite primer (GTG)</w:t>
      </w:r>
      <w:r w:rsidR="004A07F9" w:rsidRPr="002C05E5">
        <w:rPr>
          <w:vertAlign w:val="subscript"/>
        </w:rPr>
        <w:t>5</w:t>
      </w:r>
      <w:r w:rsidR="004A07F9" w:rsidRPr="004A07F9">
        <w:t xml:space="preserve"> (5'-GTGGTGGTGGTGGTG-3') (Penido et al., 2018). The molecular profiles of each species were compared at different fermentation times </w:t>
      </w:r>
      <w:r w:rsidR="002C05E5">
        <w:t xml:space="preserve">0 </w:t>
      </w:r>
      <w:r w:rsidR="004A07F9" w:rsidRPr="004A07F9">
        <w:t xml:space="preserve">(pure starter cultures), 7, 14 and 21 days. To verify if the </w:t>
      </w:r>
      <w:r w:rsidR="002C05E5">
        <w:t>strain</w:t>
      </w:r>
      <w:r w:rsidR="004A07F9" w:rsidRPr="004A07F9">
        <w:t xml:space="preserve"> of </w:t>
      </w:r>
      <w:r w:rsidR="004A07F9" w:rsidRPr="002C05E5">
        <w:rPr>
          <w:i/>
        </w:rPr>
        <w:t>L. plantarum</w:t>
      </w:r>
      <w:r w:rsidR="004A07F9" w:rsidRPr="004A07F9">
        <w:t xml:space="preserve"> used as starter culture remain</w:t>
      </w:r>
      <w:r w:rsidR="0027418A">
        <w:t>ed</w:t>
      </w:r>
      <w:r w:rsidR="004A07F9" w:rsidRPr="004A07F9">
        <w:t xml:space="preserve"> during fermentation, the rep-PCR </w:t>
      </w:r>
      <w:r w:rsidR="002C05E5" w:rsidRPr="004A07F9">
        <w:t>fingerprinting</w:t>
      </w:r>
      <w:r w:rsidR="004A07F9" w:rsidRPr="004A07F9">
        <w:t xml:space="preserve"> technique was used </w:t>
      </w:r>
      <w:r w:rsidR="002C05E5">
        <w:t>with</w:t>
      </w:r>
      <w:r w:rsidR="004A07F9" w:rsidRPr="004A07F9">
        <w:t xml:space="preserve"> the primer (GTG)</w:t>
      </w:r>
      <w:r w:rsidR="004A07F9" w:rsidRPr="002C05E5">
        <w:rPr>
          <w:vertAlign w:val="subscript"/>
        </w:rPr>
        <w:t>5</w:t>
      </w:r>
      <w:r w:rsidR="004A07F9" w:rsidRPr="004A07F9">
        <w:t xml:space="preserve"> </w:t>
      </w:r>
      <w:r w:rsidR="002C05E5">
        <w:t xml:space="preserve">(Gevers et al., </w:t>
      </w:r>
      <w:r w:rsidR="004A07F9" w:rsidRPr="004A07F9">
        <w:t>2001)</w:t>
      </w:r>
      <w:r w:rsidR="002C05E5">
        <w:t>. T</w:t>
      </w:r>
      <w:r w:rsidR="004A07F9" w:rsidRPr="004A07F9">
        <w:t>he</w:t>
      </w:r>
      <w:r w:rsidR="002C05E5">
        <w:t xml:space="preserve"> profiles of the </w:t>
      </w:r>
      <w:r w:rsidR="002C05E5" w:rsidRPr="004A07F9">
        <w:t xml:space="preserve">inoculated </w:t>
      </w:r>
      <w:r w:rsidR="002C05E5">
        <w:t>strain</w:t>
      </w:r>
      <w:r w:rsidR="002C05E5" w:rsidRPr="004A07F9">
        <w:t xml:space="preserve"> (</w:t>
      </w:r>
      <w:r w:rsidR="002C05E5" w:rsidRPr="002C05E5">
        <w:rPr>
          <w:i/>
        </w:rPr>
        <w:t>L. plantarum Lp</w:t>
      </w:r>
      <w:r w:rsidR="002C05E5" w:rsidRPr="004A07F9">
        <w:t>3)</w:t>
      </w:r>
      <w:r w:rsidR="002C05E5">
        <w:t xml:space="preserve"> and the LAB </w:t>
      </w:r>
      <w:r w:rsidR="004A07F9" w:rsidRPr="004A07F9">
        <w:t>isolate</w:t>
      </w:r>
      <w:r w:rsidR="002C05E5">
        <w:t>d</w:t>
      </w:r>
      <w:r w:rsidR="004A07F9" w:rsidRPr="004A07F9">
        <w:t xml:space="preserve"> </w:t>
      </w:r>
      <w:r w:rsidR="002C05E5">
        <w:t>at</w:t>
      </w:r>
      <w:r w:rsidR="004A07F9" w:rsidRPr="004A07F9">
        <w:t xml:space="preserve"> time 0 </w:t>
      </w:r>
      <w:r w:rsidR="002C05E5">
        <w:t>and</w:t>
      </w:r>
      <w:r w:rsidR="004A07F9" w:rsidRPr="004A07F9">
        <w:t xml:space="preserve"> 21 days </w:t>
      </w:r>
      <w:r w:rsidR="002C05E5">
        <w:t>were compared</w:t>
      </w:r>
      <w:r w:rsidR="004A07F9" w:rsidRPr="004A07F9">
        <w:t>.</w:t>
      </w:r>
      <w:r w:rsidR="00B04B17">
        <w:t xml:space="preserve"> </w:t>
      </w:r>
      <w:r w:rsidR="009E2A3F" w:rsidRPr="009E2A3F">
        <w:t xml:space="preserve">The final products </w:t>
      </w:r>
      <w:r w:rsidR="009E2A3F" w:rsidRPr="00243ACE">
        <w:t xml:space="preserve">P1 </w:t>
      </w:r>
      <w:r w:rsidR="0001227F" w:rsidRPr="00243ACE">
        <w:t xml:space="preserve">and P2 </w:t>
      </w:r>
      <w:r w:rsidR="009E2A3F" w:rsidRPr="00243ACE">
        <w:t>(obtained with the starter culture C1</w:t>
      </w:r>
      <w:r w:rsidR="0001227F" w:rsidRPr="00243ACE">
        <w:t xml:space="preserve"> and C</w:t>
      </w:r>
      <w:r w:rsidR="009E2A3F" w:rsidRPr="00243ACE">
        <w:t>2</w:t>
      </w:r>
      <w:r w:rsidR="0001227F" w:rsidRPr="00243ACE">
        <w:t>, respectively)</w:t>
      </w:r>
      <w:r w:rsidR="009E2A3F" w:rsidRPr="009E2A3F">
        <w:t xml:space="preserve"> were submitted to the </w:t>
      </w:r>
      <w:r w:rsidR="009E2A3F">
        <w:t>determinations of TT</w:t>
      </w:r>
      <w:r w:rsidR="009E2A3F" w:rsidRPr="009E2A3F">
        <w:t>A</w:t>
      </w:r>
      <w:r w:rsidR="004B459E">
        <w:t>,</w:t>
      </w:r>
      <w:r w:rsidR="009E2A3F" w:rsidRPr="009E2A3F">
        <w:t xml:space="preserve"> expansion </w:t>
      </w:r>
      <w:r w:rsidR="009E2A3F">
        <w:t>capacity</w:t>
      </w:r>
      <w:r w:rsidR="009E2A3F" w:rsidRPr="009E2A3F">
        <w:t xml:space="preserve"> (Maeda and Cereda, 2001)</w:t>
      </w:r>
      <w:r w:rsidR="004B459E">
        <w:t xml:space="preserve"> and</w:t>
      </w:r>
      <w:r w:rsidR="009E2A3F" w:rsidRPr="009E2A3F">
        <w:t xml:space="preserve"> </w:t>
      </w:r>
      <w:r w:rsidR="004B459E">
        <w:t>m</w:t>
      </w:r>
      <w:r w:rsidR="009E2A3F" w:rsidRPr="009E2A3F">
        <w:t>icrobiological analy</w:t>
      </w:r>
      <w:r w:rsidR="004B459E">
        <w:t>si</w:t>
      </w:r>
      <w:r w:rsidR="009E2A3F" w:rsidRPr="009E2A3F">
        <w:t xml:space="preserve">s </w:t>
      </w:r>
      <w:r w:rsidR="0001227F" w:rsidRPr="00243ACE">
        <w:t>(</w:t>
      </w:r>
      <w:r w:rsidR="009E2A3F" w:rsidRPr="00243ACE">
        <w:rPr>
          <w:i/>
        </w:rPr>
        <w:t>Bacillus cereus</w:t>
      </w:r>
      <w:r w:rsidR="009E2A3F" w:rsidRPr="00243ACE">
        <w:t xml:space="preserve">, </w:t>
      </w:r>
      <w:r w:rsidR="004B459E" w:rsidRPr="00243ACE">
        <w:t>thermotolerant coliforms</w:t>
      </w:r>
      <w:r w:rsidR="00481327" w:rsidRPr="00243ACE">
        <w:t>,</w:t>
      </w:r>
      <w:r w:rsidR="009E2A3F" w:rsidRPr="00243ACE">
        <w:t xml:space="preserve"> </w:t>
      </w:r>
      <w:r w:rsidR="009E2A3F" w:rsidRPr="00243ACE">
        <w:rPr>
          <w:noProof/>
        </w:rPr>
        <w:t>and</w:t>
      </w:r>
      <w:r w:rsidR="009E2A3F" w:rsidRPr="00243ACE">
        <w:t xml:space="preserve"> </w:t>
      </w:r>
      <w:r w:rsidR="009E2A3F" w:rsidRPr="00243ACE">
        <w:rPr>
          <w:i/>
        </w:rPr>
        <w:t>Salmonella</w:t>
      </w:r>
      <w:r w:rsidR="009E2A3F" w:rsidRPr="00243ACE">
        <w:t xml:space="preserve"> spp.</w:t>
      </w:r>
      <w:r w:rsidR="0001227F" w:rsidRPr="00243ACE">
        <w:t>)</w:t>
      </w:r>
      <w:r w:rsidR="009E2A3F" w:rsidRPr="009E2A3F">
        <w:t xml:space="preserve"> (Da Silva et al., 2012</w:t>
      </w:r>
      <w:r w:rsidR="004B459E">
        <w:t>)</w:t>
      </w:r>
      <w:r w:rsidR="009E2A3F" w:rsidRPr="009E2A3F">
        <w:t xml:space="preserve">. </w:t>
      </w:r>
      <w:r w:rsidR="00295E08">
        <w:rPr>
          <w:noProof/>
        </w:rPr>
        <w:t>C</w:t>
      </w:r>
      <w:r w:rsidR="001B1E79" w:rsidRPr="00295E08">
        <w:t>ommercial</w:t>
      </w:r>
      <w:r w:rsidR="0001227F">
        <w:t xml:space="preserve"> cassava starch was</w:t>
      </w:r>
      <w:r w:rsidR="009E2A3F" w:rsidRPr="009E2A3F">
        <w:t xml:space="preserve"> used as raw material </w:t>
      </w:r>
      <w:r w:rsidR="004B459E">
        <w:t>for</w:t>
      </w:r>
      <w:r w:rsidR="009E2A3F" w:rsidRPr="009E2A3F">
        <w:t xml:space="preserve"> fermentation</w:t>
      </w:r>
      <w:r w:rsidR="0001227F">
        <w:t>,</w:t>
      </w:r>
      <w:r w:rsidR="009E2A3F" w:rsidRPr="009E2A3F">
        <w:t xml:space="preserve"> considered as </w:t>
      </w:r>
      <w:r w:rsidR="004B459E">
        <w:t>control</w:t>
      </w:r>
      <w:r w:rsidR="0001227F">
        <w:t xml:space="preserve"> and </w:t>
      </w:r>
      <w:r w:rsidR="009E2A3F" w:rsidRPr="009E2A3F">
        <w:t>submitted to microbiological analysis.</w:t>
      </w:r>
    </w:p>
    <w:p w14:paraId="1CCCA2DB" w14:textId="77777777" w:rsidR="00600535" w:rsidRPr="00C859FE" w:rsidRDefault="00AB4DCD" w:rsidP="00FA5F5F">
      <w:pPr>
        <w:pStyle w:val="CETheadingx"/>
      </w:pPr>
      <w:r w:rsidRPr="00C859FE">
        <w:t>Lipid extraction and fatty acid profile analysis by gas chromatography</w:t>
      </w:r>
    </w:p>
    <w:p w14:paraId="7991B8C8" w14:textId="4003BB0F" w:rsidR="007E2640" w:rsidRDefault="001B1E79" w:rsidP="00AB4DCD">
      <w:pPr>
        <w:pStyle w:val="CETBodytext"/>
      </w:pPr>
      <w:r w:rsidRPr="001B1E79">
        <w:t xml:space="preserve">An aliquot (200 g) of each </w:t>
      </w:r>
      <w:r>
        <w:t>final</w:t>
      </w:r>
      <w:r w:rsidRPr="001B1E79">
        <w:t xml:space="preserve"> product (P1 and P2) and one of </w:t>
      </w:r>
      <w:r>
        <w:t xml:space="preserve">the </w:t>
      </w:r>
      <w:r w:rsidRPr="001B1E79">
        <w:t xml:space="preserve">commercial cassava starch </w:t>
      </w:r>
      <w:r w:rsidR="0001227F" w:rsidRPr="00243ACE">
        <w:t xml:space="preserve">(control) </w:t>
      </w:r>
      <w:r w:rsidRPr="00243ACE">
        <w:t>were subjected</w:t>
      </w:r>
      <w:r w:rsidR="0001227F" w:rsidRPr="00243ACE">
        <w:t xml:space="preserve"> </w:t>
      </w:r>
      <w:r w:rsidRPr="00243ACE">
        <w:t xml:space="preserve">to lipid extraction </w:t>
      </w:r>
      <w:r w:rsidR="0001227F" w:rsidRPr="00243ACE">
        <w:t>using hexane (400 mL), under</w:t>
      </w:r>
      <w:r w:rsidR="00C54E66" w:rsidRPr="00243ACE">
        <w:t xml:space="preserve"> </w:t>
      </w:r>
      <w:r w:rsidR="007E2640" w:rsidRPr="00243ACE">
        <w:t xml:space="preserve">agitation </w:t>
      </w:r>
      <w:r w:rsidRPr="00243ACE">
        <w:t xml:space="preserve">(150 rpm for 1 h at 25 °C). </w:t>
      </w:r>
      <w:r w:rsidR="0001227F" w:rsidRPr="00243ACE">
        <w:t xml:space="preserve">After solvent evaporation, </w:t>
      </w:r>
      <w:r w:rsidR="007E2640" w:rsidRPr="00243ACE">
        <w:t>fatty acid</w:t>
      </w:r>
      <w:r w:rsidR="00B701A9" w:rsidRPr="00243ACE">
        <w:t>s</w:t>
      </w:r>
      <w:r w:rsidR="007E2640" w:rsidRPr="00243ACE">
        <w:t xml:space="preserve"> </w:t>
      </w:r>
      <w:r w:rsidR="006578B5" w:rsidRPr="00243ACE">
        <w:rPr>
          <w:noProof/>
        </w:rPr>
        <w:t>were</w:t>
      </w:r>
      <w:r w:rsidR="006578B5" w:rsidRPr="00243ACE">
        <w:t xml:space="preserve"> </w:t>
      </w:r>
      <w:r w:rsidR="007914DC" w:rsidRPr="00243ACE">
        <w:t>converted in</w:t>
      </w:r>
      <w:r w:rsidR="00295E08">
        <w:t>to</w:t>
      </w:r>
      <w:r w:rsidR="007914DC" w:rsidRPr="00243ACE">
        <w:t xml:space="preserve"> methyl esters </w:t>
      </w:r>
      <w:r w:rsidR="006578B5" w:rsidRPr="00243ACE">
        <w:t xml:space="preserve">and its derivatives profile </w:t>
      </w:r>
      <w:r w:rsidR="007E2640" w:rsidRPr="00243ACE">
        <w:t xml:space="preserve">were determined </w:t>
      </w:r>
      <w:r w:rsidR="0001227F" w:rsidRPr="00243ACE">
        <w:t>(</w:t>
      </w:r>
      <w:r w:rsidR="007E2640" w:rsidRPr="00243ACE">
        <w:t>Sande et al.</w:t>
      </w:r>
      <w:r w:rsidR="0001227F" w:rsidRPr="00243ACE">
        <w:t>,</w:t>
      </w:r>
      <w:r w:rsidR="007E2640" w:rsidRPr="00243ACE">
        <w:t xml:space="preserve"> 2018)</w:t>
      </w:r>
      <w:r w:rsidR="006578B5" w:rsidRPr="00243ACE">
        <w:t xml:space="preserve"> by </w:t>
      </w:r>
      <w:r w:rsidR="007E2640" w:rsidRPr="00243ACE">
        <w:t xml:space="preserve">gas chromatography </w:t>
      </w:r>
      <w:r w:rsidR="006578B5" w:rsidRPr="00243ACE">
        <w:t>(</w:t>
      </w:r>
      <w:r w:rsidR="007E2640" w:rsidRPr="00243ACE">
        <w:rPr>
          <w:noProof/>
        </w:rPr>
        <w:t>HP5890</w:t>
      </w:r>
      <w:r w:rsidR="007E2640" w:rsidRPr="00243ACE">
        <w:t xml:space="preserve"> gas chromatograph equipped with </w:t>
      </w:r>
      <w:r w:rsidR="00481327" w:rsidRPr="00243ACE">
        <w:t xml:space="preserve">a </w:t>
      </w:r>
      <w:r w:rsidR="007E2640" w:rsidRPr="00243ACE">
        <w:rPr>
          <w:noProof/>
        </w:rPr>
        <w:t>flame</w:t>
      </w:r>
      <w:r w:rsidR="007E2640" w:rsidRPr="00243ACE">
        <w:t xml:space="preserve"> ionization detector</w:t>
      </w:r>
      <w:r w:rsidR="006578B5" w:rsidRPr="00243ACE">
        <w:t>)</w:t>
      </w:r>
      <w:r w:rsidR="007E2640" w:rsidRPr="00243ACE">
        <w:t>. The column used was Supelcowax-10 (30 m x 0.2 mm x 0.2 μm) with the following temperature gradient: 150 °</w:t>
      </w:r>
      <w:r w:rsidR="007E2640">
        <w:t>C at</w:t>
      </w:r>
      <w:r w:rsidR="007E2640" w:rsidRPr="007E2640">
        <w:t xml:space="preserve"> 0 min; increasing 10 °C/min </w:t>
      </w:r>
      <w:r w:rsidR="007E2640">
        <w:t xml:space="preserve">up </w:t>
      </w:r>
      <w:r w:rsidR="007E2640" w:rsidRPr="007E2640">
        <w:t xml:space="preserve">to 240 °C. </w:t>
      </w:r>
      <w:r w:rsidR="007E2640" w:rsidRPr="00295E08">
        <w:t>The split</w:t>
      </w:r>
      <w:r w:rsidR="00295E08">
        <w:t xml:space="preserve"> rate</w:t>
      </w:r>
      <w:r w:rsidR="007E2640" w:rsidRPr="00295E08">
        <w:t xml:space="preserve"> injector operated at 1/50</w:t>
      </w:r>
      <w:r w:rsidR="00295E08">
        <w:t xml:space="preserve"> at </w:t>
      </w:r>
      <w:r w:rsidR="007E2640" w:rsidRPr="00295E08">
        <w:t xml:space="preserve">250 °C, which was also the </w:t>
      </w:r>
      <w:r w:rsidR="00295E08">
        <w:t xml:space="preserve">temperature of the </w:t>
      </w:r>
      <w:r w:rsidR="007E2640" w:rsidRPr="00295E08">
        <w:t>detector</w:t>
      </w:r>
      <w:r w:rsidR="007E2640" w:rsidRPr="007E2640">
        <w:t xml:space="preserve">. </w:t>
      </w:r>
      <w:r w:rsidR="007E2640">
        <w:t>T</w:t>
      </w:r>
      <w:r w:rsidR="001F6C60">
        <w:t>h</w:t>
      </w:r>
      <w:r w:rsidR="007E2640">
        <w:t>e carrier gas was h</w:t>
      </w:r>
      <w:r w:rsidR="007E2640" w:rsidRPr="007E2640">
        <w:t xml:space="preserve">ydrogen </w:t>
      </w:r>
      <w:r w:rsidR="007E2640">
        <w:t>with a flow rate of 4 mL/</w:t>
      </w:r>
      <w:r w:rsidR="007E2640" w:rsidRPr="007E2640">
        <w:t xml:space="preserve">min and an injection volume of 1 μl. </w:t>
      </w:r>
      <w:r w:rsidR="007E2640">
        <w:t>The p</w:t>
      </w:r>
      <w:r w:rsidR="007E2640" w:rsidRPr="007E2640">
        <w:t>eak identification was done by comparison with Fatty Acid Methyl Ester (FAME) C14 - C22 (Supelco-18917) standards.</w:t>
      </w:r>
    </w:p>
    <w:p w14:paraId="666ABAE7" w14:textId="77777777" w:rsidR="00AB4DCD" w:rsidRPr="00C859FE" w:rsidRDefault="00AB4DCD" w:rsidP="00AB4DCD">
      <w:pPr>
        <w:pStyle w:val="CETheadingx"/>
      </w:pPr>
      <w:r w:rsidRPr="00C859FE">
        <w:t>Analysis of volatile compounds by Gas Chromatography / Mass Spectrometry (GC/MS)</w:t>
      </w:r>
    </w:p>
    <w:p w14:paraId="27911FA3" w14:textId="6A2C01B1" w:rsidR="005F3DF5" w:rsidRDefault="00992EA3" w:rsidP="00AB4DCD">
      <w:pPr>
        <w:pStyle w:val="CETBodytext"/>
      </w:pPr>
      <w:r w:rsidRPr="00992EA3">
        <w:t xml:space="preserve">An aliquot (25 g) of each final product (P1 and P2) and one of </w:t>
      </w:r>
      <w:r>
        <w:t xml:space="preserve">the </w:t>
      </w:r>
      <w:r w:rsidRPr="00992EA3">
        <w:t xml:space="preserve">commercial cassava starch </w:t>
      </w:r>
      <w:r w:rsidR="006578B5" w:rsidRPr="00243ACE">
        <w:t>(control) were</w:t>
      </w:r>
      <w:r w:rsidR="006578B5" w:rsidRPr="001B1E79">
        <w:t xml:space="preserve"> subjected</w:t>
      </w:r>
      <w:r w:rsidR="006578B5">
        <w:t xml:space="preserve"> </w:t>
      </w:r>
      <w:r w:rsidR="006578B5" w:rsidRPr="001B1E79">
        <w:t xml:space="preserve">to </w:t>
      </w:r>
      <w:r w:rsidR="006578B5" w:rsidRPr="00992EA3">
        <w:t>volatile compounds</w:t>
      </w:r>
      <w:r w:rsidR="006578B5" w:rsidRPr="001B1E79">
        <w:t xml:space="preserve"> extraction </w:t>
      </w:r>
      <w:r w:rsidR="006578B5">
        <w:t>using hexane (9</w:t>
      </w:r>
      <w:r w:rsidR="006578B5" w:rsidRPr="001B1E79">
        <w:t>0 mL)</w:t>
      </w:r>
      <w:r w:rsidR="006578B5">
        <w:t xml:space="preserve">, under agitation </w:t>
      </w:r>
      <w:r w:rsidR="006578B5" w:rsidRPr="001B1E79">
        <w:t>(150 rpm for 1 h at 25 °C)</w:t>
      </w:r>
      <w:r w:rsidRPr="00992EA3">
        <w:t xml:space="preserve">. </w:t>
      </w:r>
      <w:r w:rsidR="006578B5">
        <w:t>After solvent evaporation, t</w:t>
      </w:r>
      <w:r w:rsidRPr="00992EA3">
        <w:t>he detection, identification</w:t>
      </w:r>
      <w:r w:rsidR="00481327">
        <w:t>,</w:t>
      </w:r>
      <w:r w:rsidRPr="00992EA3">
        <w:t xml:space="preserve"> </w:t>
      </w:r>
      <w:r w:rsidRPr="00514017">
        <w:rPr>
          <w:noProof/>
        </w:rPr>
        <w:t>and</w:t>
      </w:r>
      <w:r w:rsidR="00E44DCB" w:rsidRPr="00514017">
        <w:t xml:space="preserve"> total area</w:t>
      </w:r>
      <w:r w:rsidRPr="00992EA3">
        <w:t xml:space="preserve"> </w:t>
      </w:r>
      <w:r w:rsidR="00514017">
        <w:t xml:space="preserve">(%) </w:t>
      </w:r>
      <w:r w:rsidRPr="00992EA3">
        <w:t>of the volatile compounds present in the samples w</w:t>
      </w:r>
      <w:r w:rsidR="005F38E9">
        <w:t>ere</w:t>
      </w:r>
      <w:r w:rsidRPr="00992EA3">
        <w:t xml:space="preserve"> performed </w:t>
      </w:r>
      <w:r w:rsidR="006578B5">
        <w:t>by</w:t>
      </w:r>
      <w:r w:rsidRPr="00992EA3">
        <w:t xml:space="preserve"> </w:t>
      </w:r>
      <w:r w:rsidR="006578B5">
        <w:t xml:space="preserve">a </w:t>
      </w:r>
      <w:r w:rsidR="005F38E9">
        <w:t>c</w:t>
      </w:r>
      <w:r w:rsidRPr="00992EA3">
        <w:t xml:space="preserve">hromatograph (Agilent 7890B) equipped with </w:t>
      </w:r>
      <w:r w:rsidR="00481327">
        <w:t xml:space="preserve">a </w:t>
      </w:r>
      <w:r w:rsidRPr="00481327">
        <w:rPr>
          <w:noProof/>
        </w:rPr>
        <w:t>mass</w:t>
      </w:r>
      <w:r w:rsidRPr="00992EA3">
        <w:t xml:space="preserve"> spectrometry detection system (Agilent 5977A-MSD), with </w:t>
      </w:r>
      <w:r w:rsidR="00481327">
        <w:t xml:space="preserve">the </w:t>
      </w:r>
      <w:r w:rsidRPr="00481327">
        <w:rPr>
          <w:noProof/>
        </w:rPr>
        <w:t>quadrupole</w:t>
      </w:r>
      <w:r w:rsidRPr="00992EA3">
        <w:t xml:space="preserve"> type mass analyzer.</w:t>
      </w:r>
      <w:r w:rsidR="00836D7B">
        <w:t xml:space="preserve"> </w:t>
      </w:r>
      <w:r w:rsidR="005F38E9" w:rsidRPr="005F38E9">
        <w:t xml:space="preserve">The </w:t>
      </w:r>
      <w:r w:rsidR="005F38E9">
        <w:t xml:space="preserve">capillary </w:t>
      </w:r>
      <w:r w:rsidR="005F38E9" w:rsidRPr="005F38E9">
        <w:t xml:space="preserve">column used was CP-WAX 52 CB (Polyethylene glycol, 30 m x 0.25 mm x 0.25 </w:t>
      </w:r>
      <w:r w:rsidR="005F38E9" w:rsidRPr="005F38E9">
        <w:rPr>
          <w:lang w:val="pt-BR"/>
        </w:rPr>
        <w:t>μ</w:t>
      </w:r>
      <w:r w:rsidR="006578B5">
        <w:t>m</w:t>
      </w:r>
      <w:r w:rsidR="005F38E9" w:rsidRPr="005F38E9">
        <w:t xml:space="preserve">). The temperature setting of the oven started at 60 °C for 5 min and then </w:t>
      </w:r>
      <w:r w:rsidR="00836D7B">
        <w:t xml:space="preserve">increasing </w:t>
      </w:r>
      <w:r w:rsidR="005F38E9" w:rsidRPr="005F38E9">
        <w:t>20 °C</w:t>
      </w:r>
      <w:r w:rsidR="00836D7B">
        <w:t>/min</w:t>
      </w:r>
      <w:r w:rsidR="005F38E9" w:rsidRPr="005F38E9">
        <w:t xml:space="preserve"> </w:t>
      </w:r>
      <w:r w:rsidR="00836D7B">
        <w:t>up to</w:t>
      </w:r>
      <w:r w:rsidR="005F38E9" w:rsidRPr="005F38E9">
        <w:t xml:space="preserve"> 160 °C, remaining for another 5 min. After </w:t>
      </w:r>
      <w:r w:rsidR="00836D7B">
        <w:t xml:space="preserve">that, </w:t>
      </w:r>
      <w:r w:rsidR="00481327">
        <w:t xml:space="preserve">there was an increase of </w:t>
      </w:r>
      <w:r w:rsidR="005F38E9" w:rsidRPr="005F38E9">
        <w:t>5 °</w:t>
      </w:r>
      <w:r w:rsidR="00836D7B">
        <w:t xml:space="preserve">C </w:t>
      </w:r>
      <w:r w:rsidR="005F38E9" w:rsidRPr="005F38E9">
        <w:t xml:space="preserve">per minute </w:t>
      </w:r>
      <w:r w:rsidR="00481327">
        <w:t>up to</w:t>
      </w:r>
      <w:r w:rsidR="005F38E9" w:rsidRPr="005F38E9">
        <w:t xml:space="preserve"> 240 °C</w:t>
      </w:r>
      <w:r w:rsidR="00836D7B">
        <w:t xml:space="preserve">. The analytical run totaled </w:t>
      </w:r>
      <w:r w:rsidR="005F38E9" w:rsidRPr="005F38E9">
        <w:t xml:space="preserve">37 minutes. </w:t>
      </w:r>
      <w:r w:rsidR="00836D7B">
        <w:t>The carrier gas was h</w:t>
      </w:r>
      <w:r w:rsidR="005F38E9" w:rsidRPr="005F38E9">
        <w:t xml:space="preserve">elium </w:t>
      </w:r>
      <w:r w:rsidR="00836D7B">
        <w:t xml:space="preserve">with a flow rate of </w:t>
      </w:r>
      <w:r w:rsidR="005F38E9" w:rsidRPr="005F38E9">
        <w:t>1 mL</w:t>
      </w:r>
      <w:r w:rsidR="00836D7B">
        <w:t xml:space="preserve">/min and an injection </w:t>
      </w:r>
      <w:r w:rsidR="00836D7B" w:rsidRPr="004E3E04">
        <w:rPr>
          <w:noProof/>
        </w:rPr>
        <w:t>volume</w:t>
      </w:r>
      <w:r w:rsidR="004E3E04">
        <w:rPr>
          <w:noProof/>
        </w:rPr>
        <w:t xml:space="preserve"> of</w:t>
      </w:r>
      <w:r w:rsidR="00836D7B">
        <w:t xml:space="preserve"> </w:t>
      </w:r>
      <w:r w:rsidR="00836D7B" w:rsidRPr="005F38E9">
        <w:t xml:space="preserve">1 </w:t>
      </w:r>
      <w:r w:rsidR="00836D7B" w:rsidRPr="005F38E9">
        <w:rPr>
          <w:lang w:val="pt-BR"/>
        </w:rPr>
        <w:t>μ</w:t>
      </w:r>
      <w:r w:rsidR="00836D7B" w:rsidRPr="005F38E9">
        <w:t>L</w:t>
      </w:r>
      <w:r w:rsidR="00836D7B">
        <w:t xml:space="preserve"> in the </w:t>
      </w:r>
      <w:r w:rsidR="00836D7B" w:rsidRPr="004E3E04">
        <w:rPr>
          <w:noProof/>
        </w:rPr>
        <w:t>splitness</w:t>
      </w:r>
      <w:r w:rsidR="00836D7B">
        <w:t xml:space="preserve"> mode</w:t>
      </w:r>
      <w:r w:rsidR="005F38E9" w:rsidRPr="005F38E9">
        <w:t xml:space="preserve">. The data acquisition occurred in </w:t>
      </w:r>
      <w:r w:rsidR="005F38E9" w:rsidRPr="005F38E9">
        <w:lastRenderedPageBreak/>
        <w:t xml:space="preserve">the </w:t>
      </w:r>
      <w:r w:rsidR="006021B6">
        <w:t>Full Scan</w:t>
      </w:r>
      <w:r w:rsidR="005F38E9" w:rsidRPr="005F38E9">
        <w:t xml:space="preserve"> mode, using mass ratio (m/z) from 14 to 500.</w:t>
      </w:r>
      <w:r w:rsidR="005F3DF5">
        <w:t xml:space="preserve"> </w:t>
      </w:r>
      <w:r w:rsidR="005F3DF5" w:rsidRPr="005F3DF5">
        <w:t>The chromatograph interface with the detector was maintained at 240 °C and the electron impact ionization operated at 240 °C was used. The mass analyzer was a simple quadrupole type operated at 150 °C. The mass and fragmentation profile of the peaks found were compared to the National Institute of Standards and Technology (NIST) library.</w:t>
      </w:r>
    </w:p>
    <w:p w14:paraId="05778364" w14:textId="77777777" w:rsidR="00F05781" w:rsidRPr="00C859FE" w:rsidRDefault="00F05781" w:rsidP="00F05781">
      <w:pPr>
        <w:pStyle w:val="CETheadingx"/>
      </w:pPr>
      <w:r w:rsidRPr="00C859FE">
        <w:t>Statistical Analysis</w:t>
      </w:r>
    </w:p>
    <w:p w14:paraId="54F83844" w14:textId="0493E1CC" w:rsidR="00132AB2" w:rsidRPr="00EE63C5" w:rsidRDefault="00132AB2" w:rsidP="00F05781">
      <w:pPr>
        <w:pStyle w:val="CETBodytext"/>
      </w:pPr>
      <w:r w:rsidRPr="00132AB2">
        <w:t>The physico</w:t>
      </w:r>
      <w:r w:rsidR="00D10A88">
        <w:t xml:space="preserve">chemical </w:t>
      </w:r>
      <w:r w:rsidRPr="00132AB2">
        <w:t xml:space="preserve">and microbiological monitoring data of the pilot-scale fermentation </w:t>
      </w:r>
      <w:r w:rsidR="00D10A88">
        <w:t xml:space="preserve">process </w:t>
      </w:r>
      <w:r w:rsidRPr="00132AB2">
        <w:t xml:space="preserve">at each time point, as well as the </w:t>
      </w:r>
      <w:r w:rsidR="00B04B17">
        <w:t>results</w:t>
      </w:r>
      <w:r w:rsidRPr="00132AB2">
        <w:t xml:space="preserve"> of the final </w:t>
      </w:r>
      <w:r w:rsidRPr="004E3E04">
        <w:rPr>
          <w:noProof/>
        </w:rPr>
        <w:t>products</w:t>
      </w:r>
      <w:r w:rsidR="004E3E04">
        <w:rPr>
          <w:noProof/>
        </w:rPr>
        <w:t xml:space="preserve">, </w:t>
      </w:r>
      <w:r w:rsidRPr="00132AB2">
        <w:t>were compared by an unpaired</w:t>
      </w:r>
      <w:r w:rsidR="00D10A88">
        <w:t>, two-tailed</w:t>
      </w:r>
      <w:r w:rsidRPr="00132AB2">
        <w:t xml:space="preserve"> </w:t>
      </w:r>
      <w:r w:rsidRPr="00C3191D">
        <w:rPr>
          <w:noProof/>
        </w:rPr>
        <w:t>t</w:t>
      </w:r>
      <w:r w:rsidR="00C3191D">
        <w:rPr>
          <w:noProof/>
        </w:rPr>
        <w:t>-</w:t>
      </w:r>
      <w:r w:rsidRPr="00C3191D">
        <w:rPr>
          <w:noProof/>
        </w:rPr>
        <w:t>test</w:t>
      </w:r>
      <w:r w:rsidRPr="00132AB2">
        <w:t xml:space="preserve"> with 95</w:t>
      </w:r>
      <w:r w:rsidR="00C3191D" w:rsidRPr="00B57B36">
        <w:t> </w:t>
      </w:r>
      <w:r w:rsidRPr="00132AB2">
        <w:t xml:space="preserve">% confidence. The similarity (%) and </w:t>
      </w:r>
      <w:r w:rsidR="00D10A88">
        <w:t xml:space="preserve">the </w:t>
      </w:r>
      <w:r w:rsidRPr="00132AB2">
        <w:t>correlation between the TT</w:t>
      </w:r>
      <w:r w:rsidR="00D10A88">
        <w:t>A</w:t>
      </w:r>
      <w:r w:rsidRPr="00132AB2">
        <w:t xml:space="preserve"> and pH were calculated using the Pearson correlation coefficient (r). Microbial counts over time were compared individually through a one-way ANOVA followed by Tukey's multiple comparison </w:t>
      </w:r>
      <w:r w:rsidRPr="00C3191D">
        <w:rPr>
          <w:noProof/>
        </w:rPr>
        <w:t>test</w:t>
      </w:r>
      <w:r w:rsidR="00C3191D">
        <w:rPr>
          <w:noProof/>
        </w:rPr>
        <w:t>s</w:t>
      </w:r>
      <w:r w:rsidRPr="00132AB2">
        <w:t>, with 95</w:t>
      </w:r>
      <w:r w:rsidR="00C3191D" w:rsidRPr="00B57B36">
        <w:t> </w:t>
      </w:r>
      <w:r w:rsidRPr="00132AB2">
        <w:t xml:space="preserve">% confidence. </w:t>
      </w:r>
      <w:r w:rsidR="001628E0">
        <w:t>GraphPad P</w:t>
      </w:r>
      <w:r w:rsidRPr="00EE63C5">
        <w:t>rism 5.02 was used.</w:t>
      </w:r>
    </w:p>
    <w:p w14:paraId="51937799" w14:textId="77777777" w:rsidR="00600535" w:rsidRPr="00C859FE" w:rsidRDefault="00F05781" w:rsidP="00600535">
      <w:pPr>
        <w:pStyle w:val="CETHeading1"/>
        <w:rPr>
          <w:lang w:val="en-GB"/>
        </w:rPr>
      </w:pPr>
      <w:r w:rsidRPr="00C859FE">
        <w:rPr>
          <w:lang w:val="en-GB"/>
        </w:rPr>
        <w:t>Results and Discus</w:t>
      </w:r>
      <w:r w:rsidR="00600535" w:rsidRPr="00C859FE">
        <w:rPr>
          <w:lang w:val="en-GB"/>
        </w:rPr>
        <w:t>sion</w:t>
      </w:r>
    </w:p>
    <w:p w14:paraId="215FFBD4" w14:textId="77777777" w:rsidR="00416572" w:rsidRPr="00C859FE" w:rsidRDefault="007B7220" w:rsidP="00416572">
      <w:pPr>
        <w:pStyle w:val="CETheadingx"/>
      </w:pPr>
      <w:r w:rsidRPr="00C859FE">
        <w:t>M</w:t>
      </w:r>
      <w:r w:rsidR="00416572" w:rsidRPr="00C859FE">
        <w:t>onitoring of pilot-scale fermentation process</w:t>
      </w:r>
    </w:p>
    <w:p w14:paraId="618FCD0F" w14:textId="1D3BDB8E" w:rsidR="00EE63C5" w:rsidRDefault="00E9023C" w:rsidP="007B7220">
      <w:pPr>
        <w:pStyle w:val="CETBodytext"/>
      </w:pPr>
      <w:r>
        <w:t xml:space="preserve">The </w:t>
      </w:r>
      <w:r w:rsidRPr="00E9023C">
        <w:t>TT</w:t>
      </w:r>
      <w:r>
        <w:t>A</w:t>
      </w:r>
      <w:r w:rsidRPr="00E9023C">
        <w:t xml:space="preserve"> values increased gradually up to the 21</w:t>
      </w:r>
      <w:r w:rsidRPr="006753FB">
        <w:rPr>
          <w:vertAlign w:val="superscript"/>
        </w:rPr>
        <w:t>st</w:t>
      </w:r>
      <w:r w:rsidRPr="00E9023C">
        <w:t xml:space="preserve"> day of fermentation, with no significant difference between cultures C1 and C2, over time. At time 0, the TT</w:t>
      </w:r>
      <w:r w:rsidR="006753FB">
        <w:t>A</w:t>
      </w:r>
      <w:r w:rsidRPr="00E9023C">
        <w:t xml:space="preserve"> values </w:t>
      </w:r>
      <w:r w:rsidR="006753FB">
        <w:t>o</w:t>
      </w:r>
      <w:r w:rsidRPr="00E9023C">
        <w:t>f the fermentations with different starter cultures were below 1</w:t>
      </w:r>
      <w:r w:rsidR="00C3191D" w:rsidRPr="00B57B36">
        <w:t> </w:t>
      </w:r>
      <w:r w:rsidRPr="00E9023C">
        <w:t xml:space="preserve">% and reached values </w:t>
      </w:r>
      <w:r w:rsidR="006753FB">
        <w:t>a</w:t>
      </w:r>
      <w:r w:rsidRPr="00E9023C">
        <w:t>bove 2.0</w:t>
      </w:r>
      <w:r w:rsidR="00C3191D" w:rsidRPr="00B57B36">
        <w:t> </w:t>
      </w:r>
      <w:r w:rsidRPr="00E9023C">
        <w:t>% at the end of the fermentation with C1 ranging from 0.63 to 2.37</w:t>
      </w:r>
      <w:r w:rsidR="00C3191D" w:rsidRPr="00B57B36">
        <w:t> </w:t>
      </w:r>
      <w:r w:rsidRPr="00E9023C">
        <w:t>% and C2 varying from 0.67 to 2.30</w:t>
      </w:r>
      <w:r w:rsidR="00C3191D" w:rsidRPr="00B57B36">
        <w:t> </w:t>
      </w:r>
      <w:r w:rsidRPr="00E9023C">
        <w:t xml:space="preserve">%. This shows the fermentative efficiency of the two cultures, which was also reinforced by the presence of a strong positive correlation between the ATT values </w:t>
      </w:r>
      <w:r w:rsidR="006753FB">
        <w:t>o</w:t>
      </w:r>
      <w:r w:rsidRPr="00E9023C">
        <w:t>ver time between C1 and C2 (r</w:t>
      </w:r>
      <w:r w:rsidRPr="006753FB">
        <w:rPr>
          <w:vertAlign w:val="superscript"/>
        </w:rPr>
        <w:t>2</w:t>
      </w:r>
      <w:r w:rsidRPr="00E9023C">
        <w:t xml:space="preserve"> = 0.91). </w:t>
      </w:r>
      <w:r w:rsidR="00EE63C5" w:rsidRPr="00EE63C5">
        <w:t>The</w:t>
      </w:r>
      <w:r w:rsidR="00861B04">
        <w:t>se</w:t>
      </w:r>
      <w:r w:rsidR="00EE63C5" w:rsidRPr="00EE63C5">
        <w:t xml:space="preserve"> </w:t>
      </w:r>
      <w:r w:rsidR="00861B04">
        <w:t xml:space="preserve">TTA </w:t>
      </w:r>
      <w:r w:rsidR="00EE63C5">
        <w:t xml:space="preserve">results </w:t>
      </w:r>
      <w:r w:rsidR="00EE63C5" w:rsidRPr="00EE63C5">
        <w:t>w</w:t>
      </w:r>
      <w:r w:rsidR="00EE63C5">
        <w:t>ere</w:t>
      </w:r>
      <w:r w:rsidR="003264DD">
        <w:t xml:space="preserve"> confirmed by the pH analysis</w:t>
      </w:r>
      <w:r w:rsidR="00EE63C5" w:rsidRPr="00EE63C5">
        <w:t xml:space="preserve">. During the 21 days of fermentation, the different starter cultures </w:t>
      </w:r>
      <w:r w:rsidR="00EE63C5">
        <w:t xml:space="preserve">pH </w:t>
      </w:r>
      <w:r w:rsidR="00EE63C5" w:rsidRPr="00EE63C5">
        <w:t>did not differ (p &lt;0.05)</w:t>
      </w:r>
      <w:r w:rsidR="00EE63C5">
        <w:t>. The</w:t>
      </w:r>
      <w:r w:rsidR="00EE63C5" w:rsidRPr="00EE63C5">
        <w:t xml:space="preserve"> pH of the fermentation with C1 and C2 ranged from 3.5 to 2.8, with the lowest pH values occurring in the last day of fermentation. </w:t>
      </w:r>
      <w:r w:rsidR="00EE63C5">
        <w:t>T</w:t>
      </w:r>
      <w:r w:rsidR="00EE63C5" w:rsidRPr="00EE63C5">
        <w:t xml:space="preserve">he fermentative efficiency of </w:t>
      </w:r>
      <w:r w:rsidR="00EE63C5">
        <w:t>both</w:t>
      </w:r>
      <w:r w:rsidR="00EE63C5" w:rsidRPr="00EE63C5">
        <w:t xml:space="preserve"> cultures was also </w:t>
      </w:r>
      <w:r w:rsidR="00EE63C5">
        <w:t>confirm</w:t>
      </w:r>
      <w:r w:rsidR="00EE63C5" w:rsidRPr="00EE63C5">
        <w:t>ed by the presence of a strong positive correlation between pH values over time between C1 and C2 (r</w:t>
      </w:r>
      <w:r w:rsidR="00EE63C5" w:rsidRPr="00EE63C5">
        <w:rPr>
          <w:vertAlign w:val="superscript"/>
        </w:rPr>
        <w:t>2</w:t>
      </w:r>
      <w:r w:rsidR="00EE63C5" w:rsidRPr="00EE63C5">
        <w:t xml:space="preserve"> = 0.93). </w:t>
      </w:r>
      <w:r w:rsidR="00244743">
        <w:t>T</w:t>
      </w:r>
      <w:r w:rsidR="001628E0">
        <w:t xml:space="preserve">he main </w:t>
      </w:r>
      <w:r w:rsidR="00244743">
        <w:t>role</w:t>
      </w:r>
      <w:r w:rsidR="001628E0">
        <w:t xml:space="preserve"> of </w:t>
      </w:r>
      <w:r w:rsidR="004E3E04">
        <w:t xml:space="preserve">the </w:t>
      </w:r>
      <w:r w:rsidR="001628E0" w:rsidRPr="004E3E04">
        <w:rPr>
          <w:noProof/>
        </w:rPr>
        <w:t>LAB</w:t>
      </w:r>
      <w:r w:rsidR="001628E0">
        <w:t xml:space="preserve"> </w:t>
      </w:r>
      <w:r w:rsidR="00244743">
        <w:t xml:space="preserve">in fermentations </w:t>
      </w:r>
      <w:r w:rsidR="001628E0">
        <w:t xml:space="preserve">is to cause a </w:t>
      </w:r>
      <w:r w:rsidR="00244743">
        <w:t>fast decrease</w:t>
      </w:r>
      <w:r w:rsidR="001628E0">
        <w:t xml:space="preserve"> in the pH of the medium, which favor</w:t>
      </w:r>
      <w:r w:rsidR="00244743">
        <w:t>s</w:t>
      </w:r>
      <w:r w:rsidR="001628E0">
        <w:t xml:space="preserve"> product safety by inhibiting pathogenic </w:t>
      </w:r>
      <w:r w:rsidR="001628E0" w:rsidRPr="005561C4">
        <w:rPr>
          <w:noProof/>
        </w:rPr>
        <w:t>microorganisms</w:t>
      </w:r>
      <w:r w:rsidR="001628E0">
        <w:t xml:space="preserve"> and </w:t>
      </w:r>
      <w:r w:rsidR="00244743">
        <w:t xml:space="preserve">prevent </w:t>
      </w:r>
      <w:r w:rsidR="001628E0">
        <w:t xml:space="preserve">undesirable changes caused by deteriorating </w:t>
      </w:r>
      <w:r w:rsidR="00244743">
        <w:t>micro</w:t>
      </w:r>
      <w:r w:rsidR="001628E0">
        <w:t xml:space="preserve">organisms. </w:t>
      </w:r>
      <w:r w:rsidR="00491068" w:rsidRPr="00F906DE">
        <w:t>In the present study, the fermentation lasted for only 21 days</w:t>
      </w:r>
      <w:r w:rsidR="003264DD" w:rsidRPr="00F906DE">
        <w:t xml:space="preserve">, less </w:t>
      </w:r>
      <w:r w:rsidR="003264DD" w:rsidRPr="00F906DE">
        <w:rPr>
          <w:noProof/>
        </w:rPr>
        <w:t>th</w:t>
      </w:r>
      <w:r w:rsidR="00B701A9" w:rsidRPr="00F906DE">
        <w:rPr>
          <w:noProof/>
        </w:rPr>
        <w:t>a</w:t>
      </w:r>
      <w:r w:rsidR="003264DD" w:rsidRPr="00F906DE">
        <w:rPr>
          <w:noProof/>
        </w:rPr>
        <w:t>n</w:t>
      </w:r>
      <w:r w:rsidR="003264DD" w:rsidRPr="00F906DE">
        <w:t xml:space="preserve"> suggested by Penido et al., 2018 (28 days) </w:t>
      </w:r>
      <w:r w:rsidR="00491068" w:rsidRPr="00F906DE">
        <w:t xml:space="preserve">and led to the obtainment of a final product with satisfactory acidity. This reduction in </w:t>
      </w:r>
      <w:r w:rsidR="003264DD" w:rsidRPr="00F906DE">
        <w:t>time, in addition to standardizing</w:t>
      </w:r>
      <w:r w:rsidR="00491068" w:rsidRPr="00F906DE">
        <w:t xml:space="preserve"> the process, is justified by the fact that the longer the fermentation lasts, the lower the strength and stability of the sour cassava starch mass (Adegunwa et al., 2011).</w:t>
      </w:r>
    </w:p>
    <w:p w14:paraId="5B38FEF3" w14:textId="77777777" w:rsidR="00BA2686" w:rsidRPr="004D3AE4" w:rsidRDefault="00BA2686" w:rsidP="00BA2686">
      <w:pPr>
        <w:pStyle w:val="CETBodytext"/>
      </w:pPr>
    </w:p>
    <w:p w14:paraId="3499962E" w14:textId="05C9DF8A" w:rsidR="00BA2686" w:rsidRPr="00C859FE" w:rsidRDefault="00054709" w:rsidP="00BA2686">
      <w:pPr>
        <w:pStyle w:val="CETBodytext"/>
        <w:jc w:val="left"/>
        <w:rPr>
          <w:lang w:val="pt-BR"/>
        </w:rPr>
      </w:pPr>
      <w:r>
        <w:rPr>
          <w:noProof/>
          <w:lang w:val="pt-BR" w:eastAsia="pt-BR"/>
        </w:rPr>
        <w:drawing>
          <wp:inline distT="0" distB="0" distL="0" distR="0" wp14:anchorId="2C915B18" wp14:editId="12B92F3F">
            <wp:extent cx="3798916" cy="1371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1.jpg"/>
                    <pic:cNvPicPr/>
                  </pic:nvPicPr>
                  <pic:blipFill>
                    <a:blip r:embed="rId10">
                      <a:extLst>
                        <a:ext uri="{28A0092B-C50C-407E-A947-70E740481C1C}">
                          <a14:useLocalDpi xmlns:a14="http://schemas.microsoft.com/office/drawing/2010/main" val="0"/>
                        </a:ext>
                      </a:extLst>
                    </a:blip>
                    <a:stretch>
                      <a:fillRect/>
                    </a:stretch>
                  </pic:blipFill>
                  <pic:spPr>
                    <a:xfrm>
                      <a:off x="0" y="0"/>
                      <a:ext cx="3798916" cy="1371600"/>
                    </a:xfrm>
                    <a:prstGeom prst="rect">
                      <a:avLst/>
                    </a:prstGeom>
                  </pic:spPr>
                </pic:pic>
              </a:graphicData>
            </a:graphic>
          </wp:inline>
        </w:drawing>
      </w:r>
    </w:p>
    <w:p w14:paraId="03233DC1" w14:textId="0EC4120B" w:rsidR="00BA2686" w:rsidRPr="00D93189" w:rsidRDefault="00BA2686" w:rsidP="00BA2686">
      <w:pPr>
        <w:pStyle w:val="CETCaption"/>
        <w:rPr>
          <w:lang w:val="en-US"/>
        </w:rPr>
      </w:pPr>
      <w:r>
        <w:rPr>
          <w:lang w:val="en-US"/>
        </w:rPr>
        <w:t>Figure 1</w:t>
      </w:r>
      <w:r w:rsidRPr="00D93189">
        <w:rPr>
          <w:lang w:val="en-US"/>
        </w:rPr>
        <w:t xml:space="preserve">: Dendrogram </w:t>
      </w:r>
      <w:r>
        <w:rPr>
          <w:lang w:val="en-US"/>
        </w:rPr>
        <w:t xml:space="preserve">showing the genetic relatedness among L. plantarum isolated from the pilot-scale cassava starch fermentation as determined by the </w:t>
      </w:r>
      <w:r w:rsidRPr="00D93189">
        <w:rPr>
          <w:lang w:val="en-US"/>
        </w:rPr>
        <w:t xml:space="preserve">rep-PCR fingerprinting </w:t>
      </w:r>
      <w:r>
        <w:rPr>
          <w:lang w:val="en-US"/>
        </w:rPr>
        <w:t>analysis</w:t>
      </w:r>
    </w:p>
    <w:p w14:paraId="645FD47E" w14:textId="177CA8DF" w:rsidR="004D3AE4" w:rsidRDefault="00491068" w:rsidP="004D3AE4">
      <w:pPr>
        <w:pStyle w:val="CETBodytext"/>
      </w:pPr>
      <w:r w:rsidRPr="00F906DE">
        <w:t xml:space="preserve">The counts of </w:t>
      </w:r>
      <w:r w:rsidRPr="00F906DE">
        <w:rPr>
          <w:i/>
        </w:rPr>
        <w:t>L. plantarum</w:t>
      </w:r>
      <w:r w:rsidRPr="00F906DE">
        <w:t xml:space="preserve"> did not differ over time nor among the different starter cultures (p &gt; 0.05) (Figure 1)</w:t>
      </w:r>
      <w:r w:rsidR="003A518A">
        <w:t xml:space="preserve"> and</w:t>
      </w:r>
      <w:r w:rsidRPr="00491068">
        <w:t xml:space="preserve"> remain</w:t>
      </w:r>
      <w:r>
        <w:t>ed</w:t>
      </w:r>
      <w:r w:rsidRPr="00491068">
        <w:t xml:space="preserve"> close to the </w:t>
      </w:r>
      <w:r w:rsidR="00E67798">
        <w:t xml:space="preserve">counts of the </w:t>
      </w:r>
      <w:r w:rsidRPr="00491068">
        <w:t>initial inoculum (about 7 log</w:t>
      </w:r>
      <w:r w:rsidRPr="00491068">
        <w:rPr>
          <w:vertAlign w:val="subscript"/>
        </w:rPr>
        <w:t>10</w:t>
      </w:r>
      <w:r w:rsidRPr="00491068">
        <w:t xml:space="preserve"> CFU/g). The counts of </w:t>
      </w:r>
      <w:r w:rsidRPr="00E67798">
        <w:rPr>
          <w:i/>
        </w:rPr>
        <w:t>P. scutulata</w:t>
      </w:r>
      <w:r w:rsidRPr="00491068">
        <w:t>, which initially were about 5 log</w:t>
      </w:r>
      <w:r w:rsidRPr="00E67798">
        <w:rPr>
          <w:vertAlign w:val="subscript"/>
        </w:rPr>
        <w:t>10</w:t>
      </w:r>
      <w:r w:rsidRPr="00491068">
        <w:t xml:space="preserve"> CFU/g, declined gradually over the 21 days</w:t>
      </w:r>
      <w:r w:rsidR="00E67798">
        <w:t xml:space="preserve"> </w:t>
      </w:r>
      <w:r w:rsidRPr="00491068">
        <w:t>(p &lt;</w:t>
      </w:r>
      <w:r w:rsidR="00E67798">
        <w:t xml:space="preserve"> 0.05)</w:t>
      </w:r>
      <w:r w:rsidRPr="00491068">
        <w:t xml:space="preserve">. It is important to note that </w:t>
      </w:r>
      <w:r w:rsidRPr="00E67798">
        <w:rPr>
          <w:i/>
        </w:rPr>
        <w:t>L. plantarum</w:t>
      </w:r>
      <w:r w:rsidRPr="00491068">
        <w:t xml:space="preserve"> counts in mixed culture were not reduced and </w:t>
      </w:r>
      <w:r w:rsidR="00E67798">
        <w:t>the yeast</w:t>
      </w:r>
      <w:r w:rsidRPr="00491068">
        <w:t xml:space="preserve"> was found until the </w:t>
      </w:r>
      <w:r w:rsidR="00E67798">
        <w:t>la</w:t>
      </w:r>
      <w:r w:rsidRPr="00491068">
        <w:t xml:space="preserve">st day of fermentation. These results were superior to those found by Penido et al. (2018) which found a reduction in the counts of </w:t>
      </w:r>
      <w:r w:rsidRPr="00E67798">
        <w:rPr>
          <w:i/>
        </w:rPr>
        <w:t>L. plantarum</w:t>
      </w:r>
      <w:r w:rsidRPr="00491068">
        <w:t xml:space="preserve"> and </w:t>
      </w:r>
      <w:r w:rsidRPr="00E67798">
        <w:rPr>
          <w:i/>
        </w:rPr>
        <w:t>L. brevis</w:t>
      </w:r>
      <w:r w:rsidRPr="00491068">
        <w:t xml:space="preserve"> when </w:t>
      </w:r>
      <w:r w:rsidR="00E67798">
        <w:t xml:space="preserve">in </w:t>
      </w:r>
      <w:r w:rsidRPr="00491068">
        <w:t>co-cul</w:t>
      </w:r>
      <w:r w:rsidR="00E67798">
        <w:t>ture</w:t>
      </w:r>
      <w:r w:rsidRPr="00491068">
        <w:t xml:space="preserve"> with </w:t>
      </w:r>
      <w:r w:rsidR="00E67798" w:rsidRPr="00E67798">
        <w:rPr>
          <w:i/>
        </w:rPr>
        <w:t>P. scutulata</w:t>
      </w:r>
      <w:r w:rsidRPr="00491068">
        <w:t xml:space="preserve"> throughout the fermentation.</w:t>
      </w:r>
      <w:r w:rsidR="00BA2686">
        <w:t xml:space="preserve"> </w:t>
      </w:r>
      <w:r w:rsidR="009C5692" w:rsidRPr="009C5692">
        <w:t xml:space="preserve">All </w:t>
      </w:r>
      <w:r w:rsidR="009C5692">
        <w:t>LAB</w:t>
      </w:r>
      <w:r w:rsidR="009C5692" w:rsidRPr="009C5692">
        <w:t xml:space="preserve"> isolated </w:t>
      </w:r>
      <w:r w:rsidR="00EB33ED" w:rsidRPr="009C5692">
        <w:t xml:space="preserve">from the bioreactors containing the C1 and C2 starter cultures </w:t>
      </w:r>
      <w:r w:rsidR="009C5692" w:rsidRPr="009C5692">
        <w:t xml:space="preserve">were </w:t>
      </w:r>
      <w:r w:rsidR="009C5692" w:rsidRPr="004E3E04">
        <w:rPr>
          <w:noProof/>
        </w:rPr>
        <w:t>gram</w:t>
      </w:r>
      <w:r w:rsidR="004E3E04">
        <w:rPr>
          <w:noProof/>
        </w:rPr>
        <w:t>-</w:t>
      </w:r>
      <w:r w:rsidR="009C5692" w:rsidRPr="004E3E04">
        <w:rPr>
          <w:noProof/>
        </w:rPr>
        <w:t>positive</w:t>
      </w:r>
      <w:r w:rsidR="003A518A">
        <w:t xml:space="preserve"> and</w:t>
      </w:r>
      <w:r w:rsidR="009C5692" w:rsidRPr="009C5692">
        <w:t xml:space="preserve"> catalase negative rods. </w:t>
      </w:r>
      <w:r w:rsidR="00EB33ED">
        <w:t>All of them</w:t>
      </w:r>
      <w:r w:rsidR="009C5692" w:rsidRPr="009C5692">
        <w:t xml:space="preserve"> presented the same molecular profile, which is similar to the profile of </w:t>
      </w:r>
      <w:r w:rsidR="009C5692">
        <w:t xml:space="preserve">the inoculated </w:t>
      </w:r>
      <w:r w:rsidR="00EB33ED">
        <w:t>species</w:t>
      </w:r>
      <w:r w:rsidR="009C5692">
        <w:t xml:space="preserve"> </w:t>
      </w:r>
      <w:r w:rsidR="009C5692" w:rsidRPr="009C5692">
        <w:rPr>
          <w:i/>
        </w:rPr>
        <w:t>L. plantarum</w:t>
      </w:r>
      <w:r w:rsidR="009C5692" w:rsidRPr="009C5692">
        <w:t xml:space="preserve">. The </w:t>
      </w:r>
      <w:r w:rsidR="009C5692" w:rsidRPr="00EB33ED">
        <w:rPr>
          <w:i/>
        </w:rPr>
        <w:t>L. plantarum</w:t>
      </w:r>
      <w:r w:rsidR="009C5692" w:rsidRPr="009C5692">
        <w:t xml:space="preserve"> isolates obtained during pilot-scale fermentation at the initial and final fermentation times showed </w:t>
      </w:r>
      <w:r w:rsidR="004E3E04">
        <w:t xml:space="preserve">the </w:t>
      </w:r>
      <w:r w:rsidR="009C5692" w:rsidRPr="004E3E04">
        <w:rPr>
          <w:noProof/>
        </w:rPr>
        <w:t>similarity</w:t>
      </w:r>
      <w:r w:rsidR="009C5692" w:rsidRPr="009C5692">
        <w:t xml:space="preserve"> of 97</w:t>
      </w:r>
      <w:r w:rsidR="00C3191D" w:rsidRPr="00B57B36">
        <w:t> </w:t>
      </w:r>
      <w:r w:rsidR="009C5692" w:rsidRPr="009C5692">
        <w:t xml:space="preserve">% with the inoculated </w:t>
      </w:r>
      <w:r w:rsidR="00EB33ED">
        <w:t>strain</w:t>
      </w:r>
      <w:r w:rsidR="009C5692" w:rsidRPr="009C5692">
        <w:t xml:space="preserve"> (</w:t>
      </w:r>
      <w:r w:rsidR="009C5692" w:rsidRPr="00EB33ED">
        <w:rPr>
          <w:i/>
        </w:rPr>
        <w:t>L. plantarum Lp</w:t>
      </w:r>
      <w:r w:rsidR="009C5692" w:rsidRPr="009C5692">
        <w:t xml:space="preserve">3) and </w:t>
      </w:r>
      <w:r w:rsidR="00EB33ED">
        <w:t xml:space="preserve">similarity of </w:t>
      </w:r>
      <w:r w:rsidR="009C5692" w:rsidRPr="009C5692">
        <w:t>approximately 98</w:t>
      </w:r>
      <w:r w:rsidR="00C3191D" w:rsidRPr="00B57B36">
        <w:t> </w:t>
      </w:r>
      <w:r w:rsidR="0048494E">
        <w:t>% with each other (Figure 1</w:t>
      </w:r>
      <w:r w:rsidR="009C5692" w:rsidRPr="009C5692">
        <w:t xml:space="preserve">). This </w:t>
      </w:r>
      <w:r w:rsidR="00EB33ED">
        <w:t>proves</w:t>
      </w:r>
      <w:r w:rsidR="009C5692" w:rsidRPr="009C5692">
        <w:t xml:space="preserve"> that </w:t>
      </w:r>
      <w:r w:rsidR="00EB33ED">
        <w:t xml:space="preserve">they </w:t>
      </w:r>
      <w:r w:rsidR="009C5692" w:rsidRPr="009C5692">
        <w:t xml:space="preserve">belong to the same </w:t>
      </w:r>
      <w:r w:rsidR="00EB33ED">
        <w:t xml:space="preserve">strain </w:t>
      </w:r>
      <w:r w:rsidR="009C5692" w:rsidRPr="009C5692">
        <w:t xml:space="preserve">and that the starter culture used in the study can remain viable until the end of the fermentation. </w:t>
      </w:r>
      <w:r w:rsidR="00D93189">
        <w:t>All</w:t>
      </w:r>
      <w:r w:rsidR="009C5692" w:rsidRPr="009C5692">
        <w:t xml:space="preserve"> yeasts isolated from the bioreactors containing the C2 starter culture had the same molecular profile, which is similar to the profile of </w:t>
      </w:r>
      <w:r w:rsidR="00D93189">
        <w:t xml:space="preserve">the species </w:t>
      </w:r>
      <w:r w:rsidR="009C5692" w:rsidRPr="00D93189">
        <w:rPr>
          <w:i/>
        </w:rPr>
        <w:t>P. scutulata</w:t>
      </w:r>
      <w:r w:rsidR="009C5692" w:rsidRPr="009C5692">
        <w:t>.</w:t>
      </w:r>
      <w:r w:rsidR="004D3AE4">
        <w:t xml:space="preserve"> I</w:t>
      </w:r>
      <w:r w:rsidR="004D3AE4" w:rsidRPr="004B710F">
        <w:t xml:space="preserve">t was observed that the molecular profiles </w:t>
      </w:r>
      <w:r w:rsidR="004D3AE4">
        <w:t>of</w:t>
      </w:r>
      <w:r w:rsidR="004D3AE4" w:rsidRPr="004B710F">
        <w:t xml:space="preserve"> the </w:t>
      </w:r>
      <w:r w:rsidR="00175029">
        <w:t>single</w:t>
      </w:r>
      <w:r w:rsidR="004D3AE4" w:rsidRPr="004B710F">
        <w:t xml:space="preserve"> </w:t>
      </w:r>
      <w:r w:rsidR="004D3AE4">
        <w:t xml:space="preserve">starter </w:t>
      </w:r>
      <w:r w:rsidR="004D3AE4" w:rsidRPr="004B710F">
        <w:t>culture</w:t>
      </w:r>
      <w:r w:rsidR="004D3AE4">
        <w:t>s</w:t>
      </w:r>
      <w:r w:rsidR="004D3AE4" w:rsidRPr="004B710F">
        <w:t xml:space="preserve"> were</w:t>
      </w:r>
      <w:r w:rsidR="004D3AE4">
        <w:t xml:space="preserve"> equivalent to those of the other </w:t>
      </w:r>
      <w:r w:rsidR="004D3AE4">
        <w:lastRenderedPageBreak/>
        <w:t>isolates. Therefore, the molecular techniques used allowed the</w:t>
      </w:r>
      <w:r w:rsidR="004D3AE4" w:rsidRPr="004B710F">
        <w:t xml:space="preserve"> verif</w:t>
      </w:r>
      <w:r w:rsidR="004D3AE4">
        <w:t xml:space="preserve">ication of </w:t>
      </w:r>
      <w:r w:rsidR="004D3AE4" w:rsidRPr="004B710F">
        <w:t xml:space="preserve">the permanence of the inoculated microorganisms during the 21-day </w:t>
      </w:r>
      <w:r w:rsidR="004D3AE4" w:rsidRPr="004E3E04">
        <w:rPr>
          <w:noProof/>
        </w:rPr>
        <w:t>pilot</w:t>
      </w:r>
      <w:r w:rsidR="004E3E04">
        <w:rPr>
          <w:noProof/>
        </w:rPr>
        <w:t>-</w:t>
      </w:r>
      <w:r w:rsidR="004D3AE4" w:rsidRPr="004E3E04">
        <w:rPr>
          <w:noProof/>
        </w:rPr>
        <w:t>scale</w:t>
      </w:r>
      <w:r w:rsidR="004D3AE4" w:rsidRPr="004B710F">
        <w:t xml:space="preserve"> fermentation and demonstrate</w:t>
      </w:r>
      <w:r w:rsidR="004D3AE4">
        <w:t>d</w:t>
      </w:r>
      <w:r w:rsidR="004D3AE4" w:rsidRPr="004B710F">
        <w:t xml:space="preserve"> </w:t>
      </w:r>
      <w:r w:rsidR="004D3AE4">
        <w:t>their</w:t>
      </w:r>
      <w:r w:rsidR="004D3AE4" w:rsidRPr="004B710F">
        <w:t xml:space="preserve"> potential use for this purpose. </w:t>
      </w:r>
    </w:p>
    <w:p w14:paraId="5FAAC05E" w14:textId="77777777" w:rsidR="00BA2686" w:rsidRPr="00C859FE" w:rsidRDefault="00BA2686" w:rsidP="00BA2686">
      <w:pPr>
        <w:pStyle w:val="CETheadingx"/>
      </w:pPr>
      <w:r w:rsidRPr="00C859FE">
        <w:t xml:space="preserve">Physicochemical and microbiological evaluation of </w:t>
      </w:r>
      <w:r>
        <w:t xml:space="preserve">the </w:t>
      </w:r>
      <w:r w:rsidRPr="004E3E04">
        <w:rPr>
          <w:noProof/>
        </w:rPr>
        <w:t>final</w:t>
      </w:r>
      <w:r w:rsidRPr="00C859FE">
        <w:t xml:space="preserve"> product</w:t>
      </w:r>
    </w:p>
    <w:p w14:paraId="34A2CC50" w14:textId="591CDA10" w:rsidR="00BA2686" w:rsidRPr="00430DE0" w:rsidRDefault="00BA2686" w:rsidP="00BA2686">
      <w:pPr>
        <w:pStyle w:val="CETBodytext"/>
      </w:pPr>
      <w:r w:rsidRPr="004F54A3">
        <w:t xml:space="preserve">In relation to </w:t>
      </w:r>
      <w:r>
        <w:t xml:space="preserve">the </w:t>
      </w:r>
      <w:r w:rsidRPr="004F54A3">
        <w:t>TT</w:t>
      </w:r>
      <w:r>
        <w:t>A</w:t>
      </w:r>
      <w:r w:rsidRPr="004F54A3">
        <w:t xml:space="preserve">, the </w:t>
      </w:r>
      <w:r>
        <w:t xml:space="preserve">sour cassava starches </w:t>
      </w:r>
      <w:r w:rsidRPr="004F54A3">
        <w:t>obtained with the C1 and C2 starter cultures did not differ from each other (p</w:t>
      </w:r>
      <w:r>
        <w:t xml:space="preserve"> </w:t>
      </w:r>
      <w:r w:rsidRPr="004F54A3">
        <w:t xml:space="preserve">&gt; 0.05). However, it is important to note that with both starter cultures it was possible to obtain sour </w:t>
      </w:r>
      <w:r>
        <w:t>cassava starch because</w:t>
      </w:r>
      <w:r w:rsidRPr="004F54A3">
        <w:t xml:space="preserve"> the acidity values were higher than 1</w:t>
      </w:r>
      <w:r w:rsidRPr="00B57B36">
        <w:t> </w:t>
      </w:r>
      <w:r w:rsidRPr="004F54A3">
        <w:t>% and, according to Brazilian leg</w:t>
      </w:r>
      <w:r>
        <w:t xml:space="preserve">islation, the </w:t>
      </w:r>
      <w:r w:rsidRPr="004E3E04">
        <w:rPr>
          <w:noProof/>
        </w:rPr>
        <w:t>maximum</w:t>
      </w:r>
      <w:r>
        <w:t xml:space="preserve"> acidity of 1</w:t>
      </w:r>
      <w:r w:rsidRPr="00B57B36">
        <w:t> </w:t>
      </w:r>
      <w:r w:rsidRPr="004F54A3">
        <w:t xml:space="preserve">% characterized sweet </w:t>
      </w:r>
      <w:r>
        <w:t>cassava starch</w:t>
      </w:r>
      <w:r w:rsidRPr="004F54A3">
        <w:t xml:space="preserve"> and </w:t>
      </w:r>
      <w:r>
        <w:t xml:space="preserve">the </w:t>
      </w:r>
      <w:r w:rsidRPr="004F54A3">
        <w:t>maximum acidity of 5</w:t>
      </w:r>
      <w:r w:rsidRPr="00B57B36">
        <w:t> </w:t>
      </w:r>
      <w:r w:rsidRPr="004F54A3">
        <w:t xml:space="preserve">% characterizes </w:t>
      </w:r>
      <w:r>
        <w:t>sour cassava starch</w:t>
      </w:r>
      <w:r w:rsidRPr="004F54A3">
        <w:t xml:space="preserve">. The values of expansion </w:t>
      </w:r>
      <w:r>
        <w:t xml:space="preserve">capacities for sour cassava starches P1 and P2 </w:t>
      </w:r>
      <w:r w:rsidRPr="004F54A3">
        <w:t>did not differ among themselves (p</w:t>
      </w:r>
      <w:r>
        <w:t xml:space="preserve"> &gt; 0.05). Nonetheless,</w:t>
      </w:r>
      <w:r w:rsidRPr="004F54A3">
        <w:t xml:space="preserve"> </w:t>
      </w:r>
      <w:r>
        <w:t>both expansion values</w:t>
      </w:r>
      <w:r w:rsidRPr="004F54A3">
        <w:t xml:space="preserve"> w</w:t>
      </w:r>
      <w:r>
        <w:t xml:space="preserve">ere higher </w:t>
      </w:r>
      <w:r w:rsidRPr="00746B35">
        <w:t xml:space="preserve">than </w:t>
      </w:r>
      <w:r w:rsidRPr="00555B64">
        <w:t>1</w:t>
      </w:r>
      <w:r w:rsidR="00746B35">
        <w:t>.00</w:t>
      </w:r>
      <w:r w:rsidRPr="00555B64">
        <w:t>,</w:t>
      </w:r>
      <w:r>
        <w:t xml:space="preserve"> which indicates that</w:t>
      </w:r>
      <w:r w:rsidRPr="004F54A3">
        <w:t xml:space="preserve"> the fermented </w:t>
      </w:r>
      <w:r>
        <w:t>cassava</w:t>
      </w:r>
      <w:r w:rsidRPr="004F54A3">
        <w:t xml:space="preserve"> starch </w:t>
      </w:r>
      <w:r>
        <w:t>became</w:t>
      </w:r>
      <w:r w:rsidRPr="004F54A3">
        <w:t xml:space="preserve"> an expandable mass, a fundamental characteristic that allows </w:t>
      </w:r>
      <w:r>
        <w:t xml:space="preserve">its use </w:t>
      </w:r>
      <w:r w:rsidRPr="004F54A3">
        <w:t xml:space="preserve">in bakery products. The capacity of expansion of the sour </w:t>
      </w:r>
      <w:r>
        <w:t>cassava starch,</w:t>
      </w:r>
      <w:r w:rsidRPr="004F54A3">
        <w:t xml:space="preserve"> without the need of chemical or biological ferments and </w:t>
      </w:r>
      <w:r>
        <w:t>in the</w:t>
      </w:r>
      <w:r w:rsidRPr="004F54A3">
        <w:t xml:space="preserve"> absence of gluten, is the </w:t>
      </w:r>
      <w:r>
        <w:t xml:space="preserve">main </w:t>
      </w:r>
      <w:r w:rsidRPr="004F54A3">
        <w:t>propert</w:t>
      </w:r>
      <w:r>
        <w:t>y</w:t>
      </w:r>
      <w:r w:rsidRPr="004F54A3">
        <w:t xml:space="preserve"> that </w:t>
      </w:r>
      <w:r w:rsidRPr="004E3E04">
        <w:rPr>
          <w:noProof/>
        </w:rPr>
        <w:t>differentiate</w:t>
      </w:r>
      <w:r>
        <w:rPr>
          <w:noProof/>
        </w:rPr>
        <w:t>s</w:t>
      </w:r>
      <w:r w:rsidRPr="004F54A3">
        <w:t xml:space="preserve"> it from other starches (Marcon et al., 2009).</w:t>
      </w:r>
      <w:r>
        <w:t xml:space="preserve"> </w:t>
      </w:r>
      <w:r w:rsidRPr="00635109">
        <w:t xml:space="preserve">Microbiological analysis of cassava starch revealed the presence of </w:t>
      </w:r>
      <w:r>
        <w:t xml:space="preserve">suggestive </w:t>
      </w:r>
      <w:r w:rsidRPr="00635109">
        <w:t xml:space="preserve">colonies of </w:t>
      </w:r>
      <w:r w:rsidRPr="00635109">
        <w:rPr>
          <w:i/>
        </w:rPr>
        <w:t>B. cereus</w:t>
      </w:r>
      <w:r w:rsidRPr="00635109">
        <w:t xml:space="preserve"> (1.50 x 10</w:t>
      </w:r>
      <w:r w:rsidRPr="00635109">
        <w:rPr>
          <w:vertAlign w:val="superscript"/>
        </w:rPr>
        <w:t>3</w:t>
      </w:r>
      <w:r w:rsidRPr="00635109">
        <w:t xml:space="preserve"> CFU/g). T</w:t>
      </w:r>
      <w:r>
        <w:t>o verify t</w:t>
      </w:r>
      <w:r w:rsidRPr="00635109">
        <w:t xml:space="preserve">he presence of </w:t>
      </w:r>
      <w:r w:rsidRPr="00635109">
        <w:rPr>
          <w:i/>
        </w:rPr>
        <w:t>B. cereus</w:t>
      </w:r>
      <w:r w:rsidRPr="00635109">
        <w:t xml:space="preserve"> in cassava </w:t>
      </w:r>
      <w:r>
        <w:t xml:space="preserve">by-products </w:t>
      </w:r>
      <w:r w:rsidRPr="00635109">
        <w:t xml:space="preserve">is important because </w:t>
      </w:r>
      <w:r>
        <w:t>it</w:t>
      </w:r>
      <w:r w:rsidRPr="00635109">
        <w:t xml:space="preserve"> is a spore-forming and toxin-producing endophytic microorganism that can cause food poisoning when present at counts above 10</w:t>
      </w:r>
      <w:r w:rsidRPr="00635109">
        <w:rPr>
          <w:vertAlign w:val="superscript"/>
        </w:rPr>
        <w:t>5</w:t>
      </w:r>
      <w:r w:rsidRPr="00635109">
        <w:t xml:space="preserve"> CFU/g. For the analysis of </w:t>
      </w:r>
      <w:r>
        <w:t xml:space="preserve">thermotolerant </w:t>
      </w:r>
      <w:r w:rsidRPr="00635109">
        <w:t>coliforms, all samples presented the result &lt;</w:t>
      </w:r>
      <w:r>
        <w:t xml:space="preserve"> </w:t>
      </w:r>
      <w:r w:rsidRPr="00635109">
        <w:t>3 MP</w:t>
      </w:r>
      <w:r>
        <w:t>N</w:t>
      </w:r>
      <w:r w:rsidRPr="00635109">
        <w:t xml:space="preserve"> (Most </w:t>
      </w:r>
      <w:r>
        <w:t>Probable</w:t>
      </w:r>
      <w:r w:rsidRPr="00635109">
        <w:t xml:space="preserve"> Number)/g. The other results were </w:t>
      </w:r>
      <w:r>
        <w:t xml:space="preserve">the </w:t>
      </w:r>
      <w:r w:rsidRPr="004E3E04">
        <w:rPr>
          <w:noProof/>
        </w:rPr>
        <w:t>absence</w:t>
      </w:r>
      <w:r w:rsidRPr="00635109">
        <w:t xml:space="preserve"> of </w:t>
      </w:r>
      <w:r w:rsidRPr="00635109">
        <w:rPr>
          <w:i/>
        </w:rPr>
        <w:t>Salmonella</w:t>
      </w:r>
      <w:r w:rsidRPr="00635109">
        <w:t xml:space="preserve"> spp. in 25 g of all samples. There</w:t>
      </w:r>
      <w:r>
        <w:t>fore</w:t>
      </w:r>
      <w:r w:rsidRPr="00635109">
        <w:t xml:space="preserve">, </w:t>
      </w:r>
      <w:r>
        <w:t>both</w:t>
      </w:r>
      <w:r w:rsidRPr="00635109">
        <w:t xml:space="preserve"> </w:t>
      </w:r>
      <w:r>
        <w:t>sour cassava starches</w:t>
      </w:r>
      <w:r w:rsidRPr="00635109">
        <w:t xml:space="preserve"> produced </w:t>
      </w:r>
      <w:r>
        <w:t>i</w:t>
      </w:r>
      <w:r w:rsidRPr="00635109">
        <w:t>n a pilot</w:t>
      </w:r>
      <w:r>
        <w:t>-</w:t>
      </w:r>
      <w:r w:rsidRPr="00635109">
        <w:t xml:space="preserve">scale </w:t>
      </w:r>
      <w:r>
        <w:t xml:space="preserve">fermentation process </w:t>
      </w:r>
      <w:r w:rsidRPr="00635109">
        <w:t>would be suitable for human consumption.</w:t>
      </w:r>
      <w:r>
        <w:t xml:space="preserve"> </w:t>
      </w:r>
      <w:r w:rsidR="003A518A" w:rsidRPr="003A518A">
        <w:t>During fermentation</w:t>
      </w:r>
      <w:r w:rsidRPr="00175029">
        <w:t xml:space="preserve">, the presence of </w:t>
      </w:r>
      <w:r>
        <w:t xml:space="preserve">the </w:t>
      </w:r>
      <w:r w:rsidRPr="00175029">
        <w:t xml:space="preserve">yeast, which is amylolytic, does not appear to have contributed to increased acid production by </w:t>
      </w:r>
      <w:r>
        <w:t xml:space="preserve">the </w:t>
      </w:r>
      <w:r w:rsidRPr="004E3E04">
        <w:rPr>
          <w:noProof/>
        </w:rPr>
        <w:t>LAB</w:t>
      </w:r>
      <w:r w:rsidRPr="00175029">
        <w:t xml:space="preserve">. </w:t>
      </w:r>
      <w:r>
        <w:t>The reason might be</w:t>
      </w:r>
      <w:r w:rsidRPr="00175029">
        <w:t xml:space="preserve"> the presence of </w:t>
      </w:r>
      <w:r w:rsidRPr="00175029">
        <w:rPr>
          <w:i/>
        </w:rPr>
        <w:t>B. cereus</w:t>
      </w:r>
      <w:r w:rsidRPr="00175029">
        <w:t>,</w:t>
      </w:r>
      <w:r>
        <w:t xml:space="preserve"> which is</w:t>
      </w:r>
      <w:r w:rsidRPr="00175029">
        <w:t xml:space="preserve"> also </w:t>
      </w:r>
      <w:r w:rsidR="003A518A">
        <w:t xml:space="preserve">amylolytic, in the raw material, making it possible </w:t>
      </w:r>
      <w:r>
        <w:t>to hydrolyze</w:t>
      </w:r>
      <w:r w:rsidRPr="00175029">
        <w:t xml:space="preserve"> the </w:t>
      </w:r>
      <w:r>
        <w:t xml:space="preserve">starch </w:t>
      </w:r>
      <w:r w:rsidRPr="00175029">
        <w:t xml:space="preserve">when </w:t>
      </w:r>
      <w:r w:rsidRPr="00175029">
        <w:rPr>
          <w:i/>
        </w:rPr>
        <w:t>L. plantarum</w:t>
      </w:r>
      <w:r w:rsidRPr="00175029">
        <w:t xml:space="preserve"> was in </w:t>
      </w:r>
      <w:r>
        <w:rPr>
          <w:noProof/>
        </w:rPr>
        <w:t>a</w:t>
      </w:r>
      <w:r w:rsidRPr="004E3E04">
        <w:rPr>
          <w:noProof/>
        </w:rPr>
        <w:t xml:space="preserve"> single</w:t>
      </w:r>
      <w:r w:rsidRPr="00175029">
        <w:t xml:space="preserve"> culture. However, the use of both starter cultures for the cassava starch fermentation led to the production of sour </w:t>
      </w:r>
      <w:r>
        <w:t>cassava starches</w:t>
      </w:r>
      <w:r w:rsidRPr="00175029">
        <w:t xml:space="preserve"> with the </w:t>
      </w:r>
      <w:r w:rsidR="003A518A">
        <w:t xml:space="preserve">satisfying </w:t>
      </w:r>
      <w:r>
        <w:t xml:space="preserve">values </w:t>
      </w:r>
      <w:r w:rsidRPr="00175029">
        <w:t>of acidity, able to expand and with good control of the pathogenic microorganisms.</w:t>
      </w:r>
    </w:p>
    <w:p w14:paraId="04E0B7AE" w14:textId="77777777" w:rsidR="003868C5" w:rsidRPr="00C859FE" w:rsidRDefault="00BA0438" w:rsidP="00BA0438">
      <w:pPr>
        <w:pStyle w:val="CETheadingx"/>
      </w:pPr>
      <w:r w:rsidRPr="00C859FE">
        <w:t xml:space="preserve">Profile of fatty acids from sour cassava starches </w:t>
      </w:r>
    </w:p>
    <w:p w14:paraId="0330F560" w14:textId="77777777" w:rsidR="003A518A" w:rsidRDefault="0069687F" w:rsidP="00D53D4E">
      <w:pPr>
        <w:pStyle w:val="CETBodytext"/>
      </w:pPr>
      <w:r>
        <w:t>I</w:t>
      </w:r>
      <w:r w:rsidRPr="0069687F">
        <w:t xml:space="preserve">n relation to cassava starch, the </w:t>
      </w:r>
      <w:r>
        <w:t>sour cassava starches P1 and P2</w:t>
      </w:r>
      <w:r w:rsidRPr="0069687F">
        <w:t xml:space="preserve"> resulted in a reduction of saturated fat of 3.6</w:t>
      </w:r>
      <w:r w:rsidR="00732655" w:rsidRPr="00B57B36">
        <w:t> </w:t>
      </w:r>
      <w:r w:rsidRPr="0069687F">
        <w:t>% and 8.1</w:t>
      </w:r>
      <w:r w:rsidR="00732655" w:rsidRPr="00B57B36">
        <w:t> </w:t>
      </w:r>
      <w:r w:rsidRPr="0069687F">
        <w:t>% respectively, and in an increase of the unsaturated fat of approximatel</w:t>
      </w:r>
      <w:r w:rsidR="0048494E">
        <w:t>y 2.3 times (Table 1)</w:t>
      </w:r>
      <w:r w:rsidRPr="0069687F">
        <w:t>.</w:t>
      </w:r>
    </w:p>
    <w:p w14:paraId="66E9D237" w14:textId="0D116661" w:rsidR="003A518A" w:rsidRPr="00555B64" w:rsidRDefault="003A518A" w:rsidP="003A518A">
      <w:pPr>
        <w:pStyle w:val="CETTabletitle"/>
        <w:rPr>
          <w:lang w:val="en-US"/>
        </w:rPr>
      </w:pPr>
      <w:r w:rsidRPr="00555B64">
        <w:rPr>
          <w:lang w:val="en-US"/>
        </w:rPr>
        <w:t xml:space="preserve">Table 1: </w:t>
      </w:r>
      <w:r w:rsidR="00746B35" w:rsidRPr="00555B64">
        <w:rPr>
          <w:lang w:val="en-US"/>
        </w:rPr>
        <w:t xml:space="preserve">Fatty acids profile of cassava starch and sour cassava starch samples after gas chromatography analysis </w:t>
      </w:r>
      <w:r w:rsidRPr="00555B64">
        <w:rPr>
          <w:lang w:val="en-US"/>
        </w:rPr>
        <w:t>(T</w:t>
      </w:r>
      <w:r w:rsidRPr="00555B64">
        <w:rPr>
          <w:vertAlign w:val="subscript"/>
          <w:lang w:val="en-US"/>
        </w:rPr>
        <w:t>R</w:t>
      </w:r>
      <w:r w:rsidRPr="00555B64">
        <w:rPr>
          <w:lang w:val="en-US"/>
        </w:rPr>
        <w:t xml:space="preserve"> = retention time)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451"/>
        <w:gridCol w:w="1134"/>
        <w:gridCol w:w="1134"/>
        <w:gridCol w:w="972"/>
        <w:gridCol w:w="162"/>
      </w:tblGrid>
      <w:tr w:rsidR="003A518A" w:rsidRPr="00C859FE" w14:paraId="0B49F063" w14:textId="77777777" w:rsidTr="007420F4">
        <w:trPr>
          <w:gridAfter w:val="1"/>
          <w:wAfter w:w="162" w:type="dxa"/>
        </w:trPr>
        <w:tc>
          <w:tcPr>
            <w:tcW w:w="2410" w:type="dxa"/>
            <w:vMerge w:val="restart"/>
            <w:tcBorders>
              <w:top w:val="single" w:sz="12" w:space="0" w:color="008000"/>
            </w:tcBorders>
            <w:shd w:val="clear" w:color="auto" w:fill="FFFFFF"/>
            <w:vAlign w:val="center"/>
          </w:tcPr>
          <w:p w14:paraId="333264D1" w14:textId="77777777" w:rsidR="003A518A" w:rsidRPr="00C859FE" w:rsidRDefault="003A518A" w:rsidP="007420F4">
            <w:pPr>
              <w:pStyle w:val="CETBodytext"/>
              <w:jc w:val="center"/>
              <w:rPr>
                <w:rFonts w:cs="Arial"/>
                <w:szCs w:val="18"/>
                <w:lang w:val="en-GB"/>
              </w:rPr>
            </w:pPr>
            <w:r w:rsidRPr="00C859FE">
              <w:rPr>
                <w:rFonts w:cs="Arial"/>
                <w:szCs w:val="18"/>
                <w:lang w:val="en-GB"/>
              </w:rPr>
              <w:t>Fatty acids</w:t>
            </w:r>
          </w:p>
        </w:tc>
        <w:tc>
          <w:tcPr>
            <w:tcW w:w="3691" w:type="dxa"/>
            <w:gridSpan w:val="4"/>
            <w:tcBorders>
              <w:top w:val="single" w:sz="12" w:space="0" w:color="008000"/>
              <w:bottom w:val="single" w:sz="6" w:space="0" w:color="008000"/>
            </w:tcBorders>
            <w:shd w:val="clear" w:color="auto" w:fill="FFFFFF"/>
            <w:vAlign w:val="center"/>
          </w:tcPr>
          <w:p w14:paraId="2F5281CA" w14:textId="77777777" w:rsidR="003A518A" w:rsidRPr="00C859FE" w:rsidRDefault="003A518A" w:rsidP="007420F4">
            <w:pPr>
              <w:pStyle w:val="CETBodytext"/>
              <w:ind w:right="-1"/>
              <w:jc w:val="center"/>
              <w:rPr>
                <w:rFonts w:cs="Arial"/>
                <w:szCs w:val="18"/>
                <w:lang w:val="en-GB"/>
              </w:rPr>
            </w:pPr>
            <w:r w:rsidRPr="00C859FE">
              <w:rPr>
                <w:rFonts w:cs="Arial"/>
                <w:szCs w:val="18"/>
                <w:lang w:val="en-GB"/>
              </w:rPr>
              <w:t>Area (%)</w:t>
            </w:r>
          </w:p>
        </w:tc>
      </w:tr>
      <w:tr w:rsidR="003A518A" w:rsidRPr="00C859FE" w14:paraId="61C96168" w14:textId="77777777" w:rsidTr="007420F4">
        <w:tc>
          <w:tcPr>
            <w:tcW w:w="2410" w:type="dxa"/>
            <w:vMerge/>
            <w:tcBorders>
              <w:bottom w:val="single" w:sz="6" w:space="0" w:color="008000"/>
            </w:tcBorders>
            <w:shd w:val="clear" w:color="auto" w:fill="FFFFFF"/>
            <w:vAlign w:val="center"/>
          </w:tcPr>
          <w:p w14:paraId="2E97BCD0" w14:textId="77777777" w:rsidR="003A518A" w:rsidRPr="00C859FE" w:rsidRDefault="003A518A" w:rsidP="007420F4">
            <w:pPr>
              <w:pStyle w:val="CETBodytext"/>
              <w:jc w:val="center"/>
              <w:rPr>
                <w:rFonts w:cs="Arial"/>
                <w:szCs w:val="18"/>
                <w:lang w:val="en-GB"/>
              </w:rPr>
            </w:pPr>
          </w:p>
        </w:tc>
        <w:tc>
          <w:tcPr>
            <w:tcW w:w="451" w:type="dxa"/>
            <w:tcBorders>
              <w:top w:val="single" w:sz="12" w:space="0" w:color="008000"/>
              <w:bottom w:val="single" w:sz="6" w:space="0" w:color="008000"/>
            </w:tcBorders>
            <w:shd w:val="clear" w:color="auto" w:fill="FFFFFF"/>
            <w:vAlign w:val="center"/>
          </w:tcPr>
          <w:p w14:paraId="0E334FE8" w14:textId="77777777" w:rsidR="003A518A" w:rsidRPr="00C859FE" w:rsidRDefault="003A518A" w:rsidP="007420F4">
            <w:pPr>
              <w:pStyle w:val="CETBodytext"/>
              <w:jc w:val="center"/>
              <w:rPr>
                <w:rFonts w:cs="Arial"/>
                <w:szCs w:val="18"/>
                <w:lang w:val="en-GB"/>
              </w:rPr>
            </w:pPr>
            <w:r w:rsidRPr="00C859FE">
              <w:rPr>
                <w:rFonts w:cs="Arial"/>
                <w:szCs w:val="18"/>
                <w:lang w:val="en-GB"/>
              </w:rPr>
              <w:t>T</w:t>
            </w:r>
            <w:r w:rsidRPr="00C859FE">
              <w:rPr>
                <w:rFonts w:cs="Arial"/>
                <w:szCs w:val="18"/>
                <w:vertAlign w:val="subscript"/>
                <w:lang w:val="en-GB"/>
              </w:rPr>
              <w:t>R</w:t>
            </w:r>
            <w:r w:rsidRPr="00C859FE">
              <w:rPr>
                <w:rFonts w:cs="Arial"/>
                <w:szCs w:val="18"/>
                <w:lang w:val="en-GB"/>
              </w:rPr>
              <w:t xml:space="preserve"> (min)</w:t>
            </w:r>
          </w:p>
        </w:tc>
        <w:tc>
          <w:tcPr>
            <w:tcW w:w="1134" w:type="dxa"/>
            <w:tcBorders>
              <w:top w:val="single" w:sz="12" w:space="0" w:color="008000"/>
              <w:bottom w:val="single" w:sz="6" w:space="0" w:color="008000"/>
            </w:tcBorders>
            <w:shd w:val="clear" w:color="auto" w:fill="FFFFFF"/>
            <w:vAlign w:val="center"/>
          </w:tcPr>
          <w:p w14:paraId="618D30AD" w14:textId="77777777" w:rsidR="003A518A" w:rsidRPr="00C859FE" w:rsidRDefault="003A518A" w:rsidP="007420F4">
            <w:pPr>
              <w:pStyle w:val="CETBodytext"/>
              <w:jc w:val="center"/>
              <w:rPr>
                <w:rFonts w:cs="Arial"/>
                <w:szCs w:val="18"/>
                <w:lang w:val="en-GB"/>
              </w:rPr>
            </w:pPr>
            <w:r w:rsidRPr="00C859FE">
              <w:rPr>
                <w:rFonts w:cs="Arial"/>
                <w:szCs w:val="18"/>
                <w:lang w:val="en-GB"/>
              </w:rPr>
              <w:t>Cassava starch</w:t>
            </w:r>
          </w:p>
        </w:tc>
        <w:tc>
          <w:tcPr>
            <w:tcW w:w="1134" w:type="dxa"/>
            <w:tcBorders>
              <w:top w:val="single" w:sz="12" w:space="0" w:color="008000"/>
              <w:bottom w:val="single" w:sz="6" w:space="0" w:color="008000"/>
            </w:tcBorders>
            <w:shd w:val="clear" w:color="auto" w:fill="FFFFFF"/>
            <w:vAlign w:val="center"/>
          </w:tcPr>
          <w:p w14:paraId="00913BF0" w14:textId="77777777" w:rsidR="003A518A" w:rsidRPr="00C859FE" w:rsidRDefault="003A518A" w:rsidP="007420F4">
            <w:pPr>
              <w:pStyle w:val="CETBodytext"/>
              <w:ind w:right="-1"/>
              <w:jc w:val="center"/>
              <w:rPr>
                <w:rFonts w:cs="Arial"/>
                <w:szCs w:val="18"/>
                <w:lang w:val="en-GB"/>
              </w:rPr>
            </w:pPr>
            <w:r w:rsidRPr="00C859FE">
              <w:rPr>
                <w:rFonts w:cs="Arial"/>
                <w:szCs w:val="18"/>
                <w:lang w:val="en-GB"/>
              </w:rPr>
              <w:t>P1</w:t>
            </w:r>
          </w:p>
        </w:tc>
        <w:tc>
          <w:tcPr>
            <w:tcW w:w="1134" w:type="dxa"/>
            <w:gridSpan w:val="2"/>
            <w:tcBorders>
              <w:top w:val="single" w:sz="12" w:space="0" w:color="008000"/>
              <w:bottom w:val="single" w:sz="6" w:space="0" w:color="008000"/>
            </w:tcBorders>
            <w:shd w:val="clear" w:color="auto" w:fill="FFFFFF"/>
            <w:vAlign w:val="center"/>
          </w:tcPr>
          <w:p w14:paraId="5EB5068E" w14:textId="77777777" w:rsidR="003A518A" w:rsidRPr="00C859FE" w:rsidRDefault="003A518A" w:rsidP="007420F4">
            <w:pPr>
              <w:pStyle w:val="CETBodytext"/>
              <w:ind w:right="-1"/>
              <w:jc w:val="center"/>
              <w:rPr>
                <w:rFonts w:cs="Arial"/>
                <w:szCs w:val="18"/>
                <w:lang w:val="en-GB"/>
              </w:rPr>
            </w:pPr>
            <w:r w:rsidRPr="00C859FE">
              <w:rPr>
                <w:rFonts w:cs="Arial"/>
                <w:szCs w:val="18"/>
                <w:lang w:val="en-GB"/>
              </w:rPr>
              <w:t>P2</w:t>
            </w:r>
          </w:p>
        </w:tc>
      </w:tr>
      <w:tr w:rsidR="003A518A" w:rsidRPr="00C859FE" w14:paraId="11377BA6" w14:textId="77777777" w:rsidTr="007420F4">
        <w:tc>
          <w:tcPr>
            <w:tcW w:w="2410" w:type="dxa"/>
            <w:shd w:val="clear" w:color="auto" w:fill="FFFFFF"/>
          </w:tcPr>
          <w:p w14:paraId="05AAC6B3" w14:textId="77777777" w:rsidR="003A518A" w:rsidRPr="00C859FE" w:rsidRDefault="003A518A" w:rsidP="007420F4">
            <w:pPr>
              <w:pStyle w:val="CETBodytext"/>
              <w:rPr>
                <w:rFonts w:cs="Arial"/>
                <w:szCs w:val="18"/>
                <w:lang w:val="en-GB"/>
              </w:rPr>
            </w:pPr>
            <w:r w:rsidRPr="00C859FE">
              <w:rPr>
                <w:rFonts w:cs="Arial"/>
                <w:szCs w:val="18"/>
                <w:lang w:val="en-GB"/>
              </w:rPr>
              <w:t>C14:0 (Myristic acid)</w:t>
            </w:r>
          </w:p>
        </w:tc>
        <w:tc>
          <w:tcPr>
            <w:tcW w:w="451" w:type="dxa"/>
            <w:shd w:val="clear" w:color="auto" w:fill="FFFFFF"/>
            <w:vAlign w:val="center"/>
          </w:tcPr>
          <w:p w14:paraId="0395746F"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3,976</w:t>
            </w:r>
          </w:p>
        </w:tc>
        <w:tc>
          <w:tcPr>
            <w:tcW w:w="1134" w:type="dxa"/>
            <w:shd w:val="clear" w:color="auto" w:fill="FFFFFF"/>
            <w:vAlign w:val="center"/>
          </w:tcPr>
          <w:p w14:paraId="17A06AAB" w14:textId="77777777" w:rsidR="003A518A" w:rsidRPr="00C859FE" w:rsidRDefault="003A518A" w:rsidP="007420F4">
            <w:pPr>
              <w:pStyle w:val="CETBodytext"/>
              <w:jc w:val="center"/>
              <w:rPr>
                <w:rFonts w:cs="Arial"/>
                <w:szCs w:val="18"/>
                <w:lang w:val="en-GB"/>
              </w:rPr>
            </w:pPr>
            <w:r w:rsidRPr="00C859FE">
              <w:rPr>
                <w:rFonts w:cs="Arial"/>
                <w:szCs w:val="18"/>
                <w:lang w:val="en-GB"/>
              </w:rPr>
              <w:t>4,2</w:t>
            </w:r>
          </w:p>
        </w:tc>
        <w:tc>
          <w:tcPr>
            <w:tcW w:w="1134" w:type="dxa"/>
            <w:shd w:val="clear" w:color="auto" w:fill="FFFFFF"/>
            <w:vAlign w:val="bottom"/>
          </w:tcPr>
          <w:p w14:paraId="0028D946"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1,7</w:t>
            </w:r>
          </w:p>
        </w:tc>
        <w:tc>
          <w:tcPr>
            <w:tcW w:w="1134" w:type="dxa"/>
            <w:gridSpan w:val="2"/>
            <w:shd w:val="clear" w:color="auto" w:fill="FFFFFF"/>
            <w:vAlign w:val="bottom"/>
          </w:tcPr>
          <w:p w14:paraId="3A23F9EB"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1,6</w:t>
            </w:r>
          </w:p>
        </w:tc>
      </w:tr>
      <w:tr w:rsidR="003A518A" w:rsidRPr="00C859FE" w14:paraId="3B9D5BC7" w14:textId="77777777" w:rsidTr="007420F4">
        <w:tc>
          <w:tcPr>
            <w:tcW w:w="2410" w:type="dxa"/>
            <w:shd w:val="clear" w:color="auto" w:fill="FFFFFF"/>
          </w:tcPr>
          <w:p w14:paraId="188F57EA" w14:textId="77777777" w:rsidR="003A518A" w:rsidRPr="00C859FE" w:rsidRDefault="003A518A" w:rsidP="007420F4">
            <w:pPr>
              <w:rPr>
                <w:rFonts w:cs="Arial"/>
                <w:szCs w:val="18"/>
              </w:rPr>
            </w:pPr>
            <w:r w:rsidRPr="00C859FE">
              <w:rPr>
                <w:rFonts w:cs="Arial"/>
                <w:szCs w:val="18"/>
              </w:rPr>
              <w:t>C16:0 (Palmitic acid)</w:t>
            </w:r>
          </w:p>
        </w:tc>
        <w:tc>
          <w:tcPr>
            <w:tcW w:w="451" w:type="dxa"/>
            <w:shd w:val="clear" w:color="auto" w:fill="FFFFFF"/>
            <w:vAlign w:val="center"/>
          </w:tcPr>
          <w:p w14:paraId="4E2C5FDC"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5,500</w:t>
            </w:r>
          </w:p>
        </w:tc>
        <w:tc>
          <w:tcPr>
            <w:tcW w:w="1134" w:type="dxa"/>
            <w:shd w:val="clear" w:color="auto" w:fill="FFFFFF"/>
            <w:vAlign w:val="bottom"/>
          </w:tcPr>
          <w:p w14:paraId="17664913"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33,9</w:t>
            </w:r>
          </w:p>
        </w:tc>
        <w:tc>
          <w:tcPr>
            <w:tcW w:w="1134" w:type="dxa"/>
            <w:shd w:val="clear" w:color="auto" w:fill="FFFFFF"/>
            <w:vAlign w:val="bottom"/>
          </w:tcPr>
          <w:p w14:paraId="4A0E22B0"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40,2</w:t>
            </w:r>
          </w:p>
        </w:tc>
        <w:tc>
          <w:tcPr>
            <w:tcW w:w="1134" w:type="dxa"/>
            <w:gridSpan w:val="2"/>
            <w:shd w:val="clear" w:color="auto" w:fill="FFFFFF"/>
            <w:vAlign w:val="bottom"/>
          </w:tcPr>
          <w:p w14:paraId="1B558A0A"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35,8</w:t>
            </w:r>
          </w:p>
        </w:tc>
      </w:tr>
      <w:tr w:rsidR="003A518A" w:rsidRPr="00C859FE" w14:paraId="2519E5BB" w14:textId="77777777" w:rsidTr="007420F4">
        <w:tc>
          <w:tcPr>
            <w:tcW w:w="2410" w:type="dxa"/>
            <w:shd w:val="clear" w:color="auto" w:fill="FFFFFF"/>
          </w:tcPr>
          <w:p w14:paraId="1ED6B956" w14:textId="77777777" w:rsidR="003A518A" w:rsidRPr="00C859FE" w:rsidRDefault="003A518A" w:rsidP="007420F4">
            <w:pPr>
              <w:rPr>
                <w:rFonts w:cs="Arial"/>
                <w:szCs w:val="18"/>
              </w:rPr>
            </w:pPr>
            <w:r w:rsidRPr="00C859FE">
              <w:rPr>
                <w:rFonts w:cs="Arial"/>
                <w:szCs w:val="18"/>
              </w:rPr>
              <w:t>C16:1 (Palmitoleic acid)</w:t>
            </w:r>
          </w:p>
        </w:tc>
        <w:tc>
          <w:tcPr>
            <w:tcW w:w="451" w:type="dxa"/>
            <w:shd w:val="clear" w:color="auto" w:fill="FFFFFF"/>
            <w:vAlign w:val="center"/>
          </w:tcPr>
          <w:p w14:paraId="2E90DC21"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5,724</w:t>
            </w:r>
          </w:p>
        </w:tc>
        <w:tc>
          <w:tcPr>
            <w:tcW w:w="1134" w:type="dxa"/>
            <w:shd w:val="clear" w:color="auto" w:fill="FFFFFF"/>
            <w:vAlign w:val="bottom"/>
          </w:tcPr>
          <w:p w14:paraId="0659A732"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3,1</w:t>
            </w:r>
          </w:p>
        </w:tc>
        <w:tc>
          <w:tcPr>
            <w:tcW w:w="1134" w:type="dxa"/>
            <w:shd w:val="clear" w:color="auto" w:fill="FFFFFF"/>
            <w:vAlign w:val="bottom"/>
          </w:tcPr>
          <w:p w14:paraId="386FEE66"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4,3</w:t>
            </w:r>
          </w:p>
        </w:tc>
        <w:tc>
          <w:tcPr>
            <w:tcW w:w="1134" w:type="dxa"/>
            <w:gridSpan w:val="2"/>
            <w:shd w:val="clear" w:color="auto" w:fill="FFFFFF"/>
            <w:vAlign w:val="bottom"/>
          </w:tcPr>
          <w:p w14:paraId="3919929A"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4,7</w:t>
            </w:r>
          </w:p>
        </w:tc>
      </w:tr>
      <w:tr w:rsidR="003A518A" w:rsidRPr="00C859FE" w14:paraId="6D93A5A6" w14:textId="77777777" w:rsidTr="007420F4">
        <w:tc>
          <w:tcPr>
            <w:tcW w:w="2410" w:type="dxa"/>
            <w:shd w:val="clear" w:color="auto" w:fill="FFFFFF"/>
          </w:tcPr>
          <w:p w14:paraId="6D8EEADB" w14:textId="77777777" w:rsidR="003A518A" w:rsidRPr="00C859FE" w:rsidRDefault="003A518A" w:rsidP="007420F4">
            <w:pPr>
              <w:rPr>
                <w:rFonts w:cs="Arial"/>
                <w:szCs w:val="18"/>
              </w:rPr>
            </w:pPr>
            <w:r w:rsidRPr="00C859FE">
              <w:rPr>
                <w:rFonts w:cs="Arial"/>
                <w:szCs w:val="18"/>
              </w:rPr>
              <w:t>C18:0 (Stearic acid)</w:t>
            </w:r>
          </w:p>
        </w:tc>
        <w:tc>
          <w:tcPr>
            <w:tcW w:w="451" w:type="dxa"/>
            <w:shd w:val="clear" w:color="auto" w:fill="FFFFFF"/>
            <w:vAlign w:val="center"/>
          </w:tcPr>
          <w:p w14:paraId="1ED4CF0B"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7,090</w:t>
            </w:r>
          </w:p>
        </w:tc>
        <w:tc>
          <w:tcPr>
            <w:tcW w:w="1134" w:type="dxa"/>
            <w:shd w:val="clear" w:color="auto" w:fill="FFFFFF"/>
            <w:vAlign w:val="bottom"/>
          </w:tcPr>
          <w:p w14:paraId="651799A8"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18,6</w:t>
            </w:r>
          </w:p>
        </w:tc>
        <w:tc>
          <w:tcPr>
            <w:tcW w:w="1134" w:type="dxa"/>
            <w:shd w:val="clear" w:color="auto" w:fill="FFFFFF"/>
            <w:vAlign w:val="bottom"/>
          </w:tcPr>
          <w:p w14:paraId="556EB8DE"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10,7</w:t>
            </w:r>
          </w:p>
        </w:tc>
        <w:tc>
          <w:tcPr>
            <w:tcW w:w="1134" w:type="dxa"/>
            <w:gridSpan w:val="2"/>
            <w:shd w:val="clear" w:color="auto" w:fill="FFFFFF"/>
            <w:vAlign w:val="bottom"/>
          </w:tcPr>
          <w:p w14:paraId="13B6F9A3"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11,0</w:t>
            </w:r>
          </w:p>
        </w:tc>
      </w:tr>
      <w:tr w:rsidR="003A518A" w:rsidRPr="00C859FE" w14:paraId="08B62ECE" w14:textId="77777777" w:rsidTr="007420F4">
        <w:tc>
          <w:tcPr>
            <w:tcW w:w="2410" w:type="dxa"/>
            <w:shd w:val="clear" w:color="auto" w:fill="FFFFFF"/>
          </w:tcPr>
          <w:p w14:paraId="5446BD6D" w14:textId="77777777" w:rsidR="003A518A" w:rsidRPr="00C859FE" w:rsidRDefault="003A518A" w:rsidP="007420F4">
            <w:pPr>
              <w:pStyle w:val="CETBodytext"/>
              <w:rPr>
                <w:rFonts w:cs="Arial"/>
                <w:szCs w:val="18"/>
                <w:lang w:val="en-GB"/>
              </w:rPr>
            </w:pPr>
            <w:r w:rsidRPr="00C859FE">
              <w:rPr>
                <w:rFonts w:cs="Arial"/>
                <w:szCs w:val="18"/>
                <w:lang w:val="en-GB"/>
              </w:rPr>
              <w:t>C18:1 (Oleic Acid)</w:t>
            </w:r>
          </w:p>
        </w:tc>
        <w:tc>
          <w:tcPr>
            <w:tcW w:w="451" w:type="dxa"/>
            <w:shd w:val="clear" w:color="auto" w:fill="FFFFFF"/>
            <w:vAlign w:val="center"/>
          </w:tcPr>
          <w:p w14:paraId="38DDDCA2"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7,276</w:t>
            </w:r>
          </w:p>
        </w:tc>
        <w:tc>
          <w:tcPr>
            <w:tcW w:w="1134" w:type="dxa"/>
            <w:shd w:val="clear" w:color="auto" w:fill="FFFFFF"/>
            <w:vAlign w:val="bottom"/>
          </w:tcPr>
          <w:p w14:paraId="32660B1E"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7,1</w:t>
            </w:r>
          </w:p>
        </w:tc>
        <w:tc>
          <w:tcPr>
            <w:tcW w:w="1134" w:type="dxa"/>
            <w:shd w:val="clear" w:color="auto" w:fill="FFFFFF"/>
            <w:vAlign w:val="bottom"/>
          </w:tcPr>
          <w:p w14:paraId="0FC556B1"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16,7</w:t>
            </w:r>
          </w:p>
        </w:tc>
        <w:tc>
          <w:tcPr>
            <w:tcW w:w="1134" w:type="dxa"/>
            <w:gridSpan w:val="2"/>
            <w:shd w:val="clear" w:color="auto" w:fill="FFFFFF"/>
            <w:vAlign w:val="bottom"/>
          </w:tcPr>
          <w:p w14:paraId="209B8125"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18,7</w:t>
            </w:r>
          </w:p>
        </w:tc>
      </w:tr>
      <w:tr w:rsidR="003A518A" w:rsidRPr="00C859FE" w14:paraId="69CED91E" w14:textId="77777777" w:rsidTr="007420F4">
        <w:tc>
          <w:tcPr>
            <w:tcW w:w="2410" w:type="dxa"/>
            <w:shd w:val="clear" w:color="auto" w:fill="FFFFFF"/>
          </w:tcPr>
          <w:p w14:paraId="502E3774" w14:textId="77777777" w:rsidR="003A518A" w:rsidRPr="00C859FE" w:rsidRDefault="003A518A" w:rsidP="007420F4">
            <w:pPr>
              <w:pStyle w:val="CETBodytext"/>
              <w:rPr>
                <w:rFonts w:cs="Arial"/>
                <w:szCs w:val="18"/>
                <w:lang w:val="en-GB"/>
              </w:rPr>
            </w:pPr>
            <w:r w:rsidRPr="00C859FE">
              <w:rPr>
                <w:rFonts w:cs="Arial"/>
                <w:szCs w:val="18"/>
                <w:lang w:val="en-GB"/>
              </w:rPr>
              <w:t>C18:2 (Linoleic acid)</w:t>
            </w:r>
          </w:p>
        </w:tc>
        <w:tc>
          <w:tcPr>
            <w:tcW w:w="451" w:type="dxa"/>
            <w:shd w:val="clear" w:color="auto" w:fill="FFFFFF"/>
            <w:vAlign w:val="center"/>
          </w:tcPr>
          <w:p w14:paraId="181233D6"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7,658</w:t>
            </w:r>
          </w:p>
        </w:tc>
        <w:tc>
          <w:tcPr>
            <w:tcW w:w="1134" w:type="dxa"/>
            <w:shd w:val="clear" w:color="auto" w:fill="FFFFFF"/>
            <w:vAlign w:val="bottom"/>
          </w:tcPr>
          <w:p w14:paraId="0D5B524A"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0,4</w:t>
            </w:r>
          </w:p>
        </w:tc>
        <w:tc>
          <w:tcPr>
            <w:tcW w:w="1134" w:type="dxa"/>
            <w:shd w:val="clear" w:color="auto" w:fill="FFFFFF"/>
            <w:vAlign w:val="bottom"/>
          </w:tcPr>
          <w:p w14:paraId="0370A78B"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3,6</w:t>
            </w:r>
          </w:p>
        </w:tc>
        <w:tc>
          <w:tcPr>
            <w:tcW w:w="1134" w:type="dxa"/>
            <w:gridSpan w:val="2"/>
            <w:shd w:val="clear" w:color="auto" w:fill="FFFFFF"/>
            <w:vAlign w:val="bottom"/>
          </w:tcPr>
          <w:p w14:paraId="13D83DFD"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3,1</w:t>
            </w:r>
          </w:p>
        </w:tc>
      </w:tr>
      <w:tr w:rsidR="003A518A" w:rsidRPr="00C859FE" w14:paraId="29E77E88" w14:textId="77777777" w:rsidTr="007420F4">
        <w:tc>
          <w:tcPr>
            <w:tcW w:w="2410" w:type="dxa"/>
            <w:shd w:val="clear" w:color="auto" w:fill="FFFFFF"/>
          </w:tcPr>
          <w:p w14:paraId="3F6C354E" w14:textId="77777777" w:rsidR="003A518A" w:rsidRPr="00C859FE" w:rsidRDefault="003A518A" w:rsidP="007420F4">
            <w:pPr>
              <w:pStyle w:val="CETBodytext"/>
              <w:rPr>
                <w:rFonts w:cs="Arial"/>
                <w:szCs w:val="18"/>
                <w:lang w:val="en-GB"/>
              </w:rPr>
            </w:pPr>
            <w:r w:rsidRPr="00C859FE">
              <w:rPr>
                <w:rFonts w:cs="Arial"/>
                <w:szCs w:val="18"/>
                <w:lang w:val="en-GB"/>
              </w:rPr>
              <w:t>C18:3 (Linolenic acid)</w:t>
            </w:r>
          </w:p>
        </w:tc>
        <w:tc>
          <w:tcPr>
            <w:tcW w:w="451" w:type="dxa"/>
            <w:shd w:val="clear" w:color="auto" w:fill="FFFFFF"/>
            <w:vAlign w:val="center"/>
          </w:tcPr>
          <w:p w14:paraId="3545D045"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8,188</w:t>
            </w:r>
          </w:p>
        </w:tc>
        <w:tc>
          <w:tcPr>
            <w:tcW w:w="1134" w:type="dxa"/>
            <w:shd w:val="clear" w:color="auto" w:fill="FFFFFF"/>
            <w:vAlign w:val="bottom"/>
          </w:tcPr>
          <w:p w14:paraId="5253C639"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1,4</w:t>
            </w:r>
          </w:p>
        </w:tc>
        <w:tc>
          <w:tcPr>
            <w:tcW w:w="1134" w:type="dxa"/>
            <w:shd w:val="clear" w:color="auto" w:fill="FFFFFF"/>
            <w:vAlign w:val="bottom"/>
          </w:tcPr>
          <w:p w14:paraId="72E86CC5"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3,0</w:t>
            </w:r>
          </w:p>
        </w:tc>
        <w:tc>
          <w:tcPr>
            <w:tcW w:w="1134" w:type="dxa"/>
            <w:gridSpan w:val="2"/>
            <w:shd w:val="clear" w:color="auto" w:fill="FFFFFF"/>
            <w:vAlign w:val="bottom"/>
          </w:tcPr>
          <w:p w14:paraId="59A1A944"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1,3</w:t>
            </w:r>
          </w:p>
        </w:tc>
      </w:tr>
      <w:tr w:rsidR="003A518A" w:rsidRPr="00C859FE" w14:paraId="2D7DDB95" w14:textId="77777777" w:rsidTr="007420F4">
        <w:tc>
          <w:tcPr>
            <w:tcW w:w="2410" w:type="dxa"/>
            <w:shd w:val="clear" w:color="auto" w:fill="FFFFFF"/>
          </w:tcPr>
          <w:p w14:paraId="30EDDF4E" w14:textId="77777777" w:rsidR="003A518A" w:rsidRPr="00C859FE" w:rsidRDefault="003A518A" w:rsidP="007420F4">
            <w:pPr>
              <w:pStyle w:val="CETBodytext"/>
              <w:rPr>
                <w:rFonts w:cs="Arial"/>
                <w:szCs w:val="18"/>
                <w:lang w:val="en-GB"/>
              </w:rPr>
            </w:pPr>
            <w:r w:rsidRPr="00C859FE">
              <w:rPr>
                <w:rFonts w:cs="Arial"/>
                <w:szCs w:val="18"/>
                <w:lang w:val="en-GB"/>
              </w:rPr>
              <w:t>C20:0 (Arachidic acid)</w:t>
            </w:r>
          </w:p>
        </w:tc>
        <w:tc>
          <w:tcPr>
            <w:tcW w:w="451" w:type="dxa"/>
            <w:shd w:val="clear" w:color="auto" w:fill="FFFFFF"/>
            <w:vAlign w:val="center"/>
          </w:tcPr>
          <w:p w14:paraId="309C7A25" w14:textId="77777777" w:rsidR="003A518A" w:rsidRPr="00C859FE" w:rsidRDefault="003A518A" w:rsidP="007420F4">
            <w:pPr>
              <w:spacing w:line="240" w:lineRule="auto"/>
              <w:jc w:val="center"/>
              <w:rPr>
                <w:rFonts w:cs="Arial"/>
                <w:szCs w:val="18"/>
                <w:lang w:eastAsia="pt-BR"/>
              </w:rPr>
            </w:pPr>
            <w:r w:rsidRPr="00C859FE">
              <w:rPr>
                <w:rFonts w:cs="Arial"/>
                <w:szCs w:val="18"/>
                <w:lang w:eastAsia="pt-BR"/>
              </w:rPr>
              <w:t>8,835</w:t>
            </w:r>
          </w:p>
        </w:tc>
        <w:tc>
          <w:tcPr>
            <w:tcW w:w="1134" w:type="dxa"/>
            <w:shd w:val="clear" w:color="auto" w:fill="FFFFFF"/>
            <w:vAlign w:val="bottom"/>
          </w:tcPr>
          <w:p w14:paraId="7E06A9DD"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0,6</w:t>
            </w:r>
          </w:p>
        </w:tc>
        <w:tc>
          <w:tcPr>
            <w:tcW w:w="1134" w:type="dxa"/>
            <w:shd w:val="clear" w:color="auto" w:fill="FFFFFF"/>
            <w:vAlign w:val="bottom"/>
          </w:tcPr>
          <w:p w14:paraId="60AF8DFA"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1,2</w:t>
            </w:r>
          </w:p>
        </w:tc>
        <w:tc>
          <w:tcPr>
            <w:tcW w:w="1134" w:type="dxa"/>
            <w:gridSpan w:val="2"/>
            <w:shd w:val="clear" w:color="auto" w:fill="FFFFFF"/>
            <w:vAlign w:val="bottom"/>
          </w:tcPr>
          <w:p w14:paraId="49E6920D"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0,9</w:t>
            </w:r>
          </w:p>
        </w:tc>
      </w:tr>
      <w:tr w:rsidR="003A518A" w:rsidRPr="00C859FE" w14:paraId="4AB60666" w14:textId="77777777" w:rsidTr="007420F4">
        <w:tc>
          <w:tcPr>
            <w:tcW w:w="2410" w:type="dxa"/>
            <w:shd w:val="clear" w:color="auto" w:fill="FFFFFF"/>
          </w:tcPr>
          <w:p w14:paraId="505DBB52" w14:textId="77777777" w:rsidR="003A518A" w:rsidRPr="00C859FE" w:rsidRDefault="003A518A" w:rsidP="007420F4">
            <w:pPr>
              <w:pStyle w:val="CETBodytext"/>
              <w:rPr>
                <w:rFonts w:cs="Arial"/>
                <w:szCs w:val="18"/>
                <w:lang w:val="en-GB"/>
              </w:rPr>
            </w:pPr>
            <w:r w:rsidRPr="00C859FE">
              <w:rPr>
                <w:rFonts w:cs="Arial"/>
                <w:szCs w:val="18"/>
                <w:lang w:val="en-GB"/>
              </w:rPr>
              <w:t>Others</w:t>
            </w:r>
          </w:p>
        </w:tc>
        <w:tc>
          <w:tcPr>
            <w:tcW w:w="451" w:type="dxa"/>
            <w:shd w:val="clear" w:color="auto" w:fill="FFFFFF"/>
            <w:vAlign w:val="center"/>
          </w:tcPr>
          <w:p w14:paraId="36E80A9D" w14:textId="77777777" w:rsidR="003A518A" w:rsidRPr="00C859FE" w:rsidRDefault="003A518A" w:rsidP="007420F4">
            <w:pPr>
              <w:pStyle w:val="CETBodytext"/>
              <w:jc w:val="center"/>
              <w:rPr>
                <w:rFonts w:cs="Arial"/>
                <w:szCs w:val="18"/>
                <w:lang w:val="en-GB"/>
              </w:rPr>
            </w:pPr>
          </w:p>
        </w:tc>
        <w:tc>
          <w:tcPr>
            <w:tcW w:w="1134" w:type="dxa"/>
            <w:shd w:val="clear" w:color="auto" w:fill="FFFFFF"/>
            <w:vAlign w:val="bottom"/>
          </w:tcPr>
          <w:p w14:paraId="7EEBE9FF"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30,7</w:t>
            </w:r>
          </w:p>
        </w:tc>
        <w:tc>
          <w:tcPr>
            <w:tcW w:w="1134" w:type="dxa"/>
            <w:shd w:val="clear" w:color="auto" w:fill="FFFFFF"/>
            <w:vAlign w:val="bottom"/>
          </w:tcPr>
          <w:p w14:paraId="3B7CC7FC"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18,8</w:t>
            </w:r>
          </w:p>
        </w:tc>
        <w:tc>
          <w:tcPr>
            <w:tcW w:w="1134" w:type="dxa"/>
            <w:gridSpan w:val="2"/>
            <w:shd w:val="clear" w:color="auto" w:fill="FFFFFF"/>
            <w:vAlign w:val="bottom"/>
          </w:tcPr>
          <w:p w14:paraId="3D10DB33" w14:textId="77777777" w:rsidR="003A518A" w:rsidRPr="00C859FE" w:rsidRDefault="003A518A" w:rsidP="007420F4">
            <w:pPr>
              <w:spacing w:line="240" w:lineRule="auto"/>
              <w:jc w:val="center"/>
              <w:rPr>
                <w:rFonts w:cs="Arial"/>
                <w:color w:val="000000"/>
                <w:szCs w:val="18"/>
                <w:lang w:eastAsia="pt-BR"/>
              </w:rPr>
            </w:pPr>
            <w:r w:rsidRPr="00C859FE">
              <w:rPr>
                <w:rFonts w:cs="Arial"/>
                <w:color w:val="000000"/>
                <w:szCs w:val="18"/>
                <w:lang w:eastAsia="pt-BR"/>
              </w:rPr>
              <w:t>23,1</w:t>
            </w:r>
          </w:p>
        </w:tc>
      </w:tr>
    </w:tbl>
    <w:p w14:paraId="44204CD9" w14:textId="77777777" w:rsidR="003A518A" w:rsidRPr="00C859FE" w:rsidRDefault="003A518A" w:rsidP="003A518A">
      <w:pPr>
        <w:pStyle w:val="CETBodytext"/>
        <w:rPr>
          <w:lang w:val="pt-BR"/>
        </w:rPr>
      </w:pPr>
    </w:p>
    <w:p w14:paraId="00A1524B" w14:textId="030397D8" w:rsidR="005A0481" w:rsidRPr="00F906DE" w:rsidRDefault="0069687F" w:rsidP="00D53D4E">
      <w:pPr>
        <w:pStyle w:val="CETBodytext"/>
      </w:pPr>
      <w:r w:rsidRPr="0069687F">
        <w:t xml:space="preserve">A higher content of mono and polyunsaturated fats aggregates higher nutritional value to the food (Sande et al., 2018). Oleic acid (omega-9), linoleic acid (omega-6) and linolenic acid (omega-3) are essential fatty acids that play key roles in the proper functioning of human metabolism, </w:t>
      </w:r>
      <w:r>
        <w:t>as</w:t>
      </w:r>
      <w:r w:rsidRPr="0069687F">
        <w:t xml:space="preserve"> they can not be synthesized by the </w:t>
      </w:r>
      <w:r>
        <w:t xml:space="preserve">human </w:t>
      </w:r>
      <w:r w:rsidRPr="0069687F">
        <w:t xml:space="preserve">body (Tan and Muhamad, 2017). Fermentation of cassava starch using </w:t>
      </w:r>
      <w:r w:rsidRPr="0069687F">
        <w:rPr>
          <w:i/>
        </w:rPr>
        <w:t>L. plantarum</w:t>
      </w:r>
      <w:r w:rsidRPr="0069687F">
        <w:t xml:space="preserve"> and </w:t>
      </w:r>
      <w:r w:rsidRPr="0069687F">
        <w:rPr>
          <w:i/>
        </w:rPr>
        <w:t>L. plantarum</w:t>
      </w:r>
      <w:r w:rsidRPr="0069687F">
        <w:t xml:space="preserve"> with </w:t>
      </w:r>
      <w:r w:rsidRPr="0069687F">
        <w:rPr>
          <w:i/>
        </w:rPr>
        <w:t>P. scutulata</w:t>
      </w:r>
      <w:r w:rsidRPr="0069687F">
        <w:t xml:space="preserve"> was able to increase considerably the proportion of these three acids in the final product (Table 1). </w:t>
      </w:r>
      <w:r w:rsidRPr="00F906DE">
        <w:t>This increase in nutritional quality justifies the use of starter cultures for the production of sour cassava starch.</w:t>
      </w:r>
      <w:r w:rsidR="00B04B17">
        <w:t xml:space="preserve"> </w:t>
      </w:r>
      <w:r w:rsidR="00D53D4E" w:rsidRPr="00F906DE">
        <w:t>Cassava is cultivated for its starch-rich tuberous roots, but its seeds are kno</w:t>
      </w:r>
      <w:r w:rsidR="00F906DE" w:rsidRPr="00F906DE">
        <w:t xml:space="preserve">wn to be rich in oils and fatty </w:t>
      </w:r>
      <w:r w:rsidR="00D53D4E" w:rsidRPr="00F906DE">
        <w:t xml:space="preserve">acids (Alves et al., 2014). These fatty acids were found, in lower concentrations, in the cassava starch. In addition to the fatty acids from the raw material, microorganisms can also contribute to their production because lipids, especially polyunsaturated fatty acids, are components of </w:t>
      </w:r>
      <w:r w:rsidR="004E3E04" w:rsidRPr="00F906DE">
        <w:t xml:space="preserve">the </w:t>
      </w:r>
      <w:r w:rsidR="00D53D4E" w:rsidRPr="00F906DE">
        <w:rPr>
          <w:noProof/>
        </w:rPr>
        <w:t>cell</w:t>
      </w:r>
      <w:r w:rsidR="00D53D4E" w:rsidRPr="00F906DE">
        <w:t xml:space="preserve"> membrane. Palmitic, stearic, oleic, linoleic and linolenic acids were identified as cell fatty acids of strains of </w:t>
      </w:r>
      <w:r w:rsidR="00D53D4E" w:rsidRPr="00F906DE">
        <w:rPr>
          <w:i/>
        </w:rPr>
        <w:t>L. plantarum</w:t>
      </w:r>
      <w:r w:rsidR="00D53D4E" w:rsidRPr="00F906DE">
        <w:t xml:space="preserve"> (Coulibaly et al., 2009) and as metabolites produced by isolates of this species (Vanaja et al., 2011).</w:t>
      </w:r>
      <w:r w:rsidR="005A0481" w:rsidRPr="00F906DE">
        <w:t xml:space="preserve"> In the fermentation of </w:t>
      </w:r>
      <w:r w:rsidR="005A0481" w:rsidRPr="00F906DE">
        <w:rPr>
          <w:i/>
        </w:rPr>
        <w:t>yakupa</w:t>
      </w:r>
      <w:r w:rsidR="005A0481" w:rsidRPr="00F906DE">
        <w:t xml:space="preserve">, beverage obtained from cassava fermentation, palmitic, stearic, linoleic and oleic acids were detected (Freire et al., 2015). </w:t>
      </w:r>
      <w:r w:rsidR="005A0481" w:rsidRPr="00F906DE">
        <w:lastRenderedPageBreak/>
        <w:t>The yeasts also showed an important role in the production of fatty acids in cassava fermentation. The in</w:t>
      </w:r>
      <w:r w:rsidR="00F906DE" w:rsidRPr="00F906DE">
        <w:t xml:space="preserve">crease of lipids </w:t>
      </w:r>
      <w:r w:rsidR="005A0481" w:rsidRPr="00F906DE">
        <w:t>positively alters the physicochemical properties of starchy foods, such as sour cassava starch. This happens because the formation of complexes between the amylose fraction of the starch and the lipids affects the formation of the structure and the texture of these foods (De Pilli et al., 2011). Therefore, the use of starter cultures benefits the quality of the final product, increasing the content of unsaturated fatty acids.</w:t>
      </w:r>
    </w:p>
    <w:p w14:paraId="3B23D069" w14:textId="4A796128" w:rsidR="00314ABC" w:rsidRPr="00BA2FFC" w:rsidRDefault="00314ABC" w:rsidP="00314ABC">
      <w:pPr>
        <w:pStyle w:val="CETheadingx"/>
      </w:pPr>
      <w:r w:rsidRPr="00C859FE">
        <w:t>Volatile compounds</w:t>
      </w:r>
      <w:r w:rsidR="00BA2FFC">
        <w:t xml:space="preserve"> and fatty acids</w:t>
      </w:r>
    </w:p>
    <w:p w14:paraId="67FF302C" w14:textId="12F4EC17" w:rsidR="00E75201" w:rsidRPr="00E75201" w:rsidRDefault="00E75201" w:rsidP="00E75201">
      <w:pPr>
        <w:pStyle w:val="CETBodytext"/>
      </w:pPr>
      <w:r w:rsidRPr="00E75201">
        <w:t xml:space="preserve">A total of 19 compounds were identified by GC-MS in the samples (Table 2). </w:t>
      </w:r>
      <w:r w:rsidR="00F906DE" w:rsidRPr="00F906DE">
        <w:t xml:space="preserve">Palmitic acid, a very common </w:t>
      </w:r>
      <w:r w:rsidR="003475EA">
        <w:t xml:space="preserve">fatty </w:t>
      </w:r>
      <w:r w:rsidR="00F906DE" w:rsidRPr="00F906DE">
        <w:t xml:space="preserve">acid, </w:t>
      </w:r>
      <w:r w:rsidRPr="00F906DE">
        <w:t>was the only compound that was present in all samples</w:t>
      </w:r>
      <w:r w:rsidR="00F906DE" w:rsidRPr="00F906DE">
        <w:t xml:space="preserve">. </w:t>
      </w:r>
      <w:r w:rsidRPr="00F906DE">
        <w:t>Only one phenol</w:t>
      </w:r>
      <w:r w:rsidR="003475EA">
        <w:t xml:space="preserve">, </w:t>
      </w:r>
      <w:r w:rsidR="003475EA" w:rsidRPr="00F906DE">
        <w:t>2,4-Di-</w:t>
      </w:r>
      <w:r w:rsidR="003475EA" w:rsidRPr="00F906DE">
        <w:rPr>
          <w:i/>
          <w:iCs/>
          <w:noProof/>
        </w:rPr>
        <w:t>tert</w:t>
      </w:r>
      <w:r w:rsidR="003475EA" w:rsidRPr="00F906DE">
        <w:t>-butyl phenol</w:t>
      </w:r>
      <w:r w:rsidR="003475EA">
        <w:t xml:space="preserve">, </w:t>
      </w:r>
      <w:r w:rsidR="00343C8F" w:rsidRPr="00F906DE">
        <w:t>was detected</w:t>
      </w:r>
      <w:r w:rsidRPr="00F906DE">
        <w:t>. This volatile organic</w:t>
      </w:r>
      <w:r w:rsidRPr="00E75201">
        <w:t xml:space="preserve"> compound presented antifungal activity, antioxidant activity and demonstrated </w:t>
      </w:r>
      <w:r w:rsidR="004E3E04">
        <w:t xml:space="preserve">the </w:t>
      </w:r>
      <w:r w:rsidRPr="004E3E04">
        <w:rPr>
          <w:noProof/>
        </w:rPr>
        <w:t>potential</w:t>
      </w:r>
      <w:r w:rsidRPr="00E75201">
        <w:t xml:space="preserve"> for the development of a food additive (</w:t>
      </w:r>
      <w:r w:rsidR="00717C19">
        <w:t xml:space="preserve">Varsha et al., 2015). Sclareol </w:t>
      </w:r>
      <w:r w:rsidRPr="00E75201">
        <w:t xml:space="preserve">is </w:t>
      </w:r>
      <w:r w:rsidRPr="00BA2FFC">
        <w:t>perfumed</w:t>
      </w:r>
      <w:r w:rsidRPr="00E75201">
        <w:t xml:space="preserve"> bicyclic diterpene alcohol, which has already been found in essential oils (Tongnuanchan and Benjakul, 2014). The P2 sample showed the highest diversity of compounds. The 4-hexyl-2,5-dihydr</w:t>
      </w:r>
      <w:r w:rsidR="00717C19">
        <w:t>o-2,5-dioxo-3-furanacetic acid</w:t>
      </w:r>
      <w:r w:rsidRPr="00E75201">
        <w:t xml:space="preserve"> is a compound naturally found in small amounts in a wide variety of foods, including wines (García-Carpinteiro et al., 2011) and is characterized by woody odor. Geranyl isovalerate, </w:t>
      </w:r>
      <w:r w:rsidR="00343C8F">
        <w:t>on the other hand</w:t>
      </w:r>
      <w:r w:rsidRPr="00E75201">
        <w:t xml:space="preserve">, is associated with </w:t>
      </w:r>
      <w:r w:rsidR="004E3E04">
        <w:t xml:space="preserve">a </w:t>
      </w:r>
      <w:r w:rsidRPr="004E3E04">
        <w:rPr>
          <w:noProof/>
        </w:rPr>
        <w:t>fruity</w:t>
      </w:r>
      <w:r w:rsidRPr="00E75201">
        <w:t xml:space="preserve"> aroma.</w:t>
      </w:r>
      <w:r w:rsidR="00343C8F">
        <w:t xml:space="preserve"> </w:t>
      </w:r>
      <w:r w:rsidRPr="00E75201">
        <w:t xml:space="preserve">The compounds detected in the samples of </w:t>
      </w:r>
      <w:r w:rsidR="00343C8F">
        <w:t xml:space="preserve">cassava </w:t>
      </w:r>
      <w:r w:rsidRPr="00E75201">
        <w:t xml:space="preserve">starch and </w:t>
      </w:r>
      <w:r w:rsidR="00343C8F">
        <w:t xml:space="preserve">sour cassava </w:t>
      </w:r>
      <w:r w:rsidRPr="00E75201">
        <w:t>starch</w:t>
      </w:r>
      <w:r w:rsidR="00343C8F">
        <w:t>es</w:t>
      </w:r>
      <w:r w:rsidRPr="00E75201">
        <w:t xml:space="preserve"> are volatile components that present </w:t>
      </w:r>
      <w:r w:rsidR="004E3E04">
        <w:t xml:space="preserve">a </w:t>
      </w:r>
      <w:r w:rsidRPr="004E3E04">
        <w:rPr>
          <w:noProof/>
        </w:rPr>
        <w:t>desirable</w:t>
      </w:r>
      <w:r w:rsidRPr="00E75201">
        <w:t xml:space="preserve"> aroma, antioxidant and antimicrobial activity.</w:t>
      </w:r>
    </w:p>
    <w:p w14:paraId="43E7F4A1" w14:textId="2AAF3C48" w:rsidR="00314ABC" w:rsidRPr="00981C60" w:rsidRDefault="00314ABC" w:rsidP="00314ABC">
      <w:pPr>
        <w:pStyle w:val="CETTabletitle"/>
        <w:rPr>
          <w:lang w:val="en-US"/>
        </w:rPr>
      </w:pPr>
      <w:r w:rsidRPr="00981C60">
        <w:rPr>
          <w:lang w:val="en-US"/>
        </w:rPr>
        <w:t xml:space="preserve">Table 2: </w:t>
      </w:r>
      <w:r w:rsidR="00981C60" w:rsidRPr="00981C60">
        <w:rPr>
          <w:lang w:val="en-US"/>
        </w:rPr>
        <w:t xml:space="preserve">Identification of volatile compounds </w:t>
      </w:r>
      <w:r w:rsidR="00BA2FFC">
        <w:rPr>
          <w:lang w:val="en-US"/>
        </w:rPr>
        <w:t xml:space="preserve">and fatty acids </w:t>
      </w:r>
      <w:r w:rsidR="00981C60" w:rsidRPr="00981C60">
        <w:rPr>
          <w:lang w:val="en-US"/>
        </w:rPr>
        <w:t xml:space="preserve">in cassava starch and </w:t>
      </w:r>
      <w:r w:rsidR="00981C60">
        <w:rPr>
          <w:lang w:val="en-US"/>
        </w:rPr>
        <w:t xml:space="preserve">sour cassava starch </w:t>
      </w:r>
      <w:r w:rsidR="00981C60" w:rsidRPr="00981C60">
        <w:rPr>
          <w:lang w:val="en-US"/>
        </w:rPr>
        <w:t xml:space="preserve">samples after analysis by </w:t>
      </w:r>
      <w:r w:rsidR="00981C60">
        <w:rPr>
          <w:lang w:val="en-US"/>
        </w:rPr>
        <w:t>GC-MS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4086"/>
        <w:gridCol w:w="975"/>
        <w:gridCol w:w="716"/>
        <w:gridCol w:w="783"/>
        <w:gridCol w:w="392"/>
        <w:gridCol w:w="417"/>
      </w:tblGrid>
      <w:tr w:rsidR="00BA2686" w:rsidRPr="00C859FE" w14:paraId="47845C6A" w14:textId="77777777" w:rsidTr="00396147">
        <w:tc>
          <w:tcPr>
            <w:tcW w:w="1418" w:type="dxa"/>
            <w:tcBorders>
              <w:top w:val="single" w:sz="12" w:space="0" w:color="008000"/>
              <w:bottom w:val="single" w:sz="6" w:space="0" w:color="008000"/>
            </w:tcBorders>
            <w:shd w:val="clear" w:color="auto" w:fill="FFFFFF"/>
          </w:tcPr>
          <w:p w14:paraId="1AC06A25" w14:textId="77777777" w:rsidR="00BA2686" w:rsidRPr="00C859FE" w:rsidRDefault="00BA2686" w:rsidP="009E5CE1">
            <w:pPr>
              <w:pStyle w:val="CETBodytext"/>
              <w:rPr>
                <w:lang w:val="en-GB"/>
              </w:rPr>
            </w:pPr>
          </w:p>
        </w:tc>
        <w:tc>
          <w:tcPr>
            <w:tcW w:w="4086" w:type="dxa"/>
            <w:tcBorders>
              <w:top w:val="single" w:sz="12" w:space="0" w:color="008000"/>
              <w:bottom w:val="single" w:sz="6" w:space="0" w:color="008000"/>
            </w:tcBorders>
            <w:shd w:val="clear" w:color="auto" w:fill="FFFFFF"/>
          </w:tcPr>
          <w:p w14:paraId="34A0ACDD" w14:textId="7AE0BD05" w:rsidR="00BA2686" w:rsidRPr="00C859FE" w:rsidRDefault="00BA2686" w:rsidP="009E5CE1">
            <w:pPr>
              <w:pStyle w:val="CETBodytext"/>
              <w:rPr>
                <w:lang w:val="en-GB"/>
              </w:rPr>
            </w:pPr>
            <w:r w:rsidRPr="00C859FE">
              <w:rPr>
                <w:lang w:val="en-GB"/>
              </w:rPr>
              <w:t>Compounds</w:t>
            </w:r>
          </w:p>
        </w:tc>
        <w:tc>
          <w:tcPr>
            <w:tcW w:w="975" w:type="dxa"/>
            <w:tcBorders>
              <w:top w:val="single" w:sz="12" w:space="0" w:color="008000"/>
              <w:bottom w:val="single" w:sz="6" w:space="0" w:color="008000"/>
            </w:tcBorders>
            <w:shd w:val="clear" w:color="auto" w:fill="FFFFFF"/>
            <w:vAlign w:val="center"/>
          </w:tcPr>
          <w:p w14:paraId="1314751A" w14:textId="77777777" w:rsidR="00BA2686" w:rsidRPr="00C859FE" w:rsidRDefault="00BA2686" w:rsidP="00314ABC">
            <w:pPr>
              <w:pStyle w:val="CETBodytext"/>
              <w:jc w:val="center"/>
              <w:rPr>
                <w:lang w:val="en-GB"/>
              </w:rPr>
            </w:pPr>
            <w:r w:rsidRPr="00C859FE">
              <w:rPr>
                <w:lang w:val="en-GB"/>
              </w:rPr>
              <w:t>Molecular formula</w:t>
            </w:r>
          </w:p>
        </w:tc>
        <w:tc>
          <w:tcPr>
            <w:tcW w:w="716" w:type="dxa"/>
            <w:tcBorders>
              <w:top w:val="single" w:sz="12" w:space="0" w:color="008000"/>
              <w:bottom w:val="single" w:sz="6" w:space="0" w:color="008000"/>
            </w:tcBorders>
            <w:shd w:val="clear" w:color="auto" w:fill="FFFFFF"/>
            <w:vAlign w:val="center"/>
          </w:tcPr>
          <w:p w14:paraId="12DD1F9E" w14:textId="77777777" w:rsidR="00BA2686" w:rsidRPr="00C859FE" w:rsidRDefault="00BA2686" w:rsidP="00314ABC">
            <w:pPr>
              <w:pStyle w:val="CETBodytext"/>
              <w:jc w:val="center"/>
              <w:rPr>
                <w:lang w:val="en-GB"/>
              </w:rPr>
            </w:pPr>
            <w:r w:rsidRPr="00C859FE">
              <w:rPr>
                <w:lang w:val="en-GB"/>
              </w:rPr>
              <w:t>T</w:t>
            </w:r>
            <w:r w:rsidRPr="00C859FE">
              <w:rPr>
                <w:vertAlign w:val="subscript"/>
                <w:lang w:val="en-GB"/>
              </w:rPr>
              <w:t>R</w:t>
            </w:r>
            <w:r w:rsidRPr="00C859FE">
              <w:rPr>
                <w:lang w:val="en-GB"/>
              </w:rPr>
              <w:t xml:space="preserve"> (min)</w:t>
            </w:r>
          </w:p>
        </w:tc>
        <w:tc>
          <w:tcPr>
            <w:tcW w:w="783" w:type="dxa"/>
            <w:tcBorders>
              <w:top w:val="single" w:sz="12" w:space="0" w:color="008000"/>
              <w:bottom w:val="single" w:sz="6" w:space="0" w:color="008000"/>
            </w:tcBorders>
            <w:shd w:val="clear" w:color="auto" w:fill="FFFFFF"/>
            <w:vAlign w:val="center"/>
          </w:tcPr>
          <w:p w14:paraId="4812BA94" w14:textId="77777777" w:rsidR="00BA2686" w:rsidRPr="00C859FE" w:rsidRDefault="00BA2686" w:rsidP="00314ABC">
            <w:pPr>
              <w:pStyle w:val="CETBodytext"/>
              <w:ind w:right="-1"/>
              <w:jc w:val="center"/>
              <w:rPr>
                <w:rFonts w:cs="Arial"/>
                <w:szCs w:val="18"/>
                <w:lang w:val="en-GB"/>
              </w:rPr>
            </w:pPr>
            <w:r w:rsidRPr="00C859FE">
              <w:rPr>
                <w:rFonts w:cs="Arial"/>
                <w:szCs w:val="18"/>
                <w:lang w:val="en-GB"/>
              </w:rPr>
              <w:t>Cassava starch</w:t>
            </w:r>
          </w:p>
        </w:tc>
        <w:tc>
          <w:tcPr>
            <w:tcW w:w="392" w:type="dxa"/>
            <w:tcBorders>
              <w:top w:val="single" w:sz="12" w:space="0" w:color="008000"/>
              <w:bottom w:val="single" w:sz="6" w:space="0" w:color="008000"/>
            </w:tcBorders>
            <w:shd w:val="clear" w:color="auto" w:fill="FFFFFF"/>
            <w:vAlign w:val="center"/>
          </w:tcPr>
          <w:p w14:paraId="7642021D" w14:textId="77777777" w:rsidR="00BA2686" w:rsidRDefault="00BA2686" w:rsidP="00314ABC">
            <w:pPr>
              <w:pStyle w:val="CETBodytext"/>
              <w:ind w:right="-1"/>
              <w:jc w:val="center"/>
              <w:rPr>
                <w:rFonts w:cs="Arial"/>
                <w:szCs w:val="18"/>
                <w:lang w:val="en-GB"/>
              </w:rPr>
            </w:pPr>
          </w:p>
          <w:p w14:paraId="118C92DD" w14:textId="77777777" w:rsidR="00BA2686" w:rsidRPr="00C859FE" w:rsidRDefault="00BA2686" w:rsidP="00314ABC">
            <w:pPr>
              <w:pStyle w:val="CETBodytext"/>
              <w:ind w:right="-1"/>
              <w:jc w:val="center"/>
              <w:rPr>
                <w:rFonts w:cs="Arial"/>
                <w:szCs w:val="18"/>
                <w:lang w:val="en-GB"/>
              </w:rPr>
            </w:pPr>
            <w:r w:rsidRPr="00C859FE">
              <w:rPr>
                <w:rFonts w:cs="Arial"/>
                <w:szCs w:val="18"/>
                <w:lang w:val="en-GB"/>
              </w:rPr>
              <w:t>P1</w:t>
            </w:r>
          </w:p>
        </w:tc>
        <w:tc>
          <w:tcPr>
            <w:tcW w:w="417" w:type="dxa"/>
            <w:tcBorders>
              <w:top w:val="single" w:sz="12" w:space="0" w:color="008000"/>
              <w:bottom w:val="single" w:sz="6" w:space="0" w:color="008000"/>
            </w:tcBorders>
            <w:shd w:val="clear" w:color="auto" w:fill="FFFFFF"/>
            <w:vAlign w:val="center"/>
          </w:tcPr>
          <w:p w14:paraId="5D58052D" w14:textId="77777777" w:rsidR="00BA2686" w:rsidRDefault="00BA2686" w:rsidP="00314ABC">
            <w:pPr>
              <w:pStyle w:val="CETBodytext"/>
              <w:ind w:right="-1"/>
              <w:jc w:val="center"/>
              <w:rPr>
                <w:rFonts w:cs="Arial"/>
                <w:szCs w:val="18"/>
                <w:lang w:val="en-GB"/>
              </w:rPr>
            </w:pPr>
          </w:p>
          <w:p w14:paraId="58EAEC9E" w14:textId="77777777" w:rsidR="00BA2686" w:rsidRPr="00C859FE" w:rsidRDefault="00BA2686" w:rsidP="00314ABC">
            <w:pPr>
              <w:pStyle w:val="CETBodytext"/>
              <w:ind w:right="-1"/>
              <w:jc w:val="center"/>
              <w:rPr>
                <w:rFonts w:cs="Arial"/>
                <w:szCs w:val="18"/>
                <w:lang w:val="en-GB"/>
              </w:rPr>
            </w:pPr>
            <w:r w:rsidRPr="00C859FE">
              <w:rPr>
                <w:rFonts w:cs="Arial"/>
                <w:szCs w:val="18"/>
                <w:lang w:val="en-GB"/>
              </w:rPr>
              <w:t>P2</w:t>
            </w:r>
          </w:p>
        </w:tc>
      </w:tr>
      <w:tr w:rsidR="00BA2686" w:rsidRPr="00C859FE" w14:paraId="5D30F263" w14:textId="77777777" w:rsidTr="00396147">
        <w:tc>
          <w:tcPr>
            <w:tcW w:w="1418" w:type="dxa"/>
            <w:vMerge w:val="restart"/>
            <w:shd w:val="clear" w:color="auto" w:fill="FFFFFF"/>
          </w:tcPr>
          <w:p w14:paraId="66D04DB8" w14:textId="47C2FDE6" w:rsidR="00BA2686" w:rsidRPr="00C859FE" w:rsidRDefault="00BA2686" w:rsidP="00D123C9">
            <w:pPr>
              <w:pStyle w:val="CETBodytext"/>
              <w:rPr>
                <w:lang w:val="pt-BR"/>
              </w:rPr>
            </w:pPr>
            <w:r>
              <w:rPr>
                <w:b/>
                <w:bCs/>
                <w:lang w:val="pt-BR"/>
              </w:rPr>
              <w:t xml:space="preserve">FATTY </w:t>
            </w:r>
            <w:r w:rsidRPr="00B92F0E">
              <w:rPr>
                <w:b/>
                <w:bCs/>
                <w:lang w:val="pt-BR"/>
              </w:rPr>
              <w:t>ACIDS:</w:t>
            </w:r>
          </w:p>
        </w:tc>
        <w:tc>
          <w:tcPr>
            <w:tcW w:w="4086" w:type="dxa"/>
            <w:shd w:val="clear" w:color="auto" w:fill="FFFFFF"/>
            <w:vAlign w:val="center"/>
          </w:tcPr>
          <w:p w14:paraId="3E1A01BB" w14:textId="071FB786" w:rsidR="00BA2686" w:rsidRPr="00C859FE" w:rsidRDefault="00BA2686" w:rsidP="00D123C9">
            <w:pPr>
              <w:pStyle w:val="CETBodytext"/>
              <w:rPr>
                <w:lang w:val="pt-BR"/>
              </w:rPr>
            </w:pPr>
            <w:r w:rsidRPr="00C859FE">
              <w:rPr>
                <w:lang w:val="pt-BR"/>
              </w:rPr>
              <w:t>Linoleic acid</w:t>
            </w:r>
          </w:p>
        </w:tc>
        <w:tc>
          <w:tcPr>
            <w:tcW w:w="975" w:type="dxa"/>
            <w:shd w:val="clear" w:color="auto" w:fill="FFFFFF"/>
            <w:vAlign w:val="center"/>
          </w:tcPr>
          <w:p w14:paraId="06C12B18"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18</w:t>
            </w:r>
            <w:r w:rsidRPr="00C859FE">
              <w:rPr>
                <w:lang w:val="pt-BR"/>
              </w:rPr>
              <w:t>H</w:t>
            </w:r>
            <w:r w:rsidRPr="00C859FE">
              <w:rPr>
                <w:vertAlign w:val="subscript"/>
                <w:lang w:val="pt-BR"/>
              </w:rPr>
              <w:t>32</w:t>
            </w:r>
            <w:r w:rsidRPr="00C859FE">
              <w:rPr>
                <w:lang w:val="pt-BR"/>
              </w:rPr>
              <w:t>O</w:t>
            </w:r>
            <w:r w:rsidRPr="00C859FE">
              <w:rPr>
                <w:vertAlign w:val="subscript"/>
                <w:lang w:val="pt-BR"/>
              </w:rPr>
              <w:t>2</w:t>
            </w:r>
          </w:p>
        </w:tc>
        <w:tc>
          <w:tcPr>
            <w:tcW w:w="716" w:type="dxa"/>
            <w:shd w:val="clear" w:color="auto" w:fill="FFFFFF"/>
            <w:vAlign w:val="center"/>
          </w:tcPr>
          <w:p w14:paraId="3B9EE81F" w14:textId="77777777" w:rsidR="00BA2686" w:rsidRPr="00C859FE" w:rsidRDefault="00BA2686" w:rsidP="00D123C9">
            <w:pPr>
              <w:pStyle w:val="CETBodytext"/>
              <w:jc w:val="center"/>
              <w:rPr>
                <w:lang w:val="pt-BR"/>
              </w:rPr>
            </w:pPr>
            <w:r w:rsidRPr="00C859FE">
              <w:rPr>
                <w:lang w:val="pt-BR"/>
              </w:rPr>
              <w:t>26.140</w:t>
            </w:r>
          </w:p>
        </w:tc>
        <w:tc>
          <w:tcPr>
            <w:tcW w:w="783" w:type="dxa"/>
            <w:shd w:val="clear" w:color="auto" w:fill="FFFFFF"/>
            <w:vAlign w:val="center"/>
          </w:tcPr>
          <w:p w14:paraId="5A3BD423" w14:textId="77777777" w:rsidR="00BA2686" w:rsidRPr="00C859FE" w:rsidRDefault="00BA2686" w:rsidP="00D123C9">
            <w:pPr>
              <w:pStyle w:val="CETBodytext"/>
              <w:jc w:val="center"/>
              <w:rPr>
                <w:lang w:val="pt-BR"/>
              </w:rPr>
            </w:pPr>
          </w:p>
        </w:tc>
        <w:tc>
          <w:tcPr>
            <w:tcW w:w="392" w:type="dxa"/>
            <w:shd w:val="clear" w:color="auto" w:fill="FFFFFF"/>
            <w:vAlign w:val="center"/>
          </w:tcPr>
          <w:p w14:paraId="44462B9D" w14:textId="77777777" w:rsidR="00BA2686" w:rsidRPr="00C859FE" w:rsidRDefault="00BA2686" w:rsidP="00D123C9">
            <w:pPr>
              <w:pStyle w:val="CETBodytext"/>
              <w:jc w:val="center"/>
              <w:rPr>
                <w:lang w:val="pt-BR"/>
              </w:rPr>
            </w:pPr>
          </w:p>
        </w:tc>
        <w:tc>
          <w:tcPr>
            <w:tcW w:w="417" w:type="dxa"/>
            <w:shd w:val="clear" w:color="auto" w:fill="FFFFFF"/>
            <w:vAlign w:val="center"/>
          </w:tcPr>
          <w:p w14:paraId="53040B43" w14:textId="1FA872EB" w:rsidR="00BA2686" w:rsidRPr="00C859FE" w:rsidRDefault="006021B6" w:rsidP="00D123C9">
            <w:pPr>
              <w:pStyle w:val="CETBodytext"/>
              <w:jc w:val="center"/>
              <w:rPr>
                <w:lang w:val="pt-BR"/>
              </w:rPr>
            </w:pPr>
            <w:r>
              <w:rPr>
                <w:lang w:val="pt-BR"/>
              </w:rPr>
              <w:t>x</w:t>
            </w:r>
          </w:p>
        </w:tc>
      </w:tr>
      <w:tr w:rsidR="00BA2686" w:rsidRPr="00C859FE" w14:paraId="12CE3184" w14:textId="77777777" w:rsidTr="00396147">
        <w:tc>
          <w:tcPr>
            <w:tcW w:w="1418" w:type="dxa"/>
            <w:vMerge/>
            <w:shd w:val="clear" w:color="auto" w:fill="FFFFFF"/>
          </w:tcPr>
          <w:p w14:paraId="708E21DC" w14:textId="77777777" w:rsidR="00BA2686" w:rsidRPr="00C859FE" w:rsidRDefault="00BA2686" w:rsidP="00D123C9">
            <w:pPr>
              <w:pStyle w:val="CETBodytext"/>
              <w:rPr>
                <w:lang w:val="pt-BR"/>
              </w:rPr>
            </w:pPr>
          </w:p>
        </w:tc>
        <w:tc>
          <w:tcPr>
            <w:tcW w:w="4086" w:type="dxa"/>
            <w:shd w:val="clear" w:color="auto" w:fill="FFFFFF"/>
            <w:vAlign w:val="center"/>
          </w:tcPr>
          <w:p w14:paraId="39CFB321" w14:textId="604274F7" w:rsidR="00BA2686" w:rsidRPr="00C859FE" w:rsidRDefault="00BA2686" w:rsidP="00D123C9">
            <w:pPr>
              <w:pStyle w:val="CETBodytext"/>
              <w:rPr>
                <w:lang w:val="pt-BR"/>
              </w:rPr>
            </w:pPr>
            <w:r w:rsidRPr="00C859FE">
              <w:rPr>
                <w:lang w:val="pt-BR"/>
              </w:rPr>
              <w:t>Palmitic acid</w:t>
            </w:r>
          </w:p>
        </w:tc>
        <w:tc>
          <w:tcPr>
            <w:tcW w:w="975" w:type="dxa"/>
            <w:shd w:val="clear" w:color="auto" w:fill="FFFFFF"/>
            <w:vAlign w:val="center"/>
          </w:tcPr>
          <w:p w14:paraId="7017D9CB"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16</w:t>
            </w:r>
            <w:r w:rsidRPr="00C859FE">
              <w:rPr>
                <w:lang w:val="pt-BR"/>
              </w:rPr>
              <w:t>H</w:t>
            </w:r>
            <w:r w:rsidRPr="00C859FE">
              <w:rPr>
                <w:vertAlign w:val="subscript"/>
                <w:lang w:val="pt-BR"/>
              </w:rPr>
              <w:t>32</w:t>
            </w:r>
            <w:r w:rsidRPr="00C859FE">
              <w:rPr>
                <w:lang w:val="pt-BR"/>
              </w:rPr>
              <w:t>O</w:t>
            </w:r>
            <w:r w:rsidRPr="00C859FE">
              <w:rPr>
                <w:vertAlign w:val="subscript"/>
                <w:lang w:val="pt-BR"/>
              </w:rPr>
              <w:t>2</w:t>
            </w:r>
          </w:p>
        </w:tc>
        <w:tc>
          <w:tcPr>
            <w:tcW w:w="716" w:type="dxa"/>
            <w:shd w:val="clear" w:color="auto" w:fill="FFFFFF"/>
            <w:vAlign w:val="center"/>
          </w:tcPr>
          <w:p w14:paraId="5E0B34A9" w14:textId="77777777" w:rsidR="00BA2686" w:rsidRPr="00C859FE" w:rsidRDefault="00BA2686" w:rsidP="00D123C9">
            <w:pPr>
              <w:pStyle w:val="CETBodytext"/>
              <w:jc w:val="center"/>
              <w:rPr>
                <w:lang w:val="pt-BR"/>
              </w:rPr>
            </w:pPr>
            <w:r w:rsidRPr="00C859FE">
              <w:rPr>
                <w:lang w:val="pt-BR"/>
              </w:rPr>
              <w:t>31.612</w:t>
            </w:r>
          </w:p>
        </w:tc>
        <w:tc>
          <w:tcPr>
            <w:tcW w:w="783" w:type="dxa"/>
            <w:shd w:val="clear" w:color="auto" w:fill="FFFFFF"/>
            <w:vAlign w:val="center"/>
          </w:tcPr>
          <w:p w14:paraId="6EF0113B" w14:textId="1C4D7644" w:rsidR="00BA2686" w:rsidRPr="00C859FE" w:rsidRDefault="006021B6" w:rsidP="00D123C9">
            <w:pPr>
              <w:pStyle w:val="CETBodytext"/>
              <w:jc w:val="center"/>
              <w:rPr>
                <w:lang w:val="pt-BR"/>
              </w:rPr>
            </w:pPr>
            <w:r>
              <w:rPr>
                <w:lang w:val="pt-BR"/>
              </w:rPr>
              <w:t>x</w:t>
            </w:r>
          </w:p>
        </w:tc>
        <w:tc>
          <w:tcPr>
            <w:tcW w:w="392" w:type="dxa"/>
            <w:shd w:val="clear" w:color="auto" w:fill="FFFFFF"/>
            <w:vAlign w:val="center"/>
          </w:tcPr>
          <w:p w14:paraId="0AD1FC79" w14:textId="62BEE0D3" w:rsidR="00BA2686" w:rsidRPr="00C859FE" w:rsidRDefault="006021B6" w:rsidP="00D123C9">
            <w:pPr>
              <w:pStyle w:val="CETBodytext"/>
              <w:jc w:val="center"/>
              <w:rPr>
                <w:lang w:val="pt-BR"/>
              </w:rPr>
            </w:pPr>
            <w:r>
              <w:rPr>
                <w:lang w:val="pt-BR"/>
              </w:rPr>
              <w:t>x</w:t>
            </w:r>
          </w:p>
        </w:tc>
        <w:tc>
          <w:tcPr>
            <w:tcW w:w="417" w:type="dxa"/>
            <w:shd w:val="clear" w:color="auto" w:fill="FFFFFF"/>
            <w:vAlign w:val="center"/>
          </w:tcPr>
          <w:p w14:paraId="34CF6122" w14:textId="4FC3DB7D" w:rsidR="00BA2686" w:rsidRPr="00C859FE" w:rsidRDefault="006021B6" w:rsidP="00D123C9">
            <w:pPr>
              <w:pStyle w:val="CETBodytext"/>
              <w:jc w:val="center"/>
              <w:rPr>
                <w:lang w:val="pt-BR"/>
              </w:rPr>
            </w:pPr>
            <w:r>
              <w:rPr>
                <w:lang w:val="pt-BR"/>
              </w:rPr>
              <w:t>x</w:t>
            </w:r>
          </w:p>
        </w:tc>
      </w:tr>
      <w:tr w:rsidR="00BA2686" w:rsidRPr="00C859FE" w14:paraId="0DD01C0C" w14:textId="77777777" w:rsidTr="00396147">
        <w:tc>
          <w:tcPr>
            <w:tcW w:w="1418" w:type="dxa"/>
            <w:vMerge/>
            <w:shd w:val="clear" w:color="auto" w:fill="FFFFFF"/>
          </w:tcPr>
          <w:p w14:paraId="3AF6D975" w14:textId="77777777" w:rsidR="00BA2686" w:rsidRPr="00C859FE" w:rsidRDefault="00BA2686" w:rsidP="00D123C9">
            <w:pPr>
              <w:pStyle w:val="CETBodytext"/>
              <w:rPr>
                <w:lang w:val="pt-BR"/>
              </w:rPr>
            </w:pPr>
          </w:p>
        </w:tc>
        <w:tc>
          <w:tcPr>
            <w:tcW w:w="4086" w:type="dxa"/>
            <w:shd w:val="clear" w:color="auto" w:fill="FFFFFF"/>
            <w:vAlign w:val="center"/>
          </w:tcPr>
          <w:p w14:paraId="0B4E5878" w14:textId="17B5F7F9" w:rsidR="00BA2686" w:rsidRPr="00C859FE" w:rsidRDefault="00BA2686" w:rsidP="00D123C9">
            <w:pPr>
              <w:pStyle w:val="CETBodytext"/>
              <w:rPr>
                <w:lang w:val="pt-BR"/>
              </w:rPr>
            </w:pPr>
            <w:r w:rsidRPr="00C859FE">
              <w:rPr>
                <w:lang w:val="pt-BR"/>
              </w:rPr>
              <w:t>9-Hexadecenoic acid</w:t>
            </w:r>
          </w:p>
        </w:tc>
        <w:tc>
          <w:tcPr>
            <w:tcW w:w="975" w:type="dxa"/>
            <w:shd w:val="clear" w:color="auto" w:fill="FFFFFF"/>
            <w:vAlign w:val="center"/>
          </w:tcPr>
          <w:p w14:paraId="57A499F5"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16</w:t>
            </w:r>
            <w:r w:rsidRPr="00C859FE">
              <w:rPr>
                <w:lang w:val="pt-BR"/>
              </w:rPr>
              <w:t>H</w:t>
            </w:r>
            <w:r w:rsidRPr="00C859FE">
              <w:rPr>
                <w:vertAlign w:val="subscript"/>
                <w:lang w:val="pt-BR"/>
              </w:rPr>
              <w:t>30</w:t>
            </w:r>
            <w:r w:rsidRPr="00C859FE">
              <w:rPr>
                <w:lang w:val="pt-BR"/>
              </w:rPr>
              <w:t>O</w:t>
            </w:r>
            <w:r w:rsidRPr="00C859FE">
              <w:rPr>
                <w:vertAlign w:val="subscript"/>
                <w:lang w:val="pt-BR"/>
              </w:rPr>
              <w:t>2</w:t>
            </w:r>
          </w:p>
        </w:tc>
        <w:tc>
          <w:tcPr>
            <w:tcW w:w="716" w:type="dxa"/>
            <w:shd w:val="clear" w:color="auto" w:fill="FFFFFF"/>
            <w:vAlign w:val="center"/>
          </w:tcPr>
          <w:p w14:paraId="60B325D7" w14:textId="77777777" w:rsidR="00BA2686" w:rsidRPr="00C859FE" w:rsidRDefault="00BA2686" w:rsidP="00D123C9">
            <w:pPr>
              <w:pStyle w:val="CETBodytext"/>
              <w:jc w:val="center"/>
              <w:rPr>
                <w:lang w:val="pt-BR"/>
              </w:rPr>
            </w:pPr>
            <w:r w:rsidRPr="00C859FE">
              <w:rPr>
                <w:lang w:val="pt-BR"/>
              </w:rPr>
              <w:t>32.203</w:t>
            </w:r>
          </w:p>
        </w:tc>
        <w:tc>
          <w:tcPr>
            <w:tcW w:w="783" w:type="dxa"/>
            <w:shd w:val="clear" w:color="auto" w:fill="FFFFFF"/>
            <w:vAlign w:val="center"/>
          </w:tcPr>
          <w:p w14:paraId="53BFA124" w14:textId="77777777" w:rsidR="00BA2686" w:rsidRPr="00C859FE" w:rsidRDefault="00BA2686" w:rsidP="00D123C9">
            <w:pPr>
              <w:pStyle w:val="CETBodytext"/>
              <w:jc w:val="center"/>
              <w:rPr>
                <w:lang w:val="pt-BR"/>
              </w:rPr>
            </w:pPr>
          </w:p>
        </w:tc>
        <w:tc>
          <w:tcPr>
            <w:tcW w:w="392" w:type="dxa"/>
            <w:shd w:val="clear" w:color="auto" w:fill="FFFFFF"/>
            <w:vAlign w:val="center"/>
          </w:tcPr>
          <w:p w14:paraId="7995BB77" w14:textId="27C82646" w:rsidR="00BA2686" w:rsidRPr="00C859FE" w:rsidRDefault="006021B6" w:rsidP="00D123C9">
            <w:pPr>
              <w:pStyle w:val="CETBodytext"/>
              <w:jc w:val="center"/>
              <w:rPr>
                <w:lang w:val="pt-BR"/>
              </w:rPr>
            </w:pPr>
            <w:r>
              <w:rPr>
                <w:lang w:val="pt-BR"/>
              </w:rPr>
              <w:t>x</w:t>
            </w:r>
          </w:p>
        </w:tc>
        <w:tc>
          <w:tcPr>
            <w:tcW w:w="417" w:type="dxa"/>
            <w:shd w:val="clear" w:color="auto" w:fill="FFFFFF"/>
            <w:vAlign w:val="center"/>
          </w:tcPr>
          <w:p w14:paraId="0045B8D3" w14:textId="4471196E" w:rsidR="00BA2686" w:rsidRPr="00C859FE" w:rsidRDefault="006021B6" w:rsidP="00D123C9">
            <w:pPr>
              <w:pStyle w:val="CETBodytext"/>
              <w:jc w:val="center"/>
              <w:rPr>
                <w:lang w:val="pt-BR"/>
              </w:rPr>
            </w:pPr>
            <w:r>
              <w:rPr>
                <w:lang w:val="pt-BR"/>
              </w:rPr>
              <w:t>x</w:t>
            </w:r>
          </w:p>
        </w:tc>
      </w:tr>
      <w:tr w:rsidR="00BA2686" w:rsidRPr="00C859FE" w14:paraId="0E6C84EF" w14:textId="77777777" w:rsidTr="00396147">
        <w:tc>
          <w:tcPr>
            <w:tcW w:w="1418" w:type="dxa"/>
            <w:vMerge/>
            <w:shd w:val="clear" w:color="auto" w:fill="FFFFFF"/>
          </w:tcPr>
          <w:p w14:paraId="693656D2" w14:textId="77777777" w:rsidR="00BA2686" w:rsidRPr="00C859FE" w:rsidRDefault="00BA2686" w:rsidP="00D123C9">
            <w:pPr>
              <w:pStyle w:val="CETBodytext"/>
              <w:rPr>
                <w:lang w:val="pt-BR"/>
              </w:rPr>
            </w:pPr>
          </w:p>
        </w:tc>
        <w:tc>
          <w:tcPr>
            <w:tcW w:w="4086" w:type="dxa"/>
            <w:shd w:val="clear" w:color="auto" w:fill="FFFFFF"/>
            <w:vAlign w:val="center"/>
          </w:tcPr>
          <w:p w14:paraId="03D09DFB" w14:textId="2B013AB7" w:rsidR="00BA2686" w:rsidRPr="00C859FE" w:rsidRDefault="00BA2686" w:rsidP="00D123C9">
            <w:pPr>
              <w:pStyle w:val="CETBodytext"/>
              <w:rPr>
                <w:lang w:val="pt-BR"/>
              </w:rPr>
            </w:pPr>
            <w:r w:rsidRPr="00C859FE">
              <w:rPr>
                <w:lang w:val="pt-BR"/>
              </w:rPr>
              <w:t>Stearic acid</w:t>
            </w:r>
          </w:p>
        </w:tc>
        <w:tc>
          <w:tcPr>
            <w:tcW w:w="975" w:type="dxa"/>
            <w:shd w:val="clear" w:color="auto" w:fill="FFFFFF"/>
            <w:vAlign w:val="center"/>
          </w:tcPr>
          <w:p w14:paraId="754948B4"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18</w:t>
            </w:r>
            <w:r w:rsidRPr="00C859FE">
              <w:rPr>
                <w:lang w:val="pt-BR"/>
              </w:rPr>
              <w:t>H</w:t>
            </w:r>
            <w:r w:rsidRPr="00C859FE">
              <w:rPr>
                <w:vertAlign w:val="subscript"/>
                <w:lang w:val="pt-BR"/>
              </w:rPr>
              <w:t>36</w:t>
            </w:r>
            <w:r w:rsidRPr="00C859FE">
              <w:rPr>
                <w:lang w:val="pt-BR"/>
              </w:rPr>
              <w:t>O</w:t>
            </w:r>
            <w:r w:rsidRPr="00C859FE">
              <w:rPr>
                <w:vertAlign w:val="subscript"/>
                <w:lang w:val="pt-BR"/>
              </w:rPr>
              <w:t>2</w:t>
            </w:r>
          </w:p>
        </w:tc>
        <w:tc>
          <w:tcPr>
            <w:tcW w:w="716" w:type="dxa"/>
            <w:shd w:val="clear" w:color="auto" w:fill="FFFFFF"/>
            <w:vAlign w:val="center"/>
          </w:tcPr>
          <w:p w14:paraId="17771F54" w14:textId="77777777" w:rsidR="00BA2686" w:rsidRPr="00C859FE" w:rsidRDefault="00BA2686" w:rsidP="00D123C9">
            <w:pPr>
              <w:pStyle w:val="CETBodytext"/>
              <w:jc w:val="center"/>
              <w:rPr>
                <w:lang w:val="pt-BR"/>
              </w:rPr>
            </w:pPr>
            <w:r w:rsidRPr="00C859FE">
              <w:rPr>
                <w:lang w:val="pt-BR"/>
              </w:rPr>
              <w:t>35.669</w:t>
            </w:r>
          </w:p>
        </w:tc>
        <w:tc>
          <w:tcPr>
            <w:tcW w:w="783" w:type="dxa"/>
            <w:shd w:val="clear" w:color="auto" w:fill="FFFFFF"/>
            <w:vAlign w:val="center"/>
          </w:tcPr>
          <w:p w14:paraId="4FF9A1D2" w14:textId="77777777" w:rsidR="00BA2686" w:rsidRPr="00C859FE" w:rsidRDefault="00BA2686" w:rsidP="00D123C9">
            <w:pPr>
              <w:pStyle w:val="CETBodytext"/>
              <w:jc w:val="center"/>
              <w:rPr>
                <w:lang w:val="pt-BR"/>
              </w:rPr>
            </w:pPr>
          </w:p>
        </w:tc>
        <w:tc>
          <w:tcPr>
            <w:tcW w:w="392" w:type="dxa"/>
            <w:shd w:val="clear" w:color="auto" w:fill="FFFFFF"/>
            <w:vAlign w:val="center"/>
          </w:tcPr>
          <w:p w14:paraId="36C1D9FE" w14:textId="77777777" w:rsidR="00BA2686" w:rsidRPr="00C859FE" w:rsidRDefault="00BA2686" w:rsidP="00D123C9">
            <w:pPr>
              <w:pStyle w:val="CETBodytext"/>
              <w:jc w:val="center"/>
              <w:rPr>
                <w:lang w:val="pt-BR"/>
              </w:rPr>
            </w:pPr>
          </w:p>
        </w:tc>
        <w:tc>
          <w:tcPr>
            <w:tcW w:w="417" w:type="dxa"/>
            <w:shd w:val="clear" w:color="auto" w:fill="FFFFFF"/>
            <w:vAlign w:val="center"/>
          </w:tcPr>
          <w:p w14:paraId="45D4C3E8" w14:textId="41E96E2C" w:rsidR="00BA2686" w:rsidRPr="00C859FE" w:rsidRDefault="006021B6" w:rsidP="00D123C9">
            <w:pPr>
              <w:pStyle w:val="CETBodytext"/>
              <w:jc w:val="center"/>
              <w:rPr>
                <w:lang w:val="pt-BR"/>
              </w:rPr>
            </w:pPr>
            <w:r>
              <w:rPr>
                <w:lang w:val="pt-BR"/>
              </w:rPr>
              <w:t>x</w:t>
            </w:r>
          </w:p>
        </w:tc>
      </w:tr>
      <w:tr w:rsidR="00BA2686" w:rsidRPr="00C859FE" w14:paraId="6565E0B9" w14:textId="77777777" w:rsidTr="00396147">
        <w:tc>
          <w:tcPr>
            <w:tcW w:w="1418" w:type="dxa"/>
            <w:vMerge/>
            <w:shd w:val="clear" w:color="auto" w:fill="FFFFFF"/>
          </w:tcPr>
          <w:p w14:paraId="72622971" w14:textId="77777777" w:rsidR="00BA2686" w:rsidRPr="00C859FE" w:rsidRDefault="00BA2686" w:rsidP="00D123C9">
            <w:pPr>
              <w:pStyle w:val="CETBodytext"/>
              <w:rPr>
                <w:lang w:val="pt-BR"/>
              </w:rPr>
            </w:pPr>
          </w:p>
        </w:tc>
        <w:tc>
          <w:tcPr>
            <w:tcW w:w="4086" w:type="dxa"/>
            <w:shd w:val="clear" w:color="auto" w:fill="FFFFFF"/>
            <w:vAlign w:val="center"/>
          </w:tcPr>
          <w:p w14:paraId="74347CA5" w14:textId="64AD960C" w:rsidR="00BA2686" w:rsidRPr="00C859FE" w:rsidRDefault="00BA2686" w:rsidP="00D123C9">
            <w:pPr>
              <w:pStyle w:val="CETBodytext"/>
              <w:rPr>
                <w:lang w:val="pt-BR"/>
              </w:rPr>
            </w:pPr>
            <w:r w:rsidRPr="00C859FE">
              <w:rPr>
                <w:lang w:val="pt-BR"/>
              </w:rPr>
              <w:t xml:space="preserve">4-Hexyl-2,5-dihydro-2,5-dioxo-3-furanacetic acid </w:t>
            </w:r>
          </w:p>
        </w:tc>
        <w:tc>
          <w:tcPr>
            <w:tcW w:w="975" w:type="dxa"/>
            <w:shd w:val="clear" w:color="auto" w:fill="FFFFFF"/>
            <w:vAlign w:val="center"/>
          </w:tcPr>
          <w:p w14:paraId="1C9EAC25"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12</w:t>
            </w:r>
            <w:r w:rsidRPr="00C859FE">
              <w:rPr>
                <w:lang w:val="pt-BR"/>
              </w:rPr>
              <w:t>H</w:t>
            </w:r>
            <w:r w:rsidRPr="00C859FE">
              <w:rPr>
                <w:vertAlign w:val="subscript"/>
                <w:lang w:val="pt-BR"/>
              </w:rPr>
              <w:t>16</w:t>
            </w:r>
            <w:r w:rsidRPr="00C859FE">
              <w:rPr>
                <w:lang w:val="pt-BR"/>
              </w:rPr>
              <w:t>O</w:t>
            </w:r>
            <w:r w:rsidRPr="00C859FE">
              <w:rPr>
                <w:vertAlign w:val="subscript"/>
                <w:lang w:val="pt-BR"/>
              </w:rPr>
              <w:t>5</w:t>
            </w:r>
          </w:p>
        </w:tc>
        <w:tc>
          <w:tcPr>
            <w:tcW w:w="716" w:type="dxa"/>
            <w:shd w:val="clear" w:color="auto" w:fill="FFFFFF"/>
            <w:vAlign w:val="center"/>
          </w:tcPr>
          <w:p w14:paraId="0E3ED7FE" w14:textId="77777777" w:rsidR="00BA2686" w:rsidRPr="00C859FE" w:rsidRDefault="00BA2686" w:rsidP="00D123C9">
            <w:pPr>
              <w:pStyle w:val="CETBodytext"/>
              <w:jc w:val="center"/>
              <w:rPr>
                <w:lang w:val="pt-BR"/>
              </w:rPr>
            </w:pPr>
            <w:r w:rsidRPr="00C859FE">
              <w:rPr>
                <w:lang w:val="pt-BR"/>
              </w:rPr>
              <w:t>17.692</w:t>
            </w:r>
          </w:p>
        </w:tc>
        <w:tc>
          <w:tcPr>
            <w:tcW w:w="783" w:type="dxa"/>
            <w:shd w:val="clear" w:color="auto" w:fill="FFFFFF"/>
            <w:vAlign w:val="center"/>
          </w:tcPr>
          <w:p w14:paraId="1BF0E8DE" w14:textId="77777777" w:rsidR="00BA2686" w:rsidRPr="00C859FE" w:rsidRDefault="00BA2686" w:rsidP="00D123C9">
            <w:pPr>
              <w:pStyle w:val="CETBodytext"/>
              <w:jc w:val="center"/>
              <w:rPr>
                <w:lang w:val="pt-BR"/>
              </w:rPr>
            </w:pPr>
          </w:p>
        </w:tc>
        <w:tc>
          <w:tcPr>
            <w:tcW w:w="392" w:type="dxa"/>
            <w:shd w:val="clear" w:color="auto" w:fill="FFFFFF"/>
            <w:vAlign w:val="center"/>
          </w:tcPr>
          <w:p w14:paraId="04224BF8" w14:textId="77777777" w:rsidR="00BA2686" w:rsidRPr="00C859FE" w:rsidRDefault="00BA2686" w:rsidP="00D123C9">
            <w:pPr>
              <w:pStyle w:val="CETBodytext"/>
              <w:jc w:val="center"/>
              <w:rPr>
                <w:lang w:val="pt-BR"/>
              </w:rPr>
            </w:pPr>
          </w:p>
        </w:tc>
        <w:tc>
          <w:tcPr>
            <w:tcW w:w="417" w:type="dxa"/>
            <w:shd w:val="clear" w:color="auto" w:fill="FFFFFF"/>
            <w:vAlign w:val="center"/>
          </w:tcPr>
          <w:p w14:paraId="32C908DD" w14:textId="33346653" w:rsidR="00BA2686" w:rsidRPr="00C859FE" w:rsidRDefault="006021B6" w:rsidP="00D123C9">
            <w:pPr>
              <w:pStyle w:val="CETBodytext"/>
              <w:jc w:val="center"/>
              <w:rPr>
                <w:lang w:val="pt-BR"/>
              </w:rPr>
            </w:pPr>
            <w:r>
              <w:rPr>
                <w:lang w:val="pt-BR"/>
              </w:rPr>
              <w:t>x</w:t>
            </w:r>
          </w:p>
        </w:tc>
      </w:tr>
      <w:tr w:rsidR="00BA2686" w:rsidRPr="00C859FE" w14:paraId="55078010" w14:textId="77777777" w:rsidTr="00396147">
        <w:tc>
          <w:tcPr>
            <w:tcW w:w="1418" w:type="dxa"/>
            <w:vMerge w:val="restart"/>
            <w:shd w:val="clear" w:color="auto" w:fill="FFFFFF"/>
          </w:tcPr>
          <w:p w14:paraId="36DF452A" w14:textId="16C06D07" w:rsidR="00BA2686" w:rsidRPr="00C859FE" w:rsidRDefault="00BA2686" w:rsidP="00D123C9">
            <w:pPr>
              <w:pStyle w:val="CETBodytext"/>
              <w:rPr>
                <w:lang w:val="pt-BR"/>
              </w:rPr>
            </w:pPr>
            <w:r w:rsidRPr="00B92F0E">
              <w:rPr>
                <w:b/>
                <w:bCs/>
                <w:lang w:val="pt-BR"/>
              </w:rPr>
              <w:t>ALCOHOLS:</w:t>
            </w:r>
          </w:p>
        </w:tc>
        <w:tc>
          <w:tcPr>
            <w:tcW w:w="4086" w:type="dxa"/>
            <w:shd w:val="clear" w:color="auto" w:fill="FFFFFF"/>
            <w:vAlign w:val="center"/>
          </w:tcPr>
          <w:p w14:paraId="363EE6EF" w14:textId="5F46B6CA" w:rsidR="00BA2686" w:rsidRPr="00C859FE" w:rsidRDefault="00BA2686" w:rsidP="00D123C9">
            <w:pPr>
              <w:pStyle w:val="CETBodytext"/>
              <w:rPr>
                <w:lang w:val="pt-BR"/>
              </w:rPr>
            </w:pPr>
            <w:r w:rsidRPr="00C859FE">
              <w:rPr>
                <w:lang w:val="pt-BR"/>
              </w:rPr>
              <w:t xml:space="preserve">2-Octyl-1-dodecanol </w:t>
            </w:r>
          </w:p>
        </w:tc>
        <w:tc>
          <w:tcPr>
            <w:tcW w:w="975" w:type="dxa"/>
            <w:shd w:val="clear" w:color="auto" w:fill="FFFFFF"/>
            <w:vAlign w:val="center"/>
          </w:tcPr>
          <w:p w14:paraId="262E281B"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20</w:t>
            </w:r>
            <w:r w:rsidRPr="00C859FE">
              <w:rPr>
                <w:lang w:val="pt-BR"/>
              </w:rPr>
              <w:t>H</w:t>
            </w:r>
            <w:r w:rsidRPr="00C859FE">
              <w:rPr>
                <w:vertAlign w:val="subscript"/>
                <w:lang w:val="pt-BR"/>
              </w:rPr>
              <w:t>42</w:t>
            </w:r>
            <w:r w:rsidRPr="00C859FE">
              <w:rPr>
                <w:lang w:val="pt-BR"/>
              </w:rPr>
              <w:t>O</w:t>
            </w:r>
          </w:p>
        </w:tc>
        <w:tc>
          <w:tcPr>
            <w:tcW w:w="716" w:type="dxa"/>
            <w:shd w:val="clear" w:color="auto" w:fill="FFFFFF"/>
            <w:vAlign w:val="center"/>
          </w:tcPr>
          <w:p w14:paraId="53C56003" w14:textId="77777777" w:rsidR="00BA2686" w:rsidRPr="00C859FE" w:rsidRDefault="00BA2686" w:rsidP="00D123C9">
            <w:pPr>
              <w:pStyle w:val="CETBodytext"/>
              <w:jc w:val="center"/>
              <w:rPr>
                <w:lang w:val="pt-BR"/>
              </w:rPr>
            </w:pPr>
            <w:r w:rsidRPr="00C859FE">
              <w:rPr>
                <w:lang w:val="pt-BR"/>
              </w:rPr>
              <w:t>12.972</w:t>
            </w:r>
          </w:p>
        </w:tc>
        <w:tc>
          <w:tcPr>
            <w:tcW w:w="783" w:type="dxa"/>
            <w:shd w:val="clear" w:color="auto" w:fill="FFFFFF"/>
            <w:vAlign w:val="center"/>
          </w:tcPr>
          <w:p w14:paraId="56012283" w14:textId="7C465DE8" w:rsidR="00BA2686" w:rsidRPr="00C859FE" w:rsidRDefault="006021B6" w:rsidP="00D123C9">
            <w:pPr>
              <w:pStyle w:val="CETBodytext"/>
              <w:jc w:val="center"/>
              <w:rPr>
                <w:lang w:val="pt-BR"/>
              </w:rPr>
            </w:pPr>
            <w:r>
              <w:rPr>
                <w:lang w:val="pt-BR"/>
              </w:rPr>
              <w:t>x</w:t>
            </w:r>
          </w:p>
        </w:tc>
        <w:tc>
          <w:tcPr>
            <w:tcW w:w="392" w:type="dxa"/>
            <w:shd w:val="clear" w:color="auto" w:fill="FFFFFF"/>
            <w:vAlign w:val="center"/>
          </w:tcPr>
          <w:p w14:paraId="0495EA1D" w14:textId="77777777" w:rsidR="00BA2686" w:rsidRPr="00C859FE" w:rsidRDefault="00BA2686" w:rsidP="00D123C9">
            <w:pPr>
              <w:pStyle w:val="CETBodytext"/>
              <w:jc w:val="center"/>
              <w:rPr>
                <w:lang w:val="pt-BR"/>
              </w:rPr>
            </w:pPr>
          </w:p>
        </w:tc>
        <w:tc>
          <w:tcPr>
            <w:tcW w:w="417" w:type="dxa"/>
            <w:shd w:val="clear" w:color="auto" w:fill="FFFFFF"/>
            <w:vAlign w:val="center"/>
          </w:tcPr>
          <w:p w14:paraId="06430AF1" w14:textId="77777777" w:rsidR="00BA2686" w:rsidRPr="00C859FE" w:rsidRDefault="00BA2686" w:rsidP="00D123C9">
            <w:pPr>
              <w:pStyle w:val="CETBodytext"/>
              <w:jc w:val="center"/>
              <w:rPr>
                <w:lang w:val="pt-BR"/>
              </w:rPr>
            </w:pPr>
          </w:p>
        </w:tc>
      </w:tr>
      <w:tr w:rsidR="00BA2686" w:rsidRPr="00C859FE" w14:paraId="05A44B0A" w14:textId="77777777" w:rsidTr="00396147">
        <w:tc>
          <w:tcPr>
            <w:tcW w:w="1418" w:type="dxa"/>
            <w:vMerge/>
            <w:shd w:val="clear" w:color="auto" w:fill="FFFFFF"/>
          </w:tcPr>
          <w:p w14:paraId="2EFD8C0A" w14:textId="77777777" w:rsidR="00BA2686" w:rsidRPr="00C859FE" w:rsidRDefault="00BA2686" w:rsidP="00D123C9">
            <w:pPr>
              <w:pStyle w:val="CETBodytext"/>
              <w:rPr>
                <w:lang w:val="pt-BR"/>
              </w:rPr>
            </w:pPr>
          </w:p>
        </w:tc>
        <w:tc>
          <w:tcPr>
            <w:tcW w:w="4086" w:type="dxa"/>
            <w:shd w:val="clear" w:color="auto" w:fill="FFFFFF"/>
            <w:vAlign w:val="center"/>
          </w:tcPr>
          <w:p w14:paraId="1BC8CEB7" w14:textId="2E6D37AC" w:rsidR="00BA2686" w:rsidRPr="00C859FE" w:rsidRDefault="00BA2686" w:rsidP="00D123C9">
            <w:pPr>
              <w:pStyle w:val="CETBodytext"/>
              <w:rPr>
                <w:lang w:val="pt-BR"/>
              </w:rPr>
            </w:pPr>
            <w:r w:rsidRPr="00C859FE">
              <w:rPr>
                <w:lang w:val="pt-BR"/>
              </w:rPr>
              <w:t xml:space="preserve">2-Hexyl-1-decanol </w:t>
            </w:r>
          </w:p>
        </w:tc>
        <w:tc>
          <w:tcPr>
            <w:tcW w:w="975" w:type="dxa"/>
            <w:shd w:val="clear" w:color="auto" w:fill="FFFFFF"/>
            <w:vAlign w:val="center"/>
          </w:tcPr>
          <w:p w14:paraId="01AF0159"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16</w:t>
            </w:r>
            <w:r w:rsidRPr="00C859FE">
              <w:rPr>
                <w:lang w:val="pt-BR"/>
              </w:rPr>
              <w:t>H</w:t>
            </w:r>
            <w:r w:rsidRPr="00C859FE">
              <w:rPr>
                <w:vertAlign w:val="subscript"/>
                <w:lang w:val="pt-BR"/>
              </w:rPr>
              <w:t>34</w:t>
            </w:r>
            <w:r w:rsidRPr="00C859FE">
              <w:rPr>
                <w:lang w:val="pt-BR"/>
              </w:rPr>
              <w:t>O</w:t>
            </w:r>
          </w:p>
        </w:tc>
        <w:tc>
          <w:tcPr>
            <w:tcW w:w="716" w:type="dxa"/>
            <w:shd w:val="clear" w:color="auto" w:fill="FFFFFF"/>
            <w:vAlign w:val="center"/>
          </w:tcPr>
          <w:p w14:paraId="31D37605" w14:textId="77777777" w:rsidR="00BA2686" w:rsidRPr="00C859FE" w:rsidRDefault="00BA2686" w:rsidP="00D123C9">
            <w:pPr>
              <w:pStyle w:val="CETBodytext"/>
              <w:jc w:val="center"/>
              <w:rPr>
                <w:lang w:val="pt-BR"/>
              </w:rPr>
            </w:pPr>
            <w:r w:rsidRPr="00C859FE">
              <w:rPr>
                <w:lang w:val="pt-BR"/>
              </w:rPr>
              <w:t>16.705</w:t>
            </w:r>
          </w:p>
        </w:tc>
        <w:tc>
          <w:tcPr>
            <w:tcW w:w="783" w:type="dxa"/>
            <w:shd w:val="clear" w:color="auto" w:fill="FFFFFF"/>
            <w:vAlign w:val="center"/>
          </w:tcPr>
          <w:p w14:paraId="18636A9F" w14:textId="77777777" w:rsidR="00BA2686" w:rsidRPr="00C859FE" w:rsidRDefault="00BA2686" w:rsidP="00D123C9">
            <w:pPr>
              <w:pStyle w:val="CETBodytext"/>
              <w:jc w:val="center"/>
              <w:rPr>
                <w:lang w:val="pt-BR"/>
              </w:rPr>
            </w:pPr>
          </w:p>
        </w:tc>
        <w:tc>
          <w:tcPr>
            <w:tcW w:w="392" w:type="dxa"/>
            <w:shd w:val="clear" w:color="auto" w:fill="FFFFFF"/>
            <w:vAlign w:val="center"/>
          </w:tcPr>
          <w:p w14:paraId="38FE2736" w14:textId="77777777" w:rsidR="00BA2686" w:rsidRPr="00C859FE" w:rsidRDefault="00BA2686" w:rsidP="00D123C9">
            <w:pPr>
              <w:pStyle w:val="CETBodytext"/>
              <w:jc w:val="center"/>
              <w:rPr>
                <w:lang w:val="pt-BR"/>
              </w:rPr>
            </w:pPr>
          </w:p>
        </w:tc>
        <w:tc>
          <w:tcPr>
            <w:tcW w:w="417" w:type="dxa"/>
            <w:shd w:val="clear" w:color="auto" w:fill="FFFFFF"/>
            <w:vAlign w:val="center"/>
          </w:tcPr>
          <w:p w14:paraId="0933071B" w14:textId="328D92BB" w:rsidR="00BA2686" w:rsidRPr="00C859FE" w:rsidRDefault="006021B6" w:rsidP="00D123C9">
            <w:pPr>
              <w:pStyle w:val="CETBodytext"/>
              <w:jc w:val="center"/>
              <w:rPr>
                <w:lang w:val="pt-BR"/>
              </w:rPr>
            </w:pPr>
            <w:r>
              <w:rPr>
                <w:lang w:val="pt-BR"/>
              </w:rPr>
              <w:t>x</w:t>
            </w:r>
          </w:p>
        </w:tc>
      </w:tr>
      <w:tr w:rsidR="00BA2686" w:rsidRPr="00C859FE" w14:paraId="47738DA0" w14:textId="77777777" w:rsidTr="00396147">
        <w:tc>
          <w:tcPr>
            <w:tcW w:w="1418" w:type="dxa"/>
            <w:vMerge/>
            <w:shd w:val="clear" w:color="auto" w:fill="FFFFFF"/>
          </w:tcPr>
          <w:p w14:paraId="18706659" w14:textId="77777777" w:rsidR="00BA2686" w:rsidRPr="00C859FE" w:rsidRDefault="00BA2686" w:rsidP="00D123C9">
            <w:pPr>
              <w:pStyle w:val="CETBodytext"/>
              <w:rPr>
                <w:i/>
                <w:lang w:val="pt-BR"/>
              </w:rPr>
            </w:pPr>
          </w:p>
        </w:tc>
        <w:tc>
          <w:tcPr>
            <w:tcW w:w="4086" w:type="dxa"/>
            <w:shd w:val="clear" w:color="auto" w:fill="FFFFFF"/>
            <w:vAlign w:val="center"/>
          </w:tcPr>
          <w:p w14:paraId="0ADF62E7" w14:textId="4FF22B35" w:rsidR="00BA2686" w:rsidRPr="00C859FE" w:rsidRDefault="00BA2686" w:rsidP="00D123C9">
            <w:pPr>
              <w:pStyle w:val="CETBodytext"/>
              <w:rPr>
                <w:lang w:val="pt-BR"/>
              </w:rPr>
            </w:pPr>
            <w:r w:rsidRPr="00C859FE">
              <w:rPr>
                <w:i/>
                <w:lang w:val="pt-BR"/>
              </w:rPr>
              <w:t>trans</w:t>
            </w:r>
            <w:r w:rsidRPr="00C859FE">
              <w:rPr>
                <w:lang w:val="pt-BR"/>
              </w:rPr>
              <w:t xml:space="preserve">-9-Hexadecen-1-ol </w:t>
            </w:r>
          </w:p>
        </w:tc>
        <w:tc>
          <w:tcPr>
            <w:tcW w:w="975" w:type="dxa"/>
            <w:shd w:val="clear" w:color="auto" w:fill="FFFFFF"/>
            <w:vAlign w:val="center"/>
          </w:tcPr>
          <w:p w14:paraId="36E1E819"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16</w:t>
            </w:r>
            <w:r w:rsidRPr="00C859FE">
              <w:rPr>
                <w:lang w:val="pt-BR"/>
              </w:rPr>
              <w:t>H</w:t>
            </w:r>
            <w:r w:rsidRPr="00C859FE">
              <w:rPr>
                <w:vertAlign w:val="subscript"/>
                <w:lang w:val="pt-BR"/>
              </w:rPr>
              <w:t>32</w:t>
            </w:r>
            <w:r w:rsidRPr="00C859FE">
              <w:rPr>
                <w:lang w:val="pt-BR"/>
              </w:rPr>
              <w:t>O</w:t>
            </w:r>
          </w:p>
        </w:tc>
        <w:tc>
          <w:tcPr>
            <w:tcW w:w="716" w:type="dxa"/>
            <w:shd w:val="clear" w:color="auto" w:fill="FFFFFF"/>
            <w:vAlign w:val="center"/>
          </w:tcPr>
          <w:p w14:paraId="1391D90E" w14:textId="77777777" w:rsidR="00BA2686" w:rsidRPr="00C859FE" w:rsidRDefault="00BA2686" w:rsidP="00D123C9">
            <w:pPr>
              <w:pStyle w:val="CETBodytext"/>
              <w:jc w:val="center"/>
              <w:rPr>
                <w:lang w:val="pt-BR"/>
              </w:rPr>
            </w:pPr>
            <w:r w:rsidRPr="00C859FE">
              <w:rPr>
                <w:lang w:val="pt-BR"/>
              </w:rPr>
              <w:t>23.069</w:t>
            </w:r>
          </w:p>
        </w:tc>
        <w:tc>
          <w:tcPr>
            <w:tcW w:w="783" w:type="dxa"/>
            <w:shd w:val="clear" w:color="auto" w:fill="FFFFFF"/>
            <w:vAlign w:val="center"/>
          </w:tcPr>
          <w:p w14:paraId="5D40BCFC" w14:textId="7C42D6BD" w:rsidR="00BA2686" w:rsidRPr="00C859FE" w:rsidRDefault="006021B6" w:rsidP="00D123C9">
            <w:pPr>
              <w:pStyle w:val="CETBodytext"/>
              <w:jc w:val="center"/>
              <w:rPr>
                <w:lang w:val="pt-BR"/>
              </w:rPr>
            </w:pPr>
            <w:r>
              <w:rPr>
                <w:lang w:val="pt-BR"/>
              </w:rPr>
              <w:t>x</w:t>
            </w:r>
          </w:p>
        </w:tc>
        <w:tc>
          <w:tcPr>
            <w:tcW w:w="392" w:type="dxa"/>
            <w:shd w:val="clear" w:color="auto" w:fill="FFFFFF"/>
            <w:vAlign w:val="center"/>
          </w:tcPr>
          <w:p w14:paraId="179EF3A7" w14:textId="77777777" w:rsidR="00BA2686" w:rsidRPr="00C859FE" w:rsidRDefault="00BA2686" w:rsidP="00D123C9">
            <w:pPr>
              <w:pStyle w:val="CETBodytext"/>
              <w:jc w:val="center"/>
              <w:rPr>
                <w:lang w:val="pt-BR"/>
              </w:rPr>
            </w:pPr>
          </w:p>
        </w:tc>
        <w:tc>
          <w:tcPr>
            <w:tcW w:w="417" w:type="dxa"/>
            <w:shd w:val="clear" w:color="auto" w:fill="FFFFFF"/>
            <w:vAlign w:val="center"/>
          </w:tcPr>
          <w:p w14:paraId="47F61AEB" w14:textId="77777777" w:rsidR="00BA2686" w:rsidRPr="00C859FE" w:rsidRDefault="00BA2686" w:rsidP="00D123C9">
            <w:pPr>
              <w:pStyle w:val="CETBodytext"/>
              <w:jc w:val="center"/>
              <w:rPr>
                <w:lang w:val="pt-BR"/>
              </w:rPr>
            </w:pPr>
          </w:p>
        </w:tc>
      </w:tr>
      <w:tr w:rsidR="00BA2686" w:rsidRPr="00C859FE" w14:paraId="3AF752EE" w14:textId="77777777" w:rsidTr="00396147">
        <w:tc>
          <w:tcPr>
            <w:tcW w:w="1418" w:type="dxa"/>
            <w:vMerge/>
            <w:shd w:val="clear" w:color="auto" w:fill="FFFFFF"/>
          </w:tcPr>
          <w:p w14:paraId="1A92E330" w14:textId="77777777" w:rsidR="00BA2686" w:rsidRPr="00C859FE" w:rsidRDefault="00BA2686" w:rsidP="00D123C9">
            <w:pPr>
              <w:pStyle w:val="CETBodytext"/>
              <w:rPr>
                <w:lang w:val="pt-BR"/>
              </w:rPr>
            </w:pPr>
          </w:p>
        </w:tc>
        <w:tc>
          <w:tcPr>
            <w:tcW w:w="4086" w:type="dxa"/>
            <w:shd w:val="clear" w:color="auto" w:fill="FFFFFF"/>
            <w:vAlign w:val="center"/>
          </w:tcPr>
          <w:p w14:paraId="370D0E50" w14:textId="2B1332DC" w:rsidR="00BA2686" w:rsidRPr="00C859FE" w:rsidRDefault="00BA2686" w:rsidP="00D123C9">
            <w:pPr>
              <w:pStyle w:val="CETBodytext"/>
              <w:rPr>
                <w:lang w:val="pt-BR"/>
              </w:rPr>
            </w:pPr>
            <w:r w:rsidRPr="00C859FE">
              <w:rPr>
                <w:lang w:val="pt-BR"/>
              </w:rPr>
              <w:t xml:space="preserve">2-Methyl-1-hexadecanol </w:t>
            </w:r>
          </w:p>
        </w:tc>
        <w:tc>
          <w:tcPr>
            <w:tcW w:w="975" w:type="dxa"/>
            <w:shd w:val="clear" w:color="auto" w:fill="FFFFFF"/>
            <w:vAlign w:val="center"/>
          </w:tcPr>
          <w:p w14:paraId="0AEAEF14"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17</w:t>
            </w:r>
            <w:r w:rsidRPr="00C859FE">
              <w:rPr>
                <w:lang w:val="pt-BR"/>
              </w:rPr>
              <w:t>H</w:t>
            </w:r>
            <w:r w:rsidRPr="00C859FE">
              <w:rPr>
                <w:vertAlign w:val="subscript"/>
                <w:lang w:val="pt-BR"/>
              </w:rPr>
              <w:t>36</w:t>
            </w:r>
            <w:r w:rsidRPr="00C859FE">
              <w:rPr>
                <w:lang w:val="pt-BR"/>
              </w:rPr>
              <w:t>O</w:t>
            </w:r>
          </w:p>
        </w:tc>
        <w:tc>
          <w:tcPr>
            <w:tcW w:w="716" w:type="dxa"/>
            <w:shd w:val="clear" w:color="auto" w:fill="FFFFFF"/>
            <w:vAlign w:val="center"/>
          </w:tcPr>
          <w:p w14:paraId="71E287D6" w14:textId="77777777" w:rsidR="00BA2686" w:rsidRPr="00C859FE" w:rsidRDefault="00BA2686" w:rsidP="00D123C9">
            <w:pPr>
              <w:pStyle w:val="CETBodytext"/>
              <w:jc w:val="center"/>
              <w:rPr>
                <w:lang w:val="pt-BR"/>
              </w:rPr>
            </w:pPr>
            <w:r w:rsidRPr="00C859FE">
              <w:rPr>
                <w:lang w:val="pt-BR"/>
              </w:rPr>
              <w:t>26.664</w:t>
            </w:r>
          </w:p>
        </w:tc>
        <w:tc>
          <w:tcPr>
            <w:tcW w:w="783" w:type="dxa"/>
            <w:shd w:val="clear" w:color="auto" w:fill="FFFFFF"/>
            <w:vAlign w:val="center"/>
          </w:tcPr>
          <w:p w14:paraId="1A821814" w14:textId="2B350374" w:rsidR="00BA2686" w:rsidRPr="00C859FE" w:rsidRDefault="006021B6" w:rsidP="00D123C9">
            <w:pPr>
              <w:pStyle w:val="CETBodytext"/>
              <w:jc w:val="center"/>
              <w:rPr>
                <w:lang w:val="pt-BR"/>
              </w:rPr>
            </w:pPr>
            <w:r>
              <w:rPr>
                <w:lang w:val="pt-BR"/>
              </w:rPr>
              <w:t>x</w:t>
            </w:r>
          </w:p>
        </w:tc>
        <w:tc>
          <w:tcPr>
            <w:tcW w:w="392" w:type="dxa"/>
            <w:shd w:val="clear" w:color="auto" w:fill="FFFFFF"/>
            <w:vAlign w:val="center"/>
          </w:tcPr>
          <w:p w14:paraId="0BE26A25" w14:textId="77777777" w:rsidR="00BA2686" w:rsidRPr="00C859FE" w:rsidRDefault="00BA2686" w:rsidP="00D123C9">
            <w:pPr>
              <w:pStyle w:val="CETBodytext"/>
              <w:jc w:val="center"/>
              <w:rPr>
                <w:lang w:val="pt-BR"/>
              </w:rPr>
            </w:pPr>
          </w:p>
        </w:tc>
        <w:tc>
          <w:tcPr>
            <w:tcW w:w="417" w:type="dxa"/>
            <w:shd w:val="clear" w:color="auto" w:fill="FFFFFF"/>
            <w:vAlign w:val="center"/>
          </w:tcPr>
          <w:p w14:paraId="080ECDBC" w14:textId="2BD2371C" w:rsidR="00BA2686" w:rsidRPr="00C859FE" w:rsidRDefault="006021B6" w:rsidP="00D123C9">
            <w:pPr>
              <w:pStyle w:val="CETBodytext"/>
              <w:jc w:val="center"/>
              <w:rPr>
                <w:lang w:val="pt-BR"/>
              </w:rPr>
            </w:pPr>
            <w:r>
              <w:rPr>
                <w:lang w:val="pt-BR"/>
              </w:rPr>
              <w:t>x</w:t>
            </w:r>
          </w:p>
        </w:tc>
      </w:tr>
      <w:tr w:rsidR="00BA2686" w:rsidRPr="00C859FE" w14:paraId="3ED8DFA5" w14:textId="77777777" w:rsidTr="00396147">
        <w:tc>
          <w:tcPr>
            <w:tcW w:w="1418" w:type="dxa"/>
            <w:vMerge/>
            <w:shd w:val="clear" w:color="auto" w:fill="FFFFFF"/>
          </w:tcPr>
          <w:p w14:paraId="126083D8" w14:textId="77777777" w:rsidR="00BA2686" w:rsidRPr="00C859FE" w:rsidRDefault="00BA2686" w:rsidP="00D123C9">
            <w:pPr>
              <w:pStyle w:val="CETBodytext"/>
              <w:rPr>
                <w:lang w:val="pt-BR"/>
              </w:rPr>
            </w:pPr>
          </w:p>
        </w:tc>
        <w:tc>
          <w:tcPr>
            <w:tcW w:w="4086" w:type="dxa"/>
            <w:shd w:val="clear" w:color="auto" w:fill="FFFFFF"/>
            <w:vAlign w:val="center"/>
          </w:tcPr>
          <w:p w14:paraId="3D353FB0" w14:textId="102263EF" w:rsidR="00BA2686" w:rsidRPr="00C859FE" w:rsidRDefault="00BA2686" w:rsidP="00D123C9">
            <w:pPr>
              <w:pStyle w:val="CETBodytext"/>
              <w:rPr>
                <w:lang w:val="pt-BR"/>
              </w:rPr>
            </w:pPr>
            <w:r w:rsidRPr="00C859FE">
              <w:rPr>
                <w:lang w:val="pt-BR"/>
              </w:rPr>
              <w:t>Sclareol</w:t>
            </w:r>
          </w:p>
        </w:tc>
        <w:tc>
          <w:tcPr>
            <w:tcW w:w="975" w:type="dxa"/>
            <w:shd w:val="clear" w:color="auto" w:fill="FFFFFF"/>
            <w:vAlign w:val="center"/>
          </w:tcPr>
          <w:p w14:paraId="3ED92ADD"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20</w:t>
            </w:r>
            <w:r w:rsidRPr="00C859FE">
              <w:rPr>
                <w:lang w:val="pt-BR"/>
              </w:rPr>
              <w:t>H</w:t>
            </w:r>
            <w:r w:rsidRPr="00C859FE">
              <w:rPr>
                <w:vertAlign w:val="subscript"/>
                <w:lang w:val="pt-BR"/>
              </w:rPr>
              <w:t>36</w:t>
            </w:r>
            <w:r w:rsidRPr="00C859FE">
              <w:rPr>
                <w:lang w:val="pt-BR"/>
              </w:rPr>
              <w:t>O</w:t>
            </w:r>
            <w:r w:rsidRPr="00C859FE">
              <w:rPr>
                <w:vertAlign w:val="subscript"/>
                <w:lang w:val="pt-BR"/>
              </w:rPr>
              <w:t>2</w:t>
            </w:r>
          </w:p>
        </w:tc>
        <w:tc>
          <w:tcPr>
            <w:tcW w:w="716" w:type="dxa"/>
            <w:shd w:val="clear" w:color="auto" w:fill="FFFFFF"/>
            <w:vAlign w:val="center"/>
          </w:tcPr>
          <w:p w14:paraId="2C4E37A7" w14:textId="77777777" w:rsidR="00BA2686" w:rsidRPr="00C859FE" w:rsidRDefault="00BA2686" w:rsidP="00D123C9">
            <w:pPr>
              <w:pStyle w:val="CETBodytext"/>
              <w:jc w:val="center"/>
              <w:rPr>
                <w:lang w:val="pt-BR"/>
              </w:rPr>
            </w:pPr>
            <w:r w:rsidRPr="00C859FE">
              <w:rPr>
                <w:lang w:val="pt-BR"/>
              </w:rPr>
              <w:t>32.621</w:t>
            </w:r>
          </w:p>
        </w:tc>
        <w:tc>
          <w:tcPr>
            <w:tcW w:w="783" w:type="dxa"/>
            <w:shd w:val="clear" w:color="auto" w:fill="FFFFFF"/>
            <w:vAlign w:val="center"/>
          </w:tcPr>
          <w:p w14:paraId="4FB9D390" w14:textId="77777777" w:rsidR="00BA2686" w:rsidRPr="00C859FE" w:rsidRDefault="00BA2686" w:rsidP="00D123C9">
            <w:pPr>
              <w:pStyle w:val="CETBodytext"/>
              <w:jc w:val="center"/>
              <w:rPr>
                <w:lang w:val="pt-BR"/>
              </w:rPr>
            </w:pPr>
          </w:p>
        </w:tc>
        <w:tc>
          <w:tcPr>
            <w:tcW w:w="392" w:type="dxa"/>
            <w:shd w:val="clear" w:color="auto" w:fill="FFFFFF"/>
            <w:vAlign w:val="center"/>
          </w:tcPr>
          <w:p w14:paraId="26F6299C" w14:textId="3A98E8F7" w:rsidR="00BA2686" w:rsidRPr="00C859FE" w:rsidRDefault="006021B6" w:rsidP="00D123C9">
            <w:pPr>
              <w:pStyle w:val="CETBodytext"/>
              <w:jc w:val="center"/>
              <w:rPr>
                <w:lang w:val="pt-BR"/>
              </w:rPr>
            </w:pPr>
            <w:r>
              <w:rPr>
                <w:lang w:val="pt-BR"/>
              </w:rPr>
              <w:t>x</w:t>
            </w:r>
          </w:p>
        </w:tc>
        <w:tc>
          <w:tcPr>
            <w:tcW w:w="417" w:type="dxa"/>
            <w:shd w:val="clear" w:color="auto" w:fill="FFFFFF"/>
            <w:vAlign w:val="center"/>
          </w:tcPr>
          <w:p w14:paraId="4CA70789" w14:textId="77777777" w:rsidR="00BA2686" w:rsidRPr="00C859FE" w:rsidRDefault="00BA2686" w:rsidP="00D123C9">
            <w:pPr>
              <w:pStyle w:val="CETBodytext"/>
              <w:jc w:val="center"/>
              <w:rPr>
                <w:lang w:val="pt-BR"/>
              </w:rPr>
            </w:pPr>
          </w:p>
        </w:tc>
      </w:tr>
      <w:tr w:rsidR="00396147" w:rsidRPr="00C859FE" w14:paraId="5B6FBADF" w14:textId="77777777" w:rsidTr="00396147">
        <w:tc>
          <w:tcPr>
            <w:tcW w:w="1418" w:type="dxa"/>
            <w:vMerge w:val="restart"/>
            <w:shd w:val="clear" w:color="auto" w:fill="FFFFFF"/>
          </w:tcPr>
          <w:p w14:paraId="2E74DBA1" w14:textId="1554EF3A" w:rsidR="00396147" w:rsidRPr="00C859FE" w:rsidRDefault="00396147" w:rsidP="00D123C9">
            <w:pPr>
              <w:pStyle w:val="CETBodytext"/>
              <w:rPr>
                <w:lang w:val="pt-BR"/>
              </w:rPr>
            </w:pPr>
            <w:r w:rsidRPr="00B92F0E">
              <w:rPr>
                <w:b/>
                <w:bCs/>
                <w:lang w:val="pt-BR"/>
              </w:rPr>
              <w:t>KETONES:</w:t>
            </w:r>
          </w:p>
        </w:tc>
        <w:tc>
          <w:tcPr>
            <w:tcW w:w="4086" w:type="dxa"/>
            <w:shd w:val="clear" w:color="auto" w:fill="FFFFFF"/>
            <w:vAlign w:val="center"/>
          </w:tcPr>
          <w:p w14:paraId="2B8FE783" w14:textId="46D68338" w:rsidR="00396147" w:rsidRPr="00C859FE" w:rsidRDefault="00396147" w:rsidP="00D123C9">
            <w:pPr>
              <w:pStyle w:val="CETBodytext"/>
              <w:rPr>
                <w:lang w:val="pt-BR"/>
              </w:rPr>
            </w:pPr>
            <w:r w:rsidRPr="00C859FE">
              <w:rPr>
                <w:lang w:val="pt-BR"/>
              </w:rPr>
              <w:t>2-Isopropyl-5,5-dimethylcyclohex-2-enone</w:t>
            </w:r>
          </w:p>
        </w:tc>
        <w:tc>
          <w:tcPr>
            <w:tcW w:w="975" w:type="dxa"/>
            <w:shd w:val="clear" w:color="auto" w:fill="FFFFFF"/>
            <w:vAlign w:val="center"/>
          </w:tcPr>
          <w:p w14:paraId="4AB14E9B"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11</w:t>
            </w:r>
            <w:r w:rsidRPr="00C859FE">
              <w:rPr>
                <w:lang w:val="pt-BR"/>
              </w:rPr>
              <w:t>H</w:t>
            </w:r>
            <w:r w:rsidRPr="00C859FE">
              <w:rPr>
                <w:vertAlign w:val="subscript"/>
                <w:lang w:val="pt-BR"/>
              </w:rPr>
              <w:t>18</w:t>
            </w:r>
            <w:r w:rsidRPr="00C859FE">
              <w:rPr>
                <w:lang w:val="pt-BR"/>
              </w:rPr>
              <w:t>O</w:t>
            </w:r>
          </w:p>
        </w:tc>
        <w:tc>
          <w:tcPr>
            <w:tcW w:w="716" w:type="dxa"/>
            <w:shd w:val="clear" w:color="auto" w:fill="FFFFFF"/>
            <w:vAlign w:val="center"/>
          </w:tcPr>
          <w:p w14:paraId="0F215BC4" w14:textId="77777777" w:rsidR="00396147" w:rsidRPr="00C859FE" w:rsidRDefault="00396147" w:rsidP="00D123C9">
            <w:pPr>
              <w:pStyle w:val="CETBodytext"/>
              <w:jc w:val="center"/>
              <w:rPr>
                <w:lang w:val="pt-BR"/>
              </w:rPr>
            </w:pPr>
            <w:r w:rsidRPr="00C859FE">
              <w:rPr>
                <w:lang w:val="pt-BR"/>
              </w:rPr>
              <w:t>19.174</w:t>
            </w:r>
          </w:p>
        </w:tc>
        <w:tc>
          <w:tcPr>
            <w:tcW w:w="783" w:type="dxa"/>
            <w:shd w:val="clear" w:color="auto" w:fill="FFFFFF"/>
            <w:vAlign w:val="center"/>
          </w:tcPr>
          <w:p w14:paraId="0DCA1E4F" w14:textId="77777777" w:rsidR="00396147" w:rsidRPr="00C859FE" w:rsidRDefault="00396147" w:rsidP="00D123C9">
            <w:pPr>
              <w:pStyle w:val="CETBodytext"/>
              <w:jc w:val="center"/>
              <w:rPr>
                <w:lang w:val="pt-BR"/>
              </w:rPr>
            </w:pPr>
          </w:p>
        </w:tc>
        <w:tc>
          <w:tcPr>
            <w:tcW w:w="392" w:type="dxa"/>
            <w:shd w:val="clear" w:color="auto" w:fill="FFFFFF"/>
            <w:vAlign w:val="center"/>
          </w:tcPr>
          <w:p w14:paraId="1DF987B4" w14:textId="77777777" w:rsidR="00396147" w:rsidRPr="00C859FE" w:rsidRDefault="00396147" w:rsidP="00D123C9">
            <w:pPr>
              <w:pStyle w:val="CETBodytext"/>
              <w:jc w:val="center"/>
              <w:rPr>
                <w:lang w:val="pt-BR"/>
              </w:rPr>
            </w:pPr>
          </w:p>
        </w:tc>
        <w:tc>
          <w:tcPr>
            <w:tcW w:w="417" w:type="dxa"/>
            <w:shd w:val="clear" w:color="auto" w:fill="FFFFFF"/>
            <w:vAlign w:val="center"/>
          </w:tcPr>
          <w:p w14:paraId="08D7D76A" w14:textId="172E23A0" w:rsidR="00396147" w:rsidRPr="00C859FE" w:rsidRDefault="006021B6" w:rsidP="00D123C9">
            <w:pPr>
              <w:pStyle w:val="CETBodytext"/>
              <w:jc w:val="center"/>
              <w:rPr>
                <w:lang w:val="pt-BR"/>
              </w:rPr>
            </w:pPr>
            <w:r>
              <w:rPr>
                <w:lang w:val="pt-BR"/>
              </w:rPr>
              <w:t>x</w:t>
            </w:r>
          </w:p>
        </w:tc>
      </w:tr>
      <w:tr w:rsidR="00396147" w:rsidRPr="00C859FE" w14:paraId="5FCC9FED" w14:textId="77777777" w:rsidTr="00396147">
        <w:tc>
          <w:tcPr>
            <w:tcW w:w="1418" w:type="dxa"/>
            <w:vMerge/>
            <w:shd w:val="clear" w:color="auto" w:fill="FFFFFF"/>
          </w:tcPr>
          <w:p w14:paraId="15AC3460" w14:textId="77777777" w:rsidR="00396147" w:rsidRPr="00C859FE" w:rsidRDefault="00396147" w:rsidP="00D123C9">
            <w:pPr>
              <w:pStyle w:val="CETBodytext"/>
              <w:rPr>
                <w:lang w:val="pt-BR"/>
              </w:rPr>
            </w:pPr>
          </w:p>
        </w:tc>
        <w:tc>
          <w:tcPr>
            <w:tcW w:w="4086" w:type="dxa"/>
            <w:shd w:val="clear" w:color="auto" w:fill="FFFFFF"/>
            <w:vAlign w:val="center"/>
          </w:tcPr>
          <w:p w14:paraId="6860F425" w14:textId="541A72A0" w:rsidR="00396147" w:rsidRPr="00C859FE" w:rsidRDefault="00396147" w:rsidP="00D123C9">
            <w:pPr>
              <w:pStyle w:val="CETBodytext"/>
              <w:rPr>
                <w:lang w:val="pt-BR"/>
              </w:rPr>
            </w:pPr>
            <w:r w:rsidRPr="00C859FE">
              <w:rPr>
                <w:lang w:val="pt-BR"/>
              </w:rPr>
              <w:t>4,4a,5,6,7,8-hexahydro-4a-methyl-2(3H)-Naphthalenone</w:t>
            </w:r>
          </w:p>
        </w:tc>
        <w:tc>
          <w:tcPr>
            <w:tcW w:w="975" w:type="dxa"/>
            <w:shd w:val="clear" w:color="auto" w:fill="FFFFFF"/>
            <w:vAlign w:val="center"/>
          </w:tcPr>
          <w:p w14:paraId="6A83284C"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11</w:t>
            </w:r>
            <w:r w:rsidRPr="00C859FE">
              <w:rPr>
                <w:lang w:val="pt-BR"/>
              </w:rPr>
              <w:t>H</w:t>
            </w:r>
            <w:r w:rsidRPr="00C859FE">
              <w:rPr>
                <w:vertAlign w:val="subscript"/>
                <w:lang w:val="pt-BR"/>
              </w:rPr>
              <w:t>16</w:t>
            </w:r>
            <w:r w:rsidRPr="00C859FE">
              <w:rPr>
                <w:lang w:val="pt-BR"/>
              </w:rPr>
              <w:t>O</w:t>
            </w:r>
          </w:p>
        </w:tc>
        <w:tc>
          <w:tcPr>
            <w:tcW w:w="716" w:type="dxa"/>
            <w:shd w:val="clear" w:color="auto" w:fill="FFFFFF"/>
            <w:vAlign w:val="center"/>
          </w:tcPr>
          <w:p w14:paraId="44ADEB4A" w14:textId="77777777" w:rsidR="00396147" w:rsidRPr="00C859FE" w:rsidRDefault="00396147" w:rsidP="00D123C9">
            <w:pPr>
              <w:pStyle w:val="CETBodytext"/>
              <w:jc w:val="center"/>
              <w:rPr>
                <w:lang w:val="pt-BR"/>
              </w:rPr>
            </w:pPr>
            <w:r w:rsidRPr="00C859FE">
              <w:rPr>
                <w:lang w:val="pt-BR"/>
              </w:rPr>
              <w:t>22.384</w:t>
            </w:r>
          </w:p>
        </w:tc>
        <w:tc>
          <w:tcPr>
            <w:tcW w:w="783" w:type="dxa"/>
            <w:shd w:val="clear" w:color="auto" w:fill="FFFFFF"/>
            <w:vAlign w:val="center"/>
          </w:tcPr>
          <w:p w14:paraId="5F283D23" w14:textId="77777777" w:rsidR="00396147" w:rsidRPr="00C859FE" w:rsidRDefault="00396147" w:rsidP="00D123C9">
            <w:pPr>
              <w:pStyle w:val="CETBodytext"/>
              <w:jc w:val="center"/>
              <w:rPr>
                <w:lang w:val="pt-BR"/>
              </w:rPr>
            </w:pPr>
          </w:p>
        </w:tc>
        <w:tc>
          <w:tcPr>
            <w:tcW w:w="392" w:type="dxa"/>
            <w:shd w:val="clear" w:color="auto" w:fill="FFFFFF"/>
            <w:vAlign w:val="center"/>
          </w:tcPr>
          <w:p w14:paraId="25BE5DF4" w14:textId="60196712" w:rsidR="00396147" w:rsidRPr="00C859FE" w:rsidRDefault="006021B6" w:rsidP="00D123C9">
            <w:pPr>
              <w:pStyle w:val="CETBodytext"/>
              <w:jc w:val="center"/>
              <w:rPr>
                <w:lang w:val="pt-BR"/>
              </w:rPr>
            </w:pPr>
            <w:r>
              <w:rPr>
                <w:lang w:val="pt-BR"/>
              </w:rPr>
              <w:t>x</w:t>
            </w:r>
          </w:p>
        </w:tc>
        <w:tc>
          <w:tcPr>
            <w:tcW w:w="417" w:type="dxa"/>
            <w:shd w:val="clear" w:color="auto" w:fill="FFFFFF"/>
            <w:vAlign w:val="center"/>
          </w:tcPr>
          <w:p w14:paraId="1327253F" w14:textId="77777777" w:rsidR="00396147" w:rsidRPr="00C859FE" w:rsidRDefault="00396147" w:rsidP="00D123C9">
            <w:pPr>
              <w:pStyle w:val="CETBodytext"/>
              <w:jc w:val="center"/>
              <w:rPr>
                <w:lang w:val="pt-BR"/>
              </w:rPr>
            </w:pPr>
          </w:p>
        </w:tc>
      </w:tr>
      <w:tr w:rsidR="00396147" w:rsidRPr="00C859FE" w14:paraId="42F25F31" w14:textId="77777777" w:rsidTr="00396147">
        <w:tc>
          <w:tcPr>
            <w:tcW w:w="1418" w:type="dxa"/>
            <w:vMerge/>
            <w:shd w:val="clear" w:color="auto" w:fill="FFFFFF"/>
          </w:tcPr>
          <w:p w14:paraId="6EE49CCD" w14:textId="77777777" w:rsidR="00396147" w:rsidRPr="00C859FE" w:rsidRDefault="00396147" w:rsidP="00D123C9">
            <w:pPr>
              <w:pStyle w:val="CETBodytext"/>
            </w:pPr>
          </w:p>
        </w:tc>
        <w:tc>
          <w:tcPr>
            <w:tcW w:w="4086" w:type="dxa"/>
            <w:shd w:val="clear" w:color="auto" w:fill="FFFFFF"/>
            <w:vAlign w:val="center"/>
          </w:tcPr>
          <w:p w14:paraId="48203039" w14:textId="0A620EF6" w:rsidR="00396147" w:rsidRPr="00C859FE" w:rsidRDefault="00396147" w:rsidP="00D123C9">
            <w:pPr>
              <w:pStyle w:val="CETBodytext"/>
            </w:pPr>
            <w:r w:rsidRPr="00C859FE">
              <w:t>13</w:t>
            </w:r>
            <w:r w:rsidRPr="00C859FE">
              <w:rPr>
                <w:lang w:val="pt-BR"/>
              </w:rPr>
              <w:t>β</w:t>
            </w:r>
            <w:r w:rsidRPr="00C859FE">
              <w:t>-methyl-13-vinyl-Podocarp-7-en-3-one</w:t>
            </w:r>
          </w:p>
        </w:tc>
        <w:tc>
          <w:tcPr>
            <w:tcW w:w="975" w:type="dxa"/>
            <w:shd w:val="clear" w:color="auto" w:fill="FFFFFF"/>
            <w:vAlign w:val="center"/>
          </w:tcPr>
          <w:p w14:paraId="15E6CE7B"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20</w:t>
            </w:r>
            <w:r w:rsidRPr="00C859FE">
              <w:rPr>
                <w:lang w:val="pt-BR"/>
              </w:rPr>
              <w:t>H</w:t>
            </w:r>
            <w:r w:rsidRPr="00C859FE">
              <w:rPr>
                <w:vertAlign w:val="subscript"/>
                <w:lang w:val="pt-BR"/>
              </w:rPr>
              <w:t>30</w:t>
            </w:r>
            <w:r w:rsidRPr="00C859FE">
              <w:rPr>
                <w:lang w:val="pt-BR"/>
              </w:rPr>
              <w:t>O</w:t>
            </w:r>
          </w:p>
        </w:tc>
        <w:tc>
          <w:tcPr>
            <w:tcW w:w="716" w:type="dxa"/>
            <w:shd w:val="clear" w:color="auto" w:fill="FFFFFF"/>
            <w:vAlign w:val="center"/>
          </w:tcPr>
          <w:p w14:paraId="528BFB01" w14:textId="77777777" w:rsidR="00396147" w:rsidRPr="00C859FE" w:rsidRDefault="00396147" w:rsidP="00D123C9">
            <w:pPr>
              <w:pStyle w:val="CETBodytext"/>
              <w:jc w:val="center"/>
              <w:rPr>
                <w:lang w:val="pt-BR"/>
              </w:rPr>
            </w:pPr>
            <w:r w:rsidRPr="00C859FE">
              <w:rPr>
                <w:lang w:val="pt-BR"/>
              </w:rPr>
              <w:t>32.515</w:t>
            </w:r>
          </w:p>
        </w:tc>
        <w:tc>
          <w:tcPr>
            <w:tcW w:w="783" w:type="dxa"/>
            <w:shd w:val="clear" w:color="auto" w:fill="FFFFFF"/>
            <w:vAlign w:val="center"/>
          </w:tcPr>
          <w:p w14:paraId="5F2949A7" w14:textId="77777777" w:rsidR="00396147" w:rsidRPr="00C859FE" w:rsidRDefault="00396147" w:rsidP="00D123C9">
            <w:pPr>
              <w:pStyle w:val="CETBodytext"/>
              <w:jc w:val="center"/>
              <w:rPr>
                <w:lang w:val="pt-BR"/>
              </w:rPr>
            </w:pPr>
          </w:p>
        </w:tc>
        <w:tc>
          <w:tcPr>
            <w:tcW w:w="392" w:type="dxa"/>
            <w:shd w:val="clear" w:color="auto" w:fill="FFFFFF"/>
            <w:vAlign w:val="center"/>
          </w:tcPr>
          <w:p w14:paraId="4DFB61E9" w14:textId="49941559" w:rsidR="00396147" w:rsidRPr="00C859FE" w:rsidRDefault="006021B6" w:rsidP="00D123C9">
            <w:pPr>
              <w:pStyle w:val="CETBodytext"/>
              <w:jc w:val="center"/>
              <w:rPr>
                <w:lang w:val="pt-BR"/>
              </w:rPr>
            </w:pPr>
            <w:r>
              <w:rPr>
                <w:lang w:val="pt-BR"/>
              </w:rPr>
              <w:t>x</w:t>
            </w:r>
          </w:p>
        </w:tc>
        <w:tc>
          <w:tcPr>
            <w:tcW w:w="417" w:type="dxa"/>
            <w:shd w:val="clear" w:color="auto" w:fill="FFFFFF"/>
            <w:vAlign w:val="center"/>
          </w:tcPr>
          <w:p w14:paraId="3FE8041B" w14:textId="77777777" w:rsidR="00396147" w:rsidRPr="00C859FE" w:rsidRDefault="00396147" w:rsidP="00D123C9">
            <w:pPr>
              <w:pStyle w:val="CETBodytext"/>
              <w:jc w:val="center"/>
              <w:rPr>
                <w:lang w:val="pt-BR"/>
              </w:rPr>
            </w:pPr>
          </w:p>
        </w:tc>
      </w:tr>
      <w:tr w:rsidR="00396147" w:rsidRPr="00C859FE" w14:paraId="1EF662E2" w14:textId="77777777" w:rsidTr="00396147">
        <w:tc>
          <w:tcPr>
            <w:tcW w:w="1418" w:type="dxa"/>
            <w:vMerge w:val="restart"/>
            <w:shd w:val="clear" w:color="auto" w:fill="FFFFFF"/>
          </w:tcPr>
          <w:p w14:paraId="36F0B199" w14:textId="457E3B26" w:rsidR="00396147" w:rsidRPr="00C859FE" w:rsidRDefault="00396147" w:rsidP="00D123C9">
            <w:pPr>
              <w:pStyle w:val="CETBodytext"/>
              <w:rPr>
                <w:lang w:val="pt-BR"/>
              </w:rPr>
            </w:pPr>
            <w:r w:rsidRPr="00B92F0E">
              <w:rPr>
                <w:b/>
                <w:bCs/>
                <w:lang w:val="pt-BR"/>
              </w:rPr>
              <w:t>ESTERS:</w:t>
            </w:r>
          </w:p>
        </w:tc>
        <w:tc>
          <w:tcPr>
            <w:tcW w:w="4086" w:type="dxa"/>
            <w:shd w:val="clear" w:color="auto" w:fill="FFFFFF"/>
            <w:vAlign w:val="center"/>
          </w:tcPr>
          <w:p w14:paraId="53A9A2DC" w14:textId="0D1342A7" w:rsidR="00396147" w:rsidRPr="00C859FE" w:rsidRDefault="00396147" w:rsidP="00D123C9">
            <w:pPr>
              <w:pStyle w:val="CETBodytext"/>
              <w:rPr>
                <w:lang w:val="pt-BR"/>
              </w:rPr>
            </w:pPr>
            <w:r w:rsidRPr="00C859FE">
              <w:rPr>
                <w:lang w:val="pt-BR"/>
              </w:rPr>
              <w:t xml:space="preserve">6-Pentyl-2H-pyran-2-one </w:t>
            </w:r>
          </w:p>
        </w:tc>
        <w:tc>
          <w:tcPr>
            <w:tcW w:w="975" w:type="dxa"/>
            <w:shd w:val="clear" w:color="auto" w:fill="FFFFFF"/>
            <w:vAlign w:val="center"/>
          </w:tcPr>
          <w:p w14:paraId="2DD9C5EA"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10</w:t>
            </w:r>
            <w:r w:rsidRPr="00C859FE">
              <w:rPr>
                <w:lang w:val="pt-BR"/>
              </w:rPr>
              <w:t>H</w:t>
            </w:r>
            <w:r w:rsidRPr="00C859FE">
              <w:rPr>
                <w:vertAlign w:val="subscript"/>
                <w:lang w:val="pt-BR"/>
              </w:rPr>
              <w:t>14</w:t>
            </w:r>
            <w:r w:rsidRPr="00C859FE">
              <w:rPr>
                <w:lang w:val="pt-BR"/>
              </w:rPr>
              <w:t>O</w:t>
            </w:r>
            <w:r w:rsidRPr="00C859FE">
              <w:rPr>
                <w:vertAlign w:val="subscript"/>
                <w:lang w:val="pt-BR"/>
              </w:rPr>
              <w:t>2</w:t>
            </w:r>
          </w:p>
        </w:tc>
        <w:tc>
          <w:tcPr>
            <w:tcW w:w="716" w:type="dxa"/>
            <w:shd w:val="clear" w:color="auto" w:fill="FFFFFF"/>
            <w:vAlign w:val="center"/>
          </w:tcPr>
          <w:p w14:paraId="168A5C61" w14:textId="77777777" w:rsidR="00396147" w:rsidRPr="00C859FE" w:rsidRDefault="00396147" w:rsidP="00D123C9">
            <w:pPr>
              <w:pStyle w:val="CETBodytext"/>
              <w:jc w:val="center"/>
              <w:rPr>
                <w:lang w:val="pt-BR"/>
              </w:rPr>
            </w:pPr>
            <w:r w:rsidRPr="00C859FE">
              <w:rPr>
                <w:lang w:val="pt-BR"/>
              </w:rPr>
              <w:t>19.163</w:t>
            </w:r>
          </w:p>
        </w:tc>
        <w:tc>
          <w:tcPr>
            <w:tcW w:w="783" w:type="dxa"/>
            <w:shd w:val="clear" w:color="auto" w:fill="FFFFFF"/>
            <w:vAlign w:val="center"/>
          </w:tcPr>
          <w:p w14:paraId="5506BBD2" w14:textId="77777777" w:rsidR="00396147" w:rsidRPr="00C859FE" w:rsidRDefault="00396147" w:rsidP="00D123C9">
            <w:pPr>
              <w:pStyle w:val="CETBodytext"/>
              <w:jc w:val="center"/>
              <w:rPr>
                <w:lang w:val="pt-BR"/>
              </w:rPr>
            </w:pPr>
          </w:p>
        </w:tc>
        <w:tc>
          <w:tcPr>
            <w:tcW w:w="392" w:type="dxa"/>
            <w:shd w:val="clear" w:color="auto" w:fill="FFFFFF"/>
            <w:vAlign w:val="center"/>
          </w:tcPr>
          <w:p w14:paraId="7E60452C" w14:textId="5103E22E" w:rsidR="00396147" w:rsidRPr="00C859FE" w:rsidRDefault="006021B6" w:rsidP="00D123C9">
            <w:pPr>
              <w:pStyle w:val="CETBodytext"/>
              <w:jc w:val="center"/>
              <w:rPr>
                <w:lang w:val="pt-BR"/>
              </w:rPr>
            </w:pPr>
            <w:r>
              <w:rPr>
                <w:lang w:val="pt-BR"/>
              </w:rPr>
              <w:t>x</w:t>
            </w:r>
          </w:p>
        </w:tc>
        <w:tc>
          <w:tcPr>
            <w:tcW w:w="417" w:type="dxa"/>
            <w:shd w:val="clear" w:color="auto" w:fill="FFFFFF"/>
            <w:vAlign w:val="center"/>
          </w:tcPr>
          <w:p w14:paraId="4E4A99AD" w14:textId="77777777" w:rsidR="00396147" w:rsidRPr="00C859FE" w:rsidRDefault="00396147" w:rsidP="00D123C9">
            <w:pPr>
              <w:pStyle w:val="CETBodytext"/>
              <w:jc w:val="center"/>
              <w:rPr>
                <w:lang w:val="pt-BR"/>
              </w:rPr>
            </w:pPr>
          </w:p>
        </w:tc>
      </w:tr>
      <w:tr w:rsidR="00396147" w:rsidRPr="00C859FE" w14:paraId="1EF2B2D5" w14:textId="77777777" w:rsidTr="00396147">
        <w:tc>
          <w:tcPr>
            <w:tcW w:w="1418" w:type="dxa"/>
            <w:vMerge/>
            <w:shd w:val="clear" w:color="auto" w:fill="FFFFFF"/>
          </w:tcPr>
          <w:p w14:paraId="29123EA5" w14:textId="77777777" w:rsidR="00396147" w:rsidRPr="00C859FE" w:rsidRDefault="00396147" w:rsidP="00D123C9">
            <w:pPr>
              <w:pStyle w:val="CETBodytext"/>
            </w:pPr>
          </w:p>
        </w:tc>
        <w:tc>
          <w:tcPr>
            <w:tcW w:w="4086" w:type="dxa"/>
            <w:shd w:val="clear" w:color="auto" w:fill="FFFFFF"/>
            <w:vAlign w:val="center"/>
          </w:tcPr>
          <w:p w14:paraId="6D3C3431" w14:textId="4ADA0583" w:rsidR="00396147" w:rsidRPr="00C859FE" w:rsidRDefault="00396147" w:rsidP="00D123C9">
            <w:pPr>
              <w:pStyle w:val="CETBodytext"/>
            </w:pPr>
            <w:r w:rsidRPr="00C859FE">
              <w:t>Phthalic acid, butyl tetradecyl ester</w:t>
            </w:r>
          </w:p>
        </w:tc>
        <w:tc>
          <w:tcPr>
            <w:tcW w:w="975" w:type="dxa"/>
            <w:shd w:val="clear" w:color="auto" w:fill="FFFFFF"/>
            <w:vAlign w:val="center"/>
          </w:tcPr>
          <w:p w14:paraId="39AB2F91"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26</w:t>
            </w:r>
            <w:r w:rsidRPr="00C859FE">
              <w:rPr>
                <w:lang w:val="pt-BR"/>
              </w:rPr>
              <w:t>H</w:t>
            </w:r>
            <w:r w:rsidRPr="00C859FE">
              <w:rPr>
                <w:vertAlign w:val="subscript"/>
                <w:lang w:val="pt-BR"/>
              </w:rPr>
              <w:t>42</w:t>
            </w:r>
            <w:r w:rsidRPr="00C859FE">
              <w:rPr>
                <w:lang w:val="pt-BR"/>
              </w:rPr>
              <w:t>O</w:t>
            </w:r>
            <w:r w:rsidRPr="00C859FE">
              <w:rPr>
                <w:vertAlign w:val="subscript"/>
                <w:lang w:val="pt-BR"/>
              </w:rPr>
              <w:t>4</w:t>
            </w:r>
          </w:p>
        </w:tc>
        <w:tc>
          <w:tcPr>
            <w:tcW w:w="716" w:type="dxa"/>
            <w:shd w:val="clear" w:color="auto" w:fill="FFFFFF"/>
            <w:vAlign w:val="center"/>
          </w:tcPr>
          <w:p w14:paraId="774C9993" w14:textId="77777777" w:rsidR="00396147" w:rsidRPr="00C859FE" w:rsidRDefault="00396147" w:rsidP="00D123C9">
            <w:pPr>
              <w:pStyle w:val="CETBodytext"/>
              <w:jc w:val="center"/>
              <w:rPr>
                <w:lang w:val="pt-BR"/>
              </w:rPr>
            </w:pPr>
            <w:r w:rsidRPr="00C859FE">
              <w:rPr>
                <w:lang w:val="pt-BR"/>
              </w:rPr>
              <w:t>25.828</w:t>
            </w:r>
          </w:p>
        </w:tc>
        <w:tc>
          <w:tcPr>
            <w:tcW w:w="783" w:type="dxa"/>
            <w:shd w:val="clear" w:color="auto" w:fill="FFFFFF"/>
            <w:vAlign w:val="center"/>
          </w:tcPr>
          <w:p w14:paraId="50AC9CAE" w14:textId="77777777" w:rsidR="00396147" w:rsidRPr="00C859FE" w:rsidRDefault="00396147" w:rsidP="00D123C9">
            <w:pPr>
              <w:pStyle w:val="CETBodytext"/>
              <w:jc w:val="center"/>
              <w:rPr>
                <w:lang w:val="pt-BR"/>
              </w:rPr>
            </w:pPr>
          </w:p>
        </w:tc>
        <w:tc>
          <w:tcPr>
            <w:tcW w:w="392" w:type="dxa"/>
            <w:shd w:val="clear" w:color="auto" w:fill="FFFFFF"/>
            <w:vAlign w:val="center"/>
          </w:tcPr>
          <w:p w14:paraId="090397DB" w14:textId="77777777" w:rsidR="00396147" w:rsidRPr="00C859FE" w:rsidRDefault="00396147" w:rsidP="00D123C9">
            <w:pPr>
              <w:pStyle w:val="CETBodytext"/>
              <w:jc w:val="center"/>
              <w:rPr>
                <w:lang w:val="pt-BR"/>
              </w:rPr>
            </w:pPr>
          </w:p>
        </w:tc>
        <w:tc>
          <w:tcPr>
            <w:tcW w:w="417" w:type="dxa"/>
            <w:shd w:val="clear" w:color="auto" w:fill="FFFFFF"/>
            <w:vAlign w:val="center"/>
          </w:tcPr>
          <w:p w14:paraId="69E55B76" w14:textId="1D08D94D" w:rsidR="00396147" w:rsidRPr="00C859FE" w:rsidRDefault="006021B6" w:rsidP="00D123C9">
            <w:pPr>
              <w:pStyle w:val="CETBodytext"/>
              <w:jc w:val="center"/>
              <w:rPr>
                <w:lang w:val="pt-BR"/>
              </w:rPr>
            </w:pPr>
            <w:r>
              <w:rPr>
                <w:lang w:val="pt-BR"/>
              </w:rPr>
              <w:t>x</w:t>
            </w:r>
          </w:p>
        </w:tc>
      </w:tr>
      <w:tr w:rsidR="00396147" w:rsidRPr="00C859FE" w14:paraId="3C52006B" w14:textId="77777777" w:rsidTr="00396147">
        <w:tc>
          <w:tcPr>
            <w:tcW w:w="1418" w:type="dxa"/>
            <w:vMerge/>
            <w:shd w:val="clear" w:color="auto" w:fill="FFFFFF"/>
          </w:tcPr>
          <w:p w14:paraId="0115A95D" w14:textId="77777777" w:rsidR="00396147" w:rsidRPr="00C859FE" w:rsidRDefault="00396147" w:rsidP="00D123C9">
            <w:pPr>
              <w:pStyle w:val="CETBodytext"/>
            </w:pPr>
          </w:p>
        </w:tc>
        <w:tc>
          <w:tcPr>
            <w:tcW w:w="4086" w:type="dxa"/>
            <w:shd w:val="clear" w:color="auto" w:fill="FFFFFF"/>
            <w:vAlign w:val="center"/>
          </w:tcPr>
          <w:p w14:paraId="5FC35D9C" w14:textId="3BFA016E" w:rsidR="00396147" w:rsidRPr="00C859FE" w:rsidRDefault="00396147" w:rsidP="00D123C9">
            <w:pPr>
              <w:pStyle w:val="CETBodytext"/>
            </w:pPr>
            <w:r w:rsidRPr="00C859FE">
              <w:t>Phthalic acid, butyl octyl ester</w:t>
            </w:r>
          </w:p>
        </w:tc>
        <w:tc>
          <w:tcPr>
            <w:tcW w:w="975" w:type="dxa"/>
            <w:shd w:val="clear" w:color="auto" w:fill="FFFFFF"/>
            <w:vAlign w:val="center"/>
          </w:tcPr>
          <w:p w14:paraId="64EB0768"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20</w:t>
            </w:r>
            <w:r w:rsidRPr="00C859FE">
              <w:rPr>
                <w:lang w:val="pt-BR"/>
              </w:rPr>
              <w:t>H</w:t>
            </w:r>
            <w:r w:rsidRPr="00C859FE">
              <w:rPr>
                <w:vertAlign w:val="subscript"/>
                <w:lang w:val="pt-BR"/>
              </w:rPr>
              <w:t>30</w:t>
            </w:r>
            <w:r w:rsidRPr="00C859FE">
              <w:rPr>
                <w:lang w:val="pt-BR"/>
              </w:rPr>
              <w:t>O</w:t>
            </w:r>
            <w:r w:rsidRPr="00C859FE">
              <w:rPr>
                <w:vertAlign w:val="subscript"/>
                <w:lang w:val="pt-BR"/>
              </w:rPr>
              <w:t>4</w:t>
            </w:r>
          </w:p>
        </w:tc>
        <w:tc>
          <w:tcPr>
            <w:tcW w:w="716" w:type="dxa"/>
            <w:shd w:val="clear" w:color="auto" w:fill="FFFFFF"/>
            <w:vAlign w:val="center"/>
          </w:tcPr>
          <w:p w14:paraId="2788038A" w14:textId="77777777" w:rsidR="00396147" w:rsidRPr="00C859FE" w:rsidRDefault="00396147" w:rsidP="00D123C9">
            <w:pPr>
              <w:pStyle w:val="CETBodytext"/>
              <w:jc w:val="center"/>
              <w:rPr>
                <w:lang w:val="pt-BR"/>
              </w:rPr>
            </w:pPr>
            <w:r w:rsidRPr="00C859FE">
              <w:rPr>
                <w:lang w:val="pt-BR"/>
              </w:rPr>
              <w:t>28.335</w:t>
            </w:r>
          </w:p>
        </w:tc>
        <w:tc>
          <w:tcPr>
            <w:tcW w:w="783" w:type="dxa"/>
            <w:shd w:val="clear" w:color="auto" w:fill="FFFFFF"/>
            <w:vAlign w:val="center"/>
          </w:tcPr>
          <w:p w14:paraId="27FC880C" w14:textId="77852999" w:rsidR="00396147" w:rsidRPr="00C859FE" w:rsidRDefault="006021B6" w:rsidP="00D123C9">
            <w:pPr>
              <w:pStyle w:val="CETBodytext"/>
              <w:jc w:val="center"/>
              <w:rPr>
                <w:lang w:val="pt-BR"/>
              </w:rPr>
            </w:pPr>
            <w:r>
              <w:rPr>
                <w:lang w:val="pt-BR"/>
              </w:rPr>
              <w:t>x</w:t>
            </w:r>
          </w:p>
        </w:tc>
        <w:tc>
          <w:tcPr>
            <w:tcW w:w="392" w:type="dxa"/>
            <w:shd w:val="clear" w:color="auto" w:fill="FFFFFF"/>
            <w:vAlign w:val="center"/>
          </w:tcPr>
          <w:p w14:paraId="1DFBEFB4" w14:textId="77777777" w:rsidR="00396147" w:rsidRPr="00C859FE" w:rsidRDefault="00396147" w:rsidP="00D123C9">
            <w:pPr>
              <w:pStyle w:val="CETBodytext"/>
              <w:jc w:val="center"/>
              <w:rPr>
                <w:lang w:val="pt-BR"/>
              </w:rPr>
            </w:pPr>
          </w:p>
        </w:tc>
        <w:tc>
          <w:tcPr>
            <w:tcW w:w="417" w:type="dxa"/>
            <w:shd w:val="clear" w:color="auto" w:fill="FFFFFF"/>
            <w:vAlign w:val="center"/>
          </w:tcPr>
          <w:p w14:paraId="6527A0D5" w14:textId="77777777" w:rsidR="00396147" w:rsidRPr="00C859FE" w:rsidRDefault="00396147" w:rsidP="00D123C9">
            <w:pPr>
              <w:pStyle w:val="CETBodytext"/>
              <w:jc w:val="center"/>
              <w:rPr>
                <w:lang w:val="pt-BR"/>
              </w:rPr>
            </w:pPr>
          </w:p>
        </w:tc>
      </w:tr>
      <w:tr w:rsidR="00396147" w:rsidRPr="00C859FE" w14:paraId="159E7617" w14:textId="77777777" w:rsidTr="00396147">
        <w:tc>
          <w:tcPr>
            <w:tcW w:w="1418" w:type="dxa"/>
            <w:vMerge/>
            <w:shd w:val="clear" w:color="auto" w:fill="FFFFFF"/>
          </w:tcPr>
          <w:p w14:paraId="562A2A9C" w14:textId="77777777" w:rsidR="00396147" w:rsidRPr="00C859FE" w:rsidRDefault="00396147" w:rsidP="00D123C9">
            <w:pPr>
              <w:pStyle w:val="CETBodytext"/>
              <w:rPr>
                <w:lang w:val="pt-BR"/>
              </w:rPr>
            </w:pPr>
          </w:p>
        </w:tc>
        <w:tc>
          <w:tcPr>
            <w:tcW w:w="4086" w:type="dxa"/>
            <w:shd w:val="clear" w:color="auto" w:fill="FFFFFF"/>
            <w:vAlign w:val="center"/>
          </w:tcPr>
          <w:p w14:paraId="30E6D812" w14:textId="370F0471" w:rsidR="00396147" w:rsidRPr="00C859FE" w:rsidRDefault="00396147" w:rsidP="00D123C9">
            <w:pPr>
              <w:pStyle w:val="CETBodytext"/>
              <w:rPr>
                <w:lang w:val="pt-BR"/>
              </w:rPr>
            </w:pPr>
            <w:r w:rsidRPr="00C859FE">
              <w:rPr>
                <w:lang w:val="pt-BR"/>
              </w:rPr>
              <w:t>Geranyl isovalerate</w:t>
            </w:r>
          </w:p>
        </w:tc>
        <w:tc>
          <w:tcPr>
            <w:tcW w:w="975" w:type="dxa"/>
            <w:shd w:val="clear" w:color="auto" w:fill="FFFFFF"/>
            <w:vAlign w:val="center"/>
          </w:tcPr>
          <w:p w14:paraId="22FC0428" w14:textId="77777777" w:rsidR="00396147" w:rsidRPr="00C859FE" w:rsidRDefault="00396147" w:rsidP="00D123C9">
            <w:pPr>
              <w:pStyle w:val="CETBodytext"/>
              <w:jc w:val="center"/>
              <w:rPr>
                <w:lang w:val="pt-BR"/>
              </w:rPr>
            </w:pPr>
            <w:r w:rsidRPr="00C859FE">
              <w:rPr>
                <w:lang w:val="pt-BR"/>
              </w:rPr>
              <w:t>C</w:t>
            </w:r>
            <w:r w:rsidRPr="00C859FE">
              <w:rPr>
                <w:vertAlign w:val="subscript"/>
                <w:lang w:val="pt-BR"/>
              </w:rPr>
              <w:t>15</w:t>
            </w:r>
            <w:r w:rsidRPr="00C859FE">
              <w:rPr>
                <w:lang w:val="pt-BR"/>
              </w:rPr>
              <w:t>H</w:t>
            </w:r>
            <w:r w:rsidRPr="00C859FE">
              <w:rPr>
                <w:vertAlign w:val="subscript"/>
                <w:lang w:val="pt-BR"/>
              </w:rPr>
              <w:t>26</w:t>
            </w:r>
            <w:r w:rsidRPr="00C859FE">
              <w:rPr>
                <w:lang w:val="pt-BR"/>
              </w:rPr>
              <w:t>O</w:t>
            </w:r>
            <w:r w:rsidRPr="00C859FE">
              <w:rPr>
                <w:vertAlign w:val="subscript"/>
                <w:lang w:val="pt-BR"/>
              </w:rPr>
              <w:t>2</w:t>
            </w:r>
          </w:p>
        </w:tc>
        <w:tc>
          <w:tcPr>
            <w:tcW w:w="716" w:type="dxa"/>
            <w:shd w:val="clear" w:color="auto" w:fill="FFFFFF"/>
            <w:vAlign w:val="center"/>
          </w:tcPr>
          <w:p w14:paraId="39382F4D" w14:textId="77777777" w:rsidR="00396147" w:rsidRPr="00C859FE" w:rsidRDefault="00396147" w:rsidP="00D123C9">
            <w:pPr>
              <w:pStyle w:val="CETBodytext"/>
              <w:jc w:val="center"/>
              <w:rPr>
                <w:lang w:val="pt-BR"/>
              </w:rPr>
            </w:pPr>
            <w:r w:rsidRPr="00C859FE">
              <w:rPr>
                <w:lang w:val="pt-BR"/>
              </w:rPr>
              <w:t>30.258</w:t>
            </w:r>
          </w:p>
        </w:tc>
        <w:tc>
          <w:tcPr>
            <w:tcW w:w="783" w:type="dxa"/>
            <w:shd w:val="clear" w:color="auto" w:fill="FFFFFF"/>
            <w:vAlign w:val="center"/>
          </w:tcPr>
          <w:p w14:paraId="3B7B5C5D" w14:textId="77777777" w:rsidR="00396147" w:rsidRPr="00C859FE" w:rsidRDefault="00396147" w:rsidP="00D123C9">
            <w:pPr>
              <w:pStyle w:val="CETBodytext"/>
              <w:jc w:val="center"/>
              <w:rPr>
                <w:lang w:val="pt-BR"/>
              </w:rPr>
            </w:pPr>
          </w:p>
        </w:tc>
        <w:tc>
          <w:tcPr>
            <w:tcW w:w="392" w:type="dxa"/>
            <w:shd w:val="clear" w:color="auto" w:fill="FFFFFF"/>
            <w:vAlign w:val="center"/>
          </w:tcPr>
          <w:p w14:paraId="069328E4" w14:textId="77777777" w:rsidR="00396147" w:rsidRPr="00C859FE" w:rsidRDefault="00396147" w:rsidP="00D123C9">
            <w:pPr>
              <w:pStyle w:val="CETBodytext"/>
              <w:jc w:val="center"/>
              <w:rPr>
                <w:lang w:val="pt-BR"/>
              </w:rPr>
            </w:pPr>
          </w:p>
        </w:tc>
        <w:tc>
          <w:tcPr>
            <w:tcW w:w="417" w:type="dxa"/>
            <w:shd w:val="clear" w:color="auto" w:fill="FFFFFF"/>
            <w:vAlign w:val="center"/>
          </w:tcPr>
          <w:p w14:paraId="569462C8" w14:textId="4A99CF7D" w:rsidR="00396147" w:rsidRPr="00C859FE" w:rsidRDefault="006021B6" w:rsidP="00D123C9">
            <w:pPr>
              <w:pStyle w:val="CETBodytext"/>
              <w:jc w:val="center"/>
              <w:rPr>
                <w:lang w:val="pt-BR"/>
              </w:rPr>
            </w:pPr>
            <w:r>
              <w:rPr>
                <w:lang w:val="pt-BR"/>
              </w:rPr>
              <w:t>x</w:t>
            </w:r>
          </w:p>
        </w:tc>
      </w:tr>
      <w:tr w:rsidR="00BA2686" w:rsidRPr="00C859FE" w14:paraId="2B7C6645" w14:textId="77777777" w:rsidTr="00396147">
        <w:tc>
          <w:tcPr>
            <w:tcW w:w="1418" w:type="dxa"/>
            <w:shd w:val="clear" w:color="auto" w:fill="FFFFFF"/>
          </w:tcPr>
          <w:p w14:paraId="0D1E69E8" w14:textId="5CAC6AA3" w:rsidR="00BA2686" w:rsidRPr="00C859FE" w:rsidRDefault="00396147" w:rsidP="00D123C9">
            <w:pPr>
              <w:pStyle w:val="CETBodytext"/>
              <w:rPr>
                <w:lang w:val="pt-BR"/>
              </w:rPr>
            </w:pPr>
            <w:r w:rsidRPr="00396147">
              <w:rPr>
                <w:b/>
                <w:bCs/>
                <w:lang w:val="pt-BR"/>
              </w:rPr>
              <w:t>ETHER:</w:t>
            </w:r>
          </w:p>
        </w:tc>
        <w:tc>
          <w:tcPr>
            <w:tcW w:w="4086" w:type="dxa"/>
            <w:shd w:val="clear" w:color="auto" w:fill="FFFFFF"/>
            <w:vAlign w:val="center"/>
          </w:tcPr>
          <w:p w14:paraId="42385153" w14:textId="27D763DA" w:rsidR="00BA2686" w:rsidRPr="00C859FE" w:rsidRDefault="00BA2686" w:rsidP="00D123C9">
            <w:pPr>
              <w:pStyle w:val="CETBodytext"/>
              <w:rPr>
                <w:lang w:val="pt-BR"/>
              </w:rPr>
            </w:pPr>
            <w:r w:rsidRPr="00C859FE">
              <w:rPr>
                <w:lang w:val="pt-BR"/>
              </w:rPr>
              <w:t xml:space="preserve">14-Oxatricyclo [9..2.1.0(1,10)]tetradecane, 2,6,6,10,11-pentamethyl- </w:t>
            </w:r>
          </w:p>
        </w:tc>
        <w:tc>
          <w:tcPr>
            <w:tcW w:w="975" w:type="dxa"/>
            <w:shd w:val="clear" w:color="auto" w:fill="FFFFFF"/>
            <w:vAlign w:val="center"/>
          </w:tcPr>
          <w:p w14:paraId="0594B3B3"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18</w:t>
            </w:r>
            <w:r w:rsidRPr="00C859FE">
              <w:rPr>
                <w:lang w:val="pt-BR"/>
              </w:rPr>
              <w:t>H</w:t>
            </w:r>
            <w:r w:rsidRPr="00C859FE">
              <w:rPr>
                <w:vertAlign w:val="subscript"/>
                <w:lang w:val="pt-BR"/>
              </w:rPr>
              <w:t>30</w:t>
            </w:r>
            <w:r w:rsidRPr="00C859FE">
              <w:rPr>
                <w:lang w:val="pt-BR"/>
              </w:rPr>
              <w:t>O</w:t>
            </w:r>
          </w:p>
        </w:tc>
        <w:tc>
          <w:tcPr>
            <w:tcW w:w="716" w:type="dxa"/>
            <w:shd w:val="clear" w:color="auto" w:fill="FFFFFF"/>
            <w:vAlign w:val="center"/>
          </w:tcPr>
          <w:p w14:paraId="34BE85A3" w14:textId="77777777" w:rsidR="00BA2686" w:rsidRPr="00C859FE" w:rsidRDefault="00BA2686" w:rsidP="00D123C9">
            <w:pPr>
              <w:pStyle w:val="CETBodytext"/>
              <w:jc w:val="center"/>
              <w:rPr>
                <w:lang w:val="pt-BR"/>
              </w:rPr>
            </w:pPr>
            <w:r w:rsidRPr="00C859FE">
              <w:rPr>
                <w:lang w:val="pt-BR"/>
              </w:rPr>
              <w:t>31.038</w:t>
            </w:r>
          </w:p>
        </w:tc>
        <w:tc>
          <w:tcPr>
            <w:tcW w:w="783" w:type="dxa"/>
            <w:shd w:val="clear" w:color="auto" w:fill="FFFFFF"/>
            <w:vAlign w:val="center"/>
          </w:tcPr>
          <w:p w14:paraId="0C198D1E" w14:textId="77777777" w:rsidR="00BA2686" w:rsidRPr="00C859FE" w:rsidRDefault="00BA2686" w:rsidP="00D123C9">
            <w:pPr>
              <w:pStyle w:val="CETBodytext"/>
              <w:jc w:val="center"/>
              <w:rPr>
                <w:lang w:val="pt-BR"/>
              </w:rPr>
            </w:pPr>
          </w:p>
        </w:tc>
        <w:tc>
          <w:tcPr>
            <w:tcW w:w="392" w:type="dxa"/>
            <w:shd w:val="clear" w:color="auto" w:fill="FFFFFF"/>
            <w:vAlign w:val="center"/>
          </w:tcPr>
          <w:p w14:paraId="4B4775A4" w14:textId="09B9C076" w:rsidR="00BA2686" w:rsidRPr="00C859FE" w:rsidRDefault="006021B6" w:rsidP="00D123C9">
            <w:pPr>
              <w:pStyle w:val="CETBodytext"/>
              <w:jc w:val="center"/>
              <w:rPr>
                <w:lang w:val="pt-BR"/>
              </w:rPr>
            </w:pPr>
            <w:r>
              <w:rPr>
                <w:lang w:val="pt-BR"/>
              </w:rPr>
              <w:t>x</w:t>
            </w:r>
          </w:p>
        </w:tc>
        <w:tc>
          <w:tcPr>
            <w:tcW w:w="417" w:type="dxa"/>
            <w:shd w:val="clear" w:color="auto" w:fill="FFFFFF"/>
            <w:vAlign w:val="center"/>
          </w:tcPr>
          <w:p w14:paraId="0F78E1D5" w14:textId="77777777" w:rsidR="00BA2686" w:rsidRPr="00C859FE" w:rsidRDefault="00BA2686" w:rsidP="00D123C9">
            <w:pPr>
              <w:pStyle w:val="CETBodytext"/>
              <w:jc w:val="center"/>
              <w:rPr>
                <w:lang w:val="pt-BR"/>
              </w:rPr>
            </w:pPr>
          </w:p>
        </w:tc>
      </w:tr>
      <w:tr w:rsidR="00BA2686" w:rsidRPr="00C859FE" w14:paraId="130161F1" w14:textId="77777777" w:rsidTr="00396147">
        <w:tc>
          <w:tcPr>
            <w:tcW w:w="1418" w:type="dxa"/>
            <w:shd w:val="clear" w:color="auto" w:fill="FFFFFF"/>
          </w:tcPr>
          <w:p w14:paraId="33B399C0" w14:textId="26C5CC67" w:rsidR="00BA2686" w:rsidRPr="00C859FE" w:rsidRDefault="00396147" w:rsidP="00D123C9">
            <w:pPr>
              <w:pStyle w:val="CETBodytext"/>
              <w:rPr>
                <w:lang w:val="pt-BR"/>
              </w:rPr>
            </w:pPr>
            <w:r w:rsidRPr="00396147">
              <w:rPr>
                <w:b/>
                <w:bCs/>
                <w:lang w:val="pt-BR"/>
              </w:rPr>
              <w:t>PHENOL:</w:t>
            </w:r>
          </w:p>
        </w:tc>
        <w:tc>
          <w:tcPr>
            <w:tcW w:w="4086" w:type="dxa"/>
            <w:shd w:val="clear" w:color="auto" w:fill="FFFFFF"/>
            <w:vAlign w:val="center"/>
          </w:tcPr>
          <w:p w14:paraId="69F5EE6B" w14:textId="71F3DEB4" w:rsidR="00BA2686" w:rsidRPr="00C859FE" w:rsidRDefault="00BA2686" w:rsidP="00D123C9">
            <w:pPr>
              <w:pStyle w:val="CETBodytext"/>
              <w:rPr>
                <w:lang w:val="pt-BR"/>
              </w:rPr>
            </w:pPr>
            <w:r w:rsidRPr="00C859FE">
              <w:rPr>
                <w:lang w:val="pt-BR"/>
              </w:rPr>
              <w:t>2,4-Di-</w:t>
            </w:r>
            <w:r w:rsidRPr="00C859FE">
              <w:rPr>
                <w:i/>
                <w:iCs/>
                <w:lang w:val="pt-BR"/>
              </w:rPr>
              <w:t>tert</w:t>
            </w:r>
            <w:r w:rsidRPr="00C859FE">
              <w:rPr>
                <w:lang w:val="pt-BR"/>
              </w:rPr>
              <w:t>-butyl phenol</w:t>
            </w:r>
          </w:p>
        </w:tc>
        <w:tc>
          <w:tcPr>
            <w:tcW w:w="975" w:type="dxa"/>
            <w:shd w:val="clear" w:color="auto" w:fill="FFFFFF"/>
            <w:vAlign w:val="center"/>
          </w:tcPr>
          <w:p w14:paraId="1AC87F9A" w14:textId="77777777" w:rsidR="00BA2686" w:rsidRPr="00C859FE" w:rsidRDefault="00BA2686" w:rsidP="00D123C9">
            <w:pPr>
              <w:pStyle w:val="CETBodytext"/>
              <w:jc w:val="center"/>
              <w:rPr>
                <w:lang w:val="pt-BR"/>
              </w:rPr>
            </w:pPr>
            <w:r w:rsidRPr="00C859FE">
              <w:rPr>
                <w:lang w:val="pt-BR"/>
              </w:rPr>
              <w:t>C</w:t>
            </w:r>
            <w:r w:rsidRPr="00C859FE">
              <w:rPr>
                <w:vertAlign w:val="subscript"/>
                <w:lang w:val="pt-BR"/>
              </w:rPr>
              <w:t>14</w:t>
            </w:r>
            <w:r w:rsidRPr="00C859FE">
              <w:rPr>
                <w:lang w:val="pt-BR"/>
              </w:rPr>
              <w:t>H</w:t>
            </w:r>
            <w:r w:rsidRPr="00C859FE">
              <w:rPr>
                <w:vertAlign w:val="subscript"/>
                <w:lang w:val="pt-BR"/>
              </w:rPr>
              <w:t>22</w:t>
            </w:r>
            <w:r w:rsidRPr="00C859FE">
              <w:rPr>
                <w:lang w:val="pt-BR"/>
              </w:rPr>
              <w:t>O</w:t>
            </w:r>
          </w:p>
        </w:tc>
        <w:tc>
          <w:tcPr>
            <w:tcW w:w="716" w:type="dxa"/>
            <w:shd w:val="clear" w:color="auto" w:fill="FFFFFF"/>
            <w:vAlign w:val="center"/>
          </w:tcPr>
          <w:p w14:paraId="18D3ECAC" w14:textId="77777777" w:rsidR="00BA2686" w:rsidRPr="00C859FE" w:rsidRDefault="00BA2686" w:rsidP="00D123C9">
            <w:pPr>
              <w:pStyle w:val="CETBodytext"/>
              <w:jc w:val="center"/>
              <w:rPr>
                <w:lang w:val="pt-BR"/>
              </w:rPr>
            </w:pPr>
            <w:r w:rsidRPr="00C859FE">
              <w:rPr>
                <w:lang w:val="pt-BR"/>
              </w:rPr>
              <w:t>21.810</w:t>
            </w:r>
          </w:p>
        </w:tc>
        <w:tc>
          <w:tcPr>
            <w:tcW w:w="783" w:type="dxa"/>
            <w:shd w:val="clear" w:color="auto" w:fill="FFFFFF"/>
            <w:vAlign w:val="center"/>
          </w:tcPr>
          <w:p w14:paraId="152B3F08" w14:textId="36191E5F" w:rsidR="00BA2686" w:rsidRPr="00C859FE" w:rsidRDefault="006021B6" w:rsidP="006021B6">
            <w:pPr>
              <w:pStyle w:val="CETBodytext"/>
              <w:jc w:val="center"/>
              <w:rPr>
                <w:lang w:val="pt-BR"/>
              </w:rPr>
            </w:pPr>
            <w:r>
              <w:rPr>
                <w:lang w:val="pt-BR"/>
              </w:rPr>
              <w:t>x</w:t>
            </w:r>
          </w:p>
        </w:tc>
        <w:tc>
          <w:tcPr>
            <w:tcW w:w="392" w:type="dxa"/>
            <w:shd w:val="clear" w:color="auto" w:fill="FFFFFF"/>
            <w:vAlign w:val="center"/>
          </w:tcPr>
          <w:p w14:paraId="371DC064" w14:textId="7CAF027E" w:rsidR="00BA2686" w:rsidRPr="00C859FE" w:rsidRDefault="006021B6" w:rsidP="006021B6">
            <w:pPr>
              <w:pStyle w:val="CETBodytext"/>
              <w:jc w:val="center"/>
              <w:rPr>
                <w:lang w:val="pt-BR"/>
              </w:rPr>
            </w:pPr>
            <w:bookmarkStart w:id="0" w:name="_GoBack"/>
            <w:bookmarkEnd w:id="0"/>
            <w:r>
              <w:rPr>
                <w:lang w:val="pt-BR"/>
              </w:rPr>
              <w:t>x</w:t>
            </w:r>
          </w:p>
        </w:tc>
        <w:tc>
          <w:tcPr>
            <w:tcW w:w="417" w:type="dxa"/>
            <w:shd w:val="clear" w:color="auto" w:fill="FFFFFF"/>
            <w:vAlign w:val="center"/>
          </w:tcPr>
          <w:p w14:paraId="0B6A95CC" w14:textId="77777777" w:rsidR="00BA2686" w:rsidRPr="00C859FE" w:rsidRDefault="00BA2686" w:rsidP="00D123C9">
            <w:pPr>
              <w:pStyle w:val="CETBodytext"/>
              <w:jc w:val="center"/>
              <w:rPr>
                <w:lang w:val="pt-BR"/>
              </w:rPr>
            </w:pPr>
          </w:p>
        </w:tc>
      </w:tr>
    </w:tbl>
    <w:p w14:paraId="3717222F" w14:textId="77777777" w:rsidR="00AB4DCD" w:rsidRPr="00C859FE" w:rsidRDefault="00AB4DCD" w:rsidP="00AB4DCD">
      <w:pPr>
        <w:pStyle w:val="CETHeading1"/>
        <w:rPr>
          <w:lang w:val="en-GB"/>
        </w:rPr>
      </w:pPr>
      <w:r w:rsidRPr="00C859FE">
        <w:rPr>
          <w:lang w:val="en-GB"/>
        </w:rPr>
        <w:t>Conclusions</w:t>
      </w:r>
    </w:p>
    <w:p w14:paraId="0D87316E" w14:textId="483CF38C" w:rsidR="003741D5" w:rsidRDefault="003475EA" w:rsidP="001D5F7F">
      <w:pPr>
        <w:pStyle w:val="CETBodytext"/>
      </w:pPr>
      <w:r>
        <w:t>Both</w:t>
      </w:r>
      <w:r w:rsidR="003741D5">
        <w:t xml:space="preserve"> starter cultures exhibited good performance for the production of sour cassava starch in a pilot-scale fermentation process</w:t>
      </w:r>
      <w:r w:rsidR="005349C2">
        <w:t xml:space="preserve">. </w:t>
      </w:r>
      <w:r w:rsidR="003741D5" w:rsidRPr="003741D5">
        <w:rPr>
          <w:i/>
        </w:rPr>
        <w:t>L. plantarum</w:t>
      </w:r>
      <w:r w:rsidR="003741D5" w:rsidRPr="003741D5">
        <w:t xml:space="preserve"> contributed to the acidification of the medium and inhibition of the pathogens. </w:t>
      </w:r>
      <w:r w:rsidR="005349C2" w:rsidRPr="008346A1">
        <w:rPr>
          <w:i/>
        </w:rPr>
        <w:t>P. scutulata</w:t>
      </w:r>
      <w:r w:rsidR="005349C2" w:rsidRPr="008346A1">
        <w:t xml:space="preserve"> </w:t>
      </w:r>
      <w:r w:rsidR="003741D5">
        <w:t>contributed to</w:t>
      </w:r>
      <w:r w:rsidR="003741D5" w:rsidRPr="003741D5">
        <w:t xml:space="preserve"> the production of desirable aromatic compounds. </w:t>
      </w:r>
      <w:r w:rsidR="003741D5">
        <w:t>Therefore</w:t>
      </w:r>
      <w:r w:rsidR="003741D5" w:rsidRPr="003741D5">
        <w:t xml:space="preserve">, </w:t>
      </w:r>
      <w:r w:rsidR="003741D5" w:rsidRPr="003741D5">
        <w:rPr>
          <w:i/>
        </w:rPr>
        <w:t>L. plantarum</w:t>
      </w:r>
      <w:r w:rsidR="003741D5" w:rsidRPr="003741D5">
        <w:t xml:space="preserve"> in association with </w:t>
      </w:r>
      <w:r w:rsidR="003741D5" w:rsidRPr="003741D5">
        <w:rPr>
          <w:i/>
        </w:rPr>
        <w:t>P. scutulata</w:t>
      </w:r>
      <w:r w:rsidR="003741D5" w:rsidRPr="003741D5">
        <w:t xml:space="preserve"> was the starter culture that </w:t>
      </w:r>
      <w:r w:rsidR="003741D5">
        <w:t>exhibi</w:t>
      </w:r>
      <w:r w:rsidR="003741D5" w:rsidRPr="003741D5">
        <w:t xml:space="preserve">ted better results </w:t>
      </w:r>
      <w:r w:rsidR="003741D5">
        <w:t>i</w:t>
      </w:r>
      <w:r w:rsidR="003741D5" w:rsidRPr="003741D5">
        <w:t>n a pilot</w:t>
      </w:r>
      <w:r w:rsidR="003741D5">
        <w:t>-</w:t>
      </w:r>
      <w:r w:rsidR="003741D5" w:rsidRPr="003741D5">
        <w:t>scale</w:t>
      </w:r>
      <w:r w:rsidR="003741D5">
        <w:t xml:space="preserve"> fermentation process and </w:t>
      </w:r>
      <w:r w:rsidR="003741D5" w:rsidRPr="004E3E04">
        <w:rPr>
          <w:noProof/>
        </w:rPr>
        <w:t>led</w:t>
      </w:r>
      <w:r w:rsidR="003741D5">
        <w:t xml:space="preserve"> </w:t>
      </w:r>
      <w:r w:rsidR="003741D5" w:rsidRPr="003741D5">
        <w:t xml:space="preserve">to </w:t>
      </w:r>
      <w:r w:rsidR="003741D5">
        <w:t xml:space="preserve">the obtainment of </w:t>
      </w:r>
      <w:r w:rsidR="003741D5" w:rsidRPr="003741D5">
        <w:t xml:space="preserve">a </w:t>
      </w:r>
      <w:r w:rsidR="003741D5">
        <w:t>cassava starc</w:t>
      </w:r>
      <w:r w:rsidR="003741D5" w:rsidRPr="003741D5">
        <w:t xml:space="preserve">h safe for human consumption, with satisfactory </w:t>
      </w:r>
      <w:r w:rsidR="003741D5">
        <w:t>acidity</w:t>
      </w:r>
      <w:r w:rsidR="003741D5" w:rsidRPr="003741D5">
        <w:t>, expansion capacity, higher unsaturated fat content</w:t>
      </w:r>
      <w:r w:rsidR="00717C19">
        <w:t xml:space="preserve">, </w:t>
      </w:r>
      <w:r w:rsidR="003741D5" w:rsidRPr="003741D5">
        <w:t>and with the presence o</w:t>
      </w:r>
      <w:r w:rsidR="00717C19">
        <w:t>f desirable volatile compounds.</w:t>
      </w:r>
    </w:p>
    <w:p w14:paraId="167FFFF6" w14:textId="77777777" w:rsidR="00600535" w:rsidRPr="00C859FE" w:rsidRDefault="00600535" w:rsidP="00600535">
      <w:pPr>
        <w:pStyle w:val="CETAcknowledgementstitle"/>
      </w:pPr>
      <w:r w:rsidRPr="00C859FE">
        <w:t>Acknowledgments</w:t>
      </w:r>
    </w:p>
    <w:p w14:paraId="478B4048" w14:textId="77777777" w:rsidR="00600535" w:rsidRPr="00C859FE" w:rsidRDefault="00F05781" w:rsidP="00600535">
      <w:pPr>
        <w:pStyle w:val="CETBodytext"/>
        <w:rPr>
          <w:lang w:val="en-GB"/>
        </w:rPr>
      </w:pPr>
      <w:r w:rsidRPr="00C859FE">
        <w:rPr>
          <w:lang w:val="en-GB"/>
        </w:rPr>
        <w:t>The National Council for Scientific and Technological Development (CNPq) supported this work.</w:t>
      </w:r>
    </w:p>
    <w:p w14:paraId="442DE1AC" w14:textId="77777777" w:rsidR="00600535" w:rsidRPr="00C859FE" w:rsidRDefault="00600535" w:rsidP="00600535">
      <w:pPr>
        <w:pStyle w:val="CETReference"/>
      </w:pPr>
      <w:r w:rsidRPr="00C859FE">
        <w:t>References</w:t>
      </w:r>
    </w:p>
    <w:p w14:paraId="2F376352" w14:textId="77777777" w:rsidR="006102F5" w:rsidRPr="00C859FE" w:rsidRDefault="006102F5" w:rsidP="006B4888">
      <w:pPr>
        <w:pStyle w:val="CETReferencetext"/>
      </w:pPr>
      <w:r w:rsidRPr="00C859FE">
        <w:lastRenderedPageBreak/>
        <w:t>Adegunwa M.O., Sanni L.O., Maziya-Dixon B., 2011, Effects of fermentation length and varieties on the pasting properties of sour cassava starch, Afr. J. Biotechnol., 10, 8428-8433.</w:t>
      </w:r>
    </w:p>
    <w:p w14:paraId="7AEA007A" w14:textId="77777777" w:rsidR="006102F5" w:rsidRPr="00C859FE" w:rsidRDefault="006102F5" w:rsidP="008E0380">
      <w:pPr>
        <w:pStyle w:val="CETReferencetext"/>
      </w:pPr>
      <w:r w:rsidRPr="00C859FE">
        <w:t xml:space="preserve">Alamu E.O., Maziya-Dixon B., Dixon A.G., 2017, Evaluation of proximate composition and pasting properties of </w:t>
      </w:r>
      <w:r w:rsidRPr="00295E08">
        <w:rPr>
          <w:noProof/>
        </w:rPr>
        <w:t>high quality</w:t>
      </w:r>
      <w:r w:rsidRPr="00C859FE">
        <w:t xml:space="preserve"> cassava flour (HQCF) from cassava genotypes (</w:t>
      </w:r>
      <w:r w:rsidRPr="00C859FE">
        <w:rPr>
          <w:i/>
        </w:rPr>
        <w:t>Manihot esculenta</w:t>
      </w:r>
      <w:r w:rsidRPr="00C859FE">
        <w:t xml:space="preserve"> Crantz) of β-carotene-enriched roots, LWT – Food Sci. Technol., 86, 501-506.</w:t>
      </w:r>
    </w:p>
    <w:p w14:paraId="7E21314B" w14:textId="77777777" w:rsidR="006102F5" w:rsidRPr="00C859FE" w:rsidRDefault="006102F5" w:rsidP="008E0380">
      <w:pPr>
        <w:pStyle w:val="CETReferencetext"/>
      </w:pPr>
      <w:r w:rsidRPr="00C859FE">
        <w:t>Alves A.A.C., Manthey L., Isbell T., Ellis D., Jenderek M.M., 2014, Diversity in oil content and fatty acid profile in seeds of wild cassava germplasm, Ind. Crop. Prod., 60, 310-315.</w:t>
      </w:r>
    </w:p>
    <w:p w14:paraId="5A6CF684" w14:textId="77777777" w:rsidR="006102F5" w:rsidRPr="00C859FE" w:rsidRDefault="006102F5" w:rsidP="008E0380">
      <w:pPr>
        <w:pStyle w:val="CETReferencetext"/>
      </w:pPr>
      <w:r w:rsidRPr="00C859FE">
        <w:t xml:space="preserve">AOAC (Association of Official Analytical Chemists), 2016, Official methods of analysis, 20th ed., AOAC International, Gaithersburg, USA &lt;eoma.aoac.org&gt; accessed 09 11 2016. </w:t>
      </w:r>
    </w:p>
    <w:p w14:paraId="213A11ED" w14:textId="77777777" w:rsidR="006102F5" w:rsidRPr="00C859FE" w:rsidRDefault="006102F5" w:rsidP="005272D5">
      <w:pPr>
        <w:pStyle w:val="CETReferencetext"/>
      </w:pPr>
      <w:r w:rsidRPr="00C859FE">
        <w:t>Burns A.E., Gleadow R.M., Zacarias A.M., Cuambe C.E., Miller R.E., Cavagnaro T.R., 2012, Variations in the chemical composition of cassava (</w:t>
      </w:r>
      <w:r w:rsidRPr="00C859FE">
        <w:rPr>
          <w:i/>
        </w:rPr>
        <w:t>Manihot esculenta</w:t>
      </w:r>
      <w:r w:rsidRPr="00C859FE">
        <w:t xml:space="preserve"> Crantz) leaves and roots as affected by genotypic and environmental variation, J. Agric. Food Chem., 60, 4946-4956.</w:t>
      </w:r>
    </w:p>
    <w:p w14:paraId="4BCE811F" w14:textId="77777777" w:rsidR="006102F5" w:rsidRPr="00EF3259" w:rsidRDefault="006102F5" w:rsidP="005272D5">
      <w:pPr>
        <w:pStyle w:val="CETReferencetext"/>
      </w:pPr>
      <w:r w:rsidRPr="00C859FE">
        <w:t xml:space="preserve">Coulibaly I., Amenan A.Y., Lognay G., Fauconnier M.L., Thonart P., 2009, Survival of freeze-dried </w:t>
      </w:r>
      <w:r w:rsidRPr="00C859FE">
        <w:rPr>
          <w:i/>
        </w:rPr>
        <w:t>Leuconostoc mesenteroides</w:t>
      </w:r>
      <w:r w:rsidRPr="00C859FE">
        <w:t xml:space="preserve"> and </w:t>
      </w:r>
      <w:r w:rsidRPr="00C859FE">
        <w:rPr>
          <w:i/>
        </w:rPr>
        <w:t>Lactobacillus plantarum</w:t>
      </w:r>
      <w:r w:rsidRPr="00C859FE">
        <w:t xml:space="preserve"> related to their cellular fatty acids composition during storage, Appl. </w:t>
      </w:r>
      <w:r w:rsidRPr="00EF3259">
        <w:t>Biochem. Biotechnol., 150, 70-84.</w:t>
      </w:r>
    </w:p>
    <w:p w14:paraId="4C3C5BCD" w14:textId="77777777" w:rsidR="006102F5" w:rsidRPr="00EF3259" w:rsidRDefault="006102F5" w:rsidP="005272D5">
      <w:pPr>
        <w:pStyle w:val="CETReferencetext"/>
      </w:pPr>
      <w:r w:rsidRPr="00EF3259">
        <w:t>Da Silva N., Taniwaki M.H., Junqueira V.C.A., Silveira N.F.A., Nascimento M.S., Gomes R.A.R., 2012, Microbiological examination methods of food and water: a laboratory manual, CRC Press, Boca Raton, USA.</w:t>
      </w:r>
    </w:p>
    <w:p w14:paraId="429AA3A2" w14:textId="77777777" w:rsidR="006102F5" w:rsidRPr="00C859FE" w:rsidRDefault="006102F5" w:rsidP="005272D5">
      <w:pPr>
        <w:pStyle w:val="CETReferencetext"/>
        <w:rPr>
          <w:lang w:val="en-US"/>
        </w:rPr>
      </w:pPr>
      <w:r w:rsidRPr="00C859FE">
        <w:rPr>
          <w:lang w:val="en-US"/>
        </w:rPr>
        <w:t xml:space="preserve">De Pilli T., Derossi A., Talja R.A., Jouppila K., Severini C., 2011, Study of starch-lipid complexes in </w:t>
      </w:r>
      <w:r w:rsidRPr="00295E08">
        <w:rPr>
          <w:noProof/>
          <w:lang w:val="en-US"/>
        </w:rPr>
        <w:t>model</w:t>
      </w:r>
      <w:r w:rsidRPr="00C859FE">
        <w:rPr>
          <w:lang w:val="en-US"/>
        </w:rPr>
        <w:t xml:space="preserve"> system and real food produced using extrusion-cooking technology, Innov. Food Sci. Emerg. Technol., 12, 610-616.</w:t>
      </w:r>
    </w:p>
    <w:p w14:paraId="418467BA" w14:textId="77777777" w:rsidR="006102F5" w:rsidRPr="00C859FE" w:rsidRDefault="006102F5" w:rsidP="005272D5">
      <w:pPr>
        <w:pStyle w:val="CETReferencetext"/>
      </w:pPr>
      <w:r w:rsidRPr="00C859FE">
        <w:t>Demiate I.M., Kotovicz V., 2011, Cassava starch in the Brazilian food industry, Food Sci. Technol., 31, 388-397.</w:t>
      </w:r>
    </w:p>
    <w:p w14:paraId="0F8C174D" w14:textId="77777777" w:rsidR="006102F5" w:rsidRPr="00C859FE" w:rsidRDefault="006102F5" w:rsidP="005272D5">
      <w:pPr>
        <w:pStyle w:val="CETReferencetext"/>
        <w:rPr>
          <w:lang w:val="en-US"/>
        </w:rPr>
      </w:pPr>
      <w:r w:rsidRPr="00C859FE">
        <w:rPr>
          <w:lang w:val="en-US"/>
        </w:rPr>
        <w:t>Freire A.L., Ramos C.L., Schwan R.F., 2015, Microbiological and chemical parameters during cassava based-substrate fermentation using potential starter cultures of lactic acid bacteria and yeast, Food Res. Int., 76, 787-795.</w:t>
      </w:r>
    </w:p>
    <w:p w14:paraId="0C669874" w14:textId="77777777" w:rsidR="006102F5" w:rsidRPr="00C859FE" w:rsidRDefault="006102F5" w:rsidP="005272D5">
      <w:pPr>
        <w:pStyle w:val="CETReferencetext"/>
      </w:pPr>
      <w:r w:rsidRPr="00C859FE">
        <w:t>García-Carpinteiro E.G., Sánchez-Palomo E., González-Viñas M.A., 2011, Aroma characterization of red wines from cv. Bobal grape variety grown in La Mancha region, Food Res. Int., 44, 61-70.</w:t>
      </w:r>
    </w:p>
    <w:p w14:paraId="56F34573" w14:textId="77777777" w:rsidR="006102F5" w:rsidRPr="00C859FE" w:rsidRDefault="006102F5" w:rsidP="005272D5">
      <w:pPr>
        <w:pStyle w:val="CETReferencetext"/>
        <w:rPr>
          <w:lang w:val="en-US"/>
        </w:rPr>
      </w:pPr>
      <w:r w:rsidRPr="00C859FE">
        <w:t xml:space="preserve">Gevers D., Huys G., Swings J., 2001, Applicability of rep-PCR fingerprinting for identification of </w:t>
      </w:r>
      <w:r w:rsidRPr="00C859FE">
        <w:rPr>
          <w:i/>
        </w:rPr>
        <w:t>Lactobacillus</w:t>
      </w:r>
      <w:r w:rsidRPr="00C859FE">
        <w:t xml:space="preserve"> species, FEMS Microbiol. </w:t>
      </w:r>
      <w:r w:rsidRPr="00C859FE">
        <w:rPr>
          <w:lang w:val="en-US"/>
        </w:rPr>
        <w:t>Lett., 205, 31-36.</w:t>
      </w:r>
    </w:p>
    <w:p w14:paraId="4DBC262B" w14:textId="77777777" w:rsidR="006102F5" w:rsidRPr="00BA2686" w:rsidRDefault="006102F5" w:rsidP="005272D5">
      <w:pPr>
        <w:pStyle w:val="CETReferencetext"/>
        <w:rPr>
          <w:lang w:val="pt-BR"/>
        </w:rPr>
      </w:pPr>
      <w:r w:rsidRPr="00C859FE">
        <w:rPr>
          <w:lang w:val="en-US"/>
        </w:rPr>
        <w:t>Jácome S.L., Fonseca S., Pinheiro R., Todorov S.D., Noronha L., Silva J., Gomes A., Pintado M., Morais A.M.M.B., Teixeira P., V</w:t>
      </w:r>
      <w:r w:rsidRPr="00C859FE">
        <w:t xml:space="preserve">az-Velho M., 2014, Effect of Lactic Acid Bacteria on Quality and Safety of Ready-to-eat Sliced Cured/Smoked Meat Products, Chem. Eng. </w:t>
      </w:r>
      <w:r w:rsidRPr="00BA2686">
        <w:rPr>
          <w:lang w:val="pt-BR"/>
        </w:rPr>
        <w:t>Trans., 38, 403-408.</w:t>
      </w:r>
    </w:p>
    <w:p w14:paraId="174D0996" w14:textId="77777777" w:rsidR="006102F5" w:rsidRPr="00EF3259" w:rsidRDefault="006102F5" w:rsidP="006B4888">
      <w:pPr>
        <w:pStyle w:val="CETReferencetext"/>
        <w:rPr>
          <w:lang w:val="en-US"/>
        </w:rPr>
      </w:pPr>
      <w:r w:rsidRPr="00C859FE">
        <w:rPr>
          <w:lang w:val="pt-BR"/>
        </w:rPr>
        <w:t xml:space="preserve">Maeda K.C., Cereda M.P., 2001, Avaliação de duas metodologias de expansão ao forno do polvilho azedo, Food Sci. </w:t>
      </w:r>
      <w:r w:rsidRPr="00EF3259">
        <w:rPr>
          <w:lang w:val="en-US"/>
        </w:rPr>
        <w:t>Technol., 21, 139-143.</w:t>
      </w:r>
    </w:p>
    <w:p w14:paraId="01758B79" w14:textId="77777777" w:rsidR="006102F5" w:rsidRPr="00C859FE" w:rsidRDefault="006102F5" w:rsidP="006B4888">
      <w:pPr>
        <w:pStyle w:val="CETReferencetext"/>
        <w:rPr>
          <w:lang w:val="en-US"/>
        </w:rPr>
      </w:pPr>
      <w:r w:rsidRPr="00C859FE">
        <w:rPr>
          <w:lang w:val="en-US"/>
        </w:rPr>
        <w:t>Marcon M.J.A, Kurtz D.J., Raguzzoni J.C., Delgadillo I., Maraschin M., Soldi V., Reginatto V., Amante E.R., 2009, Expansion Properties of Sour Cassava Starch (Polvilho Azedo): Variables Related to its Practical Application in Bakery, Starch, 61, 716-726.</w:t>
      </w:r>
    </w:p>
    <w:p w14:paraId="15745B7B" w14:textId="77777777" w:rsidR="006102F5" w:rsidRPr="00C859FE" w:rsidRDefault="006102F5" w:rsidP="006B4888">
      <w:pPr>
        <w:pStyle w:val="CETReferencetext"/>
        <w:rPr>
          <w:lang w:val="en-US"/>
        </w:rPr>
      </w:pPr>
      <w:r w:rsidRPr="00C859FE">
        <w:rPr>
          <w:lang w:val="en-US"/>
        </w:rPr>
        <w:t>Montagnac J.A., Davis C.R., Tanumlhardjo S.A., 2009, Processing techniques to reduce toxicity and antinutrients of cassava for use as a staple food, Compr. Rev. Food Sci. Food Saf., 8, 17-27.</w:t>
      </w:r>
    </w:p>
    <w:p w14:paraId="2BE62BD8" w14:textId="77777777" w:rsidR="006102F5" w:rsidRPr="00C859FE" w:rsidRDefault="006102F5" w:rsidP="000E64B0">
      <w:pPr>
        <w:pStyle w:val="CETReferencetext"/>
      </w:pPr>
      <w:r w:rsidRPr="00C859FE">
        <w:rPr>
          <w:lang w:val="en-US"/>
        </w:rPr>
        <w:t xml:space="preserve">Penido F.C.L., Piló F.B., </w:t>
      </w:r>
      <w:r w:rsidRPr="004E3E04">
        <w:rPr>
          <w:noProof/>
          <w:lang w:val="en-US"/>
        </w:rPr>
        <w:t>Sandes</w:t>
      </w:r>
      <w:r w:rsidRPr="00C859FE">
        <w:rPr>
          <w:lang w:val="en-US"/>
        </w:rPr>
        <w:t xml:space="preserve"> S.H.C., Nunes A.C., Colen G., Oliveira E.S., Rosa C.A., Lacerda I.C.A., 2018, Selection of sta</w:t>
      </w:r>
      <w:r w:rsidRPr="00C859FE">
        <w:t>rter cultures for the production of sour cassava starch in a pilot-scale fermentation process, Braz. J. Microbiol., 49, 823-831.</w:t>
      </w:r>
    </w:p>
    <w:p w14:paraId="382CB840" w14:textId="77777777" w:rsidR="006102F5" w:rsidRPr="00C859FE" w:rsidRDefault="006102F5" w:rsidP="00BD38E9">
      <w:pPr>
        <w:pStyle w:val="CETReferencetext"/>
      </w:pPr>
      <w:r w:rsidRPr="00C859FE">
        <w:t xml:space="preserve">Sande D., Colen G., Dos Santos G.F., Ferraz V.P., Takahashi J.A., 2018, Production of omega 3, 6, and 9 fatty acids from hydrolysis of vegetable oils and animal fat with </w:t>
      </w:r>
      <w:r w:rsidRPr="00C859FE">
        <w:rPr>
          <w:i/>
        </w:rPr>
        <w:t xml:space="preserve">Colletotrichum </w:t>
      </w:r>
      <w:r w:rsidRPr="004E3E04">
        <w:rPr>
          <w:i/>
          <w:noProof/>
        </w:rPr>
        <w:t>gloeosporioides</w:t>
      </w:r>
      <w:r w:rsidRPr="00C859FE">
        <w:t xml:space="preserve"> lipase, Food Sci. Biotechnol., 27, 537-545.</w:t>
      </w:r>
    </w:p>
    <w:p w14:paraId="26A548FA" w14:textId="77777777" w:rsidR="006102F5" w:rsidRPr="00C859FE" w:rsidRDefault="006102F5" w:rsidP="00BD38E9">
      <w:pPr>
        <w:pStyle w:val="CETReferencetext"/>
      </w:pPr>
      <w:r w:rsidRPr="00C859FE">
        <w:t>Sorrentino A., Boscaino F., Cozzolino R., Volpe M.G., Ionata E., Guerriero S., Picariello T., La Cara F., 2013, Characterization of Free Volatile Compounds in Fiano Wine Produced by Different Selected Autochthonous Yeasts, Chem. Eng. Trans. 32, 1837-1842.</w:t>
      </w:r>
    </w:p>
    <w:p w14:paraId="2DED792F" w14:textId="77777777" w:rsidR="006102F5" w:rsidRPr="00C859FE" w:rsidRDefault="006102F5" w:rsidP="006B4888">
      <w:pPr>
        <w:pStyle w:val="CETReferencetext"/>
      </w:pPr>
      <w:r w:rsidRPr="00C859FE">
        <w:t xml:space="preserve">Tan N.A.H., Fonseca S., Muhamad I.I., 2017, Optimisation of Omega 3 Rich Oil Extraction from Elateriospermum Tapos Seed by </w:t>
      </w:r>
      <w:r w:rsidRPr="004E3E04">
        <w:rPr>
          <w:noProof/>
        </w:rPr>
        <w:t>Microwave Assisted</w:t>
      </w:r>
      <w:r w:rsidRPr="00C859FE">
        <w:t xml:space="preserve"> Aqueous Enzymatic Extraction, Chem. Eng. Trans. 56, 1783-1788.</w:t>
      </w:r>
    </w:p>
    <w:p w14:paraId="0A4EDC2A" w14:textId="77777777" w:rsidR="006102F5" w:rsidRPr="00C859FE" w:rsidRDefault="006102F5" w:rsidP="006B4888">
      <w:pPr>
        <w:pStyle w:val="CETReferencetext"/>
      </w:pPr>
      <w:r w:rsidRPr="00C859FE">
        <w:t>Tongnuanchan P., Benjakul S., 2014, Essential oils: extraction, bioactivities, and their uses for food preservation, J. Food Sci., 79, 1231-1249.</w:t>
      </w:r>
    </w:p>
    <w:p w14:paraId="0E60F3CE" w14:textId="77777777" w:rsidR="006102F5" w:rsidRPr="00C859FE" w:rsidRDefault="006102F5" w:rsidP="006B4888">
      <w:pPr>
        <w:pStyle w:val="CETReferencetext"/>
      </w:pPr>
      <w:r w:rsidRPr="00C859FE">
        <w:t xml:space="preserve">Vanaja G., Gotcheva V., Angelov A., Agrawal R., 2011, Formation of volatiles and </w:t>
      </w:r>
      <w:r w:rsidRPr="004E3E04">
        <w:rPr>
          <w:noProof/>
        </w:rPr>
        <w:t>fattyacids</w:t>
      </w:r>
      <w:r w:rsidRPr="00C859FE">
        <w:t xml:space="preserve"> of therapeutic importance in the probiotic </w:t>
      </w:r>
      <w:r w:rsidRPr="00C859FE">
        <w:rPr>
          <w:i/>
        </w:rPr>
        <w:t>Lactobacillus plantarum</w:t>
      </w:r>
      <w:r w:rsidRPr="00C859FE">
        <w:t xml:space="preserve"> LPcfr adapted to resist GIT conditions, J. Food Sci. Technol., 48, 110-113.</w:t>
      </w:r>
    </w:p>
    <w:p w14:paraId="3875D052" w14:textId="1C2B9EB3" w:rsidR="006102F5" w:rsidRPr="00C859FE" w:rsidRDefault="006102F5" w:rsidP="006B4888">
      <w:pPr>
        <w:pStyle w:val="CETReferencetext"/>
      </w:pPr>
      <w:r w:rsidRPr="00C859FE">
        <w:t>Varsha K.K., Devendra L., Shilpa G., Priya S., Pandey A., Nampoothiri, K.M., 2015, 2,4-Di-</w:t>
      </w:r>
      <w:r w:rsidRPr="00C859FE">
        <w:rPr>
          <w:i/>
        </w:rPr>
        <w:t>tert</w:t>
      </w:r>
      <w:r w:rsidRPr="00C859FE">
        <w:t xml:space="preserve">-butyl phenol as the antifungal, antioxidant bioactive purified from a newly isolated </w:t>
      </w:r>
      <w:r w:rsidRPr="00C859FE">
        <w:rPr>
          <w:i/>
        </w:rPr>
        <w:t>Lactococcus</w:t>
      </w:r>
      <w:r w:rsidRPr="00C859FE">
        <w:t xml:space="preserve"> sp.</w:t>
      </w:r>
      <w:r w:rsidR="003475EA">
        <w:t>,</w:t>
      </w:r>
      <w:r w:rsidRPr="00C859FE">
        <w:t xml:space="preserve"> Int</w:t>
      </w:r>
      <w:r w:rsidR="003475EA">
        <w:t>.</w:t>
      </w:r>
      <w:r w:rsidRPr="00C859FE">
        <w:t xml:space="preserve"> J</w:t>
      </w:r>
      <w:r w:rsidR="003475EA">
        <w:t>. Food Microbiol., 211, 44-50</w:t>
      </w:r>
      <w:r w:rsidRPr="00C859FE">
        <w:t>.</w:t>
      </w:r>
    </w:p>
    <w:sectPr w:rsidR="006102F5" w:rsidRPr="00C859F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E660" w14:textId="77777777" w:rsidR="009A4559" w:rsidRDefault="009A4559" w:rsidP="004F5E36">
      <w:r>
        <w:separator/>
      </w:r>
    </w:p>
  </w:endnote>
  <w:endnote w:type="continuationSeparator" w:id="0">
    <w:p w14:paraId="22AFE8B1" w14:textId="77777777" w:rsidR="009A4559" w:rsidRDefault="009A455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00A7C" w14:textId="77777777" w:rsidR="009A4559" w:rsidRDefault="009A4559" w:rsidP="004F5E36">
      <w:r>
        <w:separator/>
      </w:r>
    </w:p>
  </w:footnote>
  <w:footnote w:type="continuationSeparator" w:id="0">
    <w:p w14:paraId="172A7B9C" w14:textId="77777777" w:rsidR="009A4559" w:rsidRDefault="009A455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397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kwsqwFAHpqYU8tAAAA"/>
  </w:docVars>
  <w:rsids>
    <w:rsidRoot w:val="000E414A"/>
    <w:rsid w:val="000027C0"/>
    <w:rsid w:val="0000353F"/>
    <w:rsid w:val="000052FB"/>
    <w:rsid w:val="00010F40"/>
    <w:rsid w:val="000117CB"/>
    <w:rsid w:val="0001227F"/>
    <w:rsid w:val="0003148D"/>
    <w:rsid w:val="00037388"/>
    <w:rsid w:val="00042510"/>
    <w:rsid w:val="0004379C"/>
    <w:rsid w:val="00047D7F"/>
    <w:rsid w:val="00051566"/>
    <w:rsid w:val="00054709"/>
    <w:rsid w:val="00056058"/>
    <w:rsid w:val="00062A9A"/>
    <w:rsid w:val="00065058"/>
    <w:rsid w:val="00075F6E"/>
    <w:rsid w:val="00081A85"/>
    <w:rsid w:val="00083F63"/>
    <w:rsid w:val="00086C39"/>
    <w:rsid w:val="000A03B2"/>
    <w:rsid w:val="000A3B79"/>
    <w:rsid w:val="000B3B4C"/>
    <w:rsid w:val="000B6E23"/>
    <w:rsid w:val="000D34BE"/>
    <w:rsid w:val="000D61D3"/>
    <w:rsid w:val="000E102F"/>
    <w:rsid w:val="000E36F1"/>
    <w:rsid w:val="000E3A73"/>
    <w:rsid w:val="000E414A"/>
    <w:rsid w:val="000E64B0"/>
    <w:rsid w:val="000E679F"/>
    <w:rsid w:val="000F093C"/>
    <w:rsid w:val="000F16BD"/>
    <w:rsid w:val="000F787B"/>
    <w:rsid w:val="001029C0"/>
    <w:rsid w:val="001046C1"/>
    <w:rsid w:val="0012091F"/>
    <w:rsid w:val="0012580F"/>
    <w:rsid w:val="00126BC2"/>
    <w:rsid w:val="001308B6"/>
    <w:rsid w:val="0013121F"/>
    <w:rsid w:val="001312C7"/>
    <w:rsid w:val="00131FAB"/>
    <w:rsid w:val="00131FE6"/>
    <w:rsid w:val="0013263F"/>
    <w:rsid w:val="00132AB2"/>
    <w:rsid w:val="00133102"/>
    <w:rsid w:val="00134DE4"/>
    <w:rsid w:val="0014034D"/>
    <w:rsid w:val="001443C8"/>
    <w:rsid w:val="00150E59"/>
    <w:rsid w:val="00151394"/>
    <w:rsid w:val="00152DE3"/>
    <w:rsid w:val="001554D8"/>
    <w:rsid w:val="00160CB0"/>
    <w:rsid w:val="001628E0"/>
    <w:rsid w:val="00164CF9"/>
    <w:rsid w:val="00164F4D"/>
    <w:rsid w:val="00165A88"/>
    <w:rsid w:val="00171682"/>
    <w:rsid w:val="00175029"/>
    <w:rsid w:val="00184AD6"/>
    <w:rsid w:val="00184B88"/>
    <w:rsid w:val="001A168F"/>
    <w:rsid w:val="001B0349"/>
    <w:rsid w:val="001B1E79"/>
    <w:rsid w:val="001B65C1"/>
    <w:rsid w:val="001C30A7"/>
    <w:rsid w:val="001C684B"/>
    <w:rsid w:val="001D0822"/>
    <w:rsid w:val="001D3247"/>
    <w:rsid w:val="001D53FC"/>
    <w:rsid w:val="001D5F7F"/>
    <w:rsid w:val="001E4A1A"/>
    <w:rsid w:val="001F42A5"/>
    <w:rsid w:val="001F6C60"/>
    <w:rsid w:val="001F7B9D"/>
    <w:rsid w:val="00205E1A"/>
    <w:rsid w:val="00216A89"/>
    <w:rsid w:val="00216F5D"/>
    <w:rsid w:val="002224B4"/>
    <w:rsid w:val="0022586E"/>
    <w:rsid w:val="00233C3B"/>
    <w:rsid w:val="00243ACE"/>
    <w:rsid w:val="00244743"/>
    <w:rsid w:val="002447EF"/>
    <w:rsid w:val="00251550"/>
    <w:rsid w:val="00252C1A"/>
    <w:rsid w:val="0025727A"/>
    <w:rsid w:val="002618EB"/>
    <w:rsid w:val="00263B05"/>
    <w:rsid w:val="002642A9"/>
    <w:rsid w:val="00267241"/>
    <w:rsid w:val="0027221A"/>
    <w:rsid w:val="0027418A"/>
    <w:rsid w:val="00275B61"/>
    <w:rsid w:val="00282656"/>
    <w:rsid w:val="00285BEB"/>
    <w:rsid w:val="00286BD7"/>
    <w:rsid w:val="00295E08"/>
    <w:rsid w:val="00296B83"/>
    <w:rsid w:val="002B1AA9"/>
    <w:rsid w:val="002B2C3E"/>
    <w:rsid w:val="002B78CE"/>
    <w:rsid w:val="002C05E5"/>
    <w:rsid w:val="002C2FB6"/>
    <w:rsid w:val="002D5BCD"/>
    <w:rsid w:val="002E4686"/>
    <w:rsid w:val="003009B7"/>
    <w:rsid w:val="00300E56"/>
    <w:rsid w:val="003014DF"/>
    <w:rsid w:val="0030469C"/>
    <w:rsid w:val="00314ABC"/>
    <w:rsid w:val="00321CA6"/>
    <w:rsid w:val="00325C2B"/>
    <w:rsid w:val="003264DD"/>
    <w:rsid w:val="00333BDF"/>
    <w:rsid w:val="00334C09"/>
    <w:rsid w:val="003365E3"/>
    <w:rsid w:val="00337BEB"/>
    <w:rsid w:val="00343233"/>
    <w:rsid w:val="00343C8F"/>
    <w:rsid w:val="003475EA"/>
    <w:rsid w:val="0035712F"/>
    <w:rsid w:val="003723D4"/>
    <w:rsid w:val="00373C8F"/>
    <w:rsid w:val="003741D5"/>
    <w:rsid w:val="003776C8"/>
    <w:rsid w:val="00384CC8"/>
    <w:rsid w:val="00384DBF"/>
    <w:rsid w:val="003868C5"/>
    <w:rsid w:val="003871FD"/>
    <w:rsid w:val="00396147"/>
    <w:rsid w:val="003978BB"/>
    <w:rsid w:val="003A1E30"/>
    <w:rsid w:val="003A2BC8"/>
    <w:rsid w:val="003A518A"/>
    <w:rsid w:val="003A7D1C"/>
    <w:rsid w:val="003B1CB6"/>
    <w:rsid w:val="003B304B"/>
    <w:rsid w:val="003B3146"/>
    <w:rsid w:val="003B60F3"/>
    <w:rsid w:val="003F015E"/>
    <w:rsid w:val="00400414"/>
    <w:rsid w:val="00400E3A"/>
    <w:rsid w:val="00401E25"/>
    <w:rsid w:val="0041446B"/>
    <w:rsid w:val="00416572"/>
    <w:rsid w:val="00417665"/>
    <w:rsid w:val="00427E81"/>
    <w:rsid w:val="00430DE0"/>
    <w:rsid w:val="00433843"/>
    <w:rsid w:val="0044329C"/>
    <w:rsid w:val="004577FE"/>
    <w:rsid w:val="00457B9C"/>
    <w:rsid w:val="0046164A"/>
    <w:rsid w:val="004628D2"/>
    <w:rsid w:val="00462DCD"/>
    <w:rsid w:val="004648AD"/>
    <w:rsid w:val="004703A9"/>
    <w:rsid w:val="004760DE"/>
    <w:rsid w:val="00481327"/>
    <w:rsid w:val="0048494E"/>
    <w:rsid w:val="00491068"/>
    <w:rsid w:val="004A004E"/>
    <w:rsid w:val="004A07F9"/>
    <w:rsid w:val="004A16B0"/>
    <w:rsid w:val="004A24CF"/>
    <w:rsid w:val="004B2CEF"/>
    <w:rsid w:val="004B459E"/>
    <w:rsid w:val="004B6721"/>
    <w:rsid w:val="004B710F"/>
    <w:rsid w:val="004C298A"/>
    <w:rsid w:val="004C3D1D"/>
    <w:rsid w:val="004C7913"/>
    <w:rsid w:val="004D16B2"/>
    <w:rsid w:val="004D3AE4"/>
    <w:rsid w:val="004E3E04"/>
    <w:rsid w:val="004E4CE8"/>
    <w:rsid w:val="004E4DD6"/>
    <w:rsid w:val="004E5562"/>
    <w:rsid w:val="004F3B6A"/>
    <w:rsid w:val="004F54A3"/>
    <w:rsid w:val="004F5E36"/>
    <w:rsid w:val="00507B47"/>
    <w:rsid w:val="00507CC9"/>
    <w:rsid w:val="00507F1C"/>
    <w:rsid w:val="005119A5"/>
    <w:rsid w:val="00514017"/>
    <w:rsid w:val="005253D7"/>
    <w:rsid w:val="005272D5"/>
    <w:rsid w:val="005278B7"/>
    <w:rsid w:val="00532016"/>
    <w:rsid w:val="005346C8"/>
    <w:rsid w:val="005349C2"/>
    <w:rsid w:val="00534CF7"/>
    <w:rsid w:val="00543E7D"/>
    <w:rsid w:val="00544C57"/>
    <w:rsid w:val="0054676B"/>
    <w:rsid w:val="00546B05"/>
    <w:rsid w:val="00547A68"/>
    <w:rsid w:val="005531C9"/>
    <w:rsid w:val="00555B64"/>
    <w:rsid w:val="005561C4"/>
    <w:rsid w:val="005574B0"/>
    <w:rsid w:val="0056404E"/>
    <w:rsid w:val="00584245"/>
    <w:rsid w:val="005873A3"/>
    <w:rsid w:val="005949DD"/>
    <w:rsid w:val="005A0481"/>
    <w:rsid w:val="005A10A8"/>
    <w:rsid w:val="005A27E2"/>
    <w:rsid w:val="005B1E97"/>
    <w:rsid w:val="005B2110"/>
    <w:rsid w:val="005B61E6"/>
    <w:rsid w:val="005C3739"/>
    <w:rsid w:val="005C77E1"/>
    <w:rsid w:val="005D3534"/>
    <w:rsid w:val="005D6A2F"/>
    <w:rsid w:val="005E1A82"/>
    <w:rsid w:val="005E2F58"/>
    <w:rsid w:val="005E6CA0"/>
    <w:rsid w:val="005E794C"/>
    <w:rsid w:val="005F039A"/>
    <w:rsid w:val="005F0A28"/>
    <w:rsid w:val="005F0E5E"/>
    <w:rsid w:val="005F38E9"/>
    <w:rsid w:val="005F3DF5"/>
    <w:rsid w:val="005F5EC0"/>
    <w:rsid w:val="00600535"/>
    <w:rsid w:val="006021B6"/>
    <w:rsid w:val="006102F5"/>
    <w:rsid w:val="00610CD6"/>
    <w:rsid w:val="00620DEE"/>
    <w:rsid w:val="00621F92"/>
    <w:rsid w:val="00625639"/>
    <w:rsid w:val="00631B33"/>
    <w:rsid w:val="00631CC0"/>
    <w:rsid w:val="00635109"/>
    <w:rsid w:val="0064184D"/>
    <w:rsid w:val="006422CC"/>
    <w:rsid w:val="006578B5"/>
    <w:rsid w:val="00660E3E"/>
    <w:rsid w:val="00662E74"/>
    <w:rsid w:val="00665843"/>
    <w:rsid w:val="00667C15"/>
    <w:rsid w:val="006753FB"/>
    <w:rsid w:val="00680C23"/>
    <w:rsid w:val="00682CB5"/>
    <w:rsid w:val="00686CA8"/>
    <w:rsid w:val="00693766"/>
    <w:rsid w:val="0069687F"/>
    <w:rsid w:val="006A3281"/>
    <w:rsid w:val="006B4888"/>
    <w:rsid w:val="006C2E45"/>
    <w:rsid w:val="006C359C"/>
    <w:rsid w:val="006C3A4B"/>
    <w:rsid w:val="006C5579"/>
    <w:rsid w:val="006D2428"/>
    <w:rsid w:val="006D6FB8"/>
    <w:rsid w:val="006E0140"/>
    <w:rsid w:val="006E737D"/>
    <w:rsid w:val="006F3859"/>
    <w:rsid w:val="0070195D"/>
    <w:rsid w:val="00707843"/>
    <w:rsid w:val="00712F10"/>
    <w:rsid w:val="00717C19"/>
    <w:rsid w:val="00720A24"/>
    <w:rsid w:val="00726E88"/>
    <w:rsid w:val="00732386"/>
    <w:rsid w:val="00732655"/>
    <w:rsid w:val="0074133B"/>
    <w:rsid w:val="007447F3"/>
    <w:rsid w:val="00746B35"/>
    <w:rsid w:val="0075015D"/>
    <w:rsid w:val="00754709"/>
    <w:rsid w:val="0075499F"/>
    <w:rsid w:val="007652B6"/>
    <w:rsid w:val="007661C8"/>
    <w:rsid w:val="0077098D"/>
    <w:rsid w:val="00775B4E"/>
    <w:rsid w:val="007914DC"/>
    <w:rsid w:val="007931FA"/>
    <w:rsid w:val="007A6C2E"/>
    <w:rsid w:val="007A7BBA"/>
    <w:rsid w:val="007B0C50"/>
    <w:rsid w:val="007B7220"/>
    <w:rsid w:val="007C1A43"/>
    <w:rsid w:val="007C1FC8"/>
    <w:rsid w:val="007E1507"/>
    <w:rsid w:val="007E1DC6"/>
    <w:rsid w:val="007E2640"/>
    <w:rsid w:val="007F19D2"/>
    <w:rsid w:val="007F2D22"/>
    <w:rsid w:val="0081107B"/>
    <w:rsid w:val="00813288"/>
    <w:rsid w:val="008168FC"/>
    <w:rsid w:val="00830996"/>
    <w:rsid w:val="00830BF4"/>
    <w:rsid w:val="008345F1"/>
    <w:rsid w:val="008346A1"/>
    <w:rsid w:val="00836D7B"/>
    <w:rsid w:val="00850F8D"/>
    <w:rsid w:val="00851FF6"/>
    <w:rsid w:val="00861B04"/>
    <w:rsid w:val="00865B07"/>
    <w:rsid w:val="008667EA"/>
    <w:rsid w:val="008735AD"/>
    <w:rsid w:val="00873E24"/>
    <w:rsid w:val="0087637F"/>
    <w:rsid w:val="00887301"/>
    <w:rsid w:val="008904B9"/>
    <w:rsid w:val="00892AD5"/>
    <w:rsid w:val="0089420D"/>
    <w:rsid w:val="008A1512"/>
    <w:rsid w:val="008A214F"/>
    <w:rsid w:val="008A229D"/>
    <w:rsid w:val="008A3B04"/>
    <w:rsid w:val="008C20AC"/>
    <w:rsid w:val="008C354D"/>
    <w:rsid w:val="008C78C1"/>
    <w:rsid w:val="008D0964"/>
    <w:rsid w:val="008D32B9"/>
    <w:rsid w:val="008D433B"/>
    <w:rsid w:val="008E0380"/>
    <w:rsid w:val="008E3BB5"/>
    <w:rsid w:val="008E566E"/>
    <w:rsid w:val="0090161A"/>
    <w:rsid w:val="00901EB6"/>
    <w:rsid w:val="00904C62"/>
    <w:rsid w:val="00924DAC"/>
    <w:rsid w:val="00927058"/>
    <w:rsid w:val="009316ED"/>
    <w:rsid w:val="009450CE"/>
    <w:rsid w:val="00947179"/>
    <w:rsid w:val="00947F29"/>
    <w:rsid w:val="0095164B"/>
    <w:rsid w:val="00954090"/>
    <w:rsid w:val="009573E7"/>
    <w:rsid w:val="009635B9"/>
    <w:rsid w:val="00963E05"/>
    <w:rsid w:val="00967D54"/>
    <w:rsid w:val="00973F7C"/>
    <w:rsid w:val="00981C60"/>
    <w:rsid w:val="00983B80"/>
    <w:rsid w:val="0098624B"/>
    <w:rsid w:val="00992EA3"/>
    <w:rsid w:val="009952E4"/>
    <w:rsid w:val="00996483"/>
    <w:rsid w:val="00996F5A"/>
    <w:rsid w:val="009A0A3E"/>
    <w:rsid w:val="009A0CF0"/>
    <w:rsid w:val="009A4559"/>
    <w:rsid w:val="009A65DC"/>
    <w:rsid w:val="009B041A"/>
    <w:rsid w:val="009B3574"/>
    <w:rsid w:val="009B62F2"/>
    <w:rsid w:val="009C5692"/>
    <w:rsid w:val="009C676B"/>
    <w:rsid w:val="009C7C86"/>
    <w:rsid w:val="009D208E"/>
    <w:rsid w:val="009D2FF7"/>
    <w:rsid w:val="009D3249"/>
    <w:rsid w:val="009E2A3F"/>
    <w:rsid w:val="009E3246"/>
    <w:rsid w:val="009E5CE1"/>
    <w:rsid w:val="009E7884"/>
    <w:rsid w:val="009E788A"/>
    <w:rsid w:val="009F00F9"/>
    <w:rsid w:val="009F0E08"/>
    <w:rsid w:val="009F3D87"/>
    <w:rsid w:val="00A1763D"/>
    <w:rsid w:val="00A17CEC"/>
    <w:rsid w:val="00A206C9"/>
    <w:rsid w:val="00A21370"/>
    <w:rsid w:val="00A26DFC"/>
    <w:rsid w:val="00A27EF0"/>
    <w:rsid w:val="00A3295E"/>
    <w:rsid w:val="00A3451C"/>
    <w:rsid w:val="00A416A4"/>
    <w:rsid w:val="00A47BE5"/>
    <w:rsid w:val="00A47C11"/>
    <w:rsid w:val="00A509F7"/>
    <w:rsid w:val="00A50B20"/>
    <w:rsid w:val="00A51390"/>
    <w:rsid w:val="00A60D13"/>
    <w:rsid w:val="00A62ED3"/>
    <w:rsid w:val="00A72745"/>
    <w:rsid w:val="00A75C25"/>
    <w:rsid w:val="00A76EFC"/>
    <w:rsid w:val="00A81FA7"/>
    <w:rsid w:val="00A91010"/>
    <w:rsid w:val="00A97F29"/>
    <w:rsid w:val="00AA702E"/>
    <w:rsid w:val="00AB0964"/>
    <w:rsid w:val="00AB3816"/>
    <w:rsid w:val="00AB4DCD"/>
    <w:rsid w:val="00AB5011"/>
    <w:rsid w:val="00AC7368"/>
    <w:rsid w:val="00AD16B9"/>
    <w:rsid w:val="00AE377D"/>
    <w:rsid w:val="00B04B17"/>
    <w:rsid w:val="00B123F3"/>
    <w:rsid w:val="00B17FBD"/>
    <w:rsid w:val="00B315A6"/>
    <w:rsid w:val="00B31813"/>
    <w:rsid w:val="00B33365"/>
    <w:rsid w:val="00B35077"/>
    <w:rsid w:val="00B55AD8"/>
    <w:rsid w:val="00B55C17"/>
    <w:rsid w:val="00B57B36"/>
    <w:rsid w:val="00B701A9"/>
    <w:rsid w:val="00B74246"/>
    <w:rsid w:val="00B8686D"/>
    <w:rsid w:val="00B92F0E"/>
    <w:rsid w:val="00B930D1"/>
    <w:rsid w:val="00B9513A"/>
    <w:rsid w:val="00BA0438"/>
    <w:rsid w:val="00BA2686"/>
    <w:rsid w:val="00BA2FFC"/>
    <w:rsid w:val="00BB1DD1"/>
    <w:rsid w:val="00BC16B7"/>
    <w:rsid w:val="00BC1AD5"/>
    <w:rsid w:val="00BC30C9"/>
    <w:rsid w:val="00BC53DD"/>
    <w:rsid w:val="00BD24BD"/>
    <w:rsid w:val="00BD38E9"/>
    <w:rsid w:val="00BD5AE8"/>
    <w:rsid w:val="00BE3E58"/>
    <w:rsid w:val="00BF2A62"/>
    <w:rsid w:val="00C01616"/>
    <w:rsid w:val="00C0162B"/>
    <w:rsid w:val="00C213F0"/>
    <w:rsid w:val="00C3191D"/>
    <w:rsid w:val="00C328D3"/>
    <w:rsid w:val="00C345B1"/>
    <w:rsid w:val="00C40142"/>
    <w:rsid w:val="00C461DE"/>
    <w:rsid w:val="00C54E66"/>
    <w:rsid w:val="00C57182"/>
    <w:rsid w:val="00C57863"/>
    <w:rsid w:val="00C62C84"/>
    <w:rsid w:val="00C655FD"/>
    <w:rsid w:val="00C742C3"/>
    <w:rsid w:val="00C859FE"/>
    <w:rsid w:val="00C870A8"/>
    <w:rsid w:val="00C901B7"/>
    <w:rsid w:val="00C9125D"/>
    <w:rsid w:val="00C94434"/>
    <w:rsid w:val="00CA0D75"/>
    <w:rsid w:val="00CA1C95"/>
    <w:rsid w:val="00CA5A9C"/>
    <w:rsid w:val="00CD0EF0"/>
    <w:rsid w:val="00CD3517"/>
    <w:rsid w:val="00CD5A00"/>
    <w:rsid w:val="00CD5FE2"/>
    <w:rsid w:val="00CE3CFA"/>
    <w:rsid w:val="00CE7C68"/>
    <w:rsid w:val="00D02B4C"/>
    <w:rsid w:val="00D040C4"/>
    <w:rsid w:val="00D04192"/>
    <w:rsid w:val="00D05C36"/>
    <w:rsid w:val="00D07435"/>
    <w:rsid w:val="00D10A88"/>
    <w:rsid w:val="00D123C9"/>
    <w:rsid w:val="00D21087"/>
    <w:rsid w:val="00D34E29"/>
    <w:rsid w:val="00D4141C"/>
    <w:rsid w:val="00D4456C"/>
    <w:rsid w:val="00D53D4E"/>
    <w:rsid w:val="00D5776C"/>
    <w:rsid w:val="00D57C84"/>
    <w:rsid w:val="00D6057D"/>
    <w:rsid w:val="00D67045"/>
    <w:rsid w:val="00D84576"/>
    <w:rsid w:val="00D87A8F"/>
    <w:rsid w:val="00D93189"/>
    <w:rsid w:val="00DA1399"/>
    <w:rsid w:val="00DA24C6"/>
    <w:rsid w:val="00DA4D7B"/>
    <w:rsid w:val="00DB2E7E"/>
    <w:rsid w:val="00DC056A"/>
    <w:rsid w:val="00DD4471"/>
    <w:rsid w:val="00DE264A"/>
    <w:rsid w:val="00DE77F8"/>
    <w:rsid w:val="00DF092C"/>
    <w:rsid w:val="00E02D18"/>
    <w:rsid w:val="00E041E7"/>
    <w:rsid w:val="00E14192"/>
    <w:rsid w:val="00E23ADC"/>
    <w:rsid w:val="00E23CA1"/>
    <w:rsid w:val="00E248AC"/>
    <w:rsid w:val="00E409A8"/>
    <w:rsid w:val="00E44DCB"/>
    <w:rsid w:val="00E468E0"/>
    <w:rsid w:val="00E50C12"/>
    <w:rsid w:val="00E54DDC"/>
    <w:rsid w:val="00E65B91"/>
    <w:rsid w:val="00E67798"/>
    <w:rsid w:val="00E7209D"/>
    <w:rsid w:val="00E75201"/>
    <w:rsid w:val="00E77223"/>
    <w:rsid w:val="00E82340"/>
    <w:rsid w:val="00E84C3C"/>
    <w:rsid w:val="00E8528B"/>
    <w:rsid w:val="00E85B94"/>
    <w:rsid w:val="00E9023C"/>
    <w:rsid w:val="00E978D0"/>
    <w:rsid w:val="00EA32AA"/>
    <w:rsid w:val="00EA4613"/>
    <w:rsid w:val="00EA7F91"/>
    <w:rsid w:val="00EB03A9"/>
    <w:rsid w:val="00EB1523"/>
    <w:rsid w:val="00EB33ED"/>
    <w:rsid w:val="00EC0E49"/>
    <w:rsid w:val="00ED10B9"/>
    <w:rsid w:val="00ED5CC3"/>
    <w:rsid w:val="00EE0131"/>
    <w:rsid w:val="00EE229E"/>
    <w:rsid w:val="00EE63C5"/>
    <w:rsid w:val="00EF2CDE"/>
    <w:rsid w:val="00EF3259"/>
    <w:rsid w:val="00F05781"/>
    <w:rsid w:val="00F155B2"/>
    <w:rsid w:val="00F26108"/>
    <w:rsid w:val="00F30C64"/>
    <w:rsid w:val="00F315D5"/>
    <w:rsid w:val="00F32CDB"/>
    <w:rsid w:val="00F413E9"/>
    <w:rsid w:val="00F56076"/>
    <w:rsid w:val="00F63A70"/>
    <w:rsid w:val="00F82E41"/>
    <w:rsid w:val="00F84E52"/>
    <w:rsid w:val="00F906DE"/>
    <w:rsid w:val="00FA21D0"/>
    <w:rsid w:val="00FA5F5F"/>
    <w:rsid w:val="00FB584F"/>
    <w:rsid w:val="00FB730C"/>
    <w:rsid w:val="00FC2695"/>
    <w:rsid w:val="00FC3E03"/>
    <w:rsid w:val="00FC3FC1"/>
    <w:rsid w:val="00FC5B09"/>
    <w:rsid w:val="00FD7602"/>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21E4A"/>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ind w:left="0"/>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2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B7B15-E828-4036-909B-5F24748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4294</Words>
  <Characters>23189</Characters>
  <Application>Microsoft Office Word</Application>
  <DocSecurity>0</DocSecurity>
  <Lines>193</Lines>
  <Paragraphs>54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Fernanda Penido</cp:lastModifiedBy>
  <cp:revision>18</cp:revision>
  <cp:lastPrinted>2018-11-22T17:02:00Z</cp:lastPrinted>
  <dcterms:created xsi:type="dcterms:W3CDTF">2019-04-02T17:32:00Z</dcterms:created>
  <dcterms:modified xsi:type="dcterms:W3CDTF">2019-04-08T21:43:00Z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