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33197" w:rsidRPr="00E33197">
        <w:trPr>
          <w:trHeight w:val="852"/>
          <w:jc w:val="center"/>
        </w:trPr>
        <w:tc>
          <w:tcPr>
            <w:tcW w:w="6946" w:type="dxa"/>
            <w:vMerge w:val="restart"/>
            <w:tcBorders>
              <w:right w:val="single" w:sz="4" w:space="0" w:color="auto"/>
            </w:tcBorders>
          </w:tcPr>
          <w:p w:rsidR="000A03B2" w:rsidRPr="00E33197" w:rsidRDefault="000A03B2" w:rsidP="00DE264A">
            <w:pPr>
              <w:tabs>
                <w:tab w:val="left" w:pos="-108"/>
              </w:tabs>
              <w:ind w:left="-108"/>
              <w:jc w:val="left"/>
              <w:rPr>
                <w:rFonts w:cs="Arial"/>
                <w:b/>
                <w:bCs/>
                <w:i/>
                <w:iCs/>
                <w:sz w:val="12"/>
                <w:szCs w:val="12"/>
                <w:lang w:eastAsia="it-IT"/>
              </w:rPr>
            </w:pPr>
            <w:r w:rsidRPr="00E33197">
              <w:rPr>
                <w:rFonts w:ascii="AdvP6960" w:hAnsi="AdvP6960" w:cs="AdvP6960"/>
                <w:noProof/>
                <w:szCs w:val="18"/>
                <w:lang w:val="it-IT" w:eastAsia="it-IT"/>
              </w:rPr>
              <w:drawing>
                <wp:inline distT="0" distB="0" distL="0" distR="0" wp14:anchorId="6C2C463D" wp14:editId="798F8D0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33197">
              <w:rPr>
                <w:rFonts w:ascii="AdvP6960" w:hAnsi="AdvP6960" w:cs="AdvP6960"/>
                <w:szCs w:val="18"/>
                <w:lang w:eastAsia="it-IT"/>
              </w:rPr>
              <w:t xml:space="preserve"> </w:t>
            </w:r>
            <w:r w:rsidRPr="00E33197">
              <w:rPr>
                <w:rFonts w:cs="Arial"/>
                <w:b/>
                <w:bCs/>
                <w:i/>
                <w:iCs/>
                <w:sz w:val="24"/>
                <w:szCs w:val="24"/>
                <w:lang w:eastAsia="it-IT"/>
              </w:rPr>
              <w:t>CHEMICAL ENGINEERING TRANSACTIONS</w:t>
            </w:r>
            <w:r w:rsidRPr="00E33197">
              <w:rPr>
                <w:sz w:val="24"/>
                <w:szCs w:val="24"/>
                <w:lang w:eastAsia="it-IT"/>
              </w:rPr>
              <w:t xml:space="preserve"> </w:t>
            </w:r>
            <w:r w:rsidRPr="00E33197">
              <w:rPr>
                <w:rFonts w:cs="Arial"/>
                <w:b/>
                <w:bCs/>
                <w:i/>
                <w:iCs/>
                <w:sz w:val="27"/>
                <w:szCs w:val="27"/>
                <w:lang w:eastAsia="it-IT"/>
              </w:rPr>
              <w:br/>
            </w:r>
          </w:p>
          <w:p w:rsidR="000A03B2" w:rsidRPr="00E33197" w:rsidRDefault="00A76EFC" w:rsidP="009635B9">
            <w:pPr>
              <w:tabs>
                <w:tab w:val="left" w:pos="-108"/>
              </w:tabs>
              <w:ind w:left="-108"/>
              <w:rPr>
                <w:rFonts w:cs="Arial"/>
                <w:b/>
                <w:bCs/>
                <w:i/>
                <w:iCs/>
                <w:sz w:val="22"/>
                <w:szCs w:val="22"/>
                <w:lang w:eastAsia="it-IT"/>
              </w:rPr>
            </w:pPr>
            <w:r w:rsidRPr="00E33197">
              <w:rPr>
                <w:rFonts w:cs="Arial"/>
                <w:b/>
                <w:bCs/>
                <w:i/>
                <w:iCs/>
                <w:sz w:val="22"/>
                <w:szCs w:val="22"/>
                <w:lang w:eastAsia="it-IT"/>
              </w:rPr>
              <w:t xml:space="preserve">VOL. </w:t>
            </w:r>
            <w:r w:rsidR="007931FA" w:rsidRPr="00E33197">
              <w:rPr>
                <w:rFonts w:cs="Arial"/>
                <w:b/>
                <w:bCs/>
                <w:i/>
                <w:iCs/>
                <w:sz w:val="22"/>
                <w:szCs w:val="22"/>
                <w:lang w:eastAsia="it-IT"/>
              </w:rPr>
              <w:t>7</w:t>
            </w:r>
            <w:r w:rsidR="009635B9" w:rsidRPr="00E33197">
              <w:rPr>
                <w:rFonts w:cs="Arial"/>
                <w:b/>
                <w:bCs/>
                <w:i/>
                <w:iCs/>
                <w:sz w:val="22"/>
                <w:szCs w:val="22"/>
                <w:lang w:eastAsia="it-IT"/>
              </w:rPr>
              <w:t>6</w:t>
            </w:r>
            <w:r w:rsidR="00FA5F5F" w:rsidRPr="00E33197">
              <w:rPr>
                <w:rFonts w:cs="Arial"/>
                <w:b/>
                <w:bCs/>
                <w:i/>
                <w:iCs/>
                <w:sz w:val="22"/>
                <w:szCs w:val="22"/>
                <w:lang w:eastAsia="it-IT"/>
              </w:rPr>
              <w:t>, 201</w:t>
            </w:r>
            <w:r w:rsidR="007931FA" w:rsidRPr="00E33197">
              <w:rPr>
                <w:rFonts w:cs="Arial"/>
                <w:b/>
                <w:bCs/>
                <w:i/>
                <w:iCs/>
                <w:sz w:val="22"/>
                <w:szCs w:val="22"/>
                <w:lang w:eastAsia="it-IT"/>
              </w:rPr>
              <w:t>9</w:t>
            </w:r>
          </w:p>
        </w:tc>
        <w:tc>
          <w:tcPr>
            <w:tcW w:w="1843" w:type="dxa"/>
            <w:tcBorders>
              <w:left w:val="single" w:sz="4" w:space="0" w:color="auto"/>
              <w:bottom w:val="nil"/>
              <w:right w:val="single" w:sz="4" w:space="0" w:color="auto"/>
            </w:tcBorders>
          </w:tcPr>
          <w:p w:rsidR="000A03B2" w:rsidRPr="00E33197" w:rsidRDefault="000A03B2" w:rsidP="00CD5FE2">
            <w:pPr>
              <w:spacing w:line="140" w:lineRule="atLeast"/>
              <w:jc w:val="right"/>
              <w:rPr>
                <w:rFonts w:cs="Arial"/>
                <w:sz w:val="14"/>
                <w:szCs w:val="14"/>
              </w:rPr>
            </w:pPr>
            <w:r w:rsidRPr="00E33197">
              <w:rPr>
                <w:rFonts w:cs="Arial"/>
                <w:sz w:val="14"/>
                <w:szCs w:val="14"/>
              </w:rPr>
              <w:t>A publication of</w:t>
            </w:r>
          </w:p>
          <w:p w:rsidR="000A03B2" w:rsidRPr="00E33197" w:rsidRDefault="000A03B2" w:rsidP="00CD5FE2">
            <w:pPr>
              <w:jc w:val="right"/>
            </w:pPr>
            <w:r w:rsidRPr="00E33197">
              <w:rPr>
                <w:noProof/>
                <w:lang w:val="it-IT" w:eastAsia="it-IT"/>
              </w:rPr>
              <w:drawing>
                <wp:inline distT="0" distB="0" distL="0" distR="0" wp14:anchorId="1322B4A4" wp14:editId="3578C2B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33197" w:rsidRPr="00E33197">
        <w:trPr>
          <w:trHeight w:val="567"/>
          <w:jc w:val="center"/>
        </w:trPr>
        <w:tc>
          <w:tcPr>
            <w:tcW w:w="6946" w:type="dxa"/>
            <w:vMerge/>
            <w:tcBorders>
              <w:right w:val="single" w:sz="4" w:space="0" w:color="auto"/>
            </w:tcBorders>
          </w:tcPr>
          <w:p w:rsidR="000A03B2" w:rsidRPr="00E33197" w:rsidRDefault="000A03B2" w:rsidP="00CD5FE2">
            <w:pPr>
              <w:tabs>
                <w:tab w:val="left" w:pos="-108"/>
              </w:tabs>
            </w:pPr>
          </w:p>
        </w:tc>
        <w:tc>
          <w:tcPr>
            <w:tcW w:w="1843" w:type="dxa"/>
            <w:tcBorders>
              <w:left w:val="single" w:sz="4" w:space="0" w:color="auto"/>
              <w:bottom w:val="nil"/>
              <w:right w:val="single" w:sz="4" w:space="0" w:color="auto"/>
            </w:tcBorders>
          </w:tcPr>
          <w:p w:rsidR="000A03B2" w:rsidRPr="00E33197" w:rsidRDefault="000A03B2" w:rsidP="00CD5FE2">
            <w:pPr>
              <w:spacing w:line="140" w:lineRule="atLeast"/>
              <w:jc w:val="right"/>
              <w:rPr>
                <w:rFonts w:cs="Arial"/>
                <w:sz w:val="14"/>
                <w:szCs w:val="14"/>
              </w:rPr>
            </w:pPr>
            <w:r w:rsidRPr="00E33197">
              <w:rPr>
                <w:rFonts w:cs="Arial"/>
                <w:sz w:val="14"/>
                <w:szCs w:val="14"/>
              </w:rPr>
              <w:t>The Italian Association</w:t>
            </w:r>
          </w:p>
          <w:p w:rsidR="000A03B2" w:rsidRPr="00E33197" w:rsidRDefault="000A03B2" w:rsidP="00CD5FE2">
            <w:pPr>
              <w:spacing w:line="140" w:lineRule="atLeast"/>
              <w:jc w:val="right"/>
              <w:rPr>
                <w:rFonts w:cs="Arial"/>
                <w:sz w:val="14"/>
                <w:szCs w:val="14"/>
              </w:rPr>
            </w:pPr>
            <w:r w:rsidRPr="00E33197">
              <w:rPr>
                <w:rFonts w:cs="Arial"/>
                <w:sz w:val="14"/>
                <w:szCs w:val="14"/>
              </w:rPr>
              <w:t>of Chemical Engineering</w:t>
            </w:r>
          </w:p>
          <w:p w:rsidR="000A03B2" w:rsidRPr="00E33197" w:rsidRDefault="000A03B2" w:rsidP="00CD5FE2">
            <w:pPr>
              <w:spacing w:line="140" w:lineRule="atLeast"/>
              <w:jc w:val="right"/>
              <w:rPr>
                <w:rFonts w:cs="Arial"/>
                <w:sz w:val="14"/>
                <w:szCs w:val="14"/>
              </w:rPr>
            </w:pPr>
            <w:r w:rsidRPr="00E33197">
              <w:rPr>
                <w:rFonts w:cs="Arial"/>
                <w:sz w:val="14"/>
                <w:szCs w:val="14"/>
              </w:rPr>
              <w:t xml:space="preserve">Online at </w:t>
            </w:r>
            <w:r w:rsidR="00892AD5" w:rsidRPr="00E33197">
              <w:rPr>
                <w:rFonts w:cs="Arial"/>
                <w:sz w:val="14"/>
                <w:szCs w:val="14"/>
              </w:rPr>
              <w:t>www.aidic.it/cet</w:t>
            </w:r>
          </w:p>
        </w:tc>
      </w:tr>
      <w:tr w:rsidR="00E33197" w:rsidRPr="00E33197">
        <w:trPr>
          <w:trHeight w:val="68"/>
          <w:jc w:val="center"/>
        </w:trPr>
        <w:tc>
          <w:tcPr>
            <w:tcW w:w="8789" w:type="dxa"/>
            <w:gridSpan w:val="2"/>
          </w:tcPr>
          <w:p w:rsidR="00300E56" w:rsidRPr="00E33197" w:rsidRDefault="00300E56" w:rsidP="003365E3">
            <w:pPr>
              <w:ind w:left="-107"/>
              <w:rPr>
                <w:lang w:val="it-IT"/>
              </w:rPr>
            </w:pPr>
            <w:r w:rsidRPr="00E33197">
              <w:rPr>
                <w:rFonts w:ascii="Tahoma" w:hAnsi="Tahoma" w:cs="Tahoma"/>
                <w:iCs/>
                <w:sz w:val="14"/>
                <w:szCs w:val="14"/>
                <w:lang w:val="it-IT" w:eastAsia="it-IT"/>
              </w:rPr>
              <w:t>Guest Editors:</w:t>
            </w:r>
            <w:r w:rsidR="00904C62" w:rsidRPr="00E33197">
              <w:rPr>
                <w:rFonts w:ascii="Tahoma" w:hAnsi="Tahoma" w:cs="Tahoma"/>
                <w:iCs/>
                <w:sz w:val="14"/>
                <w:szCs w:val="14"/>
                <w:lang w:val="it-IT" w:eastAsia="it-IT"/>
              </w:rPr>
              <w:t xml:space="preserve"> </w:t>
            </w:r>
            <w:r w:rsidR="009635B9" w:rsidRPr="00E33197">
              <w:rPr>
                <w:rFonts w:ascii="Tahoma" w:hAnsi="Tahoma" w:cs="Tahoma"/>
                <w:sz w:val="14"/>
                <w:szCs w:val="14"/>
                <w:lang w:val="it-IT"/>
              </w:rPr>
              <w:t>Sauro Pierucci,</w:t>
            </w:r>
            <w:r w:rsidR="003B60F3" w:rsidRPr="00E33197">
              <w:rPr>
                <w:rFonts w:ascii="Tahoma" w:hAnsi="Tahoma" w:cs="Tahoma"/>
                <w:sz w:val="14"/>
                <w:szCs w:val="14"/>
                <w:lang w:val="it-IT"/>
              </w:rPr>
              <w:t xml:space="preserve"> </w:t>
            </w:r>
            <w:r w:rsidR="00047D7F" w:rsidRPr="00E33197">
              <w:rPr>
                <w:rFonts w:ascii="Tahoma" w:hAnsi="Tahoma" w:cs="Tahoma"/>
                <w:sz w:val="14"/>
                <w:szCs w:val="14"/>
                <w:shd w:val="clear" w:color="auto" w:fill="FFFFFF"/>
                <w:lang w:val="it-IT"/>
              </w:rPr>
              <w:t>Jiří Jaromír Klemeš</w:t>
            </w:r>
            <w:r w:rsidR="00252C1A" w:rsidRPr="00E33197">
              <w:rPr>
                <w:rFonts w:ascii="Tahoma" w:hAnsi="Tahoma" w:cs="Tahoma"/>
                <w:sz w:val="14"/>
                <w:szCs w:val="14"/>
                <w:shd w:val="clear" w:color="auto" w:fill="FFFFFF"/>
                <w:lang w:val="it-IT"/>
              </w:rPr>
              <w:t>, Laura Piazza</w:t>
            </w:r>
          </w:p>
          <w:p w:rsidR="000A03B2" w:rsidRPr="00E33197" w:rsidRDefault="00FA5F5F" w:rsidP="00131FAB">
            <w:pPr>
              <w:tabs>
                <w:tab w:val="left" w:pos="-108"/>
              </w:tabs>
              <w:spacing w:line="140" w:lineRule="atLeast"/>
              <w:ind w:left="-107"/>
              <w:jc w:val="left"/>
            </w:pPr>
            <w:r w:rsidRPr="00E33197">
              <w:rPr>
                <w:rFonts w:ascii="Tahoma" w:hAnsi="Tahoma" w:cs="Tahoma"/>
                <w:iCs/>
                <w:sz w:val="14"/>
                <w:szCs w:val="14"/>
                <w:lang w:eastAsia="it-IT"/>
              </w:rPr>
              <w:t>Copyright © 201</w:t>
            </w:r>
            <w:r w:rsidR="007931FA" w:rsidRPr="00E33197">
              <w:rPr>
                <w:rFonts w:ascii="Tahoma" w:hAnsi="Tahoma" w:cs="Tahoma"/>
                <w:iCs/>
                <w:sz w:val="14"/>
                <w:szCs w:val="14"/>
                <w:lang w:eastAsia="it-IT"/>
              </w:rPr>
              <w:t>9</w:t>
            </w:r>
            <w:r w:rsidR="00904C62" w:rsidRPr="00E33197">
              <w:rPr>
                <w:rFonts w:ascii="Tahoma" w:hAnsi="Tahoma" w:cs="Tahoma"/>
                <w:iCs/>
                <w:sz w:val="14"/>
                <w:szCs w:val="14"/>
                <w:lang w:eastAsia="it-IT"/>
              </w:rPr>
              <w:t>, AIDIC Servizi S.r.l.</w:t>
            </w:r>
            <w:r w:rsidR="00300E56" w:rsidRPr="00E33197">
              <w:rPr>
                <w:rFonts w:ascii="Tahoma" w:hAnsi="Tahoma" w:cs="Tahoma"/>
                <w:iCs/>
                <w:sz w:val="14"/>
                <w:szCs w:val="14"/>
                <w:lang w:eastAsia="it-IT"/>
              </w:rPr>
              <w:br/>
            </w:r>
            <w:r w:rsidR="00300E56" w:rsidRPr="00E33197">
              <w:rPr>
                <w:rFonts w:ascii="Tahoma" w:hAnsi="Tahoma" w:cs="Tahoma"/>
                <w:b/>
                <w:iCs/>
                <w:sz w:val="14"/>
                <w:szCs w:val="14"/>
                <w:lang w:eastAsia="it-IT"/>
              </w:rPr>
              <w:t>ISBN</w:t>
            </w:r>
            <w:r w:rsidR="00300E56" w:rsidRPr="00E33197">
              <w:rPr>
                <w:rFonts w:ascii="Tahoma" w:hAnsi="Tahoma" w:cs="Tahoma"/>
                <w:iCs/>
                <w:sz w:val="14"/>
                <w:szCs w:val="14"/>
                <w:lang w:eastAsia="it-IT"/>
              </w:rPr>
              <w:t xml:space="preserve"> </w:t>
            </w:r>
            <w:r w:rsidR="008D32B9" w:rsidRPr="00E33197">
              <w:rPr>
                <w:rFonts w:ascii="Tahoma" w:hAnsi="Tahoma" w:cs="Tahoma"/>
                <w:sz w:val="14"/>
                <w:szCs w:val="14"/>
              </w:rPr>
              <w:t>978-88-95608-</w:t>
            </w:r>
            <w:r w:rsidR="009635B9" w:rsidRPr="00E33197">
              <w:rPr>
                <w:rFonts w:ascii="Tahoma" w:hAnsi="Tahoma" w:cs="Tahoma"/>
                <w:sz w:val="14"/>
                <w:szCs w:val="14"/>
              </w:rPr>
              <w:t>73</w:t>
            </w:r>
            <w:r w:rsidR="008D32B9" w:rsidRPr="00E33197">
              <w:rPr>
                <w:rFonts w:ascii="Tahoma" w:hAnsi="Tahoma" w:cs="Tahoma"/>
                <w:sz w:val="14"/>
                <w:szCs w:val="14"/>
              </w:rPr>
              <w:t>-</w:t>
            </w:r>
            <w:r w:rsidR="009635B9" w:rsidRPr="00E33197">
              <w:rPr>
                <w:rFonts w:ascii="Tahoma" w:hAnsi="Tahoma" w:cs="Tahoma"/>
                <w:sz w:val="14"/>
                <w:szCs w:val="14"/>
              </w:rPr>
              <w:t>0</w:t>
            </w:r>
            <w:r w:rsidR="00300E56" w:rsidRPr="00E33197">
              <w:rPr>
                <w:rFonts w:ascii="Tahoma" w:hAnsi="Tahoma" w:cs="Tahoma"/>
                <w:iCs/>
                <w:sz w:val="14"/>
                <w:szCs w:val="14"/>
                <w:lang w:eastAsia="it-IT"/>
              </w:rPr>
              <w:t xml:space="preserve">; </w:t>
            </w:r>
            <w:r w:rsidR="00300E56" w:rsidRPr="00E33197">
              <w:rPr>
                <w:rFonts w:ascii="Tahoma" w:hAnsi="Tahoma" w:cs="Tahoma"/>
                <w:b/>
                <w:iCs/>
                <w:sz w:val="14"/>
                <w:szCs w:val="14"/>
                <w:lang w:eastAsia="it-IT"/>
              </w:rPr>
              <w:t>ISSN</w:t>
            </w:r>
            <w:r w:rsidR="00300E56" w:rsidRPr="00E33197">
              <w:rPr>
                <w:rFonts w:ascii="Tahoma" w:hAnsi="Tahoma" w:cs="Tahoma"/>
                <w:iCs/>
                <w:sz w:val="14"/>
                <w:szCs w:val="14"/>
                <w:lang w:eastAsia="it-IT"/>
              </w:rPr>
              <w:t xml:space="preserve"> 2283-9216</w:t>
            </w:r>
          </w:p>
        </w:tc>
      </w:tr>
    </w:tbl>
    <w:p w:rsidR="000A03B2" w:rsidRPr="00E33197" w:rsidRDefault="000A03B2" w:rsidP="000A03B2">
      <w:pPr>
        <w:pStyle w:val="CETAuthors"/>
        <w:sectPr w:rsidR="000A03B2" w:rsidRPr="00E33197" w:rsidSect="00C26179">
          <w:type w:val="continuous"/>
          <w:pgSz w:w="11906" w:h="16838" w:code="9"/>
          <w:pgMar w:top="1701" w:right="1418" w:bottom="1701" w:left="1701" w:header="1701" w:footer="0" w:gutter="0"/>
          <w:cols w:space="708"/>
          <w:titlePg/>
          <w:docGrid w:linePitch="360"/>
        </w:sectPr>
      </w:pPr>
    </w:p>
    <w:p w:rsidR="00E978D0" w:rsidRPr="00E33197" w:rsidRDefault="00AF6BE8" w:rsidP="00E978D0">
      <w:pPr>
        <w:pStyle w:val="CETTitle"/>
      </w:pPr>
      <w:r w:rsidRPr="00E33197">
        <w:lastRenderedPageBreak/>
        <w:t>Effect of Nanoemulsion Formulation on Permeation of Essential Oils through Biological Membranes</w:t>
      </w:r>
    </w:p>
    <w:p w:rsidR="00E978D0" w:rsidRPr="00E33197" w:rsidRDefault="00AF6BE8" w:rsidP="00AB5011">
      <w:pPr>
        <w:pStyle w:val="CETAuthors"/>
        <w:rPr>
          <w:lang w:val="it-IT"/>
        </w:rPr>
      </w:pPr>
      <w:r w:rsidRPr="00E33197">
        <w:rPr>
          <w:lang w:val="it-IT"/>
        </w:rPr>
        <w:t>Francesco Donsì</w:t>
      </w:r>
      <w:r w:rsidR="00600535" w:rsidRPr="00E33197">
        <w:rPr>
          <w:vertAlign w:val="superscript"/>
          <w:lang w:val="it-IT"/>
        </w:rPr>
        <w:t>a</w:t>
      </w:r>
      <w:r w:rsidRPr="00E33197">
        <w:rPr>
          <w:vertAlign w:val="superscript"/>
          <w:lang w:val="it-IT"/>
        </w:rPr>
        <w:t>,</w:t>
      </w:r>
      <w:r w:rsidRPr="00E33197">
        <w:rPr>
          <w:lang w:val="it-IT"/>
        </w:rPr>
        <w:t>*</w:t>
      </w:r>
      <w:r w:rsidR="00600535" w:rsidRPr="00E33197">
        <w:rPr>
          <w:lang w:val="it-IT"/>
        </w:rPr>
        <w:t xml:space="preserve">, </w:t>
      </w:r>
      <w:r w:rsidRPr="00E33197">
        <w:rPr>
          <w:lang w:val="it-IT"/>
        </w:rPr>
        <w:t>Giovanna Ferrari</w:t>
      </w:r>
      <w:r w:rsidRPr="00E33197">
        <w:rPr>
          <w:vertAlign w:val="superscript"/>
          <w:lang w:val="it-IT"/>
        </w:rPr>
        <w:t>b</w:t>
      </w:r>
    </w:p>
    <w:p w:rsidR="00AF6BE8" w:rsidRPr="00E33197" w:rsidRDefault="00E978D0" w:rsidP="00E978D0">
      <w:pPr>
        <w:pStyle w:val="CETAddress"/>
        <w:rPr>
          <w:lang w:val="it-IT"/>
        </w:rPr>
      </w:pPr>
      <w:r w:rsidRPr="00E33197">
        <w:rPr>
          <w:vertAlign w:val="superscript"/>
          <w:lang w:val="it-IT"/>
        </w:rPr>
        <w:t>a</w:t>
      </w:r>
      <w:r w:rsidR="00AF6BE8" w:rsidRPr="00E33197">
        <w:rPr>
          <w:lang w:val="it-IT"/>
        </w:rPr>
        <w:t>Department of Industrial Engineering, University of Salerno, via Giovanni Paolo II, 132, 84084 - Fisciano, Italy</w:t>
      </w:r>
    </w:p>
    <w:p w:rsidR="00E978D0" w:rsidRPr="00E33197" w:rsidRDefault="00E978D0" w:rsidP="00E978D0">
      <w:pPr>
        <w:pStyle w:val="CETAddress"/>
        <w:rPr>
          <w:lang w:val="it-IT"/>
        </w:rPr>
      </w:pPr>
      <w:r w:rsidRPr="00E33197">
        <w:rPr>
          <w:vertAlign w:val="superscript"/>
          <w:lang w:val="it-IT"/>
        </w:rPr>
        <w:t>b</w:t>
      </w:r>
      <w:r w:rsidR="00AF6BE8" w:rsidRPr="00E33197">
        <w:rPr>
          <w:lang w:val="it-IT"/>
        </w:rPr>
        <w:t>ProdAl scarl, via Giovanni Paolo II, 132, 84084 - Fisciano, Italy</w:t>
      </w:r>
      <w:r w:rsidRPr="00E33197">
        <w:rPr>
          <w:lang w:val="it-IT"/>
        </w:rPr>
        <w:t xml:space="preserve"> </w:t>
      </w:r>
    </w:p>
    <w:p w:rsidR="00E978D0" w:rsidRPr="00E33197" w:rsidRDefault="00671826" w:rsidP="00E978D0">
      <w:pPr>
        <w:pStyle w:val="CETemail"/>
      </w:pPr>
      <w:hyperlink r:id="rId10" w:history="1">
        <w:r w:rsidR="00AF6BE8" w:rsidRPr="00E33197">
          <w:rPr>
            <w:rStyle w:val="Collegamentoipertestuale"/>
            <w:color w:val="auto"/>
          </w:rPr>
          <w:t>fdonsi@unisa.it</w:t>
        </w:r>
      </w:hyperlink>
    </w:p>
    <w:p w:rsidR="00AF6BE8" w:rsidRPr="00E33197" w:rsidRDefault="00AF6BE8" w:rsidP="00AF6BE8">
      <w:pPr>
        <w:pStyle w:val="CETBodytext"/>
        <w:rPr>
          <w:lang w:val="en-GB"/>
        </w:rPr>
      </w:pPr>
      <w:r w:rsidRPr="00E33197">
        <w:rPr>
          <w:lang w:val="en-GB"/>
        </w:rPr>
        <w:t xml:space="preserve">The encapsulation of essential oils in nanoemulsions represents an effective approach not only to disperse them in the aqueous systems where microorganisms proliferate but also to enhance their permeability through biological membranes. </w:t>
      </w:r>
    </w:p>
    <w:p w:rsidR="00AF6BE8" w:rsidRPr="00E33197" w:rsidRDefault="00AF6BE8" w:rsidP="00AF6BE8">
      <w:pPr>
        <w:pStyle w:val="CETBodytext"/>
        <w:rPr>
          <w:lang w:val="en-GB"/>
        </w:rPr>
      </w:pPr>
      <w:r w:rsidRPr="00E33197">
        <w:rPr>
          <w:lang w:val="en-GB"/>
        </w:rPr>
        <w:t xml:space="preserve">In this work, different </w:t>
      </w:r>
      <w:r w:rsidR="007501B5" w:rsidRPr="00E33197">
        <w:rPr>
          <w:lang w:val="en-GB"/>
        </w:rPr>
        <w:t xml:space="preserve">food-grade </w:t>
      </w:r>
      <w:r w:rsidRPr="00E33197">
        <w:rPr>
          <w:lang w:val="en-GB"/>
        </w:rPr>
        <w:t xml:space="preserve">emulsifiers, such as whey proteins, lecithin, </w:t>
      </w:r>
      <w:r w:rsidR="007501B5" w:rsidRPr="00E33197">
        <w:rPr>
          <w:lang w:val="en-GB"/>
        </w:rPr>
        <w:t xml:space="preserve">Tween 80, </w:t>
      </w:r>
      <w:r w:rsidRPr="00E33197">
        <w:rPr>
          <w:lang w:val="en-GB"/>
        </w:rPr>
        <w:t xml:space="preserve">alginate or zein, were tested in the preparation of carvacrol nanoemulsions in water. In order to prevent the occurrence of instability phenomena associated with Ostwald ripening, carvacrol was mixed at different ratios with </w:t>
      </w:r>
      <w:r w:rsidR="007501B5" w:rsidRPr="00E33197">
        <w:rPr>
          <w:lang w:val="en-GB"/>
        </w:rPr>
        <w:t xml:space="preserve">peanut </w:t>
      </w:r>
      <w:r w:rsidRPr="00E33197">
        <w:rPr>
          <w:lang w:val="en-GB"/>
        </w:rPr>
        <w:t>oil or medium chain triglycerides. The high</w:t>
      </w:r>
      <w:r w:rsidR="00C02463" w:rsidRPr="00E33197">
        <w:rPr>
          <w:lang w:val="en-GB"/>
        </w:rPr>
        <w:t>-</w:t>
      </w:r>
      <w:r w:rsidRPr="00E33197">
        <w:rPr>
          <w:lang w:val="en-GB"/>
        </w:rPr>
        <w:t>pressure homogenization method (200 MPa, three passes, using an orifice valve) was used to reduce the droplet size in the nanometric range.</w:t>
      </w:r>
    </w:p>
    <w:p w:rsidR="00AF6BE8" w:rsidRPr="00E33197" w:rsidRDefault="00AF6BE8" w:rsidP="00AF6BE8">
      <w:pPr>
        <w:pStyle w:val="CETBodytext"/>
        <w:rPr>
          <w:lang w:val="en-GB"/>
        </w:rPr>
      </w:pPr>
      <w:r w:rsidRPr="00E33197">
        <w:rPr>
          <w:lang w:val="en-GB"/>
        </w:rPr>
        <w:t>The nanoemulsions were tested for their stability over time at varying the main formulation parameters, and then carvacrol permeability across dialysis membranes was investigated, using a Franz cell assembly.</w:t>
      </w:r>
    </w:p>
    <w:p w:rsidR="00AF6BE8" w:rsidRPr="00E33197" w:rsidRDefault="00AF6BE8" w:rsidP="00AF6BE8">
      <w:pPr>
        <w:pStyle w:val="CETBodytext"/>
        <w:rPr>
          <w:lang w:val="en-GB"/>
        </w:rPr>
      </w:pPr>
      <w:r w:rsidRPr="00E33197">
        <w:rPr>
          <w:lang w:val="en-GB"/>
        </w:rPr>
        <w:t xml:space="preserve">The results showed that, in order to prevent droplet coalescence due to Ostwald ripening, the minimum </w:t>
      </w:r>
      <w:r w:rsidR="007501B5" w:rsidRPr="00E33197">
        <w:rPr>
          <w:lang w:val="en-GB"/>
        </w:rPr>
        <w:t>ripening inhibitor</w:t>
      </w:r>
      <w:r w:rsidRPr="00E33197">
        <w:rPr>
          <w:lang w:val="en-GB"/>
        </w:rPr>
        <w:t xml:space="preserve"> oil-carvacrol ratio in the dispersed oil phase should be 3:1.</w:t>
      </w:r>
    </w:p>
    <w:p w:rsidR="00AF6BE8" w:rsidRPr="00E33197" w:rsidRDefault="00AF6BE8" w:rsidP="00AF6BE8">
      <w:pPr>
        <w:pStyle w:val="CETBodytext"/>
        <w:rPr>
          <w:lang w:val="en-GB"/>
        </w:rPr>
      </w:pPr>
      <w:r w:rsidRPr="00E33197">
        <w:rPr>
          <w:lang w:val="en-GB"/>
        </w:rPr>
        <w:t>In addition, despite comparable droplet sizes (&lt; 150 nm), the nanoemulsions stabilized by lecithin or whey proteins e</w:t>
      </w:r>
      <w:r w:rsidR="007501B5" w:rsidRPr="00E33197">
        <w:rPr>
          <w:lang w:val="en-GB"/>
        </w:rPr>
        <w:t xml:space="preserve">nabled </w:t>
      </w:r>
      <w:r w:rsidRPr="00E33197">
        <w:rPr>
          <w:lang w:val="en-GB"/>
        </w:rPr>
        <w:t xml:space="preserve">a </w:t>
      </w:r>
      <w:r w:rsidR="007501B5" w:rsidRPr="00E33197">
        <w:rPr>
          <w:lang w:val="en-GB"/>
        </w:rPr>
        <w:t xml:space="preserve">higher </w:t>
      </w:r>
      <w:r w:rsidRPr="00E33197">
        <w:rPr>
          <w:lang w:val="en-GB"/>
        </w:rPr>
        <w:t xml:space="preserve">carvacrol </w:t>
      </w:r>
      <w:r w:rsidR="007501B5" w:rsidRPr="00E33197">
        <w:rPr>
          <w:lang w:val="en-GB"/>
        </w:rPr>
        <w:t>diffusion through the cellulose membranes</w:t>
      </w:r>
      <w:r w:rsidRPr="00E33197">
        <w:rPr>
          <w:lang w:val="en-GB"/>
        </w:rPr>
        <w:t>, which was one order of magnitude higher than Tween 80</w:t>
      </w:r>
      <w:r w:rsidR="007501B5" w:rsidRPr="00E33197">
        <w:rPr>
          <w:lang w:val="en-GB"/>
        </w:rPr>
        <w:t>-based systems</w:t>
      </w:r>
      <w:r w:rsidRPr="00E33197">
        <w:rPr>
          <w:lang w:val="en-GB"/>
        </w:rPr>
        <w:t>.</w:t>
      </w:r>
    </w:p>
    <w:p w:rsidR="00600535" w:rsidRPr="00E33197" w:rsidRDefault="00600535" w:rsidP="00600535">
      <w:pPr>
        <w:pStyle w:val="CETHeading1"/>
        <w:rPr>
          <w:lang w:val="en-GB"/>
        </w:rPr>
      </w:pPr>
      <w:r w:rsidRPr="00E33197">
        <w:rPr>
          <w:lang w:val="en-GB"/>
        </w:rPr>
        <w:t>Introduction</w:t>
      </w:r>
    </w:p>
    <w:p w:rsidR="00C9031E" w:rsidRPr="00E33197" w:rsidRDefault="006D68F4" w:rsidP="00C9031E">
      <w:pPr>
        <w:pStyle w:val="CETBodytext"/>
        <w:rPr>
          <w:iCs/>
          <w:lang w:val="en-GB"/>
        </w:rPr>
      </w:pPr>
      <w:r w:rsidRPr="00E33197">
        <w:t xml:space="preserve">Essential oils </w:t>
      </w:r>
      <w:r w:rsidR="00771039" w:rsidRPr="00E33197">
        <w:rPr>
          <w:lang w:val="en-GB"/>
        </w:rPr>
        <w:t xml:space="preserve">are </w:t>
      </w:r>
      <w:r w:rsidRPr="00E33197">
        <w:t xml:space="preserve">secondary plant metabolites, characterized by a strong antimicrobial activity </w:t>
      </w:r>
      <w:r w:rsidR="00016742" w:rsidRPr="00E33197">
        <w:fldChar w:fldCharType="begin" w:fldLock="1"/>
      </w:r>
      <w:r w:rsidR="00CD0BCD" w:rsidRPr="00E33197">
        <w:instrText>ADDIN CSL_CITATION {"citationItems":[{"id":"ITEM-1","itemData":{"DOI":"10.1016/j.ijfoodmicro.2004.03.022","ISBN":"0168160504001","ISSN":"0168-1605","PMID":"15246235","abstract":"In vitro studies have demonstrated antibacterial activity of essential oils (EOs) against Listeria monocytogenes, Salmonella typhimurium, Escherichia coli O157:H7, Shigella dysenteria, Bacillus cereus and Staphylococcus aureus at levels between 0.2 and 10 microl ml(-1). Gram-negative organisms are slightly less susceptible than gram-positive bacteria. A number of EO components has been identified as effective antibacterials, e.g. carvacrol, thymol, eugenol, perillaldehyde, cinnamaldehyde and cinnamic acid, having minimum inhibitory concentrations (MICs) of 0.05-5 microl ml(-1) in vitro. A higher concentration is needed to achieve the same effect in foods. Studies with fresh meat, meat products, fish, milk, dairy products, vegetables, fruit and cooked rice have shown that the concentration needed to achieve a significant antibacterial effect is around 0.5-20 microl g(-1) in foods and about 0.1-10 microl ml(-1) in solutions for washing fruit and vegetables. EOs comprise a large number of components and it is likely that their mode of action involves several targets in the bacterial cell. The hydrophobicity of EOs enables them to partition in the lipids of the cell membrane and mitochondria, rendering them permeable and leading to leakage of cell contents. Physical conditions that improve the action of EOs are low pH, low temperature and low oxygen levels. Synergism has been observed between carvacrol and its precursor p-cymene and between cinnamaldehyde and eugenol. Synergy between EO components and mild preservation methods has also been observed. Some EO components are legally registered flavourings in the EU and the USA. Undesirable organoleptic effects can be limited by careful selection of EOs according to the type of food.","author":[{"dropping-particle":"","family":"Burt","given":"Sara","non-dropping-particle":"","parse-names":false,"suffix":""}],"container-title":"International journal of food microbiology","id":"ITEM-1","issue":"3","issued":{"date-parts":[["2004"]]},"page":"223-53","title":"Essential oils: their antibacterial properties and potential applications in foods--a review.","type":"article-journal","volume":"94"},"uris":["http://www.mendeley.com/documents/?uuid=61dced52-c0e0-41a1-9f67-1cb278a97e83"]}],"mendeley":{"formattedCitation":"(Burt, 2004)","plainTextFormattedCitation":"(Burt, 2004)","previouslyFormattedCitation":"(Burt, 2004)"},"properties":{"noteIndex":0},"schema":"https://github.com/citation-style-language/schema/raw/master/csl-citation.json"}</w:instrText>
      </w:r>
      <w:r w:rsidR="00016742" w:rsidRPr="00E33197">
        <w:fldChar w:fldCharType="separate"/>
      </w:r>
      <w:r w:rsidR="00016742" w:rsidRPr="00E33197">
        <w:rPr>
          <w:noProof/>
        </w:rPr>
        <w:t>(Burt, 2004)</w:t>
      </w:r>
      <w:r w:rsidR="00016742" w:rsidRPr="00E33197">
        <w:fldChar w:fldCharType="end"/>
      </w:r>
      <w:r w:rsidRPr="00E33197">
        <w:t xml:space="preserve">. </w:t>
      </w:r>
      <w:r w:rsidR="007501B5" w:rsidRPr="00E33197">
        <w:t>They</w:t>
      </w:r>
      <w:r w:rsidR="00016742" w:rsidRPr="00E33197">
        <w:t xml:space="preserve"> are made of </w:t>
      </w:r>
      <w:r w:rsidR="00771039" w:rsidRPr="00E33197">
        <w:rPr>
          <w:lang w:val="en-GB"/>
        </w:rPr>
        <w:t xml:space="preserve">volatile </w:t>
      </w:r>
      <w:r w:rsidR="00016742" w:rsidRPr="00E33197">
        <w:t>hydrophobic molecules</w:t>
      </w:r>
      <w:r w:rsidR="00771039" w:rsidRPr="00E33197">
        <w:rPr>
          <w:lang w:val="en-GB"/>
        </w:rPr>
        <w:t xml:space="preserve">, </w:t>
      </w:r>
      <w:r w:rsidR="00016742" w:rsidRPr="00E33197">
        <w:t xml:space="preserve">which are able to </w:t>
      </w:r>
      <w:r w:rsidR="00771039" w:rsidRPr="00E33197">
        <w:rPr>
          <w:lang w:val="en-GB"/>
        </w:rPr>
        <w:t xml:space="preserve">strongly interact with the lipids of the cell membrane, increasing membrane permeability, disturbing the original cell structures, breaking homeostasis, and causing the leakage of ions and cytoplasmic content </w:t>
      </w:r>
      <w:r w:rsidR="00771039" w:rsidRPr="00E33197">
        <w:fldChar w:fldCharType="begin" w:fldLock="1"/>
      </w:r>
      <w:r w:rsidR="00016742" w:rsidRPr="00E33197">
        <w:instrText>ADDIN CSL_CITATION {"citationItems":[{"id":"ITEM-1","itemData":{"DOI":"10.1080/10408398.2011.599504","ISBN":"1549-7852 (Electronic)\\r1040-8398 (Linking)","ISSN":"1549-7852","PMID":"24261536","abstract":"Essential oils derived from plants have been recognized for decades to exhibit biological activities, including antioxidant, anticancer, and antimicrobial attributes. Antimicrobial activities of these natural plant materials have been intensively explored in recent years, mainly in response to the overwhelming concern of consumers over the safety of synthetic food additives. Gram-negative organisms are believed to be slightly less sensitive to essential oils than Gram-positive bacteria. Generally, a higher concentration is required to obtain the same efficacy in foods than in synthetic media. The combinations of different types of essential oils or with other food additives have been found to potentially exhibit synergistic if not additive effects. This suggests a cost-efficient and wholesome alternative to both food industry and consumers, at the same time adhering to the hurdle technology in inhibiting proliferation of foodborne pathogens. This review aims to examine the conventional methods commonly used for assessment of antimicrobial activities of essential oils and phytochemicals, the use of these substances as antimicrobials in food products, factors that affect their efficacy, synergism between components or with available food preservatives as well as the challenges and future directions of using essential oils and phytochemicals as natural food preservatives.","author":[{"dropping-particle":"","family":"Seow","given":"Yi Xin","non-dropping-particle":"","parse-names":false,"suffix":""},{"dropping-particle":"","family":"Yeo","given":"Chia Rou","non-dropping-particle":"","parse-names":false,"suffix":""},{"dropping-particle":"","family":"Chung","given":"Hui Ling","non-dropping-particle":"","parse-names":false,"suffix":""},{"dropping-particle":"","family":"Yuk","given":"Hyun-Gyun","non-dropping-particle":"","parse-names":false,"suffix":""}],"container-title":"Critical reviews in food science and nutrition","id":"ITEM-1","issue":"5","issued":{"date-parts":[["2014"]]},"page":"625-44","title":"Plant essential oils as active antimicrobial agents.","type":"article-journal","volume":"54"},"uris":["http://www.mendeley.com/documents/?uuid=c31f4702-5ee1-44a6-b295-a4fbffed9b9e"]}],"mendeley":{"formattedCitation":"(Seow et al., 2014)","plainTextFormattedCitation":"(Seow et al., 2014)","previouslyFormattedCitation":"(Seow et al., 2014)"},"properties":{"noteIndex":0},"schema":"https://github.com/citation-style-language/schema/raw/master/csl-citation.json"}</w:instrText>
      </w:r>
      <w:r w:rsidR="00771039" w:rsidRPr="00E33197">
        <w:fldChar w:fldCharType="separate"/>
      </w:r>
      <w:bookmarkStart w:id="0" w:name="__Fieldmark__428_3067422205"/>
      <w:bookmarkStart w:id="1" w:name="__Fieldmark__397_48195757"/>
      <w:bookmarkStart w:id="2" w:name="__Fieldmark__277_1747190652"/>
      <w:r w:rsidRPr="00E33197">
        <w:rPr>
          <w:noProof/>
        </w:rPr>
        <w:t>(Seow et al., 2014)</w:t>
      </w:r>
      <w:r w:rsidR="00771039" w:rsidRPr="00E33197">
        <w:fldChar w:fldCharType="end"/>
      </w:r>
      <w:bookmarkEnd w:id="0"/>
      <w:bookmarkEnd w:id="1"/>
      <w:bookmarkEnd w:id="2"/>
      <w:r w:rsidR="00771039" w:rsidRPr="00E33197">
        <w:rPr>
          <w:lang w:val="en-GB"/>
        </w:rPr>
        <w:t>.</w:t>
      </w:r>
      <w:r w:rsidR="00771039" w:rsidRPr="00E33197">
        <w:t xml:space="preserve"> Therefore, </w:t>
      </w:r>
      <w:r w:rsidR="00016742" w:rsidRPr="00E33197">
        <w:t xml:space="preserve">their </w:t>
      </w:r>
      <w:r w:rsidR="00771039" w:rsidRPr="00E33197">
        <w:t xml:space="preserve">antimicrobial activity is non-specific and broad-spectrum, preventing the development of </w:t>
      </w:r>
      <w:r w:rsidR="00771039" w:rsidRPr="00E33197">
        <w:rPr>
          <w:lang w:val="en-GB"/>
        </w:rPr>
        <w:t xml:space="preserve">bacterial resistance, differently from many commercial antibiotics </w:t>
      </w:r>
      <w:r w:rsidR="00771039" w:rsidRPr="00E33197">
        <w:fldChar w:fldCharType="begin" w:fldLock="1"/>
      </w:r>
      <w:r w:rsidR="00016742" w:rsidRPr="00E33197">
        <w:instrText>ADDIN CSL_CITATION {"citationItems":[{"id":"ITEM-1","itemData":{"DOI":"10.1016/j.copbio.2011.08.005","ISSN":"09581669","PMID":"21903378","abstract":"Bacterial resistance to multiple antibiotics is a health problem. Essential oils (EOs) possess antibacterial properties and have been screened as potential sources of novel antimicrobial compounds. Terpenes and terpenoids are components derived from EOs. Some of these EOs show inhibitory activity against Staphylococcus aureus. Carvacrol has specific effects on S. aureus and Staphylococcus epidermidis. Perilla oil suppresses expression of α-toxin, Staphylococcus enterotoxin A and B and toxic shock syndrome toxin. Geraniol shows good activity in modulating drug resistance in several gram-negative species. EOs could act as biopreservatives, reducing or eliminating pathogenic bacteria and increasing the overall quality of animal and vegetable food products. Although clinical studies are scarce, the uses of EOs for topical administration and as penetration enhancers for antiseptics are promising. Little information exists for oral administration.","author":[{"dropping-particle":"","family":"Solórzano-Santos","given":"Fortino","non-dropping-particle":"","parse-names":false,"suffix":""},{"dropping-particle":"","family":"Miranda-Novales","given":"Maria Guadalupe","non-dropping-particle":"","parse-names":false,"suffix":""}],"container-title":"Current Opinion in Biotechnology","id":"ITEM-1","issue":"2","issued":{"date-parts":[["2012","4"]]},"page":"136-141","title":"Essential oils from aromatic herbs as antimicrobial agents","type":"article-journal","volume":"23"},"uris":["http://www.mendeley.com/documents/?uuid=4d6a525e-4757-311b-9da0-3a597c748da4"]}],"mendeley":{"formattedCitation":"(Solórzano-Santos and Miranda-Novales, 2012)","plainTextFormattedCitation":"(Solórzano-Santos and Miranda-Novales, 2012)","previouslyFormattedCitation":"(Solórzano-Santos and Miranda-Novales, 2012)"},"properties":{"noteIndex":0},"schema":"https://github.com/citation-style-language/schema/raw/master/csl-citation.json"}</w:instrText>
      </w:r>
      <w:r w:rsidR="00771039" w:rsidRPr="00E33197">
        <w:fldChar w:fldCharType="separate"/>
      </w:r>
      <w:bookmarkStart w:id="3" w:name="__Fieldmark__441_3067422205"/>
      <w:bookmarkStart w:id="4" w:name="__Fieldmark__408_48195757"/>
      <w:bookmarkStart w:id="5" w:name="__Fieldmark__298_1747190652"/>
      <w:r w:rsidRPr="00E33197">
        <w:rPr>
          <w:noProof/>
        </w:rPr>
        <w:t>(Solórzano-Santos and Miranda-Novales, 2012)</w:t>
      </w:r>
      <w:r w:rsidR="00771039" w:rsidRPr="00E33197">
        <w:fldChar w:fldCharType="end"/>
      </w:r>
      <w:bookmarkEnd w:id="3"/>
      <w:bookmarkEnd w:id="4"/>
      <w:bookmarkEnd w:id="5"/>
      <w:r w:rsidR="00771039" w:rsidRPr="00E33197">
        <w:rPr>
          <w:lang w:val="en-GB"/>
        </w:rPr>
        <w:t xml:space="preserve">. </w:t>
      </w:r>
      <w:r w:rsidR="00016742" w:rsidRPr="00E33197">
        <w:t xml:space="preserve">Because of their mechanism of action, the </w:t>
      </w:r>
      <w:r w:rsidR="00771039" w:rsidRPr="00E33197">
        <w:rPr>
          <w:lang w:val="en-GB"/>
        </w:rPr>
        <w:t xml:space="preserve">antimicrobial activity </w:t>
      </w:r>
      <w:r w:rsidR="00016742" w:rsidRPr="00E33197">
        <w:t xml:space="preserve">of essential oils </w:t>
      </w:r>
      <w:r w:rsidR="00771039" w:rsidRPr="00E33197">
        <w:rPr>
          <w:lang w:val="en-GB"/>
        </w:rPr>
        <w:t xml:space="preserve">requires that the </w:t>
      </w:r>
      <w:r w:rsidR="00016742" w:rsidRPr="00E33197">
        <w:t xml:space="preserve">active </w:t>
      </w:r>
      <w:r w:rsidR="00771039" w:rsidRPr="00E33197">
        <w:rPr>
          <w:lang w:val="en-GB"/>
        </w:rPr>
        <w:t xml:space="preserve">molecules get in contact with the microbial cell membrane, </w:t>
      </w:r>
      <w:r w:rsidR="00016742" w:rsidRPr="00E33197">
        <w:t xml:space="preserve">and therefore are efficiently delivered </w:t>
      </w:r>
      <w:r w:rsidR="0042499F" w:rsidRPr="00E33197">
        <w:t xml:space="preserve">in the aqueous-based environment of microorganisms proliferation </w:t>
      </w:r>
      <w:r w:rsidR="00771039" w:rsidRPr="00E33197">
        <w:fldChar w:fldCharType="begin" w:fldLock="1"/>
      </w:r>
      <w:r w:rsidR="00016742" w:rsidRPr="00E33197">
        <w:instrText>ADDIN CSL_CITATION {"citationItems":[{"id":"ITEM-1","itemData":{"DOI":"10.1016/j.jbiotec.2016.07.005","ISBN":"1873-4863 0168-1656","ISSN":"01681656","PMID":"27416793","abstract":"The crescent interest in the use of essential oils (EOs) as natural antimicrobials and preservatives in the food industry has been driven in the last years by the growing consumers’ demand for natural products with improved microbial safety, and fresh-like organoleptic properties. Nanoemulsions efficiently contribute to support the use of EOs in foods by increasing their dispersibility in the food areas where microorganisms grow and proliferate, by reducing the impact on the quality attributes of the product, as well as by enhancing their antimicrobial activity. Understanding how nanoemulsions intervene on the mass transfer of EOs to the cell membrane and on the mechanism of antimicrobial action will support the engineering of more effective delivery systems and foster the application of EOs in real food systems. This review focuses on the enabling contribution of nanoemulsions to the use of EOs as natural preservative agents in food, (a) specifically addressing the formulation and fabrication of stable EO nanoemulsions, (b) critically analyzing the reported antimicrobial activity data, both in vitro and in product, to infer the impact of the delivery system on the mechanisms of action of EOs, as well as (c) discussing the regulatory issues associated with their use in food systems.","author":[{"dropping-particle":"","family":"Donsì","given":"Francesco","non-dropping-particle":"","parse-names":false,"suffix":""},{"dropping-particle":"","family":"Ferrari","given":"Giovanna","non-dropping-particle":"","parse-names":false,"suffix":""}],"container-title":"Journal of Biotechnology","id":"ITEM-1","issued":{"date-parts":[["2016"]]},"page":"106-120","publisher":"Elsevier B.V.","title":"Essential oil nanoemulsions as antimicrobial agents in food","type":"article-journal","volume":"233"},"uris":["http://www.mendeley.com/documents/?uuid=c5afab12-d4cd-4936-9fca-d51bed16c35d"]}],"mendeley":{"formattedCitation":"(Donsì and Ferrari, 2016)","plainTextFormattedCitation":"(Donsì and Ferrari, 2016)","previouslyFormattedCitation":"(Donsì and Ferrari, 2016)"},"properties":{"noteIndex":0},"schema":"https://github.com/citation-style-language/schema/raw/master/csl-citation.json"}</w:instrText>
      </w:r>
      <w:r w:rsidR="00771039" w:rsidRPr="00E33197">
        <w:fldChar w:fldCharType="separate"/>
      </w:r>
      <w:bookmarkStart w:id="6" w:name="__Fieldmark__457_3067422205"/>
      <w:bookmarkStart w:id="7" w:name="__Fieldmark__431_48195757"/>
      <w:bookmarkStart w:id="8" w:name="__Fieldmark__353_1747190652"/>
      <w:r w:rsidRPr="00E33197">
        <w:rPr>
          <w:noProof/>
        </w:rPr>
        <w:t>(Donsì and Ferrari, 2016)</w:t>
      </w:r>
      <w:r w:rsidR="00771039" w:rsidRPr="00E33197">
        <w:fldChar w:fldCharType="end"/>
      </w:r>
      <w:bookmarkEnd w:id="6"/>
      <w:bookmarkEnd w:id="7"/>
      <w:bookmarkEnd w:id="8"/>
      <w:r w:rsidR="0042499F" w:rsidRPr="00E33197">
        <w:t xml:space="preserve">. </w:t>
      </w:r>
      <w:r w:rsidR="0042499F" w:rsidRPr="00E33197">
        <w:rPr>
          <w:iCs/>
          <w:lang w:val="en-GB"/>
        </w:rPr>
        <w:t>In particular, nanoemulsions are especially suitable for food applications, because they can be fabricated with food</w:t>
      </w:r>
      <w:r w:rsidR="00C02463" w:rsidRPr="00E33197">
        <w:rPr>
          <w:iCs/>
          <w:lang w:val="en-GB"/>
        </w:rPr>
        <w:t>-</w:t>
      </w:r>
      <w:r w:rsidR="0042499F" w:rsidRPr="00E33197">
        <w:rPr>
          <w:iCs/>
          <w:lang w:val="en-GB"/>
        </w:rPr>
        <w:t>compatible ingredients and by scalable approaches, such as high</w:t>
      </w:r>
      <w:r w:rsidR="00C02463" w:rsidRPr="00E33197">
        <w:rPr>
          <w:iCs/>
          <w:lang w:val="en-GB"/>
        </w:rPr>
        <w:t>-</w:t>
      </w:r>
      <w:r w:rsidR="0042499F" w:rsidRPr="00E33197">
        <w:rPr>
          <w:iCs/>
          <w:lang w:val="en-GB"/>
        </w:rPr>
        <w:t xml:space="preserve">pressure homogenization </w:t>
      </w:r>
      <w:r w:rsidR="0042499F" w:rsidRPr="00E33197">
        <w:fldChar w:fldCharType="begin" w:fldLock="1"/>
      </w:r>
      <w:r w:rsidR="00E50444" w:rsidRPr="00E33197">
        <w:instrText>ADDIN CSL_CITATION {"citationItems":[{"id":"ITEM-1","itemData":{"DOI":"10.1016/j.lwt.2011.03.003","ISBN":"0023-6438","ISSN":"00236438","abstract":"This work focuses on the encapsulation of essential oils into nanometric delivery systems for incorporation into fruit juices, in order to enhance their antimicrobial activity while minimizing the impact on the quality attributes of the final product. A terpenes mixture and d-limonene were encapsulated into nanoemulsions based on food-grade ingredients, prepared by high pressure homogenization at 300 MPa. The effect of the delivery systems on the antimicrobial activity of terpenes was investigated by determining the minimum inhibitory concentration (MIC) and minimum bactericidal concentration (MBC) for three different classes of microorganisms (Lactobacillus delbrueckii, Saccharomyces cerevisiae, Escherichia coli). The increase of the antimicrobial activity resulted to depend on the formulation and mean diameter of the delivery systems as well as on the microorganisms class. Additionally, GC-MS analysis revealed that high intensity processing for nanoemulsion production may affect the chemical stability of several active compounds. The application of the most efficient antimicrobial nanocapsules was tested in pear and orange juices inoculated with L. delbrueckii. Due to the higher antimicrobial activity of the nanoencapsulated compounds, lower antimicrobial concentrations are required for a bactericidal action under accelerated aging at 32 °C, with a minimal alteration of the organoleptic properties of the juice. © 2011 Elsevier Ltd.","author":[{"dropping-particle":"","family":"Donsì","given":"Francesco","non-dropping-particle":"","parse-names":false,"suffix":""},{"dropping-particle":"","family":"Annunziata","given":"Marianna","non-dropping-particle":"","parse-names":false,"suffix":""},{"dropping-particle":"","family":"Sessa","given":"Mariarenata","non-dropping-particle":"","parse-names":false,"suffix":""},{"dropping-particle":"","family":"Ferrari","given":"Giovanna","non-dropping-particle":"","parse-names":false,"suffix":""}],"container-title":"LWT - Food Science and Technology","id":"ITEM-1","issue":"9","issued":{"date-parts":[["2011"]]},"page":"1908-1914","publisher":"Elsevier Ltd","title":"Nanoencapsulation of essential oils to enhance their antimicrobial activity in foods","type":"article-journal","volume":"44"},"uris":["http://www.mendeley.com/documents/?uuid=18c1add5-c72a-48ca-ad87-773598909026"]}],"mendeley":{"formattedCitation":"(Donsì et al., 2011)","plainTextFormattedCitation":"(Donsì et al., 2011)","previouslyFormattedCitation":"(Donsì et al., 2011)"},"properties":{"noteIndex":0},"schema":"https://github.com/citation-style-language/schema/raw/master/csl-citation.json"}</w:instrText>
      </w:r>
      <w:r w:rsidR="0042499F" w:rsidRPr="00E33197">
        <w:fldChar w:fldCharType="separate"/>
      </w:r>
      <w:bookmarkStart w:id="9" w:name="__Fieldmark__495_3067422205"/>
      <w:bookmarkStart w:id="10" w:name="__Fieldmark__469_48195757"/>
      <w:bookmarkStart w:id="11" w:name="__Fieldmark__421_1747190652"/>
      <w:r w:rsidR="00CD0BCD" w:rsidRPr="00E33197">
        <w:rPr>
          <w:iCs/>
          <w:noProof/>
          <w:lang w:val="en-GB"/>
        </w:rPr>
        <w:t>(Donsì et al., 2011)</w:t>
      </w:r>
      <w:r w:rsidR="0042499F" w:rsidRPr="00E33197">
        <w:fldChar w:fldCharType="end"/>
      </w:r>
      <w:bookmarkEnd w:id="9"/>
      <w:bookmarkEnd w:id="10"/>
      <w:bookmarkEnd w:id="11"/>
      <w:r w:rsidR="0042499F" w:rsidRPr="00E33197">
        <w:rPr>
          <w:iCs/>
          <w:lang w:val="en-GB"/>
        </w:rPr>
        <w:t xml:space="preserve">. In the last decade, the exploitation of food-grade nanoemulsions for the delivery of </w:t>
      </w:r>
      <w:r w:rsidR="00CD0BCD" w:rsidRPr="00E33197">
        <w:rPr>
          <w:iCs/>
          <w:lang w:val="en-GB"/>
        </w:rPr>
        <w:t xml:space="preserve">essential oils </w:t>
      </w:r>
      <w:r w:rsidR="0042499F" w:rsidRPr="00E33197">
        <w:rPr>
          <w:iCs/>
          <w:lang w:val="en-GB"/>
        </w:rPr>
        <w:t xml:space="preserve">has become a consolidated research field, with both fundamental and applicative studies </w:t>
      </w:r>
      <w:r w:rsidR="0042499F" w:rsidRPr="00E33197">
        <w:fldChar w:fldCharType="begin" w:fldLock="1"/>
      </w:r>
      <w:r w:rsidR="00E50444" w:rsidRPr="00E33197">
        <w:instrText>ADDIN CSL_CITATION {"citationItems":[{"id":"ITEM-1","itemData":{"DOI":"10.1016/j.jbiotec.2016.07.005","ISBN":"1873-4863 0168-1656","ISSN":"01681656","PMID":"27416793","abstract":"The crescent interest in the use of essential oils (EOs) as natural antimicrobials and preservatives in the food industry has been driven in the last years by the growing consumers’ demand for natural products with improved microbial safety, and fresh-like organoleptic properties. Nanoemulsions efficiently contribute to support the use of EOs in foods by increasing their dispersibility in the food areas where microorganisms grow and proliferate, by reducing the impact on the quality attributes of the product, as well as by enhancing their antimicrobial activity. Understanding how nanoemulsions intervene on the mass transfer of EOs to the cell membrane and on the mechanism of antimicrobial action will support the engineering of more effective delivery systems and foster the application of EOs in real food systems. This review focuses on the enabling contribution of nanoemulsions to the use of EOs as natural preservative agents in food, (a) specifically addressing the formulation and fabrication of stable EO nanoemulsions, (b) critically analyzing the reported antimicrobial activity data, both in vitro and in product, to infer the impact of the delivery system on the mechanisms of action of EOs, as well as (c) discussing the regulatory issues associated with their use in food systems.","author":[{"dropping-particle":"","family":"Donsì","given":"Francesco","non-dropping-particle":"","parse-names":false,"suffix":""},{"dropping-particle":"","family":"Ferrari","given":"Giovanna","non-dropping-particle":"","parse-names":false,"suffix":""}],"container-title":"Journal of Biotechnology","id":"ITEM-1","issued":{"date-parts":[["2016"]]},"page":"106-120","publisher":"Elsevier B.V.","title":"Essential oil nanoemulsions as antimicrobial agents in food","type":"article-journal","volume":"233"},"uris":["http://www.mendeley.com/documents/?uuid=c5afab12-d4cd-4936-9fca-d51bed16c35d"]}],"mendeley":{"formattedCitation":"(Donsì and Ferrari, 2016)","plainTextFormattedCitation":"(Donsì and Ferrari, 2016)","previouslyFormattedCitation":"(Donsì and Ferrari, 2016)"},"properties":{"noteIndex":0},"schema":"https://github.com/citation-style-language/schema/raw/master/csl-citation.json"}</w:instrText>
      </w:r>
      <w:r w:rsidR="0042499F" w:rsidRPr="00E33197">
        <w:fldChar w:fldCharType="separate"/>
      </w:r>
      <w:bookmarkStart w:id="12" w:name="__Fieldmark__506_3067422205"/>
      <w:bookmarkStart w:id="13" w:name="__Fieldmark__476_48195757"/>
      <w:bookmarkStart w:id="14" w:name="__Fieldmark__429_1747190652"/>
      <w:r w:rsidR="00CD0BCD" w:rsidRPr="00E33197">
        <w:rPr>
          <w:iCs/>
          <w:noProof/>
          <w:lang w:val="en-GB"/>
        </w:rPr>
        <w:t>(Donsì and Ferrari, 2016)</w:t>
      </w:r>
      <w:r w:rsidR="0042499F" w:rsidRPr="00E33197">
        <w:fldChar w:fldCharType="end"/>
      </w:r>
      <w:bookmarkEnd w:id="12"/>
      <w:bookmarkEnd w:id="13"/>
      <w:bookmarkEnd w:id="14"/>
      <w:r w:rsidR="0042499F" w:rsidRPr="00E33197">
        <w:rPr>
          <w:iCs/>
          <w:lang w:val="en-GB"/>
        </w:rPr>
        <w:t>.</w:t>
      </w:r>
      <w:r w:rsidR="00821D90" w:rsidRPr="00E33197">
        <w:rPr>
          <w:iCs/>
          <w:lang w:val="en-GB"/>
        </w:rPr>
        <w:t xml:space="preserve"> For example, the application of essential oil nanoemulsions, within edible coatings</w:t>
      </w:r>
      <w:r w:rsidR="00805087" w:rsidRPr="00E33197">
        <w:rPr>
          <w:iCs/>
          <w:lang w:val="en-GB"/>
        </w:rPr>
        <w:t xml:space="preserve"> </w:t>
      </w:r>
      <w:r w:rsidR="00805087" w:rsidRPr="00E33197">
        <w:rPr>
          <w:iCs/>
          <w:lang w:val="en-GB"/>
        </w:rPr>
        <w:fldChar w:fldCharType="begin" w:fldLock="1"/>
      </w:r>
      <w:r w:rsidR="00805087" w:rsidRPr="00E33197">
        <w:rPr>
          <w:iCs/>
          <w:lang w:val="en-GB"/>
        </w:rPr>
        <w:instrText>ADDIN CSL_CITATION {"citationItems":[{"id":"ITEM-1","itemData":{"DOI":"10.3303/CET1543005","ISBN":"978-88-95608-34-1","ISSN":"2283-9216","abstract":"The objective of this work was to study the effect of Rosemary oil (Resemary Officinalis) and an emulsion at 68 % of EOs (EA3) on chitosan (CH) film forming dispersion (FFD) and CH films properties. FFD were characterized in terms of rheological properties and particle size distribution. In order to study the impact of EOs into the CH matrix, microstructure (SEM), film thickness, equilibrium moisture content (EMC) and water vapour permeability (WVP) of the dried film were evaluated. Results showed that oil concentration did not affect particle size distribution whereas the type of EO have an effect on the particle size dimension. The rheological properties of the FFD were significantly affected by the presence of the EOs. While a continuous structure was observed for the CH film, the presence of EOs caused discontinuities associated with the formation of two phases in the matrix: lipid droplets embedded in a continuous polymer network. The dimension of the oil droplet were higher in the film respect to the FFD. Moreover, it was showed that the higher the EOs content, the higher the film thickness and the lower the film moisture sorption capacity. The WVTR of CH film has an average value of 2.3x10-3 g m-2 s-1. The study revealed that an active chitosan film could be obtained by using the EA3 emulsion of EOs.","author":[{"dropping-particle":"","family":"Torrieri","given":"Elena","non-dropping-particle":"","parse-names":false,"suffix":""},{"dropping-particle":"","family":"Cavella","given":"Silvana","non-dropping-particle":"","parse-names":false,"suffix":""},{"dropping-particle":"","family":"Masi","given":"Paolo","non-dropping-particle":"","parse-names":false,"suffix":""}],"container-title":"CHEMICAL ENGINEERING TRANSACTIONS","id":"ITEM-1","issued":{"date-parts":[["2015"]]},"title":"Effect of Rosemary Oil and an Emulsion of Essential Oils on Structure and Physical Properties of Chitosan Film","type":"paper-conference","volume":"43"},"uris":["http://www.mendeley.com/documents/?uuid=c75a2b81-9280-33f9-a571-0617ece1e1df"]}],"mendeley":{"formattedCitation":"(Torrieri et al., 2015)","plainTextFormattedCitation":"(Torrieri et al., 2015)","previouslyFormattedCitation":"(Torrieri et al., 2015)"},"properties":{"noteIndex":0},"schema":"https://github.com/citation-style-language/schema/raw/master/csl-citation.json"}</w:instrText>
      </w:r>
      <w:r w:rsidR="00805087" w:rsidRPr="00E33197">
        <w:rPr>
          <w:iCs/>
          <w:lang w:val="en-GB"/>
        </w:rPr>
        <w:fldChar w:fldCharType="separate"/>
      </w:r>
      <w:r w:rsidR="00805087" w:rsidRPr="00E33197">
        <w:rPr>
          <w:iCs/>
          <w:noProof/>
          <w:lang w:val="en-GB"/>
        </w:rPr>
        <w:t>(Torrieri et al., 2015)</w:t>
      </w:r>
      <w:r w:rsidR="00805087" w:rsidRPr="00E33197">
        <w:rPr>
          <w:iCs/>
          <w:lang w:val="en-GB"/>
        </w:rPr>
        <w:fldChar w:fldCharType="end"/>
      </w:r>
      <w:r w:rsidR="00821D90" w:rsidRPr="00E33197">
        <w:rPr>
          <w:iCs/>
          <w:lang w:val="en-GB"/>
        </w:rPr>
        <w:t xml:space="preserve">, enabled </w:t>
      </w:r>
      <w:r w:rsidR="00F5027F" w:rsidRPr="00E33197">
        <w:rPr>
          <w:iCs/>
          <w:lang w:val="en-GB"/>
        </w:rPr>
        <w:t xml:space="preserve">to </w:t>
      </w:r>
      <w:r w:rsidR="00821D90" w:rsidRPr="00E33197">
        <w:rPr>
          <w:iCs/>
          <w:lang w:val="en-GB"/>
        </w:rPr>
        <w:t>extend the shelf-life of rucola leaves, through the microbial stabilization of their surface</w:t>
      </w:r>
      <w:r w:rsidR="00821D90" w:rsidRPr="00E33197">
        <w:t xml:space="preserve"> </w:t>
      </w:r>
      <w:r w:rsidR="00821D90" w:rsidRPr="00E33197">
        <w:fldChar w:fldCharType="begin" w:fldLock="1"/>
      </w:r>
      <w:r w:rsidR="00821D90" w:rsidRPr="00E33197">
        <w:instrText>ADDIN CSL_CITATION {"citationItems":[{"id":"ITEM-1","itemData":{"DOI":"10.3303/CET1543010","ISBN":"9788895608341","abstract":"Copyright © 2015, AIDIC Servizi S.r.l. Edible coatings are considered an environmentally friendly technology, able to extend the shelf-life of fruit and vegetables. In the present work, a novel approach to the preservation of vegetable products is proposed, through the development of edible coatings, containing nanoemulsified natural antimicrobial compounds. Modified chitosan was initially selected as film-forming biopolymer, owing to its inherent antimicrobial activity. Different essential oil nanoemulsions, with variable composition, mean droplet size and surface charge, containing lemon, Mandarin, oregano or clove essential oils, were developed to maximize in vitro the interaction with the modified chitosan coating and promote the resulting antimicrobial activity. The combined use of nanoemulsified lemon essential oil with modified chitosan resulted in the remarkable increase in antimicrobial activity, with respect to other essential oils. Therefore, this formulation, comprising 0.05%wt modified chitosan and 0.1%wt nanoemulsified lemon essential oil, was further tested in product for the stabilization of a leaf vegetable, such as rucola, during a shelf-life, consisting of storage at 4°C for 3 d and then at 8°C for a total of 21 d. Microbial viability as well as colour and texture changes were monitored during the shelf-life. The obtained results showed that the incorporation of nanoencapsulated lemon essential oil into the modified chitosan coating prolonged the shelf life of rucola leaves from 3 to 7 d, in comparison to the untreated sample. Moreover, the modified chitosan containing the nanoemulsified antimicrobial caused a significantly longer shelf-life also in comparison to a coating made of modified chitosan or essential oil alone. In conclusion, thanks to this novel treatment it is possible to prolong the shelf life of delicate leaf vegetables to about 10 - 14 d, without causing any significant alteration of the organoleptic properties of the product, preventing the loss of firmness and colour changes and preserving palatability during storage.","author":[{"dropping-particle":"","family":"Sessa","given":"Mariarenata","non-dropping-particle":"","parse-names":false,"suffix":""},{"dropping-particle":"","family":"Ferrari","given":"Giovanna","non-dropping-particle":"","parse-names":false,"suffix":""},{"dropping-particle":"","family":"Donsì","given":"Francesco","non-dropping-particle":"","parse-names":false,"suffix":""}],"container-title":"Chemical Engineering Transactions","id":"ITEM-1","issued":{"date-parts":[["2015"]]},"page":"55-60","title":"Novel Edible Coating Containing Essential Oil Nanoemulsions to Prolong the Shelf Life of Vegetable Products","type":"article-journal","volume":"43"},"uris":["http://www.mendeley.com/documents/?uuid=979cc709-84d3-44dd-b371-ff373d05356b"]}],"mendeley":{"formattedCitation":"(Sessa et al., 2015)","plainTextFormattedCitation":"(Sessa et al., 2015)","previouslyFormattedCitation":"(Sessa et al., 2015)"},"properties":{"noteIndex":0},"schema":"https://github.com/citation-style-language/schema/raw/master/csl-citation.json"}</w:instrText>
      </w:r>
      <w:r w:rsidR="00821D90" w:rsidRPr="00E33197">
        <w:fldChar w:fldCharType="separate"/>
      </w:r>
      <w:r w:rsidR="00821D90" w:rsidRPr="00E33197">
        <w:rPr>
          <w:noProof/>
        </w:rPr>
        <w:t>(Sessa et al., 2015)</w:t>
      </w:r>
      <w:r w:rsidR="00821D90" w:rsidRPr="00E33197">
        <w:fldChar w:fldCharType="end"/>
      </w:r>
      <w:r w:rsidR="00821D90" w:rsidRPr="00E33197">
        <w:t xml:space="preserve">. </w:t>
      </w:r>
      <w:r w:rsidR="00F5027F" w:rsidRPr="00E33197">
        <w:t>However, microorganisms might represent also a direct threat to living plants, when they penetrate in the plant tissue</w:t>
      </w:r>
      <w:r w:rsidR="00C9031E" w:rsidRPr="00E33197">
        <w:t xml:space="preserve">. </w:t>
      </w:r>
    </w:p>
    <w:p w:rsidR="00771039" w:rsidRPr="00E33197" w:rsidRDefault="00C9031E" w:rsidP="00E2071B">
      <w:pPr>
        <w:pStyle w:val="CETBodytext"/>
      </w:pPr>
      <w:r w:rsidRPr="00E33197">
        <w:t>For example, t</w:t>
      </w:r>
      <w:r w:rsidR="00CD0BCD" w:rsidRPr="00E33197">
        <w:t xml:space="preserve">he </w:t>
      </w:r>
      <w:r w:rsidR="00C26179" w:rsidRPr="00E33197">
        <w:rPr>
          <w:i/>
        </w:rPr>
        <w:t xml:space="preserve">Plasmopara viticola </w:t>
      </w:r>
      <w:r w:rsidR="00CD0BCD" w:rsidRPr="00E33197">
        <w:t xml:space="preserve">oomycete is responsible for the vine disease commonly called </w:t>
      </w:r>
      <w:r w:rsidR="00DF7530" w:rsidRPr="00E33197">
        <w:t>“Downy mildew”</w:t>
      </w:r>
      <w:r w:rsidR="00C26179" w:rsidRPr="00E33197">
        <w:t>. It</w:t>
      </w:r>
      <w:r w:rsidR="00DF7530" w:rsidRPr="00E33197">
        <w:t xml:space="preserve"> </w:t>
      </w:r>
      <w:r w:rsidR="00C26179" w:rsidRPr="00E33197">
        <w:t xml:space="preserve">is able to </w:t>
      </w:r>
      <w:r w:rsidR="00DF7530" w:rsidRPr="00E33197">
        <w:t>penetrat</w:t>
      </w:r>
      <w:r w:rsidR="00C26179" w:rsidRPr="00E33197">
        <w:t xml:space="preserve">e </w:t>
      </w:r>
      <w:r w:rsidR="00CD0BCD" w:rsidRPr="00E33197">
        <w:t xml:space="preserve">the </w:t>
      </w:r>
      <w:r w:rsidR="007501B5" w:rsidRPr="00E33197">
        <w:t xml:space="preserve">plant </w:t>
      </w:r>
      <w:r w:rsidR="00CD0BCD" w:rsidRPr="00E33197">
        <w:t xml:space="preserve">tissues through the stomatal openings and, if not </w:t>
      </w:r>
      <w:r w:rsidR="007057A3" w:rsidRPr="00E33197">
        <w:t xml:space="preserve">promptly </w:t>
      </w:r>
      <w:r w:rsidR="00CD0BCD" w:rsidRPr="00E33197">
        <w:t>e</w:t>
      </w:r>
      <w:r w:rsidR="007057A3" w:rsidRPr="00E33197">
        <w:t>radicated</w:t>
      </w:r>
      <w:r w:rsidR="00DF7530" w:rsidRPr="00E33197">
        <w:t xml:space="preserve">, </w:t>
      </w:r>
      <w:r w:rsidR="007057A3" w:rsidRPr="00E33197">
        <w:t xml:space="preserve">it </w:t>
      </w:r>
      <w:r w:rsidR="00DF7530" w:rsidRPr="00E33197">
        <w:t>caus</w:t>
      </w:r>
      <w:r w:rsidR="007057A3" w:rsidRPr="00E33197">
        <w:t xml:space="preserve">es </w:t>
      </w:r>
      <w:r w:rsidR="00DF7530" w:rsidRPr="00E33197">
        <w:t>the</w:t>
      </w:r>
      <w:r w:rsidR="00CD0BCD" w:rsidRPr="00E33197">
        <w:t xml:space="preserve"> necrosis of the leaves</w:t>
      </w:r>
      <w:r w:rsidRPr="00E33197">
        <w:t xml:space="preserve"> </w:t>
      </w:r>
      <w:r w:rsidR="00E50444" w:rsidRPr="00E33197">
        <w:fldChar w:fldCharType="begin" w:fldLock="1"/>
      </w:r>
      <w:r w:rsidR="00E2071B" w:rsidRPr="00E33197">
        <w:instrText>ADDIN CSL_CITATION {"citationItems":[{"id":"ITEM-1","itemData":{"DOI":"10.1016/B978-012373646-8.50007-X","ISBN":"978-0-12-373646-8","author":[{"dropping-particle":"","family":"Jackson","given":"Ronald S.","non-dropping-particle":"","parse-names":false,"suffix":""}],"chapter-number":"4","container-title":"Wine Science","id":"ITEM-1","issued":{"date-parts":[["2008","1","1"]]},"page":"108-238","publisher":"Academic Press","title":"Vineyard Practice","type":"chapter"},"uris":["http://www.mendeley.com/documents/?uuid=0f58ba6e-7770-3a17-a42e-7b79f78b13bd"]}],"mendeley":{"formattedCitation":"(Jackson, 2008)","plainTextFormattedCitation":"(Jackson, 2008)","previouslyFormattedCitation":"(Jackson, 2008)"},"properties":{"noteIndex":0},"schema":"https://github.com/citation-style-language/schema/raw/master/csl-citation.json"}</w:instrText>
      </w:r>
      <w:r w:rsidR="00E50444" w:rsidRPr="00E33197">
        <w:fldChar w:fldCharType="separate"/>
      </w:r>
      <w:r w:rsidR="00E50444" w:rsidRPr="00E33197">
        <w:rPr>
          <w:noProof/>
        </w:rPr>
        <w:t>(Jackson, 2008)</w:t>
      </w:r>
      <w:r w:rsidR="00E50444" w:rsidRPr="00E33197">
        <w:fldChar w:fldCharType="end"/>
      </w:r>
      <w:r w:rsidR="00CD0BCD" w:rsidRPr="00E33197">
        <w:t>.</w:t>
      </w:r>
      <w:r w:rsidRPr="00E33197">
        <w:t xml:space="preserve"> </w:t>
      </w:r>
      <w:r w:rsidR="007501B5" w:rsidRPr="00E33197">
        <w:t>To date</w:t>
      </w:r>
      <w:r w:rsidR="00CD0BCD" w:rsidRPr="00E33197">
        <w:t xml:space="preserve">, the only effective remedy to prevent this disease </w:t>
      </w:r>
      <w:r w:rsidR="007501B5" w:rsidRPr="00E33197">
        <w:lastRenderedPageBreak/>
        <w:t>consist</w:t>
      </w:r>
      <w:r w:rsidR="00CD0BCD" w:rsidRPr="00E33197">
        <w:t xml:space="preserve">s </w:t>
      </w:r>
      <w:r w:rsidR="00C02463" w:rsidRPr="00E33197">
        <w:t>of</w:t>
      </w:r>
      <w:r w:rsidR="00CD0BCD" w:rsidRPr="00E33197">
        <w:t xml:space="preserve"> sprinkling </w:t>
      </w:r>
      <w:r w:rsidR="007501B5" w:rsidRPr="00E33197">
        <w:t xml:space="preserve">the </w:t>
      </w:r>
      <w:r w:rsidR="00CD0BCD" w:rsidRPr="00E33197">
        <w:t xml:space="preserve">plants with </w:t>
      </w:r>
      <w:r w:rsidR="00E50444" w:rsidRPr="00E33197">
        <w:t>broad</w:t>
      </w:r>
      <w:r w:rsidR="00C02463" w:rsidRPr="00E33197">
        <w:t>-</w:t>
      </w:r>
      <w:r w:rsidR="00E50444" w:rsidRPr="00E33197">
        <w:t xml:space="preserve">spectrum protectant fungicides, such as chlorothalonil, mancozeb, and fixed </w:t>
      </w:r>
      <w:r w:rsidR="00CD0BCD" w:rsidRPr="00E33197">
        <w:t>copper</w:t>
      </w:r>
      <w:r w:rsidR="00E50444" w:rsidRPr="00E33197">
        <w:t xml:space="preserve">. However, these </w:t>
      </w:r>
      <w:r w:rsidR="00CD0BCD" w:rsidRPr="00E33197">
        <w:t>products</w:t>
      </w:r>
      <w:r w:rsidR="00E50444" w:rsidRPr="00E33197">
        <w:t xml:space="preserve">, </w:t>
      </w:r>
      <w:r w:rsidR="00CD0BCD" w:rsidRPr="00E33197">
        <w:t>over long periods of use</w:t>
      </w:r>
      <w:r w:rsidR="00E50444" w:rsidRPr="00E33197">
        <w:t>,</w:t>
      </w:r>
      <w:r w:rsidR="00CD0BCD" w:rsidRPr="00E33197">
        <w:t xml:space="preserve"> accumulate in the soil, causing </w:t>
      </w:r>
      <w:r w:rsidR="00E50444" w:rsidRPr="00E33197">
        <w:t xml:space="preserve">severe </w:t>
      </w:r>
      <w:r w:rsidR="00CD0BCD" w:rsidRPr="00E33197">
        <w:t xml:space="preserve">environmental </w:t>
      </w:r>
      <w:r w:rsidR="00E50444" w:rsidRPr="00E33197">
        <w:t>issues</w:t>
      </w:r>
      <w:r w:rsidR="00CD0BCD" w:rsidRPr="00E33197">
        <w:t xml:space="preserve">. </w:t>
      </w:r>
      <w:r w:rsidR="00E2071B" w:rsidRPr="00E33197">
        <w:t xml:space="preserve">Essential oils, as natural, broad-spectrum antimicrobial and antifungal agents </w:t>
      </w:r>
      <w:r w:rsidR="00E2071B" w:rsidRPr="00E33197">
        <w:fldChar w:fldCharType="begin" w:fldLock="1"/>
      </w:r>
      <w:r w:rsidR="00805087" w:rsidRPr="00E33197">
        <w:instrText>ADDIN CSL_CITATION {"citationItems":[{"id":"ITEM-1","itemData":{"DOI":"10.1016/j.foodcont.2016.09.044","ISSN":"09567135","abstract":"© 2016 Elsevier Ltd Only exiguous data are currently available on the antifungal properties of essential oil (EO) nanoemulsions against spore-forming microorganisms. The aim of this work is to develop physically stable nanoemulsion-based delivery systems for different EOs (cinnamon leaf, lemon, and bergamot), to exploit their antifungal properties against Aspergillus niger. The inhibition of mycelial radial growth and spore germination were used as indicators of antifungal activity of the nanoemulsions, which were prepared at 3 wt% EO, using non-ionic Tween 80 (T80) or anionic whey protein isolate (WPI) (1 wt%) as emulsifiers, and sunflower oil (1 wt%) as ripening inhibitor. The nanoemulsions were physically stable over seven days of accelerated aging at 35 °C. The minimal inhibitory concentration of free cinnamon leaf and of both citrus EOs were 0.35 and 5.50 μg/g, respectively. The encapsulation of cinnamon leaf EO in nanoemulsions significantly enhanced the inhibiting effect against A. niger mycelial growth and spore germination, with respect to the free EO. In contrast, for citrus EOs, the encapsulation in nanoemulsions generally decreased the antifungal activity, likely because of the nanoemulsion acting as a hydrophobic sink for the main constituents of citrus EOs. The emulsifier played a fundamental role in the resulting antifungal activity, with WPI-based nanoemulsions being more effective in inhibiting the mycelial growth and the spore germination of A. niger than T80-based ones. The antifungal action was correlated to the morphological alterations observed in A. niger, such as the loss of cytoplasm in fungal hyphae and hyphal tip. The results of this study show the importance of nanoemulsions design in the development of efficient and stable natural antifungal agents for food applications.","author":[{"dropping-particle":"","family":"Ribes","given":"S.","non-dropping-particle":"","parse-names":false,"suffix":""},{"dropping-particle":"","family":"Fuentes","given":"A.","non-dropping-particle":"","parse-names":false,"suffix":""},{"dropping-particle":"","family":"Talens","given":"P.","non-dropping-particle":"","parse-names":false,"suffix":""},{"dropping-particle":"","family":"Barat","given":"J.M.","non-dropping-particle":"","parse-names":false,"suffix":""},{"dropping-particle":"","family":"Ferrari","given":"G.","non-dropping-particle":"","parse-names":false,"suffix":""},{"dropping-particle":"","family":"Donsì","given":"Francesco","non-dropping-particle":"","parse-names":false,"suffix":""}],"container-title":"Food Control","id":"ITEM-1","issued":{"date-parts":[["2017"]]},"title":"Influence of emulsifier type on the antifungal activity of cinnamon leaf, lemon and bergamot oil nanoemulsions against Aspergillus niger","type":"article-journal","volume":"73"},"uris":["http://www.mendeley.com/documents/?uuid=d7df5ade-e4b3-3ad9-93aa-2eb4361a18a2"]}],"mendeley":{"formattedCitation":"(Ribes et al., 2017)","plainTextFormattedCitation":"(Ribes et al., 2017)","previouslyFormattedCitation":"(Ribes et al., 2017)"},"properties":{"noteIndex":0},"schema":"https://github.com/citation-style-language/schema/raw/master/csl-citation.json"}</w:instrText>
      </w:r>
      <w:r w:rsidR="00E2071B" w:rsidRPr="00E33197">
        <w:fldChar w:fldCharType="separate"/>
      </w:r>
      <w:r w:rsidR="00E2071B" w:rsidRPr="00E33197">
        <w:rPr>
          <w:noProof/>
        </w:rPr>
        <w:t>(Ribes et al., 2017)</w:t>
      </w:r>
      <w:r w:rsidR="00E2071B" w:rsidRPr="00E33197">
        <w:fldChar w:fldCharType="end"/>
      </w:r>
      <w:r w:rsidR="00E2071B" w:rsidRPr="00E33197">
        <w:t xml:space="preserve">, represent the primary choice for a more sustainable approach to the control of </w:t>
      </w:r>
      <w:r w:rsidR="00E2071B" w:rsidRPr="00E33197">
        <w:rPr>
          <w:i/>
        </w:rPr>
        <w:t xml:space="preserve">Plasmopara </w:t>
      </w:r>
      <w:r w:rsidR="00C02463" w:rsidRPr="00E33197">
        <w:rPr>
          <w:i/>
        </w:rPr>
        <w:t>v</w:t>
      </w:r>
      <w:r w:rsidR="00E2071B" w:rsidRPr="00E33197">
        <w:rPr>
          <w:i/>
        </w:rPr>
        <w:t>iticola</w:t>
      </w:r>
      <w:r w:rsidR="00E2071B" w:rsidRPr="00E33197">
        <w:t>, provided that they are delivered through suitable carriers.</w:t>
      </w:r>
    </w:p>
    <w:p w:rsidR="00E2071B" w:rsidRPr="00E33197" w:rsidRDefault="00E2071B" w:rsidP="00E2071B">
      <w:pPr>
        <w:pStyle w:val="CETBodytext"/>
      </w:pPr>
      <w:r w:rsidRPr="00E33197">
        <w:t>In this work, the fundamental aspects of encapsulation and delivery of essential oils in nanoemulsions are elucidated selecting carvacrol as model essential oil component, and investigating the effect of different nanoemulsion formulations on the diffusion through cellulose membranes, with the final goal of developing a sufficient body of knowledge to support the application in real systems (i.e. grape leaves)</w:t>
      </w:r>
      <w:r w:rsidR="007501B5" w:rsidRPr="00E33197">
        <w:t>.</w:t>
      </w:r>
    </w:p>
    <w:p w:rsidR="0034128D" w:rsidRPr="00E33197" w:rsidRDefault="0034128D" w:rsidP="0034128D">
      <w:pPr>
        <w:pStyle w:val="CETHeading1"/>
        <w:rPr>
          <w:lang w:val="en-GB"/>
        </w:rPr>
      </w:pPr>
      <w:r w:rsidRPr="00E33197">
        <w:rPr>
          <w:lang w:val="en-GB"/>
        </w:rPr>
        <w:t>Materials and Methods</w:t>
      </w:r>
    </w:p>
    <w:p w:rsidR="00CD708F" w:rsidRPr="00E33197" w:rsidRDefault="00CD708F" w:rsidP="00CD708F">
      <w:pPr>
        <w:pStyle w:val="CETheadingx"/>
      </w:pPr>
      <w:r w:rsidRPr="00E33197">
        <w:t>Materials</w:t>
      </w:r>
    </w:p>
    <w:p w:rsidR="00552A1C" w:rsidRPr="00E33197" w:rsidRDefault="00CD708F" w:rsidP="00552A1C">
      <w:pPr>
        <w:pStyle w:val="CETBodytext"/>
        <w:rPr>
          <w:lang w:val="en-GB"/>
        </w:rPr>
      </w:pPr>
      <w:r w:rsidRPr="00E33197">
        <w:rPr>
          <w:lang w:val="en-GB"/>
        </w:rPr>
        <w:t>Carvacrol</w:t>
      </w:r>
      <w:r w:rsidR="00552A1C" w:rsidRPr="00E33197">
        <w:rPr>
          <w:lang w:val="en-GB"/>
        </w:rPr>
        <w:t xml:space="preserve"> was used as model essential oil component</w:t>
      </w:r>
      <w:r w:rsidRPr="00E33197">
        <w:rPr>
          <w:lang w:val="en-GB"/>
        </w:rPr>
        <w:t>, medium chain triglycerides (MCT</w:t>
      </w:r>
      <w:r w:rsidR="00552A1C" w:rsidRPr="00E33197">
        <w:rPr>
          <w:lang w:val="en-GB"/>
        </w:rPr>
        <w:t>, from Sigma- Aldrich, Germany) or peanut oil (PO, from Olio Sagra, Italy) were used as ripening inhibitors</w:t>
      </w:r>
      <w:r w:rsidRPr="00E33197">
        <w:rPr>
          <w:lang w:val="en-GB"/>
        </w:rPr>
        <w:t>, Tween 80</w:t>
      </w:r>
      <w:r w:rsidR="00552A1C" w:rsidRPr="00E33197">
        <w:rPr>
          <w:lang w:val="en-GB"/>
        </w:rPr>
        <w:t xml:space="preserve"> (T80, from Sigma- Aldrich, Germany)</w:t>
      </w:r>
      <w:r w:rsidRPr="00E33197">
        <w:rPr>
          <w:lang w:val="en-GB"/>
        </w:rPr>
        <w:t xml:space="preserve">, </w:t>
      </w:r>
      <w:r w:rsidR="00552A1C" w:rsidRPr="00E33197">
        <w:rPr>
          <w:lang w:val="en-GB"/>
        </w:rPr>
        <w:t>soy lecithin Solec IP (LEC, a kind gift from Solae Italia s.r.l., Milan, Italy) or whey protein isolates Volactive UltraWhey 90 (WP, a kind gift of Volac International Limited, UK) were used as emulsifying agents, sodium alginate (A, from Sigma- Aldrich, Germany) or zein (Z, from Sigma- Aldrich, Germany) were used as stabilizing agents.</w:t>
      </w:r>
      <w:r w:rsidR="00805087" w:rsidRPr="00E33197">
        <w:rPr>
          <w:lang w:val="en-GB"/>
        </w:rPr>
        <w:t xml:space="preserve"> All the chemicals were obtained from Sigma- Aldrich (Germany). </w:t>
      </w:r>
    </w:p>
    <w:p w:rsidR="00CD708F" w:rsidRPr="00E33197" w:rsidRDefault="00CD708F" w:rsidP="00CD708F">
      <w:pPr>
        <w:pStyle w:val="CETheadingx"/>
      </w:pPr>
      <w:r w:rsidRPr="00E33197">
        <w:t>Methods</w:t>
      </w:r>
    </w:p>
    <w:p w:rsidR="00CD708F" w:rsidRPr="00E33197" w:rsidRDefault="00CD708F" w:rsidP="002A7047">
      <w:pPr>
        <w:pStyle w:val="CETBodytext"/>
        <w:rPr>
          <w:lang w:val="en-GB"/>
        </w:rPr>
      </w:pPr>
      <w:r w:rsidRPr="00E33197">
        <w:rPr>
          <w:lang w:val="en-GB"/>
        </w:rPr>
        <w:t>Nanoemulsions were produced with different approaches, depending on formulations. In the case of T80-based emulsions, the method of spontaneous emulsification was applied</w:t>
      </w:r>
      <w:r w:rsidR="000E6CE5" w:rsidRPr="00E33197">
        <w:rPr>
          <w:lang w:val="en-GB"/>
        </w:rPr>
        <w:t xml:space="preserve"> </w:t>
      </w:r>
      <w:r w:rsidR="000E6CE5" w:rsidRPr="00E33197">
        <w:fldChar w:fldCharType="begin" w:fldLock="1"/>
      </w:r>
      <w:r w:rsidR="000E6CE5" w:rsidRPr="00E33197">
        <w:instrText>ADDIN CSL_CITATION {"citationItems":[{"id":"ITEM-1","itemData":{"DOI":"10.1021/jf500160y","ISBN":"0021-8561","ISSN":"15205118","PMID":"24564878","abstract":"Nanoemulsions are particularly suitable as a platform in the development of delivery systems for lipophilic functional agents. This study shows that transparent orange oil nanoemulsions can be fabricated using an isothermal low-energy method (spontaneous emulsification), which offers the advantage of fabricating flavor oil delivery systems using rapid and simple processing operations. Orange oil nanoemulsions were formed spontaneously by titration of a mixture of orange oil, carrier oil (medium chain triglyceride, MCT) and non-ionic surfactant (Tween) into an aqueous solution (5 mM citrate buffer, pH 3.5) with continuous stirring. The oil-to-emulsion ratio content was kept constant (10 wt%) while the surfactant-to-emulsion ratio (SER) was varied (2.5 to 20 wt%). Oil phase composition (orange oil to MCT), SER and surfactant type all had an appreciable effect on nanoemulsion formation and stability. Transparent nanoemulsions could be formed under certain conditions: 20% surfactant (Tween 40, Tween 60 or Tween 80) and 10% oil phase (4% to 6% orange oil + 6% to 4% MCT). Surfactant type and oil phase composition also affected the thermal stability of the nanoemulsions. Most of the nanoemulsions broke down after thermal cycling (20 ºC to 90 ºC to 20 ºC), however one system remained transparent after thermal cycling: 20% Tween 80, 5% orange oil, 5% MCT. The mean droplet size of these nanoemulsions increased over time, but the droplet growth rate was reduced appreciably after dilution. These results have important implications for the design and utilization of nanoemulsions as delivery systems in the food and other industries.","author":[{"dropping-particle":"","family":"Chang","given":"Yuhua","non-dropping-particle":"","parse-names":false,"suffix":""},{"dropping-particle":"","family":"McClements","given":"David Julian","non-dropping-particle":"","parse-names":false,"suffix":""}],"container-title":"Journal of Agricultural and Food Chemistry","id":"ITEM-1","issue":"10","issued":{"date-parts":[["2014"]]},"page":"2306-2312","title":"Optimization of orange oil nanoemulsion formation by isothermal low-energy methods: Influence of the oil phase, surfactant, and temperature","type":"article-journal","volume":"62"},"uris":["http://www.mendeley.com/documents/?uuid=64586743-9ab2-4a33-87a9-9928a99b8f99"]}],"mendeley":{"formattedCitation":"(Chang and McClements, 2014)","plainTextFormattedCitation":"(Chang and McClements, 2014)","previouslyFormattedCitation":"(Chang and McClements, 2014)"},"properties":{"noteIndex":0},"schema":"https://github.com/citation-style-language/schema/raw/master/csl-citation.json"}</w:instrText>
      </w:r>
      <w:r w:rsidR="000E6CE5" w:rsidRPr="00E33197">
        <w:fldChar w:fldCharType="separate"/>
      </w:r>
      <w:r w:rsidR="000E6CE5" w:rsidRPr="00E33197">
        <w:rPr>
          <w:noProof/>
        </w:rPr>
        <w:t>(Chang and McClements, 2014)</w:t>
      </w:r>
      <w:r w:rsidR="000E6CE5" w:rsidRPr="00E33197">
        <w:fldChar w:fldCharType="end"/>
      </w:r>
      <w:r w:rsidR="00552A1C" w:rsidRPr="00E33197">
        <w:rPr>
          <w:lang w:val="en-GB"/>
        </w:rPr>
        <w:t xml:space="preserve">. Briefly, T80 was mixed with the oil phase (carvacrol and ripening inhibitor, MCT or </w:t>
      </w:r>
      <w:r w:rsidR="002A7047" w:rsidRPr="00E33197">
        <w:rPr>
          <w:lang w:val="en-GB"/>
        </w:rPr>
        <w:t>PO</w:t>
      </w:r>
      <w:r w:rsidR="00552A1C" w:rsidRPr="00E33197">
        <w:rPr>
          <w:lang w:val="en-GB"/>
        </w:rPr>
        <w:t>) by vortexing for 1 min</w:t>
      </w:r>
      <w:r w:rsidR="007501B5" w:rsidRPr="00E33197">
        <w:rPr>
          <w:lang w:val="en-GB"/>
        </w:rPr>
        <w:t>.</w:t>
      </w:r>
      <w:r w:rsidR="00552A1C" w:rsidRPr="00E33197">
        <w:rPr>
          <w:lang w:val="en-GB"/>
        </w:rPr>
        <w:t xml:space="preserve"> </w:t>
      </w:r>
      <w:r w:rsidR="007501B5" w:rsidRPr="00E33197">
        <w:rPr>
          <w:lang w:val="en-GB"/>
        </w:rPr>
        <w:t>S</w:t>
      </w:r>
      <w:r w:rsidR="00552A1C" w:rsidRPr="00E33197">
        <w:rPr>
          <w:lang w:val="en-GB"/>
        </w:rPr>
        <w:t>ubsequently</w:t>
      </w:r>
      <w:r w:rsidR="007501B5" w:rsidRPr="00E33197">
        <w:rPr>
          <w:lang w:val="en-GB"/>
        </w:rPr>
        <w:t>, the oil phase</w:t>
      </w:r>
      <w:r w:rsidR="00552A1C" w:rsidRPr="00E33197">
        <w:rPr>
          <w:lang w:val="en-GB"/>
        </w:rPr>
        <w:t xml:space="preserve"> was added, dropwise, to the aqueous phase (pure water or a stabilizer</w:t>
      </w:r>
      <w:r w:rsidR="007501B5" w:rsidRPr="00E33197">
        <w:rPr>
          <w:lang w:val="en-GB"/>
        </w:rPr>
        <w:t xml:space="preserve"> aqueous solution</w:t>
      </w:r>
      <w:r w:rsidR="00552A1C" w:rsidRPr="00E33197">
        <w:rPr>
          <w:lang w:val="en-GB"/>
        </w:rPr>
        <w:t>) under magnetic agitation to produce a primary emulsion. In the case of LEC</w:t>
      </w:r>
      <w:r w:rsidR="002A7047" w:rsidRPr="00E33197">
        <w:rPr>
          <w:lang w:val="en-GB"/>
        </w:rPr>
        <w:t xml:space="preserve"> or WP, the primary emulsions were produced by adding dropwise the oil phase in the aqueous phase containing the emulsifier, under agitation with an Ultra Turrax T25 blender (IKA Labortechnik, Germany) at 24,000 rpm for 5 min, in an ice bath, to prevent carvacrol degradation. </w:t>
      </w:r>
      <w:r w:rsidR="007501B5" w:rsidRPr="00E33197">
        <w:rPr>
          <w:lang w:val="en-GB"/>
        </w:rPr>
        <w:t>T</w:t>
      </w:r>
      <w:r w:rsidR="002A7047" w:rsidRPr="00E33197">
        <w:rPr>
          <w:lang w:val="en-GB"/>
        </w:rPr>
        <w:t>he nanoemulsions were produced by high</w:t>
      </w:r>
      <w:r w:rsidR="00C02463" w:rsidRPr="00E33197">
        <w:rPr>
          <w:lang w:val="en-GB"/>
        </w:rPr>
        <w:t>-</w:t>
      </w:r>
      <w:r w:rsidR="002A7047" w:rsidRPr="00E33197">
        <w:rPr>
          <w:lang w:val="en-GB"/>
        </w:rPr>
        <w:t>pressure homogenization (HPH)</w:t>
      </w:r>
      <w:r w:rsidR="007501B5" w:rsidRPr="00E33197">
        <w:rPr>
          <w:lang w:val="en-GB"/>
        </w:rPr>
        <w:t xml:space="preserve"> of the primary emulsions</w:t>
      </w:r>
      <w:r w:rsidR="002A7047" w:rsidRPr="00E33197">
        <w:rPr>
          <w:lang w:val="en-GB"/>
        </w:rPr>
        <w:t xml:space="preserve">, using an in-house developed system, equipped with an 80 </w:t>
      </w:r>
      <w:r w:rsidR="00454DC6" w:rsidRPr="00E33197">
        <w:rPr>
          <w:rFonts w:cs="Arial"/>
          <w:lang w:val="en-GB"/>
        </w:rPr>
        <w:t>µ</w:t>
      </w:r>
      <w:r w:rsidR="002A7047" w:rsidRPr="00E33197">
        <w:rPr>
          <w:lang w:val="en-GB"/>
        </w:rPr>
        <w:t>m diameter orifice valve (model WS1973, Maximator JET GmbH, Germany)</w:t>
      </w:r>
      <w:r w:rsidR="00805087" w:rsidRPr="00E33197">
        <w:rPr>
          <w:lang w:val="en-GB"/>
        </w:rPr>
        <w:t xml:space="preserve">, previously described </w:t>
      </w:r>
      <w:r w:rsidR="00805087" w:rsidRPr="00E33197">
        <w:rPr>
          <w:lang w:val="en-GB"/>
        </w:rPr>
        <w:fldChar w:fldCharType="begin" w:fldLock="1"/>
      </w:r>
      <w:r w:rsidR="00970B8D" w:rsidRPr="00E33197">
        <w:rPr>
          <w:lang w:val="en-GB"/>
        </w:rPr>
        <w:instrText>ADDIN CSL_CITATION {"citationItems":[{"id":"ITEM-1","itemData":{"DOI":"10.3303/CET1757306","ISBN":"9788895608488","abstract":"© Copyright 2017, AIDIC Servizi S.r.l. The residues from agri-food industry often represent an environmental burden, despite the fact that they are still rich in several intracellular compounds, which can be efficiently valorized if adequately recovered. This work addresses the use of High Pressure Homogenization (HPH) processing as an efficient comminution process to mechanically disrupt the plant cells and release the high-added value intracellular components into vegetable oils for their structuring and functionalization. The vegetable matrices, consisting of tomato peels, or spent coffee grounds, were suspended in water, premilled and screened at 600 μm. Subsequently, the vegetable suspensions were processed from 1 to 5 times by HPH, at 100 MPa. Centrifugation (5000×g for 30 min) was used to separate the different fractions (oil phase, aqueous phase, and insoluble fibers). Vegetable oils were added to the dispersion before the HPH treatment or to the insoluble residues after centrifugation. The results indicate that HPH processing causes the complete disruption of the vegetable cells in suspension and the release of the intracellular material. The resulting vegetable cell debris was exploited as an oil structuring agent, through the formation of a water-based capillary network into the continuous oil phase. The developed structuring capabilities of vegetable oils make possible to replace other undesired ingredients, such as palm oil, in food product formulation. Moreover, the lipophilic bioactive compounds contained in the vegetable cells were released in the oil fraction, becoming more readily bioaccessible.","author":[{"dropping-particle":"","family":"Ferrari","given":"Giovanna","non-dropping-particle":"","parse-names":false,"suffix":""},{"dropping-particle":"","family":"Mustafa","given":"Waleed","non-dropping-particle":"","parse-names":false,"suffix":""},{"dropping-particle":"","family":"Donsì","given":"Francesco","non-dropping-particle":"","parse-names":false,"suffix":""}],"container-title":"Chemical Engineering Transactions","id":"ITEM-1","issued":{"date-parts":[["2017"]]},"page":"1831-1836","title":"Use of agri-food residues for oil structuring and functionalization","type":"article-journal","volume":"57"},"uris":["http://www.mendeley.com/documents/?uuid=a062ea62-e7bf-37ff-8117-30816123c777"]}],"mendeley":{"formattedCitation":"(Ferrari et al., 2017)","plainTextFormattedCitation":"(Ferrari et al., 2017)","previouslyFormattedCitation":"(Ferrari et al., 2017)"},"properties":{"noteIndex":0},"schema":"https://github.com/citation-style-language/schema/raw/master/csl-citation.json"}</w:instrText>
      </w:r>
      <w:r w:rsidR="00805087" w:rsidRPr="00E33197">
        <w:rPr>
          <w:lang w:val="en-GB"/>
        </w:rPr>
        <w:fldChar w:fldCharType="separate"/>
      </w:r>
      <w:r w:rsidR="00805087" w:rsidRPr="00E33197">
        <w:rPr>
          <w:noProof/>
          <w:lang w:val="en-GB"/>
        </w:rPr>
        <w:t>(Ferrari et al., 2017)</w:t>
      </w:r>
      <w:r w:rsidR="00805087" w:rsidRPr="00E33197">
        <w:rPr>
          <w:lang w:val="en-GB"/>
        </w:rPr>
        <w:fldChar w:fldCharType="end"/>
      </w:r>
      <w:r w:rsidR="002A7047" w:rsidRPr="00E33197">
        <w:rPr>
          <w:lang w:val="en-GB"/>
        </w:rPr>
        <w:t xml:space="preserve">. The HPH treatment consisted of </w:t>
      </w:r>
      <w:r w:rsidR="00805087" w:rsidRPr="00E33197">
        <w:rPr>
          <w:lang w:val="en-GB"/>
        </w:rPr>
        <w:t xml:space="preserve">3 </w:t>
      </w:r>
      <w:r w:rsidR="002A7047" w:rsidRPr="00E33197">
        <w:rPr>
          <w:lang w:val="en-GB"/>
        </w:rPr>
        <w:t>passes at 200 MPa, with intermediate cooling at 5°C in a tube-in-tube heat exchanger.</w:t>
      </w:r>
    </w:p>
    <w:p w:rsidR="00454DC6" w:rsidRPr="00E33197" w:rsidRDefault="00454DC6" w:rsidP="00454DC6">
      <w:pPr>
        <w:pStyle w:val="CETBodytext"/>
      </w:pPr>
      <w:r w:rsidRPr="00E33197">
        <w:t>The</w:t>
      </w:r>
      <w:r w:rsidRPr="00E33197">
        <w:t xml:space="preserve"> total oil concentration was set at 2</w:t>
      </w:r>
      <w:r w:rsidRPr="00E33197">
        <w:t>.67 wt%</w:t>
      </w:r>
      <w:r w:rsidRPr="00E33197">
        <w:t xml:space="preserve"> because preliminary experiments showed that high</w:t>
      </w:r>
      <w:r w:rsidR="00E62B46" w:rsidRPr="00E33197">
        <w:t>er</w:t>
      </w:r>
      <w:r w:rsidRPr="00E33197">
        <w:t xml:space="preserve"> oil fractions had </w:t>
      </w:r>
      <w:r w:rsidRPr="00E33197">
        <w:t xml:space="preserve">negative effects on </w:t>
      </w:r>
      <w:r w:rsidRPr="00E33197">
        <w:t>vine leaves</w:t>
      </w:r>
      <w:r w:rsidRPr="00E33197">
        <w:t xml:space="preserve">. </w:t>
      </w:r>
      <w:r w:rsidRPr="00E33197">
        <w:t xml:space="preserve">The carvacrol:ripening inhibitor ratio was </w:t>
      </w:r>
      <w:r w:rsidR="00E62B46" w:rsidRPr="00E33197">
        <w:t xml:space="preserve">investigated as formulation parameters. </w:t>
      </w:r>
      <w:r w:rsidRPr="00E33197">
        <w:t xml:space="preserve">The emulsifier:total oil ratio was set to 1:2 w/w, which is in the lower range of values reported for </w:t>
      </w:r>
      <w:r w:rsidR="00E62B46" w:rsidRPr="00E33197">
        <w:t xml:space="preserve">the preparation of </w:t>
      </w:r>
      <w:r w:rsidRPr="00E33197">
        <w:t xml:space="preserve">essential oil nanoemulsions </w:t>
      </w:r>
      <w:r w:rsidRPr="00E33197">
        <w:fldChar w:fldCharType="begin" w:fldLock="1"/>
      </w:r>
      <w:r w:rsidRPr="00E33197">
        <w:instrText>ADDIN CSL_CITATION {"citationItems":[{"id":"ITEM-1","itemData":{"DOI":"10.1016/j.jbiotec.2016.07.005","ISBN":"1873-4863 0168-1656","ISSN":"01681656","PMID":"27416793","abstract":"The crescent interest in the use of essential oils (EOs) as natural antimicrobials and preservatives in the food industry has been driven in the last years by the growing consumers’ demand for natural products with improved microbial safety, and fresh-like organoleptic properties. Nanoemulsions efficiently contribute to support the use of EOs in foods by increasing their dispersibility in the food areas where microorganisms grow and proliferate, by reducing the impact on the quality attributes of the product, as well as by enhancing their antimicrobial activity. Understanding how nanoemulsions intervene on the mass transfer of EOs to the cell membrane and on the mechanism of antimicrobial action will support the engineering of more effective delivery systems and foster the application of EOs in real food systems. This review focuses on the enabling contribution of nanoemulsions to the use of EOs as natural preservative agents in food, (a) specifically addressing the formulation and fabrication of stable EO nanoemulsions, (b) critically analyzing the reported antimicrobial activity data, both in vitro and in product, to infer the impact of the delivery system on the mechanisms of action of EOs, as well as (c) discussing the regulatory issues associated with their use in food systems.","author":[{"dropping-particle":"","family":"Donsì","given":"Francesco","non-dropping-particle":"","parse-names":false,"suffix":""},{"dropping-particle":"","family":"Ferrari","given":"Giovanna","non-dropping-particle":"","parse-names":false,"suffix":""}],"container-title":"Journal of Biotechnology","id":"ITEM-1","issued":{"date-parts":[["2016"]]},"page":"106-120","publisher":"Elsevier B.V.","title":"Essential oil nanoemulsions as antimicrobial agents in food","type":"article-journal","volume":"233"},"uris":["http://www.mendeley.com/documents/?uuid=c5afab12-d4cd-4936-9fca-d51bed16c35d"]}],"mendeley":{"formattedCitation":"(Donsì and Ferrari, 2016)","plainTextFormattedCitation":"(Donsì and Ferrari, 2016)","previouslyFormattedCitation":"(Donsì and Ferrari, 2016)"},"properties":{"noteIndex":0},"schema":"https://github.com/citation-style-language/schema/raw/master/csl-citation.json"}</w:instrText>
      </w:r>
      <w:r w:rsidRPr="00E33197">
        <w:fldChar w:fldCharType="separate"/>
      </w:r>
      <w:r w:rsidRPr="00E33197">
        <w:rPr>
          <w:noProof/>
        </w:rPr>
        <w:t>(Donsì and Ferrari, 2016)</w:t>
      </w:r>
      <w:r w:rsidRPr="00E33197">
        <w:fldChar w:fldCharType="end"/>
      </w:r>
      <w:r w:rsidRPr="00E33197">
        <w:t xml:space="preserve">, </w:t>
      </w:r>
      <w:r w:rsidR="00E62B46" w:rsidRPr="00E33197">
        <w:t xml:space="preserve">to reduce the use of the </w:t>
      </w:r>
      <w:r w:rsidRPr="00E33197">
        <w:t>emulsifier</w:t>
      </w:r>
      <w:r w:rsidR="00E62B46" w:rsidRPr="00E33197">
        <w:t>, which might have a negative impact</w:t>
      </w:r>
      <w:r w:rsidRPr="00E33197">
        <w:t xml:space="preserve"> on vine leaves.</w:t>
      </w:r>
      <w:r w:rsidR="00E62B46" w:rsidRPr="00E33197">
        <w:t xml:space="preserve"> The stabilizer concentration was set at 0.67 wt% of total formulation because preliminary experiments showed that lower concentrations had negligible stabilizing effects, while higher concentrations caused depletion flocculation, as previously discussed </w:t>
      </w:r>
      <w:r w:rsidR="00E62B46" w:rsidRPr="00E33197">
        <w:rPr>
          <w:lang w:val="en-GB"/>
        </w:rPr>
        <w:fldChar w:fldCharType="begin" w:fldLock="1"/>
      </w:r>
      <w:r w:rsidR="00E62B46" w:rsidRPr="00E33197">
        <w:rPr>
          <w:lang w:val="en-GB"/>
        </w:rPr>
        <w:instrText>ADDIN CSL_CITATION {"citationItems":[{"id":"ITEM-1","itemData":{"DOI":"10.1016/j.foodhyd.2016.09.039","ISSN":"0268005X","abstract":"Zein, a water insoluble plant protein from a renewable natural source, has been identified as a highly promising material for the production of protein-based colloidal particles for the encapsulation of lipophilic compounds. However, the encapsulation of hydrophilic, water-soluble, bioactive molecules within zein colloidal particles is still unexplored. We show that the encapsulation of epigallocatechin gallate (EGCG) is strongly limited by the weak physical interactions occurring with the zein matrix during the precipitation phase. We demonstrate that the use of sodium caseinate, as a colloidal stabilizer to coat the zein particles, enables the modulation of the encapsulation efficiency and functionality of zein colloidal particles for EGCG delivery. In particular, coated zein particles exhibit a larger size, opposite surface charge and significantly different antioxidant activity, owing to the localization of EGCG affected by the different extent of interaction of EGCG with zein and sodium caseinate. Remarkably, particle formulation also tunes the release rate of EGCG during in vitro digestion and modulates the rate of fat digestion, through the combination of the Pickering emulsion stabilization effect and EGCG interaction with lipase enzyme. Zein-based colloidal particles constitute hence remarkable systems for the tunable and multi-functional delivery of EGCG.","author":[{"dropping-particle":"","family":"Donsì","given":"Francesco","non-dropping-particle":"","parse-names":false,"suffix":""},{"dropping-particle":"","family":"Voudouris","given":"Panayiotis","non-dropping-particle":"","parse-names":false,"suffix":""},{"dropping-particle":"","family":"Veen","given":"Sandra J.","non-dropping-particle":"","parse-names":false,"suffix":""},{"dropping-particle":"","family":"Velikov","given":"Krassimir P.","non-dropping-particle":"","parse-names":false,"suffix":""}],"container-title":"Food Hydrocolloids","id":"ITEM-1","issued":{"date-parts":[["2017"]]},"page":"508-517","title":"Zein-based colloidal particles for encapsulation and delivery of epigallocatechin gallate","type":"article-journal","volume":"63"},"uris":["http://www.mendeley.com/documents/?uuid=aa5b5ac7-a225-326f-97f9-91f621e10aa4"]}],"mendeley":{"formattedCitation":"(Donsì et al., 2017)","plainTextFormattedCitation":"(Donsì et al., 2017)","previouslyFormattedCitation":"(Donsì et al., 2017)"},"properties":{"noteIndex":0},"schema":"https://github.com/citation-style-language/schema/raw/master/csl-citation.json"}</w:instrText>
      </w:r>
      <w:r w:rsidR="00E62B46" w:rsidRPr="00E33197">
        <w:rPr>
          <w:lang w:val="en-GB"/>
        </w:rPr>
        <w:fldChar w:fldCharType="separate"/>
      </w:r>
      <w:r w:rsidR="00E62B46" w:rsidRPr="00E33197">
        <w:rPr>
          <w:noProof/>
          <w:lang w:val="en-GB"/>
        </w:rPr>
        <w:t>(Donsì et al., 2017)</w:t>
      </w:r>
      <w:r w:rsidR="00E62B46" w:rsidRPr="00E33197">
        <w:rPr>
          <w:lang w:val="en-GB"/>
        </w:rPr>
        <w:fldChar w:fldCharType="end"/>
      </w:r>
      <w:r w:rsidR="00E62B46" w:rsidRPr="00E33197">
        <w:t>.</w:t>
      </w:r>
    </w:p>
    <w:p w:rsidR="006101B3" w:rsidRPr="00E33197" w:rsidRDefault="006101B3" w:rsidP="002A7047">
      <w:pPr>
        <w:pStyle w:val="CETBodytext"/>
        <w:rPr>
          <w:lang w:val="en-GB"/>
        </w:rPr>
      </w:pPr>
      <w:r w:rsidRPr="00E33197">
        <w:rPr>
          <w:lang w:val="en-GB"/>
        </w:rPr>
        <w:t xml:space="preserve">The nanoemulsions stabilized with sodium alginate were prepared by dissolving the sodium alginate in water (magnetic stirring for 2 h at 70°C), prior to the spontaneous emulsification process. </w:t>
      </w:r>
      <w:r w:rsidR="000E6CE5" w:rsidRPr="00E33197">
        <w:rPr>
          <w:lang w:val="en-GB"/>
        </w:rPr>
        <w:t>Z</w:t>
      </w:r>
      <w:r w:rsidRPr="00E33197">
        <w:rPr>
          <w:lang w:val="en-GB"/>
        </w:rPr>
        <w:t>ein</w:t>
      </w:r>
      <w:r w:rsidR="000E6CE5" w:rsidRPr="00E33197">
        <w:rPr>
          <w:lang w:val="en-GB"/>
        </w:rPr>
        <w:t>-stabilized nanoemulsions were prepared by dissolving zein</w:t>
      </w:r>
      <w:r w:rsidRPr="00E33197">
        <w:rPr>
          <w:lang w:val="en-GB"/>
        </w:rPr>
        <w:t xml:space="preserve"> in an alcoholic solution (80 wt% ethanol in water) upon magnetic stirring overnight and then adding dropwise the alcoholic solution to the nanoemulsions</w:t>
      </w:r>
      <w:r w:rsidR="007501B5" w:rsidRPr="00E33197">
        <w:rPr>
          <w:lang w:val="en-GB"/>
        </w:rPr>
        <w:t xml:space="preserve"> up to the desired amount</w:t>
      </w:r>
      <w:r w:rsidRPr="00E33197">
        <w:rPr>
          <w:lang w:val="en-GB"/>
        </w:rPr>
        <w:t xml:space="preserve">. </w:t>
      </w:r>
      <w:r w:rsidR="000E6CE5" w:rsidRPr="00E33197">
        <w:rPr>
          <w:lang w:val="en-GB"/>
        </w:rPr>
        <w:t>Subsequently</w:t>
      </w:r>
      <w:r w:rsidRPr="00E33197">
        <w:rPr>
          <w:lang w:val="en-GB"/>
        </w:rPr>
        <w:t>, ethanol was removed by rot</w:t>
      </w:r>
      <w:r w:rsidR="00C02463" w:rsidRPr="00E33197">
        <w:rPr>
          <w:lang w:val="en-GB"/>
        </w:rPr>
        <w:t>a</w:t>
      </w:r>
      <w:r w:rsidRPr="00E33197">
        <w:rPr>
          <w:lang w:val="en-GB"/>
        </w:rPr>
        <w:t>vapor</w:t>
      </w:r>
      <w:r w:rsidR="000E6CE5" w:rsidRPr="00E33197">
        <w:rPr>
          <w:lang w:val="en-GB"/>
        </w:rPr>
        <w:t xml:space="preserve"> evaporation </w:t>
      </w:r>
      <w:r w:rsidRPr="00E33197">
        <w:rPr>
          <w:lang w:val="en-GB"/>
        </w:rPr>
        <w:fldChar w:fldCharType="begin" w:fldLock="1"/>
      </w:r>
      <w:r w:rsidR="007D7F52" w:rsidRPr="00E33197">
        <w:rPr>
          <w:lang w:val="en-GB"/>
        </w:rPr>
        <w:instrText>ADDIN CSL_CITATION {"citationItems":[{"id":"ITEM-1","itemData":{"DOI":"10.1016/j.foodhyd.2016.09.039","ISSN":"0268005X","abstract":"Zein, a water insoluble plant protein from a renewable natural source, has been identified as a highly promising material for the production of protein-based colloidal particles for the encapsulation of lipophilic compounds. However, the encapsulation of hydrophilic, water-soluble, bioactive molecules within zein colloidal particles is still unexplored. We show that the encapsulation of epigallocatechin gallate (EGCG) is strongly limited by the weak physical interactions occurring with the zein matrix during the precipitation phase. We demonstrate that the use of sodium caseinate, as a colloidal stabilizer to coat the zein particles, enables the modulation of the encapsulation efficiency and functionality of zein colloidal particles for EGCG delivery. In particular, coated zein particles exhibit a larger size, opposite surface charge and significantly different antioxidant activity, owing to the localization of EGCG affected by the different extent of interaction of EGCG with zein and sodium caseinate. Remarkably, particle formulation also tunes the release rate of EGCG during in vitro digestion and modulates the rate of fat digestion, through the combination of the Pickering emulsion stabilization effect and EGCG interaction with lipase enzyme. Zein-based colloidal particles constitute hence remarkable systems for the tunable and multi-functional delivery of EGCG.","author":[{"dropping-particle":"","family":"Donsì","given":"Francesco","non-dropping-particle":"","parse-names":false,"suffix":""},{"dropping-particle":"","family":"Voudouris","given":"Panayiotis","non-dropping-particle":"","parse-names":false,"suffix":""},{"dropping-particle":"","family":"Veen","given":"Sandra J.","non-dropping-particle":"","parse-names":false,"suffix":""},{"dropping-particle":"","family":"Velikov","given":"Krassimir P.","non-dropping-particle":"","parse-names":false,"suffix":""}],"container-title":"Food Hydrocolloids","id":"ITEM-1","issued":{"date-parts":[["2017"]]},"page":"508-517","title":"Zein-based colloidal particles for encapsulation and delivery of epigallocatechin gallate","type":"article-journal","volume":"63"},"uris":["http://www.mendeley.com/documents/?uuid=aa5b5ac7-a225-326f-97f9-91f621e10aa4"]}],"mendeley":{"formattedCitation":"(Donsì et al., 2017)","plainTextFormattedCitation":"(Donsì et al., 2017)","previouslyFormattedCitation":"(Donsì et al., 2017)"},"properties":{"noteIndex":0},"schema":"https://github.com/citation-style-language/schema/raw/master/csl-citation.json"}</w:instrText>
      </w:r>
      <w:r w:rsidRPr="00E33197">
        <w:rPr>
          <w:lang w:val="en-GB"/>
        </w:rPr>
        <w:fldChar w:fldCharType="separate"/>
      </w:r>
      <w:r w:rsidRPr="00E33197">
        <w:rPr>
          <w:noProof/>
          <w:lang w:val="en-GB"/>
        </w:rPr>
        <w:t>(Donsì et al., 2017)</w:t>
      </w:r>
      <w:r w:rsidRPr="00E33197">
        <w:rPr>
          <w:lang w:val="en-GB"/>
        </w:rPr>
        <w:fldChar w:fldCharType="end"/>
      </w:r>
      <w:r w:rsidRPr="00E33197">
        <w:rPr>
          <w:lang w:val="en-GB"/>
        </w:rPr>
        <w:t>.</w:t>
      </w:r>
    </w:p>
    <w:p w:rsidR="002A7047" w:rsidRPr="00E33197" w:rsidRDefault="007501B5" w:rsidP="002A7047">
      <w:pPr>
        <w:pStyle w:val="CETBodytext"/>
        <w:rPr>
          <w:lang w:val="en-GB"/>
        </w:rPr>
      </w:pPr>
      <w:r w:rsidRPr="00E33197">
        <w:rPr>
          <w:lang w:val="en-GB"/>
        </w:rPr>
        <w:t>The n</w:t>
      </w:r>
      <w:r w:rsidR="002A7047" w:rsidRPr="00E33197">
        <w:rPr>
          <w:lang w:val="en-GB"/>
        </w:rPr>
        <w:t xml:space="preserve">anoemulsions were characterized by mean droplet diameter </w:t>
      </w:r>
      <w:r w:rsidRPr="00E33197">
        <w:rPr>
          <w:lang w:val="en-GB"/>
        </w:rPr>
        <w:t>(</w:t>
      </w:r>
      <w:r w:rsidR="002A7047" w:rsidRPr="00E33197">
        <w:rPr>
          <w:i/>
          <w:lang w:val="en-GB"/>
        </w:rPr>
        <w:t>d</w:t>
      </w:r>
      <w:r w:rsidR="002A7047" w:rsidRPr="00E33197">
        <w:rPr>
          <w:i/>
          <w:vertAlign w:val="subscript"/>
          <w:lang w:val="en-GB"/>
        </w:rPr>
        <w:t>H</w:t>
      </w:r>
      <w:r w:rsidR="002A7047" w:rsidRPr="00E33197">
        <w:rPr>
          <w:lang w:val="en-GB"/>
        </w:rPr>
        <w:t>), polydispersity index (PDI) and zeta potential, using a Zetasizer Nano ZS (Malvern Instruments, Alfatest, Italy), at 25°C, on undiluted</w:t>
      </w:r>
      <w:r w:rsidRPr="00E33197">
        <w:rPr>
          <w:lang w:val="en-GB"/>
        </w:rPr>
        <w:t xml:space="preserve"> </w:t>
      </w:r>
      <w:r w:rsidR="002A7047" w:rsidRPr="00E33197">
        <w:rPr>
          <w:lang w:val="en-GB"/>
        </w:rPr>
        <w:t>samples for size, and in samples diluted 1:100 with bidistilled water for zeta potential, to avoid multiple scattering effects. Each measurement was replicated on three independently prepared samples, with the means and the standard deviations being calculated.</w:t>
      </w:r>
    </w:p>
    <w:p w:rsidR="00805087" w:rsidRPr="00E33197" w:rsidRDefault="002A7047" w:rsidP="00805087">
      <w:pPr>
        <w:pStyle w:val="CETBodytext"/>
        <w:rPr>
          <w:lang w:val="en-GB"/>
        </w:rPr>
      </w:pPr>
      <w:r w:rsidRPr="00E33197">
        <w:t xml:space="preserve">Carvacrol release from the nanoemulsions was </w:t>
      </w:r>
      <w:r w:rsidR="00805087" w:rsidRPr="00E33197">
        <w:t xml:space="preserve">determined </w:t>
      </w:r>
      <w:r w:rsidRPr="00E33197">
        <w:t xml:space="preserve">using Franz </w:t>
      </w:r>
      <w:r w:rsidR="009D738F" w:rsidRPr="00E33197">
        <w:t xml:space="preserve">static diffusion cells, which consist of two compartments, the donor and the receptor compartments, separated by a cellulose membrane (dialysis tubing cellulose membrane, MWCO = 14 kDa, from Sigma- Aldrich, Germany). The receptor compartment, agitated with a magnetic stirrer, is equipped with a sampling tube through which periodic withdrawals are carried out and is thermostated at 37 °C with an external jacket. The donor chamber </w:t>
      </w:r>
      <w:r w:rsidR="008137BA" w:rsidRPr="00E33197">
        <w:t>wa</w:t>
      </w:r>
      <w:r w:rsidR="009D738F" w:rsidRPr="00E33197">
        <w:t>s filled with the carvacrol nanoemulsion</w:t>
      </w:r>
      <w:r w:rsidR="008137BA" w:rsidRPr="00E33197">
        <w:t>s</w:t>
      </w:r>
      <w:r w:rsidR="009D738F" w:rsidRPr="00E33197">
        <w:t xml:space="preserve"> (1 mL), while the receptor chamber </w:t>
      </w:r>
      <w:r w:rsidR="008137BA" w:rsidRPr="00E33197">
        <w:t>wa</w:t>
      </w:r>
      <w:r w:rsidR="009D738F" w:rsidRPr="00E33197">
        <w:t>s filled with a phosphate buffer solution (pH = 7.4). When sampling, 0.2 mL of the solution from the receptor compartment is withdrawn, and replaced with 0.2 mL of fresh solution</w:t>
      </w:r>
      <w:r w:rsidR="008746CF" w:rsidRPr="00E33197">
        <w:t>.</w:t>
      </w:r>
      <w:r w:rsidR="00630869" w:rsidRPr="00E33197">
        <w:t xml:space="preserve"> </w:t>
      </w:r>
      <w:r w:rsidR="00805087" w:rsidRPr="00E33197">
        <w:t xml:space="preserve">The reported results are the mean values from 4 </w:t>
      </w:r>
      <w:r w:rsidR="00805087" w:rsidRPr="00E33197">
        <w:rPr>
          <w:lang w:val="en-GB"/>
        </w:rPr>
        <w:t>replicated measurements.</w:t>
      </w:r>
    </w:p>
    <w:p w:rsidR="00630869" w:rsidRPr="00E33197" w:rsidRDefault="00630869" w:rsidP="00630869">
      <w:pPr>
        <w:pStyle w:val="CETBodytext"/>
      </w:pPr>
      <w:r w:rsidRPr="00E33197">
        <w:t xml:space="preserve">Carvacrol concentration </w:t>
      </w:r>
      <w:r w:rsidR="00805087" w:rsidRPr="00E33197">
        <w:t>in the receptor compartment wa</w:t>
      </w:r>
      <w:r w:rsidRPr="00E33197">
        <w:t xml:space="preserve">s measured </w:t>
      </w:r>
      <w:r w:rsidR="008137BA" w:rsidRPr="00E33197">
        <w:t>through</w:t>
      </w:r>
      <w:r w:rsidRPr="00E33197">
        <w:t xml:space="preserve"> the FRAP (Ferric Reducing Antioxidant Power) assay method, which resulted to be well correlated to the carvacrol concentration in PBS</w:t>
      </w:r>
      <w:r w:rsidR="004D7248" w:rsidRPr="00E33197">
        <w:t xml:space="preserve">, </w:t>
      </w:r>
      <w:r w:rsidR="004D7248" w:rsidRPr="00E33197">
        <w:lastRenderedPageBreak/>
        <w:t>although depending on nanoemulsion formulation</w:t>
      </w:r>
      <w:r w:rsidRPr="00E33197">
        <w:t xml:space="preserve">. Briefly, 0.5 mL of the sample </w:t>
      </w:r>
      <w:r w:rsidR="00805087" w:rsidRPr="00E33197">
        <w:t>was</w:t>
      </w:r>
      <w:r w:rsidRPr="00E33197">
        <w:t xml:space="preserve"> added to the FRAP solution (300 mM sodium acetate/acetic acid buffer solution at pH = 3.6, 20 mM FeCl</w:t>
      </w:r>
      <w:r w:rsidRPr="00E33197">
        <w:rPr>
          <w:vertAlign w:val="subscript"/>
        </w:rPr>
        <w:t>3</w:t>
      </w:r>
      <w:r w:rsidRPr="00E33197">
        <w:rPr>
          <w:rFonts w:cs="Arial"/>
        </w:rPr>
        <w:t>·</w:t>
      </w:r>
      <w:r w:rsidRPr="00E33197">
        <w:t>6H</w:t>
      </w:r>
      <w:r w:rsidRPr="00E33197">
        <w:rPr>
          <w:vertAlign w:val="subscript"/>
        </w:rPr>
        <w:t>2</w:t>
      </w:r>
      <w:r w:rsidRPr="00E33197">
        <w:t xml:space="preserve">O solution, 10 mM of </w:t>
      </w:r>
      <w:r w:rsidR="00197441" w:rsidRPr="00E33197">
        <w:t>2,4,6-Tris(2-pyridyl)-s-triazine (TPTZ)</w:t>
      </w:r>
      <w:r w:rsidRPr="00E33197">
        <w:t xml:space="preserve"> solution at 10:1:1 volume ratio), and, after 10 min storage in the dark, the absorbance values </w:t>
      </w:r>
      <w:r w:rsidR="00805087" w:rsidRPr="00E33197">
        <w:t>were</w:t>
      </w:r>
      <w:r w:rsidRPr="00E33197">
        <w:t xml:space="preserve"> measured at 593 nm by </w:t>
      </w:r>
      <w:r w:rsidR="00805087" w:rsidRPr="00E33197">
        <w:t xml:space="preserve">a </w:t>
      </w:r>
      <w:r w:rsidRPr="00E33197">
        <w:t xml:space="preserve">UV-Vis spectrophotometer. </w:t>
      </w:r>
      <w:r w:rsidR="004D7248" w:rsidRPr="00E33197">
        <w:t>Different</w:t>
      </w:r>
      <w:r w:rsidRPr="00E33197">
        <w:t xml:space="preserve"> calibration curve</w:t>
      </w:r>
      <w:r w:rsidR="004D7248" w:rsidRPr="00E33197">
        <w:t xml:space="preserve">s </w:t>
      </w:r>
      <w:r w:rsidR="00805087" w:rsidRPr="00E33197">
        <w:t>we</w:t>
      </w:r>
      <w:r w:rsidR="004D7248" w:rsidRPr="00E33197">
        <w:t>re</w:t>
      </w:r>
      <w:r w:rsidRPr="00E33197">
        <w:t xml:space="preserve"> obtained for the different carvacrol nanoemulsion formulations tested.</w:t>
      </w:r>
    </w:p>
    <w:p w:rsidR="0034128D" w:rsidRPr="00E33197" w:rsidRDefault="0034128D" w:rsidP="0034128D">
      <w:pPr>
        <w:pStyle w:val="CETHeading1"/>
        <w:rPr>
          <w:lang w:val="en-GB"/>
        </w:rPr>
      </w:pPr>
      <w:r w:rsidRPr="00E33197">
        <w:rPr>
          <w:lang w:val="en-GB"/>
        </w:rPr>
        <w:t>Results and Discussion</w:t>
      </w:r>
    </w:p>
    <w:p w:rsidR="00092B4F" w:rsidRPr="00E33197" w:rsidRDefault="00805087" w:rsidP="00805087">
      <w:pPr>
        <w:pStyle w:val="CETBodytext"/>
      </w:pPr>
      <w:r w:rsidRPr="00E33197">
        <w:t>One of the main requisite</w:t>
      </w:r>
      <w:r w:rsidR="00C02463" w:rsidRPr="00E33197">
        <w:t>s</w:t>
      </w:r>
      <w:r w:rsidRPr="00E33197">
        <w:t xml:space="preserve"> for a delivery system for antifungal agents of commercial interest is sufficient stability over time. </w:t>
      </w:r>
      <w:r w:rsidR="00266FF8" w:rsidRPr="00E33197">
        <w:t>I</w:t>
      </w:r>
      <w:r w:rsidRPr="00E33197">
        <w:t>n the case o</w:t>
      </w:r>
      <w:r w:rsidR="008137BA" w:rsidRPr="00E33197">
        <w:t>f</w:t>
      </w:r>
      <w:r w:rsidRPr="00E33197">
        <w:t xml:space="preserve"> essential oils, their low but non-negligible solubility in water triggers a specific coalescence phenomenon</w:t>
      </w:r>
      <w:r w:rsidR="00970B8D" w:rsidRPr="00E33197">
        <w:t xml:space="preserve">, called </w:t>
      </w:r>
      <w:r w:rsidRPr="00E33197">
        <w:t>Ostwald ripening</w:t>
      </w:r>
      <w:r w:rsidR="00092B4F" w:rsidRPr="00E33197">
        <w:t>,</w:t>
      </w:r>
      <w:r w:rsidRPr="00E33197">
        <w:t xml:space="preserve"> </w:t>
      </w:r>
      <w:r w:rsidR="00092B4F" w:rsidRPr="00E33197">
        <w:t>causing the growth of larger</w:t>
      </w:r>
      <w:r w:rsidR="008137BA" w:rsidRPr="00E33197">
        <w:t xml:space="preserve"> droplets at the expense of </w:t>
      </w:r>
      <w:r w:rsidR="00092B4F" w:rsidRPr="00E33197">
        <w:t>smaller ones</w:t>
      </w:r>
      <w:r w:rsidRPr="00E33197">
        <w:t xml:space="preserve">. Preventing Ostwald ripening is one of the main difficulties associated with the formulation of physically stable </w:t>
      </w:r>
      <w:r w:rsidR="00092B4F" w:rsidRPr="00E33197">
        <w:t xml:space="preserve">essential oil </w:t>
      </w:r>
      <w:r w:rsidRPr="00E33197">
        <w:t xml:space="preserve">nanoemulsions </w:t>
      </w:r>
      <w:r w:rsidRPr="00E33197">
        <w:fldChar w:fldCharType="begin" w:fldLock="1"/>
      </w:r>
      <w:r w:rsidR="002C3FFF" w:rsidRPr="00E33197">
        <w:instrText>ADDIN CSL_CITATION {"citationItems":[{"id":"ITEM-1","itemData":{"DOI":"10.1021/jf500160y","ISBN":"0021-8561","ISSN":"15205118","PMID":"24564878","abstract":"Nanoemulsions are particularly suitable as a platform in the development of delivery systems for lipophilic functional agents. This study shows that transparent orange oil nanoemulsions can be fabricated using an isothermal low-energy method (spontaneous emulsification), which offers the advantage of fabricating flavor oil delivery systems using rapid and simple processing operations. Orange oil nanoemulsions were formed spontaneously by titration of a mixture of orange oil, carrier oil (medium chain triglyceride, MCT) and non-ionic surfactant (Tween) into an aqueous solution (5 mM citrate buffer, pH 3.5) with continuous stirring. The oil-to-emulsion ratio content was kept constant (10 wt%) while the surfactant-to-emulsion ratio (SER) was varied (2.5 to 20 wt%). Oil phase composition (orange oil to MCT), SER and surfactant type all had an appreciable effect on nanoemulsion formation and stability. Transparent nanoemulsions could be formed under certain conditions: 20% surfactant (Tween 40, Tween 60 or Tween 80) and 10% oil phase (4% to 6% orange oil + 6% to 4% MCT). Surfactant type and oil phase composition also affected the thermal stability of the nanoemulsions. Most of the nanoemulsions broke down after thermal cycling (20 ºC to 90 ºC to 20 ºC), however one system remained transparent after thermal cycling: 20% Tween 80, 5% orange oil, 5% MCT. The mean droplet size of these nanoemulsions increased over time, but the droplet growth rate was reduced appreciably after dilution. These results have important implications for the design and utilization of nanoemulsions as delivery systems in the food and other industries.","author":[{"dropping-particle":"","family":"Chang","given":"Yuhua","non-dropping-particle":"","parse-names":false,"suffix":""},{"dropping-particle":"","family":"McClements","given":"David Julian","non-dropping-particle":"","parse-names":false,"suffix":""}],"container-title":"Journal of Agricultural and Food Chemistry","id":"ITEM-1","issue":"10","issued":{"date-parts":[["2014"]]},"page":"2306-2312","title":"Optimization of orange oil nanoemulsion formation by isothermal low-energy methods: Influence of the oil phase, surfactant, and temperature","type":"article-journal","volume":"62"},"uris":["http://www.mendeley.com/documents/?uuid=64586743-9ab2-4a33-87a9-9928a99b8f99"]}],"mendeley":{"formattedCitation":"(Chang and McClements, 2014)","plainTextFormattedCitation":"(Chang and McClements, 2014)","previouslyFormattedCitation":"(Chang and McClements, 2014)"},"properties":{"noteIndex":0},"schema":"https://github.com/citation-style-language/schema/raw/master/csl-citation.json"}</w:instrText>
      </w:r>
      <w:r w:rsidRPr="00E33197">
        <w:fldChar w:fldCharType="separate"/>
      </w:r>
      <w:bookmarkStart w:id="15" w:name="__Fieldmark__161_3067422205"/>
      <w:bookmarkStart w:id="16" w:name="__Fieldmark__172_48195757"/>
      <w:bookmarkStart w:id="17" w:name="__Fieldmark__488_1747190652"/>
      <w:r w:rsidR="00970B8D" w:rsidRPr="00E33197">
        <w:rPr>
          <w:noProof/>
        </w:rPr>
        <w:t>(Chang and McClements, 2014)</w:t>
      </w:r>
      <w:r w:rsidRPr="00E33197">
        <w:fldChar w:fldCharType="end"/>
      </w:r>
      <w:bookmarkEnd w:id="15"/>
      <w:bookmarkEnd w:id="16"/>
      <w:bookmarkEnd w:id="17"/>
      <w:r w:rsidRPr="00E33197">
        <w:t xml:space="preserve">. </w:t>
      </w:r>
    </w:p>
    <w:p w:rsidR="00982AFE" w:rsidRPr="00E33197" w:rsidRDefault="002C3FFF" w:rsidP="00805087">
      <w:pPr>
        <w:pStyle w:val="CETBodytext"/>
      </w:pPr>
      <w:r w:rsidRPr="00E33197">
        <w:t>L</w:t>
      </w:r>
      <w:r w:rsidR="005D74B9" w:rsidRPr="00E33197">
        <w:rPr>
          <w:noProof/>
        </w:rPr>
        <w:t>ong-chain</w:t>
      </w:r>
      <w:r w:rsidR="005D74B9" w:rsidRPr="00E33197">
        <w:t xml:space="preserve"> triglycerides</w:t>
      </w:r>
      <w:r w:rsidRPr="00E33197">
        <w:t xml:space="preserve"> (i.e. </w:t>
      </w:r>
      <w:r w:rsidR="005D74B9" w:rsidRPr="00E33197">
        <w:t>corn, sunflower, sesame</w:t>
      </w:r>
      <w:r w:rsidRPr="00E33197">
        <w:t xml:space="preserve">, or peanut </w:t>
      </w:r>
      <w:r w:rsidR="005D74B9" w:rsidRPr="00E33197">
        <w:t>oils</w:t>
      </w:r>
      <w:r w:rsidRPr="00E33197">
        <w:t>)</w:t>
      </w:r>
      <w:r w:rsidR="005D74B9" w:rsidRPr="00E33197">
        <w:t xml:space="preserve">, which exhibit a negligible aqueous phase solubility, are less prone to Ostwald ripening, and therefore their addition to the </w:t>
      </w:r>
      <w:r w:rsidR="008137BA" w:rsidRPr="00E33197">
        <w:t>essential oil</w:t>
      </w:r>
      <w:r w:rsidR="005D74B9" w:rsidRPr="00E33197">
        <w:t>s is an eff</w:t>
      </w:r>
      <w:r w:rsidR="00C02463" w:rsidRPr="00E33197">
        <w:t>ective</w:t>
      </w:r>
      <w:r w:rsidR="005D74B9" w:rsidRPr="00E33197">
        <w:t xml:space="preserve"> strategy to reduce this phenomenon</w:t>
      </w:r>
      <w:r w:rsidRPr="00E33197">
        <w:t xml:space="preserve"> </w:t>
      </w:r>
      <w:r w:rsidRPr="00E33197">
        <w:fldChar w:fldCharType="begin" w:fldLock="1"/>
      </w:r>
      <w:r w:rsidRPr="00E33197">
        <w:instrText>ADDIN CSL_CITATION {"citationItems":[{"id":"ITEM-1","itemData":{"DOI":"10.1016/j.foodchem.2012.02.174","ISBN":"0308-8146 (Print)\\r0308-8146 (Linking)","ISSN":"03088146","PMID":"23107687","abstract":"Lemon oil is a complex organic compound isolated from citrus peel, which is commonly used as a flavouring agent in beverages, foods, cosmetics, and household products. We have studied the influence of lemon oil fold (1??, 3??, 5?? and 10??) on the formation and properties of oil-in-water emulsions. Initially, the composition, molecular characteristics, and physicochemical properties of the four lemon oils were established. The main constituents in single-fold lemon oil were monoterpenes (&gt;90%), whereas the major constituents in 10-fold lemon oil were monoterpenes (???35%), sesquiterpenes (???14%) and oxygenates (???33%). The density, interfacial tension, viscosity, and refractive index of the lemon oils increased as the oil fold increased (i.e., 1?? &lt; 3?? &lt; 5?? &lt; 10??). The stability of oil-in-water emulsions produced by high pressure homogenisation was strongly influenced by lemon oil fold. The lower fold oils were highly unstable to droplet growth during storage (1??, 3??, and 5??) with the growth rate increasing with increasing storage temperature and decreasing oil fold. Droplet growth was attributed to Ostwald ripening, i.e., diffusion of lemon oil molecules from small to large droplets. The highest fold oil (10??) was stable to droplet growth, which was attributed to the presence of an appreciable fraction of constituents with very low water-solubility that inhibited droplet growth through a compositional ripening effect. This study provides important information about the relationship between lemon oil composition and its performance in emulsions suitable for use in food and beverage products. ?? 2012 Elsevier Ltd. All rights reserved.","author":[{"dropping-particle":"","family":"Rao","given":"Jiajia","non-dropping-particle":"","parse-names":false,"suffix":""},{"dropping-particle":"","family":"McClements","given":"David Julian","non-dropping-particle":"","parse-names":false,"suffix":""}],"container-title":"Food Chemistry","id":"ITEM-1","issue":"2","issued":{"date-parts":[["2012"]]},"page":"749-757","publisher":"Elsevier Ltd","title":"Impact of lemon oil composition on formation and stability of model food and beverage emulsions","type":"article-journal","volume":"134"},"uris":["http://www.mendeley.com/documents/?uuid=f9dcce0a-364a-471a-91eb-cce7d4245e88"]}],"mendeley":{"formattedCitation":"(Rao and McClements, 2012)","plainTextFormattedCitation":"(Rao and McClements, 2012)","previouslyFormattedCitation":"(Rao and McClements, 2012)"},"properties":{"noteIndex":0},"schema":"https://github.com/citation-style-language/schema/raw/master/csl-citation.json"}</w:instrText>
      </w:r>
      <w:r w:rsidRPr="00E33197">
        <w:fldChar w:fldCharType="separate"/>
      </w:r>
      <w:r w:rsidRPr="00E33197">
        <w:rPr>
          <w:noProof/>
        </w:rPr>
        <w:t>(Rao and McClements, 2012)</w:t>
      </w:r>
      <w:r w:rsidRPr="00E33197">
        <w:fldChar w:fldCharType="end"/>
      </w:r>
      <w:r w:rsidR="005D74B9" w:rsidRPr="00E33197">
        <w:t xml:space="preserve">. </w:t>
      </w:r>
      <w:r w:rsidRPr="00E33197">
        <w:t>Carvacrol is known for causing Ostwald ripening</w:t>
      </w:r>
      <w:r w:rsidR="008137BA" w:rsidRPr="00E33197">
        <w:t>-</w:t>
      </w:r>
      <w:r w:rsidRPr="00E33197">
        <w:t xml:space="preserve">associated instability </w:t>
      </w:r>
      <w:r w:rsidR="008137BA" w:rsidRPr="00E33197">
        <w:t xml:space="preserve">phenomena </w:t>
      </w:r>
      <w:r w:rsidRPr="00E33197">
        <w:t xml:space="preserve">in nanoemulsions </w:t>
      </w:r>
      <w:r w:rsidRPr="00E33197">
        <w:fldChar w:fldCharType="begin" w:fldLock="1"/>
      </w:r>
      <w:r w:rsidR="001B09EA" w:rsidRPr="00E33197">
        <w:instrText>ADDIN CSL_CITATION {"citationItems":[{"id":"ITEM-1","itemData":{"DOI":"10.1016/j.ifset.2014.01.008","ISBN":"1466-8564","ISSN":"14668564","abstract":"Solid food preservation with essential oils requires the use of suitable carriers, such as nanoemulsions, which are able not only to promote dispersion in the aqueous part of foods, but also to enhance mass transfer within the food matrix. The impact of emulsion formulation and mean droplet size on the rate of infusion of carvacrol in food matrices was investigated through: (a) image analysis of micrographs of histological sections of zucchini cylinders upon infusion with different emulsions stained with fluorescent dyes, and (b) microbiological assays in zucchini as well as in cooked meat sausages. The simplified geometry enabled the derivation of the effective diffusivities of the different emulsions in the food structure and their correlation with microbial inactivation. Results showed that emulsions of nanometric droplet size, below the characteristic size of inter- and intra-cellular interstices, exhibited a significantly enhanced effective diffusivity, which promoted a more efficient antimicrobial action of carvacrol. Industrial relevance The growing interest towards \"greener\" food products, where safety is ensured without the use of synthetic additives, has stimulated the study of essential oils as antimicrobial compounds. However, in order to overcome the limitations related to their lipophilic nature, the use of essential oils requires their encapsulation in a suitable carrier. The objective of this study is to investigate the fundamental aspects of the use of nanoemulsion-based delivery systems for essential oils, and in particular the impact of their composition and morphological characteristics on the mass transfer in solid food products, in order to enable their rational application at the industrial scale in a wide range of vegetable and animal products. © 2014 Elsevier Ltd.","author":[{"dropping-particle":"","family":"Donsì","given":"Francesco","non-dropping-particle":"","parse-names":false,"suffix":""},{"dropping-particle":"","family":"Cuomo","given":"Andrea","non-dropping-particle":"","parse-names":false,"suffix":""},{"dropping-particle":"","family":"Marchese","given":"Enrico","non-dropping-particle":"","parse-names":false,"suffix":""},{"dropping-particle":"","family":"Ferrari","given":"Giovanna","non-dropping-particle":"","parse-names":false,"suffix":""}],"container-title":"Innovative Food Science and Emerging Technologies","id":"ITEM-1","issued":{"date-parts":[["2014"]]},"page":"212-220","title":"Infusion of essential oils for food stabilization: Unraveling the role of nanoemulsion-based delivery systems on mass transfer and antimicrobial activity","type":"article-journal","volume":"22"},"uris":["http://www.mendeley.com/documents/?uuid=4f781ffd-b50a-40ea-a220-22f67bf659d7"]}],"mendeley":{"formattedCitation":"(Donsì et al., 2014)","plainTextFormattedCitation":"(Donsì et al., 2014)","previouslyFormattedCitation":"(Donsì et al., 2014)"},"properties":{"noteIndex":0},"schema":"https://github.com/citation-style-language/schema/raw/master/csl-citation.json"}</w:instrText>
      </w:r>
      <w:r w:rsidRPr="00E33197">
        <w:fldChar w:fldCharType="separate"/>
      </w:r>
      <w:r w:rsidRPr="00E33197">
        <w:rPr>
          <w:noProof/>
        </w:rPr>
        <w:t>(Donsì et al., 2014)</w:t>
      </w:r>
      <w:r w:rsidRPr="00E33197">
        <w:fldChar w:fldCharType="end"/>
      </w:r>
      <w:r w:rsidRPr="00E33197">
        <w:t>. Therefore, d</w:t>
      </w:r>
      <w:r w:rsidR="00805087" w:rsidRPr="00E33197">
        <w:t>ifferent nanoemulsion formulation</w:t>
      </w:r>
      <w:r w:rsidR="00092B4F" w:rsidRPr="00E33197">
        <w:t>s</w:t>
      </w:r>
      <w:r w:rsidR="008137BA" w:rsidRPr="00E33197">
        <w:t xml:space="preserve"> were tested for </w:t>
      </w:r>
      <w:r w:rsidR="00092B4F" w:rsidRPr="00E33197">
        <w:t>carvacrol</w:t>
      </w:r>
      <w:r w:rsidR="008137BA" w:rsidRPr="00E33197">
        <w:t xml:space="preserve"> delivery</w:t>
      </w:r>
      <w:r w:rsidR="00982AFE" w:rsidRPr="00E33197">
        <w:t xml:space="preserve">. Initially, the effect of two different ripening inhibitor oils, MCT and PO, was investigated, by measuring the hydraulic diameter </w:t>
      </w:r>
      <w:r w:rsidR="00982AFE" w:rsidRPr="00E33197">
        <w:rPr>
          <w:i/>
        </w:rPr>
        <w:t>d</w:t>
      </w:r>
      <w:r w:rsidR="00982AFE" w:rsidRPr="00E33197">
        <w:rPr>
          <w:i/>
          <w:vertAlign w:val="subscript"/>
        </w:rPr>
        <w:t>H</w:t>
      </w:r>
      <w:r w:rsidR="00982AFE" w:rsidRPr="00E33197">
        <w:t xml:space="preserve"> of the nanoemulsions, as a function of carvacrol concentration in the oil phase. The</w:t>
      </w:r>
      <w:r w:rsidR="00E50979" w:rsidRPr="00E33197">
        <w:t xml:space="preserve"> results are shown in Figure 1.</w:t>
      </w:r>
    </w:p>
    <w:p w:rsidR="00197441" w:rsidRPr="00E33197" w:rsidRDefault="00314536" w:rsidP="00266FF8">
      <w:pPr>
        <w:pStyle w:val="CETBodytext"/>
        <w:jc w:val="left"/>
        <w:rPr>
          <w:rStyle w:val="CETCaptionCarattere"/>
        </w:rPr>
      </w:pPr>
      <w:r w:rsidRPr="00E33197">
        <w:rPr>
          <w:noProof/>
          <w:lang w:val="it-IT" w:eastAsia="it-IT"/>
        </w:rPr>
        <w:drawing>
          <wp:inline distT="0" distB="0" distL="0" distR="0" wp14:anchorId="74D360E3" wp14:editId="6C38E650">
            <wp:extent cx="5068800" cy="20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8800" cy="2048400"/>
                    </a:xfrm>
                    <a:prstGeom prst="rect">
                      <a:avLst/>
                    </a:prstGeom>
                    <a:noFill/>
                    <a:ln>
                      <a:noFill/>
                    </a:ln>
                  </pic:spPr>
                </pic:pic>
              </a:graphicData>
            </a:graphic>
          </wp:inline>
        </w:drawing>
      </w:r>
    </w:p>
    <w:p w:rsidR="00EF69DE" w:rsidRPr="00E33197" w:rsidRDefault="00EF69DE" w:rsidP="006E4E98">
      <w:pPr>
        <w:pStyle w:val="CETCaption"/>
        <w:jc w:val="left"/>
        <w:rPr>
          <w:rStyle w:val="CETCaptionCarattere"/>
          <w:i/>
        </w:rPr>
      </w:pPr>
      <w:r w:rsidRPr="00E33197">
        <w:rPr>
          <w:rStyle w:val="CETCaptionCarattere"/>
          <w:i/>
        </w:rPr>
        <w:t>Figure 1:</w:t>
      </w:r>
      <w:r w:rsidR="00314536" w:rsidRPr="00E33197">
        <w:rPr>
          <w:rStyle w:val="CETCaptionCarattere"/>
          <w:i/>
        </w:rPr>
        <w:t xml:space="preserve"> Mean droplet diameter </w:t>
      </w:r>
      <w:r w:rsidR="00BB0B2E" w:rsidRPr="00E33197">
        <w:rPr>
          <w:rStyle w:val="CETCaptionCarattere"/>
          <w:i/>
        </w:rPr>
        <w:t>(d</w:t>
      </w:r>
      <w:r w:rsidR="00BB0B2E" w:rsidRPr="00E33197">
        <w:rPr>
          <w:rStyle w:val="CETCaptionCarattere"/>
          <w:i/>
          <w:vertAlign w:val="subscript"/>
        </w:rPr>
        <w:t>H</w:t>
      </w:r>
      <w:r w:rsidR="00BB0B2E" w:rsidRPr="00E33197">
        <w:rPr>
          <w:rStyle w:val="CETCaptionCarattere"/>
          <w:i/>
        </w:rPr>
        <w:t xml:space="preserve">) </w:t>
      </w:r>
      <w:r w:rsidR="00314536" w:rsidRPr="00E33197">
        <w:rPr>
          <w:rStyle w:val="CETCaptionCarattere"/>
          <w:i/>
        </w:rPr>
        <w:t xml:space="preserve">of </w:t>
      </w:r>
      <w:r w:rsidR="00BB0B2E" w:rsidRPr="00E33197">
        <w:rPr>
          <w:rStyle w:val="CETCaptionCarattere"/>
          <w:i/>
        </w:rPr>
        <w:t xml:space="preserve">the </w:t>
      </w:r>
      <w:r w:rsidR="00314536" w:rsidRPr="00E33197">
        <w:rPr>
          <w:rStyle w:val="CETCaptionCarattere"/>
          <w:i/>
        </w:rPr>
        <w:t xml:space="preserve">nanoemulsions </w:t>
      </w:r>
      <w:r w:rsidR="00BB0B2E" w:rsidRPr="00E33197">
        <w:rPr>
          <w:rStyle w:val="CETCaptionCarattere"/>
          <w:i/>
        </w:rPr>
        <w:t xml:space="preserve">formulated </w:t>
      </w:r>
      <w:r w:rsidR="00314536" w:rsidRPr="00E33197">
        <w:rPr>
          <w:rStyle w:val="CETCaptionCarattere"/>
          <w:i/>
        </w:rPr>
        <w:t xml:space="preserve">with different concentration of carvacrol </w:t>
      </w:r>
      <w:r w:rsidR="00BB0B2E" w:rsidRPr="00E33197">
        <w:rPr>
          <w:rStyle w:val="CETCaptionCarattere"/>
          <w:i/>
        </w:rPr>
        <w:t>in different ripening inhibitor oils, (a) MCT or (b) Peanut oil, at constant oil phase fraction (2.67 wt%) and using Tween 80 as emulsifier (1.33 wt%)</w:t>
      </w:r>
      <w:r w:rsidR="00314536" w:rsidRPr="00E33197">
        <w:rPr>
          <w:rStyle w:val="CETCaptionCarattere"/>
          <w:i/>
        </w:rPr>
        <w:t xml:space="preserve"> for two storage times t = 0 and t = 6 days.</w:t>
      </w:r>
    </w:p>
    <w:p w:rsidR="00CD4515" w:rsidRPr="00E33197" w:rsidRDefault="00CD4515" w:rsidP="00712B6E">
      <w:pPr>
        <w:pStyle w:val="CETBodytext"/>
      </w:pPr>
      <w:r w:rsidRPr="00E33197">
        <w:t xml:space="preserve">For both ripening inhibitors, the nanoemulsions with smaller droplet sizes were those containing 25 wt% of carvacrol in the oil phase (0.67 wt% of carvacrol and 2.00 wt% of oil over the total formulation), with </w:t>
      </w:r>
      <w:r w:rsidRPr="00E33197">
        <w:rPr>
          <w:i/>
        </w:rPr>
        <w:t>d</w:t>
      </w:r>
      <w:r w:rsidRPr="00E33197">
        <w:rPr>
          <w:i/>
          <w:vertAlign w:val="subscript"/>
        </w:rPr>
        <w:t>H</w:t>
      </w:r>
      <w:r w:rsidRPr="00E33197">
        <w:t xml:space="preserve"> values in the range of 100-110 nm. The increase of the fraction of carvacrol caused a measurable increase in </w:t>
      </w:r>
      <w:r w:rsidRPr="00E33197">
        <w:rPr>
          <w:i/>
        </w:rPr>
        <w:t>d</w:t>
      </w:r>
      <w:r w:rsidRPr="00E33197">
        <w:rPr>
          <w:i/>
          <w:vertAlign w:val="subscript"/>
        </w:rPr>
        <w:t>H</w:t>
      </w:r>
      <w:r w:rsidRPr="00E33197">
        <w:t xml:space="preserve">, and some incipient instability, observable after 6 days. Remarkably, the nanoemulsions without carvacrol (0 wt% in Figure 1) exhibited a </w:t>
      </w:r>
      <w:r w:rsidRPr="00E33197">
        <w:rPr>
          <w:i/>
        </w:rPr>
        <w:t>d</w:t>
      </w:r>
      <w:r w:rsidRPr="00E33197">
        <w:rPr>
          <w:i/>
          <w:vertAlign w:val="subscript"/>
        </w:rPr>
        <w:t>H</w:t>
      </w:r>
      <w:r w:rsidRPr="00E33197">
        <w:t xml:space="preserve"> value larger than those at 25 wt% carvacrol, because, likely, carvacrol decreased the viscosity of the oil phase, promoting the break-up phenomena during high-pressure homogenization. The </w:t>
      </w:r>
      <w:r w:rsidRPr="00E33197">
        <w:rPr>
          <w:i/>
        </w:rPr>
        <w:t>d</w:t>
      </w:r>
      <w:r w:rsidRPr="00E33197">
        <w:rPr>
          <w:i/>
          <w:vertAlign w:val="subscript"/>
        </w:rPr>
        <w:t>H</w:t>
      </w:r>
      <w:r w:rsidRPr="00E33197">
        <w:t xml:space="preserve"> values increased again for a carvacrol concentration </w:t>
      </w:r>
      <w:r w:rsidRPr="00E33197">
        <w:rPr>
          <w:rFonts w:cs="Arial"/>
        </w:rPr>
        <w:t>≥</w:t>
      </w:r>
      <w:r w:rsidRPr="00E33197">
        <w:t xml:space="preserve"> 50 wt%, because of the Ostwald ripening occurring due to the non-negligible carvacrol solubility, of about 0.3 g/L </w:t>
      </w:r>
      <w:r w:rsidRPr="00E33197">
        <w:fldChar w:fldCharType="begin" w:fldLock="1"/>
      </w:r>
      <w:r w:rsidRPr="00E33197">
        <w:instrText>ADDIN CSL_CITATION {"citationItems":[{"id":"ITEM-1","itemData":{"DOI":"10.1016/j.jbiotec.2011.07.001","ISBN":"1873-4863 (Electronic)\\r0168-1656 (Linking)","ISSN":"1873-4863","PMID":"21763730","abstract":"This work aims at investigating the effect of the nanoemulsion delivery systems on the antimicrobial activity of different essential oil components. Carvacrol, limonene and cinnamaldehyde were encapsulated in the sunflower oil droplets of nanoemulsions prepared by high pressure homogenization and stabilized by different emulsifiers: (a) lecithin, (b) pea proteins, (c) sugar ester and (d) a combination of Tween 20 and glycerol monooleate. The antimicrobial activity was measured against three different microorganisms, such as Escherichia coli, Lactobacillus delbrueckii and Saccharomyces cerevisiae. The measured antimicrobial activity was significantly affected by the formulation of the nanoemulsion, where the different bioactive compounds were encapsulated. In particular, the effect of the delivery systems on the antimicrobial activity was correlated to the concentration of the essential oil components in the aqueous phase in equilibrium with the nanoemulsion droplets, suggesting that the ability of the active molecules to interact with cell membranes is associated to their dissolution in the aqueous phase. These considerations can lead to a more rational design of the nanoemulsion-based delivery systems for essential oils, based on the opportune choice of the emulsifiers in dependence of the desired function of the antimicrobials within the food system.","author":[{"dropping-particle":"","family":"Donsì","given":"Francesco","non-dropping-particle":"","parse-names":false,"suffix":""},{"dropping-particle":"","family":"Annunziata","given":"Marianna","non-dropping-particle":"","parse-names":false,"suffix":""},{"dropping-particle":"","family":"Vincensi","given":"Mariarosaria","non-dropping-particle":"","parse-names":false,"suffix":""},{"dropping-particle":"","family":"Ferrari","given":"Giovanna","non-dropping-particle":"","parse-names":false,"suffix":""}],"container-title":"Journal of biotechnology","id":"ITEM-1","issue":"4","issued":{"date-parts":[["2012"]]},"page":"342-50","publisher":"Elsevier B.V.","title":"Design of nanoemulsion-based delivery systems of natural antimicrobials: effect of the emulsifier.","type":"article-journal","volume":"159"},"uris":["http://www.mendeley.com/documents/?uuid=30fca23d-d382-43e3-bb2d-086c9a8c648f"]}],"mendeley":{"formattedCitation":"(Donsì et al., 2012)","plainTextFormattedCitation":"(Donsì et al., 2012)","previouslyFormattedCitation":"(Donsì et al., 2012)"},"properties":{"noteIndex":0},"schema":"https://github.com/citation-style-language/schema/raw/master/csl-citation.json"}</w:instrText>
      </w:r>
      <w:r w:rsidRPr="00E33197">
        <w:fldChar w:fldCharType="separate"/>
      </w:r>
      <w:r w:rsidRPr="00E33197">
        <w:rPr>
          <w:noProof/>
        </w:rPr>
        <w:t>(Donsì et al., 2012)</w:t>
      </w:r>
      <w:r w:rsidRPr="00E33197">
        <w:fldChar w:fldCharType="end"/>
      </w:r>
      <w:r w:rsidRPr="00E33197">
        <w:t>.</w:t>
      </w:r>
      <w:r w:rsidR="00123D76" w:rsidRPr="00E33197">
        <w:t xml:space="preserve"> </w:t>
      </w:r>
      <w:r w:rsidR="00454DC6" w:rsidRPr="00E33197">
        <w:t>Therefore</w:t>
      </w:r>
      <w:r w:rsidR="00712B6E" w:rsidRPr="00E33197">
        <w:t xml:space="preserve">, it was decided to set the </w:t>
      </w:r>
      <w:r w:rsidR="00712B6E" w:rsidRPr="00E33197">
        <w:rPr>
          <w:lang w:val="en-GB"/>
        </w:rPr>
        <w:t>carvacrol:</w:t>
      </w:r>
      <w:r w:rsidR="00123D76" w:rsidRPr="00E33197">
        <w:rPr>
          <w:lang w:val="en-GB"/>
        </w:rPr>
        <w:t xml:space="preserve">ripening inhibitor </w:t>
      </w:r>
      <w:r w:rsidR="00712B6E" w:rsidRPr="00E33197">
        <w:rPr>
          <w:lang w:val="en-GB"/>
        </w:rPr>
        <w:t xml:space="preserve">ratio </w:t>
      </w:r>
      <w:r w:rsidR="00123D76" w:rsidRPr="00E33197">
        <w:rPr>
          <w:lang w:val="en-GB"/>
        </w:rPr>
        <w:t>= 1:3 w/w</w:t>
      </w:r>
      <w:r w:rsidR="00712B6E" w:rsidRPr="00E33197">
        <w:rPr>
          <w:lang w:val="en-GB"/>
        </w:rPr>
        <w:t xml:space="preserve"> (</w:t>
      </w:r>
      <w:r w:rsidR="00712B6E" w:rsidRPr="00E33197">
        <w:t xml:space="preserve">25 wt% carvacrol in the total </w:t>
      </w:r>
      <w:r w:rsidR="00712B6E" w:rsidRPr="00E33197">
        <w:t>oil phase</w:t>
      </w:r>
      <w:r w:rsidR="00454DC6" w:rsidRPr="00E33197">
        <w:t xml:space="preserve">, with </w:t>
      </w:r>
      <w:r w:rsidR="00712B6E" w:rsidRPr="00E33197">
        <w:t>0.67 wt% of carvacrol and 2.00 wt% of ripening inhibitors over the total formulation</w:t>
      </w:r>
      <w:r w:rsidR="00454DC6" w:rsidRPr="00E33197">
        <w:t>).</w:t>
      </w:r>
    </w:p>
    <w:p w:rsidR="00982AFE" w:rsidRPr="00E33197" w:rsidRDefault="00982AFE" w:rsidP="00982AFE">
      <w:pPr>
        <w:pStyle w:val="CETBodytext"/>
      </w:pPr>
    </w:p>
    <w:p w:rsidR="00982AFE" w:rsidRPr="00E33197" w:rsidRDefault="00982AFE" w:rsidP="006E4E98">
      <w:pPr>
        <w:pStyle w:val="CETBodytextItalic"/>
      </w:pPr>
      <w:r w:rsidRPr="00E33197">
        <w:t>Table 1: Formulation and characterization of carvacrol nanoemulsions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417"/>
        <w:gridCol w:w="1134"/>
        <w:gridCol w:w="1276"/>
        <w:gridCol w:w="850"/>
        <w:gridCol w:w="1418"/>
      </w:tblGrid>
      <w:tr w:rsidR="00E33197" w:rsidRPr="00E33197" w:rsidTr="00266FF8">
        <w:tc>
          <w:tcPr>
            <w:tcW w:w="1134" w:type="dxa"/>
            <w:tcBorders>
              <w:top w:val="single" w:sz="12" w:space="0" w:color="008000"/>
              <w:bottom w:val="single" w:sz="6" w:space="0" w:color="008000"/>
            </w:tcBorders>
            <w:shd w:val="clear" w:color="auto" w:fill="FFFFFF"/>
          </w:tcPr>
          <w:p w:rsidR="00982AFE" w:rsidRPr="00E33197" w:rsidRDefault="00982AFE" w:rsidP="006E4E98">
            <w:pPr>
              <w:pStyle w:val="CETBodytext"/>
              <w:rPr>
                <w:lang w:val="en-GB"/>
              </w:rPr>
            </w:pPr>
            <w:r w:rsidRPr="00E33197">
              <w:rPr>
                <w:lang w:val="en-GB"/>
              </w:rPr>
              <w:t>Sample</w:t>
            </w:r>
          </w:p>
        </w:tc>
        <w:tc>
          <w:tcPr>
            <w:tcW w:w="1560" w:type="dxa"/>
            <w:tcBorders>
              <w:top w:val="single" w:sz="12" w:space="0" w:color="008000"/>
              <w:bottom w:val="single" w:sz="6" w:space="0" w:color="008000"/>
            </w:tcBorders>
            <w:shd w:val="clear" w:color="auto" w:fill="FFFFFF"/>
          </w:tcPr>
          <w:p w:rsidR="00982AFE" w:rsidRPr="00E33197" w:rsidRDefault="00982AFE" w:rsidP="00E62B46">
            <w:pPr>
              <w:pStyle w:val="CETBodytext"/>
              <w:rPr>
                <w:lang w:val="en-GB"/>
              </w:rPr>
            </w:pPr>
            <w:r w:rsidRPr="00E33197">
              <w:rPr>
                <w:lang w:val="en-GB"/>
              </w:rPr>
              <w:t>Ripening inhibitor</w:t>
            </w:r>
          </w:p>
        </w:tc>
        <w:tc>
          <w:tcPr>
            <w:tcW w:w="1417" w:type="dxa"/>
            <w:tcBorders>
              <w:top w:val="single" w:sz="12" w:space="0" w:color="008000"/>
              <w:bottom w:val="single" w:sz="6" w:space="0" w:color="008000"/>
            </w:tcBorders>
            <w:shd w:val="clear" w:color="auto" w:fill="FFFFFF"/>
          </w:tcPr>
          <w:p w:rsidR="00982AFE" w:rsidRPr="00E33197" w:rsidRDefault="00982AFE" w:rsidP="00E62B46">
            <w:pPr>
              <w:pStyle w:val="CETBodytext"/>
              <w:rPr>
                <w:vertAlign w:val="superscript"/>
                <w:lang w:val="en-GB"/>
              </w:rPr>
            </w:pPr>
            <w:r w:rsidRPr="00E33197">
              <w:rPr>
                <w:lang w:val="en-GB"/>
              </w:rPr>
              <w:t>Emulsifier</w:t>
            </w:r>
          </w:p>
        </w:tc>
        <w:tc>
          <w:tcPr>
            <w:tcW w:w="1134" w:type="dxa"/>
            <w:tcBorders>
              <w:top w:val="single" w:sz="12" w:space="0" w:color="008000"/>
              <w:bottom w:val="single" w:sz="6" w:space="0" w:color="008000"/>
            </w:tcBorders>
            <w:shd w:val="clear" w:color="auto" w:fill="FFFFFF"/>
          </w:tcPr>
          <w:p w:rsidR="00982AFE" w:rsidRPr="00E33197" w:rsidRDefault="00982AFE" w:rsidP="00E62B46">
            <w:pPr>
              <w:pStyle w:val="CETBodytext"/>
              <w:rPr>
                <w:lang w:val="en-GB"/>
              </w:rPr>
            </w:pPr>
            <w:r w:rsidRPr="00E33197">
              <w:rPr>
                <w:lang w:val="en-GB"/>
              </w:rPr>
              <w:t>Stabilizer</w:t>
            </w:r>
          </w:p>
        </w:tc>
        <w:tc>
          <w:tcPr>
            <w:tcW w:w="1276" w:type="dxa"/>
            <w:tcBorders>
              <w:top w:val="single" w:sz="12" w:space="0" w:color="008000"/>
              <w:bottom w:val="single" w:sz="6" w:space="0" w:color="008000"/>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d</w:t>
            </w:r>
            <w:r w:rsidRPr="00E33197">
              <w:rPr>
                <w:rFonts w:cs="Arial"/>
                <w:szCs w:val="18"/>
                <w:vertAlign w:val="subscript"/>
                <w:lang w:val="en-GB"/>
              </w:rPr>
              <w:t>H</w:t>
            </w:r>
            <w:r w:rsidRPr="00E33197">
              <w:rPr>
                <w:rFonts w:cs="Arial"/>
                <w:szCs w:val="18"/>
                <w:lang w:val="en-GB"/>
              </w:rPr>
              <w:t xml:space="preserve"> [nm]</w:t>
            </w:r>
          </w:p>
        </w:tc>
        <w:tc>
          <w:tcPr>
            <w:tcW w:w="850" w:type="dxa"/>
            <w:tcBorders>
              <w:top w:val="single" w:sz="12" w:space="0" w:color="008000"/>
              <w:bottom w:val="single" w:sz="6" w:space="0" w:color="008000"/>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PDI [-]</w:t>
            </w:r>
          </w:p>
        </w:tc>
        <w:tc>
          <w:tcPr>
            <w:tcW w:w="1418" w:type="dxa"/>
            <w:tcBorders>
              <w:top w:val="single" w:sz="12" w:space="0" w:color="008000"/>
              <w:bottom w:val="single" w:sz="6" w:space="0" w:color="008000"/>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ζ-potential [mV]</w:t>
            </w:r>
          </w:p>
        </w:tc>
      </w:tr>
      <w:tr w:rsidR="00E33197" w:rsidRPr="00E33197" w:rsidTr="00266FF8">
        <w:tc>
          <w:tcPr>
            <w:tcW w:w="1134" w:type="dxa"/>
            <w:tcBorders>
              <w:top w:val="single" w:sz="6" w:space="0" w:color="008000"/>
              <w:bottom w:val="nil"/>
            </w:tcBorders>
            <w:shd w:val="clear" w:color="auto" w:fill="FFFFFF"/>
          </w:tcPr>
          <w:p w:rsidR="00982AFE" w:rsidRPr="00E33197" w:rsidRDefault="00982AFE" w:rsidP="006E4E98">
            <w:pPr>
              <w:pStyle w:val="CETBodytext"/>
              <w:rPr>
                <w:lang w:val="en-GB"/>
              </w:rPr>
            </w:pPr>
            <w:r w:rsidRPr="00E33197">
              <w:rPr>
                <w:lang w:val="en-GB"/>
              </w:rPr>
              <w:t>MCT-T80</w:t>
            </w:r>
          </w:p>
        </w:tc>
        <w:tc>
          <w:tcPr>
            <w:tcW w:w="1560" w:type="dxa"/>
            <w:tcBorders>
              <w:top w:val="single" w:sz="6" w:space="0" w:color="008000"/>
              <w:bottom w:val="nil"/>
            </w:tcBorders>
            <w:shd w:val="clear" w:color="auto" w:fill="FFFFFF"/>
          </w:tcPr>
          <w:p w:rsidR="00982AFE" w:rsidRPr="00E33197" w:rsidRDefault="00982AFE" w:rsidP="006E4E98">
            <w:pPr>
              <w:pStyle w:val="CETBodytext"/>
              <w:rPr>
                <w:lang w:val="en-GB"/>
              </w:rPr>
            </w:pPr>
            <w:r w:rsidRPr="00E33197">
              <w:rPr>
                <w:lang w:val="en-GB"/>
              </w:rPr>
              <w:t>MCT</w:t>
            </w:r>
          </w:p>
        </w:tc>
        <w:tc>
          <w:tcPr>
            <w:tcW w:w="1417" w:type="dxa"/>
            <w:tcBorders>
              <w:top w:val="single" w:sz="6" w:space="0" w:color="008000"/>
              <w:bottom w:val="nil"/>
            </w:tcBorders>
            <w:shd w:val="clear" w:color="auto" w:fill="FFFFFF"/>
          </w:tcPr>
          <w:p w:rsidR="00982AFE" w:rsidRPr="00E33197" w:rsidRDefault="00982AFE" w:rsidP="006E4E98">
            <w:pPr>
              <w:pStyle w:val="CETBodytext"/>
              <w:rPr>
                <w:lang w:val="en-GB"/>
              </w:rPr>
            </w:pPr>
            <w:r w:rsidRPr="00E33197">
              <w:rPr>
                <w:lang w:val="en-GB"/>
              </w:rPr>
              <w:t>Tween 80</w:t>
            </w:r>
          </w:p>
        </w:tc>
        <w:tc>
          <w:tcPr>
            <w:tcW w:w="1134" w:type="dxa"/>
            <w:tcBorders>
              <w:top w:val="single" w:sz="6" w:space="0" w:color="008000"/>
              <w:bottom w:val="nil"/>
            </w:tcBorders>
            <w:shd w:val="clear" w:color="auto" w:fill="FFFFFF"/>
          </w:tcPr>
          <w:p w:rsidR="00982AFE" w:rsidRPr="00E33197" w:rsidRDefault="00982AFE" w:rsidP="006E4E98">
            <w:pPr>
              <w:pStyle w:val="CETBodytext"/>
              <w:rPr>
                <w:lang w:val="en-GB"/>
              </w:rPr>
            </w:pPr>
            <w:r w:rsidRPr="00E33197">
              <w:rPr>
                <w:lang w:val="en-GB"/>
              </w:rPr>
              <w:t>-</w:t>
            </w:r>
          </w:p>
        </w:tc>
        <w:tc>
          <w:tcPr>
            <w:tcW w:w="1276" w:type="dxa"/>
            <w:tcBorders>
              <w:top w:val="single" w:sz="6" w:space="0" w:color="008000"/>
              <w:bottom w:val="nil"/>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110.1±0.9</w:t>
            </w:r>
          </w:p>
        </w:tc>
        <w:tc>
          <w:tcPr>
            <w:tcW w:w="850" w:type="dxa"/>
            <w:tcBorders>
              <w:top w:val="single" w:sz="6" w:space="0" w:color="008000"/>
              <w:bottom w:val="nil"/>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0.2</w:t>
            </w:r>
          </w:p>
        </w:tc>
        <w:tc>
          <w:tcPr>
            <w:tcW w:w="1418" w:type="dxa"/>
            <w:tcBorders>
              <w:top w:val="single" w:sz="6" w:space="0" w:color="008000"/>
              <w:bottom w:val="nil"/>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+19.6±0.7</w:t>
            </w:r>
          </w:p>
        </w:tc>
      </w:tr>
      <w:tr w:rsidR="00E33197" w:rsidRPr="00E33197" w:rsidTr="00266FF8">
        <w:tc>
          <w:tcPr>
            <w:tcW w:w="1134" w:type="dxa"/>
            <w:tcBorders>
              <w:top w:val="nil"/>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PO-T80</w:t>
            </w:r>
          </w:p>
        </w:tc>
        <w:tc>
          <w:tcPr>
            <w:tcW w:w="1560" w:type="dxa"/>
            <w:tcBorders>
              <w:top w:val="nil"/>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Sunflower oil</w:t>
            </w:r>
          </w:p>
        </w:tc>
        <w:tc>
          <w:tcPr>
            <w:tcW w:w="1417" w:type="dxa"/>
            <w:tcBorders>
              <w:top w:val="nil"/>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Tween 80</w:t>
            </w:r>
          </w:p>
        </w:tc>
        <w:tc>
          <w:tcPr>
            <w:tcW w:w="1134" w:type="dxa"/>
            <w:tcBorders>
              <w:top w:val="nil"/>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w:t>
            </w:r>
          </w:p>
        </w:tc>
        <w:tc>
          <w:tcPr>
            <w:tcW w:w="1276" w:type="dxa"/>
            <w:tcBorders>
              <w:top w:val="nil"/>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104.2±0.6</w:t>
            </w:r>
          </w:p>
        </w:tc>
        <w:tc>
          <w:tcPr>
            <w:tcW w:w="850" w:type="dxa"/>
            <w:tcBorders>
              <w:top w:val="nil"/>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0.2</w:t>
            </w:r>
          </w:p>
        </w:tc>
        <w:tc>
          <w:tcPr>
            <w:tcW w:w="1418" w:type="dxa"/>
            <w:tcBorders>
              <w:top w:val="nil"/>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+21.1±2.0</w:t>
            </w:r>
          </w:p>
        </w:tc>
      </w:tr>
      <w:tr w:rsidR="00E33197" w:rsidRPr="00E33197" w:rsidTr="00266FF8">
        <w:tc>
          <w:tcPr>
            <w:tcW w:w="1134" w:type="dxa"/>
            <w:tcBorders>
              <w:top w:val="nil"/>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PO-T80-A</w:t>
            </w:r>
          </w:p>
        </w:tc>
        <w:tc>
          <w:tcPr>
            <w:tcW w:w="1560" w:type="dxa"/>
            <w:tcBorders>
              <w:top w:val="nil"/>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Sunflower oil</w:t>
            </w:r>
          </w:p>
        </w:tc>
        <w:tc>
          <w:tcPr>
            <w:tcW w:w="1417" w:type="dxa"/>
            <w:tcBorders>
              <w:top w:val="nil"/>
              <w:bottom w:val="single" w:sz="4" w:space="0" w:color="FFFFFF" w:themeColor="background1"/>
            </w:tcBorders>
            <w:shd w:val="clear" w:color="auto" w:fill="FFFFFF"/>
          </w:tcPr>
          <w:p w:rsidR="00982AFE" w:rsidRPr="00E33197" w:rsidRDefault="00982AFE" w:rsidP="006E4E98">
            <w:r w:rsidRPr="00E33197">
              <w:t>Tween 80</w:t>
            </w:r>
          </w:p>
        </w:tc>
        <w:tc>
          <w:tcPr>
            <w:tcW w:w="1134" w:type="dxa"/>
            <w:tcBorders>
              <w:top w:val="nil"/>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Alginate</w:t>
            </w:r>
          </w:p>
        </w:tc>
        <w:tc>
          <w:tcPr>
            <w:tcW w:w="1276" w:type="dxa"/>
            <w:tcBorders>
              <w:top w:val="nil"/>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375.7±4.5</w:t>
            </w:r>
          </w:p>
        </w:tc>
        <w:tc>
          <w:tcPr>
            <w:tcW w:w="850" w:type="dxa"/>
            <w:tcBorders>
              <w:top w:val="nil"/>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0.3</w:t>
            </w:r>
          </w:p>
        </w:tc>
        <w:tc>
          <w:tcPr>
            <w:tcW w:w="1418" w:type="dxa"/>
            <w:tcBorders>
              <w:top w:val="nil"/>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+17.6±0.5</w:t>
            </w:r>
          </w:p>
        </w:tc>
      </w:tr>
      <w:tr w:rsidR="00E33197" w:rsidRPr="00E33197" w:rsidTr="00266FF8">
        <w:tc>
          <w:tcPr>
            <w:tcW w:w="1134"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PO-T80-Z</w:t>
            </w:r>
          </w:p>
        </w:tc>
        <w:tc>
          <w:tcPr>
            <w:tcW w:w="1560"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Sunflower oil</w:t>
            </w:r>
          </w:p>
        </w:tc>
        <w:tc>
          <w:tcPr>
            <w:tcW w:w="1417"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r w:rsidRPr="00E33197">
              <w:t>Tween 80</w:t>
            </w:r>
          </w:p>
        </w:tc>
        <w:tc>
          <w:tcPr>
            <w:tcW w:w="1134"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Zein</w:t>
            </w:r>
          </w:p>
        </w:tc>
        <w:tc>
          <w:tcPr>
            <w:tcW w:w="1276"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145.7±6.0</w:t>
            </w:r>
          </w:p>
        </w:tc>
        <w:tc>
          <w:tcPr>
            <w:tcW w:w="850"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0.6</w:t>
            </w:r>
          </w:p>
        </w:tc>
        <w:tc>
          <w:tcPr>
            <w:tcW w:w="1418"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+16.7±0.4</w:t>
            </w:r>
          </w:p>
        </w:tc>
      </w:tr>
      <w:tr w:rsidR="00E33197" w:rsidRPr="00E33197" w:rsidTr="00266FF8">
        <w:tc>
          <w:tcPr>
            <w:tcW w:w="1134"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PO-LEC</w:t>
            </w:r>
          </w:p>
        </w:tc>
        <w:tc>
          <w:tcPr>
            <w:tcW w:w="1560"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Sunflower oil</w:t>
            </w:r>
          </w:p>
        </w:tc>
        <w:tc>
          <w:tcPr>
            <w:tcW w:w="1417"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Lecithin</w:t>
            </w:r>
          </w:p>
        </w:tc>
        <w:tc>
          <w:tcPr>
            <w:tcW w:w="1134"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w:t>
            </w:r>
          </w:p>
        </w:tc>
        <w:tc>
          <w:tcPr>
            <w:tcW w:w="1276"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179.7±2.9</w:t>
            </w:r>
          </w:p>
        </w:tc>
        <w:tc>
          <w:tcPr>
            <w:tcW w:w="850"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0.2</w:t>
            </w:r>
          </w:p>
        </w:tc>
        <w:tc>
          <w:tcPr>
            <w:tcW w:w="1418" w:type="dxa"/>
            <w:tcBorders>
              <w:top w:val="single" w:sz="4" w:space="0" w:color="FFFFFF" w:themeColor="background1"/>
              <w:bottom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+33.8±2.5</w:t>
            </w:r>
          </w:p>
        </w:tc>
      </w:tr>
      <w:tr w:rsidR="00E33197" w:rsidRPr="00E33197" w:rsidTr="00266FF8">
        <w:tc>
          <w:tcPr>
            <w:tcW w:w="1134" w:type="dxa"/>
            <w:tcBorders>
              <w:top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lang w:val="en-GB"/>
              </w:rPr>
              <w:t>PO-WP</w:t>
            </w:r>
          </w:p>
        </w:tc>
        <w:tc>
          <w:tcPr>
            <w:tcW w:w="1560" w:type="dxa"/>
            <w:tcBorders>
              <w:top w:val="single" w:sz="4" w:space="0" w:color="FFFFFF" w:themeColor="background1"/>
            </w:tcBorders>
            <w:shd w:val="clear" w:color="auto" w:fill="FFFFFF"/>
          </w:tcPr>
          <w:p w:rsidR="00982AFE" w:rsidRPr="00E33197" w:rsidRDefault="00982AFE" w:rsidP="006E4E98">
            <w:pPr>
              <w:pStyle w:val="CETBodytext"/>
              <w:rPr>
                <w:lang w:val="en-GB"/>
              </w:rPr>
            </w:pPr>
            <w:r w:rsidRPr="00E33197">
              <w:rPr>
                <w:lang w:val="en-GB"/>
              </w:rPr>
              <w:t>Sunflower oil</w:t>
            </w:r>
          </w:p>
        </w:tc>
        <w:tc>
          <w:tcPr>
            <w:tcW w:w="1417" w:type="dxa"/>
            <w:tcBorders>
              <w:top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Whey proteins</w:t>
            </w:r>
          </w:p>
        </w:tc>
        <w:tc>
          <w:tcPr>
            <w:tcW w:w="1134" w:type="dxa"/>
            <w:tcBorders>
              <w:top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w:t>
            </w:r>
          </w:p>
        </w:tc>
        <w:tc>
          <w:tcPr>
            <w:tcW w:w="1276" w:type="dxa"/>
            <w:tcBorders>
              <w:top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341.7±6.5</w:t>
            </w:r>
          </w:p>
        </w:tc>
        <w:tc>
          <w:tcPr>
            <w:tcW w:w="850" w:type="dxa"/>
            <w:tcBorders>
              <w:top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0.5</w:t>
            </w:r>
          </w:p>
        </w:tc>
        <w:tc>
          <w:tcPr>
            <w:tcW w:w="1418" w:type="dxa"/>
            <w:tcBorders>
              <w:top w:val="single" w:sz="4" w:space="0" w:color="FFFFFF" w:themeColor="background1"/>
            </w:tcBorders>
            <w:shd w:val="clear" w:color="auto" w:fill="FFFFFF"/>
          </w:tcPr>
          <w:p w:rsidR="00982AFE" w:rsidRPr="00E33197" w:rsidRDefault="00982AFE" w:rsidP="006E4E98">
            <w:pPr>
              <w:pStyle w:val="CETBodytext"/>
              <w:ind w:right="-1"/>
              <w:rPr>
                <w:rFonts w:cs="Arial"/>
                <w:szCs w:val="18"/>
                <w:lang w:val="en-GB"/>
              </w:rPr>
            </w:pPr>
            <w:r w:rsidRPr="00E33197">
              <w:rPr>
                <w:rFonts w:cs="Arial"/>
                <w:szCs w:val="18"/>
                <w:lang w:val="en-GB"/>
              </w:rPr>
              <w:t>+28.8±1.0</w:t>
            </w:r>
          </w:p>
        </w:tc>
      </w:tr>
    </w:tbl>
    <w:p w:rsidR="00982AFE" w:rsidRPr="00E33197" w:rsidRDefault="00982AFE" w:rsidP="00982AFE">
      <w:pPr>
        <w:pStyle w:val="CETBodytext"/>
      </w:pPr>
    </w:p>
    <w:p w:rsidR="00CD4515" w:rsidRPr="00E33197" w:rsidRDefault="00CD4515" w:rsidP="00CD4515">
      <w:pPr>
        <w:pStyle w:val="CETBodytext"/>
      </w:pPr>
      <w:r w:rsidRPr="00E33197">
        <w:t xml:space="preserve">The prepared carvacrol nanoemulsions were characterized in terms of mean droplet diameter </w:t>
      </w:r>
      <w:r w:rsidRPr="00E33197">
        <w:rPr>
          <w:i/>
        </w:rPr>
        <w:t>d</w:t>
      </w:r>
      <w:r w:rsidRPr="00E33197">
        <w:rPr>
          <w:i/>
          <w:vertAlign w:val="subscript"/>
        </w:rPr>
        <w:t>H</w:t>
      </w:r>
      <w:r w:rsidRPr="00E33197">
        <w:t xml:space="preserve">, polydispersity index </w:t>
      </w:r>
      <w:r w:rsidRPr="00E33197">
        <w:rPr>
          <w:i/>
        </w:rPr>
        <w:t>PDI</w:t>
      </w:r>
      <w:r w:rsidRPr="00E33197">
        <w:t xml:space="preserve"> and </w:t>
      </w:r>
      <w:r w:rsidRPr="00E33197">
        <w:rPr>
          <w:rFonts w:cs="Arial"/>
          <w:i/>
          <w:szCs w:val="18"/>
          <w:lang w:val="en-GB"/>
        </w:rPr>
        <w:t>ζ</w:t>
      </w:r>
      <w:r w:rsidRPr="00E33197">
        <w:rPr>
          <w:rFonts w:cs="Arial"/>
          <w:szCs w:val="18"/>
          <w:lang w:val="en-GB"/>
        </w:rPr>
        <w:t>-potential</w:t>
      </w:r>
      <w:r w:rsidRPr="00E33197">
        <w:t xml:space="preserve">. The results show that the effect of the ripening inhibitor is very marginal (as already seen for </w:t>
      </w:r>
      <w:r w:rsidRPr="00E33197">
        <w:rPr>
          <w:i/>
        </w:rPr>
        <w:t>d</w:t>
      </w:r>
      <w:r w:rsidRPr="00E33197">
        <w:rPr>
          <w:i/>
          <w:vertAlign w:val="subscript"/>
        </w:rPr>
        <w:t>H</w:t>
      </w:r>
      <w:r w:rsidRPr="00E33197">
        <w:t xml:space="preserve"> in Figure 1) also on </w:t>
      </w:r>
      <w:r w:rsidRPr="00E33197">
        <w:rPr>
          <w:i/>
        </w:rPr>
        <w:t>PDI</w:t>
      </w:r>
      <w:r w:rsidRPr="00E33197">
        <w:t xml:space="preserve"> and </w:t>
      </w:r>
      <w:r w:rsidRPr="00E33197">
        <w:rPr>
          <w:rFonts w:cs="Arial"/>
          <w:i/>
          <w:szCs w:val="18"/>
          <w:lang w:val="en-GB"/>
        </w:rPr>
        <w:t>ζ</w:t>
      </w:r>
      <w:r w:rsidRPr="00E33197">
        <w:rPr>
          <w:rFonts w:cs="Arial"/>
          <w:szCs w:val="18"/>
          <w:lang w:val="en-GB"/>
        </w:rPr>
        <w:t>-potential</w:t>
      </w:r>
      <w:r w:rsidRPr="00E33197">
        <w:t xml:space="preserve">. In contrast, when changing the type of emulsifier, a significant effect was observed on all the parameters characterized. </w:t>
      </w:r>
      <w:r w:rsidR="00266FF8" w:rsidRPr="00E33197">
        <w:t>T</w:t>
      </w:r>
      <w:r w:rsidRPr="00E33197">
        <w:t xml:space="preserve">he use of lecithin (PO-LEC) enabled the formation of nanoemulsions with a </w:t>
      </w:r>
      <w:r w:rsidRPr="00E33197">
        <w:rPr>
          <w:i/>
        </w:rPr>
        <w:t>d</w:t>
      </w:r>
      <w:r w:rsidRPr="00E33197">
        <w:rPr>
          <w:i/>
          <w:vertAlign w:val="subscript"/>
        </w:rPr>
        <w:t>H</w:t>
      </w:r>
      <w:r w:rsidRPr="00E33197">
        <w:t xml:space="preserve"> below 200 nm, a low degree of polydispersity (</w:t>
      </w:r>
      <w:r w:rsidRPr="00E33197">
        <w:rPr>
          <w:i/>
        </w:rPr>
        <w:t>PDI</w:t>
      </w:r>
      <w:r w:rsidRPr="00E33197">
        <w:t xml:space="preserve"> </w:t>
      </w:r>
      <w:r w:rsidRPr="00E33197">
        <w:rPr>
          <w:rFonts w:cs="Arial"/>
        </w:rPr>
        <w:t>≤</w:t>
      </w:r>
      <w:r w:rsidRPr="00E33197">
        <w:t xml:space="preserve"> 0.2) and a fairly high </w:t>
      </w:r>
      <w:r w:rsidRPr="00E33197">
        <w:rPr>
          <w:rFonts w:cs="Arial"/>
          <w:i/>
          <w:szCs w:val="18"/>
          <w:lang w:val="en-GB"/>
        </w:rPr>
        <w:t>ζ</w:t>
      </w:r>
      <w:r w:rsidRPr="00E33197">
        <w:rPr>
          <w:rFonts w:cs="Arial"/>
          <w:szCs w:val="18"/>
          <w:lang w:val="en-GB"/>
        </w:rPr>
        <w:t xml:space="preserve">-potential, which might trigger the droplet stabilization by electrostatic repulsion. When </w:t>
      </w:r>
      <w:r w:rsidRPr="00E33197">
        <w:t xml:space="preserve">whey proteins were used as </w:t>
      </w:r>
      <w:r w:rsidR="00C02463" w:rsidRPr="00E33197">
        <w:t xml:space="preserve">an </w:t>
      </w:r>
      <w:r w:rsidRPr="00E33197">
        <w:t>emulsifier (PO-WP), however, a wors</w:t>
      </w:r>
      <w:r w:rsidR="00C02463" w:rsidRPr="00E33197">
        <w:t>e</w:t>
      </w:r>
      <w:r w:rsidRPr="00E33197">
        <w:t xml:space="preserve"> emulsification process was achieved, with </w:t>
      </w:r>
      <w:r w:rsidRPr="00E33197">
        <w:rPr>
          <w:i/>
        </w:rPr>
        <w:t>d</w:t>
      </w:r>
      <w:r w:rsidRPr="00E33197">
        <w:rPr>
          <w:i/>
          <w:vertAlign w:val="subscript"/>
        </w:rPr>
        <w:t>H</w:t>
      </w:r>
      <w:r w:rsidRPr="00E33197">
        <w:t xml:space="preserve"> of 375 nm, a high degree of polydispersity (</w:t>
      </w:r>
      <w:r w:rsidRPr="00E33197">
        <w:rPr>
          <w:i/>
        </w:rPr>
        <w:t>PDI</w:t>
      </w:r>
      <w:r w:rsidRPr="00E33197">
        <w:t xml:space="preserve"> </w:t>
      </w:r>
      <w:r w:rsidRPr="00E33197">
        <w:rPr>
          <w:rFonts w:cs="Arial"/>
        </w:rPr>
        <w:t>=</w:t>
      </w:r>
      <w:r w:rsidRPr="00E33197">
        <w:t xml:space="preserve"> 0.5), but still a fairly high </w:t>
      </w:r>
      <w:r w:rsidRPr="00E33197">
        <w:rPr>
          <w:rFonts w:cs="Arial"/>
          <w:i/>
          <w:szCs w:val="18"/>
          <w:lang w:val="en-GB"/>
        </w:rPr>
        <w:t>ζ</w:t>
      </w:r>
      <w:r w:rsidRPr="00E33197">
        <w:rPr>
          <w:rFonts w:cs="Arial"/>
          <w:szCs w:val="18"/>
          <w:lang w:val="en-GB"/>
        </w:rPr>
        <w:t>-potential.</w:t>
      </w:r>
      <w:r w:rsidRPr="00E33197">
        <w:t xml:space="preserve"> Finally, the addition of a stabilizer to the Tween 80-based nanoemulsions, probably due to depletion attraction, caused a significant increase in mean droplet diameter (especially for alginate), or in polydispersity (especially for zein), without any remarkable advantage on </w:t>
      </w:r>
      <w:r w:rsidRPr="00E33197">
        <w:rPr>
          <w:rFonts w:cs="Arial"/>
          <w:i/>
          <w:szCs w:val="18"/>
          <w:lang w:val="en-GB"/>
        </w:rPr>
        <w:t>ζ</w:t>
      </w:r>
      <w:r w:rsidRPr="00E33197">
        <w:rPr>
          <w:rFonts w:cs="Arial"/>
          <w:szCs w:val="18"/>
          <w:lang w:val="en-GB"/>
        </w:rPr>
        <w:t>-potential.</w:t>
      </w:r>
    </w:p>
    <w:p w:rsidR="00070AEB" w:rsidRPr="00E33197" w:rsidRDefault="00D4540E" w:rsidP="0034128D">
      <w:pPr>
        <w:pStyle w:val="CETBodytext"/>
      </w:pPr>
      <w:r w:rsidRPr="00E33197">
        <w:t>The nanoemulsions of Table 1 were then tested in the Franz cells to calculate the</w:t>
      </w:r>
      <w:r w:rsidR="00070AEB" w:rsidRPr="00E33197">
        <w:t xml:space="preserve"> effective</w:t>
      </w:r>
      <w:r w:rsidRPr="00E33197">
        <w:t xml:space="preserve"> diffusivity through the cellulose membranes. </w:t>
      </w:r>
      <w:r w:rsidR="00123D76" w:rsidRPr="00E33197">
        <w:t>T</w:t>
      </w:r>
      <w:r w:rsidR="007D03F1" w:rsidRPr="00E33197">
        <w:t>he diffusion coefficient</w:t>
      </w:r>
      <w:r w:rsidR="00123D76" w:rsidRPr="00E33197">
        <w:t xml:space="preserve"> was estimated using</w:t>
      </w:r>
      <w:r w:rsidR="007D03F1" w:rsidRPr="00E33197">
        <w:t xml:space="preserve"> </w:t>
      </w:r>
      <w:r w:rsidR="00070AEB" w:rsidRPr="00E33197">
        <w:t>the following equation:</w:t>
      </w:r>
    </w:p>
    <w:tbl>
      <w:tblPr>
        <w:tblW w:w="5000" w:type="pct"/>
        <w:tblLook w:val="04A0" w:firstRow="1" w:lastRow="0" w:firstColumn="1" w:lastColumn="0" w:noHBand="0" w:noVBand="1"/>
      </w:tblPr>
      <w:tblGrid>
        <w:gridCol w:w="7984"/>
        <w:gridCol w:w="803"/>
      </w:tblGrid>
      <w:tr w:rsidR="00E33197" w:rsidRPr="00E33197" w:rsidTr="004620ED">
        <w:tc>
          <w:tcPr>
            <w:tcW w:w="7984" w:type="dxa"/>
            <w:shd w:val="clear" w:color="auto" w:fill="auto"/>
            <w:vAlign w:val="center"/>
          </w:tcPr>
          <w:p w:rsidR="00070AEB" w:rsidRPr="00E33197" w:rsidRDefault="00070AEB" w:rsidP="004620ED">
            <w:pPr>
              <w:pStyle w:val="CETEquation"/>
              <w:rPr>
                <w:rFonts w:cs="Arial"/>
                <w:szCs w:val="18"/>
              </w:rPr>
            </w:pPr>
            <m:oMathPara>
              <m:oMathParaPr>
                <m:jc m:val="left"/>
              </m:oMathParaPr>
              <m:oMath>
                <m:r>
                  <w:rPr>
                    <w:rFonts w:ascii="Cambria Math" w:hAnsi="Cambria Math" w:cs="Arial"/>
                    <w:szCs w:val="18"/>
                  </w:rPr>
                  <m:t>D=</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Bt</m:t>
                    </m:r>
                  </m:den>
                </m:f>
                <m:func>
                  <m:funcPr>
                    <m:ctrlPr>
                      <w:rPr>
                        <w:rFonts w:ascii="Cambria Math" w:hAnsi="Cambria Math" w:cs="Arial"/>
                        <w:i/>
                        <w:szCs w:val="18"/>
                      </w:rPr>
                    </m:ctrlPr>
                  </m:funcPr>
                  <m:fName>
                    <m:r>
                      <m:rPr>
                        <m:sty m:val="p"/>
                      </m:rPr>
                      <w:rPr>
                        <w:rFonts w:ascii="Cambria Math" w:hAnsi="Cambria Math" w:cs="Arial"/>
                        <w:szCs w:val="18"/>
                      </w:rPr>
                      <m:t>ln</m:t>
                    </m:r>
                  </m:fName>
                  <m:e>
                    <m:d>
                      <m:dPr>
                        <m:begChr m:val="["/>
                        <m:endChr m:val="]"/>
                        <m:ctrlPr>
                          <w:rPr>
                            <w:rFonts w:ascii="Cambria Math" w:hAnsi="Cambria Math" w:cs="Arial"/>
                            <w:i/>
                            <w:szCs w:val="18"/>
                          </w:rPr>
                        </m:ctrlPr>
                      </m:dPr>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1,0</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2,0</m:t>
                                </m:r>
                              </m:sub>
                            </m:sSub>
                          </m:num>
                          <m:den>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2</m:t>
                                </m:r>
                              </m:sub>
                            </m:sSub>
                          </m:den>
                        </m:f>
                      </m:e>
                    </m:d>
                  </m:e>
                </m:func>
              </m:oMath>
            </m:oMathPara>
          </w:p>
        </w:tc>
        <w:tc>
          <w:tcPr>
            <w:tcW w:w="803" w:type="dxa"/>
            <w:shd w:val="clear" w:color="auto" w:fill="auto"/>
            <w:vAlign w:val="center"/>
          </w:tcPr>
          <w:p w:rsidR="00070AEB" w:rsidRPr="00E33197" w:rsidRDefault="00070AEB" w:rsidP="004620ED">
            <w:pPr>
              <w:pStyle w:val="CETEquation"/>
              <w:jc w:val="right"/>
            </w:pPr>
            <w:r w:rsidRPr="00E33197">
              <w:t>(1)</w:t>
            </w:r>
          </w:p>
        </w:tc>
      </w:tr>
    </w:tbl>
    <w:p w:rsidR="00070AEB" w:rsidRPr="00E33197" w:rsidRDefault="00070AEB" w:rsidP="00070AEB">
      <w:pPr>
        <w:pStyle w:val="CETEquation"/>
        <w:rPr>
          <w:szCs w:val="18"/>
        </w:rPr>
      </w:pPr>
      <w:r w:rsidRPr="00E33197">
        <w:rPr>
          <w:szCs w:val="18"/>
        </w:rPr>
        <w:t xml:space="preserve">where </w:t>
      </w:r>
      <w:r w:rsidRPr="00E33197">
        <w:rPr>
          <w:i/>
          <w:szCs w:val="18"/>
        </w:rPr>
        <w:t>D</w:t>
      </w:r>
      <w:r w:rsidRPr="00E33197">
        <w:rPr>
          <w:szCs w:val="18"/>
        </w:rPr>
        <w:t xml:space="preserve"> represents the diffusion coefficient in cm</w:t>
      </w:r>
      <w:r w:rsidRPr="00E33197">
        <w:rPr>
          <w:szCs w:val="18"/>
          <w:vertAlign w:val="superscript"/>
        </w:rPr>
        <w:t>2</w:t>
      </w:r>
      <w:r w:rsidRPr="00E33197">
        <w:rPr>
          <w:szCs w:val="18"/>
        </w:rPr>
        <w:t xml:space="preserve">/s, </w:t>
      </w:r>
      <w:r w:rsidRPr="00E33197">
        <w:rPr>
          <w:i/>
          <w:szCs w:val="18"/>
        </w:rPr>
        <w:t>t</w:t>
      </w:r>
      <w:r w:rsidRPr="00E33197">
        <w:rPr>
          <w:szCs w:val="18"/>
        </w:rPr>
        <w:t xml:space="preserve"> the duration of the experiment expressed in s, </w:t>
      </w:r>
      <w:r w:rsidRPr="00E33197">
        <w:rPr>
          <w:i/>
          <w:szCs w:val="18"/>
        </w:rPr>
        <w:t>C</w:t>
      </w:r>
      <w:r w:rsidRPr="00E33197">
        <w:rPr>
          <w:i/>
          <w:szCs w:val="18"/>
          <w:vertAlign w:val="subscript"/>
        </w:rPr>
        <w:t>1,0</w:t>
      </w:r>
      <w:r w:rsidRPr="00E33197">
        <w:rPr>
          <w:szCs w:val="18"/>
        </w:rPr>
        <w:t xml:space="preserve"> the initial concentration of the compound of interest in the donor chamber, </w:t>
      </w:r>
      <w:r w:rsidRPr="00E33197">
        <w:rPr>
          <w:i/>
          <w:szCs w:val="18"/>
        </w:rPr>
        <w:t>C</w:t>
      </w:r>
      <w:r w:rsidRPr="00E33197">
        <w:rPr>
          <w:i/>
          <w:szCs w:val="18"/>
          <w:vertAlign w:val="subscript"/>
        </w:rPr>
        <w:t>2,0</w:t>
      </w:r>
      <w:r w:rsidRPr="00E33197">
        <w:rPr>
          <w:szCs w:val="18"/>
        </w:rPr>
        <w:t xml:space="preserve"> the initial concentration in the receptor chamber, </w:t>
      </w:r>
      <w:r w:rsidRPr="00E33197">
        <w:rPr>
          <w:i/>
          <w:szCs w:val="18"/>
        </w:rPr>
        <w:t>C</w:t>
      </w:r>
      <w:r w:rsidRPr="00E33197">
        <w:rPr>
          <w:i/>
          <w:szCs w:val="18"/>
          <w:vertAlign w:val="subscript"/>
        </w:rPr>
        <w:t>1</w:t>
      </w:r>
      <w:r w:rsidRPr="00E33197">
        <w:rPr>
          <w:szCs w:val="18"/>
        </w:rPr>
        <w:t xml:space="preserve"> and </w:t>
      </w:r>
      <w:r w:rsidRPr="00E33197">
        <w:rPr>
          <w:i/>
          <w:szCs w:val="18"/>
        </w:rPr>
        <w:t>C</w:t>
      </w:r>
      <w:r w:rsidRPr="00E33197">
        <w:rPr>
          <w:i/>
          <w:szCs w:val="18"/>
          <w:vertAlign w:val="subscript"/>
        </w:rPr>
        <w:t>2</w:t>
      </w:r>
      <w:r w:rsidRPr="00E33197">
        <w:rPr>
          <w:szCs w:val="18"/>
        </w:rPr>
        <w:t xml:space="preserve"> the respective concentrations of the donor and receptor chambers at time t.</w:t>
      </w:r>
    </w:p>
    <w:p w:rsidR="00B82801" w:rsidRPr="00E33197" w:rsidRDefault="00070AEB" w:rsidP="0034128D">
      <w:pPr>
        <w:pStyle w:val="CETBodytext"/>
      </w:pPr>
      <w:r w:rsidRPr="00E33197">
        <w:t>T</w:t>
      </w:r>
      <w:r w:rsidR="007D03F1" w:rsidRPr="00E33197">
        <w:t xml:space="preserve">he term </w:t>
      </w:r>
      <w:r w:rsidR="007D03F1" w:rsidRPr="00E33197">
        <w:rPr>
          <w:i/>
        </w:rPr>
        <w:t>B</w:t>
      </w:r>
      <w:r w:rsidRPr="00E33197">
        <w:t xml:space="preserve"> represents</w:t>
      </w:r>
      <w:r w:rsidR="007D03F1" w:rsidRPr="00E33197">
        <w:t xml:space="preserve"> the cell constant</w:t>
      </w:r>
      <w:r w:rsidRPr="00E33197">
        <w:t xml:space="preserve">, which </w:t>
      </w:r>
      <w:r w:rsidR="00204611" w:rsidRPr="00E33197">
        <w:t>could</w:t>
      </w:r>
      <w:r w:rsidRPr="00E33197">
        <w:t xml:space="preserve"> be determined through the initial calibration of the cell, using a compound of </w:t>
      </w:r>
      <w:r w:rsidR="007D03F1" w:rsidRPr="00E33197">
        <w:t>known diffusivity</w:t>
      </w:r>
      <w:r w:rsidRPr="00E33197">
        <w:t xml:space="preserve">, such as </w:t>
      </w:r>
      <w:r w:rsidR="007D03F1" w:rsidRPr="00E33197">
        <w:t>KCl in a 0.1 M solution</w:t>
      </w:r>
      <w:r w:rsidR="004F565F" w:rsidRPr="00E33197">
        <w:t xml:space="preserve"> </w:t>
      </w:r>
      <w:r w:rsidR="004F565F" w:rsidRPr="00E33197">
        <w:fldChar w:fldCharType="begin" w:fldLock="1"/>
      </w:r>
      <w:r w:rsidR="00E34BEA" w:rsidRPr="00E33197">
        <w:instrText>ADDIN CSL_CITATION {"citationItems":[{"id":"ITEM-1","itemData":{"DOI":"10.1016/S0167-7322(98)00088-9","ISSN":"0167-7322","abstract":"Differential diffusion coefficients of potassium chloride in water at 298.15 K, and at concentrations from 0.001 M to 1 M, have been measured using a conductimetric cell and an automatic apparatus to follow diffusion. The results are discussed on the basis of the Robinson and Stokes, Onsager-Fuoss and Pikal models. The cell uses an open-ended capillary method and a conductimetric technique is used to follow the diffusion process by measuring the resistance of a solution inside the capillaries, at recorded times.","author":[{"dropping-particle":"","family":"Lobo","given":"Victor M.M.","non-dropping-particle":"","parse-names":false,"suffix":""},{"dropping-particle":"","family":"Ribeiro","given":"Ana C.F.","non-dropping-particle":"","parse-names":false,"suffix":""},{"dropping-particle":"","family":"Verissimo","given":"Luis M.P.","non-dropping-particle":"","parse-names":false,"suffix":""}],"container-title":"Journal of Molecular Liquids","id":"ITEM-1","issue":"1-2","issued":{"date-parts":[["1998","8","1"]]},"page":"139-149","publisher":"Elsevier","title":"Diffusion coefficients in aqueous solutions of potassium chloride at high and low concentrations","type":"article-journal","volume":"78"},"uris":["http://www.mendeley.com/documents/?uuid=1b5822c8-14f3-3d8f-b93f-8158a50c9c4b"]}],"mendeley":{"formattedCitation":"(Lobo et al., 1998)","plainTextFormattedCitation":"(Lobo et al., 1998)","previouslyFormattedCitation":"(Lobo et al., 1998)"},"properties":{"noteIndex":0},"schema":"https://github.com/citation-style-language/schema/raw/master/csl-citation.json"}</w:instrText>
      </w:r>
      <w:r w:rsidR="004F565F" w:rsidRPr="00E33197">
        <w:fldChar w:fldCharType="separate"/>
      </w:r>
      <w:r w:rsidR="004F565F" w:rsidRPr="00E33197">
        <w:rPr>
          <w:noProof/>
        </w:rPr>
        <w:t>(Lobo et al., 1998)</w:t>
      </w:r>
      <w:r w:rsidR="004F565F" w:rsidRPr="00E33197">
        <w:fldChar w:fldCharType="end"/>
      </w:r>
      <w:r w:rsidRPr="00E33197">
        <w:t xml:space="preserve">. </w:t>
      </w:r>
      <w:r w:rsidR="008F651F" w:rsidRPr="00E33197">
        <w:t>By rearranging eq. 1</w:t>
      </w:r>
      <w:r w:rsidR="00B82801" w:rsidRPr="00E33197">
        <w:t xml:space="preserve"> as follows</w:t>
      </w:r>
      <w:r w:rsidR="00204611" w:rsidRPr="00E33197">
        <w:t>:</w:t>
      </w:r>
    </w:p>
    <w:tbl>
      <w:tblPr>
        <w:tblW w:w="5000" w:type="pct"/>
        <w:tblLook w:val="04A0" w:firstRow="1" w:lastRow="0" w:firstColumn="1" w:lastColumn="0" w:noHBand="0" w:noVBand="1"/>
      </w:tblPr>
      <w:tblGrid>
        <w:gridCol w:w="7984"/>
        <w:gridCol w:w="803"/>
      </w:tblGrid>
      <w:tr w:rsidR="00E33197" w:rsidRPr="00E33197" w:rsidTr="004620ED">
        <w:tc>
          <w:tcPr>
            <w:tcW w:w="7984" w:type="dxa"/>
            <w:shd w:val="clear" w:color="auto" w:fill="auto"/>
            <w:vAlign w:val="center"/>
          </w:tcPr>
          <w:p w:rsidR="004F565F" w:rsidRPr="00E33197" w:rsidRDefault="004F565F" w:rsidP="004620ED">
            <w:pPr>
              <w:pStyle w:val="CETEquation"/>
              <w:rPr>
                <w:szCs w:val="18"/>
              </w:rPr>
            </w:pPr>
            <m:oMathPara>
              <m:oMathParaPr>
                <m:jc m:val="left"/>
              </m:oMathParaPr>
              <m:oMath>
                <m:r>
                  <w:rPr>
                    <w:rFonts w:ascii="Cambria Math" w:eastAsiaTheme="minorEastAsia" w:hAnsi="Cambria Math" w:cs="Arial"/>
                    <w:szCs w:val="18"/>
                  </w:rPr>
                  <m:t>A=Bt=</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D</m:t>
                    </m:r>
                  </m:den>
                </m:f>
                <m:func>
                  <m:funcPr>
                    <m:ctrlPr>
                      <w:rPr>
                        <w:rFonts w:ascii="Cambria Math" w:hAnsi="Cambria Math" w:cs="Arial"/>
                        <w:i/>
                        <w:szCs w:val="18"/>
                      </w:rPr>
                    </m:ctrlPr>
                  </m:funcPr>
                  <m:fName>
                    <m:r>
                      <m:rPr>
                        <m:sty m:val="p"/>
                      </m:rPr>
                      <w:rPr>
                        <w:rFonts w:ascii="Cambria Math" w:hAnsi="Cambria Math" w:cs="Arial"/>
                        <w:szCs w:val="18"/>
                      </w:rPr>
                      <m:t>ln</m:t>
                    </m:r>
                  </m:fName>
                  <m:e>
                    <m:d>
                      <m:dPr>
                        <m:begChr m:val="["/>
                        <m:endChr m:val="]"/>
                        <m:ctrlPr>
                          <w:rPr>
                            <w:rFonts w:ascii="Cambria Math" w:hAnsi="Cambria Math" w:cs="Arial"/>
                            <w:i/>
                            <w:szCs w:val="18"/>
                          </w:rPr>
                        </m:ctrlPr>
                      </m:dPr>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1,0</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2,0</m:t>
                                </m:r>
                              </m:sub>
                            </m:sSub>
                          </m:num>
                          <m:den>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2</m:t>
                                </m:r>
                              </m:sub>
                            </m:sSub>
                          </m:den>
                        </m:f>
                      </m:e>
                    </m:d>
                  </m:e>
                </m:func>
              </m:oMath>
            </m:oMathPara>
          </w:p>
        </w:tc>
        <w:tc>
          <w:tcPr>
            <w:tcW w:w="803" w:type="dxa"/>
            <w:shd w:val="clear" w:color="auto" w:fill="auto"/>
            <w:vAlign w:val="center"/>
          </w:tcPr>
          <w:p w:rsidR="004F565F" w:rsidRPr="00E33197" w:rsidRDefault="004F565F" w:rsidP="004620ED">
            <w:pPr>
              <w:pStyle w:val="CETEquation"/>
              <w:jc w:val="right"/>
            </w:pPr>
            <w:r w:rsidRPr="00E33197">
              <w:t>(2)</w:t>
            </w:r>
          </w:p>
        </w:tc>
      </w:tr>
    </w:tbl>
    <w:p w:rsidR="00B82801" w:rsidRPr="00E33197" w:rsidRDefault="00B82801" w:rsidP="00B82801">
      <w:pPr>
        <w:pStyle w:val="CETBodytext"/>
      </w:pPr>
      <w:r w:rsidRPr="00E33197">
        <w:t xml:space="preserve">and plotting A as a function of time t, from the slope of the regression line </w:t>
      </w:r>
      <w:r w:rsidR="00204611" w:rsidRPr="00E33197">
        <w:t>(R</w:t>
      </w:r>
      <w:r w:rsidR="00204611" w:rsidRPr="00E33197">
        <w:rPr>
          <w:vertAlign w:val="superscript"/>
        </w:rPr>
        <w:t>2</w:t>
      </w:r>
      <w:r w:rsidR="00204611" w:rsidRPr="00E33197">
        <w:t xml:space="preserve"> = 0.985) </w:t>
      </w:r>
      <w:r w:rsidRPr="00E33197">
        <w:t>it is possible to determine the cell constant B = 1.043 cm</w:t>
      </w:r>
      <w:r w:rsidRPr="00E33197">
        <w:rPr>
          <w:vertAlign w:val="superscript"/>
        </w:rPr>
        <w:t>-2</w:t>
      </w:r>
      <w:r w:rsidRPr="00E33197">
        <w:t xml:space="preserve">, as shown in Figure 2. </w:t>
      </w:r>
    </w:p>
    <w:p w:rsidR="007D03F1" w:rsidRPr="00E33197" w:rsidRDefault="00BB71E0" w:rsidP="00266FF8">
      <w:pPr>
        <w:pStyle w:val="CETBodytext"/>
        <w:jc w:val="left"/>
      </w:pPr>
      <w:r w:rsidRPr="00E33197">
        <w:rPr>
          <w:noProof/>
          <w:lang w:val="it-IT" w:eastAsia="it-IT"/>
        </w:rPr>
        <w:drawing>
          <wp:inline distT="0" distB="0" distL="0" distR="0" wp14:anchorId="5DE88305" wp14:editId="3BF74FAD">
            <wp:extent cx="3096000" cy="2059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6000" cy="2059200"/>
                    </a:xfrm>
                    <a:prstGeom prst="rect">
                      <a:avLst/>
                    </a:prstGeom>
                    <a:noFill/>
                    <a:ln>
                      <a:noFill/>
                    </a:ln>
                  </pic:spPr>
                </pic:pic>
              </a:graphicData>
            </a:graphic>
          </wp:inline>
        </w:drawing>
      </w:r>
    </w:p>
    <w:p w:rsidR="00E26888" w:rsidRPr="00E33197" w:rsidRDefault="00E26888" w:rsidP="00712B6E">
      <w:pPr>
        <w:pStyle w:val="CETCaption"/>
        <w:jc w:val="left"/>
        <w:rPr>
          <w:lang w:val="en-US"/>
        </w:rPr>
      </w:pPr>
      <w:r w:rsidRPr="00E33197">
        <w:rPr>
          <w:lang w:val="en-US"/>
        </w:rPr>
        <w:t xml:space="preserve">Figure </w:t>
      </w:r>
      <w:r w:rsidR="00CB1A13" w:rsidRPr="00E33197">
        <w:rPr>
          <w:lang w:val="en-US"/>
        </w:rPr>
        <w:t>2</w:t>
      </w:r>
      <w:r w:rsidRPr="00E33197">
        <w:rPr>
          <w:lang w:val="en-US"/>
        </w:rPr>
        <w:t xml:space="preserve">: </w:t>
      </w:r>
      <w:r w:rsidR="00B82801" w:rsidRPr="00E33197">
        <w:rPr>
          <w:lang w:val="en-US"/>
        </w:rPr>
        <w:t>Values of A</w:t>
      </w:r>
      <w:r w:rsidR="00BB71E0" w:rsidRPr="00E33197">
        <w:rPr>
          <w:lang w:val="en-US"/>
        </w:rPr>
        <w:t xml:space="preserve"> (eq. 2)</w:t>
      </w:r>
      <w:r w:rsidR="00B82801" w:rsidRPr="00E33197">
        <w:rPr>
          <w:lang w:val="en-US"/>
        </w:rPr>
        <w:t xml:space="preserve"> as a function of time </w:t>
      </w:r>
      <w:r w:rsidR="00BB71E0" w:rsidRPr="00E33197">
        <w:rPr>
          <w:lang w:val="en-US"/>
        </w:rPr>
        <w:t xml:space="preserve">t </w:t>
      </w:r>
      <w:r w:rsidR="00B82801" w:rsidRPr="00E33197">
        <w:rPr>
          <w:lang w:val="en-US"/>
        </w:rPr>
        <w:t xml:space="preserve">for </w:t>
      </w:r>
      <w:r w:rsidR="00BB71E0" w:rsidRPr="00E33197">
        <w:rPr>
          <w:lang w:val="en-US"/>
        </w:rPr>
        <w:t xml:space="preserve">a 0.1 M </w:t>
      </w:r>
      <w:r w:rsidR="00B82801" w:rsidRPr="00E33197">
        <w:rPr>
          <w:lang w:val="en-US"/>
        </w:rPr>
        <w:t xml:space="preserve">KCl solution </w:t>
      </w:r>
      <w:r w:rsidR="00BB71E0" w:rsidRPr="00E33197">
        <w:rPr>
          <w:lang w:val="en-US"/>
        </w:rPr>
        <w:t>tested in the Franz cell apparatus.</w:t>
      </w:r>
    </w:p>
    <w:p w:rsidR="00BB71E0" w:rsidRPr="00E33197" w:rsidRDefault="00BB71E0" w:rsidP="0059758B">
      <w:pPr>
        <w:pStyle w:val="CETBodytext"/>
      </w:pPr>
      <w:r w:rsidRPr="00E33197">
        <w:t xml:space="preserve">Subsequently, the different nanoemulsions were loaded in the Franz cells, with the results </w:t>
      </w:r>
      <w:r w:rsidR="008060DD" w:rsidRPr="00E33197">
        <w:t xml:space="preserve">of the carvacrol diffusion through the cellulose membrane </w:t>
      </w:r>
      <w:r w:rsidRPr="00E33197">
        <w:t xml:space="preserve">reported in </w:t>
      </w:r>
      <w:r w:rsidR="008060DD" w:rsidRPr="00E33197">
        <w:t>Figure</w:t>
      </w:r>
      <w:r w:rsidR="004620ED" w:rsidRPr="00E33197">
        <w:t>s 3 and 4,</w:t>
      </w:r>
      <w:r w:rsidR="008060DD" w:rsidRPr="00E33197">
        <w:t xml:space="preserve"> in terms of carvacrol concentration in the receptor compartment. </w:t>
      </w:r>
      <w:r w:rsidR="004620ED" w:rsidRPr="00E33197">
        <w:t xml:space="preserve">Figure 3 clearly shows that </w:t>
      </w:r>
      <w:r w:rsidR="0059758B" w:rsidRPr="00E33197">
        <w:t>the ripening inhibitor had a small but significant effect on the diffusion of carvacrol through the cellulose membrane, with higher values measured for the MCT than for PO. However, it must be remarked that the observed differences are small when compared to the effect measured when changing the emulsifier, as shown in Figure 4. In particular, lecithin and whey protein-based nanoemulsions significantly promoted the diffusion of carvacrol through the membrane, likely inducing an emulsifier micelle-mediated mass transfer, which does not occur for Tween 80. This hypothesis is confirmed by the observation that all the Tween 80-based systems (MCT-T80, PO-T80, PO-T80-A, and PO-T80-Z) all exhibited a significant</w:t>
      </w:r>
      <w:r w:rsidR="00C02463" w:rsidRPr="00E33197">
        <w:t>ly</w:t>
      </w:r>
      <w:r w:rsidR="0059758B" w:rsidRPr="00E33197">
        <w:t xml:space="preserve"> slower diffusion of carvacrol through the cellulose membrane and consequently lower concentration values in the receptor compartment.</w:t>
      </w:r>
    </w:p>
    <w:p w:rsidR="006A441F" w:rsidRPr="00E33197" w:rsidRDefault="006A441F" w:rsidP="006A441F">
      <w:pPr>
        <w:rPr>
          <w:rFonts w:eastAsia="Calibri" w:cs="SimSun"/>
        </w:rPr>
      </w:pPr>
      <w:r w:rsidRPr="00E33197">
        <w:rPr>
          <w:rFonts w:eastAsia="Calibri" w:cs="SimSun"/>
        </w:rPr>
        <w:lastRenderedPageBreak/>
        <w:t xml:space="preserve">The diffusivity of carvacrol through the membrane is calculated using the following formula </w:t>
      </w:r>
      <w:r w:rsidRPr="00E33197">
        <w:rPr>
          <w:rFonts w:eastAsia="Calibri" w:cs="SimSun"/>
        </w:rPr>
        <w:fldChar w:fldCharType="begin" w:fldLock="1"/>
      </w:r>
      <w:r w:rsidRPr="00E33197">
        <w:rPr>
          <w:rFonts w:eastAsia="Calibri" w:cs="SimSun"/>
        </w:rPr>
        <w:instrText>ADDIN CSL_CITATION {"citationItems":[{"id":"ITEM-1","itemData":{"DOI":"10.1208/s12249-017-0751-z","ISSN":"1530-9932","PMID":"28283930","abstract":"Proanthocyanidins (PAs) have several bioactivities, but they are unstable in the digestive tract and possess low bioavailability. Nanoencapsulation stabilizes these compounds for oral administration. The intestinal absorption of grape seed and skin extracts, and the poly-lactic acid (PLA) nanoparticles loaded with such extracts was modeled, taking into consideration physicochemical process parameters, evaluating the PAs concentration profile in the human small intestine. Density (ρ), solubility, viscosity (μ), diffusion coefficient (D), and the global mass transfer coefficient (K) for both substrates were estimated, simulating their passing from the intestine into the blood at 37°C. For the seed and skin extracts encapsulated in PLA the physicochemical parameters were: D = 1.81 × 10^-5 and D = 5.72 × 10^-5 cm2/s; K = 3.4 × 10^-3 and K = 2.47 × 10^-4 cm/s, respectively. Lower resistance was offered by the seed extract than by skin extracts (nanoencapsulated), which was explained by differences in structural composition, and average molecular weight of the two kinds of extracts, which should be more favorable to the mass transfer in comparison to the raw extracts. The concentration profile of grape extracts in the small intestine was modeled through a pure convection model, and the encapsulated extract on PLA nanoparticles using a mixed regime model, which described the process of dissolution and absorption of the grape extracts from the intestine to the blood stream. The absorbed fraction predicted by the model was 42.7 and 24.2% for seed and skin extracts, respectively. Those values increased to 100% for both extracts after the simulation with the nanoencapsulated extracts. Consequently, extract encapsulation should produce a significant increase in intestinal absorption.","author":[{"dropping-particle":"","family":"Fernández","given":"Katherina","non-dropping-particle":"","parse-names":false,"suffix":""},{"dropping-particle":"","family":"Roeckel","given":"Marlene","non-dropping-particle":"","parse-names":false,"suffix":""},{"dropping-particle":"","family":"Canales","given":"Edgardo","non-dropping-particle":"","parse-names":false,"suffix":""},{"dropping-particle":"","family":"Dumont","given":"Javiera","non-dropping-particle":"","parse-names":false,"suffix":""}],"container-title":"AAPS PharmSciTech","id":"ITEM-1","issue":"7","issued":{"date-parts":[["2017","10","10"]]},"page":"2691-2701","title":"Modeling of the Nanoparticles Absorption Under a Gastrointestinal Simulated Ambient Condition","type":"article-journal","volume":"18"},"uris":["http://www.mendeley.com/documents/?uuid=faafdb43-e4b3-30e6-9874-0b1884382a25"]}],"mendeley":{"formattedCitation":"(Fernández et al., 2017)","plainTextFormattedCitation":"(Fernández et al., 2017)","previouslyFormattedCitation":"(Fernández et al., 2017)"},"properties":{"noteIndex":0},"schema":"https://github.com/citation-style-language/schema/raw/master/csl-citation.json"}</w:instrText>
      </w:r>
      <w:r w:rsidRPr="00E33197">
        <w:rPr>
          <w:rFonts w:eastAsia="Calibri" w:cs="SimSun"/>
        </w:rPr>
        <w:fldChar w:fldCharType="separate"/>
      </w:r>
      <w:r w:rsidRPr="00E33197">
        <w:rPr>
          <w:rFonts w:eastAsia="Calibri" w:cs="SimSun"/>
          <w:noProof/>
        </w:rPr>
        <w:t>(Fernández et al., 2017)</w:t>
      </w:r>
      <w:r w:rsidRPr="00E33197">
        <w:rPr>
          <w:rFonts w:eastAsia="Calibri" w:cs="SimSun"/>
        </w:rPr>
        <w:fldChar w:fldCharType="end"/>
      </w:r>
      <w:r w:rsidRPr="00E33197">
        <w:rPr>
          <w:rFonts w:eastAsia="Calibri" w:cs="SimSun"/>
        </w:rPr>
        <w:t xml:space="preserve">, through the regression of the data of Figures 3 and 4 and the determination of the slope </w:t>
      </w:r>
      <w:r w:rsidRPr="00E33197">
        <w:t>of the regression line</w:t>
      </w:r>
      <w:r w:rsidRPr="00E33197">
        <w:rPr>
          <w:rFonts w:eastAsia="Calibri" w:cs="SimSun"/>
        </w:rPr>
        <w:t>.</w:t>
      </w:r>
    </w:p>
    <w:tbl>
      <w:tblPr>
        <w:tblW w:w="5000" w:type="pct"/>
        <w:tblLook w:val="04A0" w:firstRow="1" w:lastRow="0" w:firstColumn="1" w:lastColumn="0" w:noHBand="0" w:noVBand="1"/>
      </w:tblPr>
      <w:tblGrid>
        <w:gridCol w:w="7984"/>
        <w:gridCol w:w="803"/>
      </w:tblGrid>
      <w:tr w:rsidR="00E33197" w:rsidRPr="00E33197" w:rsidTr="00B45DE6">
        <w:tc>
          <w:tcPr>
            <w:tcW w:w="7984" w:type="dxa"/>
            <w:shd w:val="clear" w:color="auto" w:fill="auto"/>
            <w:vAlign w:val="center"/>
          </w:tcPr>
          <w:p w:rsidR="006A441F" w:rsidRPr="00E33197" w:rsidRDefault="006A441F" w:rsidP="00C413E4">
            <w:pPr>
              <w:pStyle w:val="CETEquation"/>
              <w:rPr>
                <w:rFonts w:cs="Arial"/>
                <w:szCs w:val="18"/>
              </w:rPr>
            </w:pPr>
            <m:oMathPara>
              <m:oMathParaPr>
                <m:jc m:val="left"/>
              </m:oMathParaP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B</m:t>
                    </m:r>
                  </m:den>
                </m:f>
                <m:r>
                  <w:rPr>
                    <w:rFonts w:ascii="Cambria Math" w:hAnsi="Cambria Math"/>
                  </w:rPr>
                  <m:t>ln</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den>
                </m:f>
                <m:r>
                  <w:rPr>
                    <w:rFonts w:ascii="Cambria Math" w:hAnsi="Cambria Math"/>
                  </w:rPr>
                  <m:t>=Dt</m:t>
                </m:r>
              </m:oMath>
            </m:oMathPara>
          </w:p>
        </w:tc>
        <w:tc>
          <w:tcPr>
            <w:tcW w:w="803" w:type="dxa"/>
            <w:shd w:val="clear" w:color="auto" w:fill="auto"/>
            <w:vAlign w:val="center"/>
          </w:tcPr>
          <w:p w:rsidR="006A441F" w:rsidRPr="00E33197" w:rsidRDefault="006A441F" w:rsidP="00B45DE6">
            <w:pPr>
              <w:pStyle w:val="CETEquation"/>
              <w:jc w:val="right"/>
            </w:pPr>
            <w:r w:rsidRPr="00E33197">
              <w:t>(3)</w:t>
            </w:r>
          </w:p>
        </w:tc>
      </w:tr>
    </w:tbl>
    <w:p w:rsidR="006A441F" w:rsidRPr="00E33197" w:rsidRDefault="006A441F" w:rsidP="006A441F">
      <w:pPr>
        <w:pStyle w:val="CETBodytext"/>
      </w:pPr>
      <w:r w:rsidRPr="00E33197">
        <w:t>The regression of the data with the linearized formula of eq. 3 resulted in a good fitting for MCT-T80, PO-T80</w:t>
      </w:r>
      <w:r w:rsidR="00C02463" w:rsidRPr="00E33197">
        <w:t>,</w:t>
      </w:r>
      <w:r w:rsidRPr="00E33197">
        <w:t xml:space="preserve"> and PO-LEC, whereas the fitting was less accurate, but still reasonable, for the nanoemulsions comprising large macromolecules, such as in the case of </w:t>
      </w:r>
      <w:r w:rsidRPr="00E33197">
        <w:rPr>
          <w:lang w:val="en-GB"/>
        </w:rPr>
        <w:t>PO-T80-A, PO-T80-Z and PO-WP.</w:t>
      </w:r>
    </w:p>
    <w:p w:rsidR="005639A9" w:rsidRPr="00E33197" w:rsidRDefault="00CB1A13" w:rsidP="00266FF8">
      <w:pPr>
        <w:pStyle w:val="CETBodytext"/>
        <w:jc w:val="left"/>
      </w:pPr>
      <w:r w:rsidRPr="00E33197">
        <w:rPr>
          <w:noProof/>
          <w:lang w:val="it-IT" w:eastAsia="it-IT"/>
        </w:rPr>
        <w:drawing>
          <wp:inline distT="0" distB="0" distL="0" distR="0" wp14:anchorId="19B8792A" wp14:editId="550D0783">
            <wp:extent cx="2999074" cy="2251126"/>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388"/>
                    <a:stretch/>
                  </pic:blipFill>
                  <pic:spPr bwMode="auto">
                    <a:xfrm>
                      <a:off x="0" y="0"/>
                      <a:ext cx="2999232" cy="2251245"/>
                    </a:xfrm>
                    <a:prstGeom prst="rect">
                      <a:avLst/>
                    </a:prstGeom>
                    <a:noFill/>
                    <a:ln>
                      <a:noFill/>
                    </a:ln>
                    <a:extLst>
                      <a:ext uri="{53640926-AAD7-44D8-BBD7-CCE9431645EC}">
                        <a14:shadowObscured xmlns:a14="http://schemas.microsoft.com/office/drawing/2010/main"/>
                      </a:ext>
                    </a:extLst>
                  </pic:spPr>
                </pic:pic>
              </a:graphicData>
            </a:graphic>
          </wp:inline>
        </w:drawing>
      </w:r>
    </w:p>
    <w:p w:rsidR="00CB1A13" w:rsidRPr="00E33197" w:rsidRDefault="00CB1A13" w:rsidP="00712B6E">
      <w:pPr>
        <w:pStyle w:val="CETCaption"/>
        <w:jc w:val="left"/>
      </w:pPr>
      <w:r w:rsidRPr="00E33197">
        <w:t>Figure 3: C</w:t>
      </w:r>
      <w:r w:rsidR="0059758B" w:rsidRPr="00E33197">
        <w:t>arvacrol c</w:t>
      </w:r>
      <w:r w:rsidRPr="00E33197">
        <w:t xml:space="preserve">oncentration in the </w:t>
      </w:r>
      <w:r w:rsidR="0059758B" w:rsidRPr="00E33197">
        <w:t xml:space="preserve">receptor compartment of the Franz cells </w:t>
      </w:r>
      <w:r w:rsidRPr="00E33197">
        <w:t>as a function of time</w:t>
      </w:r>
      <w:r w:rsidR="0059758B" w:rsidRPr="00E33197">
        <w:t>,</w:t>
      </w:r>
      <w:r w:rsidRPr="00E33197">
        <w:t xml:space="preserve"> for the </w:t>
      </w:r>
      <w:r w:rsidR="0059758B" w:rsidRPr="00E33197">
        <w:t>nanoemulsions prepared with Tween 80 and different ripening inhibitors (see Table 1)</w:t>
      </w:r>
      <w:r w:rsidRPr="00E33197">
        <w:t>.</w:t>
      </w:r>
    </w:p>
    <w:p w:rsidR="005639A9" w:rsidRPr="00E33197" w:rsidRDefault="00CB1A13" w:rsidP="00266FF8">
      <w:pPr>
        <w:pStyle w:val="CETBodytext"/>
        <w:jc w:val="left"/>
      </w:pPr>
      <w:r w:rsidRPr="00E33197">
        <w:rPr>
          <w:noProof/>
          <w:lang w:val="it-IT" w:eastAsia="it-IT"/>
        </w:rPr>
        <w:drawing>
          <wp:inline distT="0" distB="0" distL="0" distR="0" wp14:anchorId="6FE622D3" wp14:editId="6AD2EA9E">
            <wp:extent cx="3090509" cy="225112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388"/>
                    <a:stretch/>
                  </pic:blipFill>
                  <pic:spPr bwMode="auto">
                    <a:xfrm>
                      <a:off x="0" y="0"/>
                      <a:ext cx="3090672" cy="2251245"/>
                    </a:xfrm>
                    <a:prstGeom prst="rect">
                      <a:avLst/>
                    </a:prstGeom>
                    <a:noFill/>
                    <a:ln>
                      <a:noFill/>
                    </a:ln>
                    <a:extLst>
                      <a:ext uri="{53640926-AAD7-44D8-BBD7-CCE9431645EC}">
                        <a14:shadowObscured xmlns:a14="http://schemas.microsoft.com/office/drawing/2010/main"/>
                      </a:ext>
                    </a:extLst>
                  </pic:spPr>
                </pic:pic>
              </a:graphicData>
            </a:graphic>
          </wp:inline>
        </w:drawing>
      </w:r>
      <w:bookmarkStart w:id="18" w:name="_GoBack"/>
      <w:bookmarkEnd w:id="18"/>
    </w:p>
    <w:p w:rsidR="00CD4515" w:rsidRPr="00E33197" w:rsidRDefault="00CB1A13" w:rsidP="00712B6E">
      <w:pPr>
        <w:pStyle w:val="CETCaption"/>
        <w:jc w:val="left"/>
        <w:rPr>
          <w:lang w:val="en-US"/>
        </w:rPr>
      </w:pPr>
      <w:r w:rsidRPr="00E33197">
        <w:rPr>
          <w:lang w:val="en-US"/>
        </w:rPr>
        <w:t xml:space="preserve">Figure </w:t>
      </w:r>
      <w:r w:rsidR="00BB71E0" w:rsidRPr="00E33197">
        <w:rPr>
          <w:lang w:val="en-US"/>
        </w:rPr>
        <w:t>4</w:t>
      </w:r>
      <w:r w:rsidRPr="00E33197">
        <w:rPr>
          <w:lang w:val="en-US"/>
        </w:rPr>
        <w:t xml:space="preserve">: </w:t>
      </w:r>
      <w:r w:rsidR="0059758B" w:rsidRPr="00E33197">
        <w:t>Carvacrol concentration in the receptor compartment of the Franz cells as a function of time, for the different nanoemulsions prepared with peanut oil (see Table 1).</w:t>
      </w:r>
    </w:p>
    <w:p w:rsidR="00CB1A13" w:rsidRPr="00E33197" w:rsidRDefault="00CB1A13" w:rsidP="00712B6E">
      <w:pPr>
        <w:pStyle w:val="CETBodytextItalic"/>
        <w:jc w:val="left"/>
      </w:pPr>
      <w:r w:rsidRPr="00E33197">
        <w:t>Table 2: Diffusi</w:t>
      </w:r>
      <w:r w:rsidR="00551804" w:rsidRPr="00E33197">
        <w:t xml:space="preserve">vity </w:t>
      </w:r>
      <w:r w:rsidRPr="00E33197">
        <w:t>values</w:t>
      </w:r>
      <w:r w:rsidR="00551804" w:rsidRPr="00E33197">
        <w:t xml:space="preserve"> of carvacrol,</w:t>
      </w:r>
      <w:r w:rsidRPr="00E33197">
        <w:t xml:space="preserve"> </w:t>
      </w:r>
      <w:r w:rsidR="00551804" w:rsidRPr="00E33197">
        <w:t xml:space="preserve">encapsulated in different nanoemulsions, </w:t>
      </w:r>
      <w:r w:rsidRPr="00E33197">
        <w:t>through a cellulose membrane.</w:t>
      </w:r>
      <w:r w:rsidR="00366DA0" w:rsidRPr="00E33197">
        <w:t xml:space="preserve"> The R</w:t>
      </w:r>
      <w:r w:rsidR="00366DA0" w:rsidRPr="00E33197">
        <w:rPr>
          <w:vertAlign w:val="superscript"/>
        </w:rPr>
        <w:t>2</w:t>
      </w:r>
      <w:r w:rsidR="00366DA0" w:rsidRPr="00E33197">
        <w:t xml:space="preserve"> value of the regression of the release data is also reported.</w:t>
      </w:r>
    </w:p>
    <w:tbl>
      <w:tblPr>
        <w:tblW w:w="492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50"/>
        <w:gridCol w:w="2160"/>
        <w:gridCol w:w="1110"/>
      </w:tblGrid>
      <w:tr w:rsidR="00E33197" w:rsidRPr="00E33197" w:rsidTr="00266FF8">
        <w:tc>
          <w:tcPr>
            <w:tcW w:w="1650" w:type="dxa"/>
            <w:tcBorders>
              <w:top w:val="single" w:sz="12" w:space="0" w:color="008000"/>
              <w:bottom w:val="single" w:sz="6" w:space="0" w:color="008000"/>
            </w:tcBorders>
            <w:shd w:val="clear" w:color="auto" w:fill="FFFFFF"/>
          </w:tcPr>
          <w:p w:rsidR="00551804" w:rsidRPr="00E33197" w:rsidRDefault="00551804" w:rsidP="00551804">
            <w:pPr>
              <w:pStyle w:val="CETBodytext"/>
              <w:rPr>
                <w:lang w:val="en-GB"/>
              </w:rPr>
            </w:pPr>
            <w:r w:rsidRPr="00E33197">
              <w:rPr>
                <w:lang w:val="en-GB"/>
              </w:rPr>
              <w:t>Sample</w:t>
            </w:r>
          </w:p>
        </w:tc>
        <w:tc>
          <w:tcPr>
            <w:tcW w:w="2160" w:type="dxa"/>
            <w:tcBorders>
              <w:top w:val="single" w:sz="12" w:space="0" w:color="008000"/>
              <w:bottom w:val="single" w:sz="6" w:space="0" w:color="008000"/>
            </w:tcBorders>
            <w:shd w:val="clear" w:color="auto" w:fill="FFFFFF"/>
          </w:tcPr>
          <w:p w:rsidR="00551804" w:rsidRPr="00E33197" w:rsidRDefault="00551804" w:rsidP="00551804">
            <w:pPr>
              <w:pStyle w:val="CETBodytext"/>
              <w:rPr>
                <w:lang w:val="en-GB"/>
              </w:rPr>
            </w:pPr>
            <w:r w:rsidRPr="00E33197">
              <w:rPr>
                <w:lang w:val="en-GB"/>
              </w:rPr>
              <w:t>Diffusivity [cm</w:t>
            </w:r>
            <w:r w:rsidRPr="00E33197">
              <w:rPr>
                <w:vertAlign w:val="superscript"/>
                <w:lang w:val="en-GB"/>
              </w:rPr>
              <w:t>2</w:t>
            </w:r>
            <w:r w:rsidRPr="00E33197">
              <w:rPr>
                <w:lang w:val="en-GB"/>
              </w:rPr>
              <w:t>/s]</w:t>
            </w:r>
          </w:p>
        </w:tc>
        <w:tc>
          <w:tcPr>
            <w:tcW w:w="1110" w:type="dxa"/>
            <w:tcBorders>
              <w:top w:val="single" w:sz="12" w:space="0" w:color="008000"/>
              <w:bottom w:val="single" w:sz="6" w:space="0" w:color="008000"/>
            </w:tcBorders>
            <w:shd w:val="clear" w:color="auto" w:fill="FFFFFF"/>
          </w:tcPr>
          <w:p w:rsidR="00551804" w:rsidRPr="00E33197" w:rsidRDefault="00551804" w:rsidP="00551804">
            <w:pPr>
              <w:pStyle w:val="CETBodytext"/>
              <w:rPr>
                <w:lang w:val="en-GB"/>
              </w:rPr>
            </w:pPr>
            <w:r w:rsidRPr="00E33197">
              <w:rPr>
                <w:lang w:val="en-GB"/>
              </w:rPr>
              <w:t>R</w:t>
            </w:r>
            <w:r w:rsidRPr="00E33197">
              <w:rPr>
                <w:vertAlign w:val="superscript"/>
                <w:lang w:val="en-GB"/>
              </w:rPr>
              <w:t>2</w:t>
            </w:r>
          </w:p>
        </w:tc>
      </w:tr>
      <w:tr w:rsidR="00E33197" w:rsidRPr="00E33197" w:rsidTr="00266FF8">
        <w:tc>
          <w:tcPr>
            <w:tcW w:w="1650" w:type="dxa"/>
            <w:tcBorders>
              <w:top w:val="single" w:sz="6" w:space="0" w:color="008000"/>
              <w:bottom w:val="nil"/>
            </w:tcBorders>
            <w:shd w:val="clear" w:color="auto" w:fill="FFFFFF"/>
          </w:tcPr>
          <w:p w:rsidR="00551804" w:rsidRPr="00E33197" w:rsidRDefault="00551804" w:rsidP="00551804">
            <w:pPr>
              <w:pStyle w:val="CETBodytext"/>
              <w:rPr>
                <w:lang w:val="en-GB"/>
              </w:rPr>
            </w:pPr>
            <w:r w:rsidRPr="00E33197">
              <w:rPr>
                <w:lang w:val="en-GB"/>
              </w:rPr>
              <w:t>MCT-T80</w:t>
            </w:r>
          </w:p>
        </w:tc>
        <w:tc>
          <w:tcPr>
            <w:tcW w:w="2160" w:type="dxa"/>
            <w:tcBorders>
              <w:top w:val="single" w:sz="6" w:space="0" w:color="008000"/>
              <w:bottom w:val="nil"/>
            </w:tcBorders>
            <w:shd w:val="clear" w:color="auto" w:fill="FFFFFF"/>
          </w:tcPr>
          <w:p w:rsidR="00551804" w:rsidRPr="00E33197" w:rsidRDefault="00551804" w:rsidP="00CD4515">
            <w:pPr>
              <w:pStyle w:val="CETBodytext"/>
              <w:rPr>
                <w:szCs w:val="18"/>
                <w:lang w:val="en-GB"/>
              </w:rPr>
            </w:pPr>
            <w:r w:rsidRPr="00E33197">
              <w:rPr>
                <w:szCs w:val="18"/>
              </w:rPr>
              <w:t>3.976</w:t>
            </w:r>
            <w:r w:rsidR="00CD4515" w:rsidRPr="00E33197">
              <w:rPr>
                <w:rFonts w:cs="Arial"/>
                <w:szCs w:val="18"/>
              </w:rPr>
              <w:t>·</w:t>
            </w:r>
            <w:r w:rsidRPr="00E33197">
              <w:rPr>
                <w:szCs w:val="18"/>
              </w:rPr>
              <w:t>10</w:t>
            </w:r>
            <w:r w:rsidRPr="00E33197">
              <w:rPr>
                <w:szCs w:val="18"/>
                <w:vertAlign w:val="superscript"/>
              </w:rPr>
              <w:t>-10</w:t>
            </w:r>
          </w:p>
        </w:tc>
        <w:tc>
          <w:tcPr>
            <w:tcW w:w="1110" w:type="dxa"/>
            <w:tcBorders>
              <w:top w:val="single" w:sz="6" w:space="0" w:color="008000"/>
              <w:bottom w:val="nil"/>
            </w:tcBorders>
            <w:shd w:val="clear" w:color="auto" w:fill="FFFFFF"/>
          </w:tcPr>
          <w:p w:rsidR="00551804" w:rsidRPr="00E33197" w:rsidRDefault="00E27F47" w:rsidP="00551804">
            <w:pPr>
              <w:pStyle w:val="CETBodytext"/>
              <w:rPr>
                <w:szCs w:val="18"/>
                <w:lang w:val="en-GB"/>
              </w:rPr>
            </w:pPr>
            <w:r w:rsidRPr="00E33197">
              <w:rPr>
                <w:szCs w:val="18"/>
              </w:rPr>
              <w:t>0.986</w:t>
            </w:r>
          </w:p>
        </w:tc>
      </w:tr>
      <w:tr w:rsidR="00E33197" w:rsidRPr="00E33197" w:rsidTr="00266FF8">
        <w:tc>
          <w:tcPr>
            <w:tcW w:w="1650" w:type="dxa"/>
            <w:tcBorders>
              <w:top w:val="nil"/>
              <w:bottom w:val="single" w:sz="4" w:space="0" w:color="FFFFFF" w:themeColor="background1"/>
            </w:tcBorders>
            <w:shd w:val="clear" w:color="auto" w:fill="FFFFFF"/>
          </w:tcPr>
          <w:p w:rsidR="00551804" w:rsidRPr="00E33197" w:rsidRDefault="00551804" w:rsidP="00551804">
            <w:pPr>
              <w:pStyle w:val="CETBodytext"/>
              <w:rPr>
                <w:lang w:val="en-GB"/>
              </w:rPr>
            </w:pPr>
            <w:r w:rsidRPr="00E33197">
              <w:rPr>
                <w:lang w:val="en-GB"/>
              </w:rPr>
              <w:t>PO-T80</w:t>
            </w:r>
          </w:p>
        </w:tc>
        <w:tc>
          <w:tcPr>
            <w:tcW w:w="2160" w:type="dxa"/>
            <w:tcBorders>
              <w:top w:val="nil"/>
              <w:bottom w:val="single" w:sz="4" w:space="0" w:color="FFFFFF" w:themeColor="background1"/>
            </w:tcBorders>
            <w:shd w:val="clear" w:color="auto" w:fill="FFFFFF"/>
          </w:tcPr>
          <w:p w:rsidR="00551804" w:rsidRPr="00E33197" w:rsidRDefault="00551804" w:rsidP="00551804">
            <w:pPr>
              <w:pStyle w:val="CETBodytext"/>
              <w:rPr>
                <w:szCs w:val="18"/>
                <w:lang w:val="en-GB"/>
              </w:rPr>
            </w:pPr>
            <w:r w:rsidRPr="00E33197">
              <w:rPr>
                <w:szCs w:val="18"/>
              </w:rPr>
              <w:t>1.</w:t>
            </w:r>
            <w:r w:rsidR="00CD4515" w:rsidRPr="00E33197">
              <w:rPr>
                <w:szCs w:val="18"/>
              </w:rPr>
              <w:t>227</w:t>
            </w:r>
            <w:r w:rsidR="00CD4515" w:rsidRPr="00E33197">
              <w:rPr>
                <w:rFonts w:cs="Arial"/>
                <w:szCs w:val="18"/>
              </w:rPr>
              <w:t>·</w:t>
            </w:r>
            <w:r w:rsidRPr="00E33197">
              <w:rPr>
                <w:szCs w:val="18"/>
              </w:rPr>
              <w:t>10</w:t>
            </w:r>
            <w:r w:rsidRPr="00E33197">
              <w:rPr>
                <w:szCs w:val="18"/>
                <w:vertAlign w:val="superscript"/>
              </w:rPr>
              <w:t>-10</w:t>
            </w:r>
          </w:p>
        </w:tc>
        <w:tc>
          <w:tcPr>
            <w:tcW w:w="1110" w:type="dxa"/>
            <w:tcBorders>
              <w:top w:val="nil"/>
              <w:bottom w:val="single" w:sz="4" w:space="0" w:color="FFFFFF" w:themeColor="background1"/>
            </w:tcBorders>
            <w:shd w:val="clear" w:color="auto" w:fill="FFFFFF"/>
          </w:tcPr>
          <w:p w:rsidR="00551804" w:rsidRPr="00E33197" w:rsidRDefault="00061504" w:rsidP="00366DA0">
            <w:pPr>
              <w:pStyle w:val="CETBodytext"/>
              <w:rPr>
                <w:szCs w:val="18"/>
                <w:lang w:val="en-GB"/>
              </w:rPr>
            </w:pPr>
            <w:r w:rsidRPr="00E33197">
              <w:rPr>
                <w:szCs w:val="18"/>
              </w:rPr>
              <w:t>0,93</w:t>
            </w:r>
            <w:r w:rsidR="00366DA0" w:rsidRPr="00E33197">
              <w:rPr>
                <w:szCs w:val="18"/>
              </w:rPr>
              <w:t>2</w:t>
            </w:r>
          </w:p>
        </w:tc>
      </w:tr>
      <w:tr w:rsidR="00E33197" w:rsidRPr="00E33197" w:rsidTr="00266FF8">
        <w:tc>
          <w:tcPr>
            <w:tcW w:w="1650" w:type="dxa"/>
            <w:tcBorders>
              <w:top w:val="nil"/>
              <w:bottom w:val="single" w:sz="4" w:space="0" w:color="FFFFFF" w:themeColor="background1"/>
            </w:tcBorders>
            <w:shd w:val="clear" w:color="auto" w:fill="FFFFFF"/>
          </w:tcPr>
          <w:p w:rsidR="00551804" w:rsidRPr="00E33197" w:rsidRDefault="00551804" w:rsidP="00551804">
            <w:pPr>
              <w:pStyle w:val="CETBodytext"/>
              <w:rPr>
                <w:lang w:val="en-GB"/>
              </w:rPr>
            </w:pPr>
            <w:r w:rsidRPr="00E33197">
              <w:rPr>
                <w:lang w:val="en-GB"/>
              </w:rPr>
              <w:t>PO-T80-A</w:t>
            </w:r>
          </w:p>
        </w:tc>
        <w:tc>
          <w:tcPr>
            <w:tcW w:w="2160" w:type="dxa"/>
            <w:tcBorders>
              <w:top w:val="nil"/>
              <w:bottom w:val="single" w:sz="4" w:space="0" w:color="FFFFFF" w:themeColor="background1"/>
            </w:tcBorders>
            <w:shd w:val="clear" w:color="auto" w:fill="FFFFFF"/>
          </w:tcPr>
          <w:p w:rsidR="00551804" w:rsidRPr="00E33197" w:rsidRDefault="00551804" w:rsidP="00551804">
            <w:pPr>
              <w:pStyle w:val="CETBodytext"/>
              <w:rPr>
                <w:szCs w:val="18"/>
                <w:lang w:val="en-GB"/>
              </w:rPr>
            </w:pPr>
            <w:r w:rsidRPr="00E33197">
              <w:rPr>
                <w:szCs w:val="18"/>
              </w:rPr>
              <w:t>3.</w:t>
            </w:r>
            <w:r w:rsidR="00CD4515" w:rsidRPr="00E33197">
              <w:rPr>
                <w:szCs w:val="18"/>
              </w:rPr>
              <w:t>976</w:t>
            </w:r>
            <w:r w:rsidR="00CD4515" w:rsidRPr="00E33197">
              <w:rPr>
                <w:rFonts w:cs="Arial"/>
                <w:szCs w:val="18"/>
              </w:rPr>
              <w:t>·</w:t>
            </w:r>
            <w:r w:rsidRPr="00E33197">
              <w:rPr>
                <w:szCs w:val="18"/>
              </w:rPr>
              <w:t>10</w:t>
            </w:r>
            <w:r w:rsidRPr="00E33197">
              <w:rPr>
                <w:szCs w:val="18"/>
                <w:vertAlign w:val="superscript"/>
              </w:rPr>
              <w:t>-10</w:t>
            </w:r>
          </w:p>
        </w:tc>
        <w:tc>
          <w:tcPr>
            <w:tcW w:w="1110" w:type="dxa"/>
            <w:tcBorders>
              <w:top w:val="nil"/>
              <w:bottom w:val="single" w:sz="4" w:space="0" w:color="FFFFFF" w:themeColor="background1"/>
            </w:tcBorders>
            <w:shd w:val="clear" w:color="auto" w:fill="FFFFFF"/>
          </w:tcPr>
          <w:p w:rsidR="00551804" w:rsidRPr="00E33197" w:rsidRDefault="00E27F47" w:rsidP="00551804">
            <w:pPr>
              <w:pStyle w:val="CETBodytext"/>
              <w:rPr>
                <w:szCs w:val="18"/>
                <w:lang w:val="en-GB"/>
              </w:rPr>
            </w:pPr>
            <w:r w:rsidRPr="00E33197">
              <w:rPr>
                <w:szCs w:val="18"/>
              </w:rPr>
              <w:t>0.737</w:t>
            </w:r>
          </w:p>
        </w:tc>
      </w:tr>
      <w:tr w:rsidR="00E33197" w:rsidRPr="00E33197" w:rsidTr="00266FF8">
        <w:tc>
          <w:tcPr>
            <w:tcW w:w="1650" w:type="dxa"/>
            <w:tcBorders>
              <w:top w:val="single" w:sz="4" w:space="0" w:color="FFFFFF" w:themeColor="background1"/>
              <w:bottom w:val="single" w:sz="4" w:space="0" w:color="FFFFFF" w:themeColor="background1"/>
            </w:tcBorders>
            <w:shd w:val="clear" w:color="auto" w:fill="FFFFFF"/>
          </w:tcPr>
          <w:p w:rsidR="00551804" w:rsidRPr="00E33197" w:rsidRDefault="00551804" w:rsidP="00551804">
            <w:pPr>
              <w:pStyle w:val="CETBodytext"/>
              <w:rPr>
                <w:lang w:val="en-GB"/>
              </w:rPr>
            </w:pPr>
            <w:r w:rsidRPr="00E33197">
              <w:rPr>
                <w:lang w:val="en-GB"/>
              </w:rPr>
              <w:t>PO-T80-Z</w:t>
            </w:r>
          </w:p>
        </w:tc>
        <w:tc>
          <w:tcPr>
            <w:tcW w:w="2160" w:type="dxa"/>
            <w:tcBorders>
              <w:top w:val="single" w:sz="4" w:space="0" w:color="FFFFFF" w:themeColor="background1"/>
              <w:bottom w:val="single" w:sz="4" w:space="0" w:color="FFFFFF" w:themeColor="background1"/>
            </w:tcBorders>
            <w:shd w:val="clear" w:color="auto" w:fill="FFFFFF"/>
          </w:tcPr>
          <w:p w:rsidR="00551804" w:rsidRPr="00E33197" w:rsidRDefault="00551804" w:rsidP="00551804">
            <w:pPr>
              <w:pStyle w:val="CETBodytext"/>
              <w:rPr>
                <w:szCs w:val="18"/>
                <w:lang w:val="en-GB"/>
              </w:rPr>
            </w:pPr>
            <w:r w:rsidRPr="00E33197">
              <w:rPr>
                <w:szCs w:val="18"/>
              </w:rPr>
              <w:t>7.</w:t>
            </w:r>
            <w:r w:rsidR="00CD4515" w:rsidRPr="00E33197">
              <w:rPr>
                <w:szCs w:val="18"/>
              </w:rPr>
              <w:t>854</w:t>
            </w:r>
            <w:r w:rsidR="00CD4515" w:rsidRPr="00E33197">
              <w:rPr>
                <w:rFonts w:cs="Arial"/>
                <w:szCs w:val="18"/>
              </w:rPr>
              <w:t>·</w:t>
            </w:r>
            <w:r w:rsidRPr="00E33197">
              <w:rPr>
                <w:szCs w:val="18"/>
              </w:rPr>
              <w:t>10</w:t>
            </w:r>
            <w:r w:rsidRPr="00E33197">
              <w:rPr>
                <w:szCs w:val="18"/>
                <w:vertAlign w:val="superscript"/>
              </w:rPr>
              <w:t>-11</w:t>
            </w:r>
          </w:p>
        </w:tc>
        <w:tc>
          <w:tcPr>
            <w:tcW w:w="1110" w:type="dxa"/>
            <w:tcBorders>
              <w:top w:val="single" w:sz="4" w:space="0" w:color="FFFFFF" w:themeColor="background1"/>
              <w:bottom w:val="single" w:sz="4" w:space="0" w:color="FFFFFF" w:themeColor="background1"/>
            </w:tcBorders>
            <w:shd w:val="clear" w:color="auto" w:fill="FFFFFF"/>
          </w:tcPr>
          <w:p w:rsidR="00551804" w:rsidRPr="00E33197" w:rsidRDefault="00061504" w:rsidP="00366DA0">
            <w:pPr>
              <w:pStyle w:val="CETBodytext"/>
              <w:rPr>
                <w:szCs w:val="18"/>
                <w:lang w:val="en-GB"/>
              </w:rPr>
            </w:pPr>
            <w:r w:rsidRPr="00E33197">
              <w:rPr>
                <w:szCs w:val="18"/>
              </w:rPr>
              <w:t>0,89</w:t>
            </w:r>
            <w:r w:rsidR="00366DA0" w:rsidRPr="00E33197">
              <w:rPr>
                <w:szCs w:val="18"/>
              </w:rPr>
              <w:t>4</w:t>
            </w:r>
          </w:p>
        </w:tc>
      </w:tr>
      <w:tr w:rsidR="00E33197" w:rsidRPr="00E33197" w:rsidTr="00266FF8">
        <w:tc>
          <w:tcPr>
            <w:tcW w:w="1650" w:type="dxa"/>
            <w:tcBorders>
              <w:top w:val="single" w:sz="4" w:space="0" w:color="FFFFFF" w:themeColor="background1"/>
              <w:bottom w:val="single" w:sz="4" w:space="0" w:color="FFFFFF" w:themeColor="background1"/>
            </w:tcBorders>
            <w:shd w:val="clear" w:color="auto" w:fill="FFFFFF"/>
          </w:tcPr>
          <w:p w:rsidR="00551804" w:rsidRPr="00E33197" w:rsidRDefault="00551804" w:rsidP="00551804">
            <w:pPr>
              <w:pStyle w:val="CETBodytext"/>
              <w:rPr>
                <w:lang w:val="en-GB"/>
              </w:rPr>
            </w:pPr>
            <w:r w:rsidRPr="00E33197">
              <w:rPr>
                <w:lang w:val="en-GB"/>
              </w:rPr>
              <w:t>PO-LEC</w:t>
            </w:r>
          </w:p>
        </w:tc>
        <w:tc>
          <w:tcPr>
            <w:tcW w:w="2160" w:type="dxa"/>
            <w:tcBorders>
              <w:top w:val="single" w:sz="4" w:space="0" w:color="FFFFFF" w:themeColor="background1"/>
              <w:bottom w:val="single" w:sz="4" w:space="0" w:color="FFFFFF" w:themeColor="background1"/>
            </w:tcBorders>
            <w:shd w:val="clear" w:color="auto" w:fill="FFFFFF"/>
          </w:tcPr>
          <w:p w:rsidR="00551804" w:rsidRPr="00E33197" w:rsidRDefault="00551804" w:rsidP="00551804">
            <w:pPr>
              <w:pStyle w:val="CETBodytext"/>
              <w:rPr>
                <w:szCs w:val="18"/>
                <w:lang w:val="en-GB"/>
              </w:rPr>
            </w:pPr>
            <w:r w:rsidRPr="00E33197">
              <w:rPr>
                <w:szCs w:val="18"/>
              </w:rPr>
              <w:t>1.</w:t>
            </w:r>
            <w:r w:rsidR="00CD4515" w:rsidRPr="00E33197">
              <w:rPr>
                <w:szCs w:val="18"/>
              </w:rPr>
              <w:t>964</w:t>
            </w:r>
            <w:r w:rsidR="00CD4515" w:rsidRPr="00E33197">
              <w:rPr>
                <w:rFonts w:cs="Arial"/>
                <w:szCs w:val="18"/>
              </w:rPr>
              <w:t>·</w:t>
            </w:r>
            <w:r w:rsidRPr="00E33197">
              <w:rPr>
                <w:szCs w:val="18"/>
              </w:rPr>
              <w:t>10</w:t>
            </w:r>
            <w:r w:rsidRPr="00E33197">
              <w:rPr>
                <w:szCs w:val="18"/>
                <w:vertAlign w:val="superscript"/>
              </w:rPr>
              <w:t>-9</w:t>
            </w:r>
          </w:p>
        </w:tc>
        <w:tc>
          <w:tcPr>
            <w:tcW w:w="1110" w:type="dxa"/>
            <w:tcBorders>
              <w:top w:val="single" w:sz="4" w:space="0" w:color="FFFFFF" w:themeColor="background1"/>
              <w:bottom w:val="single" w:sz="4" w:space="0" w:color="FFFFFF" w:themeColor="background1"/>
            </w:tcBorders>
            <w:shd w:val="clear" w:color="auto" w:fill="FFFFFF"/>
          </w:tcPr>
          <w:p w:rsidR="00551804" w:rsidRPr="00E33197" w:rsidRDefault="00366DA0" w:rsidP="00551804">
            <w:pPr>
              <w:pStyle w:val="CETBodytext"/>
              <w:rPr>
                <w:szCs w:val="18"/>
                <w:lang w:val="en-GB"/>
              </w:rPr>
            </w:pPr>
            <w:r w:rsidRPr="00E33197">
              <w:rPr>
                <w:szCs w:val="18"/>
              </w:rPr>
              <w:t>0.945</w:t>
            </w:r>
          </w:p>
        </w:tc>
      </w:tr>
      <w:tr w:rsidR="00E33197" w:rsidRPr="00E33197" w:rsidTr="00266FF8">
        <w:tc>
          <w:tcPr>
            <w:tcW w:w="1650" w:type="dxa"/>
            <w:tcBorders>
              <w:top w:val="single" w:sz="4" w:space="0" w:color="FFFFFF" w:themeColor="background1"/>
            </w:tcBorders>
            <w:shd w:val="clear" w:color="auto" w:fill="FFFFFF"/>
          </w:tcPr>
          <w:p w:rsidR="00551804" w:rsidRPr="00E33197" w:rsidRDefault="00551804" w:rsidP="00551804">
            <w:pPr>
              <w:pStyle w:val="CETBodytext"/>
              <w:ind w:right="-1"/>
              <w:rPr>
                <w:rFonts w:cs="Arial"/>
                <w:szCs w:val="18"/>
                <w:lang w:val="en-GB"/>
              </w:rPr>
            </w:pPr>
            <w:r w:rsidRPr="00E33197">
              <w:rPr>
                <w:lang w:val="en-GB"/>
              </w:rPr>
              <w:t>PO-WP</w:t>
            </w:r>
          </w:p>
        </w:tc>
        <w:tc>
          <w:tcPr>
            <w:tcW w:w="2160" w:type="dxa"/>
            <w:tcBorders>
              <w:top w:val="single" w:sz="4" w:space="0" w:color="FFFFFF" w:themeColor="background1"/>
            </w:tcBorders>
            <w:shd w:val="clear" w:color="auto" w:fill="FFFFFF"/>
          </w:tcPr>
          <w:p w:rsidR="00551804" w:rsidRPr="00E33197" w:rsidRDefault="00551804" w:rsidP="00551804">
            <w:pPr>
              <w:pStyle w:val="CETBodytext"/>
              <w:rPr>
                <w:szCs w:val="18"/>
                <w:lang w:val="en-GB"/>
              </w:rPr>
            </w:pPr>
            <w:r w:rsidRPr="00E33197">
              <w:rPr>
                <w:szCs w:val="18"/>
              </w:rPr>
              <w:t>1.</w:t>
            </w:r>
            <w:r w:rsidR="00CD4515" w:rsidRPr="00E33197">
              <w:rPr>
                <w:szCs w:val="18"/>
              </w:rPr>
              <w:t>964</w:t>
            </w:r>
            <w:r w:rsidR="00CD4515" w:rsidRPr="00E33197">
              <w:rPr>
                <w:rFonts w:cs="Arial"/>
                <w:szCs w:val="18"/>
              </w:rPr>
              <w:t>·</w:t>
            </w:r>
            <w:r w:rsidRPr="00E33197">
              <w:rPr>
                <w:szCs w:val="18"/>
              </w:rPr>
              <w:t>10</w:t>
            </w:r>
            <w:r w:rsidRPr="00E33197">
              <w:rPr>
                <w:szCs w:val="18"/>
                <w:vertAlign w:val="superscript"/>
              </w:rPr>
              <w:t>-9</w:t>
            </w:r>
          </w:p>
        </w:tc>
        <w:tc>
          <w:tcPr>
            <w:tcW w:w="1110" w:type="dxa"/>
            <w:tcBorders>
              <w:top w:val="single" w:sz="4" w:space="0" w:color="FFFFFF" w:themeColor="background1"/>
            </w:tcBorders>
            <w:shd w:val="clear" w:color="auto" w:fill="FFFFFF"/>
          </w:tcPr>
          <w:p w:rsidR="00551804" w:rsidRPr="00E33197" w:rsidRDefault="00E27F47" w:rsidP="00E27F47">
            <w:pPr>
              <w:pStyle w:val="CETBodytext"/>
              <w:rPr>
                <w:szCs w:val="18"/>
                <w:lang w:val="en-GB"/>
              </w:rPr>
            </w:pPr>
            <w:r w:rsidRPr="00E33197">
              <w:rPr>
                <w:szCs w:val="18"/>
              </w:rPr>
              <w:t>0.794</w:t>
            </w:r>
          </w:p>
        </w:tc>
      </w:tr>
    </w:tbl>
    <w:p w:rsidR="00123D76" w:rsidRPr="00E33197" w:rsidRDefault="00123D76" w:rsidP="00CD4515">
      <w:pPr>
        <w:pStyle w:val="CETBodytext"/>
        <w:rPr>
          <w:lang w:val="en-GB"/>
        </w:rPr>
      </w:pPr>
    </w:p>
    <w:p w:rsidR="00CD4515" w:rsidRPr="00E33197" w:rsidRDefault="00CD4515" w:rsidP="00CD4515">
      <w:pPr>
        <w:pStyle w:val="CETBodytext"/>
        <w:rPr>
          <w:lang w:val="en-GB"/>
        </w:rPr>
      </w:pPr>
      <w:r w:rsidRPr="00E33197">
        <w:rPr>
          <w:lang w:val="en-GB"/>
        </w:rPr>
        <w:t xml:space="preserve">The results of Table 2 show that the type of emulsifier appears to be crucial in influencing the diffusivity of carvacrol through the cellulose membrane. </w:t>
      </w:r>
      <w:r w:rsidR="00266FF8" w:rsidRPr="00E33197">
        <w:rPr>
          <w:lang w:val="en-GB"/>
        </w:rPr>
        <w:t>Notably</w:t>
      </w:r>
      <w:r w:rsidRPr="00E33197">
        <w:rPr>
          <w:lang w:val="en-GB"/>
        </w:rPr>
        <w:t>, when considering the value of the carvacrol diffusivities, the different nanoemulsions tested can be ranked as follows:</w:t>
      </w:r>
    </w:p>
    <w:p w:rsidR="00CD4515" w:rsidRPr="00E33197" w:rsidRDefault="00CD4515" w:rsidP="00CD4515">
      <w:pPr>
        <w:pStyle w:val="CETBodytext"/>
        <w:jc w:val="center"/>
        <w:rPr>
          <w:lang w:val="it-IT"/>
        </w:rPr>
      </w:pPr>
      <w:r w:rsidRPr="00E33197">
        <w:rPr>
          <w:lang w:val="it-IT"/>
        </w:rPr>
        <w:t xml:space="preserve">PO-LEC </w:t>
      </w:r>
      <w:r w:rsidRPr="00E33197">
        <w:rPr>
          <w:rFonts w:cs="Arial"/>
          <w:lang w:val="it-IT"/>
        </w:rPr>
        <w:t>≈</w:t>
      </w:r>
      <w:r w:rsidRPr="00E33197">
        <w:rPr>
          <w:lang w:val="it-IT"/>
        </w:rPr>
        <w:t xml:space="preserve"> PO-WP &gt; MCT-T80 </w:t>
      </w:r>
      <w:r w:rsidRPr="00E33197">
        <w:rPr>
          <w:rFonts w:cs="Arial"/>
          <w:lang w:val="it-IT"/>
        </w:rPr>
        <w:t>≈</w:t>
      </w:r>
      <w:r w:rsidRPr="00E33197">
        <w:rPr>
          <w:lang w:val="it-IT"/>
        </w:rPr>
        <w:t xml:space="preserve"> PO-T80 &gt; PO-T80-A &gt; PO-T80-Z.</w:t>
      </w:r>
    </w:p>
    <w:p w:rsidR="00197441" w:rsidRPr="00E33197" w:rsidRDefault="00CD4515" w:rsidP="00CD708F">
      <w:pPr>
        <w:pStyle w:val="CETBodytext"/>
        <w:rPr>
          <w:lang w:val="en-GB"/>
        </w:rPr>
      </w:pPr>
      <w:r w:rsidRPr="00E33197">
        <w:rPr>
          <w:lang w:val="en-GB"/>
        </w:rPr>
        <w:t>More specifically, Tween 80-based systems exhibit a scarce capacity to promote the diffusion of carvacrol through the cellulose membranes, whereas lecithin and whey proteins are significantly more effective. The addition of a macromolecular stabilizer, such as sodium alginate or zein, significantly reduces the effective diffusivity of carvacrol, probably due</w:t>
      </w:r>
      <w:r w:rsidR="00C02463" w:rsidRPr="00E33197">
        <w:rPr>
          <w:lang w:val="en-GB"/>
        </w:rPr>
        <w:t xml:space="preserve"> to</w:t>
      </w:r>
      <w:r w:rsidRPr="00E33197">
        <w:rPr>
          <w:lang w:val="en-GB"/>
        </w:rPr>
        <w:t xml:space="preserve"> its interaction with the macromolecules. </w:t>
      </w:r>
    </w:p>
    <w:p w:rsidR="00EF69DE" w:rsidRPr="00E33197" w:rsidRDefault="00EF69DE" w:rsidP="00EF69DE">
      <w:pPr>
        <w:pStyle w:val="CETHeading1"/>
        <w:rPr>
          <w:lang w:val="en-GB"/>
        </w:rPr>
      </w:pPr>
      <w:r w:rsidRPr="00E33197">
        <w:rPr>
          <w:lang w:val="en-GB"/>
        </w:rPr>
        <w:t>Conclusion</w:t>
      </w:r>
    </w:p>
    <w:p w:rsidR="00EF69DE" w:rsidRPr="00E33197" w:rsidRDefault="00197441" w:rsidP="00197441">
      <w:pPr>
        <w:pStyle w:val="CETBodytext"/>
      </w:pPr>
      <w:r w:rsidRPr="00E33197">
        <w:rPr>
          <w:lang w:val="en-GB"/>
        </w:rPr>
        <w:t xml:space="preserve">This work investigated the effect of nanoemulsion formulations on the stabilization of carvacrol in </w:t>
      </w:r>
      <w:r w:rsidR="00C02463" w:rsidRPr="00E33197">
        <w:rPr>
          <w:lang w:val="en-GB"/>
        </w:rPr>
        <w:t xml:space="preserve">the </w:t>
      </w:r>
      <w:r w:rsidRPr="00E33197">
        <w:rPr>
          <w:lang w:val="en-GB"/>
        </w:rPr>
        <w:t xml:space="preserve">aqueous phase and its diffusion through a cellulose membrane, with the final goal </w:t>
      </w:r>
      <w:r w:rsidR="006A441F" w:rsidRPr="00E33197">
        <w:rPr>
          <w:lang w:val="en-GB"/>
        </w:rPr>
        <w:t>of contributing</w:t>
      </w:r>
      <w:r w:rsidRPr="00E33197">
        <w:rPr>
          <w:lang w:val="en-GB"/>
        </w:rPr>
        <w:t xml:space="preserve"> to support </w:t>
      </w:r>
      <w:r w:rsidR="006A441F" w:rsidRPr="00E33197">
        <w:rPr>
          <w:lang w:val="en-GB"/>
        </w:rPr>
        <w:t xml:space="preserve">its </w:t>
      </w:r>
      <w:r w:rsidRPr="00E33197">
        <w:rPr>
          <w:lang w:val="en-GB"/>
        </w:rPr>
        <w:t xml:space="preserve">application as </w:t>
      </w:r>
      <w:r w:rsidR="00C02463" w:rsidRPr="00E33197">
        <w:rPr>
          <w:lang w:val="en-GB"/>
        </w:rPr>
        <w:t xml:space="preserve">an </w:t>
      </w:r>
      <w:r w:rsidRPr="00E33197">
        <w:rPr>
          <w:lang w:val="en-GB"/>
        </w:rPr>
        <w:t>antifungal agent. The results have shown that the carvacrol nanoemulsions are efficiently stabilized by mixing carvacrol with a ripening inhibitor oil, at an optimal concentration of 25 wt% of carvacrol in the oil</w:t>
      </w:r>
      <w:r w:rsidR="006A441F" w:rsidRPr="00E33197">
        <w:rPr>
          <w:lang w:val="en-GB"/>
        </w:rPr>
        <w:t>, enabling the formation of fine nanoemulsions, with droplet sizes &lt; 150 nm</w:t>
      </w:r>
      <w:r w:rsidRPr="00E33197">
        <w:rPr>
          <w:lang w:val="en-GB"/>
        </w:rPr>
        <w:t>. Remarkably, the composition of the oil phase did not significantly aff</w:t>
      </w:r>
      <w:r w:rsidR="006A441F" w:rsidRPr="00E33197">
        <w:rPr>
          <w:lang w:val="en-GB"/>
        </w:rPr>
        <w:t>ect</w:t>
      </w:r>
      <w:r w:rsidRPr="00E33197">
        <w:rPr>
          <w:lang w:val="en-GB"/>
        </w:rPr>
        <w:t xml:space="preserve"> carvacrol diffusion, which was, instead, </w:t>
      </w:r>
      <w:r w:rsidR="006A441F" w:rsidRPr="00E33197">
        <w:rPr>
          <w:lang w:val="en-GB"/>
        </w:rPr>
        <w:t xml:space="preserve">influenced by the type of emulsifier. </w:t>
      </w:r>
      <w:r w:rsidRPr="00E33197">
        <w:rPr>
          <w:lang w:val="en-GB"/>
        </w:rPr>
        <w:t xml:space="preserve">In </w:t>
      </w:r>
      <w:r w:rsidR="006A441F" w:rsidRPr="00E33197">
        <w:rPr>
          <w:lang w:val="en-GB"/>
        </w:rPr>
        <w:t>particular</w:t>
      </w:r>
      <w:r w:rsidRPr="00E33197">
        <w:rPr>
          <w:lang w:val="en-GB"/>
        </w:rPr>
        <w:t xml:space="preserve">, despite comparable droplet sizes (&lt; 150 nm), the nanoemulsions </w:t>
      </w:r>
      <w:r w:rsidR="00C413E4" w:rsidRPr="00E33197">
        <w:rPr>
          <w:lang w:val="en-GB"/>
        </w:rPr>
        <w:t>prepared with</w:t>
      </w:r>
      <w:r w:rsidRPr="00E33197">
        <w:rPr>
          <w:lang w:val="en-GB"/>
        </w:rPr>
        <w:t xml:space="preserve"> lecithin or whey proteins </w:t>
      </w:r>
      <w:r w:rsidR="006A441F" w:rsidRPr="00E33197">
        <w:rPr>
          <w:lang w:val="en-GB"/>
        </w:rPr>
        <w:t xml:space="preserve">enabled a higher </w:t>
      </w:r>
      <w:r w:rsidRPr="00E33197">
        <w:rPr>
          <w:lang w:val="en-GB"/>
        </w:rPr>
        <w:t xml:space="preserve">carvacrol </w:t>
      </w:r>
      <w:r w:rsidR="006A441F" w:rsidRPr="00E33197">
        <w:rPr>
          <w:lang w:val="en-GB"/>
        </w:rPr>
        <w:t>diffusion</w:t>
      </w:r>
      <w:r w:rsidRPr="00E33197">
        <w:rPr>
          <w:lang w:val="en-GB"/>
        </w:rPr>
        <w:t xml:space="preserve">, </w:t>
      </w:r>
      <w:r w:rsidR="006A441F" w:rsidRPr="00E33197">
        <w:rPr>
          <w:lang w:val="en-GB"/>
        </w:rPr>
        <w:t xml:space="preserve">at least </w:t>
      </w:r>
      <w:r w:rsidRPr="00E33197">
        <w:rPr>
          <w:lang w:val="en-GB"/>
        </w:rPr>
        <w:t xml:space="preserve">one order of magnitude higher than </w:t>
      </w:r>
      <w:r w:rsidR="006A441F" w:rsidRPr="00E33197">
        <w:rPr>
          <w:lang w:val="en-GB"/>
        </w:rPr>
        <w:t xml:space="preserve">the </w:t>
      </w:r>
      <w:r w:rsidRPr="00E33197">
        <w:rPr>
          <w:lang w:val="en-GB"/>
        </w:rPr>
        <w:t>Tween 80</w:t>
      </w:r>
      <w:r w:rsidR="006A441F" w:rsidRPr="00E33197">
        <w:rPr>
          <w:lang w:val="en-GB"/>
        </w:rPr>
        <w:t>-based systems</w:t>
      </w:r>
      <w:r w:rsidRPr="00E33197">
        <w:rPr>
          <w:lang w:val="en-GB"/>
        </w:rPr>
        <w:t>.</w:t>
      </w:r>
    </w:p>
    <w:p w:rsidR="00600535" w:rsidRPr="00E33197" w:rsidRDefault="00600535" w:rsidP="00600535">
      <w:pPr>
        <w:pStyle w:val="CETReference"/>
      </w:pPr>
      <w:r w:rsidRPr="00E33197">
        <w:t>References</w:t>
      </w:r>
    </w:p>
    <w:p w:rsidR="00683AD0" w:rsidRPr="00E33197" w:rsidRDefault="00683AD0" w:rsidP="00683AD0">
      <w:pPr>
        <w:pStyle w:val="CETReferencetext"/>
      </w:pPr>
      <w:r w:rsidRPr="00E33197">
        <w:t>Burt S., 2004</w:t>
      </w:r>
      <w:r w:rsidR="00FD78D3" w:rsidRPr="00E33197">
        <w:t>,</w:t>
      </w:r>
      <w:r w:rsidRPr="00E33197">
        <w:t xml:space="preserve"> Essential oils: their antibacterial properties and potential applications in foods--a review</w:t>
      </w:r>
      <w:r w:rsidR="00FD78D3" w:rsidRPr="00E33197">
        <w:t>,</w:t>
      </w:r>
      <w:r w:rsidRPr="00E33197">
        <w:t xml:space="preserve"> Int</w:t>
      </w:r>
      <w:r w:rsidR="0047117D" w:rsidRPr="00E33197">
        <w:t>ernational</w:t>
      </w:r>
      <w:r w:rsidRPr="00E33197">
        <w:t xml:space="preserve"> J</w:t>
      </w:r>
      <w:r w:rsidR="0047117D" w:rsidRPr="00E33197">
        <w:t>ournal of</w:t>
      </w:r>
      <w:r w:rsidRPr="00E33197">
        <w:t xml:space="preserve"> Food Microbiol</w:t>
      </w:r>
      <w:r w:rsidR="0047117D" w:rsidRPr="00E33197">
        <w:t>ogy,</w:t>
      </w:r>
      <w:r w:rsidRPr="00E33197">
        <w:t xml:space="preserve"> 94, 223–53. </w:t>
      </w:r>
    </w:p>
    <w:p w:rsidR="00683AD0" w:rsidRPr="00E33197" w:rsidRDefault="00683AD0" w:rsidP="00683AD0">
      <w:pPr>
        <w:pStyle w:val="CETReferencetext"/>
        <w:rPr>
          <w:lang w:val="en-US"/>
        </w:rPr>
      </w:pPr>
      <w:r w:rsidRPr="00E33197">
        <w:t>Chang Y., McClements D.J., 2014</w:t>
      </w:r>
      <w:r w:rsidR="00FD78D3" w:rsidRPr="00E33197">
        <w:t>,</w:t>
      </w:r>
      <w:r w:rsidRPr="00E33197">
        <w:t xml:space="preserve"> Optimization of orange oil nanoemulsion formation by isothermal low-energy methods: Influence of the oil phase, surfactant, and temperature</w:t>
      </w:r>
      <w:r w:rsidR="00FD78D3" w:rsidRPr="00E33197">
        <w:t>,</w:t>
      </w:r>
      <w:r w:rsidRPr="00E33197">
        <w:t xml:space="preserve"> </w:t>
      </w:r>
      <w:r w:rsidR="0047117D" w:rsidRPr="00E33197">
        <w:rPr>
          <w:lang w:val="en-US"/>
        </w:rPr>
        <w:t>Journal of Agricultural and Food Chemistry,</w:t>
      </w:r>
      <w:r w:rsidRPr="00E33197">
        <w:rPr>
          <w:lang w:val="en-US"/>
        </w:rPr>
        <w:t xml:space="preserve"> 62, 2306–2312.</w:t>
      </w:r>
    </w:p>
    <w:p w:rsidR="00683AD0" w:rsidRPr="00E33197" w:rsidRDefault="00683AD0" w:rsidP="00683AD0">
      <w:pPr>
        <w:pStyle w:val="CETReferencetext"/>
        <w:rPr>
          <w:lang w:val="en-US"/>
        </w:rPr>
      </w:pPr>
      <w:r w:rsidRPr="00E33197">
        <w:rPr>
          <w:lang w:val="en-US"/>
        </w:rPr>
        <w:t>Donsì F., Annunziata M., Sessa M., Ferrari G., 2011</w:t>
      </w:r>
      <w:r w:rsidR="00FD78D3" w:rsidRPr="00E33197">
        <w:rPr>
          <w:lang w:val="en-US"/>
        </w:rPr>
        <w:t>,</w:t>
      </w:r>
      <w:r w:rsidRPr="00E33197">
        <w:rPr>
          <w:lang w:val="en-US"/>
        </w:rPr>
        <w:t xml:space="preserve"> </w:t>
      </w:r>
      <w:r w:rsidRPr="00E33197">
        <w:t>Nanoencapsulation of essential oils to enhance their antimicrobial activity in foods</w:t>
      </w:r>
      <w:r w:rsidR="00FD78D3" w:rsidRPr="00E33197">
        <w:t>,</w:t>
      </w:r>
      <w:r w:rsidRPr="00E33197">
        <w:t xml:space="preserve"> </w:t>
      </w:r>
      <w:r w:rsidR="0047117D" w:rsidRPr="00E33197">
        <w:rPr>
          <w:lang w:val="en-US"/>
        </w:rPr>
        <w:t>LWT- Food Science and Technology,</w:t>
      </w:r>
      <w:r w:rsidRPr="00E33197">
        <w:rPr>
          <w:lang w:val="en-US"/>
        </w:rPr>
        <w:t xml:space="preserve"> 44, 1908–1914.</w:t>
      </w:r>
    </w:p>
    <w:p w:rsidR="00683AD0" w:rsidRPr="00E33197" w:rsidRDefault="00683AD0" w:rsidP="00683AD0">
      <w:pPr>
        <w:pStyle w:val="CETReferencetext"/>
        <w:rPr>
          <w:lang w:val="en-US"/>
        </w:rPr>
      </w:pPr>
      <w:r w:rsidRPr="00E33197">
        <w:rPr>
          <w:lang w:val="en-US"/>
        </w:rPr>
        <w:t>Donsì F., Annunziata M., Vincensi M., Ferrari G., 2012</w:t>
      </w:r>
      <w:r w:rsidR="00FD78D3" w:rsidRPr="00E33197">
        <w:rPr>
          <w:lang w:val="en-US"/>
        </w:rPr>
        <w:t>,</w:t>
      </w:r>
      <w:r w:rsidRPr="00E33197">
        <w:rPr>
          <w:lang w:val="en-US"/>
        </w:rPr>
        <w:t xml:space="preserve"> </w:t>
      </w:r>
      <w:r w:rsidRPr="00E33197">
        <w:t>Design of nanoemulsion-based delivery systems of natural antimicrobials: effect of the emulsifier</w:t>
      </w:r>
      <w:r w:rsidR="00FD78D3" w:rsidRPr="00E33197">
        <w:t>,</w:t>
      </w:r>
      <w:r w:rsidRPr="00E33197">
        <w:t xml:space="preserve"> </w:t>
      </w:r>
      <w:r w:rsidR="0047117D" w:rsidRPr="00E33197">
        <w:rPr>
          <w:lang w:val="en-US"/>
        </w:rPr>
        <w:t>Journal of Biotechnology,</w:t>
      </w:r>
      <w:r w:rsidRPr="00E33197">
        <w:rPr>
          <w:lang w:val="en-US"/>
        </w:rPr>
        <w:t xml:space="preserve"> 159, 342–50.</w:t>
      </w:r>
    </w:p>
    <w:p w:rsidR="00683AD0" w:rsidRPr="00E33197" w:rsidRDefault="00683AD0" w:rsidP="00683AD0">
      <w:pPr>
        <w:pStyle w:val="CETReferencetext"/>
      </w:pPr>
      <w:r w:rsidRPr="00E33197">
        <w:rPr>
          <w:lang w:val="en-US"/>
        </w:rPr>
        <w:t>Donsì F., Cuomo A., Marchese E., Ferrari G., 2014</w:t>
      </w:r>
      <w:r w:rsidR="00FD78D3" w:rsidRPr="00E33197">
        <w:rPr>
          <w:lang w:val="en-US"/>
        </w:rPr>
        <w:t>,</w:t>
      </w:r>
      <w:r w:rsidRPr="00E33197">
        <w:rPr>
          <w:lang w:val="en-US"/>
        </w:rPr>
        <w:t xml:space="preserve"> </w:t>
      </w:r>
      <w:r w:rsidRPr="00E33197">
        <w:t>Infusion of essential oils for food stabilization: Unraveling the role of nanoemulsion-based delivery systems on mass transfer and antimicrobial activity</w:t>
      </w:r>
      <w:r w:rsidR="00FD78D3" w:rsidRPr="00E33197">
        <w:t>,</w:t>
      </w:r>
      <w:r w:rsidRPr="00E33197">
        <w:t xml:space="preserve"> Innov</w:t>
      </w:r>
      <w:r w:rsidR="0047117D" w:rsidRPr="00E33197">
        <w:t>ative</w:t>
      </w:r>
      <w:r w:rsidRPr="00E33197">
        <w:t xml:space="preserve"> Food Sci</w:t>
      </w:r>
      <w:r w:rsidR="0047117D" w:rsidRPr="00E33197">
        <w:t>ence and</w:t>
      </w:r>
      <w:r w:rsidRPr="00E33197">
        <w:t xml:space="preserve"> Emerg</w:t>
      </w:r>
      <w:r w:rsidR="0047117D" w:rsidRPr="00E33197">
        <w:t>ing Technologies,</w:t>
      </w:r>
      <w:r w:rsidRPr="00E33197">
        <w:t xml:space="preserve"> 22, 212–220. </w:t>
      </w:r>
    </w:p>
    <w:p w:rsidR="00683AD0" w:rsidRPr="00E33197" w:rsidRDefault="00683AD0" w:rsidP="00683AD0">
      <w:pPr>
        <w:pStyle w:val="CETReferencetext"/>
      </w:pPr>
      <w:r w:rsidRPr="00E33197">
        <w:t>Donsì F., Ferrari G., 2016</w:t>
      </w:r>
      <w:r w:rsidR="00FD78D3" w:rsidRPr="00E33197">
        <w:t>,</w:t>
      </w:r>
      <w:r w:rsidRPr="00E33197">
        <w:t xml:space="preserve"> Essential oil nanoemulsions as antimicrobial agents in food</w:t>
      </w:r>
      <w:r w:rsidR="00FD78D3" w:rsidRPr="00E33197">
        <w:t>,</w:t>
      </w:r>
      <w:r w:rsidRPr="00E33197">
        <w:t xml:space="preserve"> </w:t>
      </w:r>
      <w:r w:rsidR="0047117D" w:rsidRPr="00E33197">
        <w:t>Journal of Biotechnology,</w:t>
      </w:r>
      <w:r w:rsidRPr="00E33197">
        <w:t xml:space="preserve"> 233, 106–120. </w:t>
      </w:r>
    </w:p>
    <w:p w:rsidR="00683AD0" w:rsidRPr="00E33197" w:rsidRDefault="00683AD0" w:rsidP="00683AD0">
      <w:pPr>
        <w:pStyle w:val="CETReferencetext"/>
      </w:pPr>
      <w:r w:rsidRPr="00E33197">
        <w:t>Donsì F., Voudouris P., Veen S.J., Velikov K.P., 2017</w:t>
      </w:r>
      <w:r w:rsidR="00FD78D3" w:rsidRPr="00E33197">
        <w:t>,</w:t>
      </w:r>
      <w:r w:rsidRPr="00E33197">
        <w:t xml:space="preserve"> Zein-based colloidal particles for encapsulation and delivery of epigallocatechin gallate</w:t>
      </w:r>
      <w:r w:rsidR="00FD78D3" w:rsidRPr="00E33197">
        <w:t>,</w:t>
      </w:r>
      <w:r w:rsidRPr="00E33197">
        <w:t xml:space="preserve"> Food Hydrocoll</w:t>
      </w:r>
      <w:r w:rsidR="0047117D" w:rsidRPr="00E33197">
        <w:t>oids,</w:t>
      </w:r>
      <w:r w:rsidRPr="00E33197">
        <w:t xml:space="preserve"> 63, 508–517.</w:t>
      </w:r>
    </w:p>
    <w:p w:rsidR="00683AD0" w:rsidRPr="00E33197" w:rsidRDefault="00683AD0" w:rsidP="00683AD0">
      <w:pPr>
        <w:pStyle w:val="CETReferencetext"/>
      </w:pPr>
      <w:r w:rsidRPr="00E33197">
        <w:t>Fernández K., Roeckel M., Canales E., Dumont J., 2017</w:t>
      </w:r>
      <w:r w:rsidR="00FD78D3" w:rsidRPr="00E33197">
        <w:t>,</w:t>
      </w:r>
      <w:r w:rsidRPr="00E33197">
        <w:t xml:space="preserve"> Modeling of the </w:t>
      </w:r>
      <w:r w:rsidR="0047117D" w:rsidRPr="00E33197">
        <w:t>nanoparticles absorption under a gastrointestinal simulated ambient condition</w:t>
      </w:r>
      <w:r w:rsidR="00FD78D3" w:rsidRPr="00E33197">
        <w:t>,</w:t>
      </w:r>
      <w:r w:rsidRPr="00E33197">
        <w:t xml:space="preserve"> AAPS PharmSciTech 18, 2691–2701.</w:t>
      </w:r>
    </w:p>
    <w:p w:rsidR="00683AD0" w:rsidRPr="00E33197" w:rsidRDefault="00683AD0" w:rsidP="00683AD0">
      <w:pPr>
        <w:pStyle w:val="CETReferencetext"/>
        <w:rPr>
          <w:lang w:val="en-US"/>
        </w:rPr>
      </w:pPr>
      <w:r w:rsidRPr="00E33197">
        <w:rPr>
          <w:lang w:val="en-US"/>
        </w:rPr>
        <w:t>Ferrari G., Mustafa W., Donsì F., 2017</w:t>
      </w:r>
      <w:r w:rsidR="00FD78D3" w:rsidRPr="00E33197">
        <w:rPr>
          <w:lang w:val="en-US"/>
        </w:rPr>
        <w:t>,</w:t>
      </w:r>
      <w:r w:rsidRPr="00E33197">
        <w:rPr>
          <w:lang w:val="en-US"/>
        </w:rPr>
        <w:t xml:space="preserve"> </w:t>
      </w:r>
      <w:r w:rsidRPr="00E33197">
        <w:t>Use of agri-food residues for oil structuring and functionalization</w:t>
      </w:r>
      <w:r w:rsidR="00FD78D3" w:rsidRPr="00E33197">
        <w:t>,</w:t>
      </w:r>
      <w:r w:rsidRPr="00E33197">
        <w:t xml:space="preserve"> </w:t>
      </w:r>
      <w:r w:rsidR="0047117D" w:rsidRPr="00E33197">
        <w:rPr>
          <w:lang w:val="en-US"/>
        </w:rPr>
        <w:t>Chemical Engineering Transactions,</w:t>
      </w:r>
      <w:r w:rsidRPr="00E33197">
        <w:rPr>
          <w:lang w:val="en-US"/>
        </w:rPr>
        <w:t xml:space="preserve"> 57, 1831–1836. </w:t>
      </w:r>
    </w:p>
    <w:p w:rsidR="00683AD0" w:rsidRPr="00E33197" w:rsidRDefault="00683AD0" w:rsidP="00683AD0">
      <w:pPr>
        <w:pStyle w:val="CETReferencetext"/>
      </w:pPr>
      <w:r w:rsidRPr="00E33197">
        <w:t>Jackson R.S., 2008</w:t>
      </w:r>
      <w:r w:rsidR="00FD78D3" w:rsidRPr="00E33197">
        <w:t>,</w:t>
      </w:r>
      <w:r w:rsidRPr="00E33197">
        <w:t xml:space="preserve"> Vineyard </w:t>
      </w:r>
      <w:r w:rsidR="0047117D" w:rsidRPr="00E33197">
        <w:t>p</w:t>
      </w:r>
      <w:r w:rsidRPr="00E33197">
        <w:t xml:space="preserve">ractice, </w:t>
      </w:r>
      <w:r w:rsidR="00FD78D3" w:rsidRPr="00E33197">
        <w:t>Chapter I</w:t>
      </w:r>
      <w:r w:rsidRPr="00E33197">
        <w:t xml:space="preserve">n: Wine </w:t>
      </w:r>
      <w:r w:rsidR="0047117D" w:rsidRPr="00E33197">
        <w:t>s</w:t>
      </w:r>
      <w:r w:rsidRPr="00E33197">
        <w:t>cience</w:t>
      </w:r>
      <w:r w:rsidR="00FD78D3" w:rsidRPr="00E33197">
        <w:t>,</w:t>
      </w:r>
      <w:r w:rsidRPr="00E33197">
        <w:t xml:space="preserve"> Academic Press, 108–238.</w:t>
      </w:r>
    </w:p>
    <w:p w:rsidR="00683AD0" w:rsidRPr="00E33197" w:rsidRDefault="00683AD0" w:rsidP="00683AD0">
      <w:pPr>
        <w:pStyle w:val="CETReferencetext"/>
      </w:pPr>
      <w:r w:rsidRPr="00E33197">
        <w:rPr>
          <w:lang w:val="en-US"/>
        </w:rPr>
        <w:t>Lobo V.M.M., Ribeiro A.C.F., Verissimo L.M.P., 1998</w:t>
      </w:r>
      <w:r w:rsidR="00FD78D3" w:rsidRPr="00E33197">
        <w:rPr>
          <w:lang w:val="en-US"/>
        </w:rPr>
        <w:t>,</w:t>
      </w:r>
      <w:r w:rsidRPr="00E33197">
        <w:rPr>
          <w:lang w:val="en-US"/>
        </w:rPr>
        <w:t xml:space="preserve"> </w:t>
      </w:r>
      <w:r w:rsidRPr="00E33197">
        <w:t>Diffusion coefficients in aqueous solutions of potassium chloride at high and low concentrations</w:t>
      </w:r>
      <w:r w:rsidR="00FD78D3" w:rsidRPr="00E33197">
        <w:t>,</w:t>
      </w:r>
      <w:r w:rsidRPr="00E33197">
        <w:t xml:space="preserve"> </w:t>
      </w:r>
      <w:r w:rsidR="0047117D" w:rsidRPr="00E33197">
        <w:t>Journal of Molecular Liquids,</w:t>
      </w:r>
      <w:r w:rsidRPr="00E33197">
        <w:t xml:space="preserve"> 78, 139–149. </w:t>
      </w:r>
    </w:p>
    <w:p w:rsidR="00683AD0" w:rsidRPr="00E33197" w:rsidRDefault="00683AD0" w:rsidP="00683AD0">
      <w:pPr>
        <w:pStyle w:val="CETReferencetext"/>
      </w:pPr>
      <w:r w:rsidRPr="00E33197">
        <w:t>Rao J., McClements D.J., 2012</w:t>
      </w:r>
      <w:r w:rsidR="00FD78D3" w:rsidRPr="00E33197">
        <w:t>,</w:t>
      </w:r>
      <w:r w:rsidRPr="00E33197">
        <w:t xml:space="preserve"> Impact of lemon oil composition on formation and stability of model food and beverage emulsions</w:t>
      </w:r>
      <w:r w:rsidR="00FD78D3" w:rsidRPr="00E33197">
        <w:t>,</w:t>
      </w:r>
      <w:r w:rsidRPr="00E33197">
        <w:t xml:space="preserve"> Food Chem</w:t>
      </w:r>
      <w:r w:rsidR="0047117D" w:rsidRPr="00E33197">
        <w:t>istry,</w:t>
      </w:r>
      <w:r w:rsidRPr="00E33197">
        <w:t xml:space="preserve"> 134, 749–757. </w:t>
      </w:r>
    </w:p>
    <w:p w:rsidR="00683AD0" w:rsidRPr="00E33197" w:rsidRDefault="00683AD0" w:rsidP="00683AD0">
      <w:pPr>
        <w:pStyle w:val="CETReferencetext"/>
      </w:pPr>
      <w:r w:rsidRPr="00E33197">
        <w:t>Ribes S., Fuentes A., Talens P., Barat J.M., Ferrari G., Donsì F., 2017</w:t>
      </w:r>
      <w:r w:rsidR="00FD78D3" w:rsidRPr="00E33197">
        <w:t>,</w:t>
      </w:r>
      <w:r w:rsidRPr="00E33197">
        <w:t xml:space="preserve"> Influence of emulsifier type on the antifungal activity of cinnamon leaf, lemon and bergamot oil nanoemulsions against Aspergillus niger</w:t>
      </w:r>
      <w:r w:rsidR="00FD78D3" w:rsidRPr="00E33197">
        <w:t>,</w:t>
      </w:r>
      <w:r w:rsidRPr="00E33197">
        <w:t xml:space="preserve"> Food Control</w:t>
      </w:r>
      <w:r w:rsidR="0047117D" w:rsidRPr="00E33197">
        <w:t>,</w:t>
      </w:r>
      <w:r w:rsidRPr="00E33197">
        <w:t xml:space="preserve"> 73, 784-795. </w:t>
      </w:r>
    </w:p>
    <w:p w:rsidR="00683AD0" w:rsidRPr="00E33197" w:rsidRDefault="00683AD0" w:rsidP="00683AD0">
      <w:pPr>
        <w:pStyle w:val="CETReferencetext"/>
        <w:rPr>
          <w:lang w:val="en-US"/>
        </w:rPr>
      </w:pPr>
      <w:r w:rsidRPr="00E33197">
        <w:t>Seow Y.X., Yeo C.R., Chung H.L., Yuk H.-G., 2014</w:t>
      </w:r>
      <w:r w:rsidR="00FD78D3" w:rsidRPr="00E33197">
        <w:t>,</w:t>
      </w:r>
      <w:r w:rsidRPr="00E33197">
        <w:t xml:space="preserve"> Plant essential oils as active antimicrobial agents</w:t>
      </w:r>
      <w:r w:rsidR="00FD78D3" w:rsidRPr="00E33197">
        <w:t>,</w:t>
      </w:r>
      <w:r w:rsidRPr="00E33197">
        <w:t xml:space="preserve"> </w:t>
      </w:r>
      <w:r w:rsidR="0047117D" w:rsidRPr="00E33197">
        <w:rPr>
          <w:lang w:val="en-US"/>
        </w:rPr>
        <w:t xml:space="preserve">Critical Reviews in Food Science and Nutrition, </w:t>
      </w:r>
      <w:r w:rsidRPr="00E33197">
        <w:rPr>
          <w:lang w:val="en-US"/>
        </w:rPr>
        <w:t xml:space="preserve">54, 625–44. </w:t>
      </w:r>
    </w:p>
    <w:p w:rsidR="00683AD0" w:rsidRPr="00E33197" w:rsidRDefault="00683AD0" w:rsidP="00683AD0">
      <w:pPr>
        <w:pStyle w:val="CETReferencetext"/>
      </w:pPr>
      <w:r w:rsidRPr="00E33197">
        <w:rPr>
          <w:lang w:val="en-US"/>
        </w:rPr>
        <w:t>Sessa M., Ferrari G., Donsì F., 2015</w:t>
      </w:r>
      <w:r w:rsidR="00FD78D3" w:rsidRPr="00E33197">
        <w:rPr>
          <w:lang w:val="en-US"/>
        </w:rPr>
        <w:t>,</w:t>
      </w:r>
      <w:r w:rsidRPr="00E33197">
        <w:rPr>
          <w:lang w:val="en-US"/>
        </w:rPr>
        <w:t xml:space="preserve"> </w:t>
      </w:r>
      <w:r w:rsidRPr="00E33197">
        <w:t xml:space="preserve">Novel </w:t>
      </w:r>
      <w:r w:rsidR="0047117D" w:rsidRPr="00E33197">
        <w:t>edible coating containing essential oil nanoemulsions to prolong the shelf life of vegetable products</w:t>
      </w:r>
      <w:r w:rsidR="00FD78D3" w:rsidRPr="00E33197">
        <w:t>,</w:t>
      </w:r>
      <w:r w:rsidRPr="00E33197">
        <w:t xml:space="preserve"> </w:t>
      </w:r>
      <w:r w:rsidR="0047117D" w:rsidRPr="00E33197">
        <w:t>Chemical Engineering Transactions</w:t>
      </w:r>
      <w:r w:rsidR="0047117D" w:rsidRPr="00E33197">
        <w:t xml:space="preserve">, </w:t>
      </w:r>
      <w:r w:rsidRPr="00E33197">
        <w:t xml:space="preserve">43, 55–60. </w:t>
      </w:r>
    </w:p>
    <w:p w:rsidR="00683AD0" w:rsidRPr="00E33197" w:rsidRDefault="00683AD0" w:rsidP="00683AD0">
      <w:pPr>
        <w:pStyle w:val="CETReferencetext"/>
      </w:pPr>
      <w:r w:rsidRPr="00E33197">
        <w:rPr>
          <w:lang w:val="en-US"/>
        </w:rPr>
        <w:t>Solórzano-Santos F., Miranda-Novales M.G., 2012</w:t>
      </w:r>
      <w:r w:rsidR="00FD78D3" w:rsidRPr="00E33197">
        <w:rPr>
          <w:lang w:val="en-US"/>
        </w:rPr>
        <w:t>,</w:t>
      </w:r>
      <w:r w:rsidRPr="00E33197">
        <w:rPr>
          <w:lang w:val="en-US"/>
        </w:rPr>
        <w:t xml:space="preserve"> </w:t>
      </w:r>
      <w:r w:rsidRPr="00E33197">
        <w:t>Essential oils from aromatic herbs as antimicrobial agents</w:t>
      </w:r>
      <w:r w:rsidR="00FD78D3" w:rsidRPr="00E33197">
        <w:t>,</w:t>
      </w:r>
      <w:r w:rsidRPr="00E33197">
        <w:t xml:space="preserve"> </w:t>
      </w:r>
      <w:r w:rsidR="0047117D" w:rsidRPr="00E33197">
        <w:t>Current Opinion in Biotechnology, 23, 136–141.</w:t>
      </w:r>
    </w:p>
    <w:p w:rsidR="00683AD0" w:rsidRPr="00E33197" w:rsidRDefault="00683AD0" w:rsidP="00683AD0">
      <w:pPr>
        <w:pStyle w:val="CETReferencetext"/>
      </w:pPr>
      <w:r w:rsidRPr="00E33197">
        <w:rPr>
          <w:lang w:val="en-US"/>
        </w:rPr>
        <w:t>Torrieri E., Cavella S., Masi P., 2015</w:t>
      </w:r>
      <w:r w:rsidR="00FD78D3" w:rsidRPr="00E33197">
        <w:rPr>
          <w:lang w:val="en-US"/>
        </w:rPr>
        <w:t>,</w:t>
      </w:r>
      <w:r w:rsidRPr="00E33197">
        <w:rPr>
          <w:lang w:val="en-US"/>
        </w:rPr>
        <w:t xml:space="preserve"> </w:t>
      </w:r>
      <w:r w:rsidRPr="00E33197">
        <w:t xml:space="preserve">Effect of </w:t>
      </w:r>
      <w:r w:rsidR="0047117D" w:rsidRPr="00E33197">
        <w:t>rosemary oil and an emulsion of essential oils on structure and physical properties of chitosan film</w:t>
      </w:r>
      <w:r w:rsidR="00FD78D3" w:rsidRPr="00E33197">
        <w:t>,</w:t>
      </w:r>
      <w:r w:rsidRPr="00E33197">
        <w:t xml:space="preserve"> </w:t>
      </w:r>
      <w:r w:rsidR="0047117D" w:rsidRPr="00E33197">
        <w:t>Chemical Engineering Transactions,</w:t>
      </w:r>
      <w:r w:rsidRPr="00E33197">
        <w:t xml:space="preserve"> </w:t>
      </w:r>
      <w:r w:rsidR="001C1E3D" w:rsidRPr="00E33197">
        <w:t>43, 25-30.</w:t>
      </w:r>
    </w:p>
    <w:sectPr w:rsidR="00683AD0" w:rsidRPr="00E3319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826" w:rsidRDefault="00671826" w:rsidP="004F5E36">
      <w:r>
        <w:separator/>
      </w:r>
    </w:p>
  </w:endnote>
  <w:endnote w:type="continuationSeparator" w:id="0">
    <w:p w:rsidR="00671826" w:rsidRDefault="0067182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charset w:val="01"/>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826" w:rsidRDefault="00671826" w:rsidP="004F5E36">
      <w:r>
        <w:separator/>
      </w:r>
    </w:p>
  </w:footnote>
  <w:footnote w:type="continuationSeparator" w:id="0">
    <w:p w:rsidR="00671826" w:rsidRDefault="00671826"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tKgFAGLlPFQtAAAA"/>
  </w:docVars>
  <w:rsids>
    <w:rsidRoot w:val="000E414A"/>
    <w:rsid w:val="000027C0"/>
    <w:rsid w:val="000052FB"/>
    <w:rsid w:val="00005DD8"/>
    <w:rsid w:val="00010F40"/>
    <w:rsid w:val="000117CB"/>
    <w:rsid w:val="00016742"/>
    <w:rsid w:val="0003148D"/>
    <w:rsid w:val="00047D7F"/>
    <w:rsid w:val="00051566"/>
    <w:rsid w:val="00061504"/>
    <w:rsid w:val="00062A9A"/>
    <w:rsid w:val="00065058"/>
    <w:rsid w:val="00070AEB"/>
    <w:rsid w:val="00086C39"/>
    <w:rsid w:val="00092B4F"/>
    <w:rsid w:val="000A03B2"/>
    <w:rsid w:val="000A3B79"/>
    <w:rsid w:val="000D114D"/>
    <w:rsid w:val="000D34BE"/>
    <w:rsid w:val="000E102F"/>
    <w:rsid w:val="000E36F1"/>
    <w:rsid w:val="000E3A73"/>
    <w:rsid w:val="000E414A"/>
    <w:rsid w:val="000E560D"/>
    <w:rsid w:val="000E6CE5"/>
    <w:rsid w:val="000F093C"/>
    <w:rsid w:val="000F16BD"/>
    <w:rsid w:val="000F787B"/>
    <w:rsid w:val="0012091F"/>
    <w:rsid w:val="00123D76"/>
    <w:rsid w:val="00126BC2"/>
    <w:rsid w:val="001308B6"/>
    <w:rsid w:val="0013121F"/>
    <w:rsid w:val="00131FAB"/>
    <w:rsid w:val="00131FE6"/>
    <w:rsid w:val="0013263F"/>
    <w:rsid w:val="00134DE4"/>
    <w:rsid w:val="0014034D"/>
    <w:rsid w:val="00150E59"/>
    <w:rsid w:val="00152DE3"/>
    <w:rsid w:val="00164CF9"/>
    <w:rsid w:val="00184AD6"/>
    <w:rsid w:val="00187108"/>
    <w:rsid w:val="0019130D"/>
    <w:rsid w:val="00197441"/>
    <w:rsid w:val="001A2E16"/>
    <w:rsid w:val="001B0349"/>
    <w:rsid w:val="001B09EA"/>
    <w:rsid w:val="001B65C1"/>
    <w:rsid w:val="001C1E3D"/>
    <w:rsid w:val="001C684B"/>
    <w:rsid w:val="001D53FC"/>
    <w:rsid w:val="001F42A5"/>
    <w:rsid w:val="001F7B9D"/>
    <w:rsid w:val="00204303"/>
    <w:rsid w:val="00204611"/>
    <w:rsid w:val="002224B4"/>
    <w:rsid w:val="00224EC6"/>
    <w:rsid w:val="0023656C"/>
    <w:rsid w:val="002447EF"/>
    <w:rsid w:val="00251550"/>
    <w:rsid w:val="00252C1A"/>
    <w:rsid w:val="00263B05"/>
    <w:rsid w:val="00266FF8"/>
    <w:rsid w:val="0027221A"/>
    <w:rsid w:val="00275B61"/>
    <w:rsid w:val="00282656"/>
    <w:rsid w:val="00296B83"/>
    <w:rsid w:val="002A7047"/>
    <w:rsid w:val="002B78CE"/>
    <w:rsid w:val="002C2FB6"/>
    <w:rsid w:val="002C3FFF"/>
    <w:rsid w:val="002D5BCD"/>
    <w:rsid w:val="003009B7"/>
    <w:rsid w:val="00300E56"/>
    <w:rsid w:val="0030469C"/>
    <w:rsid w:val="00314536"/>
    <w:rsid w:val="00321CA6"/>
    <w:rsid w:val="00334C09"/>
    <w:rsid w:val="003365E3"/>
    <w:rsid w:val="0034128D"/>
    <w:rsid w:val="00366DA0"/>
    <w:rsid w:val="003723D4"/>
    <w:rsid w:val="00384CC8"/>
    <w:rsid w:val="003871FD"/>
    <w:rsid w:val="00396747"/>
    <w:rsid w:val="003A1E30"/>
    <w:rsid w:val="003A7D1C"/>
    <w:rsid w:val="003B304B"/>
    <w:rsid w:val="003B3146"/>
    <w:rsid w:val="003B60F3"/>
    <w:rsid w:val="003F015E"/>
    <w:rsid w:val="00400414"/>
    <w:rsid w:val="0041419D"/>
    <w:rsid w:val="0041446B"/>
    <w:rsid w:val="0042499F"/>
    <w:rsid w:val="0044329C"/>
    <w:rsid w:val="00454DC6"/>
    <w:rsid w:val="004577FE"/>
    <w:rsid w:val="00457B9C"/>
    <w:rsid w:val="0046164A"/>
    <w:rsid w:val="004620ED"/>
    <w:rsid w:val="004628D2"/>
    <w:rsid w:val="00462DCD"/>
    <w:rsid w:val="004648AD"/>
    <w:rsid w:val="004703A9"/>
    <w:rsid w:val="0047117D"/>
    <w:rsid w:val="004760DE"/>
    <w:rsid w:val="004A004E"/>
    <w:rsid w:val="004A24CF"/>
    <w:rsid w:val="004B6721"/>
    <w:rsid w:val="004C3D1D"/>
    <w:rsid w:val="004C7913"/>
    <w:rsid w:val="004D7248"/>
    <w:rsid w:val="004E4DD6"/>
    <w:rsid w:val="004F565F"/>
    <w:rsid w:val="004F5E36"/>
    <w:rsid w:val="00507B47"/>
    <w:rsid w:val="00507CC9"/>
    <w:rsid w:val="005119A5"/>
    <w:rsid w:val="005278B7"/>
    <w:rsid w:val="00532016"/>
    <w:rsid w:val="005346C8"/>
    <w:rsid w:val="00543E7D"/>
    <w:rsid w:val="00546B05"/>
    <w:rsid w:val="00547A68"/>
    <w:rsid w:val="00551804"/>
    <w:rsid w:val="00552A1C"/>
    <w:rsid w:val="005531C9"/>
    <w:rsid w:val="005639A9"/>
    <w:rsid w:val="00595E5D"/>
    <w:rsid w:val="0059758B"/>
    <w:rsid w:val="005B2110"/>
    <w:rsid w:val="005B61E6"/>
    <w:rsid w:val="005C77E1"/>
    <w:rsid w:val="005D5FB3"/>
    <w:rsid w:val="005D6A2F"/>
    <w:rsid w:val="005D74B9"/>
    <w:rsid w:val="005E1A82"/>
    <w:rsid w:val="005E794C"/>
    <w:rsid w:val="005F0A28"/>
    <w:rsid w:val="005F0E5E"/>
    <w:rsid w:val="005F40D7"/>
    <w:rsid w:val="00600535"/>
    <w:rsid w:val="006101B3"/>
    <w:rsid w:val="00610CD6"/>
    <w:rsid w:val="00620DEE"/>
    <w:rsid w:val="00621F92"/>
    <w:rsid w:val="00625639"/>
    <w:rsid w:val="00630869"/>
    <w:rsid w:val="00631B33"/>
    <w:rsid w:val="0064184D"/>
    <w:rsid w:val="006422CC"/>
    <w:rsid w:val="00660E3E"/>
    <w:rsid w:val="00662E74"/>
    <w:rsid w:val="00671826"/>
    <w:rsid w:val="00680C23"/>
    <w:rsid w:val="00683AD0"/>
    <w:rsid w:val="00690151"/>
    <w:rsid w:val="00693766"/>
    <w:rsid w:val="006A0931"/>
    <w:rsid w:val="006A3281"/>
    <w:rsid w:val="006A441F"/>
    <w:rsid w:val="006B4888"/>
    <w:rsid w:val="006C2E45"/>
    <w:rsid w:val="006C31CB"/>
    <w:rsid w:val="006C359C"/>
    <w:rsid w:val="006C5579"/>
    <w:rsid w:val="006D68F4"/>
    <w:rsid w:val="006E4E98"/>
    <w:rsid w:val="006E737D"/>
    <w:rsid w:val="006F0CCC"/>
    <w:rsid w:val="006F14A5"/>
    <w:rsid w:val="0070195D"/>
    <w:rsid w:val="007057A3"/>
    <w:rsid w:val="00712B6E"/>
    <w:rsid w:val="00720A24"/>
    <w:rsid w:val="00732386"/>
    <w:rsid w:val="0073673D"/>
    <w:rsid w:val="007447F3"/>
    <w:rsid w:val="007501B5"/>
    <w:rsid w:val="0075499F"/>
    <w:rsid w:val="007661C8"/>
    <w:rsid w:val="0077098D"/>
    <w:rsid w:val="00771039"/>
    <w:rsid w:val="007931FA"/>
    <w:rsid w:val="007A53E1"/>
    <w:rsid w:val="007A6A85"/>
    <w:rsid w:val="007A7BBA"/>
    <w:rsid w:val="007B0C50"/>
    <w:rsid w:val="007C1A43"/>
    <w:rsid w:val="007D03F1"/>
    <w:rsid w:val="007D7F52"/>
    <w:rsid w:val="007E1DC6"/>
    <w:rsid w:val="00805087"/>
    <w:rsid w:val="008060DD"/>
    <w:rsid w:val="00813288"/>
    <w:rsid w:val="008137BA"/>
    <w:rsid w:val="0081576C"/>
    <w:rsid w:val="008168FC"/>
    <w:rsid w:val="00821D90"/>
    <w:rsid w:val="00830996"/>
    <w:rsid w:val="008345F1"/>
    <w:rsid w:val="00842471"/>
    <w:rsid w:val="00865B07"/>
    <w:rsid w:val="008667EA"/>
    <w:rsid w:val="008746CF"/>
    <w:rsid w:val="0087637F"/>
    <w:rsid w:val="008904B9"/>
    <w:rsid w:val="00892AD5"/>
    <w:rsid w:val="008A1512"/>
    <w:rsid w:val="008C78C1"/>
    <w:rsid w:val="008D32B9"/>
    <w:rsid w:val="008D433B"/>
    <w:rsid w:val="008D70D0"/>
    <w:rsid w:val="008E566E"/>
    <w:rsid w:val="008F651F"/>
    <w:rsid w:val="0090161A"/>
    <w:rsid w:val="00901EB6"/>
    <w:rsid w:val="00904C62"/>
    <w:rsid w:val="0091125A"/>
    <w:rsid w:val="00915498"/>
    <w:rsid w:val="00924DAC"/>
    <w:rsid w:val="009258DE"/>
    <w:rsid w:val="00927058"/>
    <w:rsid w:val="009450CE"/>
    <w:rsid w:val="00947179"/>
    <w:rsid w:val="0095164B"/>
    <w:rsid w:val="00954090"/>
    <w:rsid w:val="009573E7"/>
    <w:rsid w:val="009635B9"/>
    <w:rsid w:val="00963E05"/>
    <w:rsid w:val="00967D54"/>
    <w:rsid w:val="00970B8D"/>
    <w:rsid w:val="00972A05"/>
    <w:rsid w:val="00982AFE"/>
    <w:rsid w:val="00996483"/>
    <w:rsid w:val="00996F5A"/>
    <w:rsid w:val="009A0A3E"/>
    <w:rsid w:val="009B041A"/>
    <w:rsid w:val="009C7688"/>
    <w:rsid w:val="009C7C86"/>
    <w:rsid w:val="009D1094"/>
    <w:rsid w:val="009D2FF7"/>
    <w:rsid w:val="009D738F"/>
    <w:rsid w:val="009E7884"/>
    <w:rsid w:val="009E788A"/>
    <w:rsid w:val="009F0E08"/>
    <w:rsid w:val="00A1763D"/>
    <w:rsid w:val="00A17CEC"/>
    <w:rsid w:val="00A243BC"/>
    <w:rsid w:val="00A27EF0"/>
    <w:rsid w:val="00A50B20"/>
    <w:rsid w:val="00A51390"/>
    <w:rsid w:val="00A60D13"/>
    <w:rsid w:val="00A72745"/>
    <w:rsid w:val="00A76EFC"/>
    <w:rsid w:val="00A80AED"/>
    <w:rsid w:val="00A91010"/>
    <w:rsid w:val="00A97F29"/>
    <w:rsid w:val="00AA702E"/>
    <w:rsid w:val="00AB0964"/>
    <w:rsid w:val="00AB5011"/>
    <w:rsid w:val="00AC7368"/>
    <w:rsid w:val="00AD16B9"/>
    <w:rsid w:val="00AE377D"/>
    <w:rsid w:val="00AF6BE8"/>
    <w:rsid w:val="00B10559"/>
    <w:rsid w:val="00B12B55"/>
    <w:rsid w:val="00B17FBD"/>
    <w:rsid w:val="00B315A6"/>
    <w:rsid w:val="00B31813"/>
    <w:rsid w:val="00B33365"/>
    <w:rsid w:val="00B43339"/>
    <w:rsid w:val="00B45901"/>
    <w:rsid w:val="00B57B36"/>
    <w:rsid w:val="00B6259E"/>
    <w:rsid w:val="00B82801"/>
    <w:rsid w:val="00B8686D"/>
    <w:rsid w:val="00BB0B2E"/>
    <w:rsid w:val="00BB71E0"/>
    <w:rsid w:val="00BC30C9"/>
    <w:rsid w:val="00BE3E58"/>
    <w:rsid w:val="00C01616"/>
    <w:rsid w:val="00C0162B"/>
    <w:rsid w:val="00C02463"/>
    <w:rsid w:val="00C057CC"/>
    <w:rsid w:val="00C236FC"/>
    <w:rsid w:val="00C26179"/>
    <w:rsid w:val="00C345B1"/>
    <w:rsid w:val="00C374DF"/>
    <w:rsid w:val="00C40142"/>
    <w:rsid w:val="00C413E4"/>
    <w:rsid w:val="00C57182"/>
    <w:rsid w:val="00C57863"/>
    <w:rsid w:val="00C655FD"/>
    <w:rsid w:val="00C870A8"/>
    <w:rsid w:val="00C9031E"/>
    <w:rsid w:val="00C94434"/>
    <w:rsid w:val="00CA0D75"/>
    <w:rsid w:val="00CA1C95"/>
    <w:rsid w:val="00CA5A9C"/>
    <w:rsid w:val="00CB1A13"/>
    <w:rsid w:val="00CD0BCD"/>
    <w:rsid w:val="00CD3517"/>
    <w:rsid w:val="00CD4515"/>
    <w:rsid w:val="00CD5A00"/>
    <w:rsid w:val="00CD5FE2"/>
    <w:rsid w:val="00CD708F"/>
    <w:rsid w:val="00CE60B1"/>
    <w:rsid w:val="00CE7C68"/>
    <w:rsid w:val="00D02B4C"/>
    <w:rsid w:val="00D040C4"/>
    <w:rsid w:val="00D4540E"/>
    <w:rsid w:val="00D5526B"/>
    <w:rsid w:val="00D57C84"/>
    <w:rsid w:val="00D6057D"/>
    <w:rsid w:val="00D70CDE"/>
    <w:rsid w:val="00D839BE"/>
    <w:rsid w:val="00D84576"/>
    <w:rsid w:val="00D84D09"/>
    <w:rsid w:val="00DA1399"/>
    <w:rsid w:val="00DA24C6"/>
    <w:rsid w:val="00DA4D7B"/>
    <w:rsid w:val="00DE264A"/>
    <w:rsid w:val="00DF7530"/>
    <w:rsid w:val="00E02D18"/>
    <w:rsid w:val="00E041E7"/>
    <w:rsid w:val="00E2071B"/>
    <w:rsid w:val="00E2132E"/>
    <w:rsid w:val="00E23CA1"/>
    <w:rsid w:val="00E26888"/>
    <w:rsid w:val="00E27F47"/>
    <w:rsid w:val="00E33197"/>
    <w:rsid w:val="00E34BEA"/>
    <w:rsid w:val="00E409A8"/>
    <w:rsid w:val="00E50444"/>
    <w:rsid w:val="00E50979"/>
    <w:rsid w:val="00E50C12"/>
    <w:rsid w:val="00E62B46"/>
    <w:rsid w:val="00E65B91"/>
    <w:rsid w:val="00E7209D"/>
    <w:rsid w:val="00E77223"/>
    <w:rsid w:val="00E80245"/>
    <w:rsid w:val="00E8528B"/>
    <w:rsid w:val="00E85B94"/>
    <w:rsid w:val="00E978D0"/>
    <w:rsid w:val="00EA4613"/>
    <w:rsid w:val="00EA7F91"/>
    <w:rsid w:val="00EB1523"/>
    <w:rsid w:val="00EC0E49"/>
    <w:rsid w:val="00EE0131"/>
    <w:rsid w:val="00EE1417"/>
    <w:rsid w:val="00EF4E73"/>
    <w:rsid w:val="00EF69DE"/>
    <w:rsid w:val="00F0173C"/>
    <w:rsid w:val="00F155B2"/>
    <w:rsid w:val="00F30C64"/>
    <w:rsid w:val="00F32CDB"/>
    <w:rsid w:val="00F5027F"/>
    <w:rsid w:val="00F63A70"/>
    <w:rsid w:val="00F93729"/>
    <w:rsid w:val="00FA21D0"/>
    <w:rsid w:val="00FA32F8"/>
    <w:rsid w:val="00FA5F5F"/>
    <w:rsid w:val="00FB730C"/>
    <w:rsid w:val="00FC2695"/>
    <w:rsid w:val="00FC3E03"/>
    <w:rsid w:val="00FC3FC1"/>
    <w:rsid w:val="00FD78D3"/>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B7B9"/>
  <w15:docId w15:val="{678F9FF6-29EE-4C5B-8DAF-C626F7AF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table" w:customStyle="1" w:styleId="Grigliatabella5">
    <w:name w:val="Griglia tabella5"/>
    <w:basedOn w:val="Tabellanormale"/>
    <w:next w:val="Grigliatabella"/>
    <w:uiPriority w:val="39"/>
    <w:rsid w:val="00D5526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E34BEA"/>
    <w:rPr>
      <w:color w:val="808080"/>
    </w:rPr>
  </w:style>
  <w:style w:type="character" w:styleId="Numeroriga">
    <w:name w:val="line number"/>
    <w:basedOn w:val="Carpredefinitoparagrafo"/>
    <w:uiPriority w:val="99"/>
    <w:semiHidden/>
    <w:unhideWhenUsed/>
    <w:rsid w:val="00C2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donsi@unis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Fer17</b:Tag>
    <b:SourceType>JournalArticle</b:SourceType>
    <b:Guid>{59FD5D58-6A89-45E1-98D7-58EF169A777B}</b:Guid>
    <b:Title>Modeling of the Nanoparticles Absorption Under a Gastrointestinal Simulated Ambient Condition</b:Title>
    <b:Year>2017</b:Year>
    <b:JournalName>PharmSciTech</b:JournalName>
    <b:Pages>2691-2701</b:Pages>
    <b:Author>
      <b:Author>
        <b:NameList>
          <b:Person>
            <b:Last>Fernández</b:Last>
            <b:First>Katherina </b:First>
          </b:Person>
          <b:Person>
            <b:Last>et al.</b:Last>
          </b:Person>
        </b:NameList>
      </b:Author>
    </b:Author>
    <b:RefOrder>24</b:RefOrder>
  </b:Source>
</b:Sources>
</file>

<file path=customXml/itemProps1.xml><?xml version="1.0" encoding="utf-8"?>
<ds:datastoreItem xmlns:ds="http://schemas.openxmlformats.org/officeDocument/2006/customXml" ds:itemID="{79B6E9CA-16BF-4326-9B82-A8CE7D0F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11544</Words>
  <Characters>65806</Characters>
  <Application>Microsoft Office Word</Application>
  <DocSecurity>0</DocSecurity>
  <Lines>548</Lines>
  <Paragraphs>154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Francesco</cp:lastModifiedBy>
  <cp:revision>3</cp:revision>
  <cp:lastPrinted>2019-02-25T18:54:00Z</cp:lastPrinted>
  <dcterms:created xsi:type="dcterms:W3CDTF">2019-04-04T14:56:00Z</dcterms:created>
  <dcterms:modified xsi:type="dcterms:W3CDTF">2019-04-04T14:57:00Z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http://www.zotero.org/styles/acs-applied-materials-and-interfaces</vt:lpwstr>
  </property>
  <property fmtid="{D5CDD505-2E9C-101B-9397-08002B2CF9AE}" pid="5" name="Mendeley Recent Style Name 0_1">
    <vt:lpwstr>ACS Applied Materials &amp; Interfaces</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http://www.zotero.org/styles/journal-of-food-engineering</vt:lpwstr>
  </property>
  <property fmtid="{D5CDD505-2E9C-101B-9397-08002B2CF9AE}" pid="19" name="Mendeley Recent Style Name 7_1">
    <vt:lpwstr>Journal of Food Engineering</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9266b0ab-1ec0-3b9b-a0b2-d1eda80fc5ea</vt:lpwstr>
  </property>
  <property fmtid="{D5CDD505-2E9C-101B-9397-08002B2CF9AE}" pid="26" name="Mendeley Citation Style_1">
    <vt:lpwstr>http://www.zotero.org/styles/journal-of-food-engineering</vt:lpwstr>
  </property>
</Properties>
</file>