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6.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0EE4802B" w14:textId="77777777">
        <w:trPr>
          <w:trHeight w:val="852"/>
          <w:jc w:val="center"/>
        </w:trPr>
        <w:tc>
          <w:tcPr>
            <w:tcW w:w="6946" w:type="dxa"/>
            <w:vMerge w:val="restart"/>
            <w:tcBorders>
              <w:right w:val="single" w:sz="4" w:space="0" w:color="auto"/>
            </w:tcBorders>
          </w:tcPr>
          <w:p w14:paraId="605D56E0"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536197573"/>
            <w:bookmarkStart w:id="1" w:name="_GoBack"/>
            <w:bookmarkEnd w:id="0"/>
            <w:bookmarkEnd w:id="1"/>
            <w:r w:rsidRPr="00B57B36">
              <w:rPr>
                <w:rFonts w:ascii="AdvP6960" w:hAnsi="AdvP6960" w:cs="AdvP6960"/>
                <w:noProof/>
                <w:color w:val="241F20"/>
                <w:szCs w:val="18"/>
                <w:lang w:val="it-IT" w:eastAsia="it-IT"/>
              </w:rPr>
              <w:drawing>
                <wp:inline distT="0" distB="0" distL="0" distR="0" wp14:anchorId="2C65A902" wp14:editId="53116EF1">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77DACC21"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FD5F864"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6EA6C51B" w14:textId="77777777" w:rsidR="000A03B2" w:rsidRPr="00B57B36" w:rsidRDefault="000A03B2" w:rsidP="00CD5FE2">
            <w:pPr>
              <w:jc w:val="right"/>
            </w:pPr>
            <w:r w:rsidRPr="00B57B36">
              <w:rPr>
                <w:noProof/>
                <w:lang w:val="it-IT" w:eastAsia="it-IT"/>
              </w:rPr>
              <w:drawing>
                <wp:inline distT="0" distB="0" distL="0" distR="0" wp14:anchorId="5ED9FCC0" wp14:editId="6BC22C7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0D5D6853" w14:textId="77777777">
        <w:trPr>
          <w:trHeight w:val="567"/>
          <w:jc w:val="center"/>
        </w:trPr>
        <w:tc>
          <w:tcPr>
            <w:tcW w:w="6946" w:type="dxa"/>
            <w:vMerge/>
            <w:tcBorders>
              <w:right w:val="single" w:sz="4" w:space="0" w:color="auto"/>
            </w:tcBorders>
          </w:tcPr>
          <w:p w14:paraId="6F159FB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2B9C8B1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2F8FDA8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CBF2E3B"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268D52CF" w14:textId="77777777">
        <w:trPr>
          <w:trHeight w:val="68"/>
          <w:jc w:val="center"/>
        </w:trPr>
        <w:tc>
          <w:tcPr>
            <w:tcW w:w="8789" w:type="dxa"/>
            <w:gridSpan w:val="2"/>
          </w:tcPr>
          <w:p w14:paraId="5377F84A"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3C7D1B4E"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6AE9004" w14:textId="77777777" w:rsidR="000A03B2" w:rsidRPr="00B57B36" w:rsidRDefault="000A03B2" w:rsidP="000A03B2">
      <w:pPr>
        <w:pStyle w:val="CETAuthors"/>
        <w:sectPr w:rsidR="000A03B2" w:rsidRPr="00B57B36">
          <w:footerReference w:type="default" r:id="rId10"/>
          <w:type w:val="continuous"/>
          <w:pgSz w:w="11906" w:h="16838" w:code="9"/>
          <w:pgMar w:top="1701" w:right="1418" w:bottom="1701" w:left="1701" w:header="1701" w:footer="0" w:gutter="0"/>
          <w:cols w:space="708"/>
          <w:titlePg/>
          <w:docGrid w:linePitch="360"/>
        </w:sectPr>
      </w:pPr>
    </w:p>
    <w:p w14:paraId="41D7A180" w14:textId="1A8BEFC7" w:rsidR="00E978D0" w:rsidRPr="0011372B" w:rsidRDefault="00AE0CA6" w:rsidP="00E978D0">
      <w:pPr>
        <w:pStyle w:val="CETTitle"/>
        <w:rPr>
          <w:color w:val="000000" w:themeColor="text1"/>
        </w:rPr>
      </w:pPr>
      <w:r w:rsidRPr="0011372B">
        <w:rPr>
          <w:rStyle w:val="Titolodellibro"/>
          <w:b w:val="0"/>
          <w:i w:val="0"/>
          <w:color w:val="000000" w:themeColor="text1"/>
        </w:rPr>
        <w:t xml:space="preserve">Kinetics </w:t>
      </w:r>
      <w:r w:rsidR="008D299A" w:rsidRPr="0011372B">
        <w:rPr>
          <w:rStyle w:val="Titolodellibro"/>
          <w:b w:val="0"/>
          <w:i w:val="0"/>
          <w:color w:val="000000" w:themeColor="text1"/>
        </w:rPr>
        <w:t>o</w:t>
      </w:r>
      <w:r w:rsidR="008B58BA" w:rsidRPr="0011372B">
        <w:rPr>
          <w:rStyle w:val="Titolodellibro"/>
          <w:b w:val="0"/>
          <w:i w:val="0"/>
          <w:color w:val="000000" w:themeColor="text1"/>
        </w:rPr>
        <w:t xml:space="preserve">f </w:t>
      </w:r>
      <w:r w:rsidRPr="0011372B">
        <w:rPr>
          <w:rStyle w:val="Titolodellibro"/>
          <w:b w:val="0"/>
          <w:i w:val="0"/>
          <w:color w:val="000000" w:themeColor="text1"/>
        </w:rPr>
        <w:t xml:space="preserve">Enzymatic Browning </w:t>
      </w:r>
      <w:r w:rsidR="008D299A" w:rsidRPr="0011372B">
        <w:rPr>
          <w:rStyle w:val="Titolodellibro"/>
          <w:b w:val="0"/>
          <w:i w:val="0"/>
          <w:color w:val="000000" w:themeColor="text1"/>
        </w:rPr>
        <w:t>o</w:t>
      </w:r>
      <w:r w:rsidR="008B58BA" w:rsidRPr="0011372B">
        <w:rPr>
          <w:rStyle w:val="Titolodellibro"/>
          <w:b w:val="0"/>
          <w:i w:val="0"/>
          <w:color w:val="000000" w:themeColor="text1"/>
        </w:rPr>
        <w:t xml:space="preserve">f </w:t>
      </w:r>
      <w:r w:rsidRPr="0011372B">
        <w:rPr>
          <w:rStyle w:val="Titolodellibro"/>
          <w:b w:val="0"/>
          <w:i w:val="0"/>
          <w:color w:val="000000" w:themeColor="text1"/>
        </w:rPr>
        <w:t>Minimally Processed Iceberg Salad</w:t>
      </w:r>
      <w:r w:rsidRPr="0011372B">
        <w:rPr>
          <w:rStyle w:val="Titolodellibro"/>
          <w:color w:val="000000" w:themeColor="text1"/>
        </w:rPr>
        <w:t xml:space="preserve"> </w:t>
      </w:r>
    </w:p>
    <w:p w14:paraId="085B803F" w14:textId="5D8F75B8" w:rsidR="00E978D0" w:rsidRPr="0011372B" w:rsidRDefault="00B85F69" w:rsidP="00AE0CA6">
      <w:pPr>
        <w:pStyle w:val="Standard"/>
        <w:spacing w:after="0" w:line="360" w:lineRule="auto"/>
        <w:jc w:val="center"/>
        <w:rPr>
          <w:rFonts w:ascii="Arial" w:hAnsi="Arial" w:cs="Arial"/>
          <w:color w:val="000000" w:themeColor="text1"/>
          <w:lang w:val="it-IT"/>
        </w:rPr>
      </w:pPr>
      <w:r w:rsidRPr="0011372B">
        <w:rPr>
          <w:rStyle w:val="CETAuthorsCarattere"/>
          <w:rFonts w:eastAsia="Arial"/>
          <w:color w:val="000000" w:themeColor="text1"/>
          <w:lang w:val="it-IT"/>
        </w:rPr>
        <w:t>Fabio A. Di Giuseppe*, Stefania Volpe**, Prospero Di Pierro**</w:t>
      </w:r>
      <w:r w:rsidR="0011372B" w:rsidRPr="0011372B">
        <w:rPr>
          <w:rStyle w:val="CETAuthorsCarattere"/>
          <w:rFonts w:eastAsia="Arial"/>
          <w:color w:val="000000" w:themeColor="text1"/>
          <w:lang w:val="it-IT"/>
        </w:rPr>
        <w:t>*</w:t>
      </w:r>
      <w:r w:rsidRPr="0011372B">
        <w:rPr>
          <w:rStyle w:val="CETAuthorsCarattere"/>
          <w:rFonts w:eastAsia="Arial"/>
          <w:color w:val="000000" w:themeColor="text1"/>
          <w:lang w:val="it-IT"/>
        </w:rPr>
        <w:t>, Angela Sorrentino**, Silvana Cavella*, Elena Torrieri*</w:t>
      </w:r>
      <w:r w:rsidRPr="0011372B">
        <w:rPr>
          <w:rFonts w:ascii="Arial" w:eastAsia="Arial" w:hAnsi="Arial" w:cs="Arial"/>
          <w:color w:val="000000" w:themeColor="text1"/>
          <w:sz w:val="20"/>
          <w:szCs w:val="28"/>
          <w:vertAlign w:val="superscript"/>
          <w:lang w:val="it-IT"/>
        </w:rPr>
        <w:t xml:space="preserve"> </w:t>
      </w:r>
    </w:p>
    <w:p w14:paraId="3953B512" w14:textId="77777777" w:rsidR="00AE0CA6" w:rsidRPr="00AE0CA6" w:rsidRDefault="00A21594" w:rsidP="00AE0CA6">
      <w:pPr>
        <w:pStyle w:val="CETAddress"/>
      </w:pPr>
      <w:r>
        <w:rPr>
          <w:vertAlign w:val="superscript"/>
          <w:lang w:val="en-IE"/>
        </w:rPr>
        <w:t>*</w:t>
      </w:r>
      <w:r w:rsidR="00AE0CA6" w:rsidRPr="00AE0CA6">
        <w:t>Department of Agricultural Sciences, University of Naples “Federico II”, Via Università 100, 80055 Portici (NA), Italy</w:t>
      </w:r>
    </w:p>
    <w:p w14:paraId="5B56589E" w14:textId="1250C904" w:rsidR="00AE0CA6" w:rsidRPr="00AE0CA6" w:rsidRDefault="00A21594" w:rsidP="00AE0CA6">
      <w:pPr>
        <w:pStyle w:val="CETAddress"/>
      </w:pPr>
      <w:r>
        <w:rPr>
          <w:vertAlign w:val="superscript"/>
        </w:rPr>
        <w:t>**</w:t>
      </w:r>
      <w:r w:rsidR="00AE0CA6" w:rsidRPr="00AE0CA6">
        <w:t>Centre for Food Innovation and Development in the Food Industry- CAISIAL, University of Naples “Federico II”, Via Università 1</w:t>
      </w:r>
      <w:r w:rsidR="004A272E">
        <w:t>33</w:t>
      </w:r>
      <w:r w:rsidR="00AE0CA6" w:rsidRPr="00AE0CA6">
        <w:t>, 80055 Portici (NA), Italy</w:t>
      </w:r>
    </w:p>
    <w:p w14:paraId="346FB7B0" w14:textId="16693990" w:rsidR="004A272E" w:rsidRPr="00AE0CA6" w:rsidRDefault="004A272E" w:rsidP="004A272E">
      <w:pPr>
        <w:pStyle w:val="CETAddress"/>
      </w:pPr>
      <w:r>
        <w:t>***</w:t>
      </w:r>
      <w:r w:rsidRPr="00AE0CA6">
        <w:t xml:space="preserve">Department of </w:t>
      </w:r>
      <w:r>
        <w:t>Chemical</w:t>
      </w:r>
      <w:r w:rsidRPr="00AE0CA6">
        <w:t xml:space="preserve"> Sciences, University of Naples “Federico II”, </w:t>
      </w:r>
      <w:r>
        <w:t>Via Cinthia</w:t>
      </w:r>
      <w:r w:rsidRPr="00AE0CA6">
        <w:t>,</w:t>
      </w:r>
      <w:r>
        <w:t xml:space="preserve"> 80126, Napoli,</w:t>
      </w:r>
      <w:r w:rsidRPr="00AE0CA6">
        <w:t xml:space="preserve"> Italy</w:t>
      </w:r>
    </w:p>
    <w:p w14:paraId="1A928084" w14:textId="5DD207BA" w:rsidR="00E978D0" w:rsidRDefault="00600535" w:rsidP="004A272E">
      <w:pPr>
        <w:pStyle w:val="CETemail"/>
        <w:spacing w:before="120" w:after="120"/>
      </w:pPr>
      <w:r w:rsidRPr="00B57B36">
        <w:t>corresponding.</w:t>
      </w:r>
      <w:r w:rsidR="00A21594" w:rsidRPr="00A21594">
        <w:rPr>
          <w:rStyle w:val="CETAddressCarattere"/>
        </w:rPr>
        <w:t>elenatorrieri</w:t>
      </w:r>
      <w:r w:rsidRPr="00A21594">
        <w:rPr>
          <w:rStyle w:val="CETAddressCarattere"/>
        </w:rPr>
        <w:t>@</w:t>
      </w:r>
      <w:r w:rsidR="00A21594" w:rsidRPr="00A21594">
        <w:rPr>
          <w:rStyle w:val="CETAddressCarattere"/>
        </w:rPr>
        <w:t>unina.</w:t>
      </w:r>
      <w:r w:rsidRPr="00A21594">
        <w:rPr>
          <w:rStyle w:val="CETAddressCarattere"/>
        </w:rPr>
        <w:t xml:space="preserve">com </w:t>
      </w:r>
    </w:p>
    <w:p w14:paraId="0158F6A3" w14:textId="199722E2" w:rsidR="00A21594" w:rsidRPr="0011372B" w:rsidRDefault="00A21594" w:rsidP="00CD3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11372B">
        <w:rPr>
          <w:color w:val="000000" w:themeColor="text1"/>
        </w:rPr>
        <w:t>Iceberg lettuce (</w:t>
      </w:r>
      <w:proofErr w:type="spellStart"/>
      <w:r w:rsidRPr="0011372B">
        <w:rPr>
          <w:i/>
          <w:color w:val="000000" w:themeColor="text1"/>
        </w:rPr>
        <w:t>Lactuca</w:t>
      </w:r>
      <w:proofErr w:type="spellEnd"/>
      <w:r w:rsidRPr="0011372B">
        <w:rPr>
          <w:i/>
          <w:color w:val="000000" w:themeColor="text1"/>
        </w:rPr>
        <w:t xml:space="preserve"> sativa L.</w:t>
      </w:r>
      <w:r w:rsidRPr="0011372B">
        <w:rPr>
          <w:color w:val="000000" w:themeColor="text1"/>
        </w:rPr>
        <w:t xml:space="preserve">) is a highly perishable product and it is considered one of the most popular minimally processed vegetables. Commercially available iceberg lettuce has a short shelf-life of 7 days at 7°C. Enzymatic browning is one of the main factors affecting product shelf life when oxygen is present in the packaging system. </w:t>
      </w:r>
      <w:r w:rsidR="00B52DD3" w:rsidRPr="0011372B">
        <w:rPr>
          <w:color w:val="000000" w:themeColor="text1"/>
        </w:rPr>
        <w:t>For this purpose</w:t>
      </w:r>
      <w:r w:rsidR="002E0B90" w:rsidRPr="0011372B">
        <w:rPr>
          <w:color w:val="000000" w:themeColor="text1"/>
        </w:rPr>
        <w:t>,</w:t>
      </w:r>
      <w:r w:rsidR="00B52DD3" w:rsidRPr="0011372B">
        <w:rPr>
          <w:color w:val="000000" w:themeColor="text1"/>
        </w:rPr>
        <w:t xml:space="preserve"> t</w:t>
      </w:r>
      <w:r w:rsidRPr="0011372B">
        <w:rPr>
          <w:color w:val="000000" w:themeColor="text1"/>
        </w:rPr>
        <w:t>he aim of this work was (</w:t>
      </w:r>
      <w:proofErr w:type="spellStart"/>
      <w:r w:rsidRPr="0011372B">
        <w:rPr>
          <w:color w:val="000000" w:themeColor="text1"/>
        </w:rPr>
        <w:t>i</w:t>
      </w:r>
      <w:proofErr w:type="spellEnd"/>
      <w:r w:rsidRPr="0011372B">
        <w:rPr>
          <w:color w:val="000000" w:themeColor="text1"/>
        </w:rPr>
        <w:t xml:space="preserve">) to investigate the decay kinetics of minimally processed iceberg salad following polyphenols and browning index evolution at different temperature (4°C, 8°C, 12°C); (ii) to evaluate the effect of salicylic acid on enzymatic browning. </w:t>
      </w:r>
      <w:r w:rsidR="00B52DD3" w:rsidRPr="0011372B">
        <w:rPr>
          <w:color w:val="000000" w:themeColor="text1"/>
        </w:rPr>
        <w:t>Minimally processed iceberg samples were stored at 4°C, 8°C, 12°C in air for 14 days. Samples treated with salicylic acid were stored at 8°C for 14 days</w:t>
      </w:r>
      <w:r w:rsidRPr="0011372B">
        <w:rPr>
          <w:color w:val="000000" w:themeColor="text1"/>
        </w:rPr>
        <w:t>. Polyphenols and browning index were evaluated by spectrophotometric analysis. The kinetics constant and activation energy (</w:t>
      </w:r>
      <w:proofErr w:type="spellStart"/>
      <w:r w:rsidRPr="0011372B">
        <w:rPr>
          <w:color w:val="000000" w:themeColor="text1"/>
        </w:rPr>
        <w:t>Ea</w:t>
      </w:r>
      <w:proofErr w:type="spellEnd"/>
      <w:r w:rsidRPr="0011372B">
        <w:rPr>
          <w:color w:val="000000" w:themeColor="text1"/>
        </w:rPr>
        <w:t>) has been calculated by non-linear regression. The enzymatic browning was well described by a pseudo first order kinetic. The kinetic constant at reference temperature (8°C) was 0.00948 h</w:t>
      </w:r>
      <w:r w:rsidRPr="0011372B">
        <w:rPr>
          <w:color w:val="000000" w:themeColor="text1"/>
          <w:vertAlign w:val="superscript"/>
        </w:rPr>
        <w:t>-1</w:t>
      </w:r>
      <w:r w:rsidRPr="0011372B">
        <w:rPr>
          <w:color w:val="000000" w:themeColor="text1"/>
        </w:rPr>
        <w:t xml:space="preserve"> for polyphenols decay and 0.0184 h</w:t>
      </w:r>
      <w:r w:rsidRPr="0011372B">
        <w:rPr>
          <w:color w:val="000000" w:themeColor="text1"/>
          <w:vertAlign w:val="superscript"/>
        </w:rPr>
        <w:t>-1</w:t>
      </w:r>
      <w:r w:rsidRPr="0011372B">
        <w:rPr>
          <w:color w:val="000000" w:themeColor="text1"/>
        </w:rPr>
        <w:t xml:space="preserve"> for browning index. </w:t>
      </w:r>
      <w:proofErr w:type="spellStart"/>
      <w:r w:rsidRPr="0011372B">
        <w:rPr>
          <w:color w:val="000000" w:themeColor="text1"/>
        </w:rPr>
        <w:t>Ea</w:t>
      </w:r>
      <w:proofErr w:type="spellEnd"/>
      <w:r w:rsidRPr="0011372B">
        <w:rPr>
          <w:color w:val="000000" w:themeColor="text1"/>
        </w:rPr>
        <w:t xml:space="preserve"> for polyphenols and browning index were 83.21 kJ/mol and 63.49 kJ/mol, respectively. Salicylic acid showed a significant effect on enzymatic browning kinetic by delaying the evolution of the reaction during the first days of storage. </w:t>
      </w:r>
    </w:p>
    <w:p w14:paraId="45F397E3" w14:textId="77777777" w:rsidR="00535030" w:rsidRPr="0011372B" w:rsidRDefault="00535030" w:rsidP="00AD4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1C9B33D" w14:textId="72CF6AF7" w:rsidR="00A21594" w:rsidRPr="0011372B" w:rsidRDefault="00A21594" w:rsidP="00A21594">
      <w:pPr>
        <w:pStyle w:val="CETBodytext"/>
        <w:rPr>
          <w:color w:val="000000" w:themeColor="text1"/>
        </w:rPr>
      </w:pPr>
      <w:r w:rsidRPr="0011372B">
        <w:rPr>
          <w:color w:val="000000" w:themeColor="text1"/>
          <w:u w:val="single"/>
        </w:rPr>
        <w:t>Keywords</w:t>
      </w:r>
      <w:r w:rsidRPr="0011372B">
        <w:rPr>
          <w:color w:val="000000" w:themeColor="text1"/>
        </w:rPr>
        <w:t xml:space="preserve">: </w:t>
      </w:r>
      <w:r w:rsidR="00841A6C" w:rsidRPr="0011372B">
        <w:rPr>
          <w:color w:val="000000" w:themeColor="text1"/>
        </w:rPr>
        <w:t>lettuce</w:t>
      </w:r>
      <w:r w:rsidRPr="0011372B">
        <w:rPr>
          <w:color w:val="000000" w:themeColor="text1"/>
        </w:rPr>
        <w:t xml:space="preserve">; oxidation kinetics; salicylic acid; storage temperature; polyphenols; </w:t>
      </w:r>
      <w:r w:rsidR="00841A6C" w:rsidRPr="0011372B">
        <w:rPr>
          <w:color w:val="000000" w:themeColor="text1"/>
        </w:rPr>
        <w:t>quality index</w:t>
      </w:r>
    </w:p>
    <w:p w14:paraId="71EE133C" w14:textId="77777777" w:rsidR="00A21594" w:rsidRPr="0011372B" w:rsidRDefault="00A21594" w:rsidP="00A21594">
      <w:pPr>
        <w:pStyle w:val="CETBodytext"/>
        <w:rPr>
          <w:color w:val="000000" w:themeColor="text1"/>
          <w:lang w:val="en-GB"/>
        </w:rPr>
      </w:pPr>
    </w:p>
    <w:p w14:paraId="5564CA19" w14:textId="77777777" w:rsidR="00600535" w:rsidRDefault="00600535" w:rsidP="00600535">
      <w:pPr>
        <w:pStyle w:val="CETHeading1"/>
        <w:rPr>
          <w:lang w:val="en-GB"/>
        </w:rPr>
      </w:pPr>
      <w:r w:rsidRPr="00B57B36">
        <w:rPr>
          <w:lang w:val="en-GB"/>
        </w:rPr>
        <w:t>Introduction</w:t>
      </w:r>
    </w:p>
    <w:p w14:paraId="16AA111A" w14:textId="40673EDC" w:rsidR="008C73AF" w:rsidRDefault="00B7326A" w:rsidP="00600535">
      <w:pPr>
        <w:pStyle w:val="CETBodytext"/>
        <w:rPr>
          <w:lang w:val="en-GB"/>
        </w:rPr>
      </w:pPr>
      <w:r w:rsidRPr="00AD4D8B">
        <w:t>S</w:t>
      </w:r>
      <w:r w:rsidR="000C4224" w:rsidRPr="00AD4D8B">
        <w:t xml:space="preserve">helf-life </w:t>
      </w:r>
      <w:r w:rsidRPr="00324B86">
        <w:t>can be define</w:t>
      </w:r>
      <w:r w:rsidR="008D299A">
        <w:t>d as</w:t>
      </w:r>
      <w:r w:rsidRPr="00324B86">
        <w:t xml:space="preserve"> the period of time during which the food product will remain safe</w:t>
      </w:r>
      <w:r w:rsidR="008D299A">
        <w:t xml:space="preserve"> and will</w:t>
      </w:r>
      <w:r w:rsidRPr="00324B86">
        <w:t xml:space="preserve"> retain its desired sensory, chemical, physical, microbiological, and functional characteristics. </w:t>
      </w:r>
      <w:r w:rsidR="008D299A">
        <w:t>The quality deterioration i</w:t>
      </w:r>
      <w:r w:rsidR="000C4224" w:rsidRPr="00AD4D8B">
        <w:t>s a dynamic process in which</w:t>
      </w:r>
      <w:r w:rsidRPr="00AD4D8B">
        <w:t xml:space="preserve"> different factor such as</w:t>
      </w:r>
      <w:r w:rsidR="000C4224" w:rsidRPr="00AD4D8B">
        <w:t xml:space="preserve"> product composition, microbial population, temperature, relative humidity, light and package atmosphere intera</w:t>
      </w:r>
      <w:r w:rsidRPr="00AD4D8B">
        <w:t xml:space="preserve">ct </w:t>
      </w:r>
      <w:r w:rsidR="000C4224" w:rsidRPr="00AD4D8B">
        <w:rPr>
          <w:rStyle w:val="Rimandonotaapidipagina"/>
        </w:rPr>
        <w:fldChar w:fldCharType="begin" w:fldLock="1"/>
      </w:r>
      <w:r w:rsidR="000C4224" w:rsidRPr="00AD4D8B">
        <w:instrText>ADDIN CSL_CITATION {"citationItems":[{"id":"ITEM-1","itemData":{"DOI":"10.1016/j.postharvbio.2006.01.018","ISBN":"0925-5214","ISSN":"09255214","PMID":"21965792","abstract":"Fully expanded rocket (Eruca sativa Mill.) leaves were treated with 1-methylcyclopropene (1-MCP, SmartFresh™) at a concentration of 0.5 μl l-1for 4 h at 10 °C before storage for 10 days in air or in air with ethylene (1 μl l-1). The untreated leaves stored in air showed a progressive yellowing during storage, resulting in a shelf life of about 10 days. The presence of exogenous ethylene in the storage room increased yellowing, and consequently it shortened shelf life by about 2 days. A prestorage treatment with the ethylene action inhibitor 1-MCP prevented yellowing of leaves and shortening of shelf life, which was induced by ethylene. © 2006 Elsevier B.V. All rights reserved.","author":[{"dropping-particle":"","family":"Koukounaras","given":"Athanasios","non-dropping-particle":"","parse-names":false,"suffix":""},{"dropping-particle":"","family":"Siomos","given":"Anastasios S.","non-dropping-particle":"","parse-names":false,"suffix":""},{"dropping-particle":"","family":"Sfakiotakis","given":"Evangelos","non-dropping-particle":"","parse-names":false,"suffix":""}],"container-title":"Postharvest Biology and Technology","id":"ITEM-1","issue":"1","issued":{"date-parts":[["2006"]]},"page":"109-111","title":"1-Methylcyclopropene prevents ethylene induced yellowing of rocket leaves","type":"article-journal","volume":"41"},"uris":["http://www.mendeley.com/documents/?uuid=e03b504d-fc7d-45a9-9845-8997160a9f56"]}],"mendeley":{"formattedCitation":"(Koukounaras, Siomos and Sfakiotakis, 2006)","manualFormatting":"(Koukounaras et al., 2006). )","plainTextFormattedCitation":"(Koukounaras, Siomos and Sfakiotakis, 2006)","previouslyFormattedCitation":"(Koukounaras, Siomos, and Sfakiotakis 2006)"},"properties":{"noteIndex":0},"schema":"https://github.com/citation-style-language/schema/raw/master/csl-citation.json"}</w:instrText>
      </w:r>
      <w:r w:rsidR="000C4224" w:rsidRPr="00AD4D8B">
        <w:rPr>
          <w:rStyle w:val="Rimandonotaapidipagina"/>
        </w:rPr>
        <w:fldChar w:fldCharType="separate"/>
      </w:r>
      <w:r w:rsidR="000C4224" w:rsidRPr="00AD4D8B">
        <w:rPr>
          <w:bCs/>
          <w:noProof/>
          <w:lang w:val="en-IE"/>
        </w:rPr>
        <w:t xml:space="preserve">(Koukounaras et al., 2006). </w:t>
      </w:r>
      <w:r w:rsidR="000C4224" w:rsidRPr="00AD4D8B">
        <w:rPr>
          <w:rStyle w:val="Rimandonotaapidipagina"/>
        </w:rPr>
        <w:fldChar w:fldCharType="end"/>
      </w:r>
      <w:r w:rsidR="00B52DD3" w:rsidRPr="00B52DD3">
        <w:t xml:space="preserve">Minimally processed </w:t>
      </w:r>
      <w:r w:rsidR="00B52DD3">
        <w:t xml:space="preserve">vegetables </w:t>
      </w:r>
      <w:r w:rsidR="00B52DD3" w:rsidRPr="00B52DD3">
        <w:t xml:space="preserve">produce deteriorates because of physiological ageing, biochemical changes and microbial spoilage, which may result in degradation of the </w:t>
      </w:r>
      <w:proofErr w:type="spellStart"/>
      <w:r w:rsidR="00B52DD3" w:rsidRPr="00B52DD3">
        <w:t>colour</w:t>
      </w:r>
      <w:proofErr w:type="spellEnd"/>
      <w:r w:rsidR="00B52DD3" w:rsidRPr="00B52DD3">
        <w:t xml:space="preserve">, texture and </w:t>
      </w:r>
      <w:proofErr w:type="spellStart"/>
      <w:r w:rsidR="00B52DD3" w:rsidRPr="00B52DD3">
        <w:t>flavour</w:t>
      </w:r>
      <w:proofErr w:type="spellEnd"/>
      <w:r w:rsidR="00B52DD3" w:rsidRPr="00B52DD3">
        <w:t xml:space="preserve"> of the produ</w:t>
      </w:r>
      <w:r w:rsidR="00B52DD3">
        <w:t>ct</w:t>
      </w:r>
      <w:r w:rsidR="00B52DD3" w:rsidRPr="00B52DD3">
        <w:t xml:space="preserve">. </w:t>
      </w:r>
      <w:r w:rsidR="006E59C5" w:rsidRPr="006E59C5">
        <w:t xml:space="preserve">Fresh leafy vegetables have a short shelf-life </w:t>
      </w:r>
      <w:r w:rsidR="000C7842">
        <w:t>since</w:t>
      </w:r>
      <w:r w:rsidR="006E59C5" w:rsidRPr="006E59C5">
        <w:t xml:space="preserve"> they are exposed to unfavorable postharvest </w:t>
      </w:r>
      <w:r w:rsidR="00B52DD3">
        <w:t xml:space="preserve">storage </w:t>
      </w:r>
      <w:r w:rsidR="006E59C5" w:rsidRPr="006E59C5">
        <w:t>conditions.</w:t>
      </w:r>
      <w:r w:rsidR="00B52DD3">
        <w:t xml:space="preserve"> In particular i</w:t>
      </w:r>
      <w:r w:rsidR="001D3508" w:rsidRPr="00D5522D">
        <w:t>ceberg lettuce (</w:t>
      </w:r>
      <w:proofErr w:type="spellStart"/>
      <w:r w:rsidR="001D3508" w:rsidRPr="00AD4D8B">
        <w:rPr>
          <w:i/>
        </w:rPr>
        <w:t>Lactuca</w:t>
      </w:r>
      <w:proofErr w:type="spellEnd"/>
      <w:r w:rsidR="001D3508" w:rsidRPr="00AD4D8B">
        <w:rPr>
          <w:i/>
        </w:rPr>
        <w:t xml:space="preserve"> sativa L</w:t>
      </w:r>
      <w:r w:rsidR="001D3508" w:rsidRPr="00D5522D">
        <w:t xml:space="preserve">.) </w:t>
      </w:r>
      <w:r w:rsidR="00B52DD3">
        <w:t>ca be considered a</w:t>
      </w:r>
      <w:r w:rsidR="001D3508" w:rsidRPr="00D5522D">
        <w:t xml:space="preserve"> highly perishable product and it is one of the most popular minimally processed vegetables</w:t>
      </w:r>
      <w:r w:rsidR="00B52DD3">
        <w:t xml:space="preserve"> present on the market</w:t>
      </w:r>
      <w:r w:rsidR="001D3508" w:rsidRPr="00D5522D">
        <w:t>. Commercially available iceberg lettuce has a short shelf-life of 7 days at 7°C</w:t>
      </w:r>
      <w:r w:rsidR="00B52DD3">
        <w:t>.</w:t>
      </w:r>
      <w:r w:rsidR="00B52DD3" w:rsidRPr="00B52DD3">
        <w:t xml:space="preserve"> </w:t>
      </w:r>
      <w:r w:rsidR="00B52DD3" w:rsidRPr="00AD4D8B">
        <w:t xml:space="preserve">During peeling and </w:t>
      </w:r>
      <w:r w:rsidR="000C4224" w:rsidRPr="00AD4D8B">
        <w:t>cutting</w:t>
      </w:r>
      <w:r w:rsidR="00B52DD3" w:rsidRPr="00AD4D8B">
        <w:t xml:space="preserve"> operations, many cells are ruptured, and intracellular products such as oxidizing enzymes are liberated.</w:t>
      </w:r>
      <w:r w:rsidR="000C4224">
        <w:t xml:space="preserve"> </w:t>
      </w:r>
      <w:r w:rsidR="001D3508" w:rsidRPr="00D5522D">
        <w:t>Enzymatic browning is one of the main factors affecting product shelf life when oxygen is present in the packaging system.</w:t>
      </w:r>
      <w:r w:rsidR="00B52DD3" w:rsidRPr="00D5522D">
        <w:t xml:space="preserve"> </w:t>
      </w:r>
      <w:r w:rsidR="00B52DD3" w:rsidRPr="00B52DD3">
        <w:t>Polyphenol oxidase (PPO), found in most fruit and vegetables, is responsible for enzymatic browning of fresh horticultural products, following bruising, cutting or other damage to the cell.</w:t>
      </w:r>
      <w:r w:rsidR="001D3508" w:rsidRPr="00D5522D">
        <w:t xml:space="preserve"> It can be divided into two phases: cresolasic activity,</w:t>
      </w:r>
      <w:r w:rsidR="004A272E">
        <w:t xml:space="preserve"> </w:t>
      </w:r>
      <w:r w:rsidR="004A272E" w:rsidRPr="00D5522D">
        <w:t>in which the monophenols are converted into o-diphenols, and catecholase activity, in which the o-diphenols</w:t>
      </w:r>
      <w:r w:rsidR="004A272E" w:rsidRPr="00D5522D" w:rsidDel="000826C9">
        <w:t xml:space="preserve"> </w:t>
      </w:r>
      <w:r w:rsidR="004A272E">
        <w:t>are</w:t>
      </w:r>
      <w:r w:rsidR="004A272E" w:rsidRPr="00D5522D">
        <w:t xml:space="preserve"> converted into o-quinones </w:t>
      </w:r>
      <w:r w:rsidR="004A272E" w:rsidRPr="00D5522D">
        <w:lastRenderedPageBreak/>
        <w:t xml:space="preserve">and melanoidins, </w:t>
      </w:r>
      <w:r w:rsidR="004A272E">
        <w:t>responsible for the</w:t>
      </w:r>
      <w:r w:rsidR="004A272E" w:rsidRPr="00D5522D">
        <w:t xml:space="preserve"> dark coloration </w:t>
      </w:r>
      <w:r w:rsidR="004A272E">
        <w:t>of</w:t>
      </w:r>
      <w:r w:rsidR="004A272E" w:rsidRPr="00D5522D">
        <w:t xml:space="preserve"> the food product. </w:t>
      </w:r>
      <w:r w:rsidR="006E59C5" w:rsidRPr="006E59C5">
        <w:t xml:space="preserve">Nowadays, extend the postharvest life by chemicals is limited because of their </w:t>
      </w:r>
      <w:r w:rsidR="0082292D">
        <w:t>negative</w:t>
      </w:r>
      <w:r w:rsidR="0082292D" w:rsidRPr="006E59C5">
        <w:t xml:space="preserve"> </w:t>
      </w:r>
      <w:r w:rsidR="0082292D">
        <w:t>impact</w:t>
      </w:r>
      <w:r w:rsidR="0082292D" w:rsidRPr="006E59C5">
        <w:t xml:space="preserve"> </w:t>
      </w:r>
      <w:r w:rsidR="006E59C5" w:rsidRPr="006E59C5">
        <w:t xml:space="preserve">on the environment and </w:t>
      </w:r>
      <w:r w:rsidR="008D299A" w:rsidRPr="006E59C5">
        <w:t>human</w:t>
      </w:r>
      <w:r w:rsidR="008D299A">
        <w:t xml:space="preserve"> being</w:t>
      </w:r>
      <w:r w:rsidR="006E59C5" w:rsidRPr="006E59C5">
        <w:t xml:space="preserve"> health. Therefore,</w:t>
      </w:r>
      <w:r w:rsidR="008D299A">
        <w:t xml:space="preserve"> </w:t>
      </w:r>
      <w:r w:rsidR="00B52DD3">
        <w:t>its</w:t>
      </w:r>
      <w:r w:rsidR="006E59C5" w:rsidRPr="006E59C5">
        <w:t xml:space="preserve"> need to develop more safe and effective strategies</w:t>
      </w:r>
      <w:r w:rsidR="00B52DD3">
        <w:t xml:space="preserve"> for shelf life extension of </w:t>
      </w:r>
      <w:proofErr w:type="spellStart"/>
      <w:r w:rsidR="00B52DD3">
        <w:t>minimmaly</w:t>
      </w:r>
      <w:proofErr w:type="spellEnd"/>
      <w:r w:rsidR="00B52DD3">
        <w:t xml:space="preserve"> processed product</w:t>
      </w:r>
      <w:r w:rsidR="006E59C5" w:rsidRPr="006E59C5">
        <w:t xml:space="preserve"> </w:t>
      </w:r>
      <w:r w:rsidR="00B3016D" w:rsidRPr="0011372B">
        <w:rPr>
          <w:rStyle w:val="Rimandonotaapidipagina"/>
          <w:color w:val="000000" w:themeColor="text1"/>
        </w:rPr>
        <w:fldChar w:fldCharType="begin" w:fldLock="1"/>
      </w:r>
      <w:r w:rsidR="00D45C73" w:rsidRPr="0011372B">
        <w:rPr>
          <w:color w:val="000000" w:themeColor="text1"/>
        </w:rPr>
        <w:instrText>ADDIN CSL_CITATION {"citationItems":[{"id":"ITEM-1","itemData":{"DOI":"10.1016/j.plaphy.2009.03.001","ISSN":"09819428","PMID":"19329332","abstract":"We demonstrated that exogenous application of 200 μM salicylic acid through root feeding and foliar spray could induce resistance against Fusarium oxysporum f. sp. Lycopersici (Fol) in tomato. Endogenous accumulation of free salicylic acid in tomato roots was detected by HPLC and identification was confirmed by LC-MS/MS analysis. At 168 h of salicylic acid treatment through roots, the endogenous salicylic acid level in the roots increased to 1477 ng g-1 FW which was 10 times higher than control plants. Similarly, the salicylic acid content was 1001 ng g-1 FW at 168 h of treatment by foliar spray, which was 8.7 times higher than control plants. The activities of phenylalanine ammonia lyase (PAL, EC 4.3.1.5) and peroxidase (POD, EC 1.11.1.7) were 5.9 and 4.7 times higher, respectively than the control plants at 168 h of salicylic acid feeding through the roots. The increase in PAL and POD activities was 3.7 and 3.3 times higher, respectively at 168 h of salicylic acid treatments through foliar spray than control plants. The salicylic acid-treated tomato plants challenged with Fol exhibited significantly reduced vascular browning and leaf yellowing wilting. The mycelial growth of Fol was not significantly affected by salicylic acid. Significant increase in basal level of salicylic acid in noninoculated plants indicated that tomato root system might have the capacity to assimilate and distribute salicylic acid throughout the plant. The results indicated that the induced resistance observed in tomato against Fol might be a case of salicylic acid-dependent systemic acquired resistance. © 2009 Elsevier Masson SAS. All rights reserved.","author":[{"dropping-particle":"","family":"Mandal","given":"Sudhamoy","non-dropping-particle":"","parse-names":false,"suffix":""},{"dropping-particle":"","family":"Mallick","given":"Nirupama","non-dropping-particle":"","parse-names":false,"suffix":""},{"dropping-particle":"","family":"Mitra","given":"Adinpunya","non-dropping-particle":"","parse-names":false,"suffix":""}],"container-title":"Plant Physiology and Biochemistry","id":"ITEM-1","issue":"7","issued":{"date-parts":[["2009"]]},"page":"642-649","publisher":"Elsevier Masson SAS","title":"Salicylic acid-induced resistance to Fusarium oxysporum f. sp. lycopersici in tomato","type":"article-journal","volume":"47"},"uris":["http://www.mendeley.com/documents/?uuid=e5364fbc-18c6-4ebc-a874-6211847dfc3f"]}],"mendeley":{"formattedCitation":"(Mandal, Mallick and Mitra, 2009)"},"properties":{"noteIndex":0},"schema":"https://github.com/citation-style-language/schema/raw/master/csl-citation.json"}</w:instrText>
      </w:r>
      <w:r w:rsidR="00B3016D" w:rsidRPr="0011372B">
        <w:rPr>
          <w:rStyle w:val="Rimandonotaapidipagina"/>
          <w:color w:val="000000" w:themeColor="text1"/>
        </w:rPr>
        <w:fldChar w:fldCharType="separate"/>
      </w:r>
      <w:r w:rsidR="00D45C73" w:rsidRPr="0011372B">
        <w:rPr>
          <w:bCs/>
          <w:noProof/>
          <w:color w:val="000000" w:themeColor="text1"/>
          <w:lang w:val="en-IE"/>
        </w:rPr>
        <w:t>(Mandal</w:t>
      </w:r>
      <w:r w:rsidR="00CF70C7" w:rsidRPr="0011372B">
        <w:rPr>
          <w:bCs/>
          <w:noProof/>
          <w:color w:val="000000" w:themeColor="text1"/>
          <w:lang w:val="en-IE"/>
        </w:rPr>
        <w:t xml:space="preserve"> et al.,</w:t>
      </w:r>
      <w:r w:rsidR="00D45C73" w:rsidRPr="0011372B">
        <w:rPr>
          <w:bCs/>
          <w:noProof/>
          <w:color w:val="000000" w:themeColor="text1"/>
          <w:lang w:val="en-IE"/>
        </w:rPr>
        <w:t xml:space="preserve"> 2009)</w:t>
      </w:r>
      <w:r w:rsidR="00B3016D" w:rsidRPr="0011372B">
        <w:rPr>
          <w:rStyle w:val="Rimandonotaapidipagina"/>
          <w:color w:val="000000" w:themeColor="text1"/>
        </w:rPr>
        <w:fldChar w:fldCharType="end"/>
      </w:r>
      <w:r w:rsidR="00B52DD3" w:rsidRPr="0011372B">
        <w:rPr>
          <w:color w:val="000000" w:themeColor="text1"/>
        </w:rPr>
        <w:t>.</w:t>
      </w:r>
      <w:r w:rsidR="008A7807" w:rsidRPr="0011372B">
        <w:rPr>
          <w:color w:val="000000" w:themeColor="text1"/>
        </w:rPr>
        <w:t xml:space="preserve"> </w:t>
      </w:r>
      <w:r w:rsidR="00B52DD3" w:rsidRPr="0011372B">
        <w:rPr>
          <w:color w:val="000000" w:themeColor="text1"/>
        </w:rPr>
        <w:t>Recently m</w:t>
      </w:r>
      <w:r w:rsidR="006E59C5" w:rsidRPr="0011372B">
        <w:rPr>
          <w:color w:val="000000" w:themeColor="text1"/>
        </w:rPr>
        <w:t xml:space="preserve">ore attention is being paid to </w:t>
      </w:r>
      <w:r w:rsidR="008D299A" w:rsidRPr="0011372B">
        <w:rPr>
          <w:color w:val="000000" w:themeColor="text1"/>
        </w:rPr>
        <w:t>plant-based</w:t>
      </w:r>
      <w:r w:rsidR="006E59C5" w:rsidRPr="0011372B">
        <w:rPr>
          <w:color w:val="000000" w:themeColor="text1"/>
        </w:rPr>
        <w:t xml:space="preserve"> metabolites as anti-ripening and anti-microbial agents for sustenance of maximum postharvest quality of products</w:t>
      </w:r>
      <w:r w:rsidR="00415DB0" w:rsidRPr="0011372B">
        <w:rPr>
          <w:color w:val="000000" w:themeColor="text1"/>
        </w:rPr>
        <w:t>.</w:t>
      </w:r>
      <w:r w:rsidR="006E59C5" w:rsidRPr="0011372B">
        <w:rPr>
          <w:color w:val="000000" w:themeColor="text1"/>
        </w:rPr>
        <w:t xml:space="preserve"> Salicylic acid (SA) </w:t>
      </w:r>
      <w:r w:rsidR="00723491" w:rsidRPr="0011372B">
        <w:rPr>
          <w:color w:val="000000" w:themeColor="text1"/>
        </w:rPr>
        <w:t xml:space="preserve">is </w:t>
      </w:r>
      <w:r w:rsidR="006E59C5" w:rsidRPr="0011372B">
        <w:rPr>
          <w:color w:val="000000" w:themeColor="text1"/>
        </w:rPr>
        <w:t xml:space="preserve">a group of phenolic compounds </w:t>
      </w:r>
      <w:r w:rsidR="00B3016D" w:rsidRPr="0011372B">
        <w:rPr>
          <w:rStyle w:val="Rimandonotaapidipagina"/>
          <w:color w:val="000000" w:themeColor="text1"/>
        </w:rPr>
        <w:fldChar w:fldCharType="begin" w:fldLock="1"/>
      </w:r>
      <w:r w:rsidR="00606CA4" w:rsidRPr="0011372B">
        <w:rPr>
          <w:color w:val="000000" w:themeColor="text1"/>
        </w:rPr>
        <w:instrText>ADDIN CSL_CITATION {"citationItems":[{"id":"ITEM-1","itemData":{"ISSN":"1991-8178","abstract":"Peach [Prunus persica (L.) Bastch.] \"cv. Flordaprince\" fruits at commercial maturity were immersed in 0, 0.5, 1.0 and 1.5 mM salicylic acid (SA) solution for 10 min, stored at 0 • C for 28 days, then moved to 20 • C for 3 days to simulate shelf life. Fruit weight losses, firmness, TSS, acidity, Vit.C, sugars, anthocyanin, total phenols and two enzymes namely peroxidase and polyphenol oxidase activities of fruit were measured at the end of shelf life. The results showed the interaction effects between salicylic acid and storage period, also the effect of salicylic acid treatments and effect of storage period. It was noticed that the highest values of fruit losses weight were achieved with increasing storage period to 28 days and decreasing SA concentrations from 1.5 to 0.5 mM, firmness of fruit treated with SA was significantly greater than that of control fruit after 28 days of cold storage. Fruits receiving all postharvest treatments produced the firmest fruits, while the control plants (without receiving SA) had the softest fruits. Moreover, Regarding SA treatments, data revealed that, decreasing in fruit T.S.S contents were observed with increasing SA concentration in both seasons. No significant difference was found between T2 and T3 treatments on fruit T.S.S contents in both seasons. The three salicylic acid treatments maintained a significantly lower reducing and total sugars, anthocyanin and enzymes activity(peroxidase and polyphenol oxidase) than control. Acidity, Vit. C, total phenols content in fruits increased gradually with increasing SA concentrations. In the same time, prolonging periods of storage in both seasons, generally decreased vit. C and total phenols. In contrast, reducing and total sugars, anthocyanin, peroxidase and polyphenol oxidase activities increased. In the first season only, fruit reducing sugar content at 0 day has significantly high value compared to 7 days.","author":[{"dropping-particle":"","family":"Awad","given":"Rehab M","non-dropping-particle":"","parse-names":false,"suffix":""}],"container-title":"Australian Journal of Basic and Applied Sciences","id":"ITEM-1","issue":"7","issued":{"date-parts":[["2013"]]},"page":"920-927","title":"Effect of post-harvest salicylic acid treatments on fruit quality of peach cv. \"Flordaprince\" during cold storage","type":"article-journal","volume":"7"},"uris":["http://www.mendeley.com/documents/?uuid=00cff15e-0afe-45ab-be9a-7c223da9d0c0"]}],"mendeley":{"formattedCitation":"(Awad, 2013)","manualFormatting":"(Awad, 2013)"},"properties":{"noteIndex":0},"schema":"https://github.com/citation-style-language/schema/raw/master/csl-citation.json"}</w:instrText>
      </w:r>
      <w:r w:rsidR="00B3016D" w:rsidRPr="0011372B">
        <w:rPr>
          <w:rStyle w:val="Rimandonotaapidipagina"/>
          <w:color w:val="000000" w:themeColor="text1"/>
        </w:rPr>
        <w:fldChar w:fldCharType="separate"/>
      </w:r>
      <w:r w:rsidR="00D45C73" w:rsidRPr="0011372B">
        <w:rPr>
          <w:bCs/>
          <w:noProof/>
          <w:color w:val="000000" w:themeColor="text1"/>
          <w:lang w:val="en-IE"/>
        </w:rPr>
        <w:t>(Awad</w:t>
      </w:r>
      <w:r w:rsidR="00606CA4" w:rsidRPr="0011372B">
        <w:rPr>
          <w:bCs/>
          <w:noProof/>
          <w:color w:val="000000" w:themeColor="text1"/>
          <w:lang w:val="en-IE"/>
        </w:rPr>
        <w:t xml:space="preserve">, </w:t>
      </w:r>
      <w:r w:rsidR="00D45C73" w:rsidRPr="0011372B">
        <w:rPr>
          <w:bCs/>
          <w:noProof/>
          <w:color w:val="000000" w:themeColor="text1"/>
          <w:lang w:val="en-IE"/>
        </w:rPr>
        <w:t>2013)</w:t>
      </w:r>
      <w:r w:rsidR="00B3016D" w:rsidRPr="0011372B">
        <w:rPr>
          <w:rStyle w:val="Rimandonotaapidipagina"/>
          <w:color w:val="000000" w:themeColor="text1"/>
        </w:rPr>
        <w:fldChar w:fldCharType="end"/>
      </w:r>
      <w:r w:rsidR="00606CA4" w:rsidRPr="0011372B">
        <w:rPr>
          <w:color w:val="000000" w:themeColor="text1"/>
        </w:rPr>
        <w:t xml:space="preserve">. </w:t>
      </w:r>
      <w:r w:rsidR="006E59C5" w:rsidRPr="0011372B">
        <w:rPr>
          <w:color w:val="000000" w:themeColor="text1"/>
        </w:rPr>
        <w:t>SA has been reported to play an important role in regulating of many physiological processes (</w:t>
      </w:r>
      <w:r w:rsidR="00B3016D" w:rsidRPr="0011372B">
        <w:rPr>
          <w:rStyle w:val="Rimandonotaapidipagina"/>
          <w:color w:val="000000" w:themeColor="text1"/>
        </w:rPr>
        <w:fldChar w:fldCharType="begin" w:fldLock="1"/>
      </w:r>
      <w:r w:rsidR="00CF70C7" w:rsidRPr="0011372B">
        <w:rPr>
          <w:color w:val="000000" w:themeColor="text1"/>
        </w:rPr>
        <w:instrText>ADDIN CSL_CITATION {"citationItems":[{"id":"ITEM-1","itemData":{"DOI":"10.1016/S2095-3119(16)61390-4","ISBN":"0023-6438","ISSN":"09255214","PMID":"10996248","abstract":"The antioxidant capacity (measured as oxygen radical absorbance capacity, ORAC), total anthocyanins, total phenolics, aroma compounds, and postharvest quality of strawberry fruit (Fragaria x ananassa cv. Chandler) kept at 0°C, 5°C, and 10°C were investigated. Strawberry fruit stored at 10°C or 5°C showed higher antioxidant capacity, total phenolics, and anthocyanins than those stored at 0°C. However, the postharvest life based on overall quality was longer at 0°C than at 5°C or 10°C. The production of aroma compounds was markedly influenced by storage time and temperature. Individual aroma compounds were affected differently. For example, ethyl hexanoate, hexyl acetate, methyl acetate, and butyl acetate increased, while 3-hexenyl acetate and methyl hexanoate decreased during storage. In general, strawberries stored at 10°C or 5°C produced higher levels of these volatiles than those stored at 0°C. In conclusion, strawberries stored at 0°C retained an acceptable overall quality for the longest storage duration; however, berries stored at temperatures higher than 0°C showed higher content of aroma compounds and antioxidant capacity during the postharvest period.","author":[{"dropping-particle":"","family":"Ayala-Zavala","given":"J. Fernando","non-dropping-particle":"","parse-names":false,"suffix":""},{"dropping-particle":"","family":"Wang","given":"Shiow Y.","non-dropping-particle":"","parse-names":false,"suffix":""},{"dropping-particle":"","family":"Wang","given":"Chien Y.","non-dropping-particle":"","parse-names":false,"suffix":""},{"dropping-particle":"","family":"González-Aguilar","given":"Gustavo A.","non-dropping-particle":"","parse-names":false,"suffix":""},{"dropping-particle":"","family":"Srivastava","given":"Manoj K.","non-dropping-particle":"","parse-names":false,"suffix":""},{"dropping-particle":"","family":"Dwivedi","given":"Upendra N.","non-dropping-particle":"","parse-names":false,"suffix":""},{"dropping-particle":"","family":"Wang","given":"Lijun","non-dropping-particle":"","parse-names":false,"suffix":""},{"dropping-particle":"","family":"Chen","given":"Shuangjian","non-dropping-particle":"","parse-names":false,"suffix":""},{"dropping-particle":"","family":"Kong","given":"Weifu","non-dropping-particle":"","parse-names":false,"suffix":""},{"dropping-particle":"","family":"Li","given":"Shaohua","non-dropping-particle":"","parse-names":false,"suffix":""},{"dropping-particle":"","family":"Archbold","given":"Douglas D.","non-dropping-particle":"","parse-names":false,"suffix":""},{"dropping-particle":"","family":"HAN","given":"Cong","non-dropping-particle":"","parse-names":false,"suffix":""},{"dropping-particle":"","family":"ZUO","given":"Jin hua","non-dropping-particle":"","parse-names":false,"suffix":""},{"dropping-particle":"","family":"WANG","given":"Qing","non-dropping-particle":"","parse-names":false,"suffix":""},{"dropping-particle":"","family":"DONG","given":"Hai zhou","non-dropping-particle":"","parse-names":false,"suffix":""},{"dropping-particle":"","family":"GAO","given":"Li pu","non-dropping-particle":"","parse-names":false,"suffix":""},{"dropping-particle":"","family":"Awad","given":"Rehab M","non-dropping-particle":"","parse-names":false,"suffix":""},{"dropping-particle":"","family":"Sayyari","given":"M.","non-dropping-particle":"","parse-names":false,"suffix":""},{"dropping-particle":"","family":"Valero","given":"D.","non-dropping-particle":"","parse-names":false,"suffix":""},{"dropping-particle":"","family":"Serrano","given":"M.","non-dropping-particle":"","parse-names":false,"suffix":""},{"dropping-particle":"","family":"Bayram","given":"Dilek","non-dropping-particle":"","parse-names":false,"suffix":""},{"dropping-particle":"","family":"Yigit","given":"Emel","non-dropping-particle":"","parse-names":false,"suffix":""},{"dropping-particle":"","family":"Akbulut","given":"Gulcin Beker","non-dropping-particle":"","parse-names":false,"suffix":""}],"container-title":"American Journal of Plant Sciences","id":"ITEM-1","issue":"3","issued":{"date-parts":[["2017"]]},"page":"637-642","publisher":"Chinese Academy of Agricultural Sciences","title":"Effect of post-harvest salicylic acid treatments on fruit quality of peach cv. \"Flordaprince\" during cold storage","type":"article-journal","volume":"16"},"uris":["http://www.mendeley.com/documents/?uuid=835c2ddd-e6db-463d-a658-15d593f9270c"]}],"mendeley":{"formattedCitation":"(Ayala-Zavala &lt;i&gt;et al.&lt;/i&gt;, 2017)","manualFormatting":"Zavala et al., 2017)","plainTextFormattedCitation":"(Ayala-Zavala et al., 2017)","previouslyFormattedCitation":"(Ayala-Zavala et al. 2017)"},"properties":{"noteIndex":0},"schema":"https://github.com/citation-style-language/schema/raw/master/csl-citation.json"}</w:instrText>
      </w:r>
      <w:r w:rsidR="00B3016D" w:rsidRPr="0011372B">
        <w:rPr>
          <w:rStyle w:val="Rimandonotaapidipagina"/>
          <w:color w:val="000000" w:themeColor="text1"/>
        </w:rPr>
        <w:fldChar w:fldCharType="separate"/>
      </w:r>
      <w:r w:rsidR="00B3016D" w:rsidRPr="0011372B">
        <w:rPr>
          <w:noProof/>
          <w:color w:val="000000" w:themeColor="text1"/>
        </w:rPr>
        <w:t>Zavala et al</w:t>
      </w:r>
      <w:r w:rsidR="00CF70C7" w:rsidRPr="0011372B">
        <w:rPr>
          <w:noProof/>
          <w:color w:val="000000" w:themeColor="text1"/>
        </w:rPr>
        <w:t>.,</w:t>
      </w:r>
      <w:r w:rsidR="00B3016D" w:rsidRPr="0011372B">
        <w:rPr>
          <w:noProof/>
          <w:color w:val="000000" w:themeColor="text1"/>
        </w:rPr>
        <w:t xml:space="preserve"> </w:t>
      </w:r>
      <w:r w:rsidR="00955F06" w:rsidRPr="0011372B">
        <w:rPr>
          <w:noProof/>
          <w:color w:val="000000" w:themeColor="text1"/>
        </w:rPr>
        <w:t>2017</w:t>
      </w:r>
      <w:r w:rsidR="00B3016D" w:rsidRPr="0011372B">
        <w:rPr>
          <w:noProof/>
          <w:color w:val="000000" w:themeColor="text1"/>
        </w:rPr>
        <w:t>)</w:t>
      </w:r>
      <w:r w:rsidR="00B3016D" w:rsidRPr="0011372B">
        <w:rPr>
          <w:rStyle w:val="Rimandonotaapidipagina"/>
          <w:color w:val="000000" w:themeColor="text1"/>
        </w:rPr>
        <w:fldChar w:fldCharType="end"/>
      </w:r>
      <w:r w:rsidR="00955F06" w:rsidRPr="0011372B">
        <w:rPr>
          <w:color w:val="000000" w:themeColor="text1"/>
        </w:rPr>
        <w:t xml:space="preserve"> </w:t>
      </w:r>
      <w:r w:rsidR="006E59C5" w:rsidRPr="0011372B">
        <w:rPr>
          <w:color w:val="000000" w:themeColor="text1"/>
        </w:rPr>
        <w:t xml:space="preserve">and in controlling quality losses of horticultural crops </w:t>
      </w:r>
      <w:r w:rsidR="00B52DD3" w:rsidRPr="0011372B">
        <w:rPr>
          <w:color w:val="000000" w:themeColor="text1"/>
        </w:rPr>
        <w:t xml:space="preserve">in post - </w:t>
      </w:r>
      <w:r w:rsidR="006E59C5" w:rsidRPr="0011372B">
        <w:rPr>
          <w:color w:val="000000" w:themeColor="text1"/>
        </w:rPr>
        <w:t>harvest</w:t>
      </w:r>
      <w:r w:rsidR="004D7115" w:rsidRPr="0011372B">
        <w:rPr>
          <w:color w:val="000000" w:themeColor="text1"/>
        </w:rPr>
        <w:t xml:space="preserve">. </w:t>
      </w:r>
      <w:r w:rsidR="006E59C5" w:rsidRPr="0011372B">
        <w:rPr>
          <w:color w:val="000000" w:themeColor="text1"/>
        </w:rPr>
        <w:t>In addition</w:t>
      </w:r>
      <w:r w:rsidR="00B52DD3" w:rsidRPr="0011372B">
        <w:rPr>
          <w:color w:val="000000" w:themeColor="text1"/>
        </w:rPr>
        <w:t xml:space="preserve"> it </w:t>
      </w:r>
      <w:r w:rsidR="008D299A" w:rsidRPr="0011372B">
        <w:rPr>
          <w:color w:val="000000" w:themeColor="text1"/>
        </w:rPr>
        <w:t xml:space="preserve">has been </w:t>
      </w:r>
      <w:r w:rsidR="00B52DD3" w:rsidRPr="0011372B">
        <w:rPr>
          <w:color w:val="000000" w:themeColor="text1"/>
        </w:rPr>
        <w:t>demonstrate</w:t>
      </w:r>
      <w:r w:rsidR="008D299A" w:rsidRPr="0011372B">
        <w:rPr>
          <w:color w:val="000000" w:themeColor="text1"/>
        </w:rPr>
        <w:t>d</w:t>
      </w:r>
      <w:r w:rsidR="00B52DD3" w:rsidRPr="0011372B">
        <w:rPr>
          <w:color w:val="000000" w:themeColor="text1"/>
        </w:rPr>
        <w:t xml:space="preserve"> </w:t>
      </w:r>
      <w:r w:rsidR="00B52DD3">
        <w:t>that</w:t>
      </w:r>
      <w:r w:rsidR="006E59C5" w:rsidRPr="006E59C5">
        <w:t xml:space="preserve"> the use of SA in pre- and post-harvest period has been effective in maintenance of quality and extension of storage life for some horticultural crops such as banana </w:t>
      </w:r>
      <w:r w:rsidR="006E59C5" w:rsidRPr="00535030">
        <w:t>(</w:t>
      </w:r>
      <w:r w:rsidR="006E59C5" w:rsidRPr="0011372B">
        <w:rPr>
          <w:color w:val="000000" w:themeColor="text1"/>
        </w:rPr>
        <w:t xml:space="preserve">Srivastava </w:t>
      </w:r>
      <w:r w:rsidR="00535030" w:rsidRPr="0011372B">
        <w:rPr>
          <w:color w:val="000000" w:themeColor="text1"/>
        </w:rPr>
        <w:t xml:space="preserve">and </w:t>
      </w:r>
      <w:r w:rsidR="006E59C5" w:rsidRPr="0011372B">
        <w:rPr>
          <w:color w:val="000000" w:themeColor="text1"/>
        </w:rPr>
        <w:t xml:space="preserve">Dwivedi 2000), peach </w:t>
      </w:r>
      <w:r w:rsidR="00B3016D" w:rsidRPr="0011372B">
        <w:rPr>
          <w:rStyle w:val="Rimandonotaapidipagina"/>
          <w:color w:val="000000" w:themeColor="text1"/>
        </w:rPr>
        <w:fldChar w:fldCharType="begin" w:fldLock="1"/>
      </w:r>
      <w:r w:rsidR="00D45C73" w:rsidRPr="0011372B">
        <w:rPr>
          <w:color w:val="000000" w:themeColor="text1"/>
        </w:rPr>
        <w:instrText xml:space="preserve">ADDIN CSL_CITATION {"citationItems":[{"id":"ITEM-1","itemData":{"DOI":"10.1016/j.postharvbio.2006.04.010","ISBN":"09255214","ISSN":"09255214","PMID":"20564836","abstract":"Peach [Prunus persica (L.) Batch. cv. Beijing 24] fruit at commercial maturity were immersed in 0, 0.35, 0.7 and 1 mM salicylic acid (SA) solution for 5 min, stored at 0 °C for 28 days, then moved to 20 °C for 3 days to simulate shelf life. Chilling injury (CI) index, decay index (DI), firmness and thiobarbituric acid-reactive-substance (TBARS) content of fruit were measured at the end of shelf life. The results showed that only 1 mM SA significantly maintained higher firmness and lower CI, DI, and TBARS content of fruit compared with the control. Studies were then conducted to determine if 1 mM SA alleviated chilling injury by influencing antioxidant systems and/or heat shock proteins of the fruit. Reduced-to-oxidized ascorbate ratio (AsA/DHAsA) in 1 mM SA-treated-fruit was 39%, 61%, and 55% higher than that in controls at the midpoint of storage, the end of storage and after 3 days of shelf life, respectively. The reduced-to-oxidized glutathione ratio (GSH/GSSG) in SA-treated-fruit was 68% higher than that in controls at the midpoint of storage. Ascorbate peroxidase and glutathione reductase activities in SA-treated-fruit were significantly greater than those in controls during cold storage. Before SA treatment, heat shock protein 101 (HSP101) was not found in peach fruit, nor was it found in control fruit during or after cold storage. In contrast, at the midpoint of cold storage, HSP101 was expressed strongly in SA-treated-fruit. At the end of storage and after 3 days of shelf life, expression of HSP101 was weak. In both SA-treated and control fruit, expression of HSP73 was found before, during, </w:instrText>
      </w:r>
      <w:r w:rsidR="00D45C73" w:rsidRPr="0011372B">
        <w:rPr>
          <w:color w:val="000000" w:themeColor="text1"/>
          <w:lang w:val="it-IT"/>
        </w:rPr>
        <w:instrText>and after cold storage, but expression in SA-treated-fruit was stronger than that in control fruit. The effect of SA on alleviating chilling injury of peaches during cold storage may be attributed to its ability to induce antioxidant systems and HSPs. © 2006 Elsevier B.V. All rights reserved.","author":[{"dropping-particle":"","family":"Wang","given":"Lijun","non-dropping-particle":"","parse-names":false,"suffix":""},{"dropping-particle":"","family":"Chen","given":"Shuangjian","non-dropping-particle":"","parse-names":false,"suffix":""},{"dropping-particle":"","family":"Kong","given":"Weifu","non-dropping-particle":"","parse-names":false,"suffix":""},{"dropping-particle":"","family":"Li","given":"Shaohua","non-dropping-particle":"","parse-names":false,"suffix":""},{"dropping-particle":"","family":"Archbold","given":"Douglas D.","non-dropping-particle":"","parse-names":false,"suffix":""}],"container-title":"Postharvest Biology and Technology","id":"ITEM-1","issue":"3","issued":{"date-parts":[["2006"]]},"page":"244-251","title":"Salicylic acid pretreatment alleviates chilling injury and affects the antioxidant system and heat shock proteins of peaches during cold storage","type":"article-journal","volume":"41"},"uris":["http://www.mendeley.com/documents/?uuid=ad337677-6f6b-4e6a-8976-a2298197e8d4"]}],"mendeley":{"formattedCitation":"(Wang &lt;i&gt;et al.&lt;/i&gt;, 2006)"},"properties":{"noteIndex":0},"schema":"https://github.com/citation-style-language/schema/raw/master/csl-citation.json"}</w:instrText>
      </w:r>
      <w:r w:rsidR="00B3016D" w:rsidRPr="0011372B">
        <w:rPr>
          <w:rStyle w:val="Rimandonotaapidipagina"/>
          <w:color w:val="000000" w:themeColor="text1"/>
        </w:rPr>
        <w:fldChar w:fldCharType="separate"/>
      </w:r>
      <w:r w:rsidR="00D45C73" w:rsidRPr="0011372B">
        <w:rPr>
          <w:bCs/>
          <w:noProof/>
          <w:color w:val="000000" w:themeColor="text1"/>
          <w:lang w:val="it-IT"/>
        </w:rPr>
        <w:t>(Wang et al., 2006)</w:t>
      </w:r>
      <w:r w:rsidR="00B3016D" w:rsidRPr="0011372B">
        <w:rPr>
          <w:rStyle w:val="Rimandonotaapidipagina"/>
          <w:color w:val="000000" w:themeColor="text1"/>
        </w:rPr>
        <w:fldChar w:fldCharType="end"/>
      </w:r>
      <w:r w:rsidR="00955F06" w:rsidRPr="0011372B">
        <w:rPr>
          <w:color w:val="000000" w:themeColor="text1"/>
          <w:lang w:val="it-IT"/>
        </w:rPr>
        <w:t>,</w:t>
      </w:r>
      <w:r w:rsidR="006E59C5" w:rsidRPr="0011372B">
        <w:rPr>
          <w:color w:val="000000" w:themeColor="text1"/>
          <w:lang w:val="it-IT"/>
        </w:rPr>
        <w:t xml:space="preserve"> </w:t>
      </w:r>
      <w:proofErr w:type="spellStart"/>
      <w:r w:rsidR="006E59C5" w:rsidRPr="0011372B">
        <w:rPr>
          <w:color w:val="000000" w:themeColor="text1"/>
          <w:lang w:val="it-IT"/>
        </w:rPr>
        <w:t>pomegranate</w:t>
      </w:r>
      <w:proofErr w:type="spellEnd"/>
      <w:r w:rsidR="006E59C5" w:rsidRPr="0011372B">
        <w:rPr>
          <w:color w:val="000000" w:themeColor="text1"/>
          <w:lang w:val="it-IT"/>
        </w:rPr>
        <w:t xml:space="preserve"> </w:t>
      </w:r>
      <w:r w:rsidR="00B3016D" w:rsidRPr="0011372B">
        <w:rPr>
          <w:rStyle w:val="Rimandonotaapidipagina"/>
          <w:color w:val="000000" w:themeColor="text1"/>
        </w:rPr>
        <w:fldChar w:fldCharType="begin" w:fldLock="1"/>
      </w:r>
      <w:r w:rsidR="00D45C73" w:rsidRPr="0011372B">
        <w:rPr>
          <w:color w:val="000000" w:themeColor="text1"/>
          <w:lang w:val="it-IT"/>
        </w:rPr>
        <w:instrText>ADDIN CSL_CITATION {"citationItems":[{"id":"ITEM-1","itemData":{"DOI":"10.17660/ActaHortic.2012.943.8","ISBN":"9789066050204","ISSN":"22317546","abstract":"© All Rights Reserved. This research was conducted for assessment of salicylic acid (SA) effects on functional properties of pomegranate during cold storage. Pomegranate fruits were dipped in 2 mM solution of SA and stored at 2°C for 90 days. Every month, samples were taken and further stored 3 days at 20°C for shelf life study. SA-treated fruits were compared with chilled and non-chilled fruits (stored at 2 and 10°C, respectively). Arils of treated fruits exhibited higher antioxidant activity (both in hydrophilic and lipophilic fractions) than chilled and non-chilled fruits. The chilling index, ion leakage and respiration rate of treated fruits were lower than chilled fruits but higher than non-chilled fruits. Severity of damage in control fruit was related to softening and loss of fatty acids with a concomitant reduction in the ratio of unsaturated/saturated fatty acids during storage. These chilling injury symptoms reduced in SA-treated pomegranates.","author":[{"dropping-particle":"","family":"Sayyari","given":"M.","non-dropping-particle":"","parse-names":false,"suffix":""},{"dropping-particle":"","family":"Valero","given":"D.","non-dropping-particle":"","parse-names":false,"suffix":""},{"dropping-particle":"","family":"Serrano","given":"M.","non-dropping-particle":"","parse-names":false,"suffix":""}],"container-title":"International Food Research Journal","id":"ITEM-1","issue":"2","issued":{"date-parts":[["2017"]]},"page":"637-642","title":"Pre-storage salicylic acid treatment affects functional properties, unsaturated/saturated fatty acids ratio and chilling resistance of pomegranate during cold storage","type":"article-journal","volume":"24"},"uris":["http://www.mendeley.com/documents/?uuid=e60b5f72-6ed7-4ddf-9f3a-a251f5b12463"]}],"mendeley":{"formattedCitation":"(Sayyari, Valero and Serrano, 2017)"},"properties":{"noteIndex":0},"schema":"https://github.com/citation-style-language/schema/raw/master/csl-citation.json"}</w:instrText>
      </w:r>
      <w:r w:rsidR="00B3016D" w:rsidRPr="0011372B">
        <w:rPr>
          <w:rStyle w:val="Rimandonotaapidipagina"/>
          <w:color w:val="000000" w:themeColor="text1"/>
        </w:rPr>
        <w:fldChar w:fldCharType="separate"/>
      </w:r>
      <w:r w:rsidR="00D45C73" w:rsidRPr="0011372B">
        <w:rPr>
          <w:bCs/>
          <w:noProof/>
          <w:color w:val="000000" w:themeColor="text1"/>
          <w:lang w:val="it-IT"/>
        </w:rPr>
        <w:t>(Sayyari</w:t>
      </w:r>
      <w:r w:rsidR="00CF70C7" w:rsidRPr="0011372B">
        <w:rPr>
          <w:bCs/>
          <w:noProof/>
          <w:color w:val="000000" w:themeColor="text1"/>
          <w:lang w:val="it-IT"/>
        </w:rPr>
        <w:t xml:space="preserve"> et al., </w:t>
      </w:r>
      <w:r w:rsidR="00D45C73" w:rsidRPr="0011372B">
        <w:rPr>
          <w:bCs/>
          <w:noProof/>
          <w:color w:val="000000" w:themeColor="text1"/>
          <w:lang w:val="it-IT"/>
        </w:rPr>
        <w:t>2017)</w:t>
      </w:r>
      <w:r w:rsidR="00B3016D" w:rsidRPr="0011372B">
        <w:rPr>
          <w:rStyle w:val="Rimandonotaapidipagina"/>
          <w:color w:val="000000" w:themeColor="text1"/>
        </w:rPr>
        <w:fldChar w:fldCharType="end"/>
      </w:r>
      <w:r w:rsidR="00A65402" w:rsidRPr="0011372B">
        <w:rPr>
          <w:color w:val="000000" w:themeColor="text1"/>
          <w:lang w:val="it-IT"/>
        </w:rPr>
        <w:t xml:space="preserve"> </w:t>
      </w:r>
      <w:r w:rsidR="00E9402C" w:rsidRPr="0011372B">
        <w:rPr>
          <w:color w:val="000000" w:themeColor="text1"/>
          <w:lang w:val="it-IT"/>
        </w:rPr>
        <w:t xml:space="preserve">and </w:t>
      </w:r>
      <w:proofErr w:type="spellStart"/>
      <w:r w:rsidR="00B95AFE" w:rsidRPr="0011372B">
        <w:rPr>
          <w:color w:val="000000" w:themeColor="text1"/>
          <w:lang w:val="it-IT"/>
        </w:rPr>
        <w:t>Chinese</w:t>
      </w:r>
      <w:proofErr w:type="spellEnd"/>
      <w:r w:rsidR="00B95AFE" w:rsidRPr="0011372B">
        <w:rPr>
          <w:color w:val="000000" w:themeColor="text1"/>
          <w:lang w:val="it-IT"/>
        </w:rPr>
        <w:t xml:space="preserve"> </w:t>
      </w:r>
      <w:proofErr w:type="spellStart"/>
      <w:r w:rsidR="00B95AFE" w:rsidRPr="0011372B">
        <w:rPr>
          <w:color w:val="000000" w:themeColor="text1"/>
          <w:lang w:val="it-IT"/>
        </w:rPr>
        <w:t>chestnut</w:t>
      </w:r>
      <w:proofErr w:type="spellEnd"/>
      <w:r w:rsidR="00B95AFE" w:rsidRPr="0011372B">
        <w:rPr>
          <w:color w:val="000000" w:themeColor="text1"/>
          <w:lang w:val="it-IT"/>
        </w:rPr>
        <w:t xml:space="preserve"> (Zh</w:t>
      </w:r>
      <w:r w:rsidR="00A10E63" w:rsidRPr="0011372B">
        <w:rPr>
          <w:color w:val="000000" w:themeColor="text1"/>
          <w:lang w:val="it-IT"/>
        </w:rPr>
        <w:t>o</w:t>
      </w:r>
      <w:r w:rsidR="00B95AFE" w:rsidRPr="0011372B">
        <w:rPr>
          <w:color w:val="000000" w:themeColor="text1"/>
          <w:lang w:val="it-IT"/>
        </w:rPr>
        <w:t xml:space="preserve">u et </w:t>
      </w:r>
      <w:r w:rsidR="00B95AFE" w:rsidRPr="00840628">
        <w:rPr>
          <w:lang w:val="it-IT"/>
        </w:rPr>
        <w:t>al., 2015)</w:t>
      </w:r>
      <w:r w:rsidR="006E59C5" w:rsidRPr="00840628">
        <w:rPr>
          <w:lang w:val="it-IT"/>
        </w:rPr>
        <w:t>.</w:t>
      </w:r>
      <w:r w:rsidR="00380B89" w:rsidRPr="00840628">
        <w:rPr>
          <w:lang w:val="it-IT"/>
        </w:rPr>
        <w:t xml:space="preserve"> </w:t>
      </w:r>
      <w:r w:rsidR="00B52DD3" w:rsidRPr="00AD4D8B">
        <w:t>For thi</w:t>
      </w:r>
      <w:r w:rsidR="00B52DD3">
        <w:t>s purpose</w:t>
      </w:r>
      <w:r w:rsidR="008D299A">
        <w:t>,</w:t>
      </w:r>
      <w:r w:rsidR="00B52DD3">
        <w:t xml:space="preserve"> t</w:t>
      </w:r>
      <w:r w:rsidR="00380B89" w:rsidRPr="000C500D">
        <w:t>he aim of this work was (</w:t>
      </w:r>
      <w:proofErr w:type="spellStart"/>
      <w:r w:rsidR="00380B89" w:rsidRPr="000C500D">
        <w:t>i</w:t>
      </w:r>
      <w:proofErr w:type="spellEnd"/>
      <w:r w:rsidR="00380B89" w:rsidRPr="000C500D">
        <w:t>) to investigate the decay kinetics of minimally processed iceberg salad following polyphenols and browning index evolution at different temperature (4</w:t>
      </w:r>
      <w:r w:rsidR="004E7EB4">
        <w:t xml:space="preserve"> </w:t>
      </w:r>
      <w:r w:rsidR="00380B89" w:rsidRPr="000C500D">
        <w:t>°C, 8</w:t>
      </w:r>
      <w:r w:rsidR="004E7EB4">
        <w:t xml:space="preserve"> </w:t>
      </w:r>
      <w:r w:rsidR="00380B89" w:rsidRPr="000C500D">
        <w:t>°C, 12</w:t>
      </w:r>
      <w:r w:rsidR="004E7EB4">
        <w:t xml:space="preserve"> </w:t>
      </w:r>
      <w:r w:rsidR="00380B89" w:rsidRPr="000C500D">
        <w:t>°C); (ii) to evaluate the effect of salicylic acid on enzymatic browning</w:t>
      </w:r>
      <w:r w:rsidR="00380B89" w:rsidRPr="00D5522D">
        <w:rPr>
          <w:lang w:val="en-GB"/>
        </w:rPr>
        <w:t>.</w:t>
      </w:r>
      <w:r w:rsidR="00600535" w:rsidRPr="00FA5F5F">
        <w:rPr>
          <w:lang w:val="en-GB"/>
        </w:rPr>
        <w:t xml:space="preserve"> </w:t>
      </w:r>
    </w:p>
    <w:p w14:paraId="155EDB21" w14:textId="77777777" w:rsidR="00F84C80" w:rsidRDefault="00D83FDC" w:rsidP="00F84C80">
      <w:pPr>
        <w:pStyle w:val="CETHeading1"/>
      </w:pPr>
      <w:r>
        <w:t>Material</w:t>
      </w:r>
      <w:r w:rsidR="00380B89">
        <w:t>s</w:t>
      </w:r>
      <w:r>
        <w:t xml:space="preserve"> and methods</w:t>
      </w:r>
    </w:p>
    <w:p w14:paraId="49EF8B1F" w14:textId="37C1BBD8" w:rsidR="00B95AFE" w:rsidRPr="000307D1" w:rsidRDefault="000307D1" w:rsidP="000307D1">
      <w:pPr>
        <w:pStyle w:val="CETheadingx"/>
      </w:pPr>
      <w:r w:rsidRPr="000307D1">
        <w:t>2.1. Materials</w:t>
      </w:r>
    </w:p>
    <w:p w14:paraId="27C79CCA" w14:textId="7E9C800D" w:rsidR="00B95AFE" w:rsidRPr="00352AFC" w:rsidRDefault="00B95AFE" w:rsidP="00B95AFE">
      <w:pPr>
        <w:pStyle w:val="CETBodytext"/>
      </w:pPr>
      <w:r w:rsidRPr="00352AFC">
        <w:t>Iceberg lettuce (</w:t>
      </w:r>
      <w:proofErr w:type="spellStart"/>
      <w:r w:rsidRPr="00352AFC">
        <w:rPr>
          <w:i/>
        </w:rPr>
        <w:t>Lactuca</w:t>
      </w:r>
      <w:proofErr w:type="spellEnd"/>
      <w:r w:rsidRPr="00352AFC">
        <w:rPr>
          <w:i/>
        </w:rPr>
        <w:t xml:space="preserve"> sativa L.)</w:t>
      </w:r>
      <w:r w:rsidRPr="00352AFC">
        <w:t xml:space="preserve"> was purchased from a local farm and brought to the laboratory within 1 h of the experiment. Sodium bicarbonate, </w:t>
      </w:r>
      <w:proofErr w:type="spellStart"/>
      <w:r w:rsidRPr="00352AFC">
        <w:t>Folin-Ciocalteu</w:t>
      </w:r>
      <w:proofErr w:type="spellEnd"/>
      <w:r w:rsidRPr="00352AFC">
        <w:t xml:space="preserve"> reagent, trichloroacetic acid (TCA) (≥99%), salicylic acid (≥99%), citric acid (99%) were purchased from Sigma-Aldrich Chemical Co. (St. Louis, MO, USA). All chemicals used for analyses were of analytical grade. </w:t>
      </w:r>
    </w:p>
    <w:p w14:paraId="73093BCE" w14:textId="66ABA6A7" w:rsidR="00F84C80" w:rsidRPr="00F84C80" w:rsidRDefault="000307D1" w:rsidP="000307D1">
      <w:pPr>
        <w:pStyle w:val="CETheadingx"/>
        <w:rPr>
          <w:sz w:val="20"/>
        </w:rPr>
      </w:pPr>
      <w:r>
        <w:rPr>
          <w:lang w:eastAsia="it-IT"/>
        </w:rPr>
        <w:t xml:space="preserve">2.2. </w:t>
      </w:r>
      <w:r w:rsidR="00F84C80" w:rsidRPr="00F84C80">
        <w:rPr>
          <w:lang w:eastAsia="it-IT"/>
        </w:rPr>
        <w:t xml:space="preserve">Sample </w:t>
      </w:r>
      <w:r w:rsidR="00064719">
        <w:rPr>
          <w:lang w:eastAsia="it-IT"/>
        </w:rPr>
        <w:t>p</w:t>
      </w:r>
      <w:r w:rsidR="00F84C80" w:rsidRPr="00F84C80">
        <w:rPr>
          <w:lang w:eastAsia="it-IT"/>
        </w:rPr>
        <w:t xml:space="preserve">reparation, </w:t>
      </w:r>
      <w:r w:rsidR="00064719">
        <w:rPr>
          <w:lang w:eastAsia="it-IT"/>
        </w:rPr>
        <w:t>t</w:t>
      </w:r>
      <w:r w:rsidR="00F84C80" w:rsidRPr="00F84C80">
        <w:rPr>
          <w:lang w:eastAsia="it-IT"/>
        </w:rPr>
        <w:t xml:space="preserve">reatments and </w:t>
      </w:r>
      <w:r w:rsidR="00064719">
        <w:rPr>
          <w:lang w:eastAsia="it-IT"/>
        </w:rPr>
        <w:t>st</w:t>
      </w:r>
      <w:r w:rsidR="00F84C80" w:rsidRPr="00F84C80">
        <w:rPr>
          <w:lang w:eastAsia="it-IT"/>
        </w:rPr>
        <w:t xml:space="preserve">orage </w:t>
      </w:r>
      <w:r w:rsidR="00064719">
        <w:rPr>
          <w:lang w:eastAsia="it-IT"/>
        </w:rPr>
        <w:t>c</w:t>
      </w:r>
      <w:r w:rsidR="00F84C80" w:rsidRPr="00F84C80">
        <w:rPr>
          <w:lang w:eastAsia="it-IT"/>
        </w:rPr>
        <w:t xml:space="preserve">onditions </w:t>
      </w:r>
    </w:p>
    <w:p w14:paraId="44483E3A" w14:textId="63696C65" w:rsidR="008F6A20" w:rsidRPr="008F6A20" w:rsidRDefault="00B95AFE" w:rsidP="008F6A20">
      <w:pPr>
        <w:pStyle w:val="CETBodytext"/>
      </w:pPr>
      <w:r>
        <w:t xml:space="preserve">The external leaves of lettuces were </w:t>
      </w:r>
      <w:r w:rsidR="00D932F4">
        <w:t>remov</w:t>
      </w:r>
      <w:r>
        <w:t>ed and t</w:t>
      </w:r>
      <w:r w:rsidR="008F6A20" w:rsidRPr="008F6A20">
        <w:t xml:space="preserve">he remain leaves were washed roughly under a tap </w:t>
      </w:r>
      <w:r w:rsidR="00CA2A49">
        <w:t xml:space="preserve">water </w:t>
      </w:r>
      <w:r w:rsidR="008F6A20" w:rsidRPr="008F6A20">
        <w:t>(8</w:t>
      </w:r>
      <w:r w:rsidR="00840A6D">
        <w:t xml:space="preserve"> </w:t>
      </w:r>
      <w:r w:rsidR="008F6A20" w:rsidRPr="008F6A20">
        <w:t>±</w:t>
      </w:r>
      <w:r w:rsidR="00840A6D">
        <w:t xml:space="preserve"> </w:t>
      </w:r>
      <w:r w:rsidR="008F6A20" w:rsidRPr="008F6A20">
        <w:t>2°C) to remove any visible soil</w:t>
      </w:r>
      <w:r>
        <w:t>. The leaves were</w:t>
      </w:r>
      <w:r w:rsidR="008F6A20" w:rsidRPr="008F6A20">
        <w:t xml:space="preserve"> cut into </w:t>
      </w:r>
      <w:r w:rsidR="00817F51">
        <w:t>3</w:t>
      </w:r>
      <w:r w:rsidR="008F6A20" w:rsidRPr="008F6A20">
        <w:t>0 x 30 mm pieces, using a stainless-steel knife. The pieces were dipped into SA solution (2</w:t>
      </w:r>
      <w:r w:rsidR="004A272E">
        <w:t xml:space="preserve"> </w:t>
      </w:r>
      <w:r w:rsidR="008F6A20" w:rsidRPr="008F6A20">
        <w:t xml:space="preserve">mM) </w:t>
      </w:r>
      <w:r w:rsidR="004A272E">
        <w:t xml:space="preserve">or in </w:t>
      </w:r>
      <w:r w:rsidR="004A272E" w:rsidRPr="008F6A20">
        <w:t xml:space="preserve">distilled water </w:t>
      </w:r>
      <w:r w:rsidR="004A272E">
        <w:t xml:space="preserve">(control) </w:t>
      </w:r>
      <w:r w:rsidR="008F6A20" w:rsidRPr="008F6A20">
        <w:t>for 60</w:t>
      </w:r>
      <w:r w:rsidR="004A272E">
        <w:t xml:space="preserve"> </w:t>
      </w:r>
      <w:r w:rsidR="008F6A20" w:rsidRPr="008F6A20">
        <w:t>s</w:t>
      </w:r>
      <w:r w:rsidR="004A272E">
        <w:t>ec</w:t>
      </w:r>
      <w:r w:rsidR="008F6A20" w:rsidRPr="008F6A20">
        <w:t xml:space="preserve"> at 10°C </w:t>
      </w:r>
      <w:r w:rsidR="004A272E">
        <w:t>and</w:t>
      </w:r>
      <w:r w:rsidR="008F6A20" w:rsidRPr="008F6A20">
        <w:t xml:space="preserve"> then rinsed for 60</w:t>
      </w:r>
      <w:r w:rsidR="004A272E">
        <w:t xml:space="preserve"> </w:t>
      </w:r>
      <w:r w:rsidR="008F6A20" w:rsidRPr="008F6A20">
        <w:t>s</w:t>
      </w:r>
      <w:r w:rsidR="004A272E">
        <w:t>ec</w:t>
      </w:r>
      <w:r w:rsidR="008F6A20" w:rsidRPr="008F6A20">
        <w:t xml:space="preserve"> with distilled water and </w:t>
      </w:r>
      <w:r w:rsidR="00CA2A49">
        <w:t xml:space="preserve">allowed to drip </w:t>
      </w:r>
      <w:r w:rsidR="008F6A20" w:rsidRPr="008F6A20">
        <w:t xml:space="preserve">with a manual centrifuge for </w:t>
      </w:r>
      <w:r w:rsidR="004A272E">
        <w:t>2</w:t>
      </w:r>
      <w:r w:rsidR="008F6A20" w:rsidRPr="008F6A20">
        <w:t xml:space="preserve"> minutes. </w:t>
      </w:r>
    </w:p>
    <w:p w14:paraId="22882298" w14:textId="53E3560A" w:rsidR="00CA2A49" w:rsidRDefault="00CA2A49" w:rsidP="00CA2A49">
      <w:pPr>
        <w:pStyle w:val="CETBodytext"/>
      </w:pPr>
      <w:r>
        <w:t xml:space="preserve">All the </w:t>
      </w:r>
      <w:r w:rsidR="00B95AFE">
        <w:t>s</w:t>
      </w:r>
      <w:r w:rsidR="00B95AFE" w:rsidRPr="006A29F9">
        <w:t>ample</w:t>
      </w:r>
      <w:r w:rsidR="00B95AFE">
        <w:t>s</w:t>
      </w:r>
      <w:r w:rsidR="00B95AFE" w:rsidRPr="006A29F9">
        <w:t xml:space="preserve"> </w:t>
      </w:r>
      <w:r w:rsidR="006A29F9">
        <w:t>were</w:t>
      </w:r>
      <w:r w:rsidR="006A29F9" w:rsidRPr="006A29F9">
        <w:t xml:space="preserve"> conditioned </w:t>
      </w:r>
      <w:r w:rsidR="00B95AFE">
        <w:t xml:space="preserve">in air in refrigerated cell </w:t>
      </w:r>
      <w:r w:rsidR="006A29F9" w:rsidRPr="006A29F9">
        <w:t>at temperatures of 4 °C, 8 °C, 12 °C for variable times</w:t>
      </w:r>
      <w:r>
        <w:t>.</w:t>
      </w:r>
      <w:r w:rsidR="00B95AFE">
        <w:t xml:space="preserve"> </w:t>
      </w:r>
      <w:r w:rsidR="00841A6C" w:rsidRPr="0011372B">
        <w:rPr>
          <w:color w:val="000000" w:themeColor="text1"/>
        </w:rPr>
        <w:t xml:space="preserve">To avoid polyphenols oxidation due cutting and </w:t>
      </w:r>
      <w:r w:rsidR="008D299A" w:rsidRPr="0011372B">
        <w:rPr>
          <w:color w:val="000000" w:themeColor="text1"/>
        </w:rPr>
        <w:t>shredding</w:t>
      </w:r>
      <w:r w:rsidR="00841A6C" w:rsidRPr="0011372B">
        <w:rPr>
          <w:color w:val="000000" w:themeColor="text1"/>
        </w:rPr>
        <w:t xml:space="preserve">, samples were rapidly frozen before each analysis, by plunging into liquid nitrogen. </w:t>
      </w:r>
      <w:r w:rsidR="00B95AFE">
        <w:t xml:space="preserve">At different time interval the total phenol content and the browning index were determined. </w:t>
      </w:r>
    </w:p>
    <w:p w14:paraId="276266A2" w14:textId="07A8DFAC" w:rsidR="002B44D3" w:rsidRPr="009D51D2" w:rsidRDefault="000307D1" w:rsidP="000307D1">
      <w:pPr>
        <w:pStyle w:val="CETheadingx"/>
      </w:pPr>
      <w:r>
        <w:t xml:space="preserve">2.2.1. </w:t>
      </w:r>
      <w:r w:rsidR="002B44D3" w:rsidRPr="009D51D2">
        <w:t>Total phenol content determination</w:t>
      </w:r>
    </w:p>
    <w:p w14:paraId="78434F11" w14:textId="536893F3" w:rsidR="004A272E" w:rsidRPr="002B44D3" w:rsidRDefault="007458B9" w:rsidP="004A272E">
      <w:pPr>
        <w:pStyle w:val="CETBodytext"/>
        <w:rPr>
          <w:lang w:val="en-GB"/>
        </w:rPr>
      </w:pPr>
      <w:r>
        <w:rPr>
          <w:lang w:val="en-GB"/>
        </w:rPr>
        <w:t>The total phenol content (TPC) of minimally procced salad was</w:t>
      </w:r>
      <w:r w:rsidR="00AA7947">
        <w:rPr>
          <w:lang w:val="en-GB"/>
        </w:rPr>
        <w:t xml:space="preserve"> determined </w:t>
      </w:r>
      <w:r w:rsidR="004A272E">
        <w:rPr>
          <w:lang w:val="en-GB"/>
        </w:rPr>
        <w:t>according to a</w:t>
      </w:r>
      <w:r w:rsidR="004A272E" w:rsidRPr="009D51D2">
        <w:rPr>
          <w:lang w:val="en-GB"/>
        </w:rPr>
        <w:t xml:space="preserve"> </w:t>
      </w:r>
      <w:proofErr w:type="spellStart"/>
      <w:r w:rsidR="004A272E">
        <w:rPr>
          <w:lang w:val="en-GB"/>
        </w:rPr>
        <w:t>Folin-Ciocalteu</w:t>
      </w:r>
      <w:proofErr w:type="spellEnd"/>
      <w:r w:rsidR="004A272E">
        <w:rPr>
          <w:lang w:val="en-GB"/>
        </w:rPr>
        <w:t xml:space="preserve"> </w:t>
      </w:r>
      <w:r w:rsidR="004A272E" w:rsidRPr="009D51D2">
        <w:rPr>
          <w:lang w:val="en-GB"/>
        </w:rPr>
        <w:t xml:space="preserve">method </w:t>
      </w:r>
      <w:r w:rsidR="004A272E">
        <w:rPr>
          <w:lang w:val="en-GB"/>
        </w:rPr>
        <w:t xml:space="preserve">as described by </w:t>
      </w:r>
      <w:r w:rsidR="004A272E" w:rsidRPr="00535030">
        <w:rPr>
          <w:lang w:val="en-GB"/>
        </w:rPr>
        <w:t xml:space="preserve">Singleton </w:t>
      </w:r>
      <w:r w:rsidR="00535030">
        <w:rPr>
          <w:lang w:val="en-GB"/>
        </w:rPr>
        <w:t xml:space="preserve">and </w:t>
      </w:r>
      <w:r w:rsidR="004A272E" w:rsidRPr="00535030">
        <w:rPr>
          <w:lang w:val="en-GB"/>
        </w:rPr>
        <w:t xml:space="preserve">Rossi </w:t>
      </w:r>
      <w:r w:rsidR="008D299A">
        <w:rPr>
          <w:lang w:val="en-GB"/>
        </w:rPr>
        <w:t>(</w:t>
      </w:r>
      <w:r w:rsidR="004A272E" w:rsidRPr="00535030">
        <w:rPr>
          <w:lang w:val="en-GB"/>
        </w:rPr>
        <w:t>1965)</w:t>
      </w:r>
      <w:r w:rsidR="00441A45" w:rsidRPr="00535030">
        <w:rPr>
          <w:lang w:val="en-GB"/>
        </w:rPr>
        <w:t>.</w:t>
      </w:r>
      <w:r w:rsidR="00441A45">
        <w:rPr>
          <w:lang w:val="en-GB"/>
        </w:rPr>
        <w:t xml:space="preserve"> </w:t>
      </w:r>
      <w:r w:rsidR="00AA7947">
        <w:rPr>
          <w:lang w:val="en-GB"/>
        </w:rPr>
        <w:t xml:space="preserve">Briefly, </w:t>
      </w:r>
      <w:r>
        <w:rPr>
          <w:lang w:val="en-GB"/>
        </w:rPr>
        <w:t>1</w:t>
      </w:r>
      <w:r w:rsidR="004A272E">
        <w:rPr>
          <w:lang w:val="en-GB"/>
        </w:rPr>
        <w:t xml:space="preserve"> </w:t>
      </w:r>
      <w:r w:rsidR="002B44D3" w:rsidRPr="009D51D2">
        <w:rPr>
          <w:lang w:val="en-GB"/>
        </w:rPr>
        <w:t>g</w:t>
      </w:r>
      <w:r>
        <w:rPr>
          <w:lang w:val="en-GB"/>
        </w:rPr>
        <w:t xml:space="preserve"> </w:t>
      </w:r>
      <w:r w:rsidR="002B44D3" w:rsidRPr="009D51D2">
        <w:rPr>
          <w:lang w:val="en-GB"/>
        </w:rPr>
        <w:t>of frozen samples were homogenized with 6% sodium bicarbonate (10</w:t>
      </w:r>
      <w:r w:rsidR="004A272E">
        <w:rPr>
          <w:lang w:val="en-GB"/>
        </w:rPr>
        <w:t xml:space="preserve"> </w:t>
      </w:r>
      <w:r w:rsidR="002B44D3" w:rsidRPr="009D51D2">
        <w:rPr>
          <w:lang w:val="en-GB"/>
        </w:rPr>
        <w:t>ml) for 1 min. The extract was then filtered using filter paper (</w:t>
      </w:r>
      <w:r w:rsidR="004A272E" w:rsidRPr="009D51D2">
        <w:rPr>
          <w:lang w:val="en-GB"/>
        </w:rPr>
        <w:t>Whatman, No. 2, Tokyo, Japan</w:t>
      </w:r>
      <w:r w:rsidR="002B44D3" w:rsidRPr="009D51D2">
        <w:rPr>
          <w:lang w:val="en-GB"/>
        </w:rPr>
        <w:t>). 0.5</w:t>
      </w:r>
      <w:r w:rsidR="00B95AFE">
        <w:rPr>
          <w:lang w:val="en-GB"/>
        </w:rPr>
        <w:t xml:space="preserve"> </w:t>
      </w:r>
      <w:r w:rsidR="002B44D3" w:rsidRPr="009D51D2">
        <w:rPr>
          <w:lang w:val="en-GB"/>
        </w:rPr>
        <w:t xml:space="preserve">g of the supernatant was mixed with 2.5 ml of </w:t>
      </w:r>
      <w:proofErr w:type="spellStart"/>
      <w:r w:rsidR="002B44D3" w:rsidRPr="009D51D2">
        <w:rPr>
          <w:lang w:val="en-GB"/>
        </w:rPr>
        <w:t>Folin</w:t>
      </w:r>
      <w:proofErr w:type="spellEnd"/>
      <w:r w:rsidR="002B44D3">
        <w:rPr>
          <w:lang w:val="en-GB"/>
        </w:rPr>
        <w:t xml:space="preserve"> </w:t>
      </w:r>
      <w:r w:rsidR="00555FFB">
        <w:rPr>
          <w:lang w:val="en-GB"/>
        </w:rPr>
        <w:t xml:space="preserve">- </w:t>
      </w:r>
      <w:proofErr w:type="spellStart"/>
      <w:r w:rsidR="002B44D3" w:rsidRPr="009D51D2">
        <w:rPr>
          <w:lang w:val="en-GB"/>
        </w:rPr>
        <w:t>Ciocalteu</w:t>
      </w:r>
      <w:proofErr w:type="spellEnd"/>
      <w:r w:rsidR="002B44D3" w:rsidRPr="009D51D2">
        <w:rPr>
          <w:lang w:val="en-GB"/>
        </w:rPr>
        <w:t xml:space="preserve"> reagent and 2 ml of sodium bicarbonate. The samples were incubated for 1h at 35°C and </w:t>
      </w:r>
      <w:r w:rsidR="004556BF">
        <w:rPr>
          <w:lang w:val="en-GB"/>
        </w:rPr>
        <w:t xml:space="preserve">then for </w:t>
      </w:r>
      <w:r w:rsidR="002B44D3" w:rsidRPr="009D51D2">
        <w:rPr>
          <w:lang w:val="en-GB"/>
        </w:rPr>
        <w:t xml:space="preserve">1h at 6°C. </w:t>
      </w:r>
      <w:r w:rsidR="004A272E" w:rsidRPr="009D51D2">
        <w:rPr>
          <w:lang w:val="en-GB"/>
        </w:rPr>
        <w:t>The total phenolic content was spectrophotometr</w:t>
      </w:r>
      <w:r w:rsidR="004A272E">
        <w:rPr>
          <w:lang w:val="en-GB"/>
        </w:rPr>
        <w:t>ically measured by reading the Absorbance</w:t>
      </w:r>
      <w:r w:rsidR="004A272E" w:rsidRPr="009D51D2">
        <w:rPr>
          <w:lang w:val="en-GB"/>
        </w:rPr>
        <w:t xml:space="preserve"> at 750 nm (Jasco V-550 UV/VIS Spectrophotometer, Japan). A standard curve of gallic acid was used to quantify the total phenolic content expressed as </w:t>
      </w:r>
      <w:r w:rsidR="004A272E">
        <w:sym w:font="Symbol" w:char="F06D"/>
      </w:r>
      <w:r w:rsidR="004A272E">
        <w:t xml:space="preserve">g Gallic acid equivalents (GAE eq) / g </w:t>
      </w:r>
      <w:r w:rsidR="004A272E" w:rsidRPr="00D02EEF">
        <w:t xml:space="preserve">of fresh </w:t>
      </w:r>
      <w:r w:rsidR="004A272E">
        <w:t>weight (FW).</w:t>
      </w:r>
      <w:r w:rsidR="004A272E">
        <w:rPr>
          <w:lang w:val="en-GB"/>
        </w:rPr>
        <w:t xml:space="preserve"> The estimation of total phenolic compounds in the samples was calculates as a mean value of three different replicates.</w:t>
      </w:r>
    </w:p>
    <w:p w14:paraId="2444E160" w14:textId="14CE7412" w:rsidR="009D51D2" w:rsidRPr="000307D1" w:rsidRDefault="000307D1" w:rsidP="004A272E">
      <w:pPr>
        <w:pStyle w:val="CETBodytext"/>
        <w:spacing w:before="120" w:after="120"/>
        <w:rPr>
          <w:b/>
        </w:rPr>
      </w:pPr>
      <w:r>
        <w:rPr>
          <w:b/>
        </w:rPr>
        <w:t xml:space="preserve">2.2.2. </w:t>
      </w:r>
      <w:r w:rsidR="009D51D2" w:rsidRPr="000307D1">
        <w:rPr>
          <w:b/>
        </w:rPr>
        <w:t>Browning index</w:t>
      </w:r>
    </w:p>
    <w:p w14:paraId="5E55BB88" w14:textId="1746FF96" w:rsidR="004A272E" w:rsidRPr="009D51D2" w:rsidRDefault="004A272E" w:rsidP="004A272E">
      <w:pPr>
        <w:pStyle w:val="CETBodytext"/>
        <w:rPr>
          <w:lang w:val="en-GB"/>
        </w:rPr>
      </w:pPr>
      <w:r w:rsidRPr="009D51D2">
        <w:rPr>
          <w:lang w:val="en-GB"/>
        </w:rPr>
        <w:t xml:space="preserve">Browning index </w:t>
      </w:r>
      <w:r>
        <w:rPr>
          <w:lang w:val="en-GB"/>
        </w:rPr>
        <w:t xml:space="preserve">(BI) </w:t>
      </w:r>
      <w:r w:rsidRPr="009D51D2">
        <w:rPr>
          <w:lang w:val="en-GB"/>
        </w:rPr>
        <w:t>was determined with the procedure described by Kim et al.</w:t>
      </w:r>
      <w:r w:rsidR="008D299A">
        <w:rPr>
          <w:lang w:val="en-GB"/>
        </w:rPr>
        <w:t xml:space="preserve"> (</w:t>
      </w:r>
      <w:r w:rsidRPr="009D51D2">
        <w:rPr>
          <w:lang w:val="en-GB"/>
        </w:rPr>
        <w:t xml:space="preserve">2014). </w:t>
      </w:r>
      <w:r>
        <w:rPr>
          <w:lang w:val="en-GB"/>
        </w:rPr>
        <w:t xml:space="preserve">Briefly, </w:t>
      </w:r>
      <w:r w:rsidRPr="009D51D2">
        <w:rPr>
          <w:lang w:val="en-GB"/>
        </w:rPr>
        <w:t>1</w:t>
      </w:r>
      <w:r>
        <w:rPr>
          <w:lang w:val="en-GB"/>
        </w:rPr>
        <w:t xml:space="preserve"> </w:t>
      </w:r>
      <w:r w:rsidRPr="009D51D2">
        <w:rPr>
          <w:lang w:val="en-GB"/>
        </w:rPr>
        <w:t xml:space="preserve">g of frozen sample was diluted with </w:t>
      </w:r>
      <w:proofErr w:type="spellStart"/>
      <w:r w:rsidRPr="009D51D2">
        <w:rPr>
          <w:lang w:val="en-GB"/>
        </w:rPr>
        <w:t>tricloroacetic</w:t>
      </w:r>
      <w:proofErr w:type="spellEnd"/>
      <w:r w:rsidRPr="009D51D2">
        <w:rPr>
          <w:lang w:val="en-GB"/>
        </w:rPr>
        <w:t xml:space="preserve"> acid 2% (TCA) (25</w:t>
      </w:r>
      <w:r>
        <w:rPr>
          <w:lang w:val="en-GB"/>
        </w:rPr>
        <w:t xml:space="preserve"> </w:t>
      </w:r>
      <w:r w:rsidRPr="009D51D2">
        <w:rPr>
          <w:lang w:val="en-GB"/>
        </w:rPr>
        <w:t>ml), and incubated for 2</w:t>
      </w:r>
      <w:r>
        <w:rPr>
          <w:lang w:val="en-GB"/>
        </w:rPr>
        <w:t xml:space="preserve"> </w:t>
      </w:r>
      <w:r w:rsidRPr="009D51D2">
        <w:rPr>
          <w:lang w:val="en-GB"/>
        </w:rPr>
        <w:t>h at 30°C. The solution was then filtered using filter paper (No. 2, Whatman, Tokyo, Japan). The absorbance of the filtrate was measured at 420 nm on a spectrophotometer (Jasco V-550 UV/VIS Spectrophotometer, Japan).</w:t>
      </w:r>
    </w:p>
    <w:p w14:paraId="6B2D72DA" w14:textId="72D67E77" w:rsidR="009C3B6B" w:rsidRDefault="000307D1" w:rsidP="000307D1">
      <w:pPr>
        <w:pStyle w:val="CETheadingx"/>
      </w:pPr>
      <w:r>
        <w:t xml:space="preserve">2.2.3. </w:t>
      </w:r>
      <w:r w:rsidR="009600D4" w:rsidRPr="002B44D3">
        <w:t>Colour</w:t>
      </w:r>
      <w:r w:rsidR="00AD5BD8" w:rsidRPr="00AD5BD8">
        <w:t xml:space="preserve"> properties</w:t>
      </w:r>
    </w:p>
    <w:p w14:paraId="01150C8D" w14:textId="21397A52" w:rsidR="00FD6FEA" w:rsidRDefault="00AD5BD8" w:rsidP="009600D4">
      <w:pPr>
        <w:pStyle w:val="CETBodytext"/>
      </w:pPr>
      <w:r>
        <w:t xml:space="preserve">The </w:t>
      </w:r>
      <w:proofErr w:type="spellStart"/>
      <w:r w:rsidR="009600D4">
        <w:t>colour</w:t>
      </w:r>
      <w:proofErr w:type="spellEnd"/>
      <w:r>
        <w:t xml:space="preserve"> of the </w:t>
      </w:r>
      <w:r w:rsidR="009D51D2">
        <w:t>samples</w:t>
      </w:r>
      <w:r>
        <w:t xml:space="preserve"> w</w:t>
      </w:r>
      <w:r w:rsidR="009D51D2">
        <w:t xml:space="preserve">ere </w:t>
      </w:r>
      <w:r>
        <w:t xml:space="preserve">evaluated using </w:t>
      </w:r>
      <w:r w:rsidR="00FD6FEA" w:rsidRPr="00E1425F">
        <w:t>a colorimeter (Mi</w:t>
      </w:r>
      <w:r w:rsidR="009600D4">
        <w:t>n</w:t>
      </w:r>
      <w:r w:rsidR="00FD6FEA" w:rsidRPr="00E1425F">
        <w:t>olta CHROMA METER CR-300).</w:t>
      </w:r>
      <w:r w:rsidR="00B95AFE">
        <w:t xml:space="preserve"> </w:t>
      </w:r>
      <w:r>
        <w:t xml:space="preserve">The </w:t>
      </w:r>
      <w:proofErr w:type="spellStart"/>
      <w:r w:rsidR="00B95AFE">
        <w:t>colo</w:t>
      </w:r>
      <w:r w:rsidR="004A272E">
        <w:t>u</w:t>
      </w:r>
      <w:r w:rsidR="00B95AFE">
        <w:t>r</w:t>
      </w:r>
      <w:proofErr w:type="spellEnd"/>
      <w:r>
        <w:t xml:space="preserve"> values of L</w:t>
      </w:r>
      <w:r w:rsidR="00FD1424" w:rsidRPr="00FD1424">
        <w:t xml:space="preserve"> </w:t>
      </w:r>
      <w:r w:rsidR="00FD1424">
        <w:t>(</w:t>
      </w:r>
      <w:r w:rsidR="00FD1424" w:rsidRPr="00FD1424">
        <w:t>black</w:t>
      </w:r>
      <w:r w:rsidR="00FD1424">
        <w:t>/</w:t>
      </w:r>
      <w:r w:rsidR="00FD1424" w:rsidRPr="00FD1424">
        <w:t>white</w:t>
      </w:r>
      <w:r w:rsidR="00FD1424">
        <w:t>)</w:t>
      </w:r>
      <w:r w:rsidR="009D51D2">
        <w:t>,</w:t>
      </w:r>
      <w:r>
        <w:t xml:space="preserve"> a</w:t>
      </w:r>
      <w:r w:rsidRPr="0098762E">
        <w:t>*</w:t>
      </w:r>
      <w:r w:rsidR="0098762E" w:rsidRPr="0098762E">
        <w:t>(redness/greenness)</w:t>
      </w:r>
      <w:r>
        <w:t xml:space="preserve"> and b* </w:t>
      </w:r>
      <w:r w:rsidR="0098762E" w:rsidRPr="0098762E">
        <w:t>(yellowness/blueness)</w:t>
      </w:r>
      <w:r w:rsidR="0098762E">
        <w:t xml:space="preserve"> </w:t>
      </w:r>
      <w:r>
        <w:t xml:space="preserve">were measured. A standard plate </w:t>
      </w:r>
      <w:r w:rsidRPr="00CB2D0C">
        <w:t>C</w:t>
      </w:r>
      <w:r w:rsidR="00D242CE" w:rsidRPr="00CB2D0C">
        <w:t>R</w:t>
      </w:r>
      <w:r w:rsidR="00352AFC" w:rsidRPr="00CB2D0C">
        <w:t>-</w:t>
      </w:r>
      <w:r w:rsidRPr="00CB2D0C">
        <w:t>20</w:t>
      </w:r>
      <w:r w:rsidR="00D242CE" w:rsidRPr="00CB2D0C">
        <w:t>0/CR</w:t>
      </w:r>
      <w:r w:rsidR="00352AFC" w:rsidRPr="00CB2D0C">
        <w:t>-30</w:t>
      </w:r>
      <w:r>
        <w:t xml:space="preserve"> was used as standard.</w:t>
      </w:r>
      <w:r w:rsidR="00623E5E">
        <w:t xml:space="preserve"> </w:t>
      </w:r>
      <w:r w:rsidR="00623E5E" w:rsidRPr="00623E5E">
        <w:t xml:space="preserve">The total </w:t>
      </w:r>
      <w:proofErr w:type="spellStart"/>
      <w:r w:rsidR="009600D4" w:rsidRPr="00623E5E">
        <w:t>colour</w:t>
      </w:r>
      <w:proofErr w:type="spellEnd"/>
      <w:r w:rsidR="00623E5E" w:rsidRPr="00623E5E">
        <w:t xml:space="preserve"> difference (</w:t>
      </w:r>
      <w:r w:rsidR="00623E5E" w:rsidRPr="00840A6D">
        <w:rPr>
          <w:rFonts w:ascii="Symbol" w:hAnsi="Symbol"/>
        </w:rPr>
        <w:t></w:t>
      </w:r>
      <w:r w:rsidR="00623E5E" w:rsidRPr="00623E5E">
        <w:t xml:space="preserve">E*) </w:t>
      </w:r>
      <w:r w:rsidR="00623E5E">
        <w:t xml:space="preserve">was </w:t>
      </w:r>
      <w:r w:rsidR="00623E5E" w:rsidRPr="00623E5E">
        <w:t xml:space="preserve">calculated </w:t>
      </w:r>
      <w:r w:rsidR="00C02D0D">
        <w:t>by</w:t>
      </w:r>
      <w:r w:rsidR="00F715BB">
        <w:t xml:space="preserve"> equation 1</w:t>
      </w:r>
      <w:r w:rsidR="00623E5E" w:rsidRPr="00623E5E">
        <w:t>:</w:t>
      </w:r>
      <w:r w:rsidR="00623E5E">
        <w:t xml:space="preserve"> </w:t>
      </w:r>
    </w:p>
    <w:p w14:paraId="55152023" w14:textId="77777777" w:rsidR="003B2C4E" w:rsidRPr="003B2C4E" w:rsidRDefault="003B2C4E" w:rsidP="003B2C4E">
      <w:pPr>
        <w:pStyle w:val="CETEquation"/>
        <w:rPr>
          <w:rFonts w:eastAsia="Cambria Math"/>
          <w:position w:val="1"/>
        </w:rPr>
      </w:pPr>
      <w:r w:rsidRPr="003B2C4E">
        <w:rPr>
          <w:rFonts w:eastAsia="Cambria Math"/>
        </w:rPr>
        <w:t>∆</w:t>
      </w:r>
      <w:r w:rsidRPr="003B2C4E">
        <w:rPr>
          <w:rFonts w:ascii="Cambria Math" w:eastAsia="Cambria Math" w:hAnsi="Cambria Math" w:cs="Cambria Math"/>
        </w:rPr>
        <w:t>𝐸</w:t>
      </w:r>
      <w:r w:rsidRPr="003B2C4E">
        <w:rPr>
          <w:rFonts w:eastAsia="Cambria Math"/>
        </w:rPr>
        <w:t xml:space="preserve">= </w:t>
      </w:r>
      <m:oMath>
        <m:rad>
          <m:radPr>
            <m:degHide m:val="1"/>
            <m:ctrlPr>
              <w:rPr>
                <w:rFonts w:ascii="Cambria Math" w:hAnsi="Cambria Math"/>
              </w:rPr>
            </m:ctrlPr>
          </m:radPr>
          <m:deg/>
          <m:e>
            <m:r>
              <m:rPr>
                <m:sty m:val="p"/>
              </m:rPr>
              <w:rPr>
                <w:rFonts w:ascii="Cambria Math" w:eastAsia="Cambria Math" w:hAnsi="Cambria Math"/>
              </w:rPr>
              <m:t xml:space="preserve">[(∆L)2 </m:t>
            </m:r>
            <m:r>
              <w:rPr>
                <w:rFonts w:ascii="Cambria Math" w:eastAsia="Cambria Math" w:hAnsi="Cambria Math"/>
              </w:rPr>
              <m:t>+</m:t>
            </m:r>
            <m:r>
              <m:rPr>
                <m:sty m:val="p"/>
              </m:rPr>
              <w:rPr>
                <w:rFonts w:ascii="Cambria Math" w:eastAsia="Cambria Math" w:hAnsi="Cambria Math"/>
              </w:rPr>
              <m:t>(∆a)2</m:t>
            </m:r>
            <m:r>
              <w:rPr>
                <w:rFonts w:ascii="Cambria Math" w:eastAsia="Cambria Math" w:hAnsi="Cambria Math"/>
              </w:rPr>
              <m:t>+</m:t>
            </m:r>
            <m:r>
              <m:rPr>
                <m:sty m:val="p"/>
              </m:rPr>
              <w:rPr>
                <w:rFonts w:ascii="Cambria Math" w:eastAsia="Cambria Math" w:hAnsi="Cambria Math"/>
              </w:rPr>
              <m:t>(∆b)2</m:t>
            </m:r>
          </m:e>
        </m:rad>
      </m:oMath>
      <w:r w:rsidRPr="003B2C4E">
        <w:rPr>
          <w:rFonts w:eastAsia="Cambria Math"/>
        </w:rPr>
        <w:t>]</w:t>
      </w:r>
      <w:r>
        <w:rPr>
          <w:rFonts w:eastAsia="Cambria Math"/>
          <w:position w:val="1"/>
        </w:rPr>
        <w:tab/>
      </w:r>
      <w:r>
        <w:rPr>
          <w:rFonts w:eastAsia="Cambria Math"/>
          <w:position w:val="1"/>
        </w:rPr>
        <w:tab/>
      </w:r>
      <w:r>
        <w:rPr>
          <w:rFonts w:eastAsia="Cambria Math"/>
          <w:position w:val="1"/>
        </w:rPr>
        <w:tab/>
        <w:t>(1)</w:t>
      </w:r>
    </w:p>
    <w:p w14:paraId="267EC089" w14:textId="37ECAA8A" w:rsidR="00E1425F" w:rsidRDefault="00085850" w:rsidP="009D0D33">
      <w:pPr>
        <w:pStyle w:val="CETBodytext"/>
      </w:pPr>
      <w:r w:rsidRPr="009D0D33">
        <w:t xml:space="preserve">Where </w:t>
      </w:r>
      <w:r>
        <w:sym w:font="Symbol" w:char="F044"/>
      </w:r>
      <w:r>
        <w:t>L = L</w:t>
      </w:r>
      <w:r w:rsidR="00B95AFE">
        <w:rPr>
          <w:vertAlign w:val="subscript"/>
        </w:rPr>
        <w:t xml:space="preserve">t </w:t>
      </w:r>
      <w:r>
        <w:t>-L</w:t>
      </w:r>
      <w:r w:rsidR="00B95AFE">
        <w:rPr>
          <w:vertAlign w:val="subscript"/>
        </w:rPr>
        <w:t>t0</w:t>
      </w:r>
      <w:r>
        <w:t xml:space="preserve">, </w:t>
      </w:r>
      <w:r>
        <w:sym w:font="Symbol" w:char="F044"/>
      </w:r>
      <w:r>
        <w:t>a = a*</w:t>
      </w:r>
      <w:r w:rsidR="00B95AFE">
        <w:rPr>
          <w:vertAlign w:val="subscript"/>
        </w:rPr>
        <w:t xml:space="preserve">t </w:t>
      </w:r>
      <w:r>
        <w:t>-a*</w:t>
      </w:r>
      <w:r w:rsidR="00B95AFE">
        <w:rPr>
          <w:vertAlign w:val="subscript"/>
        </w:rPr>
        <w:t>t0</w:t>
      </w:r>
      <w:r>
        <w:t>,</w:t>
      </w:r>
      <w:r w:rsidRPr="00085850">
        <w:t xml:space="preserve"> </w:t>
      </w:r>
      <w:r>
        <w:sym w:font="Symbol" w:char="F044"/>
      </w:r>
      <w:r>
        <w:t>b = b*</w:t>
      </w:r>
      <w:r w:rsidR="00B95AFE">
        <w:rPr>
          <w:vertAlign w:val="subscript"/>
        </w:rPr>
        <w:t xml:space="preserve">t </w:t>
      </w:r>
      <w:r>
        <w:t>-b*</w:t>
      </w:r>
      <w:r w:rsidR="00B95AFE">
        <w:rPr>
          <w:vertAlign w:val="subscript"/>
        </w:rPr>
        <w:t>t0</w:t>
      </w:r>
      <w:r w:rsidR="00841A6C">
        <w:rPr>
          <w:vertAlign w:val="subscript"/>
        </w:rPr>
        <w:t>.</w:t>
      </w:r>
      <w:r w:rsidR="00841A6C" w:rsidRPr="00841A6C">
        <w:t xml:space="preserve"> </w:t>
      </w:r>
      <w:r w:rsidR="00841A6C" w:rsidRPr="0011372B">
        <w:rPr>
          <w:color w:val="000000" w:themeColor="text1"/>
        </w:rPr>
        <w:t>The subscript letters t and t</w:t>
      </w:r>
      <w:r w:rsidR="00841A6C" w:rsidRPr="0011372B">
        <w:rPr>
          <w:color w:val="000000" w:themeColor="text1"/>
          <w:vertAlign w:val="subscript"/>
        </w:rPr>
        <w:t>0</w:t>
      </w:r>
      <w:r w:rsidR="00841A6C" w:rsidRPr="0011372B">
        <w:rPr>
          <w:color w:val="000000" w:themeColor="text1"/>
        </w:rPr>
        <w:t xml:space="preserve"> </w:t>
      </w:r>
      <w:r w:rsidR="00CE68A9" w:rsidRPr="0011372B">
        <w:rPr>
          <w:color w:val="000000" w:themeColor="text1"/>
        </w:rPr>
        <w:t>refer</w:t>
      </w:r>
      <w:r w:rsidR="00841A6C" w:rsidRPr="0011372B">
        <w:rPr>
          <w:color w:val="000000" w:themeColor="text1"/>
        </w:rPr>
        <w:t xml:space="preserve"> to the time of </w:t>
      </w:r>
      <w:r w:rsidR="000C4224" w:rsidRPr="0011372B">
        <w:rPr>
          <w:color w:val="000000" w:themeColor="text1"/>
        </w:rPr>
        <w:t>analysis</w:t>
      </w:r>
      <w:r w:rsidR="00841A6C" w:rsidRPr="0011372B">
        <w:rPr>
          <w:color w:val="000000" w:themeColor="text1"/>
        </w:rPr>
        <w:t xml:space="preserve"> and time zero respectively</w:t>
      </w:r>
      <w:r w:rsidR="00CD3FB6" w:rsidRPr="0011372B">
        <w:rPr>
          <w:color w:val="000000" w:themeColor="text1"/>
        </w:rPr>
        <w:t xml:space="preserve">. </w:t>
      </w:r>
      <w:r w:rsidR="00623E5E" w:rsidRPr="0011372B">
        <w:rPr>
          <w:color w:val="000000" w:themeColor="text1"/>
        </w:rPr>
        <w:t>The analys</w:t>
      </w:r>
      <w:r w:rsidR="00B95AFE" w:rsidRPr="0011372B">
        <w:rPr>
          <w:color w:val="000000" w:themeColor="text1"/>
        </w:rPr>
        <w:t>i</w:t>
      </w:r>
      <w:r w:rsidR="00623E5E" w:rsidRPr="0011372B">
        <w:rPr>
          <w:color w:val="000000" w:themeColor="text1"/>
        </w:rPr>
        <w:t xml:space="preserve">s </w:t>
      </w:r>
      <w:r w:rsidR="00B95AFE" w:rsidRPr="0011372B">
        <w:rPr>
          <w:color w:val="000000" w:themeColor="text1"/>
        </w:rPr>
        <w:t>was</w:t>
      </w:r>
      <w:r w:rsidR="00623E5E" w:rsidRPr="0011372B">
        <w:rPr>
          <w:color w:val="000000" w:themeColor="text1"/>
        </w:rPr>
        <w:t xml:space="preserve"> carried out on a single chromatic </w:t>
      </w:r>
      <w:r w:rsidR="00623E5E" w:rsidRPr="00623E5E">
        <w:t xml:space="preserve">section, always measuring on the most </w:t>
      </w:r>
      <w:r w:rsidR="00623E5E" w:rsidRPr="00623E5E">
        <w:lastRenderedPageBreak/>
        <w:t xml:space="preserve">extreme part of the leaf. The analyses were performed on three leaves stored inside a Petri dish. </w:t>
      </w:r>
      <w:r w:rsidR="006F61C9">
        <w:t>For each time</w:t>
      </w:r>
      <w:r w:rsidR="00B95AFE">
        <w:t>,</w:t>
      </w:r>
      <w:r w:rsidR="006F61C9">
        <w:t xml:space="preserve"> </w:t>
      </w:r>
      <w:r w:rsidR="00B95AFE">
        <w:t>three</w:t>
      </w:r>
      <w:r w:rsidR="00B95AFE" w:rsidRPr="00623E5E">
        <w:t xml:space="preserve"> </w:t>
      </w:r>
      <w:r w:rsidR="00623E5E" w:rsidRPr="00623E5E">
        <w:t xml:space="preserve">replicas were </w:t>
      </w:r>
      <w:r w:rsidR="004A272E">
        <w:t>made,</w:t>
      </w:r>
      <w:r w:rsidR="006F61C9">
        <w:t xml:space="preserve"> </w:t>
      </w:r>
      <w:r w:rsidR="00E1425F" w:rsidRPr="00E1425F">
        <w:t xml:space="preserve">and the results </w:t>
      </w:r>
      <w:r w:rsidR="006F61C9">
        <w:t>were</w:t>
      </w:r>
      <w:r w:rsidR="00E1425F" w:rsidRPr="00E1425F">
        <w:t xml:space="preserve"> </w:t>
      </w:r>
      <w:r w:rsidR="006F61C9">
        <w:t>reported</w:t>
      </w:r>
      <w:r w:rsidR="00E1425F" w:rsidRPr="00E1425F">
        <w:t xml:space="preserve"> as mean</w:t>
      </w:r>
      <w:r w:rsidR="006F61C9">
        <w:t>s</w:t>
      </w:r>
      <w:r w:rsidR="00E1425F" w:rsidRPr="00E1425F">
        <w:t xml:space="preserve"> ± deviation</w:t>
      </w:r>
      <w:r w:rsidR="006F61C9" w:rsidRPr="006F61C9">
        <w:t xml:space="preserve"> </w:t>
      </w:r>
      <w:r w:rsidR="006F61C9" w:rsidRPr="00E1425F">
        <w:t>standard</w:t>
      </w:r>
      <w:r w:rsidR="00B95AFE">
        <w:t>.</w:t>
      </w:r>
    </w:p>
    <w:p w14:paraId="44FBEB42" w14:textId="1F677D4E" w:rsidR="00A40FD4" w:rsidRDefault="000307D1" w:rsidP="000307D1">
      <w:pPr>
        <w:pStyle w:val="CETheadingx"/>
      </w:pPr>
      <w:r>
        <w:t xml:space="preserve">2.3. </w:t>
      </w:r>
      <w:r w:rsidR="004506AF">
        <w:t>Data analysis</w:t>
      </w:r>
    </w:p>
    <w:p w14:paraId="3BD31516" w14:textId="073D4EFF" w:rsidR="00A40FD4" w:rsidRPr="000307D1" w:rsidRDefault="00A40FD4" w:rsidP="000307D1">
      <w:pPr>
        <w:pStyle w:val="CETheadingx"/>
      </w:pPr>
      <w:proofErr w:type="spellStart"/>
      <w:r w:rsidRPr="000307D1">
        <w:t>Anova</w:t>
      </w:r>
      <w:proofErr w:type="spellEnd"/>
      <w:r w:rsidRPr="000307D1">
        <w:t xml:space="preserve"> analysis was conducted to estimate the effect of the time and temperature on quality indices (p &lt; 0.05). The software SPSS </w:t>
      </w:r>
      <w:r w:rsidR="00BB5D08" w:rsidRPr="000307D1">
        <w:t xml:space="preserve">v17.0 for Windows (SPSS, Milan, Italy) </w:t>
      </w:r>
      <w:r w:rsidRPr="000307D1">
        <w:t xml:space="preserve">were used. </w:t>
      </w:r>
    </w:p>
    <w:p w14:paraId="78438191" w14:textId="5711B786" w:rsidR="00A40FD4" w:rsidRPr="00A40FD4" w:rsidRDefault="00A40FD4" w:rsidP="00840A6D">
      <w:pPr>
        <w:pStyle w:val="CETBodytext"/>
      </w:pPr>
      <w:r>
        <w:t xml:space="preserve">The evolution of the quality indices versus time has been described by </w:t>
      </w:r>
      <w:r w:rsidR="00841A6C">
        <w:t>first</w:t>
      </w:r>
      <w:r>
        <w:t xml:space="preserve"> </w:t>
      </w:r>
      <w:r w:rsidR="00841A6C">
        <w:t xml:space="preserve">order </w:t>
      </w:r>
      <w:r>
        <w:t xml:space="preserve">kinetic equation, such as: </w:t>
      </w:r>
    </w:p>
    <w:p w14:paraId="5836970F" w14:textId="49D9DAD0" w:rsidR="00A40FD4" w:rsidRDefault="00D23995" w:rsidP="002E160B">
      <w:pPr>
        <w:pStyle w:val="CETBodytext"/>
      </w:pPr>
      <m:oMath>
        <m:f>
          <m:fPr>
            <m:ctrlPr>
              <w:rPr>
                <w:rFonts w:ascii="Cambria Math" w:hAnsi="Cambria Math"/>
              </w:rPr>
            </m:ctrlPr>
          </m:fPr>
          <m:num>
            <m:r>
              <w:rPr>
                <w:rFonts w:ascii="Cambria Math" w:hAnsi="Cambria Math"/>
              </w:rPr>
              <m:t>dQ</m:t>
            </m:r>
          </m:num>
          <m:den>
            <m:r>
              <w:rPr>
                <w:rFonts w:ascii="Cambria Math" w:hAnsi="Cambria Math"/>
              </w:rPr>
              <m:t>dt</m:t>
            </m:r>
          </m:den>
        </m:f>
        <m:r>
          <m:rPr>
            <m:sty m:val="p"/>
          </m:rPr>
          <w:rPr>
            <w:rFonts w:ascii="Cambria Math" w:hAnsi="Cambria Math"/>
          </w:rPr>
          <m:t>=±</m:t>
        </m:r>
        <m:r>
          <w:rPr>
            <w:rFonts w:ascii="Cambria Math" w:hAnsi="Cambria Math"/>
          </w:rPr>
          <m:t>K</m:t>
        </m:r>
        <m:r>
          <m:rPr>
            <m:sty m:val="p"/>
          </m:rP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n</m:t>
            </m:r>
          </m:sup>
        </m:sSup>
      </m:oMath>
      <w:r w:rsidR="00A40FD4" w:rsidRPr="00570EEA">
        <w:t xml:space="preserve"> </w:t>
      </w:r>
      <w:r w:rsidR="00A40FD4">
        <w:tab/>
      </w:r>
      <w:r w:rsidR="00A40FD4">
        <w:tab/>
      </w:r>
      <w:r w:rsidR="006A4CFE">
        <w:tab/>
      </w:r>
      <w:r w:rsidR="00A40FD4">
        <w:t>(</w:t>
      </w:r>
      <w:r w:rsidR="00AD4D8B">
        <w:t>2</w:t>
      </w:r>
      <w:r w:rsidR="00A40FD4">
        <w:t>)</w:t>
      </w:r>
    </w:p>
    <w:p w14:paraId="5C08217E" w14:textId="5766EE5B" w:rsidR="00F715BB" w:rsidRPr="0011372B" w:rsidRDefault="00F715BB" w:rsidP="00F715BB">
      <w:pPr>
        <w:pStyle w:val="CETBodytext"/>
        <w:rPr>
          <w:color w:val="000000" w:themeColor="text1"/>
          <w:lang w:val="en-GB"/>
        </w:rPr>
      </w:pPr>
      <w:r w:rsidRPr="0011372B">
        <w:rPr>
          <w:color w:val="000000" w:themeColor="text1"/>
          <w:lang w:val="en-GB"/>
        </w:rPr>
        <w:t xml:space="preserve">Where Q </w:t>
      </w:r>
      <w:r w:rsidR="00AD4D8B" w:rsidRPr="0011372B">
        <w:rPr>
          <w:color w:val="000000" w:themeColor="text1"/>
          <w:lang w:val="en-GB"/>
        </w:rPr>
        <w:t xml:space="preserve">is the </w:t>
      </w:r>
      <w:r w:rsidRPr="0011372B">
        <w:rPr>
          <w:color w:val="000000" w:themeColor="text1"/>
          <w:lang w:val="en-GB"/>
        </w:rPr>
        <w:t xml:space="preserve">quality index; t </w:t>
      </w:r>
      <w:r w:rsidR="00AD4D8B" w:rsidRPr="0011372B">
        <w:rPr>
          <w:color w:val="000000" w:themeColor="text1"/>
          <w:lang w:val="en-GB"/>
        </w:rPr>
        <w:t>is the</w:t>
      </w:r>
      <w:r w:rsidRPr="0011372B">
        <w:rPr>
          <w:color w:val="000000" w:themeColor="text1"/>
          <w:lang w:val="en-GB"/>
        </w:rPr>
        <w:t xml:space="preserve"> time; K </w:t>
      </w:r>
      <w:r w:rsidR="00AD4D8B" w:rsidRPr="0011372B">
        <w:rPr>
          <w:color w:val="000000" w:themeColor="text1"/>
          <w:lang w:val="en-GB"/>
        </w:rPr>
        <w:t xml:space="preserve">is the kinetics constant </w:t>
      </w:r>
      <w:r w:rsidR="00310749" w:rsidRPr="0011372B">
        <w:rPr>
          <w:color w:val="000000" w:themeColor="text1"/>
          <w:lang w:val="en-GB"/>
        </w:rPr>
        <w:t>(</w:t>
      </w:r>
      <w:r w:rsidR="003240D1" w:rsidRPr="0011372B">
        <w:rPr>
          <w:color w:val="000000" w:themeColor="text1"/>
          <w:lang w:val="en-GB"/>
        </w:rPr>
        <w:t>h</w:t>
      </w:r>
      <w:r w:rsidR="00310749" w:rsidRPr="0011372B">
        <w:rPr>
          <w:color w:val="000000" w:themeColor="text1"/>
          <w:vertAlign w:val="superscript"/>
          <w:lang w:val="en-GB"/>
        </w:rPr>
        <w:t>-1</w:t>
      </w:r>
      <w:r w:rsidR="00310749" w:rsidRPr="0011372B">
        <w:rPr>
          <w:color w:val="000000" w:themeColor="text1"/>
          <w:lang w:val="en-GB"/>
        </w:rPr>
        <w:t xml:space="preserve">) </w:t>
      </w:r>
      <w:r w:rsidRPr="0011372B">
        <w:rPr>
          <w:color w:val="000000" w:themeColor="text1"/>
          <w:lang w:val="en-GB"/>
        </w:rPr>
        <w:t>of the qualitative parameter variation; n = order of the reaction</w:t>
      </w:r>
      <w:r w:rsidR="00CD5432" w:rsidRPr="0011372B">
        <w:rPr>
          <w:color w:val="000000" w:themeColor="text1"/>
          <w:lang w:val="en-GB"/>
        </w:rPr>
        <w:t xml:space="preserve"> (n=1).</w:t>
      </w:r>
    </w:p>
    <w:p w14:paraId="43FBEF06" w14:textId="2FAD4A72" w:rsidR="004506AF" w:rsidRPr="00AD4D8B" w:rsidRDefault="004506AF" w:rsidP="00AD4D8B">
      <w:pPr>
        <w:pStyle w:val="CETBodytext"/>
        <w:rPr>
          <w:lang w:val="en-GB"/>
        </w:rPr>
      </w:pPr>
    </w:p>
    <w:p w14:paraId="2326351C" w14:textId="393C65D7" w:rsidR="006A4CFE" w:rsidRDefault="00A40FD4" w:rsidP="00A40FD4">
      <w:pPr>
        <w:pStyle w:val="CETBodytext"/>
      </w:pPr>
      <w:r>
        <w:t>Arrhenius equation has been used to describe the effect of temperature on kinetic constant:</w:t>
      </w:r>
    </w:p>
    <w:p w14:paraId="358D231E" w14:textId="77777777" w:rsidR="00A40FD4" w:rsidRDefault="00A40FD4" w:rsidP="002E160B">
      <w:pPr>
        <w:pStyle w:val="CETBodytext"/>
      </w:pPr>
    </w:p>
    <w:p w14:paraId="5EC43349" w14:textId="260DD587" w:rsidR="00AC2612" w:rsidRPr="0011372B" w:rsidRDefault="002E160B" w:rsidP="00AE07E0">
      <w:pPr>
        <w:pStyle w:val="CETBodytext"/>
        <w:rPr>
          <w:color w:val="000000" w:themeColor="text1"/>
        </w:rPr>
      </w:pPr>
      <m:oMath>
        <m:r>
          <w:rPr>
            <w:rFonts w:ascii="Cambria Math" w:hAnsi="Cambria Math"/>
            <w:color w:val="000000" w:themeColor="text1"/>
          </w:rPr>
          <m:t>ln</m:t>
        </m:r>
        <m:f>
          <m:fPr>
            <m:ctrlPr>
              <w:rPr>
                <w:rFonts w:ascii="Cambria Math" w:hAnsi="Cambria Math"/>
                <w:i/>
                <w:color w:val="000000" w:themeColor="text1"/>
              </w:rPr>
            </m:ctrlPr>
          </m:fPr>
          <m:num>
            <m:r>
              <w:rPr>
                <w:rFonts w:ascii="Cambria Math" w:hAnsi="Cambria Math"/>
                <w:color w:val="000000" w:themeColor="text1"/>
              </w:rPr>
              <m:t>k</m:t>
            </m:r>
          </m:num>
          <m:den>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0</m:t>
                </m:r>
              </m:sub>
            </m:sSub>
          </m:den>
        </m:f>
        <m: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 xml:space="preserve">Ea </m:t>
            </m:r>
          </m:num>
          <m:den>
            <m:r>
              <m:rPr>
                <m:sty m:val="p"/>
              </m:rPr>
              <w:rPr>
                <w:rFonts w:ascii="Cambria Math" w:hAnsi="Cambria Math"/>
                <w:color w:val="000000" w:themeColor="text1"/>
              </w:rPr>
              <m:t xml:space="preserve"> R</m:t>
            </m:r>
          </m:den>
        </m:f>
        <m:r>
          <w:rPr>
            <w:rFonts w:ascii="Cambria Math" w:hAnsi="Cambria Math"/>
            <w:color w:val="000000" w:themeColor="text1"/>
          </w:rPr>
          <m:t>∙</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T</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color w:val="000000" w:themeColor="text1"/>
                      </w:rPr>
                    </m:ctrlPr>
                  </m:sSubPr>
                  <m:e>
                    <m:r>
                      <w:rPr>
                        <w:rFonts w:ascii="Cambria Math" w:hAnsi="Cambria Math"/>
                        <w:color w:val="000000" w:themeColor="text1"/>
                      </w:rPr>
                      <m:t>T</m:t>
                    </m:r>
                  </m:e>
                  <m:sub>
                    <m:r>
                      <w:rPr>
                        <w:rFonts w:ascii="Cambria Math" w:hAnsi="Cambria Math"/>
                        <w:color w:val="000000" w:themeColor="text1"/>
                      </w:rPr>
                      <m:t>0</m:t>
                    </m:r>
                  </m:sub>
                </m:sSub>
              </m:den>
            </m:f>
          </m:e>
        </m:d>
      </m:oMath>
      <w:r w:rsidR="00570EEA" w:rsidRPr="0011372B">
        <w:rPr>
          <w:color w:val="000000" w:themeColor="text1"/>
        </w:rPr>
        <w:tab/>
      </w:r>
      <w:r w:rsidR="00570EEA" w:rsidRPr="0011372B">
        <w:rPr>
          <w:color w:val="000000" w:themeColor="text1"/>
        </w:rPr>
        <w:tab/>
      </w:r>
      <w:r w:rsidR="00570EEA" w:rsidRPr="0011372B">
        <w:rPr>
          <w:color w:val="000000" w:themeColor="text1"/>
        </w:rPr>
        <w:tab/>
        <w:t>(</w:t>
      </w:r>
      <w:r w:rsidR="00841A6C" w:rsidRPr="0011372B">
        <w:rPr>
          <w:color w:val="000000" w:themeColor="text1"/>
        </w:rPr>
        <w:t>3</w:t>
      </w:r>
      <w:r w:rsidR="00570EEA" w:rsidRPr="0011372B">
        <w:rPr>
          <w:color w:val="000000" w:themeColor="text1"/>
        </w:rPr>
        <w:t>)</w:t>
      </w:r>
    </w:p>
    <w:p w14:paraId="685A6369" w14:textId="58F61A76" w:rsidR="00A65402" w:rsidRPr="0011372B" w:rsidRDefault="002A1D13" w:rsidP="00F715BB">
      <w:pPr>
        <w:pStyle w:val="CETBodytext"/>
        <w:rPr>
          <w:color w:val="000000" w:themeColor="text1"/>
          <w:lang w:val="en-GB"/>
        </w:rPr>
      </w:pPr>
      <w:r w:rsidRPr="0011372B">
        <w:rPr>
          <w:color w:val="000000" w:themeColor="text1"/>
          <w:lang w:val="en-GB"/>
        </w:rPr>
        <w:t xml:space="preserve">Where </w:t>
      </w:r>
      <w:proofErr w:type="gramStart"/>
      <w:r w:rsidR="00064719" w:rsidRPr="0011372B">
        <w:rPr>
          <w:color w:val="000000" w:themeColor="text1"/>
          <w:lang w:val="en-GB"/>
        </w:rPr>
        <w:t>K</w:t>
      </w:r>
      <w:r w:rsidR="00064719" w:rsidRPr="0011372B">
        <w:rPr>
          <w:color w:val="000000" w:themeColor="text1"/>
          <w:vertAlign w:val="subscript"/>
          <w:lang w:val="en-GB"/>
        </w:rPr>
        <w:t>o</w:t>
      </w:r>
      <w:r w:rsidR="003240D1" w:rsidRPr="0011372B">
        <w:rPr>
          <w:color w:val="000000" w:themeColor="text1"/>
          <w:vertAlign w:val="subscript"/>
          <w:lang w:val="en-GB"/>
        </w:rPr>
        <w:t xml:space="preserve"> </w:t>
      </w:r>
      <w:r w:rsidRPr="0011372B">
        <w:rPr>
          <w:color w:val="000000" w:themeColor="text1"/>
          <w:lang w:val="en-GB"/>
        </w:rPr>
        <w:t xml:space="preserve"> is</w:t>
      </w:r>
      <w:proofErr w:type="gramEnd"/>
      <w:r w:rsidRPr="0011372B">
        <w:rPr>
          <w:color w:val="000000" w:themeColor="text1"/>
          <w:lang w:val="en-GB"/>
        </w:rPr>
        <w:t xml:space="preserve"> the kinetic constant at reference temperature (T</w:t>
      </w:r>
      <w:r w:rsidRPr="0011372B">
        <w:rPr>
          <w:color w:val="000000" w:themeColor="text1"/>
          <w:vertAlign w:val="subscript"/>
          <w:lang w:val="en-GB"/>
        </w:rPr>
        <w:t>0</w:t>
      </w:r>
      <w:r w:rsidRPr="0011372B">
        <w:rPr>
          <w:color w:val="000000" w:themeColor="text1"/>
          <w:lang w:val="en-GB"/>
        </w:rPr>
        <w:t>)</w:t>
      </w:r>
      <w:r w:rsidR="00F715BB" w:rsidRPr="0011372B">
        <w:rPr>
          <w:color w:val="000000" w:themeColor="text1"/>
          <w:lang w:val="en-GB"/>
        </w:rPr>
        <w:t xml:space="preserve">; </w:t>
      </w:r>
      <w:r w:rsidR="003240D1" w:rsidRPr="0011372B">
        <w:rPr>
          <w:color w:val="000000" w:themeColor="text1"/>
          <w:lang w:val="en-GB"/>
        </w:rPr>
        <w:t>K is the kinetic constant (h</w:t>
      </w:r>
      <w:r w:rsidR="003240D1" w:rsidRPr="0011372B">
        <w:rPr>
          <w:color w:val="000000" w:themeColor="text1"/>
          <w:vertAlign w:val="superscript"/>
          <w:lang w:val="en-GB"/>
        </w:rPr>
        <w:t>-1</w:t>
      </w:r>
      <w:r w:rsidR="003240D1" w:rsidRPr="0011372B">
        <w:rPr>
          <w:color w:val="000000" w:themeColor="text1"/>
          <w:lang w:val="en-GB"/>
        </w:rPr>
        <w:t xml:space="preserve">); T is the absolute temperature (K), </w:t>
      </w:r>
      <w:proofErr w:type="spellStart"/>
      <w:r w:rsidR="00F715BB" w:rsidRPr="0011372B">
        <w:rPr>
          <w:color w:val="000000" w:themeColor="text1"/>
          <w:lang w:val="en-GB"/>
        </w:rPr>
        <w:t>Ea</w:t>
      </w:r>
      <w:proofErr w:type="spellEnd"/>
      <w:r w:rsidR="00F715BB" w:rsidRPr="0011372B">
        <w:rPr>
          <w:color w:val="000000" w:themeColor="text1"/>
          <w:lang w:val="en-GB"/>
        </w:rPr>
        <w:t xml:space="preserve"> </w:t>
      </w:r>
      <w:r w:rsidRPr="0011372B">
        <w:rPr>
          <w:color w:val="000000" w:themeColor="text1"/>
          <w:lang w:val="en-GB"/>
        </w:rPr>
        <w:t xml:space="preserve">is the </w:t>
      </w:r>
      <w:r w:rsidR="00F715BB" w:rsidRPr="0011372B">
        <w:rPr>
          <w:color w:val="000000" w:themeColor="text1"/>
          <w:lang w:val="en-GB"/>
        </w:rPr>
        <w:t>activation energy (</w:t>
      </w:r>
      <w:r w:rsidR="003240D1" w:rsidRPr="0011372B">
        <w:rPr>
          <w:color w:val="000000" w:themeColor="text1"/>
          <w:lang w:val="en-GB"/>
        </w:rPr>
        <w:t>k</w:t>
      </w:r>
      <w:r w:rsidR="00F715BB" w:rsidRPr="0011372B">
        <w:rPr>
          <w:color w:val="000000" w:themeColor="text1"/>
          <w:lang w:val="en-GB"/>
        </w:rPr>
        <w:t>J</w:t>
      </w:r>
      <w:r w:rsidR="003240D1" w:rsidRPr="0011372B">
        <w:rPr>
          <w:color w:val="000000" w:themeColor="text1"/>
          <w:lang w:val="en-GB"/>
        </w:rPr>
        <w:t xml:space="preserve"> </w:t>
      </w:r>
      <w:r w:rsidR="00F715BB" w:rsidRPr="0011372B">
        <w:rPr>
          <w:color w:val="000000" w:themeColor="text1"/>
          <w:lang w:val="en-GB"/>
        </w:rPr>
        <w:t>mol</w:t>
      </w:r>
      <w:r w:rsidR="003240D1" w:rsidRPr="0011372B">
        <w:rPr>
          <w:color w:val="000000" w:themeColor="text1"/>
          <w:vertAlign w:val="superscript"/>
          <w:lang w:val="en-GB"/>
        </w:rPr>
        <w:t>-1</w:t>
      </w:r>
      <w:r w:rsidR="00F715BB" w:rsidRPr="0011372B">
        <w:rPr>
          <w:color w:val="000000" w:themeColor="text1"/>
          <w:lang w:val="en-GB"/>
        </w:rPr>
        <w:t>)</w:t>
      </w:r>
      <w:r w:rsidR="003240D1" w:rsidRPr="0011372B">
        <w:rPr>
          <w:color w:val="000000" w:themeColor="text1"/>
          <w:lang w:val="en-GB"/>
        </w:rPr>
        <w:t xml:space="preserve"> and </w:t>
      </w:r>
      <w:r w:rsidR="00F715BB" w:rsidRPr="0011372B">
        <w:rPr>
          <w:color w:val="000000" w:themeColor="text1"/>
          <w:lang w:val="en-GB"/>
        </w:rPr>
        <w:t xml:space="preserve">R </w:t>
      </w:r>
      <w:r w:rsidRPr="0011372B">
        <w:rPr>
          <w:color w:val="000000" w:themeColor="text1"/>
          <w:lang w:val="en-GB"/>
        </w:rPr>
        <w:t>is the u</w:t>
      </w:r>
      <w:r w:rsidR="00F715BB" w:rsidRPr="0011372B">
        <w:rPr>
          <w:color w:val="000000" w:themeColor="text1"/>
          <w:lang w:val="en-GB"/>
        </w:rPr>
        <w:t>niversal gas constant</w:t>
      </w:r>
      <w:r w:rsidR="00064719" w:rsidRPr="0011372B">
        <w:rPr>
          <w:color w:val="000000" w:themeColor="text1"/>
          <w:lang w:val="en-GB"/>
        </w:rPr>
        <w:t xml:space="preserve"> (8,31 J/mol*K)</w:t>
      </w:r>
      <w:r w:rsidR="003240D1" w:rsidRPr="0011372B">
        <w:rPr>
          <w:color w:val="000000" w:themeColor="text1"/>
          <w:lang w:val="en-GB"/>
        </w:rPr>
        <w:t>.</w:t>
      </w:r>
    </w:p>
    <w:p w14:paraId="0A6BF576" w14:textId="77777777" w:rsidR="00F715BB" w:rsidRPr="0011372B" w:rsidRDefault="00F715BB" w:rsidP="00F715BB">
      <w:pPr>
        <w:pStyle w:val="CETBodytext"/>
        <w:rPr>
          <w:color w:val="000000" w:themeColor="text1"/>
          <w:lang w:val="en-GB"/>
        </w:rPr>
      </w:pPr>
    </w:p>
    <w:p w14:paraId="27F068BD" w14:textId="6EDE0724" w:rsidR="002B44D3" w:rsidRPr="00AD4D8B" w:rsidRDefault="00831A86" w:rsidP="002E160B">
      <w:pPr>
        <w:pStyle w:val="CETBodytext"/>
        <w:rPr>
          <w:color w:val="FF0000"/>
          <w:lang w:val="en-GB"/>
        </w:rPr>
      </w:pPr>
      <w:r>
        <w:rPr>
          <w:lang w:val="en-GB"/>
        </w:rPr>
        <w:t xml:space="preserve">The activation energy </w:t>
      </w:r>
      <w:r w:rsidR="006E41EB">
        <w:rPr>
          <w:lang w:val="en-GB"/>
        </w:rPr>
        <w:t>(</w:t>
      </w:r>
      <w:proofErr w:type="spellStart"/>
      <w:r>
        <w:rPr>
          <w:lang w:val="en-GB"/>
        </w:rPr>
        <w:t>Ea</w:t>
      </w:r>
      <w:proofErr w:type="spellEnd"/>
      <w:r w:rsidR="006E41EB">
        <w:rPr>
          <w:lang w:val="en-GB"/>
        </w:rPr>
        <w:t xml:space="preserve">) was estimated </w:t>
      </w:r>
      <w:r w:rsidR="002A1D13" w:rsidRPr="00AD4D8B">
        <w:rPr>
          <w:color w:val="000000" w:themeColor="text1"/>
          <w:lang w:val="en-GB"/>
        </w:rPr>
        <w:t xml:space="preserve">by linear regression of eq. 3 </w:t>
      </w:r>
    </w:p>
    <w:p w14:paraId="4CEEDFBE" w14:textId="77777777" w:rsidR="002B44D3" w:rsidRDefault="002B44D3" w:rsidP="002B44D3">
      <w:pPr>
        <w:pStyle w:val="CETHeading1"/>
      </w:pPr>
      <w:r>
        <w:t>Results</w:t>
      </w:r>
    </w:p>
    <w:p w14:paraId="79C939EF" w14:textId="225009AA" w:rsidR="00D53048" w:rsidRDefault="00383016" w:rsidP="00CF70C7">
      <w:pPr>
        <w:pStyle w:val="CETBodytext"/>
      </w:pPr>
      <w:proofErr w:type="spellStart"/>
      <w:r>
        <w:t>Folin</w:t>
      </w:r>
      <w:proofErr w:type="spellEnd"/>
      <w:r w:rsidR="00555FFB">
        <w:t xml:space="preserve"> </w:t>
      </w:r>
      <w:r>
        <w:t>-</w:t>
      </w:r>
      <w:r w:rsidR="00555FFB">
        <w:t xml:space="preserve"> </w:t>
      </w:r>
      <w:proofErr w:type="spellStart"/>
      <w:r w:rsidR="00544BDB">
        <w:t>C</w:t>
      </w:r>
      <w:r>
        <w:t>ioca</w:t>
      </w:r>
      <w:r w:rsidR="00C54B52">
        <w:t>lteu</w:t>
      </w:r>
      <w:proofErr w:type="spellEnd"/>
      <w:r w:rsidR="00C54B52">
        <w:t xml:space="preserve"> phenol content is used to obtain a crude estimate of the </w:t>
      </w:r>
      <w:proofErr w:type="gramStart"/>
      <w:r w:rsidR="00C54B52">
        <w:t>amount</w:t>
      </w:r>
      <w:proofErr w:type="gramEnd"/>
      <w:r w:rsidR="00C54B52">
        <w:t xml:space="preserve"> of phenolic groups present in </w:t>
      </w:r>
      <w:r w:rsidR="00641EFA">
        <w:t xml:space="preserve">minimally </w:t>
      </w:r>
      <w:r w:rsidR="00C54B52">
        <w:t xml:space="preserve">processed iceberg salad. The results showed that total </w:t>
      </w:r>
      <w:r w:rsidR="00C54B52" w:rsidRPr="009D51D2">
        <w:t>phenol</w:t>
      </w:r>
      <w:r w:rsidR="00C54B52">
        <w:t>ic</w:t>
      </w:r>
      <w:r w:rsidR="00C54B52" w:rsidRPr="009D51D2">
        <w:t xml:space="preserve"> </w:t>
      </w:r>
      <w:r w:rsidR="00D02EEF">
        <w:t xml:space="preserve">content </w:t>
      </w:r>
      <w:r w:rsidR="00D02EEF" w:rsidRPr="00D02EEF">
        <w:t>decrease</w:t>
      </w:r>
      <w:r w:rsidR="004556BF">
        <w:t>d</w:t>
      </w:r>
      <w:r w:rsidR="00D02EEF" w:rsidRPr="00D02EEF">
        <w:t xml:space="preserve"> </w:t>
      </w:r>
      <w:r w:rsidR="00D02EEF">
        <w:t xml:space="preserve">during storage time from an initial value of </w:t>
      </w:r>
      <w:r w:rsidR="00D02EEF" w:rsidRPr="00CE382F">
        <w:t xml:space="preserve">8 </w:t>
      </w:r>
      <w:r w:rsidR="00F137FB" w:rsidRPr="00CE382F">
        <w:sym w:font="Symbol" w:char="F0B1"/>
      </w:r>
      <w:r w:rsidR="00F137FB" w:rsidRPr="00CE382F">
        <w:t xml:space="preserve"> 3 </w:t>
      </w:r>
      <w:r w:rsidR="00D02EEF" w:rsidRPr="00CE382F">
        <w:sym w:font="Symbol" w:char="F06D"/>
      </w:r>
      <w:r w:rsidR="00D02EEF" w:rsidRPr="00CE382F">
        <w:t>g GAE eq</w:t>
      </w:r>
      <w:r w:rsidR="00D53048" w:rsidRPr="00CE382F">
        <w:t xml:space="preserve"> / </w:t>
      </w:r>
      <w:r w:rsidR="00D02EEF" w:rsidRPr="00CE382F">
        <w:t xml:space="preserve">g </w:t>
      </w:r>
      <w:r w:rsidR="0026610F" w:rsidRPr="00CE382F">
        <w:t xml:space="preserve">FW </w:t>
      </w:r>
      <w:r w:rsidR="00D02EEF" w:rsidRPr="00CE382F">
        <w:t xml:space="preserve">to an average </w:t>
      </w:r>
      <w:r w:rsidR="00840628">
        <w:t xml:space="preserve">value </w:t>
      </w:r>
      <w:r w:rsidR="00D02EEF" w:rsidRPr="00CE382F">
        <w:t>of 1</w:t>
      </w:r>
      <w:r w:rsidR="00220026">
        <w:t>.</w:t>
      </w:r>
      <w:r w:rsidR="00F137FB" w:rsidRPr="00CE382F">
        <w:t xml:space="preserve">6 </w:t>
      </w:r>
      <w:r w:rsidR="00F137FB" w:rsidRPr="00CE382F">
        <w:sym w:font="Symbol" w:char="F0B1"/>
      </w:r>
      <w:r w:rsidR="00F137FB" w:rsidRPr="00CE382F">
        <w:t xml:space="preserve"> 0.2</w:t>
      </w:r>
      <w:r w:rsidR="00D02EEF" w:rsidRPr="00CE382F">
        <w:t xml:space="preserve"> </w:t>
      </w:r>
      <w:r w:rsidR="00D02EEF" w:rsidRPr="00CE382F">
        <w:sym w:font="Symbol" w:char="F06D"/>
      </w:r>
      <w:r w:rsidR="00D02EEF" w:rsidRPr="00CE382F">
        <w:t>g GAE</w:t>
      </w:r>
      <w:r w:rsidR="00D02EEF">
        <w:t xml:space="preserve"> eq</w:t>
      </w:r>
      <w:r w:rsidR="00E974C3">
        <w:t xml:space="preserve"> </w:t>
      </w:r>
      <w:r w:rsidR="00D02EEF">
        <w:t>/</w:t>
      </w:r>
      <w:r w:rsidR="00E974C3">
        <w:t xml:space="preserve"> </w:t>
      </w:r>
      <w:r w:rsidR="00D02EEF">
        <w:t xml:space="preserve">g </w:t>
      </w:r>
      <w:r w:rsidR="0026610F">
        <w:t xml:space="preserve">FW </w:t>
      </w:r>
      <w:r w:rsidR="00D53048">
        <w:t xml:space="preserve">after </w:t>
      </w:r>
      <w:r w:rsidR="00840628">
        <w:t xml:space="preserve">a storage time of </w:t>
      </w:r>
      <w:r w:rsidR="00D02EEF" w:rsidRPr="00D02EEF">
        <w:t>200 h</w:t>
      </w:r>
      <w:r w:rsidR="00D53048">
        <w:t xml:space="preserve"> </w:t>
      </w:r>
      <w:r w:rsidR="00D02EEF" w:rsidRPr="00D02EEF">
        <w:t xml:space="preserve">of </w:t>
      </w:r>
      <w:r w:rsidR="00D53048">
        <w:t>storage</w:t>
      </w:r>
      <w:r w:rsidR="00CC678E">
        <w:t>.</w:t>
      </w:r>
      <w:r w:rsidR="00FA04B0" w:rsidRPr="00FA04B0">
        <w:t xml:space="preserve"> </w:t>
      </w:r>
      <w:r w:rsidR="00DB2143">
        <w:t>Data analysis sho</w:t>
      </w:r>
      <w:r w:rsidR="008F448D">
        <w:t>wed</w:t>
      </w:r>
      <w:r w:rsidR="00DB2143">
        <w:t xml:space="preserve"> a significant effect of time </w:t>
      </w:r>
      <w:r w:rsidR="006A4CFE">
        <w:t xml:space="preserve">and </w:t>
      </w:r>
      <w:r w:rsidR="00DB2143">
        <w:t>temperature on phenolic content (p&lt;0.05)</w:t>
      </w:r>
      <w:r w:rsidR="006A4CFE">
        <w:t xml:space="preserve">. </w:t>
      </w:r>
    </w:p>
    <w:p w14:paraId="37C078FD" w14:textId="23719734" w:rsidR="00360FCB" w:rsidRPr="00535030" w:rsidRDefault="006A4CFE" w:rsidP="00AD4D8B">
      <w:pPr>
        <w:tabs>
          <w:tab w:val="clear" w:pos="7100"/>
        </w:tabs>
        <w:spacing w:line="240" w:lineRule="auto"/>
      </w:pPr>
      <w:r w:rsidRPr="00535030">
        <w:t xml:space="preserve">Experimental data were described by a </w:t>
      </w:r>
      <w:r w:rsidR="00405758" w:rsidRPr="00535030">
        <w:t>p</w:t>
      </w:r>
      <w:r w:rsidR="00D02EEF" w:rsidRPr="00535030">
        <w:t xml:space="preserve">seudo first order equation </w:t>
      </w:r>
      <w:r w:rsidR="005C7F02" w:rsidRPr="00AD4D8B">
        <w:t>(F</w:t>
      </w:r>
      <w:r w:rsidRPr="00535030">
        <w:t>igure 1)</w:t>
      </w:r>
      <w:r w:rsidR="00D02EEF" w:rsidRPr="00535030">
        <w:t xml:space="preserve">. At 12 °C the model well describes the experimental data, </w:t>
      </w:r>
      <w:r w:rsidR="004556BF" w:rsidRPr="00535030">
        <w:t xml:space="preserve">whereas </w:t>
      </w:r>
      <w:r w:rsidR="00D02EEF" w:rsidRPr="00535030">
        <w:t>at 4 °C and 8 °C there is a greater error</w:t>
      </w:r>
      <w:r w:rsidR="00AD4CDF" w:rsidRPr="00535030">
        <w:t>.</w:t>
      </w:r>
      <w:r w:rsidR="00FA04B0" w:rsidRPr="00535030">
        <w:t xml:space="preserve"> The </w:t>
      </w:r>
      <w:r w:rsidR="0007537C" w:rsidRPr="00535030">
        <w:t>kinetic</w:t>
      </w:r>
      <w:r w:rsidR="00840628" w:rsidRPr="00535030">
        <w:t xml:space="preserve"> constants</w:t>
      </w:r>
      <w:r w:rsidR="0007537C" w:rsidRPr="00535030">
        <w:t xml:space="preserve"> </w:t>
      </w:r>
      <w:r w:rsidR="00FA04B0" w:rsidRPr="00535030">
        <w:t xml:space="preserve">at 4 °C, 8 °C and 12 °C, </w:t>
      </w:r>
      <w:r w:rsidRPr="00535030">
        <w:t>were</w:t>
      </w:r>
      <w:r w:rsidR="00FA04B0" w:rsidRPr="00535030">
        <w:t xml:space="preserve"> 0</w:t>
      </w:r>
      <w:r w:rsidR="00220026" w:rsidRPr="00535030">
        <w:t>,</w:t>
      </w:r>
      <w:r w:rsidR="00FA04B0" w:rsidRPr="00535030">
        <w:t>007</w:t>
      </w:r>
      <w:r w:rsidRPr="00535030">
        <w:t xml:space="preserve"> </w:t>
      </w:r>
      <w:r w:rsidR="00555FFB" w:rsidRPr="00535030">
        <w:sym w:font="Symbol" w:char="F0B1"/>
      </w:r>
      <w:r w:rsidR="00555FFB" w:rsidRPr="00535030">
        <w:t xml:space="preserve"> 0</w:t>
      </w:r>
      <w:r w:rsidR="009C143F" w:rsidRPr="00535030">
        <w:t>.</w:t>
      </w:r>
      <w:r w:rsidR="00555FFB" w:rsidRPr="00535030">
        <w:t xml:space="preserve">001 </w:t>
      </w:r>
      <w:r w:rsidRPr="00535030">
        <w:t>h-</w:t>
      </w:r>
      <w:r w:rsidRPr="00535030">
        <w:rPr>
          <w:vertAlign w:val="superscript"/>
        </w:rPr>
        <w:t>1</w:t>
      </w:r>
      <w:r w:rsidR="00FA04B0" w:rsidRPr="00535030">
        <w:t>, 0</w:t>
      </w:r>
      <w:r w:rsidR="00220026" w:rsidRPr="00535030">
        <w:t>,</w:t>
      </w:r>
      <w:r w:rsidR="00FA04B0" w:rsidRPr="00535030">
        <w:t>009</w:t>
      </w:r>
      <w:r w:rsidR="009C143F" w:rsidRPr="00535030">
        <w:sym w:font="Symbol" w:char="F0B1"/>
      </w:r>
      <w:r w:rsidR="009C143F" w:rsidRPr="00535030">
        <w:t xml:space="preserve"> 0.001 </w:t>
      </w:r>
      <w:r w:rsidRPr="00535030">
        <w:t>h-</w:t>
      </w:r>
      <w:r w:rsidRPr="00535030">
        <w:rPr>
          <w:vertAlign w:val="superscript"/>
        </w:rPr>
        <w:t>1</w:t>
      </w:r>
      <w:r w:rsidR="00FA04B0" w:rsidRPr="00535030">
        <w:t xml:space="preserve"> and 0</w:t>
      </w:r>
      <w:r w:rsidR="00220026" w:rsidRPr="00535030">
        <w:t>,</w:t>
      </w:r>
      <w:r w:rsidR="00FA04B0" w:rsidRPr="00535030">
        <w:t>01</w:t>
      </w:r>
      <w:r w:rsidR="00645712" w:rsidRPr="00535030">
        <w:t>1</w:t>
      </w:r>
      <w:r w:rsidR="009C143F" w:rsidRPr="00535030">
        <w:sym w:font="Symbol" w:char="F0B1"/>
      </w:r>
      <w:r w:rsidR="009C143F" w:rsidRPr="00535030">
        <w:t xml:space="preserve"> 0.006 </w:t>
      </w:r>
      <w:r w:rsidR="00FA04B0" w:rsidRPr="00535030">
        <w:t>h-</w:t>
      </w:r>
      <w:r w:rsidR="00FA04B0" w:rsidRPr="00535030">
        <w:rPr>
          <w:vertAlign w:val="superscript"/>
        </w:rPr>
        <w:t>1</w:t>
      </w:r>
      <w:r w:rsidR="00C77450" w:rsidRPr="00535030">
        <w:t>,</w:t>
      </w:r>
      <w:r w:rsidR="00FA04B0" w:rsidRPr="00535030">
        <w:t xml:space="preserve"> </w:t>
      </w:r>
      <w:r w:rsidR="00C77450" w:rsidRPr="00535030">
        <w:t>respectively.</w:t>
      </w:r>
      <w:r w:rsidR="009E43D9">
        <w:t xml:space="preserve"> </w:t>
      </w:r>
      <w:r w:rsidR="009E43D9" w:rsidRPr="0011372B">
        <w:rPr>
          <w:color w:val="000000" w:themeColor="text1"/>
        </w:rPr>
        <w:t xml:space="preserve">The Arrhenius equation </w:t>
      </w:r>
      <w:r w:rsidR="009E43D9" w:rsidRPr="0011372B">
        <w:rPr>
          <w:color w:val="000000" w:themeColor="text1"/>
          <w:lang w:val="en-US"/>
        </w:rPr>
        <w:t>was applied</w:t>
      </w:r>
      <w:r w:rsidR="009E43D9" w:rsidRPr="0011372B">
        <w:rPr>
          <w:color w:val="000000" w:themeColor="text1"/>
        </w:rPr>
        <w:t xml:space="preserve"> for</w:t>
      </w:r>
      <w:r w:rsidR="00CF70C7" w:rsidRPr="0011372B">
        <w:rPr>
          <w:color w:val="000000" w:themeColor="text1"/>
          <w:lang w:val="en-US"/>
        </w:rPr>
        <w:t xml:space="preserve"> </w:t>
      </w:r>
      <w:r w:rsidR="009E43D9" w:rsidRPr="0011372B">
        <w:rPr>
          <w:color w:val="000000" w:themeColor="text1"/>
          <w:lang w:val="en-US"/>
        </w:rPr>
        <w:t xml:space="preserve">assessing </w:t>
      </w:r>
      <w:r w:rsidR="00CF70C7" w:rsidRPr="0011372B">
        <w:rPr>
          <w:color w:val="000000" w:themeColor="text1"/>
          <w:lang w:val="en-US"/>
        </w:rPr>
        <w:t xml:space="preserve">the influence of temperature </w:t>
      </w:r>
      <w:r w:rsidR="00CF70C7" w:rsidRPr="0011372B">
        <w:rPr>
          <w:color w:val="000000" w:themeColor="text1"/>
        </w:rPr>
        <w:t>o</w:t>
      </w:r>
      <w:r w:rsidR="00CD5432" w:rsidRPr="0011372B">
        <w:rPr>
          <w:color w:val="000000" w:themeColor="text1"/>
        </w:rPr>
        <w:t>n</w:t>
      </w:r>
      <w:r w:rsidR="00CF70C7" w:rsidRPr="0011372B">
        <w:rPr>
          <w:color w:val="000000" w:themeColor="text1"/>
        </w:rPr>
        <w:t xml:space="preserve"> the </w:t>
      </w:r>
      <w:r w:rsidR="00CD5432" w:rsidRPr="0011372B">
        <w:rPr>
          <w:color w:val="000000" w:themeColor="text1"/>
        </w:rPr>
        <w:t xml:space="preserve">decay </w:t>
      </w:r>
      <w:r w:rsidR="00CF70C7" w:rsidRPr="0011372B">
        <w:rPr>
          <w:color w:val="000000" w:themeColor="text1"/>
        </w:rPr>
        <w:t>kinetic</w:t>
      </w:r>
      <w:r w:rsidR="009E43D9" w:rsidRPr="0011372B">
        <w:rPr>
          <w:color w:val="000000" w:themeColor="text1"/>
        </w:rPr>
        <w:t>.</w:t>
      </w:r>
      <w:r w:rsidR="00310749" w:rsidRPr="0011372B">
        <w:rPr>
          <w:color w:val="000000" w:themeColor="text1"/>
          <w:lang w:val="en-US"/>
        </w:rPr>
        <w:t xml:space="preserve"> The </w:t>
      </w:r>
      <w:proofErr w:type="spellStart"/>
      <w:r w:rsidR="00310749" w:rsidRPr="0011372B">
        <w:rPr>
          <w:color w:val="000000" w:themeColor="text1"/>
          <w:lang w:val="en-US"/>
        </w:rPr>
        <w:t>Ea</w:t>
      </w:r>
      <w:proofErr w:type="spellEnd"/>
      <w:r w:rsidR="00310749" w:rsidRPr="0011372B">
        <w:rPr>
          <w:color w:val="000000" w:themeColor="text1"/>
          <w:lang w:val="en-US"/>
        </w:rPr>
        <w:t xml:space="preserve"> </w:t>
      </w:r>
      <w:r w:rsidR="009E43D9" w:rsidRPr="0011372B">
        <w:rPr>
          <w:color w:val="000000" w:themeColor="text1"/>
          <w:lang w:val="en-US"/>
        </w:rPr>
        <w:t>allows</w:t>
      </w:r>
      <w:r w:rsidR="00310749" w:rsidRPr="0011372B">
        <w:rPr>
          <w:color w:val="000000" w:themeColor="text1"/>
          <w:lang w:val="en-US"/>
        </w:rPr>
        <w:t xml:space="preserve"> </w:t>
      </w:r>
      <w:r w:rsidR="009E43D9" w:rsidRPr="0011372B">
        <w:rPr>
          <w:color w:val="000000" w:themeColor="text1"/>
          <w:lang w:val="en-US"/>
        </w:rPr>
        <w:t xml:space="preserve">to </w:t>
      </w:r>
      <w:r w:rsidR="00152833" w:rsidRPr="0011372B">
        <w:rPr>
          <w:color w:val="000000" w:themeColor="text1"/>
          <w:lang w:val="en-US"/>
        </w:rPr>
        <w:t xml:space="preserve">estimate </w:t>
      </w:r>
      <w:r w:rsidR="00310749" w:rsidRPr="0011372B">
        <w:rPr>
          <w:color w:val="000000" w:themeColor="text1"/>
          <w:lang w:val="en-US"/>
        </w:rPr>
        <w:t>the quality indices of food samples</w:t>
      </w:r>
      <w:r w:rsidR="00152833" w:rsidRPr="0011372B">
        <w:rPr>
          <w:color w:val="000000" w:themeColor="text1"/>
          <w:lang w:val="en-US"/>
        </w:rPr>
        <w:t xml:space="preserve"> as </w:t>
      </w:r>
      <w:r w:rsidR="00310749" w:rsidRPr="0011372B">
        <w:rPr>
          <w:color w:val="000000" w:themeColor="text1"/>
          <w:lang w:val="en-US"/>
        </w:rPr>
        <w:t xml:space="preserve">function of temperature; </w:t>
      </w:r>
      <w:r w:rsidR="00CD5432" w:rsidRPr="0011372B">
        <w:rPr>
          <w:color w:val="000000" w:themeColor="text1"/>
        </w:rPr>
        <w:t>T</w:t>
      </w:r>
      <w:r w:rsidR="00C55170" w:rsidRPr="0011372B">
        <w:rPr>
          <w:color w:val="000000" w:themeColor="text1"/>
        </w:rPr>
        <w:t>he</w:t>
      </w:r>
      <w:r w:rsidR="00FA04B0" w:rsidRPr="0011372B">
        <w:rPr>
          <w:color w:val="000000" w:themeColor="text1"/>
        </w:rPr>
        <w:t xml:space="preserve"> </w:t>
      </w:r>
      <w:r w:rsidR="00840628" w:rsidRPr="0011372B">
        <w:rPr>
          <w:color w:val="000000" w:themeColor="text1"/>
        </w:rPr>
        <w:t xml:space="preserve">estimated </w:t>
      </w:r>
      <w:proofErr w:type="spellStart"/>
      <w:r w:rsidR="00FA04B0" w:rsidRPr="0011372B">
        <w:rPr>
          <w:color w:val="000000" w:themeColor="text1"/>
        </w:rPr>
        <w:t>Ea</w:t>
      </w:r>
      <w:proofErr w:type="spellEnd"/>
      <w:r w:rsidR="00FA04B0" w:rsidRPr="0011372B">
        <w:rPr>
          <w:color w:val="000000" w:themeColor="text1"/>
        </w:rPr>
        <w:t xml:space="preserve"> was </w:t>
      </w:r>
      <w:r w:rsidRPr="0011372B">
        <w:rPr>
          <w:color w:val="000000" w:themeColor="text1"/>
        </w:rPr>
        <w:t xml:space="preserve">equal to </w:t>
      </w:r>
      <w:r w:rsidR="00FA04B0" w:rsidRPr="0011372B">
        <w:rPr>
          <w:color w:val="000000" w:themeColor="text1"/>
        </w:rPr>
        <w:t>83.21 kJmol</w:t>
      </w:r>
      <w:r w:rsidR="003240D1" w:rsidRPr="0011372B">
        <w:rPr>
          <w:color w:val="000000" w:themeColor="text1"/>
          <w:vertAlign w:val="superscript"/>
        </w:rPr>
        <w:t>-1</w:t>
      </w:r>
      <w:r w:rsidR="00FA04B0" w:rsidRPr="0011372B">
        <w:rPr>
          <w:color w:val="000000" w:themeColor="text1"/>
        </w:rPr>
        <w:t xml:space="preserve"> </w:t>
      </w:r>
      <w:r w:rsidR="0007537C" w:rsidRPr="0011372B">
        <w:rPr>
          <w:color w:val="000000" w:themeColor="text1"/>
        </w:rPr>
        <w:t xml:space="preserve">(Table </w:t>
      </w:r>
      <w:r w:rsidR="0007537C" w:rsidRPr="00535030">
        <w:t>1)</w:t>
      </w:r>
      <w:r w:rsidR="00FA04B0" w:rsidRPr="00535030">
        <w:t>.</w:t>
      </w:r>
      <w:r w:rsidR="00C02D0D">
        <w:t xml:space="preserve"> </w:t>
      </w:r>
    </w:p>
    <w:p w14:paraId="085BB9AB" w14:textId="0E993A3B" w:rsidR="00CA44BF" w:rsidRDefault="00CA44BF" w:rsidP="00D02EEF">
      <w:pPr>
        <w:pStyle w:val="CETBodytext"/>
      </w:pPr>
      <w:r w:rsidRPr="00CA44BF">
        <w:rPr>
          <w:noProof/>
        </w:rPr>
        <w:drawing>
          <wp:anchor distT="0" distB="0" distL="114300" distR="114300" simplePos="0" relativeHeight="251667456" behindDoc="0" locked="0" layoutInCell="1" allowOverlap="1" wp14:anchorId="485DF110" wp14:editId="1B229C83">
            <wp:simplePos x="0" y="0"/>
            <wp:positionH relativeFrom="column">
              <wp:posOffset>2774315</wp:posOffset>
            </wp:positionH>
            <wp:positionV relativeFrom="paragraph">
              <wp:posOffset>144780</wp:posOffset>
            </wp:positionV>
            <wp:extent cx="2819400" cy="2463800"/>
            <wp:effectExtent l="0" t="0" r="0" b="0"/>
            <wp:wrapSquare wrapText="bothSides"/>
            <wp:docPr id="4" name="Grafico 4">
              <a:extLst xmlns:a="http://schemas.openxmlformats.org/drawingml/2006/main">
                <a:ext uri="{FF2B5EF4-FFF2-40B4-BE49-F238E27FC236}">
                  <a16:creationId xmlns:a16="http://schemas.microsoft.com/office/drawing/2014/main" id="{00000000-0008-0000-09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1830E2A" wp14:editId="2973FDB9">
            <wp:simplePos x="0" y="0"/>
            <wp:positionH relativeFrom="column">
              <wp:posOffset>-635</wp:posOffset>
            </wp:positionH>
            <wp:positionV relativeFrom="paragraph">
              <wp:posOffset>144780</wp:posOffset>
            </wp:positionV>
            <wp:extent cx="2901950" cy="2374900"/>
            <wp:effectExtent l="0" t="0" r="0" b="0"/>
            <wp:wrapSquare wrapText="bothSides"/>
            <wp:docPr id="7" name="Grafico 7">
              <a:extLst xmlns:a="http://schemas.openxmlformats.org/drawingml/2006/main">
                <a:ext uri="{FF2B5EF4-FFF2-40B4-BE49-F238E27FC236}">
                  <a16:creationId xmlns:a16="http://schemas.microsoft.com/office/drawing/2014/main" id="{00000000-0008-0000-09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92A9252" w14:textId="72606EF6" w:rsidR="008A3F58" w:rsidRPr="00D02EEF" w:rsidRDefault="008A3F58" w:rsidP="00D02EEF">
      <w:pPr>
        <w:pStyle w:val="CETBodytext"/>
      </w:pPr>
    </w:p>
    <w:p w14:paraId="6EDEC025" w14:textId="25559D62" w:rsidR="00535030" w:rsidRPr="0011372B" w:rsidRDefault="00EC6994" w:rsidP="00AD4D8B">
      <w:pPr>
        <w:tabs>
          <w:tab w:val="clear" w:pos="7100"/>
        </w:tabs>
        <w:spacing w:line="240" w:lineRule="auto"/>
        <w:rPr>
          <w:i/>
          <w:color w:val="000000" w:themeColor="text1"/>
        </w:rPr>
      </w:pPr>
      <w:r w:rsidRPr="0011372B">
        <w:rPr>
          <w:i/>
          <w:color w:val="000000" w:themeColor="text1"/>
        </w:rPr>
        <w:t>Figure 1:</w:t>
      </w:r>
      <w:r w:rsidR="009241A4" w:rsidRPr="0011372B">
        <w:rPr>
          <w:i/>
          <w:color w:val="000000" w:themeColor="text1"/>
        </w:rPr>
        <w:t xml:space="preserve"> </w:t>
      </w:r>
      <w:r w:rsidR="00CA44BF" w:rsidRPr="0011372B">
        <w:rPr>
          <w:i/>
          <w:color w:val="000000" w:themeColor="text1"/>
        </w:rPr>
        <w:t xml:space="preserve">(A) </w:t>
      </w:r>
      <w:bookmarkStart w:id="2" w:name="OLE_LINK7"/>
      <w:r w:rsidR="005C7F02" w:rsidRPr="0011372B">
        <w:rPr>
          <w:i/>
          <w:color w:val="000000" w:themeColor="text1"/>
        </w:rPr>
        <w:t>t</w:t>
      </w:r>
      <w:r w:rsidR="00CA44BF" w:rsidRPr="0011372B">
        <w:rPr>
          <w:i/>
          <w:color w:val="000000" w:themeColor="text1"/>
        </w:rPr>
        <w:t xml:space="preserve">otal phenol </w:t>
      </w:r>
      <w:bookmarkEnd w:id="2"/>
      <w:r w:rsidR="00CA44BF" w:rsidRPr="0011372B">
        <w:rPr>
          <w:i/>
          <w:color w:val="000000" w:themeColor="text1"/>
        </w:rPr>
        <w:t xml:space="preserve">values </w:t>
      </w:r>
      <w:r w:rsidR="00CF70C7" w:rsidRPr="0011372B">
        <w:rPr>
          <w:i/>
          <w:color w:val="000000" w:themeColor="text1"/>
        </w:rPr>
        <w:t xml:space="preserve">expressed as </w:t>
      </w:r>
      <w:r w:rsidR="00CA44BF" w:rsidRPr="0011372B">
        <w:rPr>
          <w:i/>
          <w:color w:val="000000" w:themeColor="text1"/>
        </w:rPr>
        <w:sym w:font="Symbol" w:char="F06D"/>
      </w:r>
      <w:r w:rsidR="00CA44BF" w:rsidRPr="0011372B">
        <w:rPr>
          <w:i/>
          <w:color w:val="000000" w:themeColor="text1"/>
        </w:rPr>
        <w:t xml:space="preserve">g GAE </w:t>
      </w:r>
      <w:proofErr w:type="spellStart"/>
      <w:r w:rsidR="00CA44BF" w:rsidRPr="0011372B">
        <w:rPr>
          <w:i/>
          <w:color w:val="000000" w:themeColor="text1"/>
        </w:rPr>
        <w:t>eq</w:t>
      </w:r>
      <w:proofErr w:type="spellEnd"/>
      <w:r w:rsidR="00CA44BF" w:rsidRPr="0011372B">
        <w:rPr>
          <w:i/>
          <w:color w:val="000000" w:themeColor="text1"/>
        </w:rPr>
        <w:t>/</w:t>
      </w:r>
      <w:proofErr w:type="spellStart"/>
      <w:r w:rsidR="00CA44BF" w:rsidRPr="0011372B">
        <w:rPr>
          <w:i/>
          <w:color w:val="000000" w:themeColor="text1"/>
        </w:rPr>
        <w:t>gFW</w:t>
      </w:r>
      <w:proofErr w:type="spellEnd"/>
      <w:r w:rsidR="00CF70C7" w:rsidRPr="0011372B">
        <w:rPr>
          <w:i/>
          <w:color w:val="000000" w:themeColor="text1"/>
        </w:rPr>
        <w:t>;</w:t>
      </w:r>
      <w:r w:rsidR="00CA44BF" w:rsidRPr="0011372B">
        <w:rPr>
          <w:i/>
          <w:color w:val="000000" w:themeColor="text1"/>
        </w:rPr>
        <w:t xml:space="preserve"> (B) </w:t>
      </w:r>
      <w:r w:rsidR="005C7F02" w:rsidRPr="0011372B">
        <w:rPr>
          <w:i/>
          <w:color w:val="000000" w:themeColor="text1"/>
        </w:rPr>
        <w:t>t</w:t>
      </w:r>
      <w:r w:rsidR="00840628" w:rsidRPr="0011372B">
        <w:rPr>
          <w:i/>
          <w:color w:val="000000" w:themeColor="text1"/>
        </w:rPr>
        <w:t xml:space="preserve">otal phenol </w:t>
      </w:r>
      <w:r w:rsidR="00CD5432" w:rsidRPr="0011372B">
        <w:rPr>
          <w:i/>
          <w:color w:val="000000" w:themeColor="text1"/>
        </w:rPr>
        <w:t xml:space="preserve">values </w:t>
      </w:r>
      <w:r w:rsidR="00C02D0D" w:rsidRPr="0011372B">
        <w:rPr>
          <w:i/>
          <w:color w:val="000000" w:themeColor="text1"/>
        </w:rPr>
        <w:t>expressed as the ratio between the total phenol at time “t”</w:t>
      </w:r>
      <w:r w:rsidR="00CD3FB6" w:rsidRPr="0011372B">
        <w:rPr>
          <w:i/>
          <w:color w:val="000000" w:themeColor="text1"/>
        </w:rPr>
        <w:t xml:space="preserve"> </w:t>
      </w:r>
      <w:r w:rsidR="00C02D0D" w:rsidRPr="0011372B">
        <w:rPr>
          <w:i/>
          <w:color w:val="000000" w:themeColor="text1"/>
        </w:rPr>
        <w:t xml:space="preserve">(Q) </w:t>
      </w:r>
      <w:r w:rsidR="00CD5432" w:rsidRPr="0011372B">
        <w:rPr>
          <w:i/>
          <w:color w:val="000000" w:themeColor="text1"/>
        </w:rPr>
        <w:t xml:space="preserve">and </w:t>
      </w:r>
      <w:r w:rsidR="00C02D0D" w:rsidRPr="0011372B">
        <w:rPr>
          <w:i/>
          <w:color w:val="000000" w:themeColor="text1"/>
        </w:rPr>
        <w:t>the total phenol at</w:t>
      </w:r>
      <w:r w:rsidR="00CD5432" w:rsidRPr="0011372B">
        <w:rPr>
          <w:i/>
          <w:color w:val="000000" w:themeColor="text1"/>
        </w:rPr>
        <w:t xml:space="preserve"> time zero</w:t>
      </w:r>
      <w:r w:rsidR="00CD3FB6" w:rsidRPr="0011372B">
        <w:rPr>
          <w:i/>
          <w:color w:val="000000" w:themeColor="text1"/>
        </w:rPr>
        <w:t xml:space="preserve"> (</w:t>
      </w:r>
      <w:proofErr w:type="spellStart"/>
      <w:r w:rsidR="00CD3FB6" w:rsidRPr="0011372B">
        <w:rPr>
          <w:i/>
          <w:color w:val="000000" w:themeColor="text1"/>
        </w:rPr>
        <w:t>Q</w:t>
      </w:r>
      <w:r w:rsidR="00CD3FB6" w:rsidRPr="0011372B">
        <w:rPr>
          <w:i/>
          <w:color w:val="000000" w:themeColor="text1"/>
          <w:vertAlign w:val="subscript"/>
        </w:rPr>
        <w:t>o</w:t>
      </w:r>
      <w:proofErr w:type="spellEnd"/>
      <w:r w:rsidR="00CD3FB6" w:rsidRPr="0011372B">
        <w:rPr>
          <w:i/>
          <w:color w:val="000000" w:themeColor="text1"/>
        </w:rPr>
        <w:t>)</w:t>
      </w:r>
      <w:r w:rsidR="002E09C6" w:rsidRPr="0011372B">
        <w:rPr>
          <w:i/>
          <w:color w:val="000000" w:themeColor="text1"/>
        </w:rPr>
        <w:t>,</w:t>
      </w:r>
      <w:r w:rsidR="00CD5432" w:rsidRPr="0011372B">
        <w:rPr>
          <w:i/>
          <w:color w:val="000000" w:themeColor="text1"/>
        </w:rPr>
        <w:t xml:space="preserve"> of iceberg lettuce vs storage time at 4°C (●), 8°C (■), and 12°C (▲). The points represent </w:t>
      </w:r>
      <w:r w:rsidR="00C02D0D" w:rsidRPr="0011372B">
        <w:rPr>
          <w:i/>
          <w:color w:val="000000" w:themeColor="text1"/>
        </w:rPr>
        <w:t>experimental data</w:t>
      </w:r>
      <w:r w:rsidR="00CD5432" w:rsidRPr="0011372B">
        <w:rPr>
          <w:i/>
          <w:color w:val="000000" w:themeColor="text1"/>
        </w:rPr>
        <w:t xml:space="preserve">, while the lines </w:t>
      </w:r>
      <w:r w:rsidR="00310749" w:rsidRPr="0011372B">
        <w:rPr>
          <w:i/>
          <w:color w:val="000000" w:themeColor="text1"/>
        </w:rPr>
        <w:t>represent</w:t>
      </w:r>
      <w:r w:rsidR="00C02D0D" w:rsidRPr="0011372B">
        <w:rPr>
          <w:i/>
          <w:color w:val="000000" w:themeColor="text1"/>
        </w:rPr>
        <w:t xml:space="preserve"> the prediction by using the eq. 2</w:t>
      </w:r>
      <w:r w:rsidR="00CD5432" w:rsidRPr="0011372B">
        <w:rPr>
          <w:i/>
          <w:color w:val="000000" w:themeColor="text1"/>
        </w:rPr>
        <w:t>. Error bars indicate ± standard deviation</w:t>
      </w:r>
    </w:p>
    <w:p w14:paraId="60836EB3" w14:textId="2D3AA86A" w:rsidR="00152833" w:rsidRPr="0011372B" w:rsidRDefault="00152833" w:rsidP="00AD4D8B">
      <w:pPr>
        <w:tabs>
          <w:tab w:val="clear" w:pos="7100"/>
        </w:tabs>
        <w:spacing w:line="240" w:lineRule="auto"/>
        <w:rPr>
          <w:i/>
          <w:color w:val="000000" w:themeColor="text1"/>
        </w:rPr>
      </w:pPr>
    </w:p>
    <w:p w14:paraId="3E5BA6C0" w14:textId="5D18EF16" w:rsidR="00152833" w:rsidRDefault="00152833" w:rsidP="00AD4D8B">
      <w:pPr>
        <w:tabs>
          <w:tab w:val="clear" w:pos="7100"/>
        </w:tabs>
        <w:spacing w:line="240" w:lineRule="auto"/>
        <w:rPr>
          <w:i/>
        </w:rPr>
      </w:pPr>
    </w:p>
    <w:p w14:paraId="209908F1" w14:textId="29F8D93F" w:rsidR="00152833" w:rsidRDefault="00152833" w:rsidP="00AD4D8B">
      <w:pPr>
        <w:tabs>
          <w:tab w:val="clear" w:pos="7100"/>
        </w:tabs>
        <w:spacing w:line="240" w:lineRule="auto"/>
        <w:rPr>
          <w:i/>
        </w:rPr>
      </w:pPr>
    </w:p>
    <w:p w14:paraId="4AB31B9B" w14:textId="77777777" w:rsidR="00152833" w:rsidRPr="00535030" w:rsidRDefault="00152833" w:rsidP="00AD4D8B">
      <w:pPr>
        <w:tabs>
          <w:tab w:val="clear" w:pos="7100"/>
        </w:tabs>
        <w:spacing w:line="240" w:lineRule="auto"/>
      </w:pPr>
    </w:p>
    <w:p w14:paraId="5AEBD69D" w14:textId="77777777" w:rsidR="00CA44BF" w:rsidRDefault="00CA44BF" w:rsidP="00AD4D8B"/>
    <w:p w14:paraId="51D23858" w14:textId="632699EC" w:rsidR="00F17EB2" w:rsidRDefault="00F17EB2" w:rsidP="00AD4D8B">
      <w:pPr>
        <w:tabs>
          <w:tab w:val="clear" w:pos="7100"/>
        </w:tabs>
        <w:spacing w:line="240" w:lineRule="auto"/>
      </w:pPr>
      <w:r>
        <w:lastRenderedPageBreak/>
        <w:t xml:space="preserve">Table 1: </w:t>
      </w:r>
      <w:r w:rsidR="00840628">
        <w:t>Kinetic constant</w:t>
      </w:r>
      <w:r w:rsidR="00ED65CF">
        <w:t xml:space="preserve"> (k)</w:t>
      </w:r>
      <w:r w:rsidR="00840628">
        <w:t xml:space="preserve"> at different temperature</w:t>
      </w:r>
      <w:r w:rsidR="00ED65CF">
        <w:t>s</w:t>
      </w:r>
      <w:r w:rsidR="00840628">
        <w:t xml:space="preserve"> and activation energy </w:t>
      </w:r>
      <w:r w:rsidR="00ED65CF">
        <w:t>(</w:t>
      </w:r>
      <w:proofErr w:type="spellStart"/>
      <w:r w:rsidR="00ED65CF">
        <w:t>Ea</w:t>
      </w:r>
      <w:proofErr w:type="spellEnd"/>
      <w:r w:rsidR="00ED65CF">
        <w:t xml:space="preserve">) </w:t>
      </w:r>
      <w:r w:rsidR="00840628">
        <w:t>of total phenol oxidation</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417"/>
        <w:gridCol w:w="1276"/>
        <w:gridCol w:w="1276"/>
      </w:tblGrid>
      <w:tr w:rsidR="00CA44BF" w:rsidRPr="00B57B36" w14:paraId="7250DCB7" w14:textId="77777777" w:rsidTr="00157EB5">
        <w:trPr>
          <w:jc w:val="center"/>
        </w:trPr>
        <w:tc>
          <w:tcPr>
            <w:tcW w:w="851" w:type="dxa"/>
            <w:tcBorders>
              <w:top w:val="single" w:sz="4" w:space="0" w:color="000000"/>
              <w:bottom w:val="single" w:sz="4" w:space="0" w:color="000000"/>
            </w:tcBorders>
            <w:shd w:val="clear" w:color="auto" w:fill="FFFFFF"/>
            <w:vAlign w:val="center"/>
          </w:tcPr>
          <w:p w14:paraId="08C8797D" w14:textId="40435BF8" w:rsidR="00CA44BF" w:rsidRPr="00B57B36" w:rsidRDefault="00CA44BF" w:rsidP="00CA44BF">
            <w:pPr>
              <w:pStyle w:val="CETBodytext"/>
              <w:jc w:val="center"/>
              <w:rPr>
                <w:lang w:val="en-GB"/>
              </w:rPr>
            </w:pPr>
            <w:r>
              <w:rPr>
                <w:lang w:val="en-GB"/>
              </w:rPr>
              <w:t>T (°C)</w:t>
            </w:r>
          </w:p>
        </w:tc>
        <w:tc>
          <w:tcPr>
            <w:tcW w:w="1417" w:type="dxa"/>
            <w:tcBorders>
              <w:top w:val="single" w:sz="4" w:space="0" w:color="000000"/>
              <w:bottom w:val="single" w:sz="4" w:space="0" w:color="000000"/>
            </w:tcBorders>
            <w:shd w:val="clear" w:color="auto" w:fill="FFFFFF"/>
            <w:vAlign w:val="center"/>
          </w:tcPr>
          <w:p w14:paraId="0DE96B02" w14:textId="77777777" w:rsidR="00CA44BF" w:rsidRPr="00F17EB2" w:rsidRDefault="00CA44BF" w:rsidP="00CA44BF">
            <w:pPr>
              <w:pStyle w:val="CETBodytext"/>
              <w:jc w:val="center"/>
              <w:rPr>
                <w:lang w:val="en-GB"/>
              </w:rPr>
            </w:pPr>
            <w:r>
              <w:rPr>
                <w:lang w:val="en-GB"/>
              </w:rPr>
              <w:t>k (h</w:t>
            </w:r>
            <w:r>
              <w:rPr>
                <w:vertAlign w:val="superscript"/>
                <w:lang w:val="en-GB"/>
              </w:rPr>
              <w:t>-1</w:t>
            </w:r>
            <w:r>
              <w:rPr>
                <w:lang w:val="en-GB"/>
              </w:rPr>
              <w:t>)</w:t>
            </w:r>
          </w:p>
        </w:tc>
        <w:tc>
          <w:tcPr>
            <w:tcW w:w="1276" w:type="dxa"/>
            <w:tcBorders>
              <w:top w:val="single" w:sz="4" w:space="0" w:color="000000"/>
              <w:bottom w:val="single" w:sz="4" w:space="0" w:color="000000"/>
            </w:tcBorders>
            <w:shd w:val="clear" w:color="auto" w:fill="FFFFFF"/>
          </w:tcPr>
          <w:p w14:paraId="3A2B70B0" w14:textId="579C9984" w:rsidR="00CA44BF" w:rsidRDefault="00D23995" w:rsidP="00CA44BF">
            <w:pPr>
              <w:pStyle w:val="CETBodytext"/>
              <w:jc w:val="center"/>
              <w:rPr>
                <w:lang w:val="en-GB"/>
              </w:rPr>
            </w:pPr>
            <m:oMathPara>
              <m:oMath>
                <m:f>
                  <m:fPr>
                    <m:type m:val="skw"/>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inf</m:t>
                        </m:r>
                      </m:sub>
                    </m:sSub>
                  </m:num>
                  <m:den>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o</m:t>
                        </m:r>
                      </m:sub>
                    </m:sSub>
                  </m:den>
                </m:f>
              </m:oMath>
            </m:oMathPara>
          </w:p>
        </w:tc>
        <w:tc>
          <w:tcPr>
            <w:tcW w:w="1276" w:type="dxa"/>
            <w:tcBorders>
              <w:top w:val="single" w:sz="4" w:space="0" w:color="000000"/>
              <w:bottom w:val="single" w:sz="4" w:space="0" w:color="000000"/>
            </w:tcBorders>
            <w:shd w:val="clear" w:color="auto" w:fill="FFFFFF"/>
            <w:vAlign w:val="center"/>
          </w:tcPr>
          <w:p w14:paraId="4EBAE0DA" w14:textId="42365A1A" w:rsidR="00CA44BF" w:rsidRPr="00B57B36" w:rsidRDefault="00CA44BF" w:rsidP="00CA44BF">
            <w:pPr>
              <w:pStyle w:val="CETBodytext"/>
              <w:jc w:val="center"/>
              <w:rPr>
                <w:lang w:val="en-GB"/>
              </w:rPr>
            </w:pPr>
            <w:proofErr w:type="spellStart"/>
            <w:r>
              <w:rPr>
                <w:lang w:val="en-GB"/>
              </w:rPr>
              <w:t>Ea</w:t>
            </w:r>
            <w:proofErr w:type="spellEnd"/>
            <w:r>
              <w:rPr>
                <w:lang w:val="en-GB"/>
              </w:rPr>
              <w:t xml:space="preserve"> (kJmol</w:t>
            </w:r>
            <w:r w:rsidRPr="00ED65CF">
              <w:rPr>
                <w:vertAlign w:val="superscript"/>
                <w:lang w:val="en-GB"/>
              </w:rPr>
              <w:t>-1</w:t>
            </w:r>
            <w:r>
              <w:rPr>
                <w:lang w:val="en-GB"/>
              </w:rPr>
              <w:t>)</w:t>
            </w:r>
          </w:p>
        </w:tc>
      </w:tr>
      <w:tr w:rsidR="00CA44BF" w:rsidRPr="00B57B36" w14:paraId="0CAEF1FB" w14:textId="77777777" w:rsidTr="00157EB5">
        <w:trPr>
          <w:jc w:val="center"/>
        </w:trPr>
        <w:tc>
          <w:tcPr>
            <w:tcW w:w="851" w:type="dxa"/>
            <w:tcBorders>
              <w:top w:val="single" w:sz="4" w:space="0" w:color="000000"/>
            </w:tcBorders>
            <w:shd w:val="clear" w:color="auto" w:fill="FFFFFF"/>
            <w:vAlign w:val="center"/>
          </w:tcPr>
          <w:p w14:paraId="23304A4C" w14:textId="77777777" w:rsidR="00CA44BF" w:rsidRPr="00B57B36" w:rsidRDefault="00CA44BF" w:rsidP="00CA44BF">
            <w:pPr>
              <w:pStyle w:val="CETBodytext"/>
              <w:jc w:val="center"/>
              <w:rPr>
                <w:lang w:val="en-GB"/>
              </w:rPr>
            </w:pPr>
            <w:r>
              <w:rPr>
                <w:lang w:val="en-GB"/>
              </w:rPr>
              <w:t>4</w:t>
            </w:r>
          </w:p>
        </w:tc>
        <w:tc>
          <w:tcPr>
            <w:tcW w:w="1417" w:type="dxa"/>
            <w:tcBorders>
              <w:top w:val="single" w:sz="4" w:space="0" w:color="000000"/>
            </w:tcBorders>
            <w:shd w:val="clear" w:color="auto" w:fill="FFFFFF"/>
            <w:vAlign w:val="center"/>
          </w:tcPr>
          <w:p w14:paraId="0E9F1C28" w14:textId="5C94A565" w:rsidR="00CA44BF" w:rsidRPr="00B57B36" w:rsidRDefault="00CA44BF" w:rsidP="00CA44BF">
            <w:pPr>
              <w:pStyle w:val="CETBodytext"/>
              <w:jc w:val="center"/>
              <w:rPr>
                <w:lang w:val="en-GB"/>
              </w:rPr>
            </w:pPr>
            <w:r>
              <w:rPr>
                <w:lang w:val="en-GB"/>
              </w:rPr>
              <w:t>0.0072</w:t>
            </w:r>
            <w:r>
              <w:sym w:font="Symbol" w:char="F0B1"/>
            </w:r>
            <w:r>
              <w:t xml:space="preserve"> 0.001</w:t>
            </w:r>
          </w:p>
        </w:tc>
        <w:tc>
          <w:tcPr>
            <w:tcW w:w="1276" w:type="dxa"/>
            <w:tcBorders>
              <w:top w:val="single" w:sz="4" w:space="0" w:color="000000"/>
            </w:tcBorders>
            <w:shd w:val="clear" w:color="auto" w:fill="FFFFFF"/>
          </w:tcPr>
          <w:p w14:paraId="14D71511" w14:textId="7923320F" w:rsidR="00CA44BF" w:rsidRDefault="00CA44BF" w:rsidP="00CA44BF">
            <w:pPr>
              <w:pStyle w:val="CETBodytext"/>
              <w:jc w:val="center"/>
              <w:rPr>
                <w:lang w:val="en-GB"/>
              </w:rPr>
            </w:pPr>
            <w:r>
              <w:rPr>
                <w:lang w:val="en-GB"/>
              </w:rPr>
              <w:t>0.075</w:t>
            </w:r>
            <w:r>
              <w:sym w:font="Symbol" w:char="F0B1"/>
            </w:r>
            <w:r>
              <w:t xml:space="preserve"> 0.001</w:t>
            </w:r>
          </w:p>
        </w:tc>
        <w:tc>
          <w:tcPr>
            <w:tcW w:w="1276" w:type="dxa"/>
            <w:tcBorders>
              <w:top w:val="single" w:sz="4" w:space="0" w:color="000000"/>
            </w:tcBorders>
            <w:shd w:val="clear" w:color="auto" w:fill="FFFFFF"/>
            <w:vAlign w:val="center"/>
          </w:tcPr>
          <w:p w14:paraId="0907D625" w14:textId="2F8ED03A" w:rsidR="00CA44BF" w:rsidRPr="00B57B36" w:rsidRDefault="00CA44BF" w:rsidP="00CA44BF">
            <w:pPr>
              <w:pStyle w:val="CETBodytext"/>
              <w:jc w:val="center"/>
              <w:rPr>
                <w:lang w:val="en-GB"/>
              </w:rPr>
            </w:pPr>
            <w:r>
              <w:rPr>
                <w:lang w:val="en-GB"/>
              </w:rPr>
              <w:t>83.21</w:t>
            </w:r>
          </w:p>
        </w:tc>
      </w:tr>
      <w:tr w:rsidR="00CA44BF" w:rsidRPr="00B57B36" w14:paraId="0EAA14A6" w14:textId="77777777" w:rsidTr="00157EB5">
        <w:trPr>
          <w:jc w:val="center"/>
        </w:trPr>
        <w:tc>
          <w:tcPr>
            <w:tcW w:w="851" w:type="dxa"/>
            <w:tcBorders>
              <w:bottom w:val="single" w:sz="4" w:space="0" w:color="000000"/>
            </w:tcBorders>
            <w:shd w:val="clear" w:color="auto" w:fill="FFFFFF"/>
            <w:vAlign w:val="center"/>
          </w:tcPr>
          <w:p w14:paraId="2E85E7ED" w14:textId="77777777" w:rsidR="00CA44BF" w:rsidRDefault="00CA44BF" w:rsidP="00CA44BF">
            <w:pPr>
              <w:pStyle w:val="CETBodytext"/>
              <w:ind w:right="-1"/>
              <w:jc w:val="center"/>
              <w:rPr>
                <w:rFonts w:cs="Arial"/>
                <w:szCs w:val="18"/>
                <w:lang w:val="en-GB"/>
              </w:rPr>
            </w:pPr>
            <w:r>
              <w:rPr>
                <w:rFonts w:cs="Arial"/>
                <w:szCs w:val="18"/>
                <w:lang w:val="en-GB"/>
              </w:rPr>
              <w:t>8</w:t>
            </w:r>
          </w:p>
          <w:p w14:paraId="621F3C59" w14:textId="77777777" w:rsidR="00CA44BF" w:rsidRPr="00B57B36" w:rsidRDefault="00CA44BF" w:rsidP="00CA44BF">
            <w:pPr>
              <w:pStyle w:val="CETBodytext"/>
              <w:ind w:right="-1"/>
              <w:jc w:val="center"/>
              <w:rPr>
                <w:rFonts w:cs="Arial"/>
                <w:szCs w:val="18"/>
                <w:lang w:val="en-GB"/>
              </w:rPr>
            </w:pPr>
            <w:r>
              <w:rPr>
                <w:rFonts w:cs="Arial"/>
                <w:szCs w:val="18"/>
                <w:lang w:val="en-GB"/>
              </w:rPr>
              <w:t>12</w:t>
            </w:r>
          </w:p>
        </w:tc>
        <w:tc>
          <w:tcPr>
            <w:tcW w:w="1417" w:type="dxa"/>
            <w:tcBorders>
              <w:bottom w:val="single" w:sz="4" w:space="0" w:color="000000"/>
            </w:tcBorders>
            <w:shd w:val="clear" w:color="auto" w:fill="FFFFFF"/>
            <w:vAlign w:val="center"/>
          </w:tcPr>
          <w:p w14:paraId="635B0696" w14:textId="29AF78BD" w:rsidR="00CA44BF" w:rsidRDefault="00CA44BF" w:rsidP="00CA44BF">
            <w:pPr>
              <w:pStyle w:val="CETBodytext"/>
              <w:ind w:right="-1"/>
              <w:jc w:val="center"/>
              <w:rPr>
                <w:rFonts w:cs="Arial"/>
                <w:szCs w:val="18"/>
                <w:lang w:val="en-GB"/>
              </w:rPr>
            </w:pPr>
            <w:r>
              <w:rPr>
                <w:rFonts w:cs="Arial"/>
                <w:szCs w:val="18"/>
                <w:lang w:val="en-GB"/>
              </w:rPr>
              <w:t xml:space="preserve">0.0095 </w:t>
            </w:r>
            <w:r>
              <w:sym w:font="Symbol" w:char="F0B1"/>
            </w:r>
            <w:r>
              <w:t xml:space="preserve"> 0</w:t>
            </w:r>
            <w:r w:rsidRPr="00457381">
              <w:rPr>
                <w:color w:val="FF0000"/>
              </w:rPr>
              <w:t>.</w:t>
            </w:r>
            <w:r>
              <w:t>001</w:t>
            </w:r>
          </w:p>
          <w:p w14:paraId="361883AE" w14:textId="60317FC1" w:rsidR="00CA44BF" w:rsidRPr="00B57B36" w:rsidRDefault="00CA44BF" w:rsidP="00CA44BF">
            <w:pPr>
              <w:pStyle w:val="CETBodytext"/>
              <w:ind w:right="-1"/>
              <w:jc w:val="center"/>
              <w:rPr>
                <w:rFonts w:cs="Arial"/>
                <w:szCs w:val="18"/>
                <w:lang w:val="en-GB"/>
              </w:rPr>
            </w:pPr>
            <w:r>
              <w:rPr>
                <w:rFonts w:cs="Arial"/>
                <w:szCs w:val="18"/>
                <w:lang w:val="en-GB"/>
              </w:rPr>
              <w:t xml:space="preserve">0.012 </w:t>
            </w:r>
            <w:r>
              <w:sym w:font="Symbol" w:char="F0B1"/>
            </w:r>
            <w:r>
              <w:t xml:space="preserve"> 0</w:t>
            </w:r>
            <w:r w:rsidRPr="00457381">
              <w:rPr>
                <w:color w:val="FF0000"/>
              </w:rPr>
              <w:t>.</w:t>
            </w:r>
            <w:r>
              <w:t>006</w:t>
            </w:r>
          </w:p>
        </w:tc>
        <w:tc>
          <w:tcPr>
            <w:tcW w:w="1276" w:type="dxa"/>
            <w:tcBorders>
              <w:bottom w:val="single" w:sz="4" w:space="0" w:color="000000"/>
            </w:tcBorders>
            <w:shd w:val="clear" w:color="auto" w:fill="FFFFFF"/>
          </w:tcPr>
          <w:p w14:paraId="463F2E3A" w14:textId="77777777" w:rsidR="00CA44BF" w:rsidRDefault="00CA44BF" w:rsidP="00CA44BF">
            <w:pPr>
              <w:pStyle w:val="CETBodytext"/>
              <w:ind w:right="-1"/>
              <w:jc w:val="center"/>
            </w:pPr>
            <w:r>
              <w:rPr>
                <w:lang w:val="en-GB"/>
              </w:rPr>
              <w:t>0.075</w:t>
            </w:r>
            <w:r>
              <w:sym w:font="Symbol" w:char="F0B1"/>
            </w:r>
            <w:r>
              <w:t xml:space="preserve"> 0.001</w:t>
            </w:r>
          </w:p>
          <w:p w14:paraId="08F96F59" w14:textId="2374787E" w:rsidR="00CA44BF" w:rsidRPr="00B57B36" w:rsidRDefault="00CA44BF" w:rsidP="00CA44BF">
            <w:pPr>
              <w:pStyle w:val="CETBodytext"/>
              <w:ind w:right="-1"/>
              <w:jc w:val="center"/>
              <w:rPr>
                <w:rFonts w:cs="Arial"/>
                <w:szCs w:val="18"/>
                <w:lang w:val="en-GB"/>
              </w:rPr>
            </w:pPr>
            <w:r>
              <w:rPr>
                <w:rFonts w:cs="Arial"/>
                <w:szCs w:val="18"/>
                <w:lang w:val="en-GB"/>
              </w:rPr>
              <w:t>0</w:t>
            </w:r>
          </w:p>
        </w:tc>
        <w:tc>
          <w:tcPr>
            <w:tcW w:w="1276" w:type="dxa"/>
            <w:tcBorders>
              <w:bottom w:val="single" w:sz="4" w:space="0" w:color="000000"/>
            </w:tcBorders>
            <w:shd w:val="clear" w:color="auto" w:fill="FFFFFF"/>
            <w:vAlign w:val="center"/>
          </w:tcPr>
          <w:p w14:paraId="65808639" w14:textId="1A4FF868" w:rsidR="00CA44BF" w:rsidRPr="00B57B36" w:rsidRDefault="00CA44BF" w:rsidP="00CA44BF">
            <w:pPr>
              <w:pStyle w:val="CETBodytext"/>
              <w:ind w:right="-1"/>
              <w:jc w:val="center"/>
              <w:rPr>
                <w:rFonts w:cs="Arial"/>
                <w:szCs w:val="18"/>
                <w:lang w:val="en-GB"/>
              </w:rPr>
            </w:pPr>
          </w:p>
        </w:tc>
      </w:tr>
    </w:tbl>
    <w:p w14:paraId="40D96AC3" w14:textId="77777777" w:rsidR="00641EFA" w:rsidRDefault="00641EFA" w:rsidP="00CC678E">
      <w:pPr>
        <w:pStyle w:val="CETBodytext"/>
      </w:pPr>
    </w:p>
    <w:p w14:paraId="0B360DBD" w14:textId="65C0A81A" w:rsidR="00CC678E" w:rsidRDefault="004D3DE0" w:rsidP="00CC678E">
      <w:pPr>
        <w:pStyle w:val="CETBodytext"/>
      </w:pPr>
      <w:r>
        <w:t xml:space="preserve">The </w:t>
      </w:r>
      <w:r w:rsidR="00AD4CDF">
        <w:t>BI</w:t>
      </w:r>
      <w:r>
        <w:t xml:space="preserve"> was </w:t>
      </w:r>
      <w:r w:rsidR="00AD4CDF">
        <w:t>af</w:t>
      </w:r>
      <w:r>
        <w:t>fected by different temperature condition.</w:t>
      </w:r>
      <w:r w:rsidR="00C46682">
        <w:t xml:space="preserve"> </w:t>
      </w:r>
      <w:r w:rsidR="00AD4CDF">
        <w:t xml:space="preserve">As general trend, the BI increased by increasing temperature. </w:t>
      </w:r>
      <w:r>
        <w:t>A</w:t>
      </w:r>
      <w:r w:rsidR="00EC60A5" w:rsidRPr="00EC60A5">
        <w:t>t 4°</w:t>
      </w:r>
      <w:r w:rsidR="00EC60A5">
        <w:t>C</w:t>
      </w:r>
      <w:r w:rsidR="00D248D9">
        <w:t xml:space="preserve"> and 8°C</w:t>
      </w:r>
      <w:r w:rsidR="00641EFA">
        <w:t>,</w:t>
      </w:r>
      <w:r w:rsidR="00EC60A5" w:rsidRPr="00EC60A5">
        <w:t xml:space="preserve"> </w:t>
      </w:r>
      <w:r w:rsidR="00EC60A5">
        <w:t xml:space="preserve">BI </w:t>
      </w:r>
      <w:r w:rsidR="00AD4CDF">
        <w:t xml:space="preserve">reached a value of </w:t>
      </w:r>
      <w:r w:rsidR="00EC60A5" w:rsidRPr="00EC60A5">
        <w:t>0.6</w:t>
      </w:r>
      <w:r w:rsidR="001262F8">
        <w:t>4</w:t>
      </w:r>
      <w:r w:rsidR="003B36F9">
        <w:t xml:space="preserve"> </w:t>
      </w:r>
      <w:r w:rsidR="001262F8">
        <w:sym w:font="Symbol" w:char="F0B1"/>
      </w:r>
      <w:r w:rsidR="003B36F9">
        <w:t xml:space="preserve"> 0.02</w:t>
      </w:r>
      <w:r w:rsidR="00EC60A5" w:rsidRPr="00EC60A5">
        <w:t xml:space="preserve"> </w:t>
      </w:r>
      <w:r w:rsidR="00D248D9">
        <w:t>and 0.</w:t>
      </w:r>
      <w:r w:rsidR="003B36F9">
        <w:t>7</w:t>
      </w:r>
      <w:r w:rsidR="009C143F">
        <w:t>0</w:t>
      </w:r>
      <w:r w:rsidR="003B36F9">
        <w:t xml:space="preserve"> </w:t>
      </w:r>
      <w:r w:rsidR="003B36F9">
        <w:sym w:font="Symbol" w:char="F0B1"/>
      </w:r>
      <w:r w:rsidR="003B36F9">
        <w:t xml:space="preserve"> </w:t>
      </w:r>
      <w:r w:rsidR="00BA03A7">
        <w:t>0.02</w:t>
      </w:r>
      <w:r w:rsidR="00D248D9">
        <w:t xml:space="preserve"> </w:t>
      </w:r>
      <w:r w:rsidR="00EC60A5" w:rsidRPr="00EC60A5">
        <w:t>after 216</w:t>
      </w:r>
      <w:r w:rsidR="009D47EE">
        <w:t xml:space="preserve"> </w:t>
      </w:r>
      <w:r w:rsidR="00EC60A5" w:rsidRPr="00EC60A5">
        <w:t>h</w:t>
      </w:r>
      <w:r w:rsidR="00370CF1">
        <w:t xml:space="preserve"> </w:t>
      </w:r>
      <w:r w:rsidR="00D248D9">
        <w:t>of storage</w:t>
      </w:r>
      <w:r w:rsidR="00AD4CDF">
        <w:t xml:space="preserve">, </w:t>
      </w:r>
      <w:r w:rsidR="00D248D9">
        <w:t>respectively. At 12°C BI was equal to 0.8</w:t>
      </w:r>
      <w:r w:rsidR="009C143F">
        <w:t>00</w:t>
      </w:r>
      <w:r w:rsidR="00D248D9">
        <w:t xml:space="preserve"> </w:t>
      </w:r>
      <w:r w:rsidR="00BA03A7">
        <w:sym w:font="Symbol" w:char="F0B1"/>
      </w:r>
      <w:r w:rsidR="00BA03A7">
        <w:t xml:space="preserve"> 0.004 </w:t>
      </w:r>
      <w:r w:rsidR="00D248D9">
        <w:t xml:space="preserve">after </w:t>
      </w:r>
      <w:r w:rsidR="00BA03A7">
        <w:t>100</w:t>
      </w:r>
      <w:r w:rsidR="00D248D9">
        <w:t xml:space="preserve"> h of storage.</w:t>
      </w:r>
      <w:r w:rsidR="009137EB">
        <w:t xml:space="preserve"> T</w:t>
      </w:r>
      <w:r w:rsidR="009137EB" w:rsidRPr="009137EB">
        <w:t xml:space="preserve">he increase </w:t>
      </w:r>
      <w:r w:rsidR="009137EB">
        <w:t>of</w:t>
      </w:r>
      <w:r w:rsidR="009137EB" w:rsidRPr="009137EB">
        <w:t xml:space="preserve"> browning index </w:t>
      </w:r>
      <w:r w:rsidR="00D248D9">
        <w:t>is</w:t>
      </w:r>
      <w:r w:rsidR="009137EB" w:rsidRPr="009137EB">
        <w:t xml:space="preserve"> described by a pseudo first order equation, </w:t>
      </w:r>
      <w:r w:rsidR="00AD4CDF">
        <w:t>until the</w:t>
      </w:r>
      <w:r w:rsidR="009137EB" w:rsidRPr="009137EB">
        <w:t xml:space="preserve"> index value reach</w:t>
      </w:r>
      <w:r w:rsidR="00AD4CDF">
        <w:t>ed</w:t>
      </w:r>
      <w:r w:rsidR="009137EB" w:rsidRPr="009137EB">
        <w:t xml:space="preserve"> an equilibrium</w:t>
      </w:r>
      <w:r w:rsidR="009D47EE">
        <w:t>.</w:t>
      </w:r>
      <w:r w:rsidR="00ED4F32" w:rsidRPr="00ED4F32">
        <w:t xml:space="preserve"> </w:t>
      </w:r>
      <w:r w:rsidR="00C44425">
        <w:t>No statistically difference</w:t>
      </w:r>
      <w:r w:rsidR="001F1E82">
        <w:t>s</w:t>
      </w:r>
      <w:r w:rsidR="00C44425">
        <w:t xml:space="preserve"> were </w:t>
      </w:r>
      <w:r w:rsidR="001F1E82">
        <w:t>found</w:t>
      </w:r>
      <w:r w:rsidR="00C44425">
        <w:t xml:space="preserve"> between t</w:t>
      </w:r>
      <w:r w:rsidR="00ED4F32" w:rsidRPr="00ED4F32">
        <w:t>he kinetics of browning at 4 °</w:t>
      </w:r>
      <w:r w:rsidR="00ED4F32">
        <w:t xml:space="preserve">C </w:t>
      </w:r>
      <w:r w:rsidR="00ED4F32" w:rsidRPr="00ED4F32">
        <w:t>and 8 °</w:t>
      </w:r>
      <w:r w:rsidR="00ED4F32">
        <w:t>C</w:t>
      </w:r>
      <w:r w:rsidR="00D248D9">
        <w:t xml:space="preserve">. </w:t>
      </w:r>
      <w:r w:rsidR="009E4857">
        <w:t xml:space="preserve">For this reason, we made an </w:t>
      </w:r>
      <w:r w:rsidR="00F72B9D">
        <w:t>average</w:t>
      </w:r>
      <w:r w:rsidR="009E4857">
        <w:t xml:space="preserve"> of the data and the kinetic constant at 6° has been estimated </w:t>
      </w:r>
      <w:r w:rsidR="005C7F02">
        <w:t>(F</w:t>
      </w:r>
      <w:r w:rsidR="001F1E82">
        <w:t>igure</w:t>
      </w:r>
      <w:r w:rsidR="00641EFA">
        <w:t xml:space="preserve"> </w:t>
      </w:r>
      <w:r w:rsidR="001F1E82">
        <w:t xml:space="preserve">2, </w:t>
      </w:r>
      <w:r w:rsidR="005C7F02">
        <w:t>T</w:t>
      </w:r>
      <w:r w:rsidR="009E4857">
        <w:t>able 2).</w:t>
      </w:r>
    </w:p>
    <w:p w14:paraId="02961928" w14:textId="430DB572" w:rsidR="00CA44BF" w:rsidRDefault="00CA44BF" w:rsidP="00CC678E">
      <w:pPr>
        <w:pStyle w:val="CETBodytext"/>
      </w:pPr>
      <w:r w:rsidRPr="00AD4D8B">
        <w:rPr>
          <w:noProof/>
          <w:color w:val="000000" w:themeColor="text1"/>
        </w:rPr>
        <w:drawing>
          <wp:anchor distT="0" distB="0" distL="114300" distR="114300" simplePos="0" relativeHeight="251670528" behindDoc="0" locked="0" layoutInCell="1" allowOverlap="1" wp14:anchorId="09A1CEB3" wp14:editId="77DE30BB">
            <wp:simplePos x="0" y="0"/>
            <wp:positionH relativeFrom="column">
              <wp:posOffset>2723515</wp:posOffset>
            </wp:positionH>
            <wp:positionV relativeFrom="paragraph">
              <wp:posOffset>68580</wp:posOffset>
            </wp:positionV>
            <wp:extent cx="3003550" cy="2660650"/>
            <wp:effectExtent l="0" t="0" r="0" b="0"/>
            <wp:wrapSquare wrapText="bothSides"/>
            <wp:docPr id="3" name="Grafico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33C9897A" wp14:editId="059C840F">
            <wp:simplePos x="0" y="0"/>
            <wp:positionH relativeFrom="column">
              <wp:posOffset>0</wp:posOffset>
            </wp:positionH>
            <wp:positionV relativeFrom="paragraph">
              <wp:posOffset>145415</wp:posOffset>
            </wp:positionV>
            <wp:extent cx="2788920" cy="2421890"/>
            <wp:effectExtent l="0" t="0" r="5080" b="3810"/>
            <wp:wrapSquare wrapText="bothSides"/>
            <wp:docPr id="9" name="Grafico 9">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64DF20F2" w14:textId="77777777" w:rsidR="00CD5432" w:rsidRDefault="00CD5432" w:rsidP="00CC678E">
      <w:pPr>
        <w:pStyle w:val="CETBodytext"/>
      </w:pPr>
    </w:p>
    <w:p w14:paraId="55485A43" w14:textId="2F708C52" w:rsidR="00ED65CF" w:rsidRDefault="00ED65CF" w:rsidP="00ED65CF">
      <w:pPr>
        <w:pStyle w:val="CETBodytext"/>
      </w:pPr>
    </w:p>
    <w:p w14:paraId="765C64C5" w14:textId="220079A9" w:rsidR="00F87078" w:rsidRPr="00AD4D8B" w:rsidRDefault="00220026" w:rsidP="00CD5432">
      <w:pPr>
        <w:pStyle w:val="CETBodytext"/>
        <w:rPr>
          <w:i/>
        </w:rPr>
      </w:pPr>
      <w:r w:rsidRPr="00AD4D8B">
        <w:rPr>
          <w:i/>
        </w:rPr>
        <w:t xml:space="preserve">Figure 2: </w:t>
      </w:r>
      <w:r w:rsidR="00A65402" w:rsidRPr="00AD4D8B">
        <w:rPr>
          <w:i/>
        </w:rPr>
        <w:t xml:space="preserve">(A) </w:t>
      </w:r>
      <w:r w:rsidR="00123B9D">
        <w:rPr>
          <w:i/>
        </w:rPr>
        <w:t>b</w:t>
      </w:r>
      <w:r w:rsidR="00A65402" w:rsidRPr="00AD4D8B">
        <w:rPr>
          <w:i/>
        </w:rPr>
        <w:t>rowning index (BI) values at 4 °C</w:t>
      </w:r>
      <w:r w:rsidR="00CD5432" w:rsidRPr="00AD4D8B">
        <w:rPr>
          <w:i/>
        </w:rPr>
        <w:t xml:space="preserve"> </w:t>
      </w:r>
      <w:r w:rsidR="00A65402" w:rsidRPr="00AD4D8B">
        <w:rPr>
          <w:i/>
        </w:rPr>
        <w:t>(</w:t>
      </w:r>
      <w:r w:rsidR="00A65402" w:rsidRPr="00AD4D8B">
        <w:rPr>
          <w:rFonts w:cs="Arial"/>
          <w:i/>
        </w:rPr>
        <w:t>●</w:t>
      </w:r>
      <w:r w:rsidR="00A65402" w:rsidRPr="00AD4D8B">
        <w:rPr>
          <w:i/>
        </w:rPr>
        <w:t>),8°C (</w:t>
      </w:r>
      <w:r w:rsidR="00A65402" w:rsidRPr="00AD4D8B">
        <w:rPr>
          <w:rFonts w:cs="Arial"/>
          <w:i/>
        </w:rPr>
        <w:t>■</w:t>
      </w:r>
      <w:r w:rsidR="00A65402" w:rsidRPr="00AD4D8B">
        <w:rPr>
          <w:i/>
        </w:rPr>
        <w:t>), and 12 °C (</w:t>
      </w:r>
      <w:r w:rsidR="00A65402" w:rsidRPr="00AD4D8B">
        <w:rPr>
          <w:rFonts w:cs="Arial"/>
          <w:i/>
        </w:rPr>
        <w:t>▲</w:t>
      </w:r>
      <w:r w:rsidR="00A65402" w:rsidRPr="00AD4D8B">
        <w:rPr>
          <w:i/>
        </w:rPr>
        <w:t>)</w:t>
      </w:r>
      <w:r w:rsidR="002E09C6" w:rsidRPr="00AD4D8B">
        <w:rPr>
          <w:i/>
        </w:rPr>
        <w:t>;</w:t>
      </w:r>
      <w:r w:rsidR="00A65402" w:rsidRPr="00AD4D8B">
        <w:rPr>
          <w:i/>
        </w:rPr>
        <w:t xml:space="preserve"> (B) </w:t>
      </w:r>
      <w:r w:rsidR="00C02D0D">
        <w:rPr>
          <w:i/>
        </w:rPr>
        <w:t>normalized BI respect to time zero</w:t>
      </w:r>
      <w:r w:rsidR="00F87078" w:rsidRPr="00AD4D8B">
        <w:rPr>
          <w:i/>
        </w:rPr>
        <w:t xml:space="preserve"> </w:t>
      </w:r>
      <w:r w:rsidR="002E09C6" w:rsidRPr="00AD4D8B">
        <w:rPr>
          <w:i/>
        </w:rPr>
        <w:t>(</w:t>
      </w:r>
      <w:r w:rsidR="00C02D0D">
        <w:rPr>
          <w:i/>
        </w:rPr>
        <w:t>BI/</w:t>
      </w:r>
      <w:r w:rsidR="002E09C6" w:rsidRPr="00AD4D8B">
        <w:rPr>
          <w:i/>
        </w:rPr>
        <w:t>BI</w:t>
      </w:r>
      <w:r w:rsidR="002E09C6" w:rsidRPr="00AD4D8B">
        <w:rPr>
          <w:i/>
          <w:vertAlign w:val="subscript"/>
        </w:rPr>
        <w:t>0</w:t>
      </w:r>
      <w:r w:rsidR="002E09C6" w:rsidRPr="00AD4D8B">
        <w:rPr>
          <w:i/>
        </w:rPr>
        <w:t xml:space="preserve">), </w:t>
      </w:r>
      <w:r w:rsidR="00F87078" w:rsidRPr="00AD4D8B">
        <w:rPr>
          <w:i/>
        </w:rPr>
        <w:t xml:space="preserve">of iceberg </w:t>
      </w:r>
      <w:r w:rsidR="002D47EA" w:rsidRPr="00AD4D8B">
        <w:rPr>
          <w:i/>
        </w:rPr>
        <w:t>lettuce</w:t>
      </w:r>
      <w:r w:rsidR="00F87078" w:rsidRPr="00AD4D8B">
        <w:rPr>
          <w:i/>
        </w:rPr>
        <w:t xml:space="preserve"> vs time during </w:t>
      </w:r>
      <w:r w:rsidR="00F72B9D" w:rsidRPr="00AD4D8B">
        <w:rPr>
          <w:i/>
        </w:rPr>
        <w:t>s</w:t>
      </w:r>
      <w:r w:rsidR="00F87078" w:rsidRPr="00AD4D8B">
        <w:rPr>
          <w:i/>
        </w:rPr>
        <w:t xml:space="preserve">torage at </w:t>
      </w:r>
      <w:r w:rsidR="0009002D" w:rsidRPr="00AD4D8B">
        <w:rPr>
          <w:i/>
        </w:rPr>
        <w:t>6</w:t>
      </w:r>
      <w:r w:rsidR="00F87078" w:rsidRPr="00AD4D8B">
        <w:rPr>
          <w:i/>
        </w:rPr>
        <w:t>°C (</w:t>
      </w:r>
      <w:r w:rsidR="00F87078" w:rsidRPr="00AD4D8B">
        <w:rPr>
          <w:rFonts w:cs="Arial"/>
          <w:i/>
        </w:rPr>
        <w:t>●</w:t>
      </w:r>
      <w:r w:rsidR="00F87078" w:rsidRPr="00AD4D8B">
        <w:rPr>
          <w:i/>
        </w:rPr>
        <w:t>), and 12°C (</w:t>
      </w:r>
      <w:r w:rsidR="00F87078" w:rsidRPr="00AD4D8B">
        <w:rPr>
          <w:rFonts w:cs="Arial"/>
          <w:i/>
        </w:rPr>
        <w:t>▲</w:t>
      </w:r>
      <w:r w:rsidR="00F87078" w:rsidRPr="00AD4D8B">
        <w:rPr>
          <w:i/>
        </w:rPr>
        <w:t xml:space="preserve">). </w:t>
      </w:r>
      <w:r w:rsidR="00457381" w:rsidRPr="0011372B">
        <w:rPr>
          <w:i/>
          <w:color w:val="000000" w:themeColor="text1"/>
        </w:rPr>
        <w:t xml:space="preserve">The points represent experimental data, while the lines </w:t>
      </w:r>
      <w:r w:rsidR="00310749" w:rsidRPr="0011372B">
        <w:rPr>
          <w:i/>
          <w:color w:val="000000" w:themeColor="text1"/>
        </w:rPr>
        <w:t>represent</w:t>
      </w:r>
      <w:r w:rsidR="00457381" w:rsidRPr="0011372B">
        <w:rPr>
          <w:i/>
          <w:color w:val="000000" w:themeColor="text1"/>
        </w:rPr>
        <w:t xml:space="preserve"> the prediction by using the eq. 2.</w:t>
      </w:r>
      <w:r w:rsidR="0009002D" w:rsidRPr="0011372B">
        <w:rPr>
          <w:i/>
          <w:color w:val="000000" w:themeColor="text1"/>
        </w:rPr>
        <w:t xml:space="preserve"> </w:t>
      </w:r>
      <w:r w:rsidR="00CD5432" w:rsidRPr="0011372B">
        <w:rPr>
          <w:i/>
          <w:color w:val="000000" w:themeColor="text1"/>
          <w:lang w:val="en-GB"/>
        </w:rPr>
        <w:t xml:space="preserve">Error bars indicate </w:t>
      </w:r>
      <w:r w:rsidR="00CD5432" w:rsidRPr="00AD4D8B">
        <w:rPr>
          <w:i/>
          <w:lang w:val="en-GB"/>
        </w:rPr>
        <w:t>±</w:t>
      </w:r>
      <w:r w:rsidR="00CD5432" w:rsidRPr="00AD4D8B">
        <w:rPr>
          <w:i/>
        </w:rPr>
        <w:t xml:space="preserve"> standard deviation</w:t>
      </w:r>
    </w:p>
    <w:p w14:paraId="68C541FE" w14:textId="7BE0686E" w:rsidR="004D3DE0" w:rsidRDefault="00B074DD" w:rsidP="00B074DD">
      <w:pPr>
        <w:pStyle w:val="CETCaption"/>
      </w:pPr>
      <w:r w:rsidRPr="005C7F02">
        <w:t>Table 2</w:t>
      </w:r>
      <w:r w:rsidR="00F72B9D" w:rsidRPr="005C7F02">
        <w:t>:</w:t>
      </w:r>
      <w:r w:rsidR="00F72B9D" w:rsidRPr="00F72B9D">
        <w:t xml:space="preserve"> </w:t>
      </w:r>
      <w:r w:rsidR="00ED65CF">
        <w:t>Kinetic constant (k) at different temperatures and activation energy (</w:t>
      </w:r>
      <w:proofErr w:type="spellStart"/>
      <w:r w:rsidR="00ED65CF">
        <w:t>Ea</w:t>
      </w:r>
      <w:proofErr w:type="spellEnd"/>
      <w:r w:rsidR="00ED65CF">
        <w:t>) of</w:t>
      </w:r>
      <w:r w:rsidR="00F72B9D">
        <w:t xml:space="preserve"> </w:t>
      </w:r>
      <w:r w:rsidR="00ED65CF">
        <w:t xml:space="preserve">browning index </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276"/>
        <w:gridCol w:w="992"/>
        <w:gridCol w:w="992"/>
      </w:tblGrid>
      <w:tr w:rsidR="00A65402" w:rsidRPr="00B57B36" w14:paraId="25D94092" w14:textId="77777777" w:rsidTr="00455A78">
        <w:trPr>
          <w:jc w:val="center"/>
        </w:trPr>
        <w:tc>
          <w:tcPr>
            <w:tcW w:w="1134" w:type="dxa"/>
            <w:tcBorders>
              <w:top w:val="single" w:sz="4" w:space="0" w:color="000000" w:themeColor="text1"/>
              <w:bottom w:val="single" w:sz="4" w:space="0" w:color="000000" w:themeColor="text1"/>
            </w:tcBorders>
            <w:shd w:val="clear" w:color="auto" w:fill="FFFFFF"/>
          </w:tcPr>
          <w:p w14:paraId="72819C64" w14:textId="7238071F" w:rsidR="00A65402" w:rsidRPr="00B57B36" w:rsidRDefault="00A65402" w:rsidP="00A65402">
            <w:pPr>
              <w:pStyle w:val="CETBodytext"/>
              <w:jc w:val="center"/>
              <w:rPr>
                <w:lang w:val="en-GB"/>
              </w:rPr>
            </w:pPr>
            <w:r>
              <w:rPr>
                <w:lang w:val="en-GB"/>
              </w:rPr>
              <w:t>T (°C)</w:t>
            </w:r>
          </w:p>
        </w:tc>
        <w:tc>
          <w:tcPr>
            <w:tcW w:w="1276" w:type="dxa"/>
            <w:tcBorders>
              <w:top w:val="single" w:sz="4" w:space="0" w:color="000000" w:themeColor="text1"/>
              <w:bottom w:val="single" w:sz="4" w:space="0" w:color="000000" w:themeColor="text1"/>
            </w:tcBorders>
            <w:shd w:val="clear" w:color="auto" w:fill="FFFFFF"/>
          </w:tcPr>
          <w:p w14:paraId="7159907A" w14:textId="77777777" w:rsidR="00A65402" w:rsidRPr="00F17EB2" w:rsidRDefault="00A65402" w:rsidP="00A65402">
            <w:pPr>
              <w:pStyle w:val="CETBodytext"/>
              <w:jc w:val="center"/>
              <w:rPr>
                <w:lang w:val="en-GB"/>
              </w:rPr>
            </w:pPr>
            <w:r>
              <w:rPr>
                <w:lang w:val="en-GB"/>
              </w:rPr>
              <w:t>k (h</w:t>
            </w:r>
            <w:r>
              <w:rPr>
                <w:vertAlign w:val="superscript"/>
                <w:lang w:val="en-GB"/>
              </w:rPr>
              <w:t>-1</w:t>
            </w:r>
            <w:r>
              <w:rPr>
                <w:lang w:val="en-GB"/>
              </w:rPr>
              <w:t>)</w:t>
            </w:r>
          </w:p>
        </w:tc>
        <w:tc>
          <w:tcPr>
            <w:tcW w:w="992" w:type="dxa"/>
            <w:tcBorders>
              <w:top w:val="single" w:sz="4" w:space="0" w:color="000000" w:themeColor="text1"/>
              <w:bottom w:val="single" w:sz="4" w:space="0" w:color="000000" w:themeColor="text1"/>
            </w:tcBorders>
            <w:shd w:val="clear" w:color="auto" w:fill="FFFFFF"/>
          </w:tcPr>
          <w:p w14:paraId="7D019019" w14:textId="654905C2" w:rsidR="00A65402" w:rsidRDefault="00D23995" w:rsidP="00A65402">
            <w:pPr>
              <w:pStyle w:val="CETBodytext"/>
              <w:jc w:val="center"/>
              <w:rPr>
                <w:lang w:val="en-GB"/>
              </w:rPr>
            </w:pPr>
            <m:oMathPara>
              <m:oMath>
                <m:f>
                  <m:fPr>
                    <m:type m:val="skw"/>
                    <m:ctrlPr>
                      <w:rPr>
                        <w:rFonts w:ascii="Cambria Math" w:hAnsi="Cambria Math" w:cs="Arial"/>
                        <w:i/>
                        <w:lang w:val="en-GB"/>
                      </w:rPr>
                    </m:ctrlPr>
                  </m:fPr>
                  <m:num>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inf</m:t>
                        </m:r>
                      </m:sub>
                    </m:sSub>
                  </m:num>
                  <m:den>
                    <m:sSub>
                      <m:sSubPr>
                        <m:ctrlPr>
                          <w:rPr>
                            <w:rFonts w:ascii="Cambria Math" w:hAnsi="Cambria Math" w:cs="Arial"/>
                            <w:i/>
                            <w:lang w:val="en-GB"/>
                          </w:rPr>
                        </m:ctrlPr>
                      </m:sSubPr>
                      <m:e>
                        <m:r>
                          <w:rPr>
                            <w:rFonts w:ascii="Cambria Math" w:hAnsi="Cambria Math" w:cs="Arial"/>
                            <w:lang w:val="en-GB"/>
                          </w:rPr>
                          <m:t>Q</m:t>
                        </m:r>
                      </m:e>
                      <m:sub>
                        <m:r>
                          <w:rPr>
                            <w:rFonts w:ascii="Cambria Math" w:hAnsi="Cambria Math" w:cs="Arial"/>
                            <w:lang w:val="en-GB"/>
                          </w:rPr>
                          <m:t>o</m:t>
                        </m:r>
                      </m:sub>
                    </m:sSub>
                  </m:den>
                </m:f>
              </m:oMath>
            </m:oMathPara>
          </w:p>
        </w:tc>
        <w:tc>
          <w:tcPr>
            <w:tcW w:w="992" w:type="dxa"/>
            <w:tcBorders>
              <w:top w:val="single" w:sz="4" w:space="0" w:color="000000" w:themeColor="text1"/>
              <w:bottom w:val="single" w:sz="4" w:space="0" w:color="000000" w:themeColor="text1"/>
            </w:tcBorders>
            <w:shd w:val="clear" w:color="auto" w:fill="FFFFFF"/>
          </w:tcPr>
          <w:p w14:paraId="140884BF" w14:textId="0106CD60" w:rsidR="00A65402" w:rsidRPr="00B57B36" w:rsidRDefault="00A65402" w:rsidP="00A65402">
            <w:pPr>
              <w:pStyle w:val="CETBodytext"/>
              <w:jc w:val="center"/>
              <w:rPr>
                <w:lang w:val="en-GB"/>
              </w:rPr>
            </w:pPr>
            <w:proofErr w:type="spellStart"/>
            <w:r>
              <w:rPr>
                <w:lang w:val="en-GB"/>
              </w:rPr>
              <w:t>Ea</w:t>
            </w:r>
            <w:proofErr w:type="spellEnd"/>
            <w:r>
              <w:rPr>
                <w:lang w:val="en-GB"/>
              </w:rPr>
              <w:t xml:space="preserve"> (kJmol</w:t>
            </w:r>
            <w:r w:rsidRPr="00ED65CF">
              <w:rPr>
                <w:vertAlign w:val="superscript"/>
                <w:lang w:val="en-GB"/>
              </w:rPr>
              <w:t>-1</w:t>
            </w:r>
            <w:r>
              <w:rPr>
                <w:lang w:val="en-GB"/>
              </w:rPr>
              <w:t>)</w:t>
            </w:r>
          </w:p>
        </w:tc>
      </w:tr>
      <w:tr w:rsidR="00A65402" w:rsidRPr="00B57B36" w14:paraId="47936921" w14:textId="77777777" w:rsidTr="00455A78">
        <w:trPr>
          <w:jc w:val="center"/>
        </w:trPr>
        <w:tc>
          <w:tcPr>
            <w:tcW w:w="1134" w:type="dxa"/>
            <w:tcBorders>
              <w:top w:val="single" w:sz="4" w:space="0" w:color="000000" w:themeColor="text1"/>
            </w:tcBorders>
            <w:shd w:val="clear" w:color="auto" w:fill="FFFFFF"/>
          </w:tcPr>
          <w:p w14:paraId="1A8EE8D3" w14:textId="77777777" w:rsidR="00A65402" w:rsidRPr="00B57B36" w:rsidRDefault="00A65402" w:rsidP="00A65402">
            <w:pPr>
              <w:pStyle w:val="CETBodytext"/>
              <w:jc w:val="center"/>
              <w:rPr>
                <w:lang w:val="en-GB"/>
              </w:rPr>
            </w:pPr>
            <w:r>
              <w:rPr>
                <w:lang w:val="en-GB"/>
              </w:rPr>
              <w:t>6</w:t>
            </w:r>
          </w:p>
        </w:tc>
        <w:tc>
          <w:tcPr>
            <w:tcW w:w="1276" w:type="dxa"/>
            <w:tcBorders>
              <w:top w:val="single" w:sz="4" w:space="0" w:color="000000" w:themeColor="text1"/>
            </w:tcBorders>
            <w:shd w:val="clear" w:color="auto" w:fill="FFFFFF"/>
          </w:tcPr>
          <w:p w14:paraId="77869A93" w14:textId="37D3337B" w:rsidR="00A65402" w:rsidRPr="00B57B36" w:rsidRDefault="00A65402" w:rsidP="00A65402">
            <w:pPr>
              <w:pStyle w:val="CETBodytext"/>
              <w:jc w:val="center"/>
              <w:rPr>
                <w:lang w:val="en-GB"/>
              </w:rPr>
            </w:pPr>
            <w:r>
              <w:rPr>
                <w:lang w:val="en-GB"/>
              </w:rPr>
              <w:t>0</w:t>
            </w:r>
            <w:r w:rsidR="00841A6C">
              <w:rPr>
                <w:lang w:val="en-GB"/>
              </w:rPr>
              <w:t>.</w:t>
            </w:r>
            <w:r>
              <w:rPr>
                <w:lang w:val="en-GB"/>
              </w:rPr>
              <w:t xml:space="preserve">014 </w:t>
            </w:r>
            <w:r w:rsidRPr="00ED65CF">
              <w:rPr>
                <w:rFonts w:cs="Arial"/>
                <w:szCs w:val="18"/>
                <w:lang w:val="en-GB"/>
              </w:rPr>
              <w:sym w:font="Symbol" w:char="F0B1"/>
            </w:r>
            <w:r>
              <w:rPr>
                <w:rFonts w:cs="Arial"/>
                <w:szCs w:val="18"/>
                <w:lang w:val="en-GB"/>
              </w:rPr>
              <w:t xml:space="preserve"> 0</w:t>
            </w:r>
            <w:r w:rsidR="00841A6C">
              <w:rPr>
                <w:rFonts w:cs="Arial"/>
                <w:szCs w:val="18"/>
                <w:lang w:val="en-GB"/>
              </w:rPr>
              <w:t>.</w:t>
            </w:r>
            <w:r>
              <w:rPr>
                <w:rFonts w:cs="Arial"/>
                <w:szCs w:val="18"/>
                <w:lang w:val="en-GB"/>
              </w:rPr>
              <w:t>001</w:t>
            </w:r>
          </w:p>
        </w:tc>
        <w:tc>
          <w:tcPr>
            <w:tcW w:w="992" w:type="dxa"/>
            <w:tcBorders>
              <w:top w:val="single" w:sz="4" w:space="0" w:color="000000" w:themeColor="text1"/>
            </w:tcBorders>
            <w:shd w:val="clear" w:color="auto" w:fill="FFFFFF"/>
          </w:tcPr>
          <w:p w14:paraId="27C9BAFC" w14:textId="3D6ECA81" w:rsidR="00A65402" w:rsidRDefault="00A65402" w:rsidP="00A65402">
            <w:pPr>
              <w:pStyle w:val="CETBodytext"/>
              <w:jc w:val="center"/>
              <w:rPr>
                <w:lang w:val="en-GB"/>
              </w:rPr>
            </w:pPr>
            <w:r>
              <w:rPr>
                <w:lang w:val="en-GB"/>
              </w:rPr>
              <w:t>2.346</w:t>
            </w:r>
          </w:p>
        </w:tc>
        <w:tc>
          <w:tcPr>
            <w:tcW w:w="992" w:type="dxa"/>
            <w:tcBorders>
              <w:top w:val="single" w:sz="4" w:space="0" w:color="000000" w:themeColor="text1"/>
            </w:tcBorders>
            <w:shd w:val="clear" w:color="auto" w:fill="FFFFFF"/>
          </w:tcPr>
          <w:p w14:paraId="01E4F4E3" w14:textId="40020013" w:rsidR="00A65402" w:rsidRPr="00B57B36" w:rsidRDefault="00A65402" w:rsidP="00A65402">
            <w:pPr>
              <w:pStyle w:val="CETBodytext"/>
              <w:jc w:val="center"/>
              <w:rPr>
                <w:lang w:val="en-GB"/>
              </w:rPr>
            </w:pPr>
            <w:r>
              <w:rPr>
                <w:lang w:val="en-GB"/>
              </w:rPr>
              <w:t>63.49</w:t>
            </w:r>
          </w:p>
        </w:tc>
      </w:tr>
      <w:tr w:rsidR="00A65402" w:rsidRPr="00B57B36" w14:paraId="354562E8" w14:textId="77777777" w:rsidTr="00455A78">
        <w:trPr>
          <w:jc w:val="center"/>
        </w:trPr>
        <w:tc>
          <w:tcPr>
            <w:tcW w:w="1134" w:type="dxa"/>
            <w:tcBorders>
              <w:bottom w:val="single" w:sz="4" w:space="0" w:color="000000" w:themeColor="text1"/>
            </w:tcBorders>
            <w:shd w:val="clear" w:color="auto" w:fill="FFFFFF"/>
          </w:tcPr>
          <w:p w14:paraId="7D34E776" w14:textId="77777777" w:rsidR="00A65402" w:rsidRPr="00B57B36" w:rsidRDefault="00A65402" w:rsidP="00A65402">
            <w:pPr>
              <w:pStyle w:val="CETBodytext"/>
              <w:ind w:right="-1"/>
              <w:jc w:val="center"/>
              <w:rPr>
                <w:rFonts w:cs="Arial"/>
                <w:szCs w:val="18"/>
                <w:lang w:val="en-GB"/>
              </w:rPr>
            </w:pPr>
            <w:r>
              <w:rPr>
                <w:rFonts w:cs="Arial"/>
                <w:szCs w:val="18"/>
                <w:lang w:val="en-GB"/>
              </w:rPr>
              <w:t>12</w:t>
            </w:r>
          </w:p>
        </w:tc>
        <w:tc>
          <w:tcPr>
            <w:tcW w:w="1276" w:type="dxa"/>
            <w:tcBorders>
              <w:bottom w:val="single" w:sz="4" w:space="0" w:color="000000" w:themeColor="text1"/>
            </w:tcBorders>
            <w:shd w:val="clear" w:color="auto" w:fill="FFFFFF"/>
          </w:tcPr>
          <w:p w14:paraId="71A08DDA" w14:textId="6865FC53" w:rsidR="00A65402" w:rsidRPr="00B57B36" w:rsidRDefault="00A65402" w:rsidP="00A65402">
            <w:pPr>
              <w:pStyle w:val="CETBodytext"/>
              <w:ind w:right="-1"/>
              <w:jc w:val="center"/>
              <w:rPr>
                <w:rFonts w:cs="Arial"/>
                <w:szCs w:val="18"/>
                <w:lang w:val="en-GB"/>
              </w:rPr>
            </w:pPr>
            <w:r>
              <w:rPr>
                <w:rFonts w:cs="Arial"/>
                <w:szCs w:val="18"/>
                <w:lang w:val="en-GB"/>
              </w:rPr>
              <w:t>0</w:t>
            </w:r>
            <w:r w:rsidR="00841A6C">
              <w:rPr>
                <w:rFonts w:cs="Arial"/>
                <w:szCs w:val="18"/>
                <w:lang w:val="en-GB"/>
              </w:rPr>
              <w:t>.</w:t>
            </w:r>
            <w:r>
              <w:rPr>
                <w:rFonts w:cs="Arial"/>
                <w:szCs w:val="18"/>
                <w:lang w:val="en-GB"/>
              </w:rPr>
              <w:t xml:space="preserve">024 </w:t>
            </w:r>
            <w:r>
              <w:rPr>
                <w:rFonts w:cs="Arial"/>
                <w:szCs w:val="18"/>
                <w:lang w:val="en-GB"/>
              </w:rPr>
              <w:sym w:font="Symbol" w:char="F0B1"/>
            </w:r>
            <w:r>
              <w:rPr>
                <w:rFonts w:cs="Arial"/>
                <w:szCs w:val="18"/>
                <w:lang w:val="en-GB"/>
              </w:rPr>
              <w:t xml:space="preserve"> </w:t>
            </w:r>
            <w:r w:rsidRPr="002D47EA">
              <w:rPr>
                <w:rFonts w:cs="Arial"/>
                <w:szCs w:val="18"/>
                <w:lang w:val="en-GB"/>
              </w:rPr>
              <w:t>0</w:t>
            </w:r>
            <w:r w:rsidR="00841A6C">
              <w:rPr>
                <w:rFonts w:cs="Arial"/>
                <w:szCs w:val="18"/>
                <w:lang w:val="en-GB"/>
              </w:rPr>
              <w:t>.</w:t>
            </w:r>
            <w:r w:rsidRPr="002D47EA">
              <w:rPr>
                <w:rFonts w:cs="Arial"/>
                <w:szCs w:val="18"/>
                <w:lang w:val="en-GB"/>
              </w:rPr>
              <w:t>006</w:t>
            </w:r>
          </w:p>
        </w:tc>
        <w:tc>
          <w:tcPr>
            <w:tcW w:w="992" w:type="dxa"/>
            <w:tcBorders>
              <w:bottom w:val="single" w:sz="4" w:space="0" w:color="000000" w:themeColor="text1"/>
            </w:tcBorders>
            <w:shd w:val="clear" w:color="auto" w:fill="FFFFFF"/>
          </w:tcPr>
          <w:p w14:paraId="702BAA06" w14:textId="5E5B8756" w:rsidR="00A65402" w:rsidRPr="00B57B36" w:rsidRDefault="00A65402" w:rsidP="00A65402">
            <w:pPr>
              <w:pStyle w:val="CETBodytext"/>
              <w:ind w:right="-1"/>
              <w:jc w:val="center"/>
              <w:rPr>
                <w:rFonts w:cs="Arial"/>
                <w:szCs w:val="18"/>
                <w:lang w:val="en-GB"/>
              </w:rPr>
            </w:pPr>
            <w:r>
              <w:rPr>
                <w:rFonts w:cs="Arial"/>
                <w:szCs w:val="18"/>
                <w:lang w:val="en-GB"/>
              </w:rPr>
              <w:t>1.700</w:t>
            </w:r>
          </w:p>
        </w:tc>
        <w:tc>
          <w:tcPr>
            <w:tcW w:w="992" w:type="dxa"/>
            <w:tcBorders>
              <w:bottom w:val="single" w:sz="4" w:space="0" w:color="000000" w:themeColor="text1"/>
            </w:tcBorders>
            <w:shd w:val="clear" w:color="auto" w:fill="FFFFFF"/>
          </w:tcPr>
          <w:p w14:paraId="376EEB4B" w14:textId="01172679" w:rsidR="00A65402" w:rsidRPr="00B57B36" w:rsidRDefault="00A65402" w:rsidP="00A65402">
            <w:pPr>
              <w:pStyle w:val="CETBodytext"/>
              <w:ind w:right="-1"/>
              <w:jc w:val="center"/>
              <w:rPr>
                <w:rFonts w:cs="Arial"/>
                <w:szCs w:val="18"/>
                <w:lang w:val="en-GB"/>
              </w:rPr>
            </w:pPr>
          </w:p>
        </w:tc>
      </w:tr>
    </w:tbl>
    <w:p w14:paraId="41F01CC6" w14:textId="73E0180A" w:rsidR="004D3DE0" w:rsidRDefault="004D3DE0" w:rsidP="00CC678E">
      <w:pPr>
        <w:pStyle w:val="CETBodytext"/>
      </w:pPr>
    </w:p>
    <w:p w14:paraId="64F3A588" w14:textId="2B8DE79A" w:rsidR="00A65402" w:rsidRDefault="00A65402" w:rsidP="00A65402">
      <w:pPr>
        <w:pStyle w:val="CETBodytext"/>
        <w:rPr>
          <w:lang w:val="en-GB"/>
        </w:rPr>
      </w:pPr>
      <w:r w:rsidRPr="00C55170">
        <w:rPr>
          <w:lang w:val="en-GB"/>
        </w:rPr>
        <w:t xml:space="preserve">Salicylic acid </w:t>
      </w:r>
      <w:r w:rsidRPr="002904A9">
        <w:rPr>
          <w:lang w:val="en-GB"/>
        </w:rPr>
        <w:t xml:space="preserve">showed an effect </w:t>
      </w:r>
      <w:r>
        <w:rPr>
          <w:lang w:val="en-GB"/>
        </w:rPr>
        <w:t xml:space="preserve">only for the first 96 h </w:t>
      </w:r>
      <w:r w:rsidRPr="002904A9">
        <w:rPr>
          <w:lang w:val="en-GB"/>
        </w:rPr>
        <w:t xml:space="preserve">of storage. As general trend, total phenol content </w:t>
      </w:r>
      <w:r>
        <w:rPr>
          <w:lang w:val="en-GB"/>
        </w:rPr>
        <w:t>was</w:t>
      </w:r>
      <w:r w:rsidRPr="002904A9">
        <w:rPr>
          <w:lang w:val="en-GB"/>
        </w:rPr>
        <w:t xml:space="preserve"> higher when iceberg </w:t>
      </w:r>
      <w:r>
        <w:rPr>
          <w:lang w:val="en-GB"/>
        </w:rPr>
        <w:t xml:space="preserve">salad </w:t>
      </w:r>
      <w:r w:rsidRPr="002904A9">
        <w:rPr>
          <w:lang w:val="en-GB"/>
        </w:rPr>
        <w:t>is washed with salicylic acid</w:t>
      </w:r>
      <w:r>
        <w:rPr>
          <w:lang w:val="en-GB"/>
        </w:rPr>
        <w:t>.</w:t>
      </w:r>
      <w:r w:rsidRPr="002904A9">
        <w:rPr>
          <w:lang w:val="en-GB"/>
        </w:rPr>
        <w:t xml:space="preserve"> </w:t>
      </w:r>
      <w:r>
        <w:rPr>
          <w:lang w:val="en-GB"/>
        </w:rPr>
        <w:t xml:space="preserve">It was almost constant up to 96 h then dramatically decreased assuming the same value of the samples </w:t>
      </w:r>
      <w:r w:rsidRPr="002904A9">
        <w:rPr>
          <w:lang w:val="en-GB"/>
        </w:rPr>
        <w:t>washed in water</w:t>
      </w:r>
      <w:r>
        <w:rPr>
          <w:lang w:val="en-GB"/>
        </w:rPr>
        <w:t>.</w:t>
      </w:r>
      <w:r w:rsidRPr="002904A9">
        <w:rPr>
          <w:lang w:val="en-GB"/>
        </w:rPr>
        <w:t xml:space="preserve"> BI of the acid-washed iceberg is constant up to </w:t>
      </w:r>
      <w:r>
        <w:rPr>
          <w:lang w:val="en-GB"/>
        </w:rPr>
        <w:t xml:space="preserve">96 </w:t>
      </w:r>
      <w:r w:rsidRPr="002904A9">
        <w:rPr>
          <w:lang w:val="en-GB"/>
        </w:rPr>
        <w:t xml:space="preserve">h </w:t>
      </w:r>
      <w:r>
        <w:rPr>
          <w:lang w:val="en-GB"/>
        </w:rPr>
        <w:t>while at 216 h of storage its value was the same of the water-washed sample (</w:t>
      </w:r>
      <w:r w:rsidR="005C7F02">
        <w:rPr>
          <w:lang w:val="en-GB"/>
        </w:rPr>
        <w:t>F</w:t>
      </w:r>
      <w:r>
        <w:rPr>
          <w:lang w:val="en-GB"/>
        </w:rPr>
        <w:t>igure.3)</w:t>
      </w:r>
      <w:r w:rsidRPr="002904A9">
        <w:rPr>
          <w:lang w:val="en-GB"/>
        </w:rPr>
        <w:t>.</w:t>
      </w:r>
    </w:p>
    <w:p w14:paraId="1038C7BE" w14:textId="77777777" w:rsidR="00ED65CF" w:rsidRDefault="00ED65CF" w:rsidP="0064045B">
      <w:pPr>
        <w:pStyle w:val="CETBodytext"/>
        <w:rPr>
          <w:lang w:val="en-GB"/>
        </w:rPr>
      </w:pPr>
    </w:p>
    <w:p w14:paraId="373E8E1C" w14:textId="77777777" w:rsidR="00ED65CF" w:rsidRDefault="00ED65CF" w:rsidP="0064045B">
      <w:pPr>
        <w:pStyle w:val="CETBodytext"/>
        <w:rPr>
          <w:lang w:val="en-GB"/>
        </w:rPr>
      </w:pPr>
    </w:p>
    <w:p w14:paraId="79C91572" w14:textId="77777777" w:rsidR="00ED65CF" w:rsidRDefault="00ED65CF" w:rsidP="0064045B">
      <w:pPr>
        <w:pStyle w:val="CETBodytext"/>
        <w:rPr>
          <w:lang w:val="en-GB"/>
        </w:rPr>
      </w:pPr>
    </w:p>
    <w:p w14:paraId="2C0E0C13" w14:textId="77777777" w:rsidR="00ED65CF" w:rsidRDefault="00ED65CF" w:rsidP="0064045B">
      <w:pPr>
        <w:pStyle w:val="CETBodytext"/>
        <w:rPr>
          <w:lang w:val="en-GB"/>
        </w:rPr>
      </w:pPr>
    </w:p>
    <w:p w14:paraId="50265499" w14:textId="77777777" w:rsidR="00ED65CF" w:rsidRDefault="00ED65CF" w:rsidP="0064045B">
      <w:pPr>
        <w:pStyle w:val="CETBodytext"/>
        <w:rPr>
          <w:lang w:val="en-GB"/>
        </w:rPr>
      </w:pPr>
    </w:p>
    <w:p w14:paraId="156F593A" w14:textId="77777777" w:rsidR="00ED65CF" w:rsidRDefault="00ED65CF" w:rsidP="0064045B">
      <w:pPr>
        <w:pStyle w:val="CETBodytext"/>
        <w:rPr>
          <w:lang w:val="en-GB"/>
        </w:rPr>
      </w:pPr>
    </w:p>
    <w:p w14:paraId="0DF82C03" w14:textId="77777777" w:rsidR="00ED65CF" w:rsidRDefault="00ED65CF" w:rsidP="0064045B">
      <w:pPr>
        <w:pStyle w:val="CETBodytext"/>
        <w:rPr>
          <w:lang w:val="en-GB"/>
        </w:rPr>
      </w:pPr>
    </w:p>
    <w:p w14:paraId="651DBAC7" w14:textId="77777777" w:rsidR="00ED65CF" w:rsidRDefault="00ED65CF" w:rsidP="0064045B">
      <w:pPr>
        <w:pStyle w:val="CETBodytext"/>
        <w:rPr>
          <w:lang w:val="en-GB"/>
        </w:rPr>
      </w:pPr>
    </w:p>
    <w:p w14:paraId="7149B064" w14:textId="29CC0563" w:rsidR="00ED65CF" w:rsidRDefault="00A65402" w:rsidP="0064045B">
      <w:pPr>
        <w:pStyle w:val="CETBodytext"/>
        <w:rPr>
          <w:lang w:val="en-GB"/>
        </w:rPr>
      </w:pPr>
      <w:r w:rsidRPr="00A65402">
        <w:rPr>
          <w:noProof/>
          <w:lang w:val="en-GB"/>
        </w:rPr>
        <w:lastRenderedPageBreak/>
        <w:drawing>
          <wp:anchor distT="0" distB="0" distL="114300" distR="114300" simplePos="0" relativeHeight="251673600" behindDoc="0" locked="0" layoutInCell="1" allowOverlap="1" wp14:anchorId="19D26232" wp14:editId="7AD04485">
            <wp:simplePos x="0" y="0"/>
            <wp:positionH relativeFrom="column">
              <wp:posOffset>2647950</wp:posOffset>
            </wp:positionH>
            <wp:positionV relativeFrom="paragraph">
              <wp:posOffset>162560</wp:posOffset>
            </wp:positionV>
            <wp:extent cx="2723515" cy="2388870"/>
            <wp:effectExtent l="0" t="0" r="0" b="0"/>
            <wp:wrapSquare wrapText="bothSides"/>
            <wp:docPr id="13" name="Grafico 13">
              <a:extLst xmlns:a="http://schemas.openxmlformats.org/drawingml/2006/main">
                <a:ext uri="{FF2B5EF4-FFF2-40B4-BE49-F238E27FC236}">
                  <a16:creationId xmlns:a16="http://schemas.microsoft.com/office/drawing/2014/main" id="{3F00EC03-6D77-9247-A414-F6FFB146A1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A65402">
        <w:rPr>
          <w:noProof/>
          <w:lang w:val="en-GB"/>
        </w:rPr>
        <w:drawing>
          <wp:anchor distT="0" distB="0" distL="114300" distR="114300" simplePos="0" relativeHeight="251672576" behindDoc="0" locked="0" layoutInCell="1" allowOverlap="1" wp14:anchorId="55201424" wp14:editId="1E25FFEB">
            <wp:simplePos x="0" y="0"/>
            <wp:positionH relativeFrom="column">
              <wp:posOffset>0</wp:posOffset>
            </wp:positionH>
            <wp:positionV relativeFrom="paragraph">
              <wp:posOffset>210185</wp:posOffset>
            </wp:positionV>
            <wp:extent cx="2652395" cy="2362835"/>
            <wp:effectExtent l="0" t="0" r="1905" b="0"/>
            <wp:wrapSquare wrapText="bothSides"/>
            <wp:docPr id="11" name="Grafico 11">
              <a:extLst xmlns:a="http://schemas.openxmlformats.org/drawingml/2006/main">
                <a:ext uri="{FF2B5EF4-FFF2-40B4-BE49-F238E27FC236}">
                  <a16:creationId xmlns:a16="http://schemas.microsoft.com/office/drawing/2014/main" id="{22EFF6B4-F799-EA4D-BECD-B1C364010F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648261A" w14:textId="77777777" w:rsidR="00ED65CF" w:rsidRDefault="00ED65CF" w:rsidP="0064045B">
      <w:pPr>
        <w:pStyle w:val="CETBodytext"/>
        <w:rPr>
          <w:lang w:val="en-GB"/>
        </w:rPr>
      </w:pPr>
    </w:p>
    <w:p w14:paraId="0B48DA6D" w14:textId="18534B9D" w:rsidR="009C37EC" w:rsidRPr="009C37EC" w:rsidRDefault="004E3D49" w:rsidP="00A65402">
      <w:pPr>
        <w:pStyle w:val="CETCaption"/>
      </w:pPr>
      <w:r w:rsidRPr="009C37EC">
        <w:t xml:space="preserve">Figure </w:t>
      </w:r>
      <w:r w:rsidR="00E57F43" w:rsidRPr="009C37EC">
        <w:t>3</w:t>
      </w:r>
      <w:r w:rsidR="005C7F02">
        <w:t>:</w:t>
      </w:r>
      <w:r w:rsidRPr="009C37EC">
        <w:t xml:space="preserve"> </w:t>
      </w:r>
      <w:r w:rsidR="00D5522D" w:rsidRPr="009C37EC">
        <w:t>(A)</w:t>
      </w:r>
      <w:r w:rsidR="0090375C" w:rsidRPr="009C37EC">
        <w:t xml:space="preserve"> </w:t>
      </w:r>
      <w:r w:rsidR="00123B9D">
        <w:t>e</w:t>
      </w:r>
      <w:r w:rsidR="00D5522D" w:rsidRPr="009C37EC">
        <w:t xml:space="preserve">ffect of </w:t>
      </w:r>
      <w:r w:rsidR="00574F0A" w:rsidRPr="009C37EC">
        <w:t>salicylic</w:t>
      </w:r>
      <w:r w:rsidR="00D5522D" w:rsidRPr="009C37EC">
        <w:t xml:space="preserve"> acid on polyphenols </w:t>
      </w:r>
      <w:r w:rsidR="00A65402" w:rsidRPr="009C37EC">
        <w:t xml:space="preserve">and (B) browning index </w:t>
      </w:r>
      <w:r w:rsidR="00D5522D" w:rsidRPr="009C37EC">
        <w:t xml:space="preserve">during storage at 8 °C. </w:t>
      </w:r>
      <w:r w:rsidR="00A65402" w:rsidRPr="009C37EC">
        <w:rPr>
          <w:rFonts w:cs="Arial"/>
          <w:sz w:val="24"/>
          <w:szCs w:val="24"/>
        </w:rPr>
        <w:t>●</w:t>
      </w:r>
      <w:r w:rsidR="00A65402" w:rsidRPr="009C37EC">
        <w:t xml:space="preserve"> water (control), </w:t>
      </w:r>
      <w:r w:rsidR="00A65402" w:rsidRPr="009C37EC">
        <w:sym w:font="Symbol" w:char="F020"/>
      </w:r>
      <w:r w:rsidR="00A65402" w:rsidRPr="009C37EC">
        <w:rPr>
          <w:rFonts w:cs="Arial"/>
          <w:color w:val="D9D9D9" w:themeColor="background1" w:themeShade="D9"/>
        </w:rPr>
        <w:t>▲</w:t>
      </w:r>
      <w:r w:rsidR="00A65402" w:rsidRPr="009C37EC">
        <w:t xml:space="preserve"> salicylic acid. Value are given as mean </w:t>
      </w:r>
      <w:r w:rsidR="00A65402" w:rsidRPr="009C37EC">
        <w:sym w:font="Symbol" w:char="F0B1"/>
      </w:r>
      <w:r w:rsidR="00A65402" w:rsidRPr="009C37EC">
        <w:t xml:space="preserve"> standard deviation.</w:t>
      </w:r>
      <w:r w:rsidR="009C37EC" w:rsidRPr="009C37EC">
        <w:t xml:space="preserve"> </w:t>
      </w:r>
    </w:p>
    <w:p w14:paraId="651CCC04" w14:textId="3E7AE250" w:rsidR="00383016" w:rsidRPr="00AD4D8B" w:rsidRDefault="00383016" w:rsidP="00A65402">
      <w:pPr>
        <w:pStyle w:val="CETCaption"/>
        <w:rPr>
          <w:i w:val="0"/>
        </w:rPr>
      </w:pPr>
      <w:r w:rsidRPr="00AD4D8B">
        <w:rPr>
          <w:i w:val="0"/>
        </w:rPr>
        <w:t>Colour properties</w:t>
      </w:r>
    </w:p>
    <w:p w14:paraId="5853D76C" w14:textId="4E887936" w:rsidR="00A65402" w:rsidRDefault="00A65402" w:rsidP="00A65402">
      <w:pPr>
        <w:pStyle w:val="CETBodytext"/>
      </w:pPr>
      <w:r>
        <w:t>T</w:t>
      </w:r>
      <w:r w:rsidRPr="00AB0012">
        <w:t xml:space="preserve">he </w:t>
      </w:r>
      <w:proofErr w:type="spellStart"/>
      <w:r w:rsidRPr="00AB0012">
        <w:t>colo</w:t>
      </w:r>
      <w:r>
        <w:t>u</w:t>
      </w:r>
      <w:r w:rsidRPr="00AB0012">
        <w:t>r</w:t>
      </w:r>
      <w:proofErr w:type="spellEnd"/>
      <w:r w:rsidRPr="00AB0012">
        <w:t xml:space="preserve"> analysis show</w:t>
      </w:r>
      <w:r>
        <w:t>ed</w:t>
      </w:r>
      <w:r w:rsidRPr="00AB0012">
        <w:t xml:space="preserve"> an increase in the colorimetric index a*</w:t>
      </w:r>
      <w:r>
        <w:t xml:space="preserve"> </w:t>
      </w:r>
      <w:r w:rsidRPr="00AB0012">
        <w:t xml:space="preserve">and a decrease in the index b* </w:t>
      </w:r>
      <w:r>
        <w:t>(</w:t>
      </w:r>
      <w:r w:rsidR="005C7F02">
        <w:t>T</w:t>
      </w:r>
      <w:r>
        <w:t>able 3)</w:t>
      </w:r>
      <w:r w:rsidRPr="00AB0012">
        <w:t xml:space="preserve">. </w:t>
      </w:r>
      <w:r>
        <w:t>H</w:t>
      </w:r>
      <w:r w:rsidRPr="00AB0012">
        <w:t>owever</w:t>
      </w:r>
      <w:r>
        <w:t>,</w:t>
      </w:r>
      <w:r w:rsidRPr="00AB0012">
        <w:t xml:space="preserve"> the variability of the data </w:t>
      </w:r>
      <w:r>
        <w:t>was</w:t>
      </w:r>
      <w:r w:rsidRPr="00AB0012">
        <w:t xml:space="preserve"> very high, so that these indices ha</w:t>
      </w:r>
      <w:r>
        <w:t>ve</w:t>
      </w:r>
      <w:r w:rsidRPr="00AB0012">
        <w:t xml:space="preserve"> not been </w:t>
      </w:r>
      <w:r w:rsidR="00CE002A">
        <w:t>considered</w:t>
      </w:r>
      <w:r>
        <w:t xml:space="preserve"> as quality index parameters.</w:t>
      </w:r>
    </w:p>
    <w:p w14:paraId="237C1CBC" w14:textId="649EE8C7" w:rsidR="00A65402" w:rsidRDefault="00A65402" w:rsidP="00A65402">
      <w:pPr>
        <w:pStyle w:val="CETCaption"/>
      </w:pPr>
      <w:r>
        <w:t>Table 3</w:t>
      </w:r>
      <w:r w:rsidR="005C7F02">
        <w:t>:</w:t>
      </w:r>
      <w:r w:rsidRPr="00F72B9D">
        <w:t xml:space="preserve"> </w:t>
      </w:r>
      <w:r>
        <w:t>a*, b* and L* values of minimally processed iceberg salad, with and without salicylic acid treatment over time.</w:t>
      </w:r>
      <w:r w:rsidRPr="00375843">
        <w:t xml:space="preserve"> </w:t>
      </w:r>
      <w:r>
        <w:t xml:space="preserve">Value are given as mean </w:t>
      </w:r>
      <w:r>
        <w:sym w:font="Symbol" w:char="F0B1"/>
      </w:r>
      <w:r>
        <w:t xml:space="preserve"> standard deviation.</w:t>
      </w:r>
    </w:p>
    <w:tbl>
      <w:tblPr>
        <w:tblW w:w="0" w:type="auto"/>
        <w:jc w:val="center"/>
        <w:tblBorders>
          <w:top w:val="single" w:sz="4" w:space="0" w:color="auto"/>
          <w:bottom w:val="single" w:sz="4" w:space="0" w:color="auto"/>
        </w:tblBorders>
        <w:shd w:val="clear" w:color="auto" w:fill="FFFFFF"/>
        <w:tblCellMar>
          <w:left w:w="0" w:type="dxa"/>
          <w:right w:w="0" w:type="dxa"/>
        </w:tblCellMar>
        <w:tblLook w:val="00A0" w:firstRow="1" w:lastRow="0" w:firstColumn="1" w:lastColumn="0" w:noHBand="0" w:noVBand="0"/>
      </w:tblPr>
      <w:tblGrid>
        <w:gridCol w:w="993"/>
        <w:gridCol w:w="851"/>
        <w:gridCol w:w="1223"/>
        <w:gridCol w:w="1276"/>
        <w:gridCol w:w="1261"/>
      </w:tblGrid>
      <w:tr w:rsidR="00A65402" w:rsidRPr="002516C5" w14:paraId="35C2290F" w14:textId="77777777" w:rsidTr="0011372B">
        <w:trPr>
          <w:jc w:val="center"/>
        </w:trPr>
        <w:tc>
          <w:tcPr>
            <w:tcW w:w="993" w:type="dxa"/>
            <w:tcBorders>
              <w:top w:val="single" w:sz="4" w:space="0" w:color="000000"/>
              <w:bottom w:val="single" w:sz="4" w:space="0" w:color="000000"/>
            </w:tcBorders>
            <w:shd w:val="clear" w:color="auto" w:fill="FFFFFF"/>
          </w:tcPr>
          <w:p w14:paraId="6B670B3F" w14:textId="77777777" w:rsidR="00A65402" w:rsidRPr="00B57B36" w:rsidRDefault="00A65402" w:rsidP="00F7101D">
            <w:pPr>
              <w:pStyle w:val="CETBodytext"/>
              <w:rPr>
                <w:lang w:val="en-GB"/>
              </w:rPr>
            </w:pPr>
            <w:r>
              <w:rPr>
                <w:lang w:val="en-GB"/>
              </w:rPr>
              <w:t>Time (h)</w:t>
            </w:r>
          </w:p>
        </w:tc>
        <w:tc>
          <w:tcPr>
            <w:tcW w:w="771" w:type="dxa"/>
            <w:tcBorders>
              <w:top w:val="single" w:sz="4" w:space="0" w:color="000000"/>
              <w:bottom w:val="single" w:sz="4" w:space="0" w:color="000000"/>
            </w:tcBorders>
            <w:shd w:val="clear" w:color="auto" w:fill="FFFFFF"/>
          </w:tcPr>
          <w:p w14:paraId="6B275D81" w14:textId="77777777" w:rsidR="00A65402" w:rsidRDefault="00A65402" w:rsidP="00F7101D">
            <w:pPr>
              <w:pStyle w:val="CETBodytext"/>
              <w:rPr>
                <w:lang w:val="en-GB"/>
              </w:rPr>
            </w:pPr>
            <w:r>
              <w:rPr>
                <w:lang w:val="en-GB"/>
              </w:rPr>
              <w:t>Sample treatments</w:t>
            </w:r>
          </w:p>
        </w:tc>
        <w:tc>
          <w:tcPr>
            <w:tcW w:w="1223" w:type="dxa"/>
            <w:tcBorders>
              <w:top w:val="single" w:sz="4" w:space="0" w:color="000000" w:themeColor="text1"/>
              <w:bottom w:val="single" w:sz="4" w:space="0" w:color="000000"/>
            </w:tcBorders>
            <w:shd w:val="clear" w:color="auto" w:fill="FFFFFF"/>
          </w:tcPr>
          <w:p w14:paraId="603B142C" w14:textId="77777777" w:rsidR="00A65402" w:rsidRDefault="00A65402" w:rsidP="00F7101D">
            <w:pPr>
              <w:pStyle w:val="CETBodytext"/>
              <w:jc w:val="center"/>
              <w:rPr>
                <w:lang w:val="en-GB"/>
              </w:rPr>
            </w:pPr>
            <w:r>
              <w:rPr>
                <w:lang w:val="en-GB"/>
              </w:rPr>
              <w:t>a*</w:t>
            </w:r>
          </w:p>
        </w:tc>
        <w:tc>
          <w:tcPr>
            <w:tcW w:w="1276" w:type="dxa"/>
            <w:tcBorders>
              <w:top w:val="single" w:sz="4" w:space="0" w:color="000000" w:themeColor="text1"/>
              <w:bottom w:val="single" w:sz="4" w:space="0" w:color="000000"/>
            </w:tcBorders>
            <w:shd w:val="clear" w:color="auto" w:fill="FFFFFF"/>
          </w:tcPr>
          <w:p w14:paraId="5581D4FE" w14:textId="77777777" w:rsidR="00A65402" w:rsidRDefault="00A65402" w:rsidP="00F7101D">
            <w:pPr>
              <w:pStyle w:val="CETBodytext"/>
              <w:jc w:val="center"/>
              <w:rPr>
                <w:lang w:val="en-GB"/>
              </w:rPr>
            </w:pPr>
            <w:r>
              <w:rPr>
                <w:lang w:val="en-GB"/>
              </w:rPr>
              <w:t>b*</w:t>
            </w:r>
          </w:p>
        </w:tc>
        <w:tc>
          <w:tcPr>
            <w:tcW w:w="1261" w:type="dxa"/>
            <w:tcBorders>
              <w:top w:val="single" w:sz="4" w:space="0" w:color="000000" w:themeColor="text1"/>
              <w:bottom w:val="single" w:sz="4" w:space="0" w:color="000000"/>
            </w:tcBorders>
            <w:shd w:val="clear" w:color="auto" w:fill="FFFFFF"/>
          </w:tcPr>
          <w:p w14:paraId="70D4FB86" w14:textId="662C7C77" w:rsidR="00A65402" w:rsidRDefault="00A65402" w:rsidP="00F7101D">
            <w:pPr>
              <w:pStyle w:val="CETBodytext"/>
              <w:jc w:val="center"/>
              <w:rPr>
                <w:lang w:val="en-GB"/>
              </w:rPr>
            </w:pPr>
            <w:r>
              <w:rPr>
                <w:lang w:val="en-GB"/>
              </w:rPr>
              <w:t>L*</w:t>
            </w:r>
          </w:p>
        </w:tc>
      </w:tr>
      <w:tr w:rsidR="00A65402" w:rsidRPr="002516C5" w14:paraId="48BED4ED" w14:textId="77777777" w:rsidTr="0011372B">
        <w:trPr>
          <w:jc w:val="center"/>
        </w:trPr>
        <w:tc>
          <w:tcPr>
            <w:tcW w:w="993" w:type="dxa"/>
            <w:tcBorders>
              <w:top w:val="single" w:sz="4" w:space="0" w:color="000000"/>
              <w:bottom w:val="nil"/>
            </w:tcBorders>
            <w:shd w:val="clear" w:color="auto" w:fill="FFFFFF"/>
          </w:tcPr>
          <w:p w14:paraId="74ADF525" w14:textId="77777777" w:rsidR="00A65402" w:rsidRPr="002516C5" w:rsidRDefault="00A65402" w:rsidP="00F7101D">
            <w:pPr>
              <w:pStyle w:val="CETBodytext"/>
              <w:jc w:val="left"/>
              <w:rPr>
                <w:lang w:val="en-GB"/>
              </w:rPr>
            </w:pPr>
            <w:r w:rsidRPr="002516C5">
              <w:rPr>
                <w:lang w:val="en-GB"/>
              </w:rPr>
              <w:t>0</w:t>
            </w:r>
          </w:p>
        </w:tc>
        <w:tc>
          <w:tcPr>
            <w:tcW w:w="771" w:type="dxa"/>
            <w:tcBorders>
              <w:top w:val="single" w:sz="4" w:space="0" w:color="000000"/>
              <w:bottom w:val="nil"/>
            </w:tcBorders>
            <w:shd w:val="clear" w:color="auto" w:fill="FFFFFF"/>
          </w:tcPr>
          <w:p w14:paraId="50A27E55" w14:textId="77777777" w:rsidR="00A65402" w:rsidRPr="002516C5" w:rsidRDefault="00A65402" w:rsidP="00F7101D">
            <w:pPr>
              <w:pStyle w:val="CETBodytext"/>
              <w:jc w:val="left"/>
              <w:rPr>
                <w:lang w:val="en-GB"/>
              </w:rPr>
            </w:pPr>
            <w:proofErr w:type="gramStart"/>
            <w:r w:rsidRPr="002516C5">
              <w:rPr>
                <w:lang w:val="en-GB"/>
              </w:rPr>
              <w:t>S.A</w:t>
            </w:r>
            <w:proofErr w:type="gramEnd"/>
          </w:p>
        </w:tc>
        <w:tc>
          <w:tcPr>
            <w:tcW w:w="1223" w:type="dxa"/>
            <w:tcBorders>
              <w:top w:val="single" w:sz="4" w:space="0" w:color="000000"/>
              <w:bottom w:val="nil"/>
            </w:tcBorders>
            <w:shd w:val="clear" w:color="auto" w:fill="FFFFFF"/>
          </w:tcPr>
          <w:p w14:paraId="04D56052" w14:textId="77777777" w:rsidR="00A65402" w:rsidRPr="002516C5" w:rsidRDefault="00A65402" w:rsidP="00F7101D">
            <w:pPr>
              <w:pStyle w:val="CETBodytext"/>
              <w:jc w:val="left"/>
              <w:rPr>
                <w:lang w:val="en-GB"/>
              </w:rPr>
            </w:pPr>
            <w:r w:rsidRPr="002516C5">
              <w:rPr>
                <w:lang w:val="en-GB"/>
              </w:rPr>
              <w:t xml:space="preserve">-4.62 </w:t>
            </w:r>
            <w:r w:rsidRPr="002516C5">
              <w:rPr>
                <w:lang w:val="en-GB"/>
              </w:rPr>
              <w:sym w:font="Symbol" w:char="F0B1"/>
            </w:r>
            <w:r w:rsidRPr="002516C5">
              <w:rPr>
                <w:lang w:val="en-GB"/>
              </w:rPr>
              <w:t xml:space="preserve"> 4.17</w:t>
            </w:r>
          </w:p>
        </w:tc>
        <w:tc>
          <w:tcPr>
            <w:tcW w:w="1276" w:type="dxa"/>
            <w:tcBorders>
              <w:top w:val="single" w:sz="4" w:space="0" w:color="000000"/>
              <w:bottom w:val="nil"/>
            </w:tcBorders>
            <w:shd w:val="clear" w:color="auto" w:fill="FFFFFF"/>
          </w:tcPr>
          <w:p w14:paraId="08DCCA50" w14:textId="77777777" w:rsidR="00A65402" w:rsidRPr="002516C5" w:rsidRDefault="00A65402" w:rsidP="00F7101D">
            <w:pPr>
              <w:pStyle w:val="CETBodytext"/>
              <w:jc w:val="left"/>
              <w:rPr>
                <w:lang w:val="en-GB"/>
              </w:rPr>
            </w:pPr>
            <w:r w:rsidRPr="002516C5">
              <w:rPr>
                <w:lang w:val="en-GB"/>
              </w:rPr>
              <w:t xml:space="preserve">13.39 </w:t>
            </w:r>
            <w:r w:rsidRPr="002516C5">
              <w:rPr>
                <w:lang w:val="en-GB"/>
              </w:rPr>
              <w:sym w:font="Symbol" w:char="F0B1"/>
            </w:r>
            <w:r w:rsidRPr="002516C5">
              <w:rPr>
                <w:lang w:val="en-GB"/>
              </w:rPr>
              <w:t xml:space="preserve"> 5.66</w:t>
            </w:r>
          </w:p>
        </w:tc>
        <w:tc>
          <w:tcPr>
            <w:tcW w:w="1261" w:type="dxa"/>
            <w:tcBorders>
              <w:top w:val="single" w:sz="4" w:space="0" w:color="000000"/>
              <w:bottom w:val="nil"/>
            </w:tcBorders>
            <w:shd w:val="clear" w:color="auto" w:fill="FFFFFF"/>
          </w:tcPr>
          <w:p w14:paraId="194A0C19" w14:textId="77777777" w:rsidR="00A65402" w:rsidRPr="002516C5" w:rsidRDefault="00A65402" w:rsidP="00F7101D">
            <w:pPr>
              <w:pStyle w:val="CETBodytext"/>
              <w:jc w:val="left"/>
              <w:rPr>
                <w:lang w:val="en-GB"/>
              </w:rPr>
            </w:pPr>
            <w:r w:rsidRPr="002516C5">
              <w:rPr>
                <w:lang w:val="en-GB"/>
              </w:rPr>
              <w:t xml:space="preserve">70.16 </w:t>
            </w:r>
            <w:r w:rsidRPr="002516C5">
              <w:rPr>
                <w:lang w:val="en-GB"/>
              </w:rPr>
              <w:sym w:font="Symbol" w:char="F0B1"/>
            </w:r>
            <w:r w:rsidRPr="002516C5">
              <w:rPr>
                <w:lang w:val="en-GB"/>
              </w:rPr>
              <w:t xml:space="preserve"> 3.47</w:t>
            </w:r>
          </w:p>
        </w:tc>
      </w:tr>
      <w:tr w:rsidR="00A65402" w:rsidRPr="002516C5" w14:paraId="70783169" w14:textId="77777777" w:rsidTr="0011372B">
        <w:trPr>
          <w:jc w:val="center"/>
        </w:trPr>
        <w:tc>
          <w:tcPr>
            <w:tcW w:w="993" w:type="dxa"/>
            <w:tcBorders>
              <w:top w:val="nil"/>
              <w:left w:val="single" w:sz="12" w:space="0" w:color="39811D"/>
              <w:bottom w:val="nil"/>
            </w:tcBorders>
            <w:shd w:val="clear" w:color="auto" w:fill="FFFFFF"/>
          </w:tcPr>
          <w:p w14:paraId="5BFB6AA1" w14:textId="77777777" w:rsidR="00A65402" w:rsidRPr="002516C5" w:rsidRDefault="00A65402" w:rsidP="00F7101D">
            <w:pPr>
              <w:pStyle w:val="CETBodytext"/>
              <w:jc w:val="left"/>
              <w:rPr>
                <w:lang w:val="en-GB"/>
              </w:rPr>
            </w:pPr>
            <w:r w:rsidRPr="002516C5">
              <w:rPr>
                <w:lang w:val="en-GB"/>
              </w:rPr>
              <w:t>48</w:t>
            </w:r>
          </w:p>
        </w:tc>
        <w:tc>
          <w:tcPr>
            <w:tcW w:w="771" w:type="dxa"/>
            <w:tcBorders>
              <w:top w:val="nil"/>
              <w:bottom w:val="nil"/>
            </w:tcBorders>
            <w:shd w:val="clear" w:color="auto" w:fill="FFFFFF"/>
          </w:tcPr>
          <w:p w14:paraId="573676DB" w14:textId="77777777" w:rsidR="00A65402" w:rsidRPr="002516C5" w:rsidRDefault="00A65402" w:rsidP="00F7101D">
            <w:pPr>
              <w:pStyle w:val="CETBodytext"/>
              <w:jc w:val="left"/>
              <w:rPr>
                <w:lang w:val="en-GB"/>
              </w:rPr>
            </w:pPr>
          </w:p>
        </w:tc>
        <w:tc>
          <w:tcPr>
            <w:tcW w:w="1223" w:type="dxa"/>
            <w:tcBorders>
              <w:top w:val="nil"/>
              <w:bottom w:val="nil"/>
            </w:tcBorders>
            <w:shd w:val="clear" w:color="auto" w:fill="FFFFFF"/>
          </w:tcPr>
          <w:p w14:paraId="5F7A9DA0" w14:textId="77777777" w:rsidR="00A65402" w:rsidRPr="002516C5" w:rsidRDefault="00A65402" w:rsidP="00F7101D">
            <w:pPr>
              <w:pStyle w:val="CETBodytext"/>
              <w:jc w:val="left"/>
              <w:rPr>
                <w:lang w:val="en-GB"/>
              </w:rPr>
            </w:pPr>
            <w:r w:rsidRPr="002516C5">
              <w:rPr>
                <w:lang w:val="en-GB"/>
              </w:rPr>
              <w:t xml:space="preserve">-6.95 </w:t>
            </w:r>
            <w:r w:rsidRPr="002516C5">
              <w:rPr>
                <w:lang w:val="en-GB"/>
              </w:rPr>
              <w:sym w:font="Symbol" w:char="F0B1"/>
            </w:r>
            <w:r w:rsidRPr="002516C5">
              <w:rPr>
                <w:lang w:val="en-GB"/>
              </w:rPr>
              <w:t xml:space="preserve"> -6.95</w:t>
            </w:r>
          </w:p>
        </w:tc>
        <w:tc>
          <w:tcPr>
            <w:tcW w:w="1276" w:type="dxa"/>
            <w:tcBorders>
              <w:top w:val="nil"/>
              <w:bottom w:val="nil"/>
            </w:tcBorders>
            <w:shd w:val="clear" w:color="auto" w:fill="FFFFFF"/>
          </w:tcPr>
          <w:p w14:paraId="7DFDFCCE" w14:textId="77777777" w:rsidR="00A65402" w:rsidRPr="002516C5" w:rsidRDefault="00A65402" w:rsidP="00F7101D">
            <w:pPr>
              <w:pStyle w:val="CETBodytext"/>
              <w:jc w:val="left"/>
              <w:rPr>
                <w:lang w:val="en-GB"/>
              </w:rPr>
            </w:pPr>
            <w:r w:rsidRPr="002516C5">
              <w:rPr>
                <w:lang w:val="en-GB"/>
              </w:rPr>
              <w:t xml:space="preserve">9.21 </w:t>
            </w:r>
            <w:r w:rsidRPr="002516C5">
              <w:rPr>
                <w:lang w:val="en-GB"/>
              </w:rPr>
              <w:sym w:font="Symbol" w:char="F0B1"/>
            </w:r>
            <w:r w:rsidRPr="002516C5">
              <w:rPr>
                <w:lang w:val="en-GB"/>
              </w:rPr>
              <w:t xml:space="preserve"> 9.21</w:t>
            </w:r>
          </w:p>
        </w:tc>
        <w:tc>
          <w:tcPr>
            <w:tcW w:w="1261" w:type="dxa"/>
            <w:tcBorders>
              <w:top w:val="nil"/>
              <w:bottom w:val="nil"/>
            </w:tcBorders>
            <w:shd w:val="clear" w:color="auto" w:fill="FFFFFF"/>
          </w:tcPr>
          <w:p w14:paraId="13D86A71" w14:textId="77777777" w:rsidR="00A65402" w:rsidRPr="002516C5" w:rsidRDefault="00A65402" w:rsidP="00F7101D">
            <w:pPr>
              <w:pStyle w:val="CETBodytext"/>
              <w:jc w:val="left"/>
              <w:rPr>
                <w:lang w:val="en-GB"/>
              </w:rPr>
            </w:pPr>
            <w:r w:rsidRPr="002516C5">
              <w:rPr>
                <w:lang w:val="en-GB"/>
              </w:rPr>
              <w:t xml:space="preserve">71.25 </w:t>
            </w:r>
            <w:r w:rsidRPr="002516C5">
              <w:rPr>
                <w:lang w:val="en-GB"/>
              </w:rPr>
              <w:sym w:font="Symbol" w:char="F0B1"/>
            </w:r>
            <w:r w:rsidRPr="002516C5">
              <w:rPr>
                <w:lang w:val="en-GB"/>
              </w:rPr>
              <w:t xml:space="preserve"> 2.25</w:t>
            </w:r>
          </w:p>
        </w:tc>
      </w:tr>
      <w:tr w:rsidR="00A65402" w:rsidRPr="002516C5" w14:paraId="129212BD" w14:textId="77777777" w:rsidTr="0011372B">
        <w:trPr>
          <w:jc w:val="center"/>
        </w:trPr>
        <w:tc>
          <w:tcPr>
            <w:tcW w:w="993" w:type="dxa"/>
            <w:tcBorders>
              <w:top w:val="nil"/>
            </w:tcBorders>
            <w:shd w:val="clear" w:color="auto" w:fill="FFFFFF"/>
          </w:tcPr>
          <w:p w14:paraId="4E0C8A78" w14:textId="77777777" w:rsidR="00A65402" w:rsidRPr="002516C5" w:rsidRDefault="00A65402" w:rsidP="00F7101D">
            <w:pPr>
              <w:pStyle w:val="CETBodytext"/>
              <w:jc w:val="left"/>
              <w:rPr>
                <w:lang w:val="en-GB"/>
              </w:rPr>
            </w:pPr>
            <w:r w:rsidRPr="002516C5">
              <w:rPr>
                <w:lang w:val="en-GB"/>
              </w:rPr>
              <w:t>96</w:t>
            </w:r>
          </w:p>
        </w:tc>
        <w:tc>
          <w:tcPr>
            <w:tcW w:w="771" w:type="dxa"/>
            <w:tcBorders>
              <w:top w:val="nil"/>
            </w:tcBorders>
            <w:shd w:val="clear" w:color="auto" w:fill="FFFFFF"/>
          </w:tcPr>
          <w:p w14:paraId="52290B37" w14:textId="77777777" w:rsidR="00A65402" w:rsidRPr="002516C5" w:rsidRDefault="00A65402" w:rsidP="00F7101D">
            <w:pPr>
              <w:pStyle w:val="CETBodytext"/>
              <w:jc w:val="left"/>
              <w:rPr>
                <w:lang w:val="en-GB"/>
              </w:rPr>
            </w:pPr>
          </w:p>
        </w:tc>
        <w:tc>
          <w:tcPr>
            <w:tcW w:w="1223" w:type="dxa"/>
            <w:tcBorders>
              <w:top w:val="nil"/>
            </w:tcBorders>
            <w:shd w:val="clear" w:color="auto" w:fill="FFFFFF"/>
          </w:tcPr>
          <w:p w14:paraId="0BA00CDC" w14:textId="77777777" w:rsidR="00A65402" w:rsidRPr="002516C5" w:rsidRDefault="00A65402" w:rsidP="00F7101D">
            <w:pPr>
              <w:pStyle w:val="CETBodytext"/>
              <w:jc w:val="left"/>
              <w:rPr>
                <w:lang w:val="en-GB"/>
              </w:rPr>
            </w:pPr>
            <w:r w:rsidRPr="002516C5">
              <w:rPr>
                <w:lang w:val="en-GB"/>
              </w:rPr>
              <w:t xml:space="preserve">-7.02 </w:t>
            </w:r>
            <w:r w:rsidRPr="002516C5">
              <w:rPr>
                <w:lang w:val="en-GB"/>
              </w:rPr>
              <w:sym w:font="Symbol" w:char="F0B1"/>
            </w:r>
            <w:r w:rsidRPr="002516C5">
              <w:rPr>
                <w:lang w:val="en-GB"/>
              </w:rPr>
              <w:t xml:space="preserve"> 4.67</w:t>
            </w:r>
          </w:p>
        </w:tc>
        <w:tc>
          <w:tcPr>
            <w:tcW w:w="1276" w:type="dxa"/>
            <w:tcBorders>
              <w:top w:val="nil"/>
            </w:tcBorders>
            <w:shd w:val="clear" w:color="auto" w:fill="FFFFFF"/>
          </w:tcPr>
          <w:p w14:paraId="1619F92A" w14:textId="77777777" w:rsidR="00A65402" w:rsidRPr="002516C5" w:rsidRDefault="00A65402" w:rsidP="00F7101D">
            <w:pPr>
              <w:pStyle w:val="CETBodytext"/>
              <w:jc w:val="left"/>
              <w:rPr>
                <w:lang w:val="en-GB"/>
              </w:rPr>
            </w:pPr>
            <w:r w:rsidRPr="002516C5">
              <w:rPr>
                <w:lang w:val="en-GB"/>
              </w:rPr>
              <w:t xml:space="preserve">16.05 </w:t>
            </w:r>
            <w:r w:rsidRPr="002516C5">
              <w:rPr>
                <w:lang w:val="en-GB"/>
              </w:rPr>
              <w:sym w:font="Symbol" w:char="F0B1"/>
            </w:r>
            <w:r w:rsidRPr="002516C5">
              <w:rPr>
                <w:lang w:val="en-GB"/>
              </w:rPr>
              <w:t xml:space="preserve"> 6.26</w:t>
            </w:r>
          </w:p>
        </w:tc>
        <w:tc>
          <w:tcPr>
            <w:tcW w:w="1261" w:type="dxa"/>
            <w:tcBorders>
              <w:top w:val="nil"/>
            </w:tcBorders>
            <w:shd w:val="clear" w:color="auto" w:fill="FFFFFF"/>
          </w:tcPr>
          <w:p w14:paraId="7D787E4C" w14:textId="77777777" w:rsidR="00A65402" w:rsidRPr="002516C5" w:rsidRDefault="00A65402" w:rsidP="00F7101D">
            <w:pPr>
              <w:pStyle w:val="CETBodytext"/>
              <w:jc w:val="left"/>
              <w:rPr>
                <w:lang w:val="en-GB"/>
              </w:rPr>
            </w:pPr>
            <w:r w:rsidRPr="002516C5">
              <w:rPr>
                <w:lang w:val="en-GB"/>
              </w:rPr>
              <w:t xml:space="preserve">68.29 </w:t>
            </w:r>
            <w:r w:rsidRPr="002516C5">
              <w:rPr>
                <w:lang w:val="en-GB"/>
              </w:rPr>
              <w:sym w:font="Symbol" w:char="F0B1"/>
            </w:r>
            <w:r w:rsidRPr="002516C5">
              <w:rPr>
                <w:lang w:val="en-GB"/>
              </w:rPr>
              <w:t xml:space="preserve"> 3.87</w:t>
            </w:r>
          </w:p>
        </w:tc>
      </w:tr>
      <w:tr w:rsidR="00A65402" w:rsidRPr="002516C5" w14:paraId="6A9130E4" w14:textId="77777777" w:rsidTr="0011372B">
        <w:trPr>
          <w:jc w:val="center"/>
        </w:trPr>
        <w:tc>
          <w:tcPr>
            <w:tcW w:w="993" w:type="dxa"/>
            <w:shd w:val="clear" w:color="auto" w:fill="FFFFFF"/>
          </w:tcPr>
          <w:p w14:paraId="08E58A25" w14:textId="77777777" w:rsidR="00A65402" w:rsidRPr="002516C5" w:rsidRDefault="00A65402" w:rsidP="00F7101D">
            <w:pPr>
              <w:pStyle w:val="CETBodytext"/>
              <w:jc w:val="left"/>
              <w:rPr>
                <w:lang w:val="en-GB"/>
              </w:rPr>
            </w:pPr>
            <w:r w:rsidRPr="002516C5">
              <w:rPr>
                <w:lang w:val="en-GB"/>
              </w:rPr>
              <w:t>120</w:t>
            </w:r>
          </w:p>
        </w:tc>
        <w:tc>
          <w:tcPr>
            <w:tcW w:w="771" w:type="dxa"/>
            <w:shd w:val="clear" w:color="auto" w:fill="FFFFFF"/>
          </w:tcPr>
          <w:p w14:paraId="68F16ABB" w14:textId="77777777" w:rsidR="00A65402" w:rsidRPr="002516C5" w:rsidRDefault="00A65402" w:rsidP="00F7101D">
            <w:pPr>
              <w:pStyle w:val="CETBodytext"/>
              <w:jc w:val="left"/>
              <w:rPr>
                <w:lang w:val="en-GB"/>
              </w:rPr>
            </w:pPr>
          </w:p>
        </w:tc>
        <w:tc>
          <w:tcPr>
            <w:tcW w:w="1223" w:type="dxa"/>
            <w:shd w:val="clear" w:color="auto" w:fill="FFFFFF"/>
          </w:tcPr>
          <w:p w14:paraId="1098781B" w14:textId="77777777" w:rsidR="00A65402" w:rsidRPr="002516C5" w:rsidRDefault="00A65402" w:rsidP="00F7101D">
            <w:pPr>
              <w:pStyle w:val="CETBodytext"/>
              <w:jc w:val="left"/>
              <w:rPr>
                <w:lang w:val="en-GB"/>
              </w:rPr>
            </w:pPr>
            <w:r w:rsidRPr="002516C5">
              <w:rPr>
                <w:lang w:val="en-GB"/>
              </w:rPr>
              <w:t xml:space="preserve">-9.23 </w:t>
            </w:r>
            <w:r w:rsidRPr="002516C5">
              <w:rPr>
                <w:lang w:val="en-GB"/>
              </w:rPr>
              <w:sym w:font="Symbol" w:char="F0B1"/>
            </w:r>
            <w:r w:rsidRPr="002516C5">
              <w:rPr>
                <w:lang w:val="en-GB"/>
              </w:rPr>
              <w:t xml:space="preserve"> 2.14</w:t>
            </w:r>
          </w:p>
        </w:tc>
        <w:tc>
          <w:tcPr>
            <w:tcW w:w="1276" w:type="dxa"/>
            <w:shd w:val="clear" w:color="auto" w:fill="FFFFFF"/>
          </w:tcPr>
          <w:p w14:paraId="44445410" w14:textId="77777777" w:rsidR="00A65402" w:rsidRPr="002516C5" w:rsidRDefault="00A65402" w:rsidP="00F7101D">
            <w:pPr>
              <w:pStyle w:val="CETBodytext"/>
              <w:jc w:val="left"/>
              <w:rPr>
                <w:lang w:val="en-GB"/>
              </w:rPr>
            </w:pPr>
            <w:r w:rsidRPr="002516C5">
              <w:rPr>
                <w:lang w:val="en-GB"/>
              </w:rPr>
              <w:t xml:space="preserve">8.97 </w:t>
            </w:r>
            <w:r w:rsidRPr="002516C5">
              <w:rPr>
                <w:lang w:val="en-GB"/>
              </w:rPr>
              <w:sym w:font="Symbol" w:char="F0B1"/>
            </w:r>
            <w:r w:rsidRPr="002516C5">
              <w:rPr>
                <w:lang w:val="en-GB"/>
              </w:rPr>
              <w:t xml:space="preserve"> 8.97</w:t>
            </w:r>
          </w:p>
        </w:tc>
        <w:tc>
          <w:tcPr>
            <w:tcW w:w="1261" w:type="dxa"/>
            <w:shd w:val="clear" w:color="auto" w:fill="FFFFFF"/>
          </w:tcPr>
          <w:p w14:paraId="0C59C2C2" w14:textId="77777777" w:rsidR="00A65402" w:rsidRPr="002516C5" w:rsidRDefault="00A65402" w:rsidP="00F7101D">
            <w:pPr>
              <w:pStyle w:val="CETBodytext"/>
              <w:jc w:val="left"/>
              <w:rPr>
                <w:lang w:val="en-GB"/>
              </w:rPr>
            </w:pPr>
            <w:r w:rsidRPr="002516C5">
              <w:rPr>
                <w:lang w:val="en-GB"/>
              </w:rPr>
              <w:t xml:space="preserve">70.64 </w:t>
            </w:r>
            <w:r w:rsidRPr="002516C5">
              <w:rPr>
                <w:lang w:val="en-GB"/>
              </w:rPr>
              <w:sym w:font="Symbol" w:char="F0B1"/>
            </w:r>
            <w:r w:rsidRPr="002516C5">
              <w:rPr>
                <w:lang w:val="en-GB"/>
              </w:rPr>
              <w:t xml:space="preserve"> 2.47</w:t>
            </w:r>
          </w:p>
        </w:tc>
      </w:tr>
      <w:tr w:rsidR="00A65402" w:rsidRPr="002516C5" w14:paraId="1E7767C6" w14:textId="77777777" w:rsidTr="0011372B">
        <w:trPr>
          <w:jc w:val="center"/>
        </w:trPr>
        <w:tc>
          <w:tcPr>
            <w:tcW w:w="993" w:type="dxa"/>
            <w:shd w:val="clear" w:color="auto" w:fill="FFFFFF"/>
          </w:tcPr>
          <w:p w14:paraId="5F0D7F4E" w14:textId="77777777" w:rsidR="00A65402" w:rsidRPr="002516C5" w:rsidRDefault="00A65402" w:rsidP="00F7101D">
            <w:pPr>
              <w:pStyle w:val="CETBodytext"/>
              <w:jc w:val="left"/>
              <w:rPr>
                <w:lang w:val="en-GB"/>
              </w:rPr>
            </w:pPr>
            <w:r w:rsidRPr="002516C5">
              <w:rPr>
                <w:lang w:val="en-GB"/>
              </w:rPr>
              <w:t>168</w:t>
            </w:r>
          </w:p>
        </w:tc>
        <w:tc>
          <w:tcPr>
            <w:tcW w:w="771" w:type="dxa"/>
            <w:shd w:val="clear" w:color="auto" w:fill="FFFFFF"/>
          </w:tcPr>
          <w:p w14:paraId="23D9C36E" w14:textId="77777777" w:rsidR="00A65402" w:rsidRPr="002516C5" w:rsidRDefault="00A65402" w:rsidP="00F7101D">
            <w:pPr>
              <w:pStyle w:val="CETBodytext"/>
              <w:jc w:val="left"/>
              <w:rPr>
                <w:lang w:val="en-GB"/>
              </w:rPr>
            </w:pPr>
          </w:p>
        </w:tc>
        <w:tc>
          <w:tcPr>
            <w:tcW w:w="1223" w:type="dxa"/>
            <w:shd w:val="clear" w:color="auto" w:fill="FFFFFF"/>
          </w:tcPr>
          <w:p w14:paraId="742B229B" w14:textId="77777777" w:rsidR="00A65402" w:rsidRPr="002516C5" w:rsidRDefault="00A65402" w:rsidP="00F7101D">
            <w:pPr>
              <w:pStyle w:val="CETBodytext"/>
              <w:jc w:val="left"/>
              <w:rPr>
                <w:lang w:val="en-GB"/>
              </w:rPr>
            </w:pPr>
            <w:r w:rsidRPr="002516C5">
              <w:rPr>
                <w:lang w:val="en-GB"/>
              </w:rPr>
              <w:t xml:space="preserve">-3.88 </w:t>
            </w:r>
            <w:r w:rsidRPr="002516C5">
              <w:rPr>
                <w:lang w:val="en-GB"/>
              </w:rPr>
              <w:sym w:font="Symbol" w:char="F0B1"/>
            </w:r>
            <w:r w:rsidRPr="002516C5">
              <w:rPr>
                <w:lang w:val="en-GB"/>
              </w:rPr>
              <w:t xml:space="preserve"> 3.62</w:t>
            </w:r>
          </w:p>
        </w:tc>
        <w:tc>
          <w:tcPr>
            <w:tcW w:w="1276" w:type="dxa"/>
            <w:shd w:val="clear" w:color="auto" w:fill="FFFFFF"/>
          </w:tcPr>
          <w:p w14:paraId="35DB97BC" w14:textId="77777777" w:rsidR="00A65402" w:rsidRPr="002516C5" w:rsidRDefault="00A65402" w:rsidP="00F7101D">
            <w:pPr>
              <w:pStyle w:val="CETBodytext"/>
              <w:jc w:val="left"/>
              <w:rPr>
                <w:lang w:val="en-GB"/>
              </w:rPr>
            </w:pPr>
            <w:r w:rsidRPr="002516C5">
              <w:rPr>
                <w:lang w:val="en-GB"/>
              </w:rPr>
              <w:t xml:space="preserve">16.02 </w:t>
            </w:r>
            <w:r w:rsidRPr="002516C5">
              <w:rPr>
                <w:lang w:val="en-GB"/>
              </w:rPr>
              <w:sym w:font="Symbol" w:char="F0B1"/>
            </w:r>
            <w:r w:rsidRPr="002516C5">
              <w:rPr>
                <w:lang w:val="en-GB"/>
              </w:rPr>
              <w:t xml:space="preserve"> 5.08</w:t>
            </w:r>
          </w:p>
        </w:tc>
        <w:tc>
          <w:tcPr>
            <w:tcW w:w="1261" w:type="dxa"/>
            <w:shd w:val="clear" w:color="auto" w:fill="FFFFFF"/>
          </w:tcPr>
          <w:p w14:paraId="4458D1DA" w14:textId="77777777" w:rsidR="00A65402" w:rsidRPr="002516C5" w:rsidRDefault="00A65402" w:rsidP="00F7101D">
            <w:pPr>
              <w:pStyle w:val="CETBodytext"/>
              <w:jc w:val="left"/>
              <w:rPr>
                <w:lang w:val="en-GB"/>
              </w:rPr>
            </w:pPr>
            <w:r w:rsidRPr="002516C5">
              <w:rPr>
                <w:lang w:val="en-GB"/>
              </w:rPr>
              <w:t xml:space="preserve">68.29 </w:t>
            </w:r>
            <w:r w:rsidRPr="002516C5">
              <w:rPr>
                <w:lang w:val="en-GB"/>
              </w:rPr>
              <w:sym w:font="Symbol" w:char="F0B1"/>
            </w:r>
            <w:r w:rsidRPr="002516C5">
              <w:rPr>
                <w:lang w:val="en-GB"/>
              </w:rPr>
              <w:t xml:space="preserve"> 4.28</w:t>
            </w:r>
          </w:p>
        </w:tc>
      </w:tr>
      <w:tr w:rsidR="00A65402" w:rsidRPr="002516C5" w14:paraId="3EB6A5F7" w14:textId="77777777" w:rsidTr="0011372B">
        <w:trPr>
          <w:jc w:val="center"/>
        </w:trPr>
        <w:tc>
          <w:tcPr>
            <w:tcW w:w="993" w:type="dxa"/>
            <w:shd w:val="clear" w:color="auto" w:fill="FFFFFF"/>
          </w:tcPr>
          <w:p w14:paraId="65D4C6A8" w14:textId="77777777" w:rsidR="00A65402" w:rsidRPr="002516C5" w:rsidRDefault="00A65402" w:rsidP="00F7101D">
            <w:pPr>
              <w:pStyle w:val="CETBodytext"/>
              <w:jc w:val="left"/>
              <w:rPr>
                <w:lang w:val="en-GB"/>
              </w:rPr>
            </w:pPr>
            <w:r w:rsidRPr="002516C5">
              <w:rPr>
                <w:lang w:val="en-GB"/>
              </w:rPr>
              <w:t>216</w:t>
            </w:r>
          </w:p>
        </w:tc>
        <w:tc>
          <w:tcPr>
            <w:tcW w:w="771" w:type="dxa"/>
            <w:shd w:val="clear" w:color="auto" w:fill="FFFFFF"/>
          </w:tcPr>
          <w:p w14:paraId="2ED60FEC" w14:textId="77777777" w:rsidR="00A65402" w:rsidRPr="002516C5" w:rsidRDefault="00A65402" w:rsidP="00F7101D">
            <w:pPr>
              <w:pStyle w:val="CETBodytext"/>
              <w:jc w:val="left"/>
              <w:rPr>
                <w:lang w:val="en-GB"/>
              </w:rPr>
            </w:pPr>
          </w:p>
        </w:tc>
        <w:tc>
          <w:tcPr>
            <w:tcW w:w="1223" w:type="dxa"/>
            <w:shd w:val="clear" w:color="auto" w:fill="FFFFFF"/>
          </w:tcPr>
          <w:p w14:paraId="652D91FF" w14:textId="77777777" w:rsidR="00A65402" w:rsidRPr="002516C5" w:rsidRDefault="00A65402" w:rsidP="00F7101D">
            <w:pPr>
              <w:pStyle w:val="CETBodytext"/>
              <w:jc w:val="left"/>
              <w:rPr>
                <w:lang w:val="en-GB"/>
              </w:rPr>
            </w:pPr>
            <w:r w:rsidRPr="002516C5">
              <w:rPr>
                <w:lang w:val="en-GB"/>
              </w:rPr>
              <w:t xml:space="preserve">-8.24 </w:t>
            </w:r>
            <w:r w:rsidRPr="002516C5">
              <w:rPr>
                <w:lang w:val="en-GB"/>
              </w:rPr>
              <w:sym w:font="Symbol" w:char="F0B1"/>
            </w:r>
            <w:r w:rsidRPr="002516C5">
              <w:rPr>
                <w:lang w:val="en-GB"/>
              </w:rPr>
              <w:t xml:space="preserve"> 4.00</w:t>
            </w:r>
          </w:p>
        </w:tc>
        <w:tc>
          <w:tcPr>
            <w:tcW w:w="1276" w:type="dxa"/>
            <w:shd w:val="clear" w:color="auto" w:fill="FFFFFF"/>
          </w:tcPr>
          <w:p w14:paraId="2046C57F" w14:textId="77777777" w:rsidR="00A65402" w:rsidRPr="002516C5" w:rsidRDefault="00A65402" w:rsidP="00F7101D">
            <w:pPr>
              <w:pStyle w:val="CETBodytext"/>
              <w:jc w:val="left"/>
              <w:rPr>
                <w:lang w:val="en-GB"/>
              </w:rPr>
            </w:pPr>
            <w:r w:rsidRPr="002516C5">
              <w:rPr>
                <w:lang w:val="en-GB"/>
              </w:rPr>
              <w:t xml:space="preserve">15.21 </w:t>
            </w:r>
            <w:r w:rsidRPr="002516C5">
              <w:rPr>
                <w:lang w:val="en-GB"/>
              </w:rPr>
              <w:sym w:font="Symbol" w:char="F0B1"/>
            </w:r>
            <w:r w:rsidRPr="002516C5">
              <w:rPr>
                <w:lang w:val="en-GB"/>
              </w:rPr>
              <w:t xml:space="preserve"> 6.64</w:t>
            </w:r>
          </w:p>
        </w:tc>
        <w:tc>
          <w:tcPr>
            <w:tcW w:w="1261" w:type="dxa"/>
            <w:shd w:val="clear" w:color="auto" w:fill="FFFFFF"/>
          </w:tcPr>
          <w:p w14:paraId="56135527" w14:textId="77777777" w:rsidR="00A65402" w:rsidRPr="002516C5" w:rsidRDefault="00A65402" w:rsidP="00F7101D">
            <w:pPr>
              <w:pStyle w:val="CETBodytext"/>
              <w:jc w:val="left"/>
              <w:rPr>
                <w:lang w:val="en-GB"/>
              </w:rPr>
            </w:pPr>
            <w:r w:rsidRPr="002516C5">
              <w:rPr>
                <w:lang w:val="en-GB"/>
              </w:rPr>
              <w:t xml:space="preserve">70.48 </w:t>
            </w:r>
            <w:r w:rsidRPr="002516C5">
              <w:rPr>
                <w:lang w:val="en-GB"/>
              </w:rPr>
              <w:sym w:font="Symbol" w:char="F0B1"/>
            </w:r>
            <w:r w:rsidRPr="002516C5">
              <w:rPr>
                <w:lang w:val="en-GB"/>
              </w:rPr>
              <w:t xml:space="preserve"> 1.75</w:t>
            </w:r>
          </w:p>
        </w:tc>
      </w:tr>
      <w:tr w:rsidR="00A65402" w:rsidRPr="002516C5" w14:paraId="40451520" w14:textId="77777777" w:rsidTr="0011372B">
        <w:trPr>
          <w:jc w:val="center"/>
        </w:trPr>
        <w:tc>
          <w:tcPr>
            <w:tcW w:w="993" w:type="dxa"/>
            <w:shd w:val="clear" w:color="auto" w:fill="FFFFFF"/>
          </w:tcPr>
          <w:p w14:paraId="0009C4AF" w14:textId="77777777" w:rsidR="00A65402" w:rsidRPr="002516C5" w:rsidRDefault="00A65402" w:rsidP="00F7101D">
            <w:pPr>
              <w:pStyle w:val="CETBodytext"/>
              <w:jc w:val="left"/>
              <w:rPr>
                <w:lang w:val="en-GB"/>
              </w:rPr>
            </w:pPr>
            <w:r w:rsidRPr="002516C5">
              <w:rPr>
                <w:lang w:val="en-GB"/>
              </w:rPr>
              <w:t>336</w:t>
            </w:r>
          </w:p>
        </w:tc>
        <w:tc>
          <w:tcPr>
            <w:tcW w:w="771" w:type="dxa"/>
            <w:shd w:val="clear" w:color="auto" w:fill="FFFFFF"/>
          </w:tcPr>
          <w:p w14:paraId="11CB19C9" w14:textId="77777777" w:rsidR="00A65402" w:rsidRPr="002516C5" w:rsidRDefault="00A65402" w:rsidP="00F7101D">
            <w:pPr>
              <w:pStyle w:val="CETBodytext"/>
              <w:jc w:val="left"/>
              <w:rPr>
                <w:lang w:val="en-GB"/>
              </w:rPr>
            </w:pPr>
          </w:p>
        </w:tc>
        <w:tc>
          <w:tcPr>
            <w:tcW w:w="1223" w:type="dxa"/>
            <w:shd w:val="clear" w:color="auto" w:fill="FFFFFF"/>
          </w:tcPr>
          <w:p w14:paraId="37A8EDF1" w14:textId="77777777" w:rsidR="00A65402" w:rsidRPr="002516C5" w:rsidRDefault="00A65402" w:rsidP="00F7101D">
            <w:pPr>
              <w:pStyle w:val="CETBodytext"/>
              <w:jc w:val="left"/>
              <w:rPr>
                <w:lang w:val="en-GB"/>
              </w:rPr>
            </w:pPr>
            <w:r w:rsidRPr="002516C5">
              <w:rPr>
                <w:lang w:val="en-GB"/>
              </w:rPr>
              <w:t xml:space="preserve">-9.01 </w:t>
            </w:r>
            <w:r w:rsidRPr="002516C5">
              <w:rPr>
                <w:lang w:val="en-GB"/>
              </w:rPr>
              <w:sym w:font="Symbol" w:char="F0B1"/>
            </w:r>
            <w:r w:rsidRPr="002516C5">
              <w:rPr>
                <w:lang w:val="en-GB"/>
              </w:rPr>
              <w:t xml:space="preserve"> 2.26</w:t>
            </w:r>
          </w:p>
        </w:tc>
        <w:tc>
          <w:tcPr>
            <w:tcW w:w="1276" w:type="dxa"/>
            <w:shd w:val="clear" w:color="auto" w:fill="FFFFFF"/>
          </w:tcPr>
          <w:p w14:paraId="66BD0757" w14:textId="77777777" w:rsidR="00A65402" w:rsidRPr="002516C5" w:rsidRDefault="00A65402" w:rsidP="00F7101D">
            <w:pPr>
              <w:pStyle w:val="CETBodytext"/>
              <w:jc w:val="left"/>
              <w:rPr>
                <w:lang w:val="en-GB"/>
              </w:rPr>
            </w:pPr>
            <w:r w:rsidRPr="002516C5">
              <w:rPr>
                <w:lang w:val="en-GB"/>
              </w:rPr>
              <w:t xml:space="preserve">12.31 </w:t>
            </w:r>
            <w:r w:rsidRPr="002516C5">
              <w:rPr>
                <w:lang w:val="en-GB"/>
              </w:rPr>
              <w:sym w:font="Symbol" w:char="F0B1"/>
            </w:r>
            <w:r w:rsidRPr="002516C5">
              <w:rPr>
                <w:lang w:val="en-GB"/>
              </w:rPr>
              <w:t xml:space="preserve"> 4.62</w:t>
            </w:r>
          </w:p>
        </w:tc>
        <w:tc>
          <w:tcPr>
            <w:tcW w:w="1261" w:type="dxa"/>
            <w:shd w:val="clear" w:color="auto" w:fill="FFFFFF"/>
          </w:tcPr>
          <w:p w14:paraId="7CCF8598" w14:textId="77777777" w:rsidR="00A65402" w:rsidRPr="002516C5" w:rsidRDefault="00A65402" w:rsidP="00F7101D">
            <w:pPr>
              <w:pStyle w:val="CETBodytext"/>
              <w:jc w:val="left"/>
              <w:rPr>
                <w:lang w:val="en-GB"/>
              </w:rPr>
            </w:pPr>
            <w:r w:rsidRPr="002516C5">
              <w:rPr>
                <w:lang w:val="en-GB"/>
              </w:rPr>
              <w:t xml:space="preserve">69.17 </w:t>
            </w:r>
            <w:r w:rsidRPr="002516C5">
              <w:rPr>
                <w:lang w:val="en-GB"/>
              </w:rPr>
              <w:sym w:font="Symbol" w:char="F0B1"/>
            </w:r>
            <w:r w:rsidRPr="002516C5">
              <w:rPr>
                <w:lang w:val="en-GB"/>
              </w:rPr>
              <w:t xml:space="preserve"> 3.97</w:t>
            </w:r>
          </w:p>
        </w:tc>
      </w:tr>
      <w:tr w:rsidR="00A65402" w:rsidRPr="002516C5" w14:paraId="775B66E6" w14:textId="77777777" w:rsidTr="0011372B">
        <w:trPr>
          <w:jc w:val="center"/>
        </w:trPr>
        <w:tc>
          <w:tcPr>
            <w:tcW w:w="993" w:type="dxa"/>
            <w:shd w:val="clear" w:color="auto" w:fill="FFFFFF"/>
          </w:tcPr>
          <w:p w14:paraId="35483EAC" w14:textId="77777777" w:rsidR="00A65402" w:rsidRPr="002516C5" w:rsidRDefault="00A65402" w:rsidP="00F7101D">
            <w:pPr>
              <w:pStyle w:val="CETBodytext"/>
              <w:jc w:val="left"/>
              <w:rPr>
                <w:lang w:val="en-GB"/>
              </w:rPr>
            </w:pPr>
          </w:p>
        </w:tc>
        <w:tc>
          <w:tcPr>
            <w:tcW w:w="771" w:type="dxa"/>
            <w:shd w:val="clear" w:color="auto" w:fill="FFFFFF"/>
          </w:tcPr>
          <w:p w14:paraId="2F99225B" w14:textId="77777777" w:rsidR="00A65402" w:rsidRPr="002516C5" w:rsidRDefault="00A65402" w:rsidP="00F7101D">
            <w:pPr>
              <w:pStyle w:val="CETBodytext"/>
              <w:jc w:val="left"/>
              <w:rPr>
                <w:lang w:val="en-GB"/>
              </w:rPr>
            </w:pPr>
          </w:p>
        </w:tc>
        <w:tc>
          <w:tcPr>
            <w:tcW w:w="1223" w:type="dxa"/>
            <w:shd w:val="clear" w:color="auto" w:fill="FFFFFF"/>
          </w:tcPr>
          <w:p w14:paraId="20C7B6AE" w14:textId="77777777" w:rsidR="00A65402" w:rsidRPr="002516C5" w:rsidRDefault="00A65402" w:rsidP="00F7101D">
            <w:pPr>
              <w:pStyle w:val="CETBodytext"/>
              <w:jc w:val="left"/>
              <w:rPr>
                <w:lang w:val="en-GB"/>
              </w:rPr>
            </w:pPr>
          </w:p>
        </w:tc>
        <w:tc>
          <w:tcPr>
            <w:tcW w:w="1276" w:type="dxa"/>
            <w:shd w:val="clear" w:color="auto" w:fill="FFFFFF"/>
          </w:tcPr>
          <w:p w14:paraId="28B7FED7" w14:textId="77777777" w:rsidR="00A65402" w:rsidRPr="002516C5" w:rsidRDefault="00A65402" w:rsidP="00F7101D">
            <w:pPr>
              <w:pStyle w:val="CETBodytext"/>
              <w:jc w:val="left"/>
              <w:rPr>
                <w:lang w:val="en-GB"/>
              </w:rPr>
            </w:pPr>
          </w:p>
        </w:tc>
        <w:tc>
          <w:tcPr>
            <w:tcW w:w="1261" w:type="dxa"/>
            <w:shd w:val="clear" w:color="auto" w:fill="FFFFFF"/>
          </w:tcPr>
          <w:p w14:paraId="35B8387A" w14:textId="77777777" w:rsidR="00A65402" w:rsidRPr="002516C5" w:rsidRDefault="00A65402" w:rsidP="00F7101D">
            <w:pPr>
              <w:pStyle w:val="CETBodytext"/>
              <w:jc w:val="left"/>
              <w:rPr>
                <w:lang w:val="en-GB"/>
              </w:rPr>
            </w:pPr>
          </w:p>
        </w:tc>
      </w:tr>
      <w:tr w:rsidR="00A65402" w:rsidRPr="002516C5" w14:paraId="411F15CB" w14:textId="77777777" w:rsidTr="0011372B">
        <w:trPr>
          <w:jc w:val="center"/>
        </w:trPr>
        <w:tc>
          <w:tcPr>
            <w:tcW w:w="993" w:type="dxa"/>
            <w:shd w:val="clear" w:color="auto" w:fill="FFFFFF"/>
          </w:tcPr>
          <w:p w14:paraId="088789CF" w14:textId="77777777" w:rsidR="00A65402" w:rsidRPr="002516C5" w:rsidRDefault="00A65402" w:rsidP="00F7101D">
            <w:pPr>
              <w:pStyle w:val="CETBodytext"/>
              <w:jc w:val="left"/>
              <w:rPr>
                <w:lang w:val="en-GB"/>
              </w:rPr>
            </w:pPr>
            <w:r w:rsidRPr="002516C5">
              <w:rPr>
                <w:lang w:val="en-GB"/>
              </w:rPr>
              <w:t>0</w:t>
            </w:r>
          </w:p>
        </w:tc>
        <w:tc>
          <w:tcPr>
            <w:tcW w:w="771" w:type="dxa"/>
            <w:shd w:val="clear" w:color="auto" w:fill="FFFFFF"/>
          </w:tcPr>
          <w:p w14:paraId="52BE6E3D" w14:textId="77777777" w:rsidR="00A65402" w:rsidRPr="002516C5" w:rsidRDefault="00A65402" w:rsidP="00F7101D">
            <w:pPr>
              <w:pStyle w:val="CETBodytext"/>
              <w:jc w:val="left"/>
              <w:rPr>
                <w:lang w:val="en-GB"/>
              </w:rPr>
            </w:pPr>
            <w:r>
              <w:rPr>
                <w:lang w:val="en-GB"/>
              </w:rPr>
              <w:t xml:space="preserve">Control </w:t>
            </w:r>
          </w:p>
        </w:tc>
        <w:tc>
          <w:tcPr>
            <w:tcW w:w="1223" w:type="dxa"/>
            <w:shd w:val="clear" w:color="auto" w:fill="FFFFFF"/>
          </w:tcPr>
          <w:p w14:paraId="6E980228" w14:textId="77777777" w:rsidR="00A65402" w:rsidRPr="002516C5" w:rsidRDefault="00A65402" w:rsidP="00F7101D">
            <w:pPr>
              <w:pStyle w:val="CETBodytext"/>
              <w:jc w:val="left"/>
              <w:rPr>
                <w:lang w:val="en-GB"/>
              </w:rPr>
            </w:pPr>
            <w:r w:rsidRPr="002516C5">
              <w:rPr>
                <w:lang w:val="en-GB"/>
              </w:rPr>
              <w:t xml:space="preserve">-6.16 </w:t>
            </w:r>
            <w:r w:rsidRPr="002516C5">
              <w:rPr>
                <w:lang w:val="en-GB"/>
              </w:rPr>
              <w:sym w:font="Symbol" w:char="F0B1"/>
            </w:r>
            <w:r w:rsidRPr="002516C5">
              <w:rPr>
                <w:lang w:val="en-GB"/>
              </w:rPr>
              <w:t xml:space="preserve"> 3.16</w:t>
            </w:r>
          </w:p>
        </w:tc>
        <w:tc>
          <w:tcPr>
            <w:tcW w:w="1276" w:type="dxa"/>
            <w:shd w:val="clear" w:color="auto" w:fill="FFFFFF"/>
          </w:tcPr>
          <w:p w14:paraId="5897BD3A" w14:textId="77777777" w:rsidR="00A65402" w:rsidRPr="002516C5" w:rsidRDefault="00A65402" w:rsidP="00F7101D">
            <w:pPr>
              <w:pStyle w:val="CETBodytext"/>
              <w:jc w:val="left"/>
              <w:rPr>
                <w:lang w:val="en-GB"/>
              </w:rPr>
            </w:pPr>
            <w:r w:rsidRPr="002516C5">
              <w:rPr>
                <w:lang w:val="en-GB"/>
              </w:rPr>
              <w:t xml:space="preserve">16.22 </w:t>
            </w:r>
            <w:r w:rsidRPr="002516C5">
              <w:rPr>
                <w:lang w:val="en-GB"/>
              </w:rPr>
              <w:sym w:font="Symbol" w:char="F0B1"/>
            </w:r>
            <w:r w:rsidRPr="002516C5">
              <w:rPr>
                <w:lang w:val="en-GB"/>
              </w:rPr>
              <w:t xml:space="preserve"> 6.53</w:t>
            </w:r>
          </w:p>
        </w:tc>
        <w:tc>
          <w:tcPr>
            <w:tcW w:w="1261" w:type="dxa"/>
            <w:shd w:val="clear" w:color="auto" w:fill="FFFFFF"/>
          </w:tcPr>
          <w:p w14:paraId="50434E49" w14:textId="77777777" w:rsidR="00A65402" w:rsidRPr="002516C5" w:rsidRDefault="00A65402" w:rsidP="00F7101D">
            <w:pPr>
              <w:pStyle w:val="CETBodytext"/>
              <w:jc w:val="left"/>
              <w:rPr>
                <w:lang w:val="en-GB"/>
              </w:rPr>
            </w:pPr>
            <w:r w:rsidRPr="002516C5">
              <w:rPr>
                <w:lang w:val="en-GB"/>
              </w:rPr>
              <w:t xml:space="preserve">66.46 </w:t>
            </w:r>
            <w:r w:rsidRPr="002516C5">
              <w:rPr>
                <w:lang w:val="en-GB"/>
              </w:rPr>
              <w:sym w:font="Symbol" w:char="F0B1"/>
            </w:r>
            <w:r w:rsidRPr="002516C5">
              <w:rPr>
                <w:lang w:val="en-GB"/>
              </w:rPr>
              <w:t xml:space="preserve"> 2.07</w:t>
            </w:r>
          </w:p>
        </w:tc>
      </w:tr>
      <w:tr w:rsidR="00A65402" w:rsidRPr="002516C5" w14:paraId="27861B74" w14:textId="77777777" w:rsidTr="0011372B">
        <w:trPr>
          <w:jc w:val="center"/>
        </w:trPr>
        <w:tc>
          <w:tcPr>
            <w:tcW w:w="993" w:type="dxa"/>
            <w:shd w:val="clear" w:color="auto" w:fill="FFFFFF"/>
          </w:tcPr>
          <w:p w14:paraId="6093ED54" w14:textId="77777777" w:rsidR="00A65402" w:rsidRPr="002516C5" w:rsidRDefault="00A65402" w:rsidP="00F7101D">
            <w:pPr>
              <w:pStyle w:val="CETBodytext"/>
              <w:jc w:val="left"/>
              <w:rPr>
                <w:lang w:val="en-GB"/>
              </w:rPr>
            </w:pPr>
            <w:r w:rsidRPr="002516C5">
              <w:rPr>
                <w:lang w:val="en-GB"/>
              </w:rPr>
              <w:t>8</w:t>
            </w:r>
          </w:p>
        </w:tc>
        <w:tc>
          <w:tcPr>
            <w:tcW w:w="771" w:type="dxa"/>
            <w:shd w:val="clear" w:color="auto" w:fill="FFFFFF"/>
          </w:tcPr>
          <w:p w14:paraId="26048E87" w14:textId="77777777" w:rsidR="00A65402" w:rsidRPr="002516C5" w:rsidRDefault="00A65402" w:rsidP="00F7101D">
            <w:pPr>
              <w:pStyle w:val="CETBodytext"/>
              <w:jc w:val="left"/>
              <w:rPr>
                <w:lang w:val="en-GB"/>
              </w:rPr>
            </w:pPr>
          </w:p>
        </w:tc>
        <w:tc>
          <w:tcPr>
            <w:tcW w:w="1223" w:type="dxa"/>
            <w:shd w:val="clear" w:color="auto" w:fill="FFFFFF"/>
          </w:tcPr>
          <w:p w14:paraId="17DC90CF" w14:textId="77777777" w:rsidR="00A65402" w:rsidRPr="002516C5" w:rsidRDefault="00A65402" w:rsidP="00F7101D">
            <w:pPr>
              <w:pStyle w:val="CETBodytext"/>
              <w:jc w:val="left"/>
              <w:rPr>
                <w:lang w:val="en-GB"/>
              </w:rPr>
            </w:pPr>
            <w:r w:rsidRPr="002516C5">
              <w:rPr>
                <w:lang w:val="en-GB"/>
              </w:rPr>
              <w:t xml:space="preserve">-4.48 </w:t>
            </w:r>
            <w:r w:rsidRPr="002516C5">
              <w:rPr>
                <w:lang w:val="en-GB"/>
              </w:rPr>
              <w:sym w:font="Symbol" w:char="F0B1"/>
            </w:r>
            <w:r w:rsidRPr="002516C5">
              <w:rPr>
                <w:lang w:val="en-GB"/>
              </w:rPr>
              <w:t xml:space="preserve"> 5.24</w:t>
            </w:r>
          </w:p>
        </w:tc>
        <w:tc>
          <w:tcPr>
            <w:tcW w:w="1276" w:type="dxa"/>
            <w:shd w:val="clear" w:color="auto" w:fill="FFFFFF"/>
          </w:tcPr>
          <w:p w14:paraId="03AC1EC8" w14:textId="77777777" w:rsidR="00A65402" w:rsidRPr="002516C5" w:rsidRDefault="00A65402" w:rsidP="00F7101D">
            <w:pPr>
              <w:pStyle w:val="CETBodytext"/>
              <w:jc w:val="left"/>
              <w:rPr>
                <w:lang w:val="en-GB"/>
              </w:rPr>
            </w:pPr>
            <w:r w:rsidRPr="002516C5">
              <w:rPr>
                <w:lang w:val="en-GB"/>
              </w:rPr>
              <w:t xml:space="preserve">17.67 </w:t>
            </w:r>
            <w:r w:rsidRPr="002516C5">
              <w:rPr>
                <w:lang w:val="en-GB"/>
              </w:rPr>
              <w:sym w:font="Symbol" w:char="F0B1"/>
            </w:r>
            <w:r w:rsidRPr="002516C5">
              <w:rPr>
                <w:lang w:val="en-GB"/>
              </w:rPr>
              <w:t xml:space="preserve"> 7.00</w:t>
            </w:r>
          </w:p>
        </w:tc>
        <w:tc>
          <w:tcPr>
            <w:tcW w:w="1261" w:type="dxa"/>
            <w:shd w:val="clear" w:color="auto" w:fill="FFFFFF"/>
          </w:tcPr>
          <w:p w14:paraId="7D25A05D" w14:textId="77777777" w:rsidR="00A65402" w:rsidRPr="002516C5" w:rsidRDefault="00A65402" w:rsidP="00F7101D">
            <w:pPr>
              <w:pStyle w:val="CETBodytext"/>
              <w:jc w:val="left"/>
              <w:rPr>
                <w:lang w:val="en-GB"/>
              </w:rPr>
            </w:pPr>
            <w:r w:rsidRPr="002516C5">
              <w:rPr>
                <w:lang w:val="en-GB"/>
              </w:rPr>
              <w:t xml:space="preserve">69.07 </w:t>
            </w:r>
            <w:r w:rsidRPr="002516C5">
              <w:rPr>
                <w:lang w:val="en-GB"/>
              </w:rPr>
              <w:sym w:font="Symbol" w:char="F0B1"/>
            </w:r>
            <w:r w:rsidRPr="002516C5">
              <w:rPr>
                <w:lang w:val="en-GB"/>
              </w:rPr>
              <w:t xml:space="preserve"> 3.16</w:t>
            </w:r>
          </w:p>
        </w:tc>
      </w:tr>
      <w:tr w:rsidR="00A65402" w:rsidRPr="002516C5" w14:paraId="6EBFFF95" w14:textId="77777777" w:rsidTr="0011372B">
        <w:trPr>
          <w:jc w:val="center"/>
        </w:trPr>
        <w:tc>
          <w:tcPr>
            <w:tcW w:w="993" w:type="dxa"/>
            <w:shd w:val="clear" w:color="auto" w:fill="FFFFFF"/>
          </w:tcPr>
          <w:p w14:paraId="5ED7FACB" w14:textId="77777777" w:rsidR="00A65402" w:rsidRPr="002516C5" w:rsidRDefault="00A65402" w:rsidP="00F7101D">
            <w:pPr>
              <w:pStyle w:val="CETBodytext"/>
              <w:jc w:val="left"/>
              <w:rPr>
                <w:lang w:val="en-GB"/>
              </w:rPr>
            </w:pPr>
            <w:r w:rsidRPr="002516C5">
              <w:rPr>
                <w:lang w:val="en-GB"/>
              </w:rPr>
              <w:t>16</w:t>
            </w:r>
          </w:p>
        </w:tc>
        <w:tc>
          <w:tcPr>
            <w:tcW w:w="771" w:type="dxa"/>
            <w:shd w:val="clear" w:color="auto" w:fill="FFFFFF"/>
          </w:tcPr>
          <w:p w14:paraId="1EBD2CCB" w14:textId="77777777" w:rsidR="00A65402" w:rsidRPr="002516C5" w:rsidRDefault="00A65402" w:rsidP="00F7101D">
            <w:pPr>
              <w:pStyle w:val="CETBodytext"/>
              <w:jc w:val="left"/>
              <w:rPr>
                <w:lang w:val="en-GB"/>
              </w:rPr>
            </w:pPr>
          </w:p>
        </w:tc>
        <w:tc>
          <w:tcPr>
            <w:tcW w:w="1223" w:type="dxa"/>
            <w:shd w:val="clear" w:color="auto" w:fill="FFFFFF"/>
          </w:tcPr>
          <w:p w14:paraId="5A6C2290" w14:textId="77777777" w:rsidR="00A65402" w:rsidRPr="002516C5" w:rsidRDefault="00A65402" w:rsidP="00F7101D">
            <w:pPr>
              <w:pStyle w:val="CETBodytext"/>
              <w:jc w:val="left"/>
              <w:rPr>
                <w:lang w:val="en-GB"/>
              </w:rPr>
            </w:pPr>
            <w:r w:rsidRPr="002516C5">
              <w:rPr>
                <w:lang w:val="en-GB"/>
              </w:rPr>
              <w:t xml:space="preserve">-0.91 </w:t>
            </w:r>
            <w:r w:rsidRPr="002516C5">
              <w:rPr>
                <w:lang w:val="en-GB"/>
              </w:rPr>
              <w:sym w:font="Symbol" w:char="F0B1"/>
            </w:r>
            <w:r w:rsidRPr="002516C5">
              <w:rPr>
                <w:lang w:val="en-GB"/>
              </w:rPr>
              <w:t xml:space="preserve"> 0.98</w:t>
            </w:r>
          </w:p>
        </w:tc>
        <w:tc>
          <w:tcPr>
            <w:tcW w:w="1276" w:type="dxa"/>
            <w:shd w:val="clear" w:color="auto" w:fill="FFFFFF"/>
          </w:tcPr>
          <w:p w14:paraId="0176DEB6" w14:textId="77777777" w:rsidR="00A65402" w:rsidRPr="002516C5" w:rsidRDefault="00A65402" w:rsidP="00F7101D">
            <w:pPr>
              <w:pStyle w:val="CETBodytext"/>
              <w:jc w:val="left"/>
              <w:rPr>
                <w:lang w:val="en-GB"/>
              </w:rPr>
            </w:pPr>
            <w:r w:rsidRPr="002516C5">
              <w:rPr>
                <w:lang w:val="en-GB"/>
              </w:rPr>
              <w:t xml:space="preserve">26.56 </w:t>
            </w:r>
            <w:r w:rsidRPr="002516C5">
              <w:rPr>
                <w:lang w:val="en-GB"/>
              </w:rPr>
              <w:sym w:font="Symbol" w:char="F0B1"/>
            </w:r>
            <w:r w:rsidRPr="002516C5">
              <w:rPr>
                <w:lang w:val="en-GB"/>
              </w:rPr>
              <w:t xml:space="preserve"> 2.85</w:t>
            </w:r>
          </w:p>
        </w:tc>
        <w:tc>
          <w:tcPr>
            <w:tcW w:w="1261" w:type="dxa"/>
            <w:shd w:val="clear" w:color="auto" w:fill="FFFFFF"/>
          </w:tcPr>
          <w:p w14:paraId="484A8AEA" w14:textId="77777777" w:rsidR="00A65402" w:rsidRPr="002516C5" w:rsidRDefault="00A65402" w:rsidP="00F7101D">
            <w:pPr>
              <w:pStyle w:val="CETBodytext"/>
              <w:jc w:val="left"/>
              <w:rPr>
                <w:lang w:val="en-GB"/>
              </w:rPr>
            </w:pPr>
            <w:r w:rsidRPr="002516C5">
              <w:rPr>
                <w:lang w:val="en-GB"/>
              </w:rPr>
              <w:t xml:space="preserve">73.51 </w:t>
            </w:r>
            <w:r w:rsidRPr="002516C5">
              <w:rPr>
                <w:lang w:val="en-GB"/>
              </w:rPr>
              <w:sym w:font="Symbol" w:char="F0B1"/>
            </w:r>
            <w:r w:rsidRPr="002516C5">
              <w:rPr>
                <w:lang w:val="en-GB"/>
              </w:rPr>
              <w:t xml:space="preserve"> 3.06</w:t>
            </w:r>
          </w:p>
        </w:tc>
      </w:tr>
      <w:tr w:rsidR="00A65402" w:rsidRPr="002516C5" w14:paraId="58CB4977" w14:textId="77777777" w:rsidTr="0011372B">
        <w:trPr>
          <w:jc w:val="center"/>
        </w:trPr>
        <w:tc>
          <w:tcPr>
            <w:tcW w:w="993" w:type="dxa"/>
            <w:shd w:val="clear" w:color="auto" w:fill="FFFFFF"/>
          </w:tcPr>
          <w:p w14:paraId="56BCF4DC" w14:textId="77777777" w:rsidR="00A65402" w:rsidRPr="002516C5" w:rsidRDefault="00A65402" w:rsidP="00F7101D">
            <w:pPr>
              <w:pStyle w:val="CETBodytext"/>
              <w:jc w:val="left"/>
              <w:rPr>
                <w:lang w:val="en-GB"/>
              </w:rPr>
            </w:pPr>
            <w:r w:rsidRPr="002516C5">
              <w:rPr>
                <w:lang w:val="en-GB"/>
              </w:rPr>
              <w:t>24</w:t>
            </w:r>
          </w:p>
        </w:tc>
        <w:tc>
          <w:tcPr>
            <w:tcW w:w="771" w:type="dxa"/>
            <w:shd w:val="clear" w:color="auto" w:fill="FFFFFF"/>
          </w:tcPr>
          <w:p w14:paraId="2A0A6DF8" w14:textId="77777777" w:rsidR="00A65402" w:rsidRPr="002516C5" w:rsidRDefault="00A65402" w:rsidP="00F7101D">
            <w:pPr>
              <w:pStyle w:val="CETBodytext"/>
              <w:jc w:val="left"/>
              <w:rPr>
                <w:lang w:val="en-GB"/>
              </w:rPr>
            </w:pPr>
          </w:p>
        </w:tc>
        <w:tc>
          <w:tcPr>
            <w:tcW w:w="1223" w:type="dxa"/>
            <w:shd w:val="clear" w:color="auto" w:fill="FFFFFF"/>
          </w:tcPr>
          <w:p w14:paraId="6D2998F6" w14:textId="77777777" w:rsidR="00A65402" w:rsidRPr="002516C5" w:rsidRDefault="00A65402" w:rsidP="00F7101D">
            <w:pPr>
              <w:pStyle w:val="CETBodytext"/>
              <w:jc w:val="left"/>
              <w:rPr>
                <w:lang w:val="en-GB"/>
              </w:rPr>
            </w:pPr>
            <w:r w:rsidRPr="002516C5">
              <w:rPr>
                <w:lang w:val="en-GB"/>
              </w:rPr>
              <w:t xml:space="preserve">-6.20 </w:t>
            </w:r>
            <w:r w:rsidRPr="002516C5">
              <w:rPr>
                <w:lang w:val="en-GB"/>
              </w:rPr>
              <w:sym w:font="Symbol" w:char="F0B1"/>
            </w:r>
            <w:r w:rsidRPr="002516C5">
              <w:rPr>
                <w:lang w:val="en-GB"/>
              </w:rPr>
              <w:t xml:space="preserve"> 5.41</w:t>
            </w:r>
          </w:p>
        </w:tc>
        <w:tc>
          <w:tcPr>
            <w:tcW w:w="1276" w:type="dxa"/>
            <w:shd w:val="clear" w:color="auto" w:fill="FFFFFF"/>
          </w:tcPr>
          <w:p w14:paraId="6FDDF559" w14:textId="77777777" w:rsidR="00A65402" w:rsidRPr="002516C5" w:rsidRDefault="00A65402" w:rsidP="00F7101D">
            <w:pPr>
              <w:pStyle w:val="CETBodytext"/>
              <w:jc w:val="left"/>
              <w:rPr>
                <w:lang w:val="en-GB"/>
              </w:rPr>
            </w:pPr>
            <w:r w:rsidRPr="002516C5">
              <w:rPr>
                <w:lang w:val="en-GB"/>
              </w:rPr>
              <w:t xml:space="preserve">16.50 </w:t>
            </w:r>
            <w:r w:rsidRPr="002516C5">
              <w:rPr>
                <w:lang w:val="en-GB"/>
              </w:rPr>
              <w:sym w:font="Symbol" w:char="F0B1"/>
            </w:r>
            <w:r w:rsidRPr="002516C5">
              <w:rPr>
                <w:lang w:val="en-GB"/>
              </w:rPr>
              <w:t xml:space="preserve"> 8.47</w:t>
            </w:r>
          </w:p>
        </w:tc>
        <w:tc>
          <w:tcPr>
            <w:tcW w:w="1261" w:type="dxa"/>
            <w:shd w:val="clear" w:color="auto" w:fill="FFFFFF"/>
          </w:tcPr>
          <w:p w14:paraId="311A4B66" w14:textId="77777777" w:rsidR="00A65402" w:rsidRPr="002516C5" w:rsidRDefault="00A65402" w:rsidP="00F7101D">
            <w:pPr>
              <w:pStyle w:val="CETBodytext"/>
              <w:jc w:val="left"/>
              <w:rPr>
                <w:lang w:val="en-GB"/>
              </w:rPr>
            </w:pPr>
            <w:r w:rsidRPr="002516C5">
              <w:rPr>
                <w:lang w:val="en-GB"/>
              </w:rPr>
              <w:t xml:space="preserve">67.04 </w:t>
            </w:r>
            <w:r w:rsidRPr="002516C5">
              <w:rPr>
                <w:lang w:val="en-GB"/>
              </w:rPr>
              <w:sym w:font="Symbol" w:char="F0B1"/>
            </w:r>
            <w:r w:rsidRPr="002516C5">
              <w:rPr>
                <w:lang w:val="en-GB"/>
              </w:rPr>
              <w:t xml:space="preserve"> 3.17</w:t>
            </w:r>
          </w:p>
        </w:tc>
      </w:tr>
      <w:tr w:rsidR="00A65402" w:rsidRPr="002516C5" w14:paraId="32C5F542" w14:textId="77777777" w:rsidTr="0011372B">
        <w:trPr>
          <w:jc w:val="center"/>
        </w:trPr>
        <w:tc>
          <w:tcPr>
            <w:tcW w:w="993" w:type="dxa"/>
            <w:shd w:val="clear" w:color="auto" w:fill="FFFFFF"/>
          </w:tcPr>
          <w:p w14:paraId="09CE4A07" w14:textId="77777777" w:rsidR="00A65402" w:rsidRPr="002516C5" w:rsidRDefault="00A65402" w:rsidP="00F7101D">
            <w:pPr>
              <w:pStyle w:val="CETBodytext"/>
              <w:jc w:val="left"/>
              <w:rPr>
                <w:lang w:val="en-GB"/>
              </w:rPr>
            </w:pPr>
            <w:r w:rsidRPr="002516C5">
              <w:rPr>
                <w:lang w:val="en-GB"/>
              </w:rPr>
              <w:t>48</w:t>
            </w:r>
          </w:p>
        </w:tc>
        <w:tc>
          <w:tcPr>
            <w:tcW w:w="771" w:type="dxa"/>
            <w:shd w:val="clear" w:color="auto" w:fill="FFFFFF"/>
          </w:tcPr>
          <w:p w14:paraId="49FAA251" w14:textId="77777777" w:rsidR="00A65402" w:rsidRPr="002516C5" w:rsidRDefault="00A65402" w:rsidP="00F7101D">
            <w:pPr>
              <w:pStyle w:val="CETBodytext"/>
              <w:jc w:val="left"/>
              <w:rPr>
                <w:lang w:val="en-GB"/>
              </w:rPr>
            </w:pPr>
          </w:p>
        </w:tc>
        <w:tc>
          <w:tcPr>
            <w:tcW w:w="1223" w:type="dxa"/>
            <w:shd w:val="clear" w:color="auto" w:fill="FFFFFF"/>
          </w:tcPr>
          <w:p w14:paraId="2F31EAF9" w14:textId="77777777" w:rsidR="00A65402" w:rsidRPr="002516C5" w:rsidRDefault="00A65402" w:rsidP="00F7101D">
            <w:pPr>
              <w:pStyle w:val="CETBodytext"/>
              <w:jc w:val="left"/>
              <w:rPr>
                <w:lang w:val="en-GB"/>
              </w:rPr>
            </w:pPr>
            <w:r w:rsidRPr="002516C5">
              <w:rPr>
                <w:lang w:val="en-GB"/>
              </w:rPr>
              <w:t xml:space="preserve">-9.90 </w:t>
            </w:r>
            <w:r w:rsidRPr="002516C5">
              <w:rPr>
                <w:lang w:val="en-GB"/>
              </w:rPr>
              <w:sym w:font="Symbol" w:char="F0B1"/>
            </w:r>
            <w:r w:rsidRPr="002516C5">
              <w:rPr>
                <w:lang w:val="en-GB"/>
              </w:rPr>
              <w:t xml:space="preserve"> 6.43</w:t>
            </w:r>
          </w:p>
        </w:tc>
        <w:tc>
          <w:tcPr>
            <w:tcW w:w="1276" w:type="dxa"/>
            <w:shd w:val="clear" w:color="auto" w:fill="FFFFFF"/>
          </w:tcPr>
          <w:p w14:paraId="29101B5D" w14:textId="77777777" w:rsidR="00A65402" w:rsidRPr="002516C5" w:rsidRDefault="00A65402" w:rsidP="00F7101D">
            <w:pPr>
              <w:pStyle w:val="CETBodytext"/>
              <w:jc w:val="left"/>
              <w:rPr>
                <w:lang w:val="en-GB"/>
              </w:rPr>
            </w:pPr>
            <w:r w:rsidRPr="002516C5">
              <w:rPr>
                <w:lang w:val="en-GB"/>
              </w:rPr>
              <w:t xml:space="preserve">18.91 </w:t>
            </w:r>
            <w:r w:rsidRPr="002516C5">
              <w:rPr>
                <w:lang w:val="en-GB"/>
              </w:rPr>
              <w:sym w:font="Symbol" w:char="F0B1"/>
            </w:r>
            <w:r w:rsidRPr="002516C5">
              <w:rPr>
                <w:lang w:val="en-GB"/>
              </w:rPr>
              <w:t xml:space="preserve"> 7.98</w:t>
            </w:r>
          </w:p>
        </w:tc>
        <w:tc>
          <w:tcPr>
            <w:tcW w:w="1261" w:type="dxa"/>
            <w:shd w:val="clear" w:color="auto" w:fill="FFFFFF"/>
          </w:tcPr>
          <w:p w14:paraId="69F68E82" w14:textId="77777777" w:rsidR="00A65402" w:rsidRPr="002516C5" w:rsidRDefault="00A65402" w:rsidP="00F7101D">
            <w:pPr>
              <w:pStyle w:val="CETBodytext"/>
              <w:jc w:val="left"/>
              <w:rPr>
                <w:lang w:val="en-GB"/>
              </w:rPr>
            </w:pPr>
            <w:r w:rsidRPr="002516C5">
              <w:rPr>
                <w:lang w:val="en-GB"/>
              </w:rPr>
              <w:t xml:space="preserve">71.85 </w:t>
            </w:r>
            <w:r w:rsidRPr="002516C5">
              <w:rPr>
                <w:lang w:val="en-GB"/>
              </w:rPr>
              <w:sym w:font="Symbol" w:char="F0B1"/>
            </w:r>
            <w:r w:rsidRPr="002516C5">
              <w:rPr>
                <w:lang w:val="en-GB"/>
              </w:rPr>
              <w:t xml:space="preserve"> 4.40</w:t>
            </w:r>
          </w:p>
        </w:tc>
      </w:tr>
      <w:tr w:rsidR="00A65402" w:rsidRPr="002516C5" w14:paraId="024C321E" w14:textId="77777777" w:rsidTr="0011372B">
        <w:trPr>
          <w:jc w:val="center"/>
        </w:trPr>
        <w:tc>
          <w:tcPr>
            <w:tcW w:w="993" w:type="dxa"/>
            <w:shd w:val="clear" w:color="auto" w:fill="FFFFFF"/>
          </w:tcPr>
          <w:p w14:paraId="6F5EAB42" w14:textId="77777777" w:rsidR="00A65402" w:rsidRPr="002516C5" w:rsidRDefault="00A65402" w:rsidP="00F7101D">
            <w:pPr>
              <w:pStyle w:val="CETBodytext"/>
              <w:jc w:val="left"/>
              <w:rPr>
                <w:lang w:val="en-GB"/>
              </w:rPr>
            </w:pPr>
            <w:r w:rsidRPr="002516C5">
              <w:rPr>
                <w:lang w:val="en-GB"/>
              </w:rPr>
              <w:t>72</w:t>
            </w:r>
          </w:p>
        </w:tc>
        <w:tc>
          <w:tcPr>
            <w:tcW w:w="771" w:type="dxa"/>
            <w:shd w:val="clear" w:color="auto" w:fill="FFFFFF"/>
          </w:tcPr>
          <w:p w14:paraId="1DDCEB5B" w14:textId="77777777" w:rsidR="00A65402" w:rsidRPr="002516C5" w:rsidRDefault="00A65402" w:rsidP="00F7101D">
            <w:pPr>
              <w:pStyle w:val="CETBodytext"/>
              <w:jc w:val="left"/>
              <w:rPr>
                <w:lang w:val="en-GB"/>
              </w:rPr>
            </w:pPr>
          </w:p>
        </w:tc>
        <w:tc>
          <w:tcPr>
            <w:tcW w:w="1223" w:type="dxa"/>
            <w:shd w:val="clear" w:color="auto" w:fill="FFFFFF"/>
          </w:tcPr>
          <w:p w14:paraId="3F3DB695" w14:textId="77777777" w:rsidR="00A65402" w:rsidRPr="002516C5" w:rsidRDefault="00A65402" w:rsidP="00F7101D">
            <w:pPr>
              <w:pStyle w:val="CETBodytext"/>
              <w:jc w:val="left"/>
              <w:rPr>
                <w:lang w:val="en-GB"/>
              </w:rPr>
            </w:pPr>
            <w:r w:rsidRPr="002516C5">
              <w:rPr>
                <w:lang w:val="en-GB"/>
              </w:rPr>
              <w:t xml:space="preserve">-6.10 </w:t>
            </w:r>
            <w:r w:rsidRPr="002516C5">
              <w:rPr>
                <w:lang w:val="en-GB"/>
              </w:rPr>
              <w:sym w:font="Symbol" w:char="F0B1"/>
            </w:r>
            <w:r w:rsidRPr="002516C5">
              <w:rPr>
                <w:lang w:val="en-GB"/>
              </w:rPr>
              <w:t xml:space="preserve"> 5.58</w:t>
            </w:r>
          </w:p>
        </w:tc>
        <w:tc>
          <w:tcPr>
            <w:tcW w:w="1276" w:type="dxa"/>
            <w:shd w:val="clear" w:color="auto" w:fill="FFFFFF"/>
          </w:tcPr>
          <w:p w14:paraId="3D9258A2" w14:textId="77777777" w:rsidR="00A65402" w:rsidRPr="002516C5" w:rsidRDefault="00A65402" w:rsidP="00F7101D">
            <w:pPr>
              <w:pStyle w:val="CETBodytext"/>
              <w:jc w:val="left"/>
              <w:rPr>
                <w:lang w:val="en-GB"/>
              </w:rPr>
            </w:pPr>
            <w:r w:rsidRPr="002516C5">
              <w:rPr>
                <w:lang w:val="en-GB"/>
              </w:rPr>
              <w:t xml:space="preserve">14.20 </w:t>
            </w:r>
            <w:r w:rsidRPr="002516C5">
              <w:rPr>
                <w:lang w:val="en-GB"/>
              </w:rPr>
              <w:sym w:font="Symbol" w:char="F0B1"/>
            </w:r>
            <w:r w:rsidRPr="002516C5">
              <w:rPr>
                <w:lang w:val="en-GB"/>
              </w:rPr>
              <w:t xml:space="preserve"> 6.11</w:t>
            </w:r>
          </w:p>
        </w:tc>
        <w:tc>
          <w:tcPr>
            <w:tcW w:w="1261" w:type="dxa"/>
            <w:shd w:val="clear" w:color="auto" w:fill="FFFFFF"/>
          </w:tcPr>
          <w:p w14:paraId="325F04E9" w14:textId="77777777" w:rsidR="00A65402" w:rsidRPr="002516C5" w:rsidRDefault="00A65402" w:rsidP="00F7101D">
            <w:pPr>
              <w:pStyle w:val="CETBodytext"/>
              <w:jc w:val="left"/>
              <w:rPr>
                <w:lang w:val="en-GB"/>
              </w:rPr>
            </w:pPr>
            <w:r w:rsidRPr="002516C5">
              <w:rPr>
                <w:lang w:val="en-GB"/>
              </w:rPr>
              <w:t xml:space="preserve">70.90 </w:t>
            </w:r>
            <w:r w:rsidRPr="002516C5">
              <w:rPr>
                <w:lang w:val="en-GB"/>
              </w:rPr>
              <w:sym w:font="Symbol" w:char="F0B1"/>
            </w:r>
            <w:r w:rsidRPr="002516C5">
              <w:rPr>
                <w:lang w:val="en-GB"/>
              </w:rPr>
              <w:t xml:space="preserve"> 2.81</w:t>
            </w:r>
          </w:p>
        </w:tc>
      </w:tr>
      <w:tr w:rsidR="00A65402" w:rsidRPr="002516C5" w14:paraId="1235AD7A" w14:textId="77777777" w:rsidTr="0011372B">
        <w:trPr>
          <w:jc w:val="center"/>
        </w:trPr>
        <w:tc>
          <w:tcPr>
            <w:tcW w:w="993" w:type="dxa"/>
            <w:shd w:val="clear" w:color="auto" w:fill="FFFFFF"/>
          </w:tcPr>
          <w:p w14:paraId="402B69B6" w14:textId="77777777" w:rsidR="00A65402" w:rsidRPr="002516C5" w:rsidRDefault="00A65402" w:rsidP="00F7101D">
            <w:pPr>
              <w:pStyle w:val="CETBodytext"/>
              <w:jc w:val="left"/>
              <w:rPr>
                <w:lang w:val="en-GB"/>
              </w:rPr>
            </w:pPr>
            <w:r w:rsidRPr="002516C5">
              <w:rPr>
                <w:lang w:val="en-GB"/>
              </w:rPr>
              <w:t>96</w:t>
            </w:r>
          </w:p>
        </w:tc>
        <w:tc>
          <w:tcPr>
            <w:tcW w:w="771" w:type="dxa"/>
            <w:shd w:val="clear" w:color="auto" w:fill="FFFFFF"/>
          </w:tcPr>
          <w:p w14:paraId="5C834987" w14:textId="77777777" w:rsidR="00A65402" w:rsidRPr="002516C5" w:rsidRDefault="00A65402" w:rsidP="00F7101D">
            <w:pPr>
              <w:pStyle w:val="CETBodytext"/>
              <w:jc w:val="left"/>
              <w:rPr>
                <w:lang w:val="en-GB"/>
              </w:rPr>
            </w:pPr>
          </w:p>
        </w:tc>
        <w:tc>
          <w:tcPr>
            <w:tcW w:w="1223" w:type="dxa"/>
            <w:shd w:val="clear" w:color="auto" w:fill="FFFFFF"/>
          </w:tcPr>
          <w:p w14:paraId="33A8ABCA" w14:textId="77777777" w:rsidR="00A65402" w:rsidRPr="002516C5" w:rsidRDefault="00A65402" w:rsidP="00F7101D">
            <w:pPr>
              <w:pStyle w:val="CETBodytext"/>
              <w:jc w:val="left"/>
              <w:rPr>
                <w:lang w:val="en-GB"/>
              </w:rPr>
            </w:pPr>
            <w:r w:rsidRPr="002516C5">
              <w:rPr>
                <w:lang w:val="en-GB"/>
              </w:rPr>
              <w:t xml:space="preserve">-8.73 </w:t>
            </w:r>
            <w:r w:rsidRPr="002516C5">
              <w:rPr>
                <w:lang w:val="en-GB"/>
              </w:rPr>
              <w:sym w:font="Symbol" w:char="F0B1"/>
            </w:r>
            <w:r w:rsidRPr="002516C5">
              <w:rPr>
                <w:lang w:val="en-GB"/>
              </w:rPr>
              <w:t xml:space="preserve"> 6.43</w:t>
            </w:r>
          </w:p>
        </w:tc>
        <w:tc>
          <w:tcPr>
            <w:tcW w:w="1276" w:type="dxa"/>
            <w:shd w:val="clear" w:color="auto" w:fill="FFFFFF"/>
          </w:tcPr>
          <w:p w14:paraId="68D345DD" w14:textId="77777777" w:rsidR="00A65402" w:rsidRPr="002516C5" w:rsidRDefault="00A65402" w:rsidP="00F7101D">
            <w:pPr>
              <w:pStyle w:val="CETBodytext"/>
              <w:jc w:val="left"/>
              <w:rPr>
                <w:lang w:val="en-GB"/>
              </w:rPr>
            </w:pPr>
            <w:r w:rsidRPr="002516C5">
              <w:rPr>
                <w:lang w:val="en-GB"/>
              </w:rPr>
              <w:t xml:space="preserve">19.84 </w:t>
            </w:r>
            <w:r w:rsidRPr="002516C5">
              <w:rPr>
                <w:lang w:val="en-GB"/>
              </w:rPr>
              <w:sym w:font="Symbol" w:char="F0B1"/>
            </w:r>
            <w:r w:rsidRPr="002516C5">
              <w:rPr>
                <w:lang w:val="en-GB"/>
              </w:rPr>
              <w:t xml:space="preserve"> 7.43</w:t>
            </w:r>
          </w:p>
        </w:tc>
        <w:tc>
          <w:tcPr>
            <w:tcW w:w="1261" w:type="dxa"/>
            <w:shd w:val="clear" w:color="auto" w:fill="FFFFFF"/>
          </w:tcPr>
          <w:p w14:paraId="0C2C1531" w14:textId="77777777" w:rsidR="00A65402" w:rsidRPr="002516C5" w:rsidRDefault="00A65402" w:rsidP="00F7101D">
            <w:pPr>
              <w:pStyle w:val="CETBodytext"/>
              <w:jc w:val="left"/>
              <w:rPr>
                <w:lang w:val="en-GB"/>
              </w:rPr>
            </w:pPr>
            <w:r w:rsidRPr="002516C5">
              <w:rPr>
                <w:lang w:val="en-GB"/>
              </w:rPr>
              <w:t xml:space="preserve">65.58 </w:t>
            </w:r>
            <w:r w:rsidRPr="002516C5">
              <w:rPr>
                <w:lang w:val="en-GB"/>
              </w:rPr>
              <w:sym w:font="Symbol" w:char="F0B1"/>
            </w:r>
            <w:r w:rsidRPr="002516C5">
              <w:rPr>
                <w:lang w:val="en-GB"/>
              </w:rPr>
              <w:t xml:space="preserve"> 3.70</w:t>
            </w:r>
          </w:p>
        </w:tc>
      </w:tr>
      <w:tr w:rsidR="00A65402" w:rsidRPr="002516C5" w14:paraId="55398DA6" w14:textId="77777777" w:rsidTr="0011372B">
        <w:trPr>
          <w:jc w:val="center"/>
        </w:trPr>
        <w:tc>
          <w:tcPr>
            <w:tcW w:w="993" w:type="dxa"/>
            <w:tcBorders>
              <w:bottom w:val="single" w:sz="4" w:space="0" w:color="000000"/>
            </w:tcBorders>
            <w:shd w:val="clear" w:color="auto" w:fill="FFFFFF"/>
          </w:tcPr>
          <w:p w14:paraId="304CEF66" w14:textId="77777777" w:rsidR="00A65402" w:rsidRPr="002516C5" w:rsidRDefault="00A65402" w:rsidP="00F7101D">
            <w:pPr>
              <w:pStyle w:val="CETBodytext"/>
              <w:jc w:val="left"/>
              <w:rPr>
                <w:lang w:val="en-GB"/>
              </w:rPr>
            </w:pPr>
            <w:r w:rsidRPr="002516C5">
              <w:rPr>
                <w:lang w:val="en-GB"/>
              </w:rPr>
              <w:t>120</w:t>
            </w:r>
          </w:p>
        </w:tc>
        <w:tc>
          <w:tcPr>
            <w:tcW w:w="771" w:type="dxa"/>
            <w:tcBorders>
              <w:bottom w:val="single" w:sz="4" w:space="0" w:color="000000"/>
            </w:tcBorders>
            <w:shd w:val="clear" w:color="auto" w:fill="FFFFFF"/>
          </w:tcPr>
          <w:p w14:paraId="1288D9E0" w14:textId="77777777" w:rsidR="00A65402" w:rsidRPr="002516C5" w:rsidRDefault="00A65402" w:rsidP="00F7101D">
            <w:pPr>
              <w:pStyle w:val="CETBodytext"/>
              <w:jc w:val="left"/>
              <w:rPr>
                <w:lang w:val="en-GB"/>
              </w:rPr>
            </w:pPr>
          </w:p>
        </w:tc>
        <w:tc>
          <w:tcPr>
            <w:tcW w:w="1223" w:type="dxa"/>
            <w:tcBorders>
              <w:bottom w:val="single" w:sz="4" w:space="0" w:color="000000"/>
            </w:tcBorders>
            <w:shd w:val="clear" w:color="auto" w:fill="FFFFFF"/>
          </w:tcPr>
          <w:p w14:paraId="271B143C" w14:textId="77777777" w:rsidR="00A65402" w:rsidRPr="002516C5" w:rsidRDefault="00A65402" w:rsidP="00F7101D">
            <w:pPr>
              <w:pStyle w:val="CETBodytext"/>
              <w:jc w:val="left"/>
              <w:rPr>
                <w:lang w:val="en-GB"/>
              </w:rPr>
            </w:pPr>
            <w:r w:rsidRPr="002516C5">
              <w:rPr>
                <w:lang w:val="en-GB"/>
              </w:rPr>
              <w:t xml:space="preserve">-1.86 </w:t>
            </w:r>
            <w:r w:rsidRPr="002516C5">
              <w:rPr>
                <w:lang w:val="en-GB"/>
              </w:rPr>
              <w:sym w:font="Symbol" w:char="F0B1"/>
            </w:r>
            <w:r w:rsidRPr="002516C5">
              <w:rPr>
                <w:lang w:val="en-GB"/>
              </w:rPr>
              <w:t xml:space="preserve"> 1.48</w:t>
            </w:r>
          </w:p>
        </w:tc>
        <w:tc>
          <w:tcPr>
            <w:tcW w:w="1276" w:type="dxa"/>
            <w:tcBorders>
              <w:bottom w:val="single" w:sz="4" w:space="0" w:color="000000"/>
            </w:tcBorders>
            <w:shd w:val="clear" w:color="auto" w:fill="FFFFFF"/>
          </w:tcPr>
          <w:p w14:paraId="54E3FB91" w14:textId="77777777" w:rsidR="00A65402" w:rsidRPr="002516C5" w:rsidRDefault="00A65402" w:rsidP="00F7101D">
            <w:pPr>
              <w:pStyle w:val="CETBodytext"/>
              <w:jc w:val="left"/>
              <w:rPr>
                <w:lang w:val="en-GB"/>
              </w:rPr>
            </w:pPr>
            <w:r w:rsidRPr="002516C5">
              <w:rPr>
                <w:lang w:val="en-GB"/>
              </w:rPr>
              <w:t xml:space="preserve">5.74 </w:t>
            </w:r>
            <w:r w:rsidRPr="002516C5">
              <w:rPr>
                <w:lang w:val="en-GB"/>
              </w:rPr>
              <w:sym w:font="Symbol" w:char="F0B1"/>
            </w:r>
            <w:r w:rsidRPr="002516C5">
              <w:rPr>
                <w:lang w:val="en-GB"/>
              </w:rPr>
              <w:t xml:space="preserve"> 2.58</w:t>
            </w:r>
          </w:p>
        </w:tc>
        <w:tc>
          <w:tcPr>
            <w:tcW w:w="1261" w:type="dxa"/>
            <w:tcBorders>
              <w:bottom w:val="single" w:sz="4" w:space="0" w:color="000000"/>
            </w:tcBorders>
            <w:shd w:val="clear" w:color="auto" w:fill="FFFFFF"/>
          </w:tcPr>
          <w:p w14:paraId="4936C53D" w14:textId="77777777" w:rsidR="00A65402" w:rsidRPr="002516C5" w:rsidRDefault="00A65402" w:rsidP="00F7101D">
            <w:pPr>
              <w:pStyle w:val="CETBodytext"/>
              <w:jc w:val="left"/>
              <w:rPr>
                <w:lang w:val="en-GB"/>
              </w:rPr>
            </w:pPr>
            <w:r w:rsidRPr="002516C5">
              <w:rPr>
                <w:lang w:val="en-GB"/>
              </w:rPr>
              <w:t xml:space="preserve">76.62 </w:t>
            </w:r>
            <w:r w:rsidRPr="002516C5">
              <w:rPr>
                <w:lang w:val="en-GB"/>
              </w:rPr>
              <w:sym w:font="Symbol" w:char="F0B1"/>
            </w:r>
            <w:r w:rsidRPr="002516C5">
              <w:rPr>
                <w:lang w:val="en-GB"/>
              </w:rPr>
              <w:t xml:space="preserve"> 3.18</w:t>
            </w:r>
          </w:p>
        </w:tc>
      </w:tr>
    </w:tbl>
    <w:p w14:paraId="48EE9A4A" w14:textId="77777777" w:rsidR="0066701D" w:rsidRDefault="0066701D" w:rsidP="0066701D">
      <w:pPr>
        <w:pStyle w:val="CETHeading1"/>
      </w:pPr>
      <w:r>
        <w:t xml:space="preserve">Conclusion </w:t>
      </w:r>
    </w:p>
    <w:p w14:paraId="04A1D550" w14:textId="0A6F74D7" w:rsidR="0066701D" w:rsidRPr="00364DC3" w:rsidRDefault="00BF3B5B" w:rsidP="0066701D">
      <w:pPr>
        <w:pStyle w:val="CETBodytext"/>
      </w:pPr>
      <w:r>
        <w:t>P</w:t>
      </w:r>
      <w:r w:rsidR="00364DC3">
        <w:t xml:space="preserve">olyphenols </w:t>
      </w:r>
      <w:r>
        <w:t xml:space="preserve">and browning index </w:t>
      </w:r>
      <w:r w:rsidR="002852B6">
        <w:t xml:space="preserve">can be used </w:t>
      </w:r>
      <w:r w:rsidR="006B50CD">
        <w:t xml:space="preserve">as a </w:t>
      </w:r>
      <w:r w:rsidR="00152833">
        <w:t>potential quality index</w:t>
      </w:r>
      <w:r w:rsidR="00364DC3">
        <w:t xml:space="preserve"> for </w:t>
      </w:r>
      <w:r w:rsidR="006B50CD">
        <w:t xml:space="preserve">study </w:t>
      </w:r>
      <w:r w:rsidR="00364DC3">
        <w:t>enzymatic browning</w:t>
      </w:r>
      <w:r w:rsidR="002852B6">
        <w:t xml:space="preserve"> </w:t>
      </w:r>
      <w:r w:rsidR="006B50CD">
        <w:t xml:space="preserve">of iceberg </w:t>
      </w:r>
      <w:r w:rsidR="00F3260B">
        <w:t>lettuce</w:t>
      </w:r>
      <w:r w:rsidR="00364DC3">
        <w:t xml:space="preserve">. </w:t>
      </w:r>
      <w:r w:rsidR="006B50CD">
        <w:t>A pseudo first order kinetic model well described the evolution of the quality indices versus time. The effect of temperature was we</w:t>
      </w:r>
      <w:r w:rsidR="00D54A14">
        <w:t>l</w:t>
      </w:r>
      <w:r w:rsidR="006B50CD">
        <w:t xml:space="preserve">l explained by an Arrhenius type equation. The kinetic constant at reference temperature were </w:t>
      </w:r>
      <w:r w:rsidR="00364DC3">
        <w:t>0</w:t>
      </w:r>
      <w:r w:rsidR="009C143F">
        <w:t>.</w:t>
      </w:r>
      <w:r w:rsidR="00364DC3">
        <w:t>018</w:t>
      </w:r>
      <w:r w:rsidR="00AA3AF4">
        <w:t xml:space="preserve"> </w:t>
      </w:r>
      <w:r w:rsidR="00AA3AF4">
        <w:sym w:font="Symbol" w:char="F0B1"/>
      </w:r>
      <w:r w:rsidR="00AA3AF4">
        <w:t xml:space="preserve"> </w:t>
      </w:r>
      <w:r w:rsidR="00D01292">
        <w:t>0.007</w:t>
      </w:r>
      <w:r w:rsidR="00364DC3">
        <w:t xml:space="preserve"> h</w:t>
      </w:r>
      <w:r w:rsidR="00364DC3">
        <w:rPr>
          <w:vertAlign w:val="superscript"/>
        </w:rPr>
        <w:t xml:space="preserve">-1 </w:t>
      </w:r>
      <w:r w:rsidR="00364DC3">
        <w:t xml:space="preserve">for </w:t>
      </w:r>
      <w:r>
        <w:t>browning index</w:t>
      </w:r>
      <w:r w:rsidR="00364DC3">
        <w:t xml:space="preserve"> and 0</w:t>
      </w:r>
      <w:r w:rsidR="009C143F">
        <w:t>.</w:t>
      </w:r>
      <w:r w:rsidR="00364DC3">
        <w:t>009</w:t>
      </w:r>
      <w:r w:rsidR="00645712">
        <w:t xml:space="preserve"> </w:t>
      </w:r>
      <w:r w:rsidR="009C143F">
        <w:sym w:font="Symbol" w:char="F0B1"/>
      </w:r>
      <w:r w:rsidR="009C143F">
        <w:t xml:space="preserve"> 0.001</w:t>
      </w:r>
      <w:r w:rsidR="00364DC3">
        <w:t xml:space="preserve"> h</w:t>
      </w:r>
      <w:r w:rsidR="00364DC3">
        <w:rPr>
          <w:vertAlign w:val="superscript"/>
        </w:rPr>
        <w:t xml:space="preserve">-1 </w:t>
      </w:r>
      <w:r w:rsidR="00364DC3">
        <w:t>for polyphenols</w:t>
      </w:r>
      <w:r w:rsidR="006B50CD">
        <w:t>, respectively at 9</w:t>
      </w:r>
      <w:r w:rsidR="00D96960">
        <w:t xml:space="preserve"> </w:t>
      </w:r>
      <w:r w:rsidR="006B50CD">
        <w:lastRenderedPageBreak/>
        <w:t>°C and 8</w:t>
      </w:r>
      <w:r w:rsidR="00D96960">
        <w:t xml:space="preserve"> </w:t>
      </w:r>
      <w:r w:rsidR="006B50CD">
        <w:t>°C</w:t>
      </w:r>
      <w:r w:rsidR="00364DC3">
        <w:t xml:space="preserve">. </w:t>
      </w:r>
      <w:proofErr w:type="spellStart"/>
      <w:r w:rsidR="00364DC3">
        <w:t>Ea</w:t>
      </w:r>
      <w:proofErr w:type="spellEnd"/>
      <w:r w:rsidR="00364DC3">
        <w:t xml:space="preserve"> for </w:t>
      </w:r>
      <w:r>
        <w:t xml:space="preserve">browning index </w:t>
      </w:r>
      <w:r w:rsidR="006B50CD">
        <w:t xml:space="preserve">was </w:t>
      </w:r>
      <w:r w:rsidR="00364DC3">
        <w:t xml:space="preserve">63.49 KJ/mol, </w:t>
      </w:r>
      <w:r w:rsidR="006B50CD">
        <w:t xml:space="preserve">and </w:t>
      </w:r>
      <w:r w:rsidR="00364DC3">
        <w:t xml:space="preserve">for polyphenols </w:t>
      </w:r>
      <w:r w:rsidR="006B50CD">
        <w:t xml:space="preserve">was </w:t>
      </w:r>
      <w:r w:rsidR="00364DC3">
        <w:t>83.21</w:t>
      </w:r>
      <w:r w:rsidR="00364DC3" w:rsidRPr="00364DC3">
        <w:t xml:space="preserve"> </w:t>
      </w:r>
      <w:r w:rsidR="00364DC3">
        <w:t>KJ/mol</w:t>
      </w:r>
      <w:r w:rsidR="00C86095">
        <w:t>.</w:t>
      </w:r>
      <w:r w:rsidR="00364DC3">
        <w:t xml:space="preserve"> </w:t>
      </w:r>
      <w:r w:rsidR="0037025A">
        <w:t>Moreover</w:t>
      </w:r>
      <w:r w:rsidR="006B50CD">
        <w:t>,</w:t>
      </w:r>
      <w:r w:rsidR="0037025A">
        <w:t xml:space="preserve"> preliminary results showed that </w:t>
      </w:r>
      <w:r w:rsidR="006B50CD">
        <w:t xml:space="preserve">salicylic </w:t>
      </w:r>
      <w:r w:rsidR="00364DC3">
        <w:t xml:space="preserve">acid </w:t>
      </w:r>
      <w:r w:rsidR="006B50CD">
        <w:t>were able to reduce the quality decrement of the product during the fir</w:t>
      </w:r>
      <w:r w:rsidR="00D54A14">
        <w:t>s</w:t>
      </w:r>
      <w:r w:rsidR="006B50CD">
        <w:t>t 96</w:t>
      </w:r>
      <w:r w:rsidR="00D96960">
        <w:t xml:space="preserve"> </w:t>
      </w:r>
      <w:r w:rsidR="006B50CD">
        <w:t>h of storage at 8</w:t>
      </w:r>
      <w:r w:rsidR="00D96960">
        <w:t xml:space="preserve"> </w:t>
      </w:r>
      <w:r w:rsidR="006B50CD">
        <w:t>°C.</w:t>
      </w:r>
    </w:p>
    <w:p w14:paraId="4F811C07" w14:textId="77777777" w:rsidR="00600535" w:rsidRPr="00B57B36" w:rsidRDefault="00600535" w:rsidP="00600535">
      <w:pPr>
        <w:pStyle w:val="CETAcknowledgementstitle"/>
      </w:pPr>
      <w:r w:rsidRPr="00B57B36">
        <w:t>Acknowledgments</w:t>
      </w:r>
    </w:p>
    <w:p w14:paraId="0E5F8E4A" w14:textId="77777777" w:rsidR="00A65402" w:rsidRPr="00B24645" w:rsidRDefault="00A65402" w:rsidP="00A65402">
      <w:pPr>
        <w:pStyle w:val="CETBodytext"/>
        <w:rPr>
          <w:lang w:val="en-GB"/>
        </w:rPr>
      </w:pPr>
      <w:r w:rsidRPr="00B24645">
        <w:rPr>
          <w:lang w:val="en-GB"/>
        </w:rPr>
        <w:t xml:space="preserve">We acknowledge the financial support by Ministry of Education University and Research (MIUR), with “Long life, High Sustainability” PRIN2012 project. </w:t>
      </w:r>
    </w:p>
    <w:p w14:paraId="02E26C80" w14:textId="3409D796" w:rsidR="00A65402" w:rsidRPr="00A65402" w:rsidRDefault="00A65402" w:rsidP="00A65402">
      <w:pPr>
        <w:pStyle w:val="CETBodytext"/>
        <w:rPr>
          <w:lang w:val="en-GB"/>
        </w:rPr>
      </w:pPr>
      <w:r>
        <w:rPr>
          <w:lang w:val="en-GB"/>
        </w:rPr>
        <w:t xml:space="preserve">The first author </w:t>
      </w:r>
      <w:r w:rsidRPr="00B24645">
        <w:rPr>
          <w:lang w:val="en-GB"/>
        </w:rPr>
        <w:t>acknowledge</w:t>
      </w:r>
      <w:r>
        <w:rPr>
          <w:lang w:val="en-GB"/>
        </w:rPr>
        <w:t>s</w:t>
      </w:r>
      <w:r w:rsidRPr="00B24645">
        <w:rPr>
          <w:lang w:val="en-GB"/>
        </w:rPr>
        <w:t xml:space="preserve"> the financial support by Ministry of Education University and Research (MIUR) </w:t>
      </w:r>
      <w:r>
        <w:rPr>
          <w:lang w:val="en-GB"/>
        </w:rPr>
        <w:t>in the frame of the</w:t>
      </w:r>
      <w:r w:rsidRPr="00B24645">
        <w:rPr>
          <w:lang w:val="en-GB"/>
        </w:rPr>
        <w:t xml:space="preserve"> National Operational Program ESF-ERDF Research and Innovation 2014-</w:t>
      </w:r>
      <w:r w:rsidRPr="00A65402">
        <w:rPr>
          <w:lang w:val="en-GB"/>
        </w:rPr>
        <w:t xml:space="preserve">2020. </w:t>
      </w:r>
    </w:p>
    <w:p w14:paraId="198355C8" w14:textId="32D74BBC" w:rsidR="000037E3" w:rsidRDefault="000037E3" w:rsidP="00283F75">
      <w:pPr>
        <w:pStyle w:val="CETBodytext"/>
        <w:rPr>
          <w:lang w:val="en-GB"/>
        </w:rPr>
      </w:pPr>
    </w:p>
    <w:p w14:paraId="442D14AF" w14:textId="603EE5B0" w:rsidR="00A10E63" w:rsidRPr="0011372B" w:rsidRDefault="0047267B" w:rsidP="00600535">
      <w:pPr>
        <w:pStyle w:val="CETBodytext"/>
        <w:rPr>
          <w:b/>
          <w:color w:val="000000" w:themeColor="text1"/>
          <w:lang w:val="en-GB"/>
        </w:rPr>
      </w:pPr>
      <w:r w:rsidRPr="0011372B">
        <w:rPr>
          <w:b/>
          <w:color w:val="000000" w:themeColor="text1"/>
          <w:lang w:val="en-GB"/>
        </w:rPr>
        <w:t>Reference</w:t>
      </w:r>
      <w:r w:rsidR="000307D1" w:rsidRPr="0011372B">
        <w:rPr>
          <w:b/>
          <w:color w:val="000000" w:themeColor="text1"/>
          <w:lang w:val="en-GB"/>
        </w:rPr>
        <w:t>s</w:t>
      </w:r>
      <w:r w:rsidRPr="0011372B">
        <w:rPr>
          <w:b/>
          <w:color w:val="000000" w:themeColor="text1"/>
          <w:lang w:val="en-GB"/>
        </w:rPr>
        <w:t xml:space="preserve"> </w:t>
      </w:r>
    </w:p>
    <w:p w14:paraId="115A1A40" w14:textId="78E2DE75" w:rsidR="005C7F02" w:rsidRPr="0011372B" w:rsidRDefault="00555FFB" w:rsidP="005C7F02">
      <w:pPr>
        <w:pStyle w:val="CETReferencetext"/>
        <w:rPr>
          <w:noProof/>
          <w:color w:val="000000" w:themeColor="text1"/>
        </w:rPr>
      </w:pPr>
      <w:r w:rsidRPr="0011372B">
        <w:rPr>
          <w:color w:val="000000" w:themeColor="text1"/>
        </w:rPr>
        <w:fldChar w:fldCharType="begin" w:fldLock="1"/>
      </w:r>
      <w:r w:rsidRPr="0011372B">
        <w:rPr>
          <w:color w:val="000000" w:themeColor="text1"/>
        </w:rPr>
        <w:instrText xml:space="preserve">ADDIN Mendeley Bibliography CSL_BIBLIOGRAPHY </w:instrText>
      </w:r>
      <w:r w:rsidRPr="0011372B">
        <w:rPr>
          <w:color w:val="000000" w:themeColor="text1"/>
        </w:rPr>
        <w:fldChar w:fldCharType="separate"/>
      </w:r>
      <w:r w:rsidR="005C7F02" w:rsidRPr="0011372B">
        <w:rPr>
          <w:color w:val="000000" w:themeColor="text1"/>
        </w:rPr>
        <w:fldChar w:fldCharType="begin" w:fldLock="1"/>
      </w:r>
      <w:r w:rsidR="005C7F02" w:rsidRPr="0011372B">
        <w:rPr>
          <w:color w:val="000000" w:themeColor="text1"/>
        </w:rPr>
        <w:instrText xml:space="preserve">ADDIN Mendeley Bibliography CSL_BIBLIOGRAPHY </w:instrText>
      </w:r>
      <w:r w:rsidR="005C7F02" w:rsidRPr="0011372B">
        <w:rPr>
          <w:color w:val="000000" w:themeColor="text1"/>
        </w:rPr>
        <w:fldChar w:fldCharType="separate"/>
      </w:r>
      <w:r w:rsidR="005C7F02" w:rsidRPr="0011372B">
        <w:rPr>
          <w:noProof/>
          <w:color w:val="000000" w:themeColor="text1"/>
        </w:rPr>
        <w:t xml:space="preserve">Awad R., Rehab M., 2013, Effect of post-harvest salicylic acid treatments on fruit quality of peach </w:t>
      </w:r>
      <w:r w:rsidR="00535030" w:rsidRPr="0011372B">
        <w:rPr>
          <w:noProof/>
          <w:color w:val="000000" w:themeColor="text1"/>
        </w:rPr>
        <w:t>c</w:t>
      </w:r>
      <w:r w:rsidR="005C7F02" w:rsidRPr="0011372B">
        <w:rPr>
          <w:noProof/>
          <w:color w:val="000000" w:themeColor="text1"/>
        </w:rPr>
        <w:t xml:space="preserve">v. Flordaprince during cold storage, </w:t>
      </w:r>
      <w:r w:rsidR="005C7F02" w:rsidRPr="0011372B">
        <w:rPr>
          <w:iCs/>
          <w:noProof/>
          <w:color w:val="000000" w:themeColor="text1"/>
        </w:rPr>
        <w:t>Australian Journal of Basic and Applied Sciences</w:t>
      </w:r>
      <w:r w:rsidR="005C7F02" w:rsidRPr="0011372B">
        <w:rPr>
          <w:noProof/>
          <w:color w:val="000000" w:themeColor="text1"/>
        </w:rPr>
        <w:t>, 7, 27-920.</w:t>
      </w:r>
    </w:p>
    <w:p w14:paraId="48ADB8AE" w14:textId="46A1C591" w:rsidR="005C7F02" w:rsidRPr="0011372B" w:rsidRDefault="005C7F02" w:rsidP="005C7F02">
      <w:pPr>
        <w:pStyle w:val="CETReferencetext"/>
        <w:rPr>
          <w:noProof/>
          <w:color w:val="000000" w:themeColor="text1"/>
        </w:rPr>
      </w:pPr>
      <w:r w:rsidRPr="0011372B">
        <w:rPr>
          <w:noProof/>
          <w:color w:val="000000" w:themeColor="text1"/>
        </w:rPr>
        <w:t xml:space="preserve">Ayala-Zavala J.F.,Wang S.Y., Wang C.Y., González-Aguilar G.A., Srivastava M.K., Dwivedi U.N., Wang L., 2017, Effect of </w:t>
      </w:r>
      <w:r w:rsidR="00AC5788" w:rsidRPr="0011372B">
        <w:rPr>
          <w:noProof/>
          <w:color w:val="000000" w:themeColor="text1"/>
        </w:rPr>
        <w:t>p</w:t>
      </w:r>
      <w:r w:rsidRPr="0011372B">
        <w:rPr>
          <w:noProof/>
          <w:color w:val="000000" w:themeColor="text1"/>
        </w:rPr>
        <w:t>ost-</w:t>
      </w:r>
      <w:r w:rsidR="00AC5788" w:rsidRPr="0011372B">
        <w:rPr>
          <w:noProof/>
          <w:color w:val="000000" w:themeColor="text1"/>
        </w:rPr>
        <w:t>h</w:t>
      </w:r>
      <w:r w:rsidRPr="0011372B">
        <w:rPr>
          <w:noProof/>
          <w:color w:val="000000" w:themeColor="text1"/>
        </w:rPr>
        <w:t xml:space="preserve">arvest </w:t>
      </w:r>
      <w:r w:rsidR="00AC5788" w:rsidRPr="0011372B">
        <w:rPr>
          <w:noProof/>
          <w:color w:val="000000" w:themeColor="text1"/>
        </w:rPr>
        <w:t>s</w:t>
      </w:r>
      <w:r w:rsidRPr="0011372B">
        <w:rPr>
          <w:noProof/>
          <w:color w:val="000000" w:themeColor="text1"/>
        </w:rPr>
        <w:t xml:space="preserve">alicylic </w:t>
      </w:r>
      <w:r w:rsidR="00AC5788" w:rsidRPr="0011372B">
        <w:rPr>
          <w:noProof/>
          <w:color w:val="000000" w:themeColor="text1"/>
        </w:rPr>
        <w:t>a</w:t>
      </w:r>
      <w:r w:rsidRPr="0011372B">
        <w:rPr>
          <w:noProof/>
          <w:color w:val="000000" w:themeColor="text1"/>
        </w:rPr>
        <w:t xml:space="preserve">cid </w:t>
      </w:r>
      <w:r w:rsidR="00AC5788" w:rsidRPr="0011372B">
        <w:rPr>
          <w:noProof/>
          <w:color w:val="000000" w:themeColor="text1"/>
        </w:rPr>
        <w:t>t</w:t>
      </w:r>
      <w:r w:rsidRPr="0011372B">
        <w:rPr>
          <w:noProof/>
          <w:color w:val="000000" w:themeColor="text1"/>
        </w:rPr>
        <w:t xml:space="preserve">reatments on </w:t>
      </w:r>
      <w:r w:rsidR="00AC5788" w:rsidRPr="0011372B">
        <w:rPr>
          <w:noProof/>
          <w:color w:val="000000" w:themeColor="text1"/>
        </w:rPr>
        <w:t>f</w:t>
      </w:r>
      <w:r w:rsidRPr="0011372B">
        <w:rPr>
          <w:noProof/>
          <w:color w:val="000000" w:themeColor="text1"/>
        </w:rPr>
        <w:t xml:space="preserve">ruit </w:t>
      </w:r>
      <w:r w:rsidR="00AC5788" w:rsidRPr="0011372B">
        <w:rPr>
          <w:noProof/>
          <w:color w:val="000000" w:themeColor="text1"/>
        </w:rPr>
        <w:t>q</w:t>
      </w:r>
      <w:r w:rsidRPr="0011372B">
        <w:rPr>
          <w:noProof/>
          <w:color w:val="000000" w:themeColor="text1"/>
        </w:rPr>
        <w:t xml:space="preserve">uality of </w:t>
      </w:r>
      <w:r w:rsidR="00AC5788" w:rsidRPr="0011372B">
        <w:rPr>
          <w:noProof/>
          <w:color w:val="000000" w:themeColor="text1"/>
        </w:rPr>
        <w:t>p</w:t>
      </w:r>
      <w:r w:rsidRPr="0011372B">
        <w:rPr>
          <w:noProof/>
          <w:color w:val="000000" w:themeColor="text1"/>
        </w:rPr>
        <w:t xml:space="preserve">each </w:t>
      </w:r>
      <w:r w:rsidR="00535030" w:rsidRPr="0011372B">
        <w:rPr>
          <w:noProof/>
          <w:color w:val="000000" w:themeColor="text1"/>
        </w:rPr>
        <w:t>c</w:t>
      </w:r>
      <w:r w:rsidRPr="0011372B">
        <w:rPr>
          <w:noProof/>
          <w:color w:val="000000" w:themeColor="text1"/>
        </w:rPr>
        <w:t>v</w:t>
      </w:r>
      <w:r w:rsidR="00AC5788" w:rsidRPr="0011372B">
        <w:rPr>
          <w:noProof/>
          <w:color w:val="000000" w:themeColor="text1"/>
        </w:rPr>
        <w:t>.</w:t>
      </w:r>
      <w:r w:rsidRPr="0011372B">
        <w:rPr>
          <w:noProof/>
          <w:color w:val="000000" w:themeColor="text1"/>
        </w:rPr>
        <w:t xml:space="preserve"> Flordaprince during </w:t>
      </w:r>
      <w:r w:rsidR="00AC5788" w:rsidRPr="0011372B">
        <w:rPr>
          <w:noProof/>
          <w:color w:val="000000" w:themeColor="text1"/>
        </w:rPr>
        <w:t>c</w:t>
      </w:r>
      <w:r w:rsidRPr="0011372B">
        <w:rPr>
          <w:noProof/>
          <w:color w:val="000000" w:themeColor="text1"/>
        </w:rPr>
        <w:t xml:space="preserve">old </w:t>
      </w:r>
      <w:r w:rsidR="00AC5788" w:rsidRPr="0011372B">
        <w:rPr>
          <w:noProof/>
          <w:color w:val="000000" w:themeColor="text1"/>
        </w:rPr>
        <w:t>s</w:t>
      </w:r>
      <w:r w:rsidRPr="0011372B">
        <w:rPr>
          <w:noProof/>
          <w:color w:val="000000" w:themeColor="text1"/>
        </w:rPr>
        <w:t xml:space="preserve">torage, </w:t>
      </w:r>
      <w:r w:rsidRPr="0011372B">
        <w:rPr>
          <w:iCs/>
          <w:noProof/>
          <w:color w:val="000000" w:themeColor="text1"/>
        </w:rPr>
        <w:t>American Journal of Plant Sciences,</w:t>
      </w:r>
      <w:r w:rsidRPr="0011372B">
        <w:rPr>
          <w:noProof/>
          <w:color w:val="000000" w:themeColor="text1"/>
        </w:rPr>
        <w:t xml:space="preserve"> 16, 42-637. </w:t>
      </w:r>
    </w:p>
    <w:p w14:paraId="4B92C43A" w14:textId="4AF88677" w:rsidR="005C7F02" w:rsidRPr="0011372B" w:rsidRDefault="005C7F02" w:rsidP="005C7F02">
      <w:pPr>
        <w:pStyle w:val="CETReferencetext"/>
        <w:rPr>
          <w:noProof/>
          <w:color w:val="000000" w:themeColor="text1"/>
        </w:rPr>
      </w:pPr>
      <w:r w:rsidRPr="0011372B">
        <w:rPr>
          <w:noProof/>
          <w:color w:val="000000" w:themeColor="text1"/>
        </w:rPr>
        <w:t xml:space="preserve">Koukounaras A., Siomos A., Sfakiotakis E., 2006, 1-Methylcyclopropene </w:t>
      </w:r>
      <w:r w:rsidR="00AC5788" w:rsidRPr="0011372B">
        <w:rPr>
          <w:noProof/>
          <w:color w:val="000000" w:themeColor="text1"/>
        </w:rPr>
        <w:t>p</w:t>
      </w:r>
      <w:r w:rsidRPr="0011372B">
        <w:rPr>
          <w:noProof/>
          <w:color w:val="000000" w:themeColor="text1"/>
        </w:rPr>
        <w:t xml:space="preserve">revents </w:t>
      </w:r>
      <w:r w:rsidR="00AC5788" w:rsidRPr="0011372B">
        <w:rPr>
          <w:noProof/>
          <w:color w:val="000000" w:themeColor="text1"/>
        </w:rPr>
        <w:t>e</w:t>
      </w:r>
      <w:r w:rsidRPr="0011372B">
        <w:rPr>
          <w:noProof/>
          <w:color w:val="000000" w:themeColor="text1"/>
        </w:rPr>
        <w:t xml:space="preserve">thylene </w:t>
      </w:r>
      <w:r w:rsidR="00AC5788" w:rsidRPr="0011372B">
        <w:rPr>
          <w:noProof/>
          <w:color w:val="000000" w:themeColor="text1"/>
        </w:rPr>
        <w:t>i</w:t>
      </w:r>
      <w:r w:rsidRPr="0011372B">
        <w:rPr>
          <w:noProof/>
          <w:color w:val="000000" w:themeColor="text1"/>
        </w:rPr>
        <w:t xml:space="preserve">nduced </w:t>
      </w:r>
      <w:r w:rsidR="00AC5788" w:rsidRPr="0011372B">
        <w:rPr>
          <w:noProof/>
          <w:color w:val="000000" w:themeColor="text1"/>
        </w:rPr>
        <w:t>y</w:t>
      </w:r>
      <w:r w:rsidRPr="0011372B">
        <w:rPr>
          <w:noProof/>
          <w:color w:val="000000" w:themeColor="text1"/>
        </w:rPr>
        <w:t xml:space="preserve">ellowing of </w:t>
      </w:r>
      <w:r w:rsidR="00AC5788" w:rsidRPr="0011372B">
        <w:rPr>
          <w:noProof/>
          <w:color w:val="000000" w:themeColor="text1"/>
        </w:rPr>
        <w:t>r</w:t>
      </w:r>
      <w:r w:rsidRPr="0011372B">
        <w:rPr>
          <w:noProof/>
          <w:color w:val="000000" w:themeColor="text1"/>
        </w:rPr>
        <w:t xml:space="preserve">ocket </w:t>
      </w:r>
      <w:r w:rsidR="00AC5788" w:rsidRPr="0011372B">
        <w:rPr>
          <w:noProof/>
          <w:color w:val="000000" w:themeColor="text1"/>
        </w:rPr>
        <w:t>l</w:t>
      </w:r>
      <w:r w:rsidRPr="0011372B">
        <w:rPr>
          <w:noProof/>
          <w:color w:val="000000" w:themeColor="text1"/>
        </w:rPr>
        <w:t xml:space="preserve">eaves, </w:t>
      </w:r>
      <w:r w:rsidRPr="0011372B">
        <w:rPr>
          <w:iCs/>
          <w:noProof/>
          <w:color w:val="000000" w:themeColor="text1"/>
        </w:rPr>
        <w:t>Postharvest Biology and Technology</w:t>
      </w:r>
      <w:r w:rsidRPr="0011372B">
        <w:rPr>
          <w:noProof/>
          <w:color w:val="000000" w:themeColor="text1"/>
        </w:rPr>
        <w:t>, 41, 11-109.</w:t>
      </w:r>
    </w:p>
    <w:p w14:paraId="587EB6D1" w14:textId="4BF10B52" w:rsidR="005C7F02" w:rsidRPr="0011372B" w:rsidRDefault="005C7F02" w:rsidP="005C7F02">
      <w:pPr>
        <w:pStyle w:val="CETReferencetext"/>
        <w:rPr>
          <w:noProof/>
          <w:color w:val="000000" w:themeColor="text1"/>
        </w:rPr>
      </w:pPr>
      <w:r w:rsidRPr="0011372B">
        <w:rPr>
          <w:noProof/>
          <w:color w:val="000000" w:themeColor="text1"/>
        </w:rPr>
        <w:t xml:space="preserve">Mandal S., Mallick N., Mitra A., 2009, Salicylic </w:t>
      </w:r>
      <w:r w:rsidR="00681CCD" w:rsidRPr="0011372B">
        <w:rPr>
          <w:noProof/>
          <w:color w:val="000000" w:themeColor="text1"/>
        </w:rPr>
        <w:t>a</w:t>
      </w:r>
      <w:r w:rsidRPr="0011372B">
        <w:rPr>
          <w:noProof/>
          <w:color w:val="000000" w:themeColor="text1"/>
        </w:rPr>
        <w:t>cid-</w:t>
      </w:r>
      <w:r w:rsidR="00681CCD" w:rsidRPr="0011372B">
        <w:rPr>
          <w:noProof/>
          <w:color w:val="000000" w:themeColor="text1"/>
        </w:rPr>
        <w:t>i</w:t>
      </w:r>
      <w:r w:rsidRPr="0011372B">
        <w:rPr>
          <w:noProof/>
          <w:color w:val="000000" w:themeColor="text1"/>
        </w:rPr>
        <w:t xml:space="preserve">nduced </w:t>
      </w:r>
      <w:r w:rsidR="00681CCD" w:rsidRPr="0011372B">
        <w:rPr>
          <w:noProof/>
          <w:color w:val="000000" w:themeColor="text1"/>
        </w:rPr>
        <w:t>r</w:t>
      </w:r>
      <w:r w:rsidRPr="0011372B">
        <w:rPr>
          <w:noProof/>
          <w:color w:val="000000" w:themeColor="text1"/>
        </w:rPr>
        <w:t xml:space="preserve">esistance to </w:t>
      </w:r>
      <w:r w:rsidR="00681CCD" w:rsidRPr="0011372B">
        <w:rPr>
          <w:noProof/>
          <w:color w:val="000000" w:themeColor="text1"/>
        </w:rPr>
        <w:t>f</w:t>
      </w:r>
      <w:r w:rsidRPr="0011372B">
        <w:rPr>
          <w:noProof/>
          <w:color w:val="000000" w:themeColor="text1"/>
        </w:rPr>
        <w:t xml:space="preserve">usarium </w:t>
      </w:r>
      <w:r w:rsidR="00681CCD" w:rsidRPr="0011372B">
        <w:rPr>
          <w:noProof/>
          <w:color w:val="000000" w:themeColor="text1"/>
        </w:rPr>
        <w:t>o</w:t>
      </w:r>
      <w:r w:rsidRPr="0011372B">
        <w:rPr>
          <w:noProof/>
          <w:color w:val="000000" w:themeColor="text1"/>
        </w:rPr>
        <w:t xml:space="preserve">xysporum f. </w:t>
      </w:r>
      <w:r w:rsidR="00681CCD" w:rsidRPr="0011372B">
        <w:rPr>
          <w:noProof/>
          <w:color w:val="000000" w:themeColor="text1"/>
        </w:rPr>
        <w:t>s</w:t>
      </w:r>
      <w:r w:rsidRPr="0011372B">
        <w:rPr>
          <w:noProof/>
          <w:color w:val="000000" w:themeColor="text1"/>
        </w:rPr>
        <w:t xml:space="preserve">p. </w:t>
      </w:r>
      <w:r w:rsidR="00681CCD" w:rsidRPr="0011372B">
        <w:rPr>
          <w:noProof/>
          <w:color w:val="000000" w:themeColor="text1"/>
        </w:rPr>
        <w:t>l</w:t>
      </w:r>
      <w:r w:rsidRPr="0011372B">
        <w:rPr>
          <w:noProof/>
          <w:color w:val="000000" w:themeColor="text1"/>
        </w:rPr>
        <w:t xml:space="preserve">ycopersici in </w:t>
      </w:r>
      <w:r w:rsidR="00681CCD" w:rsidRPr="0011372B">
        <w:rPr>
          <w:noProof/>
          <w:color w:val="000000" w:themeColor="text1"/>
        </w:rPr>
        <w:t>t</w:t>
      </w:r>
      <w:r w:rsidRPr="0011372B">
        <w:rPr>
          <w:noProof/>
          <w:color w:val="000000" w:themeColor="text1"/>
        </w:rPr>
        <w:t xml:space="preserve">omato, </w:t>
      </w:r>
      <w:r w:rsidRPr="0011372B">
        <w:rPr>
          <w:iCs/>
          <w:noProof/>
          <w:color w:val="000000" w:themeColor="text1"/>
        </w:rPr>
        <w:t>Plant Physiology and Biochemistry,</w:t>
      </w:r>
      <w:r w:rsidRPr="0011372B">
        <w:rPr>
          <w:noProof/>
          <w:color w:val="000000" w:themeColor="text1"/>
        </w:rPr>
        <w:t xml:space="preserve"> 47, 49-642. </w:t>
      </w:r>
    </w:p>
    <w:p w14:paraId="10385049" w14:textId="723BEE34" w:rsidR="005C7F02" w:rsidRPr="0011372B" w:rsidRDefault="005C7F02" w:rsidP="005C7F02">
      <w:pPr>
        <w:pStyle w:val="CETReferencetext"/>
        <w:rPr>
          <w:noProof/>
          <w:color w:val="000000" w:themeColor="text1"/>
        </w:rPr>
      </w:pPr>
      <w:r w:rsidRPr="0011372B">
        <w:rPr>
          <w:rFonts w:cs="Arial"/>
          <w:noProof/>
          <w:color w:val="000000" w:themeColor="text1"/>
        </w:rPr>
        <w:t>Sayyari M., Valero D., Serrano M., 2017, Pre-</w:t>
      </w:r>
      <w:r w:rsidR="00681CCD" w:rsidRPr="0011372B">
        <w:rPr>
          <w:rFonts w:cs="Arial"/>
          <w:noProof/>
          <w:color w:val="000000" w:themeColor="text1"/>
        </w:rPr>
        <w:t>s</w:t>
      </w:r>
      <w:r w:rsidRPr="0011372B">
        <w:rPr>
          <w:rFonts w:cs="Arial"/>
          <w:noProof/>
          <w:color w:val="000000" w:themeColor="text1"/>
        </w:rPr>
        <w:t xml:space="preserve">torage </w:t>
      </w:r>
      <w:r w:rsidR="00681CCD" w:rsidRPr="0011372B">
        <w:rPr>
          <w:rFonts w:cs="Arial"/>
          <w:noProof/>
          <w:color w:val="000000" w:themeColor="text1"/>
        </w:rPr>
        <w:t>s</w:t>
      </w:r>
      <w:r w:rsidRPr="0011372B">
        <w:rPr>
          <w:rFonts w:cs="Arial"/>
          <w:noProof/>
          <w:color w:val="000000" w:themeColor="text1"/>
        </w:rPr>
        <w:t xml:space="preserve">alicylic </w:t>
      </w:r>
      <w:r w:rsidR="00681CCD" w:rsidRPr="0011372B">
        <w:rPr>
          <w:rFonts w:cs="Arial"/>
          <w:noProof/>
          <w:color w:val="000000" w:themeColor="text1"/>
        </w:rPr>
        <w:t>a</w:t>
      </w:r>
      <w:r w:rsidRPr="0011372B">
        <w:rPr>
          <w:rFonts w:cs="Arial"/>
          <w:noProof/>
          <w:color w:val="000000" w:themeColor="text1"/>
        </w:rPr>
        <w:t xml:space="preserve">cid </w:t>
      </w:r>
      <w:r w:rsidR="00681CCD" w:rsidRPr="0011372B">
        <w:rPr>
          <w:rFonts w:cs="Arial"/>
          <w:noProof/>
          <w:color w:val="000000" w:themeColor="text1"/>
        </w:rPr>
        <w:t>t</w:t>
      </w:r>
      <w:r w:rsidRPr="0011372B">
        <w:rPr>
          <w:rFonts w:cs="Arial"/>
          <w:noProof/>
          <w:color w:val="000000" w:themeColor="text1"/>
        </w:rPr>
        <w:t xml:space="preserve">reatment </w:t>
      </w:r>
      <w:r w:rsidR="00681CCD" w:rsidRPr="0011372B">
        <w:rPr>
          <w:rFonts w:cs="Arial"/>
          <w:noProof/>
          <w:color w:val="000000" w:themeColor="text1"/>
        </w:rPr>
        <w:t>a</w:t>
      </w:r>
      <w:r w:rsidRPr="0011372B">
        <w:rPr>
          <w:rFonts w:cs="Arial"/>
          <w:noProof/>
          <w:color w:val="000000" w:themeColor="text1"/>
        </w:rPr>
        <w:t xml:space="preserve">ffects </w:t>
      </w:r>
      <w:r w:rsidR="00681CCD" w:rsidRPr="0011372B">
        <w:rPr>
          <w:rFonts w:cs="Arial"/>
          <w:noProof/>
          <w:color w:val="000000" w:themeColor="text1"/>
        </w:rPr>
        <w:t>f</w:t>
      </w:r>
      <w:r w:rsidRPr="0011372B">
        <w:rPr>
          <w:rFonts w:cs="Arial"/>
          <w:noProof/>
          <w:color w:val="000000" w:themeColor="text1"/>
        </w:rPr>
        <w:t xml:space="preserve">unctional </w:t>
      </w:r>
      <w:r w:rsidR="00681CCD" w:rsidRPr="0011372B">
        <w:rPr>
          <w:rFonts w:cs="Arial"/>
          <w:noProof/>
          <w:color w:val="000000" w:themeColor="text1"/>
        </w:rPr>
        <w:t>p</w:t>
      </w:r>
      <w:r w:rsidRPr="0011372B">
        <w:rPr>
          <w:rFonts w:cs="Arial"/>
          <w:noProof/>
          <w:color w:val="000000" w:themeColor="text1"/>
        </w:rPr>
        <w:t xml:space="preserve">roperties, </w:t>
      </w:r>
      <w:r w:rsidR="00681CCD" w:rsidRPr="0011372B">
        <w:rPr>
          <w:rFonts w:cs="Arial"/>
          <w:noProof/>
          <w:color w:val="000000" w:themeColor="text1"/>
        </w:rPr>
        <w:t>u</w:t>
      </w:r>
      <w:r w:rsidRPr="0011372B">
        <w:rPr>
          <w:rFonts w:cs="Arial"/>
          <w:noProof/>
          <w:color w:val="000000" w:themeColor="text1"/>
        </w:rPr>
        <w:t>nsaturated/</w:t>
      </w:r>
      <w:r w:rsidR="00681CCD" w:rsidRPr="0011372B">
        <w:rPr>
          <w:rFonts w:cs="Arial"/>
          <w:noProof/>
          <w:color w:val="000000" w:themeColor="text1"/>
        </w:rPr>
        <w:t>s</w:t>
      </w:r>
      <w:r w:rsidRPr="0011372B">
        <w:rPr>
          <w:rFonts w:cs="Arial"/>
          <w:noProof/>
          <w:color w:val="000000" w:themeColor="text1"/>
        </w:rPr>
        <w:t xml:space="preserve">aturated </w:t>
      </w:r>
      <w:r w:rsidR="00681CCD" w:rsidRPr="0011372B">
        <w:rPr>
          <w:rFonts w:cs="Arial"/>
          <w:noProof/>
          <w:color w:val="000000" w:themeColor="text1"/>
        </w:rPr>
        <w:t>f</w:t>
      </w:r>
      <w:r w:rsidRPr="0011372B">
        <w:rPr>
          <w:rFonts w:cs="Arial"/>
          <w:noProof/>
          <w:color w:val="000000" w:themeColor="text1"/>
        </w:rPr>
        <w:t xml:space="preserve">atty </w:t>
      </w:r>
      <w:r w:rsidR="00681CCD" w:rsidRPr="0011372B">
        <w:rPr>
          <w:rFonts w:cs="Arial"/>
          <w:noProof/>
          <w:color w:val="000000" w:themeColor="text1"/>
        </w:rPr>
        <w:t>a</w:t>
      </w:r>
      <w:r w:rsidRPr="0011372B">
        <w:rPr>
          <w:rFonts w:cs="Arial"/>
          <w:noProof/>
          <w:color w:val="000000" w:themeColor="text1"/>
        </w:rPr>
        <w:t xml:space="preserve">cids </w:t>
      </w:r>
      <w:r w:rsidR="00681CCD" w:rsidRPr="0011372B">
        <w:rPr>
          <w:rFonts w:cs="Arial"/>
          <w:noProof/>
          <w:color w:val="000000" w:themeColor="text1"/>
        </w:rPr>
        <w:t>r</w:t>
      </w:r>
      <w:r w:rsidRPr="0011372B">
        <w:rPr>
          <w:rFonts w:cs="Arial"/>
          <w:noProof/>
          <w:color w:val="000000" w:themeColor="text1"/>
        </w:rPr>
        <w:t xml:space="preserve">atio and </w:t>
      </w:r>
      <w:r w:rsidR="00681CCD" w:rsidRPr="0011372B">
        <w:rPr>
          <w:rFonts w:cs="Arial"/>
          <w:noProof/>
          <w:color w:val="000000" w:themeColor="text1"/>
        </w:rPr>
        <w:t>c</w:t>
      </w:r>
      <w:r w:rsidRPr="0011372B">
        <w:rPr>
          <w:rFonts w:cs="Arial"/>
          <w:noProof/>
          <w:color w:val="000000" w:themeColor="text1"/>
        </w:rPr>
        <w:t xml:space="preserve">hilling </w:t>
      </w:r>
      <w:r w:rsidR="00681CCD" w:rsidRPr="0011372B">
        <w:rPr>
          <w:rFonts w:cs="Arial"/>
          <w:noProof/>
          <w:color w:val="000000" w:themeColor="text1"/>
        </w:rPr>
        <w:t>r</w:t>
      </w:r>
      <w:r w:rsidRPr="0011372B">
        <w:rPr>
          <w:rFonts w:cs="Arial"/>
          <w:noProof/>
          <w:color w:val="000000" w:themeColor="text1"/>
        </w:rPr>
        <w:t xml:space="preserve">esistance of </w:t>
      </w:r>
      <w:r w:rsidR="00681CCD" w:rsidRPr="0011372B">
        <w:rPr>
          <w:rFonts w:cs="Arial"/>
          <w:noProof/>
          <w:color w:val="000000" w:themeColor="text1"/>
        </w:rPr>
        <w:t>p</w:t>
      </w:r>
      <w:r w:rsidRPr="0011372B">
        <w:rPr>
          <w:rFonts w:cs="Arial"/>
          <w:noProof/>
          <w:color w:val="000000" w:themeColor="text1"/>
        </w:rPr>
        <w:t xml:space="preserve">omegranate during </w:t>
      </w:r>
      <w:r w:rsidR="00681CCD" w:rsidRPr="0011372B">
        <w:rPr>
          <w:rFonts w:cs="Arial"/>
          <w:noProof/>
          <w:color w:val="000000" w:themeColor="text1"/>
        </w:rPr>
        <w:t>c</w:t>
      </w:r>
      <w:r w:rsidRPr="0011372B">
        <w:rPr>
          <w:rFonts w:cs="Arial"/>
          <w:noProof/>
          <w:color w:val="000000" w:themeColor="text1"/>
        </w:rPr>
        <w:t xml:space="preserve">old </w:t>
      </w:r>
      <w:r w:rsidR="00681CCD" w:rsidRPr="0011372B">
        <w:rPr>
          <w:rFonts w:cs="Arial"/>
          <w:noProof/>
          <w:color w:val="000000" w:themeColor="text1"/>
        </w:rPr>
        <w:t>s</w:t>
      </w:r>
      <w:r w:rsidRPr="0011372B">
        <w:rPr>
          <w:rFonts w:cs="Arial"/>
          <w:noProof/>
          <w:color w:val="000000" w:themeColor="text1"/>
        </w:rPr>
        <w:t>torage,</w:t>
      </w:r>
      <w:r w:rsidR="003A21F0" w:rsidRPr="0011372B">
        <w:rPr>
          <w:rFonts w:cs="Arial"/>
          <w:noProof/>
          <w:color w:val="000000" w:themeColor="text1"/>
        </w:rPr>
        <w:t xml:space="preserve"> </w:t>
      </w:r>
      <w:r w:rsidRPr="0011372B">
        <w:rPr>
          <w:rFonts w:cs="Arial"/>
          <w:iCs/>
          <w:noProof/>
          <w:color w:val="000000" w:themeColor="text1"/>
        </w:rPr>
        <w:t>International Food Research Journal,</w:t>
      </w:r>
      <w:r w:rsidRPr="0011372B">
        <w:rPr>
          <w:rFonts w:cs="Arial"/>
          <w:noProof/>
          <w:color w:val="000000" w:themeColor="text1"/>
        </w:rPr>
        <w:t xml:space="preserve"> 24, 42-637. </w:t>
      </w:r>
    </w:p>
    <w:p w14:paraId="5B6CCA9F" w14:textId="1B637B82" w:rsidR="005C7F02" w:rsidRPr="0011372B" w:rsidRDefault="005C7F02" w:rsidP="005C7F02">
      <w:pPr>
        <w:pStyle w:val="CETReferencetext"/>
        <w:rPr>
          <w:rFonts w:cs="Arial"/>
          <w:noProof/>
          <w:color w:val="000000" w:themeColor="text1"/>
        </w:rPr>
      </w:pPr>
      <w:r w:rsidRPr="0011372B">
        <w:rPr>
          <w:rFonts w:cs="Arial"/>
          <w:noProof/>
          <w:color w:val="000000" w:themeColor="text1"/>
          <w:lang w:val="it-IT"/>
        </w:rPr>
        <w:t>Singleton V.L., Rossi J.A.</w:t>
      </w:r>
      <w:r w:rsidR="00EC08EF" w:rsidRPr="0011372B">
        <w:rPr>
          <w:rFonts w:cs="Arial"/>
          <w:noProof/>
          <w:color w:val="000000" w:themeColor="text1"/>
          <w:lang w:val="it-IT"/>
        </w:rPr>
        <w:t>,</w:t>
      </w:r>
      <w:r w:rsidRPr="0011372B">
        <w:rPr>
          <w:rFonts w:cs="Arial"/>
          <w:noProof/>
          <w:color w:val="000000" w:themeColor="text1"/>
          <w:lang w:val="it-IT"/>
        </w:rPr>
        <w:t xml:space="preserve"> 1965</w:t>
      </w:r>
      <w:r w:rsidR="00EC08EF" w:rsidRPr="0011372B">
        <w:rPr>
          <w:rFonts w:cs="Arial"/>
          <w:noProof/>
          <w:color w:val="000000" w:themeColor="text1"/>
          <w:lang w:val="it-IT"/>
        </w:rPr>
        <w:t>,</w:t>
      </w:r>
      <w:r w:rsidRPr="0011372B">
        <w:rPr>
          <w:rFonts w:cs="Arial"/>
          <w:noProof/>
          <w:color w:val="000000" w:themeColor="text1"/>
          <w:lang w:val="it-IT"/>
        </w:rPr>
        <w:t xml:space="preserve"> </w:t>
      </w:r>
      <w:r w:rsidRPr="0011372B">
        <w:rPr>
          <w:rFonts w:cs="Arial"/>
          <w:noProof/>
          <w:color w:val="000000" w:themeColor="text1"/>
        </w:rPr>
        <w:t>Colorimetry of total phenolics with phosphomolybdic-phosphotungstic acid reagents</w:t>
      </w:r>
      <w:r w:rsidR="003A21F0" w:rsidRPr="0011372B">
        <w:rPr>
          <w:rFonts w:cs="Arial"/>
          <w:noProof/>
          <w:color w:val="000000" w:themeColor="text1"/>
        </w:rPr>
        <w:t>,</w:t>
      </w:r>
      <w:r w:rsidRPr="0011372B">
        <w:rPr>
          <w:rFonts w:cs="Arial"/>
          <w:noProof/>
          <w:color w:val="000000" w:themeColor="text1"/>
        </w:rPr>
        <w:t xml:space="preserve"> Am</w:t>
      </w:r>
      <w:r w:rsidR="003A21F0" w:rsidRPr="0011372B">
        <w:rPr>
          <w:rFonts w:cs="Arial"/>
          <w:noProof/>
          <w:color w:val="000000" w:themeColor="text1"/>
        </w:rPr>
        <w:t>erican</w:t>
      </w:r>
      <w:r w:rsidRPr="0011372B">
        <w:rPr>
          <w:rFonts w:cs="Arial"/>
          <w:noProof/>
          <w:color w:val="000000" w:themeColor="text1"/>
        </w:rPr>
        <w:t xml:space="preserve"> J</w:t>
      </w:r>
      <w:r w:rsidR="003A21F0" w:rsidRPr="0011372B">
        <w:rPr>
          <w:rFonts w:cs="Arial"/>
          <w:noProof/>
          <w:color w:val="000000" w:themeColor="text1"/>
        </w:rPr>
        <w:t>ournal of</w:t>
      </w:r>
      <w:r w:rsidRPr="0011372B">
        <w:rPr>
          <w:rFonts w:cs="Arial"/>
          <w:noProof/>
          <w:color w:val="000000" w:themeColor="text1"/>
        </w:rPr>
        <w:t xml:space="preserve"> Enol</w:t>
      </w:r>
      <w:r w:rsidR="003A21F0" w:rsidRPr="0011372B">
        <w:rPr>
          <w:rFonts w:cs="Arial"/>
          <w:noProof/>
          <w:color w:val="000000" w:themeColor="text1"/>
        </w:rPr>
        <w:t>ogy and Viticulture,</w:t>
      </w:r>
      <w:r w:rsidRPr="0011372B">
        <w:rPr>
          <w:rFonts w:cs="Arial"/>
          <w:noProof/>
          <w:color w:val="000000" w:themeColor="text1"/>
        </w:rPr>
        <w:t xml:space="preserve"> 16</w:t>
      </w:r>
      <w:r w:rsidR="003A21F0" w:rsidRPr="0011372B">
        <w:rPr>
          <w:rFonts w:cs="Arial"/>
          <w:noProof/>
          <w:color w:val="000000" w:themeColor="text1"/>
        </w:rPr>
        <w:t xml:space="preserve">, </w:t>
      </w:r>
      <w:r w:rsidRPr="0011372B">
        <w:rPr>
          <w:rFonts w:cs="Arial"/>
          <w:noProof/>
          <w:color w:val="000000" w:themeColor="text1"/>
        </w:rPr>
        <w:t>144–145.</w:t>
      </w:r>
    </w:p>
    <w:p w14:paraId="77A62840" w14:textId="4A35CC54" w:rsidR="005C7F02" w:rsidRPr="0011372B" w:rsidRDefault="005C7F02" w:rsidP="005C7F02">
      <w:pPr>
        <w:pStyle w:val="CETReferencetext"/>
        <w:rPr>
          <w:rFonts w:cs="Arial"/>
          <w:noProof/>
          <w:color w:val="000000" w:themeColor="text1"/>
        </w:rPr>
      </w:pPr>
      <w:r w:rsidRPr="0011372B">
        <w:rPr>
          <w:rFonts w:cs="Arial"/>
          <w:noProof/>
          <w:color w:val="000000" w:themeColor="text1"/>
        </w:rPr>
        <w:t>Wang L., Chen S, Kong W, Li S, Archbold D.D., 2006</w:t>
      </w:r>
      <w:r w:rsidR="00EC08EF" w:rsidRPr="0011372B">
        <w:rPr>
          <w:rFonts w:cs="Arial"/>
          <w:noProof/>
          <w:color w:val="000000" w:themeColor="text1"/>
        </w:rPr>
        <w:t>,</w:t>
      </w:r>
      <w:r w:rsidRPr="0011372B">
        <w:rPr>
          <w:rFonts w:cs="Arial"/>
          <w:noProof/>
          <w:color w:val="000000" w:themeColor="text1"/>
        </w:rPr>
        <w:t xml:space="preserve"> Salicylic </w:t>
      </w:r>
      <w:r w:rsidR="00EC08EF" w:rsidRPr="0011372B">
        <w:rPr>
          <w:rFonts w:cs="Arial"/>
          <w:noProof/>
          <w:color w:val="000000" w:themeColor="text1"/>
        </w:rPr>
        <w:t>a</w:t>
      </w:r>
      <w:r w:rsidRPr="0011372B">
        <w:rPr>
          <w:rFonts w:cs="Arial"/>
          <w:noProof/>
          <w:color w:val="000000" w:themeColor="text1"/>
        </w:rPr>
        <w:t xml:space="preserve">cid </w:t>
      </w:r>
      <w:r w:rsidR="00EC08EF" w:rsidRPr="0011372B">
        <w:rPr>
          <w:rFonts w:cs="Arial"/>
          <w:noProof/>
          <w:color w:val="000000" w:themeColor="text1"/>
        </w:rPr>
        <w:t>p</w:t>
      </w:r>
      <w:r w:rsidRPr="0011372B">
        <w:rPr>
          <w:rFonts w:cs="Arial"/>
          <w:noProof/>
          <w:color w:val="000000" w:themeColor="text1"/>
        </w:rPr>
        <w:t xml:space="preserve">retreatment </w:t>
      </w:r>
      <w:r w:rsidR="00EC08EF" w:rsidRPr="0011372B">
        <w:rPr>
          <w:rFonts w:cs="Arial"/>
          <w:noProof/>
          <w:color w:val="000000" w:themeColor="text1"/>
        </w:rPr>
        <w:t>a</w:t>
      </w:r>
      <w:r w:rsidRPr="0011372B">
        <w:rPr>
          <w:rFonts w:cs="Arial"/>
          <w:noProof/>
          <w:color w:val="000000" w:themeColor="text1"/>
        </w:rPr>
        <w:t xml:space="preserve">lleviates </w:t>
      </w:r>
      <w:r w:rsidR="00EC08EF" w:rsidRPr="0011372B">
        <w:rPr>
          <w:rFonts w:cs="Arial"/>
          <w:noProof/>
          <w:color w:val="000000" w:themeColor="text1"/>
        </w:rPr>
        <w:t>c</w:t>
      </w:r>
      <w:r w:rsidRPr="0011372B">
        <w:rPr>
          <w:rFonts w:cs="Arial"/>
          <w:noProof/>
          <w:color w:val="000000" w:themeColor="text1"/>
        </w:rPr>
        <w:t xml:space="preserve">hilling </w:t>
      </w:r>
      <w:r w:rsidR="00EC08EF" w:rsidRPr="0011372B">
        <w:rPr>
          <w:rFonts w:cs="Arial"/>
          <w:noProof/>
          <w:color w:val="000000" w:themeColor="text1"/>
        </w:rPr>
        <w:t>i</w:t>
      </w:r>
      <w:r w:rsidRPr="0011372B">
        <w:rPr>
          <w:rFonts w:cs="Arial"/>
          <w:noProof/>
          <w:color w:val="000000" w:themeColor="text1"/>
        </w:rPr>
        <w:t xml:space="preserve">njury and </w:t>
      </w:r>
      <w:r w:rsidR="00EC08EF" w:rsidRPr="0011372B">
        <w:rPr>
          <w:rFonts w:cs="Arial"/>
          <w:noProof/>
          <w:color w:val="000000" w:themeColor="text1"/>
        </w:rPr>
        <w:t>a</w:t>
      </w:r>
      <w:r w:rsidRPr="0011372B">
        <w:rPr>
          <w:rFonts w:cs="Arial"/>
          <w:noProof/>
          <w:color w:val="000000" w:themeColor="text1"/>
        </w:rPr>
        <w:t xml:space="preserve">ffects the </w:t>
      </w:r>
      <w:r w:rsidR="00EC08EF" w:rsidRPr="0011372B">
        <w:rPr>
          <w:rFonts w:cs="Arial"/>
          <w:noProof/>
          <w:color w:val="000000" w:themeColor="text1"/>
        </w:rPr>
        <w:t>a</w:t>
      </w:r>
      <w:r w:rsidRPr="0011372B">
        <w:rPr>
          <w:rFonts w:cs="Arial"/>
          <w:noProof/>
          <w:color w:val="000000" w:themeColor="text1"/>
        </w:rPr>
        <w:t xml:space="preserve">ntioxidant </w:t>
      </w:r>
      <w:r w:rsidR="00EC08EF" w:rsidRPr="0011372B">
        <w:rPr>
          <w:rFonts w:cs="Arial"/>
          <w:noProof/>
          <w:color w:val="000000" w:themeColor="text1"/>
        </w:rPr>
        <w:t>s</w:t>
      </w:r>
      <w:r w:rsidRPr="0011372B">
        <w:rPr>
          <w:rFonts w:cs="Arial"/>
          <w:noProof/>
          <w:color w:val="000000" w:themeColor="text1"/>
        </w:rPr>
        <w:t xml:space="preserve">ystem and </w:t>
      </w:r>
      <w:r w:rsidR="00EC08EF" w:rsidRPr="0011372B">
        <w:rPr>
          <w:rFonts w:cs="Arial"/>
          <w:noProof/>
          <w:color w:val="000000" w:themeColor="text1"/>
        </w:rPr>
        <w:t>h</w:t>
      </w:r>
      <w:r w:rsidRPr="0011372B">
        <w:rPr>
          <w:rFonts w:cs="Arial"/>
          <w:noProof/>
          <w:color w:val="000000" w:themeColor="text1"/>
        </w:rPr>
        <w:t xml:space="preserve">eat </w:t>
      </w:r>
      <w:r w:rsidR="00EC08EF" w:rsidRPr="0011372B">
        <w:rPr>
          <w:rFonts w:cs="Arial"/>
          <w:noProof/>
          <w:color w:val="000000" w:themeColor="text1"/>
        </w:rPr>
        <w:t>s</w:t>
      </w:r>
      <w:r w:rsidRPr="0011372B">
        <w:rPr>
          <w:rFonts w:cs="Arial"/>
          <w:noProof/>
          <w:color w:val="000000" w:themeColor="text1"/>
        </w:rPr>
        <w:t xml:space="preserve">hock </w:t>
      </w:r>
      <w:r w:rsidR="00EC08EF" w:rsidRPr="0011372B">
        <w:rPr>
          <w:rFonts w:cs="Arial"/>
          <w:noProof/>
          <w:color w:val="000000" w:themeColor="text1"/>
        </w:rPr>
        <w:t>p</w:t>
      </w:r>
      <w:r w:rsidRPr="0011372B">
        <w:rPr>
          <w:rFonts w:cs="Arial"/>
          <w:noProof/>
          <w:color w:val="000000" w:themeColor="text1"/>
        </w:rPr>
        <w:t xml:space="preserve">roteins of </w:t>
      </w:r>
      <w:r w:rsidR="00EC08EF" w:rsidRPr="0011372B">
        <w:rPr>
          <w:rFonts w:cs="Arial"/>
          <w:noProof/>
          <w:color w:val="000000" w:themeColor="text1"/>
        </w:rPr>
        <w:t>p</w:t>
      </w:r>
      <w:r w:rsidRPr="0011372B">
        <w:rPr>
          <w:rFonts w:cs="Arial"/>
          <w:noProof/>
          <w:color w:val="000000" w:themeColor="text1"/>
        </w:rPr>
        <w:t xml:space="preserve">eaches during </w:t>
      </w:r>
      <w:r w:rsidR="00EC08EF" w:rsidRPr="0011372B">
        <w:rPr>
          <w:rFonts w:cs="Arial"/>
          <w:noProof/>
          <w:color w:val="000000" w:themeColor="text1"/>
        </w:rPr>
        <w:t>c</w:t>
      </w:r>
      <w:r w:rsidRPr="0011372B">
        <w:rPr>
          <w:rFonts w:cs="Arial"/>
          <w:noProof/>
          <w:color w:val="000000" w:themeColor="text1"/>
        </w:rPr>
        <w:t xml:space="preserve">old </w:t>
      </w:r>
      <w:r w:rsidR="00EC08EF" w:rsidRPr="0011372B">
        <w:rPr>
          <w:rFonts w:cs="Arial"/>
          <w:noProof/>
          <w:color w:val="000000" w:themeColor="text1"/>
        </w:rPr>
        <w:t>s</w:t>
      </w:r>
      <w:r w:rsidRPr="0011372B">
        <w:rPr>
          <w:rFonts w:cs="Arial"/>
          <w:noProof/>
          <w:color w:val="000000" w:themeColor="text1"/>
        </w:rPr>
        <w:t xml:space="preserve">torage, </w:t>
      </w:r>
      <w:r w:rsidRPr="0011372B">
        <w:rPr>
          <w:rFonts w:cs="Arial"/>
          <w:iCs/>
          <w:noProof/>
          <w:color w:val="000000" w:themeColor="text1"/>
        </w:rPr>
        <w:t>Postharvest Biology and Technology,</w:t>
      </w:r>
      <w:r w:rsidRPr="0011372B">
        <w:rPr>
          <w:rFonts w:cs="Arial"/>
          <w:noProof/>
          <w:color w:val="000000" w:themeColor="text1"/>
        </w:rPr>
        <w:t xml:space="preserve"> 41, 51-244.</w:t>
      </w:r>
    </w:p>
    <w:p w14:paraId="3C630E12" w14:textId="0CEC9A5F" w:rsidR="005C7F02" w:rsidRPr="0011372B" w:rsidRDefault="005C7F02" w:rsidP="005C7F02">
      <w:pPr>
        <w:pStyle w:val="CETReferencetext"/>
        <w:rPr>
          <w:rFonts w:cs="Arial"/>
          <w:bCs/>
          <w:color w:val="000000" w:themeColor="text1"/>
          <w:szCs w:val="18"/>
          <w:lang w:val="en-IE"/>
        </w:rPr>
      </w:pPr>
      <w:r w:rsidRPr="0011372B">
        <w:rPr>
          <w:rFonts w:cs="Arial"/>
          <w:bCs/>
          <w:color w:val="000000" w:themeColor="text1"/>
          <w:szCs w:val="18"/>
          <w:lang w:val="en-IE"/>
        </w:rPr>
        <w:t>Zhou D., Li L., Wu Y., Fan J., Ouyang J</w:t>
      </w:r>
      <w:r w:rsidR="00EC08EF" w:rsidRPr="0011372B">
        <w:rPr>
          <w:rFonts w:cs="Arial"/>
          <w:bCs/>
          <w:color w:val="000000" w:themeColor="text1"/>
          <w:szCs w:val="18"/>
          <w:lang w:val="en-IE"/>
        </w:rPr>
        <w:t>.</w:t>
      </w:r>
      <w:r w:rsidRPr="0011372B">
        <w:rPr>
          <w:rFonts w:cs="Arial"/>
          <w:bCs/>
          <w:color w:val="000000" w:themeColor="text1"/>
          <w:szCs w:val="18"/>
          <w:lang w:val="en-IE"/>
        </w:rPr>
        <w:t xml:space="preserve">, 2015. Salicylic acid inhibits enzymatic browning of fresh cut </w:t>
      </w:r>
      <w:r w:rsidR="00EC08EF" w:rsidRPr="0011372B">
        <w:rPr>
          <w:rFonts w:cs="Arial"/>
          <w:bCs/>
          <w:color w:val="000000" w:themeColor="text1"/>
          <w:szCs w:val="18"/>
          <w:lang w:val="en-IE"/>
        </w:rPr>
        <w:t>c</w:t>
      </w:r>
      <w:r w:rsidRPr="0011372B">
        <w:rPr>
          <w:rFonts w:cs="Arial"/>
          <w:bCs/>
          <w:color w:val="000000" w:themeColor="text1"/>
          <w:szCs w:val="18"/>
          <w:lang w:val="en-IE"/>
        </w:rPr>
        <w:t>hinese chestnut (Castanea mollissima) by competitively inhibiting polyphenol oxidase, Food chemistry,</w:t>
      </w:r>
      <w:r w:rsidRPr="0011372B">
        <w:rPr>
          <w:rFonts w:cs="Arial"/>
          <w:bCs/>
          <w:i/>
          <w:color w:val="000000" w:themeColor="text1"/>
          <w:szCs w:val="18"/>
          <w:lang w:val="en-IE"/>
        </w:rPr>
        <w:t xml:space="preserve"> </w:t>
      </w:r>
      <w:r w:rsidRPr="0011372B">
        <w:rPr>
          <w:rFonts w:cs="Arial"/>
          <w:bCs/>
          <w:color w:val="000000" w:themeColor="text1"/>
          <w:szCs w:val="18"/>
          <w:lang w:val="en-IE"/>
        </w:rPr>
        <w:t>171, 19-25.</w:t>
      </w:r>
    </w:p>
    <w:p w14:paraId="40A0C869" w14:textId="19FE4A84" w:rsidR="00606CA4" w:rsidRPr="0011372B" w:rsidRDefault="005C7F02" w:rsidP="00AD4D8B">
      <w:pPr>
        <w:pStyle w:val="CETReferencetext"/>
        <w:rPr>
          <w:rFonts w:cs="Arial"/>
          <w:noProof/>
          <w:color w:val="000000" w:themeColor="text1"/>
        </w:rPr>
      </w:pPr>
      <w:r w:rsidRPr="0011372B">
        <w:rPr>
          <w:color w:val="000000" w:themeColor="text1"/>
        </w:rPr>
        <w:fldChar w:fldCharType="end"/>
      </w:r>
    </w:p>
    <w:p w14:paraId="77D71ECC" w14:textId="79FB7429" w:rsidR="00B7326A" w:rsidRPr="00AD4D8B" w:rsidRDefault="00555FFB" w:rsidP="00B7326A">
      <w:pPr>
        <w:pStyle w:val="CETReferencetext"/>
        <w:rPr>
          <w:color w:val="000000" w:themeColor="text1"/>
        </w:rPr>
      </w:pPr>
      <w:r w:rsidRPr="0011372B">
        <w:rPr>
          <w:color w:val="000000" w:themeColor="text1"/>
        </w:rPr>
        <w:fldChar w:fldCharType="end"/>
      </w:r>
    </w:p>
    <w:sectPr w:rsidR="00B7326A" w:rsidRPr="00AD4D8B"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5568D" w14:textId="77777777" w:rsidR="00D23995" w:rsidRDefault="00D23995" w:rsidP="004F5E36">
      <w:r>
        <w:separator/>
      </w:r>
    </w:p>
  </w:endnote>
  <w:endnote w:type="continuationSeparator" w:id="0">
    <w:p w14:paraId="4715B040" w14:textId="77777777" w:rsidR="00D23995" w:rsidRDefault="00D2399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600386"/>
      <w:docPartObj>
        <w:docPartGallery w:val="Page Numbers (Bottom of Page)"/>
        <w:docPartUnique/>
      </w:docPartObj>
    </w:sdtPr>
    <w:sdtEndPr/>
    <w:sdtContent>
      <w:p w14:paraId="2B8EDF57" w14:textId="5A4F51DA" w:rsidR="0047267B" w:rsidRDefault="0047267B">
        <w:pPr>
          <w:pStyle w:val="Pidipagina"/>
          <w:jc w:val="center"/>
        </w:pPr>
        <w:r>
          <w:fldChar w:fldCharType="begin"/>
        </w:r>
        <w:r>
          <w:instrText>PAGE   \* MERGEFORMAT</w:instrText>
        </w:r>
        <w:r>
          <w:fldChar w:fldCharType="separate"/>
        </w:r>
        <w:r>
          <w:rPr>
            <w:lang w:val="it-IT"/>
          </w:rPr>
          <w:t>2</w:t>
        </w:r>
        <w:r>
          <w:fldChar w:fldCharType="end"/>
        </w:r>
      </w:p>
    </w:sdtContent>
  </w:sdt>
  <w:p w14:paraId="5CDC2A4F" w14:textId="77777777" w:rsidR="0047267B" w:rsidRDefault="004726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0C878" w14:textId="77777777" w:rsidR="00D23995" w:rsidRDefault="00D23995" w:rsidP="004F5E36">
      <w:r>
        <w:separator/>
      </w:r>
    </w:p>
  </w:footnote>
  <w:footnote w:type="continuationSeparator" w:id="0">
    <w:p w14:paraId="64ADE757" w14:textId="77777777" w:rsidR="00D23995" w:rsidRDefault="00D2399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713771F"/>
    <w:multiLevelType w:val="hybridMultilevel"/>
    <w:tmpl w:val="6E02A228"/>
    <w:lvl w:ilvl="0" w:tplc="6E7289CC">
      <w:start w:val="1"/>
      <w:numFmt w:val="bullet"/>
      <w:lvlText w:val="•"/>
      <w:lvlJc w:val="left"/>
      <w:pPr>
        <w:tabs>
          <w:tab w:val="num" w:pos="720"/>
        </w:tabs>
        <w:ind w:left="720" w:hanging="360"/>
      </w:pPr>
      <w:rPr>
        <w:rFonts w:ascii="Arial" w:hAnsi="Arial" w:hint="default"/>
      </w:rPr>
    </w:lvl>
    <w:lvl w:ilvl="1" w:tplc="DA5235CE" w:tentative="1">
      <w:start w:val="1"/>
      <w:numFmt w:val="bullet"/>
      <w:lvlText w:val="•"/>
      <w:lvlJc w:val="left"/>
      <w:pPr>
        <w:tabs>
          <w:tab w:val="num" w:pos="1440"/>
        </w:tabs>
        <w:ind w:left="1440" w:hanging="360"/>
      </w:pPr>
      <w:rPr>
        <w:rFonts w:ascii="Arial" w:hAnsi="Arial" w:hint="default"/>
      </w:rPr>
    </w:lvl>
    <w:lvl w:ilvl="2" w:tplc="78329230" w:tentative="1">
      <w:start w:val="1"/>
      <w:numFmt w:val="bullet"/>
      <w:lvlText w:val="•"/>
      <w:lvlJc w:val="left"/>
      <w:pPr>
        <w:tabs>
          <w:tab w:val="num" w:pos="2160"/>
        </w:tabs>
        <w:ind w:left="2160" w:hanging="360"/>
      </w:pPr>
      <w:rPr>
        <w:rFonts w:ascii="Arial" w:hAnsi="Arial" w:hint="default"/>
      </w:rPr>
    </w:lvl>
    <w:lvl w:ilvl="3" w:tplc="E8780BCA" w:tentative="1">
      <w:start w:val="1"/>
      <w:numFmt w:val="bullet"/>
      <w:lvlText w:val="•"/>
      <w:lvlJc w:val="left"/>
      <w:pPr>
        <w:tabs>
          <w:tab w:val="num" w:pos="2880"/>
        </w:tabs>
        <w:ind w:left="2880" w:hanging="360"/>
      </w:pPr>
      <w:rPr>
        <w:rFonts w:ascii="Arial" w:hAnsi="Arial" w:hint="default"/>
      </w:rPr>
    </w:lvl>
    <w:lvl w:ilvl="4" w:tplc="8DA224C8" w:tentative="1">
      <w:start w:val="1"/>
      <w:numFmt w:val="bullet"/>
      <w:lvlText w:val="•"/>
      <w:lvlJc w:val="left"/>
      <w:pPr>
        <w:tabs>
          <w:tab w:val="num" w:pos="3600"/>
        </w:tabs>
        <w:ind w:left="3600" w:hanging="360"/>
      </w:pPr>
      <w:rPr>
        <w:rFonts w:ascii="Arial" w:hAnsi="Arial" w:hint="default"/>
      </w:rPr>
    </w:lvl>
    <w:lvl w:ilvl="5" w:tplc="52804E5E" w:tentative="1">
      <w:start w:val="1"/>
      <w:numFmt w:val="bullet"/>
      <w:lvlText w:val="•"/>
      <w:lvlJc w:val="left"/>
      <w:pPr>
        <w:tabs>
          <w:tab w:val="num" w:pos="4320"/>
        </w:tabs>
        <w:ind w:left="4320" w:hanging="360"/>
      </w:pPr>
      <w:rPr>
        <w:rFonts w:ascii="Arial" w:hAnsi="Arial" w:hint="default"/>
      </w:rPr>
    </w:lvl>
    <w:lvl w:ilvl="6" w:tplc="03809A88" w:tentative="1">
      <w:start w:val="1"/>
      <w:numFmt w:val="bullet"/>
      <w:lvlText w:val="•"/>
      <w:lvlJc w:val="left"/>
      <w:pPr>
        <w:tabs>
          <w:tab w:val="num" w:pos="5040"/>
        </w:tabs>
        <w:ind w:left="5040" w:hanging="360"/>
      </w:pPr>
      <w:rPr>
        <w:rFonts w:ascii="Arial" w:hAnsi="Arial" w:hint="default"/>
      </w:rPr>
    </w:lvl>
    <w:lvl w:ilvl="7" w:tplc="C14E3E4A" w:tentative="1">
      <w:start w:val="1"/>
      <w:numFmt w:val="bullet"/>
      <w:lvlText w:val="•"/>
      <w:lvlJc w:val="left"/>
      <w:pPr>
        <w:tabs>
          <w:tab w:val="num" w:pos="5760"/>
        </w:tabs>
        <w:ind w:left="5760" w:hanging="360"/>
      </w:pPr>
      <w:rPr>
        <w:rFonts w:ascii="Arial" w:hAnsi="Arial" w:hint="default"/>
      </w:rPr>
    </w:lvl>
    <w:lvl w:ilvl="8" w:tplc="251633C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lvlOverride w:ilvl="2">
      <w:startOverride w:val="5"/>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37E3"/>
    <w:rsid w:val="000052FB"/>
    <w:rsid w:val="00010F40"/>
    <w:rsid w:val="000117CB"/>
    <w:rsid w:val="000307D1"/>
    <w:rsid w:val="0003148D"/>
    <w:rsid w:val="00047D7F"/>
    <w:rsid w:val="00051566"/>
    <w:rsid w:val="00062A9A"/>
    <w:rsid w:val="00064719"/>
    <w:rsid w:val="00065058"/>
    <w:rsid w:val="0007537C"/>
    <w:rsid w:val="00085850"/>
    <w:rsid w:val="00086C39"/>
    <w:rsid w:val="0009002D"/>
    <w:rsid w:val="000A03B2"/>
    <w:rsid w:val="000A3B79"/>
    <w:rsid w:val="000A7AF5"/>
    <w:rsid w:val="000C380C"/>
    <w:rsid w:val="000C4224"/>
    <w:rsid w:val="000C54C0"/>
    <w:rsid w:val="000C7842"/>
    <w:rsid w:val="000D0326"/>
    <w:rsid w:val="000D34BE"/>
    <w:rsid w:val="000E102F"/>
    <w:rsid w:val="000E36F1"/>
    <w:rsid w:val="000E3A73"/>
    <w:rsid w:val="000E414A"/>
    <w:rsid w:val="000F093C"/>
    <w:rsid w:val="000F16BD"/>
    <w:rsid w:val="000F787B"/>
    <w:rsid w:val="00110394"/>
    <w:rsid w:val="0011372B"/>
    <w:rsid w:val="0012091F"/>
    <w:rsid w:val="00123B9D"/>
    <w:rsid w:val="001262F8"/>
    <w:rsid w:val="00126BC2"/>
    <w:rsid w:val="001308B6"/>
    <w:rsid w:val="0013121F"/>
    <w:rsid w:val="00131FAB"/>
    <w:rsid w:val="00131FE6"/>
    <w:rsid w:val="0013263F"/>
    <w:rsid w:val="00133183"/>
    <w:rsid w:val="00134DE4"/>
    <w:rsid w:val="0014034D"/>
    <w:rsid w:val="00141ED8"/>
    <w:rsid w:val="00142299"/>
    <w:rsid w:val="001467A1"/>
    <w:rsid w:val="00150E59"/>
    <w:rsid w:val="001516F5"/>
    <w:rsid w:val="0015175D"/>
    <w:rsid w:val="00152833"/>
    <w:rsid w:val="00152DE3"/>
    <w:rsid w:val="001561C0"/>
    <w:rsid w:val="00164CF9"/>
    <w:rsid w:val="001728B7"/>
    <w:rsid w:val="0017730C"/>
    <w:rsid w:val="00184AD6"/>
    <w:rsid w:val="001B0349"/>
    <w:rsid w:val="001B65C1"/>
    <w:rsid w:val="001B75C9"/>
    <w:rsid w:val="001C684B"/>
    <w:rsid w:val="001D3508"/>
    <w:rsid w:val="001D53FC"/>
    <w:rsid w:val="001D7C48"/>
    <w:rsid w:val="001E3667"/>
    <w:rsid w:val="001F1E82"/>
    <w:rsid w:val="001F37C5"/>
    <w:rsid w:val="001F42A5"/>
    <w:rsid w:val="001F7B9D"/>
    <w:rsid w:val="002151D4"/>
    <w:rsid w:val="00220026"/>
    <w:rsid w:val="002224B4"/>
    <w:rsid w:val="00240F48"/>
    <w:rsid w:val="002447EF"/>
    <w:rsid w:val="0025012B"/>
    <w:rsid w:val="00251550"/>
    <w:rsid w:val="00252C1A"/>
    <w:rsid w:val="00263B05"/>
    <w:rsid w:val="0026610F"/>
    <w:rsid w:val="00267ECD"/>
    <w:rsid w:val="0027221A"/>
    <w:rsid w:val="00275B61"/>
    <w:rsid w:val="00282656"/>
    <w:rsid w:val="00283F75"/>
    <w:rsid w:val="002852B6"/>
    <w:rsid w:val="002904A9"/>
    <w:rsid w:val="0029655C"/>
    <w:rsid w:val="00296B83"/>
    <w:rsid w:val="002A1D13"/>
    <w:rsid w:val="002A2EC5"/>
    <w:rsid w:val="002B44D3"/>
    <w:rsid w:val="002B78CE"/>
    <w:rsid w:val="002C2FB6"/>
    <w:rsid w:val="002D47EA"/>
    <w:rsid w:val="002D486E"/>
    <w:rsid w:val="002D5BCD"/>
    <w:rsid w:val="002E09C6"/>
    <w:rsid w:val="002E0B90"/>
    <w:rsid w:val="002E160B"/>
    <w:rsid w:val="003009B7"/>
    <w:rsid w:val="00300E56"/>
    <w:rsid w:val="0030469C"/>
    <w:rsid w:val="00306B9B"/>
    <w:rsid w:val="00310749"/>
    <w:rsid w:val="00321368"/>
    <w:rsid w:val="00321CA6"/>
    <w:rsid w:val="00323FF8"/>
    <w:rsid w:val="003240D1"/>
    <w:rsid w:val="00324B86"/>
    <w:rsid w:val="00330884"/>
    <w:rsid w:val="00334C09"/>
    <w:rsid w:val="003365E3"/>
    <w:rsid w:val="00352AFC"/>
    <w:rsid w:val="003571AA"/>
    <w:rsid w:val="00360FCB"/>
    <w:rsid w:val="00361E1A"/>
    <w:rsid w:val="00364DC3"/>
    <w:rsid w:val="0037025A"/>
    <w:rsid w:val="00370CF1"/>
    <w:rsid w:val="00371943"/>
    <w:rsid w:val="003723D4"/>
    <w:rsid w:val="00380B89"/>
    <w:rsid w:val="00383016"/>
    <w:rsid w:val="00384CC8"/>
    <w:rsid w:val="003871FD"/>
    <w:rsid w:val="003A1E30"/>
    <w:rsid w:val="003A21F0"/>
    <w:rsid w:val="003A7D1C"/>
    <w:rsid w:val="003B2C4E"/>
    <w:rsid w:val="003B304B"/>
    <w:rsid w:val="003B3146"/>
    <w:rsid w:val="003B36F9"/>
    <w:rsid w:val="003B60F3"/>
    <w:rsid w:val="003C3B2A"/>
    <w:rsid w:val="003D2454"/>
    <w:rsid w:val="003F015E"/>
    <w:rsid w:val="003F7AC0"/>
    <w:rsid w:val="00400414"/>
    <w:rsid w:val="00405758"/>
    <w:rsid w:val="00406F3A"/>
    <w:rsid w:val="0041446B"/>
    <w:rsid w:val="00415DB0"/>
    <w:rsid w:val="00423154"/>
    <w:rsid w:val="00431B67"/>
    <w:rsid w:val="00441A45"/>
    <w:rsid w:val="0044329C"/>
    <w:rsid w:val="004506AF"/>
    <w:rsid w:val="004556BF"/>
    <w:rsid w:val="00457381"/>
    <w:rsid w:val="004577FE"/>
    <w:rsid w:val="00457B9C"/>
    <w:rsid w:val="0046164A"/>
    <w:rsid w:val="004628D2"/>
    <w:rsid w:val="00462DCD"/>
    <w:rsid w:val="004648AD"/>
    <w:rsid w:val="004650AF"/>
    <w:rsid w:val="004703A9"/>
    <w:rsid w:val="0047267B"/>
    <w:rsid w:val="00474FF7"/>
    <w:rsid w:val="004760DE"/>
    <w:rsid w:val="004A004E"/>
    <w:rsid w:val="004A24CF"/>
    <w:rsid w:val="004A272E"/>
    <w:rsid w:val="004A4C4B"/>
    <w:rsid w:val="004B09B8"/>
    <w:rsid w:val="004B6721"/>
    <w:rsid w:val="004C3D1D"/>
    <w:rsid w:val="004C7913"/>
    <w:rsid w:val="004D3DE0"/>
    <w:rsid w:val="004D7115"/>
    <w:rsid w:val="004E3D49"/>
    <w:rsid w:val="004E4DD6"/>
    <w:rsid w:val="004E7EB4"/>
    <w:rsid w:val="004F300B"/>
    <w:rsid w:val="004F5E36"/>
    <w:rsid w:val="00507B47"/>
    <w:rsid w:val="00507CC9"/>
    <w:rsid w:val="005101D5"/>
    <w:rsid w:val="005119A5"/>
    <w:rsid w:val="005250E6"/>
    <w:rsid w:val="005278B7"/>
    <w:rsid w:val="00532016"/>
    <w:rsid w:val="005346C8"/>
    <w:rsid w:val="00535030"/>
    <w:rsid w:val="00535BBE"/>
    <w:rsid w:val="00543E7D"/>
    <w:rsid w:val="00544BDB"/>
    <w:rsid w:val="00546B05"/>
    <w:rsid w:val="00547A68"/>
    <w:rsid w:val="00551631"/>
    <w:rsid w:val="005531C9"/>
    <w:rsid w:val="00555FFB"/>
    <w:rsid w:val="00563F72"/>
    <w:rsid w:val="00570479"/>
    <w:rsid w:val="00570EEA"/>
    <w:rsid w:val="00574F0A"/>
    <w:rsid w:val="00594BA3"/>
    <w:rsid w:val="005B2110"/>
    <w:rsid w:val="005B61E6"/>
    <w:rsid w:val="005C77E1"/>
    <w:rsid w:val="005C7F02"/>
    <w:rsid w:val="005D6A2F"/>
    <w:rsid w:val="005E1A82"/>
    <w:rsid w:val="005E794C"/>
    <w:rsid w:val="005F0A28"/>
    <w:rsid w:val="005F0E5E"/>
    <w:rsid w:val="005F1341"/>
    <w:rsid w:val="00600535"/>
    <w:rsid w:val="00606CA4"/>
    <w:rsid w:val="00610CD6"/>
    <w:rsid w:val="00620DEE"/>
    <w:rsid w:val="00621F92"/>
    <w:rsid w:val="00623E5E"/>
    <w:rsid w:val="00625639"/>
    <w:rsid w:val="006276E0"/>
    <w:rsid w:val="00631B33"/>
    <w:rsid w:val="0064045B"/>
    <w:rsid w:val="0064184D"/>
    <w:rsid w:val="00641EFA"/>
    <w:rsid w:val="006422CC"/>
    <w:rsid w:val="006444FC"/>
    <w:rsid w:val="00645712"/>
    <w:rsid w:val="00651D94"/>
    <w:rsid w:val="00660498"/>
    <w:rsid w:val="00660E3E"/>
    <w:rsid w:val="00662E74"/>
    <w:rsid w:val="0066701D"/>
    <w:rsid w:val="00680C23"/>
    <w:rsid w:val="00681CCD"/>
    <w:rsid w:val="00684EB6"/>
    <w:rsid w:val="00693766"/>
    <w:rsid w:val="006966EA"/>
    <w:rsid w:val="006A29F9"/>
    <w:rsid w:val="006A3281"/>
    <w:rsid w:val="006A3C88"/>
    <w:rsid w:val="006A4CFE"/>
    <w:rsid w:val="006B4888"/>
    <w:rsid w:val="006B50CD"/>
    <w:rsid w:val="006C2E45"/>
    <w:rsid w:val="006C359C"/>
    <w:rsid w:val="006C5579"/>
    <w:rsid w:val="006D057F"/>
    <w:rsid w:val="006D76FB"/>
    <w:rsid w:val="006E2582"/>
    <w:rsid w:val="006E41EB"/>
    <w:rsid w:val="006E59C5"/>
    <w:rsid w:val="006E737D"/>
    <w:rsid w:val="006F61C9"/>
    <w:rsid w:val="0070195D"/>
    <w:rsid w:val="007023F1"/>
    <w:rsid w:val="00720A24"/>
    <w:rsid w:val="00723491"/>
    <w:rsid w:val="00732386"/>
    <w:rsid w:val="007351F0"/>
    <w:rsid w:val="007447F3"/>
    <w:rsid w:val="007458B9"/>
    <w:rsid w:val="0075499F"/>
    <w:rsid w:val="007661C8"/>
    <w:rsid w:val="0077098D"/>
    <w:rsid w:val="007737C0"/>
    <w:rsid w:val="007931FA"/>
    <w:rsid w:val="007A7BBA"/>
    <w:rsid w:val="007A7F90"/>
    <w:rsid w:val="007B0C50"/>
    <w:rsid w:val="007B27A5"/>
    <w:rsid w:val="007C1A43"/>
    <w:rsid w:val="007D51F2"/>
    <w:rsid w:val="007E1DC6"/>
    <w:rsid w:val="0080619F"/>
    <w:rsid w:val="00813288"/>
    <w:rsid w:val="008168FC"/>
    <w:rsid w:val="00817F51"/>
    <w:rsid w:val="0082292D"/>
    <w:rsid w:val="00830996"/>
    <w:rsid w:val="00831A86"/>
    <w:rsid w:val="008345F1"/>
    <w:rsid w:val="00840628"/>
    <w:rsid w:val="00840A6D"/>
    <w:rsid w:val="00841A6C"/>
    <w:rsid w:val="00865B07"/>
    <w:rsid w:val="008667EA"/>
    <w:rsid w:val="00873D74"/>
    <w:rsid w:val="00875C7C"/>
    <w:rsid w:val="0087637F"/>
    <w:rsid w:val="008904B9"/>
    <w:rsid w:val="00892AD5"/>
    <w:rsid w:val="008A1512"/>
    <w:rsid w:val="008A3568"/>
    <w:rsid w:val="008A3F58"/>
    <w:rsid w:val="008A7807"/>
    <w:rsid w:val="008B58BA"/>
    <w:rsid w:val="008C73AF"/>
    <w:rsid w:val="008C78C1"/>
    <w:rsid w:val="008D17B8"/>
    <w:rsid w:val="008D299A"/>
    <w:rsid w:val="008D32B9"/>
    <w:rsid w:val="008D3C83"/>
    <w:rsid w:val="008D433B"/>
    <w:rsid w:val="008E566E"/>
    <w:rsid w:val="008F448D"/>
    <w:rsid w:val="008F6A20"/>
    <w:rsid w:val="0090161A"/>
    <w:rsid w:val="00901EB6"/>
    <w:rsid w:val="0090375C"/>
    <w:rsid w:val="00904C62"/>
    <w:rsid w:val="00906732"/>
    <w:rsid w:val="009137EB"/>
    <w:rsid w:val="009241A4"/>
    <w:rsid w:val="00924DAC"/>
    <w:rsid w:val="00927058"/>
    <w:rsid w:val="009334A8"/>
    <w:rsid w:val="009450CE"/>
    <w:rsid w:val="00947179"/>
    <w:rsid w:val="0095164B"/>
    <w:rsid w:val="00954090"/>
    <w:rsid w:val="00955F06"/>
    <w:rsid w:val="009573E7"/>
    <w:rsid w:val="009600D4"/>
    <w:rsid w:val="009635B9"/>
    <w:rsid w:val="00963E05"/>
    <w:rsid w:val="00967D54"/>
    <w:rsid w:val="0098762E"/>
    <w:rsid w:val="00996483"/>
    <w:rsid w:val="00996F5A"/>
    <w:rsid w:val="009A0A3E"/>
    <w:rsid w:val="009B041A"/>
    <w:rsid w:val="009B3590"/>
    <w:rsid w:val="009C143F"/>
    <w:rsid w:val="009C37EC"/>
    <w:rsid w:val="009C3B6B"/>
    <w:rsid w:val="009C61F3"/>
    <w:rsid w:val="009C7AA5"/>
    <w:rsid w:val="009C7C86"/>
    <w:rsid w:val="009D0D33"/>
    <w:rsid w:val="009D1635"/>
    <w:rsid w:val="009D2FF7"/>
    <w:rsid w:val="009D47EE"/>
    <w:rsid w:val="009D51D2"/>
    <w:rsid w:val="009E43D9"/>
    <w:rsid w:val="009E4857"/>
    <w:rsid w:val="009E7884"/>
    <w:rsid w:val="009E788A"/>
    <w:rsid w:val="009F0E08"/>
    <w:rsid w:val="00A10E63"/>
    <w:rsid w:val="00A15B83"/>
    <w:rsid w:val="00A1763D"/>
    <w:rsid w:val="00A17CEC"/>
    <w:rsid w:val="00A21594"/>
    <w:rsid w:val="00A27EF0"/>
    <w:rsid w:val="00A324F1"/>
    <w:rsid w:val="00A36974"/>
    <w:rsid w:val="00A40FD4"/>
    <w:rsid w:val="00A50B20"/>
    <w:rsid w:val="00A51390"/>
    <w:rsid w:val="00A60D13"/>
    <w:rsid w:val="00A65402"/>
    <w:rsid w:val="00A72745"/>
    <w:rsid w:val="00A76EFC"/>
    <w:rsid w:val="00A77C98"/>
    <w:rsid w:val="00A868A5"/>
    <w:rsid w:val="00A91010"/>
    <w:rsid w:val="00A97F29"/>
    <w:rsid w:val="00AA3AF4"/>
    <w:rsid w:val="00AA702E"/>
    <w:rsid w:val="00AA7947"/>
    <w:rsid w:val="00AB0012"/>
    <w:rsid w:val="00AB0964"/>
    <w:rsid w:val="00AB5011"/>
    <w:rsid w:val="00AC2612"/>
    <w:rsid w:val="00AC5788"/>
    <w:rsid w:val="00AC7368"/>
    <w:rsid w:val="00AD16B9"/>
    <w:rsid w:val="00AD4CDF"/>
    <w:rsid w:val="00AD4D8B"/>
    <w:rsid w:val="00AD5BD8"/>
    <w:rsid w:val="00AE07E0"/>
    <w:rsid w:val="00AE0CA6"/>
    <w:rsid w:val="00AE377D"/>
    <w:rsid w:val="00AE5C60"/>
    <w:rsid w:val="00AE7947"/>
    <w:rsid w:val="00B074DD"/>
    <w:rsid w:val="00B07A45"/>
    <w:rsid w:val="00B17412"/>
    <w:rsid w:val="00B17FBD"/>
    <w:rsid w:val="00B230C4"/>
    <w:rsid w:val="00B3016D"/>
    <w:rsid w:val="00B315A6"/>
    <w:rsid w:val="00B31813"/>
    <w:rsid w:val="00B33365"/>
    <w:rsid w:val="00B41387"/>
    <w:rsid w:val="00B476AB"/>
    <w:rsid w:val="00B52DD3"/>
    <w:rsid w:val="00B57B36"/>
    <w:rsid w:val="00B70A97"/>
    <w:rsid w:val="00B7326A"/>
    <w:rsid w:val="00B85F69"/>
    <w:rsid w:val="00B8686D"/>
    <w:rsid w:val="00B95AFE"/>
    <w:rsid w:val="00BA03A7"/>
    <w:rsid w:val="00BB5D08"/>
    <w:rsid w:val="00BC30C9"/>
    <w:rsid w:val="00BE3E58"/>
    <w:rsid w:val="00BE526E"/>
    <w:rsid w:val="00BF1D4A"/>
    <w:rsid w:val="00BF3B5B"/>
    <w:rsid w:val="00C01616"/>
    <w:rsid w:val="00C0162B"/>
    <w:rsid w:val="00C02D0D"/>
    <w:rsid w:val="00C345B1"/>
    <w:rsid w:val="00C37BE5"/>
    <w:rsid w:val="00C40142"/>
    <w:rsid w:val="00C44425"/>
    <w:rsid w:val="00C46682"/>
    <w:rsid w:val="00C54B52"/>
    <w:rsid w:val="00C55170"/>
    <w:rsid w:val="00C57182"/>
    <w:rsid w:val="00C57863"/>
    <w:rsid w:val="00C655FD"/>
    <w:rsid w:val="00C71631"/>
    <w:rsid w:val="00C77450"/>
    <w:rsid w:val="00C86095"/>
    <w:rsid w:val="00C870A8"/>
    <w:rsid w:val="00C94434"/>
    <w:rsid w:val="00CA0D75"/>
    <w:rsid w:val="00CA1B04"/>
    <w:rsid w:val="00CA1C95"/>
    <w:rsid w:val="00CA2A49"/>
    <w:rsid w:val="00CA3741"/>
    <w:rsid w:val="00CA44BF"/>
    <w:rsid w:val="00CA5A9C"/>
    <w:rsid w:val="00CB2D0C"/>
    <w:rsid w:val="00CB7E62"/>
    <w:rsid w:val="00CC678E"/>
    <w:rsid w:val="00CD3517"/>
    <w:rsid w:val="00CD3FB6"/>
    <w:rsid w:val="00CD5432"/>
    <w:rsid w:val="00CD5A00"/>
    <w:rsid w:val="00CD5FE2"/>
    <w:rsid w:val="00CD71F5"/>
    <w:rsid w:val="00CE002A"/>
    <w:rsid w:val="00CE382F"/>
    <w:rsid w:val="00CE68A9"/>
    <w:rsid w:val="00CE7C68"/>
    <w:rsid w:val="00CF70C7"/>
    <w:rsid w:val="00D01292"/>
    <w:rsid w:val="00D02B4C"/>
    <w:rsid w:val="00D02EEF"/>
    <w:rsid w:val="00D036CF"/>
    <w:rsid w:val="00D040C4"/>
    <w:rsid w:val="00D13767"/>
    <w:rsid w:val="00D23995"/>
    <w:rsid w:val="00D242CE"/>
    <w:rsid w:val="00D248D9"/>
    <w:rsid w:val="00D430D8"/>
    <w:rsid w:val="00D44822"/>
    <w:rsid w:val="00D45C73"/>
    <w:rsid w:val="00D53048"/>
    <w:rsid w:val="00D54A14"/>
    <w:rsid w:val="00D5522D"/>
    <w:rsid w:val="00D57C84"/>
    <w:rsid w:val="00D6057D"/>
    <w:rsid w:val="00D83FDC"/>
    <w:rsid w:val="00D84576"/>
    <w:rsid w:val="00D932F4"/>
    <w:rsid w:val="00D96960"/>
    <w:rsid w:val="00DA1399"/>
    <w:rsid w:val="00DA24C6"/>
    <w:rsid w:val="00DA4D7B"/>
    <w:rsid w:val="00DB0F35"/>
    <w:rsid w:val="00DB2143"/>
    <w:rsid w:val="00DE264A"/>
    <w:rsid w:val="00E02D18"/>
    <w:rsid w:val="00E041E7"/>
    <w:rsid w:val="00E07294"/>
    <w:rsid w:val="00E10EE4"/>
    <w:rsid w:val="00E1425F"/>
    <w:rsid w:val="00E23CA1"/>
    <w:rsid w:val="00E30E7E"/>
    <w:rsid w:val="00E35169"/>
    <w:rsid w:val="00E409A8"/>
    <w:rsid w:val="00E50C12"/>
    <w:rsid w:val="00E52322"/>
    <w:rsid w:val="00E52FF9"/>
    <w:rsid w:val="00E57F43"/>
    <w:rsid w:val="00E65B91"/>
    <w:rsid w:val="00E65F56"/>
    <w:rsid w:val="00E7209D"/>
    <w:rsid w:val="00E757F7"/>
    <w:rsid w:val="00E77223"/>
    <w:rsid w:val="00E8009B"/>
    <w:rsid w:val="00E8528B"/>
    <w:rsid w:val="00E85B94"/>
    <w:rsid w:val="00E900B6"/>
    <w:rsid w:val="00E928EE"/>
    <w:rsid w:val="00E9402C"/>
    <w:rsid w:val="00E95691"/>
    <w:rsid w:val="00E974C3"/>
    <w:rsid w:val="00E978D0"/>
    <w:rsid w:val="00EA4613"/>
    <w:rsid w:val="00EA7F91"/>
    <w:rsid w:val="00EB1523"/>
    <w:rsid w:val="00EC08EF"/>
    <w:rsid w:val="00EC0E49"/>
    <w:rsid w:val="00EC60A5"/>
    <w:rsid w:val="00EC6994"/>
    <w:rsid w:val="00ED4F32"/>
    <w:rsid w:val="00ED65CF"/>
    <w:rsid w:val="00EE0131"/>
    <w:rsid w:val="00EE4D11"/>
    <w:rsid w:val="00F05B00"/>
    <w:rsid w:val="00F137FB"/>
    <w:rsid w:val="00F155B2"/>
    <w:rsid w:val="00F17EB2"/>
    <w:rsid w:val="00F30C64"/>
    <w:rsid w:val="00F3260B"/>
    <w:rsid w:val="00F32CDB"/>
    <w:rsid w:val="00F365DC"/>
    <w:rsid w:val="00F63A70"/>
    <w:rsid w:val="00F715BB"/>
    <w:rsid w:val="00F72B9D"/>
    <w:rsid w:val="00F84C80"/>
    <w:rsid w:val="00F87078"/>
    <w:rsid w:val="00FA04B0"/>
    <w:rsid w:val="00FA21D0"/>
    <w:rsid w:val="00FA5F5F"/>
    <w:rsid w:val="00FB730C"/>
    <w:rsid w:val="00FC2695"/>
    <w:rsid w:val="00FC3E03"/>
    <w:rsid w:val="00FC3FC1"/>
    <w:rsid w:val="00FD1424"/>
    <w:rsid w:val="00FD6F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F44BF"/>
  <w15:docId w15:val="{390E37EB-ED43-4FE1-A74C-960C2DC8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0307D1"/>
    <w:pPr>
      <w:keepNext/>
      <w:suppressAutoHyphens/>
      <w:spacing w:before="120" w:after="120" w:line="240" w:lineRule="auto"/>
    </w:pPr>
    <w:rPr>
      <w:rFonts w:ascii="Arial" w:eastAsia="Times New Roman" w:hAnsi="Arial" w:cs="Times New Roman"/>
      <w:sz w:val="18"/>
      <w:szCs w:val="20"/>
      <w:lang w:val="en-GB"/>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0307D1"/>
    <w:rPr>
      <w:rFonts w:ascii="Arial" w:eastAsia="Times New Roman" w:hAnsi="Arial" w:cs="Times New Roman"/>
      <w:sz w:val="18"/>
      <w:szCs w:val="20"/>
      <w:lang w:val="en-GB"/>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val="0"/>
      <w:sz w:val="18"/>
      <w:szCs w:val="20"/>
      <w:lang w:val="en-US"/>
    </w:rPr>
  </w:style>
  <w:style w:type="paragraph" w:customStyle="1" w:styleId="Standard">
    <w:name w:val="Standard"/>
    <w:rsid w:val="00AE0CA6"/>
    <w:pPr>
      <w:suppressAutoHyphens/>
      <w:autoSpaceDN w:val="0"/>
      <w:spacing w:after="160" w:line="256" w:lineRule="auto"/>
      <w:textAlignment w:val="baseline"/>
    </w:pPr>
    <w:rPr>
      <w:rFonts w:ascii="Calibri" w:eastAsia="Calibri" w:hAnsi="Calibri" w:cs="Calibri"/>
      <w:kern w:val="3"/>
      <w:lang w:val="en-US" w:eastAsia="zh-TW"/>
    </w:rPr>
  </w:style>
  <w:style w:type="character" w:styleId="Titolodellibro">
    <w:name w:val="Book Title"/>
    <w:basedOn w:val="Carpredefinitoparagrafo"/>
    <w:uiPriority w:val="33"/>
    <w:qFormat/>
    <w:rsid w:val="00AE0CA6"/>
    <w:rPr>
      <w:b/>
      <w:bCs/>
      <w:i/>
      <w:iCs/>
      <w:spacing w:val="5"/>
    </w:rPr>
  </w:style>
  <w:style w:type="character" w:styleId="Rimandonotaapidipagina">
    <w:name w:val="footnote reference"/>
    <w:basedOn w:val="Carpredefinitoparagrafo"/>
    <w:uiPriority w:val="99"/>
    <w:semiHidden/>
    <w:unhideWhenUsed/>
    <w:rsid w:val="00A21594"/>
    <w:rPr>
      <w:vertAlign w:val="superscript"/>
    </w:rPr>
  </w:style>
  <w:style w:type="paragraph" w:styleId="Paragrafoelenco">
    <w:name w:val="List Paragraph"/>
    <w:basedOn w:val="Normale"/>
    <w:uiPriority w:val="34"/>
    <w:rsid w:val="00F84C80"/>
    <w:pPr>
      <w:ind w:left="720"/>
      <w:contextualSpacing/>
    </w:pPr>
  </w:style>
  <w:style w:type="paragraph" w:styleId="Revisione">
    <w:name w:val="Revision"/>
    <w:hidden/>
    <w:uiPriority w:val="99"/>
    <w:semiHidden/>
    <w:rsid w:val="00F87078"/>
    <w:pPr>
      <w:spacing w:after="0" w:line="240" w:lineRule="auto"/>
    </w:pPr>
    <w:rPr>
      <w:rFonts w:ascii="Arial" w:eastAsia="Times New Roman" w:hAnsi="Arial" w:cs="Times New Roman"/>
      <w:sz w:val="18"/>
      <w:szCs w:val="20"/>
      <w:lang w:val="en-GB"/>
    </w:rPr>
  </w:style>
  <w:style w:type="character" w:customStyle="1" w:styleId="apple-converted-space">
    <w:name w:val="apple-converted-space"/>
    <w:basedOn w:val="Carpredefinitoparagrafo"/>
    <w:rsid w:val="00CF7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8095">
      <w:bodyDiv w:val="1"/>
      <w:marLeft w:val="0"/>
      <w:marRight w:val="0"/>
      <w:marTop w:val="0"/>
      <w:marBottom w:val="0"/>
      <w:divBdr>
        <w:top w:val="none" w:sz="0" w:space="0" w:color="auto"/>
        <w:left w:val="none" w:sz="0" w:space="0" w:color="auto"/>
        <w:bottom w:val="none" w:sz="0" w:space="0" w:color="auto"/>
        <w:right w:val="none" w:sz="0" w:space="0" w:color="auto"/>
      </w:divBdr>
    </w:div>
    <w:div w:id="53743042">
      <w:bodyDiv w:val="1"/>
      <w:marLeft w:val="0"/>
      <w:marRight w:val="0"/>
      <w:marTop w:val="0"/>
      <w:marBottom w:val="0"/>
      <w:divBdr>
        <w:top w:val="none" w:sz="0" w:space="0" w:color="auto"/>
        <w:left w:val="none" w:sz="0" w:space="0" w:color="auto"/>
        <w:bottom w:val="none" w:sz="0" w:space="0" w:color="auto"/>
        <w:right w:val="none" w:sz="0" w:space="0" w:color="auto"/>
      </w:divBdr>
    </w:div>
    <w:div w:id="92215037">
      <w:bodyDiv w:val="1"/>
      <w:marLeft w:val="0"/>
      <w:marRight w:val="0"/>
      <w:marTop w:val="0"/>
      <w:marBottom w:val="0"/>
      <w:divBdr>
        <w:top w:val="none" w:sz="0" w:space="0" w:color="auto"/>
        <w:left w:val="none" w:sz="0" w:space="0" w:color="auto"/>
        <w:bottom w:val="none" w:sz="0" w:space="0" w:color="auto"/>
        <w:right w:val="none" w:sz="0" w:space="0" w:color="auto"/>
      </w:divBdr>
      <w:divsChild>
        <w:div w:id="169608926">
          <w:marLeft w:val="0"/>
          <w:marRight w:val="0"/>
          <w:marTop w:val="0"/>
          <w:marBottom w:val="0"/>
          <w:divBdr>
            <w:top w:val="none" w:sz="0" w:space="0" w:color="auto"/>
            <w:left w:val="none" w:sz="0" w:space="0" w:color="auto"/>
            <w:bottom w:val="none" w:sz="0" w:space="0" w:color="auto"/>
            <w:right w:val="none" w:sz="0" w:space="0" w:color="auto"/>
          </w:divBdr>
          <w:divsChild>
            <w:div w:id="1392269338">
              <w:marLeft w:val="0"/>
              <w:marRight w:val="0"/>
              <w:marTop w:val="0"/>
              <w:marBottom w:val="0"/>
              <w:divBdr>
                <w:top w:val="none" w:sz="0" w:space="0" w:color="auto"/>
                <w:left w:val="none" w:sz="0" w:space="0" w:color="auto"/>
                <w:bottom w:val="none" w:sz="0" w:space="0" w:color="auto"/>
                <w:right w:val="none" w:sz="0" w:space="0" w:color="auto"/>
              </w:divBdr>
              <w:divsChild>
                <w:div w:id="2263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3336">
      <w:bodyDiv w:val="1"/>
      <w:marLeft w:val="0"/>
      <w:marRight w:val="0"/>
      <w:marTop w:val="0"/>
      <w:marBottom w:val="0"/>
      <w:divBdr>
        <w:top w:val="none" w:sz="0" w:space="0" w:color="auto"/>
        <w:left w:val="none" w:sz="0" w:space="0" w:color="auto"/>
        <w:bottom w:val="none" w:sz="0" w:space="0" w:color="auto"/>
        <w:right w:val="none" w:sz="0" w:space="0" w:color="auto"/>
      </w:divBdr>
    </w:div>
    <w:div w:id="386031103">
      <w:bodyDiv w:val="1"/>
      <w:marLeft w:val="0"/>
      <w:marRight w:val="0"/>
      <w:marTop w:val="0"/>
      <w:marBottom w:val="0"/>
      <w:divBdr>
        <w:top w:val="none" w:sz="0" w:space="0" w:color="auto"/>
        <w:left w:val="none" w:sz="0" w:space="0" w:color="auto"/>
        <w:bottom w:val="none" w:sz="0" w:space="0" w:color="auto"/>
        <w:right w:val="none" w:sz="0" w:space="0" w:color="auto"/>
      </w:divBdr>
      <w:divsChild>
        <w:div w:id="944576891">
          <w:marLeft w:val="0"/>
          <w:marRight w:val="0"/>
          <w:marTop w:val="0"/>
          <w:marBottom w:val="0"/>
          <w:divBdr>
            <w:top w:val="none" w:sz="0" w:space="0" w:color="auto"/>
            <w:left w:val="none" w:sz="0" w:space="0" w:color="auto"/>
            <w:bottom w:val="none" w:sz="0" w:space="0" w:color="auto"/>
            <w:right w:val="none" w:sz="0" w:space="0" w:color="auto"/>
          </w:divBdr>
          <w:divsChild>
            <w:div w:id="1190795160">
              <w:marLeft w:val="0"/>
              <w:marRight w:val="0"/>
              <w:marTop w:val="0"/>
              <w:marBottom w:val="0"/>
              <w:divBdr>
                <w:top w:val="none" w:sz="0" w:space="0" w:color="auto"/>
                <w:left w:val="none" w:sz="0" w:space="0" w:color="auto"/>
                <w:bottom w:val="none" w:sz="0" w:space="0" w:color="auto"/>
                <w:right w:val="none" w:sz="0" w:space="0" w:color="auto"/>
              </w:divBdr>
              <w:divsChild>
                <w:div w:id="1970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9960">
      <w:bodyDiv w:val="1"/>
      <w:marLeft w:val="0"/>
      <w:marRight w:val="0"/>
      <w:marTop w:val="0"/>
      <w:marBottom w:val="0"/>
      <w:divBdr>
        <w:top w:val="none" w:sz="0" w:space="0" w:color="auto"/>
        <w:left w:val="none" w:sz="0" w:space="0" w:color="auto"/>
        <w:bottom w:val="none" w:sz="0" w:space="0" w:color="auto"/>
        <w:right w:val="none" w:sz="0" w:space="0" w:color="auto"/>
      </w:divBdr>
      <w:divsChild>
        <w:div w:id="730930199">
          <w:marLeft w:val="360"/>
          <w:marRight w:val="0"/>
          <w:marTop w:val="20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792">
      <w:bodyDiv w:val="1"/>
      <w:marLeft w:val="0"/>
      <w:marRight w:val="0"/>
      <w:marTop w:val="0"/>
      <w:marBottom w:val="0"/>
      <w:divBdr>
        <w:top w:val="none" w:sz="0" w:space="0" w:color="auto"/>
        <w:left w:val="none" w:sz="0" w:space="0" w:color="auto"/>
        <w:bottom w:val="none" w:sz="0" w:space="0" w:color="auto"/>
        <w:right w:val="none" w:sz="0" w:space="0" w:color="auto"/>
      </w:divBdr>
    </w:div>
    <w:div w:id="1228613040">
      <w:bodyDiv w:val="1"/>
      <w:marLeft w:val="0"/>
      <w:marRight w:val="0"/>
      <w:marTop w:val="0"/>
      <w:marBottom w:val="0"/>
      <w:divBdr>
        <w:top w:val="none" w:sz="0" w:space="0" w:color="auto"/>
        <w:left w:val="none" w:sz="0" w:space="0" w:color="auto"/>
        <w:bottom w:val="none" w:sz="0" w:space="0" w:color="auto"/>
        <w:right w:val="none" w:sz="0" w:space="0" w:color="auto"/>
      </w:divBdr>
    </w:div>
    <w:div w:id="150975606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4459">
      <w:bodyDiv w:val="1"/>
      <w:marLeft w:val="0"/>
      <w:marRight w:val="0"/>
      <w:marTop w:val="0"/>
      <w:marBottom w:val="0"/>
      <w:divBdr>
        <w:top w:val="none" w:sz="0" w:space="0" w:color="auto"/>
        <w:left w:val="none" w:sz="0" w:space="0" w:color="auto"/>
        <w:bottom w:val="none" w:sz="0" w:space="0" w:color="auto"/>
        <w:right w:val="none" w:sz="0" w:space="0" w:color="auto"/>
      </w:divBdr>
      <w:divsChild>
        <w:div w:id="1713188930">
          <w:marLeft w:val="0"/>
          <w:marRight w:val="0"/>
          <w:marTop w:val="0"/>
          <w:marBottom w:val="0"/>
          <w:divBdr>
            <w:top w:val="none" w:sz="0" w:space="0" w:color="auto"/>
            <w:left w:val="none" w:sz="0" w:space="0" w:color="auto"/>
            <w:bottom w:val="none" w:sz="0" w:space="0" w:color="auto"/>
            <w:right w:val="none" w:sz="0" w:space="0" w:color="auto"/>
          </w:divBdr>
          <w:divsChild>
            <w:div w:id="1846438709">
              <w:marLeft w:val="0"/>
              <w:marRight w:val="0"/>
              <w:marTop w:val="0"/>
              <w:marBottom w:val="0"/>
              <w:divBdr>
                <w:top w:val="none" w:sz="0" w:space="0" w:color="auto"/>
                <w:left w:val="none" w:sz="0" w:space="0" w:color="auto"/>
                <w:bottom w:val="none" w:sz="0" w:space="0" w:color="auto"/>
                <w:right w:val="none" w:sz="0" w:space="0" w:color="auto"/>
              </w:divBdr>
              <w:divsChild>
                <w:div w:id="966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00804">
      <w:bodyDiv w:val="1"/>
      <w:marLeft w:val="0"/>
      <w:marRight w:val="0"/>
      <w:marTop w:val="0"/>
      <w:marBottom w:val="0"/>
      <w:divBdr>
        <w:top w:val="none" w:sz="0" w:space="0" w:color="auto"/>
        <w:left w:val="none" w:sz="0" w:space="0" w:color="auto"/>
        <w:bottom w:val="none" w:sz="0" w:space="0" w:color="auto"/>
        <w:right w:val="none" w:sz="0" w:space="0" w:color="auto"/>
      </w:divBdr>
    </w:div>
    <w:div w:id="1934820996">
      <w:bodyDiv w:val="1"/>
      <w:marLeft w:val="0"/>
      <w:marRight w:val="0"/>
      <w:marTop w:val="0"/>
      <w:marBottom w:val="0"/>
      <w:divBdr>
        <w:top w:val="none" w:sz="0" w:space="0" w:color="auto"/>
        <w:left w:val="none" w:sz="0" w:space="0" w:color="auto"/>
        <w:bottom w:val="none" w:sz="0" w:space="0" w:color="auto"/>
        <w:right w:val="none" w:sz="0" w:space="0" w:color="auto"/>
      </w:divBdr>
      <w:divsChild>
        <w:div w:id="1282607978">
          <w:marLeft w:val="0"/>
          <w:marRight w:val="0"/>
          <w:marTop w:val="0"/>
          <w:marBottom w:val="0"/>
          <w:divBdr>
            <w:top w:val="none" w:sz="0" w:space="0" w:color="auto"/>
            <w:left w:val="none" w:sz="0" w:space="0" w:color="auto"/>
            <w:bottom w:val="none" w:sz="0" w:space="0" w:color="auto"/>
            <w:right w:val="none" w:sz="0" w:space="0" w:color="auto"/>
          </w:divBdr>
          <w:divsChild>
            <w:div w:id="669219086">
              <w:marLeft w:val="0"/>
              <w:marRight w:val="0"/>
              <w:marTop w:val="0"/>
              <w:marBottom w:val="0"/>
              <w:divBdr>
                <w:top w:val="none" w:sz="0" w:space="0" w:color="auto"/>
                <w:left w:val="none" w:sz="0" w:space="0" w:color="auto"/>
                <w:bottom w:val="none" w:sz="0" w:space="0" w:color="auto"/>
                <w:right w:val="none" w:sz="0" w:space="0" w:color="auto"/>
              </w:divBdr>
              <w:divsChild>
                <w:div w:id="9731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253111">
      <w:bodyDiv w:val="1"/>
      <w:marLeft w:val="0"/>
      <w:marRight w:val="0"/>
      <w:marTop w:val="0"/>
      <w:marBottom w:val="0"/>
      <w:divBdr>
        <w:top w:val="none" w:sz="0" w:space="0" w:color="auto"/>
        <w:left w:val="none" w:sz="0" w:space="0" w:color="auto"/>
        <w:bottom w:val="none" w:sz="0" w:space="0" w:color="auto"/>
        <w:right w:val="none" w:sz="0" w:space="0" w:color="auto"/>
      </w:divBdr>
    </w:div>
    <w:div w:id="2086996659">
      <w:bodyDiv w:val="1"/>
      <w:marLeft w:val="0"/>
      <w:marRight w:val="0"/>
      <w:marTop w:val="0"/>
      <w:marBottom w:val="0"/>
      <w:divBdr>
        <w:top w:val="none" w:sz="0" w:space="0" w:color="auto"/>
        <w:left w:val="none" w:sz="0" w:space="0" w:color="auto"/>
        <w:bottom w:val="none" w:sz="0" w:space="0" w:color="auto"/>
        <w:right w:val="none" w:sz="0" w:space="0" w:color="auto"/>
      </w:divBdr>
      <w:divsChild>
        <w:div w:id="245580334">
          <w:marLeft w:val="0"/>
          <w:marRight w:val="0"/>
          <w:marTop w:val="0"/>
          <w:marBottom w:val="0"/>
          <w:divBdr>
            <w:top w:val="none" w:sz="0" w:space="0" w:color="auto"/>
            <w:left w:val="none" w:sz="0" w:space="0" w:color="auto"/>
            <w:bottom w:val="none" w:sz="0" w:space="0" w:color="auto"/>
            <w:right w:val="none" w:sz="0" w:space="0" w:color="auto"/>
          </w:divBdr>
          <w:divsChild>
            <w:div w:id="788473822">
              <w:marLeft w:val="0"/>
              <w:marRight w:val="0"/>
              <w:marTop w:val="0"/>
              <w:marBottom w:val="0"/>
              <w:divBdr>
                <w:top w:val="none" w:sz="0" w:space="0" w:color="auto"/>
                <w:left w:val="none" w:sz="0" w:space="0" w:color="auto"/>
                <w:bottom w:val="none" w:sz="0" w:space="0" w:color="auto"/>
                <w:right w:val="none" w:sz="0" w:space="0" w:color="auto"/>
              </w:divBdr>
              <w:divsChild>
                <w:div w:id="1700810599">
                  <w:marLeft w:val="0"/>
                  <w:marRight w:val="0"/>
                  <w:marTop w:val="0"/>
                  <w:marBottom w:val="0"/>
                  <w:divBdr>
                    <w:top w:val="none" w:sz="0" w:space="0" w:color="auto"/>
                    <w:left w:val="none" w:sz="0" w:space="0" w:color="auto"/>
                    <w:bottom w:val="none" w:sz="0" w:space="0" w:color="auto"/>
                    <w:right w:val="none" w:sz="0" w:space="0" w:color="auto"/>
                  </w:divBdr>
                  <w:divsChild>
                    <w:div w:id="1361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ena\Documents\Didattica\Tesisti\2016-2017\Ferrone\dati\cinetiche%20di%20reazione%200803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Users\fabiodigiuseppe\Desktop\%20eff%202019\cinetiche%20di%20reazione%2008032018.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ena\Documents\Didattica\Tesisti\2016-2017\Ferrone\dati\cinetiche%20di%20reazione%200803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Users\fabiodigiuseppe\Desktop\%20eff%202019\cinetiche%20di%20reazione%2008032018.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Users\fabiodigiuseppe\Desktop\%20eff%202019\cinetiche%20di%20reazione%2008032018.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fabiodigiuseppe\Desktop\%20eff%202019\cinetiche%20di%20reazione%2008032018.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5969610356082539"/>
          <c:y val="2.9472371672016072E-2"/>
          <c:w val="0.77703700971804757"/>
          <c:h val="0.81939199610357971"/>
        </c:manualLayout>
      </c:layout>
      <c:scatterChart>
        <c:scatterStyle val="smoothMarker"/>
        <c:varyColors val="0"/>
        <c:ser>
          <c:idx val="0"/>
          <c:order val="0"/>
          <c:tx>
            <c:v>12°C</c:v>
          </c:tx>
          <c:spPr>
            <a:ln w="19050" cap="rnd">
              <a:solidFill>
                <a:schemeClr val="tx1"/>
              </a:solidFill>
              <a:round/>
            </a:ln>
            <a:effectLst/>
          </c:spPr>
          <c:marker>
            <c:symbol val="none"/>
          </c:marker>
          <c:xVal>
            <c:numRef>
              <c:f>'12°C polifenoli'!$A$8:$A$19</c:f>
              <c:numCache>
                <c:formatCode>General</c:formatCode>
                <c:ptCount val="12"/>
                <c:pt idx="0">
                  <c:v>0</c:v>
                </c:pt>
                <c:pt idx="1">
                  <c:v>8</c:v>
                </c:pt>
                <c:pt idx="2">
                  <c:v>16</c:v>
                </c:pt>
                <c:pt idx="3">
                  <c:v>24</c:v>
                </c:pt>
                <c:pt idx="4">
                  <c:v>32</c:v>
                </c:pt>
                <c:pt idx="5">
                  <c:v>48</c:v>
                </c:pt>
                <c:pt idx="6">
                  <c:v>56</c:v>
                </c:pt>
                <c:pt idx="7">
                  <c:v>72</c:v>
                </c:pt>
                <c:pt idx="8">
                  <c:v>100</c:v>
                </c:pt>
                <c:pt idx="9">
                  <c:v>120</c:v>
                </c:pt>
                <c:pt idx="10">
                  <c:v>168</c:v>
                </c:pt>
                <c:pt idx="11">
                  <c:v>216</c:v>
                </c:pt>
              </c:numCache>
            </c:numRef>
          </c:xVal>
          <c:yVal>
            <c:numRef>
              <c:f>'12°C polifenoli'!$V$8:$V$19</c:f>
              <c:numCache>
                <c:formatCode>General</c:formatCode>
                <c:ptCount val="12"/>
                <c:pt idx="0">
                  <c:v>1</c:v>
                </c:pt>
                <c:pt idx="1">
                  <c:v>0.85257908614548805</c:v>
                </c:pt>
                <c:pt idx="2">
                  <c:v>0.72689109813267549</c:v>
                </c:pt>
                <c:pt idx="3">
                  <c:v>0.61973214817324673</c:v>
                </c:pt>
                <c:pt idx="4">
                  <c:v>0.52837066854452686</c:v>
                </c:pt>
                <c:pt idx="5">
                  <c:v>0.38406793547942708</c:v>
                </c:pt>
                <c:pt idx="6">
                  <c:v>0.3274482894488342</c:v>
                </c:pt>
                <c:pt idx="7">
                  <c:v>0.23801924669912924</c:v>
                </c:pt>
                <c:pt idx="8">
                  <c:v>0.13620198575286244</c:v>
                </c:pt>
                <c:pt idx="9">
                  <c:v>9.1415560684102989E-2</c:v>
                </c:pt>
                <c:pt idx="10">
                  <c:v>3.5109785662637727E-2</c:v>
                </c:pt>
                <c:pt idx="11">
                  <c:v>1.3484542894574455E-2</c:v>
                </c:pt>
              </c:numCache>
            </c:numRef>
          </c:yVal>
          <c:smooth val="1"/>
          <c:extLst>
            <c:ext xmlns:c16="http://schemas.microsoft.com/office/drawing/2014/chart" uri="{C3380CC4-5D6E-409C-BE32-E72D297353CC}">
              <c16:uniqueId val="{00000000-D3AC-4074-A4E4-D28C25F35D7C}"/>
            </c:ext>
          </c:extLst>
        </c:ser>
        <c:ser>
          <c:idx val="1"/>
          <c:order val="1"/>
          <c:tx>
            <c:v>8°C</c:v>
          </c:tx>
          <c:spPr>
            <a:ln w="19050" cap="rnd">
              <a:solidFill>
                <a:schemeClr val="tx1"/>
              </a:solidFill>
              <a:round/>
            </a:ln>
            <a:effectLst/>
          </c:spPr>
          <c:marker>
            <c:symbol val="none"/>
          </c:marker>
          <c:xVal>
            <c:numRef>
              <c:f>'grafici polifenoli'!$G$26:$G$36</c:f>
              <c:numCache>
                <c:formatCode>General</c:formatCode>
                <c:ptCount val="11"/>
                <c:pt idx="0">
                  <c:v>0</c:v>
                </c:pt>
                <c:pt idx="1">
                  <c:v>8</c:v>
                </c:pt>
                <c:pt idx="2">
                  <c:v>16</c:v>
                </c:pt>
                <c:pt idx="3">
                  <c:v>24</c:v>
                </c:pt>
                <c:pt idx="4">
                  <c:v>36</c:v>
                </c:pt>
                <c:pt idx="5">
                  <c:v>48</c:v>
                </c:pt>
                <c:pt idx="6">
                  <c:v>72</c:v>
                </c:pt>
                <c:pt idx="7">
                  <c:v>96</c:v>
                </c:pt>
                <c:pt idx="8">
                  <c:v>120</c:v>
                </c:pt>
                <c:pt idx="9">
                  <c:v>168</c:v>
                </c:pt>
                <c:pt idx="10">
                  <c:v>216</c:v>
                </c:pt>
              </c:numCache>
            </c:numRef>
          </c:xVal>
          <c:yVal>
            <c:numRef>
              <c:f>'grafici polifenoli'!$J$26:$J$36</c:f>
              <c:numCache>
                <c:formatCode>General</c:formatCode>
                <c:ptCount val="11"/>
                <c:pt idx="0">
                  <c:v>1</c:v>
                </c:pt>
                <c:pt idx="1">
                  <c:v>0.86844501198108326</c:v>
                </c:pt>
                <c:pt idx="2">
                  <c:v>0.76285347249312363</c:v>
                </c:pt>
                <c:pt idx="3">
                  <c:v>0.67810128347058285</c:v>
                </c:pt>
                <c:pt idx="4">
                  <c:v>0.5812765597289743</c:v>
                </c:pt>
                <c:pt idx="5">
                  <c:v>0.5116509566162637</c:v>
                </c:pt>
                <c:pt idx="6">
                  <c:v>0.42558130213419099</c:v>
                </c:pt>
                <c:pt idx="7">
                  <c:v>0.38107561949202334</c:v>
                </c:pt>
                <c:pt idx="8">
                  <c:v>0.35806221483315015</c:v>
                </c:pt>
                <c:pt idx="9">
                  <c:v>0.34000888247568978</c:v>
                </c:pt>
                <c:pt idx="10">
                  <c:v>0.33518176140167755</c:v>
                </c:pt>
              </c:numCache>
            </c:numRef>
          </c:yVal>
          <c:smooth val="1"/>
          <c:extLst>
            <c:ext xmlns:c16="http://schemas.microsoft.com/office/drawing/2014/chart" uri="{C3380CC4-5D6E-409C-BE32-E72D297353CC}">
              <c16:uniqueId val="{00000001-D3AC-4074-A4E4-D28C25F35D7C}"/>
            </c:ext>
          </c:extLst>
        </c:ser>
        <c:ser>
          <c:idx val="2"/>
          <c:order val="2"/>
          <c:tx>
            <c:v>4°C</c:v>
          </c:tx>
          <c:spPr>
            <a:ln w="19050" cap="rnd">
              <a:solidFill>
                <a:schemeClr val="tx1"/>
              </a:solidFill>
              <a:round/>
            </a:ln>
            <a:effectLst/>
          </c:spPr>
          <c:marker>
            <c:symbol val="none"/>
          </c:marker>
          <c:xVal>
            <c:numRef>
              <c:f>'grafici polifenoli'!$N$26:$N$33</c:f>
              <c:numCache>
                <c:formatCode>General</c:formatCode>
                <c:ptCount val="8"/>
                <c:pt idx="0">
                  <c:v>0</c:v>
                </c:pt>
                <c:pt idx="1">
                  <c:v>24</c:v>
                </c:pt>
                <c:pt idx="2">
                  <c:v>48</c:v>
                </c:pt>
                <c:pt idx="3">
                  <c:v>72</c:v>
                </c:pt>
                <c:pt idx="4">
                  <c:v>100</c:v>
                </c:pt>
                <c:pt idx="5">
                  <c:v>120</c:v>
                </c:pt>
                <c:pt idx="6">
                  <c:v>168</c:v>
                </c:pt>
                <c:pt idx="7">
                  <c:v>216</c:v>
                </c:pt>
              </c:numCache>
            </c:numRef>
          </c:xVal>
          <c:yVal>
            <c:numRef>
              <c:f>'grafici polifenoli'!$Q$26:$Q$33</c:f>
              <c:numCache>
                <c:formatCode>General</c:formatCode>
                <c:ptCount val="8"/>
                <c:pt idx="0">
                  <c:v>1</c:v>
                </c:pt>
                <c:pt idx="1">
                  <c:v>0.78181762104905472</c:v>
                </c:pt>
                <c:pt idx="2">
                  <c:v>0.63270418566334963</c:v>
                </c:pt>
                <c:pt idx="3">
                  <c:v>0.53079487144908866</c:v>
                </c:pt>
                <c:pt idx="4">
                  <c:v>0.4519040406756708</c:v>
                </c:pt>
                <c:pt idx="5">
                  <c:v>0.41354637325729693</c:v>
                </c:pt>
                <c:pt idx="6">
                  <c:v>0.35878157464785471</c:v>
                </c:pt>
                <c:pt idx="7">
                  <c:v>0.33320185965801502</c:v>
                </c:pt>
              </c:numCache>
            </c:numRef>
          </c:yVal>
          <c:smooth val="1"/>
          <c:extLst>
            <c:ext xmlns:c16="http://schemas.microsoft.com/office/drawing/2014/chart" uri="{C3380CC4-5D6E-409C-BE32-E72D297353CC}">
              <c16:uniqueId val="{00000002-D3AC-4074-A4E4-D28C25F35D7C}"/>
            </c:ext>
          </c:extLst>
        </c:ser>
        <c:ser>
          <c:idx val="3"/>
          <c:order val="3"/>
          <c:tx>
            <c:v>exp12</c:v>
          </c:tx>
          <c:spPr>
            <a:ln w="19050" cap="rnd">
              <a:noFill/>
              <a:round/>
            </a:ln>
            <a:effectLst/>
          </c:spPr>
          <c:marker>
            <c:symbol val="triangle"/>
            <c:size val="5"/>
            <c:spPr>
              <a:solidFill>
                <a:schemeClr val="dk1">
                  <a:tint val="98500"/>
                </a:schemeClr>
              </a:solidFill>
              <a:ln w="9525">
                <a:solidFill>
                  <a:schemeClr val="dk1">
                    <a:tint val="98500"/>
                  </a:schemeClr>
                </a:solidFill>
              </a:ln>
              <a:effectLst/>
            </c:spPr>
          </c:marker>
          <c:errBars>
            <c:errDir val="y"/>
            <c:errBarType val="both"/>
            <c:errValType val="cust"/>
            <c:noEndCap val="0"/>
            <c:plus>
              <c:numRef>
                <c:f>'12°C polifenoli'!$X$8:$X$17</c:f>
                <c:numCache>
                  <c:formatCode>General</c:formatCode>
                  <c:ptCount val="10"/>
                  <c:pt idx="0">
                    <c:v>0</c:v>
                  </c:pt>
                  <c:pt idx="1">
                    <c:v>0.21414780786476961</c:v>
                  </c:pt>
                  <c:pt idx="2">
                    <c:v>0.23501069022073903</c:v>
                  </c:pt>
                  <c:pt idx="3">
                    <c:v>0.15418938363719475</c:v>
                  </c:pt>
                  <c:pt idx="4">
                    <c:v>0.14153100537257099</c:v>
                  </c:pt>
                  <c:pt idx="5">
                    <c:v>0.12956544740452433</c:v>
                  </c:pt>
                  <c:pt idx="6">
                    <c:v>5.598638939340321E-2</c:v>
                  </c:pt>
                  <c:pt idx="7">
                    <c:v>3.1315896030007881E-2</c:v>
                  </c:pt>
                  <c:pt idx="8">
                    <c:v>4.1840748750141481E-2</c:v>
                  </c:pt>
                  <c:pt idx="9">
                    <c:v>6.0159940280195182E-2</c:v>
                  </c:pt>
                </c:numCache>
              </c:numRef>
            </c:plus>
            <c:minus>
              <c:numRef>
                <c:f>'12°C polifenoli'!$X$8:$X$17</c:f>
                <c:numCache>
                  <c:formatCode>General</c:formatCode>
                  <c:ptCount val="10"/>
                  <c:pt idx="0">
                    <c:v>0</c:v>
                  </c:pt>
                  <c:pt idx="1">
                    <c:v>0.21414780786476961</c:v>
                  </c:pt>
                  <c:pt idx="2">
                    <c:v>0.23501069022073903</c:v>
                  </c:pt>
                  <c:pt idx="3">
                    <c:v>0.15418938363719475</c:v>
                  </c:pt>
                  <c:pt idx="4">
                    <c:v>0.14153100537257099</c:v>
                  </c:pt>
                  <c:pt idx="5">
                    <c:v>0.12956544740452433</c:v>
                  </c:pt>
                  <c:pt idx="6">
                    <c:v>5.598638939340321E-2</c:v>
                  </c:pt>
                  <c:pt idx="7">
                    <c:v>3.1315896030007881E-2</c:v>
                  </c:pt>
                  <c:pt idx="8">
                    <c:v>4.1840748750141481E-2</c:v>
                  </c:pt>
                  <c:pt idx="9">
                    <c:v>6.0159940280195182E-2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'12°C polifenoli'!$S$8:$S$17</c:f>
              <c:numCache>
                <c:formatCode>General</c:formatCode>
                <c:ptCount val="10"/>
                <c:pt idx="0">
                  <c:v>0</c:v>
                </c:pt>
                <c:pt idx="1">
                  <c:v>8</c:v>
                </c:pt>
                <c:pt idx="2">
                  <c:v>16</c:v>
                </c:pt>
                <c:pt idx="3">
                  <c:v>24</c:v>
                </c:pt>
                <c:pt idx="4">
                  <c:v>32</c:v>
                </c:pt>
                <c:pt idx="5">
                  <c:v>48</c:v>
                </c:pt>
                <c:pt idx="6">
                  <c:v>56</c:v>
                </c:pt>
                <c:pt idx="7">
                  <c:v>72</c:v>
                </c:pt>
                <c:pt idx="8">
                  <c:v>100</c:v>
                </c:pt>
                <c:pt idx="9">
                  <c:v>120</c:v>
                </c:pt>
              </c:numCache>
            </c:numRef>
          </c:xVal>
          <c:yVal>
            <c:numRef>
              <c:f>'12°C polifenoli'!$U$8:$U$17</c:f>
              <c:numCache>
                <c:formatCode>0.00</c:formatCode>
                <c:ptCount val="10"/>
                <c:pt idx="0">
                  <c:v>1</c:v>
                </c:pt>
                <c:pt idx="1">
                  <c:v>0.89623631728894881</c:v>
                </c:pt>
                <c:pt idx="2">
                  <c:v>0.78137651821862353</c:v>
                </c:pt>
                <c:pt idx="3">
                  <c:v>0.77133003448792936</c:v>
                </c:pt>
                <c:pt idx="4">
                  <c:v>0.6041385515069726</c:v>
                </c:pt>
                <c:pt idx="5">
                  <c:v>0.24381466486729644</c:v>
                </c:pt>
                <c:pt idx="6">
                  <c:v>0.21397510871195077</c:v>
                </c:pt>
                <c:pt idx="7">
                  <c:v>0.1772379667116509</c:v>
                </c:pt>
                <c:pt idx="8">
                  <c:v>0.17273954116059378</c:v>
                </c:pt>
                <c:pt idx="9">
                  <c:v>0.16209326735642521</c:v>
                </c:pt>
              </c:numCache>
            </c:numRef>
          </c:yVal>
          <c:smooth val="1"/>
          <c:extLst>
            <c:ext xmlns:c16="http://schemas.microsoft.com/office/drawing/2014/chart" uri="{C3380CC4-5D6E-409C-BE32-E72D297353CC}">
              <c16:uniqueId val="{00000003-D3AC-4074-A4E4-D28C25F35D7C}"/>
            </c:ext>
          </c:extLst>
        </c:ser>
        <c:ser>
          <c:idx val="4"/>
          <c:order val="4"/>
          <c:tx>
            <c:v>exp8</c:v>
          </c:tx>
          <c:spPr>
            <a:ln w="19050" cap="rnd">
              <a:noFill/>
              <a:round/>
            </a:ln>
            <a:effectLst/>
          </c:spPr>
          <c:marker>
            <c:symbol val="square"/>
            <c:size val="5"/>
            <c:spPr>
              <a:solidFill>
                <a:schemeClr val="tx1"/>
              </a:solidFill>
              <a:ln w="9525">
                <a:solidFill>
                  <a:schemeClr val="tx1"/>
                </a:solidFill>
              </a:ln>
              <a:effectLst/>
            </c:spPr>
          </c:marker>
          <c:errBars>
            <c:errDir val="y"/>
            <c:errBarType val="both"/>
            <c:errValType val="cust"/>
            <c:noEndCap val="0"/>
            <c:plus>
              <c:numRef>
                <c:f>'8°C polifenoli'!$Z$8:$Z$18</c:f>
                <c:numCache>
                  <c:formatCode>General</c:formatCode>
                  <c:ptCount val="11"/>
                  <c:pt idx="0">
                    <c:v>0</c:v>
                  </c:pt>
                  <c:pt idx="1">
                    <c:v>5.5232965697272179E-2</c:v>
                  </c:pt>
                  <c:pt idx="2">
                    <c:v>3.3077369287632045E-2</c:v>
                  </c:pt>
                  <c:pt idx="3">
                    <c:v>0.13480588237978383</c:v>
                  </c:pt>
                  <c:pt idx="5">
                    <c:v>9.4340504529708755E-2</c:v>
                  </c:pt>
                  <c:pt idx="6">
                    <c:v>9.6912035087260706E-2</c:v>
                  </c:pt>
                  <c:pt idx="7">
                    <c:v>0.10253416580631369</c:v>
                  </c:pt>
                  <c:pt idx="8">
                    <c:v>7.7492090319996321E-2</c:v>
                  </c:pt>
                  <c:pt idx="9">
                    <c:v>3.5543651612467787E-2</c:v>
                  </c:pt>
                  <c:pt idx="10">
                    <c:v>5.3309236839213126E-2</c:v>
                  </c:pt>
                </c:numCache>
              </c:numRef>
            </c:plus>
            <c:minus>
              <c:numRef>
                <c:f>'8°C polifenoli'!$Z$8:$Z$18</c:f>
                <c:numCache>
                  <c:formatCode>General</c:formatCode>
                  <c:ptCount val="11"/>
                  <c:pt idx="0">
                    <c:v>0</c:v>
                  </c:pt>
                  <c:pt idx="1">
                    <c:v>5.5232965697272179E-2</c:v>
                  </c:pt>
                  <c:pt idx="2">
                    <c:v>3.3077369287632045E-2</c:v>
                  </c:pt>
                  <c:pt idx="3">
                    <c:v>0.13480588237978383</c:v>
                  </c:pt>
                  <c:pt idx="5">
                    <c:v>9.4340504529708755E-2</c:v>
                  </c:pt>
                  <c:pt idx="6">
                    <c:v>9.6912035087260706E-2</c:v>
                  </c:pt>
                  <c:pt idx="7">
                    <c:v>0.10253416580631369</c:v>
                  </c:pt>
                  <c:pt idx="8">
                    <c:v>7.7492090319996321E-2</c:v>
                  </c:pt>
                  <c:pt idx="9">
                    <c:v>3.5543651612467787E-2</c:v>
                  </c:pt>
                  <c:pt idx="10">
                    <c:v>5.3309236839213126E-2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'8°C polifenoli'!$U$8:$U$18</c:f>
              <c:numCache>
                <c:formatCode>General</c:formatCode>
                <c:ptCount val="11"/>
                <c:pt idx="0">
                  <c:v>0</c:v>
                </c:pt>
                <c:pt idx="1">
                  <c:v>8</c:v>
                </c:pt>
                <c:pt idx="2">
                  <c:v>16</c:v>
                </c:pt>
                <c:pt idx="3">
                  <c:v>24</c:v>
                </c:pt>
                <c:pt idx="4">
                  <c:v>36</c:v>
                </c:pt>
                <c:pt idx="5">
                  <c:v>48</c:v>
                </c:pt>
                <c:pt idx="6">
                  <c:v>72</c:v>
                </c:pt>
                <c:pt idx="7">
                  <c:v>96</c:v>
                </c:pt>
                <c:pt idx="8">
                  <c:v>120</c:v>
                </c:pt>
                <c:pt idx="9">
                  <c:v>168</c:v>
                </c:pt>
                <c:pt idx="10">
                  <c:v>216</c:v>
                </c:pt>
              </c:numCache>
            </c:numRef>
          </c:xVal>
          <c:yVal>
            <c:numRef>
              <c:f>'8°C polifenoli'!$W$8:$W$18</c:f>
              <c:numCache>
                <c:formatCode>General</c:formatCode>
                <c:ptCount val="11"/>
                <c:pt idx="0">
                  <c:v>1</c:v>
                </c:pt>
                <c:pt idx="1">
                  <c:v>0.94549867608120042</c:v>
                </c:pt>
                <c:pt idx="2">
                  <c:v>0.78993821712268308</c:v>
                </c:pt>
                <c:pt idx="3">
                  <c:v>0.7405119152691968</c:v>
                </c:pt>
                <c:pt idx="4">
                  <c:v>0.6</c:v>
                </c:pt>
                <c:pt idx="5">
                  <c:v>0.37775816416593117</c:v>
                </c:pt>
                <c:pt idx="6">
                  <c:v>0.41115033833480441</c:v>
                </c:pt>
                <c:pt idx="7">
                  <c:v>0.40556045895851717</c:v>
                </c:pt>
                <c:pt idx="8">
                  <c:v>0.40217711091497499</c:v>
                </c:pt>
                <c:pt idx="9">
                  <c:v>0.29920564872021183</c:v>
                </c:pt>
                <c:pt idx="10">
                  <c:v>0.36598999705795821</c:v>
                </c:pt>
              </c:numCache>
            </c:numRef>
          </c:yVal>
          <c:smooth val="1"/>
          <c:extLst>
            <c:ext xmlns:c16="http://schemas.microsoft.com/office/drawing/2014/chart" uri="{C3380CC4-5D6E-409C-BE32-E72D297353CC}">
              <c16:uniqueId val="{00000004-D3AC-4074-A4E4-D28C25F35D7C}"/>
            </c:ext>
          </c:extLst>
        </c:ser>
        <c:ser>
          <c:idx val="5"/>
          <c:order val="5"/>
          <c:tx>
            <c:v>exp4</c:v>
          </c:tx>
          <c:spPr>
            <a:ln w="19050" cap="rnd">
              <a:noFill/>
              <a:round/>
            </a:ln>
            <a:effectLst/>
          </c:spPr>
          <c:marker>
            <c:symbol val="circle"/>
            <c:size val="5"/>
            <c:spPr>
              <a:solidFill>
                <a:schemeClr val="tx1">
                  <a:alpha val="95000"/>
                </a:schemeClr>
              </a:solidFill>
              <a:ln w="9525">
                <a:solidFill>
                  <a:schemeClr val="tx1"/>
                </a:solidFill>
              </a:ln>
              <a:effectLst/>
            </c:spPr>
          </c:marker>
          <c:errBars>
            <c:errDir val="y"/>
            <c:errBarType val="both"/>
            <c:errValType val="cust"/>
            <c:noEndCap val="0"/>
            <c:plus>
              <c:numRef>
                <c:f>'4°C polifenoli'!$X$8:$X$15</c:f>
                <c:numCache>
                  <c:formatCode>General</c:formatCode>
                  <c:ptCount val="8"/>
                  <c:pt idx="0">
                    <c:v>0</c:v>
                  </c:pt>
                  <c:pt idx="1">
                    <c:v>0.35650383552190884</c:v>
                  </c:pt>
                  <c:pt idx="2">
                    <c:v>0.15582423415432944</c:v>
                  </c:pt>
                  <c:pt idx="3">
                    <c:v>0.18817699678500685</c:v>
                  </c:pt>
                  <c:pt idx="4">
                    <c:v>0.13508392436489172</c:v>
                  </c:pt>
                  <c:pt idx="5">
                    <c:v>6.7361573318269113E-2</c:v>
                  </c:pt>
                  <c:pt idx="6">
                    <c:v>5.3353950870428414E-2</c:v>
                  </c:pt>
                  <c:pt idx="7">
                    <c:v>8.4382273328168944E-2</c:v>
                  </c:pt>
                </c:numCache>
              </c:numRef>
            </c:plus>
            <c:minus>
              <c:numRef>
                <c:f>'4°C polifenoli'!$X$8:$X$15</c:f>
                <c:numCache>
                  <c:formatCode>General</c:formatCode>
                  <c:ptCount val="8"/>
                  <c:pt idx="0">
                    <c:v>0</c:v>
                  </c:pt>
                  <c:pt idx="1">
                    <c:v>0.35650383552190884</c:v>
                  </c:pt>
                  <c:pt idx="2">
                    <c:v>0.15582423415432944</c:v>
                  </c:pt>
                  <c:pt idx="3">
                    <c:v>0.18817699678500685</c:v>
                  </c:pt>
                  <c:pt idx="4">
                    <c:v>0.13508392436489172</c:v>
                  </c:pt>
                  <c:pt idx="5">
                    <c:v>6.7361573318269113E-2</c:v>
                  </c:pt>
                  <c:pt idx="6">
                    <c:v>5.3353950870428414E-2</c:v>
                  </c:pt>
                  <c:pt idx="7">
                    <c:v>8.4382273328168944E-2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'4°C polifenoli'!$S$8:$S$15</c:f>
              <c:numCache>
                <c:formatCode>General</c:formatCode>
                <c:ptCount val="8"/>
                <c:pt idx="0">
                  <c:v>0</c:v>
                </c:pt>
                <c:pt idx="1">
                  <c:v>24</c:v>
                </c:pt>
                <c:pt idx="2">
                  <c:v>48</c:v>
                </c:pt>
                <c:pt idx="3">
                  <c:v>72</c:v>
                </c:pt>
                <c:pt idx="4">
                  <c:v>100</c:v>
                </c:pt>
                <c:pt idx="5">
                  <c:v>120</c:v>
                </c:pt>
                <c:pt idx="6">
                  <c:v>168</c:v>
                </c:pt>
                <c:pt idx="7">
                  <c:v>216</c:v>
                </c:pt>
              </c:numCache>
            </c:numRef>
          </c:xVal>
          <c:yVal>
            <c:numRef>
              <c:f>'4°C polifenoli'!$U$8:$U$15</c:f>
              <c:numCache>
                <c:formatCode>General</c:formatCode>
                <c:ptCount val="8"/>
                <c:pt idx="0">
                  <c:v>1</c:v>
                </c:pt>
                <c:pt idx="1">
                  <c:v>0.71282286412960416</c:v>
                </c:pt>
                <c:pt idx="2">
                  <c:v>0.70487543940088648</c:v>
                </c:pt>
                <c:pt idx="3">
                  <c:v>0.59727953538132361</c:v>
                </c:pt>
                <c:pt idx="4">
                  <c:v>0.36924957970349997</c:v>
                </c:pt>
                <c:pt idx="5">
                  <c:v>0.37872535534158652</c:v>
                </c:pt>
                <c:pt idx="6">
                  <c:v>0.37047226043099502</c:v>
                </c:pt>
                <c:pt idx="7">
                  <c:v>0.35656426715573902</c:v>
                </c:pt>
              </c:numCache>
            </c:numRef>
          </c:yVal>
          <c:smooth val="1"/>
          <c:extLst>
            <c:ext xmlns:c16="http://schemas.microsoft.com/office/drawing/2014/chart" uri="{C3380CC4-5D6E-409C-BE32-E72D297353CC}">
              <c16:uniqueId val="{00000005-D3AC-4074-A4E4-D28C25F35D7C}"/>
            </c:ext>
          </c:extLst>
        </c:ser>
        <c:dLbls>
          <c:showLegendKey val="0"/>
          <c:showVal val="0"/>
          <c:showCatName val="0"/>
          <c:showSerName val="0"/>
          <c:showPercent val="0"/>
          <c:showBubbleSize val="0"/>
        </c:dLbls>
        <c:axId val="188934784"/>
        <c:axId val="188937344"/>
      </c:scatterChart>
      <c:valAx>
        <c:axId val="188934784"/>
        <c:scaling>
          <c:orientation val="minMax"/>
          <c:max val="220"/>
          <c:min val="0"/>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a:solidFill>
                      <a:sysClr val="windowText" lastClr="000000"/>
                    </a:solidFill>
                  </a:rPr>
                  <a:t>Time (h) </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88937344"/>
        <c:crosses val="autoZero"/>
        <c:crossBetween val="midCat"/>
        <c:majorUnit val="40"/>
      </c:valAx>
      <c:valAx>
        <c:axId val="188937344"/>
        <c:scaling>
          <c:orientation val="minMax"/>
          <c:max val="1.2"/>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it-IT">
                    <a:solidFill>
                      <a:sysClr val="windowText" lastClr="000000"/>
                    </a:solidFill>
                  </a:rPr>
                  <a:t>Q/Q0</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title>
        <c:numFmt formatCode="#,##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it-IT"/>
          </a:p>
        </c:txPr>
        <c:crossAx val="188934784"/>
        <c:crosses val="autoZero"/>
        <c:crossBetween val="midCat"/>
      </c:valAx>
      <c:spPr>
        <a:noFill/>
        <a:ln>
          <a:solidFill>
            <a:schemeClr val="tx1"/>
          </a:solidFill>
        </a:ln>
        <a:effectLst/>
      </c:spPr>
    </c:plotArea>
    <c:plotVisOnly val="1"/>
    <c:dispBlanksAs val="gap"/>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69150158039265"/>
          <c:y val="2.5200799248138114E-2"/>
          <c:w val="0.7623882771466024"/>
          <c:h val="0.84228828216934271"/>
        </c:manualLayout>
      </c:layout>
      <c:scatterChart>
        <c:scatterStyle val="lineMarker"/>
        <c:varyColors val="0"/>
        <c:ser>
          <c:idx val="1"/>
          <c:order val="1"/>
          <c:tx>
            <c:v>12°C</c:v>
          </c:tx>
          <c:spPr>
            <a:ln w="25400" cap="rnd" cmpd="sng" algn="ctr">
              <a:noFill/>
              <a:prstDash val="solid"/>
              <a:round/>
            </a:ln>
            <a:effectLst/>
          </c:spPr>
          <c:marker>
            <c:symbol val="triangle"/>
            <c:size val="5"/>
            <c:spPr>
              <a:solidFill>
                <a:sysClr val="windowText" lastClr="000000"/>
              </a:solidFill>
              <a:ln w="6350" cap="flat" cmpd="sng" algn="ctr">
                <a:solidFill>
                  <a:sysClr val="windowText" lastClr="000000"/>
                </a:solidFill>
                <a:prstDash val="solid"/>
                <a:round/>
              </a:ln>
              <a:effectLst/>
            </c:spPr>
          </c:marker>
          <c:errBars>
            <c:errDir val="y"/>
            <c:errBarType val="both"/>
            <c:errValType val="cust"/>
            <c:noEndCap val="0"/>
            <c:plus>
              <c:numRef>
                <c:f>'file:///E:/dati/[ANALISI POLIFENOLI E CHINONI A 8-12-4 °.xlsx]fenoli medie 12°'!$E$2:$E$11</c:f>
                <c:numCache>
                  <c:formatCode>General</c:formatCode>
                  <c:ptCount val="10"/>
                  <c:pt idx="0">
                    <c:v>1.6231467502235761</c:v>
                  </c:pt>
                  <c:pt idx="1">
                    <c:v>0.52927235764034897</c:v>
                  </c:pt>
                  <c:pt idx="2">
                    <c:v>0.45696744083414442</c:v>
                  </c:pt>
                  <c:pt idx="3">
                    <c:v>0.46451303896351026</c:v>
                  </c:pt>
                  <c:pt idx="4">
                    <c:v>0.52857241352046846</c:v>
                  </c:pt>
                  <c:pt idx="5">
                    <c:v>0.40550794449007421</c:v>
                  </c:pt>
                  <c:pt idx="6">
                    <c:v>0.189745927632401</c:v>
                  </c:pt>
                  <c:pt idx="7">
                    <c:v>0.26530612244897989</c:v>
                  </c:pt>
                  <c:pt idx="8">
                    <c:v>0.11544600509168119</c:v>
                  </c:pt>
                  <c:pt idx="9">
                    <c:v>0.13808015734819606</c:v>
                  </c:pt>
                </c:numCache>
              </c:numRef>
            </c:plus>
            <c:minus>
              <c:numRef>
                <c:f>'file:///E:/dati/[ANALISI POLIFENOLI E CHINONI A 8-12-4 °.xlsx]fenoli medie 12°'!$E$2:$E$11</c:f>
                <c:numCache>
                  <c:formatCode>General</c:formatCode>
                  <c:ptCount val="10"/>
                  <c:pt idx="0">
                    <c:v>1.6231467502235761</c:v>
                  </c:pt>
                  <c:pt idx="1">
                    <c:v>0.52927235764034897</c:v>
                  </c:pt>
                  <c:pt idx="2">
                    <c:v>0.45696744083414442</c:v>
                  </c:pt>
                  <c:pt idx="3">
                    <c:v>0.46451303896351026</c:v>
                  </c:pt>
                  <c:pt idx="4">
                    <c:v>0.52857241352046846</c:v>
                  </c:pt>
                  <c:pt idx="5">
                    <c:v>0.40550794449007421</c:v>
                  </c:pt>
                  <c:pt idx="6">
                    <c:v>0.189745927632401</c:v>
                  </c:pt>
                  <c:pt idx="7">
                    <c:v>0.26530612244897989</c:v>
                  </c:pt>
                  <c:pt idx="8">
                    <c:v>0.11544600509168119</c:v>
                  </c:pt>
                  <c:pt idx="9">
                    <c:v>0.13808015734819606</c:v>
                  </c:pt>
                </c:numCache>
              </c:numRef>
            </c:minus>
            <c:spPr>
              <a:solidFill>
                <a:schemeClr val="tx1"/>
              </a:solidFill>
              <a:ln w="6350" cap="flat" cmpd="sng" algn="ctr">
                <a:solidFill>
                  <a:schemeClr val="tx1"/>
                </a:solidFill>
                <a:prstDash val="solid"/>
                <a:round/>
              </a:ln>
              <a:effectLst/>
            </c:spPr>
          </c:errBars>
          <c:errBars>
            <c:errDir val="x"/>
            <c:errBarType val="both"/>
            <c:errValType val="fixedVal"/>
            <c:noEndCap val="0"/>
            <c:val val="1"/>
            <c:spPr>
              <a:solidFill>
                <a:schemeClr val="tx1"/>
              </a:solidFill>
              <a:ln w="6350" cap="flat" cmpd="sng" algn="ctr">
                <a:solidFill>
                  <a:schemeClr val="tx1"/>
                </a:solidFill>
                <a:prstDash val="solid"/>
                <a:round/>
              </a:ln>
              <a:effectLst/>
            </c:spPr>
          </c:errBars>
          <c:xVal>
            <c:numRef>
              <c:f>'file:///E:/dati/[ANALISI POLIFENOLI E CHINONI A 8-12-4 °.xlsx]fenoli medie 12°'!$B$2:$B$11</c:f>
              <c:numCache>
                <c:formatCode>General</c:formatCode>
                <c:ptCount val="10"/>
                <c:pt idx="0">
                  <c:v>0</c:v>
                </c:pt>
                <c:pt idx="1">
                  <c:v>8</c:v>
                </c:pt>
                <c:pt idx="2">
                  <c:v>16</c:v>
                </c:pt>
                <c:pt idx="3">
                  <c:v>24</c:v>
                </c:pt>
                <c:pt idx="4">
                  <c:v>32</c:v>
                </c:pt>
                <c:pt idx="5">
                  <c:v>48</c:v>
                </c:pt>
                <c:pt idx="6">
                  <c:v>56</c:v>
                </c:pt>
                <c:pt idx="7">
                  <c:v>72</c:v>
                </c:pt>
                <c:pt idx="8">
                  <c:v>100</c:v>
                </c:pt>
                <c:pt idx="9">
                  <c:v>120</c:v>
                </c:pt>
              </c:numCache>
            </c:numRef>
          </c:xVal>
          <c:yVal>
            <c:numRef>
              <c:f>'file:///E:/dati/[ANALISI POLIFENOLI E CHINONI A 8-12-4 °.xlsx]fenoli medie 12°'!$D$2:$D$11</c:f>
              <c:numCache>
                <c:formatCode>General</c:formatCode>
                <c:ptCount val="10"/>
                <c:pt idx="0">
                  <c:v>7.5612244897959187</c:v>
                </c:pt>
                <c:pt idx="1">
                  <c:v>6.7766439909297054</c:v>
                </c:pt>
                <c:pt idx="2">
                  <c:v>5.9081632653061229</c:v>
                </c:pt>
                <c:pt idx="3">
                  <c:v>5.8321995464852616</c:v>
                </c:pt>
                <c:pt idx="4">
                  <c:v>4.5680272108843543</c:v>
                </c:pt>
                <c:pt idx="5">
                  <c:v>1.8435374149659864</c:v>
                </c:pt>
                <c:pt idx="6">
                  <c:v>1.6179138321995463</c:v>
                </c:pt>
                <c:pt idx="7">
                  <c:v>1.3401360544217686</c:v>
                </c:pt>
                <c:pt idx="8">
                  <c:v>1.3061224489795917</c:v>
                </c:pt>
                <c:pt idx="9">
                  <c:v>1.2256235827664397</c:v>
                </c:pt>
              </c:numCache>
            </c:numRef>
          </c:yVal>
          <c:smooth val="0"/>
          <c:extLst>
            <c:ext xmlns:c16="http://schemas.microsoft.com/office/drawing/2014/chart" uri="{C3380CC4-5D6E-409C-BE32-E72D297353CC}">
              <c16:uniqueId val="{00000000-F2C7-4A5F-AB90-EEDBCB1AD842}"/>
            </c:ext>
          </c:extLst>
        </c:ser>
        <c:ser>
          <c:idx val="2"/>
          <c:order val="2"/>
          <c:tx>
            <c:v>8°C</c:v>
          </c:tx>
          <c:spPr>
            <a:ln w="25400" cap="rnd" cmpd="sng" algn="ctr">
              <a:noFill/>
              <a:prstDash val="solid"/>
              <a:round/>
            </a:ln>
            <a:effectLst/>
          </c:spPr>
          <c:marker>
            <c:symbol val="square"/>
            <c:size val="5"/>
            <c:spPr>
              <a:solidFill>
                <a:sysClr val="windowText" lastClr="000000"/>
              </a:solidFill>
              <a:ln w="6350" cap="flat" cmpd="sng" algn="ctr">
                <a:solidFill>
                  <a:sysClr val="windowText" lastClr="000000"/>
                </a:solidFill>
                <a:prstDash val="solid"/>
                <a:round/>
              </a:ln>
              <a:effectLst/>
            </c:spPr>
          </c:marker>
          <c:errBars>
            <c:errDir val="y"/>
            <c:errBarType val="both"/>
            <c:errValType val="stdErr"/>
            <c:noEndCap val="0"/>
            <c:spPr>
              <a:noFill/>
              <a:ln w="6350" cap="flat" cmpd="sng" algn="ctr">
                <a:solidFill>
                  <a:schemeClr val="tx1">
                    <a:lumMod val="65000"/>
                    <a:lumOff val="35000"/>
                  </a:schemeClr>
                </a:solidFill>
                <a:prstDash val="solid"/>
                <a:round/>
              </a:ln>
              <a:effectLst/>
            </c:spPr>
          </c:errBars>
          <c:xVal>
            <c:numRef>
              <c:f>'file:///E:/dati/[ANALISI POLIFENOLI E CHINONI A 8-12-4 °.xlsx]fenoli-medie 8°'!$B$2:$B$9</c:f>
              <c:numCache>
                <c:formatCode>General</c:formatCode>
                <c:ptCount val="8"/>
                <c:pt idx="0">
                  <c:v>0</c:v>
                </c:pt>
                <c:pt idx="1">
                  <c:v>8</c:v>
                </c:pt>
                <c:pt idx="2">
                  <c:v>16</c:v>
                </c:pt>
                <c:pt idx="3">
                  <c:v>24</c:v>
                </c:pt>
                <c:pt idx="4">
                  <c:v>48</c:v>
                </c:pt>
                <c:pt idx="5">
                  <c:v>72</c:v>
                </c:pt>
                <c:pt idx="6">
                  <c:v>96</c:v>
                </c:pt>
                <c:pt idx="7">
                  <c:v>120</c:v>
                </c:pt>
              </c:numCache>
            </c:numRef>
          </c:xVal>
          <c:yVal>
            <c:numRef>
              <c:f>'file:///E:/dati/[ANALISI POLIFENOLI E CHINONI A 8-12-4 °.xlsx]fenoli-medie 8°'!$C$2:$C$9</c:f>
              <c:numCache>
                <c:formatCode>General</c:formatCode>
                <c:ptCount val="8"/>
                <c:pt idx="0">
                  <c:v>7.7074829931972788</c:v>
                </c:pt>
                <c:pt idx="1">
                  <c:v>7.7188208616780036</c:v>
                </c:pt>
                <c:pt idx="2">
                  <c:v>7.3571428571428568</c:v>
                </c:pt>
                <c:pt idx="3">
                  <c:v>6.4357142857142859</c:v>
                </c:pt>
                <c:pt idx="4">
                  <c:v>2.9115646258503407</c:v>
                </c:pt>
                <c:pt idx="5">
                  <c:v>3.1689342403628125</c:v>
                </c:pt>
                <c:pt idx="6">
                  <c:v>2.9739229024943312</c:v>
                </c:pt>
                <c:pt idx="7">
                  <c:v>2.629251700680272</c:v>
                </c:pt>
              </c:numCache>
            </c:numRef>
          </c:yVal>
          <c:smooth val="0"/>
          <c:extLst>
            <c:ext xmlns:c16="http://schemas.microsoft.com/office/drawing/2014/chart" uri="{C3380CC4-5D6E-409C-BE32-E72D297353CC}">
              <c16:uniqueId val="{00000001-F2C7-4A5F-AB90-EEDBCB1AD842}"/>
            </c:ext>
          </c:extLst>
        </c:ser>
        <c:ser>
          <c:idx val="0"/>
          <c:order val="0"/>
          <c:tx>
            <c:v>4°C</c:v>
          </c:tx>
          <c:spPr>
            <a:ln w="19050" cap="rnd" cmpd="sng" algn="ctr">
              <a:noFill/>
              <a:prstDash val="solid"/>
              <a:round/>
            </a:ln>
            <a:effectLst/>
          </c:spPr>
          <c:marker>
            <c:symbol val="circle"/>
            <c:size val="5"/>
            <c:spPr>
              <a:solidFill>
                <a:sysClr val="windowText" lastClr="000000"/>
              </a:solidFill>
              <a:ln w="6350" cap="flat" cmpd="sng" algn="ctr">
                <a:solidFill>
                  <a:sysClr val="windowText" lastClr="000000"/>
                </a:solidFill>
                <a:prstDash val="solid"/>
                <a:round/>
              </a:ln>
              <a:effectLst/>
            </c:spPr>
          </c:marker>
          <c:errBars>
            <c:errDir val="y"/>
            <c:errBarType val="both"/>
            <c:errValType val="cust"/>
            <c:noEndCap val="0"/>
            <c:plus>
              <c:numRef>
                <c:f>'file:///E:/dati/[ANALISI POLIFENOLI E CHINONI A 8-12-4 °.xlsx]fenoli medie 4°'!$D$2:$D$7</c:f>
                <c:numCache>
                  <c:formatCode>General</c:formatCode>
                  <c:ptCount val="6"/>
                  <c:pt idx="0">
                    <c:v>1.533390335998071</c:v>
                  </c:pt>
                  <c:pt idx="1">
                    <c:v>1.3993529639315239</c:v>
                  </c:pt>
                  <c:pt idx="2">
                    <c:v>0.296230971017728</c:v>
                  </c:pt>
                  <c:pt idx="3">
                    <c:v>0.4299291472825435</c:v>
                  </c:pt>
                  <c:pt idx="4">
                    <c:v>0.39763563217916709</c:v>
                  </c:pt>
                  <c:pt idx="5">
                    <c:v>0.33139709059295347</c:v>
                  </c:pt>
                </c:numCache>
              </c:numRef>
            </c:plus>
            <c:minus>
              <c:numLit>
                <c:formatCode>General</c:formatCode>
                <c:ptCount val="1"/>
                <c:pt idx="0">
                  <c:v>1</c:v>
                </c:pt>
              </c:numLit>
            </c:minus>
            <c:spPr>
              <a:solidFill>
                <a:schemeClr val="tx1"/>
              </a:solidFill>
              <a:ln w="6350" cap="flat" cmpd="sng" algn="ctr">
                <a:solidFill>
                  <a:schemeClr val="tx1"/>
                </a:solidFill>
                <a:prstDash val="solid"/>
                <a:round/>
              </a:ln>
              <a:effectLst/>
            </c:spPr>
          </c:errBars>
          <c:errBars>
            <c:errDir val="x"/>
            <c:errBarType val="both"/>
            <c:errValType val="fixedVal"/>
            <c:noEndCap val="0"/>
            <c:val val="1"/>
            <c:spPr>
              <a:solidFill>
                <a:schemeClr val="tx1"/>
              </a:solidFill>
              <a:ln w="6350" cap="flat" cmpd="sng" algn="ctr">
                <a:solidFill>
                  <a:schemeClr val="tx1"/>
                </a:solidFill>
                <a:prstDash val="solid"/>
                <a:round/>
              </a:ln>
              <a:effectLst/>
            </c:spPr>
          </c:errBars>
          <c:xVal>
            <c:numRef>
              <c:f>'file:///E:/dati/[ANALISI POLIFENOLI E CHINONI A 8-12-4 °.xlsx]fenoli medie 4°'!$B$2:$B$7</c:f>
              <c:numCache>
                <c:formatCode>General</c:formatCode>
                <c:ptCount val="6"/>
                <c:pt idx="0">
                  <c:v>0</c:v>
                </c:pt>
                <c:pt idx="1">
                  <c:v>24</c:v>
                </c:pt>
                <c:pt idx="2">
                  <c:v>48</c:v>
                </c:pt>
                <c:pt idx="3">
                  <c:v>72</c:v>
                </c:pt>
                <c:pt idx="4">
                  <c:v>100</c:v>
                </c:pt>
                <c:pt idx="5">
                  <c:v>120</c:v>
                </c:pt>
              </c:numCache>
            </c:numRef>
          </c:xVal>
          <c:yVal>
            <c:numRef>
              <c:f>'file:///E:/dati/[ANALISI POLIFENOLI E CHINONI A 8-12-4 °.xlsx]fenoli medie 4°'!$C$2:$C$7</c:f>
              <c:numCache>
                <c:formatCode>General</c:formatCode>
                <c:ptCount val="6"/>
                <c:pt idx="0">
                  <c:v>7.4183673469387754</c:v>
                </c:pt>
                <c:pt idx="1">
                  <c:v>5.2879818594104311</c:v>
                </c:pt>
                <c:pt idx="2">
                  <c:v>5.2290249433106579</c:v>
                </c:pt>
                <c:pt idx="3">
                  <c:v>4.4308390022675743</c:v>
                </c:pt>
                <c:pt idx="4">
                  <c:v>2.7392290249433109</c:v>
                </c:pt>
                <c:pt idx="5">
                  <c:v>2.8095238095238102</c:v>
                </c:pt>
              </c:numCache>
            </c:numRef>
          </c:yVal>
          <c:smooth val="0"/>
          <c:extLst>
            <c:ext xmlns:c16="http://schemas.microsoft.com/office/drawing/2014/chart" uri="{C3380CC4-5D6E-409C-BE32-E72D297353CC}">
              <c16:uniqueId val="{00000002-F2C7-4A5F-AB90-EEDBCB1AD842}"/>
            </c:ext>
          </c:extLst>
        </c:ser>
        <c:dLbls>
          <c:showLegendKey val="0"/>
          <c:showVal val="0"/>
          <c:showCatName val="0"/>
          <c:showSerName val="0"/>
          <c:showPercent val="0"/>
          <c:showBubbleSize val="0"/>
        </c:dLbls>
        <c:axId val="185481472"/>
        <c:axId val="185487744"/>
      </c:scatterChart>
      <c:valAx>
        <c:axId val="185481472"/>
        <c:scaling>
          <c:orientation val="minMax"/>
          <c:max val="150"/>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sz="900" b="0">
                    <a:latin typeface="Arial" panose="020B0604020202020204" pitchFamily="34" charset="0"/>
                    <a:cs typeface="Arial" panose="020B0604020202020204" pitchFamily="34" charset="0"/>
                  </a:rPr>
                  <a:t>Time</a:t>
                </a:r>
                <a:r>
                  <a:rPr lang="it-IT" sz="900" b="0" baseline="0">
                    <a:latin typeface="Arial" panose="020B0604020202020204" pitchFamily="34" charset="0"/>
                    <a:cs typeface="Arial" panose="020B0604020202020204" pitchFamily="34" charset="0"/>
                  </a:rPr>
                  <a:t> (h)</a:t>
                </a:r>
                <a:endParaRPr lang="it-IT" sz="900" b="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6350" cap="flat" cmpd="sng" algn="ctr">
            <a:solidFill>
              <a:sysClr val="windowText" lastClr="000000"/>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85487744"/>
        <c:crosses val="autoZero"/>
        <c:crossBetween val="midCat"/>
      </c:valAx>
      <c:valAx>
        <c:axId val="18548774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GB" sz="900" b="0" i="0" u="none" strike="noStrike" baseline="0">
                    <a:effectLst/>
                    <a:sym typeface="Symbol" pitchFamily="2" charset="2"/>
                  </a:rPr>
                  <a:t></a:t>
                </a:r>
                <a:r>
                  <a:rPr lang="it-IT" sz="900" b="0">
                    <a:latin typeface="Arial" panose="020B0604020202020204" pitchFamily="34" charset="0"/>
                    <a:cs typeface="Arial" panose="020B0604020202020204" pitchFamily="34" charset="0"/>
                  </a:rPr>
                  <a:t>g GAE/g FW</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out"/>
        <c:minorTickMark val="none"/>
        <c:tickLblPos val="nextTo"/>
        <c:spPr>
          <a:noFill/>
          <a:ln w="6350" cap="flat" cmpd="sng" algn="ctr">
            <a:solidFill>
              <a:sysClr val="windowText" lastClr="000000"/>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85481472"/>
        <c:crosses val="autoZero"/>
        <c:crossBetween val="midCat"/>
      </c:valAx>
      <c:spPr>
        <a:solidFill>
          <a:schemeClr val="bg1"/>
        </a:solidFill>
        <a:ln>
          <a:solidFill>
            <a:sysClr val="windowText" lastClr="000000"/>
          </a:solid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it-IT"/>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8843519848702514"/>
          <c:y val="6.3218390804597707E-2"/>
          <c:w val="0.73991816842756097"/>
          <c:h val="0.73906145352520591"/>
        </c:manualLayout>
      </c:layout>
      <c:scatterChart>
        <c:scatterStyle val="smoothMarker"/>
        <c:varyColors val="0"/>
        <c:ser>
          <c:idx val="2"/>
          <c:order val="0"/>
          <c:spPr>
            <a:ln w="25400" cap="rnd">
              <a:no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'grafici e tabelle'!$G$46:$G$57</c:f>
                <c:numCache>
                  <c:formatCode>General</c:formatCode>
                  <c:ptCount val="12"/>
                  <c:pt idx="0">
                    <c:v>0</c:v>
                  </c:pt>
                  <c:pt idx="1">
                    <c:v>0</c:v>
                  </c:pt>
                  <c:pt idx="2">
                    <c:v>0</c:v>
                  </c:pt>
                  <c:pt idx="3">
                    <c:v>6.137172196102799E-2</c:v>
                  </c:pt>
                  <c:pt idx="5">
                    <c:v>4.8393693754924826E-2</c:v>
                  </c:pt>
                  <c:pt idx="7">
                    <c:v>0.11254587015111667</c:v>
                  </c:pt>
                  <c:pt idx="8">
                    <c:v>2.7918979246695452E-2</c:v>
                  </c:pt>
                  <c:pt idx="9">
                    <c:v>1.9883848272716702E-2</c:v>
                  </c:pt>
                  <c:pt idx="10">
                    <c:v>8.8428383078955466E-2</c:v>
                  </c:pt>
                  <c:pt idx="11">
                    <c:v>7.4392506714696424E-2</c:v>
                  </c:pt>
                </c:numCache>
              </c:numRef>
            </c:plus>
            <c:minus>
              <c:numRef>
                <c:f>'grafici e tabelle'!$G$46:$G$57</c:f>
                <c:numCache>
                  <c:formatCode>General</c:formatCode>
                  <c:ptCount val="12"/>
                  <c:pt idx="0">
                    <c:v>0</c:v>
                  </c:pt>
                  <c:pt idx="1">
                    <c:v>0</c:v>
                  </c:pt>
                  <c:pt idx="2">
                    <c:v>0</c:v>
                  </c:pt>
                  <c:pt idx="3">
                    <c:v>6.137172196102799E-2</c:v>
                  </c:pt>
                  <c:pt idx="5">
                    <c:v>4.8393693754924826E-2</c:v>
                  </c:pt>
                  <c:pt idx="7">
                    <c:v>0.11254587015111667</c:v>
                  </c:pt>
                  <c:pt idx="8">
                    <c:v>2.7918979246695452E-2</c:v>
                  </c:pt>
                  <c:pt idx="9">
                    <c:v>1.9883848272716702E-2</c:v>
                  </c:pt>
                  <c:pt idx="10">
                    <c:v>8.8428383078955466E-2</c:v>
                  </c:pt>
                  <c:pt idx="11">
                    <c:v>7.4392506714696424E-2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'grafici e tabelle'!$A$46:$A$57</c:f>
              <c:numCache>
                <c:formatCode>General</c:formatCode>
                <c:ptCount val="12"/>
                <c:pt idx="0">
                  <c:v>0</c:v>
                </c:pt>
                <c:pt idx="1">
                  <c:v>8</c:v>
                </c:pt>
                <c:pt idx="2">
                  <c:v>16</c:v>
                </c:pt>
                <c:pt idx="3">
                  <c:v>24</c:v>
                </c:pt>
                <c:pt idx="4">
                  <c:v>32</c:v>
                </c:pt>
                <c:pt idx="5">
                  <c:v>48</c:v>
                </c:pt>
                <c:pt idx="6">
                  <c:v>56</c:v>
                </c:pt>
                <c:pt idx="7">
                  <c:v>72</c:v>
                </c:pt>
                <c:pt idx="8">
                  <c:v>96</c:v>
                </c:pt>
                <c:pt idx="9">
                  <c:v>120</c:v>
                </c:pt>
                <c:pt idx="10">
                  <c:v>168</c:v>
                </c:pt>
                <c:pt idx="11">
                  <c:v>216</c:v>
                </c:pt>
              </c:numCache>
            </c:numRef>
          </c:xVal>
          <c:yVal>
            <c:numRef>
              <c:f>'grafici e tabelle'!$F$46:$F$57</c:f>
              <c:numCache>
                <c:formatCode>General</c:formatCode>
                <c:ptCount val="12"/>
                <c:pt idx="0">
                  <c:v>1</c:v>
                </c:pt>
                <c:pt idx="1">
                  <c:v>1.0716660224197914</c:v>
                </c:pt>
                <c:pt idx="2">
                  <c:v>1.0698879010436801</c:v>
                </c:pt>
                <c:pt idx="3">
                  <c:v>0.91075389278429608</c:v>
                </c:pt>
                <c:pt idx="5">
                  <c:v>1.3071311404431867</c:v>
                </c:pt>
                <c:pt idx="7">
                  <c:v>1.4386714345418565</c:v>
                </c:pt>
                <c:pt idx="8">
                  <c:v>1.3730422499337385</c:v>
                </c:pt>
                <c:pt idx="9">
                  <c:v>1.5</c:v>
                </c:pt>
                <c:pt idx="10">
                  <c:v>1.6072120939926453</c:v>
                </c:pt>
                <c:pt idx="11">
                  <c:v>1.604579886546722</c:v>
                </c:pt>
              </c:numCache>
            </c:numRef>
          </c:yVal>
          <c:smooth val="1"/>
          <c:extLst>
            <c:ext xmlns:c16="http://schemas.microsoft.com/office/drawing/2014/chart" uri="{C3380CC4-5D6E-409C-BE32-E72D297353CC}">
              <c16:uniqueId val="{00000000-7C27-4642-B8AB-6D5F100CA3AF}"/>
            </c:ext>
          </c:extLst>
        </c:ser>
        <c:ser>
          <c:idx val="1"/>
          <c:order val="1"/>
          <c:tx>
            <c:strRef>
              <c:f>'grafici e tabelle'!$H$44:$I$44</c:f>
              <c:strCache>
                <c:ptCount val="1"/>
                <c:pt idx="0">
                  <c:v>12°C</c:v>
                </c:pt>
              </c:strCache>
            </c:strRef>
          </c:tx>
          <c:spPr>
            <a:ln w="19050" cap="rnd">
              <a:noFill/>
              <a:round/>
            </a:ln>
            <a:effectLst/>
          </c:spPr>
          <c:marker>
            <c:symbol val="triangle"/>
            <c:size val="5"/>
            <c:spPr>
              <a:solidFill>
                <a:schemeClr val="tx1"/>
              </a:solidFill>
              <a:ln w="9525">
                <a:solidFill>
                  <a:schemeClr val="tx1"/>
                </a:solidFill>
              </a:ln>
              <a:effectLst/>
            </c:spPr>
          </c:marker>
          <c:errBars>
            <c:errDir val="y"/>
            <c:errBarType val="both"/>
            <c:errValType val="cust"/>
            <c:noEndCap val="0"/>
            <c:plus>
              <c:numRef>
                <c:f>'grafici e tabelle'!$J$46:$J$55</c:f>
                <c:numCache>
                  <c:formatCode>General</c:formatCode>
                  <c:ptCount val="10"/>
                  <c:pt idx="0">
                    <c:v>0</c:v>
                  </c:pt>
                  <c:pt idx="1">
                    <c:v>1.0811308559339991E-2</c:v>
                  </c:pt>
                  <c:pt idx="2">
                    <c:v>5.848268497795879E-2</c:v>
                  </c:pt>
                  <c:pt idx="3">
                    <c:v>8.9021199443328675E-2</c:v>
                  </c:pt>
                  <c:pt idx="4">
                    <c:v>1.6591155604162394E-2</c:v>
                  </c:pt>
                  <c:pt idx="5">
                    <c:v>6.0674560604201636E-2</c:v>
                  </c:pt>
                  <c:pt idx="6">
                    <c:v>4.7956284398111837E-2</c:v>
                  </c:pt>
                  <c:pt idx="7">
                    <c:v>0.1124004293401145</c:v>
                  </c:pt>
                  <c:pt idx="8">
                    <c:v>7.2399011828143969E-2</c:v>
                  </c:pt>
                  <c:pt idx="9">
                    <c:v>9.2794435678892562E-2</c:v>
                  </c:pt>
                </c:numCache>
              </c:numRef>
            </c:plus>
            <c:minus>
              <c:numRef>
                <c:f>'grafici e tabelle'!$J$46:$J$55</c:f>
                <c:numCache>
                  <c:formatCode>General</c:formatCode>
                  <c:ptCount val="10"/>
                  <c:pt idx="0">
                    <c:v>0</c:v>
                  </c:pt>
                  <c:pt idx="1">
                    <c:v>1.0811308559339991E-2</c:v>
                  </c:pt>
                  <c:pt idx="2">
                    <c:v>5.848268497795879E-2</c:v>
                  </c:pt>
                  <c:pt idx="3">
                    <c:v>8.9021199443328675E-2</c:v>
                  </c:pt>
                  <c:pt idx="4">
                    <c:v>1.6591155604162394E-2</c:v>
                  </c:pt>
                  <c:pt idx="5">
                    <c:v>6.0674560604201636E-2</c:v>
                  </c:pt>
                  <c:pt idx="6">
                    <c:v>4.7956284398111837E-2</c:v>
                  </c:pt>
                  <c:pt idx="7">
                    <c:v>0.1124004293401145</c:v>
                  </c:pt>
                  <c:pt idx="8">
                    <c:v>7.2399011828143969E-2</c:v>
                  </c:pt>
                  <c:pt idx="9">
                    <c:v>9.2794435678892562E-2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'grafici e tabelle'!$A$46:$A$55</c:f>
              <c:numCache>
                <c:formatCode>General</c:formatCode>
                <c:ptCount val="10"/>
                <c:pt idx="0">
                  <c:v>0</c:v>
                </c:pt>
                <c:pt idx="1">
                  <c:v>8</c:v>
                </c:pt>
                <c:pt idx="2">
                  <c:v>16</c:v>
                </c:pt>
                <c:pt idx="3">
                  <c:v>24</c:v>
                </c:pt>
                <c:pt idx="4">
                  <c:v>32</c:v>
                </c:pt>
                <c:pt idx="5">
                  <c:v>48</c:v>
                </c:pt>
                <c:pt idx="6">
                  <c:v>56</c:v>
                </c:pt>
                <c:pt idx="7">
                  <c:v>72</c:v>
                </c:pt>
                <c:pt idx="8">
                  <c:v>96</c:v>
                </c:pt>
                <c:pt idx="9">
                  <c:v>120</c:v>
                </c:pt>
              </c:numCache>
            </c:numRef>
          </c:xVal>
          <c:yVal>
            <c:numRef>
              <c:f>'grafici e tabelle'!$H$46:$H$55</c:f>
              <c:numCache>
                <c:formatCode>General</c:formatCode>
                <c:ptCount val="10"/>
                <c:pt idx="0">
                  <c:v>1</c:v>
                </c:pt>
                <c:pt idx="1">
                  <c:v>1.0893000804505228</c:v>
                </c:pt>
                <c:pt idx="2">
                  <c:v>1.1261872455902306</c:v>
                </c:pt>
                <c:pt idx="3">
                  <c:v>1.3184039576854265</c:v>
                </c:pt>
                <c:pt idx="4">
                  <c:v>1.331516192168682</c:v>
                </c:pt>
                <c:pt idx="5">
                  <c:v>1.4030331047898079</c:v>
                </c:pt>
                <c:pt idx="6">
                  <c:v>1.6270938149157677</c:v>
                </c:pt>
                <c:pt idx="7">
                  <c:v>1.6146299876322334</c:v>
                </c:pt>
                <c:pt idx="8">
                  <c:v>1.6873716694083889</c:v>
                </c:pt>
                <c:pt idx="9">
                  <c:v>1.7085529712659553</c:v>
                </c:pt>
              </c:numCache>
            </c:numRef>
          </c:yVal>
          <c:smooth val="1"/>
          <c:extLst>
            <c:ext xmlns:c16="http://schemas.microsoft.com/office/drawing/2014/chart" uri="{C3380CC4-5D6E-409C-BE32-E72D297353CC}">
              <c16:uniqueId val="{00000001-7C27-4642-B8AB-6D5F100CA3AF}"/>
            </c:ext>
          </c:extLst>
        </c:ser>
        <c:ser>
          <c:idx val="0"/>
          <c:order val="2"/>
          <c:spPr>
            <a:ln w="12700" cap="rnd">
              <a:solidFill>
                <a:schemeClr val="tx1"/>
              </a:solidFill>
              <a:round/>
            </a:ln>
            <a:effectLst/>
          </c:spPr>
          <c:marker>
            <c:symbol val="none"/>
          </c:marker>
          <c:xVal>
            <c:numRef>
              <c:f>'grafici e tabelle'!$A$46:$A$57</c:f>
              <c:numCache>
                <c:formatCode>General</c:formatCode>
                <c:ptCount val="12"/>
                <c:pt idx="0">
                  <c:v>0</c:v>
                </c:pt>
                <c:pt idx="1">
                  <c:v>8</c:v>
                </c:pt>
                <c:pt idx="2">
                  <c:v>16</c:v>
                </c:pt>
                <c:pt idx="3">
                  <c:v>24</c:v>
                </c:pt>
                <c:pt idx="4">
                  <c:v>32</c:v>
                </c:pt>
                <c:pt idx="5">
                  <c:v>48</c:v>
                </c:pt>
                <c:pt idx="6">
                  <c:v>56</c:v>
                </c:pt>
                <c:pt idx="7">
                  <c:v>72</c:v>
                </c:pt>
                <c:pt idx="8">
                  <c:v>96</c:v>
                </c:pt>
                <c:pt idx="9">
                  <c:v>120</c:v>
                </c:pt>
                <c:pt idx="10">
                  <c:v>168</c:v>
                </c:pt>
                <c:pt idx="11">
                  <c:v>216</c:v>
                </c:pt>
              </c:numCache>
            </c:numRef>
          </c:xVal>
          <c:yVal>
            <c:numRef>
              <c:f>'grafici e tabelle'!$I$46:$I$57</c:f>
              <c:numCache>
                <c:formatCode>General</c:formatCode>
                <c:ptCount val="12"/>
                <c:pt idx="0">
                  <c:v>1</c:v>
                </c:pt>
                <c:pt idx="1">
                  <c:v>1.1221549567756566</c:v>
                </c:pt>
                <c:pt idx="2">
                  <c:v>1.2229930086015095</c:v>
                </c:pt>
                <c:pt idx="3">
                  <c:v>1.3062341063386074</c:v>
                </c:pt>
                <c:pt idx="4">
                  <c:v>1.3749490430813718</c:v>
                </c:pt>
                <c:pt idx="5">
                  <c:v>1.478497744270064</c:v>
                </c:pt>
                <c:pt idx="6">
                  <c:v>1.5171514563763508</c:v>
                </c:pt>
                <c:pt idx="7">
                  <c:v>1.5753999518921249</c:v>
                </c:pt>
                <c:pt idx="8">
                  <c:v>1.6363182568481458</c:v>
                </c:pt>
                <c:pt idx="9">
                  <c:v>1.6605725832572102</c:v>
                </c:pt>
                <c:pt idx="10">
                  <c:v>1.6778211828735932</c:v>
                </c:pt>
                <c:pt idx="11">
                  <c:v>1.6875239117912397</c:v>
                </c:pt>
              </c:numCache>
            </c:numRef>
          </c:yVal>
          <c:smooth val="1"/>
          <c:extLst>
            <c:ext xmlns:c16="http://schemas.microsoft.com/office/drawing/2014/chart" uri="{C3380CC4-5D6E-409C-BE32-E72D297353CC}">
              <c16:uniqueId val="{00000002-7C27-4642-B8AB-6D5F100CA3AF}"/>
            </c:ext>
          </c:extLst>
        </c:ser>
        <c:ser>
          <c:idx val="3"/>
          <c:order val="3"/>
          <c:spPr>
            <a:ln w="12700" cap="rnd">
              <a:solidFill>
                <a:schemeClr val="tx1"/>
              </a:solidFill>
              <a:round/>
            </a:ln>
            <a:effectLst/>
          </c:spPr>
          <c:marker>
            <c:symbol val="none"/>
          </c:marker>
          <c:xVal>
            <c:numRef>
              <c:f>'grafici e tabelle'!$A$46:$A$57</c:f>
              <c:numCache>
                <c:formatCode>General</c:formatCode>
                <c:ptCount val="12"/>
                <c:pt idx="0">
                  <c:v>0</c:v>
                </c:pt>
                <c:pt idx="1">
                  <c:v>8</c:v>
                </c:pt>
                <c:pt idx="2">
                  <c:v>16</c:v>
                </c:pt>
                <c:pt idx="3">
                  <c:v>24</c:v>
                </c:pt>
                <c:pt idx="4">
                  <c:v>32</c:v>
                </c:pt>
                <c:pt idx="5">
                  <c:v>48</c:v>
                </c:pt>
                <c:pt idx="6">
                  <c:v>56</c:v>
                </c:pt>
                <c:pt idx="7">
                  <c:v>72</c:v>
                </c:pt>
                <c:pt idx="8">
                  <c:v>96</c:v>
                </c:pt>
                <c:pt idx="9">
                  <c:v>120</c:v>
                </c:pt>
                <c:pt idx="10">
                  <c:v>168</c:v>
                </c:pt>
                <c:pt idx="11">
                  <c:v>216</c:v>
                </c:pt>
              </c:numCache>
            </c:numRef>
          </c:xVal>
          <c:yVal>
            <c:numRef>
              <c:f>'grafici e tabelle'!$E$46:$E$57</c:f>
              <c:numCache>
                <c:formatCode>General</c:formatCode>
                <c:ptCount val="12"/>
                <c:pt idx="0">
                  <c:v>1</c:v>
                </c:pt>
                <c:pt idx="1">
                  <c:v>1.0635734454997858</c:v>
                </c:pt>
                <c:pt idx="2">
                  <c:v>1.1204109193783811</c:v>
                </c:pt>
                <c:pt idx="3">
                  <c:v>1.1712261365103656</c:v>
                </c:pt>
                <c:pt idx="4">
                  <c:v>1.2166571895808502</c:v>
                </c:pt>
                <c:pt idx="5">
                  <c:v>1.2935882899802873</c:v>
                </c:pt>
                <c:pt idx="6">
                  <c:v>1.3260543702260112</c:v>
                </c:pt>
                <c:pt idx="7">
                  <c:v>1.3810311121273038</c:v>
                </c:pt>
                <c:pt idx="8">
                  <c:v>1.4435197732713259</c:v>
                </c:pt>
                <c:pt idx="9">
                  <c:v>1.488175614376354</c:v>
                </c:pt>
                <c:pt idx="10">
                  <c:v>1.5428928312985914</c:v>
                </c:pt>
                <c:pt idx="11">
                  <c:v>1.5708361579730288</c:v>
                </c:pt>
              </c:numCache>
            </c:numRef>
          </c:yVal>
          <c:smooth val="1"/>
          <c:extLst>
            <c:ext xmlns:c16="http://schemas.microsoft.com/office/drawing/2014/chart" uri="{C3380CC4-5D6E-409C-BE32-E72D297353CC}">
              <c16:uniqueId val="{00000003-7C27-4642-B8AB-6D5F100CA3AF}"/>
            </c:ext>
          </c:extLst>
        </c:ser>
        <c:dLbls>
          <c:showLegendKey val="0"/>
          <c:showVal val="0"/>
          <c:showCatName val="0"/>
          <c:showSerName val="0"/>
          <c:showPercent val="0"/>
          <c:showBubbleSize val="0"/>
        </c:dLbls>
        <c:axId val="118097024"/>
        <c:axId val="118098944"/>
      </c:scatterChart>
      <c:valAx>
        <c:axId val="118097024"/>
        <c:scaling>
          <c:orientation val="minMax"/>
          <c:max val="250"/>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Time (h)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18098944"/>
        <c:crosses val="autoZero"/>
        <c:crossBetween val="midCat"/>
        <c:majorUnit val="50"/>
      </c:valAx>
      <c:valAx>
        <c:axId val="118098944"/>
        <c:scaling>
          <c:orientation val="minMax"/>
          <c:max val="2"/>
          <c:min val="1"/>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solidFill>
                      <a:schemeClr val="tx1"/>
                    </a:solidFill>
                  </a:rPr>
                  <a:t>BI/BI0</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18097024"/>
        <c:crosses val="autoZero"/>
        <c:crossBetween val="midCat"/>
        <c:majorUnit val="0.2"/>
      </c:valAx>
      <c:spPr>
        <a:noFill/>
        <a:ln>
          <a:solidFill>
            <a:schemeClr val="tx1"/>
          </a:solidFill>
        </a:ln>
        <a:effectLst/>
      </c:spPr>
    </c:plotArea>
    <c:plotVisOnly val="1"/>
    <c:dispBlanksAs val="gap"/>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199847969823445"/>
          <c:y val="3.4700127000254002E-2"/>
          <c:w val="0.76101716793597518"/>
          <c:h val="0.80974224028448072"/>
        </c:manualLayout>
      </c:layout>
      <c:scatterChart>
        <c:scatterStyle val="lineMarker"/>
        <c:varyColors val="0"/>
        <c:ser>
          <c:idx val="0"/>
          <c:order val="0"/>
          <c:tx>
            <c:v>4°C</c:v>
          </c:tx>
          <c:spPr>
            <a:ln w="25400" cap="rnd">
              <a:noFill/>
              <a:round/>
            </a:ln>
            <a:effectLst/>
          </c:spPr>
          <c:marker>
            <c:symbol val="circle"/>
            <c:size val="5"/>
            <c:spPr>
              <a:solidFill>
                <a:schemeClr val="tx1"/>
              </a:solidFill>
              <a:ln w="6350">
                <a:solidFill>
                  <a:schemeClr val="tx1"/>
                </a:solidFill>
              </a:ln>
              <a:effectLst/>
            </c:spPr>
          </c:marker>
          <c:errBars>
            <c:errDir val="y"/>
            <c:errBarType val="both"/>
            <c:errValType val="cust"/>
            <c:noEndCap val="0"/>
            <c:plus>
              <c:numRef>
                <c:f>'grafici e tabelle'!$C$3:$C$10</c:f>
                <c:numCache>
                  <c:formatCode>General</c:formatCode>
                  <c:ptCount val="8"/>
                  <c:pt idx="0">
                    <c:v>4.1606427566120263E-2</c:v>
                  </c:pt>
                  <c:pt idx="1">
                    <c:v>6.3931702562911363E-2</c:v>
                  </c:pt>
                  <c:pt idx="2">
                    <c:v>2.8895603920422321E-2</c:v>
                  </c:pt>
                  <c:pt idx="3">
                    <c:v>4.9435491074508148E-2</c:v>
                  </c:pt>
                  <c:pt idx="4">
                    <c:v>8.5951648767931876E-2</c:v>
                  </c:pt>
                  <c:pt idx="5">
                    <c:v>2.6027762955053279E-2</c:v>
                  </c:pt>
                  <c:pt idx="6">
                    <c:v>1.4312348980280387E-2</c:v>
                  </c:pt>
                  <c:pt idx="7">
                    <c:v>2.513280282375565E-2</c:v>
                  </c:pt>
                </c:numCache>
              </c:numRef>
            </c:plus>
            <c:minus>
              <c:numRef>
                <c:f>'grafici e tabelle'!$C$3:$C$10</c:f>
                <c:numCache>
                  <c:formatCode>General</c:formatCode>
                  <c:ptCount val="8"/>
                  <c:pt idx="0">
                    <c:v>4.1606427566120263E-2</c:v>
                  </c:pt>
                  <c:pt idx="1">
                    <c:v>6.3931702562911363E-2</c:v>
                  </c:pt>
                  <c:pt idx="2">
                    <c:v>2.8895603920422321E-2</c:v>
                  </c:pt>
                  <c:pt idx="3">
                    <c:v>4.9435491074508148E-2</c:v>
                  </c:pt>
                  <c:pt idx="4">
                    <c:v>8.5951648767931876E-2</c:v>
                  </c:pt>
                  <c:pt idx="5">
                    <c:v>2.6027762955053279E-2</c:v>
                  </c:pt>
                  <c:pt idx="6">
                    <c:v>1.4312348980280387E-2</c:v>
                  </c:pt>
                  <c:pt idx="7">
                    <c:v>2.513280282375565E-2</c:v>
                  </c:pt>
                </c:numCache>
              </c:numRef>
            </c:minus>
            <c:spPr>
              <a:noFill/>
              <a:ln w="9525" cap="flat" cmpd="sng" algn="ctr">
                <a:solidFill>
                  <a:schemeClr val="tx1">
                    <a:lumMod val="65000"/>
                    <a:lumOff val="35000"/>
                  </a:schemeClr>
                </a:solidFill>
                <a:round/>
              </a:ln>
              <a:effectLst/>
            </c:spPr>
          </c:errBars>
          <c:xVal>
            <c:numRef>
              <c:f>'grafici e tabelle'!$A$3:$A$10</c:f>
              <c:numCache>
                <c:formatCode>General</c:formatCode>
                <c:ptCount val="8"/>
                <c:pt idx="0">
                  <c:v>0</c:v>
                </c:pt>
                <c:pt idx="1">
                  <c:v>24</c:v>
                </c:pt>
                <c:pt idx="2">
                  <c:v>48</c:v>
                </c:pt>
                <c:pt idx="3">
                  <c:v>72</c:v>
                </c:pt>
                <c:pt idx="4">
                  <c:v>100</c:v>
                </c:pt>
                <c:pt idx="5">
                  <c:v>120</c:v>
                </c:pt>
                <c:pt idx="6">
                  <c:v>168</c:v>
                </c:pt>
                <c:pt idx="7">
                  <c:v>216</c:v>
                </c:pt>
              </c:numCache>
            </c:numRef>
          </c:xVal>
          <c:yVal>
            <c:numRef>
              <c:f>'grafici e tabelle'!$B$3:$B$10</c:f>
              <c:numCache>
                <c:formatCode>General</c:formatCode>
                <c:ptCount val="8"/>
                <c:pt idx="0">
                  <c:v>0.35401111111111105</c:v>
                </c:pt>
                <c:pt idx="1">
                  <c:v>0.40782222222222225</c:v>
                </c:pt>
                <c:pt idx="2">
                  <c:v>0.44642222222222222</c:v>
                </c:pt>
                <c:pt idx="3">
                  <c:v>0.47833333333333333</c:v>
                </c:pt>
                <c:pt idx="4">
                  <c:v>0.57452222222222227</c:v>
                </c:pt>
                <c:pt idx="5">
                  <c:v>0.64153333333333329</c:v>
                </c:pt>
                <c:pt idx="6">
                  <c:v>0.6462</c:v>
                </c:pt>
                <c:pt idx="7">
                  <c:v>0.64106666666666656</c:v>
                </c:pt>
              </c:numCache>
            </c:numRef>
          </c:yVal>
          <c:smooth val="0"/>
          <c:extLst>
            <c:ext xmlns:c16="http://schemas.microsoft.com/office/drawing/2014/chart" uri="{C3380CC4-5D6E-409C-BE32-E72D297353CC}">
              <c16:uniqueId val="{00000000-7236-451F-8D3B-3D4783B2203D}"/>
            </c:ext>
          </c:extLst>
        </c:ser>
        <c:ser>
          <c:idx val="1"/>
          <c:order val="1"/>
          <c:tx>
            <c:v>8°C</c:v>
          </c:tx>
          <c:spPr>
            <a:ln w="25400" cap="rnd">
              <a:noFill/>
              <a:round/>
            </a:ln>
            <a:effectLst/>
          </c:spPr>
          <c:marker>
            <c:symbol val="square"/>
            <c:size val="5"/>
            <c:spPr>
              <a:solidFill>
                <a:schemeClr val="tx1"/>
              </a:solidFill>
              <a:ln w="6350">
                <a:solidFill>
                  <a:schemeClr val="tx1"/>
                </a:solidFill>
              </a:ln>
              <a:effectLst/>
            </c:spPr>
          </c:marker>
          <c:errBars>
            <c:errDir val="y"/>
            <c:errBarType val="both"/>
            <c:errValType val="cust"/>
            <c:noEndCap val="0"/>
            <c:plus>
              <c:numRef>
                <c:f>'grafici e tabelle'!$E$3:$E$12</c:f>
                <c:numCache>
                  <c:formatCode>General</c:formatCode>
                  <c:ptCount val="10"/>
                  <c:pt idx="0">
                    <c:v>1.7418397043228624E-2</c:v>
                  </c:pt>
                  <c:pt idx="1">
                    <c:v>4.7376154339498966E-3</c:v>
                  </c:pt>
                  <c:pt idx="2">
                    <c:v>5.1383092766221902E-3</c:v>
                  </c:pt>
                  <c:pt idx="3">
                    <c:v>1.9398296030550977E-2</c:v>
                  </c:pt>
                  <c:pt idx="4">
                    <c:v>7.9596653335565884E-2</c:v>
                  </c:pt>
                  <c:pt idx="5">
                    <c:v>0</c:v>
                  </c:pt>
                  <c:pt idx="6">
                    <c:v>3.5897454258237114E-2</c:v>
                  </c:pt>
                  <c:pt idx="7">
                    <c:v>4.3322075460695907E-2</c:v>
                  </c:pt>
                  <c:pt idx="8">
                    <c:v>2.4395183950935873E-2</c:v>
                  </c:pt>
                  <c:pt idx="9">
                    <c:v>1.397714404145412E-2</c:v>
                  </c:pt>
                </c:numCache>
              </c:numRef>
            </c:plus>
            <c:minus>
              <c:numRef>
                <c:f>'grafici e tabelle'!$E$3:$E$12</c:f>
                <c:numCache>
                  <c:formatCode>General</c:formatCode>
                  <c:ptCount val="10"/>
                  <c:pt idx="0">
                    <c:v>1.7418397043228624E-2</c:v>
                  </c:pt>
                  <c:pt idx="1">
                    <c:v>4.7376154339498966E-3</c:v>
                  </c:pt>
                  <c:pt idx="2">
                    <c:v>5.1383092766221902E-3</c:v>
                  </c:pt>
                  <c:pt idx="3">
                    <c:v>1.9398296030550977E-2</c:v>
                  </c:pt>
                  <c:pt idx="4">
                    <c:v>7.9596653335565884E-2</c:v>
                  </c:pt>
                  <c:pt idx="5">
                    <c:v>0</c:v>
                  </c:pt>
                  <c:pt idx="6">
                    <c:v>3.5897454258237114E-2</c:v>
                  </c:pt>
                  <c:pt idx="7">
                    <c:v>4.3322075460695907E-2</c:v>
                  </c:pt>
                  <c:pt idx="8">
                    <c:v>2.4395183950935873E-2</c:v>
                  </c:pt>
                  <c:pt idx="9">
                    <c:v>1.397714404145412E-2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'grafici e tabelle'!$A$3:$A$12</c:f>
              <c:numCache>
                <c:formatCode>General</c:formatCode>
                <c:ptCount val="10"/>
                <c:pt idx="0">
                  <c:v>0</c:v>
                </c:pt>
                <c:pt idx="1">
                  <c:v>24</c:v>
                </c:pt>
                <c:pt idx="2">
                  <c:v>48</c:v>
                </c:pt>
                <c:pt idx="3">
                  <c:v>72</c:v>
                </c:pt>
                <c:pt idx="4">
                  <c:v>100</c:v>
                </c:pt>
                <c:pt idx="5">
                  <c:v>120</c:v>
                </c:pt>
                <c:pt idx="6">
                  <c:v>168</c:v>
                </c:pt>
                <c:pt idx="7">
                  <c:v>216</c:v>
                </c:pt>
                <c:pt idx="8">
                  <c:v>8</c:v>
                </c:pt>
                <c:pt idx="9">
                  <c:v>16</c:v>
                </c:pt>
              </c:numCache>
            </c:numRef>
          </c:xVal>
          <c:yVal>
            <c:numRef>
              <c:f>'grafici e tabelle'!$D$3:$D$12</c:f>
              <c:numCache>
                <c:formatCode>General</c:formatCode>
                <c:ptCount val="10"/>
                <c:pt idx="0">
                  <c:v>0.44348333333333334</c:v>
                </c:pt>
                <c:pt idx="1">
                  <c:v>0.49101666666666666</c:v>
                </c:pt>
                <c:pt idx="2">
                  <c:v>0.5180555555555556</c:v>
                </c:pt>
                <c:pt idx="3">
                  <c:v>0.68893333333333329</c:v>
                </c:pt>
                <c:pt idx="4">
                  <c:v>0.59024999999999994</c:v>
                </c:pt>
                <c:pt idx="5">
                  <c:v>0.65139999999999998</c:v>
                </c:pt>
                <c:pt idx="6">
                  <c:v>0.65728333333333333</c:v>
                </c:pt>
                <c:pt idx="7">
                  <c:v>0.66451666666666664</c:v>
                </c:pt>
                <c:pt idx="8">
                  <c:v>0.45871666666666666</c:v>
                </c:pt>
                <c:pt idx="9">
                  <c:v>0.46493333333333331</c:v>
                </c:pt>
              </c:numCache>
            </c:numRef>
          </c:yVal>
          <c:smooth val="0"/>
          <c:extLst>
            <c:ext xmlns:c16="http://schemas.microsoft.com/office/drawing/2014/chart" uri="{C3380CC4-5D6E-409C-BE32-E72D297353CC}">
              <c16:uniqueId val="{00000001-7236-451F-8D3B-3D4783B2203D}"/>
            </c:ext>
          </c:extLst>
        </c:ser>
        <c:ser>
          <c:idx val="2"/>
          <c:order val="2"/>
          <c:tx>
            <c:v>12°C</c:v>
          </c:tx>
          <c:spPr>
            <a:ln w="25400" cap="rnd">
              <a:noFill/>
              <a:round/>
            </a:ln>
            <a:effectLst/>
          </c:spPr>
          <c:marker>
            <c:symbol val="triangle"/>
            <c:size val="5"/>
            <c:spPr>
              <a:solidFill>
                <a:schemeClr val="tx1"/>
              </a:solidFill>
              <a:ln w="6350">
                <a:solidFill>
                  <a:schemeClr val="tx1"/>
                </a:solidFill>
              </a:ln>
              <a:effectLst/>
            </c:spPr>
          </c:marker>
          <c:errBars>
            <c:errDir val="y"/>
            <c:errBarType val="both"/>
            <c:errValType val="cust"/>
            <c:noEndCap val="0"/>
            <c:plus>
              <c:numRef>
                <c:f>'grafici e tabelle'!$G$3:$G$14</c:f>
                <c:numCache>
                  <c:formatCode>General</c:formatCode>
                  <c:ptCount val="12"/>
                  <c:pt idx="0">
                    <c:v>1.9352605337094344E-2</c:v>
                  </c:pt>
                  <c:pt idx="1">
                    <c:v>2.2035484850408703E-2</c:v>
                  </c:pt>
                  <c:pt idx="2">
                    <c:v>7.1058921821052111E-3</c:v>
                  </c:pt>
                  <c:pt idx="3">
                    <c:v>5.2013698338176408E-2</c:v>
                  </c:pt>
                  <c:pt idx="4">
                    <c:v>3.1224213064246817E-2</c:v>
                  </c:pt>
                  <c:pt idx="5">
                    <c:v>1.9357264881788103E-3</c:v>
                  </c:pt>
                  <c:pt idx="6">
                    <c:v>1.249223462499509E-2</c:v>
                  </c:pt>
                  <c:pt idx="7">
                    <c:v>3.6560031809695116E-2</c:v>
                  </c:pt>
                  <c:pt idx="8">
                    <c:v>4.7638686426522024E-3</c:v>
                  </c:pt>
                  <c:pt idx="9">
                    <c:v>1.1805224831968747E-2</c:v>
                  </c:pt>
                  <c:pt idx="10">
                    <c:v>3.1224213064246817E-2</c:v>
                  </c:pt>
                  <c:pt idx="11">
                    <c:v>1.249223462499509E-2</c:v>
                  </c:pt>
                </c:numCache>
              </c:numRef>
            </c:plus>
            <c:minus>
              <c:numRef>
                <c:f>'grafici e tabelle'!$G$3:$G$14</c:f>
                <c:numCache>
                  <c:formatCode>General</c:formatCode>
                  <c:ptCount val="12"/>
                  <c:pt idx="0">
                    <c:v>1.9352605337094344E-2</c:v>
                  </c:pt>
                  <c:pt idx="1">
                    <c:v>2.2035484850408703E-2</c:v>
                  </c:pt>
                  <c:pt idx="2">
                    <c:v>7.1058921821052111E-3</c:v>
                  </c:pt>
                  <c:pt idx="3">
                    <c:v>5.2013698338176408E-2</c:v>
                  </c:pt>
                  <c:pt idx="4">
                    <c:v>3.1224213064246817E-2</c:v>
                  </c:pt>
                  <c:pt idx="5">
                    <c:v>1.9357264881788103E-3</c:v>
                  </c:pt>
                  <c:pt idx="6">
                    <c:v>1.249223462499509E-2</c:v>
                  </c:pt>
                  <c:pt idx="7">
                    <c:v>3.6560031809695116E-2</c:v>
                  </c:pt>
                  <c:pt idx="8">
                    <c:v>4.7638686426522024E-3</c:v>
                  </c:pt>
                  <c:pt idx="9">
                    <c:v>1.1805224831968747E-2</c:v>
                  </c:pt>
                  <c:pt idx="10">
                    <c:v>3.1224213064246817E-2</c:v>
                  </c:pt>
                  <c:pt idx="11">
                    <c:v>1.249223462499509E-2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('grafici e tabelle'!$A$3:$A$8,'grafici e tabelle'!$A$11:$A$14)</c:f>
              <c:numCache>
                <c:formatCode>General</c:formatCode>
                <c:ptCount val="10"/>
                <c:pt idx="0">
                  <c:v>0</c:v>
                </c:pt>
                <c:pt idx="1">
                  <c:v>24</c:v>
                </c:pt>
                <c:pt idx="2">
                  <c:v>48</c:v>
                </c:pt>
                <c:pt idx="3">
                  <c:v>72</c:v>
                </c:pt>
                <c:pt idx="4">
                  <c:v>100</c:v>
                </c:pt>
                <c:pt idx="5">
                  <c:v>120</c:v>
                </c:pt>
                <c:pt idx="6">
                  <c:v>8</c:v>
                </c:pt>
                <c:pt idx="7">
                  <c:v>16</c:v>
                </c:pt>
                <c:pt idx="8">
                  <c:v>32</c:v>
                </c:pt>
                <c:pt idx="9">
                  <c:v>56</c:v>
                </c:pt>
              </c:numCache>
            </c:numRef>
          </c:xVal>
          <c:yVal>
            <c:numRef>
              <c:f>('grafici e tabelle'!$F$3:$F$8,'grafici e tabelle'!$F$11:$F$14)</c:f>
              <c:numCache>
                <c:formatCode>General</c:formatCode>
                <c:ptCount val="10"/>
                <c:pt idx="0">
                  <c:v>0.46263333333333329</c:v>
                </c:pt>
                <c:pt idx="1">
                  <c:v>0.60998888888888902</c:v>
                </c:pt>
                <c:pt idx="2">
                  <c:v>0.6491444444444443</c:v>
                </c:pt>
                <c:pt idx="3">
                  <c:v>0.74704444444444451</c:v>
                </c:pt>
                <c:pt idx="4">
                  <c:v>0.78070000000000006</c:v>
                </c:pt>
                <c:pt idx="5">
                  <c:v>0.79049999999999987</c:v>
                </c:pt>
                <c:pt idx="6">
                  <c:v>0.50398888888888893</c:v>
                </c:pt>
                <c:pt idx="7">
                  <c:v>0.52105555555555549</c:v>
                </c:pt>
                <c:pt idx="8">
                  <c:v>0.61605555555555547</c:v>
                </c:pt>
                <c:pt idx="9">
                  <c:v>0.75281111111111099</c:v>
                </c:pt>
              </c:numCache>
            </c:numRef>
          </c:yVal>
          <c:smooth val="0"/>
          <c:extLst>
            <c:ext xmlns:c16="http://schemas.microsoft.com/office/drawing/2014/chart" uri="{C3380CC4-5D6E-409C-BE32-E72D297353CC}">
              <c16:uniqueId val="{00000002-7236-451F-8D3B-3D4783B2203D}"/>
            </c:ext>
          </c:extLst>
        </c:ser>
        <c:dLbls>
          <c:showLegendKey val="0"/>
          <c:showVal val="0"/>
          <c:showCatName val="0"/>
          <c:showSerName val="0"/>
          <c:showPercent val="0"/>
          <c:showBubbleSize val="0"/>
        </c:dLbls>
        <c:axId val="117916416"/>
        <c:axId val="117918336"/>
      </c:scatterChart>
      <c:valAx>
        <c:axId val="117916416"/>
        <c:scaling>
          <c:orientation val="minMax"/>
          <c:max val="250"/>
          <c:min val="0"/>
        </c:scaling>
        <c:delete val="0"/>
        <c:axPos val="b"/>
        <c:title>
          <c:tx>
            <c:rich>
              <a:bodyPr rot="0" vert="horz"/>
              <a:lstStyle/>
              <a:p>
                <a:pPr>
                  <a:defRPr/>
                </a:pPr>
                <a:r>
                  <a:rPr lang="it-IT"/>
                  <a:t>Time (h)</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it-IT"/>
          </a:p>
        </c:txPr>
        <c:crossAx val="117918336"/>
        <c:crosses val="autoZero"/>
        <c:crossBetween val="midCat"/>
        <c:majorUnit val="50"/>
      </c:valAx>
      <c:valAx>
        <c:axId val="117918336"/>
        <c:scaling>
          <c:orientation val="minMax"/>
          <c:min val="0.3000000000000001"/>
        </c:scaling>
        <c:delete val="0"/>
        <c:axPos val="l"/>
        <c:title>
          <c:tx>
            <c:rich>
              <a:bodyPr rot="-5400000" vert="horz"/>
              <a:lstStyle/>
              <a:p>
                <a:pPr>
                  <a:defRPr/>
                </a:pPr>
                <a:r>
                  <a:rPr lang="en-US"/>
                  <a:t>BI</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it-IT"/>
          </a:p>
        </c:txPr>
        <c:crossAx val="117916416"/>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b="0">
          <a:latin typeface="Arial" panose="020B0604020202020204" pitchFamily="34" charset="0"/>
          <a:cs typeface="Arial" panose="020B0604020202020204" pitchFamily="34" charset="0"/>
        </a:defRPr>
      </a:pPr>
      <a:endParaRPr lang="it-IT"/>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05617548844697"/>
          <c:y val="7.7496345393534671E-2"/>
          <c:w val="0.75915249864648326"/>
          <c:h val="0.77682688793647636"/>
        </c:manualLayout>
      </c:layout>
      <c:scatterChart>
        <c:scatterStyle val="lineMarker"/>
        <c:varyColors val="0"/>
        <c:ser>
          <c:idx val="0"/>
          <c:order val="0"/>
          <c:tx>
            <c:v>water</c:v>
          </c:tx>
          <c:spPr>
            <a:ln w="19050" cap="rnd">
              <a:noFill/>
              <a:round/>
            </a:ln>
            <a:effectLst/>
          </c:spPr>
          <c:marker>
            <c:symbol val="circle"/>
            <c:size val="5"/>
            <c:spPr>
              <a:solidFill>
                <a:schemeClr val="tx1"/>
              </a:solidFill>
              <a:ln w="6350">
                <a:solidFill>
                  <a:schemeClr val="tx1"/>
                </a:solidFill>
              </a:ln>
              <a:effectLst/>
            </c:spPr>
          </c:marker>
          <c:errBars>
            <c:errDir val="y"/>
            <c:errBarType val="both"/>
            <c:errValType val="cust"/>
            <c:noEndCap val="0"/>
            <c:plus>
              <c:numRef>
                <c:f>'medie aggiornate chinoni'!$I$19:$I$22</c:f>
                <c:numCache>
                  <c:formatCode>General</c:formatCode>
                  <c:ptCount val="4"/>
                  <c:pt idx="0">
                    <c:v>1.186332662108394E-2</c:v>
                  </c:pt>
                  <c:pt idx="1">
                    <c:v>7.3059601915824418E-2</c:v>
                  </c:pt>
                  <c:pt idx="2">
                    <c:v>2.1023484810569541E-2</c:v>
                  </c:pt>
                  <c:pt idx="3">
                    <c:v>2.3971531469383758E-2</c:v>
                  </c:pt>
                </c:numCache>
              </c:numRef>
            </c:plus>
            <c:minus>
              <c:numRef>
                <c:f>'medie aggiornate chinoni'!$I$19:$I$22</c:f>
                <c:numCache>
                  <c:formatCode>General</c:formatCode>
                  <c:ptCount val="4"/>
                  <c:pt idx="0">
                    <c:v>1.186332662108394E-2</c:v>
                  </c:pt>
                  <c:pt idx="1">
                    <c:v>7.3059601915824418E-2</c:v>
                  </c:pt>
                  <c:pt idx="2">
                    <c:v>2.1023484810569541E-2</c:v>
                  </c:pt>
                  <c:pt idx="3">
                    <c:v>2.3971531469383758E-2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'medie aggiornate chinoni'!$G$24:$G$27</c:f>
              <c:numCache>
                <c:formatCode>General</c:formatCode>
                <c:ptCount val="4"/>
                <c:pt idx="0">
                  <c:v>0</c:v>
                </c:pt>
                <c:pt idx="1">
                  <c:v>48</c:v>
                </c:pt>
                <c:pt idx="2">
                  <c:v>96</c:v>
                </c:pt>
                <c:pt idx="3">
                  <c:v>216</c:v>
                </c:pt>
              </c:numCache>
            </c:numRef>
          </c:xVal>
          <c:yVal>
            <c:numRef>
              <c:f>'medie aggiornate chinoni'!$H$24:$H$27</c:f>
              <c:numCache>
                <c:formatCode>0.0</c:formatCode>
                <c:ptCount val="4"/>
                <c:pt idx="0">
                  <c:v>0.4434833333333334</c:v>
                </c:pt>
                <c:pt idx="1">
                  <c:v>0.53681666666666661</c:v>
                </c:pt>
                <c:pt idx="2">
                  <c:v>0.59025000000000005</c:v>
                </c:pt>
                <c:pt idx="3">
                  <c:v>0.66451666666666676</c:v>
                </c:pt>
              </c:numCache>
            </c:numRef>
          </c:yVal>
          <c:smooth val="0"/>
          <c:extLst>
            <c:ext xmlns:c16="http://schemas.microsoft.com/office/drawing/2014/chart" uri="{C3380CC4-5D6E-409C-BE32-E72D297353CC}">
              <c16:uniqueId val="{00000000-20A5-4579-B0B9-F8F714D4CC3D}"/>
            </c:ext>
          </c:extLst>
        </c:ser>
        <c:ser>
          <c:idx val="1"/>
          <c:order val="1"/>
          <c:tx>
            <c:v>salycilic acid</c:v>
          </c:tx>
          <c:spPr>
            <a:ln w="19050" cap="rnd">
              <a:noFill/>
              <a:round/>
            </a:ln>
            <a:effectLst/>
          </c:spPr>
          <c:marker>
            <c:symbol val="triangle"/>
            <c:size val="5"/>
            <c:spPr>
              <a:solidFill>
                <a:schemeClr val="tx1"/>
              </a:solidFill>
              <a:ln w="6350">
                <a:solidFill>
                  <a:schemeClr val="tx1"/>
                </a:solidFill>
              </a:ln>
              <a:effectLst/>
            </c:spPr>
          </c:marker>
          <c:errBars>
            <c:errDir val="y"/>
            <c:errBarType val="both"/>
            <c:errValType val="cust"/>
            <c:noEndCap val="0"/>
            <c:plus>
              <c:numRef>
                <c:f>'medie aggiornate chinoni'!$M$19:$M$22</c:f>
                <c:numCache>
                  <c:formatCode>General</c:formatCode>
                  <c:ptCount val="4"/>
                  <c:pt idx="0">
                    <c:v>1.5514994738265222E-2</c:v>
                  </c:pt>
                  <c:pt idx="1">
                    <c:v>9.6345187019011829E-3</c:v>
                  </c:pt>
                  <c:pt idx="2">
                    <c:v>1.8781321164693356E-2</c:v>
                  </c:pt>
                  <c:pt idx="3">
                    <c:v>1.8501297919101732E-2</c:v>
                  </c:pt>
                </c:numCache>
              </c:numRef>
            </c:plus>
            <c:minus>
              <c:numRef>
                <c:f>'medie aggiornate chinoni'!$M$19:$M$22</c:f>
                <c:numCache>
                  <c:formatCode>General</c:formatCode>
                  <c:ptCount val="4"/>
                  <c:pt idx="0">
                    <c:v>1.5514994738265222E-2</c:v>
                  </c:pt>
                  <c:pt idx="1">
                    <c:v>9.6345187019011829E-3</c:v>
                  </c:pt>
                  <c:pt idx="2">
                    <c:v>1.8781321164693356E-2</c:v>
                  </c:pt>
                  <c:pt idx="3">
                    <c:v>1.8501297919101732E-2</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'medie aggiornate chinoni'!$G$24:$G$27</c:f>
              <c:numCache>
                <c:formatCode>General</c:formatCode>
                <c:ptCount val="4"/>
                <c:pt idx="0">
                  <c:v>0</c:v>
                </c:pt>
                <c:pt idx="1">
                  <c:v>48</c:v>
                </c:pt>
                <c:pt idx="2">
                  <c:v>96</c:v>
                </c:pt>
                <c:pt idx="3">
                  <c:v>216</c:v>
                </c:pt>
              </c:numCache>
            </c:numRef>
          </c:xVal>
          <c:yVal>
            <c:numRef>
              <c:f>'medie aggiornate chinoni'!$I$24:$I$27</c:f>
              <c:numCache>
                <c:formatCode>0.0</c:formatCode>
                <c:ptCount val="4"/>
                <c:pt idx="0">
                  <c:v>0.4820888888888889</c:v>
                </c:pt>
                <c:pt idx="1">
                  <c:v>0.4579111111111111</c:v>
                </c:pt>
                <c:pt idx="2">
                  <c:v>0.44425555555555557</c:v>
                </c:pt>
                <c:pt idx="3">
                  <c:v>0.66312222222222217</c:v>
                </c:pt>
              </c:numCache>
            </c:numRef>
          </c:yVal>
          <c:smooth val="0"/>
          <c:extLst>
            <c:ext xmlns:c16="http://schemas.microsoft.com/office/drawing/2014/chart" uri="{C3380CC4-5D6E-409C-BE32-E72D297353CC}">
              <c16:uniqueId val="{00000001-20A5-4579-B0B9-F8F714D4CC3D}"/>
            </c:ext>
          </c:extLst>
        </c:ser>
        <c:dLbls>
          <c:showLegendKey val="0"/>
          <c:showVal val="0"/>
          <c:showCatName val="0"/>
          <c:showSerName val="0"/>
          <c:showPercent val="0"/>
          <c:showBubbleSize val="0"/>
        </c:dLbls>
        <c:axId val="305036016"/>
        <c:axId val="293171680"/>
      </c:scatterChart>
      <c:valAx>
        <c:axId val="305036016"/>
        <c:scaling>
          <c:orientation val="minMax"/>
          <c:max val="250"/>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solidFill>
                      <a:schemeClr val="tx1"/>
                    </a:solidFill>
                  </a:rPr>
                  <a:t>time (h)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293171680"/>
        <c:crossesAt val="0"/>
        <c:crossBetween val="midCat"/>
        <c:majorUnit val="50"/>
      </c:valAx>
      <c:valAx>
        <c:axId val="2931716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solidFill>
                      <a:schemeClr val="tx1"/>
                    </a:solidFill>
                  </a:rPr>
                  <a:t>BI </a:t>
                </a:r>
              </a:p>
            </c:rich>
          </c:tx>
          <c:layout>
            <c:manualLayout>
              <c:xMode val="edge"/>
              <c:yMode val="edge"/>
              <c:x val="0"/>
              <c:y val="0.4003268381009336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305036016"/>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it-IT"/>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47337971908407"/>
          <c:y val="5.0761421319796954E-2"/>
          <c:w val="0.77685111003451601"/>
          <c:h val="0.78175496807860045"/>
        </c:manualLayout>
      </c:layout>
      <c:scatterChart>
        <c:scatterStyle val="lineMarker"/>
        <c:varyColors val="0"/>
        <c:ser>
          <c:idx val="0"/>
          <c:order val="0"/>
          <c:tx>
            <c:v>salycilic acid</c:v>
          </c:tx>
          <c:spPr>
            <a:ln w="19050" cap="rnd">
              <a:noFill/>
              <a:round/>
            </a:ln>
            <a:effectLst/>
          </c:spPr>
          <c:marker>
            <c:symbol val="triangle"/>
            <c:size val="5"/>
            <c:spPr>
              <a:solidFill>
                <a:schemeClr val="tx1"/>
              </a:solidFill>
              <a:ln w="6350">
                <a:solidFill>
                  <a:schemeClr val="bg1">
                    <a:lumMod val="85000"/>
                  </a:schemeClr>
                </a:solidFill>
              </a:ln>
              <a:effectLst/>
            </c:spPr>
          </c:marker>
          <c:errBars>
            <c:errDir val="y"/>
            <c:errBarType val="both"/>
            <c:errValType val="cust"/>
            <c:noEndCap val="0"/>
            <c:plus>
              <c:numRef>
                <c:f>'medie aggiornate fenoli'!$H$19:$H$21</c:f>
                <c:numCache>
                  <c:formatCode>General</c:formatCode>
                  <c:ptCount val="3"/>
                  <c:pt idx="0">
                    <c:v>0.52916639261800447</c:v>
                  </c:pt>
                  <c:pt idx="1">
                    <c:v>0.3127772498659227</c:v>
                  </c:pt>
                  <c:pt idx="2">
                    <c:v>0.17610596910502521</c:v>
                  </c:pt>
                </c:numCache>
              </c:numRef>
            </c:plus>
            <c:minus>
              <c:numRef>
                <c:f>'medie aggiornate fenoli'!$H$19:$H$21</c:f>
                <c:numCache>
                  <c:formatCode>General</c:formatCode>
                  <c:ptCount val="3"/>
                  <c:pt idx="0">
                    <c:v>0.52916639261800447</c:v>
                  </c:pt>
                  <c:pt idx="1">
                    <c:v>0.3127772498659227</c:v>
                  </c:pt>
                  <c:pt idx="2">
                    <c:v>0.17610596910502521</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'medie aggiornate fenoli'!$F$19:$F$25</c:f>
              <c:numCache>
                <c:formatCode>General</c:formatCode>
                <c:ptCount val="7"/>
                <c:pt idx="0">
                  <c:v>0</c:v>
                </c:pt>
                <c:pt idx="1">
                  <c:v>48</c:v>
                </c:pt>
                <c:pt idx="2">
                  <c:v>96</c:v>
                </c:pt>
                <c:pt idx="5">
                  <c:v>216</c:v>
                </c:pt>
              </c:numCache>
            </c:numRef>
          </c:xVal>
          <c:yVal>
            <c:numRef>
              <c:f>'medie aggiornate fenoli'!$G$19:$G$25</c:f>
              <c:numCache>
                <c:formatCode>General</c:formatCode>
                <c:ptCount val="7"/>
                <c:pt idx="0">
                  <c:v>7.5907029478458066</c:v>
                </c:pt>
                <c:pt idx="1">
                  <c:v>6.9387755102040805</c:v>
                </c:pt>
                <c:pt idx="2">
                  <c:v>7.1938775510204085</c:v>
                </c:pt>
                <c:pt idx="5">
                  <c:v>3.0408163265306118</c:v>
                </c:pt>
              </c:numCache>
            </c:numRef>
          </c:yVal>
          <c:smooth val="0"/>
          <c:extLst>
            <c:ext xmlns:c16="http://schemas.microsoft.com/office/drawing/2014/chart" uri="{C3380CC4-5D6E-409C-BE32-E72D297353CC}">
              <c16:uniqueId val="{00000000-E5B0-44B5-9FA4-273DCEE3F13A}"/>
            </c:ext>
          </c:extLst>
        </c:ser>
        <c:ser>
          <c:idx val="1"/>
          <c:order val="1"/>
          <c:tx>
            <c:v>water</c:v>
          </c:tx>
          <c:spPr>
            <a:ln w="19050" cap="rnd">
              <a:noFill/>
              <a:round/>
            </a:ln>
            <a:effectLst/>
          </c:spPr>
          <c:marker>
            <c:symbol val="circle"/>
            <c:size val="5"/>
            <c:spPr>
              <a:solidFill>
                <a:schemeClr val="tx1"/>
              </a:solidFill>
              <a:ln w="6350">
                <a:solidFill>
                  <a:schemeClr val="tx1"/>
                </a:solidFill>
              </a:ln>
              <a:effectLst/>
            </c:spPr>
          </c:marker>
          <c:errBars>
            <c:errDir val="y"/>
            <c:errBarType val="both"/>
            <c:errValType val="cust"/>
            <c:noEndCap val="0"/>
            <c:plus>
              <c:numRef>
                <c:f>'medie aggiornate fenoli'!$J$19:$J$21</c:f>
                <c:numCache>
                  <c:formatCode>General</c:formatCode>
                  <c:ptCount val="3"/>
                  <c:pt idx="0">
                    <c:v>0</c:v>
                  </c:pt>
                  <c:pt idx="1">
                    <c:v>0.59369739054812043</c:v>
                  </c:pt>
                  <c:pt idx="2">
                    <c:v>0.64526119490984035</c:v>
                  </c:pt>
                </c:numCache>
              </c:numRef>
            </c:plus>
            <c:minus>
              <c:numRef>
                <c:f>'medie aggiornate fenoli'!$J$19:$J$21</c:f>
                <c:numCache>
                  <c:formatCode>General</c:formatCode>
                  <c:ptCount val="3"/>
                  <c:pt idx="0">
                    <c:v>0</c:v>
                  </c:pt>
                  <c:pt idx="1">
                    <c:v>0.59369739054812043</c:v>
                  </c:pt>
                  <c:pt idx="2">
                    <c:v>0.64526119490984035</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1"/>
            <c:spPr>
              <a:noFill/>
              <a:ln w="9525" cap="flat" cmpd="sng" algn="ctr">
                <a:solidFill>
                  <a:schemeClr val="tx1">
                    <a:lumMod val="65000"/>
                    <a:lumOff val="35000"/>
                  </a:schemeClr>
                </a:solidFill>
                <a:round/>
              </a:ln>
              <a:effectLst/>
            </c:spPr>
          </c:errBars>
          <c:xVal>
            <c:numRef>
              <c:f>'medie aggiornate fenoli'!$F$19:$F$25</c:f>
              <c:numCache>
                <c:formatCode>General</c:formatCode>
                <c:ptCount val="7"/>
                <c:pt idx="0">
                  <c:v>0</c:v>
                </c:pt>
                <c:pt idx="1">
                  <c:v>48</c:v>
                </c:pt>
                <c:pt idx="2">
                  <c:v>96</c:v>
                </c:pt>
                <c:pt idx="5">
                  <c:v>216</c:v>
                </c:pt>
              </c:numCache>
            </c:numRef>
          </c:xVal>
          <c:yVal>
            <c:numRef>
              <c:f>'medie aggiornate fenoli'!$I$19:$I$25</c:f>
              <c:numCache>
                <c:formatCode>General</c:formatCode>
                <c:ptCount val="7"/>
                <c:pt idx="0">
                  <c:v>7.7074829931972788</c:v>
                </c:pt>
                <c:pt idx="1">
                  <c:v>2.9115646258503407</c:v>
                </c:pt>
                <c:pt idx="2">
                  <c:v>2.9739229024943312</c:v>
                </c:pt>
                <c:pt idx="5">
                  <c:v>2.8514739229024944</c:v>
                </c:pt>
              </c:numCache>
            </c:numRef>
          </c:yVal>
          <c:smooth val="0"/>
          <c:extLst>
            <c:ext xmlns:c16="http://schemas.microsoft.com/office/drawing/2014/chart" uri="{C3380CC4-5D6E-409C-BE32-E72D297353CC}">
              <c16:uniqueId val="{00000001-E5B0-44B5-9FA4-273DCEE3F13A}"/>
            </c:ext>
          </c:extLst>
        </c:ser>
        <c:dLbls>
          <c:showLegendKey val="0"/>
          <c:showVal val="0"/>
          <c:showCatName val="0"/>
          <c:showSerName val="0"/>
          <c:showPercent val="0"/>
          <c:showBubbleSize val="0"/>
        </c:dLbls>
        <c:axId val="141533632"/>
        <c:axId val="193583392"/>
      </c:scatterChart>
      <c:valAx>
        <c:axId val="141533632"/>
        <c:scaling>
          <c:orientation val="minMax"/>
          <c:min val="0"/>
        </c:scaling>
        <c:delete val="0"/>
        <c:axPos val="b"/>
        <c:title>
          <c:tx>
            <c:rich>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time (h)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3583392"/>
        <c:crosses val="autoZero"/>
        <c:crossBetween val="midCat"/>
        <c:majorUnit val="50"/>
      </c:valAx>
      <c:valAx>
        <c:axId val="193583392"/>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r>
                  <a:rPr lang="it-IT"/>
                  <a:t>𝜇g GAE/g FW</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41533632"/>
        <c:crosses val="autoZero"/>
        <c:crossBetween val="midCat"/>
      </c:valAx>
      <c:spPr>
        <a:noFill/>
        <a:ln>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chemeClr val="tx1"/>
          </a:solidFill>
          <a:latin typeface="Arial" panose="020B0604020202020204" pitchFamily="34" charset="0"/>
          <a:cs typeface="Arial" panose="020B0604020202020204" pitchFamily="34" charset="0"/>
        </a:defRPr>
      </a:pPr>
      <a:endParaRPr lang="it-IT"/>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0.84655</cdr:x>
      <cdr:y>0.06449</cdr:y>
    </cdr:from>
    <cdr:to>
      <cdr:x>0.93045</cdr:x>
      <cdr:y>0.15053</cdr:y>
    </cdr:to>
    <cdr:sp macro="" textlink="">
      <cdr:nvSpPr>
        <cdr:cNvPr id="2" name="Casella di testo 12"/>
        <cdr:cNvSpPr txBox="1"/>
      </cdr:nvSpPr>
      <cdr:spPr>
        <a:xfrm xmlns:a="http://schemas.openxmlformats.org/drawingml/2006/main">
          <a:off x="2386754" y="158882"/>
          <a:ext cx="236567" cy="211983"/>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B</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0.80496</cdr:x>
      <cdr:y>0.04551</cdr:y>
    </cdr:from>
    <cdr:to>
      <cdr:x>0.88648</cdr:x>
      <cdr:y>0.13477</cdr:y>
    </cdr:to>
    <cdr:sp macro="" textlink="">
      <cdr:nvSpPr>
        <cdr:cNvPr id="2" name="Casella di testo 12"/>
        <cdr:cNvSpPr txBox="1"/>
      </cdr:nvSpPr>
      <cdr:spPr>
        <a:xfrm xmlns:a="http://schemas.openxmlformats.org/drawingml/2006/main">
          <a:off x="2232191" y="115237"/>
          <a:ext cx="226060" cy="22606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A</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0.82884</cdr:x>
      <cdr:y>0.07666</cdr:y>
    </cdr:from>
    <cdr:to>
      <cdr:x>0.91105</cdr:x>
      <cdr:y>0.16265</cdr:y>
    </cdr:to>
    <cdr:sp macro="" textlink="">
      <cdr:nvSpPr>
        <cdr:cNvPr id="2" name="Casella di testo 12"/>
        <cdr:cNvSpPr txBox="1"/>
      </cdr:nvSpPr>
      <cdr:spPr>
        <a:xfrm xmlns:a="http://schemas.openxmlformats.org/drawingml/2006/main">
          <a:off x="2278924" y="201542"/>
          <a:ext cx="226042" cy="226059"/>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B</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0.83535</cdr:x>
      <cdr:y>0.04651</cdr:y>
    </cdr:from>
    <cdr:to>
      <cdr:x>0.9164</cdr:x>
      <cdr:y>0.13985</cdr:y>
    </cdr:to>
    <cdr:sp macro="" textlink="">
      <cdr:nvSpPr>
        <cdr:cNvPr id="2" name="Casella di testo 12"/>
        <cdr:cNvSpPr txBox="1"/>
      </cdr:nvSpPr>
      <cdr:spPr>
        <a:xfrm xmlns:a="http://schemas.openxmlformats.org/drawingml/2006/main">
          <a:off x="2329712" y="112641"/>
          <a:ext cx="226060" cy="226060"/>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A</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0.8396</cdr:x>
      <cdr:y>0.08316</cdr:y>
    </cdr:from>
    <cdr:to>
      <cdr:x>0.90946</cdr:x>
      <cdr:y>0.15979</cdr:y>
    </cdr:to>
    <cdr:sp macro="" textlink="">
      <cdr:nvSpPr>
        <cdr:cNvPr id="4" name="Casella di testo 12"/>
        <cdr:cNvSpPr txBox="1"/>
      </cdr:nvSpPr>
      <cdr:spPr>
        <a:xfrm xmlns:a="http://schemas.openxmlformats.org/drawingml/2006/main">
          <a:off x="2310648" y="200234"/>
          <a:ext cx="192274" cy="18451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B</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0.85005</cdr:x>
      <cdr:y>0.05822</cdr:y>
    </cdr:from>
    <cdr:to>
      <cdr:x>0.92254</cdr:x>
      <cdr:y>0.13631</cdr:y>
    </cdr:to>
    <cdr:sp macro="" textlink="">
      <cdr:nvSpPr>
        <cdr:cNvPr id="2" name="Casella di testo 12"/>
        <cdr:cNvSpPr txBox="1"/>
      </cdr:nvSpPr>
      <cdr:spPr>
        <a:xfrm xmlns:a="http://schemas.openxmlformats.org/drawingml/2006/main">
          <a:off x="2254657" y="137568"/>
          <a:ext cx="192274" cy="184517"/>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0000"/>
            </a:lnSpc>
            <a:spcAft>
              <a:spcPts val="0"/>
            </a:spcAft>
            <a:tabLst>
              <a:tab pos="4508500" algn="r"/>
            </a:tabLst>
          </a:pPr>
          <a:r>
            <a:rPr lang="en-GB" sz="900">
              <a:effectLst/>
              <a:latin typeface="Arial" panose="020B0604020202020204" pitchFamily="34" charset="0"/>
              <a:ea typeface="Times New Roman" panose="02020603050405020304" pitchFamily="18" charset="0"/>
              <a:cs typeface="Times New Roman" panose="02020603050405020304" pitchFamily="18" charset="0"/>
            </a:rPr>
            <a:t>A</a:t>
          </a:r>
          <a:endParaRPr lang="it-IT" sz="9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32A8B-FF8F-477C-88F4-49B65B317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5256</Words>
  <Characters>29963</Characters>
  <Application>Microsoft Office Word</Application>
  <DocSecurity>0</DocSecurity>
  <Lines>249</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2019-04-18T11:24:00Z</dcterms:created>
  <dcterms:modified xsi:type="dcterms:W3CDTF">2019-04-18T11:24:00Z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8f13d24a-5eb3-3e99-aa3d-9daacf387d9d</vt:lpwstr>
  </property>
  <property fmtid="{D5CDD505-2E9C-101B-9397-08002B2CF9AE}" pid="26" name="Mendeley Citation Style_1">
    <vt:lpwstr>http://www.zotero.org/styles/harvard-cite-them-right</vt:lpwstr>
  </property>
</Properties>
</file>