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2A6C40" w14:paraId="17B2A9D8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2E3CDF2B" w14:textId="77777777" w:rsidR="000A03B2" w:rsidRPr="002A6C40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GoBack"/>
            <w:bookmarkEnd w:id="0"/>
            <w:r w:rsidRPr="002A6C40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63C0DD3B" wp14:editId="78F40FEC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C40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2A6C40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2A6C40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2A6C40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2A6C40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2A6C40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704A332F" w14:textId="77777777" w:rsidR="000A03B2" w:rsidRPr="002A6C40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2A6C40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 w:rsidRPr="002A6C40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 w:rsidRPr="002A6C40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 w:rsidRPr="002A6C40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 w:rsidRPr="002A6C40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9A859D" w14:textId="77777777" w:rsidR="000A03B2" w:rsidRPr="002A6C40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A6C40">
              <w:rPr>
                <w:rFonts w:cs="Arial"/>
                <w:sz w:val="14"/>
                <w:szCs w:val="14"/>
              </w:rPr>
              <w:t>A publication of</w:t>
            </w:r>
          </w:p>
          <w:p w14:paraId="6804B578" w14:textId="77777777" w:rsidR="000A03B2" w:rsidRPr="002A6C40" w:rsidRDefault="000A03B2" w:rsidP="00CD5FE2">
            <w:pPr>
              <w:jc w:val="right"/>
            </w:pPr>
            <w:r w:rsidRPr="002A6C40">
              <w:rPr>
                <w:noProof/>
                <w:lang w:val="it-IT" w:eastAsia="it-IT"/>
              </w:rPr>
              <w:drawing>
                <wp:inline distT="0" distB="0" distL="0" distR="0" wp14:anchorId="4613DBBA" wp14:editId="02E14651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2A6C40" w14:paraId="22126E89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C2A7080" w14:textId="77777777" w:rsidR="000A03B2" w:rsidRPr="002A6C40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2ABEB5" w14:textId="77777777" w:rsidR="000A03B2" w:rsidRPr="002A6C40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A6C40">
              <w:rPr>
                <w:rFonts w:cs="Arial"/>
                <w:sz w:val="14"/>
                <w:szCs w:val="14"/>
              </w:rPr>
              <w:t>The Italian Association</w:t>
            </w:r>
          </w:p>
          <w:p w14:paraId="59E30849" w14:textId="77777777" w:rsidR="000A03B2" w:rsidRPr="002A6C40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A6C40">
              <w:rPr>
                <w:rFonts w:cs="Arial"/>
                <w:sz w:val="14"/>
                <w:szCs w:val="14"/>
              </w:rPr>
              <w:t>of Chemical Engineering</w:t>
            </w:r>
          </w:p>
          <w:p w14:paraId="75C1ACE3" w14:textId="77777777" w:rsidR="000A03B2" w:rsidRPr="002A6C40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2A6C40">
              <w:rPr>
                <w:rFonts w:cs="Arial"/>
                <w:sz w:val="14"/>
                <w:szCs w:val="14"/>
              </w:rPr>
              <w:t xml:space="preserve">Online at </w:t>
            </w:r>
            <w:r w:rsidR="00892AD5" w:rsidRPr="002A6C40">
              <w:rPr>
                <w:rFonts w:cs="Arial"/>
                <w:sz w:val="14"/>
                <w:szCs w:val="14"/>
              </w:rPr>
              <w:t>www.aidic.it/cet</w:t>
            </w:r>
          </w:p>
        </w:tc>
      </w:tr>
      <w:tr w:rsidR="000A03B2" w:rsidRPr="002A6C40" w14:paraId="5622EFC3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3827512A" w14:textId="77777777" w:rsidR="00300E56" w:rsidRPr="008D24BD" w:rsidRDefault="00300E56" w:rsidP="003365E3">
            <w:pPr>
              <w:ind w:left="-107"/>
              <w:rPr>
                <w:lang w:val="it-IT"/>
              </w:rPr>
            </w:pPr>
            <w:r w:rsidRPr="008D24BD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8D24BD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8D24BD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3B60F3" w:rsidRPr="008D24BD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r w:rsidR="00047D7F" w:rsidRPr="008D24BD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 Jaromír Klemeš</w:t>
            </w:r>
            <w:r w:rsidR="00252C1A" w:rsidRPr="008D24BD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Laura Piazza</w:t>
            </w:r>
          </w:p>
          <w:p w14:paraId="57619877" w14:textId="77777777" w:rsidR="000A03B2" w:rsidRPr="002A6C40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2A6C40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 w:rsidRPr="002A6C40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2A6C40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="00300E56" w:rsidRPr="002A6C40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2A6C40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2A6C40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2A6C40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 w:rsidRPr="002A6C40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2A6C40">
              <w:rPr>
                <w:rFonts w:ascii="Tahoma" w:hAnsi="Tahoma" w:cs="Tahoma"/>
                <w:sz w:val="14"/>
                <w:szCs w:val="14"/>
              </w:rPr>
              <w:t>-</w:t>
            </w:r>
            <w:r w:rsidR="009635B9" w:rsidRPr="002A6C40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2A6C40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; </w:t>
            </w:r>
            <w:r w:rsidR="00300E56" w:rsidRPr="002A6C40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2A6C40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1554E036" w14:textId="77777777" w:rsidR="000A03B2" w:rsidRPr="002A6C40" w:rsidRDefault="000A03B2" w:rsidP="000A03B2">
      <w:pPr>
        <w:pStyle w:val="CETAuthors"/>
        <w:sectPr w:rsidR="000A03B2" w:rsidRPr="002A6C40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742A3F52" w14:textId="77777777" w:rsidR="00A13E71" w:rsidRPr="002A6C40" w:rsidRDefault="00A13E71" w:rsidP="00A13E71">
      <w:pPr>
        <w:pStyle w:val="CETTitle"/>
      </w:pPr>
      <w:r w:rsidRPr="002A6C40">
        <w:t>EFFECT OF COMMERCIAL DRIED SOURDOUGH</w:t>
      </w:r>
      <w:r w:rsidR="008203BC" w:rsidRPr="002A6C40">
        <w:t>S</w:t>
      </w:r>
      <w:r w:rsidRPr="002A6C40">
        <w:t xml:space="preserve"> ON STRUCTURAL CHARACTERISTICS OF WHEAT BREAD</w:t>
      </w:r>
    </w:p>
    <w:p w14:paraId="13CC267A" w14:textId="10087751" w:rsidR="00E978D0" w:rsidRPr="008D24BD" w:rsidRDefault="002E06F8" w:rsidP="00AB5011">
      <w:pPr>
        <w:pStyle w:val="CETAuthors"/>
        <w:rPr>
          <w:lang w:val="it-IT"/>
        </w:rPr>
      </w:pPr>
      <w:bookmarkStart w:id="1" w:name="_Hlk533925981"/>
      <w:r w:rsidRPr="008D24BD">
        <w:rPr>
          <w:lang w:val="it-IT"/>
        </w:rPr>
        <w:t>Laura Principato, Guillermo Duserm Garrido</w:t>
      </w:r>
      <w:r w:rsidR="00600535" w:rsidRPr="008D24BD">
        <w:rPr>
          <w:lang w:val="it-IT"/>
        </w:rPr>
        <w:t>,</w:t>
      </w:r>
      <w:r w:rsidR="0060175D">
        <w:rPr>
          <w:lang w:val="it-IT"/>
        </w:rPr>
        <w:t xml:space="preserve"> Mauro Massari,</w:t>
      </w:r>
      <w:r w:rsidR="00600535" w:rsidRPr="008D24BD">
        <w:rPr>
          <w:lang w:val="it-IT"/>
        </w:rPr>
        <w:t xml:space="preserve"> </w:t>
      </w:r>
      <w:r w:rsidRPr="008D24BD">
        <w:rPr>
          <w:lang w:val="it-IT"/>
        </w:rPr>
        <w:t>Roberta Dordoni, Giorgia Spigno</w:t>
      </w:r>
      <w:r w:rsidR="00735D6C" w:rsidRPr="008D24BD">
        <w:rPr>
          <w:lang w:val="it-IT"/>
        </w:rPr>
        <w:t>*</w:t>
      </w:r>
    </w:p>
    <w:p w14:paraId="19ECC933" w14:textId="287E0E8E" w:rsidR="00322AE8" w:rsidRPr="00DD210D" w:rsidRDefault="00322AE8" w:rsidP="00E978D0">
      <w:pPr>
        <w:pStyle w:val="CETAddress"/>
      </w:pPr>
      <w:r w:rsidRPr="00DD210D">
        <w:t xml:space="preserve">DiSTAS – Department for Sustainable Food Process, Università Cattolica </w:t>
      </w:r>
      <w:r w:rsidR="00735D6C" w:rsidRPr="00DD210D">
        <w:t xml:space="preserve">del </w:t>
      </w:r>
      <w:r w:rsidRPr="00DD210D">
        <w:t xml:space="preserve">Sacro Cuore, Piacenza (Italy) </w:t>
      </w:r>
      <w:r w:rsidR="00E978D0" w:rsidRPr="00DD210D">
        <w:t xml:space="preserve"> </w:t>
      </w:r>
    </w:p>
    <w:p w14:paraId="2BEF69D1" w14:textId="77777777" w:rsidR="00E978D0" w:rsidRPr="002A6C40" w:rsidRDefault="00322AE8" w:rsidP="00E978D0">
      <w:pPr>
        <w:pStyle w:val="CETemail"/>
      </w:pPr>
      <w:r w:rsidRPr="002A6C40">
        <w:t xml:space="preserve">giorgia.spigno@unicatt.it </w:t>
      </w:r>
    </w:p>
    <w:bookmarkEnd w:id="1"/>
    <w:p w14:paraId="1ABB4AEC" w14:textId="7422E1B5" w:rsidR="00B6138A" w:rsidRPr="002A6C40" w:rsidRDefault="00A13E71" w:rsidP="00CC77FF">
      <w:pPr>
        <w:pStyle w:val="CETBodytext"/>
        <w:rPr>
          <w:lang w:val="en-GB"/>
        </w:rPr>
      </w:pPr>
      <w:r w:rsidRPr="002A6C40">
        <w:rPr>
          <w:lang w:val="en-GB"/>
        </w:rPr>
        <w:t xml:space="preserve">This study investigated the effect of the addition of three commercial dried sourdoughs </w:t>
      </w:r>
      <w:r w:rsidR="00735D6C" w:rsidRPr="002A6C40">
        <w:rPr>
          <w:lang w:val="en-GB"/>
        </w:rPr>
        <w:t>containing</w:t>
      </w:r>
      <w:r w:rsidR="008D24BD">
        <w:rPr>
          <w:lang w:val="en-GB"/>
        </w:rPr>
        <w:t xml:space="preserve"> </w:t>
      </w:r>
      <w:r w:rsidRPr="002A6C40">
        <w:rPr>
          <w:lang w:val="en-GB"/>
        </w:rPr>
        <w:t>different percentage</w:t>
      </w:r>
      <w:r w:rsidR="00735D6C" w:rsidRPr="002A6C40">
        <w:rPr>
          <w:lang w:val="en-GB"/>
        </w:rPr>
        <w:t>s</w:t>
      </w:r>
      <w:r w:rsidRPr="002A6C40">
        <w:rPr>
          <w:lang w:val="en-GB"/>
        </w:rPr>
        <w:t xml:space="preserve"> of </w:t>
      </w:r>
      <w:r w:rsidR="006D539F">
        <w:rPr>
          <w:i/>
          <w:lang w:val="en-GB"/>
        </w:rPr>
        <w:t>Saccharomyces c</w:t>
      </w:r>
      <w:r w:rsidRPr="002A6C40">
        <w:rPr>
          <w:i/>
          <w:lang w:val="en-GB"/>
        </w:rPr>
        <w:t>erevisiae</w:t>
      </w:r>
      <w:r w:rsidRPr="002A6C40">
        <w:rPr>
          <w:lang w:val="en-GB"/>
        </w:rPr>
        <w:t xml:space="preserve"> (25-30%)</w:t>
      </w:r>
      <w:r w:rsidR="00735D6C" w:rsidRPr="002A6C40">
        <w:rPr>
          <w:lang w:val="en-GB"/>
        </w:rPr>
        <w:t>,</w:t>
      </w:r>
      <w:r w:rsidRPr="002A6C40">
        <w:rPr>
          <w:lang w:val="en-GB"/>
        </w:rPr>
        <w:t xml:space="preserve"> on structural characteristics of wheat bread. Rheology, texture and physicochemical characteristics were assessed for both dough and </w:t>
      </w:r>
      <w:r w:rsidR="00756DF8">
        <w:rPr>
          <w:lang w:val="en-GB"/>
        </w:rPr>
        <w:t>final</w:t>
      </w:r>
      <w:r w:rsidRPr="002A6C40">
        <w:rPr>
          <w:lang w:val="en-GB"/>
        </w:rPr>
        <w:t xml:space="preserve"> bread. Control sample</w:t>
      </w:r>
      <w:r w:rsidR="00756DF8">
        <w:rPr>
          <w:lang w:val="en-GB"/>
        </w:rPr>
        <w:t>s</w:t>
      </w:r>
      <w:r w:rsidRPr="002A6C40">
        <w:rPr>
          <w:lang w:val="en-GB"/>
        </w:rPr>
        <w:t xml:space="preserve"> w</w:t>
      </w:r>
      <w:r w:rsidR="00756DF8">
        <w:rPr>
          <w:lang w:val="en-GB"/>
        </w:rPr>
        <w:t>ere</w:t>
      </w:r>
      <w:r w:rsidRPr="002A6C40">
        <w:rPr>
          <w:lang w:val="en-GB"/>
        </w:rPr>
        <w:t xml:space="preserve"> prepared using common dried </w:t>
      </w:r>
      <w:r w:rsidR="00756DF8">
        <w:rPr>
          <w:lang w:val="en-GB"/>
        </w:rPr>
        <w:t>bakery</w:t>
      </w:r>
      <w:r w:rsidRPr="002A6C40">
        <w:rPr>
          <w:lang w:val="en-GB"/>
        </w:rPr>
        <w:t xml:space="preserve">’s yeast (100% </w:t>
      </w:r>
      <w:r w:rsidR="006D539F">
        <w:rPr>
          <w:i/>
          <w:lang w:val="en-GB"/>
        </w:rPr>
        <w:t>S. c</w:t>
      </w:r>
      <w:r w:rsidRPr="002A6C40">
        <w:rPr>
          <w:i/>
          <w:lang w:val="en-GB"/>
        </w:rPr>
        <w:t>erevisiae</w:t>
      </w:r>
      <w:r w:rsidRPr="002A6C40">
        <w:rPr>
          <w:lang w:val="en-GB"/>
        </w:rPr>
        <w:t>).</w:t>
      </w:r>
      <w:bookmarkStart w:id="2" w:name="_Hlk530670132"/>
      <w:r w:rsidRPr="002A6C40">
        <w:rPr>
          <w:lang w:val="en-GB"/>
        </w:rPr>
        <w:t xml:space="preserve"> </w:t>
      </w:r>
      <w:r w:rsidR="00756DF8">
        <w:rPr>
          <w:lang w:val="en-GB"/>
        </w:rPr>
        <w:t xml:space="preserve">The rheological parameters </w:t>
      </w:r>
      <w:r w:rsidR="00577C32">
        <w:rPr>
          <w:lang w:val="en-GB"/>
        </w:rPr>
        <w:t>c</w:t>
      </w:r>
      <w:r w:rsidR="00735D6C" w:rsidRPr="002A6C40">
        <w:rPr>
          <w:lang w:val="en-GB"/>
        </w:rPr>
        <w:t>omplex viscosity (η), linear viscoelastic region (LVR), storage and loss modulus (G’ and G’’) and angular tangent (tanδ) were evaluated on the doughs through r</w:t>
      </w:r>
      <w:r w:rsidRPr="002A6C40">
        <w:rPr>
          <w:lang w:val="en-GB"/>
        </w:rPr>
        <w:t xml:space="preserve">heological tests </w:t>
      </w:r>
      <w:r w:rsidR="00756DF8">
        <w:rPr>
          <w:lang w:val="en-GB"/>
        </w:rPr>
        <w:t xml:space="preserve">carried out </w:t>
      </w:r>
      <w:r w:rsidRPr="002A6C40">
        <w:rPr>
          <w:lang w:val="en-GB"/>
        </w:rPr>
        <w:t>both in rotational and oscillatory mode</w:t>
      </w:r>
      <w:r w:rsidR="00756DF8">
        <w:rPr>
          <w:lang w:val="en-GB"/>
        </w:rPr>
        <w:t>. F</w:t>
      </w:r>
      <w:r w:rsidR="00CC77FF">
        <w:rPr>
          <w:lang w:val="en-GB"/>
        </w:rPr>
        <w:t xml:space="preserve">inal breads were characterised for the </w:t>
      </w:r>
      <w:r w:rsidR="00735D6C" w:rsidRPr="002A6C40">
        <w:rPr>
          <w:lang w:val="en-GB"/>
        </w:rPr>
        <w:t xml:space="preserve">texture profile </w:t>
      </w:r>
      <w:r w:rsidRPr="002A6C40">
        <w:rPr>
          <w:lang w:val="en-GB"/>
        </w:rPr>
        <w:t>(hardness, springiness, cohesiveness and resilience)</w:t>
      </w:r>
      <w:r w:rsidR="00735D6C" w:rsidRPr="002A6C40">
        <w:rPr>
          <w:lang w:val="en-GB"/>
        </w:rPr>
        <w:t>.</w:t>
      </w:r>
      <w:r w:rsidRPr="002A6C40">
        <w:rPr>
          <w:lang w:val="en-GB"/>
        </w:rPr>
        <w:t xml:space="preserve"> Moisture content and pH were </w:t>
      </w:r>
      <w:r w:rsidR="00735D6C" w:rsidRPr="002A6C40">
        <w:rPr>
          <w:lang w:val="en-GB"/>
        </w:rPr>
        <w:t>monitored</w:t>
      </w:r>
      <w:r w:rsidRPr="002A6C40">
        <w:rPr>
          <w:lang w:val="en-GB"/>
        </w:rPr>
        <w:t xml:space="preserve"> during the process. </w:t>
      </w:r>
      <w:r w:rsidR="00735D6C" w:rsidRPr="002A6C40">
        <w:rPr>
          <w:lang w:val="en-GB"/>
        </w:rPr>
        <w:t>T</w:t>
      </w:r>
      <w:r w:rsidRPr="002A6C40">
        <w:rPr>
          <w:lang w:val="en-GB"/>
        </w:rPr>
        <w:t xml:space="preserve">he leavening </w:t>
      </w:r>
      <w:r w:rsidR="00756DF8">
        <w:rPr>
          <w:lang w:val="en-GB"/>
        </w:rPr>
        <w:t>agents</w:t>
      </w:r>
      <w:r w:rsidRPr="002A6C40">
        <w:rPr>
          <w:lang w:val="en-GB"/>
        </w:rPr>
        <w:t xml:space="preserve"> </w:t>
      </w:r>
      <w:r w:rsidR="00756DF8">
        <w:rPr>
          <w:lang w:val="en-GB"/>
        </w:rPr>
        <w:t xml:space="preserve">(dried sourdoughs and bakery’s yeast) </w:t>
      </w:r>
      <w:r w:rsidR="00735D6C" w:rsidRPr="002A6C40">
        <w:rPr>
          <w:lang w:val="en-GB"/>
        </w:rPr>
        <w:t xml:space="preserve">were characterized for the content </w:t>
      </w:r>
      <w:r w:rsidRPr="002A6C40">
        <w:rPr>
          <w:lang w:val="en-GB"/>
        </w:rPr>
        <w:t>of total lactic acid bacteria and total yeasts.</w:t>
      </w:r>
      <w:bookmarkStart w:id="3" w:name="_Hlk530670223"/>
      <w:bookmarkEnd w:id="2"/>
      <w:r w:rsidR="002A6C40" w:rsidRPr="002A6C40">
        <w:rPr>
          <w:lang w:val="en-GB"/>
        </w:rPr>
        <w:t xml:space="preserve"> </w:t>
      </w:r>
      <w:r w:rsidRPr="002A6C40">
        <w:rPr>
          <w:lang w:val="en-GB"/>
        </w:rPr>
        <w:t xml:space="preserve">Rheological analysis highlighted a pseudo-plastic behaviour </w:t>
      </w:r>
      <w:r w:rsidR="002A6C40">
        <w:rPr>
          <w:lang w:val="en-GB"/>
        </w:rPr>
        <w:t>for</w:t>
      </w:r>
      <w:r w:rsidR="002A6C40" w:rsidRPr="002A6C40">
        <w:rPr>
          <w:lang w:val="en-GB"/>
        </w:rPr>
        <w:t xml:space="preserve"> </w:t>
      </w:r>
      <w:r w:rsidRPr="002A6C40">
        <w:rPr>
          <w:lang w:val="en-GB"/>
        </w:rPr>
        <w:t xml:space="preserve">all </w:t>
      </w:r>
      <w:r w:rsidR="002A6C40">
        <w:rPr>
          <w:lang w:val="en-GB"/>
        </w:rPr>
        <w:t xml:space="preserve">the </w:t>
      </w:r>
      <w:r w:rsidRPr="002A6C40">
        <w:rPr>
          <w:lang w:val="en-GB"/>
        </w:rPr>
        <w:t>doughs with the elastic component prevalent on the viscous one (G’&gt;G’’)</w:t>
      </w:r>
      <w:r w:rsidR="002A6C40">
        <w:rPr>
          <w:lang w:val="en-GB"/>
        </w:rPr>
        <w:t>, without substantial</w:t>
      </w:r>
      <w:bookmarkStart w:id="4" w:name="_Hlk534101967"/>
      <w:r w:rsidR="008D24BD">
        <w:rPr>
          <w:lang w:val="en-GB"/>
        </w:rPr>
        <w:t xml:space="preserve"> </w:t>
      </w:r>
      <w:r w:rsidRPr="002A6C40">
        <w:rPr>
          <w:lang w:val="en-GB"/>
        </w:rPr>
        <w:t xml:space="preserve">differences among samples before proofing. After </w:t>
      </w:r>
      <w:r w:rsidR="00F92C31" w:rsidRPr="002A6C40">
        <w:rPr>
          <w:lang w:val="en-GB"/>
        </w:rPr>
        <w:t>3</w:t>
      </w:r>
      <w:r w:rsidRPr="002A6C40">
        <w:rPr>
          <w:lang w:val="en-GB"/>
        </w:rPr>
        <w:t xml:space="preserve"> h leavening, storage and loss moduli and complex viscosity were lower than control for all the sourdough samples. </w:t>
      </w:r>
      <w:bookmarkEnd w:id="4"/>
      <w:r w:rsidRPr="002A6C40">
        <w:rPr>
          <w:lang w:val="en-GB"/>
        </w:rPr>
        <w:t xml:space="preserve">Microbial evaluation showed no vital </w:t>
      </w:r>
      <w:r w:rsidR="002A6C40">
        <w:rPr>
          <w:lang w:val="en-GB"/>
        </w:rPr>
        <w:t>lactic acid bacteria</w:t>
      </w:r>
      <w:r w:rsidRPr="002A6C40">
        <w:rPr>
          <w:lang w:val="en-GB"/>
        </w:rPr>
        <w:t xml:space="preserve"> in the dried sourdough that</w:t>
      </w:r>
      <w:r w:rsidR="00756DF8">
        <w:rPr>
          <w:lang w:val="en-GB"/>
        </w:rPr>
        <w:t>, contrary to the other two,</w:t>
      </w:r>
      <w:r w:rsidRPr="002A6C40">
        <w:rPr>
          <w:lang w:val="en-GB"/>
        </w:rPr>
        <w:t xml:space="preserve"> </w:t>
      </w:r>
      <w:r w:rsidR="00756DF8">
        <w:rPr>
          <w:lang w:val="en-GB"/>
        </w:rPr>
        <w:t xml:space="preserve">did not give acidification during </w:t>
      </w:r>
      <w:r w:rsidRPr="002A6C40">
        <w:rPr>
          <w:lang w:val="en-GB"/>
        </w:rPr>
        <w:t>leavening</w:t>
      </w:r>
      <w:r w:rsidR="002A6C40">
        <w:rPr>
          <w:lang w:val="en-GB"/>
        </w:rPr>
        <w:t xml:space="preserve"> and </w:t>
      </w:r>
      <w:r w:rsidR="00756DF8">
        <w:rPr>
          <w:lang w:val="en-GB"/>
        </w:rPr>
        <w:t xml:space="preserve">produced </w:t>
      </w:r>
      <w:r w:rsidR="002A6C40">
        <w:rPr>
          <w:lang w:val="en-GB"/>
        </w:rPr>
        <w:t>a</w:t>
      </w:r>
      <w:r w:rsidRPr="002A6C40">
        <w:rPr>
          <w:lang w:val="en-GB"/>
        </w:rPr>
        <w:t xml:space="preserve"> final bread </w:t>
      </w:r>
      <w:r w:rsidR="002A6C40">
        <w:rPr>
          <w:lang w:val="en-GB"/>
        </w:rPr>
        <w:t>with</w:t>
      </w:r>
      <w:r w:rsidRPr="002A6C40">
        <w:rPr>
          <w:lang w:val="en-GB"/>
        </w:rPr>
        <w:t xml:space="preserve"> texture properties </w:t>
      </w:r>
      <w:r w:rsidR="008D24BD">
        <w:rPr>
          <w:lang w:val="en-GB"/>
        </w:rPr>
        <w:t>comparable to those of the</w:t>
      </w:r>
      <w:r w:rsidRPr="002A6C40">
        <w:rPr>
          <w:lang w:val="en-GB"/>
        </w:rPr>
        <w:t xml:space="preserve"> control</w:t>
      </w:r>
      <w:bookmarkEnd w:id="3"/>
      <w:r w:rsidR="008D24BD">
        <w:rPr>
          <w:lang w:val="en-GB"/>
        </w:rPr>
        <w:t>.</w:t>
      </w:r>
    </w:p>
    <w:p w14:paraId="1E360AF7" w14:textId="77777777" w:rsidR="00284F9D" w:rsidRPr="002A6C40" w:rsidRDefault="00284F9D" w:rsidP="00FC6C94">
      <w:pPr>
        <w:pStyle w:val="CETHeading1"/>
        <w:rPr>
          <w:lang w:val="en-GB"/>
        </w:rPr>
      </w:pPr>
      <w:r w:rsidRPr="002A6C40">
        <w:rPr>
          <w:lang w:val="en-GB"/>
        </w:rPr>
        <w:t>Introduction</w:t>
      </w:r>
    </w:p>
    <w:p w14:paraId="76530992" w14:textId="55FB0729" w:rsidR="009A1F85" w:rsidRDefault="0053532A" w:rsidP="002264CB">
      <w:pPr>
        <w:pStyle w:val="CETBodytext"/>
        <w:rPr>
          <w:lang w:val="en-GB"/>
        </w:rPr>
      </w:pPr>
      <w:r w:rsidRPr="002A6C40">
        <w:rPr>
          <w:lang w:val="en-GB"/>
        </w:rPr>
        <w:t xml:space="preserve">The use of sourdough in breadmaking is probably one of the oldest </w:t>
      </w:r>
      <w:r w:rsidR="00577C32" w:rsidRPr="002A6C40">
        <w:rPr>
          <w:lang w:val="en-GB"/>
        </w:rPr>
        <w:t>know</w:t>
      </w:r>
      <w:r w:rsidR="00577C32">
        <w:rPr>
          <w:lang w:val="en-GB"/>
        </w:rPr>
        <w:t>n</w:t>
      </w:r>
      <w:r w:rsidR="00577C32" w:rsidRPr="002A6C40">
        <w:rPr>
          <w:lang w:val="en-GB"/>
        </w:rPr>
        <w:t xml:space="preserve"> </w:t>
      </w:r>
      <w:r w:rsidRPr="002A6C40">
        <w:rPr>
          <w:lang w:val="en-GB"/>
        </w:rPr>
        <w:t>biotechnological process</w:t>
      </w:r>
      <w:r w:rsidR="008D24BD">
        <w:rPr>
          <w:lang w:val="en-GB"/>
        </w:rPr>
        <w:t>es</w:t>
      </w:r>
      <w:r w:rsidRPr="002A6C40">
        <w:rPr>
          <w:lang w:val="en-GB"/>
        </w:rPr>
        <w:t xml:space="preserve"> for cereal</w:t>
      </w:r>
      <w:r w:rsidR="008D24BD">
        <w:rPr>
          <w:lang w:val="en-GB"/>
        </w:rPr>
        <w:t>-based</w:t>
      </w:r>
      <w:r w:rsidRPr="002A6C40">
        <w:rPr>
          <w:lang w:val="en-GB"/>
        </w:rPr>
        <w:t xml:space="preserve"> food production</w:t>
      </w:r>
      <w:r w:rsidR="005F77CE" w:rsidRPr="005F77CE">
        <w:t xml:space="preserve"> </w:t>
      </w:r>
      <w:r w:rsidR="005F77CE" w:rsidRPr="005F77CE">
        <w:rPr>
          <w:lang w:val="en-GB"/>
        </w:rPr>
        <w:t>(Chavan &amp; Chavan, 2011</w:t>
      </w:r>
      <w:r w:rsidR="009373F9">
        <w:rPr>
          <w:lang w:val="en-GB"/>
        </w:rPr>
        <w:t xml:space="preserve">, </w:t>
      </w:r>
      <w:r w:rsidR="009373F9" w:rsidRPr="009373F9">
        <w:rPr>
          <w:lang w:val="en-GB"/>
        </w:rPr>
        <w:t>Papasidero</w:t>
      </w:r>
      <w:r w:rsidR="009373F9">
        <w:rPr>
          <w:lang w:val="en-GB"/>
        </w:rPr>
        <w:t xml:space="preserve"> et al., 2014</w:t>
      </w:r>
      <w:r w:rsidR="005F77CE" w:rsidRPr="005F77CE">
        <w:rPr>
          <w:lang w:val="en-GB"/>
        </w:rPr>
        <w:t>)</w:t>
      </w:r>
      <w:r w:rsidR="005F77CE">
        <w:rPr>
          <w:lang w:val="en-GB"/>
        </w:rPr>
        <w:t xml:space="preserve">. </w:t>
      </w:r>
      <w:r w:rsidRPr="002A6C40">
        <w:rPr>
          <w:lang w:val="en-GB"/>
        </w:rPr>
        <w:t xml:space="preserve">Sourdough is defined as a dough </w:t>
      </w:r>
      <w:r w:rsidR="00577C32">
        <w:rPr>
          <w:lang w:val="en-GB"/>
        </w:rPr>
        <w:t xml:space="preserve">made </w:t>
      </w:r>
      <w:r w:rsidRPr="002A6C40">
        <w:rPr>
          <w:lang w:val="en-GB"/>
        </w:rPr>
        <w:t>of flo</w:t>
      </w:r>
      <w:r w:rsidR="008D24BD">
        <w:rPr>
          <w:lang w:val="en-GB"/>
        </w:rPr>
        <w:t>ur</w:t>
      </w:r>
      <w:r w:rsidRPr="002A6C40">
        <w:rPr>
          <w:lang w:val="en-GB"/>
        </w:rPr>
        <w:t xml:space="preserve"> and water fermented by yeast and lactic acid bacteria (LAB</w:t>
      </w:r>
      <w:r w:rsidR="00DD210D" w:rsidRPr="002A6C40">
        <w:rPr>
          <w:lang w:val="en-GB"/>
        </w:rPr>
        <w:t>)</w:t>
      </w:r>
      <w:r w:rsidR="00DD210D">
        <w:rPr>
          <w:lang w:val="en-GB"/>
        </w:rPr>
        <w:t xml:space="preserve"> and</w:t>
      </w:r>
      <w:r w:rsidRPr="002A6C40">
        <w:rPr>
          <w:lang w:val="en-GB"/>
        </w:rPr>
        <w:t xml:space="preserve"> used as a leavening </w:t>
      </w:r>
      <w:r w:rsidR="0035748B" w:rsidRPr="002A6C40">
        <w:rPr>
          <w:lang w:val="en-GB"/>
        </w:rPr>
        <w:t>agent in bakery production</w:t>
      </w:r>
      <w:r w:rsidR="005F77CE">
        <w:rPr>
          <w:lang w:val="en-GB"/>
        </w:rPr>
        <w:t xml:space="preserve"> </w:t>
      </w:r>
      <w:r w:rsidR="005F77CE" w:rsidRPr="005F77CE">
        <w:rPr>
          <w:lang w:val="en-GB"/>
        </w:rPr>
        <w:t>(Siepman</w:t>
      </w:r>
      <w:r w:rsidR="005F77CE">
        <w:rPr>
          <w:lang w:val="en-GB"/>
        </w:rPr>
        <w:t xml:space="preserve">n </w:t>
      </w:r>
      <w:r w:rsidR="005F77CE" w:rsidRPr="005F77CE">
        <w:rPr>
          <w:lang w:val="en-GB"/>
        </w:rPr>
        <w:t>et al., 2018)</w:t>
      </w:r>
      <w:bookmarkStart w:id="5" w:name="_Hlk536288525"/>
      <w:r w:rsidR="007E4CD2" w:rsidRPr="002A6C40">
        <w:rPr>
          <w:lang w:val="en-GB"/>
        </w:rPr>
        <w:t xml:space="preserve">. </w:t>
      </w:r>
      <w:bookmarkEnd w:id="5"/>
      <w:r w:rsidR="007E4CD2" w:rsidRPr="002A6C40">
        <w:rPr>
          <w:lang w:val="en-GB"/>
        </w:rPr>
        <w:t xml:space="preserve">The use of sourdough </w:t>
      </w:r>
      <w:r w:rsidR="008D24BD">
        <w:rPr>
          <w:lang w:val="en-GB"/>
        </w:rPr>
        <w:t xml:space="preserve">may </w:t>
      </w:r>
      <w:r w:rsidR="007E4CD2" w:rsidRPr="002A6C40">
        <w:rPr>
          <w:lang w:val="en-GB"/>
        </w:rPr>
        <w:t>improve</w:t>
      </w:r>
      <w:r w:rsidR="008D24BD">
        <w:rPr>
          <w:lang w:val="en-GB"/>
        </w:rPr>
        <w:t xml:space="preserve"> the final product </w:t>
      </w:r>
      <w:r w:rsidR="00577C32">
        <w:rPr>
          <w:lang w:val="en-GB"/>
        </w:rPr>
        <w:t>shelf-</w:t>
      </w:r>
      <w:r w:rsidR="00577C32" w:rsidRPr="002A6C40">
        <w:rPr>
          <w:lang w:val="en-GB"/>
        </w:rPr>
        <w:t>life</w:t>
      </w:r>
      <w:r w:rsidR="007E4CD2" w:rsidRPr="002A6C40">
        <w:rPr>
          <w:lang w:val="en-GB"/>
        </w:rPr>
        <w:t xml:space="preserve"> due </w:t>
      </w:r>
      <w:r w:rsidR="00577C32">
        <w:rPr>
          <w:lang w:val="en-GB"/>
        </w:rPr>
        <w:t xml:space="preserve">to </w:t>
      </w:r>
      <w:r w:rsidR="007E4CD2" w:rsidRPr="002A6C40">
        <w:rPr>
          <w:lang w:val="en-GB"/>
        </w:rPr>
        <w:t>its higher acidity</w:t>
      </w:r>
      <w:r w:rsidR="005F77CE">
        <w:rPr>
          <w:lang w:val="en-GB"/>
        </w:rPr>
        <w:t xml:space="preserve"> </w:t>
      </w:r>
      <w:r w:rsidR="005F77CE" w:rsidRPr="005F77CE">
        <w:rPr>
          <w:lang w:val="en-GB"/>
        </w:rPr>
        <w:t>(Poutanen et al., 2009)</w:t>
      </w:r>
      <w:r w:rsidR="007E4CD2" w:rsidRPr="002A6C40">
        <w:rPr>
          <w:lang w:val="en-GB"/>
        </w:rPr>
        <w:t>, antifungal</w:t>
      </w:r>
      <w:r w:rsidR="009C5C59" w:rsidRPr="002A6C40">
        <w:rPr>
          <w:lang w:val="en-GB"/>
        </w:rPr>
        <w:t xml:space="preserve"> </w:t>
      </w:r>
      <w:r w:rsidR="005F77CE" w:rsidRPr="005F77CE">
        <w:rPr>
          <w:lang w:val="en-GB"/>
        </w:rPr>
        <w:t xml:space="preserve">(Manini et al., 2016) </w:t>
      </w:r>
      <w:r w:rsidR="00284F9D" w:rsidRPr="002A6C40">
        <w:rPr>
          <w:lang w:val="en-GB"/>
        </w:rPr>
        <w:t>a</w:t>
      </w:r>
      <w:r w:rsidR="007E4CD2" w:rsidRPr="002A6C40">
        <w:rPr>
          <w:lang w:val="en-GB"/>
        </w:rPr>
        <w:t xml:space="preserve">nd antimicrobial </w:t>
      </w:r>
      <w:r w:rsidR="008D24BD">
        <w:rPr>
          <w:lang w:val="en-GB"/>
        </w:rPr>
        <w:t>activity</w:t>
      </w:r>
      <w:r w:rsidR="005F77CE" w:rsidRPr="005F77CE">
        <w:t xml:space="preserve"> </w:t>
      </w:r>
      <w:r w:rsidR="005F77CE" w:rsidRPr="005F77CE">
        <w:rPr>
          <w:lang w:val="en-GB"/>
        </w:rPr>
        <w:t>(Neysens &amp; De Vuyst, 2005)</w:t>
      </w:r>
      <w:r w:rsidR="005F77CE">
        <w:rPr>
          <w:lang w:val="en-GB"/>
        </w:rPr>
        <w:t xml:space="preserve">. </w:t>
      </w:r>
      <w:r w:rsidR="00284F9D" w:rsidRPr="002A6C40">
        <w:rPr>
          <w:lang w:val="en-GB"/>
        </w:rPr>
        <w:t>Moreover</w:t>
      </w:r>
      <w:r w:rsidR="00A13E71" w:rsidRPr="002A6C40">
        <w:rPr>
          <w:lang w:val="en-GB"/>
        </w:rPr>
        <w:t xml:space="preserve">, </w:t>
      </w:r>
      <w:r w:rsidR="002264CB">
        <w:rPr>
          <w:lang w:val="en-GB"/>
        </w:rPr>
        <w:t>t</w:t>
      </w:r>
      <w:r w:rsidR="002264CB" w:rsidRPr="002264CB">
        <w:rPr>
          <w:lang w:val="en-GB"/>
        </w:rPr>
        <w:t>here is considerable</w:t>
      </w:r>
      <w:r w:rsidR="002264CB">
        <w:rPr>
          <w:lang w:val="en-GB"/>
        </w:rPr>
        <w:t xml:space="preserve"> </w:t>
      </w:r>
      <w:r w:rsidR="002264CB" w:rsidRPr="002264CB">
        <w:rPr>
          <w:lang w:val="en-GB"/>
        </w:rPr>
        <w:t xml:space="preserve">consensus </w:t>
      </w:r>
      <w:r w:rsidR="004A209E" w:rsidRPr="002264CB">
        <w:rPr>
          <w:lang w:val="en-GB"/>
        </w:rPr>
        <w:t>regarding</w:t>
      </w:r>
      <w:r w:rsidR="002264CB" w:rsidRPr="002264CB">
        <w:rPr>
          <w:lang w:val="en-GB"/>
        </w:rPr>
        <w:t xml:space="preserve"> the positive effects conferred on</w:t>
      </w:r>
      <w:r w:rsidR="00577C32">
        <w:rPr>
          <w:lang w:val="en-GB"/>
        </w:rPr>
        <w:t xml:space="preserve"> </w:t>
      </w:r>
      <w:r w:rsidR="002264CB" w:rsidRPr="002264CB">
        <w:rPr>
          <w:lang w:val="en-GB"/>
        </w:rPr>
        <w:t>the product by its use, including improvements in bread volume and</w:t>
      </w:r>
      <w:r w:rsidR="00FE72C0">
        <w:rPr>
          <w:lang w:val="en-GB"/>
        </w:rPr>
        <w:t xml:space="preserve"> </w:t>
      </w:r>
      <w:r w:rsidR="002264CB" w:rsidRPr="002264CB">
        <w:rPr>
          <w:lang w:val="en-GB"/>
        </w:rPr>
        <w:t>crumb structure</w:t>
      </w:r>
      <w:r w:rsidR="005F77CE">
        <w:rPr>
          <w:lang w:val="en-GB"/>
        </w:rPr>
        <w:t xml:space="preserve"> </w:t>
      </w:r>
      <w:r w:rsidR="005F77CE" w:rsidRPr="005F77CE">
        <w:rPr>
          <w:lang w:val="en-GB"/>
        </w:rPr>
        <w:t xml:space="preserve">(Clarke et al., 2004) </w:t>
      </w:r>
      <w:r w:rsidR="00A13E71" w:rsidRPr="002A6C40">
        <w:rPr>
          <w:lang w:val="en-GB"/>
        </w:rPr>
        <w:t xml:space="preserve">and better </w:t>
      </w:r>
      <w:r w:rsidR="00FE72C0">
        <w:rPr>
          <w:lang w:val="en-GB"/>
        </w:rPr>
        <w:t>sensory</w:t>
      </w:r>
      <w:r w:rsidR="00A13E71" w:rsidRPr="002A6C40">
        <w:rPr>
          <w:lang w:val="en-GB"/>
        </w:rPr>
        <w:t xml:space="preserve"> and aroma </w:t>
      </w:r>
      <w:r w:rsidR="006B10FD">
        <w:rPr>
          <w:lang w:val="en-GB"/>
        </w:rPr>
        <w:t>profile</w:t>
      </w:r>
      <w:r w:rsidR="005F77CE" w:rsidRPr="005F77CE">
        <w:rPr>
          <w:lang w:val="en-GB"/>
        </w:rPr>
        <w:t xml:space="preserve"> (Corsetti, 2012)</w:t>
      </w:r>
      <w:r w:rsidR="00A13E71" w:rsidRPr="002A6C40">
        <w:rPr>
          <w:lang w:val="en-GB"/>
        </w:rPr>
        <w:t>.</w:t>
      </w:r>
      <w:r w:rsidR="00606390" w:rsidRPr="002A6C40">
        <w:rPr>
          <w:lang w:val="en-GB"/>
        </w:rPr>
        <w:t xml:space="preserve"> From a technological point of view, sourdough can be classified into three types. Type I is </w:t>
      </w:r>
      <w:r w:rsidR="006B10FD">
        <w:rPr>
          <w:lang w:val="en-GB"/>
        </w:rPr>
        <w:t xml:space="preserve">a </w:t>
      </w:r>
      <w:r w:rsidR="00F00C72" w:rsidRPr="002A6C40">
        <w:rPr>
          <w:lang w:val="en-GB"/>
        </w:rPr>
        <w:t xml:space="preserve">dough </w:t>
      </w:r>
      <w:r w:rsidR="00577C32">
        <w:rPr>
          <w:lang w:val="en-GB"/>
        </w:rPr>
        <w:t xml:space="preserve">made </w:t>
      </w:r>
      <w:r w:rsidR="00F00C72" w:rsidRPr="002A6C40">
        <w:rPr>
          <w:lang w:val="en-GB"/>
        </w:rPr>
        <w:t xml:space="preserve">of water and </w:t>
      </w:r>
      <w:r w:rsidR="00F00C72" w:rsidRPr="00577C32">
        <w:rPr>
          <w:lang w:val="en-GB"/>
        </w:rPr>
        <w:t xml:space="preserve">flour </w:t>
      </w:r>
      <w:r w:rsidR="00606390" w:rsidRPr="00577C32">
        <w:rPr>
          <w:lang w:val="en-GB"/>
        </w:rPr>
        <w:t xml:space="preserve">which is </w:t>
      </w:r>
      <w:r w:rsidR="00F00C72" w:rsidRPr="00577C32">
        <w:rPr>
          <w:lang w:val="en-GB"/>
        </w:rPr>
        <w:t xml:space="preserve">continuously </w:t>
      </w:r>
      <w:r w:rsidR="006B10FD" w:rsidRPr="00577C32">
        <w:rPr>
          <w:lang w:val="en-GB"/>
        </w:rPr>
        <w:t>“</w:t>
      </w:r>
      <w:r w:rsidR="00E3605E" w:rsidRPr="00577C32">
        <w:rPr>
          <w:lang w:val="en-GB"/>
        </w:rPr>
        <w:t>backslopped</w:t>
      </w:r>
      <w:r w:rsidR="006B10FD" w:rsidRPr="00577C32">
        <w:rPr>
          <w:lang w:val="en-GB"/>
        </w:rPr>
        <w:t>”</w:t>
      </w:r>
      <w:r w:rsidR="00F00C72" w:rsidRPr="00577C32">
        <w:rPr>
          <w:lang w:val="en-GB"/>
        </w:rPr>
        <w:t xml:space="preserve"> </w:t>
      </w:r>
      <w:r w:rsidR="00577C32" w:rsidRPr="00577C32">
        <w:rPr>
          <w:lang w:val="en-GB"/>
        </w:rPr>
        <w:t>using a</w:t>
      </w:r>
      <w:r w:rsidR="006B10FD" w:rsidRPr="00577C32">
        <w:rPr>
          <w:lang w:val="en-GB"/>
        </w:rPr>
        <w:t xml:space="preserve"> </w:t>
      </w:r>
      <w:r w:rsidR="006B10FD">
        <w:rPr>
          <w:lang w:val="en-GB"/>
        </w:rPr>
        <w:t xml:space="preserve">portion of </w:t>
      </w:r>
      <w:r w:rsidR="00F00C72" w:rsidRPr="002A6C40">
        <w:rPr>
          <w:lang w:val="en-GB"/>
        </w:rPr>
        <w:t xml:space="preserve">previous </w:t>
      </w:r>
      <w:r w:rsidR="006B10FD">
        <w:rPr>
          <w:lang w:val="en-GB"/>
        </w:rPr>
        <w:t>dough as inoculum</w:t>
      </w:r>
      <w:r w:rsidR="00F00C72" w:rsidRPr="002A6C40">
        <w:rPr>
          <w:lang w:val="en-GB"/>
        </w:rPr>
        <w:t xml:space="preserve">. </w:t>
      </w:r>
      <w:r w:rsidR="008A02E9" w:rsidRPr="002A6C40">
        <w:rPr>
          <w:rFonts w:eastAsiaTheme="minorHAnsi" w:cs="Arial"/>
          <w:color w:val="131413"/>
          <w:szCs w:val="18"/>
          <w:lang w:val="en-GB"/>
        </w:rPr>
        <w:t xml:space="preserve">Type I sourdough is usually produced </w:t>
      </w:r>
      <w:r w:rsidR="00577C32">
        <w:rPr>
          <w:rFonts w:eastAsiaTheme="minorHAnsi" w:cs="Arial"/>
          <w:color w:val="131413"/>
          <w:szCs w:val="18"/>
          <w:lang w:val="en-GB"/>
        </w:rPr>
        <w:t>as</w:t>
      </w:r>
      <w:r w:rsidR="008A02E9" w:rsidRPr="002A6C40">
        <w:rPr>
          <w:rFonts w:eastAsiaTheme="minorHAnsi" w:cs="Arial"/>
          <w:color w:val="131413"/>
          <w:szCs w:val="18"/>
          <w:lang w:val="en-GB"/>
        </w:rPr>
        <w:t xml:space="preserve"> a firm dough </w:t>
      </w:r>
      <w:r w:rsidR="00577C32">
        <w:rPr>
          <w:rFonts w:eastAsiaTheme="minorHAnsi" w:cs="Arial"/>
          <w:color w:val="131413"/>
          <w:szCs w:val="18"/>
          <w:lang w:val="en-GB"/>
        </w:rPr>
        <w:t>exploiting t</w:t>
      </w:r>
      <w:r w:rsidR="00577C32" w:rsidRPr="002A6C40">
        <w:rPr>
          <w:rFonts w:eastAsiaTheme="minorHAnsi" w:cs="Arial"/>
          <w:color w:val="131413"/>
          <w:szCs w:val="18"/>
          <w:lang w:val="en-GB"/>
        </w:rPr>
        <w:t xml:space="preserve">he microbial </w:t>
      </w:r>
      <w:r w:rsidR="00577C32">
        <w:rPr>
          <w:rFonts w:eastAsiaTheme="minorHAnsi" w:cs="Arial"/>
          <w:color w:val="131413"/>
          <w:szCs w:val="18"/>
          <w:lang w:val="en-GB"/>
        </w:rPr>
        <w:t>flora</w:t>
      </w:r>
      <w:r w:rsidR="00577C32" w:rsidRPr="002A6C40">
        <w:rPr>
          <w:rFonts w:eastAsiaTheme="minorHAnsi" w:cs="Arial"/>
          <w:color w:val="131413"/>
          <w:szCs w:val="18"/>
          <w:lang w:val="en-GB"/>
        </w:rPr>
        <w:t xml:space="preserve"> present in the </w:t>
      </w:r>
      <w:r w:rsidR="00577C32">
        <w:rPr>
          <w:rFonts w:eastAsiaTheme="minorHAnsi" w:cs="Arial"/>
          <w:color w:val="131413"/>
          <w:szCs w:val="18"/>
          <w:lang w:val="en-GB"/>
        </w:rPr>
        <w:t xml:space="preserve">previous </w:t>
      </w:r>
      <w:r w:rsidR="00577C32" w:rsidRPr="002A6C40">
        <w:rPr>
          <w:rFonts w:eastAsiaTheme="minorHAnsi" w:cs="Arial"/>
          <w:color w:val="131413"/>
          <w:szCs w:val="18"/>
          <w:lang w:val="en-GB"/>
        </w:rPr>
        <w:t xml:space="preserve">dough </w:t>
      </w:r>
      <w:r w:rsidR="00577C32">
        <w:rPr>
          <w:rFonts w:eastAsiaTheme="minorHAnsi" w:cs="Arial"/>
          <w:color w:val="131413"/>
          <w:szCs w:val="18"/>
          <w:lang w:val="en-GB"/>
        </w:rPr>
        <w:t>to carry out a s</w:t>
      </w:r>
      <w:r w:rsidR="008A02E9" w:rsidRPr="002A6C40">
        <w:rPr>
          <w:rFonts w:eastAsiaTheme="minorHAnsi" w:cs="Arial"/>
          <w:color w:val="131413"/>
          <w:szCs w:val="18"/>
          <w:lang w:val="en-GB"/>
        </w:rPr>
        <w:t>pontaneous fermentation</w:t>
      </w:r>
      <w:r w:rsidR="006B10FD">
        <w:rPr>
          <w:rFonts w:eastAsiaTheme="minorHAnsi" w:cs="Arial"/>
          <w:color w:val="131413"/>
          <w:szCs w:val="18"/>
          <w:lang w:val="en-GB"/>
        </w:rPr>
        <w:t xml:space="preserve"> </w:t>
      </w:r>
      <w:r w:rsidR="008A02E9" w:rsidRPr="002A6C40">
        <w:rPr>
          <w:rFonts w:eastAsiaTheme="minorHAnsi" w:cs="Arial"/>
          <w:color w:val="131413"/>
          <w:szCs w:val="18"/>
          <w:lang w:val="en-GB"/>
        </w:rPr>
        <w:t>at room temperature</w:t>
      </w:r>
      <w:r w:rsidR="006B10FD">
        <w:rPr>
          <w:rFonts w:eastAsiaTheme="minorHAnsi" w:cs="Arial"/>
          <w:color w:val="131413"/>
          <w:szCs w:val="18"/>
          <w:lang w:val="en-GB"/>
        </w:rPr>
        <w:t xml:space="preserve"> </w:t>
      </w:r>
      <w:r w:rsidR="008A02E9" w:rsidRPr="002A6C40">
        <w:rPr>
          <w:rFonts w:eastAsiaTheme="minorHAnsi" w:cs="Arial"/>
          <w:color w:val="131413"/>
          <w:szCs w:val="18"/>
          <w:lang w:val="en-GB"/>
        </w:rPr>
        <w:t>(20–30 °C)</w:t>
      </w:r>
      <w:r w:rsidR="002D0EEA">
        <w:rPr>
          <w:rFonts w:eastAsiaTheme="minorHAnsi" w:cs="Arial"/>
          <w:color w:val="131413"/>
          <w:szCs w:val="18"/>
          <w:lang w:val="en-GB"/>
        </w:rPr>
        <w:t xml:space="preserve"> </w:t>
      </w:r>
      <w:r w:rsidR="002D0EEA" w:rsidRPr="002D0EEA">
        <w:rPr>
          <w:rFonts w:eastAsiaTheme="minorHAnsi" w:cs="Arial"/>
          <w:color w:val="131413"/>
          <w:szCs w:val="18"/>
          <w:lang w:val="en-GB"/>
        </w:rPr>
        <w:t>(Nionelli</w:t>
      </w:r>
      <w:r w:rsidR="00DD210D">
        <w:rPr>
          <w:rFonts w:eastAsiaTheme="minorHAnsi" w:cs="Arial"/>
          <w:color w:val="131413"/>
          <w:szCs w:val="18"/>
          <w:lang w:val="en-GB"/>
        </w:rPr>
        <w:t xml:space="preserve"> </w:t>
      </w:r>
      <w:r w:rsidR="002D0EEA" w:rsidRPr="002D0EEA">
        <w:rPr>
          <w:rFonts w:eastAsiaTheme="minorHAnsi" w:cs="Arial"/>
          <w:color w:val="131413"/>
          <w:szCs w:val="18"/>
          <w:lang w:val="en-GB"/>
        </w:rPr>
        <w:t>et</w:t>
      </w:r>
      <w:r w:rsidR="00DD210D">
        <w:rPr>
          <w:rFonts w:eastAsiaTheme="minorHAnsi" w:cs="Arial"/>
          <w:color w:val="131413"/>
          <w:szCs w:val="18"/>
          <w:lang w:val="en-GB"/>
        </w:rPr>
        <w:t xml:space="preserve"> </w:t>
      </w:r>
      <w:r w:rsidR="002D0EEA" w:rsidRPr="002D0EEA">
        <w:rPr>
          <w:rFonts w:eastAsiaTheme="minorHAnsi" w:cs="Arial"/>
          <w:color w:val="131413"/>
          <w:szCs w:val="18"/>
          <w:lang w:val="en-GB"/>
        </w:rPr>
        <w:t>al., 2014)</w:t>
      </w:r>
      <w:r w:rsidR="002D0EEA">
        <w:rPr>
          <w:rFonts w:eastAsiaTheme="minorHAnsi" w:cs="Arial"/>
          <w:color w:val="131413"/>
          <w:szCs w:val="18"/>
          <w:lang w:val="en-GB"/>
        </w:rPr>
        <w:t>.</w:t>
      </w:r>
      <w:r w:rsidR="00577C32">
        <w:rPr>
          <w:rFonts w:eastAsiaTheme="minorHAnsi" w:cs="Arial"/>
          <w:color w:val="131413"/>
          <w:szCs w:val="18"/>
          <w:lang w:val="en-GB"/>
        </w:rPr>
        <w:t xml:space="preserve"> </w:t>
      </w:r>
      <w:r w:rsidR="00F00C72" w:rsidRPr="002A6C40">
        <w:rPr>
          <w:rFonts w:cs="Arial"/>
          <w:szCs w:val="18"/>
          <w:lang w:val="en-GB"/>
        </w:rPr>
        <w:t xml:space="preserve">Type II is an industrial sourdough </w:t>
      </w:r>
      <w:r w:rsidR="001C4FFC">
        <w:rPr>
          <w:rFonts w:cs="Arial"/>
          <w:szCs w:val="18"/>
          <w:lang w:val="en-GB"/>
        </w:rPr>
        <w:t xml:space="preserve">in which specific </w:t>
      </w:r>
      <w:r w:rsidR="00F00C72" w:rsidRPr="002A6C40">
        <w:rPr>
          <w:rFonts w:cs="Arial"/>
          <w:szCs w:val="18"/>
          <w:lang w:val="en-GB"/>
        </w:rPr>
        <w:t>starter culture</w:t>
      </w:r>
      <w:r w:rsidR="001C4FFC">
        <w:rPr>
          <w:rFonts w:cs="Arial"/>
          <w:szCs w:val="18"/>
          <w:lang w:val="en-GB"/>
        </w:rPr>
        <w:t xml:space="preserve">s (with a typical proportion </w:t>
      </w:r>
      <w:r w:rsidR="001C4FFC" w:rsidRPr="002A6C40">
        <w:rPr>
          <w:rFonts w:eastAsiaTheme="minorHAnsi" w:cs="Arial"/>
          <w:color w:val="131413"/>
          <w:szCs w:val="18"/>
          <w:lang w:val="en-GB"/>
        </w:rPr>
        <w:t xml:space="preserve">100:1 </w:t>
      </w:r>
      <w:r w:rsidR="00577C32">
        <w:rPr>
          <w:rFonts w:eastAsiaTheme="minorHAnsi" w:cs="Arial"/>
          <w:color w:val="131413"/>
          <w:szCs w:val="18"/>
          <w:lang w:val="en-GB"/>
        </w:rPr>
        <w:t xml:space="preserve">of </w:t>
      </w:r>
      <w:r w:rsidR="001C4FFC" w:rsidRPr="002A6C40">
        <w:rPr>
          <w:rFonts w:eastAsiaTheme="minorHAnsi" w:cs="Arial"/>
          <w:color w:val="131413"/>
          <w:szCs w:val="18"/>
          <w:lang w:val="en-GB"/>
        </w:rPr>
        <w:t>LAB to yeast</w:t>
      </w:r>
      <w:r w:rsidR="001C4FFC">
        <w:rPr>
          <w:rFonts w:eastAsiaTheme="minorHAnsi" w:cs="Arial"/>
          <w:color w:val="131413"/>
          <w:szCs w:val="18"/>
          <w:lang w:val="en-GB"/>
        </w:rPr>
        <w:t>)</w:t>
      </w:r>
      <w:r w:rsidR="001C4FFC">
        <w:rPr>
          <w:rFonts w:cs="Arial"/>
          <w:szCs w:val="18"/>
          <w:lang w:val="en-GB"/>
        </w:rPr>
        <w:t xml:space="preserve"> are employed</w:t>
      </w:r>
      <w:r w:rsidR="00F00C72" w:rsidRPr="002A6C40">
        <w:rPr>
          <w:rFonts w:cs="Arial"/>
          <w:szCs w:val="18"/>
          <w:lang w:val="en-GB"/>
        </w:rPr>
        <w:t xml:space="preserve"> to improve fermentation</w:t>
      </w:r>
      <w:r w:rsidR="00577C32">
        <w:rPr>
          <w:rFonts w:cs="Arial"/>
          <w:szCs w:val="18"/>
          <w:lang w:val="en-GB"/>
        </w:rPr>
        <w:t>,</w:t>
      </w:r>
      <w:r w:rsidR="009F3DCB">
        <w:rPr>
          <w:rFonts w:cs="Arial"/>
          <w:szCs w:val="18"/>
          <w:lang w:val="en-GB"/>
        </w:rPr>
        <w:t xml:space="preserve"> even though they can </w:t>
      </w:r>
      <w:r w:rsidR="009F3DCB" w:rsidRPr="002A6C40">
        <w:rPr>
          <w:rFonts w:eastAsiaTheme="minorHAnsi" w:cs="Arial"/>
          <w:color w:val="131413"/>
          <w:szCs w:val="18"/>
          <w:lang w:val="en-GB"/>
        </w:rPr>
        <w:t>inhibit the growth of autochthonous microbiota</w:t>
      </w:r>
      <w:r w:rsidR="00F00C72" w:rsidRPr="002A6C40">
        <w:rPr>
          <w:rFonts w:cs="Arial"/>
          <w:szCs w:val="18"/>
          <w:lang w:val="en-GB"/>
        </w:rPr>
        <w:t xml:space="preserve">. </w:t>
      </w:r>
      <w:bookmarkStart w:id="6" w:name="_Hlk530663729"/>
      <w:r w:rsidR="00782EE0" w:rsidRPr="002A6C40">
        <w:rPr>
          <w:rFonts w:eastAsiaTheme="minorHAnsi" w:cs="Arial"/>
          <w:color w:val="131413"/>
          <w:szCs w:val="18"/>
          <w:lang w:val="en-GB"/>
        </w:rPr>
        <w:t>The addition of starter culture</w:t>
      </w:r>
      <w:r w:rsidR="00577C32">
        <w:rPr>
          <w:rFonts w:eastAsiaTheme="minorHAnsi" w:cs="Arial"/>
          <w:color w:val="131413"/>
          <w:szCs w:val="18"/>
          <w:lang w:val="en-GB"/>
        </w:rPr>
        <w:t>s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 xml:space="preserve"> acidifies the dough faster than </w:t>
      </w:r>
      <w:r w:rsidR="009F3DCB">
        <w:rPr>
          <w:rFonts w:eastAsiaTheme="minorHAnsi" w:cs="Arial"/>
          <w:color w:val="131413"/>
          <w:szCs w:val="18"/>
          <w:lang w:val="en-GB"/>
        </w:rPr>
        <w:t xml:space="preserve">in 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 xml:space="preserve">the traditional sourdough, </w:t>
      </w:r>
      <w:r w:rsidR="00577C32">
        <w:rPr>
          <w:rFonts w:eastAsiaTheme="minorHAnsi" w:cs="Arial"/>
          <w:color w:val="131413"/>
          <w:szCs w:val="18"/>
          <w:lang w:val="en-GB"/>
        </w:rPr>
        <w:t>therefore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 xml:space="preserve"> the </w:t>
      </w:r>
      <w:r w:rsidR="009F3DCB" w:rsidRPr="002A6C40">
        <w:rPr>
          <w:rFonts w:eastAsiaTheme="minorHAnsi" w:cs="Arial"/>
          <w:color w:val="131413"/>
          <w:szCs w:val="18"/>
          <w:lang w:val="en-GB"/>
        </w:rPr>
        <w:t xml:space="preserve">most often 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 xml:space="preserve">LAB used are acid-tolerant, as </w:t>
      </w:r>
      <w:r w:rsidR="00782EE0" w:rsidRPr="009F3DCB">
        <w:rPr>
          <w:rFonts w:eastAsiaTheme="minorHAnsi" w:cs="Arial"/>
          <w:i/>
          <w:color w:val="131413"/>
          <w:szCs w:val="18"/>
          <w:lang w:val="en-GB"/>
        </w:rPr>
        <w:t>L. amylovorus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 xml:space="preserve">, </w:t>
      </w:r>
      <w:r w:rsidR="00782EE0" w:rsidRPr="009F3DCB">
        <w:rPr>
          <w:rFonts w:eastAsiaTheme="minorHAnsi" w:cs="Arial"/>
          <w:i/>
          <w:color w:val="131413"/>
          <w:szCs w:val="18"/>
          <w:lang w:val="en-GB"/>
        </w:rPr>
        <w:t>L. panis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 xml:space="preserve">, </w:t>
      </w:r>
      <w:r w:rsidR="00782EE0" w:rsidRPr="009F3DCB">
        <w:rPr>
          <w:rFonts w:eastAsiaTheme="minorHAnsi" w:cs="Arial"/>
          <w:i/>
          <w:color w:val="131413"/>
          <w:szCs w:val="18"/>
          <w:lang w:val="en-GB"/>
        </w:rPr>
        <w:t>L. pontis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 xml:space="preserve">, and </w:t>
      </w:r>
      <w:r w:rsidR="00782EE0" w:rsidRPr="009F3DCB">
        <w:rPr>
          <w:rFonts w:eastAsiaTheme="minorHAnsi" w:cs="Arial"/>
          <w:i/>
          <w:color w:val="131413"/>
          <w:szCs w:val="18"/>
          <w:lang w:val="en-GB"/>
        </w:rPr>
        <w:t>L. reuteri</w:t>
      </w:r>
      <w:r w:rsidR="002D0EEA">
        <w:rPr>
          <w:rFonts w:eastAsiaTheme="minorHAnsi" w:cs="Arial"/>
          <w:i/>
          <w:color w:val="131413"/>
          <w:szCs w:val="18"/>
          <w:lang w:val="en-GB"/>
        </w:rPr>
        <w:t xml:space="preserve"> </w:t>
      </w:r>
      <w:r w:rsidR="002D0EEA" w:rsidRPr="002D0EEA">
        <w:rPr>
          <w:rFonts w:eastAsiaTheme="minorHAnsi" w:cs="Arial"/>
          <w:color w:val="131413"/>
          <w:szCs w:val="18"/>
          <w:lang w:val="en-GB"/>
        </w:rPr>
        <w:t>(Siepmann et al., 2018)</w:t>
      </w:r>
      <w:r w:rsidR="00CA4FC0" w:rsidRPr="002A6C40">
        <w:rPr>
          <w:rFonts w:eastAsiaTheme="minorHAnsi" w:cs="Arial"/>
          <w:color w:val="131413"/>
          <w:szCs w:val="18"/>
          <w:lang w:val="en-GB"/>
        </w:rPr>
        <w:t xml:space="preserve">. </w:t>
      </w:r>
      <w:r w:rsidR="00577C32">
        <w:rPr>
          <w:rFonts w:cs="Arial"/>
          <w:szCs w:val="18"/>
          <w:lang w:val="en-GB"/>
        </w:rPr>
        <w:t>This type of</w:t>
      </w:r>
      <w:r w:rsidR="009F3DCB">
        <w:rPr>
          <w:rFonts w:cs="Arial"/>
          <w:szCs w:val="18"/>
          <w:lang w:val="en-GB"/>
        </w:rPr>
        <w:t xml:space="preserve"> </w:t>
      </w:r>
      <w:r w:rsidR="00577C32">
        <w:rPr>
          <w:rFonts w:cs="Arial"/>
          <w:szCs w:val="18"/>
          <w:lang w:val="en-GB"/>
        </w:rPr>
        <w:t>sour</w:t>
      </w:r>
      <w:r w:rsidR="009F3DCB">
        <w:rPr>
          <w:rFonts w:cs="Arial"/>
          <w:szCs w:val="18"/>
          <w:lang w:val="en-GB"/>
        </w:rPr>
        <w:t xml:space="preserve">dough </w:t>
      </w:r>
      <w:r w:rsidR="009F3DCB" w:rsidRPr="002A6C40">
        <w:rPr>
          <w:rFonts w:cs="Arial"/>
          <w:szCs w:val="18"/>
          <w:lang w:val="en-GB"/>
        </w:rPr>
        <w:t xml:space="preserve">is usually liquid </w:t>
      </w:r>
      <w:r w:rsidR="009F3DCB">
        <w:rPr>
          <w:rFonts w:cs="Arial"/>
          <w:szCs w:val="18"/>
          <w:lang w:val="en-GB"/>
        </w:rPr>
        <w:t xml:space="preserve">to be </w:t>
      </w:r>
      <w:r w:rsidR="009F3DCB" w:rsidRPr="002A6C40">
        <w:rPr>
          <w:rFonts w:cs="Arial"/>
          <w:szCs w:val="18"/>
          <w:lang w:val="en-GB"/>
        </w:rPr>
        <w:t>easily pumpable in industrial pipeline.</w:t>
      </w:r>
      <w:r w:rsidR="009F3DCB" w:rsidRPr="002A6C40">
        <w:rPr>
          <w:rFonts w:eastAsiaTheme="minorHAnsi" w:cs="Arial"/>
          <w:color w:val="131413"/>
          <w:szCs w:val="18"/>
          <w:lang w:val="en-GB"/>
        </w:rPr>
        <w:t xml:space="preserve"> </w:t>
      </w:r>
      <w:r w:rsidR="009F3DCB">
        <w:rPr>
          <w:rFonts w:eastAsiaTheme="minorHAnsi" w:cs="Arial"/>
          <w:color w:val="131413"/>
          <w:szCs w:val="18"/>
          <w:lang w:val="en-GB"/>
        </w:rPr>
        <w:t>The production process involves</w:t>
      </w:r>
      <w:r w:rsidR="009F3DCB" w:rsidRPr="002A6C40">
        <w:rPr>
          <w:rFonts w:eastAsiaTheme="minorHAnsi" w:cs="Arial"/>
          <w:color w:val="131413"/>
          <w:szCs w:val="18"/>
          <w:lang w:val="en-GB"/>
        </w:rPr>
        <w:t xml:space="preserve"> a single fermentation step of 15–24 h</w:t>
      </w:r>
      <w:r w:rsidR="002D0EEA">
        <w:rPr>
          <w:rFonts w:eastAsiaTheme="minorHAnsi" w:cs="Arial"/>
          <w:color w:val="131413"/>
          <w:szCs w:val="18"/>
          <w:lang w:val="en-GB"/>
        </w:rPr>
        <w:t xml:space="preserve"> (</w:t>
      </w:r>
      <w:r w:rsidR="002D0EEA" w:rsidRPr="002D0EEA">
        <w:rPr>
          <w:rFonts w:eastAsiaTheme="minorHAnsi" w:cs="Arial"/>
          <w:color w:val="131413"/>
          <w:szCs w:val="18"/>
          <w:lang w:val="en-GB"/>
        </w:rPr>
        <w:t>De Vuyst et al., 2014)</w:t>
      </w:r>
      <w:r w:rsidR="009F3DCB" w:rsidRPr="002A6C40">
        <w:rPr>
          <w:rFonts w:eastAsiaTheme="minorHAnsi" w:cs="Arial"/>
          <w:color w:val="131413"/>
          <w:szCs w:val="18"/>
          <w:lang w:val="en-GB"/>
        </w:rPr>
        <w:t xml:space="preserve">. 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 xml:space="preserve">Due to the addition of the starter cultures, the fermentation process </w:t>
      </w:r>
      <w:r w:rsidR="009A1F85">
        <w:rPr>
          <w:rFonts w:eastAsiaTheme="minorHAnsi" w:cs="Arial"/>
          <w:color w:val="131413"/>
          <w:szCs w:val="18"/>
          <w:lang w:val="en-GB"/>
        </w:rPr>
        <w:t>is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 xml:space="preserve"> carried out at higher temperatures, </w:t>
      </w:r>
      <w:r w:rsidR="009F3DCB">
        <w:rPr>
          <w:rFonts w:eastAsiaTheme="minorHAnsi" w:cs="Arial"/>
          <w:color w:val="131413"/>
          <w:szCs w:val="18"/>
          <w:lang w:val="en-GB"/>
        </w:rPr>
        <w:t>above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 xml:space="preserve"> 30 °C</w:t>
      </w:r>
      <w:r w:rsidR="002D0EEA">
        <w:rPr>
          <w:rFonts w:eastAsiaTheme="minorHAnsi" w:cs="Arial"/>
          <w:color w:val="131413"/>
          <w:szCs w:val="18"/>
          <w:lang w:val="en-GB"/>
        </w:rPr>
        <w:t xml:space="preserve"> </w:t>
      </w:r>
      <w:r w:rsidR="009A1F85">
        <w:rPr>
          <w:rFonts w:eastAsiaTheme="minorHAnsi" w:cs="Arial"/>
          <w:color w:val="131413"/>
          <w:szCs w:val="18"/>
          <w:lang w:val="en-GB"/>
        </w:rPr>
        <w:t>(Gobbetti, 1998</w:t>
      </w:r>
      <w:r w:rsidR="002D0EEA" w:rsidRPr="002D0EEA">
        <w:rPr>
          <w:rFonts w:eastAsiaTheme="minorHAnsi" w:cs="Arial"/>
          <w:color w:val="131413"/>
          <w:szCs w:val="18"/>
          <w:lang w:val="en-GB"/>
        </w:rPr>
        <w:t>)</w:t>
      </w:r>
      <w:r w:rsidR="009F3DCB">
        <w:rPr>
          <w:rFonts w:eastAsiaTheme="minorHAnsi" w:cs="Arial"/>
          <w:color w:val="131413"/>
          <w:szCs w:val="18"/>
          <w:lang w:val="en-GB"/>
        </w:rPr>
        <w:t xml:space="preserve">, to 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>allow a fast and high acidification that can inhibit the growth of natural yeast. Therefore, in sourdough type II, baker’s yeast can be added at the end of the fermentation process</w:t>
      </w:r>
      <w:r w:rsidR="002D0EEA">
        <w:rPr>
          <w:rFonts w:eastAsiaTheme="minorHAnsi" w:cs="Arial"/>
          <w:color w:val="131413"/>
          <w:szCs w:val="18"/>
          <w:lang w:val="en-GB"/>
        </w:rPr>
        <w:t xml:space="preserve"> </w:t>
      </w:r>
      <w:r w:rsidR="002D0EEA" w:rsidRPr="002D0EEA">
        <w:rPr>
          <w:rFonts w:eastAsiaTheme="minorHAnsi" w:cs="Arial"/>
          <w:color w:val="131413"/>
          <w:szCs w:val="18"/>
          <w:lang w:val="en-GB"/>
        </w:rPr>
        <w:t>(De Vuyst</w:t>
      </w:r>
      <w:r w:rsidR="00DD210D">
        <w:rPr>
          <w:rFonts w:eastAsiaTheme="minorHAnsi" w:cs="Arial"/>
          <w:color w:val="131413"/>
          <w:szCs w:val="18"/>
          <w:lang w:val="en-GB"/>
        </w:rPr>
        <w:t xml:space="preserve"> </w:t>
      </w:r>
      <w:r w:rsidR="002D0EEA" w:rsidRPr="002D0EEA">
        <w:rPr>
          <w:rFonts w:eastAsiaTheme="minorHAnsi" w:cs="Arial"/>
          <w:color w:val="131413"/>
          <w:szCs w:val="18"/>
          <w:lang w:val="en-GB"/>
        </w:rPr>
        <w:t>et al., 2016)</w:t>
      </w:r>
      <w:r w:rsidR="00782EE0" w:rsidRPr="002A6C40">
        <w:rPr>
          <w:rFonts w:eastAsiaTheme="minorHAnsi" w:cs="Arial"/>
          <w:color w:val="131413"/>
          <w:szCs w:val="18"/>
          <w:lang w:val="en-GB"/>
        </w:rPr>
        <w:t>.</w:t>
      </w:r>
      <w:r w:rsidR="00F00C72" w:rsidRPr="002A6C40">
        <w:rPr>
          <w:rFonts w:cs="Arial"/>
          <w:szCs w:val="18"/>
          <w:lang w:val="en-GB"/>
        </w:rPr>
        <w:t xml:space="preserve"> </w:t>
      </w:r>
      <w:bookmarkEnd w:id="6"/>
      <w:r w:rsidR="00F00C72" w:rsidRPr="002A6C40">
        <w:rPr>
          <w:lang w:val="en-GB"/>
        </w:rPr>
        <w:lastRenderedPageBreak/>
        <w:t xml:space="preserve">Type III </w:t>
      </w:r>
      <w:r w:rsidR="002E06F8" w:rsidRPr="002A6C40">
        <w:rPr>
          <w:lang w:val="en-GB"/>
        </w:rPr>
        <w:t xml:space="preserve">is </w:t>
      </w:r>
      <w:r w:rsidR="009F3DCB">
        <w:rPr>
          <w:lang w:val="en-GB"/>
        </w:rPr>
        <w:t xml:space="preserve">obtained </w:t>
      </w:r>
      <w:r w:rsidR="009A1F85">
        <w:rPr>
          <w:lang w:val="en-GB"/>
        </w:rPr>
        <w:t xml:space="preserve">from </w:t>
      </w:r>
      <w:r w:rsidR="009F3DCB">
        <w:rPr>
          <w:lang w:val="en-GB"/>
        </w:rPr>
        <w:t>ty</w:t>
      </w:r>
      <w:r w:rsidR="002E06F8" w:rsidRPr="002A6C40">
        <w:rPr>
          <w:lang w:val="en-GB"/>
        </w:rPr>
        <w:t>pe II sourdough</w:t>
      </w:r>
      <w:r w:rsidR="009A1F85" w:rsidRPr="009A1F85">
        <w:rPr>
          <w:lang w:val="en-GB"/>
        </w:rPr>
        <w:t xml:space="preserve"> </w:t>
      </w:r>
      <w:r w:rsidR="009A1F85">
        <w:rPr>
          <w:lang w:val="en-GB"/>
        </w:rPr>
        <w:t>through a drying process</w:t>
      </w:r>
      <w:r w:rsidR="002E06F8" w:rsidRPr="002A6C40">
        <w:rPr>
          <w:lang w:val="en-GB"/>
        </w:rPr>
        <w:t xml:space="preserve">. On industrial scale, dehydration is preferably performed by drum dry or spray dry techniques. Sourdoughs </w:t>
      </w:r>
      <w:r w:rsidR="009F3DCB">
        <w:rPr>
          <w:lang w:val="en-GB"/>
        </w:rPr>
        <w:t xml:space="preserve">type </w:t>
      </w:r>
      <w:r w:rsidR="002E06F8" w:rsidRPr="002A6C40">
        <w:rPr>
          <w:lang w:val="en-GB"/>
        </w:rPr>
        <w:t>II and III require the addition of baker</w:t>
      </w:r>
      <w:r w:rsidR="009A1F85">
        <w:rPr>
          <w:lang w:val="en-GB"/>
        </w:rPr>
        <w:t>y</w:t>
      </w:r>
      <w:r w:rsidR="002E06F8" w:rsidRPr="002A6C40">
        <w:rPr>
          <w:lang w:val="en-GB"/>
        </w:rPr>
        <w:t>’</w:t>
      </w:r>
      <w:r w:rsidR="009A1F85">
        <w:rPr>
          <w:lang w:val="en-GB"/>
        </w:rPr>
        <w:t>s</w:t>
      </w:r>
      <w:r w:rsidR="002E06F8" w:rsidRPr="002A6C40">
        <w:rPr>
          <w:lang w:val="en-GB"/>
        </w:rPr>
        <w:t xml:space="preserve"> yeast as leavening agents</w:t>
      </w:r>
      <w:r w:rsidR="001B250D" w:rsidRPr="002A6C40">
        <w:rPr>
          <w:lang w:val="en-GB"/>
        </w:rPr>
        <w:t xml:space="preserve"> to activate the fermentation process</w:t>
      </w:r>
      <w:r w:rsidR="009F3DCB">
        <w:rPr>
          <w:lang w:val="en-GB"/>
        </w:rPr>
        <w:t xml:space="preserve"> even though this has a </w:t>
      </w:r>
      <w:r w:rsidR="001B250D" w:rsidRPr="002A6C40">
        <w:rPr>
          <w:lang w:val="en-GB"/>
        </w:rPr>
        <w:t>flat</w:t>
      </w:r>
      <w:r w:rsidR="009F3DCB">
        <w:rPr>
          <w:lang w:val="en-GB"/>
        </w:rPr>
        <w:t>tening effect on</w:t>
      </w:r>
      <w:r w:rsidR="001B250D" w:rsidRPr="002A6C40">
        <w:rPr>
          <w:lang w:val="en-GB"/>
        </w:rPr>
        <w:t xml:space="preserve"> the aromatic </w:t>
      </w:r>
      <w:r w:rsidR="009F3DCB">
        <w:rPr>
          <w:lang w:val="en-GB"/>
        </w:rPr>
        <w:t>profile</w:t>
      </w:r>
      <w:r w:rsidR="001B250D" w:rsidRPr="002A6C40">
        <w:rPr>
          <w:lang w:val="en-GB"/>
        </w:rPr>
        <w:t xml:space="preserve"> of the final products. </w:t>
      </w:r>
      <w:r w:rsidR="009F3DCB">
        <w:rPr>
          <w:lang w:val="en-GB"/>
        </w:rPr>
        <w:t>I</w:t>
      </w:r>
      <w:r w:rsidR="009F3DCB" w:rsidRPr="002A6C40">
        <w:rPr>
          <w:lang w:val="en-GB"/>
        </w:rPr>
        <w:t xml:space="preserve">n </w:t>
      </w:r>
      <w:r w:rsidR="009F3DCB">
        <w:rPr>
          <w:lang w:val="en-GB"/>
        </w:rPr>
        <w:t xml:space="preserve">the </w:t>
      </w:r>
      <w:r w:rsidR="009F3DCB" w:rsidRPr="002A6C40">
        <w:rPr>
          <w:lang w:val="en-GB"/>
        </w:rPr>
        <w:t xml:space="preserve">bakery </w:t>
      </w:r>
      <w:r w:rsidR="009F3DCB">
        <w:rPr>
          <w:lang w:val="en-GB"/>
        </w:rPr>
        <w:t xml:space="preserve">sector, </w:t>
      </w:r>
      <w:r w:rsidR="001B250D" w:rsidRPr="002A6C40">
        <w:rPr>
          <w:lang w:val="en-GB"/>
        </w:rPr>
        <w:t xml:space="preserve">Type III is </w:t>
      </w:r>
      <w:r w:rsidR="009F3DCB">
        <w:rPr>
          <w:lang w:val="en-GB"/>
        </w:rPr>
        <w:t>preferentially</w:t>
      </w:r>
      <w:r w:rsidR="009A1F85">
        <w:rPr>
          <w:lang w:val="en-GB"/>
        </w:rPr>
        <w:t xml:space="preserve"> </w:t>
      </w:r>
      <w:r w:rsidR="001B250D" w:rsidRPr="002A6C40">
        <w:rPr>
          <w:lang w:val="en-GB"/>
        </w:rPr>
        <w:t xml:space="preserve">used </w:t>
      </w:r>
      <w:r w:rsidR="009F3DCB">
        <w:rPr>
          <w:lang w:val="en-GB"/>
        </w:rPr>
        <w:t xml:space="preserve">than the other two </w:t>
      </w:r>
      <w:r w:rsidR="00F14C35" w:rsidRPr="002A6C40">
        <w:rPr>
          <w:lang w:val="en-GB"/>
        </w:rPr>
        <w:t>because it guarantees higher quality and standardization of final product</w:t>
      </w:r>
      <w:r w:rsidR="009A1F85">
        <w:rPr>
          <w:lang w:val="en-GB"/>
        </w:rPr>
        <w:t>s</w:t>
      </w:r>
      <w:r w:rsidR="00F14C35" w:rsidRPr="002A6C40">
        <w:rPr>
          <w:lang w:val="en-GB"/>
        </w:rPr>
        <w:t xml:space="preserve">. Moreover, </w:t>
      </w:r>
      <w:r w:rsidR="00AD4FB6" w:rsidRPr="002A6C40">
        <w:rPr>
          <w:lang w:val="en-GB"/>
        </w:rPr>
        <w:t xml:space="preserve">the powder occupies less volume and facilitates handle and storage condition. However, the selection of starter culture is the critical step </w:t>
      </w:r>
      <w:r w:rsidR="00AE2EC6" w:rsidRPr="002A6C40">
        <w:rPr>
          <w:lang w:val="en-GB"/>
        </w:rPr>
        <w:t xml:space="preserve">of the entire process. The </w:t>
      </w:r>
      <w:r w:rsidR="009F3DCB" w:rsidRPr="002A6C40">
        <w:rPr>
          <w:lang w:val="en-GB"/>
        </w:rPr>
        <w:t xml:space="preserve">selected </w:t>
      </w:r>
      <w:r w:rsidR="00AE2EC6" w:rsidRPr="002A6C40">
        <w:rPr>
          <w:lang w:val="en-GB"/>
        </w:rPr>
        <w:t xml:space="preserve">strain </w:t>
      </w:r>
      <w:r w:rsidR="009F3DCB">
        <w:rPr>
          <w:lang w:val="en-GB"/>
        </w:rPr>
        <w:t>should</w:t>
      </w:r>
      <w:r w:rsidR="00AE2EC6" w:rsidRPr="002A6C40">
        <w:rPr>
          <w:lang w:val="en-GB"/>
        </w:rPr>
        <w:t xml:space="preserve"> be resistant to drying and maintain</w:t>
      </w:r>
      <w:r w:rsidR="009F3DCB">
        <w:rPr>
          <w:lang w:val="en-GB"/>
        </w:rPr>
        <w:t xml:space="preserve"> its</w:t>
      </w:r>
      <w:r w:rsidR="00AE2EC6" w:rsidRPr="002A6C40">
        <w:rPr>
          <w:lang w:val="en-GB"/>
        </w:rPr>
        <w:t xml:space="preserve"> activity during the rehydration and fermentation</w:t>
      </w:r>
      <w:r w:rsidR="00BC6F46">
        <w:rPr>
          <w:lang w:val="en-GB"/>
        </w:rPr>
        <w:t xml:space="preserve"> steps</w:t>
      </w:r>
      <w:r w:rsidR="00AE2EC6" w:rsidRPr="002A6C40">
        <w:rPr>
          <w:lang w:val="en-GB"/>
        </w:rPr>
        <w:t xml:space="preserve">. </w:t>
      </w:r>
      <w:r w:rsidR="009A1F85">
        <w:rPr>
          <w:lang w:val="en-GB"/>
        </w:rPr>
        <w:t>In the last years, the use of type III sourdoughs has greatly increased not only at the industrial level but also at household level.</w:t>
      </w:r>
    </w:p>
    <w:p w14:paraId="1A4F674C" w14:textId="4778BD99" w:rsidR="00AE2EC6" w:rsidRPr="002A6C40" w:rsidRDefault="00AE2EC6" w:rsidP="002264CB">
      <w:pPr>
        <w:pStyle w:val="CETBodytext"/>
        <w:rPr>
          <w:lang w:val="en-GB"/>
        </w:rPr>
      </w:pPr>
      <w:r w:rsidRPr="002A6C40">
        <w:rPr>
          <w:lang w:val="en-GB"/>
        </w:rPr>
        <w:t xml:space="preserve">The aim of this work </w:t>
      </w:r>
      <w:r w:rsidR="009A1F85">
        <w:rPr>
          <w:lang w:val="en-GB"/>
        </w:rPr>
        <w:t>wa</w:t>
      </w:r>
      <w:r w:rsidRPr="002A6C40">
        <w:rPr>
          <w:lang w:val="en-GB"/>
        </w:rPr>
        <w:t xml:space="preserve">s </w:t>
      </w:r>
      <w:r w:rsidR="00BC6F46">
        <w:rPr>
          <w:lang w:val="en-GB"/>
        </w:rPr>
        <w:t xml:space="preserve">to </w:t>
      </w:r>
      <w:r w:rsidRPr="002A6C40">
        <w:rPr>
          <w:lang w:val="en-GB"/>
        </w:rPr>
        <w:t xml:space="preserve">investigate the effect of the addition of three </w:t>
      </w:r>
      <w:r w:rsidR="00BC6F46">
        <w:rPr>
          <w:lang w:val="en-GB"/>
        </w:rPr>
        <w:t xml:space="preserve">different </w:t>
      </w:r>
      <w:r w:rsidRPr="002A6C40">
        <w:rPr>
          <w:lang w:val="en-GB"/>
        </w:rPr>
        <w:t xml:space="preserve">commercial dried sourdoughs </w:t>
      </w:r>
      <w:r w:rsidR="009A1F85">
        <w:rPr>
          <w:lang w:val="en-GB"/>
        </w:rPr>
        <w:t xml:space="preserve">(DS) </w:t>
      </w:r>
      <w:r w:rsidRPr="002A6C40">
        <w:rPr>
          <w:lang w:val="en-GB"/>
        </w:rPr>
        <w:t xml:space="preserve">on structural characteristics of wheat bread. Rheology, texture and physicochemical characteristics were assessed for both dough and </w:t>
      </w:r>
      <w:r w:rsidR="00BC6F46">
        <w:rPr>
          <w:lang w:val="en-GB"/>
        </w:rPr>
        <w:t xml:space="preserve">final </w:t>
      </w:r>
      <w:r w:rsidRPr="002A6C40">
        <w:rPr>
          <w:lang w:val="en-GB"/>
        </w:rPr>
        <w:t>bread. Control sample</w:t>
      </w:r>
      <w:r w:rsidR="00BC6F46">
        <w:rPr>
          <w:lang w:val="en-GB"/>
        </w:rPr>
        <w:t>s</w:t>
      </w:r>
      <w:r w:rsidRPr="002A6C40">
        <w:rPr>
          <w:lang w:val="en-GB"/>
        </w:rPr>
        <w:t xml:space="preserve"> w</w:t>
      </w:r>
      <w:r w:rsidR="00BC6F46">
        <w:rPr>
          <w:lang w:val="en-GB"/>
        </w:rPr>
        <w:t>ere</w:t>
      </w:r>
      <w:r w:rsidRPr="002A6C40">
        <w:rPr>
          <w:lang w:val="en-GB"/>
        </w:rPr>
        <w:t xml:space="preserve"> prepared</w:t>
      </w:r>
      <w:r w:rsidR="00BC6F46">
        <w:rPr>
          <w:lang w:val="en-GB"/>
        </w:rPr>
        <w:t xml:space="preserve"> </w:t>
      </w:r>
      <w:r w:rsidRPr="002A6C40">
        <w:rPr>
          <w:lang w:val="en-GB"/>
        </w:rPr>
        <w:t xml:space="preserve">using common dried </w:t>
      </w:r>
      <w:r w:rsidR="009A1F85">
        <w:rPr>
          <w:lang w:val="en-GB"/>
        </w:rPr>
        <w:t>b</w:t>
      </w:r>
      <w:r w:rsidR="00C7501B" w:rsidRPr="002A6C40">
        <w:rPr>
          <w:lang w:val="en-GB"/>
        </w:rPr>
        <w:t>akery’s</w:t>
      </w:r>
      <w:r w:rsidRPr="002A6C40">
        <w:rPr>
          <w:lang w:val="en-GB"/>
        </w:rPr>
        <w:t xml:space="preserve"> yeast (100% </w:t>
      </w:r>
      <w:r w:rsidR="009373F9">
        <w:rPr>
          <w:i/>
          <w:lang w:val="en-GB"/>
        </w:rPr>
        <w:t>S</w:t>
      </w:r>
      <w:r w:rsidR="004A209E">
        <w:rPr>
          <w:i/>
          <w:lang w:val="en-GB"/>
        </w:rPr>
        <w:t>accharomyces</w:t>
      </w:r>
      <w:r w:rsidR="009373F9">
        <w:rPr>
          <w:i/>
          <w:lang w:val="en-GB"/>
        </w:rPr>
        <w:t xml:space="preserve"> c</w:t>
      </w:r>
      <w:r w:rsidRPr="002A6C40">
        <w:rPr>
          <w:i/>
          <w:lang w:val="en-GB"/>
        </w:rPr>
        <w:t>erevisiae</w:t>
      </w:r>
      <w:r w:rsidRPr="002A6C40">
        <w:rPr>
          <w:lang w:val="en-GB"/>
        </w:rPr>
        <w:t>).</w:t>
      </w:r>
    </w:p>
    <w:p w14:paraId="733A7F9C" w14:textId="77777777" w:rsidR="003C4A91" w:rsidRPr="002A6C40" w:rsidRDefault="003C4A91" w:rsidP="001E18C9">
      <w:pPr>
        <w:pStyle w:val="CETHeading1"/>
        <w:rPr>
          <w:lang w:val="en-GB"/>
        </w:rPr>
      </w:pPr>
      <w:r w:rsidRPr="002A6C40">
        <w:rPr>
          <w:lang w:val="en-GB"/>
        </w:rPr>
        <w:t>Materials and Methods</w:t>
      </w:r>
    </w:p>
    <w:p w14:paraId="263E7BEF" w14:textId="77777777" w:rsidR="003C4A91" w:rsidRPr="002A6C40" w:rsidRDefault="003C4A91" w:rsidP="003C4A91">
      <w:pPr>
        <w:pStyle w:val="CETheadingx"/>
        <w:rPr>
          <w:lang w:val="en-GB"/>
        </w:rPr>
      </w:pPr>
      <w:r w:rsidRPr="002A6C40">
        <w:rPr>
          <w:lang w:val="en-GB"/>
        </w:rPr>
        <w:t>Materials</w:t>
      </w:r>
      <w:r w:rsidR="00F92C31" w:rsidRPr="002A6C40">
        <w:rPr>
          <w:lang w:val="en-GB"/>
        </w:rPr>
        <w:t xml:space="preserve"> </w:t>
      </w:r>
    </w:p>
    <w:p w14:paraId="462547D5" w14:textId="5CFC867A" w:rsidR="00B6138A" w:rsidRPr="002A6C40" w:rsidRDefault="00F92C31" w:rsidP="003C4A91">
      <w:pPr>
        <w:pStyle w:val="CETBodytext"/>
        <w:rPr>
          <w:lang w:val="en-GB"/>
        </w:rPr>
      </w:pPr>
      <w:r w:rsidRPr="002A6C40">
        <w:rPr>
          <w:lang w:val="en-GB"/>
        </w:rPr>
        <w:t xml:space="preserve">All the ingredients </w:t>
      </w:r>
      <w:r w:rsidR="003C4A91" w:rsidRPr="002A6C40">
        <w:rPr>
          <w:lang w:val="en-GB"/>
        </w:rPr>
        <w:t xml:space="preserve">were purchased </w:t>
      </w:r>
      <w:r w:rsidR="001D247B">
        <w:rPr>
          <w:lang w:val="en-GB"/>
        </w:rPr>
        <w:t xml:space="preserve">from local </w:t>
      </w:r>
      <w:r w:rsidRPr="002A6C40">
        <w:rPr>
          <w:lang w:val="en-GB"/>
        </w:rPr>
        <w:t>supermarket</w:t>
      </w:r>
      <w:r w:rsidR="001D247B">
        <w:rPr>
          <w:lang w:val="en-GB"/>
        </w:rPr>
        <w:t xml:space="preserve">: </w:t>
      </w:r>
      <w:r w:rsidR="009A1F85">
        <w:rPr>
          <w:lang w:val="en-GB"/>
        </w:rPr>
        <w:t>M</w:t>
      </w:r>
      <w:r w:rsidR="001D247B" w:rsidRPr="002A6C40">
        <w:rPr>
          <w:lang w:val="en-GB"/>
        </w:rPr>
        <w:t>anitoba flour</w:t>
      </w:r>
      <w:r w:rsidR="001D247B">
        <w:rPr>
          <w:lang w:val="en-GB"/>
        </w:rPr>
        <w:t xml:space="preserve"> (</w:t>
      </w:r>
      <w:r w:rsidR="001D247B" w:rsidRPr="002A6C40">
        <w:rPr>
          <w:lang w:val="en-GB"/>
        </w:rPr>
        <w:t>Molino Spadoni S.p.A.</w:t>
      </w:r>
      <w:r w:rsidR="001D247B">
        <w:rPr>
          <w:lang w:val="en-GB"/>
        </w:rPr>
        <w:t xml:space="preserve">); white sugar (Zefiro, Eridania S.p.A.) and fine sea salt. </w:t>
      </w:r>
      <w:r w:rsidRPr="002A6C40">
        <w:rPr>
          <w:lang w:val="en-GB"/>
        </w:rPr>
        <w:t xml:space="preserve">Three different </w:t>
      </w:r>
      <w:r w:rsidR="001D247B">
        <w:rPr>
          <w:lang w:val="en-GB"/>
        </w:rPr>
        <w:t xml:space="preserve">dried </w:t>
      </w:r>
      <w:r w:rsidRPr="002A6C40">
        <w:rPr>
          <w:lang w:val="en-GB"/>
        </w:rPr>
        <w:t>sourd</w:t>
      </w:r>
      <w:r w:rsidR="002C4961" w:rsidRPr="002A6C40">
        <w:rPr>
          <w:lang w:val="en-GB"/>
        </w:rPr>
        <w:t>ough</w:t>
      </w:r>
      <w:r w:rsidR="001D247B">
        <w:rPr>
          <w:lang w:val="en-GB"/>
        </w:rPr>
        <w:t xml:space="preserve">s were purchased: </w:t>
      </w:r>
      <w:r w:rsidR="002C4961" w:rsidRPr="002A6C40">
        <w:rPr>
          <w:lang w:val="en-GB"/>
        </w:rPr>
        <w:t>DS</w:t>
      </w:r>
      <w:r w:rsidR="00AC3BE5" w:rsidRPr="002A6C40">
        <w:rPr>
          <w:lang w:val="en-GB"/>
        </w:rPr>
        <w:t>_</w:t>
      </w:r>
      <w:r w:rsidR="002C4961" w:rsidRPr="002A6C40">
        <w:rPr>
          <w:lang w:val="en-GB"/>
        </w:rPr>
        <w:t>A</w:t>
      </w:r>
      <w:r w:rsidR="009A1F85">
        <w:rPr>
          <w:lang w:val="en-GB"/>
        </w:rPr>
        <w:t xml:space="preserve"> and</w:t>
      </w:r>
      <w:r w:rsidR="002C4961" w:rsidRPr="002A6C40">
        <w:rPr>
          <w:lang w:val="en-GB"/>
        </w:rPr>
        <w:t xml:space="preserve"> DS</w:t>
      </w:r>
      <w:r w:rsidR="00AC3BE5" w:rsidRPr="002A6C40">
        <w:rPr>
          <w:lang w:val="en-GB"/>
        </w:rPr>
        <w:t>_</w:t>
      </w:r>
      <w:r w:rsidR="002C4961" w:rsidRPr="002A6C40">
        <w:rPr>
          <w:lang w:val="en-GB"/>
        </w:rPr>
        <w:t>B</w:t>
      </w:r>
      <w:r w:rsidR="001D247B">
        <w:rPr>
          <w:lang w:val="en-GB"/>
        </w:rPr>
        <w:t xml:space="preserve"> containing a </w:t>
      </w:r>
      <w:r w:rsidR="00A74265">
        <w:rPr>
          <w:lang w:val="en-GB"/>
        </w:rPr>
        <w:t>3</w:t>
      </w:r>
      <w:r w:rsidR="001D247B" w:rsidRPr="002A6C40">
        <w:rPr>
          <w:lang w:val="en-GB"/>
        </w:rPr>
        <w:t>0%</w:t>
      </w:r>
      <w:r w:rsidR="001D247B">
        <w:rPr>
          <w:lang w:val="en-GB"/>
        </w:rPr>
        <w:t xml:space="preserve"> of</w:t>
      </w:r>
      <w:r w:rsidR="002C4961" w:rsidRPr="002A6C40">
        <w:rPr>
          <w:lang w:val="en-GB"/>
        </w:rPr>
        <w:t xml:space="preserve"> </w:t>
      </w:r>
      <w:r w:rsidR="00D56BDC">
        <w:rPr>
          <w:i/>
          <w:lang w:val="en-GB"/>
        </w:rPr>
        <w:t>S</w:t>
      </w:r>
      <w:r w:rsidR="004A209E">
        <w:rPr>
          <w:i/>
          <w:lang w:val="en-GB"/>
        </w:rPr>
        <w:t xml:space="preserve">. </w:t>
      </w:r>
      <w:r w:rsidR="00D56BDC">
        <w:rPr>
          <w:i/>
          <w:lang w:val="en-GB"/>
        </w:rPr>
        <w:t>c</w:t>
      </w:r>
      <w:r w:rsidR="002C4961" w:rsidRPr="002A6C40">
        <w:rPr>
          <w:i/>
          <w:lang w:val="en-GB"/>
        </w:rPr>
        <w:t xml:space="preserve">erevisiae </w:t>
      </w:r>
      <w:r w:rsidR="00C7501B">
        <w:rPr>
          <w:lang w:val="en-GB"/>
        </w:rPr>
        <w:t xml:space="preserve">and </w:t>
      </w:r>
      <w:r w:rsidR="00AC3BE5" w:rsidRPr="002A6C40">
        <w:rPr>
          <w:lang w:val="en-GB"/>
        </w:rPr>
        <w:t>DS</w:t>
      </w:r>
      <w:r w:rsidR="007E105C" w:rsidRPr="002A6C40">
        <w:rPr>
          <w:lang w:val="en-GB"/>
        </w:rPr>
        <w:t>_</w:t>
      </w:r>
      <w:r w:rsidR="00AC3BE5" w:rsidRPr="002A6C40">
        <w:rPr>
          <w:lang w:val="en-GB"/>
        </w:rPr>
        <w:t xml:space="preserve">C </w:t>
      </w:r>
      <w:r w:rsidR="00C7501B">
        <w:rPr>
          <w:lang w:val="en-GB"/>
        </w:rPr>
        <w:t>with a</w:t>
      </w:r>
      <w:r w:rsidR="00AC3BE5" w:rsidRPr="002A6C40">
        <w:rPr>
          <w:lang w:val="en-GB"/>
        </w:rPr>
        <w:t xml:space="preserve"> </w:t>
      </w:r>
      <w:r w:rsidR="00A74265">
        <w:rPr>
          <w:lang w:val="en-GB"/>
        </w:rPr>
        <w:t>lower</w:t>
      </w:r>
      <w:r w:rsidR="00AC3BE5" w:rsidRPr="002A6C40">
        <w:rPr>
          <w:lang w:val="en-GB"/>
        </w:rPr>
        <w:t xml:space="preserve"> content of yeast (</w:t>
      </w:r>
      <w:r w:rsidR="00A74265">
        <w:rPr>
          <w:lang w:val="en-GB"/>
        </w:rPr>
        <w:t>2</w:t>
      </w:r>
      <w:r w:rsidR="00AC3BE5" w:rsidRPr="002A6C40">
        <w:rPr>
          <w:lang w:val="en-GB"/>
        </w:rPr>
        <w:t xml:space="preserve">5%).  </w:t>
      </w:r>
      <w:r w:rsidR="00E81B36">
        <w:rPr>
          <w:lang w:val="en-GB"/>
        </w:rPr>
        <w:t>C</w:t>
      </w:r>
      <w:r w:rsidR="00E81B36" w:rsidRPr="002A6C40">
        <w:rPr>
          <w:lang w:val="en-GB"/>
        </w:rPr>
        <w:t xml:space="preserve">ommercial dried </w:t>
      </w:r>
      <w:r w:rsidR="009A1F85">
        <w:rPr>
          <w:lang w:val="en-GB"/>
        </w:rPr>
        <w:t>b</w:t>
      </w:r>
      <w:r w:rsidR="00E81B36" w:rsidRPr="002A6C40">
        <w:rPr>
          <w:lang w:val="en-GB"/>
        </w:rPr>
        <w:t xml:space="preserve">akery’s </w:t>
      </w:r>
      <w:r w:rsidR="009A1F85">
        <w:rPr>
          <w:lang w:val="en-GB"/>
        </w:rPr>
        <w:t>y</w:t>
      </w:r>
      <w:r w:rsidR="00E81B36" w:rsidRPr="002A6C40">
        <w:rPr>
          <w:lang w:val="en-GB"/>
        </w:rPr>
        <w:t xml:space="preserve">east </w:t>
      </w:r>
      <w:r w:rsidR="009A1F85">
        <w:rPr>
          <w:lang w:val="en-GB"/>
        </w:rPr>
        <w:t xml:space="preserve">(DBY) </w:t>
      </w:r>
      <w:r w:rsidR="00E81B36">
        <w:rPr>
          <w:lang w:val="en-GB"/>
        </w:rPr>
        <w:t>(</w:t>
      </w:r>
      <w:r w:rsidR="00C64B69">
        <w:rPr>
          <w:lang w:val="en-GB"/>
        </w:rPr>
        <w:t xml:space="preserve">Esselunga S.p.A) </w:t>
      </w:r>
      <w:r w:rsidR="00E81B36" w:rsidRPr="002A6C40">
        <w:rPr>
          <w:lang w:val="en-GB"/>
        </w:rPr>
        <w:t xml:space="preserve">was </w:t>
      </w:r>
      <w:r w:rsidR="00E81B36">
        <w:rPr>
          <w:lang w:val="en-GB"/>
        </w:rPr>
        <w:t xml:space="preserve">used for </w:t>
      </w:r>
      <w:r w:rsidR="00E81B36" w:rsidRPr="002A6C40">
        <w:rPr>
          <w:lang w:val="en-GB"/>
        </w:rPr>
        <w:t>control</w:t>
      </w:r>
      <w:r w:rsidR="00E81B36">
        <w:rPr>
          <w:lang w:val="en-GB"/>
        </w:rPr>
        <w:t xml:space="preserve"> bread production.</w:t>
      </w:r>
    </w:p>
    <w:p w14:paraId="1F417F36" w14:textId="77777777" w:rsidR="00FC6C94" w:rsidRPr="002A6C40" w:rsidRDefault="00FC6759" w:rsidP="00B6138A">
      <w:pPr>
        <w:pStyle w:val="CETheadingx"/>
        <w:rPr>
          <w:lang w:val="en-GB"/>
        </w:rPr>
      </w:pPr>
      <w:r w:rsidRPr="002A6C40">
        <w:rPr>
          <w:lang w:val="en-GB"/>
        </w:rPr>
        <w:t>Dough Kneading, Fermentation, and Baking</w:t>
      </w:r>
    </w:p>
    <w:p w14:paraId="2EBA0360" w14:textId="4BB3EB34" w:rsidR="00995222" w:rsidRPr="002A6C40" w:rsidRDefault="00E81B36" w:rsidP="00995222">
      <w:pPr>
        <w:pStyle w:val="CETBodytext"/>
        <w:rPr>
          <w:lang w:val="en-GB"/>
        </w:rPr>
      </w:pPr>
      <w:r>
        <w:rPr>
          <w:lang w:val="en-GB"/>
        </w:rPr>
        <w:t xml:space="preserve">All </w:t>
      </w:r>
      <w:r w:rsidR="007E3952">
        <w:rPr>
          <w:lang w:val="en-GB"/>
        </w:rPr>
        <w:t>t</w:t>
      </w:r>
      <w:r w:rsidR="007E3952" w:rsidRPr="002A6C40">
        <w:rPr>
          <w:lang w:val="en-GB"/>
        </w:rPr>
        <w:t>he sourdough</w:t>
      </w:r>
      <w:r w:rsidR="007E3952">
        <w:rPr>
          <w:lang w:val="en-GB"/>
        </w:rPr>
        <w:t>s</w:t>
      </w:r>
      <w:r w:rsidR="007E3952" w:rsidRPr="002A6C40">
        <w:rPr>
          <w:lang w:val="en-GB"/>
        </w:rPr>
        <w:t xml:space="preserve"> were used </w:t>
      </w:r>
      <w:r w:rsidR="007E3952">
        <w:rPr>
          <w:lang w:val="en-GB"/>
        </w:rPr>
        <w:t xml:space="preserve">at their suggested </w:t>
      </w:r>
      <w:r w:rsidR="00A464A1">
        <w:rPr>
          <w:lang w:val="en-GB"/>
        </w:rPr>
        <w:t xml:space="preserve">(reported on the package) </w:t>
      </w:r>
      <w:r w:rsidR="007E3952">
        <w:rPr>
          <w:lang w:val="en-GB"/>
        </w:rPr>
        <w:t xml:space="preserve">dosage </w:t>
      </w:r>
      <w:r w:rsidR="007E3952" w:rsidRPr="002A6C40">
        <w:rPr>
          <w:lang w:val="en-GB"/>
        </w:rPr>
        <w:t>of 70 g</w:t>
      </w:r>
      <w:r w:rsidR="004A209E">
        <w:rPr>
          <w:vertAlign w:val="subscript"/>
          <w:lang w:val="en-GB"/>
        </w:rPr>
        <w:t>DS</w:t>
      </w:r>
      <w:r w:rsidR="007E3952" w:rsidRPr="002A6C40">
        <w:rPr>
          <w:lang w:val="en-GB"/>
        </w:rPr>
        <w:t>/</w:t>
      </w:r>
      <w:r w:rsidR="007E3952">
        <w:rPr>
          <w:lang w:val="en-GB"/>
        </w:rPr>
        <w:t>k</w:t>
      </w:r>
      <w:r w:rsidR="007E3952" w:rsidRPr="002A6C40">
        <w:rPr>
          <w:lang w:val="en-GB"/>
        </w:rPr>
        <w:t>g</w:t>
      </w:r>
      <w:r w:rsidR="007E3952" w:rsidRPr="002A6C40">
        <w:rPr>
          <w:vertAlign w:val="subscript"/>
          <w:lang w:val="en-GB"/>
        </w:rPr>
        <w:t>flour</w:t>
      </w:r>
      <w:r>
        <w:rPr>
          <w:lang w:val="en-GB"/>
        </w:rPr>
        <w:t xml:space="preserve">, while the </w:t>
      </w:r>
      <w:r w:rsidR="009A1F85">
        <w:rPr>
          <w:lang w:val="en-GB"/>
        </w:rPr>
        <w:t>DBY</w:t>
      </w:r>
      <w:r>
        <w:rPr>
          <w:lang w:val="en-GB"/>
        </w:rPr>
        <w:t xml:space="preserve"> was</w:t>
      </w:r>
      <w:r w:rsidR="007E3952" w:rsidRPr="002A6C40">
        <w:rPr>
          <w:lang w:val="en-GB"/>
        </w:rPr>
        <w:t xml:space="preserve"> </w:t>
      </w:r>
      <w:r w:rsidR="007E3952">
        <w:rPr>
          <w:lang w:val="en-GB"/>
        </w:rPr>
        <w:t>test</w:t>
      </w:r>
      <w:r>
        <w:rPr>
          <w:lang w:val="en-GB"/>
        </w:rPr>
        <w:t xml:space="preserve">ed at </w:t>
      </w:r>
      <w:r w:rsidR="007E3952">
        <w:rPr>
          <w:lang w:val="en-GB"/>
        </w:rPr>
        <w:t>t</w:t>
      </w:r>
      <w:r w:rsidR="007E3952" w:rsidRPr="002A6C40">
        <w:rPr>
          <w:lang w:val="en-GB"/>
        </w:rPr>
        <w:t xml:space="preserve">wo </w:t>
      </w:r>
      <w:r w:rsidR="007E3952">
        <w:rPr>
          <w:lang w:val="en-GB"/>
        </w:rPr>
        <w:t xml:space="preserve">dosage levels: </w:t>
      </w:r>
      <w:r w:rsidR="007E3952" w:rsidRPr="002A6C40">
        <w:rPr>
          <w:lang w:val="en-GB"/>
        </w:rPr>
        <w:t xml:space="preserve">DBY_A </w:t>
      </w:r>
      <w:r w:rsidR="00A464A1">
        <w:rPr>
          <w:lang w:val="en-GB"/>
        </w:rPr>
        <w:t xml:space="preserve">(70 </w:t>
      </w:r>
      <w:r w:rsidR="00A464A1" w:rsidRPr="002A6C40">
        <w:rPr>
          <w:lang w:val="en-GB"/>
        </w:rPr>
        <w:t>g</w:t>
      </w:r>
      <w:r w:rsidR="004A209E">
        <w:rPr>
          <w:vertAlign w:val="subscript"/>
          <w:lang w:val="en-GB"/>
        </w:rPr>
        <w:t>DBY</w:t>
      </w:r>
      <w:r w:rsidR="00A464A1" w:rsidRPr="002A6C40">
        <w:rPr>
          <w:lang w:val="en-GB"/>
        </w:rPr>
        <w:t>/</w:t>
      </w:r>
      <w:r w:rsidR="00A464A1">
        <w:rPr>
          <w:lang w:val="en-GB"/>
        </w:rPr>
        <w:t>k</w:t>
      </w:r>
      <w:r w:rsidR="00A464A1" w:rsidRPr="002A6C40">
        <w:rPr>
          <w:lang w:val="en-GB"/>
        </w:rPr>
        <w:t>g</w:t>
      </w:r>
      <w:r w:rsidR="00A464A1" w:rsidRPr="002A6C40">
        <w:rPr>
          <w:vertAlign w:val="subscript"/>
          <w:lang w:val="en-GB"/>
        </w:rPr>
        <w:t>floour</w:t>
      </w:r>
      <w:r w:rsidR="00A464A1">
        <w:rPr>
          <w:lang w:val="en-GB"/>
        </w:rPr>
        <w:t xml:space="preserve">) </w:t>
      </w:r>
      <w:r w:rsidR="007E3952" w:rsidRPr="002A6C40">
        <w:rPr>
          <w:lang w:val="en-GB"/>
        </w:rPr>
        <w:t>and DBY_B</w:t>
      </w:r>
      <w:r w:rsidR="007E3952">
        <w:rPr>
          <w:lang w:val="en-GB"/>
        </w:rPr>
        <w:t xml:space="preserve"> </w:t>
      </w:r>
      <w:r w:rsidR="00A464A1">
        <w:rPr>
          <w:lang w:val="en-GB"/>
        </w:rPr>
        <w:t>(</w:t>
      </w:r>
      <w:r w:rsidR="007E3952" w:rsidRPr="002A6C40">
        <w:rPr>
          <w:lang w:val="en-GB"/>
        </w:rPr>
        <w:t>20 g</w:t>
      </w:r>
      <w:r w:rsidR="004A209E">
        <w:rPr>
          <w:vertAlign w:val="subscript"/>
          <w:lang w:val="en-GB"/>
        </w:rPr>
        <w:t>DBY</w:t>
      </w:r>
      <w:r w:rsidR="007E3952" w:rsidRPr="002A6C40">
        <w:rPr>
          <w:lang w:val="en-GB"/>
        </w:rPr>
        <w:t>/</w:t>
      </w:r>
      <w:r w:rsidR="007E3952">
        <w:rPr>
          <w:lang w:val="en-GB"/>
        </w:rPr>
        <w:t>k</w:t>
      </w:r>
      <w:r w:rsidR="007E3952" w:rsidRPr="002A6C40">
        <w:rPr>
          <w:lang w:val="en-GB"/>
        </w:rPr>
        <w:t>g</w:t>
      </w:r>
      <w:r w:rsidR="007E3952" w:rsidRPr="002A6C40">
        <w:rPr>
          <w:vertAlign w:val="subscript"/>
          <w:lang w:val="en-GB"/>
        </w:rPr>
        <w:t>floour</w:t>
      </w:r>
      <w:r w:rsidR="00A464A1">
        <w:rPr>
          <w:lang w:val="en-GB"/>
        </w:rPr>
        <w:t xml:space="preserve">) </w:t>
      </w:r>
      <w:r w:rsidR="007E3952">
        <w:rPr>
          <w:lang w:val="en-GB"/>
        </w:rPr>
        <w:t xml:space="preserve">respectively the suggested </w:t>
      </w:r>
      <w:r w:rsidR="007E3952" w:rsidRPr="002A6C40">
        <w:rPr>
          <w:lang w:val="en-GB"/>
        </w:rPr>
        <w:t xml:space="preserve">quantity for </w:t>
      </w:r>
      <w:r w:rsidR="00A464A1">
        <w:rPr>
          <w:lang w:val="en-GB"/>
        </w:rPr>
        <w:t>DS</w:t>
      </w:r>
      <w:r w:rsidR="007E3952" w:rsidRPr="002A6C40">
        <w:rPr>
          <w:lang w:val="en-GB"/>
        </w:rPr>
        <w:t xml:space="preserve"> and </w:t>
      </w:r>
      <w:r w:rsidR="00A464A1">
        <w:rPr>
          <w:lang w:val="en-GB"/>
        </w:rPr>
        <w:t>DBY</w:t>
      </w:r>
      <w:r w:rsidR="007E3952">
        <w:rPr>
          <w:lang w:val="en-GB"/>
        </w:rPr>
        <w:t xml:space="preserve">. </w:t>
      </w:r>
      <w:r w:rsidR="007E3952" w:rsidRPr="002A6C40">
        <w:rPr>
          <w:lang w:val="en-GB"/>
        </w:rPr>
        <w:t xml:space="preserve"> </w:t>
      </w:r>
      <w:r w:rsidR="007E3952">
        <w:rPr>
          <w:lang w:val="en-GB"/>
        </w:rPr>
        <w:t>The recipe included: 1 kg of flour, 600 g of water, 30 g of salt ad 20 g of sugar. T</w:t>
      </w:r>
      <w:r w:rsidR="007E3952" w:rsidRPr="002A6C40">
        <w:rPr>
          <w:lang w:val="en-GB"/>
        </w:rPr>
        <w:t xml:space="preserve">he ingredients were </w:t>
      </w:r>
      <w:r w:rsidR="007E3952">
        <w:rPr>
          <w:lang w:val="en-GB"/>
        </w:rPr>
        <w:t xml:space="preserve">kneaded all together </w:t>
      </w:r>
      <w:r w:rsidR="007E3952" w:rsidRPr="002A6C40">
        <w:rPr>
          <w:lang w:val="en-GB"/>
        </w:rPr>
        <w:t>for 12 min</w:t>
      </w:r>
      <w:r w:rsidR="007E3952">
        <w:rPr>
          <w:lang w:val="en-GB"/>
        </w:rPr>
        <w:t xml:space="preserve"> at </w:t>
      </w:r>
      <w:r w:rsidR="007E3952" w:rsidRPr="002A6C40">
        <w:rPr>
          <w:lang w:val="en-GB"/>
        </w:rPr>
        <w:t>48</w:t>
      </w:r>
      <w:r w:rsidR="004A209E">
        <w:rPr>
          <w:lang w:val="en-GB"/>
        </w:rPr>
        <w:t xml:space="preserve"> </w:t>
      </w:r>
      <w:r w:rsidR="007E3952" w:rsidRPr="002A6C40">
        <w:rPr>
          <w:lang w:val="en-GB"/>
        </w:rPr>
        <w:t>rpm</w:t>
      </w:r>
      <w:r w:rsidR="004A209E">
        <w:rPr>
          <w:lang w:val="en-GB"/>
        </w:rPr>
        <w:t xml:space="preserve"> </w:t>
      </w:r>
      <w:r w:rsidR="007E3952">
        <w:rPr>
          <w:lang w:val="en-GB"/>
        </w:rPr>
        <w:t xml:space="preserve">speed </w:t>
      </w:r>
      <w:r w:rsidR="00A464A1">
        <w:rPr>
          <w:lang w:val="en-GB"/>
        </w:rPr>
        <w:t xml:space="preserve">in a professional kneading machine </w:t>
      </w:r>
      <w:r w:rsidR="007E3952">
        <w:rPr>
          <w:lang w:val="en-GB"/>
        </w:rPr>
        <w:t>(</w:t>
      </w:r>
      <w:r w:rsidR="00184DE3" w:rsidRPr="002A6C40">
        <w:rPr>
          <w:lang w:val="en-GB"/>
        </w:rPr>
        <w:t>Tekno Stamp Mod. C-Line 20</w:t>
      </w:r>
      <w:r w:rsidR="007E3952">
        <w:rPr>
          <w:lang w:val="en-GB"/>
        </w:rPr>
        <w:t>)</w:t>
      </w:r>
      <w:r w:rsidR="00184DE3" w:rsidRPr="002A6C40">
        <w:rPr>
          <w:lang w:val="en-GB"/>
        </w:rPr>
        <w:t>.</w:t>
      </w:r>
      <w:r w:rsidR="00041D30">
        <w:rPr>
          <w:lang w:val="en-GB"/>
        </w:rPr>
        <w:t xml:space="preserve"> </w:t>
      </w:r>
      <w:r w:rsidR="007E3952">
        <w:rPr>
          <w:lang w:val="en-GB"/>
        </w:rPr>
        <w:t>The</w:t>
      </w:r>
      <w:r w:rsidR="00041D30">
        <w:rPr>
          <w:lang w:val="en-GB"/>
        </w:rPr>
        <w:t xml:space="preserve"> </w:t>
      </w:r>
      <w:r w:rsidR="007E3952">
        <w:rPr>
          <w:lang w:val="en-GB"/>
        </w:rPr>
        <w:t xml:space="preserve">obtained doughs </w:t>
      </w:r>
      <w:r w:rsidR="00184DE3" w:rsidRPr="002A6C40">
        <w:rPr>
          <w:lang w:val="en-GB"/>
        </w:rPr>
        <w:t xml:space="preserve">were divided in pieces of 110 g and </w:t>
      </w:r>
      <w:r w:rsidR="00041D30">
        <w:rPr>
          <w:lang w:val="en-GB"/>
        </w:rPr>
        <w:t>shaped</w:t>
      </w:r>
      <w:r w:rsidR="00184DE3" w:rsidRPr="002A6C40">
        <w:rPr>
          <w:lang w:val="en-GB"/>
        </w:rPr>
        <w:t xml:space="preserve"> into round </w:t>
      </w:r>
      <w:r>
        <w:rPr>
          <w:lang w:val="en-GB"/>
        </w:rPr>
        <w:t>rolls</w:t>
      </w:r>
      <w:r w:rsidR="00A464A1">
        <w:rPr>
          <w:lang w:val="en-GB"/>
        </w:rPr>
        <w:t>,</w:t>
      </w:r>
      <w:r>
        <w:rPr>
          <w:lang w:val="en-GB"/>
        </w:rPr>
        <w:t xml:space="preserve"> which </w:t>
      </w:r>
      <w:r w:rsidR="00184DE3" w:rsidRPr="002A6C40">
        <w:rPr>
          <w:lang w:val="en-GB"/>
        </w:rPr>
        <w:t xml:space="preserve">were </w:t>
      </w:r>
      <w:r w:rsidR="00A464A1">
        <w:rPr>
          <w:lang w:val="en-GB"/>
        </w:rPr>
        <w:t xml:space="preserve">let </w:t>
      </w:r>
      <w:r w:rsidR="00184DE3" w:rsidRPr="002A6C40">
        <w:rPr>
          <w:lang w:val="en-GB"/>
        </w:rPr>
        <w:t>leaven</w:t>
      </w:r>
      <w:r w:rsidR="00A464A1">
        <w:rPr>
          <w:lang w:val="en-GB"/>
        </w:rPr>
        <w:t>ing</w:t>
      </w:r>
      <w:r w:rsidR="00184DE3" w:rsidRPr="002A6C40">
        <w:rPr>
          <w:lang w:val="en-GB"/>
        </w:rPr>
        <w:t xml:space="preserve"> for 3 h at 25°C and 82% relative humidity. </w:t>
      </w:r>
      <w:r>
        <w:rPr>
          <w:lang w:val="en-GB"/>
        </w:rPr>
        <w:t xml:space="preserve">The rolls were </w:t>
      </w:r>
      <w:r w:rsidR="00A464A1">
        <w:rPr>
          <w:lang w:val="en-GB"/>
        </w:rPr>
        <w:t>then</w:t>
      </w:r>
      <w:r>
        <w:rPr>
          <w:lang w:val="en-GB"/>
        </w:rPr>
        <w:t xml:space="preserve"> baked </w:t>
      </w:r>
      <w:r w:rsidRPr="002A6C40">
        <w:rPr>
          <w:lang w:val="en-GB"/>
        </w:rPr>
        <w:t>at 200°C for 20 min</w:t>
      </w:r>
      <w:r w:rsidR="002D0EEA">
        <w:rPr>
          <w:lang w:val="en-GB"/>
        </w:rPr>
        <w:t xml:space="preserve"> in convective mode</w:t>
      </w:r>
      <w:r>
        <w:rPr>
          <w:lang w:val="en-GB"/>
        </w:rPr>
        <w:t xml:space="preserve"> </w:t>
      </w:r>
      <w:r w:rsidR="00A464A1">
        <w:rPr>
          <w:lang w:val="en-GB"/>
        </w:rPr>
        <w:t xml:space="preserve">professional oven </w:t>
      </w:r>
      <w:r w:rsidR="00C64B69">
        <w:rPr>
          <w:lang w:val="en-GB"/>
        </w:rPr>
        <w:t>(Wind + Stratos,</w:t>
      </w:r>
      <w:r>
        <w:rPr>
          <w:lang w:val="en-GB"/>
        </w:rPr>
        <w:t xml:space="preserve"> </w:t>
      </w:r>
      <w:r w:rsidR="00184DE3" w:rsidRPr="002A6C40">
        <w:rPr>
          <w:lang w:val="en-GB"/>
        </w:rPr>
        <w:t>Polin, Italy)</w:t>
      </w:r>
      <w:r>
        <w:rPr>
          <w:lang w:val="en-GB"/>
        </w:rPr>
        <w:t>.</w:t>
      </w:r>
      <w:r w:rsidR="00184DE3" w:rsidRPr="002A6C40">
        <w:rPr>
          <w:lang w:val="en-GB"/>
        </w:rPr>
        <w:t xml:space="preserve">  </w:t>
      </w:r>
      <w:r w:rsidR="00041D30">
        <w:rPr>
          <w:rFonts w:eastAsiaTheme="minorHAnsi"/>
          <w:lang w:val="en-GB"/>
        </w:rPr>
        <w:t xml:space="preserve">The product </w:t>
      </w:r>
      <w:r w:rsidR="00A52E28">
        <w:rPr>
          <w:rFonts w:eastAsiaTheme="minorHAnsi"/>
          <w:lang w:val="en-GB"/>
        </w:rPr>
        <w:t xml:space="preserve">pH </w:t>
      </w:r>
      <w:r w:rsidR="00041D30" w:rsidRPr="002A6C40">
        <w:rPr>
          <w:rFonts w:eastAsiaTheme="minorHAnsi"/>
          <w:lang w:val="en-GB"/>
        </w:rPr>
        <w:t>was monitored before</w:t>
      </w:r>
      <w:r w:rsidR="00A52E28">
        <w:rPr>
          <w:rFonts w:eastAsiaTheme="minorHAnsi"/>
          <w:lang w:val="en-GB"/>
        </w:rPr>
        <w:t xml:space="preserve"> leavening</w:t>
      </w:r>
      <w:r w:rsidR="00041D30" w:rsidRPr="002A6C40">
        <w:rPr>
          <w:rFonts w:eastAsiaTheme="minorHAnsi"/>
          <w:lang w:val="en-GB"/>
        </w:rPr>
        <w:t xml:space="preserve"> (t</w:t>
      </w:r>
      <w:r w:rsidR="00041D30" w:rsidRPr="00A52E28">
        <w:rPr>
          <w:rFonts w:eastAsiaTheme="minorHAnsi"/>
          <w:vertAlign w:val="subscript"/>
          <w:lang w:val="en-GB"/>
        </w:rPr>
        <w:t>0</w:t>
      </w:r>
      <w:r w:rsidR="00041D30" w:rsidRPr="002A6C40">
        <w:rPr>
          <w:rFonts w:eastAsiaTheme="minorHAnsi"/>
          <w:lang w:val="en-GB"/>
        </w:rPr>
        <w:t>)</w:t>
      </w:r>
      <w:r w:rsidR="00A52E28">
        <w:rPr>
          <w:rFonts w:eastAsiaTheme="minorHAnsi"/>
          <w:lang w:val="en-GB"/>
        </w:rPr>
        <w:t xml:space="preserve">, </w:t>
      </w:r>
      <w:r w:rsidR="00041D30" w:rsidRPr="002A6C40">
        <w:rPr>
          <w:rFonts w:eastAsiaTheme="minorHAnsi"/>
          <w:lang w:val="en-GB"/>
        </w:rPr>
        <w:t xml:space="preserve">after </w:t>
      </w:r>
      <w:r w:rsidR="00A52E28">
        <w:rPr>
          <w:rFonts w:eastAsiaTheme="minorHAnsi"/>
          <w:lang w:val="en-GB"/>
        </w:rPr>
        <w:t xml:space="preserve">leavening </w:t>
      </w:r>
      <w:r w:rsidR="00041D30" w:rsidRPr="002A6C40">
        <w:rPr>
          <w:rFonts w:eastAsiaTheme="minorHAnsi"/>
          <w:lang w:val="en-GB"/>
        </w:rPr>
        <w:t>(t</w:t>
      </w:r>
      <w:r w:rsidR="00041D30" w:rsidRPr="00A52E28">
        <w:rPr>
          <w:rFonts w:eastAsiaTheme="minorHAnsi"/>
          <w:vertAlign w:val="subscript"/>
          <w:lang w:val="en-GB"/>
        </w:rPr>
        <w:t>1</w:t>
      </w:r>
      <w:r w:rsidR="00041D30" w:rsidRPr="002A6C40">
        <w:rPr>
          <w:rFonts w:eastAsiaTheme="minorHAnsi"/>
          <w:lang w:val="en-GB"/>
        </w:rPr>
        <w:t>) and after baking (t</w:t>
      </w:r>
      <w:r w:rsidR="00041D30" w:rsidRPr="00A52E28">
        <w:rPr>
          <w:rFonts w:eastAsiaTheme="minorHAnsi"/>
          <w:vertAlign w:val="subscript"/>
          <w:lang w:val="en-GB"/>
        </w:rPr>
        <w:t>2</w:t>
      </w:r>
      <w:r w:rsidR="00041D30" w:rsidRPr="002A6C40">
        <w:rPr>
          <w:rFonts w:eastAsiaTheme="minorHAnsi"/>
          <w:lang w:val="en-GB"/>
        </w:rPr>
        <w:t xml:space="preserve">) </w:t>
      </w:r>
      <w:r w:rsidR="00A52E28">
        <w:rPr>
          <w:rFonts w:eastAsiaTheme="minorHAnsi"/>
          <w:lang w:val="en-GB"/>
        </w:rPr>
        <w:t xml:space="preserve">with a </w:t>
      </w:r>
      <w:r w:rsidR="00A52E28" w:rsidRPr="002A6C40">
        <w:rPr>
          <w:rFonts w:eastAsiaTheme="minorHAnsi"/>
          <w:lang w:val="en-GB"/>
        </w:rPr>
        <w:t>pHmeter (Hanna Edge)</w:t>
      </w:r>
      <w:r w:rsidR="00041D30" w:rsidRPr="002A6C40">
        <w:rPr>
          <w:rFonts w:eastAsiaTheme="minorHAnsi"/>
          <w:lang w:val="en-GB"/>
        </w:rPr>
        <w:t xml:space="preserve">. </w:t>
      </w:r>
      <w:r w:rsidR="00A464A1">
        <w:rPr>
          <w:rFonts w:eastAsiaTheme="minorHAnsi"/>
          <w:lang w:val="en-GB"/>
        </w:rPr>
        <w:t>W</w:t>
      </w:r>
      <w:r w:rsidR="00A52E28" w:rsidRPr="002A6C40">
        <w:rPr>
          <w:rFonts w:eastAsiaTheme="minorHAnsi"/>
          <w:lang w:val="en-GB"/>
        </w:rPr>
        <w:t>ater activity (</w:t>
      </w:r>
      <w:r w:rsidR="00A52E28" w:rsidRPr="002A6C40">
        <w:rPr>
          <w:rFonts w:eastAsiaTheme="minorHAnsi"/>
          <w:i/>
          <w:iCs/>
          <w:lang w:val="en-GB"/>
        </w:rPr>
        <w:t>a</w:t>
      </w:r>
      <w:r w:rsidR="00A52E28" w:rsidRPr="002A6C40">
        <w:rPr>
          <w:rFonts w:eastAsiaTheme="minorHAnsi"/>
          <w:sz w:val="11"/>
          <w:szCs w:val="11"/>
          <w:lang w:val="en-GB"/>
        </w:rPr>
        <w:t>w</w:t>
      </w:r>
      <w:r w:rsidR="00A52E28" w:rsidRPr="002A6C40">
        <w:rPr>
          <w:rFonts w:eastAsiaTheme="minorHAnsi"/>
          <w:lang w:val="en-GB"/>
        </w:rPr>
        <w:t xml:space="preserve">) </w:t>
      </w:r>
      <w:r w:rsidR="00A464A1">
        <w:rPr>
          <w:rFonts w:eastAsiaTheme="minorHAnsi"/>
          <w:lang w:val="en-GB"/>
        </w:rPr>
        <w:t xml:space="preserve">was evaluated </w:t>
      </w:r>
      <w:r w:rsidR="00C64B69">
        <w:rPr>
          <w:rFonts w:eastAsiaTheme="minorHAnsi"/>
          <w:lang w:val="en-GB"/>
        </w:rPr>
        <w:t>at t</w:t>
      </w:r>
      <w:r w:rsidR="00C64B69" w:rsidRPr="00A464A1">
        <w:rPr>
          <w:rFonts w:eastAsiaTheme="minorHAnsi"/>
          <w:vertAlign w:val="subscript"/>
          <w:lang w:val="en-GB"/>
        </w:rPr>
        <w:t>0</w:t>
      </w:r>
      <w:r w:rsidR="00C64B69">
        <w:rPr>
          <w:rFonts w:eastAsiaTheme="minorHAnsi"/>
          <w:lang w:val="en-GB"/>
        </w:rPr>
        <w:t xml:space="preserve"> and at t</w:t>
      </w:r>
      <w:r w:rsidR="00C64B69" w:rsidRPr="00A464A1">
        <w:rPr>
          <w:rFonts w:eastAsiaTheme="minorHAnsi"/>
          <w:vertAlign w:val="subscript"/>
          <w:lang w:val="en-GB"/>
        </w:rPr>
        <w:t>1</w:t>
      </w:r>
      <w:r w:rsidR="00A52E28" w:rsidRPr="002A6C40">
        <w:rPr>
          <w:rFonts w:eastAsiaTheme="minorHAnsi"/>
          <w:lang w:val="en-GB"/>
        </w:rPr>
        <w:t xml:space="preserve"> </w:t>
      </w:r>
      <w:r w:rsidR="00A464A1">
        <w:rPr>
          <w:rFonts w:eastAsiaTheme="minorHAnsi"/>
          <w:lang w:val="en-GB"/>
        </w:rPr>
        <w:t xml:space="preserve">in the doughs </w:t>
      </w:r>
      <w:r w:rsidR="00A52E28" w:rsidRPr="002A6C40">
        <w:rPr>
          <w:rFonts w:eastAsiaTheme="minorHAnsi"/>
          <w:lang w:val="en-GB"/>
        </w:rPr>
        <w:t xml:space="preserve">and </w:t>
      </w:r>
      <w:r w:rsidR="00A464A1">
        <w:rPr>
          <w:rFonts w:eastAsiaTheme="minorHAnsi"/>
          <w:lang w:val="en-GB"/>
        </w:rPr>
        <w:t xml:space="preserve">at time </w:t>
      </w:r>
      <w:r w:rsidR="00A464A1" w:rsidRPr="002A6C40">
        <w:rPr>
          <w:rFonts w:eastAsiaTheme="minorHAnsi"/>
          <w:lang w:val="en-GB"/>
        </w:rPr>
        <w:t>t</w:t>
      </w:r>
      <w:r w:rsidR="00A464A1" w:rsidRPr="00A52E28">
        <w:rPr>
          <w:rFonts w:eastAsiaTheme="minorHAnsi"/>
          <w:vertAlign w:val="subscript"/>
          <w:lang w:val="en-GB"/>
        </w:rPr>
        <w:t>2</w:t>
      </w:r>
      <w:r w:rsidR="00A464A1">
        <w:rPr>
          <w:rFonts w:eastAsiaTheme="minorHAnsi"/>
          <w:lang w:val="en-GB"/>
        </w:rPr>
        <w:t xml:space="preserve"> in the</w:t>
      </w:r>
      <w:r w:rsidR="00A52E28" w:rsidRPr="002A6C40">
        <w:rPr>
          <w:rFonts w:eastAsiaTheme="minorHAnsi"/>
          <w:lang w:val="en-GB"/>
        </w:rPr>
        <w:t xml:space="preserve"> bread</w:t>
      </w:r>
      <w:r w:rsidR="00A52E28">
        <w:rPr>
          <w:rFonts w:eastAsiaTheme="minorHAnsi"/>
          <w:lang w:val="en-GB"/>
        </w:rPr>
        <w:t xml:space="preserve"> (</w:t>
      </w:r>
      <w:r w:rsidR="00041D30" w:rsidRPr="002A6C40">
        <w:rPr>
          <w:rFonts w:eastAsiaTheme="minorHAnsi"/>
          <w:lang w:val="en-GB"/>
        </w:rPr>
        <w:t>AquaLab Devices instrument</w:t>
      </w:r>
      <w:r w:rsidR="00A52E28">
        <w:rPr>
          <w:rFonts w:eastAsiaTheme="minorHAnsi"/>
          <w:lang w:val="en-GB"/>
        </w:rPr>
        <w:t>).</w:t>
      </w:r>
      <w:r w:rsidR="00041D30" w:rsidRPr="002A6C40">
        <w:rPr>
          <w:rFonts w:eastAsiaTheme="minorHAnsi"/>
          <w:lang w:val="en-GB"/>
        </w:rPr>
        <w:t xml:space="preserve"> </w:t>
      </w:r>
    </w:p>
    <w:p w14:paraId="71447F01" w14:textId="4EA4CFB3" w:rsidR="00995222" w:rsidRPr="002A6C40" w:rsidRDefault="00041D30" w:rsidP="00184DE3">
      <w:pPr>
        <w:pStyle w:val="CETheadingx"/>
        <w:rPr>
          <w:lang w:val="en-GB"/>
        </w:rPr>
      </w:pPr>
      <w:r>
        <w:rPr>
          <w:lang w:val="en-GB"/>
        </w:rPr>
        <w:t xml:space="preserve">Dynamic </w:t>
      </w:r>
      <w:r w:rsidR="009E4218" w:rsidRPr="002A6C40">
        <w:rPr>
          <w:lang w:val="en-GB"/>
        </w:rPr>
        <w:t xml:space="preserve">Rheological </w:t>
      </w:r>
      <w:r>
        <w:rPr>
          <w:lang w:val="en-GB"/>
        </w:rPr>
        <w:t>Tests</w:t>
      </w:r>
    </w:p>
    <w:p w14:paraId="6BC92E24" w14:textId="14F623A4" w:rsidR="00A42236" w:rsidRPr="002A6C40" w:rsidRDefault="00041D30" w:rsidP="00A42236">
      <w:pPr>
        <w:pStyle w:val="CETBodytext"/>
        <w:rPr>
          <w:lang w:val="en-GB"/>
        </w:rPr>
      </w:pPr>
      <w:r>
        <w:rPr>
          <w:lang w:val="en-GB"/>
        </w:rPr>
        <w:t>Dynamic o</w:t>
      </w:r>
      <w:r w:rsidR="009E4218" w:rsidRPr="002A6C40">
        <w:rPr>
          <w:lang w:val="en-GB"/>
        </w:rPr>
        <w:t xml:space="preserve">scillatory </w:t>
      </w:r>
      <w:r>
        <w:rPr>
          <w:lang w:val="en-GB"/>
        </w:rPr>
        <w:t xml:space="preserve">tests of dough samples </w:t>
      </w:r>
      <w:r w:rsidR="009E4218" w:rsidRPr="002A6C40">
        <w:rPr>
          <w:lang w:val="en-GB"/>
        </w:rPr>
        <w:t xml:space="preserve">were carried </w:t>
      </w:r>
      <w:r w:rsidR="00A464A1">
        <w:rPr>
          <w:lang w:val="en-GB"/>
        </w:rPr>
        <w:t xml:space="preserve">at a constant temperature of </w:t>
      </w:r>
      <w:r w:rsidR="00A464A1" w:rsidRPr="002A6C40">
        <w:rPr>
          <w:lang w:val="en-GB"/>
        </w:rPr>
        <w:t xml:space="preserve">25°C </w:t>
      </w:r>
      <w:r w:rsidR="009E4218" w:rsidRPr="002A6C40">
        <w:rPr>
          <w:lang w:val="en-GB"/>
        </w:rPr>
        <w:t xml:space="preserve">out </w:t>
      </w:r>
      <w:r>
        <w:rPr>
          <w:lang w:val="en-GB"/>
        </w:rPr>
        <w:t>using both the A</w:t>
      </w:r>
      <w:r w:rsidRPr="002A6C40">
        <w:rPr>
          <w:lang w:val="en-GB"/>
        </w:rPr>
        <w:t>mplitude and</w:t>
      </w:r>
      <w:r>
        <w:rPr>
          <w:lang w:val="en-GB"/>
        </w:rPr>
        <w:t xml:space="preserve"> the Fr</w:t>
      </w:r>
      <w:r w:rsidRPr="002A6C40">
        <w:rPr>
          <w:lang w:val="en-GB"/>
        </w:rPr>
        <w:t>equency Sweep</w:t>
      </w:r>
      <w:r>
        <w:rPr>
          <w:lang w:val="en-GB"/>
        </w:rPr>
        <w:t xml:space="preserve"> mode </w:t>
      </w:r>
      <w:r w:rsidR="00A464A1">
        <w:rPr>
          <w:lang w:val="en-GB"/>
        </w:rPr>
        <w:t>in</w:t>
      </w:r>
      <w:r w:rsidR="009E4218" w:rsidRPr="002A6C40">
        <w:rPr>
          <w:lang w:val="en-GB"/>
        </w:rPr>
        <w:t xml:space="preserve"> a controlled-stress rheometer (MCR 302, Anton Paar, Austria) </w:t>
      </w:r>
      <w:r w:rsidR="00A464A1">
        <w:rPr>
          <w:lang w:val="en-GB"/>
        </w:rPr>
        <w:t xml:space="preserve">equipped </w:t>
      </w:r>
      <w:r w:rsidR="00E81B36">
        <w:rPr>
          <w:lang w:val="en-GB"/>
        </w:rPr>
        <w:t>with</w:t>
      </w:r>
      <w:r w:rsidR="009E4218" w:rsidRPr="002A6C40">
        <w:rPr>
          <w:lang w:val="en-GB"/>
        </w:rPr>
        <w:t xml:space="preserve"> a geometrical rough plate</w:t>
      </w:r>
      <w:r w:rsidRPr="002A6C40">
        <w:rPr>
          <w:lang w:val="en-GB"/>
        </w:rPr>
        <w:t>.</w:t>
      </w:r>
      <w:r w:rsidR="009E4218" w:rsidRPr="002A6C40">
        <w:rPr>
          <w:lang w:val="en-GB"/>
        </w:rPr>
        <w:t xml:space="preserve"> The plates were 25 mm in diameter </w:t>
      </w:r>
      <w:r>
        <w:rPr>
          <w:lang w:val="en-GB"/>
        </w:rPr>
        <w:t xml:space="preserve">with a selected </w:t>
      </w:r>
      <w:r w:rsidR="009E4218" w:rsidRPr="002A6C40">
        <w:rPr>
          <w:lang w:val="en-GB"/>
        </w:rPr>
        <w:t>3.5 mm gap</w:t>
      </w:r>
      <w:r>
        <w:rPr>
          <w:lang w:val="en-GB"/>
        </w:rPr>
        <w:t>.</w:t>
      </w:r>
      <w:r w:rsidR="009E4218" w:rsidRPr="002A6C40">
        <w:rPr>
          <w:lang w:val="en-GB"/>
        </w:rPr>
        <w:t xml:space="preserve"> Amplitude strain sweep </w:t>
      </w:r>
      <w:r>
        <w:rPr>
          <w:lang w:val="en-GB"/>
        </w:rPr>
        <w:t xml:space="preserve">test (with amplitude varying from </w:t>
      </w:r>
      <w:r w:rsidRPr="002A6C40">
        <w:rPr>
          <w:lang w:val="en-GB"/>
        </w:rPr>
        <w:t xml:space="preserve">0.01 </w:t>
      </w:r>
      <w:r>
        <w:rPr>
          <w:lang w:val="en-GB"/>
        </w:rPr>
        <w:t xml:space="preserve">to </w:t>
      </w:r>
      <w:r w:rsidRPr="002A6C40">
        <w:rPr>
          <w:lang w:val="en-GB"/>
        </w:rPr>
        <w:t>100 s</w:t>
      </w:r>
      <w:r w:rsidRPr="00041D30">
        <w:rPr>
          <w:vertAlign w:val="superscript"/>
          <w:lang w:val="en-GB"/>
        </w:rPr>
        <w:t>-1</w:t>
      </w:r>
      <w:r>
        <w:rPr>
          <w:lang w:val="en-GB"/>
        </w:rPr>
        <w:t xml:space="preserve"> at a </w:t>
      </w:r>
      <w:r w:rsidR="00F30AD5">
        <w:rPr>
          <w:lang w:val="en-GB"/>
        </w:rPr>
        <w:t>constant frequency value of 1</w:t>
      </w:r>
      <w:r w:rsidR="00D56BDC">
        <w:rPr>
          <w:lang w:val="en-GB"/>
        </w:rPr>
        <w:t xml:space="preserve"> rad s</w:t>
      </w:r>
      <w:r w:rsidR="00D56BDC">
        <w:rPr>
          <w:vertAlign w:val="superscript"/>
          <w:lang w:val="en-GB"/>
        </w:rPr>
        <w:t>-1</w:t>
      </w:r>
      <w:r>
        <w:rPr>
          <w:lang w:val="en-GB"/>
        </w:rPr>
        <w:t>)</w:t>
      </w:r>
      <w:r w:rsidRPr="002A6C40">
        <w:rPr>
          <w:lang w:val="en-GB"/>
        </w:rPr>
        <w:t xml:space="preserve"> </w:t>
      </w:r>
      <w:r w:rsidR="009E4218" w:rsidRPr="002A6C40">
        <w:rPr>
          <w:lang w:val="en-GB"/>
        </w:rPr>
        <w:t xml:space="preserve">was </w:t>
      </w:r>
      <w:r w:rsidR="00A464A1">
        <w:rPr>
          <w:lang w:val="en-GB"/>
        </w:rPr>
        <w:t>conducted</w:t>
      </w:r>
      <w:r w:rsidR="009E4218" w:rsidRPr="002A6C40">
        <w:rPr>
          <w:lang w:val="en-GB"/>
        </w:rPr>
        <w:t xml:space="preserve"> to determine the linear viscoelastic region (LVR). The viscoelastic parameters, including the storage modulus (G’), loss modulus (G’’) and loss tangent (tan δ) were plotted </w:t>
      </w:r>
      <w:r w:rsidR="00A464A1">
        <w:rPr>
          <w:lang w:val="en-GB"/>
        </w:rPr>
        <w:t>as a</w:t>
      </w:r>
      <w:r w:rsidR="009E4218" w:rsidRPr="002A6C40">
        <w:rPr>
          <w:lang w:val="en-GB"/>
        </w:rPr>
        <w:t xml:space="preserve"> function of shear strain</w:t>
      </w:r>
      <w:r>
        <w:rPr>
          <w:lang w:val="en-GB"/>
        </w:rPr>
        <w:t xml:space="preserve"> and the </w:t>
      </w:r>
      <w:r w:rsidR="009E4218" w:rsidRPr="002A6C40">
        <w:rPr>
          <w:lang w:val="en-GB"/>
        </w:rPr>
        <w:t>LVR was determined as the region in which G’ remain</w:t>
      </w:r>
      <w:r>
        <w:rPr>
          <w:lang w:val="en-GB"/>
        </w:rPr>
        <w:t>s</w:t>
      </w:r>
      <w:r w:rsidR="009E4218" w:rsidRPr="002A6C40">
        <w:rPr>
          <w:lang w:val="en-GB"/>
        </w:rPr>
        <w:t xml:space="preserve"> constant. </w:t>
      </w:r>
      <w:r w:rsidR="00A42236" w:rsidRPr="002A6C40">
        <w:rPr>
          <w:lang w:val="en-GB"/>
        </w:rPr>
        <w:t>The oscillatory frequency sweep</w:t>
      </w:r>
      <w:r>
        <w:rPr>
          <w:lang w:val="en-GB"/>
        </w:rPr>
        <w:t xml:space="preserve"> tests </w:t>
      </w:r>
      <w:r w:rsidR="00A42236" w:rsidRPr="002A6C40">
        <w:rPr>
          <w:lang w:val="en-GB"/>
        </w:rPr>
        <w:t>were</w:t>
      </w:r>
      <w:r w:rsidR="00A464A1">
        <w:rPr>
          <w:lang w:val="en-GB"/>
        </w:rPr>
        <w:t xml:space="preserve"> </w:t>
      </w:r>
      <w:r w:rsidR="00A42236" w:rsidRPr="002A6C40">
        <w:rPr>
          <w:lang w:val="en-GB"/>
        </w:rPr>
        <w:t>performed at a constant shear strain of 0.02%</w:t>
      </w:r>
      <w:r>
        <w:rPr>
          <w:lang w:val="en-GB"/>
        </w:rPr>
        <w:t xml:space="preserve"> and f</w:t>
      </w:r>
      <w:r w:rsidR="00F30AD5">
        <w:rPr>
          <w:lang w:val="en-GB"/>
        </w:rPr>
        <w:t>requency set between 100 and 0.1</w:t>
      </w:r>
      <w:r w:rsidR="00D56BDC">
        <w:rPr>
          <w:lang w:val="en-GB"/>
        </w:rPr>
        <w:t xml:space="preserve"> rad s</w:t>
      </w:r>
      <w:r w:rsidR="00D56BDC">
        <w:rPr>
          <w:vertAlign w:val="superscript"/>
          <w:lang w:val="en-GB"/>
        </w:rPr>
        <w:t>-1</w:t>
      </w:r>
      <w:r w:rsidR="00A42236" w:rsidRPr="002A6C40">
        <w:rPr>
          <w:lang w:val="en-GB"/>
        </w:rPr>
        <w:t xml:space="preserve">. The viscoelastic parameters, including the storage modulus (G’), loss modulus (G’’) and loss tangent (tan δ) were plotted </w:t>
      </w:r>
      <w:r>
        <w:rPr>
          <w:lang w:val="en-GB"/>
        </w:rPr>
        <w:t>as a</w:t>
      </w:r>
      <w:r w:rsidR="00A42236" w:rsidRPr="002A6C40">
        <w:rPr>
          <w:lang w:val="en-GB"/>
        </w:rPr>
        <w:t xml:space="preserve"> function of shear strain. </w:t>
      </w:r>
      <w:r>
        <w:rPr>
          <w:lang w:val="en-GB"/>
        </w:rPr>
        <w:t>All the tests</w:t>
      </w:r>
      <w:r w:rsidR="00A42236" w:rsidRPr="002A6C40">
        <w:rPr>
          <w:lang w:val="en-GB"/>
        </w:rPr>
        <w:t xml:space="preserve"> were carried out in triplicate.</w:t>
      </w:r>
    </w:p>
    <w:p w14:paraId="1FFC00C2" w14:textId="0EB5A136" w:rsidR="00885561" w:rsidRPr="002A6C40" w:rsidRDefault="00A52E28" w:rsidP="00885561">
      <w:pPr>
        <w:pStyle w:val="CETheadingx"/>
        <w:rPr>
          <w:lang w:val="en-GB"/>
        </w:rPr>
      </w:pPr>
      <w:r>
        <w:rPr>
          <w:lang w:val="en-GB"/>
        </w:rPr>
        <w:t xml:space="preserve">Microbiological Characterisation of </w:t>
      </w:r>
      <w:r w:rsidR="005A5A82" w:rsidRPr="002A6C40">
        <w:rPr>
          <w:lang w:val="en-GB"/>
        </w:rPr>
        <w:t xml:space="preserve">Leavening </w:t>
      </w:r>
      <w:r>
        <w:rPr>
          <w:lang w:val="en-GB"/>
        </w:rPr>
        <w:t>Agents</w:t>
      </w:r>
    </w:p>
    <w:p w14:paraId="526E5F7A" w14:textId="2733DFBB" w:rsidR="00D633CB" w:rsidRDefault="00D633CB" w:rsidP="00041D30">
      <w:pPr>
        <w:pStyle w:val="CETBodytext"/>
        <w:rPr>
          <w:rFonts w:eastAsiaTheme="minorHAnsi"/>
          <w:lang w:val="en-GB"/>
        </w:rPr>
      </w:pPr>
      <w:r>
        <w:rPr>
          <w:rFonts w:eastAsiaTheme="minorHAnsi"/>
          <w:lang w:val="en-GB"/>
        </w:rPr>
        <w:t xml:space="preserve">The three commercial </w:t>
      </w:r>
      <w:r w:rsidR="005A5A82" w:rsidRPr="002A6C40">
        <w:rPr>
          <w:rFonts w:eastAsiaTheme="minorHAnsi"/>
          <w:lang w:val="en-GB"/>
        </w:rPr>
        <w:t xml:space="preserve">dried sourdough and </w:t>
      </w:r>
      <w:r>
        <w:rPr>
          <w:rFonts w:eastAsiaTheme="minorHAnsi"/>
          <w:lang w:val="en-GB"/>
        </w:rPr>
        <w:t xml:space="preserve">the </w:t>
      </w:r>
      <w:r w:rsidR="005A5A82" w:rsidRPr="002A6C40">
        <w:rPr>
          <w:rFonts w:eastAsiaTheme="minorHAnsi"/>
          <w:lang w:val="en-GB"/>
        </w:rPr>
        <w:t>bakery’s yeast</w:t>
      </w:r>
      <w:r>
        <w:rPr>
          <w:rFonts w:eastAsiaTheme="minorHAnsi"/>
          <w:lang w:val="en-GB"/>
        </w:rPr>
        <w:t xml:space="preserve"> were analysed for the total vital </w:t>
      </w:r>
      <w:r w:rsidR="00885561" w:rsidRPr="002A6C40">
        <w:rPr>
          <w:rFonts w:eastAsiaTheme="minorHAnsi"/>
          <w:lang w:val="en-GB"/>
        </w:rPr>
        <w:t xml:space="preserve">LAB </w:t>
      </w:r>
      <w:r>
        <w:rPr>
          <w:rFonts w:eastAsiaTheme="minorHAnsi"/>
          <w:lang w:val="en-GB"/>
        </w:rPr>
        <w:t xml:space="preserve">content </w:t>
      </w:r>
      <w:r w:rsidR="00885561" w:rsidRPr="002A6C40">
        <w:rPr>
          <w:rFonts w:eastAsiaTheme="minorHAnsi"/>
          <w:lang w:val="en-GB"/>
        </w:rPr>
        <w:t>and</w:t>
      </w:r>
      <w:r>
        <w:rPr>
          <w:rFonts w:eastAsiaTheme="minorHAnsi"/>
          <w:lang w:val="en-GB"/>
        </w:rPr>
        <w:t xml:space="preserve"> for the total vital </w:t>
      </w:r>
      <w:r w:rsidR="00885561" w:rsidRPr="002A6C40">
        <w:rPr>
          <w:rFonts w:eastAsiaTheme="minorHAnsi"/>
          <w:lang w:val="en-GB"/>
        </w:rPr>
        <w:t>yeast</w:t>
      </w:r>
      <w:r>
        <w:rPr>
          <w:rFonts w:eastAsiaTheme="minorHAnsi"/>
          <w:lang w:val="en-GB"/>
        </w:rPr>
        <w:t xml:space="preserve"> contents</w:t>
      </w:r>
      <w:r w:rsidR="005733E7" w:rsidRPr="002A6C40">
        <w:rPr>
          <w:rFonts w:eastAsiaTheme="minorHAnsi"/>
          <w:lang w:val="en-GB"/>
        </w:rPr>
        <w:t xml:space="preserve"> </w:t>
      </w:r>
      <w:r w:rsidR="00885561" w:rsidRPr="002A6C40">
        <w:rPr>
          <w:rFonts w:eastAsiaTheme="minorHAnsi"/>
          <w:lang w:val="en-GB"/>
        </w:rPr>
        <w:t xml:space="preserve">by plating on </w:t>
      </w:r>
      <w:r w:rsidR="005733E7" w:rsidRPr="002A6C40">
        <w:rPr>
          <w:rFonts w:eastAsiaTheme="minorHAnsi"/>
          <w:lang w:val="en-GB"/>
        </w:rPr>
        <w:t>Rose-Bengal-Agar</w:t>
      </w:r>
      <w:r w:rsidR="00885561" w:rsidRPr="002A6C40">
        <w:rPr>
          <w:rFonts w:eastAsiaTheme="minorHAnsi"/>
          <w:lang w:val="en-GB"/>
        </w:rPr>
        <w:t xml:space="preserve"> and</w:t>
      </w:r>
      <w:r w:rsidR="005A5A82" w:rsidRPr="002A6C40">
        <w:rPr>
          <w:rFonts w:eastAsiaTheme="minorHAnsi"/>
          <w:lang w:val="en-GB"/>
        </w:rPr>
        <w:t xml:space="preserve"> RMS-Agar</w:t>
      </w:r>
      <w:r w:rsidR="00885561" w:rsidRPr="002A6C40">
        <w:rPr>
          <w:rFonts w:eastAsiaTheme="minorHAnsi"/>
          <w:lang w:val="en-GB"/>
        </w:rPr>
        <w:t xml:space="preserve"> media at </w:t>
      </w:r>
      <w:r w:rsidR="005A5A82" w:rsidRPr="002A6C40">
        <w:rPr>
          <w:rFonts w:eastAsiaTheme="minorHAnsi"/>
          <w:lang w:val="en-GB"/>
        </w:rPr>
        <w:t>30</w:t>
      </w:r>
      <w:r w:rsidR="00885561" w:rsidRPr="002A6C40">
        <w:rPr>
          <w:rFonts w:eastAsiaTheme="minorHAnsi"/>
          <w:lang w:val="en-GB"/>
        </w:rPr>
        <w:t xml:space="preserve"> °</w:t>
      </w:r>
      <w:r w:rsidR="00340E8F" w:rsidRPr="002A6C40">
        <w:rPr>
          <w:rFonts w:eastAsiaTheme="minorHAnsi"/>
          <w:lang w:val="en-GB"/>
        </w:rPr>
        <w:t xml:space="preserve">C </w:t>
      </w:r>
      <w:r w:rsidR="005A5A82" w:rsidRPr="002A6C40">
        <w:rPr>
          <w:rFonts w:eastAsiaTheme="minorHAnsi"/>
          <w:lang w:val="en-GB"/>
        </w:rPr>
        <w:t>and 37°C</w:t>
      </w:r>
      <w:r w:rsidR="00885561" w:rsidRPr="002A6C40">
        <w:rPr>
          <w:rFonts w:eastAsiaTheme="minorHAnsi"/>
          <w:lang w:val="en-GB"/>
        </w:rPr>
        <w:t>, respectively.</w:t>
      </w:r>
      <w:r w:rsidR="00340E8F" w:rsidRPr="002A6C40">
        <w:rPr>
          <w:rFonts w:eastAsiaTheme="minorHAnsi"/>
          <w:lang w:val="en-GB"/>
        </w:rPr>
        <w:t xml:space="preserve"> Plating counting was performed after 2 and 5 days </w:t>
      </w:r>
      <w:r>
        <w:rPr>
          <w:rFonts w:eastAsiaTheme="minorHAnsi"/>
          <w:lang w:val="en-GB"/>
        </w:rPr>
        <w:t xml:space="preserve">of incubation </w:t>
      </w:r>
      <w:r w:rsidR="00340E8F" w:rsidRPr="002A6C40">
        <w:rPr>
          <w:rFonts w:eastAsiaTheme="minorHAnsi"/>
          <w:lang w:val="en-GB"/>
        </w:rPr>
        <w:t xml:space="preserve">for </w:t>
      </w:r>
      <w:r w:rsidR="008821A6" w:rsidRPr="002A6C40">
        <w:rPr>
          <w:rFonts w:eastAsiaTheme="minorHAnsi"/>
          <w:lang w:val="en-GB"/>
        </w:rPr>
        <w:t>yeast</w:t>
      </w:r>
      <w:r>
        <w:rPr>
          <w:rFonts w:eastAsiaTheme="minorHAnsi"/>
          <w:lang w:val="en-GB"/>
        </w:rPr>
        <w:t>s,</w:t>
      </w:r>
      <w:r w:rsidR="008821A6" w:rsidRPr="002A6C40">
        <w:rPr>
          <w:rFonts w:eastAsiaTheme="minorHAnsi"/>
          <w:lang w:val="en-GB"/>
        </w:rPr>
        <w:t xml:space="preserve"> and after 4 days for LAB</w:t>
      </w:r>
      <w:r w:rsidR="00340E8F" w:rsidRPr="002A6C40">
        <w:rPr>
          <w:rFonts w:eastAsiaTheme="minorHAnsi"/>
          <w:lang w:val="en-GB"/>
        </w:rPr>
        <w:t>.</w:t>
      </w:r>
      <w:r w:rsidR="005733E7" w:rsidRPr="002A6C40">
        <w:rPr>
          <w:rFonts w:eastAsiaTheme="minorHAnsi"/>
          <w:lang w:val="en-GB"/>
        </w:rPr>
        <w:t xml:space="preserve"> </w:t>
      </w:r>
      <w:r w:rsidR="00B55824">
        <w:rPr>
          <w:rFonts w:eastAsiaTheme="minorHAnsi"/>
          <w:lang w:val="en-GB"/>
        </w:rPr>
        <w:t xml:space="preserve">Results were expressed as </w:t>
      </w:r>
      <w:r w:rsidR="004A209E">
        <w:rPr>
          <w:rFonts w:eastAsiaTheme="minorHAnsi"/>
          <w:lang w:val="en-GB"/>
        </w:rPr>
        <w:t>CFU</w:t>
      </w:r>
      <w:r w:rsidR="00B55824">
        <w:rPr>
          <w:rFonts w:eastAsiaTheme="minorHAnsi"/>
          <w:lang w:val="en-GB"/>
        </w:rPr>
        <w:t xml:space="preserve"> (colony forming units)/g of product.</w:t>
      </w:r>
    </w:p>
    <w:p w14:paraId="584692FB" w14:textId="1A248F6E" w:rsidR="004A3BD1" w:rsidRPr="002A6C40" w:rsidRDefault="004A3BD1" w:rsidP="00D633CB">
      <w:pPr>
        <w:pStyle w:val="CETheadingx"/>
        <w:rPr>
          <w:lang w:val="en-GB"/>
        </w:rPr>
      </w:pPr>
      <w:r w:rsidRPr="002A6C40">
        <w:rPr>
          <w:lang w:val="en-GB"/>
        </w:rPr>
        <w:t xml:space="preserve">Texture </w:t>
      </w:r>
      <w:r w:rsidR="00D633CB">
        <w:rPr>
          <w:lang w:val="en-GB"/>
        </w:rPr>
        <w:t>Profile</w:t>
      </w:r>
    </w:p>
    <w:p w14:paraId="2681861F" w14:textId="227E9719" w:rsidR="004A3BD1" w:rsidRDefault="004A3BD1" w:rsidP="004A3BD1">
      <w:pPr>
        <w:pStyle w:val="CETBodytext"/>
        <w:rPr>
          <w:lang w:val="en-GB"/>
        </w:rPr>
      </w:pPr>
      <w:r w:rsidRPr="002A6C40">
        <w:rPr>
          <w:lang w:val="en-GB"/>
        </w:rPr>
        <w:t xml:space="preserve">The </w:t>
      </w:r>
      <w:r w:rsidR="00D633CB">
        <w:rPr>
          <w:lang w:val="en-GB"/>
        </w:rPr>
        <w:t>texture profile</w:t>
      </w:r>
      <w:r w:rsidR="00AE2E4D">
        <w:rPr>
          <w:lang w:val="en-GB"/>
        </w:rPr>
        <w:t xml:space="preserve"> analysis (TPA)</w:t>
      </w:r>
      <w:r w:rsidR="00D633CB">
        <w:rPr>
          <w:lang w:val="en-GB"/>
        </w:rPr>
        <w:t xml:space="preserve"> of</w:t>
      </w:r>
      <w:r w:rsidRPr="002A6C40">
        <w:rPr>
          <w:lang w:val="en-GB"/>
        </w:rPr>
        <w:t xml:space="preserve"> </w:t>
      </w:r>
      <w:r w:rsidR="00D633CB">
        <w:rPr>
          <w:lang w:val="en-GB"/>
        </w:rPr>
        <w:t>breads</w:t>
      </w:r>
      <w:r w:rsidRPr="002A6C40">
        <w:rPr>
          <w:lang w:val="en-GB"/>
        </w:rPr>
        <w:t xml:space="preserve"> w</w:t>
      </w:r>
      <w:r w:rsidR="00114FE4">
        <w:rPr>
          <w:lang w:val="en-GB"/>
        </w:rPr>
        <w:t>as</w:t>
      </w:r>
      <w:r w:rsidRPr="002A6C40">
        <w:rPr>
          <w:lang w:val="en-GB"/>
        </w:rPr>
        <w:t xml:space="preserve"> determined </w:t>
      </w:r>
      <w:r w:rsidR="00D633CB">
        <w:rPr>
          <w:lang w:val="en-GB"/>
        </w:rPr>
        <w:t>with a</w:t>
      </w:r>
      <w:r w:rsidRPr="002A6C40">
        <w:rPr>
          <w:lang w:val="en-GB"/>
        </w:rPr>
        <w:t xml:space="preserve"> Texture Analyser (Perten</w:t>
      </w:r>
      <w:r w:rsidR="00D633CB">
        <w:rPr>
          <w:lang w:val="en-GB"/>
        </w:rPr>
        <w:t>,</w:t>
      </w:r>
      <w:r w:rsidRPr="002A6C40">
        <w:rPr>
          <w:lang w:val="en-GB"/>
        </w:rPr>
        <w:t xml:space="preserve"> TVT 6700)</w:t>
      </w:r>
      <w:r w:rsidR="00D633CB">
        <w:rPr>
          <w:lang w:val="en-GB"/>
        </w:rPr>
        <w:t xml:space="preserve"> </w:t>
      </w:r>
      <w:r w:rsidR="00114FE4">
        <w:rPr>
          <w:lang w:val="en-GB"/>
        </w:rPr>
        <w:t>as reported by</w:t>
      </w:r>
      <w:r w:rsidR="002C00EA">
        <w:rPr>
          <w:lang w:val="en-GB"/>
        </w:rPr>
        <w:t xml:space="preserve"> Kadan et al. (2011) method with slight modification.</w:t>
      </w:r>
      <w:r w:rsidRPr="002A6C40">
        <w:rPr>
          <w:lang w:val="en-GB"/>
        </w:rPr>
        <w:t xml:space="preserve"> </w:t>
      </w:r>
      <w:r w:rsidR="00D633CB">
        <w:rPr>
          <w:lang w:val="en-GB"/>
        </w:rPr>
        <w:t xml:space="preserve">Bread was cut into </w:t>
      </w:r>
      <w:r w:rsidRPr="002A6C40">
        <w:rPr>
          <w:lang w:val="en-GB"/>
        </w:rPr>
        <w:t xml:space="preserve">30 mm thick slices </w:t>
      </w:r>
      <w:r w:rsidR="00D633CB">
        <w:rPr>
          <w:lang w:val="en-GB"/>
        </w:rPr>
        <w:t xml:space="preserve">which </w:t>
      </w:r>
      <w:r w:rsidRPr="002A6C40">
        <w:rPr>
          <w:lang w:val="en-GB"/>
        </w:rPr>
        <w:t xml:space="preserve">were subjected to a double compression </w:t>
      </w:r>
      <w:r w:rsidR="00114FE4">
        <w:rPr>
          <w:lang w:val="en-GB"/>
        </w:rPr>
        <w:t xml:space="preserve">down </w:t>
      </w:r>
      <w:r w:rsidRPr="002A6C40">
        <w:rPr>
          <w:lang w:val="en-GB"/>
        </w:rPr>
        <w:t>to 40% of their original height by a cylindrical prob</w:t>
      </w:r>
      <w:r w:rsidR="00D633CB">
        <w:rPr>
          <w:lang w:val="en-GB"/>
        </w:rPr>
        <w:t>e</w:t>
      </w:r>
      <w:r w:rsidRPr="002A6C40">
        <w:rPr>
          <w:lang w:val="en-GB"/>
        </w:rPr>
        <w:t xml:space="preserve"> of 25 mm diameter</w:t>
      </w:r>
      <w:r w:rsidR="00D633CB">
        <w:rPr>
          <w:lang w:val="en-GB"/>
        </w:rPr>
        <w:t xml:space="preserve"> at a </w:t>
      </w:r>
      <w:r w:rsidR="00273F49" w:rsidRPr="00D633CB">
        <w:rPr>
          <w:lang w:val="en-GB"/>
        </w:rPr>
        <w:t>3.0 mm s</w:t>
      </w:r>
      <w:r w:rsidR="00273F49" w:rsidRPr="00D633CB">
        <w:rPr>
          <w:vertAlign w:val="superscript"/>
          <w:lang w:val="en-GB"/>
        </w:rPr>
        <w:t>-1</w:t>
      </w:r>
      <w:r w:rsidR="00D633CB">
        <w:rPr>
          <w:lang w:val="en-GB"/>
        </w:rPr>
        <w:t xml:space="preserve"> speed</w:t>
      </w:r>
      <w:r w:rsidR="00273F49" w:rsidRPr="00D633CB">
        <w:rPr>
          <w:lang w:val="en-GB"/>
        </w:rPr>
        <w:t>.</w:t>
      </w:r>
      <w:r w:rsidRPr="002A6C40">
        <w:rPr>
          <w:lang w:val="en-GB"/>
        </w:rPr>
        <w:t xml:space="preserve"> A decompression step with </w:t>
      </w:r>
      <w:r w:rsidR="00D633CB">
        <w:rPr>
          <w:lang w:val="en-GB"/>
        </w:rPr>
        <w:t>a</w:t>
      </w:r>
      <w:r w:rsidRPr="002A6C40">
        <w:rPr>
          <w:lang w:val="en-GB"/>
        </w:rPr>
        <w:t xml:space="preserve"> holding time of 30 s is </w:t>
      </w:r>
      <w:r w:rsidR="00DD210D">
        <w:rPr>
          <w:lang w:val="en-GB"/>
        </w:rPr>
        <w:t>applied</w:t>
      </w:r>
      <w:r w:rsidRPr="002A6C40">
        <w:rPr>
          <w:lang w:val="en-GB"/>
        </w:rPr>
        <w:t xml:space="preserve"> between the two cycles to assess a partial recovery of crumb shape and the release of compression force. The </w:t>
      </w:r>
      <w:r w:rsidR="00D633CB">
        <w:rPr>
          <w:lang w:val="en-GB"/>
        </w:rPr>
        <w:t xml:space="preserve">instrument </w:t>
      </w:r>
      <w:r w:rsidRPr="002A6C40">
        <w:rPr>
          <w:lang w:val="en-GB"/>
        </w:rPr>
        <w:t>software computed a force versus time plot and calculated texture parameter</w:t>
      </w:r>
      <w:r w:rsidR="00D633CB">
        <w:rPr>
          <w:lang w:val="en-GB"/>
        </w:rPr>
        <w:t>s</w:t>
      </w:r>
      <w:r w:rsidRPr="002A6C40">
        <w:rPr>
          <w:lang w:val="en-GB"/>
        </w:rPr>
        <w:t xml:space="preserve"> such as hardness, cohesivity, </w:t>
      </w:r>
      <w:r w:rsidRPr="002A6C40">
        <w:rPr>
          <w:lang w:val="en-GB"/>
        </w:rPr>
        <w:lastRenderedPageBreak/>
        <w:t>springiness and resilience expressing the resistance of the crumb to the penetrating plunger and represent</w:t>
      </w:r>
      <w:r w:rsidR="00D633CB">
        <w:rPr>
          <w:lang w:val="en-GB"/>
        </w:rPr>
        <w:t>ing</w:t>
      </w:r>
      <w:r w:rsidRPr="002A6C40">
        <w:rPr>
          <w:lang w:val="en-GB"/>
        </w:rPr>
        <w:t xml:space="preserve"> the overall crumb firmness</w:t>
      </w:r>
      <w:r w:rsidR="00D633CB">
        <w:rPr>
          <w:lang w:val="en-GB"/>
        </w:rPr>
        <w:t>.</w:t>
      </w:r>
    </w:p>
    <w:p w14:paraId="2AD43BE1" w14:textId="784BD8DC" w:rsidR="00114FE4" w:rsidRPr="001E45CF" w:rsidRDefault="00114FE4" w:rsidP="00114FE4">
      <w:pPr>
        <w:pStyle w:val="CETheadingx"/>
      </w:pPr>
      <w:r w:rsidRPr="007759F0">
        <w:t xml:space="preserve"> </w:t>
      </w:r>
      <w:r w:rsidRPr="001E45CF">
        <w:t>Statistical analysis</w:t>
      </w:r>
    </w:p>
    <w:p w14:paraId="2B0A01A1" w14:textId="0C1ABF43" w:rsidR="00114FE4" w:rsidRPr="005D526F" w:rsidRDefault="00114FE4" w:rsidP="00114FE4">
      <w:pPr>
        <w:pStyle w:val="CETBodytext"/>
      </w:pPr>
      <w:r w:rsidRPr="001E45CF">
        <w:t xml:space="preserve">Results are reported as mean values of three replicates with their corresponding standard deviations. </w:t>
      </w:r>
      <w:r w:rsidR="001E45CF" w:rsidRPr="001E45CF">
        <w:t>The influence of leavening agent on characteristics of doughs and breads was evaluated through the one-way a</w:t>
      </w:r>
      <w:r w:rsidRPr="001E45CF">
        <w:t xml:space="preserve">nalysis of variance (ANOVA) followed by Tukey’s post-hoc test </w:t>
      </w:r>
      <w:r w:rsidR="001E45CF" w:rsidRPr="001E45CF">
        <w:t xml:space="preserve">for means discrimination, </w:t>
      </w:r>
      <w:r w:rsidRPr="001E45CF">
        <w:t xml:space="preserve">at p </w:t>
      </w:r>
      <w:r w:rsidRPr="001E45CF">
        <w:rPr>
          <w:rFonts w:cs="Arial"/>
        </w:rPr>
        <w:t xml:space="preserve">≤ </w:t>
      </w:r>
      <w:r w:rsidRPr="001E45CF">
        <w:t>0.05 level</w:t>
      </w:r>
      <w:r w:rsidR="001E45CF" w:rsidRPr="001E45CF">
        <w:t>,</w:t>
      </w:r>
      <w:r w:rsidRPr="001E45CF">
        <w:t xml:space="preserve"> using statistical software SPSS</w:t>
      </w:r>
      <w:r w:rsidRPr="001E45CF">
        <w:rPr>
          <w:rFonts w:cs="Arial"/>
          <w:vertAlign w:val="superscript"/>
        </w:rPr>
        <w:t>®</w:t>
      </w:r>
      <w:r w:rsidR="004A209E">
        <w:rPr>
          <w:rFonts w:cs="Arial"/>
          <w:vertAlign w:val="superscript"/>
        </w:rPr>
        <w:t xml:space="preserve"> </w:t>
      </w:r>
      <w:r w:rsidRPr="001E45CF">
        <w:rPr>
          <w:rFonts w:cs="Arial"/>
        </w:rPr>
        <w:t>(version 21.0, SPSS Inc., Chicago, IL, USA).</w:t>
      </w:r>
    </w:p>
    <w:p w14:paraId="52030C0E" w14:textId="77777777" w:rsidR="004D0D3C" w:rsidRPr="002A6C40" w:rsidRDefault="004D0D3C" w:rsidP="004D0D3C">
      <w:pPr>
        <w:pStyle w:val="CETHeading1"/>
        <w:rPr>
          <w:lang w:val="en-GB"/>
        </w:rPr>
      </w:pPr>
      <w:r w:rsidRPr="002A6C40">
        <w:rPr>
          <w:lang w:val="en-GB"/>
        </w:rPr>
        <w:t>Result and Discussion</w:t>
      </w:r>
    </w:p>
    <w:p w14:paraId="59F26926" w14:textId="6C68F80C" w:rsidR="00C05DF3" w:rsidRPr="002A6C40" w:rsidRDefault="00D633CB" w:rsidP="00C05DF3">
      <w:pPr>
        <w:pStyle w:val="CETheadingx"/>
        <w:rPr>
          <w:lang w:val="en-GB"/>
        </w:rPr>
      </w:pPr>
      <w:r>
        <w:rPr>
          <w:lang w:val="en-GB"/>
        </w:rPr>
        <w:t xml:space="preserve">Dynamic </w:t>
      </w:r>
      <w:r w:rsidRPr="002A6C40">
        <w:rPr>
          <w:lang w:val="en-GB"/>
        </w:rPr>
        <w:t xml:space="preserve">Rheological </w:t>
      </w:r>
      <w:r>
        <w:rPr>
          <w:lang w:val="en-GB"/>
        </w:rPr>
        <w:t>Tests</w:t>
      </w:r>
      <w:r w:rsidRPr="002A6C40">
        <w:rPr>
          <w:lang w:val="en-GB"/>
        </w:rPr>
        <w:t xml:space="preserve"> </w:t>
      </w:r>
    </w:p>
    <w:p w14:paraId="76FF8116" w14:textId="11B6B82A" w:rsidR="007B01B6" w:rsidRDefault="00C05DF3" w:rsidP="004A3BD1">
      <w:pPr>
        <w:pStyle w:val="CETBodytext"/>
        <w:rPr>
          <w:rFonts w:eastAsiaTheme="minorHAnsi"/>
          <w:lang w:val="en-GB"/>
        </w:rPr>
      </w:pPr>
      <w:r w:rsidRPr="002A6C40">
        <w:rPr>
          <w:rFonts w:eastAsiaTheme="minorHAnsi"/>
          <w:lang w:val="en-GB"/>
        </w:rPr>
        <w:t xml:space="preserve">The </w:t>
      </w:r>
      <w:r w:rsidR="00D633CB">
        <w:rPr>
          <w:rFonts w:eastAsiaTheme="minorHAnsi"/>
          <w:lang w:val="en-GB"/>
        </w:rPr>
        <w:t xml:space="preserve">obtained </w:t>
      </w:r>
      <w:r w:rsidRPr="002A6C40">
        <w:rPr>
          <w:rFonts w:eastAsiaTheme="minorHAnsi"/>
          <w:lang w:val="en-GB"/>
        </w:rPr>
        <w:t xml:space="preserve">data </w:t>
      </w:r>
      <w:r w:rsidR="00D633CB">
        <w:rPr>
          <w:rFonts w:eastAsiaTheme="minorHAnsi"/>
          <w:lang w:val="en-GB"/>
        </w:rPr>
        <w:t xml:space="preserve">of </w:t>
      </w:r>
      <w:r w:rsidR="00D633CB" w:rsidRPr="002A6C40">
        <w:rPr>
          <w:rFonts w:eastAsiaTheme="minorHAnsi"/>
          <w:lang w:val="en-GB"/>
        </w:rPr>
        <w:t xml:space="preserve">storage modulus G’ </w:t>
      </w:r>
      <w:r w:rsidR="00142AD9">
        <w:rPr>
          <w:rFonts w:eastAsiaTheme="minorHAnsi"/>
          <w:lang w:val="en-GB"/>
        </w:rPr>
        <w:t>(</w:t>
      </w:r>
      <w:r w:rsidRPr="002A6C40">
        <w:rPr>
          <w:rFonts w:eastAsiaTheme="minorHAnsi"/>
          <w:lang w:val="en-GB"/>
        </w:rPr>
        <w:t>Fig</w:t>
      </w:r>
      <w:r w:rsidR="00BC2B9B" w:rsidRPr="002A6C40">
        <w:rPr>
          <w:rFonts w:eastAsiaTheme="minorHAnsi"/>
          <w:lang w:val="en-GB"/>
        </w:rPr>
        <w:t>ure</w:t>
      </w:r>
      <w:r w:rsidR="0020124F">
        <w:rPr>
          <w:rFonts w:eastAsiaTheme="minorHAnsi"/>
          <w:lang w:val="en-GB"/>
        </w:rPr>
        <w:t>s</w:t>
      </w:r>
      <w:r w:rsidRPr="002A6C40">
        <w:rPr>
          <w:rFonts w:eastAsiaTheme="minorHAnsi"/>
          <w:lang w:val="en-GB"/>
        </w:rPr>
        <w:t xml:space="preserve"> 1</w:t>
      </w:r>
      <w:r w:rsidR="0020124F">
        <w:rPr>
          <w:rFonts w:eastAsiaTheme="minorHAnsi"/>
          <w:lang w:val="en-GB"/>
        </w:rPr>
        <w:t xml:space="preserve"> and 2</w:t>
      </w:r>
      <w:r w:rsidR="001974E6">
        <w:rPr>
          <w:rFonts w:eastAsiaTheme="minorHAnsi"/>
          <w:lang w:val="en-GB"/>
        </w:rPr>
        <w:t>)</w:t>
      </w:r>
      <w:r w:rsidR="00142AD9">
        <w:rPr>
          <w:rFonts w:eastAsiaTheme="minorHAnsi"/>
          <w:lang w:val="en-GB"/>
        </w:rPr>
        <w:t xml:space="preserve"> </w:t>
      </w:r>
      <w:r w:rsidRPr="002A6C40">
        <w:rPr>
          <w:rFonts w:eastAsiaTheme="minorHAnsi"/>
          <w:lang w:val="en-GB"/>
        </w:rPr>
        <w:t xml:space="preserve">show </w:t>
      </w:r>
      <w:r w:rsidR="001B6441" w:rsidRPr="002A6C40">
        <w:rPr>
          <w:rFonts w:eastAsiaTheme="minorHAnsi"/>
          <w:lang w:val="en-GB"/>
        </w:rPr>
        <w:t>trends</w:t>
      </w:r>
      <w:r w:rsidRPr="002A6C40">
        <w:rPr>
          <w:rFonts w:eastAsiaTheme="minorHAnsi"/>
          <w:lang w:val="en-GB"/>
        </w:rPr>
        <w:t xml:space="preserve"> </w:t>
      </w:r>
      <w:r w:rsidR="004A209E" w:rsidRPr="002A6C40">
        <w:rPr>
          <w:rFonts w:eastAsiaTheme="minorHAnsi"/>
          <w:lang w:val="en-GB"/>
        </w:rPr>
        <w:t>like</w:t>
      </w:r>
      <w:r w:rsidR="001B6441" w:rsidRPr="002A6C40">
        <w:rPr>
          <w:rFonts w:eastAsiaTheme="minorHAnsi"/>
          <w:lang w:val="en-GB"/>
        </w:rPr>
        <w:t xml:space="preserve"> </w:t>
      </w:r>
      <w:r w:rsidR="00142AD9">
        <w:rPr>
          <w:rFonts w:eastAsiaTheme="minorHAnsi"/>
          <w:lang w:val="en-GB"/>
        </w:rPr>
        <w:t>those</w:t>
      </w:r>
      <w:r w:rsidRPr="002A6C40">
        <w:rPr>
          <w:rFonts w:eastAsiaTheme="minorHAnsi"/>
          <w:lang w:val="en-GB"/>
        </w:rPr>
        <w:t xml:space="preserve"> typical of </w:t>
      </w:r>
      <w:r w:rsidR="00FE3350">
        <w:rPr>
          <w:rFonts w:eastAsiaTheme="minorHAnsi"/>
          <w:lang w:val="en-GB"/>
        </w:rPr>
        <w:t>elastoviscous</w:t>
      </w:r>
      <w:r w:rsidRPr="002A6C40">
        <w:rPr>
          <w:rFonts w:eastAsiaTheme="minorHAnsi"/>
          <w:lang w:val="en-GB"/>
        </w:rPr>
        <w:t xml:space="preserve"> materials</w:t>
      </w:r>
      <w:r w:rsidR="009062E9">
        <w:rPr>
          <w:rFonts w:eastAsiaTheme="minorHAnsi"/>
          <w:lang w:val="en-GB"/>
        </w:rPr>
        <w:t>:</w:t>
      </w:r>
      <w:r w:rsidR="00CB5EFE">
        <w:rPr>
          <w:rFonts w:eastAsiaTheme="minorHAnsi"/>
          <w:lang w:val="en-GB"/>
        </w:rPr>
        <w:t xml:space="preserve"> as </w:t>
      </w:r>
      <w:r w:rsidRPr="002A6C40">
        <w:rPr>
          <w:rFonts w:eastAsiaTheme="minorHAnsi"/>
          <w:lang w:val="en-GB"/>
        </w:rPr>
        <w:t>angular frequency increases up to 100 rad s</w:t>
      </w:r>
      <w:r w:rsidR="001B6441" w:rsidRPr="002A6C40">
        <w:rPr>
          <w:rFonts w:eastAsiaTheme="minorHAnsi"/>
          <w:lang w:val="en-GB"/>
        </w:rPr>
        <w:t>-</w:t>
      </w:r>
      <w:r w:rsidRPr="002A6C40">
        <w:rPr>
          <w:rFonts w:eastAsiaTheme="minorHAnsi"/>
          <w:lang w:val="en-GB"/>
        </w:rPr>
        <w:t xml:space="preserve">1, storage modulus </w:t>
      </w:r>
      <w:r w:rsidR="00FE3350">
        <w:rPr>
          <w:rFonts w:eastAsiaTheme="minorHAnsi"/>
          <w:lang w:val="en-GB"/>
        </w:rPr>
        <w:t xml:space="preserve">slightly </w:t>
      </w:r>
      <w:r w:rsidRPr="002A6C40">
        <w:rPr>
          <w:rFonts w:eastAsiaTheme="minorHAnsi"/>
          <w:lang w:val="en-GB"/>
        </w:rPr>
        <w:t>increases as a function of frequency</w:t>
      </w:r>
      <w:r w:rsidR="00CB5EFE">
        <w:rPr>
          <w:rFonts w:eastAsiaTheme="minorHAnsi"/>
          <w:lang w:val="en-GB"/>
        </w:rPr>
        <w:t xml:space="preserve">. </w:t>
      </w:r>
      <w:r w:rsidR="00CB5EFE">
        <w:rPr>
          <w:rFonts w:eastAsiaTheme="minorHAnsi"/>
          <w:lang w:val="en-GB"/>
        </w:rPr>
        <w:tab/>
        <w:t xml:space="preserve">In a </w:t>
      </w:r>
      <w:r w:rsidR="00CB5EFE">
        <w:t>structured or solid-like material, the elastic modulus G’ is often nearly independent of frequency. The more frequency dependent the elastic modulus is, the more fluid-like is the material</w:t>
      </w:r>
      <w:r w:rsidRPr="002A6C40">
        <w:rPr>
          <w:rFonts w:eastAsiaTheme="minorHAnsi"/>
          <w:lang w:val="en-GB"/>
        </w:rPr>
        <w:t xml:space="preserve">. </w:t>
      </w:r>
    </w:p>
    <w:p w14:paraId="395BDFE8" w14:textId="77777777" w:rsidR="0020124F" w:rsidRDefault="0020124F" w:rsidP="0020124F">
      <w:pPr>
        <w:pStyle w:val="CETCaption"/>
        <w:jc w:val="center"/>
      </w:pPr>
      <w:r>
        <w:rPr>
          <w:noProof/>
          <w:lang w:val="it-IT" w:eastAsia="it-IT"/>
        </w:rPr>
        <w:drawing>
          <wp:inline distT="0" distB="0" distL="0" distR="0" wp14:anchorId="3C8F59BD" wp14:editId="4E9D0D9D">
            <wp:extent cx="3532272" cy="1960252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24" cy="1976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4A0FF" w14:textId="3114C160" w:rsidR="0020124F" w:rsidRDefault="0020124F" w:rsidP="0020124F">
      <w:pPr>
        <w:pStyle w:val="CETCaption"/>
      </w:pPr>
      <w:r w:rsidRPr="002A6C40">
        <w:t>Figure 1: Storage modulus (G’)</w:t>
      </w:r>
      <w:r>
        <w:t xml:space="preserve"> of dough samples as a function of</w:t>
      </w:r>
      <w:r w:rsidRPr="002A6C40">
        <w:t xml:space="preserve"> angular frequency (</w:t>
      </w:r>
      <w:r w:rsidRPr="002A6C40">
        <w:rPr>
          <w:rFonts w:ascii="Calibri" w:hAnsi="Calibri" w:cs="Calibri"/>
        </w:rPr>
        <w:t>ω</w:t>
      </w:r>
      <w:r w:rsidRPr="002A6C40">
        <w:t xml:space="preserve">): </w:t>
      </w:r>
      <w:r>
        <w:t>a</w:t>
      </w:r>
      <w:r w:rsidRPr="002A6C40">
        <w:t>) before</w:t>
      </w:r>
      <w:r>
        <w:t xml:space="preserve"> the leavening</w:t>
      </w:r>
      <w:r w:rsidRPr="002A6C40">
        <w:t xml:space="preserve"> (t</w:t>
      </w:r>
      <w:r w:rsidRPr="003D307B">
        <w:rPr>
          <w:vertAlign w:val="subscript"/>
        </w:rPr>
        <w:t>0</w:t>
      </w:r>
      <w:r w:rsidRPr="002A6C40">
        <w:t xml:space="preserve">) </w:t>
      </w:r>
      <w:r>
        <w:t>DS: dried sourdough; DBY: dried bakery’s yeast.</w:t>
      </w:r>
    </w:p>
    <w:p w14:paraId="163E256C" w14:textId="77777777" w:rsidR="0020124F" w:rsidRDefault="0020124F" w:rsidP="0020124F">
      <w:pPr>
        <w:pStyle w:val="CETCaption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D3824AC" wp14:editId="58A360C4">
            <wp:extent cx="3559608" cy="1986018"/>
            <wp:effectExtent l="0" t="0" r="317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186" cy="2009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F7C30" w14:textId="29C3D96F" w:rsidR="0020124F" w:rsidRDefault="0020124F" w:rsidP="004A209E">
      <w:pPr>
        <w:pStyle w:val="CETCaption"/>
        <w:jc w:val="left"/>
        <w:rPr>
          <w:rFonts w:eastAsiaTheme="minorHAnsi"/>
        </w:rPr>
      </w:pPr>
      <w:r>
        <w:t>Figure 2</w:t>
      </w:r>
      <w:r w:rsidRPr="002A6C40">
        <w:t>: Storage modulus (G’)</w:t>
      </w:r>
      <w:r>
        <w:t xml:space="preserve"> of dough samples as a function of</w:t>
      </w:r>
      <w:r w:rsidRPr="002A6C40">
        <w:t xml:space="preserve"> angular frequency (</w:t>
      </w:r>
      <w:r w:rsidRPr="002A6C40">
        <w:rPr>
          <w:rFonts w:ascii="Calibri" w:hAnsi="Calibri" w:cs="Calibri"/>
        </w:rPr>
        <w:t>ω</w:t>
      </w:r>
      <w:r w:rsidRPr="002A6C40">
        <w:t xml:space="preserve">): </w:t>
      </w:r>
      <w:r>
        <w:t>a) after the leavening</w:t>
      </w:r>
      <w:r w:rsidRPr="002A6C40">
        <w:t xml:space="preserve"> (t</w:t>
      </w:r>
      <w:r>
        <w:rPr>
          <w:vertAlign w:val="subscript"/>
        </w:rPr>
        <w:t>1</w:t>
      </w:r>
      <w:r w:rsidRPr="002A6C40">
        <w:t xml:space="preserve">) </w:t>
      </w:r>
      <w:r>
        <w:t>DS: dried sourdough; DBY: dried bakery’s yeast.</w:t>
      </w:r>
    </w:p>
    <w:p w14:paraId="43B8BE81" w14:textId="5935820C" w:rsidR="00C05DF3" w:rsidRPr="002A6C40" w:rsidRDefault="001B6441" w:rsidP="004A3BD1">
      <w:pPr>
        <w:pStyle w:val="CETBodytext"/>
        <w:rPr>
          <w:rFonts w:eastAsiaTheme="minorHAnsi"/>
          <w:lang w:val="en-GB"/>
        </w:rPr>
      </w:pPr>
      <w:r w:rsidRPr="002A6C40">
        <w:rPr>
          <w:rFonts w:eastAsiaTheme="minorHAnsi"/>
          <w:lang w:val="en-GB"/>
        </w:rPr>
        <w:t>According to</w:t>
      </w:r>
      <w:r w:rsidR="009062E9">
        <w:rPr>
          <w:rFonts w:eastAsiaTheme="minorHAnsi"/>
          <w:lang w:val="en-GB"/>
        </w:rPr>
        <w:t xml:space="preserve"> Upadhyay</w:t>
      </w:r>
      <w:r w:rsidR="002D0EEA">
        <w:rPr>
          <w:rFonts w:eastAsiaTheme="minorHAnsi"/>
          <w:lang w:val="en-GB"/>
        </w:rPr>
        <w:t xml:space="preserve"> et al.</w:t>
      </w:r>
      <w:r w:rsidR="009062E9">
        <w:rPr>
          <w:rFonts w:eastAsiaTheme="minorHAnsi"/>
          <w:lang w:val="en-GB"/>
        </w:rPr>
        <w:t xml:space="preserve"> (2012)</w:t>
      </w:r>
      <w:r w:rsidRPr="002A6C40">
        <w:rPr>
          <w:rFonts w:eastAsiaTheme="minorHAnsi"/>
          <w:lang w:val="en-GB"/>
        </w:rPr>
        <w:t xml:space="preserve"> </w:t>
      </w:r>
      <w:r w:rsidR="00C53EB7" w:rsidRPr="002A6C40">
        <w:rPr>
          <w:rFonts w:eastAsiaTheme="minorHAnsi"/>
          <w:lang w:val="en-GB"/>
        </w:rPr>
        <w:t>t</w:t>
      </w:r>
      <w:r w:rsidR="00C05DF3" w:rsidRPr="002A6C40">
        <w:rPr>
          <w:rFonts w:eastAsiaTheme="minorHAnsi"/>
          <w:lang w:val="en-GB"/>
        </w:rPr>
        <w:t>he flow properties of wheat flour-water dough</w:t>
      </w:r>
      <w:r w:rsidR="00DD210D">
        <w:rPr>
          <w:rFonts w:eastAsiaTheme="minorHAnsi"/>
          <w:lang w:val="en-GB"/>
        </w:rPr>
        <w:t>s</w:t>
      </w:r>
      <w:r w:rsidR="00C05DF3" w:rsidRPr="002A6C40">
        <w:rPr>
          <w:rFonts w:eastAsiaTheme="minorHAnsi"/>
          <w:lang w:val="en-GB"/>
        </w:rPr>
        <w:t xml:space="preserve"> obey the power law as function of frequency (</w:t>
      </w:r>
      <w:r w:rsidRPr="002A6C40">
        <w:rPr>
          <w:rFonts w:eastAsiaTheme="minorHAnsi"/>
          <w:lang w:val="en-GB"/>
        </w:rPr>
        <w:t>ω</w:t>
      </w:r>
      <w:r w:rsidR="00C05DF3" w:rsidRPr="002A6C40">
        <w:rPr>
          <w:rFonts w:eastAsiaTheme="minorHAnsi"/>
          <w:lang w:val="en-GB"/>
        </w:rPr>
        <w:t xml:space="preserve">). The power law constants were </w:t>
      </w:r>
      <w:r w:rsidR="00142AD9">
        <w:rPr>
          <w:rFonts w:eastAsiaTheme="minorHAnsi"/>
          <w:lang w:val="en-GB"/>
        </w:rPr>
        <w:t xml:space="preserve">then </w:t>
      </w:r>
      <w:r w:rsidR="00C05DF3" w:rsidRPr="002A6C40">
        <w:rPr>
          <w:rFonts w:eastAsiaTheme="minorHAnsi"/>
          <w:lang w:val="en-GB"/>
        </w:rPr>
        <w:t xml:space="preserve">calculated </w:t>
      </w:r>
      <w:r w:rsidR="00142AD9">
        <w:rPr>
          <w:rFonts w:eastAsiaTheme="minorHAnsi"/>
          <w:lang w:val="en-GB"/>
        </w:rPr>
        <w:t>from</w:t>
      </w:r>
      <w:r w:rsidR="003D307B">
        <w:rPr>
          <w:rFonts w:eastAsiaTheme="minorHAnsi"/>
          <w:lang w:val="en-GB"/>
        </w:rPr>
        <w:t xml:space="preserve"> Eq(1)</w:t>
      </w:r>
      <w:r w:rsidR="00C05DF3" w:rsidRPr="002A6C40">
        <w:rPr>
          <w:rFonts w:eastAsiaTheme="minorHAnsi"/>
          <w:lang w:val="en-GB"/>
        </w:rPr>
        <w:t>:</w:t>
      </w:r>
    </w:p>
    <w:p w14:paraId="217143B1" w14:textId="79B4EAF9" w:rsidR="00C05DF3" w:rsidRPr="00250FD0" w:rsidRDefault="00D9076A" w:rsidP="00250FD0">
      <w:pPr>
        <w:pStyle w:val="CETEquation"/>
        <w:rPr>
          <w:rFonts w:eastAsiaTheme="minorHAnsi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=</m:t>
        </m:r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</w:rPr>
              <m:t>'</m:t>
            </m:r>
          </m:sup>
        </m:sSubSup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ω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  </m:t>
        </m:r>
      </m:oMath>
      <w:r w:rsidR="00250FD0">
        <w:rPr>
          <w:rFonts w:eastAsiaTheme="minorEastAsia"/>
        </w:rPr>
        <w:tab/>
      </w:r>
      <w:r w:rsidR="00250FD0">
        <w:rPr>
          <w:rFonts w:eastAsiaTheme="minorEastAsia"/>
        </w:rPr>
        <w:tab/>
      </w:r>
      <w:r w:rsidR="00250FD0">
        <w:rPr>
          <w:rFonts w:eastAsiaTheme="minorEastAsia"/>
        </w:rPr>
        <w:tab/>
        <w:t>(1)</w:t>
      </w:r>
    </w:p>
    <w:p w14:paraId="2CA413A0" w14:textId="395B6B22" w:rsidR="00250FD0" w:rsidRDefault="004A3BD1" w:rsidP="00FE3350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eastAsiaTheme="minorHAnsi"/>
        </w:rPr>
      </w:pPr>
      <w:r w:rsidRPr="002A6C40">
        <w:rPr>
          <w:rFonts w:eastAsiaTheme="minorHAnsi"/>
        </w:rPr>
        <w:t xml:space="preserve">Where </w:t>
      </w:r>
      <w:r w:rsidRPr="00142AD9">
        <w:rPr>
          <w:rFonts w:eastAsiaTheme="minorHAnsi"/>
          <w:i/>
        </w:rPr>
        <w:t>G</w:t>
      </w:r>
      <w:r w:rsidR="00C53EB7" w:rsidRPr="00142AD9">
        <w:rPr>
          <w:rFonts w:eastAsiaTheme="minorHAnsi"/>
          <w:i/>
        </w:rPr>
        <w:t>’</w:t>
      </w:r>
      <w:r w:rsidR="00C05DF3" w:rsidRPr="002A6C40">
        <w:rPr>
          <w:rFonts w:eastAsiaTheme="minorHAnsi"/>
        </w:rPr>
        <w:t xml:space="preserve"> represent</w:t>
      </w:r>
      <w:r w:rsidR="00142AD9">
        <w:rPr>
          <w:rFonts w:eastAsiaTheme="minorHAnsi"/>
        </w:rPr>
        <w:t>s</w:t>
      </w:r>
      <w:r w:rsidR="00C05DF3" w:rsidRPr="002A6C40">
        <w:rPr>
          <w:rFonts w:eastAsiaTheme="minorHAnsi"/>
        </w:rPr>
        <w:t xml:space="preserve"> the storage modulus</w:t>
      </w:r>
      <w:r w:rsidR="00142AD9">
        <w:rPr>
          <w:rFonts w:eastAsiaTheme="minorHAnsi"/>
        </w:rPr>
        <w:t xml:space="preserve"> </w:t>
      </w:r>
      <w:r w:rsidR="003D307B">
        <w:rPr>
          <w:rFonts w:eastAsiaTheme="minorHAnsi"/>
        </w:rPr>
        <w:t>(Pa)</w:t>
      </w:r>
      <w:r w:rsidR="00142AD9">
        <w:rPr>
          <w:rFonts w:eastAsiaTheme="minorHAnsi"/>
        </w:rPr>
        <w:t>,</w:t>
      </w:r>
      <w:r w:rsidR="00C05DF3" w:rsidRPr="002A6C40">
        <w:rPr>
          <w:rFonts w:eastAsiaTheme="minorHAnsi"/>
        </w:rPr>
        <w:t xml:space="preserve"> </w:t>
      </w:r>
      <w:r w:rsidR="00C05DF3" w:rsidRPr="00142AD9">
        <w:rPr>
          <w:rFonts w:eastAsiaTheme="minorHAnsi"/>
          <w:i/>
        </w:rPr>
        <w:t>n</w:t>
      </w:r>
      <w:r w:rsidR="00C05DF3" w:rsidRPr="002A6C40">
        <w:rPr>
          <w:rFonts w:eastAsiaTheme="minorHAnsi"/>
        </w:rPr>
        <w:t xml:space="preserve"> is the power law exponent (dimensionless), </w:t>
      </w:r>
      <w:r w:rsidR="00C53EB7" w:rsidRPr="00142AD9">
        <w:rPr>
          <w:rFonts w:eastAsiaTheme="minorHAnsi"/>
          <w:i/>
        </w:rPr>
        <w:t>ω</w:t>
      </w:r>
      <w:r w:rsidR="00C05DF3" w:rsidRPr="002A6C40">
        <w:rPr>
          <w:rFonts w:eastAsiaTheme="minorHAnsi"/>
        </w:rPr>
        <w:t xml:space="preserve"> is</w:t>
      </w:r>
      <w:r w:rsidR="00142AD9">
        <w:rPr>
          <w:rFonts w:eastAsiaTheme="minorHAnsi"/>
        </w:rPr>
        <w:t xml:space="preserve"> the</w:t>
      </w:r>
      <w:r w:rsidR="00C05DF3" w:rsidRPr="002A6C40">
        <w:rPr>
          <w:rFonts w:eastAsiaTheme="minorHAnsi"/>
        </w:rPr>
        <w:t xml:space="preserve"> frequency </w:t>
      </w:r>
      <w:r w:rsidR="00142AD9">
        <w:rPr>
          <w:rFonts w:eastAsiaTheme="minorHAnsi"/>
        </w:rPr>
        <w:t>(</w:t>
      </w:r>
      <w:r w:rsidR="003D307B">
        <w:rPr>
          <w:rFonts w:eastAsiaTheme="minorHAnsi"/>
        </w:rPr>
        <w:t xml:space="preserve">rad/s) </w:t>
      </w:r>
      <w:r w:rsidR="00C05DF3" w:rsidRPr="002A6C40">
        <w:rPr>
          <w:rFonts w:eastAsiaTheme="minorHAnsi"/>
        </w:rPr>
        <w:t>and G</w:t>
      </w:r>
      <w:r w:rsidR="00C53EB7" w:rsidRPr="00142AD9">
        <w:rPr>
          <w:rFonts w:eastAsiaTheme="minorHAnsi"/>
          <w:vertAlign w:val="subscript"/>
        </w:rPr>
        <w:t>0</w:t>
      </w:r>
      <w:r w:rsidR="00C53EB7" w:rsidRPr="002A6C40">
        <w:rPr>
          <w:rFonts w:eastAsiaTheme="minorHAnsi"/>
        </w:rPr>
        <w:t>’</w:t>
      </w:r>
      <w:r w:rsidR="00C05DF3" w:rsidRPr="002A6C40">
        <w:rPr>
          <w:rFonts w:eastAsiaTheme="minorHAnsi"/>
        </w:rPr>
        <w:t xml:space="preserve"> </w:t>
      </w:r>
      <w:r w:rsidR="00142AD9">
        <w:rPr>
          <w:rFonts w:eastAsiaTheme="minorHAnsi"/>
        </w:rPr>
        <w:t>(</w:t>
      </w:r>
      <w:r w:rsidR="003D307B">
        <w:rPr>
          <w:rFonts w:eastAsiaTheme="minorHAnsi"/>
        </w:rPr>
        <w:t xml:space="preserve">Pa) </w:t>
      </w:r>
      <w:r w:rsidR="00C05DF3" w:rsidRPr="002A6C40">
        <w:rPr>
          <w:rFonts w:eastAsiaTheme="minorHAnsi"/>
        </w:rPr>
        <w:t>is</w:t>
      </w:r>
      <w:r w:rsidR="007B3EEF">
        <w:rPr>
          <w:rFonts w:eastAsiaTheme="minorHAnsi"/>
        </w:rPr>
        <w:t xml:space="preserve"> the storage modulus extrapolated to the value of initial measuring angular frequency. </w:t>
      </w:r>
      <w:r w:rsidR="00C05DF3" w:rsidRPr="002A6C40">
        <w:rPr>
          <w:rFonts w:eastAsiaTheme="minorHAnsi"/>
        </w:rPr>
        <w:t xml:space="preserve">The </w:t>
      </w:r>
      <w:r w:rsidR="00C05DF3" w:rsidRPr="002A6C40">
        <w:rPr>
          <w:rFonts w:eastAsiaTheme="minorHAnsi"/>
        </w:rPr>
        <w:lastRenderedPageBreak/>
        <w:t xml:space="preserve">constants </w:t>
      </w:r>
      <w:r w:rsidR="001974E6">
        <w:rPr>
          <w:rFonts w:eastAsiaTheme="minorHAnsi"/>
        </w:rPr>
        <w:t xml:space="preserve">(Table 1) </w:t>
      </w:r>
      <w:r w:rsidR="00C05DF3" w:rsidRPr="002A6C40">
        <w:rPr>
          <w:rFonts w:eastAsiaTheme="minorHAnsi"/>
        </w:rPr>
        <w:t>were obtained from the linear regression analysis after a logarithmic transformation of the data</w:t>
      </w:r>
      <w:r w:rsidR="003D307B">
        <w:rPr>
          <w:rFonts w:eastAsiaTheme="minorHAnsi"/>
        </w:rPr>
        <w:t xml:space="preserve"> </w:t>
      </w:r>
      <w:r w:rsidR="001974E6">
        <w:rPr>
          <w:rFonts w:eastAsiaTheme="minorHAnsi"/>
        </w:rPr>
        <w:t xml:space="preserve">according to </w:t>
      </w:r>
      <w:r w:rsidR="003D307B">
        <w:rPr>
          <w:rFonts w:eastAsiaTheme="minorHAnsi"/>
        </w:rPr>
        <w:t>(Eq(2))</w:t>
      </w:r>
      <w:r w:rsidR="00C05DF3" w:rsidRPr="002A6C40">
        <w:rPr>
          <w:rFonts w:eastAsiaTheme="minorHAnsi"/>
        </w:rPr>
        <w:t xml:space="preserve">. </w:t>
      </w:r>
    </w:p>
    <w:p w14:paraId="061770E1" w14:textId="685FE193" w:rsidR="0060175D" w:rsidRPr="0060175D" w:rsidRDefault="00D9076A" w:rsidP="0060175D">
      <w:pPr>
        <w:pStyle w:val="CETEquation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bSup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nlog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</m:oMath>
      <w:r w:rsidR="00250FD0">
        <w:rPr>
          <w:rFonts w:eastAsiaTheme="minorEastAsia"/>
        </w:rPr>
        <w:tab/>
      </w:r>
      <w:r w:rsidR="00250FD0">
        <w:rPr>
          <w:rFonts w:eastAsiaTheme="minorEastAsia"/>
        </w:rPr>
        <w:tab/>
      </w:r>
      <w:r w:rsidR="00250FD0">
        <w:rPr>
          <w:rFonts w:eastAsiaTheme="minorEastAsia"/>
        </w:rPr>
        <w:tab/>
        <w:t>(2)</w:t>
      </w:r>
    </w:p>
    <w:p w14:paraId="07B9752B" w14:textId="60B32419" w:rsidR="0020124F" w:rsidRPr="002A6C40" w:rsidRDefault="0060175D" w:rsidP="0060175D">
      <w:pPr>
        <w:pStyle w:val="CETBodytext"/>
        <w:rPr>
          <w:lang w:val="en-GB"/>
        </w:rPr>
      </w:pPr>
      <w:r w:rsidRPr="002A6C40">
        <w:rPr>
          <w:rFonts w:eastAsiaTheme="minorHAnsi"/>
          <w:lang w:val="en-GB"/>
        </w:rPr>
        <w:t>The</w:t>
      </w:r>
      <w:r>
        <w:rPr>
          <w:rFonts w:eastAsiaTheme="minorHAnsi"/>
          <w:lang w:val="en-GB"/>
        </w:rPr>
        <w:t xml:space="preserve"> </w:t>
      </w:r>
      <w:r w:rsidRPr="002A6C40">
        <w:rPr>
          <w:rFonts w:eastAsiaTheme="minorHAnsi"/>
          <w:lang w:val="en-GB"/>
        </w:rPr>
        <w:t xml:space="preserve">linear regression trends are in </w:t>
      </w:r>
      <w:r>
        <w:rPr>
          <w:rFonts w:eastAsiaTheme="minorHAnsi"/>
          <w:lang w:val="en-GB"/>
        </w:rPr>
        <w:t>agreement</w:t>
      </w:r>
      <w:r w:rsidRPr="002A6C40">
        <w:rPr>
          <w:rFonts w:eastAsiaTheme="minorHAnsi"/>
          <w:lang w:val="en-GB"/>
        </w:rPr>
        <w:t xml:space="preserve"> with many others studies</w:t>
      </w:r>
      <w:r>
        <w:rPr>
          <w:rFonts w:eastAsiaTheme="minorHAnsi"/>
          <w:lang w:val="en-GB"/>
        </w:rPr>
        <w:t>, but th</w:t>
      </w:r>
      <w:r w:rsidRPr="002A6C40">
        <w:rPr>
          <w:rFonts w:eastAsiaTheme="minorHAnsi"/>
          <w:lang w:val="en-GB"/>
        </w:rPr>
        <w:t xml:space="preserve">e </w:t>
      </w:r>
      <w:r>
        <w:rPr>
          <w:rFonts w:eastAsiaTheme="minorHAnsi"/>
          <w:lang w:val="en-GB"/>
        </w:rPr>
        <w:t xml:space="preserve">found values for </w:t>
      </w:r>
      <w:r w:rsidRPr="002A6C40">
        <w:rPr>
          <w:rFonts w:eastAsiaTheme="minorHAnsi"/>
          <w:lang w:val="en-GB"/>
        </w:rPr>
        <w:t xml:space="preserve">exponent </w:t>
      </w:r>
      <w:r w:rsidRPr="003D307B">
        <w:rPr>
          <w:rFonts w:eastAsiaTheme="minorHAnsi"/>
          <w:i/>
          <w:lang w:val="en-GB"/>
        </w:rPr>
        <w:t>n</w:t>
      </w:r>
      <w:r w:rsidRPr="002A6C40">
        <w:rPr>
          <w:rFonts w:eastAsiaTheme="minorHAnsi"/>
          <w:lang w:val="en-GB"/>
        </w:rPr>
        <w:t xml:space="preserve"> </w:t>
      </w:r>
      <w:r>
        <w:rPr>
          <w:rFonts w:eastAsiaTheme="minorHAnsi"/>
          <w:lang w:val="en-GB"/>
        </w:rPr>
        <w:t xml:space="preserve">are </w:t>
      </w:r>
      <w:r w:rsidRPr="002A6C40">
        <w:rPr>
          <w:rFonts w:eastAsiaTheme="minorHAnsi"/>
          <w:lang w:val="en-GB"/>
        </w:rPr>
        <w:t>in the range 0.30–0.37</w:t>
      </w:r>
      <w:r>
        <w:rPr>
          <w:rFonts w:eastAsiaTheme="minorHAnsi"/>
          <w:lang w:val="en-GB"/>
        </w:rPr>
        <w:t xml:space="preserve"> (Table 1),</w:t>
      </w:r>
      <w:r w:rsidRPr="002A6C40">
        <w:rPr>
          <w:rFonts w:eastAsiaTheme="minorHAnsi"/>
          <w:lang w:val="en-GB"/>
        </w:rPr>
        <w:t xml:space="preserve"> higher than</w:t>
      </w:r>
      <w:r>
        <w:rPr>
          <w:rFonts w:eastAsiaTheme="minorHAnsi"/>
          <w:lang w:val="en-GB"/>
        </w:rPr>
        <w:t xml:space="preserve"> those reported i</w:t>
      </w:r>
      <w:r w:rsidRPr="002A6C40">
        <w:rPr>
          <w:rFonts w:eastAsiaTheme="minorHAnsi"/>
          <w:lang w:val="en-GB"/>
        </w:rPr>
        <w:t xml:space="preserve">n </w:t>
      </w:r>
      <w:r>
        <w:rPr>
          <w:rFonts w:eastAsiaTheme="minorHAnsi"/>
          <w:lang w:val="en-GB"/>
        </w:rPr>
        <w:t xml:space="preserve">the </w:t>
      </w:r>
      <w:r w:rsidRPr="002A6C40">
        <w:rPr>
          <w:rFonts w:eastAsiaTheme="minorHAnsi"/>
          <w:lang w:val="en-GB"/>
        </w:rPr>
        <w:t xml:space="preserve">literature </w:t>
      </w:r>
      <w:r>
        <w:rPr>
          <w:rFonts w:eastAsiaTheme="minorHAnsi"/>
          <w:lang w:val="en-GB"/>
        </w:rPr>
        <w:t xml:space="preserve">in which the n value is in the range of 0.15-0.28 </w:t>
      </w:r>
      <w:r w:rsidRPr="002D0EEA">
        <w:rPr>
          <w:rFonts w:eastAsiaTheme="minorHAnsi"/>
          <w:lang w:val="en-GB"/>
        </w:rPr>
        <w:t>(Berland &amp; Launay, 1995; Phan-Thien et al., 2000; Tanner</w:t>
      </w:r>
      <w:r>
        <w:rPr>
          <w:rFonts w:eastAsiaTheme="minorHAnsi"/>
          <w:lang w:val="en-GB"/>
        </w:rPr>
        <w:t xml:space="preserve"> </w:t>
      </w:r>
      <w:r w:rsidRPr="002D0EEA">
        <w:rPr>
          <w:rFonts w:eastAsiaTheme="minorHAnsi"/>
          <w:lang w:val="en-GB"/>
        </w:rPr>
        <w:t>et al., 2008; Uthayakumaran</w:t>
      </w:r>
      <w:r>
        <w:rPr>
          <w:rFonts w:eastAsiaTheme="minorHAnsi"/>
          <w:lang w:val="en-GB"/>
        </w:rPr>
        <w:t xml:space="preserve"> </w:t>
      </w:r>
      <w:r w:rsidRPr="002D0EEA">
        <w:rPr>
          <w:rFonts w:eastAsiaTheme="minorHAnsi"/>
          <w:lang w:val="en-GB"/>
        </w:rPr>
        <w:t>et al., 2002; Georgopoulos</w:t>
      </w:r>
      <w:r>
        <w:rPr>
          <w:rFonts w:eastAsiaTheme="minorHAnsi"/>
          <w:lang w:val="en-GB"/>
        </w:rPr>
        <w:t xml:space="preserve"> </w:t>
      </w:r>
      <w:r w:rsidRPr="002D0EEA">
        <w:rPr>
          <w:rFonts w:eastAsiaTheme="minorHAnsi"/>
          <w:lang w:val="en-GB"/>
        </w:rPr>
        <w:t>et al., 2004)</w:t>
      </w:r>
      <w:r>
        <w:rPr>
          <w:rFonts w:eastAsiaTheme="minorHAnsi"/>
          <w:lang w:val="en-GB"/>
        </w:rPr>
        <w:t xml:space="preserve">. </w:t>
      </w:r>
      <w:r w:rsidRPr="002A6C40">
        <w:rPr>
          <w:rFonts w:eastAsiaTheme="minorHAnsi"/>
          <w:lang w:val="en-GB"/>
        </w:rPr>
        <w:t>According to Ross-Murphy</w:t>
      </w:r>
      <w:r>
        <w:rPr>
          <w:rFonts w:eastAsiaTheme="minorHAnsi"/>
          <w:lang w:val="en-GB"/>
        </w:rPr>
        <w:t xml:space="preserve"> (1995)</w:t>
      </w:r>
      <w:r w:rsidRPr="002A6C40">
        <w:rPr>
          <w:rFonts w:eastAsiaTheme="minorHAnsi"/>
          <w:lang w:val="en-GB"/>
        </w:rPr>
        <w:t xml:space="preserve">, the magnitude of </w:t>
      </w:r>
      <w:r>
        <w:rPr>
          <w:rFonts w:eastAsiaTheme="minorHAnsi"/>
          <w:lang w:val="en-GB"/>
        </w:rPr>
        <w:t xml:space="preserve">the </w:t>
      </w:r>
      <w:r w:rsidRPr="002A6C40">
        <w:rPr>
          <w:rFonts w:eastAsiaTheme="minorHAnsi"/>
          <w:lang w:val="en-GB"/>
        </w:rPr>
        <w:t xml:space="preserve">slope of </w:t>
      </w:r>
      <w:r>
        <w:rPr>
          <w:rFonts w:eastAsiaTheme="minorHAnsi"/>
          <w:lang w:val="en-GB"/>
        </w:rPr>
        <w:t>Eq(2)</w:t>
      </w:r>
      <w:r w:rsidRPr="002A6C40">
        <w:rPr>
          <w:rFonts w:eastAsiaTheme="minorHAnsi"/>
          <w:lang w:val="en-GB"/>
        </w:rPr>
        <w:t xml:space="preserve"> provides useful </w:t>
      </w:r>
      <w:r>
        <w:rPr>
          <w:rFonts w:eastAsiaTheme="minorHAnsi"/>
          <w:lang w:val="en-GB"/>
        </w:rPr>
        <w:t xml:space="preserve">indication on the material behaviou: </w:t>
      </w:r>
      <w:r w:rsidRPr="002A6C40">
        <w:rPr>
          <w:rFonts w:eastAsiaTheme="minorHAnsi"/>
          <w:lang w:val="en-GB"/>
        </w:rPr>
        <w:t xml:space="preserve">rubbery </w:t>
      </w:r>
      <w:r>
        <w:rPr>
          <w:rFonts w:eastAsiaTheme="minorHAnsi"/>
          <w:lang w:val="en-GB"/>
        </w:rPr>
        <w:t xml:space="preserve">when </w:t>
      </w:r>
      <w:r w:rsidRPr="002A6C40">
        <w:rPr>
          <w:rFonts w:eastAsiaTheme="minorHAnsi"/>
          <w:lang w:val="en-GB"/>
        </w:rPr>
        <w:t>approaching 0</w:t>
      </w:r>
      <w:r>
        <w:rPr>
          <w:rFonts w:eastAsiaTheme="minorHAnsi"/>
          <w:lang w:val="en-GB"/>
        </w:rPr>
        <w:t xml:space="preserve">; </w:t>
      </w:r>
      <w:r w:rsidRPr="002A6C40">
        <w:rPr>
          <w:rFonts w:eastAsiaTheme="minorHAnsi"/>
          <w:lang w:val="en-GB"/>
        </w:rPr>
        <w:t xml:space="preserve"> liquid flowing </w:t>
      </w:r>
      <w:r>
        <w:rPr>
          <w:rFonts w:eastAsiaTheme="minorHAnsi"/>
          <w:lang w:val="en-GB"/>
        </w:rPr>
        <w:t>when</w:t>
      </w:r>
      <w:r w:rsidRPr="002A6C40">
        <w:rPr>
          <w:rFonts w:eastAsiaTheme="minorHAnsi"/>
          <w:lang w:val="en-GB"/>
        </w:rPr>
        <w:t xml:space="preserve"> approaching 2. When a 3D network is present</w:t>
      </w:r>
      <w:r>
        <w:rPr>
          <w:rFonts w:eastAsiaTheme="minorHAnsi"/>
          <w:lang w:val="en-GB"/>
        </w:rPr>
        <w:t>,</w:t>
      </w:r>
      <w:r w:rsidRPr="002A6C40">
        <w:rPr>
          <w:rFonts w:eastAsiaTheme="minorHAnsi"/>
          <w:lang w:val="en-GB"/>
        </w:rPr>
        <w:t xml:space="preserve"> we expect the slope to be </w:t>
      </w:r>
      <w:r>
        <w:rPr>
          <w:rFonts w:eastAsiaTheme="minorHAnsi"/>
          <w:lang w:val="en-GB"/>
        </w:rPr>
        <w:t>almost</w:t>
      </w:r>
      <w:r w:rsidRPr="002A6C40">
        <w:rPr>
          <w:rFonts w:eastAsiaTheme="minorHAnsi"/>
          <w:lang w:val="en-GB"/>
        </w:rPr>
        <w:t xml:space="preserve"> zero</w:t>
      </w:r>
      <w:r>
        <w:rPr>
          <w:rFonts w:eastAsiaTheme="minorHAnsi"/>
          <w:lang w:val="en-GB"/>
        </w:rPr>
        <w:t xml:space="preserve"> </w:t>
      </w:r>
      <w:r w:rsidRPr="001C40AF">
        <w:rPr>
          <w:rFonts w:eastAsiaTheme="minorHAnsi"/>
          <w:lang w:val="en-GB"/>
        </w:rPr>
        <w:t>(Gabriele et al., 2001)</w:t>
      </w:r>
      <w:r w:rsidRPr="002A6C40">
        <w:rPr>
          <w:rFonts w:eastAsiaTheme="minorHAnsi"/>
          <w:lang w:val="en-GB"/>
        </w:rPr>
        <w:t>. In the present work, r</w:t>
      </w:r>
      <w:r w:rsidRPr="002A6C40">
        <w:rPr>
          <w:lang w:val="en-GB"/>
        </w:rPr>
        <w:t>heological analysis highlighted a pseudo-plastic behaviour in all doughs</w:t>
      </w:r>
      <w:r>
        <w:rPr>
          <w:lang w:val="en-GB"/>
        </w:rPr>
        <w:t>,</w:t>
      </w:r>
      <w:r w:rsidRPr="002A6C40">
        <w:rPr>
          <w:lang w:val="en-GB"/>
        </w:rPr>
        <w:t xml:space="preserve"> with the elastic component </w:t>
      </w:r>
      <w:r>
        <w:rPr>
          <w:lang w:val="en-GB"/>
        </w:rPr>
        <w:t xml:space="preserve">being </w:t>
      </w:r>
      <w:r w:rsidRPr="002A6C40">
        <w:rPr>
          <w:lang w:val="en-GB"/>
        </w:rPr>
        <w:t>prevalent on the viscous one (G’&gt;G’’). The storage modulus G´ expresse</w:t>
      </w:r>
      <w:r>
        <w:rPr>
          <w:lang w:val="en-GB"/>
        </w:rPr>
        <w:t>s</w:t>
      </w:r>
      <w:r w:rsidRPr="002A6C40">
        <w:rPr>
          <w:lang w:val="en-GB"/>
        </w:rPr>
        <w:t xml:space="preserve"> tenacity and elasticity and the loss modulus G’’ represent</w:t>
      </w:r>
      <w:r>
        <w:rPr>
          <w:lang w:val="en-GB"/>
        </w:rPr>
        <w:t>s</w:t>
      </w:r>
      <w:r w:rsidRPr="002A6C40">
        <w:rPr>
          <w:lang w:val="en-GB"/>
        </w:rPr>
        <w:t xml:space="preserve"> extensibility. Consequently, t</w:t>
      </w:r>
      <w:r w:rsidRPr="002A6C40">
        <w:rPr>
          <w:rFonts w:eastAsiaTheme="minorHAnsi"/>
          <w:lang w:val="en-GB"/>
        </w:rPr>
        <w:t>he values of tanδ, defined as the ratio of the viscous to elastic modulus (</w:t>
      </w:r>
      <w:r>
        <w:rPr>
          <w:rFonts w:eastAsiaTheme="minorHAnsi"/>
          <w:lang w:val="en-GB"/>
        </w:rPr>
        <w:t>G”/G’), is overall lower than 1 a</w:t>
      </w:r>
      <w:r w:rsidRPr="002A6C40">
        <w:rPr>
          <w:rFonts w:eastAsiaTheme="minorHAnsi"/>
          <w:lang w:val="en-GB"/>
        </w:rPr>
        <w:t xml:space="preserve">nd the material is considered to be dominantly gel or solid-like. </w:t>
      </w:r>
      <w:r w:rsidRPr="002A6C40">
        <w:rPr>
          <w:lang w:val="en-GB"/>
        </w:rPr>
        <w:t xml:space="preserve">No evident differences were </w:t>
      </w:r>
      <w:r>
        <w:rPr>
          <w:lang w:val="en-GB"/>
        </w:rPr>
        <w:t>observed</w:t>
      </w:r>
      <w:r w:rsidRPr="002A6C40">
        <w:rPr>
          <w:lang w:val="en-GB"/>
        </w:rPr>
        <w:t xml:space="preserve"> among </w:t>
      </w:r>
      <w:r>
        <w:rPr>
          <w:lang w:val="en-GB"/>
        </w:rPr>
        <w:t xml:space="preserve">the </w:t>
      </w:r>
      <w:r w:rsidRPr="002A6C40">
        <w:rPr>
          <w:lang w:val="en-GB"/>
        </w:rPr>
        <w:t>samples before proofing.</w:t>
      </w:r>
      <w:r w:rsidRPr="002A6C40">
        <w:rPr>
          <w:rFonts w:eastAsiaTheme="minorHAnsi"/>
          <w:lang w:val="en-GB"/>
        </w:rPr>
        <w:t xml:space="preserve"> Moreover, </w:t>
      </w:r>
      <w:r>
        <w:rPr>
          <w:rFonts w:eastAsiaTheme="minorHAnsi"/>
          <w:lang w:val="en-GB"/>
        </w:rPr>
        <w:t xml:space="preserve">the </w:t>
      </w:r>
      <w:r w:rsidRPr="002A6C40">
        <w:rPr>
          <w:rFonts w:eastAsiaTheme="minorHAnsi"/>
          <w:lang w:val="en-GB"/>
        </w:rPr>
        <w:t xml:space="preserve">doughs </w:t>
      </w:r>
      <w:r>
        <w:rPr>
          <w:rFonts w:eastAsiaTheme="minorHAnsi"/>
          <w:lang w:val="en-GB"/>
        </w:rPr>
        <w:t xml:space="preserve">obtained from </w:t>
      </w:r>
      <w:r w:rsidRPr="002A6C40">
        <w:rPr>
          <w:rFonts w:eastAsiaTheme="minorHAnsi"/>
          <w:lang w:val="en-GB"/>
        </w:rPr>
        <w:t>DS_A and DS_B</w:t>
      </w:r>
      <w:r>
        <w:rPr>
          <w:rFonts w:eastAsiaTheme="minorHAnsi"/>
          <w:lang w:val="en-GB"/>
        </w:rPr>
        <w:t xml:space="preserve">, with a higher content (30%) of </w:t>
      </w:r>
      <w:r w:rsidR="00D56BDC">
        <w:rPr>
          <w:i/>
          <w:lang w:val="en-GB"/>
        </w:rPr>
        <w:t>S. c</w:t>
      </w:r>
      <w:r w:rsidRPr="002A6C40">
        <w:rPr>
          <w:i/>
          <w:lang w:val="en-GB"/>
        </w:rPr>
        <w:t>erevisiae</w:t>
      </w:r>
      <w:r>
        <w:rPr>
          <w:i/>
          <w:lang w:val="en-GB"/>
        </w:rPr>
        <w:t>,</w:t>
      </w:r>
      <w:r w:rsidRPr="002A6C40">
        <w:rPr>
          <w:rFonts w:eastAsiaTheme="minorHAnsi"/>
          <w:i/>
          <w:lang w:val="en-GB"/>
        </w:rPr>
        <w:t xml:space="preserve"> </w:t>
      </w:r>
      <w:r w:rsidRPr="002A6C40">
        <w:rPr>
          <w:rFonts w:eastAsiaTheme="minorHAnsi"/>
          <w:lang w:val="en-GB"/>
        </w:rPr>
        <w:t>show</w:t>
      </w:r>
      <w:r>
        <w:rPr>
          <w:rFonts w:eastAsiaTheme="minorHAnsi"/>
          <w:lang w:val="en-GB"/>
        </w:rPr>
        <w:t>ed</w:t>
      </w:r>
      <w:r w:rsidRPr="002A6C40">
        <w:rPr>
          <w:rFonts w:eastAsiaTheme="minorHAnsi"/>
          <w:lang w:val="en-GB"/>
        </w:rPr>
        <w:t xml:space="preserve"> trends superimposable to control DBY_A</w:t>
      </w:r>
      <w:r>
        <w:rPr>
          <w:rFonts w:eastAsiaTheme="minorHAnsi"/>
          <w:lang w:val="en-GB"/>
        </w:rPr>
        <w:t xml:space="preserve">, </w:t>
      </w:r>
      <w:r w:rsidRPr="002A6C40">
        <w:rPr>
          <w:rFonts w:eastAsiaTheme="minorHAnsi"/>
          <w:lang w:val="en-GB"/>
        </w:rPr>
        <w:t xml:space="preserve">while </w:t>
      </w:r>
      <w:r>
        <w:rPr>
          <w:rFonts w:eastAsiaTheme="minorHAnsi"/>
          <w:lang w:val="en-GB"/>
        </w:rPr>
        <w:t>the dough with the DS_C (</w:t>
      </w:r>
      <w:r w:rsidRPr="002A6C40">
        <w:rPr>
          <w:rFonts w:eastAsiaTheme="minorHAnsi"/>
          <w:lang w:val="en-GB"/>
        </w:rPr>
        <w:t>25% of yeast</w:t>
      </w:r>
      <w:r>
        <w:rPr>
          <w:rFonts w:eastAsiaTheme="minorHAnsi"/>
          <w:lang w:val="en-GB"/>
        </w:rPr>
        <w:t>)</w:t>
      </w:r>
      <w:r w:rsidRPr="002A6C40">
        <w:rPr>
          <w:rFonts w:eastAsiaTheme="minorHAnsi"/>
          <w:lang w:val="en-GB"/>
        </w:rPr>
        <w:t xml:space="preserve"> follow</w:t>
      </w:r>
      <w:r>
        <w:rPr>
          <w:rFonts w:eastAsiaTheme="minorHAnsi"/>
          <w:lang w:val="en-GB"/>
        </w:rPr>
        <w:t>ed</w:t>
      </w:r>
      <w:r w:rsidRPr="002A6C40">
        <w:rPr>
          <w:rFonts w:eastAsiaTheme="minorHAnsi"/>
          <w:lang w:val="en-GB"/>
        </w:rPr>
        <w:t xml:space="preserve"> strictly the behaviour </w:t>
      </w:r>
      <w:r>
        <w:rPr>
          <w:rFonts w:eastAsiaTheme="minorHAnsi"/>
          <w:lang w:val="en-GB"/>
        </w:rPr>
        <w:t xml:space="preserve">of the </w:t>
      </w:r>
      <w:r w:rsidRPr="002A6C40">
        <w:rPr>
          <w:rFonts w:eastAsiaTheme="minorHAnsi"/>
          <w:lang w:val="en-GB"/>
        </w:rPr>
        <w:t>control</w:t>
      </w:r>
      <w:r>
        <w:rPr>
          <w:rFonts w:eastAsiaTheme="minorHAnsi"/>
          <w:lang w:val="en-GB"/>
        </w:rPr>
        <w:t xml:space="preserve"> </w:t>
      </w:r>
      <w:r w:rsidRPr="002A6C40">
        <w:rPr>
          <w:rFonts w:eastAsiaTheme="minorHAnsi"/>
          <w:lang w:val="en-GB"/>
        </w:rPr>
        <w:t xml:space="preserve">DBY_B. </w:t>
      </w:r>
      <w:r w:rsidRPr="002A6C40">
        <w:rPr>
          <w:lang w:val="en-GB"/>
        </w:rPr>
        <w:t xml:space="preserve">After 3 h leavening, storage and loss moduli and complex viscosity </w:t>
      </w:r>
      <w:r>
        <w:rPr>
          <w:lang w:val="en-GB"/>
        </w:rPr>
        <w:t xml:space="preserve">decreased </w:t>
      </w:r>
      <w:r w:rsidRPr="002A6C40">
        <w:rPr>
          <w:lang w:val="en-GB"/>
        </w:rPr>
        <w:t xml:space="preserve">for all </w:t>
      </w:r>
      <w:r>
        <w:rPr>
          <w:lang w:val="en-GB"/>
        </w:rPr>
        <w:t xml:space="preserve">the </w:t>
      </w:r>
      <w:r w:rsidRPr="002A6C40">
        <w:rPr>
          <w:lang w:val="en-GB"/>
        </w:rPr>
        <w:t>samples</w:t>
      </w:r>
      <w:r>
        <w:rPr>
          <w:lang w:val="en-GB"/>
        </w:rPr>
        <w:t xml:space="preserve">, but more markedly </w:t>
      </w:r>
      <w:r w:rsidRPr="002A6C40">
        <w:rPr>
          <w:lang w:val="en-GB"/>
        </w:rPr>
        <w:t>for those prepared with dried sourdough</w:t>
      </w:r>
      <w:r>
        <w:rPr>
          <w:lang w:val="en-GB"/>
        </w:rPr>
        <w:t>s</w:t>
      </w:r>
      <w:r w:rsidRPr="002A6C40">
        <w:rPr>
          <w:rFonts w:eastAsiaTheme="minorHAnsi"/>
          <w:lang w:val="en-GB"/>
        </w:rPr>
        <w:t xml:space="preserve">. Linear regression of log(G’) vs. log(ω) confirmed solid-like nature of the dough. </w:t>
      </w:r>
      <w:r>
        <w:rPr>
          <w:rFonts w:eastAsiaTheme="minorHAnsi"/>
          <w:lang w:val="en-GB"/>
        </w:rPr>
        <w:t xml:space="preserve">The obtained n </w:t>
      </w:r>
      <w:r w:rsidRPr="002A6C40">
        <w:rPr>
          <w:rFonts w:eastAsiaTheme="minorHAnsi"/>
          <w:lang w:val="en-GB"/>
        </w:rPr>
        <w:t xml:space="preserve">values were </w:t>
      </w:r>
      <w:r>
        <w:rPr>
          <w:rFonts w:eastAsiaTheme="minorHAnsi"/>
          <w:lang w:val="en-GB"/>
        </w:rPr>
        <w:t xml:space="preserve">always </w:t>
      </w:r>
      <w:r w:rsidRPr="002A6C40">
        <w:rPr>
          <w:rFonts w:eastAsiaTheme="minorHAnsi"/>
          <w:lang w:val="en-GB"/>
        </w:rPr>
        <w:t xml:space="preserve">&lt;0.4 indicating the existence of a 3D network. </w:t>
      </w:r>
      <w:r>
        <w:rPr>
          <w:rFonts w:eastAsiaTheme="minorHAnsi"/>
          <w:lang w:val="en-GB"/>
        </w:rPr>
        <w:t>Moreover, the sample prepared with sourdough showed a higher increase of power law exponent than control samples after fermentation. Greater</w:t>
      </w:r>
      <w:r w:rsidRPr="002A6C40">
        <w:rPr>
          <w:rFonts w:eastAsiaTheme="minorHAnsi"/>
          <w:lang w:val="en-GB"/>
        </w:rPr>
        <w:t xml:space="preserve"> values of n </w:t>
      </w:r>
      <w:r>
        <w:rPr>
          <w:rFonts w:eastAsiaTheme="minorHAnsi"/>
          <w:lang w:val="en-GB"/>
        </w:rPr>
        <w:t>indicated</w:t>
      </w:r>
      <w:r w:rsidRPr="002A6C40">
        <w:rPr>
          <w:rFonts w:eastAsiaTheme="minorHAnsi"/>
          <w:lang w:val="en-GB"/>
        </w:rPr>
        <w:t xml:space="preserve"> a</w:t>
      </w:r>
      <w:r>
        <w:rPr>
          <w:rFonts w:eastAsiaTheme="minorHAnsi"/>
          <w:lang w:val="en-GB"/>
        </w:rPr>
        <w:t xml:space="preserve"> lower</w:t>
      </w:r>
      <w:r w:rsidRPr="002A6C40">
        <w:rPr>
          <w:rFonts w:eastAsiaTheme="minorHAnsi"/>
          <w:lang w:val="en-GB"/>
        </w:rPr>
        <w:t xml:space="preserve"> fraction of cross</w:t>
      </w:r>
      <w:r>
        <w:rPr>
          <w:rFonts w:eastAsiaTheme="minorHAnsi"/>
          <w:lang w:val="en-GB"/>
        </w:rPr>
        <w:t>-</w:t>
      </w:r>
      <w:r w:rsidRPr="002A6C40">
        <w:rPr>
          <w:rFonts w:eastAsiaTheme="minorHAnsi"/>
          <w:lang w:val="en-GB"/>
        </w:rPr>
        <w:t>linked material</w:t>
      </w:r>
      <w:r w:rsidRPr="001C40AF">
        <w:rPr>
          <w:rFonts w:eastAsiaTheme="minorHAnsi"/>
          <w:lang w:val="en-GB"/>
        </w:rPr>
        <w:t xml:space="preserve"> (Kokini et al., 1994)</w:t>
      </w:r>
      <w:r w:rsidRPr="002A6C40">
        <w:rPr>
          <w:rFonts w:eastAsiaTheme="minorHAnsi"/>
          <w:lang w:val="en-GB"/>
        </w:rPr>
        <w:t>.</w:t>
      </w:r>
      <w:r w:rsidRPr="002A6C40">
        <w:rPr>
          <w:lang w:val="en-GB"/>
        </w:rPr>
        <w:t xml:space="preserve"> This softening effect can be related to proofing mechanisms and slight acidification promoted by LAB contained into sourdough. </w:t>
      </w:r>
    </w:p>
    <w:p w14:paraId="16DC230B" w14:textId="20B30A2B" w:rsidR="0099223F" w:rsidRPr="0099223F" w:rsidRDefault="000610D6" w:rsidP="000610D6">
      <w:pPr>
        <w:pStyle w:val="CETTabletitle"/>
      </w:pPr>
      <w:r w:rsidRPr="002A6C40">
        <w:t xml:space="preserve">Table </w:t>
      </w:r>
      <w:r w:rsidR="001974E6">
        <w:t>1</w:t>
      </w:r>
      <w:r w:rsidR="007B01B6">
        <w:t>: L</w:t>
      </w:r>
      <w:r>
        <w:t xml:space="preserve">inear regression parameters </w:t>
      </w:r>
      <w:r w:rsidR="007B01B6">
        <w:t>(n and G</w:t>
      </w:r>
      <w:r w:rsidR="007B01B6">
        <w:rPr>
          <w:vertAlign w:val="subscript"/>
        </w:rPr>
        <w:t>0</w:t>
      </w:r>
      <w:r w:rsidR="007B01B6">
        <w:t>’)</w:t>
      </w:r>
      <w:r w:rsidR="007B01B6" w:rsidRPr="002A6C40">
        <w:t xml:space="preserve"> </w:t>
      </w:r>
      <w:r w:rsidR="007B01B6">
        <w:t xml:space="preserve">from application of the </w:t>
      </w:r>
      <w:r>
        <w:t>power law model (Eq.2)</w:t>
      </w:r>
      <w:r w:rsidR="007B01B6">
        <w:t xml:space="preserve"> to data of Figure</w:t>
      </w:r>
      <w:r w:rsidR="0060175D">
        <w:t>s</w:t>
      </w:r>
      <w:r w:rsidR="007B01B6">
        <w:t xml:space="preserve"> 1</w:t>
      </w:r>
      <w:r w:rsidR="0060175D">
        <w:t xml:space="preserve"> and 2</w:t>
      </w:r>
      <w:r>
        <w:t xml:space="preserve">. </w:t>
      </w:r>
      <w:r w:rsidR="001327AB">
        <w:t>DS: dried sourdough; DBY: dried bakery’s yeast. R</w:t>
      </w:r>
      <w:r w:rsidR="001327AB">
        <w:rPr>
          <w:vertAlign w:val="superscript"/>
        </w:rPr>
        <w:t>2</w:t>
      </w:r>
      <w:r w:rsidR="001327AB">
        <w:t>:</w:t>
      </w:r>
      <w:r w:rsidR="001327AB">
        <w:rPr>
          <w:vertAlign w:val="superscript"/>
        </w:rPr>
        <w:t xml:space="preserve"> </w:t>
      </w:r>
      <w:r>
        <w:t>Linear Regression coefficient.</w:t>
      </w:r>
      <w:r w:rsidR="004A209E">
        <w:t xml:space="preserve"> T</w:t>
      </w:r>
      <w:r w:rsidR="006D46C8">
        <w:rPr>
          <w:rFonts w:eastAsiaTheme="minorHAnsi"/>
        </w:rPr>
        <w:t xml:space="preserve">he same superscript letter under the same column indicates not significantly different means according to </w:t>
      </w:r>
      <w:r w:rsidR="004A209E">
        <w:rPr>
          <w:rFonts w:eastAsiaTheme="minorHAnsi"/>
        </w:rPr>
        <w:t xml:space="preserve">ANOVA and </w:t>
      </w:r>
      <w:r w:rsidR="006D46C8">
        <w:rPr>
          <w:rFonts w:eastAsiaTheme="minorHAnsi"/>
        </w:rPr>
        <w:t>Tukey’s post-hoc test.</w:t>
      </w:r>
      <w:r w:rsidR="009922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92"/>
        <w:gridCol w:w="1134"/>
        <w:gridCol w:w="992"/>
        <w:gridCol w:w="1559"/>
        <w:gridCol w:w="1276"/>
        <w:gridCol w:w="1134"/>
      </w:tblGrid>
      <w:tr w:rsidR="002A32B8" w:rsidRPr="00DE7852" w14:paraId="614A9A32" w14:textId="77777777" w:rsidTr="00F91883">
        <w:trPr>
          <w:trHeight w:val="330"/>
        </w:trPr>
        <w:tc>
          <w:tcPr>
            <w:tcW w:w="960" w:type="dxa"/>
            <w:tcBorders>
              <w:top w:val="single" w:sz="12" w:space="0" w:color="008000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3A116D0A" w14:textId="77777777" w:rsidR="002A32B8" w:rsidRPr="00DE7852" w:rsidRDefault="002A32B8" w:rsidP="00F91883">
            <w:pPr>
              <w:rPr>
                <w:rFonts w:cs="Arial"/>
                <w:szCs w:val="18"/>
              </w:rPr>
            </w:pPr>
            <w:r w:rsidRPr="00DE7852">
              <w:rPr>
                <w:rFonts w:cs="Arial"/>
                <w:szCs w:val="18"/>
              </w:rPr>
              <w:t> </w:t>
            </w:r>
          </w:p>
        </w:tc>
        <w:tc>
          <w:tcPr>
            <w:tcW w:w="3718" w:type="dxa"/>
            <w:gridSpan w:val="3"/>
            <w:tcBorders>
              <w:top w:val="single" w:sz="12" w:space="0" w:color="008000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4990E3DC" w14:textId="77777777" w:rsidR="002A32B8" w:rsidRPr="00DE7852" w:rsidRDefault="002A32B8" w:rsidP="00F91883">
            <w:pPr>
              <w:jc w:val="center"/>
              <w:rPr>
                <w:rFonts w:cs="Arial"/>
                <w:szCs w:val="18"/>
              </w:rPr>
            </w:pPr>
            <w:r w:rsidRPr="00DE7852">
              <w:rPr>
                <w:rFonts w:cs="Arial"/>
                <w:szCs w:val="18"/>
              </w:rPr>
              <w:t>Before leavening</w:t>
            </w:r>
          </w:p>
        </w:tc>
        <w:tc>
          <w:tcPr>
            <w:tcW w:w="3969" w:type="dxa"/>
            <w:gridSpan w:val="3"/>
            <w:tcBorders>
              <w:top w:val="single" w:sz="12" w:space="0" w:color="008000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568256D9" w14:textId="77777777" w:rsidR="002A32B8" w:rsidRPr="00DE7852" w:rsidRDefault="002A32B8" w:rsidP="00F91883">
            <w:pPr>
              <w:jc w:val="center"/>
              <w:rPr>
                <w:rFonts w:cs="Arial"/>
                <w:szCs w:val="18"/>
              </w:rPr>
            </w:pPr>
            <w:r w:rsidRPr="00DE7852">
              <w:rPr>
                <w:rFonts w:cs="Arial"/>
                <w:szCs w:val="18"/>
              </w:rPr>
              <w:t>After leavening</w:t>
            </w:r>
          </w:p>
        </w:tc>
      </w:tr>
      <w:tr w:rsidR="002A32B8" w:rsidRPr="00DE7852" w14:paraId="39FACD45" w14:textId="77777777" w:rsidTr="00F918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060A686E" w14:textId="77777777" w:rsidR="002A32B8" w:rsidRPr="00DE7852" w:rsidRDefault="002A32B8" w:rsidP="00F91883">
            <w:pPr>
              <w:rPr>
                <w:rFonts w:cs="Arial"/>
                <w:szCs w:val="18"/>
              </w:rPr>
            </w:pPr>
            <w:r w:rsidRPr="00DE7852">
              <w:rPr>
                <w:rFonts w:cs="Arial"/>
                <w:szCs w:val="18"/>
              </w:rPr>
              <w:t>Dough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5854E587" w14:textId="77777777" w:rsidR="002A32B8" w:rsidRPr="00DE7852" w:rsidRDefault="002A32B8" w:rsidP="00F91883">
            <w:pPr>
              <w:jc w:val="center"/>
              <w:rPr>
                <w:rFonts w:cs="Arial"/>
                <w:szCs w:val="18"/>
              </w:rPr>
            </w:pPr>
            <w:r w:rsidRPr="00DE7852">
              <w:rPr>
                <w:rFonts w:cs="Arial"/>
                <w:szCs w:val="18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4BF65445" w14:textId="77777777" w:rsidR="002A32B8" w:rsidRPr="00DE7852" w:rsidRDefault="002A32B8" w:rsidP="00F91883">
            <w:pPr>
              <w:jc w:val="center"/>
              <w:rPr>
                <w:rFonts w:cs="Arial"/>
                <w:szCs w:val="18"/>
              </w:rPr>
            </w:pPr>
            <w:r w:rsidRPr="00DE7852">
              <w:rPr>
                <w:rFonts w:cs="Arial"/>
                <w:szCs w:val="18"/>
              </w:rPr>
              <w:t>G</w:t>
            </w:r>
            <w:r w:rsidRPr="00DE7852">
              <w:rPr>
                <w:rFonts w:cs="Arial"/>
                <w:szCs w:val="18"/>
                <w:vertAlign w:val="subscript"/>
              </w:rPr>
              <w:t>0</w:t>
            </w:r>
            <w:r w:rsidRPr="00DE7852">
              <w:rPr>
                <w:rFonts w:cs="Arial"/>
                <w:szCs w:val="18"/>
              </w:rPr>
              <w:t>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440BA7F1" w14:textId="77777777" w:rsidR="002A32B8" w:rsidRPr="00DE7852" w:rsidRDefault="002A32B8" w:rsidP="00F91883">
            <w:pPr>
              <w:jc w:val="center"/>
              <w:rPr>
                <w:rFonts w:cs="Arial"/>
                <w:szCs w:val="18"/>
              </w:rPr>
            </w:pPr>
            <w:r w:rsidRPr="00DE7852">
              <w:rPr>
                <w:rFonts w:cs="Arial"/>
                <w:szCs w:val="18"/>
              </w:rPr>
              <w:t>R</w:t>
            </w:r>
            <w:r w:rsidRPr="00DE7852">
              <w:rPr>
                <w:rFonts w:cs="Arial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0E36B054" w14:textId="77777777" w:rsidR="002A32B8" w:rsidRPr="00DE7852" w:rsidRDefault="002A32B8" w:rsidP="00F91883">
            <w:pPr>
              <w:jc w:val="center"/>
              <w:rPr>
                <w:rFonts w:cs="Arial"/>
                <w:szCs w:val="18"/>
              </w:rPr>
            </w:pPr>
            <w:r w:rsidRPr="00DE7852">
              <w:rPr>
                <w:rFonts w:cs="Arial"/>
                <w:szCs w:val="18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63174FF2" w14:textId="77777777" w:rsidR="002A32B8" w:rsidRPr="00DE7852" w:rsidRDefault="002A32B8" w:rsidP="00F91883">
            <w:pPr>
              <w:jc w:val="center"/>
              <w:rPr>
                <w:rFonts w:cs="Arial"/>
                <w:szCs w:val="18"/>
              </w:rPr>
            </w:pPr>
            <w:r w:rsidRPr="00DE7852">
              <w:rPr>
                <w:rFonts w:cs="Arial"/>
                <w:szCs w:val="18"/>
              </w:rPr>
              <w:t>G</w:t>
            </w:r>
            <w:r w:rsidRPr="00DE7852">
              <w:rPr>
                <w:rFonts w:cs="Arial"/>
                <w:szCs w:val="18"/>
                <w:vertAlign w:val="subscript"/>
              </w:rPr>
              <w:t>0</w:t>
            </w:r>
            <w:r w:rsidRPr="00DE7852">
              <w:rPr>
                <w:rFonts w:cs="Arial"/>
                <w:szCs w:val="18"/>
              </w:rPr>
              <w:t>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000000" w:fill="FFFFFF"/>
            <w:vAlign w:val="center"/>
            <w:hideMark/>
          </w:tcPr>
          <w:p w14:paraId="1062D10E" w14:textId="77777777" w:rsidR="002A32B8" w:rsidRPr="00DE7852" w:rsidRDefault="002A32B8" w:rsidP="00F91883">
            <w:pPr>
              <w:jc w:val="center"/>
              <w:rPr>
                <w:rFonts w:cs="Arial"/>
                <w:szCs w:val="18"/>
              </w:rPr>
            </w:pPr>
            <w:r w:rsidRPr="00DE7852">
              <w:rPr>
                <w:rFonts w:cs="Arial"/>
                <w:szCs w:val="18"/>
              </w:rPr>
              <w:t>R</w:t>
            </w:r>
            <w:r w:rsidRPr="00DE7852">
              <w:rPr>
                <w:rFonts w:cs="Arial"/>
                <w:szCs w:val="18"/>
                <w:vertAlign w:val="superscript"/>
              </w:rPr>
              <w:t>2</w:t>
            </w:r>
          </w:p>
        </w:tc>
      </w:tr>
      <w:tr w:rsidR="00741D57" w:rsidRPr="00DE7852" w14:paraId="7263AD38" w14:textId="77777777" w:rsidTr="00670F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198F8" w14:textId="38480450" w:rsidR="00741D57" w:rsidRPr="00DE7852" w:rsidRDefault="008B0884" w:rsidP="00741D5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DS_A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6582F" w14:textId="2BDF8DC6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0,3372 ±0,0132</w:t>
            </w:r>
            <w:r w:rsidR="0012143B">
              <w:rPr>
                <w:rFonts w:cs="Arial"/>
                <w:szCs w:val="18"/>
                <w:vertAlign w:val="superscript"/>
              </w:rPr>
              <w:t>a</w:t>
            </w:r>
            <w:r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1C0BD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2263±368</w:t>
            </w:r>
            <w:r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EBFF4F" w14:textId="57D0B285" w:rsidR="00741D57" w:rsidRPr="00DE7852" w:rsidRDefault="00741D57" w:rsidP="00741D57">
            <w:pPr>
              <w:jc w:val="center"/>
              <w:rPr>
                <w:rFonts w:cs="Arial"/>
                <w:szCs w:val="18"/>
              </w:rPr>
            </w:pPr>
            <w:r w:rsidRPr="00741D57">
              <w:rPr>
                <w:rFonts w:cs="Arial"/>
                <w:color w:val="000000"/>
                <w:szCs w:val="18"/>
              </w:rPr>
              <w:t>0,986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E3BDD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0,3275±0,0126</w:t>
            </w:r>
            <w:r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B4FAC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3586±220</w:t>
            </w:r>
            <w:r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C50C7" w14:textId="35A9CFAE" w:rsidR="00741D57" w:rsidRPr="00DE7852" w:rsidRDefault="00741D57" w:rsidP="00741D57">
            <w:pPr>
              <w:jc w:val="center"/>
              <w:rPr>
                <w:rFonts w:cs="Arial"/>
                <w:szCs w:val="18"/>
              </w:rPr>
            </w:pPr>
            <w:r w:rsidRPr="00741D57">
              <w:rPr>
                <w:rFonts w:cs="Arial"/>
                <w:color w:val="000000"/>
                <w:szCs w:val="18"/>
              </w:rPr>
              <w:t>0,993</w:t>
            </w:r>
          </w:p>
        </w:tc>
      </w:tr>
      <w:tr w:rsidR="00741D57" w:rsidRPr="00DE7852" w14:paraId="5E972719" w14:textId="77777777" w:rsidTr="00670F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92FC2" w14:textId="2228FC3E" w:rsidR="00741D57" w:rsidRPr="00DE7852" w:rsidRDefault="008B0884" w:rsidP="00741D5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DS_B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A0D68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0,3532±0,0229</w:t>
            </w:r>
            <w:r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0FFDD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2091±67</w:t>
            </w:r>
            <w:r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473CA" w14:textId="2BB42EE1" w:rsidR="00741D57" w:rsidRPr="00DE7852" w:rsidRDefault="00741D57" w:rsidP="00741D57">
            <w:pPr>
              <w:jc w:val="center"/>
              <w:rPr>
                <w:rFonts w:cs="Arial"/>
                <w:szCs w:val="18"/>
              </w:rPr>
            </w:pPr>
            <w:r w:rsidRPr="00741D57">
              <w:rPr>
                <w:rFonts w:cs="Arial"/>
                <w:color w:val="000000"/>
                <w:szCs w:val="18"/>
              </w:rPr>
              <w:t>0,989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AD032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0,3373±0,0221</w:t>
            </w:r>
            <w:r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1D067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3454±395</w:t>
            </w:r>
            <w:r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4C8C5" w14:textId="31C3962B" w:rsidR="00741D57" w:rsidRPr="00DE7852" w:rsidRDefault="00741D57" w:rsidP="00741D57">
            <w:pPr>
              <w:jc w:val="center"/>
              <w:rPr>
                <w:rFonts w:cs="Arial"/>
                <w:szCs w:val="18"/>
              </w:rPr>
            </w:pPr>
            <w:r w:rsidRPr="00741D57">
              <w:rPr>
                <w:rFonts w:cs="Arial"/>
                <w:color w:val="000000"/>
                <w:szCs w:val="18"/>
              </w:rPr>
              <w:t>0,989</w:t>
            </w:r>
          </w:p>
        </w:tc>
      </w:tr>
      <w:tr w:rsidR="00741D57" w:rsidRPr="00DE7852" w14:paraId="4A5684EB" w14:textId="77777777" w:rsidTr="00670F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3DBE5" w14:textId="3F514AB2" w:rsidR="00741D57" w:rsidRPr="00DE7852" w:rsidRDefault="008B0884" w:rsidP="00741D5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DS_C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7DD05" w14:textId="197FB759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0,3194±0,0080</w:t>
            </w:r>
            <w:r w:rsidR="0012143B">
              <w:rPr>
                <w:rFonts w:cs="Arial"/>
                <w:szCs w:val="18"/>
                <w:vertAlign w:val="superscript"/>
              </w:rPr>
              <w:t>a</w:t>
            </w:r>
            <w:r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6FA2E" w14:textId="6FD9BD4A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2869±230</w:t>
            </w:r>
            <w:r w:rsidR="0012143B">
              <w:rPr>
                <w:rFonts w:cs="Arial"/>
                <w:szCs w:val="18"/>
                <w:vertAlign w:val="superscript"/>
              </w:rPr>
              <w:t>a</w:t>
            </w:r>
            <w:r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8B017" w14:textId="0D078A2F" w:rsidR="00741D57" w:rsidRPr="00DE7852" w:rsidRDefault="00741D57" w:rsidP="00741D57">
            <w:pPr>
              <w:jc w:val="center"/>
              <w:rPr>
                <w:rFonts w:cs="Arial"/>
                <w:szCs w:val="18"/>
              </w:rPr>
            </w:pPr>
            <w:r w:rsidRPr="00741D57">
              <w:rPr>
                <w:rFonts w:cs="Arial"/>
                <w:color w:val="000000"/>
                <w:szCs w:val="18"/>
              </w:rPr>
              <w:t>0,994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86C72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0,3589±0,0048</w:t>
            </w:r>
            <w:r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548A0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1718±98</w:t>
            </w:r>
            <w:r>
              <w:rPr>
                <w:rFonts w:cs="Arial"/>
                <w:szCs w:val="18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FFBAB" w14:textId="318E7A29" w:rsidR="00741D57" w:rsidRPr="00DE7852" w:rsidRDefault="00741D57" w:rsidP="00741D57">
            <w:pPr>
              <w:jc w:val="center"/>
              <w:rPr>
                <w:rFonts w:cs="Arial"/>
                <w:szCs w:val="18"/>
              </w:rPr>
            </w:pPr>
            <w:r w:rsidRPr="00741D57">
              <w:rPr>
                <w:rFonts w:cs="Arial"/>
                <w:color w:val="000000"/>
                <w:szCs w:val="18"/>
              </w:rPr>
              <w:t>0,995</w:t>
            </w:r>
          </w:p>
        </w:tc>
      </w:tr>
      <w:tr w:rsidR="00741D57" w:rsidRPr="00DE7852" w14:paraId="0E14D262" w14:textId="77777777" w:rsidTr="00670F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6153E" w14:textId="61BEEAB6" w:rsidR="00741D57" w:rsidRPr="00DE7852" w:rsidRDefault="00741D57" w:rsidP="00741D57">
            <w:pPr>
              <w:rPr>
                <w:rFonts w:cs="Arial"/>
                <w:szCs w:val="18"/>
              </w:rPr>
            </w:pPr>
            <w:r w:rsidRPr="00DE7852">
              <w:rPr>
                <w:rFonts w:cs="Arial"/>
                <w:szCs w:val="18"/>
              </w:rPr>
              <w:t>DBY_A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9DE9D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0,3568±0,0225</w:t>
            </w:r>
            <w:r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E06E1" w14:textId="78EE0943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2759±621</w:t>
            </w:r>
            <w:r w:rsidR="0012143B">
              <w:rPr>
                <w:rFonts w:cs="Arial"/>
                <w:szCs w:val="18"/>
                <w:vertAlign w:val="superscript"/>
              </w:rPr>
              <w:t>a</w:t>
            </w:r>
            <w:r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A910C" w14:textId="2001E1E6" w:rsidR="00741D57" w:rsidRPr="00DE7852" w:rsidRDefault="00741D57" w:rsidP="00741D57">
            <w:pPr>
              <w:jc w:val="center"/>
              <w:rPr>
                <w:rFonts w:cs="Arial"/>
                <w:szCs w:val="18"/>
              </w:rPr>
            </w:pPr>
            <w:r w:rsidRPr="00741D57">
              <w:rPr>
                <w:rFonts w:cs="Arial"/>
                <w:color w:val="000000"/>
                <w:szCs w:val="18"/>
              </w:rPr>
              <w:t>0,985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B52C0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0,3513±0,0136</w:t>
            </w:r>
            <w:r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25DF9" w14:textId="4466BA9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2645±431</w:t>
            </w:r>
            <w:r w:rsidR="0012143B">
              <w:rPr>
                <w:rFonts w:cs="Arial"/>
                <w:szCs w:val="18"/>
                <w:vertAlign w:val="superscript"/>
              </w:rPr>
              <w:t>a</w:t>
            </w:r>
            <w:r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C0B94" w14:textId="5F06ECBF" w:rsidR="00741D57" w:rsidRPr="00DE7852" w:rsidRDefault="00741D57" w:rsidP="00741D57">
            <w:pPr>
              <w:jc w:val="center"/>
              <w:rPr>
                <w:rFonts w:cs="Arial"/>
                <w:szCs w:val="18"/>
              </w:rPr>
            </w:pPr>
            <w:r w:rsidRPr="00741D57">
              <w:rPr>
                <w:rFonts w:cs="Arial"/>
                <w:color w:val="000000"/>
                <w:szCs w:val="18"/>
              </w:rPr>
              <w:t>0,984</w:t>
            </w:r>
          </w:p>
        </w:tc>
      </w:tr>
      <w:tr w:rsidR="00741D57" w:rsidRPr="00DE7852" w14:paraId="42CC0AE5" w14:textId="77777777" w:rsidTr="00670F5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4FD7B41F" w14:textId="678D4512" w:rsidR="00741D57" w:rsidRPr="00DE7852" w:rsidRDefault="008B0884" w:rsidP="00741D5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DBY_B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2125DDC8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0,2965±0,0081</w:t>
            </w:r>
            <w:r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44BA174D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3569±1200</w:t>
            </w:r>
            <w:r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bottom"/>
            <w:hideMark/>
          </w:tcPr>
          <w:p w14:paraId="321CB00D" w14:textId="61C42E93" w:rsidR="00741D57" w:rsidRPr="00DE7852" w:rsidRDefault="00741D57" w:rsidP="00741D57">
            <w:pPr>
              <w:jc w:val="center"/>
              <w:rPr>
                <w:rFonts w:cs="Arial"/>
                <w:szCs w:val="18"/>
              </w:rPr>
            </w:pPr>
            <w:r w:rsidRPr="00741D57">
              <w:rPr>
                <w:rFonts w:cs="Arial"/>
                <w:color w:val="000000"/>
                <w:szCs w:val="18"/>
              </w:rPr>
              <w:t>0,985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119ABCB7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0,3329±0,0194</w:t>
            </w:r>
            <w:r>
              <w:rPr>
                <w:rFonts w:cs="Arial"/>
                <w:szCs w:val="18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center"/>
            <w:hideMark/>
          </w:tcPr>
          <w:p w14:paraId="784671B9" w14:textId="77777777" w:rsidR="00741D57" w:rsidRPr="00DE7852" w:rsidRDefault="00741D57" w:rsidP="00741D57">
            <w:pPr>
              <w:jc w:val="center"/>
              <w:rPr>
                <w:rFonts w:cs="Arial"/>
                <w:szCs w:val="18"/>
                <w:vertAlign w:val="superscript"/>
              </w:rPr>
            </w:pPr>
            <w:r w:rsidRPr="00DE7852">
              <w:rPr>
                <w:rFonts w:cs="Arial"/>
                <w:szCs w:val="18"/>
              </w:rPr>
              <w:t>3075±249</w:t>
            </w:r>
            <w:r>
              <w:rPr>
                <w:rFonts w:cs="Arial"/>
                <w:szCs w:val="18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000000" w:fill="FFFFFF"/>
            <w:vAlign w:val="bottom"/>
            <w:hideMark/>
          </w:tcPr>
          <w:p w14:paraId="4185BDB8" w14:textId="70F81F03" w:rsidR="00741D57" w:rsidRPr="00DE7852" w:rsidRDefault="00741D57" w:rsidP="00741D57">
            <w:pPr>
              <w:jc w:val="center"/>
              <w:rPr>
                <w:rFonts w:cs="Arial"/>
                <w:szCs w:val="18"/>
              </w:rPr>
            </w:pPr>
            <w:r w:rsidRPr="00741D57">
              <w:rPr>
                <w:rFonts w:cs="Arial"/>
                <w:color w:val="000000"/>
                <w:szCs w:val="18"/>
              </w:rPr>
              <w:t>0,979</w:t>
            </w:r>
          </w:p>
        </w:tc>
      </w:tr>
    </w:tbl>
    <w:p w14:paraId="75307EF8" w14:textId="53158922" w:rsidR="0020124F" w:rsidRPr="0020124F" w:rsidRDefault="0020124F" w:rsidP="0020124F">
      <w:pPr>
        <w:pStyle w:val="CETBodytext"/>
        <w:rPr>
          <w:lang w:val="en-GB"/>
        </w:rPr>
      </w:pPr>
    </w:p>
    <w:p w14:paraId="34104371" w14:textId="38D8E86C" w:rsidR="00B55824" w:rsidRDefault="00B55824" w:rsidP="00B55824">
      <w:pPr>
        <w:pStyle w:val="CETheadingx"/>
        <w:rPr>
          <w:lang w:val="en-GB"/>
        </w:rPr>
      </w:pPr>
      <w:r>
        <w:rPr>
          <w:lang w:val="en-GB"/>
        </w:rPr>
        <w:t xml:space="preserve">Microbiological Characterisation of </w:t>
      </w:r>
      <w:r w:rsidRPr="002A6C40">
        <w:rPr>
          <w:lang w:val="en-GB"/>
        </w:rPr>
        <w:t xml:space="preserve">Leavening </w:t>
      </w:r>
      <w:r>
        <w:rPr>
          <w:lang w:val="en-GB"/>
        </w:rPr>
        <w:t>Agents</w:t>
      </w:r>
    </w:p>
    <w:p w14:paraId="0522B3E1" w14:textId="7AE95DD0" w:rsidR="0020124F" w:rsidRDefault="00374AB3" w:rsidP="00220CF9">
      <w:pPr>
        <w:pStyle w:val="CETBodytext"/>
        <w:rPr>
          <w:lang w:val="en-GB"/>
        </w:rPr>
      </w:pPr>
      <w:r w:rsidRPr="002A6C40">
        <w:rPr>
          <w:rFonts w:eastAsiaTheme="minorHAnsi"/>
          <w:lang w:val="en-GB"/>
        </w:rPr>
        <w:t xml:space="preserve">Table </w:t>
      </w:r>
      <w:r w:rsidR="001974E6">
        <w:rPr>
          <w:rFonts w:eastAsiaTheme="minorHAnsi"/>
          <w:lang w:val="en-GB"/>
        </w:rPr>
        <w:t>2</w:t>
      </w:r>
      <w:r w:rsidR="00B55824">
        <w:rPr>
          <w:rFonts w:eastAsiaTheme="minorHAnsi"/>
          <w:lang w:val="en-GB"/>
        </w:rPr>
        <w:t xml:space="preserve"> shows that</w:t>
      </w:r>
      <w:r w:rsidRPr="002A6C40">
        <w:rPr>
          <w:rFonts w:eastAsiaTheme="minorHAnsi"/>
          <w:lang w:val="en-GB"/>
        </w:rPr>
        <w:t xml:space="preserve"> the control</w:t>
      </w:r>
      <w:r w:rsidR="001974E6">
        <w:rPr>
          <w:rFonts w:eastAsiaTheme="minorHAnsi"/>
          <w:lang w:val="en-GB"/>
        </w:rPr>
        <w:t xml:space="preserve"> baker’s yeast,</w:t>
      </w:r>
      <w:r w:rsidR="00B55824">
        <w:rPr>
          <w:rFonts w:eastAsiaTheme="minorHAnsi"/>
          <w:lang w:val="en-GB"/>
        </w:rPr>
        <w:t xml:space="preserve"> as expected, </w:t>
      </w:r>
      <w:r w:rsidR="001974E6">
        <w:rPr>
          <w:rFonts w:eastAsiaTheme="minorHAnsi"/>
          <w:lang w:val="en-GB"/>
        </w:rPr>
        <w:t>presents</w:t>
      </w:r>
      <w:r w:rsidR="00B55824">
        <w:rPr>
          <w:rFonts w:eastAsiaTheme="minorHAnsi"/>
          <w:lang w:val="en-GB"/>
        </w:rPr>
        <w:t xml:space="preserve"> a much higher content of total yeasts than the dried sourdoughs</w:t>
      </w:r>
      <w:r w:rsidR="001974E6">
        <w:rPr>
          <w:rFonts w:eastAsiaTheme="minorHAnsi"/>
          <w:lang w:val="en-GB"/>
        </w:rPr>
        <w:t xml:space="preserve"> after a 2 days incubation</w:t>
      </w:r>
      <w:r w:rsidR="00B55824">
        <w:rPr>
          <w:rFonts w:eastAsiaTheme="minorHAnsi"/>
          <w:lang w:val="en-GB"/>
        </w:rPr>
        <w:t xml:space="preserve">. </w:t>
      </w:r>
      <w:r w:rsidRPr="002A6C40">
        <w:rPr>
          <w:lang w:val="en-GB"/>
        </w:rPr>
        <w:t>After 5 days of incubation</w:t>
      </w:r>
      <w:r w:rsidR="00B55824">
        <w:rPr>
          <w:lang w:val="en-GB"/>
        </w:rPr>
        <w:t>,</w:t>
      </w:r>
      <w:r w:rsidRPr="002A6C40">
        <w:rPr>
          <w:lang w:val="en-GB"/>
        </w:rPr>
        <w:t xml:space="preserve"> only DS_C show</w:t>
      </w:r>
      <w:r w:rsidR="001974E6">
        <w:rPr>
          <w:lang w:val="en-GB"/>
        </w:rPr>
        <w:t xml:space="preserve">ed </w:t>
      </w:r>
      <w:r w:rsidRPr="002A6C40">
        <w:rPr>
          <w:lang w:val="en-GB"/>
        </w:rPr>
        <w:t xml:space="preserve">an increase in yeast </w:t>
      </w:r>
      <w:r w:rsidR="00B55824">
        <w:rPr>
          <w:lang w:val="en-GB"/>
        </w:rPr>
        <w:t>content which might be correlated</w:t>
      </w:r>
      <w:r w:rsidRPr="002A6C40">
        <w:rPr>
          <w:lang w:val="en-GB"/>
        </w:rPr>
        <w:t xml:space="preserve"> to a slower </w:t>
      </w:r>
      <w:r w:rsidR="00B55824">
        <w:rPr>
          <w:lang w:val="en-GB"/>
        </w:rPr>
        <w:t>leavening</w:t>
      </w:r>
      <w:r w:rsidRPr="002A6C40">
        <w:rPr>
          <w:lang w:val="en-GB"/>
        </w:rPr>
        <w:t xml:space="preserve"> capacity</w:t>
      </w:r>
      <w:r w:rsidR="00B55824">
        <w:rPr>
          <w:lang w:val="en-GB"/>
        </w:rPr>
        <w:t>. N</w:t>
      </w:r>
      <w:r w:rsidRPr="002A6C40">
        <w:rPr>
          <w:lang w:val="en-GB"/>
        </w:rPr>
        <w:t xml:space="preserve">o vital LAB </w:t>
      </w:r>
      <w:r w:rsidR="00B55824">
        <w:rPr>
          <w:lang w:val="en-GB"/>
        </w:rPr>
        <w:t xml:space="preserve">were counted in </w:t>
      </w:r>
      <w:r w:rsidR="00B55824" w:rsidRPr="002A6C40">
        <w:rPr>
          <w:lang w:val="en-GB"/>
        </w:rPr>
        <w:t>DS_C</w:t>
      </w:r>
      <w:r w:rsidR="00B55824">
        <w:rPr>
          <w:lang w:val="en-GB"/>
        </w:rPr>
        <w:t xml:space="preserve">, which is </w:t>
      </w:r>
      <w:r w:rsidRPr="002A6C40">
        <w:rPr>
          <w:lang w:val="en-GB"/>
        </w:rPr>
        <w:t>in agreement with the measured constant pH after leavening</w:t>
      </w:r>
      <w:r w:rsidR="00B55824">
        <w:rPr>
          <w:lang w:val="en-GB"/>
        </w:rPr>
        <w:t xml:space="preserve"> (Table </w:t>
      </w:r>
      <w:r w:rsidR="001974E6">
        <w:rPr>
          <w:lang w:val="en-GB"/>
        </w:rPr>
        <w:t>3</w:t>
      </w:r>
      <w:r w:rsidR="00B55824">
        <w:rPr>
          <w:lang w:val="en-GB"/>
        </w:rPr>
        <w:t>)</w:t>
      </w:r>
      <w:r w:rsidRPr="002A6C40">
        <w:rPr>
          <w:lang w:val="en-GB"/>
        </w:rPr>
        <w:t>. DS_A show</w:t>
      </w:r>
      <w:r w:rsidR="00623596">
        <w:rPr>
          <w:lang w:val="en-GB"/>
        </w:rPr>
        <w:t>ed</w:t>
      </w:r>
      <w:r w:rsidRPr="002A6C40">
        <w:rPr>
          <w:lang w:val="en-GB"/>
        </w:rPr>
        <w:t xml:space="preserve"> higher content in LAB </w:t>
      </w:r>
      <w:r w:rsidR="00B55824">
        <w:rPr>
          <w:lang w:val="en-GB"/>
        </w:rPr>
        <w:t>than</w:t>
      </w:r>
      <w:r w:rsidRPr="002A6C40">
        <w:rPr>
          <w:lang w:val="en-GB"/>
        </w:rPr>
        <w:t xml:space="preserve"> DS_B and DBY control. </w:t>
      </w:r>
      <w:r w:rsidR="001974E6">
        <w:rPr>
          <w:lang w:val="en-GB"/>
        </w:rPr>
        <w:t xml:space="preserve">In spite of </w:t>
      </w:r>
      <w:r w:rsidR="001974E6" w:rsidRPr="002A6C40">
        <w:rPr>
          <w:lang w:val="en-GB"/>
        </w:rPr>
        <w:t>lower amount of vital LAB</w:t>
      </w:r>
      <w:r w:rsidR="001974E6">
        <w:rPr>
          <w:lang w:val="en-GB"/>
        </w:rPr>
        <w:t xml:space="preserve"> found in </w:t>
      </w:r>
      <w:r w:rsidRPr="002A6C40">
        <w:rPr>
          <w:lang w:val="en-GB"/>
        </w:rPr>
        <w:t>DS_B</w:t>
      </w:r>
      <w:r w:rsidR="001974E6">
        <w:rPr>
          <w:lang w:val="en-GB"/>
        </w:rPr>
        <w:t xml:space="preserve">, </w:t>
      </w:r>
      <w:r w:rsidR="00623596">
        <w:rPr>
          <w:lang w:val="en-GB"/>
        </w:rPr>
        <w:t xml:space="preserve">rheological tests gave a behaviour like </w:t>
      </w:r>
      <w:r w:rsidRPr="002A6C40">
        <w:rPr>
          <w:lang w:val="en-GB"/>
        </w:rPr>
        <w:t xml:space="preserve">DS_A. </w:t>
      </w:r>
      <w:r w:rsidR="00623596">
        <w:rPr>
          <w:lang w:val="en-GB"/>
        </w:rPr>
        <w:t xml:space="preserve">Together with the different </w:t>
      </w:r>
      <w:r w:rsidR="00623596" w:rsidRPr="002A6C40">
        <w:rPr>
          <w:lang w:val="en-GB"/>
        </w:rPr>
        <w:t xml:space="preserve">rheological properties of </w:t>
      </w:r>
      <w:r w:rsidR="00623596">
        <w:rPr>
          <w:lang w:val="en-GB"/>
        </w:rPr>
        <w:t xml:space="preserve">the </w:t>
      </w:r>
      <w:r w:rsidR="00623596" w:rsidRPr="002A6C40">
        <w:rPr>
          <w:lang w:val="en-GB"/>
        </w:rPr>
        <w:t xml:space="preserve">dough produced with DS_C containing a lower amount of </w:t>
      </w:r>
      <w:r w:rsidR="00D56BDC">
        <w:rPr>
          <w:i/>
          <w:lang w:val="en-GB"/>
        </w:rPr>
        <w:t>S. c</w:t>
      </w:r>
      <w:r w:rsidR="00623596" w:rsidRPr="002A6C40">
        <w:rPr>
          <w:i/>
          <w:lang w:val="en-GB"/>
        </w:rPr>
        <w:t xml:space="preserve">erevisiae </w:t>
      </w:r>
      <w:r w:rsidR="00623596" w:rsidRPr="002A6C40">
        <w:rPr>
          <w:lang w:val="en-GB"/>
        </w:rPr>
        <w:t>and no vital LAB</w:t>
      </w:r>
      <w:r w:rsidR="00623596">
        <w:rPr>
          <w:lang w:val="en-GB"/>
        </w:rPr>
        <w:t>, t</w:t>
      </w:r>
      <w:r w:rsidRPr="002A6C40">
        <w:rPr>
          <w:lang w:val="en-GB"/>
        </w:rPr>
        <w:t xml:space="preserve">his may </w:t>
      </w:r>
      <w:r w:rsidR="00220CF9">
        <w:rPr>
          <w:lang w:val="en-GB"/>
        </w:rPr>
        <w:t xml:space="preserve">highlight </w:t>
      </w:r>
      <w:r w:rsidR="00623596">
        <w:rPr>
          <w:lang w:val="en-GB"/>
        </w:rPr>
        <w:t xml:space="preserve">the dominant role of yeasts in the leavening </w:t>
      </w:r>
      <w:r w:rsidRPr="002A6C40">
        <w:rPr>
          <w:lang w:val="en-GB"/>
        </w:rPr>
        <w:t xml:space="preserve">process. </w:t>
      </w:r>
    </w:p>
    <w:p w14:paraId="3410D0AE" w14:textId="77777777" w:rsidR="004A209E" w:rsidRPr="002A6C40" w:rsidRDefault="004A209E" w:rsidP="004A209E">
      <w:pPr>
        <w:pStyle w:val="CETBodytext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The measurement of pH (Table 3) indicated a</w:t>
      </w:r>
      <w:r w:rsidRPr="002A6C40">
        <w:rPr>
          <w:lang w:val="en-GB"/>
        </w:rPr>
        <w:t xml:space="preserve"> sligh</w:t>
      </w:r>
      <w:r>
        <w:rPr>
          <w:lang w:val="en-GB"/>
        </w:rPr>
        <w:t>t</w:t>
      </w:r>
      <w:r w:rsidRPr="002A6C40">
        <w:rPr>
          <w:lang w:val="en-GB"/>
        </w:rPr>
        <w:t xml:space="preserve"> pH </w:t>
      </w:r>
      <w:r>
        <w:rPr>
          <w:lang w:val="en-GB"/>
        </w:rPr>
        <w:t xml:space="preserve">decrease </w:t>
      </w:r>
      <w:r w:rsidRPr="002A6C40">
        <w:rPr>
          <w:lang w:val="en-GB"/>
        </w:rPr>
        <w:t xml:space="preserve">after fermentation only in the samples obtained with </w:t>
      </w:r>
      <w:r>
        <w:rPr>
          <w:lang w:val="en-GB"/>
        </w:rPr>
        <w:t>DS_A and DS_B and a constant pH in the sample with DS_C, which could agree with the LAB content of the used products</w:t>
      </w:r>
      <w:r w:rsidRPr="002A6C40">
        <w:rPr>
          <w:lang w:val="en-GB"/>
        </w:rPr>
        <w:t>. However,</w:t>
      </w:r>
      <w:r w:rsidRPr="002A6C40">
        <w:rPr>
          <w:rFonts w:eastAsiaTheme="minorHAnsi"/>
          <w:lang w:val="en-GB"/>
        </w:rPr>
        <w:t xml:space="preserve"> th</w:t>
      </w:r>
      <w:r>
        <w:rPr>
          <w:rFonts w:eastAsiaTheme="minorHAnsi"/>
          <w:lang w:val="en-GB"/>
        </w:rPr>
        <w:t>e</w:t>
      </w:r>
      <w:r w:rsidRPr="002A6C40">
        <w:rPr>
          <w:rFonts w:eastAsiaTheme="minorHAnsi"/>
          <w:lang w:val="en-GB"/>
        </w:rPr>
        <w:t xml:space="preserve"> pH levels are not comparable </w:t>
      </w:r>
      <w:r>
        <w:rPr>
          <w:rFonts w:eastAsiaTheme="minorHAnsi"/>
          <w:lang w:val="en-GB"/>
        </w:rPr>
        <w:t>to</w:t>
      </w:r>
      <w:r w:rsidRPr="002A6C40">
        <w:rPr>
          <w:rFonts w:eastAsiaTheme="minorHAnsi"/>
          <w:lang w:val="en-GB"/>
        </w:rPr>
        <w:t xml:space="preserve"> typical data obtained for sourdough</w:t>
      </w:r>
      <w:r>
        <w:rPr>
          <w:rFonts w:eastAsiaTheme="minorHAnsi"/>
          <w:lang w:val="en-GB"/>
        </w:rPr>
        <w:t>s</w:t>
      </w:r>
      <w:r w:rsidRPr="002A6C40">
        <w:rPr>
          <w:rFonts w:eastAsiaTheme="minorHAnsi"/>
          <w:lang w:val="en-GB"/>
        </w:rPr>
        <w:t xml:space="preserve"> </w:t>
      </w:r>
      <w:r w:rsidRPr="002A6C40">
        <w:rPr>
          <w:lang w:val="en-GB"/>
        </w:rPr>
        <w:t>(pH 3.5-5)</w:t>
      </w:r>
      <w:r>
        <w:rPr>
          <w:lang w:val="en-GB"/>
        </w:rPr>
        <w:t xml:space="preserve"> </w:t>
      </w:r>
      <w:r w:rsidRPr="001C40AF">
        <w:rPr>
          <w:lang w:val="en-GB"/>
        </w:rPr>
        <w:t>(Chavan &amp; Chavan, 2011; Siepmann et al., 2018).</w:t>
      </w:r>
      <w:r w:rsidRPr="002A6C40">
        <w:rPr>
          <w:lang w:val="en-GB"/>
        </w:rPr>
        <w:t xml:space="preserve"> </w:t>
      </w:r>
      <w:r>
        <w:rPr>
          <w:lang w:val="en-GB"/>
        </w:rPr>
        <w:t>The high air relative humidity of the leavening cell allowed to maintain constant the a</w:t>
      </w:r>
      <w:r w:rsidRPr="00114FE4">
        <w:rPr>
          <w:vertAlign w:val="subscript"/>
          <w:lang w:val="en-GB"/>
        </w:rPr>
        <w:t>w</w:t>
      </w:r>
      <w:r>
        <w:rPr>
          <w:lang w:val="en-GB"/>
        </w:rPr>
        <w:t xml:space="preserve"> of the doughs (Table 3). This parameter obviously decreased with baking. Addition of DS_B gave a slightly higher a</w:t>
      </w:r>
      <w:r w:rsidRPr="00933E59">
        <w:rPr>
          <w:vertAlign w:val="subscript"/>
          <w:lang w:val="en-GB"/>
        </w:rPr>
        <w:t>w</w:t>
      </w:r>
      <w:r>
        <w:rPr>
          <w:lang w:val="en-GB"/>
        </w:rPr>
        <w:t xml:space="preserve"> all over the process.</w:t>
      </w:r>
    </w:p>
    <w:p w14:paraId="6DB56230" w14:textId="48BA8B77" w:rsidR="00374AB3" w:rsidRPr="002A6C40" w:rsidRDefault="00374AB3" w:rsidP="00220CF9">
      <w:pPr>
        <w:pStyle w:val="CETTabletitle"/>
      </w:pPr>
      <w:r w:rsidRPr="002A6C40">
        <w:lastRenderedPageBreak/>
        <w:t xml:space="preserve">Table </w:t>
      </w:r>
      <w:r w:rsidR="001974E6">
        <w:t>2</w:t>
      </w:r>
      <w:r w:rsidRPr="002A6C40">
        <w:t xml:space="preserve">: </w:t>
      </w:r>
      <w:r w:rsidRPr="002A6C40">
        <w:rPr>
          <w:rFonts w:eastAsiaTheme="minorHAnsi"/>
        </w:rPr>
        <w:t xml:space="preserve">Microbial </w:t>
      </w:r>
      <w:r w:rsidR="00623596">
        <w:rPr>
          <w:rFonts w:eastAsiaTheme="minorHAnsi"/>
        </w:rPr>
        <w:t>characterisation of commercial dried sourdoughs (DS_A, DS_B, DS_C) and Bakery’s Yeast (DBY) expressed as colony forming units (</w:t>
      </w:r>
      <w:r w:rsidR="004A209E">
        <w:rPr>
          <w:rFonts w:eastAsiaTheme="minorHAnsi"/>
        </w:rPr>
        <w:t>CFU</w:t>
      </w:r>
      <w:r w:rsidR="00623596">
        <w:rPr>
          <w:rFonts w:eastAsiaTheme="minorHAnsi"/>
        </w:rPr>
        <w:t>). ND: not detected.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4"/>
        <w:gridCol w:w="1417"/>
        <w:gridCol w:w="993"/>
        <w:gridCol w:w="1567"/>
      </w:tblGrid>
      <w:tr w:rsidR="00374AB3" w:rsidRPr="002A6C40" w14:paraId="70918A1C" w14:textId="77777777" w:rsidTr="00623596">
        <w:trPr>
          <w:jc w:val="center"/>
        </w:trPr>
        <w:tc>
          <w:tcPr>
            <w:tcW w:w="439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A20B45D" w14:textId="77777777" w:rsidR="00374AB3" w:rsidRPr="002A6C40" w:rsidRDefault="00374AB3" w:rsidP="00BC7A72">
            <w:pPr>
              <w:pStyle w:val="CETBodytext"/>
              <w:rPr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3B41A11" w14:textId="47CFC161" w:rsidR="00374AB3" w:rsidRPr="002A6C40" w:rsidRDefault="00B55824" w:rsidP="00BC7A72">
            <w:pPr>
              <w:pStyle w:val="CETBodytext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yeasts (</w:t>
            </w:r>
            <w:r w:rsidR="004A209E">
              <w:rPr>
                <w:b/>
                <w:lang w:val="en-GB"/>
              </w:rPr>
              <w:t>CFU</w:t>
            </w:r>
            <w:r w:rsidR="00374AB3" w:rsidRPr="002A6C40">
              <w:rPr>
                <w:b/>
                <w:lang w:val="en-GB"/>
              </w:rPr>
              <w:t>/g</w:t>
            </w:r>
            <w:r>
              <w:rPr>
                <w:b/>
                <w:lang w:val="en-GB"/>
              </w:rPr>
              <w:t>)</w:t>
            </w:r>
          </w:p>
        </w:tc>
        <w:tc>
          <w:tcPr>
            <w:tcW w:w="156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F58E68D" w14:textId="1DDB5128" w:rsidR="00374AB3" w:rsidRPr="002A6C40" w:rsidRDefault="00B55824" w:rsidP="00BC7A72">
            <w:pPr>
              <w:pStyle w:val="CETBodytext"/>
              <w:ind w:right="-1"/>
              <w:jc w:val="center"/>
              <w:rPr>
                <w:rFonts w:cs="Arial"/>
                <w:b/>
                <w:szCs w:val="18"/>
                <w:lang w:val="en-GB"/>
              </w:rPr>
            </w:pPr>
            <w:r>
              <w:rPr>
                <w:b/>
                <w:lang w:val="en-GB"/>
              </w:rPr>
              <w:t xml:space="preserve">Total </w:t>
            </w:r>
            <w:r w:rsidR="00623596">
              <w:rPr>
                <w:b/>
                <w:lang w:val="en-GB"/>
              </w:rPr>
              <w:t>LAB</w:t>
            </w:r>
            <w:r>
              <w:rPr>
                <w:b/>
                <w:lang w:val="en-GB"/>
              </w:rPr>
              <w:t xml:space="preserve"> (</w:t>
            </w:r>
            <w:r w:rsidR="004A209E">
              <w:rPr>
                <w:b/>
                <w:lang w:val="en-GB"/>
              </w:rPr>
              <w:t>CFU</w:t>
            </w:r>
            <w:r w:rsidRPr="002A6C40">
              <w:rPr>
                <w:b/>
                <w:lang w:val="en-GB"/>
              </w:rPr>
              <w:t>/g</w:t>
            </w:r>
            <w:r>
              <w:rPr>
                <w:b/>
                <w:lang w:val="en-GB"/>
              </w:rPr>
              <w:t>)</w:t>
            </w:r>
          </w:p>
        </w:tc>
      </w:tr>
      <w:tr w:rsidR="00374AB3" w:rsidRPr="002A6C40" w14:paraId="23374182" w14:textId="77777777" w:rsidTr="00623596">
        <w:trPr>
          <w:jc w:val="center"/>
        </w:trPr>
        <w:tc>
          <w:tcPr>
            <w:tcW w:w="439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A6C3AAD" w14:textId="1A57EA94" w:rsidR="00374AB3" w:rsidRPr="002A6C40" w:rsidRDefault="00B55824" w:rsidP="00BC7A7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Incubation time (at 30°C for </w:t>
            </w:r>
            <w:r w:rsidR="00623596">
              <w:rPr>
                <w:lang w:val="en-GB"/>
              </w:rPr>
              <w:t xml:space="preserve">bacteria, </w:t>
            </w:r>
            <w:r>
              <w:rPr>
                <w:lang w:val="en-GB"/>
              </w:rPr>
              <w:t>37°C</w:t>
            </w:r>
            <w:r w:rsidR="00623596">
              <w:rPr>
                <w:lang w:val="en-GB"/>
              </w:rPr>
              <w:t xml:space="preserve"> for</w:t>
            </w:r>
            <w:r>
              <w:rPr>
                <w:lang w:val="en-GB"/>
              </w:rPr>
              <w:t xml:space="preserve"> </w:t>
            </w:r>
            <w:r w:rsidR="00623596">
              <w:rPr>
                <w:lang w:val="en-GB"/>
              </w:rPr>
              <w:t>yeasts</w:t>
            </w:r>
            <w:r>
              <w:rPr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513C4E8" w14:textId="77777777" w:rsidR="00374AB3" w:rsidRPr="002A6C40" w:rsidRDefault="00374AB3" w:rsidP="00BC7A72">
            <w:pPr>
              <w:pStyle w:val="CETBodytext"/>
              <w:jc w:val="center"/>
              <w:rPr>
                <w:lang w:val="en-GB"/>
              </w:rPr>
            </w:pPr>
            <w:r w:rsidRPr="002A6C40">
              <w:rPr>
                <w:lang w:val="en-GB"/>
              </w:rPr>
              <w:t>2 days</w:t>
            </w:r>
          </w:p>
        </w:tc>
        <w:tc>
          <w:tcPr>
            <w:tcW w:w="99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275CBC1" w14:textId="77777777" w:rsidR="00374AB3" w:rsidRPr="002A6C40" w:rsidRDefault="00374AB3" w:rsidP="00BC7A72">
            <w:pPr>
              <w:pStyle w:val="CETBodytext"/>
              <w:jc w:val="center"/>
              <w:rPr>
                <w:lang w:val="en-GB"/>
              </w:rPr>
            </w:pPr>
            <w:r w:rsidRPr="002A6C40">
              <w:rPr>
                <w:lang w:val="en-GB"/>
              </w:rPr>
              <w:t>5 days</w:t>
            </w:r>
          </w:p>
        </w:tc>
        <w:tc>
          <w:tcPr>
            <w:tcW w:w="156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C166BEE" w14:textId="77777777" w:rsidR="00374AB3" w:rsidRPr="002A6C40" w:rsidRDefault="00374AB3" w:rsidP="00BC7A72">
            <w:pPr>
              <w:pStyle w:val="CETBodytext"/>
              <w:ind w:right="-1"/>
              <w:jc w:val="center"/>
              <w:rPr>
                <w:lang w:val="en-GB"/>
              </w:rPr>
            </w:pPr>
            <w:r w:rsidRPr="002A6C40">
              <w:rPr>
                <w:lang w:val="en-GB"/>
              </w:rPr>
              <w:t>4 days</w:t>
            </w:r>
          </w:p>
        </w:tc>
      </w:tr>
      <w:tr w:rsidR="00374AB3" w:rsidRPr="002A6C40" w14:paraId="23BD907D" w14:textId="77777777" w:rsidTr="00623596">
        <w:trPr>
          <w:jc w:val="center"/>
        </w:trPr>
        <w:tc>
          <w:tcPr>
            <w:tcW w:w="4394" w:type="dxa"/>
            <w:shd w:val="clear" w:color="auto" w:fill="FFFFFF"/>
          </w:tcPr>
          <w:p w14:paraId="19D8ECF9" w14:textId="61A2CB45" w:rsidR="00374AB3" w:rsidRPr="002A6C40" w:rsidRDefault="00374AB3" w:rsidP="00BC7A72">
            <w:pPr>
              <w:pStyle w:val="CETBodytext"/>
              <w:rPr>
                <w:lang w:val="en-GB"/>
              </w:rPr>
            </w:pPr>
            <w:r w:rsidRPr="002A6C40">
              <w:rPr>
                <w:lang w:val="en-GB"/>
              </w:rPr>
              <w:t xml:space="preserve">DS_A </w:t>
            </w:r>
          </w:p>
        </w:tc>
        <w:tc>
          <w:tcPr>
            <w:tcW w:w="1417" w:type="dxa"/>
            <w:shd w:val="clear" w:color="auto" w:fill="FFFFFF"/>
          </w:tcPr>
          <w:p w14:paraId="3207D0A5" w14:textId="0C9E7950" w:rsidR="00374AB3" w:rsidRPr="002A6C40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7.8</w:t>
            </w:r>
            <w:r w:rsidR="00623596">
              <w:rPr>
                <w:rFonts w:cs="Arial"/>
                <w:lang w:val="en-GB"/>
              </w:rPr>
              <w:t>·</w:t>
            </w:r>
            <w:r w:rsidRPr="002A6C40">
              <w:rPr>
                <w:lang w:val="en-GB"/>
              </w:rPr>
              <w:t>10</w:t>
            </w:r>
            <w:r w:rsidRPr="002A6C40">
              <w:rPr>
                <w:vertAlign w:val="superscript"/>
                <w:lang w:val="en-GB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14:paraId="70DC08A7" w14:textId="7E208766" w:rsidR="00374AB3" w:rsidRPr="002A6C40" w:rsidRDefault="00374AB3" w:rsidP="00BC7A72">
            <w:pPr>
              <w:pStyle w:val="CETBodytext"/>
              <w:jc w:val="center"/>
              <w:rPr>
                <w:lang w:val="en-GB"/>
              </w:rPr>
            </w:pPr>
            <w:r w:rsidRPr="002A6C40">
              <w:rPr>
                <w:lang w:val="en-GB"/>
              </w:rPr>
              <w:t>7.8</w:t>
            </w:r>
            <w:r w:rsidR="00623596">
              <w:rPr>
                <w:rFonts w:cs="Arial"/>
                <w:lang w:val="en-GB"/>
              </w:rPr>
              <w:t>·</w:t>
            </w:r>
            <w:r w:rsidRPr="002A6C40">
              <w:rPr>
                <w:lang w:val="en-GB"/>
              </w:rPr>
              <w:t>10</w:t>
            </w:r>
            <w:r w:rsidRPr="002A6C40">
              <w:rPr>
                <w:vertAlign w:val="superscript"/>
                <w:lang w:val="en-GB"/>
              </w:rPr>
              <w:t>8</w:t>
            </w:r>
          </w:p>
        </w:tc>
        <w:tc>
          <w:tcPr>
            <w:tcW w:w="1567" w:type="dxa"/>
            <w:shd w:val="clear" w:color="auto" w:fill="FFFFFF"/>
          </w:tcPr>
          <w:p w14:paraId="4444F025" w14:textId="0630D548" w:rsidR="00374AB3" w:rsidRPr="002A6C40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5</w:t>
            </w:r>
            <w:r w:rsidR="00623596">
              <w:rPr>
                <w:rFonts w:cs="Arial"/>
                <w:lang w:val="en-GB"/>
              </w:rPr>
              <w:t>·</w:t>
            </w:r>
            <w:r w:rsidRPr="002A6C40">
              <w:rPr>
                <w:rFonts w:cs="Arial"/>
                <w:szCs w:val="18"/>
                <w:lang w:val="en-GB"/>
              </w:rPr>
              <w:t>10</w:t>
            </w:r>
            <w:r w:rsidRPr="002A6C40">
              <w:rPr>
                <w:rFonts w:cs="Arial"/>
                <w:szCs w:val="18"/>
                <w:vertAlign w:val="superscript"/>
                <w:lang w:val="en-GB"/>
              </w:rPr>
              <w:t>4</w:t>
            </w:r>
          </w:p>
        </w:tc>
      </w:tr>
      <w:tr w:rsidR="00374AB3" w:rsidRPr="002A6C40" w14:paraId="52DF4EA6" w14:textId="77777777" w:rsidTr="00623596">
        <w:trPr>
          <w:jc w:val="center"/>
        </w:trPr>
        <w:tc>
          <w:tcPr>
            <w:tcW w:w="4394" w:type="dxa"/>
            <w:shd w:val="clear" w:color="auto" w:fill="FFFFFF"/>
          </w:tcPr>
          <w:p w14:paraId="3A5CC51B" w14:textId="6A9042C8" w:rsidR="00374AB3" w:rsidRPr="002A6C40" w:rsidRDefault="00374AB3" w:rsidP="00BC7A72">
            <w:pPr>
              <w:pStyle w:val="CETBodytext"/>
              <w:rPr>
                <w:lang w:val="en-GB"/>
              </w:rPr>
            </w:pPr>
            <w:r w:rsidRPr="002A6C40">
              <w:rPr>
                <w:lang w:val="en-GB"/>
              </w:rPr>
              <w:t xml:space="preserve">DS_B </w:t>
            </w:r>
          </w:p>
        </w:tc>
        <w:tc>
          <w:tcPr>
            <w:tcW w:w="1417" w:type="dxa"/>
            <w:shd w:val="clear" w:color="auto" w:fill="FFFFFF"/>
          </w:tcPr>
          <w:p w14:paraId="14027168" w14:textId="1121724E" w:rsidR="00374AB3" w:rsidRPr="002A6C40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9.6</w:t>
            </w:r>
            <w:r w:rsidR="00623596">
              <w:rPr>
                <w:rFonts w:cs="Arial"/>
                <w:lang w:val="en-GB"/>
              </w:rPr>
              <w:t>·</w:t>
            </w:r>
            <w:r w:rsidRPr="002A6C40">
              <w:rPr>
                <w:lang w:val="en-GB"/>
              </w:rPr>
              <w:t>10</w:t>
            </w:r>
            <w:r w:rsidRPr="002A6C40">
              <w:rPr>
                <w:vertAlign w:val="superscript"/>
                <w:lang w:val="en-GB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14:paraId="3CC55908" w14:textId="6C738D9E" w:rsidR="00374AB3" w:rsidRPr="002A6C40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9.6</w:t>
            </w:r>
            <w:r w:rsidR="00623596">
              <w:rPr>
                <w:rFonts w:cs="Arial"/>
                <w:lang w:val="en-GB"/>
              </w:rPr>
              <w:t>·</w:t>
            </w:r>
            <w:r w:rsidRPr="002A6C40">
              <w:rPr>
                <w:lang w:val="en-GB"/>
              </w:rPr>
              <w:t>10</w:t>
            </w:r>
            <w:r w:rsidRPr="002A6C40">
              <w:rPr>
                <w:vertAlign w:val="superscript"/>
                <w:lang w:val="en-GB"/>
              </w:rPr>
              <w:t>8</w:t>
            </w:r>
          </w:p>
        </w:tc>
        <w:tc>
          <w:tcPr>
            <w:tcW w:w="1567" w:type="dxa"/>
            <w:shd w:val="clear" w:color="auto" w:fill="FFFFFF"/>
          </w:tcPr>
          <w:p w14:paraId="79F54EDC" w14:textId="438EC1A1" w:rsidR="00374AB3" w:rsidRPr="002A6C40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3.2</w:t>
            </w:r>
            <w:r w:rsidR="00623596">
              <w:rPr>
                <w:rFonts w:cs="Arial"/>
                <w:lang w:val="en-GB"/>
              </w:rPr>
              <w:t>·</w:t>
            </w:r>
            <w:r w:rsidRPr="002A6C40">
              <w:rPr>
                <w:rFonts w:cs="Arial"/>
                <w:szCs w:val="18"/>
                <w:lang w:val="en-GB"/>
              </w:rPr>
              <w:t>10</w:t>
            </w:r>
            <w:r w:rsidRPr="002A6C40">
              <w:rPr>
                <w:rFonts w:cs="Arial"/>
                <w:szCs w:val="18"/>
                <w:vertAlign w:val="superscript"/>
                <w:lang w:val="en-GB"/>
              </w:rPr>
              <w:t>2</w:t>
            </w:r>
          </w:p>
        </w:tc>
      </w:tr>
      <w:tr w:rsidR="00374AB3" w:rsidRPr="002A6C40" w14:paraId="55444BB6" w14:textId="77777777" w:rsidTr="00623596">
        <w:trPr>
          <w:jc w:val="center"/>
        </w:trPr>
        <w:tc>
          <w:tcPr>
            <w:tcW w:w="4394" w:type="dxa"/>
            <w:shd w:val="clear" w:color="auto" w:fill="FFFFFF"/>
          </w:tcPr>
          <w:p w14:paraId="5BD9128A" w14:textId="26BD6595" w:rsidR="00374AB3" w:rsidRPr="002A6C40" w:rsidRDefault="00374AB3" w:rsidP="00BC7A72">
            <w:pPr>
              <w:pStyle w:val="CETBodytext"/>
              <w:rPr>
                <w:lang w:val="en-GB"/>
              </w:rPr>
            </w:pPr>
            <w:r w:rsidRPr="002A6C40">
              <w:rPr>
                <w:lang w:val="en-GB"/>
              </w:rPr>
              <w:t xml:space="preserve">DS_C </w:t>
            </w:r>
          </w:p>
        </w:tc>
        <w:tc>
          <w:tcPr>
            <w:tcW w:w="1417" w:type="dxa"/>
            <w:shd w:val="clear" w:color="auto" w:fill="FFFFFF"/>
          </w:tcPr>
          <w:p w14:paraId="31A928FA" w14:textId="43B09B89" w:rsidR="00374AB3" w:rsidRPr="002A6C40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6.4</w:t>
            </w:r>
            <w:r w:rsidR="00623596">
              <w:rPr>
                <w:rFonts w:cs="Arial"/>
                <w:lang w:val="en-GB"/>
              </w:rPr>
              <w:t>·</w:t>
            </w:r>
            <w:r w:rsidRPr="002A6C40">
              <w:rPr>
                <w:rFonts w:cs="Arial"/>
                <w:szCs w:val="18"/>
                <w:lang w:val="en-GB"/>
              </w:rPr>
              <w:t>10</w:t>
            </w:r>
            <w:r w:rsidRPr="002A6C40">
              <w:rPr>
                <w:rFonts w:cs="Arial"/>
                <w:szCs w:val="18"/>
                <w:vertAlign w:val="superscript"/>
                <w:lang w:val="en-GB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14:paraId="4195C76D" w14:textId="11F493E6" w:rsidR="00374AB3" w:rsidRPr="002A6C40" w:rsidRDefault="00374AB3" w:rsidP="00BC7A72">
            <w:pPr>
              <w:pStyle w:val="CETBodytext"/>
              <w:jc w:val="center"/>
              <w:rPr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2.6</w:t>
            </w:r>
            <w:r w:rsidR="00623596">
              <w:rPr>
                <w:rFonts w:cs="Arial"/>
                <w:lang w:val="en-GB"/>
              </w:rPr>
              <w:t>·</w:t>
            </w:r>
            <w:r w:rsidRPr="002A6C40">
              <w:rPr>
                <w:rFonts w:cs="Arial"/>
                <w:szCs w:val="18"/>
                <w:lang w:val="en-GB"/>
              </w:rPr>
              <w:t>10</w:t>
            </w:r>
            <w:r w:rsidRPr="002A6C40">
              <w:rPr>
                <w:rFonts w:cs="Arial"/>
                <w:szCs w:val="18"/>
                <w:vertAlign w:val="superscript"/>
                <w:lang w:val="en-GB"/>
              </w:rPr>
              <w:t>9</w:t>
            </w:r>
          </w:p>
        </w:tc>
        <w:tc>
          <w:tcPr>
            <w:tcW w:w="1567" w:type="dxa"/>
            <w:shd w:val="clear" w:color="auto" w:fill="FFFFFF"/>
          </w:tcPr>
          <w:p w14:paraId="2A107AD0" w14:textId="4E26625C" w:rsidR="00374AB3" w:rsidRPr="002A6C40" w:rsidRDefault="00623596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ND</w:t>
            </w:r>
          </w:p>
        </w:tc>
      </w:tr>
      <w:tr w:rsidR="00374AB3" w:rsidRPr="002A6C40" w14:paraId="6E81BDF4" w14:textId="77777777" w:rsidTr="00623596">
        <w:trPr>
          <w:jc w:val="center"/>
        </w:trPr>
        <w:tc>
          <w:tcPr>
            <w:tcW w:w="4394" w:type="dxa"/>
            <w:shd w:val="clear" w:color="auto" w:fill="FFFFFF"/>
          </w:tcPr>
          <w:p w14:paraId="38197044" w14:textId="60BB27B0" w:rsidR="00374AB3" w:rsidRPr="002A6C40" w:rsidRDefault="00374AB3" w:rsidP="00BC7A7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 xml:space="preserve">DBY </w:t>
            </w:r>
          </w:p>
        </w:tc>
        <w:tc>
          <w:tcPr>
            <w:tcW w:w="1417" w:type="dxa"/>
            <w:shd w:val="clear" w:color="auto" w:fill="FFFFFF"/>
          </w:tcPr>
          <w:p w14:paraId="42F4B0CD" w14:textId="1A04E85A" w:rsidR="00374AB3" w:rsidRPr="002A6C40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6.2</w:t>
            </w:r>
            <w:r w:rsidR="00623596">
              <w:rPr>
                <w:rFonts w:cs="Arial"/>
                <w:lang w:val="en-GB"/>
              </w:rPr>
              <w:t>·</w:t>
            </w:r>
            <w:r w:rsidRPr="002A6C40">
              <w:rPr>
                <w:lang w:val="en-GB"/>
              </w:rPr>
              <w:t>10</w:t>
            </w:r>
            <w:r w:rsidRPr="002A6C40">
              <w:rPr>
                <w:vertAlign w:val="superscript"/>
                <w:lang w:val="en-GB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14:paraId="402F88FB" w14:textId="54C49030" w:rsidR="00374AB3" w:rsidRPr="002A6C40" w:rsidRDefault="00374AB3" w:rsidP="00BC7A72">
            <w:pPr>
              <w:pStyle w:val="CETBodytext"/>
              <w:jc w:val="center"/>
              <w:rPr>
                <w:lang w:val="en-GB"/>
              </w:rPr>
            </w:pPr>
            <w:r w:rsidRPr="002A6C40">
              <w:rPr>
                <w:lang w:val="en-GB"/>
              </w:rPr>
              <w:t>6.2</w:t>
            </w:r>
            <w:r w:rsidR="00623596">
              <w:rPr>
                <w:rFonts w:cs="Arial"/>
                <w:lang w:val="en-GB"/>
              </w:rPr>
              <w:t>·</w:t>
            </w:r>
            <w:r w:rsidRPr="002A6C40">
              <w:rPr>
                <w:lang w:val="en-GB"/>
              </w:rPr>
              <w:t>10</w:t>
            </w:r>
            <w:r w:rsidRPr="002A6C40">
              <w:rPr>
                <w:vertAlign w:val="superscript"/>
                <w:lang w:val="en-GB"/>
              </w:rPr>
              <w:t>10</w:t>
            </w:r>
          </w:p>
        </w:tc>
        <w:tc>
          <w:tcPr>
            <w:tcW w:w="1567" w:type="dxa"/>
            <w:shd w:val="clear" w:color="auto" w:fill="FFFFFF"/>
          </w:tcPr>
          <w:p w14:paraId="7AA6DD39" w14:textId="60B89FE5" w:rsidR="00374AB3" w:rsidRPr="002A6C40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8.8</w:t>
            </w:r>
            <w:r w:rsidR="00623596">
              <w:rPr>
                <w:rFonts w:cs="Arial"/>
                <w:lang w:val="en-GB"/>
              </w:rPr>
              <w:t>·</w:t>
            </w:r>
            <w:r w:rsidRPr="002A6C40">
              <w:rPr>
                <w:rFonts w:cs="Arial"/>
                <w:szCs w:val="18"/>
                <w:lang w:val="en-GB"/>
              </w:rPr>
              <w:t>10</w:t>
            </w:r>
            <w:r w:rsidRPr="002A6C40">
              <w:rPr>
                <w:rFonts w:cs="Arial"/>
                <w:szCs w:val="18"/>
                <w:vertAlign w:val="superscript"/>
                <w:lang w:val="en-GB"/>
              </w:rPr>
              <w:t>2</w:t>
            </w:r>
          </w:p>
        </w:tc>
      </w:tr>
    </w:tbl>
    <w:p w14:paraId="17874F66" w14:textId="070EA920" w:rsidR="00374AB3" w:rsidRPr="002A6C40" w:rsidRDefault="00374AB3" w:rsidP="00472432">
      <w:pPr>
        <w:pStyle w:val="CETTabletitle"/>
      </w:pPr>
      <w:r w:rsidRPr="002A6C40">
        <w:t xml:space="preserve">Table </w:t>
      </w:r>
      <w:r w:rsidR="00933E59">
        <w:t>3</w:t>
      </w:r>
      <w:r w:rsidRPr="002A6C40">
        <w:t xml:space="preserve">: </w:t>
      </w:r>
      <w:r w:rsidRPr="002A6C40">
        <w:rPr>
          <w:rFonts w:eastAsiaTheme="minorHAnsi"/>
        </w:rPr>
        <w:t xml:space="preserve">pH and water activity </w:t>
      </w:r>
      <w:r w:rsidR="00713B7B">
        <w:rPr>
          <w:rFonts w:eastAsiaTheme="minorHAnsi"/>
        </w:rPr>
        <w:t>(a</w:t>
      </w:r>
      <w:r w:rsidR="00713B7B" w:rsidRPr="00713B7B">
        <w:rPr>
          <w:rFonts w:eastAsiaTheme="minorHAnsi"/>
          <w:vertAlign w:val="subscript"/>
        </w:rPr>
        <w:t>w</w:t>
      </w:r>
      <w:r w:rsidR="00713B7B">
        <w:rPr>
          <w:rFonts w:eastAsiaTheme="minorHAnsi"/>
        </w:rPr>
        <w:t xml:space="preserve">) </w:t>
      </w:r>
      <w:r w:rsidR="00F440D3">
        <w:rPr>
          <w:rFonts w:eastAsiaTheme="minorHAnsi"/>
        </w:rPr>
        <w:t xml:space="preserve">(means </w:t>
      </w:r>
      <w:r w:rsidR="00F440D3">
        <w:rPr>
          <w:rFonts w:eastAsiaTheme="minorHAnsi" w:cs="Arial"/>
        </w:rPr>
        <w:t>±</w:t>
      </w:r>
      <w:r w:rsidR="00F440D3">
        <w:rPr>
          <w:rFonts w:eastAsiaTheme="minorHAnsi"/>
        </w:rPr>
        <w:t xml:space="preserve"> s.d.) </w:t>
      </w:r>
      <w:r w:rsidR="00713B7B">
        <w:rPr>
          <w:rFonts w:eastAsiaTheme="minorHAnsi"/>
        </w:rPr>
        <w:t>of dough and bread samples</w:t>
      </w:r>
      <w:r w:rsidR="00F440D3">
        <w:rPr>
          <w:rFonts w:eastAsiaTheme="minorHAnsi"/>
        </w:rPr>
        <w:t xml:space="preserve"> obtained with commercial dried sourdoughs (DS_A, DS_B, DS_C) and </w:t>
      </w:r>
      <w:r w:rsidR="00933E59">
        <w:rPr>
          <w:rFonts w:eastAsiaTheme="minorHAnsi"/>
        </w:rPr>
        <w:t>b</w:t>
      </w:r>
      <w:r w:rsidR="00F440D3">
        <w:rPr>
          <w:rFonts w:eastAsiaTheme="minorHAnsi"/>
        </w:rPr>
        <w:t xml:space="preserve">akery’s </w:t>
      </w:r>
      <w:r w:rsidR="00933E59">
        <w:rPr>
          <w:rFonts w:eastAsiaTheme="minorHAnsi"/>
        </w:rPr>
        <w:t>y</w:t>
      </w:r>
      <w:r w:rsidR="00F440D3">
        <w:rPr>
          <w:rFonts w:eastAsiaTheme="minorHAnsi"/>
        </w:rPr>
        <w:t>east at two dosage levels (DBY_A, DBY_B).</w:t>
      </w:r>
      <w:r w:rsidR="001E45CF">
        <w:rPr>
          <w:rFonts w:eastAsiaTheme="minorHAnsi"/>
        </w:rPr>
        <w:t xml:space="preserve"> </w:t>
      </w:r>
      <w:r w:rsidR="004A209E">
        <w:rPr>
          <w:rFonts w:eastAsiaTheme="minorHAnsi"/>
        </w:rPr>
        <w:t xml:space="preserve">The </w:t>
      </w:r>
      <w:r w:rsidR="001E45CF">
        <w:rPr>
          <w:rFonts w:eastAsiaTheme="minorHAnsi"/>
        </w:rPr>
        <w:t>same superscript letter</w:t>
      </w:r>
      <w:r w:rsidR="00472432">
        <w:rPr>
          <w:rFonts w:eastAsiaTheme="minorHAnsi"/>
        </w:rPr>
        <w:t xml:space="preserve"> under the same column</w:t>
      </w:r>
      <w:r w:rsidR="001E45CF">
        <w:rPr>
          <w:rFonts w:eastAsiaTheme="minorHAnsi"/>
        </w:rPr>
        <w:t xml:space="preserve"> indicates not significantly different means according to </w:t>
      </w:r>
      <w:r w:rsidR="004A209E">
        <w:rPr>
          <w:rFonts w:eastAsiaTheme="minorHAnsi"/>
        </w:rPr>
        <w:t xml:space="preserve">ANOVA and </w:t>
      </w:r>
      <w:r w:rsidR="001E45CF">
        <w:rPr>
          <w:rFonts w:eastAsiaTheme="minorHAnsi"/>
        </w:rPr>
        <w:t>Tukey’s post-hoc test.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992"/>
        <w:gridCol w:w="1134"/>
        <w:gridCol w:w="1134"/>
        <w:gridCol w:w="1194"/>
        <w:gridCol w:w="1134"/>
        <w:gridCol w:w="1134"/>
      </w:tblGrid>
      <w:tr w:rsidR="00374AB3" w:rsidRPr="002A6C40" w14:paraId="447FA6BA" w14:textId="77777777" w:rsidTr="004A209E"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B80235C" w14:textId="19555D4F" w:rsidR="00374AB3" w:rsidRPr="002A6C40" w:rsidRDefault="00374AB3" w:rsidP="00BC7A72">
            <w:pPr>
              <w:pStyle w:val="CETBodytext"/>
              <w:rPr>
                <w:lang w:val="en-GB"/>
              </w:rPr>
            </w:pPr>
            <w:r w:rsidRPr="002A6C40">
              <w:rPr>
                <w:rFonts w:eastAsiaTheme="minorHAnsi"/>
                <w:lang w:val="en-GB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DD9765C" w14:textId="635EA785" w:rsidR="00374AB3" w:rsidRPr="002A6C40" w:rsidRDefault="00F440D3" w:rsidP="00BC7A72">
            <w:pPr>
              <w:pStyle w:val="CETBodytext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Dough before leavening</w:t>
            </w:r>
          </w:p>
        </w:tc>
        <w:tc>
          <w:tcPr>
            <w:tcW w:w="2328" w:type="dxa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A9E7DAB" w14:textId="62BFAC51" w:rsidR="00374AB3" w:rsidRPr="002A6C40" w:rsidRDefault="00F440D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b/>
                <w:lang w:val="en-GB"/>
              </w:rPr>
              <w:t>Dough after leavening</w:t>
            </w:r>
          </w:p>
        </w:tc>
        <w:tc>
          <w:tcPr>
            <w:tcW w:w="2268" w:type="dxa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D47BF37" w14:textId="4F5701E8" w:rsidR="00374AB3" w:rsidRPr="002A6C40" w:rsidRDefault="00F440D3" w:rsidP="00BC7A72">
            <w:pPr>
              <w:pStyle w:val="CETBodytext"/>
              <w:ind w:right="-1"/>
              <w:jc w:val="center"/>
              <w:rPr>
                <w:lang w:val="en-GB"/>
              </w:rPr>
            </w:pPr>
            <w:r w:rsidRPr="00F440D3">
              <w:rPr>
                <w:b/>
                <w:lang w:val="en-GB"/>
              </w:rPr>
              <w:t>Bread</w:t>
            </w:r>
          </w:p>
        </w:tc>
      </w:tr>
      <w:tr w:rsidR="00374AB3" w:rsidRPr="002A6C40" w14:paraId="30D92EB5" w14:textId="77777777" w:rsidTr="004A209E"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02C1040" w14:textId="77777777" w:rsidR="00374AB3" w:rsidRPr="002A6C40" w:rsidRDefault="00374AB3" w:rsidP="00BC7A72">
            <w:pPr>
              <w:pStyle w:val="CETBodytext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578498E" w14:textId="77777777" w:rsidR="00374AB3" w:rsidRPr="002A6C40" w:rsidRDefault="00374AB3" w:rsidP="00BC7A72">
            <w:pPr>
              <w:pStyle w:val="CETBodytext"/>
              <w:jc w:val="center"/>
              <w:rPr>
                <w:b/>
                <w:lang w:val="en-GB"/>
              </w:rPr>
            </w:pPr>
            <w:r w:rsidRPr="002A6C40">
              <w:rPr>
                <w:b/>
                <w:lang w:val="en-GB"/>
              </w:rPr>
              <w:t>pH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2AAB26A" w14:textId="77777777" w:rsidR="00374AB3" w:rsidRPr="002A6C40" w:rsidRDefault="00374AB3" w:rsidP="00BC7A72">
            <w:pPr>
              <w:pStyle w:val="CETBodytext"/>
              <w:jc w:val="center"/>
              <w:rPr>
                <w:lang w:val="en-GB"/>
              </w:rPr>
            </w:pPr>
            <w:r w:rsidRPr="002A6C40">
              <w:rPr>
                <w:b/>
                <w:lang w:val="en-GB"/>
              </w:rPr>
              <w:t>a</w:t>
            </w:r>
            <w:r w:rsidRPr="002A6C40">
              <w:rPr>
                <w:b/>
                <w:vertAlign w:val="subscript"/>
                <w:lang w:val="en-GB"/>
              </w:rPr>
              <w:t>w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98B6093" w14:textId="77777777" w:rsidR="00374AB3" w:rsidRPr="002A6C40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A6C40">
              <w:rPr>
                <w:b/>
                <w:lang w:val="en-GB"/>
              </w:rPr>
              <w:t>pH</w:t>
            </w:r>
          </w:p>
        </w:tc>
        <w:tc>
          <w:tcPr>
            <w:tcW w:w="119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304DFF6" w14:textId="77777777" w:rsidR="00374AB3" w:rsidRPr="002A6C40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A6C40">
              <w:rPr>
                <w:b/>
                <w:lang w:val="en-GB"/>
              </w:rPr>
              <w:t>a</w:t>
            </w:r>
            <w:r w:rsidRPr="002A6C40">
              <w:rPr>
                <w:b/>
                <w:vertAlign w:val="subscript"/>
                <w:lang w:val="en-GB"/>
              </w:rPr>
              <w:t>w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D10C440" w14:textId="77777777" w:rsidR="00374AB3" w:rsidRPr="002A6C40" w:rsidRDefault="00374AB3" w:rsidP="00BC7A72">
            <w:pPr>
              <w:pStyle w:val="CETBodytext"/>
              <w:ind w:right="-1"/>
              <w:jc w:val="center"/>
              <w:rPr>
                <w:lang w:val="en-GB"/>
              </w:rPr>
            </w:pPr>
            <w:r w:rsidRPr="002A6C40">
              <w:rPr>
                <w:b/>
                <w:lang w:val="en-GB"/>
              </w:rPr>
              <w:t>pH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74583AC" w14:textId="77777777" w:rsidR="00374AB3" w:rsidRPr="002A6C40" w:rsidRDefault="00374AB3" w:rsidP="00BC7A72">
            <w:pPr>
              <w:pStyle w:val="CETBodytext"/>
              <w:ind w:right="-1"/>
              <w:jc w:val="center"/>
              <w:rPr>
                <w:lang w:val="en-GB"/>
              </w:rPr>
            </w:pPr>
            <w:r w:rsidRPr="002A6C40">
              <w:rPr>
                <w:b/>
                <w:lang w:val="en-GB"/>
              </w:rPr>
              <w:t>a</w:t>
            </w:r>
            <w:r w:rsidRPr="002A6C40">
              <w:rPr>
                <w:b/>
                <w:vertAlign w:val="subscript"/>
                <w:lang w:val="en-GB"/>
              </w:rPr>
              <w:t>w</w:t>
            </w:r>
          </w:p>
        </w:tc>
      </w:tr>
      <w:tr w:rsidR="00374AB3" w:rsidRPr="002A6C40" w14:paraId="44745CE0" w14:textId="77777777" w:rsidTr="004A209E">
        <w:tc>
          <w:tcPr>
            <w:tcW w:w="1276" w:type="dxa"/>
            <w:shd w:val="clear" w:color="auto" w:fill="FFFFFF"/>
          </w:tcPr>
          <w:p w14:paraId="16E1ABB3" w14:textId="55EF7A13" w:rsidR="00374AB3" w:rsidRPr="002A6C40" w:rsidRDefault="00374AB3" w:rsidP="00BC7A72">
            <w:pPr>
              <w:pStyle w:val="CETBodytext"/>
              <w:rPr>
                <w:lang w:val="en-GB"/>
              </w:rPr>
            </w:pPr>
            <w:r w:rsidRPr="002A6C40">
              <w:rPr>
                <w:lang w:val="en-GB"/>
              </w:rPr>
              <w:t xml:space="preserve">DS_A </w:t>
            </w:r>
          </w:p>
        </w:tc>
        <w:tc>
          <w:tcPr>
            <w:tcW w:w="992" w:type="dxa"/>
            <w:shd w:val="clear" w:color="auto" w:fill="FFFFFF"/>
          </w:tcPr>
          <w:p w14:paraId="6A84B29D" w14:textId="01C23491" w:rsidR="00374AB3" w:rsidRPr="001E45CF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5.42</w:t>
            </w:r>
            <w:r w:rsidRPr="002A6C40">
              <w:rPr>
                <w:rFonts w:cstheme="minorHAnsi"/>
                <w:lang w:val="en-GB"/>
              </w:rPr>
              <w:t>±</w:t>
            </w:r>
            <w:r w:rsidRPr="002A6C40">
              <w:rPr>
                <w:lang w:val="en-GB"/>
              </w:rPr>
              <w:t>0.02</w:t>
            </w:r>
            <w:r w:rsidR="001E45CF">
              <w:rPr>
                <w:vertAlign w:val="superscript"/>
                <w:lang w:val="en-GB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7FC520E6" w14:textId="50DDF900" w:rsidR="00374AB3" w:rsidRPr="008B0884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0.974±0.005</w:t>
            </w:r>
            <w:r w:rsidR="008B0884">
              <w:rPr>
                <w:vertAlign w:val="superscript"/>
                <w:lang w:val="en-GB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488C1F06" w14:textId="1E78AB38" w:rsidR="00374AB3" w:rsidRPr="00472432" w:rsidRDefault="00472432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>
              <w:rPr>
                <w:lang w:val="en-GB"/>
              </w:rPr>
              <w:t>5.17</w:t>
            </w:r>
            <w:r w:rsidR="00374AB3" w:rsidRPr="002A6C40">
              <w:rPr>
                <w:rFonts w:cstheme="minorHAnsi"/>
                <w:lang w:val="en-GB"/>
              </w:rPr>
              <w:t>±</w:t>
            </w:r>
            <w:r w:rsidR="00374AB3" w:rsidRPr="002A6C40">
              <w:rPr>
                <w:lang w:val="en-GB"/>
              </w:rPr>
              <w:t>0.03</w:t>
            </w:r>
            <w:r>
              <w:rPr>
                <w:vertAlign w:val="superscript"/>
                <w:lang w:val="en-GB"/>
              </w:rPr>
              <w:t>a</w:t>
            </w:r>
          </w:p>
        </w:tc>
        <w:tc>
          <w:tcPr>
            <w:tcW w:w="1194" w:type="dxa"/>
            <w:shd w:val="clear" w:color="auto" w:fill="FFFFFF"/>
          </w:tcPr>
          <w:p w14:paraId="428F129B" w14:textId="48B3E242" w:rsidR="00374AB3" w:rsidRPr="00472432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0.970±0.003</w:t>
            </w:r>
            <w:r w:rsidR="00472432">
              <w:rPr>
                <w:rFonts w:cs="Arial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05C98D98" w14:textId="442ACF73" w:rsidR="00374AB3" w:rsidRPr="00472432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5.37±0.03</w:t>
            </w:r>
            <w:r w:rsidR="00472432">
              <w:rPr>
                <w:vertAlign w:val="superscript"/>
                <w:lang w:val="en-GB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2049A60F" w14:textId="3DDA3207" w:rsidR="00374AB3" w:rsidRPr="008B0884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0.961±0.003</w:t>
            </w:r>
            <w:r w:rsidR="008B0884">
              <w:rPr>
                <w:rFonts w:cs="Arial"/>
                <w:szCs w:val="18"/>
                <w:vertAlign w:val="superscript"/>
                <w:lang w:val="en-GB"/>
              </w:rPr>
              <w:t>a</w:t>
            </w:r>
          </w:p>
        </w:tc>
      </w:tr>
      <w:tr w:rsidR="00374AB3" w:rsidRPr="002A6C40" w14:paraId="56AF6410" w14:textId="77777777" w:rsidTr="004A209E">
        <w:trPr>
          <w:trHeight w:val="70"/>
        </w:trPr>
        <w:tc>
          <w:tcPr>
            <w:tcW w:w="1276" w:type="dxa"/>
            <w:shd w:val="clear" w:color="auto" w:fill="FFFFFF"/>
          </w:tcPr>
          <w:p w14:paraId="3F1BC588" w14:textId="4E7EC8D8" w:rsidR="00374AB3" w:rsidRPr="002A6C40" w:rsidRDefault="00374AB3" w:rsidP="00BC7A72">
            <w:pPr>
              <w:pStyle w:val="CETBodytext"/>
              <w:rPr>
                <w:lang w:val="en-GB"/>
              </w:rPr>
            </w:pPr>
            <w:r w:rsidRPr="002A6C40">
              <w:rPr>
                <w:lang w:val="en-GB"/>
              </w:rPr>
              <w:t xml:space="preserve">DS_B </w:t>
            </w:r>
          </w:p>
        </w:tc>
        <w:tc>
          <w:tcPr>
            <w:tcW w:w="992" w:type="dxa"/>
            <w:shd w:val="clear" w:color="auto" w:fill="FFFFFF"/>
          </w:tcPr>
          <w:p w14:paraId="2775C92D" w14:textId="12674844" w:rsidR="00374AB3" w:rsidRPr="001E45CF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5.44</w:t>
            </w:r>
            <w:r w:rsidRPr="002A6C40">
              <w:rPr>
                <w:rFonts w:cstheme="minorHAnsi"/>
                <w:lang w:val="en-GB"/>
              </w:rPr>
              <w:t>±0.04</w:t>
            </w:r>
            <w:r w:rsidR="001E45CF">
              <w:rPr>
                <w:rFonts w:cstheme="minorHAnsi"/>
                <w:vertAlign w:val="superscript"/>
                <w:lang w:val="en-GB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6CB383DC" w14:textId="6EA650EF" w:rsidR="00374AB3" w:rsidRPr="008B0884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0.979±0.003</w:t>
            </w:r>
            <w:r w:rsidR="008B0884">
              <w:rPr>
                <w:vertAlign w:val="superscript"/>
                <w:lang w:val="en-GB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3DD677D2" w14:textId="164D3C5E" w:rsidR="00374AB3" w:rsidRPr="00472432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5.18</w:t>
            </w:r>
            <w:r w:rsidRPr="002A6C40">
              <w:rPr>
                <w:rFonts w:cstheme="minorHAnsi"/>
                <w:lang w:val="en-GB"/>
              </w:rPr>
              <w:t>±0.03</w:t>
            </w:r>
            <w:r w:rsidR="00472432">
              <w:rPr>
                <w:rFonts w:cstheme="minorHAnsi"/>
                <w:vertAlign w:val="superscript"/>
                <w:lang w:val="en-GB"/>
              </w:rPr>
              <w:t>a</w:t>
            </w:r>
          </w:p>
        </w:tc>
        <w:tc>
          <w:tcPr>
            <w:tcW w:w="1194" w:type="dxa"/>
            <w:shd w:val="clear" w:color="auto" w:fill="FFFFFF"/>
          </w:tcPr>
          <w:p w14:paraId="67BF9884" w14:textId="37FBDC03" w:rsidR="00374AB3" w:rsidRPr="00472432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0.980±0.001</w:t>
            </w:r>
            <w:r w:rsidR="00472432">
              <w:rPr>
                <w:rFonts w:cs="Arial"/>
                <w:szCs w:val="18"/>
                <w:vertAlign w:val="superscript"/>
                <w:lang w:val="en-GB"/>
              </w:rPr>
              <w:t>c</w:t>
            </w:r>
          </w:p>
        </w:tc>
        <w:tc>
          <w:tcPr>
            <w:tcW w:w="1134" w:type="dxa"/>
            <w:shd w:val="clear" w:color="auto" w:fill="FFFFFF"/>
          </w:tcPr>
          <w:p w14:paraId="3C4AE901" w14:textId="3965447F" w:rsidR="00374AB3" w:rsidRPr="00472432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5.37±0.03</w:t>
            </w:r>
            <w:r w:rsidR="00472432">
              <w:rPr>
                <w:rFonts w:cs="Arial"/>
                <w:szCs w:val="18"/>
                <w:vertAlign w:val="superscript"/>
                <w:lang w:val="en-GB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20D9982B" w14:textId="76BDFC86" w:rsidR="00374AB3" w:rsidRPr="008B0884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0.967±0.004</w:t>
            </w:r>
            <w:r w:rsidR="008B0884">
              <w:rPr>
                <w:rFonts w:cs="Arial"/>
                <w:szCs w:val="18"/>
                <w:vertAlign w:val="superscript"/>
                <w:lang w:val="en-GB"/>
              </w:rPr>
              <w:t>a</w:t>
            </w:r>
          </w:p>
        </w:tc>
      </w:tr>
      <w:tr w:rsidR="00374AB3" w:rsidRPr="002A6C40" w14:paraId="2751E459" w14:textId="77777777" w:rsidTr="004A209E">
        <w:tc>
          <w:tcPr>
            <w:tcW w:w="1276" w:type="dxa"/>
            <w:shd w:val="clear" w:color="auto" w:fill="FFFFFF"/>
          </w:tcPr>
          <w:p w14:paraId="219EADBB" w14:textId="1CBC5E46" w:rsidR="00374AB3" w:rsidRPr="002A6C40" w:rsidRDefault="00374AB3" w:rsidP="00BC7A72">
            <w:pPr>
              <w:pStyle w:val="CETBodytext"/>
              <w:rPr>
                <w:lang w:val="en-GB"/>
              </w:rPr>
            </w:pPr>
            <w:r w:rsidRPr="002A6C40">
              <w:rPr>
                <w:lang w:val="en-GB"/>
              </w:rPr>
              <w:t xml:space="preserve">DS_C </w:t>
            </w:r>
          </w:p>
        </w:tc>
        <w:tc>
          <w:tcPr>
            <w:tcW w:w="992" w:type="dxa"/>
            <w:shd w:val="clear" w:color="auto" w:fill="FFFFFF"/>
          </w:tcPr>
          <w:p w14:paraId="5F7B9255" w14:textId="449E6BE5" w:rsidR="00374AB3" w:rsidRPr="001E45CF" w:rsidRDefault="00374AB3" w:rsidP="001E45CF">
            <w:pPr>
              <w:jc w:val="center"/>
              <w:rPr>
                <w:vertAlign w:val="superscript"/>
              </w:rPr>
            </w:pPr>
            <w:r w:rsidRPr="002A6C40">
              <w:t>5.</w:t>
            </w:r>
            <w:r w:rsidR="001E45CF">
              <w:t>7</w:t>
            </w:r>
            <w:r w:rsidRPr="002A6C40">
              <w:t>1</w:t>
            </w:r>
            <w:r w:rsidRPr="002A6C40">
              <w:rPr>
                <w:rFonts w:cstheme="minorHAnsi"/>
              </w:rPr>
              <w:t>±0.05</w:t>
            </w:r>
            <w:r w:rsidR="001E45CF">
              <w:rPr>
                <w:rFonts w:cstheme="minorHAnsi"/>
                <w:vertAlign w:val="superscript"/>
              </w:rPr>
              <w:t>c</w:t>
            </w:r>
          </w:p>
        </w:tc>
        <w:tc>
          <w:tcPr>
            <w:tcW w:w="1134" w:type="dxa"/>
            <w:shd w:val="clear" w:color="auto" w:fill="FFFFFF"/>
          </w:tcPr>
          <w:p w14:paraId="22A9B7F3" w14:textId="7D7BDC27" w:rsidR="00374AB3" w:rsidRPr="008B0884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0.977±0.003</w:t>
            </w:r>
            <w:r w:rsidR="008B0884">
              <w:rPr>
                <w:vertAlign w:val="superscript"/>
                <w:lang w:val="en-GB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64029C6C" w14:textId="2C119E64" w:rsidR="00374AB3" w:rsidRPr="00472432" w:rsidRDefault="00374AB3" w:rsidP="00BC7A72">
            <w:pPr>
              <w:jc w:val="center"/>
              <w:rPr>
                <w:vertAlign w:val="superscript"/>
              </w:rPr>
            </w:pPr>
            <w:r w:rsidRPr="002A6C40">
              <w:t>5.55</w:t>
            </w:r>
            <w:r w:rsidRPr="002A6C40">
              <w:rPr>
                <w:rFonts w:cstheme="minorHAnsi"/>
              </w:rPr>
              <w:t>±0.02</w:t>
            </w:r>
            <w:r w:rsidR="00472432">
              <w:rPr>
                <w:rFonts w:cstheme="minorHAnsi"/>
                <w:vertAlign w:val="superscript"/>
              </w:rPr>
              <w:t>c</w:t>
            </w:r>
          </w:p>
        </w:tc>
        <w:tc>
          <w:tcPr>
            <w:tcW w:w="1194" w:type="dxa"/>
            <w:shd w:val="clear" w:color="auto" w:fill="FFFFFF"/>
          </w:tcPr>
          <w:p w14:paraId="5337CF73" w14:textId="723C76D9" w:rsidR="00374AB3" w:rsidRPr="00472432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0.972±0.002</w:t>
            </w:r>
            <w:r w:rsidR="00472432">
              <w:rPr>
                <w:rFonts w:cs="Arial"/>
                <w:szCs w:val="18"/>
                <w:vertAlign w:val="superscript"/>
                <w:lang w:val="en-GB"/>
              </w:rPr>
              <w:t>ab</w:t>
            </w:r>
          </w:p>
        </w:tc>
        <w:tc>
          <w:tcPr>
            <w:tcW w:w="1134" w:type="dxa"/>
            <w:shd w:val="clear" w:color="auto" w:fill="FFFFFF"/>
          </w:tcPr>
          <w:p w14:paraId="1F1E3E0E" w14:textId="353A5F06" w:rsidR="00374AB3" w:rsidRPr="00472432" w:rsidRDefault="00374AB3" w:rsidP="0047243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5.60±0.03</w:t>
            </w:r>
            <w:r w:rsidR="00472432">
              <w:rPr>
                <w:rFonts w:cs="Arial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134" w:type="dxa"/>
            <w:shd w:val="clear" w:color="auto" w:fill="FFFFFF"/>
          </w:tcPr>
          <w:p w14:paraId="663F594E" w14:textId="718D938B" w:rsidR="00374AB3" w:rsidRPr="008B0884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0.960±0.006</w:t>
            </w:r>
            <w:r w:rsidR="008B0884">
              <w:rPr>
                <w:rFonts w:cs="Arial"/>
                <w:szCs w:val="18"/>
                <w:vertAlign w:val="superscript"/>
                <w:lang w:val="en-GB"/>
              </w:rPr>
              <w:t>a</w:t>
            </w:r>
          </w:p>
        </w:tc>
      </w:tr>
      <w:tr w:rsidR="00374AB3" w:rsidRPr="002A6C40" w14:paraId="27AF854F" w14:textId="77777777" w:rsidTr="004A209E">
        <w:tc>
          <w:tcPr>
            <w:tcW w:w="1276" w:type="dxa"/>
            <w:shd w:val="clear" w:color="auto" w:fill="FFFFFF"/>
          </w:tcPr>
          <w:p w14:paraId="0BB1EA19" w14:textId="585297B9" w:rsidR="00374AB3" w:rsidRPr="002A6C40" w:rsidRDefault="00374AB3" w:rsidP="00BC7A7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DBY_</w:t>
            </w:r>
            <w:r w:rsidR="00713B7B">
              <w:rPr>
                <w:rFonts w:cs="Arial"/>
                <w:szCs w:val="18"/>
                <w:lang w:val="en-GB"/>
              </w:rPr>
              <w:t>A</w:t>
            </w:r>
          </w:p>
          <w:p w14:paraId="436E8AA9" w14:textId="3012469D" w:rsidR="00374AB3" w:rsidRPr="002A6C40" w:rsidRDefault="00374AB3" w:rsidP="00BC7A72">
            <w:pPr>
              <w:pStyle w:val="CETBodytext"/>
              <w:rPr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 xml:space="preserve">DBY_B </w:t>
            </w:r>
          </w:p>
        </w:tc>
        <w:tc>
          <w:tcPr>
            <w:tcW w:w="992" w:type="dxa"/>
            <w:shd w:val="clear" w:color="auto" w:fill="FFFFFF"/>
          </w:tcPr>
          <w:p w14:paraId="02CA5D79" w14:textId="2514B0F5" w:rsidR="00374AB3" w:rsidRPr="001E45CF" w:rsidRDefault="00374AB3" w:rsidP="00BC7A72">
            <w:pPr>
              <w:pStyle w:val="CETBodytext"/>
              <w:jc w:val="center"/>
              <w:rPr>
                <w:rFonts w:cstheme="minorHAnsi"/>
                <w:lang w:val="en-GB"/>
              </w:rPr>
            </w:pPr>
            <w:r w:rsidRPr="002A6C40">
              <w:rPr>
                <w:lang w:val="en-GB"/>
              </w:rPr>
              <w:t>5.56</w:t>
            </w:r>
            <w:r w:rsidRPr="002A6C40">
              <w:rPr>
                <w:rFonts w:cstheme="minorHAnsi"/>
                <w:lang w:val="en-GB"/>
              </w:rPr>
              <w:t>±0.03</w:t>
            </w:r>
            <w:r w:rsidR="001E45CF">
              <w:rPr>
                <w:rFonts w:cstheme="minorHAnsi"/>
                <w:vertAlign w:val="superscript"/>
                <w:lang w:val="en-GB"/>
              </w:rPr>
              <w:t>b</w:t>
            </w:r>
          </w:p>
          <w:p w14:paraId="2870A9E6" w14:textId="25D57B86" w:rsidR="00374AB3" w:rsidRPr="001E45CF" w:rsidRDefault="00374AB3" w:rsidP="001E45CF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5.5</w:t>
            </w:r>
            <w:r w:rsidR="001E45CF">
              <w:rPr>
                <w:lang w:val="en-GB"/>
              </w:rPr>
              <w:t>5</w:t>
            </w:r>
            <w:r w:rsidRPr="002A6C40">
              <w:rPr>
                <w:rFonts w:cstheme="minorHAnsi"/>
                <w:lang w:val="en-GB"/>
              </w:rPr>
              <w:t>±0.05</w:t>
            </w:r>
            <w:r w:rsidR="001E45CF">
              <w:rPr>
                <w:rFonts w:cstheme="minorHAnsi"/>
                <w:vertAlign w:val="superscript"/>
                <w:lang w:val="en-GB"/>
              </w:rPr>
              <w:t>b</w:t>
            </w:r>
          </w:p>
        </w:tc>
        <w:tc>
          <w:tcPr>
            <w:tcW w:w="1134" w:type="dxa"/>
            <w:shd w:val="clear" w:color="auto" w:fill="FFFFFF"/>
          </w:tcPr>
          <w:p w14:paraId="0532A637" w14:textId="13B9C3C6" w:rsidR="00374AB3" w:rsidRPr="008B0884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0.977±0.002</w:t>
            </w:r>
            <w:r w:rsidR="008B0884">
              <w:rPr>
                <w:vertAlign w:val="superscript"/>
                <w:lang w:val="en-GB"/>
              </w:rPr>
              <w:t>a</w:t>
            </w:r>
          </w:p>
          <w:p w14:paraId="031F454E" w14:textId="5898434B" w:rsidR="00374AB3" w:rsidRPr="008B0884" w:rsidRDefault="00374AB3" w:rsidP="00BC7A72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0.977±0.004</w:t>
            </w:r>
            <w:r w:rsidR="008B0884">
              <w:rPr>
                <w:vertAlign w:val="superscript"/>
                <w:lang w:val="en-GB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61B27316" w14:textId="3AF63DAB" w:rsidR="00374AB3" w:rsidRPr="00472432" w:rsidRDefault="00374AB3" w:rsidP="00BC7A72">
            <w:pPr>
              <w:pStyle w:val="CETBodytext"/>
              <w:ind w:right="-1"/>
              <w:jc w:val="center"/>
              <w:rPr>
                <w:rFonts w:cstheme="minorHAnsi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5.25</w:t>
            </w:r>
            <w:r w:rsidRPr="002A6C40">
              <w:rPr>
                <w:rFonts w:cstheme="minorHAnsi"/>
                <w:lang w:val="en-GB"/>
              </w:rPr>
              <w:t>±0.02</w:t>
            </w:r>
            <w:r w:rsidR="00472432">
              <w:rPr>
                <w:rFonts w:cstheme="minorHAnsi"/>
                <w:vertAlign w:val="superscript"/>
                <w:lang w:val="en-GB"/>
              </w:rPr>
              <w:t>b</w:t>
            </w:r>
          </w:p>
          <w:p w14:paraId="15F60437" w14:textId="13A88CB6" w:rsidR="00374AB3" w:rsidRPr="00472432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5.25</w:t>
            </w:r>
            <w:r w:rsidRPr="002A6C40">
              <w:rPr>
                <w:rFonts w:cstheme="minorHAnsi"/>
                <w:lang w:val="en-GB"/>
              </w:rPr>
              <w:t>±0.05</w:t>
            </w:r>
            <w:r w:rsidR="00472432">
              <w:rPr>
                <w:rFonts w:cstheme="minorHAnsi"/>
                <w:vertAlign w:val="superscript"/>
                <w:lang w:val="en-GB"/>
              </w:rPr>
              <w:t>b</w:t>
            </w:r>
          </w:p>
        </w:tc>
        <w:tc>
          <w:tcPr>
            <w:tcW w:w="1194" w:type="dxa"/>
            <w:shd w:val="clear" w:color="auto" w:fill="FFFFFF"/>
          </w:tcPr>
          <w:p w14:paraId="1A0C67B5" w14:textId="1693B3FE" w:rsidR="00374AB3" w:rsidRPr="00472432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0.976±0.003</w:t>
            </w:r>
            <w:r w:rsidR="00472432">
              <w:rPr>
                <w:rFonts w:cs="Arial"/>
                <w:szCs w:val="18"/>
                <w:vertAlign w:val="superscript"/>
                <w:lang w:val="en-GB"/>
              </w:rPr>
              <w:t>bc</w:t>
            </w:r>
          </w:p>
          <w:p w14:paraId="68F3474B" w14:textId="7620343E" w:rsidR="00374AB3" w:rsidRPr="00472432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0.976±0.002</w:t>
            </w:r>
            <w:r w:rsidR="00472432">
              <w:rPr>
                <w:rFonts w:cs="Arial"/>
                <w:szCs w:val="18"/>
                <w:vertAlign w:val="superscript"/>
                <w:lang w:val="en-GB"/>
              </w:rPr>
              <w:t>abc</w:t>
            </w:r>
          </w:p>
        </w:tc>
        <w:tc>
          <w:tcPr>
            <w:tcW w:w="1134" w:type="dxa"/>
            <w:shd w:val="clear" w:color="auto" w:fill="FFFFFF"/>
          </w:tcPr>
          <w:p w14:paraId="5802FF75" w14:textId="22B7DBB0" w:rsidR="00374AB3" w:rsidRPr="00472432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5.57±0.02</w:t>
            </w:r>
            <w:r w:rsidR="00472432">
              <w:rPr>
                <w:rFonts w:cs="Arial"/>
                <w:szCs w:val="18"/>
                <w:vertAlign w:val="superscript"/>
                <w:lang w:val="en-GB"/>
              </w:rPr>
              <w:t>b</w:t>
            </w:r>
          </w:p>
          <w:p w14:paraId="060F04F9" w14:textId="0273A424" w:rsidR="00374AB3" w:rsidRPr="00472432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5.57±0.04</w:t>
            </w:r>
            <w:r w:rsidR="00472432">
              <w:rPr>
                <w:rFonts w:cs="Arial"/>
                <w:szCs w:val="18"/>
                <w:vertAlign w:val="superscript"/>
                <w:lang w:val="en-GB"/>
              </w:rPr>
              <w:t>b</w:t>
            </w:r>
          </w:p>
        </w:tc>
        <w:tc>
          <w:tcPr>
            <w:tcW w:w="1134" w:type="dxa"/>
            <w:shd w:val="clear" w:color="auto" w:fill="FFFFFF"/>
          </w:tcPr>
          <w:p w14:paraId="093E734A" w14:textId="5F6226DE" w:rsidR="00374AB3" w:rsidRPr="008B0884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0.963±0.006</w:t>
            </w:r>
            <w:r w:rsidR="008B0884">
              <w:rPr>
                <w:rFonts w:cs="Arial"/>
                <w:szCs w:val="18"/>
                <w:vertAlign w:val="superscript"/>
                <w:lang w:val="en-GB"/>
              </w:rPr>
              <w:t>a</w:t>
            </w:r>
          </w:p>
          <w:p w14:paraId="3BD9A584" w14:textId="5379F7BA" w:rsidR="00374AB3" w:rsidRPr="008B0884" w:rsidRDefault="00374AB3" w:rsidP="00BC7A72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0.963±0.006</w:t>
            </w:r>
            <w:r w:rsidR="008B0884">
              <w:rPr>
                <w:rFonts w:cs="Arial"/>
                <w:szCs w:val="18"/>
                <w:vertAlign w:val="superscript"/>
                <w:lang w:val="en-GB"/>
              </w:rPr>
              <w:t>a</w:t>
            </w:r>
          </w:p>
        </w:tc>
      </w:tr>
    </w:tbl>
    <w:p w14:paraId="1399DEB3" w14:textId="77777777" w:rsidR="00DD4444" w:rsidRPr="002A6C40" w:rsidRDefault="00013DB0" w:rsidP="00374AB3">
      <w:pPr>
        <w:pStyle w:val="CETBodytext"/>
        <w:rPr>
          <w:lang w:val="en-GB"/>
        </w:rPr>
      </w:pPr>
      <w:r w:rsidRPr="002A6C40">
        <w:rPr>
          <w:rFonts w:eastAsiaTheme="minorHAnsi"/>
          <w:lang w:val="en-GB"/>
        </w:rPr>
        <w:tab/>
      </w:r>
    </w:p>
    <w:p w14:paraId="110138F2" w14:textId="7EC0B132" w:rsidR="00374AB3" w:rsidRPr="002A6C40" w:rsidRDefault="00374AB3" w:rsidP="00374AB3">
      <w:pPr>
        <w:pStyle w:val="CETheadingx"/>
        <w:numPr>
          <w:ilvl w:val="0"/>
          <w:numId w:val="0"/>
        </w:numPr>
        <w:rPr>
          <w:lang w:val="en-GB"/>
        </w:rPr>
      </w:pPr>
      <w:r w:rsidRPr="002A6C40">
        <w:rPr>
          <w:lang w:val="en-GB"/>
        </w:rPr>
        <w:t xml:space="preserve">4.3 Texture </w:t>
      </w:r>
      <w:r w:rsidR="00220CF9">
        <w:rPr>
          <w:lang w:val="en-GB"/>
        </w:rPr>
        <w:t>Profile</w:t>
      </w:r>
    </w:p>
    <w:p w14:paraId="650C2DD4" w14:textId="3CDE87C2" w:rsidR="000931B5" w:rsidRDefault="00273F49" w:rsidP="000931B5">
      <w:pPr>
        <w:pStyle w:val="CETBodytext"/>
        <w:rPr>
          <w:rFonts w:eastAsiaTheme="minorHAnsi"/>
          <w:lang w:val="en-GB"/>
        </w:rPr>
      </w:pPr>
      <w:r w:rsidRPr="002A6C40">
        <w:rPr>
          <w:rFonts w:eastAsiaTheme="minorHAnsi"/>
          <w:lang w:val="en-GB"/>
        </w:rPr>
        <w:t>Th</w:t>
      </w:r>
      <w:r w:rsidR="00F440D3">
        <w:rPr>
          <w:rFonts w:eastAsiaTheme="minorHAnsi"/>
          <w:lang w:val="en-GB"/>
        </w:rPr>
        <w:t>e followin</w:t>
      </w:r>
      <w:r w:rsidR="000931B5">
        <w:rPr>
          <w:rFonts w:eastAsiaTheme="minorHAnsi"/>
          <w:lang w:val="en-GB"/>
        </w:rPr>
        <w:t>g</w:t>
      </w:r>
      <w:r w:rsidR="00F440D3">
        <w:rPr>
          <w:rFonts w:eastAsiaTheme="minorHAnsi"/>
          <w:lang w:val="en-GB"/>
        </w:rPr>
        <w:t xml:space="preserve"> </w:t>
      </w:r>
      <w:r w:rsidRPr="002A6C40">
        <w:rPr>
          <w:rFonts w:eastAsiaTheme="minorHAnsi"/>
          <w:lang w:val="en-GB"/>
        </w:rPr>
        <w:t>TPA parameters</w:t>
      </w:r>
      <w:r w:rsidR="000931B5">
        <w:rPr>
          <w:rFonts w:eastAsiaTheme="minorHAnsi"/>
          <w:lang w:val="en-GB"/>
        </w:rPr>
        <w:t xml:space="preserve"> were calculated and</w:t>
      </w:r>
      <w:r w:rsidR="00F440D3">
        <w:rPr>
          <w:rFonts w:eastAsiaTheme="minorHAnsi"/>
          <w:lang w:val="en-GB"/>
        </w:rPr>
        <w:t xml:space="preserve"> reported in </w:t>
      </w:r>
      <w:r w:rsidRPr="002A6C40">
        <w:rPr>
          <w:rFonts w:eastAsiaTheme="minorHAnsi"/>
          <w:lang w:val="en-GB"/>
        </w:rPr>
        <w:t>Table</w:t>
      </w:r>
      <w:r w:rsidR="00D32B51" w:rsidRPr="002A6C40">
        <w:rPr>
          <w:rFonts w:eastAsiaTheme="minorHAnsi"/>
          <w:lang w:val="en-GB"/>
        </w:rPr>
        <w:t xml:space="preserve"> 4</w:t>
      </w:r>
      <w:r w:rsidR="000931B5">
        <w:rPr>
          <w:rFonts w:eastAsiaTheme="minorHAnsi"/>
          <w:lang w:val="en-GB"/>
        </w:rPr>
        <w:t>:</w:t>
      </w:r>
    </w:p>
    <w:p w14:paraId="732FBF95" w14:textId="77777777" w:rsidR="000931B5" w:rsidRPr="000931B5" w:rsidRDefault="000931B5" w:rsidP="004A209E">
      <w:pPr>
        <w:pStyle w:val="CETBodytext"/>
        <w:numPr>
          <w:ilvl w:val="0"/>
          <w:numId w:val="28"/>
        </w:numPr>
        <w:ind w:left="284" w:hanging="284"/>
        <w:rPr>
          <w:lang w:val="en-GB"/>
        </w:rPr>
      </w:pPr>
      <w:r>
        <w:rPr>
          <w:rFonts w:eastAsiaTheme="minorHAnsi"/>
          <w:lang w:val="en-GB"/>
        </w:rPr>
        <w:t>H</w:t>
      </w:r>
      <w:r w:rsidR="00273F49" w:rsidRPr="002A6C40">
        <w:rPr>
          <w:rFonts w:eastAsiaTheme="minorHAnsi"/>
          <w:lang w:val="en-GB"/>
        </w:rPr>
        <w:t>ardness</w:t>
      </w:r>
      <w:r>
        <w:rPr>
          <w:rFonts w:eastAsiaTheme="minorHAnsi"/>
          <w:lang w:val="en-GB"/>
        </w:rPr>
        <w:t xml:space="preserve">: </w:t>
      </w:r>
      <w:r w:rsidR="00273F49" w:rsidRPr="002A6C40">
        <w:rPr>
          <w:rFonts w:eastAsiaTheme="minorHAnsi"/>
          <w:lang w:val="en-GB"/>
        </w:rPr>
        <w:t>defined as the maximum peak</w:t>
      </w:r>
      <w:r>
        <w:rPr>
          <w:rFonts w:eastAsiaTheme="minorHAnsi"/>
          <w:lang w:val="en-GB"/>
        </w:rPr>
        <w:t xml:space="preserve"> </w:t>
      </w:r>
      <w:r w:rsidR="00273F49" w:rsidRPr="002A6C40">
        <w:rPr>
          <w:rFonts w:eastAsiaTheme="minorHAnsi"/>
          <w:lang w:val="en-GB"/>
        </w:rPr>
        <w:t>force during the first compression cycle</w:t>
      </w:r>
      <w:r>
        <w:rPr>
          <w:rFonts w:eastAsiaTheme="minorHAnsi"/>
          <w:lang w:val="en-GB"/>
        </w:rPr>
        <w:t xml:space="preserve">, comparable to the </w:t>
      </w:r>
      <w:r w:rsidR="00273F49" w:rsidRPr="002A6C40">
        <w:rPr>
          <w:rFonts w:eastAsiaTheme="minorHAnsi"/>
          <w:lang w:val="en-GB"/>
        </w:rPr>
        <w:t>first bite</w:t>
      </w:r>
      <w:r>
        <w:rPr>
          <w:rFonts w:eastAsiaTheme="minorHAnsi"/>
          <w:lang w:val="en-GB"/>
        </w:rPr>
        <w:t xml:space="preserve">, </w:t>
      </w:r>
      <w:r w:rsidR="00273F49" w:rsidRPr="002A6C40">
        <w:rPr>
          <w:rFonts w:eastAsiaTheme="minorHAnsi"/>
          <w:lang w:val="en-GB"/>
        </w:rPr>
        <w:t>and</w:t>
      </w:r>
      <w:r w:rsidR="00DA4E55" w:rsidRPr="002A6C40">
        <w:rPr>
          <w:rFonts w:eastAsiaTheme="minorHAnsi"/>
          <w:lang w:val="en-GB"/>
        </w:rPr>
        <w:t xml:space="preserve"> </w:t>
      </w:r>
      <w:r w:rsidR="00273F49" w:rsidRPr="002A6C40">
        <w:rPr>
          <w:rFonts w:eastAsiaTheme="minorHAnsi"/>
          <w:lang w:val="en-GB"/>
        </w:rPr>
        <w:t xml:space="preserve">often </w:t>
      </w:r>
      <w:r>
        <w:rPr>
          <w:rFonts w:eastAsiaTheme="minorHAnsi"/>
          <w:lang w:val="en-GB"/>
        </w:rPr>
        <w:t xml:space="preserve">referred to as </w:t>
      </w:r>
      <w:r w:rsidR="00273F49" w:rsidRPr="002A6C40">
        <w:rPr>
          <w:rFonts w:eastAsiaTheme="minorHAnsi"/>
          <w:lang w:val="en-GB"/>
        </w:rPr>
        <w:t>firmness</w:t>
      </w:r>
      <w:r>
        <w:rPr>
          <w:rFonts w:eastAsiaTheme="minorHAnsi"/>
          <w:lang w:val="en-GB"/>
        </w:rPr>
        <w:t xml:space="preserve">; </w:t>
      </w:r>
    </w:p>
    <w:p w14:paraId="1F1C8413" w14:textId="69F29E9E" w:rsidR="000931B5" w:rsidRPr="000931B5" w:rsidRDefault="000931B5" w:rsidP="004A209E">
      <w:pPr>
        <w:pStyle w:val="CETBodytext"/>
        <w:numPr>
          <w:ilvl w:val="0"/>
          <w:numId w:val="28"/>
        </w:numPr>
        <w:ind w:left="284" w:hanging="284"/>
        <w:rPr>
          <w:lang w:val="en-GB"/>
        </w:rPr>
      </w:pPr>
      <w:r>
        <w:rPr>
          <w:rFonts w:eastAsiaTheme="minorHAnsi"/>
          <w:lang w:val="en-GB"/>
        </w:rPr>
        <w:t>S</w:t>
      </w:r>
      <w:r w:rsidR="00273F49" w:rsidRPr="002A6C40">
        <w:rPr>
          <w:rFonts w:eastAsiaTheme="minorHAnsi"/>
          <w:lang w:val="en-GB"/>
        </w:rPr>
        <w:t>pringiness</w:t>
      </w:r>
      <w:r>
        <w:rPr>
          <w:rFonts w:eastAsiaTheme="minorHAnsi"/>
          <w:lang w:val="en-GB"/>
        </w:rPr>
        <w:t xml:space="preserve">: </w:t>
      </w:r>
      <w:r w:rsidR="00F16174" w:rsidRPr="002A6C40">
        <w:rPr>
          <w:rFonts w:eastAsiaTheme="minorHAnsi"/>
          <w:lang w:val="en-GB"/>
        </w:rPr>
        <w:t>linked</w:t>
      </w:r>
      <w:r w:rsidR="00273F49" w:rsidRPr="002A6C40">
        <w:rPr>
          <w:rFonts w:eastAsiaTheme="minorHAnsi"/>
          <w:lang w:val="en-GB"/>
        </w:rPr>
        <w:t xml:space="preserve"> to the height </w:t>
      </w:r>
      <w:r w:rsidRPr="002A6C40">
        <w:rPr>
          <w:rFonts w:eastAsiaTheme="minorHAnsi"/>
          <w:lang w:val="en-GB"/>
        </w:rPr>
        <w:t xml:space="preserve">recovered </w:t>
      </w:r>
      <w:r>
        <w:rPr>
          <w:rFonts w:eastAsiaTheme="minorHAnsi"/>
          <w:lang w:val="en-GB"/>
        </w:rPr>
        <w:t>by the sample during the resting t</w:t>
      </w:r>
      <w:r w:rsidR="00273F49" w:rsidRPr="002A6C40">
        <w:rPr>
          <w:rFonts w:eastAsiaTheme="minorHAnsi"/>
          <w:lang w:val="en-GB"/>
        </w:rPr>
        <w:t>ime</w:t>
      </w:r>
      <w:r w:rsidR="00DA4E55" w:rsidRPr="002A6C40">
        <w:rPr>
          <w:rFonts w:eastAsiaTheme="minorHAnsi"/>
          <w:lang w:val="en-GB"/>
        </w:rPr>
        <w:t xml:space="preserve"> </w:t>
      </w:r>
      <w:r w:rsidR="00273F49" w:rsidRPr="002A6C40">
        <w:rPr>
          <w:rFonts w:eastAsiaTheme="minorHAnsi"/>
          <w:lang w:val="en-GB"/>
        </w:rPr>
        <w:t>between the</w:t>
      </w:r>
      <w:r>
        <w:rPr>
          <w:rFonts w:eastAsiaTheme="minorHAnsi"/>
          <w:lang w:val="en-GB"/>
        </w:rPr>
        <w:t xml:space="preserve"> two compression cycles;</w:t>
      </w:r>
    </w:p>
    <w:p w14:paraId="21AFA250" w14:textId="77777777" w:rsidR="000931B5" w:rsidRPr="000931B5" w:rsidRDefault="000931B5" w:rsidP="004A209E">
      <w:pPr>
        <w:pStyle w:val="CETBodytext"/>
        <w:numPr>
          <w:ilvl w:val="0"/>
          <w:numId w:val="28"/>
        </w:numPr>
        <w:ind w:left="284" w:hanging="284"/>
        <w:rPr>
          <w:lang w:val="en-GB"/>
        </w:rPr>
      </w:pPr>
      <w:r>
        <w:rPr>
          <w:rFonts w:eastAsiaTheme="minorHAnsi"/>
          <w:lang w:val="en-GB"/>
        </w:rPr>
        <w:t>Co</w:t>
      </w:r>
      <w:r w:rsidR="00273F49" w:rsidRPr="002A6C40">
        <w:rPr>
          <w:rFonts w:eastAsiaTheme="minorHAnsi"/>
          <w:lang w:val="en-GB"/>
        </w:rPr>
        <w:t>hesiveness</w:t>
      </w:r>
      <w:r>
        <w:rPr>
          <w:rFonts w:eastAsiaTheme="minorHAnsi"/>
          <w:lang w:val="en-GB"/>
        </w:rPr>
        <w:t xml:space="preserve">: </w:t>
      </w:r>
      <w:r w:rsidR="00273F49" w:rsidRPr="002A6C40">
        <w:rPr>
          <w:rFonts w:eastAsiaTheme="minorHAnsi"/>
          <w:lang w:val="en-GB"/>
        </w:rPr>
        <w:t>the rate at which the material disintegrate</w:t>
      </w:r>
      <w:r>
        <w:rPr>
          <w:rFonts w:eastAsiaTheme="minorHAnsi"/>
          <w:lang w:val="en-GB"/>
        </w:rPr>
        <w:t>s</w:t>
      </w:r>
      <w:r w:rsidR="00DA4E55" w:rsidRPr="002A6C40">
        <w:rPr>
          <w:rFonts w:eastAsiaTheme="minorHAnsi"/>
          <w:lang w:val="en-GB"/>
        </w:rPr>
        <w:t xml:space="preserve"> </w:t>
      </w:r>
      <w:r w:rsidR="00273F49" w:rsidRPr="002A6C40">
        <w:rPr>
          <w:rFonts w:eastAsiaTheme="minorHAnsi"/>
          <w:lang w:val="en-GB"/>
        </w:rPr>
        <w:t>under mechanical action</w:t>
      </w:r>
      <w:r>
        <w:rPr>
          <w:rFonts w:eastAsiaTheme="minorHAnsi"/>
          <w:lang w:val="en-GB"/>
        </w:rPr>
        <w:t xml:space="preserve">; </w:t>
      </w:r>
    </w:p>
    <w:p w14:paraId="230A41B6" w14:textId="79B65928" w:rsidR="000931B5" w:rsidRPr="00D56BDC" w:rsidRDefault="000931B5" w:rsidP="004A209E">
      <w:pPr>
        <w:pStyle w:val="CETBodytext"/>
        <w:numPr>
          <w:ilvl w:val="0"/>
          <w:numId w:val="28"/>
        </w:numPr>
        <w:ind w:left="284" w:hanging="284"/>
        <w:rPr>
          <w:lang w:val="en-GB"/>
        </w:rPr>
      </w:pPr>
      <w:r>
        <w:rPr>
          <w:rFonts w:eastAsiaTheme="minorHAnsi"/>
          <w:lang w:val="en-GB"/>
        </w:rPr>
        <w:t>R</w:t>
      </w:r>
      <w:r w:rsidR="00DA4E55" w:rsidRPr="002A6C40">
        <w:rPr>
          <w:rFonts w:eastAsiaTheme="minorHAnsi"/>
          <w:lang w:val="en-GB"/>
        </w:rPr>
        <w:t>esilience</w:t>
      </w:r>
      <w:r>
        <w:rPr>
          <w:rFonts w:eastAsiaTheme="minorHAnsi"/>
          <w:lang w:val="en-GB"/>
        </w:rPr>
        <w:t>: it reflects</w:t>
      </w:r>
      <w:r w:rsidR="00F16174" w:rsidRPr="002A6C40">
        <w:rPr>
          <w:rFonts w:eastAsiaTheme="minorHAnsi"/>
          <w:lang w:val="en-GB"/>
        </w:rPr>
        <w:t xml:space="preserve"> the</w:t>
      </w:r>
      <w:r w:rsidR="00EC0677" w:rsidRPr="002A6C40">
        <w:rPr>
          <w:rFonts w:eastAsiaTheme="minorHAnsi"/>
          <w:lang w:val="en-GB"/>
        </w:rPr>
        <w:t xml:space="preserve"> amount of</w:t>
      </w:r>
      <w:r w:rsidR="00F16174" w:rsidRPr="002A6C40">
        <w:rPr>
          <w:rFonts w:eastAsiaTheme="minorHAnsi"/>
          <w:lang w:val="en-GB"/>
        </w:rPr>
        <w:t xml:space="preserve"> energy that the sample </w:t>
      </w:r>
      <w:r>
        <w:rPr>
          <w:rFonts w:eastAsiaTheme="minorHAnsi"/>
          <w:lang w:val="en-GB"/>
        </w:rPr>
        <w:t>needs</w:t>
      </w:r>
      <w:r w:rsidR="00F16174" w:rsidRPr="002A6C40">
        <w:rPr>
          <w:rFonts w:eastAsiaTheme="minorHAnsi"/>
          <w:lang w:val="en-GB"/>
        </w:rPr>
        <w:t xml:space="preserve"> to recover its original state</w:t>
      </w:r>
      <w:r>
        <w:rPr>
          <w:rFonts w:eastAsiaTheme="minorHAnsi"/>
          <w:lang w:val="en-GB"/>
        </w:rPr>
        <w:t>.</w:t>
      </w:r>
    </w:p>
    <w:p w14:paraId="6BD7EEF1" w14:textId="10D72823" w:rsidR="0020124F" w:rsidRPr="002A6C40" w:rsidRDefault="0020124F" w:rsidP="0020124F">
      <w:pPr>
        <w:pStyle w:val="CETTabletitle"/>
      </w:pPr>
      <w:r w:rsidRPr="002A6C40">
        <w:t xml:space="preserve">Table </w:t>
      </w:r>
      <w:r>
        <w:t>4</w:t>
      </w:r>
      <w:r w:rsidRPr="002A6C40">
        <w:t xml:space="preserve">: </w:t>
      </w:r>
      <w:r>
        <w:t xml:space="preserve">Texture profile </w:t>
      </w:r>
      <w:r>
        <w:rPr>
          <w:rFonts w:eastAsiaTheme="minorHAnsi"/>
        </w:rPr>
        <w:t>of bread samples obtained with commercial dried sourdoughs (DS_A, DS_B, DS_C) and bakery’s yeast at two dosage levels (DBY_A, DBY_B). Data are reported as m</w:t>
      </w:r>
      <w:r w:rsidRPr="002A6C40">
        <w:rPr>
          <w:rFonts w:eastAsiaTheme="minorHAnsi"/>
        </w:rPr>
        <w:t xml:space="preserve">ean values </w:t>
      </w:r>
      <w:r>
        <w:rPr>
          <w:rFonts w:eastAsiaTheme="minorHAnsi" w:cs="Arial"/>
        </w:rPr>
        <w:t>±</w:t>
      </w:r>
      <w:r>
        <w:rPr>
          <w:rFonts w:eastAsiaTheme="minorHAnsi"/>
        </w:rPr>
        <w:t xml:space="preserve"> s.d. </w:t>
      </w:r>
      <w:r w:rsidR="004A209E">
        <w:rPr>
          <w:rFonts w:eastAsiaTheme="minorHAnsi"/>
        </w:rPr>
        <w:t>T</w:t>
      </w:r>
      <w:r>
        <w:rPr>
          <w:rFonts w:eastAsiaTheme="minorHAnsi"/>
        </w:rPr>
        <w:t xml:space="preserve">he same superscript letter under the same column indicates not significantly different means according to </w:t>
      </w:r>
      <w:r w:rsidR="004A209E">
        <w:rPr>
          <w:rFonts w:eastAsiaTheme="minorHAnsi"/>
        </w:rPr>
        <w:t xml:space="preserve">ANOVA and </w:t>
      </w:r>
      <w:r>
        <w:rPr>
          <w:rFonts w:eastAsiaTheme="minorHAnsi"/>
        </w:rPr>
        <w:t>Tukey’s post-hoc test.</w:t>
      </w:r>
    </w:p>
    <w:tbl>
      <w:tblPr>
        <w:tblW w:w="7672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1"/>
        <w:gridCol w:w="1389"/>
        <w:gridCol w:w="126"/>
        <w:gridCol w:w="1239"/>
        <w:gridCol w:w="165"/>
        <w:gridCol w:w="1646"/>
        <w:gridCol w:w="1586"/>
      </w:tblGrid>
      <w:tr w:rsidR="0020124F" w:rsidRPr="002A6C40" w14:paraId="3AEBE8E2" w14:textId="77777777" w:rsidTr="00A74A3C">
        <w:tc>
          <w:tcPr>
            <w:tcW w:w="152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5F67C86" w14:textId="77777777" w:rsidR="0020124F" w:rsidRPr="002A6C40" w:rsidRDefault="0020124F" w:rsidP="00A74A3C">
            <w:pPr>
              <w:pStyle w:val="CETBodytext"/>
              <w:rPr>
                <w:lang w:val="en-GB"/>
              </w:rPr>
            </w:pPr>
            <w:r w:rsidRPr="002A6C40">
              <w:rPr>
                <w:lang w:val="en-GB"/>
              </w:rPr>
              <w:t>Leavening Agent</w:t>
            </w:r>
          </w:p>
        </w:tc>
        <w:tc>
          <w:tcPr>
            <w:tcW w:w="138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C140CF3" w14:textId="77777777" w:rsidR="0020124F" w:rsidRPr="002A6C40" w:rsidRDefault="0020124F" w:rsidP="00A74A3C">
            <w:pPr>
              <w:pStyle w:val="CETBodytext"/>
              <w:jc w:val="center"/>
              <w:rPr>
                <w:lang w:val="en-GB"/>
              </w:rPr>
            </w:pPr>
            <w:r w:rsidRPr="002A6C40">
              <w:rPr>
                <w:lang w:val="en-GB"/>
              </w:rPr>
              <w:t>Hardness [N]</w:t>
            </w:r>
          </w:p>
        </w:tc>
        <w:tc>
          <w:tcPr>
            <w:tcW w:w="12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841B22C" w14:textId="77777777" w:rsidR="0020124F" w:rsidRPr="002A6C40" w:rsidRDefault="0020124F" w:rsidP="00A74A3C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123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B5D3167" w14:textId="77777777" w:rsidR="0020124F" w:rsidRPr="002A6C40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Springiness</w:t>
            </w:r>
          </w:p>
        </w:tc>
        <w:tc>
          <w:tcPr>
            <w:tcW w:w="16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13D1A13" w14:textId="77777777" w:rsidR="0020124F" w:rsidRPr="002A6C40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64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01E4D34" w14:textId="77777777" w:rsidR="0020124F" w:rsidRPr="002A6C40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Cohesiveness</w:t>
            </w:r>
          </w:p>
        </w:tc>
        <w:tc>
          <w:tcPr>
            <w:tcW w:w="158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58498EF" w14:textId="77777777" w:rsidR="0020124F" w:rsidRPr="002A6C40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>Resilience</w:t>
            </w:r>
          </w:p>
        </w:tc>
      </w:tr>
      <w:tr w:rsidR="0020124F" w:rsidRPr="002A6C40" w14:paraId="537D19ED" w14:textId="77777777" w:rsidTr="00A74A3C">
        <w:tc>
          <w:tcPr>
            <w:tcW w:w="1521" w:type="dxa"/>
            <w:shd w:val="clear" w:color="auto" w:fill="FFFFFF"/>
          </w:tcPr>
          <w:p w14:paraId="0751FAB3" w14:textId="77777777" w:rsidR="0020124F" w:rsidRPr="002A6C40" w:rsidRDefault="0020124F" w:rsidP="00A74A3C">
            <w:pPr>
              <w:pStyle w:val="CETBodytext"/>
              <w:rPr>
                <w:lang w:val="en-GB"/>
              </w:rPr>
            </w:pPr>
            <w:r w:rsidRPr="002A6C40">
              <w:rPr>
                <w:lang w:val="en-GB"/>
              </w:rPr>
              <w:t xml:space="preserve">DS_A </w:t>
            </w:r>
          </w:p>
        </w:tc>
        <w:tc>
          <w:tcPr>
            <w:tcW w:w="1389" w:type="dxa"/>
            <w:shd w:val="clear" w:color="auto" w:fill="FFFFFF"/>
          </w:tcPr>
          <w:p w14:paraId="6F0B5B46" w14:textId="77777777" w:rsidR="0020124F" w:rsidRPr="004F378B" w:rsidRDefault="0020124F" w:rsidP="00A74A3C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rFonts w:cstheme="minorHAnsi"/>
                <w:lang w:val="en-GB"/>
              </w:rPr>
              <w:t>7.93±</w:t>
            </w:r>
            <w:r w:rsidRPr="002A6C40">
              <w:rPr>
                <w:lang w:val="en-GB"/>
              </w:rPr>
              <w:t>2.01</w:t>
            </w:r>
            <w:r>
              <w:rPr>
                <w:vertAlign w:val="superscript"/>
                <w:lang w:val="en-GB"/>
              </w:rPr>
              <w:t>a</w:t>
            </w:r>
          </w:p>
        </w:tc>
        <w:tc>
          <w:tcPr>
            <w:tcW w:w="126" w:type="dxa"/>
            <w:shd w:val="clear" w:color="auto" w:fill="FFFFFF"/>
          </w:tcPr>
          <w:p w14:paraId="21B979C1" w14:textId="77777777" w:rsidR="0020124F" w:rsidRPr="002A6C40" w:rsidRDefault="0020124F" w:rsidP="00A74A3C">
            <w:pPr>
              <w:pStyle w:val="CETBodytext"/>
              <w:rPr>
                <w:lang w:val="en-GB"/>
              </w:rPr>
            </w:pPr>
          </w:p>
        </w:tc>
        <w:tc>
          <w:tcPr>
            <w:tcW w:w="1239" w:type="dxa"/>
            <w:shd w:val="clear" w:color="auto" w:fill="FFFFFF"/>
          </w:tcPr>
          <w:p w14:paraId="63809530" w14:textId="092175B0" w:rsidR="0020124F" w:rsidRPr="008B0884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0.96</w:t>
            </w:r>
            <w:r w:rsidRPr="002A6C40">
              <w:rPr>
                <w:rFonts w:cstheme="minorHAnsi"/>
                <w:lang w:val="en-GB"/>
              </w:rPr>
              <w:t>±0.06</w:t>
            </w:r>
            <w:r w:rsidR="008B0884">
              <w:rPr>
                <w:rFonts w:cstheme="minorHAnsi"/>
                <w:vertAlign w:val="superscript"/>
                <w:lang w:val="en-GB"/>
              </w:rPr>
              <w:t>a</w:t>
            </w:r>
          </w:p>
        </w:tc>
        <w:tc>
          <w:tcPr>
            <w:tcW w:w="165" w:type="dxa"/>
            <w:shd w:val="clear" w:color="auto" w:fill="FFFFFF"/>
          </w:tcPr>
          <w:p w14:paraId="56E8357E" w14:textId="77777777" w:rsidR="0020124F" w:rsidRPr="002A6C40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646" w:type="dxa"/>
            <w:shd w:val="clear" w:color="auto" w:fill="FFFFFF"/>
          </w:tcPr>
          <w:p w14:paraId="2559018F" w14:textId="77777777" w:rsidR="0020124F" w:rsidRPr="004F378B" w:rsidRDefault="0020124F" w:rsidP="00A74A3C">
            <w:pPr>
              <w:jc w:val="center"/>
              <w:rPr>
                <w:vertAlign w:val="superscript"/>
              </w:rPr>
            </w:pPr>
            <w:r w:rsidRPr="002A6C40">
              <w:t>0.80</w:t>
            </w:r>
            <w:r w:rsidRPr="002A6C40">
              <w:rPr>
                <w:rFonts w:cstheme="minorHAnsi"/>
              </w:rPr>
              <w:t>±0.06</w:t>
            </w:r>
            <w:r>
              <w:rPr>
                <w:rFonts w:cstheme="minorHAnsi"/>
                <w:vertAlign w:val="superscript"/>
              </w:rPr>
              <w:t>ab</w:t>
            </w:r>
          </w:p>
        </w:tc>
        <w:tc>
          <w:tcPr>
            <w:tcW w:w="1586" w:type="dxa"/>
            <w:shd w:val="clear" w:color="auto" w:fill="FFFFFF"/>
          </w:tcPr>
          <w:p w14:paraId="629D9C2B" w14:textId="77777777" w:rsidR="0020124F" w:rsidRPr="004F378B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0.44</w:t>
            </w:r>
            <w:r w:rsidRPr="002A6C40">
              <w:rPr>
                <w:rFonts w:cstheme="minorHAnsi"/>
                <w:lang w:val="en-GB"/>
              </w:rPr>
              <w:t>±0.06</w:t>
            </w:r>
            <w:r>
              <w:rPr>
                <w:rFonts w:cstheme="minorHAnsi"/>
                <w:vertAlign w:val="superscript"/>
                <w:lang w:val="en-GB"/>
              </w:rPr>
              <w:t>ab</w:t>
            </w:r>
          </w:p>
        </w:tc>
      </w:tr>
      <w:tr w:rsidR="0020124F" w:rsidRPr="002A6C40" w14:paraId="6F819817" w14:textId="77777777" w:rsidTr="00A74A3C">
        <w:tc>
          <w:tcPr>
            <w:tcW w:w="1521" w:type="dxa"/>
            <w:shd w:val="clear" w:color="auto" w:fill="FFFFFF"/>
          </w:tcPr>
          <w:p w14:paraId="0158800E" w14:textId="77777777" w:rsidR="0020124F" w:rsidRPr="002A6C40" w:rsidRDefault="0020124F" w:rsidP="00A74A3C">
            <w:pPr>
              <w:pStyle w:val="CETBodytext"/>
              <w:rPr>
                <w:lang w:val="en-GB"/>
              </w:rPr>
            </w:pPr>
            <w:r w:rsidRPr="002A6C40">
              <w:rPr>
                <w:lang w:val="en-GB"/>
              </w:rPr>
              <w:t>DS_B</w:t>
            </w:r>
          </w:p>
        </w:tc>
        <w:tc>
          <w:tcPr>
            <w:tcW w:w="1389" w:type="dxa"/>
            <w:shd w:val="clear" w:color="auto" w:fill="FFFFFF"/>
          </w:tcPr>
          <w:p w14:paraId="3B353C3A" w14:textId="77777777" w:rsidR="0020124F" w:rsidRPr="004F378B" w:rsidRDefault="0020124F" w:rsidP="00A74A3C">
            <w:pPr>
              <w:jc w:val="center"/>
              <w:rPr>
                <w:vertAlign w:val="superscript"/>
              </w:rPr>
            </w:pPr>
            <w:r w:rsidRPr="002A6C40">
              <w:rPr>
                <w:rFonts w:cstheme="minorHAnsi"/>
              </w:rPr>
              <w:t>7.95±</w:t>
            </w:r>
            <w:r w:rsidRPr="002A6C40">
              <w:t>1.81</w:t>
            </w:r>
            <w:r>
              <w:rPr>
                <w:vertAlign w:val="superscript"/>
              </w:rPr>
              <w:t>a</w:t>
            </w:r>
          </w:p>
        </w:tc>
        <w:tc>
          <w:tcPr>
            <w:tcW w:w="126" w:type="dxa"/>
            <w:shd w:val="clear" w:color="auto" w:fill="FFFFFF"/>
          </w:tcPr>
          <w:p w14:paraId="04545E2F" w14:textId="77777777" w:rsidR="0020124F" w:rsidRPr="002A6C40" w:rsidRDefault="0020124F" w:rsidP="00A74A3C">
            <w:pPr>
              <w:pStyle w:val="CETBodytext"/>
              <w:rPr>
                <w:lang w:val="en-GB"/>
              </w:rPr>
            </w:pPr>
          </w:p>
        </w:tc>
        <w:tc>
          <w:tcPr>
            <w:tcW w:w="1239" w:type="dxa"/>
            <w:shd w:val="clear" w:color="auto" w:fill="FFFFFF"/>
          </w:tcPr>
          <w:p w14:paraId="33ADD93D" w14:textId="63AC8F9E" w:rsidR="0020124F" w:rsidRPr="008B0884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0.94</w:t>
            </w:r>
            <w:r w:rsidRPr="002A6C40">
              <w:rPr>
                <w:rFonts w:cstheme="minorHAnsi"/>
                <w:lang w:val="en-GB"/>
              </w:rPr>
              <w:t>±0.08</w:t>
            </w:r>
            <w:r w:rsidR="008B0884">
              <w:rPr>
                <w:rFonts w:cstheme="minorHAnsi"/>
                <w:vertAlign w:val="superscript"/>
                <w:lang w:val="en-GB"/>
              </w:rPr>
              <w:t>a</w:t>
            </w:r>
          </w:p>
        </w:tc>
        <w:tc>
          <w:tcPr>
            <w:tcW w:w="165" w:type="dxa"/>
            <w:shd w:val="clear" w:color="auto" w:fill="FFFFFF"/>
          </w:tcPr>
          <w:p w14:paraId="2F73BA6D" w14:textId="77777777" w:rsidR="0020124F" w:rsidRPr="002A6C40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646" w:type="dxa"/>
            <w:shd w:val="clear" w:color="auto" w:fill="FFFFFF"/>
          </w:tcPr>
          <w:p w14:paraId="05C3A318" w14:textId="77777777" w:rsidR="0020124F" w:rsidRPr="004F378B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0.81</w:t>
            </w:r>
            <w:r w:rsidRPr="002A6C40">
              <w:rPr>
                <w:rFonts w:cstheme="minorHAnsi"/>
                <w:lang w:val="en-GB"/>
              </w:rPr>
              <w:t>±0.05</w:t>
            </w:r>
            <w:r>
              <w:rPr>
                <w:rFonts w:cstheme="minorHAnsi"/>
                <w:vertAlign w:val="superscript"/>
                <w:lang w:val="en-GB"/>
              </w:rPr>
              <w:t>c</w:t>
            </w:r>
          </w:p>
        </w:tc>
        <w:tc>
          <w:tcPr>
            <w:tcW w:w="1586" w:type="dxa"/>
            <w:shd w:val="clear" w:color="auto" w:fill="FFFFFF"/>
          </w:tcPr>
          <w:p w14:paraId="3D548BBD" w14:textId="77777777" w:rsidR="0020124F" w:rsidRPr="004F378B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0.46</w:t>
            </w:r>
            <w:r w:rsidRPr="002A6C40">
              <w:rPr>
                <w:rFonts w:cstheme="minorHAnsi"/>
                <w:lang w:val="en-GB"/>
              </w:rPr>
              <w:t>±0.05</w:t>
            </w:r>
            <w:r>
              <w:rPr>
                <w:rFonts w:cstheme="minorHAnsi"/>
                <w:vertAlign w:val="superscript"/>
                <w:lang w:val="en-GB"/>
              </w:rPr>
              <w:t>c</w:t>
            </w:r>
          </w:p>
        </w:tc>
      </w:tr>
      <w:tr w:rsidR="0020124F" w:rsidRPr="002A6C40" w14:paraId="647FD176" w14:textId="77777777" w:rsidTr="00A74A3C">
        <w:tc>
          <w:tcPr>
            <w:tcW w:w="1521" w:type="dxa"/>
            <w:shd w:val="clear" w:color="auto" w:fill="FFFFFF"/>
          </w:tcPr>
          <w:p w14:paraId="59B4A0AA" w14:textId="77777777" w:rsidR="0020124F" w:rsidRPr="002A6C40" w:rsidRDefault="0020124F" w:rsidP="00A74A3C">
            <w:pPr>
              <w:pStyle w:val="CETBodytext"/>
              <w:rPr>
                <w:lang w:val="en-GB"/>
              </w:rPr>
            </w:pPr>
            <w:r w:rsidRPr="002A6C40">
              <w:rPr>
                <w:lang w:val="en-GB"/>
              </w:rPr>
              <w:t xml:space="preserve">DS_C </w:t>
            </w:r>
          </w:p>
        </w:tc>
        <w:tc>
          <w:tcPr>
            <w:tcW w:w="1389" w:type="dxa"/>
            <w:shd w:val="clear" w:color="auto" w:fill="FFFFFF"/>
          </w:tcPr>
          <w:p w14:paraId="018492C5" w14:textId="77777777" w:rsidR="0020124F" w:rsidRPr="004F378B" w:rsidRDefault="0020124F" w:rsidP="00A74A3C">
            <w:pPr>
              <w:pStyle w:val="CETBodytext"/>
              <w:jc w:val="center"/>
              <w:rPr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12.65</w:t>
            </w:r>
            <w:r w:rsidRPr="002A6C40">
              <w:rPr>
                <w:rFonts w:cstheme="minorHAnsi"/>
                <w:lang w:val="en-GB"/>
              </w:rPr>
              <w:t>±1.99</w:t>
            </w:r>
            <w:r>
              <w:rPr>
                <w:rFonts w:cstheme="minorHAnsi"/>
                <w:vertAlign w:val="superscript"/>
                <w:lang w:val="en-GB"/>
              </w:rPr>
              <w:t>b</w:t>
            </w:r>
          </w:p>
        </w:tc>
        <w:tc>
          <w:tcPr>
            <w:tcW w:w="126" w:type="dxa"/>
            <w:shd w:val="clear" w:color="auto" w:fill="FFFFFF"/>
          </w:tcPr>
          <w:p w14:paraId="55FF5074" w14:textId="77777777" w:rsidR="0020124F" w:rsidRPr="002A6C40" w:rsidRDefault="0020124F" w:rsidP="00A74A3C">
            <w:pPr>
              <w:pStyle w:val="CETBodytext"/>
              <w:rPr>
                <w:lang w:val="en-GB"/>
              </w:rPr>
            </w:pPr>
          </w:p>
        </w:tc>
        <w:tc>
          <w:tcPr>
            <w:tcW w:w="1239" w:type="dxa"/>
            <w:shd w:val="clear" w:color="auto" w:fill="FFFFFF"/>
          </w:tcPr>
          <w:p w14:paraId="3EBE5785" w14:textId="6E0E8074" w:rsidR="0020124F" w:rsidRPr="008B0884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0.94</w:t>
            </w:r>
            <w:r w:rsidRPr="002A6C40">
              <w:rPr>
                <w:rFonts w:cstheme="minorHAnsi"/>
                <w:lang w:val="en-GB"/>
              </w:rPr>
              <w:t>±0.08</w:t>
            </w:r>
            <w:r w:rsidR="008B0884">
              <w:rPr>
                <w:rFonts w:cstheme="minorHAnsi"/>
                <w:vertAlign w:val="superscript"/>
                <w:lang w:val="en-GB"/>
              </w:rPr>
              <w:t>a</w:t>
            </w:r>
          </w:p>
        </w:tc>
        <w:tc>
          <w:tcPr>
            <w:tcW w:w="165" w:type="dxa"/>
            <w:shd w:val="clear" w:color="auto" w:fill="FFFFFF"/>
          </w:tcPr>
          <w:p w14:paraId="27306568" w14:textId="77777777" w:rsidR="0020124F" w:rsidRPr="002A6C40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646" w:type="dxa"/>
            <w:shd w:val="clear" w:color="auto" w:fill="FFFFFF"/>
          </w:tcPr>
          <w:p w14:paraId="06AF0354" w14:textId="77777777" w:rsidR="0020124F" w:rsidRPr="004F378B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0.76</w:t>
            </w:r>
            <w:r w:rsidRPr="002A6C40">
              <w:rPr>
                <w:rFonts w:cstheme="minorHAnsi"/>
                <w:lang w:val="en-GB"/>
              </w:rPr>
              <w:t>±0.07</w:t>
            </w:r>
            <w:r>
              <w:rPr>
                <w:rFonts w:cstheme="minorHAnsi"/>
                <w:vertAlign w:val="superscript"/>
                <w:lang w:val="en-GB"/>
              </w:rPr>
              <w:t>ab</w:t>
            </w:r>
          </w:p>
        </w:tc>
        <w:tc>
          <w:tcPr>
            <w:tcW w:w="1586" w:type="dxa"/>
            <w:shd w:val="clear" w:color="auto" w:fill="FFFFFF"/>
          </w:tcPr>
          <w:p w14:paraId="031F5801" w14:textId="77777777" w:rsidR="0020124F" w:rsidRPr="004F378B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0.39</w:t>
            </w:r>
            <w:r w:rsidRPr="002A6C40">
              <w:rPr>
                <w:rFonts w:cstheme="minorHAnsi"/>
                <w:lang w:val="en-GB"/>
              </w:rPr>
              <w:t>±0.07</w:t>
            </w:r>
            <w:r>
              <w:rPr>
                <w:rFonts w:cstheme="minorHAnsi"/>
                <w:vertAlign w:val="superscript"/>
                <w:lang w:val="en-GB"/>
              </w:rPr>
              <w:t>a</w:t>
            </w:r>
          </w:p>
        </w:tc>
      </w:tr>
      <w:tr w:rsidR="0020124F" w:rsidRPr="002A6C40" w14:paraId="0038F9D9" w14:textId="77777777" w:rsidTr="00A74A3C">
        <w:tc>
          <w:tcPr>
            <w:tcW w:w="1521" w:type="dxa"/>
            <w:shd w:val="clear" w:color="auto" w:fill="FFFFFF"/>
          </w:tcPr>
          <w:p w14:paraId="1693976E" w14:textId="77777777" w:rsidR="0020124F" w:rsidRPr="002A6C40" w:rsidRDefault="0020124F" w:rsidP="00A74A3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 xml:space="preserve">DBY_A </w:t>
            </w:r>
          </w:p>
          <w:p w14:paraId="37250F3C" w14:textId="77777777" w:rsidR="0020124F" w:rsidRPr="002A6C40" w:rsidRDefault="0020124F" w:rsidP="00A74A3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2A6C40">
              <w:rPr>
                <w:rFonts w:cs="Arial"/>
                <w:szCs w:val="18"/>
                <w:lang w:val="en-GB"/>
              </w:rPr>
              <w:t xml:space="preserve">DBY_B </w:t>
            </w:r>
          </w:p>
        </w:tc>
        <w:tc>
          <w:tcPr>
            <w:tcW w:w="1389" w:type="dxa"/>
            <w:shd w:val="clear" w:color="auto" w:fill="FFFFFF"/>
          </w:tcPr>
          <w:p w14:paraId="23C63416" w14:textId="77777777" w:rsidR="0020124F" w:rsidRPr="004F378B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14.03</w:t>
            </w:r>
            <w:r w:rsidRPr="002A6C40">
              <w:rPr>
                <w:rFonts w:cstheme="minorHAnsi"/>
                <w:lang w:val="en-GB"/>
              </w:rPr>
              <w:t>±3.83</w:t>
            </w:r>
            <w:r>
              <w:rPr>
                <w:rFonts w:cstheme="minorHAnsi"/>
                <w:vertAlign w:val="superscript"/>
                <w:lang w:val="en-GB"/>
              </w:rPr>
              <w:t>bc</w:t>
            </w:r>
          </w:p>
          <w:p w14:paraId="05C8E7D1" w14:textId="77777777" w:rsidR="0020124F" w:rsidRPr="004F378B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15.26</w:t>
            </w:r>
            <w:r w:rsidRPr="002A6C40">
              <w:rPr>
                <w:rFonts w:cstheme="minorHAnsi"/>
                <w:lang w:val="en-GB"/>
              </w:rPr>
              <w:t>±2.30</w:t>
            </w:r>
            <w:r>
              <w:rPr>
                <w:rFonts w:cstheme="minorHAnsi"/>
                <w:vertAlign w:val="superscript"/>
                <w:lang w:val="en-GB"/>
              </w:rPr>
              <w:t>c</w:t>
            </w:r>
          </w:p>
        </w:tc>
        <w:tc>
          <w:tcPr>
            <w:tcW w:w="126" w:type="dxa"/>
            <w:shd w:val="clear" w:color="auto" w:fill="FFFFFF"/>
          </w:tcPr>
          <w:p w14:paraId="0771FCC5" w14:textId="77777777" w:rsidR="0020124F" w:rsidRPr="002A6C40" w:rsidRDefault="0020124F" w:rsidP="00A74A3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39" w:type="dxa"/>
            <w:shd w:val="clear" w:color="auto" w:fill="FFFFFF"/>
          </w:tcPr>
          <w:p w14:paraId="3AFABBC0" w14:textId="3D62DD19" w:rsidR="0020124F" w:rsidRPr="008B0884" w:rsidRDefault="0020124F" w:rsidP="00A74A3C">
            <w:pPr>
              <w:pStyle w:val="CETBodytext"/>
              <w:ind w:right="-1"/>
              <w:jc w:val="center"/>
              <w:rPr>
                <w:rFonts w:cstheme="minorHAnsi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0.97</w:t>
            </w:r>
            <w:r w:rsidRPr="002A6C40">
              <w:rPr>
                <w:rFonts w:cstheme="minorHAnsi"/>
                <w:lang w:val="en-GB"/>
              </w:rPr>
              <w:t>±0.07</w:t>
            </w:r>
            <w:r w:rsidR="008B0884">
              <w:rPr>
                <w:rFonts w:cstheme="minorHAnsi"/>
                <w:vertAlign w:val="superscript"/>
                <w:lang w:val="en-GB"/>
              </w:rPr>
              <w:t>a</w:t>
            </w:r>
          </w:p>
          <w:p w14:paraId="400198B4" w14:textId="14C8E4C5" w:rsidR="0020124F" w:rsidRPr="008B0884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0.97</w:t>
            </w:r>
            <w:r w:rsidRPr="002A6C40">
              <w:rPr>
                <w:rFonts w:cstheme="minorHAnsi"/>
                <w:lang w:val="en-GB"/>
              </w:rPr>
              <w:t>±0.07</w:t>
            </w:r>
            <w:r w:rsidR="008B0884">
              <w:rPr>
                <w:rFonts w:cstheme="minorHAnsi"/>
                <w:vertAlign w:val="superscript"/>
                <w:lang w:val="en-GB"/>
              </w:rPr>
              <w:t>a</w:t>
            </w:r>
          </w:p>
        </w:tc>
        <w:tc>
          <w:tcPr>
            <w:tcW w:w="165" w:type="dxa"/>
            <w:shd w:val="clear" w:color="auto" w:fill="FFFFFF"/>
          </w:tcPr>
          <w:p w14:paraId="184C1712" w14:textId="77777777" w:rsidR="0020124F" w:rsidRPr="002A6C40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646" w:type="dxa"/>
            <w:shd w:val="clear" w:color="auto" w:fill="FFFFFF"/>
          </w:tcPr>
          <w:p w14:paraId="3A1DD3AC" w14:textId="77777777" w:rsidR="0020124F" w:rsidRPr="004F378B" w:rsidRDefault="0020124F" w:rsidP="00A74A3C">
            <w:pPr>
              <w:pStyle w:val="CETBodytext"/>
              <w:ind w:right="-1"/>
              <w:jc w:val="center"/>
              <w:rPr>
                <w:rFonts w:cstheme="minorHAnsi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0.76</w:t>
            </w:r>
            <w:r w:rsidRPr="002A6C40">
              <w:rPr>
                <w:rFonts w:cstheme="minorHAnsi"/>
                <w:lang w:val="en-GB"/>
              </w:rPr>
              <w:t>±0.07</w:t>
            </w:r>
            <w:r>
              <w:rPr>
                <w:rFonts w:cstheme="minorHAnsi"/>
                <w:vertAlign w:val="superscript"/>
                <w:lang w:val="en-GB"/>
              </w:rPr>
              <w:t>a</w:t>
            </w:r>
          </w:p>
          <w:p w14:paraId="254E47ED" w14:textId="77777777" w:rsidR="0020124F" w:rsidRPr="004F378B" w:rsidRDefault="0020124F" w:rsidP="00A74A3C">
            <w:pPr>
              <w:jc w:val="center"/>
              <w:rPr>
                <w:rFonts w:cstheme="minorHAnsi"/>
                <w:vertAlign w:val="superscript"/>
              </w:rPr>
            </w:pPr>
            <w:r w:rsidRPr="002A6C40">
              <w:t>0.81</w:t>
            </w:r>
            <w:r w:rsidRPr="002A6C40">
              <w:rPr>
                <w:rFonts w:cstheme="minorHAnsi"/>
              </w:rPr>
              <w:t>±0.03</w:t>
            </w:r>
            <w:r>
              <w:rPr>
                <w:rFonts w:cstheme="minorHAnsi"/>
                <w:vertAlign w:val="superscript"/>
              </w:rPr>
              <w:t>c</w:t>
            </w:r>
          </w:p>
        </w:tc>
        <w:tc>
          <w:tcPr>
            <w:tcW w:w="1586" w:type="dxa"/>
            <w:shd w:val="clear" w:color="auto" w:fill="FFFFFF"/>
          </w:tcPr>
          <w:p w14:paraId="472A0BCA" w14:textId="77777777" w:rsidR="0020124F" w:rsidRPr="004F378B" w:rsidRDefault="0020124F" w:rsidP="00A74A3C">
            <w:pPr>
              <w:pStyle w:val="CETBodytext"/>
              <w:ind w:right="-1"/>
              <w:jc w:val="center"/>
              <w:rPr>
                <w:rFonts w:cstheme="minorHAnsi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0.39</w:t>
            </w:r>
            <w:r w:rsidRPr="002A6C40">
              <w:rPr>
                <w:rFonts w:cstheme="minorHAnsi"/>
                <w:lang w:val="en-GB"/>
              </w:rPr>
              <w:t>±0.07</w:t>
            </w:r>
            <w:r>
              <w:rPr>
                <w:rFonts w:cstheme="minorHAnsi"/>
                <w:vertAlign w:val="superscript"/>
                <w:lang w:val="en-GB"/>
              </w:rPr>
              <w:t>a</w:t>
            </w:r>
          </w:p>
          <w:p w14:paraId="3313232B" w14:textId="77777777" w:rsidR="0020124F" w:rsidRPr="004F378B" w:rsidRDefault="0020124F" w:rsidP="00A74A3C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 w:rsidRPr="002A6C40">
              <w:rPr>
                <w:lang w:val="en-GB"/>
              </w:rPr>
              <w:t>0.42</w:t>
            </w:r>
            <w:r w:rsidRPr="002A6C40">
              <w:rPr>
                <w:rFonts w:cstheme="minorHAnsi"/>
                <w:lang w:val="en-GB"/>
              </w:rPr>
              <w:t>±0.04</w:t>
            </w:r>
            <w:r>
              <w:rPr>
                <w:rFonts w:cstheme="minorHAnsi"/>
                <w:vertAlign w:val="superscript"/>
                <w:lang w:val="en-GB"/>
              </w:rPr>
              <w:t>ab</w:t>
            </w:r>
          </w:p>
        </w:tc>
      </w:tr>
    </w:tbl>
    <w:p w14:paraId="03EFAE22" w14:textId="77777777" w:rsidR="004A209E" w:rsidRDefault="004A209E" w:rsidP="00351554">
      <w:pPr>
        <w:pStyle w:val="CETBodytext"/>
        <w:rPr>
          <w:rFonts w:eastAsiaTheme="minorHAnsi"/>
          <w:lang w:val="en-GB"/>
        </w:rPr>
      </w:pPr>
    </w:p>
    <w:p w14:paraId="48836502" w14:textId="71512BD8" w:rsidR="00D32B51" w:rsidRPr="008F7910" w:rsidRDefault="005A3716" w:rsidP="00351554">
      <w:pPr>
        <w:pStyle w:val="CETBodytext"/>
        <w:rPr>
          <w:rFonts w:eastAsiaTheme="minorHAnsi"/>
          <w:lang w:val="en-GB"/>
        </w:rPr>
      </w:pPr>
      <w:r>
        <w:rPr>
          <w:rFonts w:eastAsiaTheme="minorHAnsi"/>
          <w:lang w:val="en-GB"/>
        </w:rPr>
        <w:t xml:space="preserve">The obtained results </w:t>
      </w:r>
      <w:r w:rsidR="00814AB3" w:rsidRPr="002A6C40">
        <w:rPr>
          <w:rFonts w:eastAsiaTheme="minorHAnsi"/>
          <w:lang w:val="en-GB"/>
        </w:rPr>
        <w:t xml:space="preserve">highlight how the </w:t>
      </w:r>
      <w:r>
        <w:rPr>
          <w:rFonts w:eastAsiaTheme="minorHAnsi"/>
          <w:lang w:val="en-GB"/>
        </w:rPr>
        <w:t xml:space="preserve">use of </w:t>
      </w:r>
      <w:r w:rsidR="008F7910">
        <w:rPr>
          <w:rFonts w:eastAsiaTheme="minorHAnsi"/>
          <w:lang w:val="en-GB"/>
        </w:rPr>
        <w:t>a</w:t>
      </w:r>
      <w:r>
        <w:rPr>
          <w:rFonts w:eastAsiaTheme="minorHAnsi"/>
          <w:lang w:val="en-GB"/>
        </w:rPr>
        <w:t xml:space="preserve"> different </w:t>
      </w:r>
      <w:r w:rsidR="00814AB3" w:rsidRPr="002A6C40">
        <w:rPr>
          <w:rFonts w:eastAsiaTheme="minorHAnsi"/>
          <w:lang w:val="en-GB"/>
        </w:rPr>
        <w:t>leavening agent affect</w:t>
      </w:r>
      <w:r>
        <w:rPr>
          <w:rFonts w:eastAsiaTheme="minorHAnsi"/>
          <w:lang w:val="en-GB"/>
        </w:rPr>
        <w:t>ed</w:t>
      </w:r>
      <w:r w:rsidR="00814AB3" w:rsidRPr="002A6C40">
        <w:rPr>
          <w:rFonts w:eastAsiaTheme="minorHAnsi"/>
          <w:lang w:val="en-GB"/>
        </w:rPr>
        <w:t xml:space="preserve"> only the firmness parameter. </w:t>
      </w:r>
      <w:r w:rsidR="008F7910">
        <w:rPr>
          <w:rFonts w:eastAsiaTheme="minorHAnsi"/>
          <w:lang w:val="en-GB"/>
        </w:rPr>
        <w:t>In fact, b</w:t>
      </w:r>
      <w:r w:rsidR="00EC0677" w:rsidRPr="002A6C40">
        <w:rPr>
          <w:rFonts w:eastAsiaTheme="minorHAnsi"/>
          <w:lang w:val="en-GB"/>
        </w:rPr>
        <w:t>read</w:t>
      </w:r>
      <w:r w:rsidR="008F7910">
        <w:rPr>
          <w:rFonts w:eastAsiaTheme="minorHAnsi"/>
          <w:lang w:val="en-GB"/>
        </w:rPr>
        <w:t>s</w:t>
      </w:r>
      <w:r w:rsidR="00EC0677" w:rsidRPr="002A6C40">
        <w:rPr>
          <w:rFonts w:eastAsiaTheme="minorHAnsi"/>
          <w:lang w:val="en-GB"/>
        </w:rPr>
        <w:t xml:space="preserve"> prepared</w:t>
      </w:r>
      <w:r w:rsidR="00814AB3" w:rsidRPr="002A6C40">
        <w:rPr>
          <w:rFonts w:eastAsiaTheme="minorHAnsi"/>
          <w:lang w:val="en-GB"/>
        </w:rPr>
        <w:t xml:space="preserve"> with </w:t>
      </w:r>
      <w:r w:rsidR="00EC0677" w:rsidRPr="002A6C40">
        <w:rPr>
          <w:rFonts w:eastAsiaTheme="minorHAnsi"/>
          <w:lang w:val="en-GB"/>
        </w:rPr>
        <w:t>bakery’s yeast</w:t>
      </w:r>
      <w:r w:rsidR="008F7910">
        <w:rPr>
          <w:rFonts w:eastAsiaTheme="minorHAnsi"/>
          <w:lang w:val="en-GB"/>
        </w:rPr>
        <w:t>, at both a conventional (DB_A) and a higher dosage level</w:t>
      </w:r>
      <w:r w:rsidR="00814AB3" w:rsidRPr="002A6C40">
        <w:rPr>
          <w:rFonts w:eastAsiaTheme="minorHAnsi"/>
          <w:lang w:val="en-GB"/>
        </w:rPr>
        <w:t xml:space="preserve"> (</w:t>
      </w:r>
      <w:r w:rsidR="00814AB3" w:rsidRPr="002A6C40">
        <w:rPr>
          <w:rFonts w:cs="Arial"/>
          <w:szCs w:val="18"/>
          <w:lang w:val="en-GB"/>
        </w:rPr>
        <w:t>DBY_A</w:t>
      </w:r>
      <w:r w:rsidR="008F7910">
        <w:rPr>
          <w:rFonts w:cs="Arial"/>
          <w:szCs w:val="18"/>
          <w:lang w:val="en-GB"/>
        </w:rPr>
        <w:t xml:space="preserve">) </w:t>
      </w:r>
      <w:r w:rsidR="00273F49" w:rsidRPr="002A6C40">
        <w:rPr>
          <w:rFonts w:eastAsiaTheme="minorHAnsi"/>
          <w:lang w:val="en-GB"/>
        </w:rPr>
        <w:t xml:space="preserve">were </w:t>
      </w:r>
      <w:r w:rsidR="00273F49" w:rsidRPr="00BC0ECB">
        <w:rPr>
          <w:rFonts w:eastAsiaTheme="minorHAnsi"/>
          <w:lang w:val="en-GB"/>
        </w:rPr>
        <w:t>significantly</w:t>
      </w:r>
      <w:r w:rsidR="00273F49" w:rsidRPr="002A6C40">
        <w:rPr>
          <w:rFonts w:eastAsiaTheme="minorHAnsi"/>
          <w:lang w:val="en-GB"/>
        </w:rPr>
        <w:t xml:space="preserve"> harder</w:t>
      </w:r>
      <w:r w:rsidR="00DA4E55" w:rsidRPr="002A6C40">
        <w:rPr>
          <w:rFonts w:eastAsiaTheme="minorHAnsi"/>
          <w:lang w:val="en-GB"/>
        </w:rPr>
        <w:t xml:space="preserve"> </w:t>
      </w:r>
      <w:r w:rsidR="00273F49" w:rsidRPr="002A6C40">
        <w:rPr>
          <w:rFonts w:eastAsiaTheme="minorHAnsi"/>
          <w:lang w:val="en-GB"/>
        </w:rPr>
        <w:t xml:space="preserve">than </w:t>
      </w:r>
      <w:r w:rsidR="00EC0677" w:rsidRPr="002A6C40">
        <w:rPr>
          <w:rFonts w:eastAsiaTheme="minorHAnsi"/>
          <w:lang w:val="en-GB"/>
        </w:rPr>
        <w:t xml:space="preserve">sourdough bread </w:t>
      </w:r>
      <w:r w:rsidR="008F7910">
        <w:rPr>
          <w:rFonts w:eastAsiaTheme="minorHAnsi"/>
          <w:lang w:val="en-GB"/>
        </w:rPr>
        <w:t xml:space="preserve">obtained with DS_A and </w:t>
      </w:r>
      <w:r w:rsidR="00814AB3" w:rsidRPr="002A6C40">
        <w:rPr>
          <w:rFonts w:eastAsiaTheme="minorHAnsi"/>
          <w:lang w:val="en-GB"/>
        </w:rPr>
        <w:t>D</w:t>
      </w:r>
      <w:r w:rsidR="00ED12A6" w:rsidRPr="002A6C40">
        <w:rPr>
          <w:rFonts w:eastAsiaTheme="minorHAnsi"/>
          <w:lang w:val="en-GB"/>
        </w:rPr>
        <w:t>S_B</w:t>
      </w:r>
      <w:r w:rsidR="008F7910">
        <w:rPr>
          <w:rFonts w:eastAsiaTheme="minorHAnsi"/>
          <w:lang w:val="en-GB"/>
        </w:rPr>
        <w:t xml:space="preserve">, without substantial difference due to yeast </w:t>
      </w:r>
      <w:r w:rsidR="00351554">
        <w:rPr>
          <w:rFonts w:eastAsiaTheme="minorHAnsi"/>
          <w:lang w:val="en-GB"/>
        </w:rPr>
        <w:t xml:space="preserve">inoculum. </w:t>
      </w:r>
      <w:r w:rsidR="0080284A" w:rsidRPr="002A6C40">
        <w:rPr>
          <w:lang w:val="en-GB"/>
        </w:rPr>
        <w:t xml:space="preserve">However, the bread obtained from the </w:t>
      </w:r>
      <w:r w:rsidR="00814AB3" w:rsidRPr="002A6C40">
        <w:rPr>
          <w:lang w:val="en-GB"/>
        </w:rPr>
        <w:t>sourdough DS_C</w:t>
      </w:r>
      <w:r w:rsidR="00351554">
        <w:rPr>
          <w:lang w:val="en-GB"/>
        </w:rPr>
        <w:t xml:space="preserve">, characterised by the lack of vital LAB, </w:t>
      </w:r>
      <w:r w:rsidR="0080284A" w:rsidRPr="002A6C40">
        <w:rPr>
          <w:lang w:val="en-GB"/>
        </w:rPr>
        <w:t xml:space="preserve">showed texture properties </w:t>
      </w:r>
      <w:r w:rsidR="004A209E" w:rsidRPr="002A6C40">
        <w:rPr>
          <w:lang w:val="en-GB"/>
        </w:rPr>
        <w:t>like</w:t>
      </w:r>
      <w:r w:rsidR="0080284A" w:rsidRPr="002A6C40">
        <w:rPr>
          <w:lang w:val="en-GB"/>
        </w:rPr>
        <w:t xml:space="preserve"> the control </w:t>
      </w:r>
      <w:r w:rsidR="00351554">
        <w:rPr>
          <w:lang w:val="en-GB"/>
        </w:rPr>
        <w:t xml:space="preserve">bread </w:t>
      </w:r>
      <w:r w:rsidR="0080284A" w:rsidRPr="002A6C40">
        <w:rPr>
          <w:lang w:val="en-GB"/>
        </w:rPr>
        <w:t xml:space="preserve">with </w:t>
      </w:r>
      <w:r w:rsidR="00351554">
        <w:rPr>
          <w:rFonts w:eastAsiaTheme="minorHAnsi"/>
          <w:lang w:val="en-GB"/>
        </w:rPr>
        <w:t>DS_A</w:t>
      </w:r>
      <w:r w:rsidR="00814AB3" w:rsidRPr="002A6C40">
        <w:rPr>
          <w:lang w:val="en-GB"/>
        </w:rPr>
        <w:t>.</w:t>
      </w:r>
      <w:r w:rsidR="0080284A" w:rsidRPr="002A6C40">
        <w:rPr>
          <w:lang w:val="en-GB"/>
        </w:rPr>
        <w:t xml:space="preserve"> </w:t>
      </w:r>
      <w:r w:rsidR="00ED12A6" w:rsidRPr="002A6C40">
        <w:rPr>
          <w:lang w:val="en-GB"/>
        </w:rPr>
        <w:t xml:space="preserve">This result may be </w:t>
      </w:r>
      <w:r w:rsidR="0080284A" w:rsidRPr="002A6C40">
        <w:rPr>
          <w:lang w:val="en-GB"/>
        </w:rPr>
        <w:t>due to a greater strength of the gluten matrix and softer and more pliable</w:t>
      </w:r>
      <w:r w:rsidR="00C64B69">
        <w:rPr>
          <w:lang w:val="en-GB"/>
        </w:rPr>
        <w:t xml:space="preserve"> </w:t>
      </w:r>
      <w:r w:rsidR="0080284A" w:rsidRPr="002A6C40">
        <w:rPr>
          <w:lang w:val="en-GB"/>
        </w:rPr>
        <w:t>crumbs compared to the other sample</w:t>
      </w:r>
      <w:r w:rsidR="00351554">
        <w:rPr>
          <w:lang w:val="en-GB"/>
        </w:rPr>
        <w:t>s</w:t>
      </w:r>
      <w:r w:rsidR="00814AB3" w:rsidRPr="002A6C40">
        <w:rPr>
          <w:lang w:val="en-GB"/>
        </w:rPr>
        <w:t>.</w:t>
      </w:r>
      <w:r w:rsidR="0080284A" w:rsidRPr="002A6C40">
        <w:rPr>
          <w:lang w:val="en-GB"/>
        </w:rPr>
        <w:t xml:space="preserve"> </w:t>
      </w:r>
    </w:p>
    <w:p w14:paraId="564F84F5" w14:textId="77777777" w:rsidR="00EC0677" w:rsidRPr="002A6C40" w:rsidRDefault="00FC6C94" w:rsidP="00B6138A">
      <w:pPr>
        <w:pStyle w:val="CETHeading1"/>
        <w:rPr>
          <w:lang w:val="en-GB"/>
        </w:rPr>
      </w:pPr>
      <w:r w:rsidRPr="002A6C40">
        <w:rPr>
          <w:lang w:val="en-GB"/>
        </w:rPr>
        <w:t>Conclusions</w:t>
      </w:r>
    </w:p>
    <w:p w14:paraId="43ACA1D7" w14:textId="7AC85B4C" w:rsidR="00EC0677" w:rsidRDefault="00EC0677" w:rsidP="00011AD0">
      <w:pPr>
        <w:pStyle w:val="CETBodytext"/>
        <w:rPr>
          <w:lang w:val="en-GB"/>
        </w:rPr>
      </w:pPr>
      <w:r w:rsidRPr="002A6C40">
        <w:rPr>
          <w:lang w:val="en-GB"/>
        </w:rPr>
        <w:t>This study investigated the effect of different commercial dried sourdough</w:t>
      </w:r>
      <w:r w:rsidR="00351554">
        <w:rPr>
          <w:lang w:val="en-GB"/>
        </w:rPr>
        <w:t>s</w:t>
      </w:r>
      <w:r w:rsidRPr="002A6C40">
        <w:rPr>
          <w:lang w:val="en-GB"/>
        </w:rPr>
        <w:t xml:space="preserve"> on rheological, textural and physicochemical characteristics of wheat dough and bread in comparison to </w:t>
      </w:r>
      <w:r w:rsidR="00351554">
        <w:rPr>
          <w:lang w:val="en-GB"/>
        </w:rPr>
        <w:t xml:space="preserve">the use of </w:t>
      </w:r>
      <w:r w:rsidRPr="002A6C40">
        <w:rPr>
          <w:lang w:val="en-GB"/>
        </w:rPr>
        <w:t>commercial</w:t>
      </w:r>
      <w:r w:rsidR="00351554">
        <w:rPr>
          <w:lang w:val="en-GB"/>
        </w:rPr>
        <w:t xml:space="preserve"> conventional baker’s yeast</w:t>
      </w:r>
      <w:r w:rsidRPr="002A6C40">
        <w:rPr>
          <w:lang w:val="en-GB"/>
        </w:rPr>
        <w:t xml:space="preserve">. All sourdoughs </w:t>
      </w:r>
      <w:r w:rsidR="00351554">
        <w:rPr>
          <w:lang w:val="en-GB"/>
        </w:rPr>
        <w:t>showed</w:t>
      </w:r>
      <w:r w:rsidRPr="002A6C40">
        <w:rPr>
          <w:lang w:val="en-GB"/>
        </w:rPr>
        <w:t xml:space="preserve"> a reduction in </w:t>
      </w:r>
      <w:r w:rsidR="00351554">
        <w:rPr>
          <w:lang w:val="en-GB"/>
        </w:rPr>
        <w:t xml:space="preserve">the </w:t>
      </w:r>
      <w:r w:rsidRPr="002A6C40">
        <w:rPr>
          <w:lang w:val="en-GB"/>
        </w:rPr>
        <w:t>rheological parameters after proofing. A slight acidification</w:t>
      </w:r>
      <w:r w:rsidR="00351554">
        <w:rPr>
          <w:lang w:val="en-GB"/>
        </w:rPr>
        <w:t xml:space="preserve"> of the dough</w:t>
      </w:r>
      <w:r w:rsidRPr="002A6C40">
        <w:rPr>
          <w:lang w:val="en-GB"/>
        </w:rPr>
        <w:t xml:space="preserve"> could be detected only </w:t>
      </w:r>
      <w:r w:rsidR="00351554">
        <w:rPr>
          <w:lang w:val="en-GB"/>
        </w:rPr>
        <w:t xml:space="preserve">with the use of two of the three tested dried sourdoughs </w:t>
      </w:r>
      <w:r w:rsidRPr="002A6C40">
        <w:rPr>
          <w:lang w:val="en-GB"/>
        </w:rPr>
        <w:t>which also revealed the presence of vital LAB</w:t>
      </w:r>
      <w:r w:rsidR="00747D21" w:rsidRPr="002A6C40">
        <w:rPr>
          <w:lang w:val="en-GB"/>
        </w:rPr>
        <w:t xml:space="preserve"> and higher </w:t>
      </w:r>
      <w:r w:rsidR="00351554">
        <w:rPr>
          <w:lang w:val="en-GB"/>
        </w:rPr>
        <w:t xml:space="preserve">content of vital </w:t>
      </w:r>
      <w:r w:rsidR="00747D21" w:rsidRPr="002A6C40">
        <w:rPr>
          <w:lang w:val="en-GB"/>
        </w:rPr>
        <w:t>yeast</w:t>
      </w:r>
      <w:r w:rsidR="00351554">
        <w:rPr>
          <w:lang w:val="en-GB"/>
        </w:rPr>
        <w:t>s</w:t>
      </w:r>
      <w:r w:rsidRPr="002A6C40">
        <w:rPr>
          <w:lang w:val="en-GB"/>
        </w:rPr>
        <w:t>.</w:t>
      </w:r>
      <w:r w:rsidR="00747D21" w:rsidRPr="002A6C40">
        <w:rPr>
          <w:lang w:val="en-GB"/>
        </w:rPr>
        <w:t xml:space="preserve"> </w:t>
      </w:r>
      <w:r w:rsidR="00351554">
        <w:rPr>
          <w:lang w:val="en-GB"/>
        </w:rPr>
        <w:t xml:space="preserve">The third dried sourdough did not </w:t>
      </w:r>
      <w:r w:rsidR="00351554">
        <w:rPr>
          <w:lang w:val="en-GB"/>
        </w:rPr>
        <w:lastRenderedPageBreak/>
        <w:t>contain vital LAB and its yeast cells revealed a slower growth compared to the yeasts of bot the other sourdough and baker’s yeast. These characteristics could be correlated to the</w:t>
      </w:r>
      <w:r w:rsidR="00B6138A" w:rsidRPr="002A6C40">
        <w:rPr>
          <w:lang w:val="en-GB"/>
        </w:rPr>
        <w:t xml:space="preserve"> results obtained </w:t>
      </w:r>
      <w:r w:rsidR="00730F16">
        <w:rPr>
          <w:lang w:val="en-GB"/>
        </w:rPr>
        <w:t xml:space="preserve">in the </w:t>
      </w:r>
      <w:r w:rsidR="00B6138A" w:rsidRPr="002A6C40">
        <w:rPr>
          <w:lang w:val="en-GB"/>
        </w:rPr>
        <w:t xml:space="preserve">texture </w:t>
      </w:r>
      <w:r w:rsidR="00730F16">
        <w:rPr>
          <w:lang w:val="en-GB"/>
        </w:rPr>
        <w:t>profile analysist</w:t>
      </w:r>
      <w:r w:rsidR="00B6138A" w:rsidRPr="002A6C40">
        <w:rPr>
          <w:lang w:val="en-GB"/>
        </w:rPr>
        <w:t>.</w:t>
      </w:r>
      <w:r w:rsidR="00747D21" w:rsidRPr="002A6C40">
        <w:rPr>
          <w:lang w:val="en-GB"/>
        </w:rPr>
        <w:t xml:space="preserve"> </w:t>
      </w:r>
      <w:r w:rsidRPr="002A6C40">
        <w:rPr>
          <w:lang w:val="en-GB"/>
        </w:rPr>
        <w:t>After baking, bread prepared with</w:t>
      </w:r>
      <w:r w:rsidR="00730F16">
        <w:rPr>
          <w:lang w:val="en-GB"/>
        </w:rPr>
        <w:t xml:space="preserve"> this dried sourdough </w:t>
      </w:r>
      <w:r w:rsidRPr="002A6C40">
        <w:rPr>
          <w:lang w:val="en-GB"/>
        </w:rPr>
        <w:t xml:space="preserve">exhibited texture properties </w:t>
      </w:r>
      <w:r w:rsidR="00730F16">
        <w:rPr>
          <w:lang w:val="en-GB"/>
        </w:rPr>
        <w:t>like</w:t>
      </w:r>
      <w:r w:rsidRPr="002A6C40">
        <w:rPr>
          <w:lang w:val="en-GB"/>
        </w:rPr>
        <w:t xml:space="preserve"> control</w:t>
      </w:r>
      <w:r w:rsidR="00730F16">
        <w:rPr>
          <w:lang w:val="en-GB"/>
        </w:rPr>
        <w:t xml:space="preserve"> bread</w:t>
      </w:r>
      <w:r w:rsidRPr="002A6C40">
        <w:rPr>
          <w:lang w:val="en-GB"/>
        </w:rPr>
        <w:t>. Higher hardness value w</w:t>
      </w:r>
      <w:r w:rsidR="00747D21" w:rsidRPr="002A6C40">
        <w:rPr>
          <w:lang w:val="en-GB"/>
        </w:rPr>
        <w:t>as</w:t>
      </w:r>
      <w:r w:rsidRPr="002A6C40">
        <w:rPr>
          <w:lang w:val="en-GB"/>
        </w:rPr>
        <w:t xml:space="preserve"> probably due to a greater strength</w:t>
      </w:r>
      <w:r w:rsidR="00B6138A" w:rsidRPr="002A6C40">
        <w:rPr>
          <w:lang w:val="en-GB"/>
        </w:rPr>
        <w:t xml:space="preserve"> development</w:t>
      </w:r>
      <w:r w:rsidRPr="002A6C40">
        <w:rPr>
          <w:lang w:val="en-GB"/>
        </w:rPr>
        <w:t xml:space="preserve"> of the gluten matrix and </w:t>
      </w:r>
      <w:r w:rsidR="00B6138A" w:rsidRPr="002A6C40">
        <w:rPr>
          <w:lang w:val="en-GB"/>
        </w:rPr>
        <w:t xml:space="preserve">a </w:t>
      </w:r>
      <w:r w:rsidRPr="002A6C40">
        <w:rPr>
          <w:lang w:val="en-GB"/>
        </w:rPr>
        <w:t xml:space="preserve">softer </w:t>
      </w:r>
      <w:r w:rsidR="00B6138A" w:rsidRPr="002A6C40">
        <w:rPr>
          <w:lang w:val="en-GB"/>
        </w:rPr>
        <w:t xml:space="preserve">crumb </w:t>
      </w:r>
      <w:r w:rsidR="00730F16">
        <w:rPr>
          <w:lang w:val="en-GB"/>
        </w:rPr>
        <w:t xml:space="preserve">compared to breads </w:t>
      </w:r>
      <w:r w:rsidR="00B6138A" w:rsidRPr="002A6C40">
        <w:rPr>
          <w:lang w:val="en-GB"/>
        </w:rPr>
        <w:t xml:space="preserve">prepared with </w:t>
      </w:r>
      <w:r w:rsidR="00730F16">
        <w:rPr>
          <w:lang w:val="en-GB"/>
        </w:rPr>
        <w:t xml:space="preserve">the </w:t>
      </w:r>
      <w:r w:rsidR="00B6138A" w:rsidRPr="002A6C40">
        <w:rPr>
          <w:lang w:val="en-GB"/>
        </w:rPr>
        <w:t>other sourdoughs.</w:t>
      </w:r>
    </w:p>
    <w:p w14:paraId="10A206D6" w14:textId="32ECF0F9" w:rsidR="00C7501B" w:rsidRDefault="00C7501B" w:rsidP="00011AD0">
      <w:pPr>
        <w:pStyle w:val="CETBodytext"/>
        <w:rPr>
          <w:lang w:val="en-GB"/>
        </w:rPr>
      </w:pPr>
    </w:p>
    <w:p w14:paraId="3A3DC415" w14:textId="77777777" w:rsidR="00C7501B" w:rsidRDefault="00C7501B" w:rsidP="00C7501B">
      <w:pPr>
        <w:tabs>
          <w:tab w:val="clear" w:pos="7100"/>
        </w:tabs>
        <w:autoSpaceDE w:val="0"/>
        <w:autoSpaceDN w:val="0"/>
        <w:adjustRightInd w:val="0"/>
        <w:spacing w:line="240" w:lineRule="auto"/>
        <w:jc w:val="left"/>
        <w:rPr>
          <w:rFonts w:eastAsiaTheme="minorHAnsi" w:cs="Arial"/>
          <w:b/>
          <w:bCs/>
          <w:szCs w:val="18"/>
        </w:rPr>
      </w:pPr>
      <w:r>
        <w:rPr>
          <w:rFonts w:eastAsiaTheme="minorHAnsi" w:cs="Arial"/>
          <w:b/>
          <w:bCs/>
          <w:szCs w:val="18"/>
        </w:rPr>
        <w:t>Acknowledgments</w:t>
      </w:r>
    </w:p>
    <w:p w14:paraId="0D4D263E" w14:textId="0A8ED91F" w:rsidR="004628D2" w:rsidRDefault="00C7501B" w:rsidP="009816E8">
      <w:pPr>
        <w:pStyle w:val="CETBodytext"/>
        <w:rPr>
          <w:lang w:val="en-GB"/>
        </w:rPr>
      </w:pPr>
      <w:r w:rsidRPr="00200FED">
        <w:rPr>
          <w:lang w:val="en-GB"/>
        </w:rPr>
        <w:t xml:space="preserve">This research was supported by Fondazione Cariplo and Regione Lombardia through the </w:t>
      </w:r>
      <w:r w:rsidR="00200FED" w:rsidRPr="00200FED">
        <w:rPr>
          <w:lang w:val="en-GB"/>
        </w:rPr>
        <w:t xml:space="preserve">research </w:t>
      </w:r>
      <w:r w:rsidRPr="00200FED">
        <w:rPr>
          <w:lang w:val="en-GB"/>
        </w:rPr>
        <w:t xml:space="preserve">project </w:t>
      </w:r>
      <w:r w:rsidR="00200FED" w:rsidRPr="00200FED">
        <w:rPr>
          <w:lang w:val="en-GB"/>
        </w:rPr>
        <w:t>Cremona</w:t>
      </w:r>
      <w:r w:rsidR="007E3952">
        <w:rPr>
          <w:lang w:val="en-GB"/>
        </w:rPr>
        <w:t xml:space="preserve"> </w:t>
      </w:r>
      <w:r w:rsidR="00200FED" w:rsidRPr="00200FED">
        <w:rPr>
          <w:lang w:val="en-GB"/>
        </w:rPr>
        <w:t>Food</w:t>
      </w:r>
      <w:r w:rsidR="007E3952">
        <w:rPr>
          <w:lang w:val="en-GB"/>
        </w:rPr>
        <w:t>-</w:t>
      </w:r>
      <w:r w:rsidR="00200FED" w:rsidRPr="00200FED">
        <w:rPr>
          <w:lang w:val="en-GB"/>
        </w:rPr>
        <w:t>LAB</w:t>
      </w:r>
      <w:r w:rsidR="007E3952">
        <w:rPr>
          <w:lang w:val="en-GB"/>
        </w:rPr>
        <w:t xml:space="preserve"> grant n. </w:t>
      </w:r>
      <w:r w:rsidR="007E3952" w:rsidRPr="007E3952">
        <w:rPr>
          <w:lang w:val="en-GB"/>
        </w:rPr>
        <w:t>2015/1341</w:t>
      </w:r>
      <w:r w:rsidR="00200FED" w:rsidRPr="00200FED">
        <w:rPr>
          <w:lang w:val="en-GB"/>
        </w:rPr>
        <w:t xml:space="preserve">. </w:t>
      </w:r>
    </w:p>
    <w:p w14:paraId="252C2EB7" w14:textId="4D6CDAED" w:rsidR="00CD152D" w:rsidRDefault="00CD152D" w:rsidP="009816E8">
      <w:pPr>
        <w:pStyle w:val="CETBodytext"/>
        <w:rPr>
          <w:lang w:val="en-GB"/>
        </w:rPr>
      </w:pPr>
    </w:p>
    <w:p w14:paraId="402A62C5" w14:textId="77777777" w:rsidR="002C00EA" w:rsidRPr="005F77CE" w:rsidRDefault="002C00EA" w:rsidP="002C00EA">
      <w:pPr>
        <w:pStyle w:val="CETReferencetext"/>
        <w:rPr>
          <w:b/>
        </w:rPr>
      </w:pPr>
      <w:r w:rsidRPr="005F77CE">
        <w:rPr>
          <w:b/>
        </w:rPr>
        <w:t>References</w:t>
      </w:r>
    </w:p>
    <w:p w14:paraId="367F97A4" w14:textId="5B7B2D4D" w:rsidR="001C40AF" w:rsidRDefault="001C40AF" w:rsidP="001C40AF">
      <w:pPr>
        <w:pStyle w:val="CETReferencetext"/>
      </w:pPr>
      <w:r>
        <w:t>Berland S.</w:t>
      </w:r>
      <w:r w:rsidR="00AB03E5">
        <w:t xml:space="preserve">, </w:t>
      </w:r>
      <w:r>
        <w:t>Launay B., 1995, Rheological properties of wheat flour doughs in steady and dynamic shear: effect of water content and some additives, Cereal Chemistry, 72, 48–52.</w:t>
      </w:r>
    </w:p>
    <w:p w14:paraId="57E93875" w14:textId="4101D4C3" w:rsidR="001C40AF" w:rsidRDefault="001C40AF" w:rsidP="001C40AF">
      <w:pPr>
        <w:pStyle w:val="CETReferencetext"/>
      </w:pPr>
      <w:r>
        <w:t>Chavan R.S</w:t>
      </w:r>
      <w:r w:rsidR="00AB03E5">
        <w:t>.,</w:t>
      </w:r>
      <w:r>
        <w:t xml:space="preserve"> Chavan S.R., 2011, Sourdough Technology</w:t>
      </w:r>
      <w:r w:rsidR="00114FE4">
        <w:t xml:space="preserve"> - </w:t>
      </w:r>
      <w:r>
        <w:t>A Traditional Way for Wholesome Foods: A Review, Comprehensive Reviews in Food Science and Food Safety, 170-183.</w:t>
      </w:r>
    </w:p>
    <w:p w14:paraId="3FF79DDF" w14:textId="29619019" w:rsidR="000E78B6" w:rsidRPr="000E78B6" w:rsidRDefault="000E78B6" w:rsidP="000E78B6">
      <w:pPr>
        <w:pStyle w:val="CETReferencetext"/>
        <w:rPr>
          <w:lang w:val="en-US"/>
        </w:rPr>
      </w:pPr>
      <w:r w:rsidRPr="000E78B6">
        <w:rPr>
          <w:lang w:val="en-US"/>
        </w:rPr>
        <w:t>Clark</w:t>
      </w:r>
      <w:r>
        <w:rPr>
          <w:lang w:val="en-US"/>
        </w:rPr>
        <w:t xml:space="preserve"> </w:t>
      </w:r>
      <w:r w:rsidRPr="000E78B6">
        <w:rPr>
          <w:lang w:val="en-US"/>
        </w:rPr>
        <w:t>C.I., Schober</w:t>
      </w:r>
      <w:r>
        <w:rPr>
          <w:lang w:val="en-US"/>
        </w:rPr>
        <w:t xml:space="preserve"> </w:t>
      </w:r>
      <w:r w:rsidRPr="000E78B6">
        <w:rPr>
          <w:lang w:val="en-US"/>
        </w:rPr>
        <w:t>T.J., Dockery</w:t>
      </w:r>
      <w:r>
        <w:rPr>
          <w:lang w:val="en-US"/>
        </w:rPr>
        <w:t xml:space="preserve"> </w:t>
      </w:r>
      <w:r w:rsidRPr="000E78B6">
        <w:rPr>
          <w:lang w:val="en-US"/>
        </w:rPr>
        <w:t>P., O'Sullivan K., Arendt E.K.</w:t>
      </w:r>
      <w:r>
        <w:rPr>
          <w:lang w:val="en-US"/>
        </w:rPr>
        <w:t xml:space="preserve">, </w:t>
      </w:r>
      <w:r w:rsidRPr="000E78B6">
        <w:rPr>
          <w:lang w:val="en-US"/>
        </w:rPr>
        <w:t>2004</w:t>
      </w:r>
      <w:r>
        <w:rPr>
          <w:lang w:val="en-US"/>
        </w:rPr>
        <w:t xml:space="preserve">, </w:t>
      </w:r>
      <w:r w:rsidRPr="000E78B6">
        <w:rPr>
          <w:lang w:val="en-US"/>
        </w:rPr>
        <w:t>Wheat Sourdough Fermentation: Effects of Time and Acidification on Fundamental Rheological Properties</w:t>
      </w:r>
      <w:r>
        <w:rPr>
          <w:lang w:val="en-US"/>
        </w:rPr>
        <w:t>,</w:t>
      </w:r>
      <w:r w:rsidRPr="000E78B6">
        <w:rPr>
          <w:lang w:val="en-US"/>
        </w:rPr>
        <w:t xml:space="preserve"> American Association of Cereal Chemists, 81(3), 409 - 417.</w:t>
      </w:r>
    </w:p>
    <w:p w14:paraId="197054F9" w14:textId="7F9DDBF8" w:rsidR="000E78B6" w:rsidRPr="00AB03E5" w:rsidRDefault="000E78B6" w:rsidP="000E78B6">
      <w:pPr>
        <w:pStyle w:val="CETReferencetext"/>
        <w:rPr>
          <w:lang w:val="en-US"/>
        </w:rPr>
      </w:pPr>
      <w:r w:rsidRPr="000E78B6">
        <w:rPr>
          <w:lang w:val="en-US"/>
        </w:rPr>
        <w:t>Corsetti</w:t>
      </w:r>
      <w:r>
        <w:rPr>
          <w:lang w:val="en-US"/>
        </w:rPr>
        <w:t xml:space="preserve"> </w:t>
      </w:r>
      <w:r w:rsidRPr="000E78B6">
        <w:rPr>
          <w:lang w:val="en-US"/>
        </w:rPr>
        <w:t>A</w:t>
      </w:r>
      <w:r>
        <w:rPr>
          <w:lang w:val="en-US"/>
        </w:rPr>
        <w:t xml:space="preserve">., </w:t>
      </w:r>
      <w:r w:rsidRPr="000E78B6">
        <w:rPr>
          <w:lang w:val="en-US"/>
        </w:rPr>
        <w:t>2012</w:t>
      </w:r>
      <w:r>
        <w:rPr>
          <w:lang w:val="en-US"/>
        </w:rPr>
        <w:t>,</w:t>
      </w:r>
      <w:r w:rsidRPr="000E78B6">
        <w:rPr>
          <w:lang w:val="en-US"/>
        </w:rPr>
        <w:t xml:space="preserve"> Technology of sourdough fermentation and sourdough application</w:t>
      </w:r>
      <w:r w:rsidR="00AB03E5">
        <w:rPr>
          <w:lang w:val="en-US"/>
        </w:rPr>
        <w:t xml:space="preserve">, </w:t>
      </w:r>
      <w:r w:rsidRPr="00AB03E5">
        <w:rPr>
          <w:lang w:val="en-US"/>
        </w:rPr>
        <w:t>Handbook on Sourdough Biotechnology, 85-103.</w:t>
      </w:r>
    </w:p>
    <w:p w14:paraId="05788996" w14:textId="284958C1" w:rsidR="000E78B6" w:rsidRPr="000E78B6" w:rsidRDefault="000E78B6" w:rsidP="000E78B6">
      <w:pPr>
        <w:pStyle w:val="CETReferencetext"/>
        <w:rPr>
          <w:lang w:val="en-US"/>
        </w:rPr>
      </w:pPr>
      <w:r w:rsidRPr="00AB03E5">
        <w:rPr>
          <w:lang w:val="en-US"/>
        </w:rPr>
        <w:t>De Vuyst L., Hart H., Van Kerrebroeck</w:t>
      </w:r>
      <w:r w:rsidR="00AB03E5" w:rsidRPr="00AB03E5">
        <w:rPr>
          <w:lang w:val="en-US"/>
        </w:rPr>
        <w:t xml:space="preserve"> </w:t>
      </w:r>
      <w:r w:rsidRPr="00AB03E5">
        <w:rPr>
          <w:lang w:val="en-US"/>
        </w:rPr>
        <w:t>S.</w:t>
      </w:r>
      <w:r w:rsidR="00AB03E5">
        <w:rPr>
          <w:lang w:val="en-US"/>
        </w:rPr>
        <w:t>,</w:t>
      </w:r>
      <w:r w:rsidR="00AB03E5" w:rsidRPr="00AB03E5">
        <w:rPr>
          <w:lang w:val="en-US"/>
        </w:rPr>
        <w:t xml:space="preserve"> </w:t>
      </w:r>
      <w:r w:rsidRPr="00AB03E5">
        <w:rPr>
          <w:lang w:val="en-US"/>
        </w:rPr>
        <w:t>Leroy</w:t>
      </w:r>
      <w:r w:rsidR="00AB03E5" w:rsidRPr="00AB03E5">
        <w:rPr>
          <w:lang w:val="en-US"/>
        </w:rPr>
        <w:t xml:space="preserve"> </w:t>
      </w:r>
      <w:r w:rsidRPr="00AB03E5">
        <w:rPr>
          <w:lang w:val="en-US"/>
        </w:rPr>
        <w:t>F.</w:t>
      </w:r>
      <w:r w:rsidR="00AB03E5" w:rsidRPr="00AB03E5">
        <w:rPr>
          <w:lang w:val="en-US"/>
        </w:rPr>
        <w:t>,</w:t>
      </w:r>
      <w:r w:rsidRPr="00AB03E5">
        <w:rPr>
          <w:lang w:val="en-US"/>
        </w:rPr>
        <w:t xml:space="preserve"> 2016</w:t>
      </w:r>
      <w:r w:rsidR="00AB03E5">
        <w:rPr>
          <w:lang w:val="en-US"/>
        </w:rPr>
        <w:t>,</w:t>
      </w:r>
      <w:r w:rsidRPr="00AB03E5">
        <w:rPr>
          <w:lang w:val="en-US"/>
        </w:rPr>
        <w:t xml:space="preserve"> </w:t>
      </w:r>
      <w:r w:rsidRPr="000E78B6">
        <w:rPr>
          <w:lang w:val="en-US"/>
        </w:rPr>
        <w:t>Yeast diversity of sourdoughs and associated metabolic properties and functionalities</w:t>
      </w:r>
      <w:r w:rsidR="00AB03E5">
        <w:rPr>
          <w:lang w:val="en-US"/>
        </w:rPr>
        <w:t xml:space="preserve">, </w:t>
      </w:r>
      <w:r w:rsidRPr="000E78B6">
        <w:rPr>
          <w:lang w:val="en-US"/>
        </w:rPr>
        <w:t>International Journal of Food Microbiology, 239, 26–34.</w:t>
      </w:r>
    </w:p>
    <w:p w14:paraId="083994FF" w14:textId="642D2422" w:rsidR="00AB03E5" w:rsidRDefault="00AB03E5" w:rsidP="000E78B6">
      <w:pPr>
        <w:pStyle w:val="CETReferencetext"/>
        <w:rPr>
          <w:noProof/>
        </w:rPr>
      </w:pPr>
      <w:r w:rsidRPr="00AB03E5">
        <w:rPr>
          <w:noProof/>
          <w:lang w:val="en-US"/>
        </w:rPr>
        <w:t>De Vuyst L., Van Kerrebroeck S., Harth H., Huys G., Daniel H.M., Weckx S., 2014</w:t>
      </w:r>
      <w:r>
        <w:rPr>
          <w:noProof/>
          <w:lang w:val="en-US"/>
        </w:rPr>
        <w:t>,</w:t>
      </w:r>
      <w:r w:rsidRPr="00AB03E5">
        <w:rPr>
          <w:noProof/>
          <w:lang w:val="en-US"/>
        </w:rPr>
        <w:t xml:space="preserve"> </w:t>
      </w:r>
      <w:r w:rsidRPr="00AB03E5">
        <w:rPr>
          <w:iCs/>
          <w:noProof/>
        </w:rPr>
        <w:t>Microbial ecology of sourdough fermentations: Diverse or uniform?</w:t>
      </w:r>
      <w:r>
        <w:rPr>
          <w:i/>
          <w:iCs/>
          <w:noProof/>
        </w:rPr>
        <w:t xml:space="preserve">, </w:t>
      </w:r>
      <w:r w:rsidRPr="00AB03E5">
        <w:rPr>
          <w:iCs/>
          <w:noProof/>
        </w:rPr>
        <w:t>Food Microbiology,</w:t>
      </w:r>
      <w:r>
        <w:rPr>
          <w:i/>
          <w:iCs/>
          <w:noProof/>
        </w:rPr>
        <w:t xml:space="preserve"> 37</w:t>
      </w:r>
      <w:r>
        <w:rPr>
          <w:noProof/>
        </w:rPr>
        <w:t>, 11-29</w:t>
      </w:r>
    </w:p>
    <w:p w14:paraId="2E30D41F" w14:textId="712B825B" w:rsidR="000E78B6" w:rsidRPr="00AB03E5" w:rsidRDefault="000E78B6" w:rsidP="000E78B6">
      <w:pPr>
        <w:pStyle w:val="CETReferencetext"/>
        <w:rPr>
          <w:lang w:val="it-IT"/>
        </w:rPr>
      </w:pPr>
      <w:r w:rsidRPr="00AB03E5">
        <w:rPr>
          <w:lang w:val="it-IT"/>
        </w:rPr>
        <w:t>Gabriele D., De Cindio B.,</w:t>
      </w:r>
      <w:r w:rsidR="00AB03E5">
        <w:rPr>
          <w:lang w:val="it-IT"/>
        </w:rPr>
        <w:t xml:space="preserve"> </w:t>
      </w:r>
      <w:r w:rsidRPr="00AB03E5">
        <w:rPr>
          <w:lang w:val="it-IT"/>
        </w:rPr>
        <w:t>D'Antona P.</w:t>
      </w:r>
      <w:r w:rsidR="00AB03E5">
        <w:rPr>
          <w:lang w:val="it-IT"/>
        </w:rPr>
        <w:t>,</w:t>
      </w:r>
      <w:r w:rsidRPr="00AB03E5">
        <w:rPr>
          <w:lang w:val="it-IT"/>
        </w:rPr>
        <w:t xml:space="preserve"> 2001</w:t>
      </w:r>
      <w:r w:rsidR="00AB03E5">
        <w:rPr>
          <w:lang w:val="it-IT"/>
        </w:rPr>
        <w:t>,</w:t>
      </w:r>
      <w:r w:rsidRPr="00AB03E5">
        <w:rPr>
          <w:lang w:val="it-IT"/>
        </w:rPr>
        <w:t xml:space="preserve"> A weak gel model for foods</w:t>
      </w:r>
      <w:r w:rsidR="00AB03E5" w:rsidRPr="00AB03E5">
        <w:rPr>
          <w:lang w:val="it-IT"/>
        </w:rPr>
        <w:t>,</w:t>
      </w:r>
      <w:r w:rsidRPr="00AB03E5">
        <w:rPr>
          <w:lang w:val="it-IT"/>
        </w:rPr>
        <w:t xml:space="preserve"> Rheologica Acta</w:t>
      </w:r>
      <w:r w:rsidR="00AB03E5">
        <w:rPr>
          <w:lang w:val="it-IT"/>
        </w:rPr>
        <w:t>,</w:t>
      </w:r>
      <w:r w:rsidRPr="00AB03E5">
        <w:rPr>
          <w:lang w:val="it-IT"/>
        </w:rPr>
        <w:t xml:space="preserve"> 40, 120-127.</w:t>
      </w:r>
    </w:p>
    <w:p w14:paraId="22467FCE" w14:textId="45902892" w:rsidR="000E78B6" w:rsidRPr="000E78B6" w:rsidRDefault="000E78B6" w:rsidP="000E78B6">
      <w:pPr>
        <w:pStyle w:val="CETReferencetext"/>
        <w:rPr>
          <w:lang w:val="en-US"/>
        </w:rPr>
      </w:pPr>
      <w:r w:rsidRPr="000E78B6">
        <w:rPr>
          <w:lang w:val="en-US"/>
        </w:rPr>
        <w:t>Georgopoulos T., Larsson H., Eliasson A.</w:t>
      </w:r>
      <w:r w:rsidR="00AB03E5">
        <w:rPr>
          <w:lang w:val="en-US"/>
        </w:rPr>
        <w:t>,</w:t>
      </w:r>
      <w:r w:rsidRPr="000E78B6">
        <w:rPr>
          <w:lang w:val="en-US"/>
        </w:rPr>
        <w:t xml:space="preserve"> 2004</w:t>
      </w:r>
      <w:r w:rsidR="00AB03E5">
        <w:rPr>
          <w:lang w:val="en-US"/>
        </w:rPr>
        <w:t>,</w:t>
      </w:r>
      <w:r w:rsidRPr="000E78B6">
        <w:rPr>
          <w:lang w:val="en-US"/>
        </w:rPr>
        <w:t xml:space="preserve"> A comparison of the rheological properties of wheat flour dough and its gluten prepared by ultracentrifugation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Food Hydrocolloids, 18 (1), 143–151.</w:t>
      </w:r>
    </w:p>
    <w:p w14:paraId="05A1D3D0" w14:textId="142A9749" w:rsidR="000E78B6" w:rsidRPr="000E78B6" w:rsidRDefault="000E78B6" w:rsidP="000E78B6">
      <w:pPr>
        <w:pStyle w:val="CETReferencetext"/>
        <w:rPr>
          <w:lang w:val="en-US"/>
        </w:rPr>
      </w:pPr>
      <w:r w:rsidRPr="000E78B6">
        <w:rPr>
          <w:lang w:val="en-US"/>
        </w:rPr>
        <w:t>Gobbetti M.</w:t>
      </w:r>
      <w:r w:rsidR="00B57B8B">
        <w:rPr>
          <w:lang w:val="en-US"/>
        </w:rPr>
        <w:t xml:space="preserve">, </w:t>
      </w:r>
      <w:r w:rsidRPr="000E78B6">
        <w:rPr>
          <w:lang w:val="en-US"/>
        </w:rPr>
        <w:t>1998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The sourdough microflora: Interactions of lactic acid bacteria and yeasts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Trends in Food Science &amp; Technology, 9, 267-274.</w:t>
      </w:r>
    </w:p>
    <w:p w14:paraId="2C477B1A" w14:textId="4CAFD1D2" w:rsidR="000E78B6" w:rsidRPr="000E78B6" w:rsidRDefault="000E78B6" w:rsidP="000E78B6">
      <w:pPr>
        <w:pStyle w:val="CETReferencetext"/>
        <w:rPr>
          <w:lang w:val="en-US"/>
        </w:rPr>
      </w:pPr>
      <w:r w:rsidRPr="00B57B8B">
        <w:rPr>
          <w:lang w:val="en-US"/>
        </w:rPr>
        <w:t>Kadan R.S., Robinson M.G., Thibodeaux D.P., Pepperman Jr. A.B.</w:t>
      </w:r>
      <w:r w:rsidR="00B57B8B">
        <w:rPr>
          <w:lang w:val="en-US"/>
        </w:rPr>
        <w:t>,</w:t>
      </w:r>
      <w:r w:rsidRPr="00B57B8B">
        <w:rPr>
          <w:lang w:val="en-US"/>
        </w:rPr>
        <w:t xml:space="preserve"> 2001</w:t>
      </w:r>
      <w:r w:rsidR="00B57B8B">
        <w:rPr>
          <w:lang w:val="en-US"/>
        </w:rPr>
        <w:t>,</w:t>
      </w:r>
      <w:r w:rsidRPr="00B57B8B">
        <w:rPr>
          <w:lang w:val="en-US"/>
        </w:rPr>
        <w:t xml:space="preserve"> </w:t>
      </w:r>
      <w:r w:rsidRPr="000E78B6">
        <w:rPr>
          <w:lang w:val="en-US"/>
        </w:rPr>
        <w:t>Texture and other Physicochemical Properties of Whole Rice Bread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Food Chemistry and Toxicology, 66, 940-944.</w:t>
      </w:r>
    </w:p>
    <w:p w14:paraId="4D4A5230" w14:textId="69074CA4" w:rsidR="000E78B6" w:rsidRPr="000E78B6" w:rsidRDefault="000E78B6" w:rsidP="000E78B6">
      <w:pPr>
        <w:pStyle w:val="CETReferencetext"/>
        <w:rPr>
          <w:lang w:val="en-US"/>
        </w:rPr>
      </w:pPr>
      <w:r w:rsidRPr="00B57B8B">
        <w:rPr>
          <w:lang w:val="en-US"/>
        </w:rPr>
        <w:t xml:space="preserve">Kokini J.L., Cocero A.M., Madeka H., </w:t>
      </w:r>
      <w:r w:rsidR="00B57B8B">
        <w:rPr>
          <w:lang w:val="en-US"/>
        </w:rPr>
        <w:t>D</w:t>
      </w:r>
      <w:r w:rsidRPr="00B57B8B">
        <w:rPr>
          <w:lang w:val="en-US"/>
        </w:rPr>
        <w:t>e Graaf E.</w:t>
      </w:r>
      <w:r w:rsidR="00B57B8B">
        <w:rPr>
          <w:lang w:val="en-US"/>
        </w:rPr>
        <w:t>,</w:t>
      </w:r>
      <w:r w:rsidRPr="00B57B8B">
        <w:rPr>
          <w:lang w:val="en-US"/>
        </w:rPr>
        <w:t xml:space="preserve"> 1994</w:t>
      </w:r>
      <w:r w:rsidR="00B57B8B">
        <w:rPr>
          <w:lang w:val="en-US"/>
        </w:rPr>
        <w:t>,</w:t>
      </w:r>
      <w:r w:rsidRPr="00B57B8B">
        <w:rPr>
          <w:lang w:val="en-US"/>
        </w:rPr>
        <w:t xml:space="preserve"> </w:t>
      </w:r>
      <w:r w:rsidRPr="000E78B6">
        <w:rPr>
          <w:lang w:val="en-US"/>
        </w:rPr>
        <w:t>The development of state diagrams for cereal proteins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Trends in Food Science Technology, 5 (9), 281–288.</w:t>
      </w:r>
    </w:p>
    <w:p w14:paraId="373FC8B0" w14:textId="468CAD64" w:rsidR="000E78B6" w:rsidRPr="000E78B6" w:rsidRDefault="000E78B6" w:rsidP="000E78B6">
      <w:pPr>
        <w:pStyle w:val="CETReferencetext"/>
        <w:rPr>
          <w:lang w:val="en-US"/>
        </w:rPr>
      </w:pPr>
      <w:r w:rsidRPr="00B57B8B">
        <w:rPr>
          <w:lang w:val="en-US"/>
        </w:rPr>
        <w:t>Manini F., Brasca M., Plumed</w:t>
      </w:r>
      <w:r w:rsidRPr="00B57B8B">
        <w:rPr>
          <w:rFonts w:ascii="Cambria Math" w:hAnsi="Cambria Math" w:cs="Cambria Math"/>
          <w:lang w:val="en-US"/>
        </w:rPr>
        <w:t>‐</w:t>
      </w:r>
      <w:r w:rsidRPr="00B57B8B">
        <w:rPr>
          <w:lang w:val="en-US"/>
        </w:rPr>
        <w:t>Ferrer C., Morandi S., Erba D.,</w:t>
      </w:r>
      <w:r w:rsidR="00B57B8B" w:rsidRPr="00B57B8B">
        <w:rPr>
          <w:lang w:val="en-US"/>
        </w:rPr>
        <w:t xml:space="preserve"> </w:t>
      </w:r>
      <w:r w:rsidRPr="00B57B8B">
        <w:rPr>
          <w:lang w:val="en-US"/>
        </w:rPr>
        <w:t>Casiraghi M.C.</w:t>
      </w:r>
      <w:r w:rsidR="00B57B8B" w:rsidRPr="00B57B8B">
        <w:rPr>
          <w:lang w:val="en-US"/>
        </w:rPr>
        <w:t>,</w:t>
      </w:r>
      <w:r w:rsidRPr="00B57B8B">
        <w:rPr>
          <w:lang w:val="en-US"/>
        </w:rPr>
        <w:t xml:space="preserve"> 2016</w:t>
      </w:r>
      <w:r w:rsidR="00B57B8B" w:rsidRPr="00B57B8B">
        <w:rPr>
          <w:lang w:val="en-US"/>
        </w:rPr>
        <w:t>,</w:t>
      </w:r>
      <w:r w:rsidRPr="00B57B8B">
        <w:rPr>
          <w:lang w:val="en-US"/>
        </w:rPr>
        <w:t xml:space="preserve"> </w:t>
      </w:r>
      <w:r w:rsidRPr="000E78B6">
        <w:rPr>
          <w:lang w:val="en-US"/>
        </w:rPr>
        <w:t>Study of the Chemical Changes and Evolution of Microbiota During Sourdough</w:t>
      </w:r>
      <w:r w:rsidR="00B57B8B">
        <w:rPr>
          <w:lang w:val="en-US"/>
        </w:rPr>
        <w:t xml:space="preserve"> </w:t>
      </w:r>
      <w:r w:rsidRPr="000E78B6">
        <w:rPr>
          <w:lang w:val="en-US"/>
        </w:rPr>
        <w:t>like Fermentation of Wheat Bran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Cereal Chemistry, 342-349.</w:t>
      </w:r>
    </w:p>
    <w:p w14:paraId="2502EC32" w14:textId="492E55F3" w:rsidR="000E78B6" w:rsidRPr="00B57B8B" w:rsidRDefault="000E78B6" w:rsidP="000E78B6">
      <w:pPr>
        <w:pStyle w:val="CETReferencetext"/>
        <w:rPr>
          <w:lang w:val="en-US"/>
        </w:rPr>
      </w:pPr>
      <w:r w:rsidRPr="000E78B6">
        <w:rPr>
          <w:lang w:val="en-US"/>
        </w:rPr>
        <w:t>Neysens P., De Vuyst L.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2005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Kinetics and modelling of sourdough lactic acid bacteria</w:t>
      </w:r>
      <w:r w:rsidR="00B57B8B">
        <w:rPr>
          <w:lang w:val="en-US"/>
        </w:rPr>
        <w:t xml:space="preserve">, </w:t>
      </w:r>
      <w:r w:rsidRPr="00B57B8B">
        <w:rPr>
          <w:lang w:val="en-US"/>
        </w:rPr>
        <w:t>Tren</w:t>
      </w:r>
      <w:r w:rsidR="00114FE4">
        <w:rPr>
          <w:lang w:val="en-US"/>
        </w:rPr>
        <w:t>ds in Food Science &amp; Technology</w:t>
      </w:r>
      <w:r w:rsidRPr="00B57B8B">
        <w:rPr>
          <w:lang w:val="en-US"/>
        </w:rPr>
        <w:t>, 95-103.</w:t>
      </w:r>
    </w:p>
    <w:p w14:paraId="7C2BEEFC" w14:textId="4F8B4394" w:rsidR="000E78B6" w:rsidRDefault="000E78B6" w:rsidP="000E78B6">
      <w:pPr>
        <w:pStyle w:val="CETReferencetext"/>
        <w:rPr>
          <w:lang w:val="en-US"/>
        </w:rPr>
      </w:pPr>
      <w:r w:rsidRPr="00B57B8B">
        <w:rPr>
          <w:lang w:val="en-US"/>
        </w:rPr>
        <w:t>Nionelli L., Curri N., Curiel J.A., Di Cagno R., Pontonio E., Cavoski I.,</w:t>
      </w:r>
      <w:r w:rsidR="00B57B8B" w:rsidRPr="00B57B8B">
        <w:rPr>
          <w:lang w:val="en-US"/>
        </w:rPr>
        <w:t xml:space="preserve"> </w:t>
      </w:r>
      <w:r w:rsidRPr="00B57B8B">
        <w:rPr>
          <w:lang w:val="en-US"/>
        </w:rPr>
        <w:t>Rizzello C.G.</w:t>
      </w:r>
      <w:r w:rsidR="00B57B8B" w:rsidRPr="00B57B8B">
        <w:rPr>
          <w:lang w:val="en-US"/>
        </w:rPr>
        <w:t>,</w:t>
      </w:r>
      <w:r w:rsidRPr="00B57B8B">
        <w:rPr>
          <w:lang w:val="en-US"/>
        </w:rPr>
        <w:t xml:space="preserve"> 2014</w:t>
      </w:r>
      <w:r w:rsidR="00B57B8B">
        <w:rPr>
          <w:lang w:val="en-US"/>
        </w:rPr>
        <w:t>,</w:t>
      </w:r>
      <w:r w:rsidRPr="00B57B8B">
        <w:rPr>
          <w:lang w:val="en-US"/>
        </w:rPr>
        <w:t xml:space="preserve"> </w:t>
      </w:r>
      <w:r w:rsidRPr="000E78B6">
        <w:rPr>
          <w:lang w:val="en-US"/>
        </w:rPr>
        <w:t>Exploitation of Albanian wheat cultivars: characterization of the flours and lactic acid bacteria microbiota, and selection of starters for sourdough fermentation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Food Microbiology, 44, 96-107.</w:t>
      </w:r>
    </w:p>
    <w:p w14:paraId="1071EB0C" w14:textId="0D40F95C" w:rsidR="009373F9" w:rsidRPr="009373F9" w:rsidRDefault="009373F9" w:rsidP="009373F9">
      <w:pPr>
        <w:pStyle w:val="CETReferencetext"/>
        <w:rPr>
          <w:lang w:val="en-US"/>
        </w:rPr>
      </w:pPr>
      <w:r w:rsidRPr="009373F9">
        <w:t>Papasidero D., Manenti F., Corbetta M., Rossi F., 2014</w:t>
      </w:r>
      <w:r>
        <w:rPr>
          <w:lang w:val="en-US"/>
        </w:rPr>
        <w:t>,</w:t>
      </w:r>
      <w:r w:rsidRPr="000E78B6">
        <w:rPr>
          <w:lang w:val="en-US"/>
        </w:rPr>
        <w:t xml:space="preserve"> </w:t>
      </w:r>
      <w:r w:rsidRPr="009373F9">
        <w:rPr>
          <w:lang w:val="en-US"/>
        </w:rPr>
        <w:t>Relating Bread Baking Process Operating Conditions to the Product Quality: a Modelling Approach</w:t>
      </w:r>
      <w:r>
        <w:rPr>
          <w:lang w:val="en-US"/>
        </w:rPr>
        <w:t>,</w:t>
      </w:r>
      <w:r w:rsidRPr="000E78B6">
        <w:rPr>
          <w:lang w:val="en-US"/>
        </w:rPr>
        <w:t xml:space="preserve"> </w:t>
      </w:r>
      <w:r>
        <w:rPr>
          <w:lang w:val="en-US"/>
        </w:rPr>
        <w:t>Chemical Engineering T</w:t>
      </w:r>
      <w:r w:rsidR="00D56BDC">
        <w:rPr>
          <w:lang w:val="en-US"/>
        </w:rPr>
        <w:t>r</w:t>
      </w:r>
      <w:r>
        <w:rPr>
          <w:lang w:val="en-US"/>
        </w:rPr>
        <w:t>ans</w:t>
      </w:r>
      <w:r w:rsidR="00D56BDC">
        <w:rPr>
          <w:lang w:val="en-US"/>
        </w:rPr>
        <w:t>action</w:t>
      </w:r>
      <w:r w:rsidRPr="000E78B6">
        <w:rPr>
          <w:lang w:val="en-US"/>
        </w:rPr>
        <w:t xml:space="preserve">, </w:t>
      </w:r>
      <w:r w:rsidR="00D56BDC" w:rsidRPr="00D56BDC">
        <w:rPr>
          <w:lang w:val="en-US"/>
        </w:rPr>
        <w:t>39, 1729-1734</w:t>
      </w:r>
      <w:r w:rsidR="00D56BDC">
        <w:rPr>
          <w:lang w:val="en-US"/>
        </w:rPr>
        <w:t>.</w:t>
      </w:r>
    </w:p>
    <w:p w14:paraId="3C7C3BEC" w14:textId="37F93D4D" w:rsidR="000E78B6" w:rsidRPr="000E78B6" w:rsidRDefault="000E78B6" w:rsidP="000E78B6">
      <w:pPr>
        <w:pStyle w:val="CETReferencetext"/>
        <w:rPr>
          <w:lang w:val="en-US"/>
        </w:rPr>
      </w:pPr>
      <w:r w:rsidRPr="000E78B6">
        <w:rPr>
          <w:lang w:val="en-US"/>
        </w:rPr>
        <w:t>Phan-Thien N., Newberry M., Tanner R.I.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2000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Non-linear oscillatory flow of a soft solid-like viscoelastic material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Journal of Non-Newtonian Fluid Mechanics, 92, 67-80.</w:t>
      </w:r>
    </w:p>
    <w:p w14:paraId="0513A8AD" w14:textId="37C37B07" w:rsidR="000E78B6" w:rsidRPr="000E78B6" w:rsidRDefault="000E78B6" w:rsidP="000E78B6">
      <w:pPr>
        <w:pStyle w:val="CETReferencetext"/>
        <w:rPr>
          <w:lang w:val="en-US"/>
        </w:rPr>
      </w:pPr>
      <w:r w:rsidRPr="00B57B8B">
        <w:rPr>
          <w:lang w:val="en-US"/>
        </w:rPr>
        <w:t>Poutanen K., Flander L., Katina K.</w:t>
      </w:r>
      <w:r w:rsidR="00B57B8B" w:rsidRPr="00B57B8B">
        <w:rPr>
          <w:lang w:val="en-US"/>
        </w:rPr>
        <w:t>,</w:t>
      </w:r>
      <w:r w:rsidRPr="00B57B8B">
        <w:rPr>
          <w:lang w:val="en-US"/>
        </w:rPr>
        <w:t xml:space="preserve"> 2009</w:t>
      </w:r>
      <w:r w:rsidR="00B57B8B" w:rsidRPr="00B57B8B">
        <w:rPr>
          <w:lang w:val="en-US"/>
        </w:rPr>
        <w:t>,</w:t>
      </w:r>
      <w:r w:rsidRPr="00B57B8B">
        <w:rPr>
          <w:lang w:val="en-US"/>
        </w:rPr>
        <w:t xml:space="preserve"> </w:t>
      </w:r>
      <w:r w:rsidRPr="000E78B6">
        <w:rPr>
          <w:lang w:val="en-US"/>
        </w:rPr>
        <w:t>Sourdough and cereal fermentation in a nutritional perspective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Food Microbiology, 693-699.</w:t>
      </w:r>
    </w:p>
    <w:p w14:paraId="5E3AA374" w14:textId="706BC4F6" w:rsidR="000E78B6" w:rsidRPr="000E78B6" w:rsidRDefault="000E78B6" w:rsidP="000E78B6">
      <w:pPr>
        <w:pStyle w:val="CETReferencetext"/>
        <w:rPr>
          <w:lang w:val="en-US"/>
        </w:rPr>
      </w:pPr>
      <w:r w:rsidRPr="000E78B6">
        <w:rPr>
          <w:lang w:val="en-US"/>
        </w:rPr>
        <w:t>Ross-Murphy S.B.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1995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Structure–properties relationships in food biopolymer gels and solutions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Journal of Rheology, 39 (6), 1451–1463.</w:t>
      </w:r>
    </w:p>
    <w:p w14:paraId="0A9D723C" w14:textId="0203D5EF" w:rsidR="000E78B6" w:rsidRPr="000E78B6" w:rsidRDefault="000E78B6" w:rsidP="000E78B6">
      <w:pPr>
        <w:pStyle w:val="CETReferencetext"/>
        <w:rPr>
          <w:lang w:val="en-US"/>
        </w:rPr>
      </w:pPr>
      <w:r w:rsidRPr="000E78B6">
        <w:rPr>
          <w:lang w:val="en-US"/>
        </w:rPr>
        <w:t>Siepmann F.B., Ripari V., Waszczynskyj N.,</w:t>
      </w:r>
      <w:r w:rsidR="00B57B8B">
        <w:rPr>
          <w:lang w:val="en-US"/>
        </w:rPr>
        <w:t xml:space="preserve"> </w:t>
      </w:r>
      <w:r w:rsidRPr="000E78B6">
        <w:rPr>
          <w:lang w:val="en-US"/>
        </w:rPr>
        <w:t>Spier M.R.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2018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Overview of Sourdough Technology: from Production to Marketing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Food Bioprocess Technology, 242-270.</w:t>
      </w:r>
    </w:p>
    <w:p w14:paraId="55341A26" w14:textId="302B2206" w:rsidR="000E78B6" w:rsidRPr="000E78B6" w:rsidRDefault="000E78B6" w:rsidP="000E78B6">
      <w:pPr>
        <w:pStyle w:val="CETReferencetext"/>
        <w:rPr>
          <w:lang w:val="en-US"/>
        </w:rPr>
      </w:pPr>
      <w:r w:rsidRPr="00B57B8B">
        <w:rPr>
          <w:lang w:val="en-US"/>
        </w:rPr>
        <w:t>Tanner R.I., Qi F., Dai S.</w:t>
      </w:r>
      <w:r w:rsidR="00B57B8B" w:rsidRPr="00B57B8B">
        <w:rPr>
          <w:lang w:val="en-US"/>
        </w:rPr>
        <w:t>,</w:t>
      </w:r>
      <w:r w:rsidRPr="00B57B8B">
        <w:rPr>
          <w:lang w:val="en-US"/>
        </w:rPr>
        <w:t xml:space="preserve"> 2008</w:t>
      </w:r>
      <w:r w:rsidR="00B57B8B" w:rsidRPr="00B57B8B">
        <w:rPr>
          <w:lang w:val="en-US"/>
        </w:rPr>
        <w:t>,</w:t>
      </w:r>
      <w:r w:rsidRPr="00B57B8B">
        <w:rPr>
          <w:lang w:val="en-US"/>
        </w:rPr>
        <w:t xml:space="preserve"> </w:t>
      </w:r>
      <w:r w:rsidRPr="000E78B6">
        <w:rPr>
          <w:lang w:val="en-US"/>
        </w:rPr>
        <w:t>Bread dough rheology and recoil I Rheology</w:t>
      </w:r>
      <w:r w:rsidR="00B57B8B">
        <w:rPr>
          <w:lang w:val="en-US"/>
        </w:rPr>
        <w:t xml:space="preserve">, </w:t>
      </w:r>
      <w:r w:rsidRPr="000E78B6">
        <w:rPr>
          <w:lang w:val="en-US"/>
        </w:rPr>
        <w:t>Journal of Non-Newtonian Fluid Mechanics, 148, 33-40.</w:t>
      </w:r>
    </w:p>
    <w:p w14:paraId="4ADC000B" w14:textId="33D499A8" w:rsidR="000E78B6" w:rsidRPr="000E78B6" w:rsidRDefault="000E78B6" w:rsidP="000E78B6">
      <w:pPr>
        <w:pStyle w:val="CETReferencetext"/>
        <w:rPr>
          <w:lang w:val="en-US"/>
        </w:rPr>
      </w:pPr>
      <w:r w:rsidRPr="000E78B6">
        <w:rPr>
          <w:lang w:val="en-US"/>
        </w:rPr>
        <w:t>Upadhyay R., Ghosal D., Mehra A.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2012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Characterization of bread dough: Rheological properties and microstructure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Journal of Food Engineering, 109, 104-113.</w:t>
      </w:r>
    </w:p>
    <w:p w14:paraId="5A421791" w14:textId="2D77AB44" w:rsidR="002C00EA" w:rsidRPr="002A6C40" w:rsidRDefault="000E78B6" w:rsidP="000E78B6">
      <w:pPr>
        <w:pStyle w:val="CETReferencetext"/>
        <w:ind w:left="0" w:firstLine="0"/>
      </w:pPr>
      <w:r w:rsidRPr="000E78B6">
        <w:rPr>
          <w:lang w:val="en-US"/>
        </w:rPr>
        <w:t>Uthayakumaran S., Newberry M., Phan-Thien N.,</w:t>
      </w:r>
      <w:r w:rsidR="00B57B8B">
        <w:rPr>
          <w:lang w:val="en-US"/>
        </w:rPr>
        <w:t xml:space="preserve"> </w:t>
      </w:r>
      <w:r w:rsidRPr="000E78B6">
        <w:rPr>
          <w:lang w:val="en-US"/>
        </w:rPr>
        <w:t>Tanner R.I.</w:t>
      </w:r>
      <w:r w:rsidR="00B57B8B">
        <w:rPr>
          <w:lang w:val="en-US"/>
        </w:rPr>
        <w:t xml:space="preserve">, </w:t>
      </w:r>
      <w:r w:rsidRPr="000E78B6">
        <w:rPr>
          <w:lang w:val="en-US"/>
        </w:rPr>
        <w:t>2002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Small and large strain rheology of wheat gluten</w:t>
      </w:r>
      <w:r w:rsidR="00B57B8B">
        <w:rPr>
          <w:lang w:val="en-US"/>
        </w:rPr>
        <w:t>,</w:t>
      </w:r>
      <w:r w:rsidRPr="000E78B6">
        <w:rPr>
          <w:lang w:val="en-US"/>
        </w:rPr>
        <w:t xml:space="preserve"> Rheologica Acta, 41, 162–172.</w:t>
      </w:r>
    </w:p>
    <w:sectPr w:rsidR="002C00EA" w:rsidRPr="002A6C40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EF93" w14:textId="77777777" w:rsidR="00D9076A" w:rsidRDefault="00D9076A" w:rsidP="004F5E36">
      <w:r>
        <w:separator/>
      </w:r>
    </w:p>
  </w:endnote>
  <w:endnote w:type="continuationSeparator" w:id="0">
    <w:p w14:paraId="58A789B2" w14:textId="77777777" w:rsidR="00D9076A" w:rsidRDefault="00D9076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58C2C" w14:textId="77777777" w:rsidR="00D9076A" w:rsidRDefault="00D9076A" w:rsidP="004F5E36">
      <w:r>
        <w:separator/>
      </w:r>
    </w:p>
  </w:footnote>
  <w:footnote w:type="continuationSeparator" w:id="0">
    <w:p w14:paraId="0ADB821A" w14:textId="77777777" w:rsidR="00D9076A" w:rsidRDefault="00D9076A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46038D"/>
    <w:multiLevelType w:val="hybridMultilevel"/>
    <w:tmpl w:val="D56E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17E"/>
    <w:multiLevelType w:val="multilevel"/>
    <w:tmpl w:val="0926353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513D1C"/>
    <w:multiLevelType w:val="hybridMultilevel"/>
    <w:tmpl w:val="33906672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32AE5"/>
    <w:multiLevelType w:val="multilevel"/>
    <w:tmpl w:val="A8BA91EC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1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4"/>
  </w:num>
  <w:num w:numId="14">
    <w:abstractNumId w:val="19"/>
  </w:num>
  <w:num w:numId="15">
    <w:abstractNumId w:val="22"/>
  </w:num>
  <w:num w:numId="16">
    <w:abstractNumId w:val="21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1"/>
    <w:lvlOverride w:ilvl="0">
      <w:startOverride w:val="1"/>
    </w:lvlOverride>
    <w:lvlOverride w:ilvl="1">
      <w:startOverride w:val="5"/>
    </w:lvlOverride>
  </w:num>
  <w:num w:numId="23">
    <w:abstractNumId w:val="20"/>
  </w:num>
  <w:num w:numId="24">
    <w:abstractNumId w:val="12"/>
  </w:num>
  <w:num w:numId="25">
    <w:abstractNumId w:val="11"/>
    <w:lvlOverride w:ilvl="0">
      <w:startOverride w:val="1"/>
    </w:lvlOverride>
    <w:lvlOverride w:ilvl="1">
      <w:startOverride w:val="4"/>
    </w:lvlOverride>
    <w:lvlOverride w:ilvl="2">
      <w:startOverride w:val="3"/>
    </w:lvlOverride>
  </w:num>
  <w:num w:numId="26">
    <w:abstractNumId w:val="11"/>
    <w:lvlOverride w:ilvl="0">
      <w:startOverride w:val="1"/>
    </w:lvlOverride>
    <w:lvlOverride w:ilvl="1">
      <w:startOverride w:val="4"/>
    </w:lvlOverride>
    <w:lvlOverride w:ilvl="2">
      <w:startOverride w:val="3"/>
    </w:lvlOverride>
  </w:num>
  <w:num w:numId="27">
    <w:abstractNumId w:val="1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2FB"/>
    <w:rsid w:val="00010F40"/>
    <w:rsid w:val="000117CB"/>
    <w:rsid w:val="00011AD0"/>
    <w:rsid w:val="00013DB0"/>
    <w:rsid w:val="000145C2"/>
    <w:rsid w:val="0003148D"/>
    <w:rsid w:val="00041D30"/>
    <w:rsid w:val="00047D7F"/>
    <w:rsid w:val="00051566"/>
    <w:rsid w:val="000610D6"/>
    <w:rsid w:val="00062773"/>
    <w:rsid w:val="00062A9A"/>
    <w:rsid w:val="00065058"/>
    <w:rsid w:val="00073040"/>
    <w:rsid w:val="000746E8"/>
    <w:rsid w:val="00083963"/>
    <w:rsid w:val="00086C39"/>
    <w:rsid w:val="000931B5"/>
    <w:rsid w:val="000A03B2"/>
    <w:rsid w:val="000A3B79"/>
    <w:rsid w:val="000A547C"/>
    <w:rsid w:val="000C11E0"/>
    <w:rsid w:val="000D34BE"/>
    <w:rsid w:val="000E102F"/>
    <w:rsid w:val="000E36F1"/>
    <w:rsid w:val="000E3A73"/>
    <w:rsid w:val="000E414A"/>
    <w:rsid w:val="000E78B6"/>
    <w:rsid w:val="000F093C"/>
    <w:rsid w:val="000F16BD"/>
    <w:rsid w:val="000F6734"/>
    <w:rsid w:val="000F787B"/>
    <w:rsid w:val="00112324"/>
    <w:rsid w:val="00114FE4"/>
    <w:rsid w:val="0012091F"/>
    <w:rsid w:val="0012143B"/>
    <w:rsid w:val="00126BC2"/>
    <w:rsid w:val="001308B6"/>
    <w:rsid w:val="0013121F"/>
    <w:rsid w:val="00131FAB"/>
    <w:rsid w:val="00131FE6"/>
    <w:rsid w:val="0013263F"/>
    <w:rsid w:val="001327AB"/>
    <w:rsid w:val="00134DE4"/>
    <w:rsid w:val="0014034D"/>
    <w:rsid w:val="00142AD9"/>
    <w:rsid w:val="00150E59"/>
    <w:rsid w:val="00152DE3"/>
    <w:rsid w:val="00164CF9"/>
    <w:rsid w:val="00184AD6"/>
    <w:rsid w:val="00184DE3"/>
    <w:rsid w:val="00191FD0"/>
    <w:rsid w:val="001974E6"/>
    <w:rsid w:val="001A3BBA"/>
    <w:rsid w:val="001B0349"/>
    <w:rsid w:val="001B250D"/>
    <w:rsid w:val="001B60A0"/>
    <w:rsid w:val="001B6441"/>
    <w:rsid w:val="001B65C1"/>
    <w:rsid w:val="001C24D0"/>
    <w:rsid w:val="001C40AF"/>
    <w:rsid w:val="001C4FFC"/>
    <w:rsid w:val="001C684B"/>
    <w:rsid w:val="001C7DC5"/>
    <w:rsid w:val="001D1146"/>
    <w:rsid w:val="001D247B"/>
    <w:rsid w:val="001D53FC"/>
    <w:rsid w:val="001E0C5B"/>
    <w:rsid w:val="001E18C9"/>
    <w:rsid w:val="001E2843"/>
    <w:rsid w:val="001E45CF"/>
    <w:rsid w:val="001F42A5"/>
    <w:rsid w:val="001F7B9D"/>
    <w:rsid w:val="00200FED"/>
    <w:rsid w:val="0020124F"/>
    <w:rsid w:val="00205035"/>
    <w:rsid w:val="00220CF9"/>
    <w:rsid w:val="002224B4"/>
    <w:rsid w:val="002264CB"/>
    <w:rsid w:val="002447EF"/>
    <w:rsid w:val="00250FD0"/>
    <w:rsid w:val="00251550"/>
    <w:rsid w:val="00252C1A"/>
    <w:rsid w:val="00252EAD"/>
    <w:rsid w:val="00263B05"/>
    <w:rsid w:val="0027221A"/>
    <w:rsid w:val="00273F49"/>
    <w:rsid w:val="00274EB8"/>
    <w:rsid w:val="00275B61"/>
    <w:rsid w:val="00282656"/>
    <w:rsid w:val="00284F9D"/>
    <w:rsid w:val="00291EDB"/>
    <w:rsid w:val="00296B83"/>
    <w:rsid w:val="002A205B"/>
    <w:rsid w:val="002A32B8"/>
    <w:rsid w:val="002A6C40"/>
    <w:rsid w:val="002B6FC3"/>
    <w:rsid w:val="002B78CE"/>
    <w:rsid w:val="002C00EA"/>
    <w:rsid w:val="002C1B29"/>
    <w:rsid w:val="002C2FB6"/>
    <w:rsid w:val="002C4961"/>
    <w:rsid w:val="002D0EEA"/>
    <w:rsid w:val="002D5BCD"/>
    <w:rsid w:val="002E06F8"/>
    <w:rsid w:val="003009B7"/>
    <w:rsid w:val="00300E56"/>
    <w:rsid w:val="0030469C"/>
    <w:rsid w:val="00321CA6"/>
    <w:rsid w:val="00322AE8"/>
    <w:rsid w:val="00334C09"/>
    <w:rsid w:val="003365E3"/>
    <w:rsid w:val="00340E8F"/>
    <w:rsid w:val="003440E0"/>
    <w:rsid w:val="0034544C"/>
    <w:rsid w:val="00351554"/>
    <w:rsid w:val="0035748B"/>
    <w:rsid w:val="003667BF"/>
    <w:rsid w:val="003723D4"/>
    <w:rsid w:val="00374AB3"/>
    <w:rsid w:val="00384CC8"/>
    <w:rsid w:val="003871FD"/>
    <w:rsid w:val="00395DFA"/>
    <w:rsid w:val="003A1E30"/>
    <w:rsid w:val="003A7D1C"/>
    <w:rsid w:val="003B304B"/>
    <w:rsid w:val="003B3146"/>
    <w:rsid w:val="003B60F3"/>
    <w:rsid w:val="003C4A91"/>
    <w:rsid w:val="003D17A4"/>
    <w:rsid w:val="003D307B"/>
    <w:rsid w:val="003F015E"/>
    <w:rsid w:val="003F7212"/>
    <w:rsid w:val="00400414"/>
    <w:rsid w:val="0041446B"/>
    <w:rsid w:val="0041474A"/>
    <w:rsid w:val="00431933"/>
    <w:rsid w:val="0044329C"/>
    <w:rsid w:val="004577FE"/>
    <w:rsid w:val="00457B9C"/>
    <w:rsid w:val="0046164A"/>
    <w:rsid w:val="004628D2"/>
    <w:rsid w:val="00462DCD"/>
    <w:rsid w:val="00463C40"/>
    <w:rsid w:val="004648AD"/>
    <w:rsid w:val="004703A9"/>
    <w:rsid w:val="00470C51"/>
    <w:rsid w:val="00472432"/>
    <w:rsid w:val="004760DE"/>
    <w:rsid w:val="0048349C"/>
    <w:rsid w:val="004A004E"/>
    <w:rsid w:val="004A06B9"/>
    <w:rsid w:val="004A209E"/>
    <w:rsid w:val="004A24CF"/>
    <w:rsid w:val="004A3BD1"/>
    <w:rsid w:val="004B6721"/>
    <w:rsid w:val="004C3D1D"/>
    <w:rsid w:val="004C565C"/>
    <w:rsid w:val="004C65E5"/>
    <w:rsid w:val="004C7913"/>
    <w:rsid w:val="004D0D3C"/>
    <w:rsid w:val="004E30D2"/>
    <w:rsid w:val="004E4DD6"/>
    <w:rsid w:val="004F378B"/>
    <w:rsid w:val="004F5E36"/>
    <w:rsid w:val="00507B47"/>
    <w:rsid w:val="00507CC9"/>
    <w:rsid w:val="005119A5"/>
    <w:rsid w:val="005278B7"/>
    <w:rsid w:val="00532016"/>
    <w:rsid w:val="005346C8"/>
    <w:rsid w:val="0053532A"/>
    <w:rsid w:val="00543E7D"/>
    <w:rsid w:val="00546B05"/>
    <w:rsid w:val="00547A68"/>
    <w:rsid w:val="005531C9"/>
    <w:rsid w:val="005733E7"/>
    <w:rsid w:val="00577C32"/>
    <w:rsid w:val="00585CA5"/>
    <w:rsid w:val="005A3716"/>
    <w:rsid w:val="005A5A82"/>
    <w:rsid w:val="005B2110"/>
    <w:rsid w:val="005B61E6"/>
    <w:rsid w:val="005C77E1"/>
    <w:rsid w:val="005D6A2F"/>
    <w:rsid w:val="005E1A82"/>
    <w:rsid w:val="005E794C"/>
    <w:rsid w:val="005F0A28"/>
    <w:rsid w:val="005F0E5E"/>
    <w:rsid w:val="005F77CE"/>
    <w:rsid w:val="00600390"/>
    <w:rsid w:val="00600535"/>
    <w:rsid w:val="0060175D"/>
    <w:rsid w:val="00605D0C"/>
    <w:rsid w:val="00606390"/>
    <w:rsid w:val="00610CD6"/>
    <w:rsid w:val="00620DEE"/>
    <w:rsid w:val="00621F92"/>
    <w:rsid w:val="00623596"/>
    <w:rsid w:val="00625030"/>
    <w:rsid w:val="00625639"/>
    <w:rsid w:val="00631B33"/>
    <w:rsid w:val="0064184D"/>
    <w:rsid w:val="006422CC"/>
    <w:rsid w:val="0065630D"/>
    <w:rsid w:val="00657AD5"/>
    <w:rsid w:val="00660E3E"/>
    <w:rsid w:val="00662E74"/>
    <w:rsid w:val="00680C23"/>
    <w:rsid w:val="00693766"/>
    <w:rsid w:val="006A3281"/>
    <w:rsid w:val="006A5B4A"/>
    <w:rsid w:val="006B10FD"/>
    <w:rsid w:val="006B4888"/>
    <w:rsid w:val="006C1496"/>
    <w:rsid w:val="006C2E45"/>
    <w:rsid w:val="006C359C"/>
    <w:rsid w:val="006C5579"/>
    <w:rsid w:val="006D46C8"/>
    <w:rsid w:val="006D539F"/>
    <w:rsid w:val="006E4D66"/>
    <w:rsid w:val="006E737D"/>
    <w:rsid w:val="0070195D"/>
    <w:rsid w:val="00713B7B"/>
    <w:rsid w:val="00720A24"/>
    <w:rsid w:val="00730F16"/>
    <w:rsid w:val="00732386"/>
    <w:rsid w:val="007328D7"/>
    <w:rsid w:val="00734C5A"/>
    <w:rsid w:val="00735D6C"/>
    <w:rsid w:val="00741D57"/>
    <w:rsid w:val="007447F3"/>
    <w:rsid w:val="00747D21"/>
    <w:rsid w:val="0075499F"/>
    <w:rsid w:val="00756DF8"/>
    <w:rsid w:val="007661C8"/>
    <w:rsid w:val="0077098D"/>
    <w:rsid w:val="00774D51"/>
    <w:rsid w:val="00782EE0"/>
    <w:rsid w:val="00790A53"/>
    <w:rsid w:val="007931FA"/>
    <w:rsid w:val="00797089"/>
    <w:rsid w:val="007A7BBA"/>
    <w:rsid w:val="007B01B6"/>
    <w:rsid w:val="007B0C50"/>
    <w:rsid w:val="007B1BDE"/>
    <w:rsid w:val="007B3EEF"/>
    <w:rsid w:val="007C0FCF"/>
    <w:rsid w:val="007C1A43"/>
    <w:rsid w:val="007E0112"/>
    <w:rsid w:val="007E105C"/>
    <w:rsid w:val="007E1DC6"/>
    <w:rsid w:val="007E2B7A"/>
    <w:rsid w:val="007E3952"/>
    <w:rsid w:val="007E4CD2"/>
    <w:rsid w:val="0080284A"/>
    <w:rsid w:val="00804C09"/>
    <w:rsid w:val="00807954"/>
    <w:rsid w:val="00813288"/>
    <w:rsid w:val="00814AB3"/>
    <w:rsid w:val="008168FC"/>
    <w:rsid w:val="008203BC"/>
    <w:rsid w:val="008219B4"/>
    <w:rsid w:val="00830996"/>
    <w:rsid w:val="008345F1"/>
    <w:rsid w:val="00865B07"/>
    <w:rsid w:val="008667EA"/>
    <w:rsid w:val="0087637F"/>
    <w:rsid w:val="008821A6"/>
    <w:rsid w:val="00885561"/>
    <w:rsid w:val="008904B9"/>
    <w:rsid w:val="00891BE5"/>
    <w:rsid w:val="00892AD5"/>
    <w:rsid w:val="008A02E9"/>
    <w:rsid w:val="008A1512"/>
    <w:rsid w:val="008B0884"/>
    <w:rsid w:val="008B4F33"/>
    <w:rsid w:val="008C78C1"/>
    <w:rsid w:val="008D1ABA"/>
    <w:rsid w:val="008D24BD"/>
    <w:rsid w:val="008D32B9"/>
    <w:rsid w:val="008D433B"/>
    <w:rsid w:val="008E566E"/>
    <w:rsid w:val="008F7910"/>
    <w:rsid w:val="00900936"/>
    <w:rsid w:val="0090161A"/>
    <w:rsid w:val="00901EB6"/>
    <w:rsid w:val="00904C62"/>
    <w:rsid w:val="009062E9"/>
    <w:rsid w:val="0092408D"/>
    <w:rsid w:val="00924DAC"/>
    <w:rsid w:val="00927058"/>
    <w:rsid w:val="00933E59"/>
    <w:rsid w:val="009373F9"/>
    <w:rsid w:val="00942967"/>
    <w:rsid w:val="00944D35"/>
    <w:rsid w:val="009450CE"/>
    <w:rsid w:val="00947179"/>
    <w:rsid w:val="0095164B"/>
    <w:rsid w:val="00954090"/>
    <w:rsid w:val="009573E7"/>
    <w:rsid w:val="009635B9"/>
    <w:rsid w:val="00963E05"/>
    <w:rsid w:val="00967D54"/>
    <w:rsid w:val="009816E8"/>
    <w:rsid w:val="00981708"/>
    <w:rsid w:val="0099223F"/>
    <w:rsid w:val="00995222"/>
    <w:rsid w:val="00996483"/>
    <w:rsid w:val="00996F5A"/>
    <w:rsid w:val="009A0A3E"/>
    <w:rsid w:val="009A1F85"/>
    <w:rsid w:val="009B041A"/>
    <w:rsid w:val="009C5C59"/>
    <w:rsid w:val="009C7C86"/>
    <w:rsid w:val="009D03EF"/>
    <w:rsid w:val="009D2FF7"/>
    <w:rsid w:val="009D7F26"/>
    <w:rsid w:val="009D7FA0"/>
    <w:rsid w:val="009E1F8C"/>
    <w:rsid w:val="009E4218"/>
    <w:rsid w:val="009E7884"/>
    <w:rsid w:val="009E788A"/>
    <w:rsid w:val="009F0E08"/>
    <w:rsid w:val="009F3DCB"/>
    <w:rsid w:val="00A1214A"/>
    <w:rsid w:val="00A13E71"/>
    <w:rsid w:val="00A1763D"/>
    <w:rsid w:val="00A17CEC"/>
    <w:rsid w:val="00A27EF0"/>
    <w:rsid w:val="00A42236"/>
    <w:rsid w:val="00A464A1"/>
    <w:rsid w:val="00A50B20"/>
    <w:rsid w:val="00A51390"/>
    <w:rsid w:val="00A52E28"/>
    <w:rsid w:val="00A60D13"/>
    <w:rsid w:val="00A72745"/>
    <w:rsid w:val="00A74265"/>
    <w:rsid w:val="00A76EFC"/>
    <w:rsid w:val="00A8477F"/>
    <w:rsid w:val="00A91010"/>
    <w:rsid w:val="00A97F29"/>
    <w:rsid w:val="00AA702E"/>
    <w:rsid w:val="00AB03E5"/>
    <w:rsid w:val="00AB0964"/>
    <w:rsid w:val="00AB5011"/>
    <w:rsid w:val="00AC3BE5"/>
    <w:rsid w:val="00AC7368"/>
    <w:rsid w:val="00AD16B9"/>
    <w:rsid w:val="00AD4FB6"/>
    <w:rsid w:val="00AE2E4D"/>
    <w:rsid w:val="00AE2EC6"/>
    <w:rsid w:val="00AE377D"/>
    <w:rsid w:val="00B17FBD"/>
    <w:rsid w:val="00B315A6"/>
    <w:rsid w:val="00B31813"/>
    <w:rsid w:val="00B33365"/>
    <w:rsid w:val="00B33867"/>
    <w:rsid w:val="00B36C7B"/>
    <w:rsid w:val="00B52ECF"/>
    <w:rsid w:val="00B55824"/>
    <w:rsid w:val="00B57B36"/>
    <w:rsid w:val="00B57B8B"/>
    <w:rsid w:val="00B6138A"/>
    <w:rsid w:val="00B8686D"/>
    <w:rsid w:val="00B9214B"/>
    <w:rsid w:val="00BC0ECB"/>
    <w:rsid w:val="00BC2B9B"/>
    <w:rsid w:val="00BC30C9"/>
    <w:rsid w:val="00BC6F46"/>
    <w:rsid w:val="00BC7A72"/>
    <w:rsid w:val="00BE04DC"/>
    <w:rsid w:val="00BE3E58"/>
    <w:rsid w:val="00BE5BF5"/>
    <w:rsid w:val="00BE65F2"/>
    <w:rsid w:val="00C01616"/>
    <w:rsid w:val="00C0162B"/>
    <w:rsid w:val="00C05DF3"/>
    <w:rsid w:val="00C345B1"/>
    <w:rsid w:val="00C40142"/>
    <w:rsid w:val="00C412FB"/>
    <w:rsid w:val="00C50799"/>
    <w:rsid w:val="00C53EB7"/>
    <w:rsid w:val="00C57182"/>
    <w:rsid w:val="00C57863"/>
    <w:rsid w:val="00C64B69"/>
    <w:rsid w:val="00C655FD"/>
    <w:rsid w:val="00C7277D"/>
    <w:rsid w:val="00C7501B"/>
    <w:rsid w:val="00C76B71"/>
    <w:rsid w:val="00C776ED"/>
    <w:rsid w:val="00C818C2"/>
    <w:rsid w:val="00C870A8"/>
    <w:rsid w:val="00C87563"/>
    <w:rsid w:val="00C94434"/>
    <w:rsid w:val="00CA0D75"/>
    <w:rsid w:val="00CA1C95"/>
    <w:rsid w:val="00CA4FC0"/>
    <w:rsid w:val="00CA5A9C"/>
    <w:rsid w:val="00CB5EFE"/>
    <w:rsid w:val="00CC77FF"/>
    <w:rsid w:val="00CD152D"/>
    <w:rsid w:val="00CD3517"/>
    <w:rsid w:val="00CD5A00"/>
    <w:rsid w:val="00CD5FE2"/>
    <w:rsid w:val="00CE7C68"/>
    <w:rsid w:val="00D01FB3"/>
    <w:rsid w:val="00D02B4C"/>
    <w:rsid w:val="00D040C4"/>
    <w:rsid w:val="00D15A18"/>
    <w:rsid w:val="00D15AD2"/>
    <w:rsid w:val="00D32B51"/>
    <w:rsid w:val="00D34BF3"/>
    <w:rsid w:val="00D56BDC"/>
    <w:rsid w:val="00D57C84"/>
    <w:rsid w:val="00D6057D"/>
    <w:rsid w:val="00D633CB"/>
    <w:rsid w:val="00D70801"/>
    <w:rsid w:val="00D84576"/>
    <w:rsid w:val="00D9076A"/>
    <w:rsid w:val="00D9321F"/>
    <w:rsid w:val="00DA1399"/>
    <w:rsid w:val="00DA24C6"/>
    <w:rsid w:val="00DA4D7B"/>
    <w:rsid w:val="00DA4E55"/>
    <w:rsid w:val="00DD210D"/>
    <w:rsid w:val="00DD4444"/>
    <w:rsid w:val="00DE264A"/>
    <w:rsid w:val="00DF5C07"/>
    <w:rsid w:val="00DF6340"/>
    <w:rsid w:val="00E02D18"/>
    <w:rsid w:val="00E041E7"/>
    <w:rsid w:val="00E2146C"/>
    <w:rsid w:val="00E23CA1"/>
    <w:rsid w:val="00E3605E"/>
    <w:rsid w:val="00E409A8"/>
    <w:rsid w:val="00E50C12"/>
    <w:rsid w:val="00E521DD"/>
    <w:rsid w:val="00E647A7"/>
    <w:rsid w:val="00E65B91"/>
    <w:rsid w:val="00E7209D"/>
    <w:rsid w:val="00E77223"/>
    <w:rsid w:val="00E81B36"/>
    <w:rsid w:val="00E8528B"/>
    <w:rsid w:val="00E85B94"/>
    <w:rsid w:val="00E87BF9"/>
    <w:rsid w:val="00E978D0"/>
    <w:rsid w:val="00EA4613"/>
    <w:rsid w:val="00EA7F91"/>
    <w:rsid w:val="00EB1523"/>
    <w:rsid w:val="00EC0677"/>
    <w:rsid w:val="00EC0E49"/>
    <w:rsid w:val="00EC6D94"/>
    <w:rsid w:val="00ED12A6"/>
    <w:rsid w:val="00ED5E9F"/>
    <w:rsid w:val="00EE0131"/>
    <w:rsid w:val="00F00C72"/>
    <w:rsid w:val="00F14C35"/>
    <w:rsid w:val="00F155B2"/>
    <w:rsid w:val="00F16174"/>
    <w:rsid w:val="00F25B32"/>
    <w:rsid w:val="00F30AD5"/>
    <w:rsid w:val="00F30C64"/>
    <w:rsid w:val="00F32CDB"/>
    <w:rsid w:val="00F3758F"/>
    <w:rsid w:val="00F440D3"/>
    <w:rsid w:val="00F528F7"/>
    <w:rsid w:val="00F63A70"/>
    <w:rsid w:val="00F66F35"/>
    <w:rsid w:val="00F768CB"/>
    <w:rsid w:val="00F92C31"/>
    <w:rsid w:val="00F93435"/>
    <w:rsid w:val="00FA21D0"/>
    <w:rsid w:val="00FA31B7"/>
    <w:rsid w:val="00FA5F5F"/>
    <w:rsid w:val="00FB730C"/>
    <w:rsid w:val="00FC2695"/>
    <w:rsid w:val="00FC3E03"/>
    <w:rsid w:val="00FC3FC1"/>
    <w:rsid w:val="00FC6759"/>
    <w:rsid w:val="00FC6C94"/>
    <w:rsid w:val="00FE3350"/>
    <w:rsid w:val="00FE72C0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D07A9"/>
  <w15:docId w15:val="{5E7BCEA2-AB3B-4E35-A0D6-B665C161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qFormat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374AB3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374AB3"/>
    <w:rPr>
      <w:rFonts w:ascii="Arial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3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Default">
    <w:name w:val="Default"/>
    <w:rsid w:val="00062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Cha011</b:Tag>
    <b:SourceType>JournalArticle</b:SourceType>
    <b:Guid>{43B9DABE-73B1-4E53-BF38-D8583E7BB2E2}</b:Guid>
    <b:Title>Sourdough Technology—A Traditional Way for Wholesome Foods: A Review</b:Title>
    <b:JournalName>Comprehensive Reviews in Food Science and Food Safety</b:JournalName>
    <b:Year>2011</b:Year>
    <b:Pages>170-183</b:Pages>
    <b:Author>
      <b:Author>
        <b:NameList>
          <b:Person>
            <b:Last>Chavan</b:Last>
            <b:Middle>S.</b:Middle>
            <b:First>Rupesh</b:First>
          </b:Person>
          <b:Person>
            <b:Last>Chavan</b:Last>
            <b:Middle>R.</b:Middle>
            <b:First>Shraddha</b:First>
          </b:Person>
        </b:NameList>
      </b:Author>
    </b:Author>
    <b:RefOrder>1</b:RefOrder>
  </b:Source>
  <b:Source>
    <b:Tag>Sie18</b:Tag>
    <b:SourceType>JournalArticle</b:SourceType>
    <b:Guid>{4C46A928-7A8C-4009-BAF0-A9CD471A74AF}</b:Guid>
    <b:Title>Overview of Sourdough Technology: from Production to Marketing</b:Title>
    <b:JournalName>Food Bioprocess Technology</b:JournalName>
    <b:Year>2018</b:Year>
    <b:Pages>242-270</b:Pages>
    <b:Author>
      <b:Author>
        <b:NameList>
          <b:Person>
            <b:Last>Siepmann</b:Last>
            <b:Middle>B.</b:Middle>
            <b:First>Francieli</b:First>
          </b:Person>
          <b:Person>
            <b:Last>Ripari</b:Last>
            <b:First>Valery</b:First>
          </b:Person>
          <b:Person>
            <b:Last>Waszczynskyj</b:Last>
            <b:First>Nina</b:First>
          </b:Person>
          <b:Person>
            <b:Last>Spier</b:Last>
            <b:Middle>R.</b:Middle>
            <b:First>Michele</b:First>
          </b:Person>
        </b:NameList>
      </b:Author>
    </b:Author>
    <b:RefOrder>2</b:RefOrder>
  </b:Source>
  <b:Source>
    <b:Tag>Man16</b:Tag>
    <b:SourceType>JournalArticle</b:SourceType>
    <b:Guid>{B0814005-8291-4910-8CA8-7DB37CFE2BEB}</b:Guid>
    <b:Title>Study of the Chemical Changes and Evolution of Microbiota During Sourdoughlike Fermentation of Wheat Bran</b:Title>
    <b:JournalName>Cereal Chemistry</b:JournalName>
    <b:Year>2016</b:Year>
    <b:Pages>342-349</b:Pages>
    <b:Author>
      <b:Author>
        <b:NameList>
          <b:Person>
            <b:Last>Manini</b:Last>
            <b:First>Federica</b:First>
          </b:Person>
          <b:Person>
            <b:Last>Brasca </b:Last>
            <b:First>Milena</b:First>
          </b:Person>
          <b:Person>
            <b:Last>Plumed‐Ferrer</b:Last>
            <b:First>Carme</b:First>
          </b:Person>
          <b:Person>
            <b:Last>Morandi</b:Last>
            <b:First>Stefano</b:First>
          </b:Person>
          <b:Person>
            <b:Last>Erba</b:Last>
            <b:First>Daniela</b:First>
          </b:Person>
          <b:Person>
            <b:Last>Casiraghi</b:Last>
            <b:Middle>C.</b:Middle>
            <b:First>Maria</b:First>
          </b:Person>
        </b:NameList>
      </b:Author>
    </b:Author>
    <b:RefOrder>3</b:RefOrder>
  </b:Source>
  <b:Source>
    <b:Tag>Ney05</b:Tag>
    <b:SourceType>JournalArticle</b:SourceType>
    <b:Guid>{4A2AB9E2-48B1-40DD-901D-1E82A7E6CF65}</b:Guid>
    <b:Title>Kinetics and modelling of sourdough lactic acid bacteria</b:Title>
    <b:JournalName>Trends in Food Science &amp; Technology </b:JournalName>
    <b:Year>2005</b:Year>
    <b:Pages>95-103</b:Pages>
    <b:Author>
      <b:Author>
        <b:NameList>
          <b:Person>
            <b:Last>Neysens</b:Last>
            <b:First>Patricia </b:First>
          </b:Person>
          <b:Person>
            <b:Last>De Vuyst</b:Last>
            <b:First>Luc</b:First>
          </b:Person>
        </b:NameList>
      </b:Author>
    </b:Author>
    <b:RefOrder>4</b:RefOrder>
  </b:Source>
  <b:Source>
    <b:Tag>Pou09</b:Tag>
    <b:SourceType>JournalArticle</b:SourceType>
    <b:Guid>{A427A035-D589-4FCE-A9B7-4F0E5A80BE5B}</b:Guid>
    <b:Title>Sourdough and cereal fermentation in a nutritional perspective</b:Title>
    <b:JournalName>Food Microbiology</b:JournalName>
    <b:Year>2009</b:Year>
    <b:Pages>693-699</b:Pages>
    <b:Author>
      <b:Author>
        <b:NameList>
          <b:Person>
            <b:Last>Poutanen </b:Last>
            <b:First>K.</b:First>
          </b:Person>
          <b:Person>
            <b:Last>Flander</b:Last>
            <b:First>L.</b:First>
          </b:Person>
          <b:Person>
            <b:Last>Katina</b:Last>
            <b:First>K.</b:First>
          </b:Person>
        </b:NameList>
      </b:Author>
    </b:Author>
    <b:RefOrder>5</b:RefOrder>
  </b:Source>
  <b:Source>
    <b:Tag>Cor12</b:Tag>
    <b:SourceType>JournalArticle</b:SourceType>
    <b:Guid>{DF405D30-DC0D-470B-B54E-984F00318897}</b:Guid>
    <b:Title>Technology of sourdough fermentation and sourdough application </b:Title>
    <b:JournalName>Handbook on Sourdough Biotechnology</b:JournalName>
    <b:Year>2012</b:Year>
    <b:Pages>85-103</b:Pages>
    <b:Author>
      <b:Author>
        <b:NameList>
          <b:Person>
            <b:Last>Corsetti</b:Last>
            <b:First>Aldo</b:First>
          </b:Person>
        </b:NameList>
      </b:Author>
    </b:Author>
    <b:RefOrder>6</b:RefOrder>
  </b:Source>
  <b:Source>
    <b:Tag>Upa12</b:Tag>
    <b:SourceType>JournalArticle</b:SourceType>
    <b:Guid>{51D78437-CDED-4C3C-A769-C9382A87BD00}</b:Guid>
    <b:Title>Characterization of bread dough: Rheological properties and microstructure</b:Title>
    <b:JournalName>Journal of Food Engineering</b:JournalName>
    <b:Year>2012</b:Year>
    <b:Pages>104-113</b:Pages>
    <b:Volume>109</b:Volume>
    <b:Author>
      <b:Author>
        <b:NameList>
          <b:Person>
            <b:Last>Upadhyay</b:Last>
            <b:First>R.</b:First>
          </b:Person>
          <b:Person>
            <b:Last>Ghosal</b:Last>
            <b:First>D.</b:First>
          </b:Person>
          <b:Person>
            <b:Last>Mehra</b:Last>
            <b:First>A.</b:First>
          </b:Person>
        </b:NameList>
      </b:Author>
    </b:Author>
    <b:RefOrder>7</b:RefOrder>
  </b:Source>
  <b:Source>
    <b:Tag>Nio14</b:Tag>
    <b:SourceType>JournalArticle</b:SourceType>
    <b:Guid>{91460B98-C9C9-4A47-AF29-C27EC0D9FDF5}</b:Guid>
    <b:Title>Exploitation of Albanian wheat cultivars: characterization of the flours and lactic acid bacteria microbiota, and selection of starters for sourdough fermentation</b:Title>
    <b:JournalName>Food Microbiology</b:JournalName>
    <b:Year>2014</b:Year>
    <b:Pages>96-107</b:Pages>
    <b:Volume>44</b:Volume>
    <b:Author>
      <b:Author>
        <b:NameList>
          <b:Person>
            <b:Last>Nionelli</b:Last>
            <b:First>L.</b:First>
          </b:Person>
          <b:Person>
            <b:Last>Curri</b:Last>
            <b:First>N.</b:First>
          </b:Person>
          <b:Person>
            <b:Last>Curiel </b:Last>
            <b:Middle>A.</b:Middle>
            <b:First>J.</b:First>
          </b:Person>
          <b:Person>
            <b:Last>Di Cagno</b:Last>
            <b:First>R.</b:First>
          </b:Person>
          <b:Person>
            <b:Last>Pontonio</b:Last>
            <b:First>E.</b:First>
          </b:Person>
          <b:Person>
            <b:Last>Cavoski</b:Last>
            <b:First>I.</b:First>
          </b:Person>
          <b:Person>
            <b:Last>Gobbetti</b:Last>
            <b:First>M.</b:First>
          </b:Person>
          <b:Person>
            <b:Last>Rizzello</b:Last>
            <b:Middle>G.</b:Middle>
            <b:First>C.</b:First>
          </b:Person>
        </b:NameList>
      </b:Author>
    </b:Author>
    <b:RefOrder>8</b:RefOrder>
  </b:Source>
  <b:Source>
    <b:Tag>DeV14</b:Tag>
    <b:SourceType>JournalArticle</b:SourceType>
    <b:Guid>{B9A400EB-C505-49C7-BF14-0AE7C094EAEB}</b:Guid>
    <b:Title>Summer meeting 2013: growth and physiology of bifidobacteria</b:Title>
    <b:JournalName>Microbial ecology of sourdough fermentations: Diverse or uniform?</b:JournalName>
    <b:Year>2014</b:Year>
    <b:Pages>11-29</b:Pages>
    <b:Volume>37</b:Volume>
    <b:Author>
      <b:Author>
        <b:NameList>
          <b:Person>
            <b:Last>De Vuyst</b:Last>
            <b:First>L.</b:First>
          </b:Person>
          <b:Person>
            <b:Last>Van Kerrebroeck</b:Last>
            <b:First>S.</b:First>
          </b:Person>
          <b:Person>
            <b:Last>Harth</b:Last>
            <b:First>H.</b:First>
          </b:Person>
          <b:Person>
            <b:Last>Huys</b:Last>
            <b:First>G.</b:First>
          </b:Person>
          <b:Person>
            <b:Last>Daniel</b:Last>
            <b:Middle>M.</b:Middle>
            <b:First>H.</b:First>
          </b:Person>
          <b:Person>
            <b:Last>Weckx</b:Last>
            <b:First>S.</b:First>
          </b:Person>
        </b:NameList>
      </b:Author>
    </b:Author>
    <b:RefOrder>9</b:RefOrder>
  </b:Source>
  <b:Source>
    <b:Tag>Gob98</b:Tag>
    <b:SourceType>JournalArticle</b:SourceType>
    <b:Guid>{140C2E1E-605E-44A6-A039-F09C83D0B63C}</b:Guid>
    <b:Title>The sourdough microflora: Interactions of lactic acid bacteria and yeasts</b:Title>
    <b:Year>1998</b:Year>
    <b:Author>
      <b:Author>
        <b:NameList>
          <b:Person>
            <b:Last>Gobbetti</b:Last>
            <b:First>M.</b:First>
          </b:Person>
        </b:NameList>
      </b:Author>
    </b:Author>
    <b:JournalName>Trends in Food Science &amp; Technology</b:JournalName>
    <b:Pages>267-274</b:Pages>
    <b:Volume>9</b:Volume>
    <b:RefOrder>10</b:RefOrder>
  </b:Source>
  <b:Source>
    <b:Tag>DeV16</b:Tag>
    <b:SourceType>JournalArticle</b:SourceType>
    <b:Guid>{09D5690F-3308-4A2E-A475-F50FF6C41AE8}</b:Guid>
    <b:Title>Yeast diversity of sourdoughs and associated metabolic properties and functionalities</b:Title>
    <b:JournalName>International Journal of Food Microbiology</b:JournalName>
    <b:Year>2016</b:Year>
    <b:Pages>26–34</b:Pages>
    <b:Volume>239</b:Volume>
    <b:Author>
      <b:Author>
        <b:NameList>
          <b:Person>
            <b:Last>De Vuyst</b:Last>
            <b:First>L.</b:First>
          </b:Person>
          <b:Person>
            <b:Last>Hart </b:Last>
            <b:First>H.</b:First>
          </b:Person>
          <b:Person>
            <b:Last>Van Kerrebroeck</b:Last>
            <b:First>S.</b:First>
          </b:Person>
          <b:Person>
            <b:Last>Leroy</b:Last>
            <b:First>F.</b:First>
          </b:Person>
        </b:NameList>
      </b:Author>
    </b:Author>
    <b:RefOrder>11</b:RefOrder>
  </b:Source>
  <b:Source>
    <b:Tag>Ber95</b:Tag>
    <b:SourceType>JournalArticle</b:SourceType>
    <b:Guid>{7292DCD5-ABD2-4C43-B3D7-4B4FAAD0CE46}</b:Guid>
    <b:Title>Rheological properties of wheat flour doughs in steady and dynamic shear: effect of water content and some additives</b:Title>
    <b:JournalName>Cereal Chemistry</b:JournalName>
    <b:Year>1995</b:Year>
    <b:Pages>48–52</b:Pages>
    <b:Volume>72</b:Volume>
    <b:Author>
      <b:Author>
        <b:NameList>
          <b:Person>
            <b:Last>Berland</b:Last>
            <b:First>S.</b:First>
          </b:Person>
          <b:Person>
            <b:Last>Launay</b:Last>
            <b:First>B.</b:First>
          </b:Person>
        </b:NameList>
      </b:Author>
    </b:Author>
    <b:RefOrder>12</b:RefOrder>
  </b:Source>
  <b:Source>
    <b:Tag>Pha00</b:Tag>
    <b:SourceType>JournalArticle</b:SourceType>
    <b:Guid>{BB4BF9E5-0C1C-4A74-87C5-326F5C7DCEBE}</b:Guid>
    <b:Title>Non-linear oscillatory flow of a soft solid-like viscoelastic material</b:Title>
    <b:JournalName>Journal of Non-Newtonian Fluid Mechanics</b:JournalName>
    <b:Year>2000</b:Year>
    <b:Pages>67-80</b:Pages>
    <b:Volume>92</b:Volume>
    <b:Author>
      <b:Author>
        <b:NameList>
          <b:Person>
            <b:Last>Phan-Thien</b:Last>
            <b:First>N.</b:First>
          </b:Person>
          <b:Person>
            <b:Last>Newberry</b:Last>
            <b:First>M.</b:First>
          </b:Person>
          <b:Person>
            <b:Last>Tanner</b:Last>
            <b:Middle>I.</b:Middle>
            <b:First>R.</b:First>
          </b:Person>
        </b:NameList>
      </b:Author>
    </b:Author>
    <b:RefOrder>13</b:RefOrder>
  </b:Source>
  <b:Source>
    <b:Tag>Tan08</b:Tag>
    <b:SourceType>JournalArticle</b:SourceType>
    <b:Guid>{C63A8E90-15D2-48A3-8816-9E13E191E5AD}</b:Guid>
    <b:Title>Bread dough rheology and recoil. I. Rheology</b:Title>
    <b:JournalName>Journal of Non-Newtonian Fluid Mechanics</b:JournalName>
    <b:Year>2008</b:Year>
    <b:Pages>33-40</b:Pages>
    <b:Volume>148</b:Volume>
    <b:Author>
      <b:Author>
        <b:NameList>
          <b:Person>
            <b:Last>Tanner</b:Last>
            <b:Middle>I.</b:Middle>
            <b:First>R.</b:First>
          </b:Person>
          <b:Person>
            <b:Last>Qi</b:Last>
            <b:First>F.</b:First>
          </b:Person>
          <b:Person>
            <b:Last>Dai</b:Last>
            <b:First>S.</b:First>
          </b:Person>
        </b:NameList>
      </b:Author>
    </b:Author>
    <b:RefOrder>14</b:RefOrder>
  </b:Source>
  <b:Source>
    <b:Tag>Uth02</b:Tag>
    <b:SourceType>JournalArticle</b:SourceType>
    <b:Guid>{F471BD47-1266-4023-9B8A-4E80204A72E0}</b:Guid>
    <b:Title>Small and large strain rheology of wheat gluten</b:Title>
    <b:JournalName>Rheologica Acta</b:JournalName>
    <b:Year>2002</b:Year>
    <b:Pages>162–172</b:Pages>
    <b:Volume>41</b:Volume>
    <b:Author>
      <b:Author>
        <b:NameList>
          <b:Person>
            <b:Last>Uthayakumaran</b:Last>
            <b:First>S.</b:First>
          </b:Person>
          <b:Person>
            <b:Last>Newberry</b:Last>
            <b:First>M.</b:First>
          </b:Person>
          <b:Person>
            <b:Last>Phan-Thien</b:Last>
            <b:First>N.</b:First>
          </b:Person>
          <b:Person>
            <b:Last>Tanner</b:Last>
            <b:Middle>I.</b:Middle>
            <b:First>R.</b:First>
          </b:Person>
        </b:NameList>
      </b:Author>
    </b:Author>
    <b:RefOrder>15</b:RefOrder>
  </b:Source>
  <b:Source>
    <b:Tag>Geo04</b:Tag>
    <b:SourceType>JournalArticle</b:SourceType>
    <b:Guid>{B13F157A-DE9A-471D-BD9D-67D5E2B2414E}</b:Guid>
    <b:Title>A comparison of the rheological properties of wheat flour dough and its gluten prepared by ultracentrifugation</b:Title>
    <b:JournalName>Food Hydrocolloids</b:JournalName>
    <b:Year>2004</b:Year>
    <b:Pages>143–151</b:Pages>
    <b:Volume>18 (1)</b:Volume>
    <b:Author>
      <b:Author>
        <b:NameList>
          <b:Person>
            <b:Last>Georgopoulos</b:Last>
            <b:First>T.</b:First>
          </b:Person>
          <b:Person>
            <b:Last>Larsson</b:Last>
            <b:First>H.</b:First>
          </b:Person>
          <b:Person>
            <b:Last>Eliasson</b:Last>
            <b:First>A.</b:First>
          </b:Person>
        </b:NameList>
      </b:Author>
    </b:Author>
    <b:RefOrder>16</b:RefOrder>
  </b:Source>
  <b:Source>
    <b:Tag>Ros95</b:Tag>
    <b:SourceType>JournalArticle</b:SourceType>
    <b:Guid>{83CC6E19-997D-4FDE-9A12-6273F6A3CA72}</b:Guid>
    <b:Title>Structure–properties relationships in food biopolymer gels and solutions</b:Title>
    <b:JournalName>Journal of Rheology</b:JournalName>
    <b:Year>1995</b:Year>
    <b:Pages>1451–1463</b:Pages>
    <b:Volume>39 (6)</b:Volume>
    <b:Author>
      <b:Author>
        <b:NameList>
          <b:Person>
            <b:Last>Ross-Murphy</b:Last>
            <b:Middle>B.</b:Middle>
            <b:First>S.</b:First>
          </b:Person>
        </b:NameList>
      </b:Author>
    </b:Author>
    <b:RefOrder>17</b:RefOrder>
  </b:Source>
  <b:Source>
    <b:Tag>Gab01</b:Tag>
    <b:SourceType>JournalArticle</b:SourceType>
    <b:Guid>{7BD38069-A49E-4546-87F5-876213653E4E}</b:Guid>
    <b:Title>A weak gel model for foods</b:Title>
    <b:JournalName>Rheologica Acta</b:JournalName>
    <b:Year>2001</b:Year>
    <b:Pages>120-127</b:Pages>
    <b:Volume>40</b:Volume>
    <b:Author>
      <b:Author>
        <b:NameList>
          <b:Person>
            <b:Last>Gabriele</b:Last>
            <b:First>D.</b:First>
          </b:Person>
          <b:Person>
            <b:Last>De Cindio</b:Last>
            <b:First>B.</b:First>
          </b:Person>
          <b:Person>
            <b:Last>D'Antona</b:Last>
            <b:First>P.</b:First>
          </b:Person>
        </b:NameList>
      </b:Author>
    </b:Author>
    <b:RefOrder>18</b:RefOrder>
  </b:Source>
  <b:Source>
    <b:Tag>Kok94</b:Tag>
    <b:SourceType>JournalArticle</b:SourceType>
    <b:Guid>{D7826A5B-6EA6-4A13-9992-1A2D08F6EC49}</b:Guid>
    <b:Title>The development of state diagrams for cereal proteins</b:Title>
    <b:JournalName>Trends in Food Science Technology</b:JournalName>
    <b:Year>1994</b:Year>
    <b:Pages>281–288</b:Pages>
    <b:Volume>5 (9)</b:Volume>
    <b:Author>
      <b:Author>
        <b:NameList>
          <b:Person>
            <b:Last>Kokini</b:Last>
            <b:Middle>L.</b:Middle>
            <b:First>J.</b:First>
          </b:Person>
          <b:Person>
            <b:Last>Cocero</b:Last>
            <b:Middle>M.</b:Middle>
            <b:First>A.</b:First>
          </b:Person>
          <b:Person>
            <b:Last>Madeka</b:Last>
            <b:First>H.</b:First>
          </b:Person>
          <b:Person>
            <b:Last>de Graaf</b:Last>
            <b:First>E.</b:First>
          </b:Person>
        </b:NameList>
      </b:Author>
    </b:Author>
    <b:RefOrder>19</b:RefOrder>
  </b:Source>
  <b:Source>
    <b:Tag>Kad01</b:Tag>
    <b:SourceType>JournalArticle</b:SourceType>
    <b:Guid>{3DCF3777-6E78-48F6-A370-DEF8BB6A8395}</b:Guid>
    <b:Title>Texture and other Physicochemical Properties of Whole Rice Bread</b:Title>
    <b:JournalName>Food Chemistry and Toxicology</b:JournalName>
    <b:Year>2001</b:Year>
    <b:Pages>940-944</b:Pages>
    <b:Volume>66</b:Volume>
    <b:Author>
      <b:Author>
        <b:NameList>
          <b:Person>
            <b:Last>Kadan</b:Last>
            <b:Middle>S.</b:Middle>
            <b:First>R.</b:First>
          </b:Person>
          <b:Person>
            <b:Last>Robinson</b:Last>
            <b:Middle>G.</b:Middle>
            <b:First>M.</b:First>
          </b:Person>
          <b:Person>
            <b:Last>Thibodeaux</b:Last>
            <b:Middle>P,</b:Middle>
            <b:First>D.</b:First>
          </b:Person>
          <b:Person>
            <b:Last>Pepperman Jr.</b:Last>
            <b:Middle>B.</b:Middle>
            <b:First>A.</b:First>
          </b:Person>
        </b:NameList>
      </b:Author>
    </b:Author>
    <b:RefOrder>20</b:RefOrder>
  </b:Source>
  <b:Source>
    <b:Tag>Cla04</b:Tag>
    <b:SourceType>JournalArticle</b:SourceType>
    <b:Guid>{DAFC9373-D5A0-48D6-AD2F-19EDD13A916B}</b:Guid>
    <b:Title>Wheat Sourdough Fermentation: Effects of Time and Acidification on Fundamental Rheological Properties</b:Title>
    <b:JournalName>American Association of Cereal Chemists</b:JournalName>
    <b:Year>2004</b:Year>
    <b:Pages>409  - 417</b:Pages>
    <b:Volume>81</b:Volume>
    <b:Issue>3</b:Issue>
    <b:Author>
      <b:Author>
        <b:NameList>
          <b:Person>
            <b:Last>Clark</b:Last>
            <b:First>C.</b:First>
            <b:Middle>I.</b:Middle>
          </b:Person>
          <b:Person>
            <b:Last>Schober </b:Last>
            <b:Middle>J.</b:Middle>
            <b:First>T.</b:First>
          </b:Person>
          <b:Person>
            <b:Last>Dockery</b:Last>
            <b:First>P.</b:First>
          </b:Person>
          <b:Person>
            <b:Last>O'Sullivan</b:Last>
            <b:First>K.</b:First>
          </b:Person>
          <b:Person>
            <b:Last>Arendt</b:Last>
            <b:Middle>K.</b:Middle>
            <b:First>E.</b:First>
          </b:Person>
        </b:NameList>
      </b:Author>
    </b:Author>
    <b:RefOrder>21</b:RefOrder>
  </b:Source>
</b:Sources>
</file>

<file path=customXml/itemProps1.xml><?xml version="1.0" encoding="utf-8"?>
<ds:datastoreItem xmlns:ds="http://schemas.openxmlformats.org/officeDocument/2006/customXml" ds:itemID="{0DBCE631-D52F-440C-9602-03F4A451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3574</Words>
  <Characters>20372</Characters>
  <Application>Microsoft Office Word</Application>
  <DocSecurity>0</DocSecurity>
  <Lines>169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s-guest-00-cr</cp:lastModifiedBy>
  <cp:revision>2</cp:revision>
  <cp:lastPrinted>2015-05-12T18:31:00Z</cp:lastPrinted>
  <dcterms:created xsi:type="dcterms:W3CDTF">2019-04-08T07:00:00Z</dcterms:created>
  <dcterms:modified xsi:type="dcterms:W3CDTF">2019-04-08T07:00:00Z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